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9E" w:rsidRPr="00D22F5A" w:rsidRDefault="0096599E" w:rsidP="00D22F5A">
      <w:pPr>
        <w:pBdr>
          <w:bottom w:val="single" w:sz="4" w:space="1" w:color="auto"/>
        </w:pBdr>
        <w:snapToGrid w:val="0"/>
        <w:spacing w:line="360" w:lineRule="auto"/>
        <w:jc w:val="center"/>
        <w:rPr>
          <w:b/>
          <w:bCs/>
          <w:sz w:val="44"/>
          <w:szCs w:val="44"/>
        </w:rPr>
      </w:pPr>
      <w:bookmarkStart w:id="0" w:name="bookmark0"/>
      <w:r w:rsidRPr="00D22F5A">
        <w:rPr>
          <w:rFonts w:hAnsi="宋体" w:hint="eastAsia"/>
          <w:b/>
          <w:bCs/>
          <w:sz w:val="44"/>
          <w:szCs w:val="44"/>
        </w:rPr>
        <w:t>行业和</w:t>
      </w:r>
      <w:r w:rsidRPr="00D22F5A">
        <w:rPr>
          <w:b/>
          <w:bCs/>
          <w:sz w:val="44"/>
          <w:szCs w:val="44"/>
        </w:rPr>
        <w:t>FDA</w:t>
      </w:r>
      <w:r w:rsidRPr="00D22F5A">
        <w:rPr>
          <w:rFonts w:hAnsi="宋体" w:hint="eastAsia"/>
          <w:b/>
          <w:bCs/>
          <w:sz w:val="44"/>
          <w:szCs w:val="44"/>
        </w:rPr>
        <w:t>工作人员</w:t>
      </w:r>
      <w:bookmarkEnd w:id="0"/>
      <w:r w:rsidR="006765EA">
        <w:rPr>
          <w:rFonts w:hAnsi="宋体" w:hint="eastAsia"/>
          <w:b/>
          <w:bCs/>
          <w:sz w:val="44"/>
          <w:szCs w:val="44"/>
        </w:rPr>
        <w:t>指南</w:t>
      </w:r>
    </w:p>
    <w:p w:rsidR="0096599E" w:rsidRPr="00D22F5A" w:rsidRDefault="0096599E" w:rsidP="00AB6EB3">
      <w:pPr>
        <w:kinsoku w:val="0"/>
        <w:overflowPunct w:val="0"/>
        <w:spacing w:afterLines="50"/>
        <w:jc w:val="center"/>
        <w:rPr>
          <w:b/>
          <w:bCs/>
          <w:sz w:val="44"/>
          <w:szCs w:val="44"/>
        </w:rPr>
      </w:pPr>
      <w:r w:rsidRPr="00D22F5A">
        <w:rPr>
          <w:b/>
          <w:bCs/>
          <w:sz w:val="44"/>
          <w:szCs w:val="44"/>
        </w:rPr>
        <w:t>II</w:t>
      </w:r>
      <w:r w:rsidRPr="00D22F5A">
        <w:rPr>
          <w:rFonts w:hint="eastAsia"/>
          <w:b/>
          <w:bCs/>
          <w:sz w:val="44"/>
          <w:szCs w:val="44"/>
        </w:rPr>
        <w:t>类特殊控制</w:t>
      </w:r>
      <w:r w:rsidR="00BF54DE">
        <w:rPr>
          <w:rFonts w:hint="eastAsia"/>
          <w:b/>
          <w:bCs/>
          <w:sz w:val="44"/>
          <w:szCs w:val="44"/>
        </w:rPr>
        <w:t>指南</w:t>
      </w:r>
      <w:r w:rsidRPr="00D22F5A">
        <w:rPr>
          <w:rFonts w:hint="eastAsia"/>
          <w:b/>
          <w:bCs/>
          <w:sz w:val="44"/>
          <w:szCs w:val="44"/>
        </w:rPr>
        <w:t>文件：</w:t>
      </w:r>
      <w:r w:rsidRPr="00D22F5A">
        <w:rPr>
          <w:b/>
          <w:bCs/>
          <w:sz w:val="44"/>
          <w:szCs w:val="44"/>
        </w:rPr>
        <w:t>AFP-L3</w:t>
      </w:r>
      <w:r w:rsidRPr="004B3601">
        <w:rPr>
          <w:b/>
          <w:bCs/>
          <w:sz w:val="44"/>
          <w:szCs w:val="44"/>
        </w:rPr>
        <w:t>%</w:t>
      </w:r>
      <w:r w:rsidRPr="00D22F5A">
        <w:rPr>
          <w:rFonts w:hint="eastAsia"/>
          <w:b/>
          <w:bCs/>
          <w:sz w:val="44"/>
          <w:szCs w:val="44"/>
        </w:rPr>
        <w:t>免疫学检测系统</w:t>
      </w:r>
    </w:p>
    <w:p w:rsidR="0096599E" w:rsidRPr="00D22F5A" w:rsidRDefault="0096599E" w:rsidP="00AB6EB3">
      <w:pPr>
        <w:snapToGrid w:val="0"/>
        <w:spacing w:beforeLines="100" w:line="360" w:lineRule="auto"/>
        <w:jc w:val="center"/>
        <w:rPr>
          <w:b/>
          <w:bCs/>
          <w:sz w:val="21"/>
          <w:szCs w:val="21"/>
        </w:rPr>
      </w:pPr>
      <w:bookmarkStart w:id="1" w:name="_Hlk495408392"/>
      <w:r w:rsidRPr="00D22F5A">
        <w:rPr>
          <w:rFonts w:hAnsi="宋体" w:hint="eastAsia"/>
          <w:b/>
          <w:bCs/>
          <w:sz w:val="21"/>
          <w:szCs w:val="21"/>
        </w:rPr>
        <w:t>文件发布日期：</w:t>
      </w:r>
      <w:r w:rsidRPr="00D22F5A">
        <w:rPr>
          <w:b/>
          <w:bCs/>
          <w:sz w:val="21"/>
          <w:szCs w:val="21"/>
        </w:rPr>
        <w:t>2005</w:t>
      </w:r>
      <w:r w:rsidRPr="00D22F5A">
        <w:rPr>
          <w:rFonts w:hAnsi="宋体" w:hint="eastAsia"/>
          <w:b/>
          <w:bCs/>
          <w:sz w:val="21"/>
          <w:szCs w:val="21"/>
        </w:rPr>
        <w:t>年</w:t>
      </w:r>
      <w:r w:rsidRPr="00D22F5A">
        <w:rPr>
          <w:rFonts w:hAnsi="宋体"/>
          <w:b/>
          <w:bCs/>
          <w:sz w:val="21"/>
          <w:szCs w:val="21"/>
        </w:rPr>
        <w:t>10</w:t>
      </w:r>
      <w:r w:rsidRPr="00D22F5A">
        <w:rPr>
          <w:rFonts w:hAnsi="宋体" w:hint="eastAsia"/>
          <w:b/>
          <w:bCs/>
          <w:sz w:val="21"/>
          <w:szCs w:val="21"/>
        </w:rPr>
        <w:t>月</w:t>
      </w:r>
      <w:r w:rsidRPr="00D22F5A">
        <w:rPr>
          <w:rFonts w:hAnsi="宋体"/>
          <w:b/>
          <w:bCs/>
          <w:sz w:val="21"/>
          <w:szCs w:val="21"/>
        </w:rPr>
        <w:t>4</w:t>
      </w:r>
      <w:r w:rsidRPr="00D22F5A">
        <w:rPr>
          <w:rFonts w:hAnsi="宋体" w:hint="eastAsia"/>
          <w:b/>
          <w:bCs/>
          <w:sz w:val="21"/>
          <w:szCs w:val="21"/>
        </w:rPr>
        <w:t>日</w:t>
      </w:r>
    </w:p>
    <w:p w:rsidR="0096599E" w:rsidRPr="00D22F5A" w:rsidRDefault="0096599E" w:rsidP="00AB6EB3">
      <w:pPr>
        <w:spacing w:afterLines="100"/>
        <w:jc w:val="both"/>
        <w:rPr>
          <w:sz w:val="21"/>
          <w:szCs w:val="21"/>
        </w:rPr>
      </w:pPr>
      <w:bookmarkStart w:id="2" w:name="_Hlk495399558"/>
      <w:bookmarkEnd w:id="1"/>
      <w:r w:rsidRPr="00D22F5A">
        <w:rPr>
          <w:rFonts w:hAnsi="宋体" w:hint="eastAsia"/>
          <w:sz w:val="21"/>
          <w:szCs w:val="21"/>
        </w:rPr>
        <w:t>有关本文件的问题</w:t>
      </w:r>
      <w:r w:rsidRPr="00D22F5A">
        <w:rPr>
          <w:rFonts w:hint="eastAsia"/>
          <w:sz w:val="21"/>
          <w:szCs w:val="21"/>
        </w:rPr>
        <w:t>，</w:t>
      </w:r>
      <w:bookmarkStart w:id="3" w:name="_Hlk495311404"/>
      <w:r w:rsidRPr="00D22F5A">
        <w:rPr>
          <w:rFonts w:hint="eastAsia"/>
          <w:sz w:val="21"/>
          <w:szCs w:val="21"/>
        </w:rPr>
        <w:t>通过</w:t>
      </w:r>
      <w:r w:rsidRPr="00D22F5A">
        <w:rPr>
          <w:sz w:val="21"/>
          <w:szCs w:val="21"/>
        </w:rPr>
        <w:t>240-276-0493</w:t>
      </w:r>
      <w:r w:rsidRPr="00D22F5A">
        <w:rPr>
          <w:rFonts w:hint="eastAsia"/>
          <w:sz w:val="21"/>
          <w:szCs w:val="21"/>
        </w:rPr>
        <w:t>或电子邮箱地址：</w:t>
      </w:r>
      <w:hyperlink r:id="rId7" w:history="1">
        <w:r w:rsidRPr="00D22F5A">
          <w:rPr>
            <w:color w:val="0000FF"/>
            <w:sz w:val="21"/>
            <w:szCs w:val="21"/>
            <w:u w:val="single"/>
          </w:rPr>
          <w:t>maria.chan@fda.hhs.gov</w:t>
        </w:r>
      </w:hyperlink>
      <w:r w:rsidRPr="00D22F5A">
        <w:rPr>
          <w:rFonts w:hint="eastAsia"/>
          <w:sz w:val="21"/>
          <w:szCs w:val="21"/>
        </w:rPr>
        <w:t>与</w:t>
      </w:r>
      <w:r w:rsidRPr="00D22F5A">
        <w:rPr>
          <w:sz w:val="21"/>
          <w:szCs w:val="21"/>
        </w:rPr>
        <w:t>Maria Chan</w:t>
      </w:r>
      <w:r w:rsidRPr="00D22F5A">
        <w:rPr>
          <w:rFonts w:hint="eastAsia"/>
          <w:sz w:val="21"/>
          <w:szCs w:val="21"/>
        </w:rPr>
        <w:t>取得联系。</w:t>
      </w:r>
      <w:bookmarkEnd w:id="3"/>
    </w:p>
    <w:bookmarkEnd w:id="2"/>
    <w:p w:rsidR="0096599E" w:rsidRPr="00D22F5A" w:rsidRDefault="00D433E3" w:rsidP="00AB6EB3">
      <w:pPr>
        <w:spacing w:afterLines="50"/>
        <w:jc w:val="both"/>
        <w:rPr>
          <w:b/>
          <w:sz w:val="21"/>
          <w:szCs w:val="21"/>
        </w:rPr>
      </w:pPr>
      <w:r>
        <w:rPr>
          <w:noProof/>
          <w:color w:val="FF0000"/>
        </w:rPr>
        <w:drawing>
          <wp:inline distT="0" distB="0" distL="0" distR="0">
            <wp:extent cx="854075" cy="97472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4075" cy="974725"/>
                    </a:xfrm>
                    <a:prstGeom prst="rect">
                      <a:avLst/>
                    </a:prstGeom>
                    <a:noFill/>
                    <a:ln>
                      <a:noFill/>
                    </a:ln>
                  </pic:spPr>
                </pic:pic>
              </a:graphicData>
            </a:graphic>
          </wp:inline>
        </w:drawing>
      </w:r>
    </w:p>
    <w:p w:rsidR="0096599E" w:rsidRPr="00D22F5A" w:rsidRDefault="0096599E" w:rsidP="00B853BE">
      <w:pPr>
        <w:snapToGrid w:val="0"/>
        <w:spacing w:line="360" w:lineRule="auto"/>
        <w:jc w:val="right"/>
        <w:rPr>
          <w:b/>
          <w:bCs/>
          <w:sz w:val="21"/>
          <w:szCs w:val="21"/>
        </w:rPr>
      </w:pPr>
      <w:bookmarkStart w:id="4" w:name="_Hlk495408448"/>
      <w:r w:rsidRPr="00D22F5A">
        <w:rPr>
          <w:rFonts w:hAnsi="宋体" w:hint="eastAsia"/>
          <w:b/>
          <w:bCs/>
          <w:sz w:val="21"/>
          <w:szCs w:val="21"/>
        </w:rPr>
        <w:t>美国卫生和人类服务部</w:t>
      </w:r>
    </w:p>
    <w:p w:rsidR="0096599E" w:rsidRPr="00D22F5A" w:rsidRDefault="006765EA" w:rsidP="00B853BE">
      <w:pPr>
        <w:snapToGrid w:val="0"/>
        <w:spacing w:line="360" w:lineRule="auto"/>
        <w:jc w:val="right"/>
        <w:rPr>
          <w:b/>
          <w:bCs/>
          <w:sz w:val="21"/>
          <w:szCs w:val="21"/>
        </w:rPr>
      </w:pPr>
      <w:r>
        <w:rPr>
          <w:rFonts w:hAnsi="宋体" w:hint="eastAsia"/>
          <w:b/>
          <w:bCs/>
          <w:sz w:val="21"/>
          <w:szCs w:val="21"/>
        </w:rPr>
        <w:t>美国食品药品管理局</w:t>
      </w:r>
    </w:p>
    <w:p w:rsidR="0096599E" w:rsidRPr="00D22F5A" w:rsidRDefault="0096599E" w:rsidP="00B853BE">
      <w:pPr>
        <w:jc w:val="right"/>
        <w:rPr>
          <w:rFonts w:hAnsi="宋体"/>
          <w:b/>
          <w:bCs/>
          <w:sz w:val="21"/>
          <w:szCs w:val="21"/>
        </w:rPr>
      </w:pPr>
      <w:r w:rsidRPr="00D22F5A">
        <w:rPr>
          <w:rFonts w:hAnsi="宋体" w:hint="eastAsia"/>
          <w:b/>
          <w:bCs/>
          <w:sz w:val="21"/>
          <w:szCs w:val="21"/>
        </w:rPr>
        <w:t>器械与放射卫生中心</w:t>
      </w:r>
      <w:bookmarkEnd w:id="4"/>
    </w:p>
    <w:p w:rsidR="0096599E" w:rsidRPr="00D22F5A" w:rsidRDefault="0096599E" w:rsidP="00AB6EB3">
      <w:pPr>
        <w:pStyle w:val="a3"/>
        <w:kinsoku w:val="0"/>
        <w:overflowPunct w:val="0"/>
        <w:spacing w:beforeLines="100" w:afterLines="50"/>
        <w:ind w:left="0"/>
        <w:jc w:val="right"/>
        <w:rPr>
          <w:b/>
          <w:bCs/>
          <w:sz w:val="21"/>
          <w:szCs w:val="21"/>
        </w:rPr>
      </w:pPr>
      <w:r w:rsidRPr="00D22F5A">
        <w:rPr>
          <w:rFonts w:hint="eastAsia"/>
          <w:b/>
          <w:bCs/>
          <w:sz w:val="21"/>
          <w:szCs w:val="21"/>
        </w:rPr>
        <w:t>免疫学和血液学器械部</w:t>
      </w:r>
    </w:p>
    <w:p w:rsidR="0096599E" w:rsidRPr="00D22F5A" w:rsidRDefault="0096599E" w:rsidP="00AB6EB3">
      <w:pPr>
        <w:pStyle w:val="a3"/>
        <w:kinsoku w:val="0"/>
        <w:overflowPunct w:val="0"/>
        <w:spacing w:afterLines="50"/>
        <w:jc w:val="right"/>
        <w:rPr>
          <w:b/>
          <w:bCs/>
          <w:sz w:val="21"/>
          <w:szCs w:val="21"/>
        </w:rPr>
      </w:pPr>
      <w:r w:rsidRPr="00D22F5A">
        <w:rPr>
          <w:rFonts w:hint="eastAsia"/>
          <w:b/>
          <w:bCs/>
          <w:sz w:val="21"/>
          <w:szCs w:val="21"/>
        </w:rPr>
        <w:t>体外诊断器械评价与安全办公室</w:t>
      </w:r>
    </w:p>
    <w:p w:rsidR="0096599E" w:rsidRPr="00D22F5A" w:rsidRDefault="0096599E" w:rsidP="00D22F5A">
      <w:pPr>
        <w:snapToGrid w:val="0"/>
        <w:spacing w:line="360" w:lineRule="auto"/>
        <w:jc w:val="center"/>
        <w:rPr>
          <w:b/>
          <w:bCs/>
          <w:sz w:val="32"/>
          <w:szCs w:val="32"/>
        </w:rPr>
      </w:pPr>
      <w:r w:rsidRPr="00D22F5A">
        <w:rPr>
          <w:color w:val="000000"/>
          <w:sz w:val="32"/>
          <w:szCs w:val="32"/>
        </w:rPr>
        <w:br w:type="page"/>
      </w:r>
      <w:bookmarkStart w:id="5" w:name="_Hlk495406895"/>
      <w:r w:rsidRPr="00D22F5A">
        <w:rPr>
          <w:rFonts w:hAnsi="宋体" w:hint="eastAsia"/>
          <w:b/>
          <w:bCs/>
          <w:sz w:val="32"/>
          <w:szCs w:val="32"/>
        </w:rPr>
        <w:lastRenderedPageBreak/>
        <w:t>前言</w:t>
      </w:r>
    </w:p>
    <w:p w:rsidR="0096599E" w:rsidRPr="00D22F5A" w:rsidRDefault="0096599E" w:rsidP="00AB6EB3">
      <w:pPr>
        <w:pStyle w:val="CM23"/>
        <w:snapToGrid w:val="0"/>
        <w:spacing w:beforeLines="50" w:afterLines="50" w:line="360" w:lineRule="auto"/>
        <w:jc w:val="both"/>
        <w:rPr>
          <w:sz w:val="28"/>
          <w:szCs w:val="28"/>
        </w:rPr>
      </w:pPr>
      <w:r w:rsidRPr="00D22F5A">
        <w:rPr>
          <w:rFonts w:hAnsi="宋体" w:hint="eastAsia"/>
          <w:b/>
          <w:bCs/>
          <w:sz w:val="28"/>
          <w:szCs w:val="28"/>
        </w:rPr>
        <w:t>公众意见：</w:t>
      </w:r>
    </w:p>
    <w:p w:rsidR="0096599E" w:rsidRPr="00D22F5A" w:rsidRDefault="0096599E" w:rsidP="00AB6EB3">
      <w:pPr>
        <w:pStyle w:val="a3"/>
        <w:kinsoku w:val="0"/>
        <w:overflowPunct w:val="0"/>
        <w:snapToGrid w:val="0"/>
        <w:spacing w:afterLines="50" w:line="360" w:lineRule="auto"/>
        <w:ind w:leftChars="177" w:left="425"/>
        <w:jc w:val="both"/>
        <w:rPr>
          <w:sz w:val="21"/>
          <w:szCs w:val="21"/>
        </w:rPr>
      </w:pPr>
      <w:bookmarkStart w:id="6" w:name="_Hlk495399731"/>
      <w:bookmarkEnd w:id="5"/>
      <w:r w:rsidRPr="00D22F5A">
        <w:rPr>
          <w:rFonts w:hAnsi="宋体" w:hint="eastAsia"/>
          <w:sz w:val="21"/>
          <w:szCs w:val="21"/>
        </w:rPr>
        <w:t>可以在任何时候将书面意见和建议提交给</w:t>
      </w:r>
      <w:r w:rsidR="006765EA">
        <w:rPr>
          <w:rFonts w:hAnsi="宋体" w:hint="eastAsia"/>
          <w:sz w:val="21"/>
          <w:szCs w:val="21"/>
        </w:rPr>
        <w:t>美国食品药品管理局</w:t>
      </w:r>
      <w:r w:rsidRPr="00D22F5A">
        <w:rPr>
          <w:rFonts w:hAnsi="宋体" w:hint="eastAsia"/>
          <w:sz w:val="21"/>
          <w:szCs w:val="21"/>
        </w:rPr>
        <w:t>文档管理组，供监管机构考虑。地址为</w:t>
      </w:r>
      <w:r w:rsidRPr="00D22F5A">
        <w:rPr>
          <w:sz w:val="21"/>
          <w:szCs w:val="21"/>
        </w:rPr>
        <w:t>5630 Fishers Lane</w:t>
      </w:r>
      <w:r w:rsidRPr="00D22F5A">
        <w:rPr>
          <w:rFonts w:hAnsi="宋体" w:hint="eastAsia"/>
          <w:sz w:val="21"/>
          <w:szCs w:val="21"/>
        </w:rPr>
        <w:t>，</w:t>
      </w:r>
      <w:r w:rsidRPr="00D22F5A">
        <w:rPr>
          <w:sz w:val="21"/>
          <w:szCs w:val="21"/>
        </w:rPr>
        <w:t>Room 1061,</w:t>
      </w:r>
      <w:r w:rsidRPr="00D22F5A">
        <w:rPr>
          <w:rFonts w:hAnsi="宋体" w:hint="eastAsia"/>
          <w:sz w:val="21"/>
          <w:szCs w:val="21"/>
        </w:rPr>
        <w:t>（</w:t>
      </w:r>
      <w:r w:rsidRPr="00D22F5A">
        <w:rPr>
          <w:sz w:val="21"/>
          <w:szCs w:val="21"/>
        </w:rPr>
        <w:t>HFA-305</w:t>
      </w:r>
      <w:r w:rsidRPr="00D22F5A">
        <w:rPr>
          <w:rFonts w:hAnsi="宋体" w:hint="eastAsia"/>
          <w:sz w:val="21"/>
          <w:szCs w:val="21"/>
        </w:rPr>
        <w:t>）</w:t>
      </w:r>
      <w:r w:rsidRPr="00D22F5A">
        <w:rPr>
          <w:sz w:val="21"/>
          <w:szCs w:val="21"/>
        </w:rPr>
        <w:t>, Rockville</w:t>
      </w:r>
      <w:r w:rsidRPr="00D22F5A">
        <w:rPr>
          <w:rFonts w:hAnsi="宋体" w:hint="eastAsia"/>
          <w:sz w:val="21"/>
          <w:szCs w:val="21"/>
        </w:rPr>
        <w:t>，</w:t>
      </w:r>
      <w:r w:rsidRPr="00D22F5A">
        <w:rPr>
          <w:sz w:val="21"/>
          <w:szCs w:val="21"/>
        </w:rPr>
        <w:t>MD</w:t>
      </w:r>
      <w:r w:rsidRPr="00D22F5A">
        <w:rPr>
          <w:rFonts w:hAnsi="宋体" w:hint="eastAsia"/>
          <w:sz w:val="21"/>
          <w:szCs w:val="21"/>
        </w:rPr>
        <w:t>，</w:t>
      </w:r>
      <w:r w:rsidRPr="00D22F5A">
        <w:rPr>
          <w:sz w:val="21"/>
          <w:szCs w:val="21"/>
        </w:rPr>
        <w:t>20852</w:t>
      </w:r>
      <w:r w:rsidRPr="00D22F5A">
        <w:rPr>
          <w:rFonts w:hAnsi="宋体" w:hint="eastAsia"/>
          <w:sz w:val="21"/>
          <w:szCs w:val="21"/>
        </w:rPr>
        <w:t>。或者，将电子意见提交给</w:t>
      </w:r>
      <w:hyperlink r:id="rId9" w:history="1">
        <w:r w:rsidRPr="00D22F5A">
          <w:rPr>
            <w:color w:val="0000FF"/>
            <w:sz w:val="21"/>
            <w:szCs w:val="21"/>
            <w:u w:val="single"/>
          </w:rPr>
          <w:t>http://www.fda.gov/dockets/ecomments</w:t>
        </w:r>
      </w:hyperlink>
      <w:r w:rsidRPr="00D22F5A">
        <w:rPr>
          <w:rFonts w:hAnsi="宋体" w:hint="eastAsia"/>
          <w:sz w:val="21"/>
          <w:szCs w:val="21"/>
        </w:rPr>
        <w:t>。</w:t>
      </w:r>
      <w:bookmarkEnd w:id="6"/>
      <w:r w:rsidRPr="00D22F5A">
        <w:rPr>
          <w:rFonts w:hint="eastAsia"/>
          <w:color w:val="000000"/>
          <w:sz w:val="21"/>
          <w:szCs w:val="21"/>
        </w:rPr>
        <w:t>请使用档案编号</w:t>
      </w:r>
      <w:r w:rsidRPr="00D22F5A">
        <w:rPr>
          <w:color w:val="000000"/>
          <w:sz w:val="21"/>
          <w:szCs w:val="21"/>
        </w:rPr>
        <w:t>2005D-0342</w:t>
      </w:r>
      <w:r w:rsidRPr="00D22F5A">
        <w:rPr>
          <w:rFonts w:hint="eastAsia"/>
          <w:color w:val="000000"/>
          <w:sz w:val="21"/>
          <w:szCs w:val="21"/>
        </w:rPr>
        <w:t>确认您的评论。</w:t>
      </w:r>
      <w:bookmarkStart w:id="7" w:name="_Hlk495399754"/>
      <w:r w:rsidRPr="00D22F5A">
        <w:rPr>
          <w:rFonts w:hAnsi="宋体" w:hint="eastAsia"/>
          <w:sz w:val="21"/>
          <w:szCs w:val="21"/>
        </w:rPr>
        <w:t>在文件被下次修订或者更新之前，意见可能不被监管机构所采用。</w:t>
      </w:r>
      <w:bookmarkEnd w:id="7"/>
    </w:p>
    <w:p w:rsidR="0096599E" w:rsidRPr="00D22F5A" w:rsidRDefault="005C1BE8" w:rsidP="00AB6EB3">
      <w:pPr>
        <w:snapToGrid w:val="0"/>
        <w:spacing w:afterLines="50" w:line="360" w:lineRule="auto"/>
        <w:jc w:val="both"/>
        <w:outlineLvl w:val="1"/>
        <w:rPr>
          <w:rFonts w:hAnsi="宋体"/>
          <w:b/>
          <w:bCs/>
          <w:sz w:val="28"/>
          <w:szCs w:val="28"/>
        </w:rPr>
      </w:pPr>
      <w:bookmarkStart w:id="8" w:name="_Toc496719708"/>
      <w:bookmarkStart w:id="9" w:name="_Hlk495408537"/>
      <w:r>
        <w:rPr>
          <w:rFonts w:hAnsi="宋体" w:hint="eastAsia"/>
          <w:b/>
          <w:bCs/>
          <w:sz w:val="28"/>
          <w:szCs w:val="28"/>
        </w:rPr>
        <w:t>额外</w:t>
      </w:r>
      <w:r w:rsidR="0096599E" w:rsidRPr="00D22F5A">
        <w:rPr>
          <w:rFonts w:hAnsi="宋体" w:hint="eastAsia"/>
          <w:b/>
          <w:bCs/>
          <w:sz w:val="28"/>
          <w:szCs w:val="28"/>
        </w:rPr>
        <w:t>副本</w:t>
      </w:r>
      <w:bookmarkEnd w:id="8"/>
    </w:p>
    <w:bookmarkEnd w:id="9"/>
    <w:p w:rsidR="0096599E" w:rsidRPr="00D22F5A" w:rsidRDefault="0096599E" w:rsidP="00AB6EB3">
      <w:pPr>
        <w:pStyle w:val="a3"/>
        <w:kinsoku w:val="0"/>
        <w:overflowPunct w:val="0"/>
        <w:snapToGrid w:val="0"/>
        <w:spacing w:afterLines="50" w:line="360" w:lineRule="auto"/>
        <w:ind w:leftChars="177" w:left="425"/>
        <w:jc w:val="both"/>
        <w:rPr>
          <w:color w:val="000000"/>
          <w:sz w:val="21"/>
          <w:szCs w:val="21"/>
        </w:rPr>
      </w:pPr>
      <w:r w:rsidRPr="00D22F5A">
        <w:rPr>
          <w:rFonts w:hint="eastAsia"/>
          <w:sz w:val="21"/>
          <w:szCs w:val="21"/>
        </w:rPr>
        <w:t>可通过互联网网址</w:t>
      </w:r>
      <w:hyperlink r:id="rId10" w:history="1">
        <w:r w:rsidRPr="00D22F5A">
          <w:rPr>
            <w:rStyle w:val="ab"/>
            <w:sz w:val="21"/>
            <w:szCs w:val="21"/>
          </w:rPr>
          <w:t>http://www.fda.gov/cdrh/oivd</w:t>
        </w:r>
        <w:bookmarkStart w:id="10" w:name="_GoBack"/>
        <w:bookmarkEnd w:id="10"/>
        <w:r w:rsidRPr="00D22F5A">
          <w:rPr>
            <w:rStyle w:val="ab"/>
            <w:sz w:val="21"/>
            <w:szCs w:val="21"/>
          </w:rPr>
          <w:t>/guidance/1570.pdf</w:t>
        </w:r>
      </w:hyperlink>
      <w:r w:rsidRPr="00D22F5A">
        <w:rPr>
          <w:rFonts w:hint="eastAsia"/>
          <w:color w:val="000000"/>
          <w:sz w:val="21"/>
          <w:szCs w:val="21"/>
        </w:rPr>
        <w:t>获得额外</w:t>
      </w:r>
      <w:r w:rsidR="00F70814">
        <w:rPr>
          <w:rFonts w:hint="eastAsia"/>
          <w:color w:val="000000"/>
          <w:sz w:val="21"/>
          <w:szCs w:val="21"/>
        </w:rPr>
        <w:t>副本</w:t>
      </w:r>
      <w:r w:rsidRPr="00D22F5A">
        <w:rPr>
          <w:rFonts w:hint="eastAsia"/>
          <w:color w:val="000000"/>
          <w:sz w:val="21"/>
          <w:szCs w:val="21"/>
        </w:rPr>
        <w:t>或通过传真机接收本文件，请拨打按键电话</w:t>
      </w:r>
      <w:r w:rsidRPr="00D22F5A">
        <w:rPr>
          <w:color w:val="000000"/>
          <w:sz w:val="21"/>
          <w:szCs w:val="21"/>
        </w:rPr>
        <w:t>800-899-0381</w:t>
      </w:r>
      <w:r w:rsidRPr="00D22F5A">
        <w:rPr>
          <w:rFonts w:hint="eastAsia"/>
          <w:color w:val="000000"/>
          <w:sz w:val="21"/>
          <w:szCs w:val="21"/>
        </w:rPr>
        <w:t>或</w:t>
      </w:r>
      <w:r w:rsidRPr="00D22F5A">
        <w:rPr>
          <w:color w:val="000000"/>
          <w:sz w:val="21"/>
          <w:szCs w:val="21"/>
        </w:rPr>
        <w:t>301-827-0111</w:t>
      </w:r>
      <w:r w:rsidRPr="00D22F5A">
        <w:rPr>
          <w:rFonts w:hint="eastAsia"/>
          <w:color w:val="000000"/>
          <w:sz w:val="21"/>
          <w:szCs w:val="21"/>
        </w:rPr>
        <w:t>呼叫</w:t>
      </w:r>
      <w:r w:rsidRPr="00D22F5A">
        <w:rPr>
          <w:color w:val="000000"/>
          <w:sz w:val="21"/>
          <w:szCs w:val="21"/>
        </w:rPr>
        <w:t>CDRH Facts-On-Demand</w:t>
      </w:r>
      <w:r w:rsidRPr="00A44966">
        <w:rPr>
          <w:rFonts w:hint="eastAsia"/>
          <w:color w:val="000000"/>
          <w:sz w:val="21"/>
          <w:szCs w:val="21"/>
        </w:rPr>
        <w:t>系统。</w:t>
      </w:r>
      <w:r w:rsidR="00B202B2" w:rsidRPr="00A44966">
        <w:rPr>
          <w:rFonts w:hint="eastAsia"/>
          <w:sz w:val="21"/>
          <w:szCs w:val="21"/>
        </w:rPr>
        <w:t>按</w:t>
      </w:r>
      <w:r w:rsidR="00B202B2" w:rsidRPr="00A44966">
        <w:rPr>
          <w:sz w:val="21"/>
          <w:szCs w:val="21"/>
        </w:rPr>
        <w:t>1</w:t>
      </w:r>
      <w:r w:rsidR="00B202B2" w:rsidRPr="00A44966">
        <w:rPr>
          <w:rFonts w:hint="eastAsia"/>
          <w:sz w:val="21"/>
          <w:szCs w:val="21"/>
        </w:rPr>
        <w:t>进入系统。在第二次语音提示时，按</w:t>
      </w:r>
      <w:r w:rsidR="00B202B2" w:rsidRPr="00A44966">
        <w:rPr>
          <w:sz w:val="21"/>
          <w:szCs w:val="21"/>
        </w:rPr>
        <w:t>1</w:t>
      </w:r>
      <w:r w:rsidR="00B202B2" w:rsidRPr="00A44966">
        <w:rPr>
          <w:rFonts w:hint="eastAsia"/>
          <w:sz w:val="21"/>
          <w:szCs w:val="21"/>
        </w:rPr>
        <w:t>订购文件。输入文件编号</w:t>
      </w:r>
      <w:r w:rsidR="00B202B2" w:rsidRPr="00A44966">
        <w:rPr>
          <w:sz w:val="21"/>
          <w:szCs w:val="21"/>
        </w:rPr>
        <w:t>1</w:t>
      </w:r>
      <w:r w:rsidR="00A44966">
        <w:rPr>
          <w:sz w:val="21"/>
          <w:szCs w:val="21"/>
        </w:rPr>
        <w:t>570</w:t>
      </w:r>
      <w:r w:rsidR="00B202B2" w:rsidRPr="00A44966">
        <w:rPr>
          <w:rFonts w:hint="eastAsia"/>
          <w:sz w:val="21"/>
          <w:szCs w:val="21"/>
        </w:rPr>
        <w:t>并按井号键（</w:t>
      </w:r>
      <w:r w:rsidR="00B202B2" w:rsidRPr="00A44966">
        <w:rPr>
          <w:sz w:val="21"/>
          <w:szCs w:val="21"/>
        </w:rPr>
        <w:t>#</w:t>
      </w:r>
      <w:r w:rsidR="00B202B2" w:rsidRPr="00A44966">
        <w:rPr>
          <w:rFonts w:hint="eastAsia"/>
          <w:sz w:val="21"/>
          <w:szCs w:val="21"/>
        </w:rPr>
        <w:t>）确认。按照后面的语音提示完成您的请求。</w:t>
      </w:r>
      <w:r w:rsidRPr="00A44966">
        <w:rPr>
          <w:rFonts w:hint="eastAsia"/>
          <w:color w:val="000000"/>
          <w:sz w:val="21"/>
          <w:szCs w:val="21"/>
        </w:rPr>
        <w:t>有关本</w:t>
      </w:r>
      <w:r w:rsidR="00BF54DE">
        <w:rPr>
          <w:rFonts w:hint="eastAsia"/>
          <w:color w:val="000000"/>
          <w:sz w:val="21"/>
          <w:szCs w:val="21"/>
        </w:rPr>
        <w:t>指南</w:t>
      </w:r>
      <w:r w:rsidRPr="00A44966">
        <w:rPr>
          <w:rFonts w:hint="eastAsia"/>
          <w:color w:val="000000"/>
          <w:sz w:val="21"/>
          <w:szCs w:val="21"/>
        </w:rPr>
        <w:t>文件的使用或解释相关问题，请通过</w:t>
      </w:r>
      <w:r w:rsidRPr="00A44966">
        <w:rPr>
          <w:color w:val="000000"/>
          <w:sz w:val="21"/>
          <w:szCs w:val="21"/>
        </w:rPr>
        <w:t>240-276-0493</w:t>
      </w:r>
      <w:r w:rsidRPr="00A44966">
        <w:rPr>
          <w:rFonts w:hint="eastAsia"/>
          <w:color w:val="000000"/>
          <w:sz w:val="21"/>
          <w:szCs w:val="21"/>
        </w:rPr>
        <w:t>联系</w:t>
      </w:r>
      <w:r w:rsidRPr="00A44966">
        <w:rPr>
          <w:color w:val="000000"/>
          <w:sz w:val="21"/>
          <w:szCs w:val="21"/>
        </w:rPr>
        <w:t>Maria Chan</w:t>
      </w:r>
      <w:r w:rsidRPr="00A44966">
        <w:rPr>
          <w:rFonts w:hint="eastAsia"/>
          <w:color w:val="000000"/>
          <w:sz w:val="21"/>
          <w:szCs w:val="21"/>
        </w:rPr>
        <w:t>，或发送电子</w:t>
      </w:r>
      <w:r w:rsidRPr="00D22F5A">
        <w:rPr>
          <w:rFonts w:hint="eastAsia"/>
          <w:color w:val="000000"/>
          <w:sz w:val="21"/>
          <w:szCs w:val="21"/>
        </w:rPr>
        <w:t>邮件至</w:t>
      </w:r>
      <w:hyperlink r:id="rId11" w:history="1">
        <w:r w:rsidRPr="00D22F5A">
          <w:rPr>
            <w:color w:val="0000FF"/>
            <w:sz w:val="21"/>
            <w:szCs w:val="21"/>
            <w:u w:val="single"/>
          </w:rPr>
          <w:t>maria.chan@fda.hhs.gov</w:t>
        </w:r>
      </w:hyperlink>
      <w:r w:rsidRPr="00D22F5A">
        <w:rPr>
          <w:rFonts w:hint="eastAsia"/>
          <w:color w:val="000000"/>
          <w:sz w:val="21"/>
          <w:szCs w:val="21"/>
        </w:rPr>
        <w:t>。</w:t>
      </w:r>
    </w:p>
    <w:p w:rsidR="0096599E" w:rsidRPr="00457FC4" w:rsidRDefault="0096599E" w:rsidP="00AB6EB3">
      <w:pPr>
        <w:pStyle w:val="a3"/>
        <w:kinsoku w:val="0"/>
        <w:overflowPunct w:val="0"/>
        <w:snapToGrid w:val="0"/>
        <w:spacing w:afterLines="50" w:line="360" w:lineRule="auto"/>
        <w:ind w:left="0"/>
        <w:jc w:val="center"/>
        <w:rPr>
          <w:rFonts w:ascii="等线" w:eastAsia="等线" w:hAnsi="等线"/>
          <w:b/>
          <w:noProof/>
          <w:kern w:val="2"/>
          <w:sz w:val="21"/>
          <w:szCs w:val="22"/>
        </w:rPr>
      </w:pPr>
      <w:r w:rsidRPr="00D22F5A">
        <w:rPr>
          <w:color w:val="000000"/>
          <w:sz w:val="21"/>
          <w:szCs w:val="21"/>
        </w:rPr>
        <w:br w:type="page"/>
      </w:r>
      <w:r w:rsidRPr="00171A1D">
        <w:rPr>
          <w:rFonts w:hint="eastAsia"/>
          <w:b/>
          <w:color w:val="000000"/>
          <w:sz w:val="28"/>
          <w:szCs w:val="28"/>
        </w:rPr>
        <w:lastRenderedPageBreak/>
        <w:t>目录</w:t>
      </w:r>
      <w:r w:rsidR="002514C1" w:rsidRPr="00457FC4">
        <w:rPr>
          <w:b/>
          <w:sz w:val="21"/>
          <w:szCs w:val="21"/>
        </w:rPr>
        <w:fldChar w:fldCharType="begin"/>
      </w:r>
      <w:r w:rsidRPr="00457FC4">
        <w:rPr>
          <w:b/>
          <w:sz w:val="21"/>
          <w:szCs w:val="21"/>
        </w:rPr>
        <w:instrText xml:space="preserve"> TOC \o "1-3" \h \z \u </w:instrText>
      </w:r>
      <w:r w:rsidR="002514C1" w:rsidRPr="00457FC4">
        <w:rPr>
          <w:b/>
          <w:sz w:val="21"/>
          <w:szCs w:val="21"/>
        </w:rPr>
        <w:fldChar w:fldCharType="separate"/>
      </w:r>
    </w:p>
    <w:p w:rsidR="0096599E" w:rsidRPr="00457FC4" w:rsidRDefault="002514C1" w:rsidP="00457FC4">
      <w:pPr>
        <w:pStyle w:val="10"/>
        <w:tabs>
          <w:tab w:val="left" w:pos="420"/>
          <w:tab w:val="right" w:leader="dot" w:pos="8303"/>
        </w:tabs>
        <w:snapToGrid w:val="0"/>
        <w:spacing w:line="360" w:lineRule="auto"/>
        <w:rPr>
          <w:rFonts w:ascii="等线" w:eastAsia="等线" w:hAnsi="等线"/>
          <w:b/>
          <w:noProof/>
          <w:kern w:val="2"/>
          <w:sz w:val="21"/>
          <w:szCs w:val="22"/>
        </w:rPr>
      </w:pPr>
      <w:hyperlink w:anchor="_Toc496719709" w:history="1">
        <w:r w:rsidR="0096599E" w:rsidRPr="00457FC4">
          <w:rPr>
            <w:rStyle w:val="ab"/>
            <w:b/>
            <w:bCs/>
            <w:noProof/>
          </w:rPr>
          <w:t>1.</w:t>
        </w:r>
        <w:r w:rsidR="0096599E" w:rsidRPr="00457FC4">
          <w:rPr>
            <w:rFonts w:ascii="等线" w:eastAsia="等线" w:hAnsi="等线"/>
            <w:b/>
            <w:noProof/>
            <w:kern w:val="2"/>
            <w:sz w:val="21"/>
            <w:szCs w:val="22"/>
          </w:rPr>
          <w:tab/>
        </w:r>
        <w:r w:rsidR="0096599E" w:rsidRPr="00457FC4">
          <w:rPr>
            <w:rStyle w:val="ab"/>
            <w:rFonts w:hint="eastAsia"/>
            <w:b/>
            <w:bCs/>
            <w:noProof/>
          </w:rPr>
          <w:t>引言</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_Toc496719709 \h </w:instrText>
        </w:r>
        <w:r w:rsidRPr="00457FC4">
          <w:rPr>
            <w:b/>
            <w:noProof/>
            <w:webHidden/>
          </w:rPr>
        </w:r>
        <w:r w:rsidRPr="00457FC4">
          <w:rPr>
            <w:b/>
            <w:noProof/>
            <w:webHidden/>
          </w:rPr>
          <w:fldChar w:fldCharType="separate"/>
        </w:r>
        <w:r w:rsidR="0096599E">
          <w:rPr>
            <w:b/>
            <w:noProof/>
            <w:webHidden/>
          </w:rPr>
          <w:t>4</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11" w:history="1">
        <w:r w:rsidR="0096599E" w:rsidRPr="00457FC4">
          <w:rPr>
            <w:rStyle w:val="ab"/>
            <w:b/>
            <w:noProof/>
          </w:rPr>
          <w:t>2.</w:t>
        </w:r>
        <w:r w:rsidR="0096599E" w:rsidRPr="00457FC4">
          <w:rPr>
            <w:rFonts w:ascii="等线" w:eastAsia="等线" w:hAnsi="等线"/>
            <w:b/>
            <w:noProof/>
            <w:kern w:val="2"/>
            <w:sz w:val="21"/>
            <w:szCs w:val="22"/>
          </w:rPr>
          <w:tab/>
        </w:r>
        <w:r w:rsidR="0096599E" w:rsidRPr="00457FC4">
          <w:rPr>
            <w:rStyle w:val="ab"/>
            <w:rFonts w:hint="eastAsia"/>
            <w:b/>
            <w:noProof/>
          </w:rPr>
          <w:t>背景</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_Toc496719711 \h </w:instrText>
        </w:r>
        <w:r w:rsidRPr="00457FC4">
          <w:rPr>
            <w:b/>
            <w:noProof/>
            <w:webHidden/>
          </w:rPr>
        </w:r>
        <w:r w:rsidRPr="00457FC4">
          <w:rPr>
            <w:b/>
            <w:noProof/>
            <w:webHidden/>
          </w:rPr>
          <w:fldChar w:fldCharType="separate"/>
        </w:r>
        <w:r w:rsidR="0096599E">
          <w:rPr>
            <w:b/>
            <w:noProof/>
            <w:webHidden/>
          </w:rPr>
          <w:t>5</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12" w:history="1">
        <w:r w:rsidR="0096599E" w:rsidRPr="00457FC4">
          <w:rPr>
            <w:rStyle w:val="ab"/>
            <w:b/>
            <w:noProof/>
          </w:rPr>
          <w:t>3.</w:t>
        </w:r>
        <w:r w:rsidR="0096599E" w:rsidRPr="00457FC4">
          <w:rPr>
            <w:rFonts w:ascii="等线" w:eastAsia="等线" w:hAnsi="等线"/>
            <w:b/>
            <w:noProof/>
            <w:kern w:val="2"/>
            <w:sz w:val="21"/>
            <w:szCs w:val="22"/>
          </w:rPr>
          <w:tab/>
        </w:r>
        <w:r w:rsidR="00C25C8D">
          <w:rPr>
            <w:rStyle w:val="ab"/>
            <w:rFonts w:hint="eastAsia"/>
            <w:b/>
            <w:noProof/>
          </w:rPr>
          <w:t>简易</w:t>
        </w:r>
        <w:r w:rsidR="00C25C8D">
          <w:rPr>
            <w:rStyle w:val="ab"/>
            <w:rFonts w:hint="eastAsia"/>
            <w:b/>
            <w:noProof/>
          </w:rPr>
          <w:t>510</w:t>
        </w:r>
        <w:r w:rsidR="0096599E" w:rsidRPr="00457FC4">
          <w:rPr>
            <w:rStyle w:val="ab"/>
            <w:b/>
            <w:noProof/>
          </w:rPr>
          <w:t>(k)</w:t>
        </w:r>
        <w:r w:rsidR="006765EA">
          <w:rPr>
            <w:rStyle w:val="ab"/>
            <w:rFonts w:hint="eastAsia"/>
            <w:b/>
            <w:noProof/>
          </w:rPr>
          <w:t>提交</w:t>
        </w:r>
        <w:r w:rsidR="0096599E" w:rsidRPr="00457FC4">
          <w:rPr>
            <w:rStyle w:val="ab"/>
            <w:rFonts w:hint="eastAsia"/>
            <w:b/>
            <w:noProof/>
          </w:rPr>
          <w:t>的内容和格式</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_Toc496719712 \h </w:instrText>
        </w:r>
        <w:r w:rsidRPr="00457FC4">
          <w:rPr>
            <w:b/>
            <w:noProof/>
            <w:webHidden/>
          </w:rPr>
        </w:r>
        <w:r w:rsidRPr="00457FC4">
          <w:rPr>
            <w:b/>
            <w:noProof/>
            <w:webHidden/>
          </w:rPr>
          <w:fldChar w:fldCharType="separate"/>
        </w:r>
        <w:r w:rsidR="0096599E">
          <w:rPr>
            <w:b/>
            <w:noProof/>
            <w:webHidden/>
          </w:rPr>
          <w:t>6</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15" w:history="1">
        <w:r w:rsidR="0096599E" w:rsidRPr="00457FC4">
          <w:rPr>
            <w:rStyle w:val="ab"/>
            <w:b/>
            <w:noProof/>
          </w:rPr>
          <w:t>4.</w:t>
        </w:r>
        <w:r w:rsidR="0096599E" w:rsidRPr="00457FC4">
          <w:rPr>
            <w:rFonts w:ascii="等线" w:eastAsia="等线" w:hAnsi="等线"/>
            <w:b/>
            <w:noProof/>
            <w:kern w:val="2"/>
            <w:sz w:val="21"/>
            <w:szCs w:val="22"/>
          </w:rPr>
          <w:tab/>
        </w:r>
        <w:r w:rsidR="0096599E" w:rsidRPr="00457FC4">
          <w:rPr>
            <w:rStyle w:val="ab"/>
            <w:rFonts w:hint="eastAsia"/>
            <w:b/>
            <w:noProof/>
          </w:rPr>
          <w:t>范围</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_Toc496719715 \h </w:instrText>
        </w:r>
        <w:r w:rsidRPr="00457FC4">
          <w:rPr>
            <w:b/>
            <w:noProof/>
            <w:webHidden/>
          </w:rPr>
        </w:r>
        <w:r w:rsidRPr="00457FC4">
          <w:rPr>
            <w:b/>
            <w:noProof/>
            <w:webHidden/>
          </w:rPr>
          <w:fldChar w:fldCharType="separate"/>
        </w:r>
        <w:r w:rsidR="0096599E">
          <w:rPr>
            <w:b/>
            <w:noProof/>
            <w:webHidden/>
          </w:rPr>
          <w:t>7</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16" w:history="1">
        <w:r w:rsidR="0096599E" w:rsidRPr="00457FC4">
          <w:rPr>
            <w:rStyle w:val="ab"/>
            <w:b/>
            <w:noProof/>
          </w:rPr>
          <w:t>5.</w:t>
        </w:r>
        <w:r w:rsidR="0096599E" w:rsidRPr="00457FC4">
          <w:rPr>
            <w:rFonts w:ascii="等线" w:eastAsia="等线" w:hAnsi="等线"/>
            <w:b/>
            <w:noProof/>
            <w:kern w:val="2"/>
            <w:sz w:val="21"/>
            <w:szCs w:val="22"/>
          </w:rPr>
          <w:tab/>
        </w:r>
        <w:r w:rsidR="0096599E" w:rsidRPr="00457FC4">
          <w:rPr>
            <w:rStyle w:val="ab"/>
            <w:rFonts w:hint="eastAsia"/>
            <w:b/>
            <w:noProof/>
          </w:rPr>
          <w:t>健康风险</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_Toc496719716 \h </w:instrText>
        </w:r>
        <w:r w:rsidRPr="00457FC4">
          <w:rPr>
            <w:b/>
            <w:noProof/>
            <w:webHidden/>
          </w:rPr>
        </w:r>
        <w:r w:rsidRPr="00457FC4">
          <w:rPr>
            <w:b/>
            <w:noProof/>
            <w:webHidden/>
          </w:rPr>
          <w:fldChar w:fldCharType="separate"/>
        </w:r>
        <w:r w:rsidR="0096599E">
          <w:rPr>
            <w:b/>
            <w:noProof/>
            <w:webHidden/>
          </w:rPr>
          <w:t>8</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17" w:history="1">
        <w:r w:rsidR="0096599E" w:rsidRPr="00457FC4">
          <w:rPr>
            <w:rStyle w:val="ab"/>
            <w:b/>
            <w:noProof/>
          </w:rPr>
          <w:t>6.</w:t>
        </w:r>
        <w:r w:rsidR="0096599E" w:rsidRPr="00457FC4">
          <w:rPr>
            <w:rFonts w:ascii="等线" w:eastAsia="等线" w:hAnsi="等线"/>
            <w:b/>
            <w:noProof/>
            <w:kern w:val="2"/>
            <w:sz w:val="21"/>
            <w:szCs w:val="22"/>
          </w:rPr>
          <w:tab/>
        </w:r>
        <w:r w:rsidR="0096599E" w:rsidRPr="00457FC4">
          <w:rPr>
            <w:rStyle w:val="ab"/>
            <w:rFonts w:hint="eastAsia"/>
            <w:b/>
            <w:noProof/>
          </w:rPr>
          <w:t>器械描述</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_Toc496719717 \h </w:instrText>
        </w:r>
        <w:r w:rsidRPr="00457FC4">
          <w:rPr>
            <w:b/>
            <w:noProof/>
            <w:webHidden/>
          </w:rPr>
        </w:r>
        <w:r w:rsidRPr="00457FC4">
          <w:rPr>
            <w:b/>
            <w:noProof/>
            <w:webHidden/>
          </w:rPr>
          <w:fldChar w:fldCharType="separate"/>
        </w:r>
        <w:r w:rsidR="0096599E">
          <w:rPr>
            <w:b/>
            <w:noProof/>
            <w:webHidden/>
          </w:rPr>
          <w:t>8</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23" w:history="1">
        <w:r w:rsidR="0096599E" w:rsidRPr="00457FC4">
          <w:rPr>
            <w:rStyle w:val="ab"/>
            <w:b/>
            <w:noProof/>
          </w:rPr>
          <w:t>7.</w:t>
        </w:r>
        <w:r w:rsidR="0096599E" w:rsidRPr="00457FC4">
          <w:rPr>
            <w:rFonts w:ascii="等线" w:eastAsia="等线" w:hAnsi="等线"/>
            <w:b/>
            <w:noProof/>
            <w:kern w:val="2"/>
            <w:sz w:val="21"/>
            <w:szCs w:val="22"/>
          </w:rPr>
          <w:tab/>
        </w:r>
        <w:r w:rsidR="0096599E" w:rsidRPr="00457FC4">
          <w:rPr>
            <w:rStyle w:val="ab"/>
            <w:rFonts w:hint="eastAsia"/>
            <w:b/>
            <w:noProof/>
          </w:rPr>
          <w:t>性能特性</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_Toc496719723 \h </w:instrText>
        </w:r>
        <w:r w:rsidRPr="00457FC4">
          <w:rPr>
            <w:b/>
            <w:noProof/>
            <w:webHidden/>
          </w:rPr>
        </w:r>
        <w:r w:rsidRPr="00457FC4">
          <w:rPr>
            <w:b/>
            <w:noProof/>
            <w:webHidden/>
          </w:rPr>
          <w:fldChar w:fldCharType="separate"/>
        </w:r>
        <w:r w:rsidR="0096599E">
          <w:rPr>
            <w:b/>
            <w:noProof/>
            <w:webHidden/>
          </w:rPr>
          <w:t>11</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25" w:history="1">
        <w:r w:rsidR="0096599E" w:rsidRPr="00457FC4">
          <w:rPr>
            <w:rStyle w:val="ab"/>
            <w:b/>
            <w:noProof/>
          </w:rPr>
          <w:t>8.</w:t>
        </w:r>
        <w:r w:rsidR="0096599E" w:rsidRPr="00457FC4">
          <w:rPr>
            <w:rFonts w:ascii="等线" w:eastAsia="等线" w:hAnsi="等线"/>
            <w:b/>
            <w:noProof/>
            <w:kern w:val="2"/>
            <w:sz w:val="21"/>
            <w:szCs w:val="22"/>
          </w:rPr>
          <w:tab/>
        </w:r>
        <w:r w:rsidR="0096599E" w:rsidRPr="00457FC4">
          <w:rPr>
            <w:rStyle w:val="ab"/>
            <w:rFonts w:hint="eastAsia"/>
            <w:b/>
            <w:noProof/>
          </w:rPr>
          <w:t>方法比较</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_Toc496719725 \h </w:instrText>
        </w:r>
        <w:r w:rsidRPr="00457FC4">
          <w:rPr>
            <w:b/>
            <w:noProof/>
            <w:webHidden/>
          </w:rPr>
        </w:r>
        <w:r w:rsidRPr="00457FC4">
          <w:rPr>
            <w:b/>
            <w:noProof/>
            <w:webHidden/>
          </w:rPr>
          <w:fldChar w:fldCharType="separate"/>
        </w:r>
        <w:r w:rsidR="0096599E">
          <w:rPr>
            <w:b/>
            <w:noProof/>
            <w:webHidden/>
          </w:rPr>
          <w:t>14</w:t>
        </w:r>
        <w:r w:rsidRPr="00457FC4">
          <w:rPr>
            <w:b/>
            <w:noProof/>
            <w:webHidden/>
          </w:rPr>
          <w:fldChar w:fldCharType="end"/>
        </w:r>
      </w:hyperlink>
    </w:p>
    <w:p w:rsidR="0096599E" w:rsidRPr="00457FC4" w:rsidRDefault="002514C1" w:rsidP="00457FC4">
      <w:pPr>
        <w:pStyle w:val="20"/>
        <w:tabs>
          <w:tab w:val="left" w:pos="840"/>
          <w:tab w:val="right" w:leader="dot" w:pos="8303"/>
        </w:tabs>
        <w:snapToGrid w:val="0"/>
        <w:spacing w:line="360" w:lineRule="auto"/>
        <w:ind w:leftChars="0" w:left="0"/>
        <w:rPr>
          <w:rFonts w:ascii="等线" w:eastAsia="等线" w:hAnsi="等线"/>
          <w:b/>
          <w:noProof/>
          <w:kern w:val="2"/>
          <w:sz w:val="21"/>
          <w:szCs w:val="22"/>
        </w:rPr>
      </w:pPr>
      <w:hyperlink w:anchor="_Toc496719729" w:history="1">
        <w:r w:rsidR="0096599E" w:rsidRPr="00457FC4">
          <w:rPr>
            <w:rStyle w:val="ab"/>
            <w:b/>
            <w:noProof/>
          </w:rPr>
          <w:t>9.</w:t>
        </w:r>
        <w:r w:rsidR="0096599E" w:rsidRPr="00457FC4">
          <w:rPr>
            <w:rFonts w:ascii="等线" w:eastAsia="等线" w:hAnsi="等线"/>
            <w:b/>
            <w:noProof/>
            <w:kern w:val="2"/>
            <w:sz w:val="21"/>
            <w:szCs w:val="22"/>
          </w:rPr>
          <w:tab/>
        </w:r>
        <w:r w:rsidR="0096599E" w:rsidRPr="00457FC4">
          <w:rPr>
            <w:rStyle w:val="ab"/>
            <w:rFonts w:hint="eastAsia"/>
            <w:b/>
            <w:noProof/>
          </w:rPr>
          <w:t>预期值</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_Toc496719729 \h </w:instrText>
        </w:r>
        <w:r w:rsidRPr="00457FC4">
          <w:rPr>
            <w:b/>
            <w:noProof/>
            <w:webHidden/>
          </w:rPr>
        </w:r>
        <w:r w:rsidRPr="00457FC4">
          <w:rPr>
            <w:b/>
            <w:noProof/>
            <w:webHidden/>
          </w:rPr>
          <w:fldChar w:fldCharType="separate"/>
        </w:r>
        <w:r w:rsidR="0096599E">
          <w:rPr>
            <w:b/>
            <w:noProof/>
            <w:webHidden/>
          </w:rPr>
          <w:t>14</w:t>
        </w:r>
        <w:r w:rsidRPr="00457FC4">
          <w:rPr>
            <w:b/>
            <w:noProof/>
            <w:webHidden/>
          </w:rPr>
          <w:fldChar w:fldCharType="end"/>
        </w:r>
      </w:hyperlink>
    </w:p>
    <w:p w:rsidR="0096599E" w:rsidRPr="00457FC4" w:rsidRDefault="002514C1" w:rsidP="00457FC4">
      <w:pPr>
        <w:pStyle w:val="20"/>
        <w:tabs>
          <w:tab w:val="left" w:pos="1050"/>
          <w:tab w:val="right" w:leader="dot" w:pos="8303"/>
        </w:tabs>
        <w:snapToGrid w:val="0"/>
        <w:spacing w:line="360" w:lineRule="auto"/>
        <w:ind w:leftChars="0" w:left="0"/>
        <w:rPr>
          <w:rFonts w:ascii="等线" w:eastAsia="等线" w:hAnsi="等线"/>
          <w:b/>
          <w:noProof/>
          <w:kern w:val="2"/>
          <w:sz w:val="21"/>
          <w:szCs w:val="22"/>
        </w:rPr>
      </w:pPr>
      <w:hyperlink w:anchor="_Toc496719730" w:history="1">
        <w:r w:rsidR="0096599E" w:rsidRPr="00457FC4">
          <w:rPr>
            <w:rStyle w:val="ab"/>
            <w:b/>
            <w:noProof/>
          </w:rPr>
          <w:t>10.</w:t>
        </w:r>
        <w:r w:rsidR="0096599E" w:rsidRPr="00457FC4">
          <w:rPr>
            <w:rFonts w:ascii="等线" w:eastAsia="等线" w:hAnsi="等线"/>
            <w:b/>
            <w:noProof/>
            <w:kern w:val="2"/>
            <w:sz w:val="21"/>
            <w:szCs w:val="22"/>
          </w:rPr>
          <w:tab/>
        </w:r>
        <w:r w:rsidR="0096599E" w:rsidRPr="00457FC4">
          <w:rPr>
            <w:rStyle w:val="ab"/>
            <w:rFonts w:hint="eastAsia"/>
            <w:b/>
            <w:noProof/>
          </w:rPr>
          <w:t>标签</w:t>
        </w:r>
        <w:r w:rsidR="0096599E" w:rsidRPr="00457FC4">
          <w:rPr>
            <w:b/>
            <w:noProof/>
            <w:webHidden/>
          </w:rPr>
          <w:tab/>
        </w:r>
        <w:r w:rsidRPr="00457FC4">
          <w:rPr>
            <w:b/>
            <w:noProof/>
            <w:webHidden/>
          </w:rPr>
          <w:fldChar w:fldCharType="begin"/>
        </w:r>
        <w:r w:rsidR="0096599E" w:rsidRPr="00457FC4">
          <w:rPr>
            <w:b/>
            <w:noProof/>
            <w:webHidden/>
          </w:rPr>
          <w:instrText xml:space="preserve"> PAGEREF _Toc496719730 \h </w:instrText>
        </w:r>
        <w:r w:rsidRPr="00457FC4">
          <w:rPr>
            <w:b/>
            <w:noProof/>
            <w:webHidden/>
          </w:rPr>
        </w:r>
        <w:r w:rsidRPr="00457FC4">
          <w:rPr>
            <w:b/>
            <w:noProof/>
            <w:webHidden/>
          </w:rPr>
          <w:fldChar w:fldCharType="separate"/>
        </w:r>
        <w:r w:rsidR="0096599E">
          <w:rPr>
            <w:b/>
            <w:noProof/>
            <w:webHidden/>
          </w:rPr>
          <w:t>15</w:t>
        </w:r>
        <w:r w:rsidRPr="00457FC4">
          <w:rPr>
            <w:b/>
            <w:noProof/>
            <w:webHidden/>
          </w:rPr>
          <w:fldChar w:fldCharType="end"/>
        </w:r>
      </w:hyperlink>
    </w:p>
    <w:p w:rsidR="0096599E" w:rsidRPr="00D22F5A" w:rsidRDefault="002514C1" w:rsidP="00457FC4">
      <w:pPr>
        <w:snapToGrid w:val="0"/>
        <w:spacing w:line="360" w:lineRule="auto"/>
        <w:rPr>
          <w:sz w:val="21"/>
          <w:szCs w:val="21"/>
        </w:rPr>
      </w:pPr>
      <w:r w:rsidRPr="00457FC4">
        <w:rPr>
          <w:b/>
          <w:sz w:val="21"/>
          <w:szCs w:val="21"/>
        </w:rPr>
        <w:fldChar w:fldCharType="end"/>
      </w:r>
    </w:p>
    <w:p w:rsidR="0096599E" w:rsidRPr="00D22F5A" w:rsidRDefault="0096599E" w:rsidP="00D22F5A">
      <w:pPr>
        <w:pBdr>
          <w:bottom w:val="single" w:sz="4" w:space="1" w:color="auto"/>
        </w:pBdr>
        <w:snapToGrid w:val="0"/>
        <w:spacing w:line="360" w:lineRule="auto"/>
        <w:jc w:val="center"/>
        <w:rPr>
          <w:b/>
          <w:bCs/>
          <w:sz w:val="44"/>
          <w:szCs w:val="44"/>
        </w:rPr>
      </w:pPr>
      <w:r w:rsidRPr="00D22F5A">
        <w:rPr>
          <w:sz w:val="21"/>
          <w:szCs w:val="21"/>
        </w:rPr>
        <w:br w:type="page"/>
      </w:r>
      <w:bookmarkStart w:id="11" w:name="_Hlk495399909"/>
      <w:r w:rsidRPr="00D22F5A">
        <w:rPr>
          <w:rFonts w:hAnsi="宋体" w:hint="eastAsia"/>
          <w:b/>
          <w:bCs/>
          <w:sz w:val="44"/>
          <w:szCs w:val="44"/>
        </w:rPr>
        <w:lastRenderedPageBreak/>
        <w:t>行业和</w:t>
      </w:r>
      <w:r w:rsidRPr="00D22F5A">
        <w:rPr>
          <w:b/>
          <w:bCs/>
          <w:sz w:val="44"/>
          <w:szCs w:val="44"/>
        </w:rPr>
        <w:t>FDA</w:t>
      </w:r>
      <w:r w:rsidRPr="00D22F5A">
        <w:rPr>
          <w:rFonts w:hAnsi="宋体" w:hint="eastAsia"/>
          <w:b/>
          <w:bCs/>
          <w:sz w:val="44"/>
          <w:szCs w:val="44"/>
        </w:rPr>
        <w:t>工作人员</w:t>
      </w:r>
      <w:r w:rsidR="006765EA">
        <w:rPr>
          <w:rFonts w:hAnsi="宋体" w:hint="eastAsia"/>
          <w:b/>
          <w:bCs/>
          <w:sz w:val="44"/>
          <w:szCs w:val="44"/>
        </w:rPr>
        <w:t>指南</w:t>
      </w:r>
    </w:p>
    <w:bookmarkEnd w:id="11"/>
    <w:p w:rsidR="0096599E" w:rsidRPr="00D22F5A" w:rsidRDefault="0096599E" w:rsidP="00AB6EB3">
      <w:pPr>
        <w:kinsoku w:val="0"/>
        <w:overflowPunct w:val="0"/>
        <w:spacing w:beforeLines="50" w:afterLines="50" w:line="360" w:lineRule="auto"/>
        <w:jc w:val="center"/>
        <w:rPr>
          <w:b/>
          <w:bCs/>
          <w:sz w:val="44"/>
          <w:szCs w:val="44"/>
        </w:rPr>
      </w:pPr>
      <w:r w:rsidRPr="00D22F5A">
        <w:rPr>
          <w:b/>
          <w:bCs/>
          <w:sz w:val="44"/>
          <w:szCs w:val="44"/>
        </w:rPr>
        <w:t>II</w:t>
      </w:r>
      <w:r w:rsidRPr="00D22F5A">
        <w:rPr>
          <w:rFonts w:hint="eastAsia"/>
          <w:b/>
          <w:bCs/>
          <w:sz w:val="44"/>
          <w:szCs w:val="44"/>
        </w:rPr>
        <w:t>类特殊控制</w:t>
      </w:r>
      <w:r w:rsidR="00BF54DE">
        <w:rPr>
          <w:rFonts w:hint="eastAsia"/>
          <w:b/>
          <w:bCs/>
          <w:sz w:val="44"/>
          <w:szCs w:val="44"/>
        </w:rPr>
        <w:t>指南</w:t>
      </w:r>
      <w:r w:rsidRPr="00D22F5A">
        <w:rPr>
          <w:rFonts w:hint="eastAsia"/>
          <w:b/>
          <w:bCs/>
          <w:sz w:val="44"/>
          <w:szCs w:val="44"/>
        </w:rPr>
        <w:t>文件：</w:t>
      </w:r>
      <w:r w:rsidRPr="00D22F5A">
        <w:rPr>
          <w:b/>
          <w:bCs/>
          <w:sz w:val="44"/>
          <w:szCs w:val="44"/>
        </w:rPr>
        <w:t>AFP-L3</w:t>
      </w:r>
      <w:r w:rsidRPr="004B3601">
        <w:rPr>
          <w:b/>
          <w:bCs/>
          <w:sz w:val="44"/>
          <w:szCs w:val="44"/>
        </w:rPr>
        <w:t>%</w:t>
      </w:r>
      <w:r w:rsidRPr="00D22F5A">
        <w:rPr>
          <w:rFonts w:hint="eastAsia"/>
          <w:b/>
          <w:bCs/>
          <w:sz w:val="44"/>
          <w:szCs w:val="44"/>
        </w:rPr>
        <w:t>免疫学检测系统</w:t>
      </w:r>
    </w:p>
    <w:p w:rsidR="0096599E" w:rsidRPr="00D22F5A" w:rsidRDefault="0096599E" w:rsidP="00AB6EB3">
      <w:pPr>
        <w:pBdr>
          <w:top w:val="single" w:sz="4" w:space="1" w:color="auto"/>
          <w:left w:val="single" w:sz="4" w:space="4" w:color="auto"/>
          <w:bottom w:val="single" w:sz="4" w:space="1" w:color="auto"/>
          <w:right w:val="single" w:sz="4" w:space="4" w:color="auto"/>
        </w:pBdr>
        <w:kinsoku w:val="0"/>
        <w:overflowPunct w:val="0"/>
        <w:spacing w:afterLines="50" w:line="360" w:lineRule="auto"/>
        <w:jc w:val="both"/>
        <w:rPr>
          <w:sz w:val="21"/>
          <w:szCs w:val="21"/>
        </w:rPr>
      </w:pPr>
      <w:r w:rsidRPr="00D22F5A">
        <w:rPr>
          <w:rFonts w:hAnsi="宋体" w:cs="宋体" w:hint="eastAsia"/>
          <w:bCs/>
          <w:iCs/>
          <w:sz w:val="21"/>
          <w:szCs w:val="21"/>
        </w:rPr>
        <w:t>本指导代表了</w:t>
      </w:r>
      <w:r w:rsidR="006765EA">
        <w:rPr>
          <w:rFonts w:hAnsi="宋体" w:cs="宋体" w:hint="eastAsia"/>
          <w:bCs/>
          <w:iCs/>
          <w:sz w:val="21"/>
          <w:szCs w:val="21"/>
        </w:rPr>
        <w:t>美国食品药品管理局</w:t>
      </w:r>
      <w:r w:rsidRPr="00D22F5A">
        <w:rPr>
          <w:rFonts w:hAnsi="宋体" w:cs="宋体" w:hint="eastAsia"/>
          <w:bCs/>
          <w:iCs/>
          <w:sz w:val="21"/>
          <w:szCs w:val="21"/>
        </w:rPr>
        <w:t>（</w:t>
      </w:r>
      <w:r w:rsidRPr="00D22F5A">
        <w:rPr>
          <w:bCs/>
          <w:iCs/>
          <w:sz w:val="21"/>
          <w:szCs w:val="21"/>
        </w:rPr>
        <w:t>FDA</w:t>
      </w:r>
      <w:r w:rsidRPr="00D22F5A">
        <w:rPr>
          <w:rFonts w:hAnsi="宋体" w:cs="宋体" w:hint="eastAsia"/>
          <w:bCs/>
          <w:iCs/>
          <w:sz w:val="21"/>
          <w:szCs w:val="21"/>
        </w:rPr>
        <w:t>）当前对本主题的想法。其不为任何人或向任何人授予任何权利，不约束</w:t>
      </w:r>
      <w:r w:rsidRPr="00D22F5A">
        <w:rPr>
          <w:bCs/>
          <w:iCs/>
          <w:sz w:val="21"/>
          <w:szCs w:val="21"/>
        </w:rPr>
        <w:t>FDA</w:t>
      </w:r>
      <w:r w:rsidRPr="00D22F5A">
        <w:rPr>
          <w:rFonts w:hAnsi="宋体" w:cs="宋体" w:hint="eastAsia"/>
          <w:bCs/>
          <w:iCs/>
          <w:sz w:val="21"/>
          <w:szCs w:val="21"/>
        </w:rPr>
        <w:t>或公众。如果其他方法满足适用的法律和法规的要求，您可以使用其他方法。如果您想讨论其他方法</w:t>
      </w:r>
      <w:r w:rsidR="00BF54DE">
        <w:rPr>
          <w:bCs/>
          <w:iCs/>
          <w:sz w:val="21"/>
          <w:szCs w:val="21"/>
        </w:rPr>
        <w:t>，</w:t>
      </w:r>
      <w:r w:rsidRPr="00D22F5A">
        <w:rPr>
          <w:rFonts w:hAnsi="宋体" w:cs="宋体" w:hint="eastAsia"/>
          <w:bCs/>
          <w:iCs/>
          <w:sz w:val="21"/>
          <w:szCs w:val="21"/>
        </w:rPr>
        <w:t>请联系负责实施本指导的</w:t>
      </w:r>
      <w:r w:rsidRPr="00D22F5A">
        <w:rPr>
          <w:bCs/>
          <w:iCs/>
          <w:sz w:val="21"/>
          <w:szCs w:val="21"/>
        </w:rPr>
        <w:t>FDA</w:t>
      </w:r>
      <w:r w:rsidRPr="00D22F5A">
        <w:rPr>
          <w:rFonts w:hAnsi="宋体" w:cs="宋体" w:hint="eastAsia"/>
          <w:bCs/>
          <w:iCs/>
          <w:sz w:val="21"/>
          <w:szCs w:val="21"/>
        </w:rPr>
        <w:t>工作人员。如果您找不到合适的</w:t>
      </w:r>
      <w:r w:rsidRPr="00D22F5A">
        <w:rPr>
          <w:bCs/>
          <w:iCs/>
          <w:sz w:val="21"/>
          <w:szCs w:val="21"/>
        </w:rPr>
        <w:t>FDA</w:t>
      </w:r>
      <w:r w:rsidRPr="00D22F5A">
        <w:rPr>
          <w:rFonts w:hAnsi="宋体" w:cs="宋体" w:hint="eastAsia"/>
          <w:bCs/>
          <w:iCs/>
          <w:sz w:val="21"/>
          <w:szCs w:val="21"/>
        </w:rPr>
        <w:t>工作人员，电话联系列在本指南标题页的适用号码。</w:t>
      </w:r>
    </w:p>
    <w:p w:rsidR="0096599E" w:rsidRPr="00D22F5A" w:rsidRDefault="0096599E" w:rsidP="00AB6EB3">
      <w:pPr>
        <w:numPr>
          <w:ilvl w:val="1"/>
          <w:numId w:val="6"/>
        </w:numPr>
        <w:kinsoku w:val="0"/>
        <w:overflowPunct w:val="0"/>
        <w:spacing w:afterLines="50" w:line="360" w:lineRule="auto"/>
        <w:ind w:firstLine="0"/>
        <w:jc w:val="both"/>
        <w:outlineLvl w:val="0"/>
        <w:rPr>
          <w:sz w:val="28"/>
          <w:szCs w:val="28"/>
        </w:rPr>
      </w:pPr>
      <w:bookmarkStart w:id="12" w:name="_Toc496719709"/>
      <w:r w:rsidRPr="00D22F5A">
        <w:rPr>
          <w:rFonts w:hint="eastAsia"/>
          <w:b/>
          <w:bCs/>
          <w:sz w:val="28"/>
          <w:szCs w:val="28"/>
        </w:rPr>
        <w:t>引言</w:t>
      </w:r>
      <w:bookmarkEnd w:id="12"/>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本</w:t>
      </w:r>
      <w:r w:rsidR="00BF54DE">
        <w:rPr>
          <w:rFonts w:hint="eastAsia"/>
          <w:sz w:val="21"/>
          <w:szCs w:val="21"/>
        </w:rPr>
        <w:t>指南</w:t>
      </w:r>
      <w:r w:rsidRPr="00D22F5A">
        <w:rPr>
          <w:rFonts w:hint="eastAsia"/>
          <w:sz w:val="21"/>
          <w:szCs w:val="21"/>
        </w:rPr>
        <w:t>文件作为特殊控制控制</w:t>
      </w:r>
      <w:r w:rsidR="00BF54DE">
        <w:rPr>
          <w:rFonts w:hint="eastAsia"/>
          <w:sz w:val="21"/>
          <w:szCs w:val="21"/>
        </w:rPr>
        <w:t>指南</w:t>
      </w:r>
      <w:r w:rsidRPr="00D22F5A">
        <w:rPr>
          <w:rFonts w:hint="eastAsia"/>
          <w:sz w:val="21"/>
          <w:szCs w:val="21"/>
        </w:rPr>
        <w:t>文件开发，旨在支持将</w:t>
      </w:r>
      <w:r w:rsidRPr="00D22F5A">
        <w:rPr>
          <w:sz w:val="21"/>
          <w:szCs w:val="21"/>
        </w:rPr>
        <w:t>AFP-L3</w:t>
      </w:r>
      <w:r w:rsidRPr="004B3601">
        <w:rPr>
          <w:sz w:val="21"/>
          <w:szCs w:val="21"/>
        </w:rPr>
        <w:t>%</w:t>
      </w:r>
      <w:r w:rsidRPr="00D22F5A">
        <w:rPr>
          <w:rFonts w:hint="eastAsia"/>
          <w:sz w:val="21"/>
          <w:szCs w:val="21"/>
        </w:rPr>
        <w:t>（甲胎蛋白的</w:t>
      </w:r>
      <w:r w:rsidRPr="00D22F5A">
        <w:rPr>
          <w:sz w:val="21"/>
          <w:szCs w:val="21"/>
        </w:rPr>
        <w:t>L3</w:t>
      </w:r>
      <w:r w:rsidRPr="00D22F5A">
        <w:rPr>
          <w:rFonts w:hint="eastAsia"/>
          <w:sz w:val="21"/>
          <w:szCs w:val="21"/>
        </w:rPr>
        <w:t>亚组分对总</w:t>
      </w:r>
      <w:r w:rsidRPr="00D22F5A">
        <w:rPr>
          <w:sz w:val="21"/>
          <w:szCs w:val="21"/>
        </w:rPr>
        <w:t>AFP</w:t>
      </w:r>
      <w:r w:rsidRPr="00D22F5A">
        <w:rPr>
          <w:rFonts w:hint="eastAsia"/>
          <w:sz w:val="21"/>
          <w:szCs w:val="21"/>
        </w:rPr>
        <w:t>的百分比）免疫学检测系统分类为</w:t>
      </w:r>
      <w:r w:rsidRPr="00D22F5A">
        <w:rPr>
          <w:sz w:val="21"/>
          <w:szCs w:val="21"/>
        </w:rPr>
        <w:t>II</w:t>
      </w:r>
      <w:r w:rsidRPr="00D22F5A">
        <w:rPr>
          <w:rFonts w:hint="eastAsia"/>
          <w:sz w:val="21"/>
          <w:szCs w:val="21"/>
        </w:rPr>
        <w:t>类（特殊控制）。</w:t>
      </w:r>
      <w:r w:rsidRPr="00D22F5A">
        <w:rPr>
          <w:sz w:val="21"/>
          <w:szCs w:val="21"/>
        </w:rPr>
        <w:t>AFP-L3</w:t>
      </w:r>
      <w:r w:rsidRPr="004B3601">
        <w:rPr>
          <w:sz w:val="21"/>
          <w:szCs w:val="21"/>
        </w:rPr>
        <w:t>%</w:t>
      </w:r>
      <w:r w:rsidRPr="00D22F5A">
        <w:rPr>
          <w:rFonts w:hint="eastAsia"/>
          <w:sz w:val="21"/>
          <w:szCs w:val="21"/>
        </w:rPr>
        <w:t>免疫学检测系统是一种体外器械，其由试剂和通过免疫化学技术定量测量人血清中的</w:t>
      </w:r>
      <w:r w:rsidRPr="00D22F5A">
        <w:rPr>
          <w:sz w:val="21"/>
          <w:szCs w:val="21"/>
        </w:rPr>
        <w:t>AFP</w:t>
      </w:r>
      <w:r w:rsidRPr="00D22F5A">
        <w:rPr>
          <w:rFonts w:hint="eastAsia"/>
          <w:sz w:val="21"/>
          <w:szCs w:val="21"/>
        </w:rPr>
        <w:t>和</w:t>
      </w:r>
      <w:r w:rsidRPr="00D22F5A">
        <w:rPr>
          <w:sz w:val="21"/>
          <w:szCs w:val="21"/>
        </w:rPr>
        <w:t>AFP-L3</w:t>
      </w:r>
      <w:r w:rsidRPr="00D22F5A">
        <w:rPr>
          <w:rFonts w:hint="eastAsia"/>
          <w:sz w:val="21"/>
          <w:szCs w:val="21"/>
        </w:rPr>
        <w:t>亚组分的自动化仪器组成。该器械旨在用于体外诊断，以便与</w:t>
      </w:r>
      <w:r w:rsidR="006765EA">
        <w:rPr>
          <w:rFonts w:hint="eastAsia"/>
          <w:sz w:val="21"/>
          <w:szCs w:val="21"/>
        </w:rPr>
        <w:t>其他</w:t>
      </w:r>
      <w:r w:rsidRPr="00D22F5A">
        <w:rPr>
          <w:rFonts w:hint="eastAsia"/>
          <w:sz w:val="21"/>
          <w:szCs w:val="21"/>
        </w:rPr>
        <w:t>实验室结果、影像学研究和临床评估一起帮助对慢性肝病患者肝细胞癌的发展进行风险评估。</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本</w:t>
      </w:r>
      <w:r w:rsidR="00BF54DE">
        <w:rPr>
          <w:rFonts w:hint="eastAsia"/>
          <w:sz w:val="21"/>
          <w:szCs w:val="21"/>
        </w:rPr>
        <w:t>指南</w:t>
      </w:r>
      <w:r w:rsidRPr="00D22F5A">
        <w:rPr>
          <w:rFonts w:hint="eastAsia"/>
          <w:sz w:val="21"/>
          <w:szCs w:val="21"/>
        </w:rPr>
        <w:t>文件与联邦公报通知一同发布，宣布</w:t>
      </w:r>
      <w:r w:rsidRPr="00D22F5A">
        <w:rPr>
          <w:sz w:val="21"/>
          <w:szCs w:val="21"/>
        </w:rPr>
        <w:t>AFP-L3</w:t>
      </w:r>
      <w:r w:rsidRPr="004B3601">
        <w:rPr>
          <w:sz w:val="21"/>
          <w:szCs w:val="21"/>
        </w:rPr>
        <w:t>%</w:t>
      </w:r>
      <w:r w:rsidRPr="00D22F5A">
        <w:rPr>
          <w:rFonts w:hint="eastAsia"/>
          <w:sz w:val="21"/>
          <w:szCs w:val="21"/>
        </w:rPr>
        <w:t>免疫学检测系统的分类。任何提交</w:t>
      </w:r>
      <w:r w:rsidRPr="00D22F5A">
        <w:rPr>
          <w:sz w:val="21"/>
          <w:szCs w:val="21"/>
        </w:rPr>
        <w:t>AFP-L3</w:t>
      </w:r>
      <w:r w:rsidRPr="004B3601">
        <w:rPr>
          <w:sz w:val="21"/>
          <w:szCs w:val="21"/>
        </w:rPr>
        <w:t>%</w:t>
      </w:r>
      <w:r w:rsidRPr="00D22F5A">
        <w:rPr>
          <w:rFonts w:hint="eastAsia"/>
          <w:sz w:val="21"/>
          <w:szCs w:val="21"/>
        </w:rPr>
        <w:t>免疫学检测系统</w:t>
      </w:r>
      <w:r w:rsidRPr="00D22F5A">
        <w:rPr>
          <w:sz w:val="21"/>
          <w:szCs w:val="21"/>
        </w:rPr>
        <w:t>510(k)</w:t>
      </w:r>
      <w:r w:rsidRPr="00D22F5A">
        <w:rPr>
          <w:rFonts w:hint="eastAsia"/>
          <w:sz w:val="21"/>
          <w:szCs w:val="21"/>
        </w:rPr>
        <w:t>（上市前通知）的公司均需要解决特殊控制</w:t>
      </w:r>
      <w:r w:rsidR="00BF54DE">
        <w:rPr>
          <w:rFonts w:hint="eastAsia"/>
          <w:sz w:val="21"/>
          <w:szCs w:val="21"/>
        </w:rPr>
        <w:t>指南</w:t>
      </w:r>
      <w:r w:rsidRPr="00D22F5A">
        <w:rPr>
          <w:rFonts w:hint="eastAsia"/>
          <w:sz w:val="21"/>
          <w:szCs w:val="21"/>
        </w:rPr>
        <w:t>文件中涵盖的问题。但该公司只需表明其器械符合</w:t>
      </w:r>
      <w:r w:rsidR="00BF54DE">
        <w:rPr>
          <w:rFonts w:hint="eastAsia"/>
          <w:sz w:val="21"/>
          <w:szCs w:val="21"/>
        </w:rPr>
        <w:t>指南</w:t>
      </w:r>
      <w:r w:rsidRPr="00D22F5A">
        <w:rPr>
          <w:rFonts w:hint="eastAsia"/>
          <w:sz w:val="21"/>
          <w:szCs w:val="21"/>
        </w:rPr>
        <w:t>文件的建议，或以某种其他方式提供安全性和有效性等效保证。</w:t>
      </w:r>
    </w:p>
    <w:p w:rsidR="0096599E" w:rsidRPr="00A9375C" w:rsidRDefault="006300B4" w:rsidP="00AB6EB3">
      <w:pPr>
        <w:pStyle w:val="2"/>
        <w:kinsoku w:val="0"/>
        <w:overflowPunct w:val="0"/>
        <w:spacing w:afterLines="50" w:line="360" w:lineRule="auto"/>
        <w:ind w:left="0" w:firstLine="0"/>
        <w:jc w:val="both"/>
        <w:rPr>
          <w:rFonts w:ascii="Times New Roman" w:eastAsia="宋体" w:hAnsi="Times New Roman"/>
          <w:b w:val="0"/>
          <w:bCs w:val="0"/>
          <w:sz w:val="21"/>
          <w:szCs w:val="21"/>
        </w:rPr>
      </w:pPr>
      <w:bookmarkStart w:id="13" w:name="_Toc496719710"/>
      <w:r>
        <w:rPr>
          <w:rFonts w:ascii="Times New Roman" w:eastAsia="宋体" w:hAnsi="Times New Roman"/>
          <w:b w:val="0"/>
          <w:bCs w:val="0"/>
          <w:sz w:val="21"/>
          <w:szCs w:val="21"/>
        </w:rPr>
        <w:t>FDA</w:t>
      </w:r>
      <w:r>
        <w:rPr>
          <w:rFonts w:ascii="Times New Roman" w:eastAsia="宋体" w:hAnsi="Times New Roman" w:hint="eastAsia"/>
          <w:b w:val="0"/>
          <w:bCs w:val="0"/>
          <w:sz w:val="21"/>
          <w:szCs w:val="21"/>
        </w:rPr>
        <w:t>指南文件（包括本指南文件）不构成强制性法律责任。相反，指南文件描述了管理局当前对某一主题的想法，除非其中引用了具体的法规或法定要求，否则只应仅将其视为建议。管理局指南文件中</w:t>
      </w:r>
      <w:r w:rsidR="006765EA">
        <w:rPr>
          <w:rFonts w:ascii="Times New Roman" w:eastAsia="宋体" w:hAnsi="Times New Roman" w:hint="eastAsia"/>
          <w:b w:val="0"/>
          <w:bCs w:val="0"/>
          <w:sz w:val="21"/>
          <w:szCs w:val="21"/>
        </w:rPr>
        <w:t>“应当”</w:t>
      </w:r>
      <w:r>
        <w:rPr>
          <w:rFonts w:ascii="Times New Roman" w:eastAsia="宋体" w:hAnsi="Times New Roman" w:hint="eastAsia"/>
          <w:b w:val="0"/>
          <w:bCs w:val="0"/>
          <w:sz w:val="21"/>
          <w:szCs w:val="21"/>
        </w:rPr>
        <w:t>使用表示建议或推荐，而不是要求。</w:t>
      </w:r>
      <w:bookmarkEnd w:id="13"/>
    </w:p>
    <w:p w:rsidR="0096599E" w:rsidRPr="00D22F5A" w:rsidRDefault="007A54D3" w:rsidP="00AB6EB3">
      <w:pPr>
        <w:pStyle w:val="a3"/>
        <w:kinsoku w:val="0"/>
        <w:overflowPunct w:val="0"/>
        <w:spacing w:afterLines="50" w:line="360" w:lineRule="auto"/>
        <w:ind w:left="0"/>
        <w:jc w:val="both"/>
        <w:rPr>
          <w:b/>
          <w:bCs/>
          <w:sz w:val="28"/>
          <w:szCs w:val="28"/>
        </w:rPr>
      </w:pPr>
      <w:r>
        <w:rPr>
          <w:rFonts w:hint="eastAsia"/>
          <w:b/>
          <w:bCs/>
          <w:sz w:val="28"/>
          <w:szCs w:val="28"/>
        </w:rPr>
        <w:t>最简易方法</w:t>
      </w:r>
    </w:p>
    <w:p w:rsidR="0096599E" w:rsidRPr="00D22F5A" w:rsidRDefault="0096599E" w:rsidP="00AB6EB3">
      <w:pPr>
        <w:pStyle w:val="a3"/>
        <w:kinsoku w:val="0"/>
        <w:overflowPunct w:val="0"/>
        <w:spacing w:afterLines="50" w:line="360" w:lineRule="auto"/>
        <w:ind w:left="0"/>
        <w:rPr>
          <w:color w:val="000000"/>
          <w:sz w:val="21"/>
          <w:szCs w:val="21"/>
        </w:rPr>
      </w:pPr>
      <w:r w:rsidRPr="00D22F5A">
        <w:rPr>
          <w:sz w:val="21"/>
          <w:szCs w:val="21"/>
        </w:rPr>
        <w:br w:type="page"/>
      </w:r>
      <w:r w:rsidRPr="00D22F5A">
        <w:rPr>
          <w:rFonts w:hint="eastAsia"/>
          <w:sz w:val="21"/>
          <w:szCs w:val="21"/>
        </w:rPr>
        <w:lastRenderedPageBreak/>
        <w:t>本</w:t>
      </w:r>
      <w:r w:rsidR="00BF54DE">
        <w:rPr>
          <w:rFonts w:hint="eastAsia"/>
          <w:sz w:val="21"/>
          <w:szCs w:val="21"/>
        </w:rPr>
        <w:t>指南</w:t>
      </w:r>
      <w:r w:rsidRPr="00D22F5A">
        <w:rPr>
          <w:rFonts w:hint="eastAsia"/>
          <w:sz w:val="21"/>
          <w:szCs w:val="21"/>
        </w:rPr>
        <w:t>文件中识别出的问题代表了我们认为在您的器械上市之前需要解决的问题。在开发</w:t>
      </w:r>
      <w:r w:rsidR="00BF54DE">
        <w:rPr>
          <w:rFonts w:hint="eastAsia"/>
          <w:sz w:val="21"/>
          <w:szCs w:val="21"/>
        </w:rPr>
        <w:t>指南</w:t>
      </w:r>
      <w:r w:rsidRPr="00D22F5A">
        <w:rPr>
          <w:rFonts w:hint="eastAsia"/>
          <w:sz w:val="21"/>
          <w:szCs w:val="21"/>
        </w:rPr>
        <w:t>文件时，我们认真考虑了有关管理局决策的相关法定标准。我们还考虑到您试图按照</w:t>
      </w:r>
      <w:r w:rsidR="00BF54DE">
        <w:rPr>
          <w:rFonts w:hint="eastAsia"/>
          <w:sz w:val="21"/>
          <w:szCs w:val="21"/>
        </w:rPr>
        <w:t>指南</w:t>
      </w:r>
      <w:r w:rsidRPr="00D22F5A">
        <w:rPr>
          <w:rFonts w:hint="eastAsia"/>
          <w:sz w:val="21"/>
          <w:szCs w:val="21"/>
        </w:rPr>
        <w:t>文件提出的方式遵守法定和监管标准，并试图解决我们所识别出问题可能引起的负担。我们认为，我们已经考虑到解决</w:t>
      </w:r>
      <w:r w:rsidR="00BF54DE">
        <w:rPr>
          <w:rFonts w:hint="eastAsia"/>
          <w:sz w:val="21"/>
          <w:szCs w:val="21"/>
        </w:rPr>
        <w:t>指南</w:t>
      </w:r>
      <w:r w:rsidRPr="00D22F5A">
        <w:rPr>
          <w:rFonts w:hint="eastAsia"/>
          <w:sz w:val="21"/>
          <w:szCs w:val="21"/>
        </w:rPr>
        <w:t>文件中所提出问题的最简单方法。但是，如果您认为有可用于解决问题的较简单方法，则应遵循“用于解决最简单问题的建议方法”文件中所述程序。可在我们的中心网页上查找：</w:t>
      </w:r>
      <w:hyperlink r:id="rId12" w:history="1">
        <w:r w:rsidRPr="00D22F5A">
          <w:rPr>
            <w:color w:val="0000FF"/>
            <w:sz w:val="21"/>
            <w:szCs w:val="21"/>
            <w:u w:val="single"/>
          </w:rPr>
          <w:t>http://www.fda.gov/cdrh/modact/leastburdensome.html</w:t>
        </w:r>
      </w:hyperlink>
      <w:r w:rsidRPr="00D22F5A">
        <w:rPr>
          <w:rFonts w:hint="eastAsia"/>
          <w:color w:val="000000"/>
          <w:sz w:val="21"/>
          <w:szCs w:val="21"/>
        </w:rPr>
        <w:t>。</w:t>
      </w:r>
    </w:p>
    <w:p w:rsidR="0096599E" w:rsidRPr="006765EA" w:rsidRDefault="002514C1" w:rsidP="00AB6EB3">
      <w:pPr>
        <w:pStyle w:val="2"/>
        <w:numPr>
          <w:ilvl w:val="1"/>
          <w:numId w:val="6"/>
        </w:numPr>
        <w:kinsoku w:val="0"/>
        <w:overflowPunct w:val="0"/>
        <w:spacing w:afterLines="50" w:line="360" w:lineRule="auto"/>
        <w:ind w:left="0" w:firstLine="0"/>
        <w:jc w:val="both"/>
        <w:rPr>
          <w:rFonts w:ascii="宋体" w:eastAsia="宋体" w:hAnsi="宋体"/>
          <w:b w:val="0"/>
          <w:bCs w:val="0"/>
          <w:sz w:val="28"/>
          <w:szCs w:val="28"/>
        </w:rPr>
      </w:pPr>
      <w:bookmarkStart w:id="14" w:name="_Toc496719711"/>
      <w:r w:rsidRPr="002514C1">
        <w:rPr>
          <w:rFonts w:ascii="宋体" w:eastAsia="宋体" w:hAnsi="宋体" w:hint="eastAsia"/>
          <w:sz w:val="28"/>
          <w:szCs w:val="28"/>
        </w:rPr>
        <w:t>背景</w:t>
      </w:r>
      <w:bookmarkEnd w:id="14"/>
    </w:p>
    <w:p w:rsidR="0096599E" w:rsidRPr="00D22F5A" w:rsidRDefault="0096599E" w:rsidP="00AB6EB3">
      <w:pPr>
        <w:pStyle w:val="a3"/>
        <w:kinsoku w:val="0"/>
        <w:overflowPunct w:val="0"/>
        <w:spacing w:afterLines="50" w:line="360" w:lineRule="auto"/>
        <w:ind w:left="0"/>
        <w:jc w:val="both"/>
        <w:rPr>
          <w:color w:val="000000"/>
          <w:sz w:val="21"/>
          <w:szCs w:val="21"/>
        </w:rPr>
      </w:pPr>
      <w:r w:rsidRPr="00D22F5A">
        <w:rPr>
          <w:sz w:val="21"/>
          <w:szCs w:val="21"/>
        </w:rPr>
        <w:t>FDA</w:t>
      </w:r>
      <w:r w:rsidRPr="00D22F5A">
        <w:rPr>
          <w:rFonts w:hint="eastAsia"/>
          <w:sz w:val="21"/>
          <w:szCs w:val="21"/>
        </w:rPr>
        <w:t>认为，当特殊控制与一般控制相结合时，能够对</w:t>
      </w:r>
      <w:r w:rsidRPr="00D22F5A">
        <w:rPr>
          <w:sz w:val="21"/>
          <w:szCs w:val="21"/>
        </w:rPr>
        <w:t>AFP-L3</w:t>
      </w:r>
      <w:r w:rsidRPr="004B3601">
        <w:rPr>
          <w:sz w:val="21"/>
          <w:szCs w:val="21"/>
        </w:rPr>
        <w:t>%</w:t>
      </w:r>
      <w:r w:rsidRPr="00D22F5A">
        <w:rPr>
          <w:rFonts w:hint="eastAsia"/>
          <w:sz w:val="21"/>
          <w:szCs w:val="21"/>
        </w:rPr>
        <w:t>免疫学检测系统的安全性和有效性提供合理保证。打算出售这种类型器械的制造商应该：（</w:t>
      </w:r>
      <w:r w:rsidRPr="00D22F5A">
        <w:rPr>
          <w:sz w:val="21"/>
          <w:szCs w:val="21"/>
        </w:rPr>
        <w:t>1</w:t>
      </w:r>
      <w:r w:rsidRPr="00D22F5A">
        <w:rPr>
          <w:rFonts w:hint="eastAsia"/>
          <w:sz w:val="21"/>
          <w:szCs w:val="21"/>
        </w:rPr>
        <w:t>）符合《联邦食品、药品和化妆品法案》（该法案）的一般控制措施，其中包括</w:t>
      </w:r>
      <w:r w:rsidRPr="00D22F5A">
        <w:rPr>
          <w:color w:val="0000FF"/>
          <w:sz w:val="21"/>
          <w:szCs w:val="21"/>
          <w:u w:val="single"/>
        </w:rPr>
        <w:t>21 CFR 807</w:t>
      </w:r>
      <w:r w:rsidRPr="00D22F5A">
        <w:rPr>
          <w:rFonts w:hint="eastAsia"/>
          <w:color w:val="000000"/>
          <w:sz w:val="21"/>
          <w:szCs w:val="21"/>
        </w:rPr>
        <w:t>子部分</w:t>
      </w:r>
      <w:r w:rsidRPr="00D22F5A">
        <w:rPr>
          <w:color w:val="000000"/>
          <w:sz w:val="21"/>
          <w:szCs w:val="21"/>
        </w:rPr>
        <w:t>E</w:t>
      </w:r>
      <w:r w:rsidRPr="00D22F5A">
        <w:rPr>
          <w:rFonts w:hint="eastAsia"/>
          <w:sz w:val="21"/>
          <w:szCs w:val="21"/>
        </w:rPr>
        <w:t>中描述的上市前通知要求</w:t>
      </w:r>
      <w:r w:rsidRPr="00D22F5A">
        <w:rPr>
          <w:color w:val="000000"/>
          <w:sz w:val="21"/>
          <w:szCs w:val="21"/>
        </w:rPr>
        <w:t>,</w:t>
      </w:r>
      <w:r w:rsidRPr="00D22F5A">
        <w:rPr>
          <w:rFonts w:hint="eastAsia"/>
          <w:color w:val="000000"/>
          <w:sz w:val="21"/>
          <w:szCs w:val="21"/>
        </w:rPr>
        <w:t>（</w:t>
      </w:r>
      <w:r w:rsidRPr="00D22F5A">
        <w:rPr>
          <w:color w:val="000000"/>
          <w:sz w:val="21"/>
          <w:szCs w:val="21"/>
        </w:rPr>
        <w:t>2</w:t>
      </w:r>
      <w:r w:rsidRPr="00D22F5A">
        <w:rPr>
          <w:rFonts w:hint="eastAsia"/>
          <w:color w:val="000000"/>
          <w:sz w:val="21"/>
          <w:szCs w:val="21"/>
        </w:rPr>
        <w:t>）处理本</w:t>
      </w:r>
      <w:r w:rsidR="00BF54DE">
        <w:rPr>
          <w:rFonts w:hint="eastAsia"/>
          <w:color w:val="000000"/>
          <w:sz w:val="21"/>
          <w:szCs w:val="21"/>
        </w:rPr>
        <w:t>指南</w:t>
      </w:r>
      <w:r w:rsidRPr="00D22F5A">
        <w:rPr>
          <w:rFonts w:hint="eastAsia"/>
          <w:color w:val="000000"/>
          <w:sz w:val="21"/>
          <w:szCs w:val="21"/>
        </w:rPr>
        <w:t>文件中确定的</w:t>
      </w:r>
      <w:r w:rsidRPr="00D22F5A">
        <w:rPr>
          <w:color w:val="000000"/>
          <w:sz w:val="21"/>
          <w:szCs w:val="21"/>
        </w:rPr>
        <w:t>AFP-L3</w:t>
      </w:r>
      <w:r w:rsidRPr="004B3601">
        <w:rPr>
          <w:color w:val="000000"/>
          <w:sz w:val="21"/>
          <w:szCs w:val="21"/>
        </w:rPr>
        <w:t>%</w:t>
      </w:r>
      <w:r w:rsidRPr="00D22F5A">
        <w:rPr>
          <w:rFonts w:hint="eastAsia"/>
          <w:color w:val="000000"/>
          <w:sz w:val="21"/>
          <w:szCs w:val="21"/>
        </w:rPr>
        <w:t>免疫学检测系统相关特定健康风险，（</w:t>
      </w:r>
      <w:r w:rsidRPr="00D22F5A">
        <w:rPr>
          <w:color w:val="000000"/>
          <w:sz w:val="21"/>
          <w:szCs w:val="21"/>
        </w:rPr>
        <w:t>3</w:t>
      </w:r>
      <w:r w:rsidRPr="00D22F5A">
        <w:rPr>
          <w:rFonts w:hint="eastAsia"/>
          <w:color w:val="000000"/>
          <w:sz w:val="21"/>
          <w:szCs w:val="21"/>
        </w:rPr>
        <w:t>）在销售器械前，获取</w:t>
      </w:r>
      <w:r w:rsidRPr="00D22F5A">
        <w:rPr>
          <w:color w:val="000000"/>
          <w:sz w:val="21"/>
          <w:szCs w:val="21"/>
        </w:rPr>
        <w:t>FDA</w:t>
      </w:r>
      <w:r w:rsidRPr="00D22F5A">
        <w:rPr>
          <w:rFonts w:hint="eastAsia"/>
          <w:color w:val="000000"/>
          <w:sz w:val="21"/>
          <w:szCs w:val="21"/>
        </w:rPr>
        <w:t>的实质等同性确定。</w:t>
      </w:r>
    </w:p>
    <w:p w:rsidR="0096599E" w:rsidRPr="00D22F5A" w:rsidRDefault="002514C1" w:rsidP="00AB6EB3">
      <w:pPr>
        <w:pStyle w:val="a3"/>
        <w:kinsoku w:val="0"/>
        <w:overflowPunct w:val="0"/>
        <w:spacing w:afterLines="50" w:line="360" w:lineRule="auto"/>
        <w:ind w:left="0"/>
        <w:jc w:val="both"/>
        <w:rPr>
          <w:color w:val="000000"/>
          <w:sz w:val="21"/>
          <w:szCs w:val="21"/>
        </w:rPr>
      </w:pPr>
      <w:r w:rsidRPr="002514C1">
        <w:rPr>
          <w:noProof/>
        </w:rPr>
        <w:pict>
          <v:shape id="Freeform 2" o:spid="_x0000_s1026" style="position:absolute;left:0;text-align:left;margin-left:343.85pt;margin-top:109.4pt;width:3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" o:allowincell="f" path="m,l60,e" filled="f" strokeweight=".7pt">
            <v:path arrowok="t" o:connecttype="custom" o:connectlocs="0,0;38100,0" o:connectangles="0,0"/>
            <w10:wrap anchorx="page"/>
          </v:shape>
        </w:pict>
      </w:r>
      <w:r w:rsidR="0096599E" w:rsidRPr="00D22F5A">
        <w:rPr>
          <w:rFonts w:hint="eastAsia"/>
          <w:noProof/>
          <w:sz w:val="21"/>
          <w:szCs w:val="21"/>
        </w:rPr>
        <w:t>本</w:t>
      </w:r>
      <w:r w:rsidR="00BF54DE">
        <w:rPr>
          <w:rFonts w:hint="eastAsia"/>
          <w:noProof/>
          <w:sz w:val="21"/>
          <w:szCs w:val="21"/>
        </w:rPr>
        <w:t>指南</w:t>
      </w:r>
      <w:r w:rsidR="0096599E" w:rsidRPr="00D22F5A">
        <w:rPr>
          <w:rFonts w:hint="eastAsia"/>
          <w:noProof/>
          <w:sz w:val="21"/>
          <w:szCs w:val="21"/>
        </w:rPr>
        <w:t>文件确定了</w:t>
      </w:r>
      <w:r w:rsidR="0096599E" w:rsidRPr="00D22F5A">
        <w:rPr>
          <w:noProof/>
          <w:sz w:val="21"/>
          <w:szCs w:val="21"/>
        </w:rPr>
        <w:t>AFP-L3</w:t>
      </w:r>
      <w:r w:rsidR="0096599E" w:rsidRPr="004B3601">
        <w:rPr>
          <w:noProof/>
          <w:sz w:val="21"/>
          <w:szCs w:val="21"/>
        </w:rPr>
        <w:t>%</w:t>
      </w:r>
      <w:r w:rsidR="0096599E" w:rsidRPr="00D22F5A">
        <w:rPr>
          <w:rFonts w:hint="eastAsia"/>
          <w:noProof/>
          <w:sz w:val="21"/>
          <w:szCs w:val="21"/>
        </w:rPr>
        <w:t>免疫学检测系统的分类法规和产品代码</w:t>
      </w:r>
      <w:r w:rsidR="0096599E" w:rsidRPr="00D22F5A">
        <w:rPr>
          <w:rFonts w:hint="eastAsia"/>
          <w:sz w:val="21"/>
          <w:szCs w:val="21"/>
        </w:rPr>
        <w:t>（</w:t>
      </w:r>
      <w:r w:rsidR="0096599E" w:rsidRPr="00D22F5A">
        <w:rPr>
          <w:rFonts w:hint="eastAsia"/>
          <w:color w:val="0000FF"/>
          <w:sz w:val="21"/>
          <w:szCs w:val="21"/>
          <w:u w:val="single"/>
        </w:rPr>
        <w:t>参考第</w:t>
      </w:r>
      <w:r w:rsidR="0096599E" w:rsidRPr="00D22F5A">
        <w:rPr>
          <w:color w:val="0000FF"/>
          <w:sz w:val="21"/>
          <w:szCs w:val="21"/>
          <w:u w:val="single"/>
        </w:rPr>
        <w:t>4</w:t>
      </w:r>
      <w:r w:rsidR="0096599E" w:rsidRPr="00D22F5A">
        <w:rPr>
          <w:rFonts w:hint="eastAsia"/>
          <w:color w:val="0000FF"/>
          <w:sz w:val="21"/>
          <w:szCs w:val="21"/>
          <w:u w:val="single"/>
        </w:rPr>
        <w:t>节</w:t>
      </w:r>
      <w:r w:rsidR="0096599E" w:rsidRPr="00D22F5A">
        <w:rPr>
          <w:color w:val="0000FF"/>
          <w:sz w:val="21"/>
          <w:szCs w:val="21"/>
          <w:u w:val="single"/>
        </w:rPr>
        <w:t>—</w:t>
      </w:r>
      <w:r w:rsidR="0096599E" w:rsidRPr="00D22F5A">
        <w:rPr>
          <w:rFonts w:hint="eastAsia"/>
          <w:color w:val="0000FF"/>
          <w:sz w:val="21"/>
          <w:szCs w:val="21"/>
          <w:u w:val="single"/>
        </w:rPr>
        <w:t>范围</w:t>
      </w:r>
      <w:r w:rsidR="0096599E" w:rsidRPr="00D22F5A">
        <w:rPr>
          <w:rFonts w:hint="eastAsia"/>
          <w:color w:val="000000"/>
          <w:sz w:val="21"/>
          <w:szCs w:val="21"/>
        </w:rPr>
        <w:t>）。此外，本</w:t>
      </w:r>
      <w:r w:rsidR="00BF54DE">
        <w:rPr>
          <w:rFonts w:hint="eastAsia"/>
          <w:color w:val="000000"/>
          <w:sz w:val="21"/>
          <w:szCs w:val="21"/>
        </w:rPr>
        <w:t>指南</w:t>
      </w:r>
      <w:r w:rsidR="0096599E" w:rsidRPr="00D22F5A">
        <w:rPr>
          <w:rFonts w:hint="eastAsia"/>
          <w:color w:val="000000"/>
          <w:sz w:val="21"/>
          <w:szCs w:val="21"/>
        </w:rPr>
        <w:t>文件的</w:t>
      </w:r>
      <w:r w:rsidR="006765EA">
        <w:rPr>
          <w:rFonts w:hint="eastAsia"/>
          <w:color w:val="000000"/>
          <w:sz w:val="21"/>
          <w:szCs w:val="21"/>
        </w:rPr>
        <w:t>其他</w:t>
      </w:r>
      <w:r w:rsidR="0096599E" w:rsidRPr="00D22F5A">
        <w:rPr>
          <w:rFonts w:hint="eastAsia"/>
          <w:color w:val="000000"/>
          <w:sz w:val="21"/>
          <w:szCs w:val="21"/>
        </w:rPr>
        <w:t>章节列出了</w:t>
      </w:r>
      <w:r w:rsidR="0096599E" w:rsidRPr="00D22F5A">
        <w:rPr>
          <w:color w:val="000000"/>
          <w:sz w:val="21"/>
          <w:szCs w:val="21"/>
        </w:rPr>
        <w:t>FDA</w:t>
      </w:r>
      <w:r w:rsidR="0096599E" w:rsidRPr="00D22F5A">
        <w:rPr>
          <w:rFonts w:hint="eastAsia"/>
          <w:color w:val="000000"/>
          <w:sz w:val="21"/>
          <w:szCs w:val="21"/>
        </w:rPr>
        <w:t>识别出的健康风险，并描述了通常能够解决这些系统相关风险</w:t>
      </w:r>
      <w:r w:rsidR="0096599E" w:rsidRPr="00D22F5A">
        <w:rPr>
          <w:color w:val="000000"/>
          <w:sz w:val="21"/>
          <w:szCs w:val="21"/>
        </w:rPr>
        <w:t>,</w:t>
      </w:r>
      <w:r w:rsidR="0096599E" w:rsidRPr="00D22F5A">
        <w:rPr>
          <w:rFonts w:hint="eastAsia"/>
          <w:color w:val="000000"/>
          <w:sz w:val="21"/>
          <w:szCs w:val="21"/>
        </w:rPr>
        <w:t>并获取及时上市前通知</w:t>
      </w:r>
      <w:r w:rsidR="0096599E" w:rsidRPr="00D22F5A">
        <w:rPr>
          <w:color w:val="000000"/>
          <w:sz w:val="21"/>
          <w:szCs w:val="21"/>
        </w:rPr>
        <w:t>[510(k)]</w:t>
      </w:r>
      <w:r w:rsidR="0096599E" w:rsidRPr="00D22F5A">
        <w:rPr>
          <w:rFonts w:hint="eastAsia"/>
          <w:color w:val="000000"/>
          <w:sz w:val="21"/>
          <w:szCs w:val="21"/>
        </w:rPr>
        <w:t>审查和许可的措施（如果制造商遵循并结合一般控制）。本文件是对上市前通知</w:t>
      </w:r>
      <w:r w:rsidR="006765EA">
        <w:rPr>
          <w:rFonts w:hint="eastAsia"/>
          <w:color w:val="000000"/>
          <w:sz w:val="21"/>
          <w:szCs w:val="21"/>
        </w:rPr>
        <w:t>提交</w:t>
      </w:r>
      <w:r w:rsidR="0096599E" w:rsidRPr="00D22F5A">
        <w:rPr>
          <w:rFonts w:hint="eastAsia"/>
          <w:color w:val="000000"/>
          <w:sz w:val="21"/>
          <w:szCs w:val="21"/>
        </w:rPr>
        <w:t>具体内容要求相关</w:t>
      </w:r>
      <w:r w:rsidR="006765EA">
        <w:rPr>
          <w:rFonts w:hint="eastAsia"/>
          <w:color w:val="000000"/>
          <w:sz w:val="21"/>
          <w:szCs w:val="21"/>
        </w:rPr>
        <w:t>其他</w:t>
      </w:r>
      <w:r w:rsidR="0096599E" w:rsidRPr="00D22F5A">
        <w:rPr>
          <w:color w:val="000000"/>
          <w:sz w:val="21"/>
          <w:szCs w:val="21"/>
        </w:rPr>
        <w:t>FDA</w:t>
      </w:r>
      <w:r w:rsidR="0096599E" w:rsidRPr="00D22F5A">
        <w:rPr>
          <w:rFonts w:hint="eastAsia"/>
          <w:color w:val="000000"/>
          <w:sz w:val="21"/>
          <w:szCs w:val="21"/>
        </w:rPr>
        <w:t>文件的补充。此外，还应参考</w:t>
      </w:r>
      <w:r w:rsidR="0096599E" w:rsidRPr="00D22F5A">
        <w:rPr>
          <w:color w:val="0000FF"/>
          <w:sz w:val="21"/>
          <w:szCs w:val="21"/>
          <w:u w:val="single"/>
        </w:rPr>
        <w:t>21 CFR 807.87</w:t>
      </w:r>
      <w:r w:rsidR="0096599E" w:rsidRPr="00D22F5A">
        <w:rPr>
          <w:rFonts w:hint="eastAsia"/>
          <w:color w:val="000000"/>
          <w:sz w:val="21"/>
          <w:szCs w:val="21"/>
        </w:rPr>
        <w:t>和</w:t>
      </w:r>
      <w:r w:rsidR="006765EA">
        <w:rPr>
          <w:rFonts w:hint="eastAsia"/>
          <w:color w:val="000000"/>
          <w:sz w:val="21"/>
          <w:szCs w:val="21"/>
        </w:rPr>
        <w:t>其他</w:t>
      </w:r>
      <w:r w:rsidR="0096599E" w:rsidRPr="00D22F5A">
        <w:rPr>
          <w:rFonts w:hint="eastAsia"/>
          <w:color w:val="000000"/>
          <w:sz w:val="21"/>
          <w:szCs w:val="21"/>
        </w:rPr>
        <w:t>该主题相关</w:t>
      </w:r>
      <w:r w:rsidR="0096599E" w:rsidRPr="00D22F5A">
        <w:rPr>
          <w:color w:val="000000"/>
          <w:sz w:val="21"/>
          <w:szCs w:val="21"/>
        </w:rPr>
        <w:t>FDA</w:t>
      </w:r>
      <w:r w:rsidR="0096599E" w:rsidRPr="00D22F5A">
        <w:rPr>
          <w:rFonts w:hint="eastAsia"/>
          <w:color w:val="000000"/>
          <w:sz w:val="21"/>
          <w:szCs w:val="21"/>
        </w:rPr>
        <w:t>文件，例如：</w:t>
      </w:r>
      <w:r w:rsidR="0096599E" w:rsidRPr="00D22F5A">
        <w:rPr>
          <w:b/>
          <w:color w:val="000000"/>
          <w:sz w:val="21"/>
          <w:szCs w:val="21"/>
        </w:rPr>
        <w:t>510(k)</w:t>
      </w:r>
      <w:r w:rsidR="0096599E" w:rsidRPr="00D22F5A">
        <w:rPr>
          <w:rFonts w:hint="eastAsia"/>
          <w:b/>
          <w:color w:val="000000"/>
          <w:sz w:val="21"/>
          <w:szCs w:val="21"/>
        </w:rPr>
        <w:t>手册</w:t>
      </w:r>
      <w:r w:rsidR="0096599E" w:rsidRPr="00D22F5A">
        <w:rPr>
          <w:b/>
          <w:color w:val="000000"/>
          <w:sz w:val="21"/>
          <w:szCs w:val="21"/>
        </w:rPr>
        <w:t>-</w:t>
      </w:r>
      <w:r w:rsidR="0096599E" w:rsidRPr="00D22F5A">
        <w:rPr>
          <w:rFonts w:hint="eastAsia"/>
          <w:b/>
          <w:color w:val="000000"/>
          <w:sz w:val="21"/>
          <w:szCs w:val="21"/>
        </w:rPr>
        <w:t>上市前通知：</w:t>
      </w:r>
      <w:r w:rsidR="0096599E" w:rsidRPr="00D22F5A">
        <w:rPr>
          <w:b/>
          <w:color w:val="000000"/>
          <w:sz w:val="21"/>
          <w:szCs w:val="21"/>
        </w:rPr>
        <w:t>510(k)-</w:t>
      </w:r>
      <w:r w:rsidR="0096599E" w:rsidRPr="00D22F5A">
        <w:rPr>
          <w:rFonts w:hint="eastAsia"/>
          <w:b/>
          <w:color w:val="000000"/>
          <w:sz w:val="21"/>
          <w:szCs w:val="21"/>
        </w:rPr>
        <w:t>医疗器械的法规要求，</w:t>
      </w:r>
      <w:hyperlink r:id="rId13" w:history="1">
        <w:r w:rsidR="0096599E" w:rsidRPr="00D22F5A">
          <w:rPr>
            <w:color w:val="0000FF"/>
            <w:sz w:val="21"/>
            <w:szCs w:val="21"/>
            <w:u w:val="single"/>
          </w:rPr>
          <w:t>http://www.fda.gov/cdrh/manual/510kprt1.html</w:t>
        </w:r>
      </w:hyperlink>
      <w:r w:rsidR="0096599E" w:rsidRPr="00D22F5A">
        <w:rPr>
          <w:rFonts w:hint="eastAsia"/>
          <w:color w:val="000000"/>
          <w:sz w:val="21"/>
          <w:szCs w:val="21"/>
        </w:rPr>
        <w:t>。</w:t>
      </w:r>
    </w:p>
    <w:p w:rsidR="0096599E" w:rsidRPr="00D22F5A" w:rsidRDefault="0096599E" w:rsidP="00AB6EB3">
      <w:pPr>
        <w:kinsoku w:val="0"/>
        <w:overflowPunct w:val="0"/>
        <w:spacing w:afterLines="50" w:line="360" w:lineRule="auto"/>
        <w:jc w:val="both"/>
        <w:rPr>
          <w:sz w:val="21"/>
          <w:szCs w:val="21"/>
        </w:rPr>
      </w:pPr>
      <w:r w:rsidRPr="00D22F5A">
        <w:rPr>
          <w:rFonts w:hint="eastAsia"/>
          <w:sz w:val="21"/>
          <w:szCs w:val="21"/>
        </w:rPr>
        <w:t>如“</w:t>
      </w:r>
      <w:r w:rsidRPr="00D22F5A">
        <w:rPr>
          <w:rFonts w:hint="eastAsia"/>
          <w:b/>
          <w:sz w:val="21"/>
          <w:szCs w:val="21"/>
        </w:rPr>
        <w:t>新</w:t>
      </w:r>
      <w:r w:rsidRPr="00D22F5A">
        <w:rPr>
          <w:b/>
          <w:sz w:val="21"/>
          <w:szCs w:val="21"/>
        </w:rPr>
        <w:t>510(k)</w:t>
      </w:r>
      <w:r w:rsidRPr="00D22F5A">
        <w:rPr>
          <w:rFonts w:hint="eastAsia"/>
          <w:b/>
          <w:sz w:val="21"/>
          <w:szCs w:val="21"/>
        </w:rPr>
        <w:t>模式</w:t>
      </w:r>
      <w:r w:rsidRPr="00D22F5A">
        <w:rPr>
          <w:b/>
          <w:sz w:val="21"/>
          <w:szCs w:val="21"/>
        </w:rPr>
        <w:t>—</w:t>
      </w:r>
      <w:r w:rsidRPr="00D22F5A">
        <w:rPr>
          <w:rFonts w:hint="eastAsia"/>
          <w:b/>
          <w:sz w:val="21"/>
          <w:szCs w:val="21"/>
        </w:rPr>
        <w:t>用于在上市前通知中证实实质等同性；最终</w:t>
      </w:r>
      <w:r w:rsidR="00BF54DE">
        <w:rPr>
          <w:rFonts w:hint="eastAsia"/>
          <w:b/>
          <w:sz w:val="21"/>
          <w:szCs w:val="21"/>
        </w:rPr>
        <w:t>指南</w:t>
      </w:r>
      <w:r w:rsidRPr="00D22F5A">
        <w:rPr>
          <w:rFonts w:hint="eastAsia"/>
          <w:b/>
          <w:sz w:val="21"/>
          <w:szCs w:val="21"/>
        </w:rPr>
        <w:t>文件</w:t>
      </w:r>
      <w:r w:rsidRPr="00D22F5A">
        <w:rPr>
          <w:rFonts w:hint="eastAsia"/>
          <w:sz w:val="21"/>
          <w:szCs w:val="21"/>
        </w:rPr>
        <w:t>”所示，</w:t>
      </w:r>
      <w:r w:rsidRPr="00D22F5A">
        <w:rPr>
          <w:sz w:val="21"/>
          <w:szCs w:val="21"/>
          <w:vertAlign w:val="superscript"/>
        </w:rPr>
        <w:t>1</w:t>
      </w:r>
      <w:r w:rsidRPr="00D22F5A">
        <w:rPr>
          <w:rFonts w:hint="eastAsia"/>
          <w:sz w:val="21"/>
          <w:szCs w:val="21"/>
        </w:rPr>
        <w:t>制造商可以提交传统</w:t>
      </w:r>
      <w:r w:rsidRPr="00D22F5A">
        <w:rPr>
          <w:sz w:val="21"/>
          <w:szCs w:val="21"/>
        </w:rPr>
        <w:t>510(k)</w:t>
      </w:r>
      <w:r w:rsidRPr="00D22F5A">
        <w:rPr>
          <w:rFonts w:hint="eastAsia"/>
          <w:sz w:val="21"/>
          <w:szCs w:val="21"/>
        </w:rPr>
        <w:t>或</w:t>
      </w:r>
      <w:r w:rsidR="00C25C8D">
        <w:rPr>
          <w:rFonts w:hint="eastAsia"/>
          <w:sz w:val="21"/>
          <w:szCs w:val="21"/>
        </w:rPr>
        <w:t>简易</w:t>
      </w:r>
      <w:r w:rsidR="00C25C8D">
        <w:rPr>
          <w:rFonts w:hint="eastAsia"/>
          <w:sz w:val="21"/>
          <w:szCs w:val="21"/>
        </w:rPr>
        <w:t>510</w:t>
      </w:r>
      <w:r w:rsidRPr="00D22F5A">
        <w:rPr>
          <w:sz w:val="21"/>
          <w:szCs w:val="21"/>
        </w:rPr>
        <w:t>(k)</w:t>
      </w:r>
      <w:r w:rsidRPr="00D22F5A">
        <w:rPr>
          <w:rFonts w:hint="eastAsia"/>
          <w:sz w:val="21"/>
          <w:szCs w:val="21"/>
        </w:rPr>
        <w:t>。</w:t>
      </w:r>
      <w:r w:rsidRPr="00D22F5A">
        <w:rPr>
          <w:sz w:val="21"/>
          <w:szCs w:val="21"/>
        </w:rPr>
        <w:t>FDA</w:t>
      </w:r>
      <w:r w:rsidRPr="00D22F5A">
        <w:rPr>
          <w:rFonts w:hint="eastAsia"/>
          <w:sz w:val="21"/>
          <w:szCs w:val="21"/>
        </w:rPr>
        <w:t>认为</w:t>
      </w:r>
      <w:r w:rsidR="00C25C8D">
        <w:rPr>
          <w:rFonts w:hint="eastAsia"/>
          <w:sz w:val="21"/>
          <w:szCs w:val="21"/>
        </w:rPr>
        <w:t>简易</w:t>
      </w:r>
      <w:r w:rsidR="00C25C8D">
        <w:rPr>
          <w:rFonts w:hint="eastAsia"/>
          <w:sz w:val="21"/>
          <w:szCs w:val="21"/>
        </w:rPr>
        <w:t>510</w:t>
      </w:r>
      <w:r w:rsidRPr="00D22F5A">
        <w:rPr>
          <w:sz w:val="21"/>
          <w:szCs w:val="21"/>
        </w:rPr>
        <w:t>(k)</w:t>
      </w:r>
      <w:r w:rsidRPr="00D22F5A">
        <w:rPr>
          <w:rFonts w:hint="eastAsia"/>
          <w:sz w:val="21"/>
          <w:szCs w:val="21"/>
        </w:rPr>
        <w:t>提供了证实新器械实质等同性的最简单方法，特别是在</w:t>
      </w:r>
      <w:r w:rsidRPr="00D22F5A">
        <w:rPr>
          <w:sz w:val="21"/>
          <w:szCs w:val="21"/>
        </w:rPr>
        <w:t>FDA</w:t>
      </w:r>
      <w:r w:rsidRPr="00D22F5A">
        <w:rPr>
          <w:rFonts w:hint="eastAsia"/>
          <w:sz w:val="21"/>
          <w:szCs w:val="21"/>
        </w:rPr>
        <w:t>发布</w:t>
      </w:r>
      <w:r w:rsidR="00BF54DE">
        <w:rPr>
          <w:rFonts w:hint="eastAsia"/>
          <w:sz w:val="21"/>
          <w:szCs w:val="21"/>
        </w:rPr>
        <w:t>指南</w:t>
      </w:r>
      <w:r w:rsidRPr="00D22F5A">
        <w:rPr>
          <w:rFonts w:hint="eastAsia"/>
          <w:sz w:val="21"/>
          <w:szCs w:val="21"/>
        </w:rPr>
        <w:t>文件，为器械</w:t>
      </w:r>
      <w:r w:rsidR="006765EA">
        <w:rPr>
          <w:rFonts w:hint="eastAsia"/>
          <w:sz w:val="21"/>
          <w:szCs w:val="21"/>
        </w:rPr>
        <w:t>提交</w:t>
      </w:r>
      <w:r w:rsidRPr="00D22F5A">
        <w:rPr>
          <w:rFonts w:hint="eastAsia"/>
          <w:sz w:val="21"/>
          <w:szCs w:val="21"/>
        </w:rPr>
        <w:t>内容提供建议时。或者，考虑对自己的获许可器械进行改造的制造商也可以通过提交特殊</w:t>
      </w:r>
      <w:r w:rsidRPr="00D22F5A">
        <w:rPr>
          <w:sz w:val="21"/>
          <w:szCs w:val="21"/>
        </w:rPr>
        <w:t>510(k)</w:t>
      </w:r>
      <w:r w:rsidRPr="00D22F5A">
        <w:rPr>
          <w:rFonts w:hint="eastAsia"/>
          <w:sz w:val="21"/>
          <w:szCs w:val="21"/>
        </w:rPr>
        <w:t>来减轻法规负担。</w:t>
      </w:r>
    </w:p>
    <w:p w:rsidR="0096599E" w:rsidRPr="00D22F5A" w:rsidRDefault="0096599E" w:rsidP="00AB6EB3">
      <w:pPr>
        <w:kinsoku w:val="0"/>
        <w:overflowPunct w:val="0"/>
        <w:spacing w:afterLines="50" w:line="360" w:lineRule="auto"/>
        <w:jc w:val="both"/>
        <w:rPr>
          <w:sz w:val="21"/>
          <w:szCs w:val="21"/>
        </w:rPr>
      </w:pPr>
    </w:p>
    <w:p w:rsidR="0096599E" w:rsidRPr="00D22F5A" w:rsidRDefault="0096599E" w:rsidP="00AB6EB3">
      <w:pPr>
        <w:kinsoku w:val="0"/>
        <w:overflowPunct w:val="0"/>
        <w:spacing w:afterLines="50" w:line="360" w:lineRule="auto"/>
        <w:jc w:val="both"/>
        <w:rPr>
          <w:sz w:val="21"/>
          <w:szCs w:val="21"/>
        </w:rPr>
      </w:pPr>
    </w:p>
    <w:p w:rsidR="0096599E" w:rsidRPr="00D22F5A" w:rsidRDefault="0096599E" w:rsidP="00AB6EB3">
      <w:pPr>
        <w:kinsoku w:val="0"/>
        <w:overflowPunct w:val="0"/>
        <w:spacing w:afterLines="50" w:line="360" w:lineRule="auto"/>
        <w:jc w:val="both"/>
        <w:rPr>
          <w:sz w:val="21"/>
          <w:szCs w:val="21"/>
        </w:rPr>
      </w:pPr>
      <w:r w:rsidRPr="00D22F5A">
        <w:rPr>
          <w:sz w:val="21"/>
          <w:szCs w:val="21"/>
        </w:rPr>
        <w:t>________________________________</w:t>
      </w:r>
    </w:p>
    <w:p w:rsidR="0096599E" w:rsidRPr="00D22F5A" w:rsidRDefault="0096599E" w:rsidP="00AB6EB3">
      <w:pPr>
        <w:pStyle w:val="a3"/>
        <w:kinsoku w:val="0"/>
        <w:overflowPunct w:val="0"/>
        <w:spacing w:afterLines="50" w:line="360" w:lineRule="auto"/>
        <w:ind w:left="0"/>
        <w:jc w:val="both"/>
        <w:rPr>
          <w:color w:val="0000FF"/>
          <w:sz w:val="21"/>
          <w:szCs w:val="21"/>
        </w:rPr>
      </w:pPr>
      <w:r w:rsidRPr="00D22F5A">
        <w:rPr>
          <w:sz w:val="21"/>
          <w:szCs w:val="21"/>
          <w:vertAlign w:val="superscript"/>
        </w:rPr>
        <w:t xml:space="preserve">1 </w:t>
      </w:r>
      <w:hyperlink r:id="rId14" w:history="1">
        <w:r w:rsidRPr="00D22F5A">
          <w:rPr>
            <w:color w:val="0000FF"/>
            <w:sz w:val="21"/>
            <w:szCs w:val="21"/>
            <w:u w:val="single"/>
          </w:rPr>
          <w:t>http://www.fda.gov/cdrh/ode/parad510.html</w:t>
        </w:r>
      </w:hyperlink>
    </w:p>
    <w:p w:rsidR="0096599E" w:rsidRPr="00D22F5A" w:rsidRDefault="0096599E" w:rsidP="00AB6EB3">
      <w:pPr>
        <w:pStyle w:val="2"/>
        <w:numPr>
          <w:ilvl w:val="1"/>
          <w:numId w:val="6"/>
        </w:numPr>
        <w:kinsoku w:val="0"/>
        <w:overflowPunct w:val="0"/>
        <w:spacing w:afterLines="50" w:line="360" w:lineRule="auto"/>
        <w:ind w:left="0" w:firstLine="0"/>
        <w:jc w:val="both"/>
        <w:rPr>
          <w:b w:val="0"/>
          <w:bCs w:val="0"/>
          <w:sz w:val="28"/>
          <w:szCs w:val="28"/>
        </w:rPr>
      </w:pPr>
      <w:r w:rsidRPr="00D22F5A">
        <w:rPr>
          <w:sz w:val="21"/>
          <w:szCs w:val="21"/>
        </w:rPr>
        <w:br w:type="page"/>
      </w:r>
      <w:bookmarkStart w:id="15" w:name="_Toc496719712"/>
      <w:r w:rsidR="00C25C8D">
        <w:rPr>
          <w:rFonts w:ascii="宋体" w:eastAsia="宋体" w:hAnsi="宋体" w:hint="eastAsia"/>
          <w:sz w:val="28"/>
          <w:szCs w:val="28"/>
        </w:rPr>
        <w:lastRenderedPageBreak/>
        <w:t>简易510</w:t>
      </w:r>
      <w:r w:rsidR="002514C1" w:rsidRPr="002514C1">
        <w:rPr>
          <w:rFonts w:ascii="宋体" w:eastAsia="宋体" w:hAnsi="宋体"/>
          <w:sz w:val="28"/>
          <w:szCs w:val="28"/>
        </w:rPr>
        <w:t>(k)</w:t>
      </w:r>
      <w:r w:rsidR="002514C1" w:rsidRPr="002514C1">
        <w:rPr>
          <w:rFonts w:ascii="宋体" w:eastAsia="宋体" w:hAnsi="宋体" w:hint="eastAsia"/>
          <w:sz w:val="28"/>
          <w:szCs w:val="28"/>
        </w:rPr>
        <w:t>提交的内容和格式</w:t>
      </w:r>
      <w:bookmarkEnd w:id="15"/>
    </w:p>
    <w:p w:rsidR="0096599E" w:rsidRPr="00D22F5A" w:rsidRDefault="00C25C8D" w:rsidP="00AB6EB3">
      <w:pPr>
        <w:pStyle w:val="3"/>
        <w:kinsoku w:val="0"/>
        <w:overflowPunct w:val="0"/>
        <w:spacing w:afterLines="50" w:line="360" w:lineRule="auto"/>
        <w:ind w:left="0"/>
        <w:jc w:val="both"/>
        <w:rPr>
          <w:b w:val="0"/>
          <w:bCs w:val="0"/>
          <w:sz w:val="21"/>
          <w:szCs w:val="21"/>
        </w:rPr>
      </w:pPr>
      <w:bookmarkStart w:id="16" w:name="_Toc496719713"/>
      <w:r>
        <w:rPr>
          <w:rFonts w:hint="eastAsia"/>
          <w:b w:val="0"/>
          <w:bCs w:val="0"/>
          <w:sz w:val="21"/>
          <w:szCs w:val="21"/>
        </w:rPr>
        <w:t>简易</w:t>
      </w:r>
      <w:r>
        <w:rPr>
          <w:rFonts w:hint="eastAsia"/>
          <w:b w:val="0"/>
          <w:bCs w:val="0"/>
          <w:sz w:val="21"/>
          <w:szCs w:val="21"/>
        </w:rPr>
        <w:t>510</w:t>
      </w:r>
      <w:r w:rsidR="0096599E" w:rsidRPr="00D22F5A">
        <w:rPr>
          <w:b w:val="0"/>
          <w:bCs w:val="0"/>
          <w:sz w:val="21"/>
          <w:szCs w:val="21"/>
        </w:rPr>
        <w:t>(k)</w:t>
      </w:r>
      <w:r w:rsidR="006765EA">
        <w:rPr>
          <w:rFonts w:hint="eastAsia"/>
          <w:b w:val="0"/>
          <w:bCs w:val="0"/>
          <w:sz w:val="21"/>
          <w:szCs w:val="21"/>
        </w:rPr>
        <w:t>提交</w:t>
      </w:r>
      <w:r w:rsidR="0096599E" w:rsidRPr="00D22F5A">
        <w:rPr>
          <w:rFonts w:hint="eastAsia"/>
          <w:b w:val="0"/>
          <w:bCs w:val="0"/>
          <w:sz w:val="21"/>
          <w:szCs w:val="21"/>
        </w:rPr>
        <w:t>必须包括</w:t>
      </w:r>
      <w:r w:rsidR="0096599E" w:rsidRPr="00D22F5A">
        <w:rPr>
          <w:b w:val="0"/>
          <w:bCs w:val="0"/>
          <w:sz w:val="21"/>
          <w:szCs w:val="21"/>
        </w:rPr>
        <w:t>21 CFR 807.87</w:t>
      </w:r>
      <w:r w:rsidR="0096599E" w:rsidRPr="00D22F5A">
        <w:rPr>
          <w:rFonts w:hint="eastAsia"/>
          <w:b w:val="0"/>
          <w:bCs w:val="0"/>
          <w:sz w:val="21"/>
          <w:szCs w:val="21"/>
        </w:rPr>
        <w:t>中确定的要素，其中包括足以描述器械的建议器械标签、其预期用途和使用说明。</w:t>
      </w:r>
      <w:r w:rsidR="0096599E" w:rsidRPr="00D22F5A">
        <w:rPr>
          <w:rFonts w:hint="eastAsia"/>
          <w:b w:val="0"/>
          <w:sz w:val="21"/>
          <w:szCs w:val="21"/>
        </w:rPr>
        <w:t>在</w:t>
      </w:r>
      <w:r>
        <w:rPr>
          <w:rFonts w:hint="eastAsia"/>
          <w:b w:val="0"/>
          <w:sz w:val="21"/>
          <w:szCs w:val="21"/>
        </w:rPr>
        <w:t>简易</w:t>
      </w:r>
      <w:r>
        <w:rPr>
          <w:rFonts w:hint="eastAsia"/>
          <w:b w:val="0"/>
          <w:sz w:val="21"/>
          <w:szCs w:val="21"/>
        </w:rPr>
        <w:t>510</w:t>
      </w:r>
      <w:r w:rsidR="0096599E" w:rsidRPr="00D22F5A">
        <w:rPr>
          <w:b w:val="0"/>
          <w:sz w:val="21"/>
          <w:szCs w:val="21"/>
        </w:rPr>
        <w:t>(k)</w:t>
      </w:r>
      <w:r w:rsidR="0096599E" w:rsidRPr="00D22F5A">
        <w:rPr>
          <w:rFonts w:hint="eastAsia"/>
          <w:b w:val="0"/>
          <w:sz w:val="21"/>
          <w:szCs w:val="21"/>
        </w:rPr>
        <w:t>中，</w:t>
      </w:r>
      <w:r w:rsidR="0096599E" w:rsidRPr="00D22F5A">
        <w:rPr>
          <w:b w:val="0"/>
          <w:sz w:val="21"/>
          <w:szCs w:val="21"/>
        </w:rPr>
        <w:t>FDA</w:t>
      </w:r>
      <w:r w:rsidR="0096599E" w:rsidRPr="00D22F5A">
        <w:rPr>
          <w:rFonts w:hint="eastAsia"/>
          <w:b w:val="0"/>
          <w:sz w:val="21"/>
          <w:szCs w:val="21"/>
        </w:rPr>
        <w:t>会认为总结报告的内容是</w:t>
      </w:r>
      <w:r w:rsidR="0096599E" w:rsidRPr="00D22F5A">
        <w:rPr>
          <w:b w:val="0"/>
          <w:sz w:val="21"/>
          <w:szCs w:val="21"/>
        </w:rPr>
        <w:t>21 CFR 807.87(f)</w:t>
      </w:r>
      <w:r w:rsidR="0096599E" w:rsidRPr="00D22F5A">
        <w:rPr>
          <w:rFonts w:hint="eastAsia"/>
          <w:b w:val="0"/>
          <w:sz w:val="21"/>
          <w:szCs w:val="21"/>
        </w:rPr>
        <w:t>或</w:t>
      </w:r>
      <w:r w:rsidR="0096599E" w:rsidRPr="00D22F5A">
        <w:rPr>
          <w:b w:val="0"/>
          <w:sz w:val="21"/>
          <w:szCs w:val="21"/>
        </w:rPr>
        <w:t>(g)</w:t>
      </w:r>
      <w:r w:rsidR="0096599E" w:rsidRPr="00D22F5A">
        <w:rPr>
          <w:rFonts w:hint="eastAsia"/>
          <w:b w:val="0"/>
          <w:sz w:val="21"/>
          <w:szCs w:val="21"/>
        </w:rPr>
        <w:t>的含义中的适当支持数据；因此，我们建议您纳入总结报告。该报告应说明如何在器械开发和测试过程中使用本特殊控制</w:t>
      </w:r>
      <w:r w:rsidR="00BF54DE">
        <w:rPr>
          <w:rFonts w:hint="eastAsia"/>
          <w:b w:val="0"/>
          <w:sz w:val="21"/>
          <w:szCs w:val="21"/>
        </w:rPr>
        <w:t>指南</w:t>
      </w:r>
      <w:r w:rsidR="0096599E" w:rsidRPr="00D22F5A">
        <w:rPr>
          <w:rFonts w:hint="eastAsia"/>
          <w:b w:val="0"/>
          <w:sz w:val="21"/>
          <w:szCs w:val="21"/>
        </w:rPr>
        <w:t>文件，并应简要说明所采用方法或测试和被应用于解决本</w:t>
      </w:r>
      <w:r w:rsidR="00BF54DE">
        <w:rPr>
          <w:rFonts w:hint="eastAsia"/>
          <w:b w:val="0"/>
          <w:sz w:val="21"/>
          <w:szCs w:val="21"/>
        </w:rPr>
        <w:t>指南</w:t>
      </w:r>
      <w:r w:rsidR="0096599E" w:rsidRPr="00D22F5A">
        <w:rPr>
          <w:rFonts w:hint="eastAsia"/>
          <w:b w:val="0"/>
          <w:sz w:val="21"/>
          <w:szCs w:val="21"/>
        </w:rPr>
        <w:t>文件中所识别出风险以及任何</w:t>
      </w:r>
      <w:r w:rsidR="006765EA">
        <w:rPr>
          <w:rFonts w:hint="eastAsia"/>
          <w:b w:val="0"/>
          <w:sz w:val="21"/>
          <w:szCs w:val="21"/>
        </w:rPr>
        <w:t>其他</w:t>
      </w:r>
      <w:r w:rsidR="0096599E" w:rsidRPr="00D22F5A">
        <w:rPr>
          <w:rFonts w:hint="eastAsia"/>
          <w:b w:val="0"/>
          <w:sz w:val="21"/>
          <w:szCs w:val="21"/>
        </w:rPr>
        <w:t>器械特定风险的测试数据的总结或验收标准的描述。本节提供的信息符合</w:t>
      </w:r>
      <w:r w:rsidR="0096599E" w:rsidRPr="00D22F5A">
        <w:rPr>
          <w:b w:val="0"/>
          <w:bCs w:val="0"/>
          <w:sz w:val="21"/>
          <w:szCs w:val="21"/>
        </w:rPr>
        <w:t>21 CFR 807.87</w:t>
      </w:r>
      <w:r w:rsidR="0096599E" w:rsidRPr="00D22F5A">
        <w:rPr>
          <w:rFonts w:hint="eastAsia"/>
          <w:b w:val="0"/>
          <w:sz w:val="21"/>
          <w:szCs w:val="21"/>
        </w:rPr>
        <w:t>的一些要求以及应包含在</w:t>
      </w:r>
      <w:r>
        <w:rPr>
          <w:rFonts w:hint="eastAsia"/>
          <w:b w:val="0"/>
          <w:sz w:val="21"/>
          <w:szCs w:val="21"/>
        </w:rPr>
        <w:t>简易</w:t>
      </w:r>
      <w:r>
        <w:rPr>
          <w:rFonts w:hint="eastAsia"/>
          <w:b w:val="0"/>
          <w:sz w:val="21"/>
          <w:szCs w:val="21"/>
        </w:rPr>
        <w:t>510</w:t>
      </w:r>
      <w:r w:rsidR="0096599E" w:rsidRPr="00D22F5A">
        <w:rPr>
          <w:b w:val="0"/>
          <w:sz w:val="21"/>
          <w:szCs w:val="21"/>
        </w:rPr>
        <w:t>(k)</w:t>
      </w:r>
      <w:r w:rsidR="0096599E" w:rsidRPr="00D22F5A">
        <w:rPr>
          <w:rFonts w:hint="eastAsia"/>
          <w:b w:val="0"/>
          <w:sz w:val="21"/>
          <w:szCs w:val="21"/>
        </w:rPr>
        <w:t>中的一些</w:t>
      </w:r>
      <w:r w:rsidR="006765EA">
        <w:rPr>
          <w:rFonts w:hint="eastAsia"/>
          <w:b w:val="0"/>
          <w:sz w:val="21"/>
          <w:szCs w:val="21"/>
        </w:rPr>
        <w:t>其他</w:t>
      </w:r>
      <w:r w:rsidR="0096599E" w:rsidRPr="00D22F5A">
        <w:rPr>
          <w:rFonts w:hint="eastAsia"/>
          <w:b w:val="0"/>
          <w:sz w:val="21"/>
          <w:szCs w:val="21"/>
        </w:rPr>
        <w:t>项目。</w:t>
      </w:r>
      <w:bookmarkEnd w:id="16"/>
    </w:p>
    <w:p w:rsidR="0096599E" w:rsidRPr="00D22F5A" w:rsidRDefault="0096599E" w:rsidP="00AB6EB3">
      <w:pPr>
        <w:pStyle w:val="a3"/>
        <w:kinsoku w:val="0"/>
        <w:overflowPunct w:val="0"/>
        <w:spacing w:afterLines="50" w:line="360" w:lineRule="auto"/>
        <w:ind w:leftChars="100" w:left="240"/>
        <w:jc w:val="both"/>
        <w:rPr>
          <w:b/>
          <w:bCs/>
          <w:sz w:val="21"/>
          <w:szCs w:val="21"/>
        </w:rPr>
      </w:pPr>
      <w:r w:rsidRPr="00D22F5A">
        <w:rPr>
          <w:rFonts w:hint="eastAsia"/>
          <w:b/>
          <w:bCs/>
          <w:sz w:val="21"/>
          <w:szCs w:val="21"/>
        </w:rPr>
        <w:t>封面</w:t>
      </w:r>
    </w:p>
    <w:p w:rsidR="0096599E" w:rsidRPr="00D22F5A" w:rsidRDefault="0096599E" w:rsidP="00AB6EB3">
      <w:pPr>
        <w:pStyle w:val="3"/>
        <w:kinsoku w:val="0"/>
        <w:overflowPunct w:val="0"/>
        <w:spacing w:afterLines="50" w:line="360" w:lineRule="auto"/>
        <w:ind w:leftChars="100" w:left="240"/>
        <w:jc w:val="both"/>
        <w:rPr>
          <w:b w:val="0"/>
          <w:bCs w:val="0"/>
          <w:sz w:val="21"/>
          <w:szCs w:val="21"/>
        </w:rPr>
      </w:pPr>
      <w:bookmarkStart w:id="17" w:name="_Toc496719714"/>
      <w:r w:rsidRPr="00D22F5A">
        <w:rPr>
          <w:rFonts w:hint="eastAsia"/>
          <w:b w:val="0"/>
          <w:sz w:val="21"/>
          <w:szCs w:val="21"/>
        </w:rPr>
        <w:t>封面应将</w:t>
      </w:r>
      <w:r w:rsidR="006765EA">
        <w:rPr>
          <w:rFonts w:hint="eastAsia"/>
          <w:b w:val="0"/>
          <w:sz w:val="21"/>
          <w:szCs w:val="21"/>
        </w:rPr>
        <w:t>提交</w:t>
      </w:r>
      <w:r w:rsidRPr="00D22F5A">
        <w:rPr>
          <w:rFonts w:hint="eastAsia"/>
          <w:b w:val="0"/>
          <w:sz w:val="21"/>
          <w:szCs w:val="21"/>
        </w:rPr>
        <w:t>明确确定为</w:t>
      </w:r>
      <w:r w:rsidR="00C25C8D">
        <w:rPr>
          <w:rFonts w:hint="eastAsia"/>
          <w:b w:val="0"/>
          <w:sz w:val="21"/>
          <w:szCs w:val="21"/>
        </w:rPr>
        <w:t>简易</w:t>
      </w:r>
      <w:r w:rsidR="00C25C8D">
        <w:rPr>
          <w:rFonts w:hint="eastAsia"/>
          <w:b w:val="0"/>
          <w:sz w:val="21"/>
          <w:szCs w:val="21"/>
        </w:rPr>
        <w:t>510</w:t>
      </w:r>
      <w:r w:rsidRPr="00D22F5A">
        <w:rPr>
          <w:b w:val="0"/>
          <w:sz w:val="21"/>
          <w:szCs w:val="21"/>
        </w:rPr>
        <w:t>(k)</w:t>
      </w:r>
      <w:r w:rsidRPr="00D22F5A">
        <w:rPr>
          <w:rFonts w:hint="eastAsia"/>
          <w:b w:val="0"/>
          <w:sz w:val="21"/>
          <w:szCs w:val="21"/>
        </w:rPr>
        <w:t>，并引用本</w:t>
      </w:r>
      <w:r w:rsidR="00BF54DE">
        <w:rPr>
          <w:rFonts w:hint="eastAsia"/>
          <w:b w:val="0"/>
          <w:sz w:val="21"/>
          <w:szCs w:val="21"/>
        </w:rPr>
        <w:t>指南</w:t>
      </w:r>
      <w:r w:rsidRPr="00D22F5A">
        <w:rPr>
          <w:rFonts w:hint="eastAsia"/>
          <w:b w:val="0"/>
          <w:sz w:val="21"/>
          <w:szCs w:val="21"/>
        </w:rPr>
        <w:t>文件的标题。</w:t>
      </w:r>
      <w:bookmarkEnd w:id="17"/>
    </w:p>
    <w:p w:rsidR="0096599E" w:rsidRPr="00D22F5A" w:rsidRDefault="0096599E" w:rsidP="00AB6EB3">
      <w:pPr>
        <w:pStyle w:val="a3"/>
        <w:kinsoku w:val="0"/>
        <w:overflowPunct w:val="0"/>
        <w:spacing w:afterLines="50" w:line="360" w:lineRule="auto"/>
        <w:ind w:leftChars="100" w:left="240"/>
        <w:jc w:val="both"/>
        <w:rPr>
          <w:b/>
          <w:bCs/>
          <w:sz w:val="21"/>
          <w:szCs w:val="21"/>
        </w:rPr>
      </w:pPr>
      <w:r w:rsidRPr="00D22F5A">
        <w:rPr>
          <w:rFonts w:hint="eastAsia"/>
          <w:b/>
          <w:bCs/>
          <w:sz w:val="21"/>
          <w:szCs w:val="21"/>
        </w:rPr>
        <w:t>建议标签</w:t>
      </w:r>
    </w:p>
    <w:p w:rsidR="0096599E" w:rsidRPr="00D22F5A" w:rsidRDefault="0096599E" w:rsidP="00AB6EB3">
      <w:pPr>
        <w:pStyle w:val="a3"/>
        <w:kinsoku w:val="0"/>
        <w:overflowPunct w:val="0"/>
        <w:spacing w:afterLines="50" w:line="360" w:lineRule="auto"/>
        <w:ind w:leftChars="100" w:left="240"/>
        <w:jc w:val="both"/>
        <w:rPr>
          <w:sz w:val="21"/>
          <w:szCs w:val="21"/>
        </w:rPr>
      </w:pPr>
      <w:r w:rsidRPr="00D22F5A">
        <w:rPr>
          <w:rFonts w:hint="eastAsia"/>
          <w:sz w:val="21"/>
          <w:szCs w:val="21"/>
        </w:rPr>
        <w:t>建议标签应足以说明器械、其预期用途和使用说明。（有关此类器械的标签中应包括的具体信息，请参考第</w:t>
      </w:r>
      <w:r w:rsidRPr="00D22F5A">
        <w:rPr>
          <w:sz w:val="21"/>
          <w:szCs w:val="21"/>
        </w:rPr>
        <w:t>10</w:t>
      </w:r>
      <w:r w:rsidRPr="00D22F5A">
        <w:rPr>
          <w:rFonts w:hint="eastAsia"/>
          <w:sz w:val="21"/>
          <w:szCs w:val="21"/>
        </w:rPr>
        <w:t>节。）</w:t>
      </w:r>
    </w:p>
    <w:p w:rsidR="0096599E" w:rsidRPr="00D22F5A" w:rsidRDefault="0096599E" w:rsidP="00AB6EB3">
      <w:pPr>
        <w:pStyle w:val="a3"/>
        <w:kinsoku w:val="0"/>
        <w:overflowPunct w:val="0"/>
        <w:spacing w:afterLines="50" w:line="360" w:lineRule="auto"/>
        <w:ind w:leftChars="100" w:left="240"/>
        <w:jc w:val="both"/>
        <w:rPr>
          <w:b/>
          <w:bCs/>
          <w:sz w:val="21"/>
          <w:szCs w:val="21"/>
        </w:rPr>
      </w:pPr>
      <w:r w:rsidRPr="00D22F5A">
        <w:rPr>
          <w:rFonts w:hint="eastAsia"/>
          <w:b/>
          <w:bCs/>
          <w:sz w:val="21"/>
          <w:szCs w:val="21"/>
        </w:rPr>
        <w:t>总结报告</w:t>
      </w:r>
    </w:p>
    <w:p w:rsidR="0096599E" w:rsidRPr="00D22F5A" w:rsidRDefault="0096599E" w:rsidP="00AB6EB3">
      <w:pPr>
        <w:pStyle w:val="a3"/>
        <w:kinsoku w:val="0"/>
        <w:overflowPunct w:val="0"/>
        <w:spacing w:afterLines="50" w:line="360" w:lineRule="auto"/>
        <w:ind w:leftChars="100" w:left="240"/>
        <w:jc w:val="both"/>
        <w:rPr>
          <w:sz w:val="21"/>
          <w:szCs w:val="21"/>
        </w:rPr>
      </w:pPr>
      <w:r w:rsidRPr="00D22F5A">
        <w:rPr>
          <w:rFonts w:hint="eastAsia"/>
          <w:sz w:val="21"/>
          <w:szCs w:val="21"/>
        </w:rPr>
        <w:t>我们建议总结报告包含以下内容：</w:t>
      </w:r>
    </w:p>
    <w:p w:rsidR="0096599E" w:rsidRPr="00D22F5A" w:rsidRDefault="0096599E" w:rsidP="00AB6EB3">
      <w:pPr>
        <w:pStyle w:val="a3"/>
        <w:numPr>
          <w:ilvl w:val="2"/>
          <w:numId w:val="6"/>
        </w:numPr>
        <w:kinsoku w:val="0"/>
        <w:overflowPunct w:val="0"/>
        <w:spacing w:afterLines="50" w:line="360" w:lineRule="auto"/>
        <w:ind w:leftChars="300" w:left="1077" w:hanging="357"/>
        <w:jc w:val="both"/>
        <w:rPr>
          <w:sz w:val="21"/>
          <w:szCs w:val="21"/>
        </w:rPr>
      </w:pPr>
      <w:r w:rsidRPr="00D22F5A">
        <w:rPr>
          <w:rFonts w:hint="eastAsia"/>
          <w:sz w:val="21"/>
          <w:szCs w:val="21"/>
        </w:rPr>
        <w:t>器械及其预期用途的描述。您还应提交“使用</w:t>
      </w:r>
      <w:r w:rsidR="00BF54DE">
        <w:rPr>
          <w:rFonts w:hint="eastAsia"/>
          <w:sz w:val="21"/>
          <w:szCs w:val="21"/>
        </w:rPr>
        <w:t>适应症</w:t>
      </w:r>
      <w:r w:rsidRPr="00D22F5A">
        <w:rPr>
          <w:rFonts w:hint="eastAsia"/>
          <w:sz w:val="21"/>
          <w:szCs w:val="21"/>
        </w:rPr>
        <w:t>”附件</w:t>
      </w:r>
      <w:r w:rsidRPr="00D22F5A">
        <w:rPr>
          <w:sz w:val="21"/>
          <w:szCs w:val="21"/>
          <w:vertAlign w:val="superscript"/>
        </w:rPr>
        <w:t>2</w:t>
      </w:r>
      <w:r w:rsidRPr="00D22F5A">
        <w:rPr>
          <w:rFonts w:hint="eastAsia"/>
          <w:sz w:val="21"/>
          <w:szCs w:val="21"/>
        </w:rPr>
        <w:t>。</w:t>
      </w:r>
    </w:p>
    <w:p w:rsidR="0096599E" w:rsidRPr="00D22F5A" w:rsidRDefault="0096599E" w:rsidP="00AB6EB3">
      <w:pPr>
        <w:pStyle w:val="a3"/>
        <w:numPr>
          <w:ilvl w:val="2"/>
          <w:numId w:val="6"/>
        </w:numPr>
        <w:kinsoku w:val="0"/>
        <w:overflowPunct w:val="0"/>
        <w:spacing w:afterLines="50" w:line="360" w:lineRule="auto"/>
        <w:ind w:leftChars="300" w:left="1077" w:hanging="357"/>
        <w:jc w:val="both"/>
        <w:rPr>
          <w:sz w:val="21"/>
          <w:szCs w:val="21"/>
        </w:rPr>
      </w:pPr>
      <w:r w:rsidRPr="00D22F5A">
        <w:rPr>
          <w:rFonts w:hint="eastAsia"/>
          <w:sz w:val="21"/>
          <w:szCs w:val="21"/>
        </w:rPr>
        <w:t>器械设计描述。我们建议描述包括对性能规格的完整论述以及详细、带标签器械图纸（适当情况下）。</w:t>
      </w:r>
    </w:p>
    <w:p w:rsidR="0096599E" w:rsidRPr="00D22F5A" w:rsidRDefault="0096599E" w:rsidP="00AB6EB3">
      <w:pPr>
        <w:pStyle w:val="a3"/>
        <w:numPr>
          <w:ilvl w:val="2"/>
          <w:numId w:val="6"/>
        </w:numPr>
        <w:kinsoku w:val="0"/>
        <w:overflowPunct w:val="0"/>
        <w:spacing w:afterLines="50" w:line="360" w:lineRule="auto"/>
        <w:ind w:leftChars="300" w:left="1077" w:hanging="357"/>
        <w:jc w:val="both"/>
        <w:rPr>
          <w:sz w:val="21"/>
          <w:szCs w:val="21"/>
        </w:rPr>
      </w:pPr>
      <w:r w:rsidRPr="00D22F5A">
        <w:rPr>
          <w:rFonts w:hint="eastAsia"/>
          <w:sz w:val="21"/>
          <w:szCs w:val="21"/>
        </w:rPr>
        <w:t>通常用于评估风险概况以及特定器械设计和分析结果的风险分析方法的标识。（有关通常与该器械的使用相关的健康风险，参考第</w:t>
      </w:r>
      <w:r w:rsidRPr="00D22F5A">
        <w:rPr>
          <w:sz w:val="21"/>
          <w:szCs w:val="21"/>
        </w:rPr>
        <w:t>5</w:t>
      </w:r>
      <w:r w:rsidRPr="00D22F5A">
        <w:rPr>
          <w:rFonts w:hint="eastAsia"/>
          <w:sz w:val="21"/>
          <w:szCs w:val="21"/>
        </w:rPr>
        <w:t>节。）</w:t>
      </w:r>
    </w:p>
    <w:p w:rsidR="0096599E" w:rsidRPr="00D22F5A" w:rsidRDefault="0096599E" w:rsidP="00AB6EB3">
      <w:pPr>
        <w:kinsoku w:val="0"/>
        <w:overflowPunct w:val="0"/>
        <w:spacing w:afterLines="50" w:line="360" w:lineRule="auto"/>
        <w:jc w:val="both"/>
        <w:rPr>
          <w:sz w:val="21"/>
          <w:szCs w:val="21"/>
        </w:rPr>
      </w:pPr>
      <w:r w:rsidRPr="00D22F5A">
        <w:rPr>
          <w:sz w:val="21"/>
          <w:szCs w:val="21"/>
        </w:rPr>
        <w:t>________________________________</w:t>
      </w:r>
    </w:p>
    <w:p w:rsidR="0096599E" w:rsidRPr="00D22F5A" w:rsidRDefault="0096599E" w:rsidP="00AB6EB3">
      <w:pPr>
        <w:pStyle w:val="a3"/>
        <w:kinsoku w:val="0"/>
        <w:overflowPunct w:val="0"/>
        <w:spacing w:afterLines="50" w:line="360" w:lineRule="auto"/>
        <w:ind w:left="0"/>
        <w:jc w:val="both"/>
        <w:rPr>
          <w:color w:val="000000"/>
          <w:sz w:val="21"/>
          <w:szCs w:val="21"/>
        </w:rPr>
      </w:pPr>
      <w:r w:rsidRPr="00D22F5A">
        <w:rPr>
          <w:sz w:val="21"/>
          <w:szCs w:val="21"/>
          <w:vertAlign w:val="superscript"/>
        </w:rPr>
        <w:t>2</w:t>
      </w:r>
      <w:r w:rsidRPr="00D22F5A">
        <w:rPr>
          <w:rFonts w:hint="eastAsia"/>
          <w:sz w:val="21"/>
          <w:szCs w:val="21"/>
        </w:rPr>
        <w:t>有关建议格式，参考</w:t>
      </w:r>
      <w:r w:rsidRPr="00D22F5A">
        <w:rPr>
          <w:color w:val="0000FF"/>
          <w:sz w:val="21"/>
          <w:szCs w:val="21"/>
          <w:u w:val="single"/>
        </w:rPr>
        <w:t>http://www.fda.gov/cdrh/ode/indicate.html</w:t>
      </w:r>
    </w:p>
    <w:p w:rsidR="0096599E" w:rsidRPr="00D22F5A" w:rsidRDefault="0096599E" w:rsidP="00AB6EB3">
      <w:pPr>
        <w:pStyle w:val="a3"/>
        <w:numPr>
          <w:ilvl w:val="2"/>
          <w:numId w:val="6"/>
        </w:numPr>
        <w:kinsoku w:val="0"/>
        <w:overflowPunct w:val="0"/>
        <w:spacing w:afterLines="50" w:line="360" w:lineRule="auto"/>
        <w:ind w:leftChars="300" w:left="1077" w:hanging="357"/>
        <w:jc w:val="both"/>
        <w:rPr>
          <w:color w:val="000000"/>
          <w:sz w:val="21"/>
          <w:szCs w:val="21"/>
        </w:rPr>
      </w:pPr>
      <w:r w:rsidRPr="00D22F5A">
        <w:rPr>
          <w:sz w:val="21"/>
          <w:szCs w:val="21"/>
        </w:rPr>
        <w:br w:type="page"/>
      </w:r>
      <w:r w:rsidRPr="00D22F5A">
        <w:rPr>
          <w:rFonts w:hint="eastAsia"/>
          <w:sz w:val="21"/>
          <w:szCs w:val="21"/>
        </w:rPr>
        <w:lastRenderedPageBreak/>
        <w:t>可解决本</w:t>
      </w:r>
      <w:r w:rsidR="00BF54DE">
        <w:rPr>
          <w:rFonts w:hint="eastAsia"/>
          <w:sz w:val="21"/>
          <w:szCs w:val="21"/>
        </w:rPr>
        <w:t>指南</w:t>
      </w:r>
      <w:r w:rsidRPr="00D22F5A">
        <w:rPr>
          <w:rFonts w:hint="eastAsia"/>
          <w:sz w:val="21"/>
          <w:szCs w:val="21"/>
        </w:rPr>
        <w:t>文件中所识别出风险以及您的风险分析中所识别出</w:t>
      </w:r>
      <w:r w:rsidR="006765EA">
        <w:rPr>
          <w:rFonts w:hint="eastAsia"/>
          <w:sz w:val="21"/>
          <w:szCs w:val="21"/>
        </w:rPr>
        <w:t>其他</w:t>
      </w:r>
      <w:r w:rsidRPr="00D22F5A">
        <w:rPr>
          <w:rFonts w:hint="eastAsia"/>
          <w:sz w:val="21"/>
          <w:szCs w:val="21"/>
        </w:rPr>
        <w:t>风险的器械特性论述。</w:t>
      </w:r>
    </w:p>
    <w:p w:rsidR="0096599E" w:rsidRPr="00D22F5A" w:rsidRDefault="0096599E" w:rsidP="00AB6EB3">
      <w:pPr>
        <w:pStyle w:val="a3"/>
        <w:numPr>
          <w:ilvl w:val="2"/>
          <w:numId w:val="6"/>
        </w:numPr>
        <w:kinsoku w:val="0"/>
        <w:overflowPunct w:val="0"/>
        <w:spacing w:afterLines="50" w:line="360" w:lineRule="auto"/>
        <w:ind w:leftChars="300" w:left="1077" w:hanging="357"/>
        <w:jc w:val="both"/>
        <w:rPr>
          <w:color w:val="000000"/>
          <w:sz w:val="21"/>
          <w:szCs w:val="21"/>
        </w:rPr>
      </w:pPr>
      <w:r w:rsidRPr="00D22F5A">
        <w:rPr>
          <w:rFonts w:hint="eastAsia"/>
          <w:sz w:val="21"/>
          <w:szCs w:val="21"/>
        </w:rPr>
        <w:t>已经使用或计划用于处理本</w:t>
      </w:r>
      <w:r w:rsidR="00BF54DE">
        <w:rPr>
          <w:rFonts w:hint="eastAsia"/>
          <w:sz w:val="21"/>
          <w:szCs w:val="21"/>
        </w:rPr>
        <w:t>指南</w:t>
      </w:r>
      <w:r w:rsidRPr="00D22F5A">
        <w:rPr>
          <w:rFonts w:hint="eastAsia"/>
          <w:sz w:val="21"/>
          <w:szCs w:val="21"/>
        </w:rPr>
        <w:t>文件的第</w:t>
      </w:r>
      <w:r w:rsidRPr="00D22F5A">
        <w:rPr>
          <w:sz w:val="21"/>
          <w:szCs w:val="21"/>
        </w:rPr>
        <w:t>7-9</w:t>
      </w:r>
      <w:r w:rsidRPr="00D22F5A">
        <w:rPr>
          <w:rFonts w:hint="eastAsia"/>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应（</w:t>
      </w:r>
      <w:r w:rsidRPr="00D22F5A">
        <w:rPr>
          <w:sz w:val="21"/>
          <w:szCs w:val="21"/>
        </w:rPr>
        <w:t>1</w:t>
      </w:r>
      <w:r w:rsidRPr="00D22F5A">
        <w:rPr>
          <w:rFonts w:hint="eastAsia"/>
          <w:sz w:val="21"/>
          <w:szCs w:val="21"/>
        </w:rPr>
        <w:t>）以清晰且简洁的方式简要说明测试产生的数据或（</w:t>
      </w:r>
      <w:r w:rsidRPr="00D22F5A">
        <w:rPr>
          <w:sz w:val="21"/>
          <w:szCs w:val="21"/>
        </w:rPr>
        <w:t>2</w:t>
      </w:r>
      <w:r w:rsidRPr="00D22F5A">
        <w:rPr>
          <w:rFonts w:hint="eastAsia"/>
          <w:sz w:val="21"/>
          <w:szCs w:val="21"/>
        </w:rPr>
        <w:t>）描述您将应用于测试结果的验收标准</w:t>
      </w:r>
      <w:r w:rsidRPr="00D22F5A">
        <w:rPr>
          <w:sz w:val="21"/>
          <w:szCs w:val="21"/>
          <w:vertAlign w:val="superscript"/>
        </w:rPr>
        <w:t>3</w:t>
      </w:r>
      <w:bookmarkStart w:id="18" w:name="OLE_LINK1"/>
      <w:r w:rsidRPr="00D22F5A">
        <w:rPr>
          <w:rFonts w:hint="eastAsia"/>
          <w:sz w:val="21"/>
          <w:szCs w:val="21"/>
        </w:rPr>
        <w:t>（另请参见</w:t>
      </w:r>
      <w:r w:rsidRPr="00D22F5A">
        <w:rPr>
          <w:color w:val="0000FF"/>
          <w:sz w:val="21"/>
          <w:szCs w:val="21"/>
          <w:u w:val="single"/>
        </w:rPr>
        <w:t>21 CFR 820.30</w:t>
      </w:r>
      <w:r w:rsidRPr="00D22F5A">
        <w:rPr>
          <w:color w:val="000000"/>
          <w:sz w:val="21"/>
          <w:szCs w:val="21"/>
        </w:rPr>
        <w:t>,</w:t>
      </w:r>
      <w:r w:rsidRPr="00D22F5A">
        <w:rPr>
          <w:rFonts w:hint="eastAsia"/>
          <w:color w:val="000000"/>
          <w:sz w:val="21"/>
          <w:szCs w:val="21"/>
        </w:rPr>
        <w:t>子部分</w:t>
      </w:r>
      <w:r w:rsidRPr="00D22F5A">
        <w:rPr>
          <w:color w:val="000000"/>
          <w:sz w:val="21"/>
          <w:szCs w:val="21"/>
        </w:rPr>
        <w:t>C—</w:t>
      </w:r>
      <w:r w:rsidRPr="00D22F5A">
        <w:rPr>
          <w:rFonts w:hint="eastAsia"/>
          <w:color w:val="000000"/>
          <w:sz w:val="21"/>
          <w:szCs w:val="21"/>
        </w:rPr>
        <w:t>质量体系法规相关设计控制。）</w:t>
      </w:r>
      <w:bookmarkEnd w:id="18"/>
    </w:p>
    <w:p w:rsidR="0096599E" w:rsidRPr="00D22F5A" w:rsidRDefault="0096599E" w:rsidP="00AB6EB3">
      <w:pPr>
        <w:pStyle w:val="a3"/>
        <w:numPr>
          <w:ilvl w:val="2"/>
          <w:numId w:val="6"/>
        </w:numPr>
        <w:kinsoku w:val="0"/>
        <w:overflowPunct w:val="0"/>
        <w:spacing w:afterLines="50" w:line="360" w:lineRule="auto"/>
        <w:ind w:leftChars="300" w:left="1077" w:hanging="357"/>
        <w:jc w:val="both"/>
        <w:rPr>
          <w:color w:val="000000"/>
          <w:sz w:val="21"/>
          <w:szCs w:val="21"/>
        </w:rPr>
      </w:pPr>
      <w:r w:rsidRPr="00D22F5A">
        <w:rPr>
          <w:rFonts w:hint="eastAsia"/>
          <w:sz w:val="21"/>
          <w:szCs w:val="21"/>
        </w:rPr>
        <w:t>如果您选择依赖于任意器械设计或测试部分的获得认可的标准，则（</w:t>
      </w:r>
      <w:r w:rsidRPr="00D22F5A">
        <w:rPr>
          <w:sz w:val="21"/>
          <w:szCs w:val="21"/>
        </w:rPr>
        <w:t>1</w:t>
      </w:r>
      <w:r w:rsidRPr="00D22F5A">
        <w:rPr>
          <w:rFonts w:hint="eastAsia"/>
          <w:sz w:val="21"/>
          <w:szCs w:val="21"/>
        </w:rPr>
        <w:t>）将在产品上市之前执行测试，并符合指定验收标准的声明或（</w:t>
      </w:r>
      <w:r w:rsidRPr="00D22F5A">
        <w:rPr>
          <w:sz w:val="21"/>
          <w:szCs w:val="21"/>
        </w:rPr>
        <w:t>2</w:t>
      </w:r>
      <w:r w:rsidRPr="00D22F5A">
        <w:rPr>
          <w:rFonts w:hint="eastAsia"/>
          <w:sz w:val="21"/>
          <w:szCs w:val="21"/>
        </w:rPr>
        <w:t>）标准</w:t>
      </w:r>
      <w:r w:rsidR="00BF54DE">
        <w:rPr>
          <w:rFonts w:hint="eastAsia"/>
          <w:sz w:val="21"/>
          <w:szCs w:val="21"/>
        </w:rPr>
        <w:t>合规</w:t>
      </w:r>
      <w:r w:rsidRPr="00D22F5A">
        <w:rPr>
          <w:rFonts w:hint="eastAsia"/>
          <w:sz w:val="21"/>
          <w:szCs w:val="21"/>
        </w:rPr>
        <w:t>声明。</w:t>
      </w:r>
      <w:r w:rsidRPr="00D22F5A">
        <w:rPr>
          <w:sz w:val="21"/>
          <w:szCs w:val="21"/>
          <w:vertAlign w:val="superscript"/>
        </w:rPr>
        <w:t>4</w:t>
      </w:r>
      <w:r w:rsidRPr="00D22F5A">
        <w:rPr>
          <w:rFonts w:hint="eastAsia"/>
          <w:sz w:val="21"/>
          <w:szCs w:val="21"/>
        </w:rPr>
        <w:t>由于</w:t>
      </w:r>
      <w:r w:rsidR="00BF54DE">
        <w:rPr>
          <w:rFonts w:hint="eastAsia"/>
          <w:sz w:val="21"/>
          <w:szCs w:val="21"/>
        </w:rPr>
        <w:t>合规</w:t>
      </w:r>
      <w:r w:rsidRPr="00D22F5A">
        <w:rPr>
          <w:rFonts w:hint="eastAsia"/>
          <w:sz w:val="21"/>
          <w:szCs w:val="21"/>
        </w:rPr>
        <w:t>声明以测试结果为基础，因此我们认为在完成标准描述的测试之前，您无法正确提交</w:t>
      </w:r>
      <w:r w:rsidR="00BF54DE">
        <w:rPr>
          <w:rFonts w:hint="eastAsia"/>
          <w:sz w:val="21"/>
          <w:szCs w:val="21"/>
        </w:rPr>
        <w:t>合规</w:t>
      </w:r>
      <w:r w:rsidRPr="00D22F5A">
        <w:rPr>
          <w:rFonts w:hint="eastAsia"/>
          <w:sz w:val="21"/>
          <w:szCs w:val="21"/>
        </w:rPr>
        <w:t>声明。有关更多信息，请参考该法案的第</w:t>
      </w:r>
      <w:r w:rsidRPr="00D22F5A">
        <w:rPr>
          <w:sz w:val="21"/>
          <w:szCs w:val="21"/>
        </w:rPr>
        <w:t>514(c)(1)(B)</w:t>
      </w:r>
      <w:r w:rsidRPr="00D22F5A">
        <w:rPr>
          <w:rFonts w:hint="eastAsia"/>
          <w:sz w:val="21"/>
          <w:szCs w:val="21"/>
        </w:rPr>
        <w:t>部分和</w:t>
      </w:r>
      <w:r w:rsidRPr="00D22F5A">
        <w:rPr>
          <w:sz w:val="21"/>
          <w:szCs w:val="21"/>
        </w:rPr>
        <w:t>FDA</w:t>
      </w:r>
      <w:r w:rsidR="00BF54DE">
        <w:rPr>
          <w:rFonts w:hint="eastAsia"/>
          <w:sz w:val="21"/>
          <w:szCs w:val="21"/>
        </w:rPr>
        <w:t>指南</w:t>
      </w:r>
      <w:r w:rsidRPr="00D22F5A">
        <w:rPr>
          <w:rFonts w:hint="eastAsia"/>
          <w:sz w:val="21"/>
          <w:szCs w:val="21"/>
        </w:rPr>
        <w:t>文件，</w:t>
      </w:r>
      <w:r w:rsidRPr="00D22F5A">
        <w:rPr>
          <w:rFonts w:hint="eastAsia"/>
          <w:b/>
          <w:sz w:val="21"/>
          <w:szCs w:val="21"/>
        </w:rPr>
        <w:t>实质等同性确定中</w:t>
      </w:r>
      <w:r w:rsidRPr="00D22F5A">
        <w:rPr>
          <w:rFonts w:hint="eastAsia"/>
          <w:b/>
          <w:bCs/>
          <w:sz w:val="21"/>
          <w:szCs w:val="21"/>
        </w:rPr>
        <w:t>标准的使用；最终行业和</w:t>
      </w:r>
      <w:r w:rsidRPr="00D22F5A">
        <w:rPr>
          <w:b/>
          <w:bCs/>
          <w:sz w:val="21"/>
          <w:szCs w:val="21"/>
        </w:rPr>
        <w:t>FDA</w:t>
      </w:r>
      <w:r w:rsidR="00BF54DE">
        <w:rPr>
          <w:rFonts w:hint="eastAsia"/>
          <w:b/>
          <w:bCs/>
          <w:sz w:val="21"/>
          <w:szCs w:val="21"/>
        </w:rPr>
        <w:t>指南</w:t>
      </w:r>
      <w:r w:rsidRPr="00D22F5A">
        <w:rPr>
          <w:rFonts w:hint="eastAsia"/>
          <w:b/>
          <w:bCs/>
          <w:sz w:val="21"/>
          <w:szCs w:val="21"/>
        </w:rPr>
        <w:t>文件，</w:t>
      </w:r>
      <w:hyperlink r:id="rId15" w:history="1">
        <w:r w:rsidRPr="00D22F5A">
          <w:rPr>
            <w:color w:val="0000FF"/>
            <w:sz w:val="21"/>
            <w:szCs w:val="21"/>
            <w:u w:val="single"/>
          </w:rPr>
          <w:t>http://www.fda.gov/cdrh/ode/guidance/1131.html</w:t>
        </w:r>
      </w:hyperlink>
      <w:r w:rsidRPr="00D22F5A">
        <w:rPr>
          <w:rFonts w:hint="eastAsia"/>
          <w:color w:val="000000"/>
          <w:sz w:val="21"/>
          <w:szCs w:val="21"/>
        </w:rPr>
        <w:t>。</w:t>
      </w:r>
    </w:p>
    <w:p w:rsidR="0096599E" w:rsidRPr="00D22F5A" w:rsidRDefault="0096599E" w:rsidP="00AB6EB3">
      <w:pPr>
        <w:pStyle w:val="a3"/>
        <w:kinsoku w:val="0"/>
        <w:overflowPunct w:val="0"/>
        <w:spacing w:afterLines="50" w:line="360" w:lineRule="auto"/>
        <w:ind w:left="1134"/>
        <w:jc w:val="both"/>
        <w:rPr>
          <w:sz w:val="21"/>
          <w:szCs w:val="21"/>
        </w:rPr>
      </w:pPr>
      <w:r w:rsidRPr="00D22F5A">
        <w:rPr>
          <w:rFonts w:hint="eastAsia"/>
          <w:sz w:val="21"/>
          <w:szCs w:val="21"/>
        </w:rPr>
        <w:t>如果不清楚如何解决</w:t>
      </w:r>
      <w:r w:rsidRPr="00D22F5A">
        <w:rPr>
          <w:sz w:val="21"/>
          <w:szCs w:val="21"/>
        </w:rPr>
        <w:t>FDA</w:t>
      </w:r>
      <w:r w:rsidRPr="00D22F5A">
        <w:rPr>
          <w:rFonts w:hint="eastAsia"/>
          <w:sz w:val="21"/>
          <w:szCs w:val="21"/>
        </w:rPr>
        <w:t>识别出的风险或通过风险分析识别出的风险，我们会要求提供器械性能特性方面的相关附加信息。我们还会要求提供需要用于评估验收标准充分性的附加信息。（依据</w:t>
      </w:r>
      <w:r w:rsidRPr="00D22F5A">
        <w:rPr>
          <w:sz w:val="21"/>
          <w:szCs w:val="21"/>
        </w:rPr>
        <w:t>21 CFR 807.87(l)</w:t>
      </w:r>
      <w:r w:rsidRPr="00D22F5A">
        <w:rPr>
          <w:rFonts w:hint="eastAsia"/>
          <w:sz w:val="21"/>
          <w:szCs w:val="21"/>
        </w:rPr>
        <w:t>，我们会要求提供确定实质等同性所需附加信息。）</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作为提交</w:t>
      </w:r>
      <w:r w:rsidR="00C25C8D">
        <w:rPr>
          <w:rFonts w:hint="eastAsia"/>
          <w:sz w:val="21"/>
          <w:szCs w:val="21"/>
        </w:rPr>
        <w:t>简易</w:t>
      </w:r>
      <w:r w:rsidR="00C25C8D">
        <w:rPr>
          <w:rFonts w:hint="eastAsia"/>
          <w:sz w:val="21"/>
          <w:szCs w:val="21"/>
        </w:rPr>
        <w:t>510</w:t>
      </w:r>
      <w:r w:rsidRPr="00D22F5A">
        <w:rPr>
          <w:sz w:val="21"/>
          <w:szCs w:val="21"/>
        </w:rPr>
        <w:t>(k)</w:t>
      </w:r>
      <w:r w:rsidRPr="00D22F5A">
        <w:rPr>
          <w:rFonts w:hint="eastAsia"/>
          <w:sz w:val="21"/>
          <w:szCs w:val="21"/>
        </w:rPr>
        <w:t>的替代方法，您可提交传统</w:t>
      </w:r>
      <w:r w:rsidRPr="00D22F5A">
        <w:rPr>
          <w:sz w:val="21"/>
          <w:szCs w:val="21"/>
        </w:rPr>
        <w:t>510(k)</w:t>
      </w:r>
      <w:r w:rsidRPr="00D22F5A">
        <w:rPr>
          <w:rFonts w:hint="eastAsia"/>
          <w:sz w:val="21"/>
          <w:szCs w:val="21"/>
        </w:rPr>
        <w:t>，其中应提供</w:t>
      </w:r>
      <w:r w:rsidRPr="00D22F5A">
        <w:rPr>
          <w:sz w:val="21"/>
          <w:szCs w:val="21"/>
        </w:rPr>
        <w:t>21 CFR 807.87</w:t>
      </w:r>
      <w:r w:rsidRPr="00D22F5A">
        <w:rPr>
          <w:rFonts w:hint="eastAsia"/>
          <w:sz w:val="21"/>
          <w:szCs w:val="21"/>
        </w:rPr>
        <w:t>要求的所有信息和数据以及本</w:t>
      </w:r>
      <w:r w:rsidR="00BF54DE">
        <w:rPr>
          <w:rFonts w:hint="eastAsia"/>
          <w:sz w:val="21"/>
          <w:szCs w:val="21"/>
        </w:rPr>
        <w:t>指南</w:t>
      </w:r>
      <w:r w:rsidRPr="00D22F5A">
        <w:rPr>
          <w:rFonts w:hint="eastAsia"/>
          <w:sz w:val="21"/>
          <w:szCs w:val="21"/>
        </w:rPr>
        <w:t>文件中所示所有信息和数据。传统</w:t>
      </w:r>
      <w:r w:rsidRPr="00D22F5A">
        <w:rPr>
          <w:sz w:val="21"/>
          <w:szCs w:val="21"/>
        </w:rPr>
        <w:t>510(k)</w:t>
      </w:r>
      <w:r w:rsidRPr="00D22F5A">
        <w:rPr>
          <w:rFonts w:hint="eastAsia"/>
          <w:sz w:val="21"/>
          <w:szCs w:val="21"/>
        </w:rPr>
        <w:t>应包含您的方法、数据、验收标准和结论。考虑对获认可器械进行改造的制造商应考虑提交特殊</w:t>
      </w:r>
      <w:r w:rsidRPr="00D22F5A">
        <w:rPr>
          <w:sz w:val="21"/>
          <w:szCs w:val="21"/>
        </w:rPr>
        <w:t>510(k)</w:t>
      </w:r>
      <w:r w:rsidRPr="00D22F5A">
        <w:rPr>
          <w:rFonts w:hint="eastAsia"/>
          <w:sz w:val="21"/>
          <w:szCs w:val="21"/>
        </w:rPr>
        <w:t>。</w:t>
      </w:r>
    </w:p>
    <w:p w:rsidR="0096599E" w:rsidRPr="00D22F5A" w:rsidRDefault="0096599E" w:rsidP="00AB6EB3">
      <w:pPr>
        <w:pStyle w:val="2"/>
        <w:numPr>
          <w:ilvl w:val="1"/>
          <w:numId w:val="6"/>
        </w:numPr>
        <w:kinsoku w:val="0"/>
        <w:overflowPunct w:val="0"/>
        <w:spacing w:afterLines="50" w:line="360" w:lineRule="auto"/>
        <w:ind w:left="0" w:firstLine="0"/>
        <w:jc w:val="both"/>
        <w:rPr>
          <w:b w:val="0"/>
          <w:bCs w:val="0"/>
          <w:sz w:val="28"/>
          <w:szCs w:val="28"/>
        </w:rPr>
      </w:pPr>
      <w:bookmarkStart w:id="19" w:name="_Toc496719715"/>
      <w:r w:rsidRPr="00D22F5A">
        <w:rPr>
          <w:rFonts w:hint="eastAsia"/>
          <w:sz w:val="28"/>
          <w:szCs w:val="28"/>
        </w:rPr>
        <w:t>范围</w:t>
      </w:r>
      <w:bookmarkEnd w:id="19"/>
    </w:p>
    <w:p w:rsidR="0096599E" w:rsidRPr="00D22F5A" w:rsidRDefault="0096599E" w:rsidP="00AB6EB3">
      <w:pPr>
        <w:kinsoku w:val="0"/>
        <w:overflowPunct w:val="0"/>
        <w:spacing w:afterLines="50" w:line="360" w:lineRule="auto"/>
        <w:jc w:val="both"/>
        <w:rPr>
          <w:sz w:val="21"/>
          <w:szCs w:val="21"/>
        </w:rPr>
      </w:pPr>
    </w:p>
    <w:p w:rsidR="0096599E" w:rsidRPr="00D22F5A" w:rsidRDefault="0096599E" w:rsidP="00AB6EB3">
      <w:pPr>
        <w:kinsoku w:val="0"/>
        <w:overflowPunct w:val="0"/>
        <w:spacing w:afterLines="50" w:line="360" w:lineRule="auto"/>
        <w:jc w:val="both"/>
        <w:rPr>
          <w:sz w:val="21"/>
          <w:szCs w:val="21"/>
        </w:rPr>
      </w:pPr>
    </w:p>
    <w:p w:rsidR="0096599E" w:rsidRPr="00D22F5A" w:rsidRDefault="0096599E" w:rsidP="00AB6EB3">
      <w:pPr>
        <w:kinsoku w:val="0"/>
        <w:overflowPunct w:val="0"/>
        <w:spacing w:afterLines="50" w:line="360" w:lineRule="auto"/>
        <w:jc w:val="both"/>
        <w:rPr>
          <w:sz w:val="21"/>
          <w:szCs w:val="21"/>
        </w:rPr>
      </w:pPr>
      <w:r w:rsidRPr="00D22F5A">
        <w:rPr>
          <w:sz w:val="21"/>
          <w:szCs w:val="21"/>
        </w:rPr>
        <w:t>________________________________</w:t>
      </w:r>
    </w:p>
    <w:p w:rsidR="0096599E" w:rsidRPr="00D22F5A" w:rsidRDefault="0096599E" w:rsidP="00AB6EB3">
      <w:pPr>
        <w:pStyle w:val="a3"/>
        <w:numPr>
          <w:ilvl w:val="0"/>
          <w:numId w:val="9"/>
        </w:numPr>
        <w:kinsoku w:val="0"/>
        <w:overflowPunct w:val="0"/>
        <w:spacing w:afterLines="50" w:line="360" w:lineRule="auto"/>
        <w:ind w:left="424" w:hangingChars="202" w:hanging="424"/>
        <w:jc w:val="both"/>
        <w:rPr>
          <w:sz w:val="21"/>
          <w:szCs w:val="21"/>
        </w:rPr>
      </w:pPr>
      <w:r w:rsidRPr="00D22F5A">
        <w:rPr>
          <w:rFonts w:hint="eastAsia"/>
          <w:sz w:val="21"/>
          <w:szCs w:val="21"/>
        </w:rPr>
        <w:t>如果</w:t>
      </w:r>
      <w:r w:rsidRPr="00D22F5A">
        <w:rPr>
          <w:sz w:val="21"/>
          <w:szCs w:val="21"/>
        </w:rPr>
        <w:t>FDA</w:t>
      </w:r>
      <w:r w:rsidRPr="00D22F5A">
        <w:rPr>
          <w:rFonts w:hint="eastAsia"/>
          <w:sz w:val="21"/>
          <w:szCs w:val="21"/>
        </w:rPr>
        <w:t>基于验收标准确定实质等同性，则在引入州际贸易之前，应对受试器械进行测试，并表明其符合这些验收标准。</w:t>
      </w:r>
    </w:p>
    <w:p w:rsidR="0096599E" w:rsidRPr="00D22F5A" w:rsidRDefault="0096599E" w:rsidP="00AB6EB3">
      <w:pPr>
        <w:pStyle w:val="a3"/>
        <w:numPr>
          <w:ilvl w:val="0"/>
          <w:numId w:val="9"/>
        </w:numPr>
        <w:kinsoku w:val="0"/>
        <w:overflowPunct w:val="0"/>
        <w:spacing w:afterLines="50" w:line="360" w:lineRule="auto"/>
        <w:ind w:left="424" w:hangingChars="202" w:hanging="424"/>
        <w:jc w:val="both"/>
        <w:rPr>
          <w:sz w:val="21"/>
          <w:szCs w:val="21"/>
        </w:rPr>
      </w:pPr>
      <w:r w:rsidRPr="00D22F5A">
        <w:rPr>
          <w:rFonts w:hint="eastAsia"/>
          <w:sz w:val="21"/>
          <w:szCs w:val="21"/>
        </w:rPr>
        <w:t>参见获得认可的标准</w:t>
      </w:r>
      <w:r w:rsidR="00BF54DE">
        <w:rPr>
          <w:rFonts w:hint="eastAsia"/>
          <w:sz w:val="21"/>
          <w:szCs w:val="21"/>
        </w:rPr>
        <w:t>合规</w:t>
      </w:r>
      <w:r w:rsidRPr="00D22F5A">
        <w:rPr>
          <w:rFonts w:hint="eastAsia"/>
          <w:sz w:val="21"/>
          <w:szCs w:val="21"/>
        </w:rPr>
        <w:t>声明所需要素（筛选所有上市前通知</w:t>
      </w:r>
      <w:r w:rsidRPr="00D22F5A">
        <w:rPr>
          <w:sz w:val="21"/>
          <w:szCs w:val="21"/>
        </w:rPr>
        <w:t>[510(k)]</w:t>
      </w:r>
      <w:r w:rsidR="006765EA">
        <w:rPr>
          <w:rFonts w:hint="eastAsia"/>
          <w:sz w:val="21"/>
          <w:szCs w:val="21"/>
        </w:rPr>
        <w:t>提交</w:t>
      </w:r>
      <w:r w:rsidRPr="00D22F5A">
        <w:rPr>
          <w:rFonts w:hint="eastAsia"/>
          <w:sz w:val="21"/>
          <w:szCs w:val="21"/>
        </w:rPr>
        <w:t>的检查表）</w:t>
      </w:r>
      <w:hyperlink r:id="rId16" w:history="1">
        <w:r w:rsidRPr="00D22F5A">
          <w:rPr>
            <w:rStyle w:val="ab"/>
            <w:sz w:val="21"/>
            <w:szCs w:val="21"/>
          </w:rPr>
          <w:t>http://www.fda.gov/cdrh/ode/reqrecstand.html</w:t>
        </w:r>
      </w:hyperlink>
      <w:r w:rsidRPr="00D22F5A">
        <w:rPr>
          <w:rStyle w:val="ab"/>
          <w:rFonts w:hint="eastAsia"/>
          <w:color w:val="000000"/>
          <w:sz w:val="21"/>
          <w:szCs w:val="21"/>
          <w:u w:val="none"/>
        </w:rPr>
        <w:t>。</w:t>
      </w:r>
    </w:p>
    <w:p w:rsidR="0096599E" w:rsidRPr="00D22F5A" w:rsidRDefault="0096599E" w:rsidP="00AB6EB3">
      <w:pPr>
        <w:pStyle w:val="a3"/>
        <w:kinsoku w:val="0"/>
        <w:overflowPunct w:val="0"/>
        <w:spacing w:afterLines="50" w:line="360" w:lineRule="auto"/>
        <w:ind w:left="0"/>
        <w:jc w:val="both"/>
        <w:rPr>
          <w:sz w:val="21"/>
          <w:szCs w:val="21"/>
        </w:rPr>
      </w:pPr>
      <w:r w:rsidRPr="00D22F5A">
        <w:rPr>
          <w:sz w:val="21"/>
          <w:szCs w:val="21"/>
        </w:rPr>
        <w:br w:type="page"/>
      </w:r>
      <w:r w:rsidRPr="00D22F5A">
        <w:rPr>
          <w:rFonts w:hint="eastAsia"/>
          <w:sz w:val="21"/>
          <w:szCs w:val="21"/>
        </w:rPr>
        <w:lastRenderedPageBreak/>
        <w:t>本文件的范围限于</w:t>
      </w:r>
      <w:r w:rsidRPr="00D22F5A">
        <w:rPr>
          <w:sz w:val="21"/>
          <w:szCs w:val="21"/>
        </w:rPr>
        <w:t>21 CFR 866.6030</w:t>
      </w:r>
      <w:r w:rsidRPr="00D22F5A">
        <w:rPr>
          <w:rFonts w:hint="eastAsia"/>
          <w:sz w:val="21"/>
          <w:szCs w:val="21"/>
        </w:rPr>
        <w:t>（产品代码：</w:t>
      </w:r>
      <w:r w:rsidRPr="00D22F5A">
        <w:rPr>
          <w:sz w:val="21"/>
          <w:szCs w:val="21"/>
        </w:rPr>
        <w:t>NSF</w:t>
      </w:r>
      <w:r w:rsidRPr="00D22F5A">
        <w:rPr>
          <w:rFonts w:hint="eastAsia"/>
          <w:sz w:val="21"/>
          <w:szCs w:val="21"/>
        </w:rPr>
        <w:t>）中描述的以下器械：</w:t>
      </w:r>
    </w:p>
    <w:p w:rsidR="0096599E" w:rsidRPr="00D22F5A" w:rsidRDefault="0096599E" w:rsidP="00AB6EB3">
      <w:pPr>
        <w:pStyle w:val="a3"/>
        <w:kinsoku w:val="0"/>
        <w:overflowPunct w:val="0"/>
        <w:spacing w:afterLines="50" w:line="360" w:lineRule="auto"/>
        <w:ind w:left="0"/>
        <w:jc w:val="both"/>
        <w:rPr>
          <w:sz w:val="21"/>
          <w:szCs w:val="21"/>
          <w:u w:val="single"/>
        </w:rPr>
      </w:pPr>
      <w:r w:rsidRPr="00D22F5A">
        <w:rPr>
          <w:sz w:val="21"/>
          <w:szCs w:val="21"/>
          <w:u w:val="single"/>
        </w:rPr>
        <w:t>21 CFR 866.6030</w:t>
      </w:r>
      <w:r w:rsidRPr="00D22F5A">
        <w:rPr>
          <w:sz w:val="21"/>
          <w:szCs w:val="21"/>
        </w:rPr>
        <w:t>AFP-L3</w:t>
      </w:r>
      <w:r w:rsidRPr="004B3601">
        <w:rPr>
          <w:sz w:val="21"/>
          <w:szCs w:val="21"/>
        </w:rPr>
        <w:t>%</w:t>
      </w:r>
      <w:r w:rsidRPr="00D22F5A">
        <w:rPr>
          <w:rFonts w:hint="eastAsia"/>
          <w:sz w:val="21"/>
          <w:szCs w:val="21"/>
        </w:rPr>
        <w:t>免疫学检测系统。</w:t>
      </w:r>
    </w:p>
    <w:p w:rsidR="0096599E" w:rsidRPr="00D22F5A" w:rsidRDefault="0096599E" w:rsidP="00AB6EB3">
      <w:pPr>
        <w:pStyle w:val="a3"/>
        <w:kinsoku w:val="0"/>
        <w:overflowPunct w:val="0"/>
        <w:spacing w:afterLines="50" w:line="360" w:lineRule="auto"/>
        <w:ind w:left="0"/>
        <w:jc w:val="both"/>
        <w:rPr>
          <w:sz w:val="21"/>
          <w:szCs w:val="21"/>
        </w:rPr>
      </w:pPr>
      <w:r w:rsidRPr="00D22F5A">
        <w:rPr>
          <w:sz w:val="21"/>
          <w:szCs w:val="21"/>
        </w:rPr>
        <w:t>AFP-</w:t>
      </w:r>
      <w:r>
        <w:rPr>
          <w:sz w:val="21"/>
          <w:szCs w:val="21"/>
        </w:rPr>
        <w:t>L</w:t>
      </w:r>
      <w:r w:rsidRPr="00D22F5A">
        <w:rPr>
          <w:sz w:val="21"/>
          <w:szCs w:val="21"/>
        </w:rPr>
        <w:t>3%</w:t>
      </w:r>
      <w:r w:rsidRPr="00D22F5A">
        <w:rPr>
          <w:rFonts w:hint="eastAsia"/>
          <w:sz w:val="21"/>
          <w:szCs w:val="21"/>
        </w:rPr>
        <w:t>的免疫学检测系统是一种体外器械，其由试剂和通过免疫化学技术定量测量人血清中的</w:t>
      </w:r>
      <w:r w:rsidRPr="00D22F5A">
        <w:rPr>
          <w:sz w:val="21"/>
          <w:szCs w:val="21"/>
        </w:rPr>
        <w:t>AFP</w:t>
      </w:r>
      <w:r w:rsidRPr="00D22F5A">
        <w:rPr>
          <w:rFonts w:hint="eastAsia"/>
          <w:sz w:val="21"/>
          <w:szCs w:val="21"/>
        </w:rPr>
        <w:t>和</w:t>
      </w:r>
      <w:r w:rsidRPr="00D22F5A">
        <w:rPr>
          <w:sz w:val="21"/>
          <w:szCs w:val="21"/>
        </w:rPr>
        <w:t>AFP-L3</w:t>
      </w:r>
      <w:r w:rsidRPr="00D22F5A">
        <w:rPr>
          <w:rFonts w:hint="eastAsia"/>
          <w:sz w:val="21"/>
          <w:szCs w:val="21"/>
        </w:rPr>
        <w:t>亚组分的自动化仪器组成。该器械旨在用于体外诊断，以便与</w:t>
      </w:r>
      <w:r w:rsidR="006765EA">
        <w:rPr>
          <w:rFonts w:hint="eastAsia"/>
          <w:sz w:val="21"/>
          <w:szCs w:val="21"/>
        </w:rPr>
        <w:t>其他</w:t>
      </w:r>
      <w:r w:rsidRPr="00D22F5A">
        <w:rPr>
          <w:rFonts w:hint="eastAsia"/>
          <w:sz w:val="21"/>
          <w:szCs w:val="21"/>
        </w:rPr>
        <w:t>实验室结果、影像学研究和临床评估一起帮助对慢性肝病患者肝细胞癌的发展进行风险评估。</w:t>
      </w:r>
    </w:p>
    <w:p w:rsidR="0096599E" w:rsidRPr="00D22F5A" w:rsidRDefault="0096599E" w:rsidP="00AB6EB3">
      <w:pPr>
        <w:pStyle w:val="2"/>
        <w:numPr>
          <w:ilvl w:val="1"/>
          <w:numId w:val="6"/>
        </w:numPr>
        <w:kinsoku w:val="0"/>
        <w:overflowPunct w:val="0"/>
        <w:spacing w:afterLines="50" w:line="360" w:lineRule="auto"/>
        <w:ind w:left="0" w:firstLine="0"/>
        <w:jc w:val="both"/>
        <w:rPr>
          <w:b w:val="0"/>
          <w:bCs w:val="0"/>
          <w:sz w:val="28"/>
          <w:szCs w:val="28"/>
        </w:rPr>
      </w:pPr>
      <w:bookmarkStart w:id="20" w:name="_Toc496719716"/>
      <w:r w:rsidRPr="00D22F5A">
        <w:rPr>
          <w:rFonts w:hint="eastAsia"/>
          <w:sz w:val="28"/>
          <w:szCs w:val="28"/>
        </w:rPr>
        <w:t>健康风险</w:t>
      </w:r>
      <w:bookmarkEnd w:id="20"/>
    </w:p>
    <w:p w:rsidR="0096599E" w:rsidRPr="00D22F5A" w:rsidRDefault="0096599E" w:rsidP="00AB6EB3">
      <w:pPr>
        <w:pStyle w:val="a3"/>
        <w:kinsoku w:val="0"/>
        <w:overflowPunct w:val="0"/>
        <w:spacing w:afterLines="50" w:line="360" w:lineRule="auto"/>
        <w:ind w:left="0"/>
        <w:jc w:val="both"/>
        <w:rPr>
          <w:sz w:val="21"/>
          <w:szCs w:val="21"/>
        </w:rPr>
      </w:pPr>
      <w:r w:rsidRPr="00D22F5A">
        <w:rPr>
          <w:sz w:val="21"/>
          <w:szCs w:val="21"/>
        </w:rPr>
        <w:t>AFP-L3</w:t>
      </w:r>
      <w:r w:rsidRPr="004B3601">
        <w:rPr>
          <w:sz w:val="21"/>
          <w:szCs w:val="21"/>
        </w:rPr>
        <w:t>%</w:t>
      </w:r>
      <w:r w:rsidRPr="00D22F5A">
        <w:rPr>
          <w:rFonts w:hint="eastAsia"/>
          <w:sz w:val="21"/>
          <w:szCs w:val="21"/>
        </w:rPr>
        <w:t>免疫学检测系统未能按照预期运行或结果判读错误可能会导致不准确风险评估和慢性肝病患者的不当治疗。具体来说，假的低</w:t>
      </w:r>
      <w:r w:rsidRPr="00D22F5A">
        <w:rPr>
          <w:sz w:val="21"/>
          <w:szCs w:val="21"/>
        </w:rPr>
        <w:t>AFP-L3</w:t>
      </w:r>
      <w:r w:rsidRPr="004B3601">
        <w:rPr>
          <w:sz w:val="21"/>
          <w:szCs w:val="21"/>
        </w:rPr>
        <w:t>%</w:t>
      </w:r>
      <w:r w:rsidRPr="00D22F5A">
        <w:rPr>
          <w:rFonts w:hint="eastAsia"/>
          <w:sz w:val="21"/>
          <w:szCs w:val="21"/>
        </w:rPr>
        <w:t>可能会导致将患者发展肝细胞癌的风险确定为较低，进而可能延迟适当监测和治疗。假的高</w:t>
      </w:r>
      <w:r w:rsidRPr="00D22F5A">
        <w:rPr>
          <w:sz w:val="21"/>
          <w:szCs w:val="21"/>
        </w:rPr>
        <w:t>AFP-L3</w:t>
      </w:r>
      <w:r w:rsidRPr="004B3601">
        <w:rPr>
          <w:sz w:val="21"/>
          <w:szCs w:val="21"/>
        </w:rPr>
        <w:t>%</w:t>
      </w:r>
      <w:r w:rsidRPr="00D22F5A">
        <w:rPr>
          <w:rFonts w:hint="eastAsia"/>
          <w:sz w:val="21"/>
          <w:szCs w:val="21"/>
        </w:rPr>
        <w:t>可能会导致将患者发展肝细胞癌的风险确定为较高，进而可能导致不必要评价和测试或不当治疗决定。在不考虑</w:t>
      </w:r>
      <w:r w:rsidR="006765EA">
        <w:rPr>
          <w:rFonts w:hint="eastAsia"/>
          <w:sz w:val="21"/>
          <w:szCs w:val="21"/>
        </w:rPr>
        <w:t>其他</w:t>
      </w:r>
      <w:r w:rsidRPr="00D22F5A">
        <w:rPr>
          <w:rFonts w:hint="eastAsia"/>
          <w:sz w:val="21"/>
          <w:szCs w:val="21"/>
        </w:rPr>
        <w:t>实验室结果、影像学研究和临床评估的情况下，试验结果的使用也可能会构成风险。</w:t>
      </w:r>
    </w:p>
    <w:p w:rsidR="0096599E" w:rsidRPr="00D22F5A" w:rsidRDefault="0096599E" w:rsidP="00AB6EB3">
      <w:pPr>
        <w:pStyle w:val="a3"/>
        <w:kinsoku w:val="0"/>
        <w:overflowPunct w:val="0"/>
        <w:spacing w:afterLines="50" w:line="360" w:lineRule="auto"/>
        <w:jc w:val="both"/>
        <w:rPr>
          <w:sz w:val="21"/>
          <w:szCs w:val="21"/>
        </w:rPr>
      </w:pPr>
      <w:r w:rsidRPr="00D22F5A">
        <w:rPr>
          <w:rFonts w:hint="eastAsia"/>
          <w:sz w:val="21"/>
          <w:szCs w:val="21"/>
        </w:rPr>
        <w:t>下文所示为</w:t>
      </w:r>
      <w:r w:rsidRPr="00D22F5A">
        <w:rPr>
          <w:sz w:val="21"/>
          <w:szCs w:val="21"/>
        </w:rPr>
        <w:t>FDA</w:t>
      </w:r>
      <w:r w:rsidRPr="00D22F5A">
        <w:rPr>
          <w:rFonts w:hint="eastAsia"/>
          <w:sz w:val="21"/>
          <w:szCs w:val="21"/>
        </w:rPr>
        <w:t>识别出的通常与本文件所述</w:t>
      </w:r>
      <w:r w:rsidRPr="00D22F5A">
        <w:rPr>
          <w:sz w:val="21"/>
          <w:szCs w:val="21"/>
        </w:rPr>
        <w:t>AFP-L3</w:t>
      </w:r>
      <w:r w:rsidRPr="004B3601">
        <w:rPr>
          <w:sz w:val="21"/>
          <w:szCs w:val="21"/>
        </w:rPr>
        <w:t>%</w:t>
      </w:r>
      <w:r w:rsidRPr="00D22F5A">
        <w:rPr>
          <w:rFonts w:hint="eastAsia"/>
          <w:sz w:val="21"/>
          <w:szCs w:val="21"/>
        </w:rPr>
        <w:t>免疫学检测系统的使用相关的健康风险。建议用于缓解这些识别出风险的措施如本</w:t>
      </w:r>
      <w:r w:rsidR="00BF54DE">
        <w:rPr>
          <w:rFonts w:hint="eastAsia"/>
          <w:sz w:val="21"/>
          <w:szCs w:val="21"/>
        </w:rPr>
        <w:t>指南</w:t>
      </w:r>
      <w:r w:rsidRPr="00D22F5A">
        <w:rPr>
          <w:rFonts w:hint="eastAsia"/>
          <w:sz w:val="21"/>
          <w:szCs w:val="21"/>
        </w:rPr>
        <w:t>文件的下表所示。我们建议您在提交上市前通知之前执行风险分析，以识别</w:t>
      </w:r>
      <w:r w:rsidR="006765EA">
        <w:rPr>
          <w:rFonts w:hint="eastAsia"/>
          <w:sz w:val="21"/>
          <w:szCs w:val="21"/>
        </w:rPr>
        <w:t>其他</w:t>
      </w:r>
      <w:r w:rsidRPr="00D22F5A">
        <w:rPr>
          <w:rFonts w:hint="eastAsia"/>
          <w:sz w:val="21"/>
          <w:szCs w:val="21"/>
        </w:rPr>
        <w:t>器械特定风险。上市前通知应说明风险分析方法。如果您选择采用替代方法处理本</w:t>
      </w:r>
      <w:r w:rsidR="00BF54DE">
        <w:rPr>
          <w:rFonts w:hint="eastAsia"/>
          <w:sz w:val="21"/>
          <w:szCs w:val="21"/>
        </w:rPr>
        <w:t>指南</w:t>
      </w:r>
      <w:r w:rsidRPr="00D22F5A">
        <w:rPr>
          <w:rFonts w:hint="eastAsia"/>
          <w:sz w:val="21"/>
          <w:szCs w:val="21"/>
        </w:rPr>
        <w:t>文件识别出的特别风险或识别出额外风险，则您应提供充分的详细信息，以支持用于处理该风险的方法。</w:t>
      </w:r>
    </w:p>
    <w:tbl>
      <w:tblPr>
        <w:tblW w:w="5000" w:type="pct"/>
        <w:tblCellMar>
          <w:left w:w="0" w:type="dxa"/>
          <w:right w:w="0" w:type="dxa"/>
        </w:tblCellMar>
        <w:tblLook w:val="0000"/>
      </w:tblPr>
      <w:tblGrid>
        <w:gridCol w:w="4420"/>
        <w:gridCol w:w="4063"/>
      </w:tblGrid>
      <w:tr w:rsidR="0096599E" w:rsidRPr="00D22F5A">
        <w:tc>
          <w:tcPr>
            <w:tcW w:w="2605" w:type="pct"/>
            <w:tcBorders>
              <w:top w:val="single" w:sz="6" w:space="0" w:color="7F7F7F"/>
              <w:left w:val="single" w:sz="6" w:space="0" w:color="7F7F7F"/>
              <w:bottom w:val="single" w:sz="6" w:space="0" w:color="7F7F7F"/>
              <w:right w:val="single" w:sz="6" w:space="0" w:color="CCCCCC"/>
            </w:tcBorders>
            <w:shd w:val="clear" w:color="auto" w:fill="CCCCCC"/>
            <w:tcMar>
              <w:left w:w="85" w:type="dxa"/>
              <w:right w:w="85" w:type="dxa"/>
            </w:tcMar>
            <w:vAlign w:val="center"/>
          </w:tcPr>
          <w:p w:rsidR="0096599E" w:rsidRPr="00D22F5A" w:rsidRDefault="0096599E" w:rsidP="00D22F5A">
            <w:pPr>
              <w:pStyle w:val="TableParagraph"/>
              <w:kinsoku w:val="0"/>
              <w:overflowPunct w:val="0"/>
              <w:spacing w:line="360" w:lineRule="auto"/>
              <w:jc w:val="center"/>
              <w:rPr>
                <w:sz w:val="21"/>
                <w:szCs w:val="21"/>
              </w:rPr>
            </w:pPr>
            <w:r w:rsidRPr="00D22F5A">
              <w:rPr>
                <w:rFonts w:hint="eastAsia"/>
                <w:b/>
                <w:bCs/>
                <w:i/>
                <w:iCs/>
                <w:sz w:val="21"/>
                <w:szCs w:val="21"/>
              </w:rPr>
              <w:t>所识别出风险</w:t>
            </w:r>
          </w:p>
        </w:tc>
        <w:tc>
          <w:tcPr>
            <w:tcW w:w="2395" w:type="pct"/>
            <w:tcBorders>
              <w:top w:val="single" w:sz="6" w:space="0" w:color="7F7F7F"/>
              <w:left w:val="single" w:sz="6" w:space="0" w:color="CCCCCC"/>
              <w:bottom w:val="single" w:sz="6" w:space="0" w:color="7F7F7F"/>
              <w:right w:val="single" w:sz="6" w:space="0" w:color="D4D0C8"/>
            </w:tcBorders>
            <w:shd w:val="clear" w:color="auto" w:fill="CCCCCC"/>
            <w:tcMar>
              <w:left w:w="85" w:type="dxa"/>
              <w:right w:w="85" w:type="dxa"/>
            </w:tcMar>
            <w:vAlign w:val="center"/>
          </w:tcPr>
          <w:p w:rsidR="0096599E" w:rsidRPr="00D22F5A" w:rsidRDefault="0096599E" w:rsidP="00D22F5A">
            <w:pPr>
              <w:pStyle w:val="TableParagraph"/>
              <w:kinsoku w:val="0"/>
              <w:overflowPunct w:val="0"/>
              <w:spacing w:line="360" w:lineRule="auto"/>
              <w:jc w:val="center"/>
              <w:rPr>
                <w:sz w:val="21"/>
                <w:szCs w:val="21"/>
              </w:rPr>
            </w:pPr>
            <w:r w:rsidRPr="00D22F5A">
              <w:rPr>
                <w:rFonts w:hint="eastAsia"/>
                <w:b/>
                <w:bCs/>
                <w:i/>
                <w:iCs/>
                <w:sz w:val="21"/>
                <w:szCs w:val="21"/>
              </w:rPr>
              <w:t>建议缓解措施</w:t>
            </w:r>
          </w:p>
        </w:tc>
      </w:tr>
      <w:tr w:rsidR="0096599E" w:rsidRPr="00D22F5A">
        <w:tc>
          <w:tcPr>
            <w:tcW w:w="2605" w:type="pct"/>
            <w:tcBorders>
              <w:top w:val="single" w:sz="6" w:space="0" w:color="7F7F7F"/>
              <w:left w:val="single" w:sz="6" w:space="0" w:color="7F7F7F"/>
              <w:bottom w:val="single" w:sz="6" w:space="0" w:color="7F7F7F"/>
              <w:right w:val="single" w:sz="6" w:space="0" w:color="7F7F7F"/>
            </w:tcBorders>
            <w:tcMar>
              <w:left w:w="85" w:type="dxa"/>
              <w:right w:w="85" w:type="dxa"/>
            </w:tcMar>
            <w:vAlign w:val="center"/>
          </w:tcPr>
          <w:p w:rsidR="0096599E" w:rsidRPr="00D22F5A" w:rsidRDefault="0096599E" w:rsidP="00D22F5A">
            <w:pPr>
              <w:pStyle w:val="TableParagraph"/>
              <w:kinsoku w:val="0"/>
              <w:overflowPunct w:val="0"/>
              <w:spacing w:line="360" w:lineRule="auto"/>
              <w:jc w:val="both"/>
              <w:rPr>
                <w:sz w:val="21"/>
                <w:szCs w:val="21"/>
              </w:rPr>
            </w:pPr>
            <w:r w:rsidRPr="00D22F5A">
              <w:rPr>
                <w:rFonts w:hint="eastAsia"/>
                <w:sz w:val="21"/>
                <w:szCs w:val="21"/>
              </w:rPr>
              <w:t>由于假阳性或假阴性结果而导致不准确风险评估和不当患者治疗。</w:t>
            </w:r>
          </w:p>
        </w:tc>
        <w:tc>
          <w:tcPr>
            <w:tcW w:w="2395" w:type="pct"/>
            <w:tcBorders>
              <w:top w:val="single" w:sz="6" w:space="0" w:color="7F7F7F"/>
              <w:left w:val="single" w:sz="6" w:space="0" w:color="7F7F7F"/>
              <w:bottom w:val="single" w:sz="6" w:space="0" w:color="7F7F7F"/>
              <w:right w:val="single" w:sz="6" w:space="0" w:color="D4D0C8"/>
            </w:tcBorders>
            <w:tcMar>
              <w:left w:w="85" w:type="dxa"/>
              <w:right w:w="85" w:type="dxa"/>
            </w:tcMar>
            <w:vAlign w:val="center"/>
          </w:tcPr>
          <w:p w:rsidR="0096599E" w:rsidRPr="00D22F5A" w:rsidRDefault="0096599E" w:rsidP="00D22F5A">
            <w:pPr>
              <w:pStyle w:val="TableParagraph"/>
              <w:kinsoku w:val="0"/>
              <w:overflowPunct w:val="0"/>
              <w:spacing w:line="360" w:lineRule="auto"/>
              <w:jc w:val="both"/>
              <w:rPr>
                <w:sz w:val="21"/>
                <w:szCs w:val="21"/>
              </w:rPr>
            </w:pPr>
            <w:r w:rsidRPr="00D22F5A">
              <w:rPr>
                <w:rFonts w:hint="eastAsia"/>
                <w:sz w:val="21"/>
                <w:szCs w:val="21"/>
              </w:rPr>
              <w:t>第</w:t>
            </w:r>
            <w:r w:rsidRPr="00D22F5A">
              <w:rPr>
                <w:sz w:val="21"/>
                <w:szCs w:val="21"/>
              </w:rPr>
              <w:t>7-10</w:t>
            </w:r>
            <w:r w:rsidRPr="00D22F5A">
              <w:rPr>
                <w:rFonts w:hint="eastAsia"/>
                <w:sz w:val="21"/>
                <w:szCs w:val="21"/>
              </w:rPr>
              <w:t>节</w:t>
            </w:r>
          </w:p>
        </w:tc>
      </w:tr>
    </w:tbl>
    <w:p w:rsidR="0096599E" w:rsidRPr="00D22F5A" w:rsidRDefault="0096599E" w:rsidP="00AB6EB3">
      <w:pPr>
        <w:pStyle w:val="2"/>
        <w:numPr>
          <w:ilvl w:val="1"/>
          <w:numId w:val="6"/>
        </w:numPr>
        <w:kinsoku w:val="0"/>
        <w:overflowPunct w:val="0"/>
        <w:spacing w:beforeLines="100" w:afterLines="50" w:line="360" w:lineRule="auto"/>
        <w:ind w:left="0" w:firstLine="0"/>
        <w:jc w:val="both"/>
        <w:rPr>
          <w:b w:val="0"/>
          <w:bCs w:val="0"/>
          <w:sz w:val="28"/>
          <w:szCs w:val="28"/>
        </w:rPr>
      </w:pPr>
      <w:bookmarkStart w:id="21" w:name="_Toc496719717"/>
      <w:r w:rsidRPr="00D22F5A">
        <w:rPr>
          <w:rFonts w:hint="eastAsia"/>
          <w:sz w:val="28"/>
          <w:szCs w:val="28"/>
        </w:rPr>
        <w:t>器械描述</w:t>
      </w:r>
      <w:bookmarkEnd w:id="21"/>
    </w:p>
    <w:p w:rsidR="0096599E" w:rsidRPr="00D22F5A" w:rsidRDefault="0096599E" w:rsidP="00AB6EB3">
      <w:pPr>
        <w:pStyle w:val="a3"/>
        <w:kinsoku w:val="0"/>
        <w:overflowPunct w:val="0"/>
        <w:spacing w:afterLines="50" w:line="360" w:lineRule="auto"/>
        <w:ind w:left="0"/>
        <w:jc w:val="both"/>
        <w:rPr>
          <w:sz w:val="21"/>
          <w:szCs w:val="21"/>
        </w:rPr>
      </w:pPr>
      <w:r w:rsidRPr="00D22F5A">
        <w:rPr>
          <w:sz w:val="21"/>
          <w:szCs w:val="21"/>
        </w:rPr>
        <w:br w:type="page"/>
      </w:r>
      <w:r w:rsidRPr="00D22F5A">
        <w:rPr>
          <w:rFonts w:hint="eastAsia"/>
          <w:sz w:val="21"/>
          <w:szCs w:val="21"/>
        </w:rPr>
        <w:lastRenderedPageBreak/>
        <w:t>您应在</w:t>
      </w:r>
      <w:r w:rsidRPr="00D22F5A">
        <w:rPr>
          <w:sz w:val="21"/>
          <w:szCs w:val="21"/>
        </w:rPr>
        <w:t>510(k)</w:t>
      </w:r>
      <w:r w:rsidRPr="00D22F5A">
        <w:rPr>
          <w:rFonts w:hint="eastAsia"/>
          <w:sz w:val="21"/>
          <w:szCs w:val="21"/>
        </w:rPr>
        <w:t>中确认法规、产品代码和合法上市实质等同性对比器械。为帮助</w:t>
      </w:r>
      <w:r w:rsidRPr="00D22F5A">
        <w:rPr>
          <w:sz w:val="21"/>
          <w:szCs w:val="21"/>
        </w:rPr>
        <w:t>FDA</w:t>
      </w:r>
      <w:r w:rsidRPr="00D22F5A">
        <w:rPr>
          <w:rFonts w:hint="eastAsia"/>
          <w:sz w:val="21"/>
          <w:szCs w:val="21"/>
        </w:rPr>
        <w:t>有效审查您的器械与实质等同性对比器械相比较的所有方面，我们建议您纳入表格，列出实质等同性对比器械与您的器械之间的相似之处和不同之处。</w:t>
      </w:r>
    </w:p>
    <w:p w:rsidR="0096599E" w:rsidRPr="00D22F5A" w:rsidRDefault="0096599E" w:rsidP="00AB6EB3">
      <w:pPr>
        <w:pStyle w:val="3"/>
        <w:kinsoku w:val="0"/>
        <w:overflowPunct w:val="0"/>
        <w:spacing w:afterLines="50" w:line="360" w:lineRule="auto"/>
        <w:ind w:left="0"/>
        <w:jc w:val="both"/>
        <w:rPr>
          <w:b w:val="0"/>
          <w:bCs w:val="0"/>
          <w:sz w:val="21"/>
          <w:szCs w:val="21"/>
        </w:rPr>
      </w:pPr>
      <w:bookmarkStart w:id="22" w:name="_Toc496719718"/>
      <w:r w:rsidRPr="00D22F5A">
        <w:rPr>
          <w:rFonts w:hint="eastAsia"/>
          <w:b w:val="0"/>
          <w:bCs w:val="0"/>
          <w:sz w:val="21"/>
          <w:szCs w:val="21"/>
        </w:rPr>
        <w:t>新器械审查中的关键问题是特定预期用途、试样类型和所采用技术。您应纳入以下描述性信息，以充分表征新器械。</w:t>
      </w:r>
      <w:bookmarkEnd w:id="22"/>
    </w:p>
    <w:p w:rsidR="0096599E" w:rsidRPr="00D22F5A" w:rsidRDefault="0096599E" w:rsidP="00AB6EB3">
      <w:pPr>
        <w:pStyle w:val="a3"/>
        <w:kinsoku w:val="0"/>
        <w:overflowPunct w:val="0"/>
        <w:spacing w:afterLines="50" w:line="360" w:lineRule="auto"/>
        <w:ind w:left="0"/>
        <w:jc w:val="both"/>
        <w:rPr>
          <w:b/>
          <w:bCs/>
          <w:sz w:val="21"/>
          <w:szCs w:val="21"/>
        </w:rPr>
      </w:pPr>
      <w:r w:rsidRPr="00D22F5A">
        <w:rPr>
          <w:rFonts w:hint="eastAsia"/>
          <w:b/>
          <w:bCs/>
          <w:sz w:val="21"/>
          <w:szCs w:val="21"/>
        </w:rPr>
        <w:t>预期用途</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您应清楚地描述器械的预期用途。预期用途应指定器械要检测的分析物、检测分析物的一般临床实用程序以及器械所针对的具体群体。</w:t>
      </w:r>
    </w:p>
    <w:p w:rsidR="0096599E" w:rsidRPr="00D22F5A" w:rsidRDefault="0096599E" w:rsidP="00AB6EB3">
      <w:pPr>
        <w:pStyle w:val="3"/>
        <w:kinsoku w:val="0"/>
        <w:overflowPunct w:val="0"/>
        <w:spacing w:afterLines="50" w:line="360" w:lineRule="auto"/>
        <w:ind w:left="0"/>
        <w:jc w:val="both"/>
        <w:rPr>
          <w:b w:val="0"/>
          <w:bCs w:val="0"/>
          <w:sz w:val="21"/>
          <w:szCs w:val="21"/>
        </w:rPr>
      </w:pPr>
      <w:bookmarkStart w:id="23" w:name="_Toc496719719"/>
      <w:r w:rsidRPr="00D22F5A">
        <w:rPr>
          <w:rFonts w:hint="eastAsia"/>
          <w:b w:val="0"/>
          <w:bCs w:val="0"/>
          <w:sz w:val="21"/>
          <w:szCs w:val="21"/>
        </w:rPr>
        <w:t>一些器械可能具有多种预期用途。需要独特的独立研究来支持多种预期用途时，我们建议您为每种预期用途提交单独申请。您应咨询免疫学和血液学器械部，获取多种预期用途器械的申请提交相关建议。</w:t>
      </w:r>
      <w:bookmarkEnd w:id="23"/>
    </w:p>
    <w:p w:rsidR="0096599E" w:rsidRPr="00D22F5A" w:rsidRDefault="0096599E" w:rsidP="00AB6EB3">
      <w:pPr>
        <w:pStyle w:val="3"/>
        <w:kinsoku w:val="0"/>
        <w:overflowPunct w:val="0"/>
        <w:spacing w:afterLines="50" w:line="360" w:lineRule="auto"/>
        <w:ind w:left="0"/>
        <w:jc w:val="both"/>
        <w:rPr>
          <w:b w:val="0"/>
          <w:bCs w:val="0"/>
          <w:sz w:val="21"/>
          <w:szCs w:val="21"/>
        </w:rPr>
      </w:pPr>
      <w:bookmarkStart w:id="24" w:name="_Toc496719720"/>
      <w:r w:rsidRPr="00D22F5A">
        <w:rPr>
          <w:rFonts w:hint="eastAsia"/>
          <w:sz w:val="21"/>
          <w:szCs w:val="21"/>
        </w:rPr>
        <w:t>器械描述</w:t>
      </w:r>
      <w:bookmarkEnd w:id="24"/>
    </w:p>
    <w:p w:rsidR="0096599E" w:rsidRPr="00D22F5A" w:rsidRDefault="0096599E" w:rsidP="00AB6EB3">
      <w:pPr>
        <w:pStyle w:val="3"/>
        <w:kinsoku w:val="0"/>
        <w:overflowPunct w:val="0"/>
        <w:spacing w:afterLines="50" w:line="360" w:lineRule="auto"/>
        <w:ind w:left="0"/>
        <w:jc w:val="both"/>
        <w:rPr>
          <w:b w:val="0"/>
          <w:bCs w:val="0"/>
          <w:sz w:val="21"/>
          <w:szCs w:val="21"/>
        </w:rPr>
      </w:pPr>
      <w:bookmarkStart w:id="25" w:name="_Toc496719721"/>
      <w:r w:rsidRPr="00D22F5A">
        <w:rPr>
          <w:rFonts w:hint="eastAsia"/>
          <w:b w:val="0"/>
          <w:bCs w:val="0"/>
          <w:sz w:val="21"/>
          <w:szCs w:val="21"/>
        </w:rPr>
        <w:t>您应详细描述您的器械所采用的方法。您还应在试剂盒中纳入试剂组分的描述。在适用情况下，你应描述质量控制设计规格。非标准设备或方法的图示或照片有助于了解新方法。除描述性信息之外，您还可提交与器械技术相关的适当同行评审文献参考，以充分描述新器械。</w:t>
      </w:r>
      <w:bookmarkEnd w:id="25"/>
    </w:p>
    <w:p w:rsidR="0096599E" w:rsidRPr="00D22F5A" w:rsidRDefault="0096599E" w:rsidP="00AB6EB3">
      <w:pPr>
        <w:pStyle w:val="3"/>
        <w:kinsoku w:val="0"/>
        <w:overflowPunct w:val="0"/>
        <w:spacing w:afterLines="50" w:line="360" w:lineRule="auto"/>
        <w:ind w:left="0"/>
        <w:jc w:val="both"/>
        <w:rPr>
          <w:b w:val="0"/>
          <w:bCs w:val="0"/>
          <w:sz w:val="21"/>
          <w:szCs w:val="21"/>
        </w:rPr>
      </w:pPr>
      <w:bookmarkStart w:id="26" w:name="_Toc496719722"/>
      <w:r w:rsidRPr="00D22F5A">
        <w:rPr>
          <w:rFonts w:hint="eastAsia"/>
          <w:sz w:val="21"/>
          <w:szCs w:val="21"/>
        </w:rPr>
        <w:t>仪表和软件</w:t>
      </w:r>
      <w:bookmarkEnd w:id="26"/>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如果您的器械使用特定专用仪器（无论是贵公司制造还是由</w:t>
      </w:r>
      <w:r w:rsidR="006765EA">
        <w:rPr>
          <w:rFonts w:hint="eastAsia"/>
          <w:sz w:val="21"/>
          <w:szCs w:val="21"/>
        </w:rPr>
        <w:t>其他</w:t>
      </w:r>
      <w:r w:rsidRPr="00D22F5A">
        <w:rPr>
          <w:rFonts w:hint="eastAsia"/>
          <w:sz w:val="21"/>
          <w:szCs w:val="21"/>
        </w:rPr>
        <w:t>公司制造），则应提供指定仪表的手册复件。适当情况下，您还应纳入以下信息和结果，以便支持您的描述：</w:t>
      </w:r>
    </w:p>
    <w:p w:rsidR="0096599E" w:rsidRPr="00D22F5A" w:rsidRDefault="0096599E" w:rsidP="00AB6EB3">
      <w:pPr>
        <w:pStyle w:val="a3"/>
        <w:numPr>
          <w:ilvl w:val="2"/>
          <w:numId w:val="6"/>
        </w:numPr>
        <w:kinsoku w:val="0"/>
        <w:overflowPunct w:val="0"/>
        <w:spacing w:afterLines="50" w:line="360" w:lineRule="auto"/>
        <w:ind w:leftChars="200" w:left="837" w:hanging="357"/>
        <w:jc w:val="both"/>
        <w:rPr>
          <w:sz w:val="21"/>
          <w:szCs w:val="21"/>
        </w:rPr>
      </w:pPr>
      <w:r w:rsidRPr="00D22F5A">
        <w:rPr>
          <w:rFonts w:hint="eastAsia"/>
          <w:sz w:val="21"/>
          <w:szCs w:val="21"/>
        </w:rPr>
        <w:t>表征，包括仪器如何分配值或判读试验变量的信息。</w:t>
      </w:r>
    </w:p>
    <w:p w:rsidR="0096599E" w:rsidRPr="00D22F5A" w:rsidRDefault="0096599E" w:rsidP="00AB6EB3">
      <w:pPr>
        <w:pStyle w:val="a3"/>
        <w:numPr>
          <w:ilvl w:val="2"/>
          <w:numId w:val="6"/>
        </w:numPr>
        <w:kinsoku w:val="0"/>
        <w:overflowPunct w:val="0"/>
        <w:spacing w:afterLines="50" w:line="360" w:lineRule="auto"/>
        <w:ind w:leftChars="200" w:left="837" w:hanging="357"/>
        <w:jc w:val="both"/>
        <w:rPr>
          <w:sz w:val="21"/>
          <w:szCs w:val="21"/>
        </w:rPr>
      </w:pPr>
      <w:r w:rsidRPr="00D22F5A">
        <w:rPr>
          <w:rFonts w:hint="eastAsia"/>
          <w:sz w:val="21"/>
          <w:szCs w:val="21"/>
        </w:rPr>
        <w:t>校准，包括对仪器的校准和校准所用材料的描述。</w:t>
      </w:r>
    </w:p>
    <w:p w:rsidR="0096599E" w:rsidRPr="00D22F5A" w:rsidRDefault="0096599E" w:rsidP="00AB6EB3">
      <w:pPr>
        <w:pStyle w:val="a3"/>
        <w:numPr>
          <w:ilvl w:val="2"/>
          <w:numId w:val="6"/>
        </w:numPr>
        <w:kinsoku w:val="0"/>
        <w:overflowPunct w:val="0"/>
        <w:spacing w:afterLines="50" w:line="360" w:lineRule="auto"/>
        <w:ind w:leftChars="200" w:left="837" w:hanging="357"/>
        <w:jc w:val="both"/>
        <w:rPr>
          <w:sz w:val="21"/>
          <w:szCs w:val="21"/>
        </w:rPr>
      </w:pPr>
      <w:r w:rsidRPr="00D22F5A">
        <w:rPr>
          <w:rFonts w:hint="eastAsia"/>
          <w:sz w:val="21"/>
          <w:szCs w:val="21"/>
        </w:rPr>
        <w:t>不确定性，包括对硬件组件在结果中引入的不确定性的潜在来源和估计的描述。</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如果您指定特定仪表（按制造商或品牌），则应确保跟踪对仪器（由您或制造商）所做任何改造。如果改造引入新的或不同的试验性能问题，则应确保您的器械在改造后条件下的正确确认。</w:t>
      </w:r>
    </w:p>
    <w:p w:rsidR="0096599E" w:rsidRPr="00D22F5A" w:rsidRDefault="0096599E" w:rsidP="00AB6EB3">
      <w:pPr>
        <w:pStyle w:val="a3"/>
        <w:kinsoku w:val="0"/>
        <w:overflowPunct w:val="0"/>
        <w:spacing w:afterLines="50" w:line="360" w:lineRule="auto"/>
        <w:ind w:left="0"/>
        <w:jc w:val="both"/>
        <w:rPr>
          <w:color w:val="000000"/>
          <w:sz w:val="21"/>
          <w:szCs w:val="21"/>
        </w:rPr>
      </w:pPr>
      <w:r w:rsidRPr="00D22F5A">
        <w:rPr>
          <w:sz w:val="21"/>
          <w:szCs w:val="21"/>
        </w:rPr>
        <w:br w:type="page"/>
      </w:r>
      <w:r w:rsidRPr="00D22F5A">
        <w:rPr>
          <w:rFonts w:hint="eastAsia"/>
          <w:sz w:val="21"/>
          <w:szCs w:val="21"/>
        </w:rPr>
        <w:lastRenderedPageBreak/>
        <w:t>如果您的系统包含软件，则应根据关注等级提交详细软件文件（参见“</w:t>
      </w:r>
      <w:r w:rsidRPr="00D22F5A">
        <w:rPr>
          <w:rFonts w:hint="eastAsia"/>
          <w:i/>
          <w:sz w:val="21"/>
          <w:szCs w:val="21"/>
        </w:rPr>
        <w:t>医疗器械软件上市前</w:t>
      </w:r>
      <w:r w:rsidR="006765EA">
        <w:rPr>
          <w:rFonts w:hint="eastAsia"/>
          <w:i/>
          <w:sz w:val="21"/>
          <w:szCs w:val="21"/>
        </w:rPr>
        <w:t>提交</w:t>
      </w:r>
      <w:r w:rsidRPr="00D22F5A">
        <w:rPr>
          <w:rFonts w:hint="eastAsia"/>
          <w:i/>
          <w:sz w:val="21"/>
          <w:szCs w:val="21"/>
        </w:rPr>
        <w:t>内容的最终</w:t>
      </w:r>
      <w:r w:rsidR="00BF54DE">
        <w:rPr>
          <w:rFonts w:hint="eastAsia"/>
          <w:i/>
          <w:sz w:val="21"/>
          <w:szCs w:val="21"/>
        </w:rPr>
        <w:t>指南</w:t>
      </w:r>
      <w:r w:rsidRPr="00D22F5A">
        <w:rPr>
          <w:rFonts w:hint="eastAsia"/>
          <w:i/>
          <w:sz w:val="21"/>
          <w:szCs w:val="21"/>
        </w:rPr>
        <w:t>文件</w:t>
      </w:r>
      <w:r w:rsidRPr="00D22F5A">
        <w:rPr>
          <w:rFonts w:hint="eastAsia"/>
          <w:sz w:val="21"/>
          <w:szCs w:val="21"/>
        </w:rPr>
        <w:t>”</w:t>
      </w:r>
      <w:hyperlink r:id="rId17" w:history="1">
        <w:r w:rsidRPr="00D22F5A">
          <w:rPr>
            <w:rStyle w:val="ab"/>
            <w:sz w:val="21"/>
            <w:szCs w:val="21"/>
          </w:rPr>
          <w:t>http://www.fda.gov/cdrh/ode/guidance/337.html</w:t>
        </w:r>
        <w:r w:rsidRPr="00D22F5A">
          <w:rPr>
            <w:rStyle w:val="ab"/>
            <w:rFonts w:hint="eastAsia"/>
            <w:sz w:val="21"/>
            <w:szCs w:val="21"/>
          </w:rPr>
          <w:t>。</w:t>
        </w:r>
      </w:hyperlink>
      <w:r w:rsidRPr="00D22F5A">
        <w:rPr>
          <w:rFonts w:hint="eastAsia"/>
          <w:color w:val="000000"/>
          <w:sz w:val="21"/>
          <w:szCs w:val="21"/>
        </w:rPr>
        <w:t>您应在缓解危害之前确定关注等级。该类型</w:t>
      </w:r>
      <w:r w:rsidRPr="00D22F5A">
        <w:rPr>
          <w:rFonts w:hint="eastAsia"/>
          <w:i/>
          <w:color w:val="000000"/>
          <w:sz w:val="21"/>
          <w:szCs w:val="21"/>
        </w:rPr>
        <w:t>体外</w:t>
      </w:r>
      <w:r w:rsidRPr="00D22F5A">
        <w:rPr>
          <w:rFonts w:hint="eastAsia"/>
          <w:color w:val="000000"/>
          <w:sz w:val="21"/>
          <w:szCs w:val="21"/>
        </w:rPr>
        <w:t>诊断器械被视为中等关注等级器械，因为软件缺陷会间接影响患者，并且未获取准确信息的医疗保健提供者的行为或不作为可能会导致损伤。</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在编写供</w:t>
      </w:r>
      <w:r w:rsidRPr="00D22F5A">
        <w:rPr>
          <w:sz w:val="21"/>
          <w:szCs w:val="21"/>
        </w:rPr>
        <w:t>FDA</w:t>
      </w:r>
      <w:r w:rsidRPr="00D22F5A">
        <w:rPr>
          <w:rFonts w:hint="eastAsia"/>
          <w:sz w:val="21"/>
          <w:szCs w:val="21"/>
        </w:rPr>
        <w:t>审查的软件文件时，应该包括以下要点：</w:t>
      </w:r>
    </w:p>
    <w:p w:rsidR="0096599E" w:rsidRPr="00D22F5A" w:rsidRDefault="0096599E" w:rsidP="00AB6EB3">
      <w:pPr>
        <w:pStyle w:val="a3"/>
        <w:numPr>
          <w:ilvl w:val="0"/>
          <w:numId w:val="1"/>
        </w:numPr>
        <w:tabs>
          <w:tab w:val="left" w:pos="851"/>
        </w:tabs>
        <w:kinsoku w:val="0"/>
        <w:overflowPunct w:val="0"/>
        <w:spacing w:afterLines="50" w:line="360" w:lineRule="auto"/>
        <w:ind w:leftChars="200" w:left="837" w:hanging="357"/>
        <w:jc w:val="both"/>
        <w:rPr>
          <w:color w:val="000000"/>
          <w:sz w:val="21"/>
          <w:szCs w:val="21"/>
        </w:rPr>
      </w:pPr>
      <w:r w:rsidRPr="00D22F5A">
        <w:rPr>
          <w:rFonts w:hint="eastAsia"/>
          <w:sz w:val="21"/>
          <w:szCs w:val="21"/>
        </w:rPr>
        <w:t>软件设计的完整描述。您的软件不应包括专用于支持非预期用途的实用程序。您还应考虑设计中的隐私和安全问题。有关其中一些问题的信息，可在《健康保险隐私及责任法案》（</w:t>
      </w:r>
      <w:r w:rsidRPr="00D22F5A">
        <w:rPr>
          <w:sz w:val="21"/>
          <w:szCs w:val="21"/>
        </w:rPr>
        <w:t>HIPAA</w:t>
      </w:r>
      <w:r w:rsidRPr="00D22F5A">
        <w:rPr>
          <w:rFonts w:hint="eastAsia"/>
          <w:sz w:val="21"/>
          <w:szCs w:val="21"/>
        </w:rPr>
        <w:t>）的以下网址中查找：</w:t>
      </w:r>
      <w:hyperlink r:id="rId18" w:history="1">
        <w:r w:rsidRPr="00D22F5A">
          <w:rPr>
            <w:color w:val="0000FF"/>
            <w:sz w:val="21"/>
            <w:szCs w:val="21"/>
            <w:u w:val="single"/>
          </w:rPr>
          <w:t>http://aspe.os.dhhs.gov/admnsimp</w:t>
        </w:r>
      </w:hyperlink>
      <w:r w:rsidRPr="00D22F5A">
        <w:rPr>
          <w:rFonts w:hint="eastAsia"/>
          <w:color w:val="000000"/>
          <w:sz w:val="21"/>
          <w:szCs w:val="21"/>
        </w:rPr>
        <w:t>。</w:t>
      </w:r>
    </w:p>
    <w:p w:rsidR="0096599E" w:rsidRPr="00D22F5A" w:rsidRDefault="0096599E" w:rsidP="00AB6EB3">
      <w:pPr>
        <w:pStyle w:val="a3"/>
        <w:numPr>
          <w:ilvl w:val="0"/>
          <w:numId w:val="1"/>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基于器械设计和子系统组件故障的影响的批判性思考执行的危害分析，例如信号检测和分析、数据存储、系统通信和不正确患者报告相关网络安全、仪器故障和操作员安全。</w:t>
      </w:r>
    </w:p>
    <w:p w:rsidR="0096599E" w:rsidRPr="00D22F5A" w:rsidRDefault="0096599E" w:rsidP="00AB6EB3">
      <w:pPr>
        <w:pStyle w:val="a3"/>
        <w:numPr>
          <w:ilvl w:val="0"/>
          <w:numId w:val="1"/>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为证实实质等同性而要提交的软件版本完整验证与确认（</w:t>
      </w:r>
      <w:r w:rsidRPr="00D22F5A">
        <w:rPr>
          <w:sz w:val="21"/>
          <w:szCs w:val="21"/>
        </w:rPr>
        <w:t>V</w:t>
      </w:r>
      <w:r w:rsidRPr="00D22F5A">
        <w:rPr>
          <w:rFonts w:hint="eastAsia"/>
          <w:sz w:val="21"/>
          <w:szCs w:val="21"/>
        </w:rPr>
        <w:t>＆</w:t>
      </w:r>
      <w:r w:rsidRPr="00D22F5A">
        <w:rPr>
          <w:sz w:val="21"/>
          <w:szCs w:val="21"/>
        </w:rPr>
        <w:t>V</w:t>
      </w:r>
      <w:r w:rsidRPr="00D22F5A">
        <w:rPr>
          <w:rFonts w:hint="eastAsia"/>
          <w:sz w:val="21"/>
          <w:szCs w:val="21"/>
        </w:rPr>
        <w:t>）活动文档。您还应提交试验软件与仪表软件兼容性的确认相关信息。</w:t>
      </w:r>
    </w:p>
    <w:p w:rsidR="0096599E" w:rsidRPr="00D22F5A" w:rsidRDefault="0096599E" w:rsidP="00AB6EB3">
      <w:pPr>
        <w:pStyle w:val="a3"/>
        <w:numPr>
          <w:ilvl w:val="0"/>
          <w:numId w:val="1"/>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如果您的</w:t>
      </w:r>
      <w:r w:rsidRPr="00D22F5A">
        <w:rPr>
          <w:sz w:val="21"/>
          <w:szCs w:val="21"/>
        </w:rPr>
        <w:t>510(k)</w:t>
      </w:r>
      <w:r w:rsidRPr="00D22F5A">
        <w:rPr>
          <w:rFonts w:hint="eastAsia"/>
          <w:sz w:val="21"/>
          <w:szCs w:val="21"/>
        </w:rPr>
        <w:t>中所包含的信息以非发布版本为基础，则应确认</w:t>
      </w:r>
      <w:r w:rsidRPr="00D22F5A">
        <w:rPr>
          <w:sz w:val="21"/>
          <w:szCs w:val="21"/>
        </w:rPr>
        <w:t>510(k)</w:t>
      </w:r>
      <w:r w:rsidRPr="00D22F5A">
        <w:rPr>
          <w:rFonts w:hint="eastAsia"/>
          <w:sz w:val="21"/>
          <w:szCs w:val="21"/>
        </w:rPr>
        <w:t>中的所有差异，并详细说明这些差异（包括未解决的异常）如何影响器械的安全性和有效性。</w:t>
      </w:r>
    </w:p>
    <w:p w:rsidR="0096599E" w:rsidRPr="00D22F5A" w:rsidRDefault="0096599E" w:rsidP="00AB6EB3">
      <w:pPr>
        <w:pStyle w:val="a3"/>
        <w:kinsoku w:val="0"/>
        <w:overflowPunct w:val="0"/>
        <w:spacing w:afterLines="50" w:line="360" w:lineRule="auto"/>
        <w:ind w:left="64"/>
        <w:jc w:val="both"/>
        <w:rPr>
          <w:sz w:val="21"/>
          <w:szCs w:val="21"/>
        </w:rPr>
      </w:pPr>
      <w:bookmarkStart w:id="27" w:name="_Hlk495398727"/>
      <w:r w:rsidRPr="00D22F5A">
        <w:rPr>
          <w:rFonts w:hint="eastAsia"/>
          <w:sz w:val="21"/>
          <w:szCs w:val="21"/>
        </w:rPr>
        <w:t>以下是</w:t>
      </w:r>
      <w:r w:rsidR="006765EA">
        <w:rPr>
          <w:rFonts w:hint="eastAsia"/>
          <w:sz w:val="21"/>
          <w:szCs w:val="21"/>
        </w:rPr>
        <w:t>其他</w:t>
      </w:r>
      <w:r w:rsidRPr="00D22F5A">
        <w:rPr>
          <w:rFonts w:hint="eastAsia"/>
          <w:sz w:val="21"/>
          <w:szCs w:val="21"/>
        </w:rPr>
        <w:t>参考，可帮助您在符合</w:t>
      </w:r>
      <w:r w:rsidRPr="00D22F5A">
        <w:rPr>
          <w:sz w:val="21"/>
          <w:szCs w:val="21"/>
        </w:rPr>
        <w:t>FDA</w:t>
      </w:r>
      <w:r w:rsidRPr="00D22F5A">
        <w:rPr>
          <w:rFonts w:hint="eastAsia"/>
          <w:sz w:val="21"/>
          <w:szCs w:val="21"/>
        </w:rPr>
        <w:t>法规的良好软件生存周期实践中开发和维护您的器械。</w:t>
      </w:r>
    </w:p>
    <w:p w:rsidR="0096599E" w:rsidRPr="00D22F5A" w:rsidRDefault="0096599E" w:rsidP="00AB6EB3">
      <w:pPr>
        <w:pStyle w:val="a3"/>
        <w:numPr>
          <w:ilvl w:val="0"/>
          <w:numId w:val="1"/>
        </w:numPr>
        <w:kinsoku w:val="0"/>
        <w:overflowPunct w:val="0"/>
        <w:spacing w:afterLines="50" w:line="360" w:lineRule="auto"/>
        <w:ind w:left="424"/>
        <w:jc w:val="both"/>
        <w:rPr>
          <w:color w:val="000000"/>
          <w:sz w:val="21"/>
          <w:szCs w:val="21"/>
        </w:rPr>
      </w:pPr>
      <w:bookmarkStart w:id="28" w:name="_Hlk495398762"/>
      <w:bookmarkEnd w:id="27"/>
      <w:r w:rsidRPr="00D22F5A">
        <w:rPr>
          <w:rFonts w:hint="eastAsia"/>
          <w:sz w:val="21"/>
          <w:szCs w:val="21"/>
        </w:rPr>
        <w:t>一般软件确认原则；最终行业和</w:t>
      </w:r>
      <w:r w:rsidRPr="00D22F5A">
        <w:rPr>
          <w:sz w:val="21"/>
          <w:szCs w:val="21"/>
        </w:rPr>
        <w:t>FDA</w:t>
      </w:r>
      <w:r w:rsidRPr="00D22F5A">
        <w:rPr>
          <w:rFonts w:hint="eastAsia"/>
          <w:sz w:val="21"/>
          <w:szCs w:val="21"/>
        </w:rPr>
        <w:t>工作人员</w:t>
      </w:r>
      <w:r w:rsidR="00BF54DE">
        <w:rPr>
          <w:rFonts w:hint="eastAsia"/>
          <w:sz w:val="21"/>
          <w:szCs w:val="21"/>
        </w:rPr>
        <w:t>指南</w:t>
      </w:r>
      <w:r w:rsidRPr="00D22F5A">
        <w:rPr>
          <w:rFonts w:hint="eastAsia"/>
          <w:sz w:val="21"/>
          <w:szCs w:val="21"/>
        </w:rPr>
        <w:t>文件；</w:t>
      </w:r>
      <w:bookmarkEnd w:id="28"/>
      <w:r w:rsidRPr="00D22F5A">
        <w:rPr>
          <w:rFonts w:hint="eastAsia"/>
          <w:sz w:val="21"/>
          <w:szCs w:val="21"/>
        </w:rPr>
        <w:t>可从</w:t>
      </w:r>
      <w:r w:rsidRPr="00D22F5A">
        <w:rPr>
          <w:sz w:val="21"/>
          <w:szCs w:val="21"/>
        </w:rPr>
        <w:t>FDA</w:t>
      </w:r>
      <w:r w:rsidRPr="00D22F5A">
        <w:rPr>
          <w:rFonts w:hint="eastAsia"/>
          <w:sz w:val="21"/>
          <w:szCs w:val="21"/>
        </w:rPr>
        <w:t>网站获取：</w:t>
      </w:r>
      <w:hyperlink r:id="rId19" w:history="1">
        <w:r w:rsidRPr="00D22F5A">
          <w:rPr>
            <w:rStyle w:val="ab"/>
            <w:sz w:val="21"/>
            <w:szCs w:val="21"/>
          </w:rPr>
          <w:t>http://www.fda.gov/cdrh/comp/guidance/938.pdf</w:t>
        </w:r>
      </w:hyperlink>
      <w:r w:rsidRPr="00D22F5A">
        <w:rPr>
          <w:rStyle w:val="ab"/>
          <w:rFonts w:hint="eastAsia"/>
          <w:color w:val="auto"/>
          <w:sz w:val="21"/>
          <w:szCs w:val="21"/>
          <w:u w:val="none"/>
        </w:rPr>
        <w:t>。</w:t>
      </w:r>
    </w:p>
    <w:p w:rsidR="0096599E" w:rsidRPr="00D22F5A" w:rsidRDefault="0096599E" w:rsidP="00AB6EB3">
      <w:pPr>
        <w:pStyle w:val="a3"/>
        <w:numPr>
          <w:ilvl w:val="0"/>
          <w:numId w:val="1"/>
        </w:numPr>
        <w:kinsoku w:val="0"/>
        <w:overflowPunct w:val="0"/>
        <w:spacing w:afterLines="50" w:line="360" w:lineRule="auto"/>
        <w:ind w:left="424"/>
        <w:jc w:val="both"/>
        <w:rPr>
          <w:color w:val="000000"/>
          <w:sz w:val="21"/>
          <w:szCs w:val="21"/>
        </w:rPr>
      </w:pPr>
      <w:r w:rsidRPr="00D22F5A">
        <w:rPr>
          <w:rFonts w:hint="eastAsia"/>
          <w:sz w:val="21"/>
          <w:szCs w:val="21"/>
        </w:rPr>
        <w:t>医疗器械中现成软件使用的最终</w:t>
      </w:r>
      <w:r w:rsidR="00BF54DE">
        <w:rPr>
          <w:rFonts w:hint="eastAsia"/>
          <w:sz w:val="21"/>
          <w:szCs w:val="21"/>
        </w:rPr>
        <w:t>指南</w:t>
      </w:r>
      <w:r w:rsidRPr="00D22F5A">
        <w:rPr>
          <w:rFonts w:hint="eastAsia"/>
          <w:sz w:val="21"/>
          <w:szCs w:val="21"/>
        </w:rPr>
        <w:t>文件；可从</w:t>
      </w:r>
      <w:r w:rsidRPr="00D22F5A">
        <w:rPr>
          <w:sz w:val="21"/>
          <w:szCs w:val="21"/>
        </w:rPr>
        <w:t>FDA</w:t>
      </w:r>
      <w:r w:rsidRPr="00D22F5A">
        <w:rPr>
          <w:rFonts w:hint="eastAsia"/>
          <w:sz w:val="21"/>
          <w:szCs w:val="21"/>
        </w:rPr>
        <w:t>网站获取：</w:t>
      </w:r>
      <w:hyperlink r:id="rId20" w:history="1">
        <w:r w:rsidRPr="00D22F5A">
          <w:rPr>
            <w:color w:val="0000FF"/>
            <w:sz w:val="21"/>
            <w:szCs w:val="21"/>
            <w:u w:val="single"/>
          </w:rPr>
          <w:t>http://www.fda.gov/cdrh/ode/guidance/585.pdf</w:t>
        </w:r>
      </w:hyperlink>
      <w:r w:rsidRPr="00D22F5A">
        <w:rPr>
          <w:rFonts w:hint="eastAsia"/>
          <w:color w:val="000000"/>
          <w:sz w:val="21"/>
          <w:szCs w:val="21"/>
        </w:rPr>
        <w:t>。</w:t>
      </w:r>
    </w:p>
    <w:p w:rsidR="0096599E" w:rsidRPr="00D22F5A" w:rsidRDefault="0096599E" w:rsidP="00AB6EB3">
      <w:pPr>
        <w:pStyle w:val="a3"/>
        <w:numPr>
          <w:ilvl w:val="0"/>
          <w:numId w:val="1"/>
        </w:numPr>
        <w:kinsoku w:val="0"/>
        <w:overflowPunct w:val="0"/>
        <w:spacing w:afterLines="50" w:line="360" w:lineRule="auto"/>
        <w:ind w:left="424"/>
        <w:jc w:val="both"/>
        <w:rPr>
          <w:color w:val="000000"/>
          <w:sz w:val="21"/>
          <w:szCs w:val="21"/>
        </w:rPr>
      </w:pPr>
      <w:bookmarkStart w:id="29" w:name="_Hlk495398807"/>
      <w:r w:rsidRPr="00D22F5A">
        <w:rPr>
          <w:color w:val="0000FF"/>
          <w:sz w:val="21"/>
          <w:szCs w:val="21"/>
          <w:u w:val="single"/>
        </w:rPr>
        <w:t>21 CFR 820.30</w:t>
      </w:r>
      <w:r w:rsidRPr="00D22F5A">
        <w:rPr>
          <w:rFonts w:hint="eastAsia"/>
          <w:color w:val="000000"/>
          <w:sz w:val="21"/>
          <w:szCs w:val="21"/>
        </w:rPr>
        <w:t>子部分</w:t>
      </w:r>
      <w:r w:rsidRPr="00D22F5A">
        <w:rPr>
          <w:color w:val="000000"/>
          <w:sz w:val="21"/>
          <w:szCs w:val="21"/>
        </w:rPr>
        <w:t>C—</w:t>
      </w:r>
      <w:r w:rsidRPr="00D22F5A">
        <w:rPr>
          <w:rFonts w:hint="eastAsia"/>
          <w:color w:val="000000"/>
          <w:sz w:val="21"/>
          <w:szCs w:val="21"/>
        </w:rPr>
        <w:t>质量体系法规的设计控制。</w:t>
      </w:r>
    </w:p>
    <w:bookmarkEnd w:id="29"/>
    <w:p w:rsidR="0096599E" w:rsidRPr="00D22F5A" w:rsidRDefault="0096599E" w:rsidP="00AB6EB3">
      <w:pPr>
        <w:pStyle w:val="a3"/>
        <w:numPr>
          <w:ilvl w:val="0"/>
          <w:numId w:val="1"/>
        </w:numPr>
        <w:kinsoku w:val="0"/>
        <w:overflowPunct w:val="0"/>
        <w:spacing w:afterLines="50" w:line="360" w:lineRule="auto"/>
        <w:ind w:leftChars="200" w:left="837" w:hanging="357"/>
        <w:jc w:val="both"/>
        <w:rPr>
          <w:sz w:val="21"/>
          <w:szCs w:val="21"/>
        </w:rPr>
      </w:pPr>
      <w:r w:rsidRPr="00D22F5A">
        <w:rPr>
          <w:sz w:val="21"/>
          <w:szCs w:val="21"/>
        </w:rPr>
        <w:br w:type="page"/>
      </w:r>
      <w:bookmarkStart w:id="30" w:name="_Hlk495398855"/>
      <w:r w:rsidRPr="00D22F5A">
        <w:rPr>
          <w:sz w:val="21"/>
          <w:szCs w:val="21"/>
        </w:rPr>
        <w:lastRenderedPageBreak/>
        <w:t>ISO 14971-1</w:t>
      </w:r>
      <w:r w:rsidRPr="00D22F5A">
        <w:rPr>
          <w:rFonts w:hint="eastAsia"/>
          <w:sz w:val="21"/>
          <w:szCs w:val="21"/>
        </w:rPr>
        <w:t>；医疗器械</w:t>
      </w:r>
      <w:r w:rsidRPr="00D22F5A">
        <w:rPr>
          <w:sz w:val="21"/>
          <w:szCs w:val="21"/>
        </w:rPr>
        <w:t>—</w:t>
      </w:r>
      <w:r w:rsidRPr="00D22F5A">
        <w:rPr>
          <w:rFonts w:hint="eastAsia"/>
          <w:sz w:val="21"/>
          <w:szCs w:val="21"/>
        </w:rPr>
        <w:t>风险管理</w:t>
      </w:r>
      <w:r w:rsidRPr="00D22F5A">
        <w:rPr>
          <w:sz w:val="21"/>
          <w:szCs w:val="21"/>
        </w:rPr>
        <w:t>—</w:t>
      </w:r>
      <w:r w:rsidRPr="00D22F5A">
        <w:rPr>
          <w:rFonts w:hint="eastAsia"/>
          <w:sz w:val="21"/>
          <w:szCs w:val="21"/>
        </w:rPr>
        <w:t>第</w:t>
      </w:r>
      <w:r w:rsidRPr="00D22F5A">
        <w:rPr>
          <w:sz w:val="21"/>
          <w:szCs w:val="21"/>
        </w:rPr>
        <w:t>1</w:t>
      </w:r>
      <w:r w:rsidRPr="00D22F5A">
        <w:rPr>
          <w:rFonts w:hint="eastAsia"/>
          <w:sz w:val="21"/>
          <w:szCs w:val="21"/>
        </w:rPr>
        <w:t>部分：风险分析的应用。</w:t>
      </w:r>
    </w:p>
    <w:p w:rsidR="0096599E" w:rsidRPr="00D22F5A" w:rsidRDefault="0096599E" w:rsidP="00AB6EB3">
      <w:pPr>
        <w:pStyle w:val="a3"/>
        <w:numPr>
          <w:ilvl w:val="0"/>
          <w:numId w:val="1"/>
        </w:numPr>
        <w:kinsoku w:val="0"/>
        <w:overflowPunct w:val="0"/>
        <w:spacing w:afterLines="50" w:line="360" w:lineRule="auto"/>
        <w:ind w:leftChars="200" w:left="837" w:hanging="357"/>
        <w:jc w:val="both"/>
        <w:rPr>
          <w:sz w:val="21"/>
          <w:szCs w:val="21"/>
        </w:rPr>
      </w:pPr>
      <w:r w:rsidRPr="00D22F5A">
        <w:rPr>
          <w:sz w:val="21"/>
          <w:szCs w:val="21"/>
        </w:rPr>
        <w:t>AAMI SW68</w:t>
      </w:r>
      <w:r w:rsidRPr="00D22F5A">
        <w:rPr>
          <w:rFonts w:hint="eastAsia"/>
          <w:sz w:val="21"/>
          <w:szCs w:val="21"/>
        </w:rPr>
        <w:t>：</w:t>
      </w:r>
      <w:r w:rsidRPr="00D22F5A">
        <w:rPr>
          <w:sz w:val="21"/>
          <w:szCs w:val="21"/>
        </w:rPr>
        <w:t>2001</w:t>
      </w:r>
      <w:r w:rsidRPr="00D22F5A">
        <w:rPr>
          <w:rFonts w:hint="eastAsia"/>
          <w:sz w:val="21"/>
          <w:szCs w:val="21"/>
        </w:rPr>
        <w:t>；医疗器械软件</w:t>
      </w:r>
      <w:r w:rsidRPr="00D22F5A">
        <w:rPr>
          <w:sz w:val="21"/>
          <w:szCs w:val="21"/>
        </w:rPr>
        <w:t>—</w:t>
      </w:r>
      <w:r w:rsidRPr="00D22F5A">
        <w:rPr>
          <w:rFonts w:hint="eastAsia"/>
          <w:sz w:val="21"/>
          <w:szCs w:val="21"/>
        </w:rPr>
        <w:t>软件生存周期过程。</w:t>
      </w:r>
    </w:p>
    <w:p w:rsidR="0096599E" w:rsidRPr="00D22F5A" w:rsidRDefault="0096599E" w:rsidP="00AB6EB3">
      <w:pPr>
        <w:pStyle w:val="2"/>
        <w:numPr>
          <w:ilvl w:val="1"/>
          <w:numId w:val="6"/>
        </w:numPr>
        <w:kinsoku w:val="0"/>
        <w:overflowPunct w:val="0"/>
        <w:spacing w:afterLines="50" w:line="360" w:lineRule="auto"/>
        <w:ind w:left="0" w:firstLine="0"/>
        <w:jc w:val="both"/>
        <w:rPr>
          <w:b w:val="0"/>
          <w:bCs w:val="0"/>
          <w:sz w:val="28"/>
          <w:szCs w:val="28"/>
        </w:rPr>
      </w:pPr>
      <w:bookmarkStart w:id="31" w:name="_Toc496719723"/>
      <w:bookmarkEnd w:id="30"/>
      <w:r w:rsidRPr="00D22F5A">
        <w:rPr>
          <w:rFonts w:hint="eastAsia"/>
          <w:sz w:val="28"/>
          <w:szCs w:val="28"/>
        </w:rPr>
        <w:t>性能特性</w:t>
      </w:r>
      <w:bookmarkEnd w:id="31"/>
    </w:p>
    <w:p w:rsidR="0096599E" w:rsidRPr="00D22F5A" w:rsidRDefault="0096599E" w:rsidP="00AB6EB3">
      <w:pPr>
        <w:pStyle w:val="a3"/>
        <w:kinsoku w:val="0"/>
        <w:overflowPunct w:val="0"/>
        <w:spacing w:afterLines="50" w:line="360" w:lineRule="auto"/>
        <w:ind w:left="0"/>
        <w:jc w:val="both"/>
        <w:rPr>
          <w:b/>
          <w:bCs/>
          <w:sz w:val="21"/>
          <w:szCs w:val="21"/>
        </w:rPr>
      </w:pPr>
      <w:r w:rsidRPr="00D22F5A">
        <w:rPr>
          <w:rFonts w:hint="eastAsia"/>
          <w:b/>
          <w:bCs/>
          <w:sz w:val="21"/>
          <w:szCs w:val="21"/>
        </w:rPr>
        <w:t>一般研究建议</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可能情况下，您应在下述分析方案中纳入来源于预期使用群体（即：慢性肝病患者）的患者样本。</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除了制造商机构之外，您还应在两个或更多个地理位置分散的外部机构评价您的试验。一般来说，应由将会在临床实践中执行测试的个人（例如：经过培训的技术人员）在最终使用该器械的临床环境（即：临床实验室）中评估性能。首先应单独分析数据，以评价机构间变化，并在</w:t>
      </w:r>
      <w:r w:rsidRPr="00D22F5A">
        <w:rPr>
          <w:sz w:val="21"/>
          <w:szCs w:val="21"/>
        </w:rPr>
        <w:t>510(k)</w:t>
      </w:r>
      <w:r w:rsidR="006765EA">
        <w:rPr>
          <w:rFonts w:hint="eastAsia"/>
          <w:sz w:val="21"/>
          <w:szCs w:val="21"/>
        </w:rPr>
        <w:t>提交</w:t>
      </w:r>
      <w:r w:rsidRPr="00D22F5A">
        <w:rPr>
          <w:rFonts w:hint="eastAsia"/>
          <w:sz w:val="21"/>
          <w:szCs w:val="21"/>
        </w:rPr>
        <w:t>中纳入分析结果。如果您证实各个机构的结果之间无显著性差异，则可将各个机构的结果汇总到包装说明书中。在开始临床研究之前，可联系免疫学和血液学器械部门，以获取方案相关意见。</w:t>
      </w:r>
    </w:p>
    <w:p w:rsidR="0096599E" w:rsidRPr="00D22F5A" w:rsidRDefault="0096599E" w:rsidP="00AB6EB3">
      <w:pPr>
        <w:pStyle w:val="3"/>
        <w:kinsoku w:val="0"/>
        <w:overflowPunct w:val="0"/>
        <w:spacing w:afterLines="50" w:line="360" w:lineRule="auto"/>
        <w:ind w:left="0"/>
        <w:jc w:val="both"/>
        <w:rPr>
          <w:b w:val="0"/>
          <w:bCs w:val="0"/>
          <w:sz w:val="21"/>
          <w:szCs w:val="21"/>
        </w:rPr>
      </w:pPr>
      <w:bookmarkStart w:id="32" w:name="_Toc496719724"/>
      <w:r w:rsidRPr="00D22F5A">
        <w:rPr>
          <w:rFonts w:hint="eastAsia"/>
          <w:b w:val="0"/>
          <w:bCs w:val="0"/>
          <w:sz w:val="21"/>
          <w:szCs w:val="21"/>
        </w:rPr>
        <w:t>您应提供方案相关具体信息，以便</w:t>
      </w:r>
      <w:r w:rsidRPr="00D22F5A">
        <w:rPr>
          <w:b w:val="0"/>
          <w:bCs w:val="0"/>
          <w:sz w:val="21"/>
          <w:szCs w:val="21"/>
        </w:rPr>
        <w:t>FDA</w:t>
      </w:r>
      <w:r w:rsidRPr="00D22F5A">
        <w:rPr>
          <w:rFonts w:hint="eastAsia"/>
          <w:b w:val="0"/>
          <w:bCs w:val="0"/>
          <w:sz w:val="21"/>
          <w:szCs w:val="21"/>
        </w:rPr>
        <w:t>能够在审查过程中判读验收标准或数据总结。例如，在涉及临床实验室标准协会（</w:t>
      </w:r>
      <w:r w:rsidRPr="00D22F5A">
        <w:rPr>
          <w:b w:val="0"/>
          <w:bCs w:val="0"/>
          <w:sz w:val="21"/>
          <w:szCs w:val="21"/>
        </w:rPr>
        <w:t>CLSI</w:t>
      </w:r>
      <w:r w:rsidRPr="00D22F5A">
        <w:rPr>
          <w:rFonts w:hint="eastAsia"/>
          <w:b w:val="0"/>
          <w:bCs w:val="0"/>
          <w:sz w:val="21"/>
          <w:szCs w:val="21"/>
        </w:rPr>
        <w:t>）方案或</w:t>
      </w:r>
      <w:r w:rsidR="00BF54DE">
        <w:rPr>
          <w:rFonts w:hint="eastAsia"/>
          <w:b w:val="0"/>
          <w:bCs w:val="0"/>
          <w:sz w:val="21"/>
          <w:szCs w:val="21"/>
        </w:rPr>
        <w:t>指南</w:t>
      </w:r>
      <w:r w:rsidRPr="00D22F5A">
        <w:rPr>
          <w:rFonts w:hint="eastAsia"/>
          <w:b w:val="0"/>
          <w:bCs w:val="0"/>
          <w:sz w:val="21"/>
          <w:szCs w:val="21"/>
        </w:rPr>
        <w:t>文件时，应指出您所遵循的方案或</w:t>
      </w:r>
      <w:r w:rsidR="00BF54DE">
        <w:rPr>
          <w:rFonts w:hint="eastAsia"/>
          <w:b w:val="0"/>
          <w:bCs w:val="0"/>
          <w:sz w:val="21"/>
          <w:szCs w:val="21"/>
        </w:rPr>
        <w:t>指南</w:t>
      </w:r>
      <w:r w:rsidRPr="00D22F5A">
        <w:rPr>
          <w:rFonts w:hint="eastAsia"/>
          <w:b w:val="0"/>
          <w:bCs w:val="0"/>
          <w:sz w:val="21"/>
          <w:szCs w:val="21"/>
        </w:rPr>
        <w:t>文件的特定方面。我们建议您在标签中纳入方案具体信息，以帮助用户判读标签中的信息。</w:t>
      </w:r>
      <w:bookmarkEnd w:id="32"/>
    </w:p>
    <w:p w:rsidR="0096599E" w:rsidRPr="00D22F5A" w:rsidRDefault="0096599E" w:rsidP="00AB6EB3">
      <w:pPr>
        <w:pStyle w:val="4"/>
        <w:kinsoku w:val="0"/>
        <w:overflowPunct w:val="0"/>
        <w:spacing w:afterLines="50" w:line="360" w:lineRule="auto"/>
        <w:ind w:left="0"/>
        <w:jc w:val="both"/>
        <w:rPr>
          <w:i/>
          <w:iCs/>
          <w:sz w:val="21"/>
          <w:szCs w:val="21"/>
        </w:rPr>
      </w:pPr>
      <w:r w:rsidRPr="00D22F5A">
        <w:rPr>
          <w:rFonts w:hint="eastAsia"/>
          <w:sz w:val="21"/>
          <w:szCs w:val="21"/>
        </w:rPr>
        <w:t>性能特性</w:t>
      </w:r>
    </w:p>
    <w:p w:rsidR="0096599E" w:rsidRPr="00D22F5A" w:rsidRDefault="0096599E" w:rsidP="00AB6EB3">
      <w:pPr>
        <w:pStyle w:val="4"/>
        <w:kinsoku w:val="0"/>
        <w:overflowPunct w:val="0"/>
        <w:spacing w:afterLines="50" w:line="360" w:lineRule="auto"/>
        <w:ind w:leftChars="200" w:left="480"/>
        <w:jc w:val="both"/>
        <w:rPr>
          <w:b w:val="0"/>
          <w:bCs w:val="0"/>
          <w:i/>
          <w:iCs/>
          <w:sz w:val="21"/>
          <w:szCs w:val="21"/>
        </w:rPr>
      </w:pPr>
      <w:r w:rsidRPr="00D22F5A">
        <w:rPr>
          <w:rFonts w:hint="eastAsia"/>
          <w:sz w:val="21"/>
          <w:szCs w:val="21"/>
        </w:rPr>
        <w:t>精度</w:t>
      </w:r>
    </w:p>
    <w:p w:rsidR="0096599E" w:rsidRPr="00D22F5A" w:rsidRDefault="0096599E" w:rsidP="00AB6EB3">
      <w:pPr>
        <w:pStyle w:val="a3"/>
        <w:kinsoku w:val="0"/>
        <w:overflowPunct w:val="0"/>
        <w:spacing w:afterLines="50" w:line="360" w:lineRule="auto"/>
        <w:ind w:leftChars="200" w:left="480"/>
        <w:jc w:val="both"/>
        <w:rPr>
          <w:sz w:val="21"/>
          <w:szCs w:val="21"/>
        </w:rPr>
      </w:pPr>
      <w:r w:rsidRPr="00D22F5A">
        <w:rPr>
          <w:rFonts w:hint="eastAsia"/>
          <w:sz w:val="21"/>
          <w:szCs w:val="21"/>
        </w:rPr>
        <w:t>您应采用患者样本或群体来表征机构的重复性（轮次内部）、实验室内精度和重现性。我们建议您遵循“临床化学器械精度性能评价”（</w:t>
      </w:r>
      <w:r w:rsidRPr="00D22F5A">
        <w:rPr>
          <w:sz w:val="21"/>
          <w:szCs w:val="21"/>
        </w:rPr>
        <w:t>CLSI</w:t>
      </w:r>
      <w:r w:rsidRPr="00D22F5A">
        <w:rPr>
          <w:rFonts w:hint="eastAsia"/>
          <w:sz w:val="21"/>
          <w:szCs w:val="21"/>
        </w:rPr>
        <w:t>文件</w:t>
      </w:r>
      <w:r w:rsidRPr="00D22F5A">
        <w:rPr>
          <w:sz w:val="21"/>
          <w:szCs w:val="21"/>
        </w:rPr>
        <w:t>EP5-A</w:t>
      </w:r>
      <w:r w:rsidRPr="00D22F5A">
        <w:rPr>
          <w:rFonts w:hint="eastAsia"/>
          <w:sz w:val="21"/>
          <w:szCs w:val="21"/>
        </w:rPr>
        <w:t>）中提供的指南。该文件包括实验设计、计算和说明性能要求的格式的指南。您应评价处于相关</w:t>
      </w:r>
      <w:r w:rsidRPr="00D22F5A">
        <w:rPr>
          <w:sz w:val="21"/>
          <w:szCs w:val="21"/>
        </w:rPr>
        <w:t>AFP-L3</w:t>
      </w:r>
      <w:r w:rsidRPr="004B3601">
        <w:rPr>
          <w:sz w:val="21"/>
          <w:szCs w:val="21"/>
        </w:rPr>
        <w:t>%</w:t>
      </w:r>
      <w:r w:rsidRPr="00D22F5A">
        <w:rPr>
          <w:rFonts w:hint="eastAsia"/>
          <w:sz w:val="21"/>
          <w:szCs w:val="21"/>
        </w:rPr>
        <w:t>测量值时的精度，其中包括临近医疗决策点和所报告范围下限的水平。我们建议您在评价中纳入</w:t>
      </w:r>
      <w:r w:rsidRPr="00D22F5A">
        <w:rPr>
          <w:sz w:val="21"/>
          <w:szCs w:val="21"/>
        </w:rPr>
        <w:t>3</w:t>
      </w:r>
      <w:r w:rsidRPr="00D22F5A">
        <w:rPr>
          <w:rFonts w:hint="eastAsia"/>
          <w:sz w:val="21"/>
          <w:szCs w:val="21"/>
        </w:rPr>
        <w:t>个或多个机构、多个批次和多台仪器。</w:t>
      </w:r>
    </w:p>
    <w:p w:rsidR="0096599E" w:rsidRPr="00D22F5A" w:rsidRDefault="0096599E" w:rsidP="00AB6EB3">
      <w:pPr>
        <w:pStyle w:val="a3"/>
        <w:kinsoku w:val="0"/>
        <w:overflowPunct w:val="0"/>
        <w:spacing w:afterLines="50" w:line="360" w:lineRule="auto"/>
        <w:ind w:leftChars="200" w:left="480"/>
        <w:jc w:val="both"/>
        <w:rPr>
          <w:sz w:val="21"/>
          <w:szCs w:val="21"/>
        </w:rPr>
      </w:pPr>
      <w:r w:rsidRPr="00D22F5A">
        <w:rPr>
          <w:rFonts w:hint="eastAsia"/>
          <w:sz w:val="21"/>
          <w:szCs w:val="21"/>
        </w:rPr>
        <w:t>您应在研究描述中确认评价过程中的恒定和变化因素（例如：仪器校准、试剂批次、操作员），并描述不同于</w:t>
      </w:r>
      <w:r w:rsidRPr="00D22F5A">
        <w:rPr>
          <w:sz w:val="21"/>
          <w:szCs w:val="21"/>
        </w:rPr>
        <w:t>CLSI</w:t>
      </w:r>
      <w:r w:rsidRPr="00D22F5A">
        <w:rPr>
          <w:rFonts w:hint="eastAsia"/>
          <w:sz w:val="21"/>
          <w:szCs w:val="21"/>
        </w:rPr>
        <w:t>文件</w:t>
      </w:r>
      <w:r w:rsidRPr="00D22F5A">
        <w:rPr>
          <w:sz w:val="21"/>
          <w:szCs w:val="21"/>
        </w:rPr>
        <w:t>EP5-A</w:t>
      </w:r>
      <w:r w:rsidRPr="00D22F5A">
        <w:rPr>
          <w:rFonts w:hint="eastAsia"/>
          <w:sz w:val="21"/>
          <w:szCs w:val="21"/>
        </w:rPr>
        <w:t>所述内容的计算方法。您还应纳入以下信息：</w:t>
      </w:r>
    </w:p>
    <w:p w:rsidR="0096599E" w:rsidRPr="00D22F5A" w:rsidRDefault="0096599E" w:rsidP="00562E38">
      <w:pPr>
        <w:pStyle w:val="a3"/>
        <w:numPr>
          <w:ilvl w:val="1"/>
          <w:numId w:val="1"/>
        </w:numPr>
        <w:tabs>
          <w:tab w:val="left" w:pos="426"/>
        </w:tabs>
        <w:kinsoku w:val="0"/>
        <w:overflowPunct w:val="0"/>
        <w:spacing w:line="360" w:lineRule="auto"/>
        <w:ind w:leftChars="200" w:left="480" w:firstLine="0"/>
        <w:jc w:val="both"/>
        <w:rPr>
          <w:sz w:val="21"/>
          <w:szCs w:val="21"/>
        </w:rPr>
      </w:pPr>
      <w:r w:rsidRPr="00D22F5A">
        <w:rPr>
          <w:sz w:val="21"/>
          <w:szCs w:val="21"/>
        </w:rPr>
        <w:br w:type="page"/>
      </w:r>
      <w:r w:rsidRPr="00D22F5A">
        <w:rPr>
          <w:rFonts w:hint="eastAsia"/>
          <w:sz w:val="21"/>
          <w:szCs w:val="21"/>
        </w:rPr>
        <w:lastRenderedPageBreak/>
        <w:t>样本类型（如矩阵、来源、制备）</w:t>
      </w:r>
    </w:p>
    <w:p w:rsidR="0096599E" w:rsidRPr="00D22F5A" w:rsidRDefault="0096599E" w:rsidP="00562E38">
      <w:pPr>
        <w:pStyle w:val="a3"/>
        <w:numPr>
          <w:ilvl w:val="1"/>
          <w:numId w:val="1"/>
        </w:numPr>
        <w:tabs>
          <w:tab w:val="left" w:pos="426"/>
        </w:tabs>
        <w:kinsoku w:val="0"/>
        <w:overflowPunct w:val="0"/>
        <w:spacing w:line="360" w:lineRule="auto"/>
        <w:ind w:leftChars="200" w:left="480" w:firstLine="0"/>
        <w:jc w:val="both"/>
        <w:rPr>
          <w:sz w:val="21"/>
          <w:szCs w:val="21"/>
        </w:rPr>
      </w:pPr>
      <w:r w:rsidRPr="00D22F5A">
        <w:rPr>
          <w:rFonts w:hint="eastAsia"/>
          <w:sz w:val="21"/>
          <w:szCs w:val="21"/>
        </w:rPr>
        <w:t>天数、轮次数和观察结果</w:t>
      </w:r>
    </w:p>
    <w:p w:rsidR="0096599E" w:rsidRPr="00D22F5A" w:rsidRDefault="0096599E" w:rsidP="00562E38">
      <w:pPr>
        <w:pStyle w:val="a3"/>
        <w:numPr>
          <w:ilvl w:val="1"/>
          <w:numId w:val="1"/>
        </w:numPr>
        <w:tabs>
          <w:tab w:val="left" w:pos="426"/>
        </w:tabs>
        <w:kinsoku w:val="0"/>
        <w:overflowPunct w:val="0"/>
        <w:spacing w:line="360" w:lineRule="auto"/>
        <w:ind w:leftChars="200" w:left="480" w:firstLine="0"/>
        <w:jc w:val="both"/>
        <w:rPr>
          <w:sz w:val="21"/>
          <w:szCs w:val="21"/>
        </w:rPr>
      </w:pPr>
      <w:r w:rsidRPr="00D22F5A">
        <w:rPr>
          <w:rFonts w:hint="eastAsia"/>
          <w:sz w:val="21"/>
          <w:szCs w:val="21"/>
        </w:rPr>
        <w:t>机构和</w:t>
      </w:r>
      <w:r w:rsidRPr="00D22F5A">
        <w:rPr>
          <w:sz w:val="21"/>
          <w:szCs w:val="21"/>
        </w:rPr>
        <w:t>/</w:t>
      </w:r>
      <w:r w:rsidRPr="00D22F5A">
        <w:rPr>
          <w:rFonts w:hint="eastAsia"/>
          <w:sz w:val="21"/>
          <w:szCs w:val="21"/>
        </w:rPr>
        <w:t>或操作员数量</w:t>
      </w:r>
    </w:p>
    <w:p w:rsidR="0096599E" w:rsidRPr="00D22F5A" w:rsidRDefault="0096599E" w:rsidP="00562E38">
      <w:pPr>
        <w:pStyle w:val="a3"/>
        <w:numPr>
          <w:ilvl w:val="1"/>
          <w:numId w:val="1"/>
        </w:numPr>
        <w:tabs>
          <w:tab w:val="left" w:pos="426"/>
        </w:tabs>
        <w:kinsoku w:val="0"/>
        <w:overflowPunct w:val="0"/>
        <w:spacing w:line="360" w:lineRule="auto"/>
        <w:ind w:leftChars="200" w:left="480" w:firstLine="0"/>
        <w:jc w:val="both"/>
        <w:rPr>
          <w:sz w:val="21"/>
          <w:szCs w:val="21"/>
        </w:rPr>
      </w:pPr>
      <w:r w:rsidRPr="00D22F5A">
        <w:rPr>
          <w:rFonts w:hint="eastAsia"/>
          <w:sz w:val="21"/>
          <w:szCs w:val="21"/>
        </w:rPr>
        <w:t>目标浓度</w:t>
      </w:r>
    </w:p>
    <w:p w:rsidR="0096599E" w:rsidRPr="00D22F5A" w:rsidRDefault="0096599E" w:rsidP="00562E38">
      <w:pPr>
        <w:pStyle w:val="a3"/>
        <w:numPr>
          <w:ilvl w:val="1"/>
          <w:numId w:val="1"/>
        </w:numPr>
        <w:tabs>
          <w:tab w:val="left" w:pos="426"/>
        </w:tabs>
        <w:kinsoku w:val="0"/>
        <w:overflowPunct w:val="0"/>
        <w:spacing w:line="360" w:lineRule="auto"/>
        <w:ind w:leftChars="200" w:left="480" w:firstLine="0"/>
        <w:jc w:val="both"/>
        <w:rPr>
          <w:sz w:val="21"/>
          <w:szCs w:val="21"/>
        </w:rPr>
      </w:pPr>
      <w:r w:rsidRPr="00D22F5A">
        <w:rPr>
          <w:rFonts w:hint="eastAsia"/>
          <w:sz w:val="21"/>
          <w:szCs w:val="21"/>
        </w:rPr>
        <w:t>对运行精度方案的机构的描述</w:t>
      </w:r>
    </w:p>
    <w:p w:rsidR="0096599E" w:rsidRPr="00D22F5A" w:rsidRDefault="0096599E" w:rsidP="00AB6EB3">
      <w:pPr>
        <w:pStyle w:val="a3"/>
        <w:numPr>
          <w:ilvl w:val="1"/>
          <w:numId w:val="1"/>
        </w:numPr>
        <w:tabs>
          <w:tab w:val="left" w:pos="426"/>
        </w:tabs>
        <w:kinsoku w:val="0"/>
        <w:overflowPunct w:val="0"/>
        <w:spacing w:afterLines="50" w:line="360" w:lineRule="auto"/>
        <w:ind w:leftChars="200" w:left="480" w:firstLine="0"/>
        <w:jc w:val="both"/>
        <w:rPr>
          <w:sz w:val="21"/>
          <w:szCs w:val="21"/>
        </w:rPr>
      </w:pPr>
      <w:r w:rsidRPr="00D22F5A">
        <w:rPr>
          <w:rFonts w:hint="eastAsia"/>
          <w:sz w:val="21"/>
          <w:szCs w:val="21"/>
        </w:rPr>
        <w:t>所观察到的平均值和标准偏差</w:t>
      </w:r>
    </w:p>
    <w:p w:rsidR="0096599E" w:rsidRPr="00D22F5A" w:rsidRDefault="0096599E" w:rsidP="00AB6EB3">
      <w:pPr>
        <w:pStyle w:val="4"/>
        <w:kinsoku w:val="0"/>
        <w:overflowPunct w:val="0"/>
        <w:spacing w:afterLines="50" w:line="360" w:lineRule="auto"/>
        <w:ind w:left="0"/>
        <w:jc w:val="both"/>
        <w:rPr>
          <w:b w:val="0"/>
          <w:bCs w:val="0"/>
          <w:i/>
          <w:iCs/>
          <w:sz w:val="21"/>
          <w:szCs w:val="21"/>
        </w:rPr>
      </w:pPr>
      <w:r w:rsidRPr="00D22F5A">
        <w:rPr>
          <w:rFonts w:hint="eastAsia"/>
          <w:sz w:val="21"/>
          <w:szCs w:val="21"/>
        </w:rPr>
        <w:t>干扰</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您应该描述潜在干扰物对试验性能的影响。实验设计的实例（包括选择测试干扰物的指南）如“临床化学中的干扰测试；获批</w:t>
      </w:r>
      <w:r w:rsidR="00BF54DE">
        <w:rPr>
          <w:rFonts w:hint="eastAsia"/>
          <w:sz w:val="21"/>
          <w:szCs w:val="21"/>
        </w:rPr>
        <w:t>指南</w:t>
      </w:r>
      <w:r w:rsidRPr="00D22F5A">
        <w:rPr>
          <w:rFonts w:hint="eastAsia"/>
          <w:sz w:val="21"/>
          <w:szCs w:val="21"/>
        </w:rPr>
        <w:t>文件”（</w:t>
      </w:r>
      <w:r w:rsidRPr="00D22F5A">
        <w:rPr>
          <w:sz w:val="21"/>
          <w:szCs w:val="21"/>
        </w:rPr>
        <w:t>CLSI</w:t>
      </w:r>
      <w:r w:rsidRPr="00D22F5A">
        <w:rPr>
          <w:rFonts w:hint="eastAsia"/>
          <w:sz w:val="21"/>
          <w:szCs w:val="21"/>
        </w:rPr>
        <w:t>文件</w:t>
      </w:r>
      <w:r w:rsidRPr="00D22F5A">
        <w:rPr>
          <w:sz w:val="21"/>
          <w:szCs w:val="21"/>
        </w:rPr>
        <w:t>EP7-A</w:t>
      </w:r>
      <w:r w:rsidRPr="00D22F5A">
        <w:rPr>
          <w:rFonts w:hint="eastAsia"/>
          <w:sz w:val="21"/>
          <w:szCs w:val="21"/>
        </w:rPr>
        <w:t>）所示。潜在干扰源包括全血中通常可见的化合物（例如：甘油三酸酯、血红蛋白、胆红素和白蛋白）；抗氧化剂（例如：维生素</w:t>
      </w:r>
      <w:r w:rsidRPr="00D22F5A">
        <w:rPr>
          <w:sz w:val="21"/>
          <w:szCs w:val="21"/>
        </w:rPr>
        <w:t>C</w:t>
      </w:r>
      <w:r w:rsidRPr="00D22F5A">
        <w:rPr>
          <w:rFonts w:hint="eastAsia"/>
          <w:sz w:val="21"/>
          <w:szCs w:val="21"/>
        </w:rPr>
        <w:t>和</w:t>
      </w:r>
      <w:r w:rsidRPr="00D22F5A">
        <w:rPr>
          <w:sz w:val="21"/>
          <w:szCs w:val="21"/>
        </w:rPr>
        <w:t>E</w:t>
      </w:r>
      <w:r w:rsidRPr="00D22F5A">
        <w:rPr>
          <w:rFonts w:hint="eastAsia"/>
          <w:sz w:val="21"/>
          <w:szCs w:val="21"/>
        </w:rPr>
        <w:t>）以及用于治疗慢性肝病的典型药物（例如：肝硬化和病毒性肝炎）。</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通常情况下，干扰研究涉及在患者样本中添加潜在的干扰物，并相对于没有添加干扰物的对照样本，确定</w:t>
      </w:r>
      <w:r w:rsidRPr="00D22F5A">
        <w:rPr>
          <w:sz w:val="21"/>
          <w:szCs w:val="21"/>
        </w:rPr>
        <w:t>AFP-L3%</w:t>
      </w:r>
      <w:r w:rsidRPr="00D22F5A">
        <w:rPr>
          <w:rFonts w:hint="eastAsia"/>
          <w:sz w:val="21"/>
          <w:szCs w:val="21"/>
        </w:rPr>
        <w:t>回收率的偏差。</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您应描述以下研究设计相关参数：</w:t>
      </w:r>
    </w:p>
    <w:p w:rsidR="0096599E" w:rsidRPr="00D22F5A" w:rsidRDefault="0096599E" w:rsidP="00562E38">
      <w:pPr>
        <w:pStyle w:val="a3"/>
        <w:numPr>
          <w:ilvl w:val="0"/>
          <w:numId w:val="4"/>
        </w:numPr>
        <w:tabs>
          <w:tab w:val="left" w:pos="896"/>
        </w:tabs>
        <w:kinsoku w:val="0"/>
        <w:overflowPunct w:val="0"/>
        <w:spacing w:line="360" w:lineRule="auto"/>
        <w:ind w:leftChars="200" w:left="900" w:hangingChars="200" w:hanging="420"/>
        <w:jc w:val="both"/>
        <w:rPr>
          <w:sz w:val="21"/>
          <w:szCs w:val="21"/>
        </w:rPr>
      </w:pPr>
      <w:r w:rsidRPr="00D22F5A">
        <w:rPr>
          <w:rFonts w:hint="eastAsia"/>
          <w:sz w:val="21"/>
          <w:szCs w:val="21"/>
        </w:rPr>
        <w:t>受试干扰物的类型和水平</w:t>
      </w:r>
    </w:p>
    <w:p w:rsidR="0096599E" w:rsidRPr="00D22F5A" w:rsidRDefault="0096599E" w:rsidP="00562E38">
      <w:pPr>
        <w:pStyle w:val="a3"/>
        <w:numPr>
          <w:ilvl w:val="0"/>
          <w:numId w:val="4"/>
        </w:numPr>
        <w:tabs>
          <w:tab w:val="left" w:pos="896"/>
        </w:tabs>
        <w:kinsoku w:val="0"/>
        <w:overflowPunct w:val="0"/>
        <w:spacing w:line="360" w:lineRule="auto"/>
        <w:ind w:leftChars="200" w:left="900" w:hangingChars="200" w:hanging="420"/>
        <w:jc w:val="both"/>
        <w:rPr>
          <w:sz w:val="21"/>
          <w:szCs w:val="21"/>
        </w:rPr>
      </w:pPr>
      <w:r w:rsidRPr="00D22F5A">
        <w:rPr>
          <w:rFonts w:hint="eastAsia"/>
          <w:sz w:val="21"/>
          <w:szCs w:val="21"/>
        </w:rPr>
        <w:t>样本类型</w:t>
      </w:r>
    </w:p>
    <w:p w:rsidR="0096599E" w:rsidRPr="00D22F5A" w:rsidRDefault="0096599E" w:rsidP="00562E38">
      <w:pPr>
        <w:pStyle w:val="a3"/>
        <w:numPr>
          <w:ilvl w:val="0"/>
          <w:numId w:val="4"/>
        </w:numPr>
        <w:tabs>
          <w:tab w:val="left" w:pos="896"/>
        </w:tabs>
        <w:kinsoku w:val="0"/>
        <w:overflowPunct w:val="0"/>
        <w:spacing w:line="360" w:lineRule="auto"/>
        <w:ind w:leftChars="200" w:left="900" w:hangingChars="200" w:hanging="420"/>
        <w:jc w:val="both"/>
        <w:rPr>
          <w:sz w:val="21"/>
          <w:szCs w:val="21"/>
        </w:rPr>
      </w:pPr>
      <w:r w:rsidRPr="00D22F5A">
        <w:rPr>
          <w:rFonts w:hint="eastAsia"/>
          <w:sz w:val="21"/>
          <w:szCs w:val="21"/>
        </w:rPr>
        <w:t>在存在和不存在干扰物的情况下观察到的</w:t>
      </w:r>
      <w:r w:rsidRPr="00D22F5A">
        <w:rPr>
          <w:sz w:val="21"/>
          <w:szCs w:val="21"/>
        </w:rPr>
        <w:t>AFP</w:t>
      </w:r>
      <w:r w:rsidRPr="00D22F5A">
        <w:rPr>
          <w:rFonts w:hint="eastAsia"/>
          <w:sz w:val="21"/>
          <w:szCs w:val="21"/>
        </w:rPr>
        <w:t>、</w:t>
      </w:r>
      <w:r w:rsidRPr="00D22F5A">
        <w:rPr>
          <w:sz w:val="21"/>
          <w:szCs w:val="21"/>
        </w:rPr>
        <w:t>AFP-L3</w:t>
      </w:r>
      <w:r w:rsidRPr="00D22F5A">
        <w:rPr>
          <w:rFonts w:hint="eastAsia"/>
          <w:sz w:val="21"/>
          <w:szCs w:val="21"/>
        </w:rPr>
        <w:t>亚组分和</w:t>
      </w:r>
      <w:r w:rsidRPr="00D22F5A">
        <w:rPr>
          <w:sz w:val="21"/>
          <w:szCs w:val="21"/>
        </w:rPr>
        <w:t>AFP-L3</w:t>
      </w:r>
      <w:r w:rsidRPr="004B3601">
        <w:rPr>
          <w:sz w:val="21"/>
          <w:szCs w:val="21"/>
        </w:rPr>
        <w:t>%</w:t>
      </w:r>
      <w:r w:rsidRPr="00D22F5A">
        <w:rPr>
          <w:rFonts w:hint="eastAsia"/>
          <w:sz w:val="21"/>
          <w:szCs w:val="21"/>
        </w:rPr>
        <w:t>的浓度。</w:t>
      </w:r>
    </w:p>
    <w:p w:rsidR="0096599E" w:rsidRPr="00D22F5A" w:rsidRDefault="0096599E" w:rsidP="00562E38">
      <w:pPr>
        <w:pStyle w:val="a3"/>
        <w:numPr>
          <w:ilvl w:val="0"/>
          <w:numId w:val="4"/>
        </w:numPr>
        <w:tabs>
          <w:tab w:val="left" w:pos="896"/>
        </w:tabs>
        <w:kinsoku w:val="0"/>
        <w:overflowPunct w:val="0"/>
        <w:spacing w:line="360" w:lineRule="auto"/>
        <w:ind w:leftChars="200" w:left="900" w:hangingChars="200" w:hanging="420"/>
        <w:jc w:val="both"/>
        <w:rPr>
          <w:sz w:val="21"/>
          <w:szCs w:val="21"/>
        </w:rPr>
      </w:pPr>
      <w:r w:rsidRPr="00D22F5A">
        <w:rPr>
          <w:rFonts w:hint="eastAsia"/>
          <w:sz w:val="21"/>
          <w:szCs w:val="21"/>
        </w:rPr>
        <w:t>用于计算干扰的定义或方程式</w:t>
      </w:r>
    </w:p>
    <w:p w:rsidR="0096599E" w:rsidRPr="00D22F5A" w:rsidRDefault="0096599E" w:rsidP="00562E38">
      <w:pPr>
        <w:pStyle w:val="a3"/>
        <w:numPr>
          <w:ilvl w:val="0"/>
          <w:numId w:val="4"/>
        </w:numPr>
        <w:tabs>
          <w:tab w:val="left" w:pos="896"/>
        </w:tabs>
        <w:kinsoku w:val="0"/>
        <w:overflowPunct w:val="0"/>
        <w:spacing w:line="360" w:lineRule="auto"/>
        <w:ind w:leftChars="200" w:left="900" w:hangingChars="200" w:hanging="420"/>
        <w:jc w:val="both"/>
        <w:rPr>
          <w:sz w:val="21"/>
          <w:szCs w:val="21"/>
        </w:rPr>
      </w:pPr>
      <w:r w:rsidRPr="00D22F5A">
        <w:rPr>
          <w:rFonts w:hint="eastAsia"/>
          <w:sz w:val="21"/>
          <w:szCs w:val="21"/>
        </w:rPr>
        <w:t>您的干扰标准，例如处于</w:t>
      </w:r>
      <w:r w:rsidRPr="00D22F5A">
        <w:rPr>
          <w:sz w:val="21"/>
          <w:szCs w:val="21"/>
        </w:rPr>
        <w:t>Y</w:t>
      </w:r>
      <w:r w:rsidRPr="00D22F5A">
        <w:rPr>
          <w:rFonts w:hint="eastAsia"/>
          <w:sz w:val="21"/>
          <w:szCs w:val="21"/>
        </w:rPr>
        <w:t>干扰物（浓度）时小于</w:t>
      </w:r>
      <w:r w:rsidRPr="00D22F5A">
        <w:rPr>
          <w:sz w:val="21"/>
          <w:szCs w:val="21"/>
        </w:rPr>
        <w:t>X</w:t>
      </w:r>
      <w:r w:rsidRPr="004B3601">
        <w:rPr>
          <w:sz w:val="21"/>
          <w:szCs w:val="21"/>
        </w:rPr>
        <w:t>%</w:t>
      </w:r>
      <w:r w:rsidRPr="00D22F5A">
        <w:rPr>
          <w:rFonts w:hint="eastAsia"/>
          <w:sz w:val="21"/>
          <w:szCs w:val="21"/>
        </w:rPr>
        <w:t>的不准确度</w:t>
      </w:r>
    </w:p>
    <w:p w:rsidR="0096599E" w:rsidRPr="00A9375C" w:rsidRDefault="006300B4" w:rsidP="00AB6EB3">
      <w:pPr>
        <w:pStyle w:val="4"/>
        <w:kinsoku w:val="0"/>
        <w:overflowPunct w:val="0"/>
        <w:spacing w:afterLines="50" w:line="360" w:lineRule="auto"/>
        <w:ind w:left="0"/>
        <w:jc w:val="both"/>
        <w:rPr>
          <w:rFonts w:ascii="宋体" w:eastAsia="宋体" w:hAnsi="宋体"/>
          <w:b w:val="0"/>
          <w:bCs w:val="0"/>
          <w:i/>
          <w:iCs/>
          <w:sz w:val="21"/>
          <w:szCs w:val="21"/>
        </w:rPr>
      </w:pPr>
      <w:r w:rsidRPr="006300B4">
        <w:rPr>
          <w:rFonts w:ascii="宋体" w:eastAsia="宋体" w:hAnsi="宋体" w:hint="eastAsia"/>
          <w:b w:val="0"/>
          <w:bCs w:val="0"/>
          <w:sz w:val="21"/>
          <w:szCs w:val="21"/>
        </w:rPr>
        <w:t>您应指出在存在特殊干扰物的情况下观察到的回收率范围。我们建议您指出所观察到的偏差趋势（例如：作为干扰物浓度的函数，所观察到度量的增加或降低）。</w:t>
      </w:r>
    </w:p>
    <w:p w:rsidR="0096599E" w:rsidRPr="00D22F5A" w:rsidRDefault="0096599E" w:rsidP="00AB6EB3">
      <w:pPr>
        <w:pStyle w:val="4"/>
        <w:kinsoku w:val="0"/>
        <w:overflowPunct w:val="0"/>
        <w:spacing w:afterLines="50" w:line="360" w:lineRule="auto"/>
        <w:ind w:left="0"/>
        <w:jc w:val="both"/>
        <w:rPr>
          <w:b w:val="0"/>
          <w:bCs w:val="0"/>
          <w:i/>
          <w:iCs/>
          <w:sz w:val="21"/>
          <w:szCs w:val="21"/>
        </w:rPr>
      </w:pPr>
      <w:r w:rsidRPr="00D22F5A">
        <w:rPr>
          <w:rFonts w:hint="eastAsia"/>
          <w:sz w:val="21"/>
          <w:szCs w:val="21"/>
        </w:rPr>
        <w:t>交叉反应性</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您应测量您的器械与</w:t>
      </w:r>
      <w:r w:rsidR="006765EA">
        <w:rPr>
          <w:rFonts w:hint="eastAsia"/>
          <w:sz w:val="21"/>
          <w:szCs w:val="21"/>
        </w:rPr>
        <w:t>其他</w:t>
      </w:r>
      <w:r w:rsidRPr="00D22F5A">
        <w:rPr>
          <w:rFonts w:hint="eastAsia"/>
          <w:sz w:val="21"/>
          <w:szCs w:val="21"/>
        </w:rPr>
        <w:t>胃肠（</w:t>
      </w:r>
      <w:r w:rsidRPr="00D22F5A">
        <w:rPr>
          <w:sz w:val="21"/>
          <w:szCs w:val="21"/>
        </w:rPr>
        <w:t>GI</w:t>
      </w:r>
      <w:r w:rsidRPr="00D22F5A">
        <w:rPr>
          <w:rFonts w:hint="eastAsia"/>
          <w:sz w:val="21"/>
          <w:szCs w:val="21"/>
        </w:rPr>
        <w:t>）癌和良性疾病（例如：胃癌、胰腺癌、结肠癌、肝硬化和病毒性肝炎）患者样本的交叉反应性，从而评价试验特异性。</w:t>
      </w:r>
    </w:p>
    <w:p w:rsidR="0096599E" w:rsidRPr="00A9375C" w:rsidRDefault="006300B4" w:rsidP="00AB6EB3">
      <w:pPr>
        <w:pStyle w:val="4"/>
        <w:kinsoku w:val="0"/>
        <w:overflowPunct w:val="0"/>
        <w:spacing w:afterLines="50" w:line="360" w:lineRule="auto"/>
        <w:ind w:left="0"/>
        <w:jc w:val="both"/>
        <w:rPr>
          <w:rFonts w:ascii="宋体" w:eastAsia="宋体" w:hAnsi="宋体"/>
          <w:b w:val="0"/>
          <w:bCs w:val="0"/>
          <w:i/>
          <w:iCs/>
          <w:sz w:val="21"/>
          <w:szCs w:val="21"/>
        </w:rPr>
      </w:pPr>
      <w:r w:rsidRPr="006300B4">
        <w:rPr>
          <w:rFonts w:ascii="宋体" w:eastAsia="宋体" w:hAnsi="宋体" w:hint="eastAsia"/>
          <w:b w:val="0"/>
          <w:bCs w:val="0"/>
          <w:sz w:val="21"/>
          <w:szCs w:val="21"/>
        </w:rPr>
        <w:t>如果您使用合成或提取的物质来评价交叉反应性，则应评价这些物质的纯度，并</w:t>
      </w:r>
      <w:r>
        <w:rPr>
          <w:rFonts w:ascii="Times New Roman" w:eastAsia="宋体" w:hAnsi="Times New Roman" w:hint="eastAsia"/>
          <w:b w:val="0"/>
          <w:bCs w:val="0"/>
          <w:sz w:val="21"/>
          <w:szCs w:val="21"/>
        </w:rPr>
        <w:t>在</w:t>
      </w:r>
      <w:r>
        <w:rPr>
          <w:rFonts w:ascii="Times New Roman" w:eastAsia="宋体" w:hAnsi="Times New Roman"/>
          <w:b w:val="0"/>
          <w:bCs w:val="0"/>
          <w:sz w:val="21"/>
          <w:szCs w:val="21"/>
        </w:rPr>
        <w:t>510(k)</w:t>
      </w:r>
      <w:r w:rsidRPr="006300B4">
        <w:rPr>
          <w:rFonts w:ascii="宋体" w:eastAsia="宋体" w:hAnsi="宋体" w:hint="eastAsia"/>
          <w:b w:val="0"/>
          <w:bCs w:val="0"/>
          <w:sz w:val="21"/>
          <w:szCs w:val="21"/>
        </w:rPr>
        <w:t>中纳入这些信息。</w:t>
      </w:r>
    </w:p>
    <w:p w:rsidR="0096599E" w:rsidRPr="00A9375C" w:rsidRDefault="0096599E" w:rsidP="00AB6EB3">
      <w:pPr>
        <w:pStyle w:val="4"/>
        <w:kinsoku w:val="0"/>
        <w:overflowPunct w:val="0"/>
        <w:spacing w:afterLines="50" w:line="360" w:lineRule="auto"/>
        <w:ind w:left="0"/>
        <w:jc w:val="both"/>
        <w:rPr>
          <w:rFonts w:ascii="Times New Roman" w:eastAsia="宋体" w:hAnsi="Times New Roman"/>
          <w:b w:val="0"/>
          <w:bCs w:val="0"/>
          <w:i/>
          <w:iCs/>
          <w:sz w:val="21"/>
          <w:szCs w:val="21"/>
        </w:rPr>
      </w:pPr>
      <w:r w:rsidRPr="00D22F5A">
        <w:rPr>
          <w:sz w:val="21"/>
          <w:szCs w:val="21"/>
        </w:rPr>
        <w:br w:type="page"/>
      </w:r>
      <w:r w:rsidR="00BF54DE" w:rsidRPr="00A9375C">
        <w:rPr>
          <w:rFonts w:ascii="Times New Roman" w:eastAsia="宋体" w:hAnsi="Times New Roman"/>
          <w:sz w:val="21"/>
          <w:szCs w:val="21"/>
        </w:rPr>
        <w:lastRenderedPageBreak/>
        <w:t>检测限</w:t>
      </w:r>
    </w:p>
    <w:p w:rsidR="0096599E" w:rsidRPr="00A9375C" w:rsidRDefault="006300B4" w:rsidP="00AB6EB3">
      <w:pPr>
        <w:pStyle w:val="4"/>
        <w:kinsoku w:val="0"/>
        <w:overflowPunct w:val="0"/>
        <w:spacing w:afterLines="50" w:line="360" w:lineRule="auto"/>
        <w:ind w:left="0"/>
        <w:jc w:val="both"/>
        <w:rPr>
          <w:rFonts w:ascii="Times New Roman" w:eastAsia="宋体" w:hAnsi="Times New Roman"/>
          <w:b w:val="0"/>
          <w:bCs w:val="0"/>
          <w:i/>
          <w:iCs/>
          <w:sz w:val="21"/>
          <w:szCs w:val="21"/>
        </w:rPr>
      </w:pPr>
      <w:r>
        <w:rPr>
          <w:rFonts w:ascii="Times New Roman" w:eastAsia="宋体" w:hAnsi="Times New Roman" w:hint="eastAsia"/>
          <w:b w:val="0"/>
          <w:bCs w:val="0"/>
          <w:sz w:val="21"/>
          <w:szCs w:val="21"/>
        </w:rPr>
        <w:t>您应该确定器械检测的极限。</w:t>
      </w:r>
      <w:r w:rsidR="00BF54DE" w:rsidRPr="00A9375C">
        <w:rPr>
          <w:rFonts w:ascii="Times New Roman" w:eastAsia="宋体" w:hAnsi="Times New Roman"/>
          <w:b w:val="0"/>
          <w:bCs w:val="0"/>
          <w:sz w:val="21"/>
          <w:szCs w:val="21"/>
        </w:rPr>
        <w:t>检测限</w:t>
      </w:r>
      <w:r>
        <w:rPr>
          <w:rFonts w:ascii="Times New Roman" w:eastAsia="宋体" w:hAnsi="Times New Roman" w:hint="eastAsia"/>
          <w:b w:val="0"/>
          <w:bCs w:val="0"/>
          <w:sz w:val="21"/>
          <w:szCs w:val="21"/>
        </w:rPr>
        <w:t>代表器械能够可靠检测到的</w:t>
      </w:r>
      <w:r>
        <w:rPr>
          <w:rFonts w:ascii="Times New Roman" w:eastAsia="宋体" w:hAnsi="Times New Roman"/>
          <w:b w:val="0"/>
          <w:bCs w:val="0"/>
          <w:sz w:val="21"/>
          <w:szCs w:val="21"/>
        </w:rPr>
        <w:t>AFP-L3%</w:t>
      </w:r>
      <w:r>
        <w:rPr>
          <w:rFonts w:ascii="Times New Roman" w:eastAsia="宋体" w:hAnsi="Times New Roman" w:hint="eastAsia"/>
          <w:b w:val="0"/>
          <w:bCs w:val="0"/>
          <w:sz w:val="21"/>
          <w:szCs w:val="21"/>
        </w:rPr>
        <w:t>最低水平，区别于零。您应描述用于做出该决定的研究设计和结果（例如：所使用样本、测量值、计算值）。有关</w:t>
      </w:r>
      <w:r w:rsidR="00BF54DE" w:rsidRPr="00A9375C">
        <w:rPr>
          <w:rFonts w:ascii="Times New Roman" w:eastAsia="宋体" w:hAnsi="Times New Roman"/>
          <w:b w:val="0"/>
          <w:bCs w:val="0"/>
          <w:sz w:val="21"/>
          <w:szCs w:val="21"/>
        </w:rPr>
        <w:t>检测限</w:t>
      </w:r>
      <w:r>
        <w:rPr>
          <w:rFonts w:ascii="Times New Roman" w:eastAsia="宋体" w:hAnsi="Times New Roman" w:hint="eastAsia"/>
          <w:b w:val="0"/>
          <w:bCs w:val="0"/>
          <w:sz w:val="21"/>
          <w:szCs w:val="21"/>
        </w:rPr>
        <w:t>确定的进一步论述，请参见“定量</w:t>
      </w:r>
      <w:r w:rsidR="00BF54DE" w:rsidRPr="00A9375C">
        <w:rPr>
          <w:rFonts w:ascii="Times New Roman" w:eastAsia="宋体" w:hAnsi="Times New Roman"/>
          <w:b w:val="0"/>
          <w:bCs w:val="0"/>
          <w:sz w:val="21"/>
          <w:szCs w:val="21"/>
        </w:rPr>
        <w:t>检测限</w:t>
      </w:r>
      <w:r>
        <w:rPr>
          <w:rFonts w:ascii="Times New Roman" w:eastAsia="宋体" w:hAnsi="Times New Roman" w:hint="eastAsia"/>
          <w:b w:val="0"/>
          <w:bCs w:val="0"/>
          <w:sz w:val="21"/>
          <w:szCs w:val="21"/>
        </w:rPr>
        <w:t>确定用方案”（</w:t>
      </w:r>
      <w:r>
        <w:rPr>
          <w:rFonts w:ascii="Times New Roman" w:eastAsia="宋体" w:hAnsi="Times New Roman"/>
          <w:b w:val="0"/>
          <w:bCs w:val="0"/>
          <w:sz w:val="21"/>
          <w:szCs w:val="21"/>
        </w:rPr>
        <w:t>CLSI</w:t>
      </w:r>
      <w:r>
        <w:rPr>
          <w:rFonts w:ascii="Times New Roman" w:eastAsia="宋体" w:hAnsi="Times New Roman" w:hint="eastAsia"/>
          <w:b w:val="0"/>
          <w:bCs w:val="0"/>
          <w:sz w:val="21"/>
          <w:szCs w:val="21"/>
        </w:rPr>
        <w:t>文件</w:t>
      </w:r>
      <w:r>
        <w:rPr>
          <w:rFonts w:ascii="Times New Roman" w:eastAsia="宋体" w:hAnsi="Times New Roman"/>
          <w:b w:val="0"/>
          <w:bCs w:val="0"/>
          <w:sz w:val="21"/>
          <w:szCs w:val="21"/>
        </w:rPr>
        <w:t>EP17-A</w:t>
      </w:r>
      <w:r>
        <w:rPr>
          <w:rFonts w:ascii="Times New Roman" w:eastAsia="宋体" w:hAnsi="Times New Roman" w:hint="eastAsia"/>
          <w:b w:val="0"/>
          <w:bCs w:val="0"/>
          <w:sz w:val="21"/>
          <w:szCs w:val="21"/>
        </w:rPr>
        <w:t>）。</w:t>
      </w:r>
    </w:p>
    <w:p w:rsidR="0096599E" w:rsidRPr="00A9375C" w:rsidRDefault="006300B4" w:rsidP="00AB6EB3">
      <w:pPr>
        <w:pStyle w:val="4"/>
        <w:kinsoku w:val="0"/>
        <w:overflowPunct w:val="0"/>
        <w:spacing w:afterLines="50" w:line="360" w:lineRule="auto"/>
        <w:ind w:left="0"/>
        <w:jc w:val="both"/>
        <w:rPr>
          <w:rFonts w:ascii="Times New Roman" w:eastAsia="宋体" w:hAnsi="Times New Roman"/>
          <w:b w:val="0"/>
          <w:bCs w:val="0"/>
          <w:i/>
          <w:iCs/>
          <w:sz w:val="21"/>
          <w:szCs w:val="21"/>
        </w:rPr>
      </w:pPr>
      <w:r w:rsidRPr="006300B4">
        <w:rPr>
          <w:rFonts w:ascii="Times New Roman" w:eastAsia="宋体" w:hAnsi="Times New Roman" w:hint="eastAsia"/>
          <w:sz w:val="21"/>
          <w:szCs w:val="21"/>
        </w:rPr>
        <w:t>线性</w:t>
      </w:r>
    </w:p>
    <w:p w:rsidR="0096599E" w:rsidRPr="00A9375C" w:rsidRDefault="006300B4" w:rsidP="00AB6EB3">
      <w:pPr>
        <w:pStyle w:val="4"/>
        <w:kinsoku w:val="0"/>
        <w:overflowPunct w:val="0"/>
        <w:spacing w:afterLines="50" w:line="360" w:lineRule="auto"/>
        <w:ind w:left="0"/>
        <w:jc w:val="both"/>
        <w:rPr>
          <w:rFonts w:ascii="Times New Roman" w:eastAsia="宋体" w:hAnsi="Times New Roman"/>
          <w:b w:val="0"/>
          <w:bCs w:val="0"/>
          <w:i/>
          <w:iCs/>
          <w:sz w:val="21"/>
          <w:szCs w:val="21"/>
        </w:rPr>
      </w:pPr>
      <w:r>
        <w:rPr>
          <w:rFonts w:ascii="Times New Roman" w:eastAsia="宋体" w:hAnsi="Times New Roman" w:hint="eastAsia"/>
          <w:b w:val="0"/>
          <w:bCs w:val="0"/>
          <w:sz w:val="21"/>
          <w:szCs w:val="21"/>
        </w:rPr>
        <w:t>您应该验证器械的线性范围。我们建议您遵循“定量分析方法的线性评估”，获批指南文件，</w:t>
      </w:r>
      <w:r>
        <w:rPr>
          <w:rFonts w:ascii="Times New Roman" w:eastAsia="宋体" w:hAnsi="Times New Roman"/>
          <w:b w:val="0"/>
          <w:bCs w:val="0"/>
          <w:sz w:val="21"/>
          <w:szCs w:val="21"/>
        </w:rPr>
        <w:t>CLSI</w:t>
      </w:r>
      <w:r>
        <w:rPr>
          <w:rFonts w:ascii="Times New Roman" w:eastAsia="宋体" w:hAnsi="Times New Roman" w:hint="eastAsia"/>
          <w:b w:val="0"/>
          <w:bCs w:val="0"/>
          <w:sz w:val="21"/>
          <w:szCs w:val="21"/>
        </w:rPr>
        <w:t>文件</w:t>
      </w:r>
      <w:r>
        <w:rPr>
          <w:rFonts w:ascii="Times New Roman" w:eastAsia="宋体" w:hAnsi="Times New Roman"/>
          <w:b w:val="0"/>
          <w:bCs w:val="0"/>
          <w:sz w:val="21"/>
          <w:szCs w:val="21"/>
        </w:rPr>
        <w:t>EP6-A</w:t>
      </w:r>
      <w:r>
        <w:rPr>
          <w:rFonts w:ascii="Times New Roman" w:eastAsia="宋体" w:hAnsi="Times New Roman" w:hint="eastAsia"/>
          <w:b w:val="0"/>
          <w:bCs w:val="0"/>
          <w:sz w:val="21"/>
          <w:szCs w:val="21"/>
        </w:rPr>
        <w:t>中的指南文件。您应描述研究设计（例如：样本类型和制备、测量值、计算方法）、试验的线性范围以及你用于确定此范围的验收标准。</w:t>
      </w:r>
    </w:p>
    <w:p w:rsidR="0096599E" w:rsidRPr="00A9375C" w:rsidRDefault="0096599E" w:rsidP="00AB6EB3">
      <w:pPr>
        <w:pStyle w:val="a3"/>
        <w:kinsoku w:val="0"/>
        <w:overflowPunct w:val="0"/>
        <w:spacing w:afterLines="50" w:line="360" w:lineRule="auto"/>
        <w:ind w:left="0"/>
        <w:jc w:val="both"/>
        <w:rPr>
          <w:b/>
          <w:bCs/>
          <w:i/>
          <w:iCs/>
          <w:sz w:val="21"/>
          <w:szCs w:val="21"/>
        </w:rPr>
      </w:pPr>
      <w:r w:rsidRPr="00A9375C">
        <w:rPr>
          <w:rFonts w:hint="eastAsia"/>
          <w:b/>
          <w:bCs/>
          <w:i/>
          <w:iCs/>
          <w:sz w:val="21"/>
          <w:szCs w:val="21"/>
        </w:rPr>
        <w:t>校准品和质控品</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如果您的器械包括校准品和质控品，则应在</w:t>
      </w:r>
      <w:r w:rsidRPr="00D22F5A">
        <w:rPr>
          <w:sz w:val="21"/>
          <w:szCs w:val="21"/>
        </w:rPr>
        <w:t>510k)</w:t>
      </w:r>
      <w:r w:rsidRPr="00D22F5A">
        <w:rPr>
          <w:rFonts w:hint="eastAsia"/>
          <w:sz w:val="21"/>
          <w:szCs w:val="21"/>
        </w:rPr>
        <w:t>中提供以下信息：</w:t>
      </w:r>
    </w:p>
    <w:p w:rsidR="0096599E" w:rsidRPr="00D22F5A" w:rsidRDefault="0096599E" w:rsidP="00AB6EB3">
      <w:pPr>
        <w:pStyle w:val="a3"/>
        <w:numPr>
          <w:ilvl w:val="0"/>
          <w:numId w:val="4"/>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已打开和未打开校准品和质控品实时或加速稳定性研究用方案和验收标准。这应包括您采用的方法或分析以及到期日回收率验收标准。</w:t>
      </w:r>
    </w:p>
    <w:p w:rsidR="0096599E" w:rsidRPr="00D22F5A" w:rsidRDefault="0096599E" w:rsidP="00AB6EB3">
      <w:pPr>
        <w:pStyle w:val="a3"/>
        <w:numPr>
          <w:ilvl w:val="0"/>
          <w:numId w:val="4"/>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各种校准品和质控品的值分配和确认用方案和验收标准。这应包括所采用方法或分析。</w:t>
      </w:r>
    </w:p>
    <w:p w:rsidR="0096599E" w:rsidRPr="00D22F5A" w:rsidRDefault="0096599E" w:rsidP="00AB6EB3">
      <w:pPr>
        <w:pStyle w:val="a3"/>
        <w:numPr>
          <w:ilvl w:val="0"/>
          <w:numId w:val="4"/>
        </w:numPr>
        <w:tabs>
          <w:tab w:val="left" w:pos="851"/>
        </w:tabs>
        <w:kinsoku w:val="0"/>
        <w:overflowPunct w:val="0"/>
        <w:spacing w:afterLines="50" w:line="360" w:lineRule="auto"/>
        <w:ind w:leftChars="200" w:left="837" w:hanging="357"/>
        <w:jc w:val="both"/>
        <w:rPr>
          <w:sz w:val="21"/>
          <w:szCs w:val="21"/>
        </w:rPr>
      </w:pPr>
      <w:r w:rsidRPr="00D22F5A">
        <w:rPr>
          <w:rFonts w:hint="eastAsia"/>
          <w:sz w:val="21"/>
          <w:szCs w:val="21"/>
        </w:rPr>
        <w:t>国内或国际标准参考资料可追溯性的标识，例如：可通过</w:t>
      </w:r>
      <w:r w:rsidRPr="00D22F5A">
        <w:rPr>
          <w:sz w:val="21"/>
          <w:szCs w:val="21"/>
        </w:rPr>
        <w:t>NIBSC</w:t>
      </w:r>
      <w:r w:rsidRPr="00D22F5A">
        <w:rPr>
          <w:rFonts w:hint="eastAsia"/>
          <w:sz w:val="21"/>
          <w:szCs w:val="21"/>
        </w:rPr>
        <w:t>追溯的</w:t>
      </w:r>
      <w:r w:rsidRPr="00D22F5A">
        <w:rPr>
          <w:sz w:val="21"/>
          <w:szCs w:val="21"/>
        </w:rPr>
        <w:t>AFP</w:t>
      </w:r>
      <w:r w:rsidRPr="00D22F5A">
        <w:rPr>
          <w:rFonts w:hint="eastAsia"/>
          <w:sz w:val="21"/>
          <w:szCs w:val="21"/>
        </w:rPr>
        <w:t>的第一个国际标准。</w:t>
      </w:r>
    </w:p>
    <w:p w:rsidR="0096599E" w:rsidRPr="00D22F5A" w:rsidRDefault="0096599E" w:rsidP="00AB6EB3">
      <w:pPr>
        <w:pStyle w:val="a3"/>
        <w:kinsoku w:val="0"/>
        <w:overflowPunct w:val="0"/>
        <w:spacing w:afterLines="50" w:line="360" w:lineRule="auto"/>
        <w:ind w:left="0"/>
        <w:jc w:val="both"/>
        <w:rPr>
          <w:color w:val="000000"/>
          <w:sz w:val="21"/>
          <w:szCs w:val="21"/>
        </w:rPr>
      </w:pPr>
      <w:r w:rsidRPr="00D22F5A">
        <w:rPr>
          <w:rFonts w:hint="eastAsia"/>
          <w:sz w:val="21"/>
          <w:szCs w:val="21"/>
        </w:rPr>
        <w:t>有关依据</w:t>
      </w:r>
      <w:r w:rsidRPr="00D22F5A">
        <w:rPr>
          <w:sz w:val="21"/>
          <w:szCs w:val="21"/>
        </w:rPr>
        <w:t>21 CFR 862.1150</w:t>
      </w:r>
      <w:r w:rsidRPr="00D22F5A">
        <w:rPr>
          <w:rFonts w:hint="eastAsia"/>
          <w:sz w:val="21"/>
          <w:szCs w:val="21"/>
        </w:rPr>
        <w:t>作为</w:t>
      </w:r>
      <w:r w:rsidRPr="00D22F5A">
        <w:rPr>
          <w:sz w:val="21"/>
          <w:szCs w:val="21"/>
        </w:rPr>
        <w:t>II</w:t>
      </w:r>
      <w:r w:rsidRPr="00D22F5A">
        <w:rPr>
          <w:rFonts w:hint="eastAsia"/>
          <w:sz w:val="21"/>
          <w:szCs w:val="21"/>
        </w:rPr>
        <w:t>类器械单独上市的校准品的信息，请参见“</w:t>
      </w:r>
      <w:r w:rsidRPr="00D22F5A">
        <w:rPr>
          <w:rFonts w:hint="eastAsia"/>
          <w:i/>
          <w:sz w:val="21"/>
          <w:szCs w:val="21"/>
        </w:rPr>
        <w:t>体外</w:t>
      </w:r>
      <w:r w:rsidRPr="00D22F5A">
        <w:rPr>
          <w:rFonts w:hint="eastAsia"/>
          <w:sz w:val="21"/>
          <w:szCs w:val="21"/>
        </w:rPr>
        <w:t>诊断校准品</w:t>
      </w:r>
      <w:r w:rsidR="00C25C8D">
        <w:rPr>
          <w:rFonts w:hint="eastAsia"/>
          <w:sz w:val="21"/>
          <w:szCs w:val="21"/>
        </w:rPr>
        <w:t>简易</w:t>
      </w:r>
      <w:r w:rsidR="00C25C8D">
        <w:rPr>
          <w:rFonts w:hint="eastAsia"/>
          <w:sz w:val="21"/>
          <w:szCs w:val="21"/>
        </w:rPr>
        <w:t>510</w:t>
      </w:r>
      <w:r w:rsidRPr="00D22F5A">
        <w:rPr>
          <w:sz w:val="21"/>
          <w:szCs w:val="21"/>
        </w:rPr>
        <w:t>(k)</w:t>
      </w:r>
      <w:r w:rsidR="006765EA">
        <w:rPr>
          <w:rFonts w:hint="eastAsia"/>
          <w:sz w:val="21"/>
          <w:szCs w:val="21"/>
        </w:rPr>
        <w:t>提交</w:t>
      </w:r>
      <w:r w:rsidRPr="00D22F5A">
        <w:rPr>
          <w:rFonts w:hint="eastAsia"/>
          <w:sz w:val="21"/>
          <w:szCs w:val="21"/>
        </w:rPr>
        <w:t>”</w:t>
      </w:r>
      <w:r w:rsidR="00BF54DE">
        <w:rPr>
          <w:rFonts w:hint="eastAsia"/>
          <w:sz w:val="21"/>
          <w:szCs w:val="21"/>
        </w:rPr>
        <w:t>指南</w:t>
      </w:r>
      <w:r w:rsidRPr="00D22F5A">
        <w:rPr>
          <w:rFonts w:hint="eastAsia"/>
          <w:sz w:val="21"/>
          <w:szCs w:val="21"/>
        </w:rPr>
        <w:t>文件，</w:t>
      </w:r>
      <w:hyperlink r:id="rId21" w:history="1">
        <w:r w:rsidRPr="00D22F5A">
          <w:rPr>
            <w:color w:val="0000FF"/>
            <w:sz w:val="21"/>
            <w:szCs w:val="21"/>
            <w:u w:val="single"/>
          </w:rPr>
          <w:t>http://www.fda.gov/cdrh/ode/calibrator.html</w:t>
        </w:r>
      </w:hyperlink>
      <w:r w:rsidRPr="00D22F5A">
        <w:rPr>
          <w:rFonts w:hint="eastAsia"/>
          <w:color w:val="000000"/>
          <w:sz w:val="21"/>
          <w:szCs w:val="21"/>
        </w:rPr>
        <w:t>。</w:t>
      </w:r>
    </w:p>
    <w:p w:rsidR="0096599E" w:rsidRPr="00A9375C" w:rsidRDefault="00A2585A" w:rsidP="00AB6EB3">
      <w:pPr>
        <w:pStyle w:val="4"/>
        <w:kinsoku w:val="0"/>
        <w:overflowPunct w:val="0"/>
        <w:spacing w:afterLines="50" w:line="360" w:lineRule="auto"/>
        <w:ind w:left="0"/>
        <w:jc w:val="both"/>
        <w:rPr>
          <w:rFonts w:ascii="宋体" w:eastAsia="宋体" w:hAnsi="宋体"/>
          <w:b w:val="0"/>
          <w:bCs w:val="0"/>
          <w:i/>
          <w:iCs/>
          <w:sz w:val="21"/>
          <w:szCs w:val="21"/>
        </w:rPr>
      </w:pPr>
      <w:r>
        <w:rPr>
          <w:rFonts w:ascii="宋体" w:eastAsia="宋体" w:hAnsi="宋体" w:hint="eastAsia"/>
          <w:sz w:val="21"/>
          <w:szCs w:val="21"/>
        </w:rPr>
        <w:t>样本</w:t>
      </w:r>
      <w:r w:rsidR="006300B4" w:rsidRPr="006300B4">
        <w:rPr>
          <w:rFonts w:ascii="宋体" w:eastAsia="宋体" w:hAnsi="宋体" w:hint="eastAsia"/>
          <w:sz w:val="21"/>
          <w:szCs w:val="21"/>
        </w:rPr>
        <w:t>收集和处理条件</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证实标签中的试样储存和运输建议。我们建议您确定器械是否可在标签中推荐的样本储存时间和温度（包括冻融周期）条件下维持可接受性能（例如精度、偏差）。您应描述用于确定存储条件的结果和性能标准。</w:t>
      </w:r>
    </w:p>
    <w:p w:rsidR="0096599E" w:rsidRPr="00A9375C" w:rsidRDefault="0096599E" w:rsidP="00AB6EB3">
      <w:pPr>
        <w:pStyle w:val="2"/>
        <w:numPr>
          <w:ilvl w:val="1"/>
          <w:numId w:val="6"/>
        </w:numPr>
        <w:kinsoku w:val="0"/>
        <w:overflowPunct w:val="0"/>
        <w:spacing w:afterLines="50" w:line="360" w:lineRule="auto"/>
        <w:ind w:left="0" w:firstLine="0"/>
        <w:jc w:val="both"/>
        <w:rPr>
          <w:rFonts w:ascii="宋体" w:eastAsia="宋体" w:hAnsi="宋体"/>
          <w:b w:val="0"/>
          <w:bCs w:val="0"/>
          <w:sz w:val="28"/>
          <w:szCs w:val="28"/>
        </w:rPr>
      </w:pPr>
      <w:r w:rsidRPr="00D22F5A">
        <w:rPr>
          <w:sz w:val="21"/>
          <w:szCs w:val="21"/>
        </w:rPr>
        <w:br w:type="page"/>
      </w:r>
      <w:bookmarkStart w:id="33" w:name="_Toc496719725"/>
      <w:r w:rsidR="006300B4" w:rsidRPr="006300B4">
        <w:rPr>
          <w:rFonts w:ascii="宋体" w:eastAsia="宋体" w:hAnsi="宋体" w:hint="eastAsia"/>
          <w:sz w:val="28"/>
          <w:szCs w:val="28"/>
        </w:rPr>
        <w:lastRenderedPageBreak/>
        <w:t>方法比较</w:t>
      </w:r>
      <w:bookmarkEnd w:id="33"/>
    </w:p>
    <w:p w:rsidR="0096599E" w:rsidRPr="00D22F5A" w:rsidRDefault="0096599E" w:rsidP="00AB6EB3">
      <w:pPr>
        <w:pStyle w:val="3"/>
        <w:kinsoku w:val="0"/>
        <w:overflowPunct w:val="0"/>
        <w:spacing w:afterLines="50" w:line="360" w:lineRule="auto"/>
        <w:ind w:left="0"/>
        <w:jc w:val="both"/>
        <w:rPr>
          <w:b w:val="0"/>
          <w:bCs w:val="0"/>
          <w:sz w:val="21"/>
          <w:szCs w:val="21"/>
        </w:rPr>
      </w:pPr>
      <w:bookmarkStart w:id="34" w:name="_Toc496719726"/>
      <w:r w:rsidRPr="00D22F5A">
        <w:rPr>
          <w:rFonts w:hint="eastAsia"/>
          <w:sz w:val="21"/>
          <w:szCs w:val="21"/>
        </w:rPr>
        <w:t>研究设计：</w:t>
      </w:r>
      <w:bookmarkEnd w:id="34"/>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您应比较采用您的器械获取的结果与采用具备相似使用</w:t>
      </w:r>
      <w:r w:rsidR="00BF54DE">
        <w:rPr>
          <w:rFonts w:hint="eastAsia"/>
          <w:sz w:val="21"/>
          <w:szCs w:val="21"/>
        </w:rPr>
        <w:t>适应症</w:t>
      </w:r>
      <w:r w:rsidRPr="00D22F5A">
        <w:rPr>
          <w:rFonts w:hint="eastAsia"/>
          <w:sz w:val="21"/>
          <w:szCs w:val="21"/>
        </w:rPr>
        <w:t>的合法上市实质等同性对比器械获取的结果。我们建议您与获得认可的参考方法（若可用）进行比较，尤其是在新器械与实质等同性对比器械之间的方法</w:t>
      </w:r>
      <w:r w:rsidRPr="00D22F5A">
        <w:rPr>
          <w:sz w:val="21"/>
          <w:szCs w:val="21"/>
        </w:rPr>
        <w:t>/</w:t>
      </w:r>
      <w:r w:rsidRPr="00D22F5A">
        <w:rPr>
          <w:rFonts w:hint="eastAsia"/>
          <w:sz w:val="21"/>
          <w:szCs w:val="21"/>
        </w:rPr>
        <w:t>技术之间存在广泛差异时。我们建议您遵循“方法比较和采用患者样本的偏差估计”获批</w:t>
      </w:r>
      <w:r w:rsidR="00BF54DE">
        <w:rPr>
          <w:rFonts w:hint="eastAsia"/>
          <w:sz w:val="21"/>
          <w:szCs w:val="21"/>
        </w:rPr>
        <w:t>指南</w:t>
      </w:r>
      <w:r w:rsidRPr="00D22F5A">
        <w:rPr>
          <w:rFonts w:hint="eastAsia"/>
          <w:sz w:val="21"/>
          <w:szCs w:val="21"/>
        </w:rPr>
        <w:t>文件，</w:t>
      </w:r>
      <w:r w:rsidRPr="00D22F5A">
        <w:rPr>
          <w:sz w:val="21"/>
          <w:szCs w:val="21"/>
        </w:rPr>
        <w:t>CLSI</w:t>
      </w:r>
      <w:r w:rsidRPr="00D22F5A">
        <w:rPr>
          <w:rFonts w:hint="eastAsia"/>
          <w:sz w:val="21"/>
          <w:szCs w:val="21"/>
        </w:rPr>
        <w:t>文件</w:t>
      </w:r>
      <w:r w:rsidRPr="00D22F5A">
        <w:rPr>
          <w:sz w:val="21"/>
          <w:szCs w:val="21"/>
        </w:rPr>
        <w:t>EP9-A</w:t>
      </w:r>
      <w:r w:rsidRPr="00D22F5A">
        <w:rPr>
          <w:rFonts w:hint="eastAsia"/>
          <w:sz w:val="21"/>
          <w:szCs w:val="21"/>
        </w:rPr>
        <w:t>中提供的指南。</w:t>
      </w:r>
    </w:p>
    <w:p w:rsidR="0096599E" w:rsidRPr="00D22F5A" w:rsidRDefault="0096599E" w:rsidP="00AB6EB3">
      <w:pPr>
        <w:pStyle w:val="3"/>
        <w:kinsoku w:val="0"/>
        <w:overflowPunct w:val="0"/>
        <w:spacing w:afterLines="50" w:line="360" w:lineRule="auto"/>
        <w:ind w:left="0"/>
        <w:jc w:val="both"/>
        <w:rPr>
          <w:b w:val="0"/>
          <w:bCs w:val="0"/>
          <w:sz w:val="21"/>
          <w:szCs w:val="21"/>
        </w:rPr>
      </w:pPr>
      <w:bookmarkStart w:id="35" w:name="_Toc496719727"/>
      <w:r w:rsidRPr="00D22F5A">
        <w:rPr>
          <w:rFonts w:hint="eastAsia"/>
          <w:b w:val="0"/>
          <w:bCs w:val="0"/>
          <w:sz w:val="21"/>
          <w:szCs w:val="21"/>
        </w:rPr>
        <w:t>您应设计研究，以便结果证实测试结果与样本所代表患者肝细胞癌发展相对风险概况之间的关联。结果应证实肝细胞癌发生频率与测试所获取</w:t>
      </w:r>
      <w:r w:rsidRPr="00D22F5A">
        <w:rPr>
          <w:b w:val="0"/>
          <w:bCs w:val="0"/>
          <w:sz w:val="21"/>
          <w:szCs w:val="21"/>
        </w:rPr>
        <w:t>AFP-L3</w:t>
      </w:r>
      <w:r w:rsidRPr="004B3601">
        <w:rPr>
          <w:b w:val="0"/>
          <w:bCs w:val="0"/>
          <w:sz w:val="21"/>
          <w:szCs w:val="21"/>
        </w:rPr>
        <w:t>%</w:t>
      </w:r>
      <w:r w:rsidRPr="00D22F5A">
        <w:rPr>
          <w:rFonts w:hint="eastAsia"/>
          <w:b w:val="0"/>
          <w:bCs w:val="0"/>
          <w:sz w:val="21"/>
          <w:szCs w:val="21"/>
        </w:rPr>
        <w:t>结果之间的相关性。研究应考虑到您在标签要求中指定的风险评估时间框。例如：如果标签指示测试评估</w:t>
      </w:r>
      <w:r w:rsidRPr="00D22F5A">
        <w:rPr>
          <w:b w:val="0"/>
          <w:bCs w:val="0"/>
          <w:sz w:val="21"/>
          <w:szCs w:val="21"/>
        </w:rPr>
        <w:t>3</w:t>
      </w:r>
      <w:r w:rsidRPr="00D22F5A">
        <w:rPr>
          <w:rFonts w:hint="eastAsia"/>
          <w:b w:val="0"/>
          <w:bCs w:val="0"/>
          <w:sz w:val="21"/>
          <w:szCs w:val="21"/>
        </w:rPr>
        <w:t>年内发展肝细胞癌的风险，则研究中所分析样本应包含</w:t>
      </w:r>
      <w:r w:rsidRPr="00D22F5A">
        <w:rPr>
          <w:b w:val="0"/>
          <w:bCs w:val="0"/>
          <w:sz w:val="21"/>
          <w:szCs w:val="21"/>
        </w:rPr>
        <w:t>3</w:t>
      </w:r>
      <w:r w:rsidRPr="00D22F5A">
        <w:rPr>
          <w:rFonts w:hint="eastAsia"/>
          <w:b w:val="0"/>
          <w:bCs w:val="0"/>
          <w:sz w:val="21"/>
          <w:szCs w:val="21"/>
        </w:rPr>
        <w:t>年中的纵向患者样本。在开始研究之前，您可联系免疫学和血液学器械部，获取建议研究设计相关建议。</w:t>
      </w:r>
      <w:bookmarkEnd w:id="35"/>
    </w:p>
    <w:p w:rsidR="0096599E" w:rsidRPr="00D22F5A" w:rsidRDefault="0096599E" w:rsidP="00AB6EB3">
      <w:pPr>
        <w:pStyle w:val="3"/>
        <w:kinsoku w:val="0"/>
        <w:overflowPunct w:val="0"/>
        <w:spacing w:afterLines="50" w:line="360" w:lineRule="auto"/>
        <w:ind w:left="0"/>
        <w:jc w:val="both"/>
        <w:rPr>
          <w:b w:val="0"/>
          <w:bCs w:val="0"/>
          <w:sz w:val="21"/>
          <w:szCs w:val="21"/>
        </w:rPr>
      </w:pPr>
      <w:bookmarkStart w:id="36" w:name="_Toc496719728"/>
      <w:r w:rsidRPr="00D22F5A">
        <w:rPr>
          <w:rFonts w:hint="eastAsia"/>
          <w:sz w:val="21"/>
          <w:szCs w:val="21"/>
        </w:rPr>
        <w:t>结果说明：</w:t>
      </w:r>
      <w:bookmarkEnd w:id="36"/>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您提供的结果应该证实</w:t>
      </w:r>
      <w:r w:rsidRPr="00D22F5A">
        <w:rPr>
          <w:sz w:val="21"/>
          <w:szCs w:val="21"/>
        </w:rPr>
        <w:t>AFP-L3</w:t>
      </w:r>
      <w:r w:rsidRPr="004B3601">
        <w:rPr>
          <w:sz w:val="21"/>
          <w:szCs w:val="21"/>
        </w:rPr>
        <w:t>%</w:t>
      </w:r>
      <w:r w:rsidRPr="00D22F5A">
        <w:rPr>
          <w:rFonts w:hint="eastAsia"/>
          <w:sz w:val="21"/>
          <w:szCs w:val="21"/>
        </w:rPr>
        <w:t>值与所研究患者肝细胞癌发展相对风险概况之间的相关性。</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如果</w:t>
      </w:r>
      <w:r w:rsidR="00BF54DE">
        <w:rPr>
          <w:rFonts w:hint="eastAsia"/>
          <w:sz w:val="21"/>
          <w:szCs w:val="21"/>
        </w:rPr>
        <w:t>人口统计学</w:t>
      </w:r>
      <w:r w:rsidRPr="00D22F5A">
        <w:rPr>
          <w:rFonts w:hint="eastAsia"/>
          <w:sz w:val="21"/>
          <w:szCs w:val="21"/>
        </w:rPr>
        <w:t>因素可能会使结果出现偏差，则您应根据这些因素（例如：年龄和性别）对结果进行分类。</w:t>
      </w:r>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您应纳入新试验（</w:t>
      </w:r>
      <w:r w:rsidRPr="00D22F5A">
        <w:rPr>
          <w:sz w:val="21"/>
          <w:szCs w:val="21"/>
        </w:rPr>
        <w:t>y</w:t>
      </w:r>
      <w:r w:rsidRPr="00D22F5A">
        <w:rPr>
          <w:rFonts w:hint="eastAsia"/>
          <w:sz w:val="21"/>
          <w:szCs w:val="21"/>
        </w:rPr>
        <w:t>轴）与实质等同性对比器械试验（</w:t>
      </w:r>
      <w:r w:rsidRPr="00D22F5A">
        <w:rPr>
          <w:sz w:val="21"/>
          <w:szCs w:val="21"/>
        </w:rPr>
        <w:t>x</w:t>
      </w:r>
      <w:r w:rsidRPr="00D22F5A">
        <w:rPr>
          <w:rFonts w:hint="eastAsia"/>
          <w:sz w:val="21"/>
          <w:szCs w:val="21"/>
        </w:rPr>
        <w:t>轴）的结果图，其中包括所有数据点、估计回归线和身份线。数据点应代表单个测量值。您应提供用于拟合回归线和回归分析结果的分析方法描述，其中包括</w:t>
      </w:r>
      <w:r w:rsidR="00BF54DE">
        <w:rPr>
          <w:rFonts w:hint="eastAsia"/>
          <w:sz w:val="21"/>
          <w:szCs w:val="21"/>
        </w:rPr>
        <w:t>置信限</w:t>
      </w:r>
      <w:r w:rsidRPr="00D22F5A">
        <w:rPr>
          <w:rFonts w:hint="eastAsia"/>
          <w:sz w:val="21"/>
          <w:szCs w:val="21"/>
        </w:rPr>
        <w:t>为</w:t>
      </w:r>
      <w:r w:rsidRPr="00D22F5A">
        <w:rPr>
          <w:sz w:val="21"/>
          <w:szCs w:val="21"/>
        </w:rPr>
        <w:t>95%</w:t>
      </w:r>
      <w:r w:rsidRPr="00D22F5A">
        <w:rPr>
          <w:rFonts w:hint="eastAsia"/>
          <w:sz w:val="21"/>
          <w:szCs w:val="21"/>
        </w:rPr>
        <w:t>的斜率和截距、估计值的标准误差（按</w:t>
      </w:r>
      <w:r w:rsidRPr="00D22F5A">
        <w:rPr>
          <w:sz w:val="21"/>
          <w:szCs w:val="21"/>
        </w:rPr>
        <w:t>y</w:t>
      </w:r>
      <w:r w:rsidRPr="00D22F5A">
        <w:rPr>
          <w:rFonts w:hint="eastAsia"/>
          <w:sz w:val="21"/>
          <w:szCs w:val="21"/>
        </w:rPr>
        <w:t>方向计算）和相关系数。我们建议您在适当情况下采用戴明回归或另一种方法来解释两种测试系统的可变性。</w:t>
      </w:r>
    </w:p>
    <w:p w:rsidR="0096599E" w:rsidRPr="00A9375C" w:rsidRDefault="006300B4" w:rsidP="00AB6EB3">
      <w:pPr>
        <w:pStyle w:val="2"/>
        <w:numPr>
          <w:ilvl w:val="1"/>
          <w:numId w:val="6"/>
        </w:numPr>
        <w:kinsoku w:val="0"/>
        <w:overflowPunct w:val="0"/>
        <w:spacing w:afterLines="50" w:line="360" w:lineRule="auto"/>
        <w:ind w:left="0" w:firstLine="0"/>
        <w:jc w:val="both"/>
        <w:rPr>
          <w:rFonts w:ascii="宋体" w:eastAsia="宋体" w:hAnsi="宋体"/>
          <w:b w:val="0"/>
          <w:bCs w:val="0"/>
          <w:sz w:val="28"/>
          <w:szCs w:val="28"/>
        </w:rPr>
      </w:pPr>
      <w:bookmarkStart w:id="37" w:name="_Toc496719729"/>
      <w:r w:rsidRPr="006300B4">
        <w:rPr>
          <w:rFonts w:ascii="宋体" w:eastAsia="宋体" w:hAnsi="宋体" w:hint="eastAsia"/>
          <w:sz w:val="28"/>
          <w:szCs w:val="28"/>
        </w:rPr>
        <w:t>预期值</w:t>
      </w:r>
      <w:bookmarkEnd w:id="37"/>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通常不会在正常健康受试者中发现</w:t>
      </w:r>
      <w:r w:rsidRPr="00D22F5A">
        <w:rPr>
          <w:sz w:val="21"/>
          <w:szCs w:val="21"/>
        </w:rPr>
        <w:t>AFP</w:t>
      </w:r>
      <w:r w:rsidRPr="00D22F5A">
        <w:rPr>
          <w:rFonts w:hint="eastAsia"/>
          <w:sz w:val="21"/>
          <w:szCs w:val="21"/>
        </w:rPr>
        <w:t>的</w:t>
      </w:r>
      <w:r w:rsidRPr="00D22F5A">
        <w:rPr>
          <w:sz w:val="21"/>
          <w:szCs w:val="21"/>
        </w:rPr>
        <w:t>L-3</w:t>
      </w:r>
      <w:r w:rsidRPr="00D22F5A">
        <w:rPr>
          <w:rFonts w:hint="eastAsia"/>
          <w:sz w:val="21"/>
          <w:szCs w:val="21"/>
        </w:rPr>
        <w:t>亚组分，但是当正常肝细胞转化为肝癌时，特异性就会产生。因此，我们建议您的数据和标签证实健康个体、良性肝脏疾病以及</w:t>
      </w:r>
      <w:r w:rsidR="006765EA">
        <w:rPr>
          <w:rFonts w:hint="eastAsia"/>
          <w:sz w:val="21"/>
          <w:szCs w:val="21"/>
        </w:rPr>
        <w:t>其他</w:t>
      </w:r>
      <w:r w:rsidRPr="00D22F5A">
        <w:rPr>
          <w:rFonts w:hint="eastAsia"/>
          <w:sz w:val="21"/>
          <w:szCs w:val="21"/>
        </w:rPr>
        <w:t>胃肠道癌症和良性疾病患者中不存在</w:t>
      </w:r>
      <w:r w:rsidRPr="00D22F5A">
        <w:rPr>
          <w:sz w:val="21"/>
          <w:szCs w:val="21"/>
        </w:rPr>
        <w:t>AFP-L3</w:t>
      </w:r>
      <w:r w:rsidRPr="004B3601">
        <w:rPr>
          <w:sz w:val="21"/>
          <w:szCs w:val="21"/>
        </w:rPr>
        <w:t>%</w:t>
      </w:r>
      <w:r w:rsidRPr="00D22F5A">
        <w:rPr>
          <w:rFonts w:hint="eastAsia"/>
          <w:sz w:val="21"/>
          <w:szCs w:val="21"/>
        </w:rPr>
        <w:t>。我们建议您参考“如何定义和确定临床实验室参考区间”；获批</w:t>
      </w:r>
      <w:r w:rsidR="00BF54DE">
        <w:rPr>
          <w:rFonts w:hint="eastAsia"/>
          <w:sz w:val="21"/>
          <w:szCs w:val="21"/>
        </w:rPr>
        <w:t>指南</w:t>
      </w:r>
      <w:r w:rsidRPr="00D22F5A">
        <w:rPr>
          <w:rFonts w:hint="eastAsia"/>
          <w:sz w:val="21"/>
          <w:szCs w:val="21"/>
        </w:rPr>
        <w:t>文件</w:t>
      </w:r>
      <w:r w:rsidRPr="00D22F5A">
        <w:rPr>
          <w:sz w:val="21"/>
          <w:szCs w:val="21"/>
        </w:rPr>
        <w:t>CLSI</w:t>
      </w:r>
      <w:r w:rsidRPr="00D22F5A">
        <w:rPr>
          <w:rFonts w:hint="eastAsia"/>
          <w:sz w:val="21"/>
          <w:szCs w:val="21"/>
        </w:rPr>
        <w:t>文件</w:t>
      </w:r>
      <w:r w:rsidRPr="00D22F5A">
        <w:rPr>
          <w:sz w:val="21"/>
          <w:szCs w:val="21"/>
        </w:rPr>
        <w:t>C-28</w:t>
      </w:r>
      <w:r w:rsidRPr="00D22F5A">
        <w:rPr>
          <w:rFonts w:hint="eastAsia"/>
          <w:sz w:val="21"/>
          <w:szCs w:val="21"/>
        </w:rPr>
        <w:t>。</w:t>
      </w:r>
    </w:p>
    <w:p w:rsidR="0096599E" w:rsidRPr="00A9375C" w:rsidRDefault="0096599E" w:rsidP="00AB6EB3">
      <w:pPr>
        <w:pStyle w:val="2"/>
        <w:numPr>
          <w:ilvl w:val="1"/>
          <w:numId w:val="6"/>
        </w:numPr>
        <w:kinsoku w:val="0"/>
        <w:overflowPunct w:val="0"/>
        <w:spacing w:afterLines="50" w:line="360" w:lineRule="auto"/>
        <w:ind w:left="0" w:firstLine="0"/>
        <w:jc w:val="both"/>
        <w:rPr>
          <w:rFonts w:ascii="宋体" w:eastAsia="宋体" w:hAnsi="宋体"/>
          <w:b w:val="0"/>
          <w:bCs w:val="0"/>
          <w:sz w:val="28"/>
          <w:szCs w:val="28"/>
        </w:rPr>
      </w:pPr>
      <w:r w:rsidRPr="00D22F5A">
        <w:rPr>
          <w:sz w:val="21"/>
          <w:szCs w:val="21"/>
        </w:rPr>
        <w:br w:type="page"/>
      </w:r>
      <w:bookmarkStart w:id="38" w:name="_Toc496719730"/>
      <w:r w:rsidR="006300B4" w:rsidRPr="006300B4">
        <w:rPr>
          <w:rFonts w:ascii="宋体" w:eastAsia="宋体" w:hAnsi="宋体" w:hint="eastAsia"/>
          <w:sz w:val="28"/>
          <w:szCs w:val="28"/>
        </w:rPr>
        <w:lastRenderedPageBreak/>
        <w:t>标签</w:t>
      </w:r>
      <w:bookmarkEnd w:id="38"/>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上市前通知应包括足够详细的标签，以满足</w:t>
      </w:r>
      <w:r w:rsidRPr="00D22F5A">
        <w:rPr>
          <w:sz w:val="21"/>
          <w:szCs w:val="21"/>
        </w:rPr>
        <w:t>21 CFR 807.87</w:t>
      </w:r>
      <w:r w:rsidRPr="00D22F5A">
        <w:rPr>
          <w:rFonts w:hint="eastAsia"/>
          <w:sz w:val="21"/>
          <w:szCs w:val="21"/>
        </w:rPr>
        <w:t>（</w:t>
      </w:r>
      <w:r w:rsidRPr="00D22F5A">
        <w:rPr>
          <w:sz w:val="21"/>
          <w:szCs w:val="21"/>
        </w:rPr>
        <w:t>e</w:t>
      </w:r>
      <w:r w:rsidRPr="00D22F5A">
        <w:rPr>
          <w:rFonts w:hint="eastAsia"/>
          <w:sz w:val="21"/>
          <w:szCs w:val="21"/>
        </w:rPr>
        <w:t>）的要求。以下建议旨在帮助您编写满足这些要求的标签。虽然最终标签不需要</w:t>
      </w:r>
      <w:r w:rsidRPr="00D22F5A">
        <w:rPr>
          <w:sz w:val="21"/>
          <w:szCs w:val="21"/>
        </w:rPr>
        <w:t>510(k)</w:t>
      </w:r>
      <w:r w:rsidRPr="00D22F5A">
        <w:rPr>
          <w:rFonts w:hint="eastAsia"/>
          <w:sz w:val="21"/>
          <w:szCs w:val="21"/>
        </w:rPr>
        <w:t>许可，但</w:t>
      </w:r>
      <w:r w:rsidRPr="00D22F5A">
        <w:rPr>
          <w:rFonts w:hint="eastAsia"/>
          <w:i/>
          <w:sz w:val="21"/>
          <w:szCs w:val="21"/>
        </w:rPr>
        <w:t>体外</w:t>
      </w:r>
      <w:r w:rsidRPr="00D22F5A">
        <w:rPr>
          <w:rFonts w:hint="eastAsia"/>
          <w:sz w:val="21"/>
          <w:szCs w:val="21"/>
        </w:rPr>
        <w:t>诊断器械的最终标签必须符合</w:t>
      </w:r>
      <w:r w:rsidRPr="00D22F5A">
        <w:rPr>
          <w:sz w:val="21"/>
          <w:szCs w:val="21"/>
        </w:rPr>
        <w:t>21 CFR 809.10</w:t>
      </w:r>
      <w:r w:rsidRPr="00D22F5A">
        <w:rPr>
          <w:rFonts w:hint="eastAsia"/>
          <w:sz w:val="21"/>
          <w:szCs w:val="21"/>
        </w:rPr>
        <w:t>的要求，才能将</w:t>
      </w:r>
      <w:r w:rsidRPr="00D22F5A">
        <w:rPr>
          <w:rFonts w:hint="eastAsia"/>
          <w:i/>
          <w:sz w:val="21"/>
          <w:szCs w:val="21"/>
        </w:rPr>
        <w:t>体外</w:t>
      </w:r>
      <w:r w:rsidRPr="00D22F5A">
        <w:rPr>
          <w:rFonts w:hint="eastAsia"/>
          <w:sz w:val="21"/>
          <w:szCs w:val="21"/>
        </w:rPr>
        <w:t>诊断器械引入州际贸易。</w:t>
      </w:r>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39" w:name="_Toc496719731"/>
      <w:r w:rsidRPr="00D22F5A">
        <w:rPr>
          <w:rFonts w:hint="eastAsia"/>
          <w:sz w:val="21"/>
          <w:szCs w:val="21"/>
        </w:rPr>
        <w:t>预期用途</w:t>
      </w:r>
      <w:bookmarkEnd w:id="39"/>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0" w:name="_Toc496719732"/>
      <w:r w:rsidRPr="00D22F5A">
        <w:rPr>
          <w:rFonts w:hint="eastAsia"/>
          <w:b w:val="0"/>
          <w:bCs w:val="0"/>
          <w:sz w:val="21"/>
          <w:szCs w:val="21"/>
        </w:rPr>
        <w:t>预期用途应与试验的性能特性和研究中所测试患者群体相一致。</w:t>
      </w:r>
      <w:bookmarkEnd w:id="40"/>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1" w:name="_Toc496719733"/>
      <w:r w:rsidRPr="00D22F5A">
        <w:rPr>
          <w:rFonts w:hint="eastAsia"/>
          <w:sz w:val="21"/>
          <w:szCs w:val="21"/>
        </w:rPr>
        <w:t>方法原理</w:t>
      </w:r>
      <w:bookmarkEnd w:id="41"/>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2" w:name="_Toc496719734"/>
      <w:r w:rsidRPr="00D22F5A">
        <w:rPr>
          <w:rFonts w:hint="eastAsia"/>
          <w:b w:val="0"/>
          <w:bCs w:val="0"/>
          <w:sz w:val="21"/>
          <w:szCs w:val="21"/>
        </w:rPr>
        <w:t>您应对器械的技术特征以及该器械如何在患者身上使用进行清晰简明的描述。此外，标签应包括所提供试剂组分和运行试验所需仪表的描述。</w:t>
      </w:r>
      <w:bookmarkEnd w:id="42"/>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3" w:name="_Toc496719735"/>
      <w:r w:rsidRPr="00D22F5A">
        <w:rPr>
          <w:rFonts w:hint="eastAsia"/>
          <w:sz w:val="21"/>
          <w:szCs w:val="21"/>
        </w:rPr>
        <w:t>使用说明</w:t>
      </w:r>
      <w:bookmarkEnd w:id="43"/>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4" w:name="_Toc496719736"/>
      <w:r w:rsidRPr="00D22F5A">
        <w:rPr>
          <w:rFonts w:hint="eastAsia"/>
          <w:b w:val="0"/>
          <w:bCs w:val="0"/>
          <w:sz w:val="21"/>
          <w:szCs w:val="21"/>
        </w:rPr>
        <w:t>您应纳入试验程序的明确说明。</w:t>
      </w:r>
      <w:bookmarkEnd w:id="44"/>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5" w:name="_Toc496719737"/>
      <w:r w:rsidRPr="00D22F5A">
        <w:rPr>
          <w:rFonts w:hint="eastAsia"/>
          <w:sz w:val="21"/>
          <w:szCs w:val="21"/>
        </w:rPr>
        <w:t>试样收集和处理条件</w:t>
      </w:r>
      <w:r w:rsidRPr="00D22F5A">
        <w:rPr>
          <w:sz w:val="21"/>
          <w:szCs w:val="21"/>
        </w:rPr>
        <w:t>/</w:t>
      </w:r>
      <w:r w:rsidRPr="00D22F5A">
        <w:rPr>
          <w:rFonts w:hint="eastAsia"/>
          <w:sz w:val="21"/>
          <w:szCs w:val="21"/>
        </w:rPr>
        <w:t>稳定性</w:t>
      </w:r>
      <w:bookmarkEnd w:id="45"/>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6" w:name="_Toc496719738"/>
      <w:r w:rsidRPr="00D22F5A">
        <w:rPr>
          <w:rFonts w:hint="eastAsia"/>
          <w:b w:val="0"/>
          <w:bCs w:val="0"/>
          <w:sz w:val="21"/>
          <w:szCs w:val="21"/>
        </w:rPr>
        <w:t>您应纳入试样稳定性和完整性参数的验收标准。您还应明确说明试样运输、储存、温度和指定冻</w:t>
      </w:r>
      <w:r w:rsidRPr="00D22F5A">
        <w:rPr>
          <w:b w:val="0"/>
          <w:bCs w:val="0"/>
          <w:sz w:val="21"/>
          <w:szCs w:val="21"/>
        </w:rPr>
        <w:t>/</w:t>
      </w:r>
      <w:r w:rsidRPr="00D22F5A">
        <w:rPr>
          <w:rFonts w:hint="eastAsia"/>
          <w:b w:val="0"/>
          <w:bCs w:val="0"/>
          <w:sz w:val="21"/>
          <w:szCs w:val="21"/>
        </w:rPr>
        <w:t>融周期的经确认条件。</w:t>
      </w:r>
      <w:bookmarkEnd w:id="46"/>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7" w:name="_Toc496719739"/>
      <w:r w:rsidRPr="00D22F5A">
        <w:rPr>
          <w:rFonts w:hint="eastAsia"/>
          <w:sz w:val="21"/>
          <w:szCs w:val="21"/>
        </w:rPr>
        <w:t>质量控制</w:t>
      </w:r>
      <w:bookmarkEnd w:id="47"/>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8" w:name="_Toc496719740"/>
      <w:r w:rsidRPr="00D22F5A">
        <w:rPr>
          <w:rFonts w:hint="eastAsia"/>
          <w:b w:val="0"/>
          <w:bCs w:val="0"/>
          <w:sz w:val="21"/>
          <w:szCs w:val="21"/>
        </w:rPr>
        <w:t>您应提供质量控制建议的描述。这应包括试验用质控品的明确解释说明和质控品相关预期结果。</w:t>
      </w:r>
      <w:bookmarkEnd w:id="48"/>
    </w:p>
    <w:p w:rsidR="0096599E" w:rsidRPr="00D22F5A" w:rsidRDefault="0096599E" w:rsidP="00AB6EB3">
      <w:pPr>
        <w:pStyle w:val="3"/>
        <w:kinsoku w:val="0"/>
        <w:overflowPunct w:val="0"/>
        <w:spacing w:afterLines="50" w:line="360" w:lineRule="auto"/>
        <w:ind w:leftChars="200" w:left="480"/>
        <w:jc w:val="both"/>
        <w:rPr>
          <w:b w:val="0"/>
          <w:bCs w:val="0"/>
          <w:sz w:val="21"/>
          <w:szCs w:val="21"/>
        </w:rPr>
      </w:pPr>
      <w:bookmarkStart w:id="49" w:name="_Toc496719741"/>
      <w:r w:rsidRPr="00D22F5A">
        <w:rPr>
          <w:rFonts w:hint="eastAsia"/>
          <w:sz w:val="21"/>
          <w:szCs w:val="21"/>
        </w:rPr>
        <w:t>仪表</w:t>
      </w:r>
      <w:bookmarkEnd w:id="49"/>
    </w:p>
    <w:p w:rsidR="0096599E" w:rsidRPr="00D22F5A" w:rsidRDefault="0096599E" w:rsidP="00AB6EB3">
      <w:pPr>
        <w:pStyle w:val="a3"/>
        <w:kinsoku w:val="0"/>
        <w:overflowPunct w:val="0"/>
        <w:spacing w:afterLines="50" w:line="360" w:lineRule="auto"/>
        <w:ind w:leftChars="200" w:left="480"/>
        <w:jc w:val="both"/>
        <w:rPr>
          <w:sz w:val="21"/>
          <w:szCs w:val="21"/>
        </w:rPr>
      </w:pPr>
      <w:r w:rsidRPr="00D22F5A">
        <w:rPr>
          <w:rFonts w:hint="eastAsia"/>
          <w:sz w:val="21"/>
          <w:szCs w:val="21"/>
        </w:rPr>
        <w:t>您应提供用户手册，其中应说明指定仪表的所有组件。您的用户手册应包括对软件作用和软件用户界面的充分描述以及可证实软件按照预期运行的性能测试结果。我们建议您纳入计算机屏幕的图形表示、图形用户界面（</w:t>
      </w:r>
      <w:r w:rsidRPr="00D22F5A">
        <w:rPr>
          <w:sz w:val="21"/>
          <w:szCs w:val="21"/>
        </w:rPr>
        <w:t>GUI</w:t>
      </w:r>
      <w:r w:rsidRPr="00D22F5A">
        <w:rPr>
          <w:rFonts w:hint="eastAsia"/>
          <w:sz w:val="21"/>
          <w:szCs w:val="21"/>
        </w:rPr>
        <w:t>）以及</w:t>
      </w:r>
      <w:r w:rsidR="006765EA">
        <w:rPr>
          <w:rFonts w:hint="eastAsia"/>
          <w:sz w:val="21"/>
          <w:szCs w:val="21"/>
        </w:rPr>
        <w:t>其他</w:t>
      </w:r>
      <w:r w:rsidRPr="00D22F5A">
        <w:rPr>
          <w:rFonts w:hint="eastAsia"/>
          <w:sz w:val="21"/>
          <w:szCs w:val="21"/>
        </w:rPr>
        <w:t>帮助用户正确使用该软件的元素。</w:t>
      </w:r>
    </w:p>
    <w:p w:rsidR="0096599E" w:rsidRPr="00D22F5A" w:rsidRDefault="0096599E" w:rsidP="00AB6EB3">
      <w:pPr>
        <w:pStyle w:val="a3"/>
        <w:kinsoku w:val="0"/>
        <w:overflowPunct w:val="0"/>
        <w:spacing w:afterLines="50" w:line="360" w:lineRule="auto"/>
        <w:ind w:left="0"/>
        <w:jc w:val="both"/>
        <w:rPr>
          <w:sz w:val="21"/>
          <w:szCs w:val="21"/>
        </w:rPr>
      </w:pPr>
      <w:r w:rsidRPr="00D22F5A">
        <w:rPr>
          <w:sz w:val="21"/>
          <w:szCs w:val="21"/>
        </w:rPr>
        <w:br w:type="page"/>
      </w:r>
      <w:bookmarkStart w:id="50" w:name="_Hlk495398961"/>
      <w:r w:rsidRPr="00D22F5A">
        <w:rPr>
          <w:rFonts w:hint="eastAsia"/>
          <w:sz w:val="21"/>
          <w:szCs w:val="21"/>
        </w:rPr>
        <w:lastRenderedPageBreak/>
        <w:t>在可能的情况下，用户手册还应包括用户如何识别仪表的不正确运行或故障的描述以及故障排除指南。</w:t>
      </w:r>
      <w:bookmarkEnd w:id="50"/>
    </w:p>
    <w:p w:rsidR="0096599E" w:rsidRPr="00D22F5A" w:rsidRDefault="0096599E" w:rsidP="00AB6EB3">
      <w:pPr>
        <w:pStyle w:val="3"/>
        <w:kinsoku w:val="0"/>
        <w:overflowPunct w:val="0"/>
        <w:spacing w:afterLines="50" w:line="360" w:lineRule="auto"/>
        <w:ind w:left="0"/>
        <w:jc w:val="both"/>
        <w:rPr>
          <w:b w:val="0"/>
          <w:bCs w:val="0"/>
          <w:sz w:val="21"/>
          <w:szCs w:val="21"/>
        </w:rPr>
      </w:pPr>
      <w:bookmarkStart w:id="51" w:name="_Toc496719742"/>
      <w:r w:rsidRPr="00D22F5A">
        <w:rPr>
          <w:rFonts w:hint="eastAsia"/>
          <w:b w:val="0"/>
          <w:bCs w:val="0"/>
          <w:sz w:val="21"/>
          <w:szCs w:val="21"/>
        </w:rPr>
        <w:t>如果要使用通用仪表，则应提供该仪表的规格。</w:t>
      </w:r>
      <w:bookmarkEnd w:id="51"/>
    </w:p>
    <w:p w:rsidR="0096599E" w:rsidRPr="00D22F5A" w:rsidRDefault="0096599E" w:rsidP="00AB6EB3">
      <w:pPr>
        <w:pStyle w:val="3"/>
        <w:kinsoku w:val="0"/>
        <w:overflowPunct w:val="0"/>
        <w:spacing w:afterLines="50" w:line="360" w:lineRule="auto"/>
        <w:ind w:left="0"/>
        <w:jc w:val="both"/>
        <w:rPr>
          <w:b w:val="0"/>
          <w:bCs w:val="0"/>
          <w:sz w:val="21"/>
          <w:szCs w:val="21"/>
        </w:rPr>
      </w:pPr>
      <w:bookmarkStart w:id="52" w:name="_Toc496719743"/>
      <w:r w:rsidRPr="00D22F5A">
        <w:rPr>
          <w:rFonts w:hint="eastAsia"/>
          <w:sz w:val="21"/>
          <w:szCs w:val="21"/>
        </w:rPr>
        <w:t>局限性</w:t>
      </w:r>
      <w:bookmarkEnd w:id="52"/>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你应充分论述试验的局限性。我们建议您在适当情况下纳入以下局限性：</w:t>
      </w:r>
    </w:p>
    <w:p w:rsidR="0096599E" w:rsidRPr="00D22F5A" w:rsidRDefault="0096599E" w:rsidP="00AB6EB3">
      <w:pPr>
        <w:pStyle w:val="a3"/>
        <w:numPr>
          <w:ilvl w:val="0"/>
          <w:numId w:val="3"/>
        </w:numPr>
        <w:tabs>
          <w:tab w:val="left" w:pos="851"/>
          <w:tab w:val="left" w:pos="1134"/>
        </w:tabs>
        <w:kinsoku w:val="0"/>
        <w:overflowPunct w:val="0"/>
        <w:spacing w:afterLines="50" w:line="360" w:lineRule="auto"/>
        <w:ind w:leftChars="200" w:left="837" w:hanging="357"/>
        <w:jc w:val="both"/>
        <w:rPr>
          <w:sz w:val="21"/>
          <w:szCs w:val="21"/>
        </w:rPr>
      </w:pPr>
      <w:r w:rsidRPr="00D22F5A">
        <w:rPr>
          <w:rFonts w:hint="eastAsia"/>
          <w:sz w:val="21"/>
          <w:szCs w:val="21"/>
        </w:rPr>
        <w:t>妊娠可导致高</w:t>
      </w:r>
      <w:r w:rsidRPr="00D22F5A">
        <w:rPr>
          <w:sz w:val="21"/>
          <w:szCs w:val="21"/>
        </w:rPr>
        <w:t>AFP-L3</w:t>
      </w:r>
      <w:r w:rsidRPr="004B3601">
        <w:rPr>
          <w:sz w:val="21"/>
          <w:szCs w:val="21"/>
        </w:rPr>
        <w:t>%</w:t>
      </w:r>
      <w:r w:rsidRPr="00D22F5A">
        <w:rPr>
          <w:rFonts w:hint="eastAsia"/>
          <w:sz w:val="21"/>
          <w:szCs w:val="21"/>
        </w:rPr>
        <w:t>和</w:t>
      </w:r>
      <w:r w:rsidRPr="00D22F5A">
        <w:rPr>
          <w:sz w:val="21"/>
          <w:szCs w:val="21"/>
        </w:rPr>
        <w:t>AFP</w:t>
      </w:r>
      <w:r w:rsidRPr="00D22F5A">
        <w:rPr>
          <w:rFonts w:hint="eastAsia"/>
          <w:sz w:val="21"/>
          <w:szCs w:val="21"/>
        </w:rPr>
        <w:t>值。</w:t>
      </w:r>
    </w:p>
    <w:p w:rsidR="0096599E" w:rsidRPr="00D22F5A" w:rsidRDefault="0096599E" w:rsidP="00AB6EB3">
      <w:pPr>
        <w:pStyle w:val="a3"/>
        <w:numPr>
          <w:ilvl w:val="0"/>
          <w:numId w:val="3"/>
        </w:numPr>
        <w:tabs>
          <w:tab w:val="left" w:pos="851"/>
          <w:tab w:val="left" w:pos="1134"/>
        </w:tabs>
        <w:kinsoku w:val="0"/>
        <w:overflowPunct w:val="0"/>
        <w:spacing w:afterLines="50" w:line="360" w:lineRule="auto"/>
        <w:ind w:leftChars="200" w:left="837" w:hanging="357"/>
        <w:jc w:val="both"/>
        <w:rPr>
          <w:sz w:val="21"/>
          <w:szCs w:val="21"/>
        </w:rPr>
      </w:pPr>
      <w:r w:rsidRPr="00D22F5A">
        <w:rPr>
          <w:rFonts w:hint="eastAsia"/>
          <w:sz w:val="21"/>
          <w:szCs w:val="21"/>
        </w:rPr>
        <w:t>应仅在</w:t>
      </w:r>
      <w:r w:rsidR="006765EA">
        <w:rPr>
          <w:rFonts w:hint="eastAsia"/>
          <w:sz w:val="21"/>
          <w:szCs w:val="21"/>
        </w:rPr>
        <w:t>其他</w:t>
      </w:r>
      <w:r w:rsidRPr="00D22F5A">
        <w:rPr>
          <w:rFonts w:hint="eastAsia"/>
          <w:sz w:val="21"/>
          <w:szCs w:val="21"/>
        </w:rPr>
        <w:t>实验室结果、影像学研究和患者总体临床状况的上下文中判读试验结果。</w:t>
      </w:r>
    </w:p>
    <w:p w:rsidR="0096599E" w:rsidRPr="00D22F5A" w:rsidRDefault="0096599E" w:rsidP="00AB6EB3">
      <w:pPr>
        <w:pStyle w:val="a3"/>
        <w:numPr>
          <w:ilvl w:val="0"/>
          <w:numId w:val="3"/>
        </w:numPr>
        <w:tabs>
          <w:tab w:val="left" w:pos="851"/>
          <w:tab w:val="left" w:pos="1134"/>
        </w:tabs>
        <w:kinsoku w:val="0"/>
        <w:overflowPunct w:val="0"/>
        <w:spacing w:afterLines="50" w:line="360" w:lineRule="auto"/>
        <w:ind w:leftChars="200" w:left="837" w:hanging="357"/>
        <w:jc w:val="both"/>
        <w:rPr>
          <w:sz w:val="21"/>
          <w:szCs w:val="21"/>
        </w:rPr>
      </w:pPr>
      <w:r w:rsidRPr="00D22F5A">
        <w:rPr>
          <w:rFonts w:hint="eastAsia"/>
          <w:sz w:val="21"/>
          <w:szCs w:val="21"/>
        </w:rPr>
        <w:t>描述异嗜性抗体（例如：人抗小鼠抗体（</w:t>
      </w:r>
      <w:r w:rsidRPr="00D22F5A">
        <w:rPr>
          <w:sz w:val="21"/>
          <w:szCs w:val="21"/>
        </w:rPr>
        <w:t>HAMA</w:t>
      </w:r>
      <w:r w:rsidRPr="00D22F5A">
        <w:rPr>
          <w:rFonts w:hint="eastAsia"/>
          <w:sz w:val="21"/>
          <w:szCs w:val="21"/>
        </w:rPr>
        <w:t>））可能产生的干扰。</w:t>
      </w:r>
    </w:p>
    <w:p w:rsidR="0096599E" w:rsidRPr="00D22F5A" w:rsidRDefault="0096599E" w:rsidP="00AB6EB3">
      <w:pPr>
        <w:pStyle w:val="a3"/>
        <w:numPr>
          <w:ilvl w:val="0"/>
          <w:numId w:val="3"/>
        </w:numPr>
        <w:tabs>
          <w:tab w:val="left" w:pos="851"/>
          <w:tab w:val="left" w:pos="1134"/>
        </w:tabs>
        <w:kinsoku w:val="0"/>
        <w:overflowPunct w:val="0"/>
        <w:spacing w:afterLines="50" w:line="360" w:lineRule="auto"/>
        <w:ind w:leftChars="200" w:left="837" w:hanging="357"/>
        <w:jc w:val="both"/>
        <w:rPr>
          <w:sz w:val="21"/>
          <w:szCs w:val="21"/>
        </w:rPr>
      </w:pPr>
      <w:r w:rsidRPr="00D22F5A">
        <w:rPr>
          <w:rFonts w:hint="eastAsia"/>
          <w:sz w:val="21"/>
          <w:szCs w:val="21"/>
        </w:rPr>
        <w:t>除了肝细胞癌外，产生</w:t>
      </w:r>
      <w:r w:rsidRPr="00D22F5A">
        <w:rPr>
          <w:sz w:val="21"/>
          <w:szCs w:val="21"/>
        </w:rPr>
        <w:t>AFP</w:t>
      </w:r>
      <w:r w:rsidRPr="00D22F5A">
        <w:rPr>
          <w:rFonts w:hint="eastAsia"/>
          <w:sz w:val="21"/>
          <w:szCs w:val="21"/>
        </w:rPr>
        <w:t>的肿瘤还可具有高</w:t>
      </w:r>
      <w:r w:rsidRPr="00D22F5A">
        <w:rPr>
          <w:sz w:val="21"/>
          <w:szCs w:val="21"/>
        </w:rPr>
        <w:t>AFP-L3</w:t>
      </w:r>
      <w:r w:rsidRPr="004B3601">
        <w:rPr>
          <w:sz w:val="21"/>
          <w:szCs w:val="21"/>
        </w:rPr>
        <w:t>%</w:t>
      </w:r>
      <w:r w:rsidRPr="00D22F5A">
        <w:rPr>
          <w:rFonts w:hint="eastAsia"/>
          <w:sz w:val="21"/>
          <w:szCs w:val="21"/>
        </w:rPr>
        <w:t>和</w:t>
      </w:r>
      <w:r w:rsidRPr="00D22F5A">
        <w:rPr>
          <w:sz w:val="21"/>
          <w:szCs w:val="21"/>
        </w:rPr>
        <w:t>AFP</w:t>
      </w:r>
      <w:r w:rsidRPr="00D22F5A">
        <w:rPr>
          <w:rFonts w:hint="eastAsia"/>
          <w:sz w:val="21"/>
          <w:szCs w:val="21"/>
        </w:rPr>
        <w:t>值。</w:t>
      </w:r>
    </w:p>
    <w:p w:rsidR="0096599E" w:rsidRPr="00D22F5A" w:rsidRDefault="0096599E" w:rsidP="00AB6EB3">
      <w:pPr>
        <w:pStyle w:val="a3"/>
        <w:numPr>
          <w:ilvl w:val="0"/>
          <w:numId w:val="3"/>
        </w:numPr>
        <w:tabs>
          <w:tab w:val="left" w:pos="851"/>
          <w:tab w:val="left" w:pos="1134"/>
        </w:tabs>
        <w:kinsoku w:val="0"/>
        <w:overflowPunct w:val="0"/>
        <w:spacing w:afterLines="50" w:line="360" w:lineRule="auto"/>
        <w:ind w:leftChars="200" w:left="837" w:hanging="357"/>
        <w:jc w:val="both"/>
        <w:rPr>
          <w:sz w:val="21"/>
          <w:szCs w:val="21"/>
        </w:rPr>
      </w:pPr>
      <w:r w:rsidRPr="00D22F5A">
        <w:rPr>
          <w:rFonts w:hint="eastAsia"/>
          <w:sz w:val="21"/>
          <w:szCs w:val="21"/>
        </w:rPr>
        <w:t>急性肝炎和暴发性肝炎患者样本会表现出高</w:t>
      </w:r>
      <w:r w:rsidRPr="00D22F5A">
        <w:rPr>
          <w:sz w:val="21"/>
          <w:szCs w:val="21"/>
        </w:rPr>
        <w:t>AFP-L3</w:t>
      </w:r>
      <w:r w:rsidRPr="004B3601">
        <w:rPr>
          <w:sz w:val="21"/>
          <w:szCs w:val="21"/>
        </w:rPr>
        <w:t>%</w:t>
      </w:r>
      <w:r w:rsidRPr="00D22F5A">
        <w:rPr>
          <w:rFonts w:hint="eastAsia"/>
          <w:sz w:val="21"/>
          <w:szCs w:val="21"/>
        </w:rPr>
        <w:t>和</w:t>
      </w:r>
      <w:r w:rsidRPr="00D22F5A">
        <w:rPr>
          <w:sz w:val="21"/>
          <w:szCs w:val="21"/>
        </w:rPr>
        <w:t>AFP</w:t>
      </w:r>
      <w:r w:rsidRPr="00D22F5A">
        <w:rPr>
          <w:rFonts w:hint="eastAsia"/>
          <w:sz w:val="21"/>
          <w:szCs w:val="21"/>
        </w:rPr>
        <w:t>值。</w:t>
      </w:r>
    </w:p>
    <w:p w:rsidR="0096599E" w:rsidRPr="00D22F5A" w:rsidRDefault="0096599E" w:rsidP="00AB6EB3">
      <w:pPr>
        <w:pStyle w:val="3"/>
        <w:kinsoku w:val="0"/>
        <w:overflowPunct w:val="0"/>
        <w:spacing w:afterLines="50" w:line="360" w:lineRule="auto"/>
        <w:ind w:left="0"/>
        <w:jc w:val="both"/>
        <w:rPr>
          <w:b w:val="0"/>
          <w:bCs w:val="0"/>
          <w:sz w:val="21"/>
          <w:szCs w:val="21"/>
        </w:rPr>
      </w:pPr>
      <w:bookmarkStart w:id="53" w:name="_Toc496719744"/>
      <w:r w:rsidRPr="00D22F5A">
        <w:rPr>
          <w:rFonts w:hint="eastAsia"/>
          <w:sz w:val="21"/>
          <w:szCs w:val="21"/>
        </w:rPr>
        <w:t>性能特性</w:t>
      </w:r>
      <w:bookmarkEnd w:id="53"/>
    </w:p>
    <w:p w:rsidR="0096599E" w:rsidRPr="00D22F5A" w:rsidRDefault="0096599E" w:rsidP="00AB6EB3">
      <w:pPr>
        <w:pStyle w:val="a3"/>
        <w:kinsoku w:val="0"/>
        <w:overflowPunct w:val="0"/>
        <w:spacing w:afterLines="50" w:line="360" w:lineRule="auto"/>
        <w:ind w:left="0"/>
        <w:jc w:val="both"/>
        <w:rPr>
          <w:sz w:val="21"/>
          <w:szCs w:val="21"/>
        </w:rPr>
      </w:pPr>
      <w:r w:rsidRPr="00D22F5A">
        <w:rPr>
          <w:rFonts w:hint="eastAsia"/>
          <w:sz w:val="21"/>
          <w:szCs w:val="21"/>
        </w:rPr>
        <w:t>您应描述第</w:t>
      </w:r>
      <w:r w:rsidRPr="00D22F5A">
        <w:rPr>
          <w:sz w:val="21"/>
          <w:szCs w:val="21"/>
        </w:rPr>
        <w:t>7-9</w:t>
      </w:r>
      <w:r w:rsidRPr="00D22F5A">
        <w:rPr>
          <w:rFonts w:hint="eastAsia"/>
          <w:sz w:val="21"/>
          <w:szCs w:val="21"/>
        </w:rPr>
        <w:t>节所述每个性能特性的方案和结果。</w:t>
      </w:r>
    </w:p>
    <w:p w:rsidR="0096599E" w:rsidRPr="00D22F5A" w:rsidRDefault="0096599E" w:rsidP="00AB6EB3">
      <w:pPr>
        <w:pStyle w:val="a3"/>
        <w:kinsoku w:val="0"/>
        <w:overflowPunct w:val="0"/>
        <w:spacing w:afterLines="50" w:line="360" w:lineRule="auto"/>
        <w:ind w:left="0"/>
        <w:jc w:val="both"/>
        <w:rPr>
          <w:sz w:val="21"/>
          <w:szCs w:val="21"/>
        </w:rPr>
      </w:pPr>
    </w:p>
    <w:sectPr w:rsidR="0096599E" w:rsidRPr="00D22F5A" w:rsidSect="00744AFB">
      <w:headerReference w:type="default" r:id="rId22"/>
      <w:footerReference w:type="default" r:id="rId23"/>
      <w:pgSz w:w="11907" w:h="16840" w:code="9"/>
      <w:pgMar w:top="1440" w:right="1797" w:bottom="1440" w:left="1797" w:header="680" w:footer="68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8F2" w:rsidRDefault="00EB58F2" w:rsidP="009001F8">
      <w:r>
        <w:separator/>
      </w:r>
    </w:p>
  </w:endnote>
  <w:endnote w:type="continuationSeparator" w:id="1">
    <w:p w:rsidR="00EB58F2" w:rsidRDefault="00EB58F2" w:rsidP="00900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99E" w:rsidRPr="00744AFB" w:rsidRDefault="002514C1" w:rsidP="00744AFB">
    <w:pPr>
      <w:kinsoku w:val="0"/>
      <w:overflowPunct w:val="0"/>
      <w:spacing w:line="244" w:lineRule="exact"/>
      <w:ind w:left="40"/>
      <w:jc w:val="center"/>
      <w:rPr>
        <w:sz w:val="21"/>
        <w:szCs w:val="21"/>
      </w:rPr>
    </w:pPr>
    <w:r w:rsidRPr="00744AFB">
      <w:rPr>
        <w:sz w:val="21"/>
        <w:szCs w:val="21"/>
      </w:rPr>
      <w:fldChar w:fldCharType="begin"/>
    </w:r>
    <w:r w:rsidR="0096599E" w:rsidRPr="00744AFB">
      <w:rPr>
        <w:sz w:val="21"/>
        <w:szCs w:val="21"/>
      </w:rPr>
      <w:instrText xml:space="preserve"> PAGE </w:instrText>
    </w:r>
    <w:r w:rsidRPr="00744AFB">
      <w:rPr>
        <w:sz w:val="21"/>
        <w:szCs w:val="21"/>
      </w:rPr>
      <w:fldChar w:fldCharType="separate"/>
    </w:r>
    <w:r w:rsidR="00AB6EB3">
      <w:rPr>
        <w:noProof/>
        <w:sz w:val="21"/>
        <w:szCs w:val="21"/>
      </w:rPr>
      <w:t>2</w:t>
    </w:r>
    <w:r w:rsidRPr="00744AFB">
      <w:rPr>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8F2" w:rsidRDefault="00EB58F2" w:rsidP="009001F8">
      <w:r>
        <w:separator/>
      </w:r>
    </w:p>
  </w:footnote>
  <w:footnote w:type="continuationSeparator" w:id="1">
    <w:p w:rsidR="00EB58F2" w:rsidRDefault="00EB58F2" w:rsidP="0090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99E" w:rsidRPr="00D22F5A" w:rsidRDefault="0096599E" w:rsidP="00D22F5A">
    <w:pPr>
      <w:pStyle w:val="a5"/>
      <w:pBdr>
        <w:bottom w:val="none" w:sz="0" w:space="0" w:color="auto"/>
      </w:pBdr>
    </w:pPr>
    <w:r w:rsidRPr="00D22F5A">
      <w:rPr>
        <w:rFonts w:hint="eastAsia"/>
        <w:b/>
        <w:bCs/>
        <w:i/>
        <w:iCs/>
      </w:rPr>
      <w:t>包含</w:t>
    </w:r>
    <w:r w:rsidR="006765EA">
      <w:rPr>
        <w:rFonts w:hint="eastAsia"/>
        <w:b/>
        <w:bCs/>
        <w:i/>
        <w:iCs/>
      </w:rPr>
      <w:t>不具</w:t>
    </w:r>
    <w:r w:rsidRPr="00D22F5A">
      <w:rPr>
        <w:rFonts w:hint="eastAsia"/>
        <w:b/>
        <w:bCs/>
        <w:i/>
        <w:iCs/>
      </w:rPr>
      <w:t>约束力的建议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A3D6F62A"/>
    <w:lvl w:ilvl="0">
      <w:start w:val="1"/>
      <w:numFmt w:val="decimal"/>
      <w:lvlText w:val="%1."/>
      <w:lvlJc w:val="left"/>
      <w:pPr>
        <w:ind w:hanging="600"/>
      </w:pPr>
      <w:rPr>
        <w:rFonts w:ascii="Times New Roman" w:hAnsi="Times New Roman" w:cs="Times New Roman"/>
        <w:b/>
        <w:bCs/>
        <w:sz w:val="24"/>
        <w:szCs w:val="24"/>
      </w:rPr>
    </w:lvl>
    <w:lvl w:ilvl="1">
      <w:start w:val="1"/>
      <w:numFmt w:val="decimal"/>
      <w:lvlText w:val="%2."/>
      <w:lvlJc w:val="left"/>
      <w:pPr>
        <w:ind w:hanging="450"/>
      </w:pPr>
      <w:rPr>
        <w:rFonts w:ascii="Times New Roman" w:hAnsi="Times New Roman" w:cs="Times New Roman"/>
        <w:b/>
        <w:bCs/>
        <w:sz w:val="28"/>
        <w:szCs w:val="28"/>
      </w:rPr>
    </w:lvl>
    <w:lvl w:ilvl="2">
      <w:numFmt w:val="bullet"/>
      <w:lvlText w:val="•"/>
      <w:lvlJc w:val="left"/>
      <w:pPr>
        <w:ind w:hanging="360"/>
      </w:pPr>
      <w:rPr>
        <w:rFonts w:ascii="Arial" w:hAnsi="Arial"/>
        <w:b w:val="0"/>
        <w:w w:val="131"/>
        <w:sz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20F2260C"/>
    <w:lvl w:ilvl="0">
      <w:start w:val="3"/>
      <w:numFmt w:val="decimal"/>
      <w:lvlText w:val="%1"/>
      <w:lvlJc w:val="left"/>
      <w:pPr>
        <w:ind w:hanging="164"/>
      </w:pPr>
      <w:rPr>
        <w:rFonts w:ascii="Times New Roman" w:hAnsi="Times New Roman" w:cs="Times New Roman" w:hint="default"/>
        <w:b w:val="0"/>
        <w:bCs w:val="0"/>
        <w:strike w:val="0"/>
        <w:w w:val="100"/>
        <w:position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9120F2B2"/>
    <w:lvl w:ilvl="0">
      <w:numFmt w:val="bullet"/>
      <w:lvlText w:val="•"/>
      <w:lvlJc w:val="left"/>
      <w:pPr>
        <w:ind w:hanging="360"/>
      </w:pPr>
      <w:rPr>
        <w:rFonts w:ascii="Arial" w:hAnsi="Arial" w:hint="default"/>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F3E2376"/>
    <w:lvl w:ilvl="0">
      <w:numFmt w:val="bullet"/>
      <w:lvlText w:val="•"/>
      <w:lvlJc w:val="left"/>
      <w:pPr>
        <w:ind w:hanging="360"/>
      </w:pPr>
      <w:rPr>
        <w:rFonts w:ascii="Arial" w:hAnsi="Arial" w:hint="default"/>
        <w:b w:val="0"/>
        <w:w w:val="131"/>
        <w:sz w:val="24"/>
      </w:rPr>
    </w:lvl>
    <w:lvl w:ilvl="1">
      <w:numFmt w:val="bullet"/>
      <w:lvlText w:val="•"/>
      <w:lvlJc w:val="left"/>
      <w:pPr>
        <w:ind w:hanging="360"/>
      </w:pPr>
      <w:rPr>
        <w:rFonts w:ascii="Arial" w:hAnsi="Arial"/>
        <w:b w:val="0"/>
        <w:w w:val="131"/>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4"/>
  </w:num>
  <w:num w:numId="9">
    <w:abstractNumId w:val="1"/>
    <w:lvlOverride w:ilvl="0">
      <w:startOverride w:val="3"/>
    </w:lvlOverride>
    <w:lvlOverride w:ilvl="1"/>
    <w:lvlOverride w:ilvl="2"/>
    <w:lvlOverride w:ilvl="3"/>
    <w:lvlOverride w:ilvl="4"/>
    <w:lvlOverride w:ilvl="5"/>
    <w:lvlOverride w:ilvl="6"/>
    <w:lvlOverride w:ilvl="7"/>
    <w:lvlOverride w:ilvl="8"/>
  </w:num>
  <w:num w:numId="10">
    <w:abstractNumId w:val="3"/>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doNotCompress"/>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doNotLeaveBackslashAlone/>
    <w:ulTrailSpace/>
    <w:doNotExpandShiftReturn/>
    <w:adjustLineHeightInTable/>
    <w:useFELayout/>
  </w:compat>
  <w:rsids>
    <w:rsidRoot w:val="00B53F22"/>
    <w:rsid w:val="0001615C"/>
    <w:rsid w:val="000174D9"/>
    <w:rsid w:val="00021DFE"/>
    <w:rsid w:val="000234B2"/>
    <w:rsid w:val="00024962"/>
    <w:rsid w:val="000278B2"/>
    <w:rsid w:val="00034F1E"/>
    <w:rsid w:val="00040689"/>
    <w:rsid w:val="000420C3"/>
    <w:rsid w:val="00043292"/>
    <w:rsid w:val="0004382A"/>
    <w:rsid w:val="00045C70"/>
    <w:rsid w:val="00050467"/>
    <w:rsid w:val="00051491"/>
    <w:rsid w:val="0005498A"/>
    <w:rsid w:val="000576C7"/>
    <w:rsid w:val="00063F7B"/>
    <w:rsid w:val="00071728"/>
    <w:rsid w:val="0007508A"/>
    <w:rsid w:val="00075998"/>
    <w:rsid w:val="00096829"/>
    <w:rsid w:val="000972AB"/>
    <w:rsid w:val="000A6FFC"/>
    <w:rsid w:val="000B3575"/>
    <w:rsid w:val="000B3941"/>
    <w:rsid w:val="000B5481"/>
    <w:rsid w:val="000C5C64"/>
    <w:rsid w:val="000D397A"/>
    <w:rsid w:val="000D750E"/>
    <w:rsid w:val="000E32E3"/>
    <w:rsid w:val="000E4C7A"/>
    <w:rsid w:val="000F0E1C"/>
    <w:rsid w:val="00104010"/>
    <w:rsid w:val="001158C9"/>
    <w:rsid w:val="00126757"/>
    <w:rsid w:val="00134A92"/>
    <w:rsid w:val="00147C6E"/>
    <w:rsid w:val="00162896"/>
    <w:rsid w:val="00166DC7"/>
    <w:rsid w:val="00171A1D"/>
    <w:rsid w:val="00173AA4"/>
    <w:rsid w:val="00180B82"/>
    <w:rsid w:val="00183D51"/>
    <w:rsid w:val="00184C8B"/>
    <w:rsid w:val="00187177"/>
    <w:rsid w:val="00193D92"/>
    <w:rsid w:val="001A06CA"/>
    <w:rsid w:val="001A1A59"/>
    <w:rsid w:val="001B2D4E"/>
    <w:rsid w:val="001B4C37"/>
    <w:rsid w:val="001B7C82"/>
    <w:rsid w:val="001C1788"/>
    <w:rsid w:val="001C1FEA"/>
    <w:rsid w:val="001C3C0C"/>
    <w:rsid w:val="001C67B7"/>
    <w:rsid w:val="001C7CFE"/>
    <w:rsid w:val="001D173D"/>
    <w:rsid w:val="001E337E"/>
    <w:rsid w:val="001E4E42"/>
    <w:rsid w:val="001F0448"/>
    <w:rsid w:val="001F6751"/>
    <w:rsid w:val="00200211"/>
    <w:rsid w:val="00200A73"/>
    <w:rsid w:val="002050D1"/>
    <w:rsid w:val="00214399"/>
    <w:rsid w:val="00217F6E"/>
    <w:rsid w:val="002323C3"/>
    <w:rsid w:val="002468FA"/>
    <w:rsid w:val="00247524"/>
    <w:rsid w:val="002514C1"/>
    <w:rsid w:val="00256CB3"/>
    <w:rsid w:val="00257858"/>
    <w:rsid w:val="00260060"/>
    <w:rsid w:val="00260623"/>
    <w:rsid w:val="002628A6"/>
    <w:rsid w:val="00266550"/>
    <w:rsid w:val="00267ACE"/>
    <w:rsid w:val="00280BD8"/>
    <w:rsid w:val="0028352E"/>
    <w:rsid w:val="0029307F"/>
    <w:rsid w:val="00294E44"/>
    <w:rsid w:val="002A2C50"/>
    <w:rsid w:val="002A7A0A"/>
    <w:rsid w:val="002B0A32"/>
    <w:rsid w:val="002B560F"/>
    <w:rsid w:val="002D025B"/>
    <w:rsid w:val="002E0D96"/>
    <w:rsid w:val="002E3D6B"/>
    <w:rsid w:val="002F1C60"/>
    <w:rsid w:val="002F35AE"/>
    <w:rsid w:val="00303060"/>
    <w:rsid w:val="00312E1F"/>
    <w:rsid w:val="00322375"/>
    <w:rsid w:val="00327387"/>
    <w:rsid w:val="00335CC7"/>
    <w:rsid w:val="00347ED0"/>
    <w:rsid w:val="00352E29"/>
    <w:rsid w:val="00361F07"/>
    <w:rsid w:val="003657A0"/>
    <w:rsid w:val="00366928"/>
    <w:rsid w:val="00371EF5"/>
    <w:rsid w:val="00383877"/>
    <w:rsid w:val="003925A4"/>
    <w:rsid w:val="003930F8"/>
    <w:rsid w:val="00394BEE"/>
    <w:rsid w:val="0039718B"/>
    <w:rsid w:val="00397933"/>
    <w:rsid w:val="003A1AEF"/>
    <w:rsid w:val="003A72C8"/>
    <w:rsid w:val="003A7E74"/>
    <w:rsid w:val="003E16F0"/>
    <w:rsid w:val="003E2DE5"/>
    <w:rsid w:val="003E343A"/>
    <w:rsid w:val="003E440B"/>
    <w:rsid w:val="003E6AC4"/>
    <w:rsid w:val="003E6E79"/>
    <w:rsid w:val="003F36DC"/>
    <w:rsid w:val="00402C5F"/>
    <w:rsid w:val="00407C29"/>
    <w:rsid w:val="00413CF1"/>
    <w:rsid w:val="00416B3F"/>
    <w:rsid w:val="0041735C"/>
    <w:rsid w:val="004177FC"/>
    <w:rsid w:val="004218C8"/>
    <w:rsid w:val="00425355"/>
    <w:rsid w:val="0042794A"/>
    <w:rsid w:val="0043113C"/>
    <w:rsid w:val="004338CA"/>
    <w:rsid w:val="00436221"/>
    <w:rsid w:val="0044314E"/>
    <w:rsid w:val="00444F24"/>
    <w:rsid w:val="00446F13"/>
    <w:rsid w:val="00447CCF"/>
    <w:rsid w:val="00453DC7"/>
    <w:rsid w:val="004547DC"/>
    <w:rsid w:val="00456901"/>
    <w:rsid w:val="00457FC4"/>
    <w:rsid w:val="00483F42"/>
    <w:rsid w:val="00490F79"/>
    <w:rsid w:val="0049670F"/>
    <w:rsid w:val="004975BE"/>
    <w:rsid w:val="004978F2"/>
    <w:rsid w:val="004A1AF7"/>
    <w:rsid w:val="004A4F41"/>
    <w:rsid w:val="004A652C"/>
    <w:rsid w:val="004A6D58"/>
    <w:rsid w:val="004B0B3A"/>
    <w:rsid w:val="004B1C2C"/>
    <w:rsid w:val="004B3601"/>
    <w:rsid w:val="004B49A3"/>
    <w:rsid w:val="004C2C8C"/>
    <w:rsid w:val="004C6661"/>
    <w:rsid w:val="004C71E9"/>
    <w:rsid w:val="004C757A"/>
    <w:rsid w:val="004D06CE"/>
    <w:rsid w:val="004D1E2A"/>
    <w:rsid w:val="004E3390"/>
    <w:rsid w:val="004F5A5E"/>
    <w:rsid w:val="004F60C5"/>
    <w:rsid w:val="004F6ED1"/>
    <w:rsid w:val="00500E1C"/>
    <w:rsid w:val="00500FE2"/>
    <w:rsid w:val="00501E6D"/>
    <w:rsid w:val="00522D36"/>
    <w:rsid w:val="005232FB"/>
    <w:rsid w:val="00527B5C"/>
    <w:rsid w:val="00530F2A"/>
    <w:rsid w:val="00533A89"/>
    <w:rsid w:val="005365F7"/>
    <w:rsid w:val="00544B65"/>
    <w:rsid w:val="00550935"/>
    <w:rsid w:val="005511C6"/>
    <w:rsid w:val="00552E5E"/>
    <w:rsid w:val="00553E10"/>
    <w:rsid w:val="00556085"/>
    <w:rsid w:val="00556F14"/>
    <w:rsid w:val="00562E38"/>
    <w:rsid w:val="0056399B"/>
    <w:rsid w:val="0056661D"/>
    <w:rsid w:val="00575A57"/>
    <w:rsid w:val="00577C65"/>
    <w:rsid w:val="00581A95"/>
    <w:rsid w:val="00585E1A"/>
    <w:rsid w:val="00587AD9"/>
    <w:rsid w:val="005916EF"/>
    <w:rsid w:val="005B032F"/>
    <w:rsid w:val="005B2EF5"/>
    <w:rsid w:val="005B598C"/>
    <w:rsid w:val="005C1BE8"/>
    <w:rsid w:val="005C1E4C"/>
    <w:rsid w:val="005C3F42"/>
    <w:rsid w:val="005C6C34"/>
    <w:rsid w:val="005D02F2"/>
    <w:rsid w:val="005D1AE8"/>
    <w:rsid w:val="005D2759"/>
    <w:rsid w:val="005D469F"/>
    <w:rsid w:val="005E3695"/>
    <w:rsid w:val="005E4EF3"/>
    <w:rsid w:val="005E6B0B"/>
    <w:rsid w:val="005F3EDB"/>
    <w:rsid w:val="005F6801"/>
    <w:rsid w:val="00604B40"/>
    <w:rsid w:val="006069EF"/>
    <w:rsid w:val="00613BEA"/>
    <w:rsid w:val="00614327"/>
    <w:rsid w:val="00622AC8"/>
    <w:rsid w:val="00623BF5"/>
    <w:rsid w:val="006300B4"/>
    <w:rsid w:val="00631392"/>
    <w:rsid w:val="0063308F"/>
    <w:rsid w:val="00641AF4"/>
    <w:rsid w:val="00642248"/>
    <w:rsid w:val="00653F55"/>
    <w:rsid w:val="00657D5B"/>
    <w:rsid w:val="00670F47"/>
    <w:rsid w:val="00675CFA"/>
    <w:rsid w:val="006765EA"/>
    <w:rsid w:val="006768A5"/>
    <w:rsid w:val="006A0E88"/>
    <w:rsid w:val="006A39A4"/>
    <w:rsid w:val="006B6A72"/>
    <w:rsid w:val="006C36A4"/>
    <w:rsid w:val="006C6815"/>
    <w:rsid w:val="006D226D"/>
    <w:rsid w:val="006D680B"/>
    <w:rsid w:val="006E1FBE"/>
    <w:rsid w:val="006E42AD"/>
    <w:rsid w:val="006E5CF1"/>
    <w:rsid w:val="00701E2E"/>
    <w:rsid w:val="00734005"/>
    <w:rsid w:val="00735503"/>
    <w:rsid w:val="00744878"/>
    <w:rsid w:val="00744AFB"/>
    <w:rsid w:val="007450F8"/>
    <w:rsid w:val="00746F95"/>
    <w:rsid w:val="00754912"/>
    <w:rsid w:val="00761F39"/>
    <w:rsid w:val="00763DA6"/>
    <w:rsid w:val="00766635"/>
    <w:rsid w:val="007704B7"/>
    <w:rsid w:val="007828C5"/>
    <w:rsid w:val="007928B4"/>
    <w:rsid w:val="007A1D74"/>
    <w:rsid w:val="007A3BE8"/>
    <w:rsid w:val="007A54D3"/>
    <w:rsid w:val="007B0345"/>
    <w:rsid w:val="007B15FE"/>
    <w:rsid w:val="007B25AD"/>
    <w:rsid w:val="007B48D7"/>
    <w:rsid w:val="007D0CF9"/>
    <w:rsid w:val="007D0DB3"/>
    <w:rsid w:val="007D3133"/>
    <w:rsid w:val="007D5C63"/>
    <w:rsid w:val="007D62C4"/>
    <w:rsid w:val="007E1CC4"/>
    <w:rsid w:val="007E2C8B"/>
    <w:rsid w:val="007E7CC1"/>
    <w:rsid w:val="007F3D0D"/>
    <w:rsid w:val="007F52CC"/>
    <w:rsid w:val="00806237"/>
    <w:rsid w:val="00807429"/>
    <w:rsid w:val="0081560C"/>
    <w:rsid w:val="00821AED"/>
    <w:rsid w:val="0083670F"/>
    <w:rsid w:val="00841FB3"/>
    <w:rsid w:val="008452CB"/>
    <w:rsid w:val="00852101"/>
    <w:rsid w:val="008535FC"/>
    <w:rsid w:val="008716E1"/>
    <w:rsid w:val="00877D6F"/>
    <w:rsid w:val="00880835"/>
    <w:rsid w:val="00881C5C"/>
    <w:rsid w:val="0088385F"/>
    <w:rsid w:val="008918BE"/>
    <w:rsid w:val="00892027"/>
    <w:rsid w:val="008943D6"/>
    <w:rsid w:val="008B193C"/>
    <w:rsid w:val="008B47EF"/>
    <w:rsid w:val="008B526E"/>
    <w:rsid w:val="008B6EAB"/>
    <w:rsid w:val="008B7AD3"/>
    <w:rsid w:val="008C38E3"/>
    <w:rsid w:val="008C54A0"/>
    <w:rsid w:val="008C5615"/>
    <w:rsid w:val="008D5865"/>
    <w:rsid w:val="008E002F"/>
    <w:rsid w:val="008E1A95"/>
    <w:rsid w:val="008E1B27"/>
    <w:rsid w:val="008E3629"/>
    <w:rsid w:val="008F07A5"/>
    <w:rsid w:val="008F25C3"/>
    <w:rsid w:val="009001F8"/>
    <w:rsid w:val="009021B8"/>
    <w:rsid w:val="00921BC4"/>
    <w:rsid w:val="009236F2"/>
    <w:rsid w:val="009238E1"/>
    <w:rsid w:val="009261DD"/>
    <w:rsid w:val="00936C9D"/>
    <w:rsid w:val="00943F49"/>
    <w:rsid w:val="00954785"/>
    <w:rsid w:val="00955CFF"/>
    <w:rsid w:val="009614D9"/>
    <w:rsid w:val="00963337"/>
    <w:rsid w:val="009654D6"/>
    <w:rsid w:val="0096599E"/>
    <w:rsid w:val="00965C07"/>
    <w:rsid w:val="009672E9"/>
    <w:rsid w:val="00972EC1"/>
    <w:rsid w:val="00973DF2"/>
    <w:rsid w:val="0098579A"/>
    <w:rsid w:val="00990AE9"/>
    <w:rsid w:val="009957BC"/>
    <w:rsid w:val="009A367D"/>
    <w:rsid w:val="009B1E8C"/>
    <w:rsid w:val="009C3633"/>
    <w:rsid w:val="009C4489"/>
    <w:rsid w:val="009E1AE1"/>
    <w:rsid w:val="009F1E86"/>
    <w:rsid w:val="00A0136E"/>
    <w:rsid w:val="00A02BED"/>
    <w:rsid w:val="00A1339B"/>
    <w:rsid w:val="00A24208"/>
    <w:rsid w:val="00A2585A"/>
    <w:rsid w:val="00A259BC"/>
    <w:rsid w:val="00A31E0B"/>
    <w:rsid w:val="00A32F20"/>
    <w:rsid w:val="00A37C0B"/>
    <w:rsid w:val="00A4430E"/>
    <w:rsid w:val="00A44966"/>
    <w:rsid w:val="00A5249B"/>
    <w:rsid w:val="00A5636B"/>
    <w:rsid w:val="00A6474C"/>
    <w:rsid w:val="00A75266"/>
    <w:rsid w:val="00A810B5"/>
    <w:rsid w:val="00A8310A"/>
    <w:rsid w:val="00A8699E"/>
    <w:rsid w:val="00A92841"/>
    <w:rsid w:val="00A9375C"/>
    <w:rsid w:val="00A97A51"/>
    <w:rsid w:val="00AA1B1F"/>
    <w:rsid w:val="00AA3049"/>
    <w:rsid w:val="00AA786F"/>
    <w:rsid w:val="00AA7B9B"/>
    <w:rsid w:val="00AB0F68"/>
    <w:rsid w:val="00AB22B6"/>
    <w:rsid w:val="00AB2B57"/>
    <w:rsid w:val="00AB3FB8"/>
    <w:rsid w:val="00AB50B0"/>
    <w:rsid w:val="00AB6EB3"/>
    <w:rsid w:val="00AB78CC"/>
    <w:rsid w:val="00AD2A5F"/>
    <w:rsid w:val="00AD60D2"/>
    <w:rsid w:val="00AE6D9C"/>
    <w:rsid w:val="00AE7143"/>
    <w:rsid w:val="00AF177D"/>
    <w:rsid w:val="00B0178F"/>
    <w:rsid w:val="00B02238"/>
    <w:rsid w:val="00B04250"/>
    <w:rsid w:val="00B170C4"/>
    <w:rsid w:val="00B202B2"/>
    <w:rsid w:val="00B20CA1"/>
    <w:rsid w:val="00B21F37"/>
    <w:rsid w:val="00B2392E"/>
    <w:rsid w:val="00B3220E"/>
    <w:rsid w:val="00B3645B"/>
    <w:rsid w:val="00B36E7C"/>
    <w:rsid w:val="00B378AA"/>
    <w:rsid w:val="00B37B41"/>
    <w:rsid w:val="00B40561"/>
    <w:rsid w:val="00B47407"/>
    <w:rsid w:val="00B475E7"/>
    <w:rsid w:val="00B53F22"/>
    <w:rsid w:val="00B644AB"/>
    <w:rsid w:val="00B6564D"/>
    <w:rsid w:val="00B717B5"/>
    <w:rsid w:val="00B72978"/>
    <w:rsid w:val="00B801BD"/>
    <w:rsid w:val="00B821F5"/>
    <w:rsid w:val="00B83A41"/>
    <w:rsid w:val="00B853BE"/>
    <w:rsid w:val="00B92589"/>
    <w:rsid w:val="00B92A43"/>
    <w:rsid w:val="00B92C22"/>
    <w:rsid w:val="00B95BDE"/>
    <w:rsid w:val="00BA0A7A"/>
    <w:rsid w:val="00BA1567"/>
    <w:rsid w:val="00BB2650"/>
    <w:rsid w:val="00BC07BF"/>
    <w:rsid w:val="00BC6418"/>
    <w:rsid w:val="00BD0852"/>
    <w:rsid w:val="00BD0DE6"/>
    <w:rsid w:val="00BD1EF9"/>
    <w:rsid w:val="00BD1FF7"/>
    <w:rsid w:val="00BD5368"/>
    <w:rsid w:val="00BE5084"/>
    <w:rsid w:val="00BE58C2"/>
    <w:rsid w:val="00BF181F"/>
    <w:rsid w:val="00BF2D77"/>
    <w:rsid w:val="00BF54DE"/>
    <w:rsid w:val="00C00481"/>
    <w:rsid w:val="00C032EE"/>
    <w:rsid w:val="00C03BD5"/>
    <w:rsid w:val="00C16E29"/>
    <w:rsid w:val="00C206CC"/>
    <w:rsid w:val="00C25543"/>
    <w:rsid w:val="00C25C8D"/>
    <w:rsid w:val="00C26D6E"/>
    <w:rsid w:val="00C35F61"/>
    <w:rsid w:val="00C421FF"/>
    <w:rsid w:val="00C44B08"/>
    <w:rsid w:val="00C50632"/>
    <w:rsid w:val="00C51D0F"/>
    <w:rsid w:val="00C577E3"/>
    <w:rsid w:val="00C612FA"/>
    <w:rsid w:val="00C62929"/>
    <w:rsid w:val="00C630D4"/>
    <w:rsid w:val="00C67C88"/>
    <w:rsid w:val="00C82B47"/>
    <w:rsid w:val="00C82E0E"/>
    <w:rsid w:val="00C83745"/>
    <w:rsid w:val="00C8445B"/>
    <w:rsid w:val="00C94209"/>
    <w:rsid w:val="00C96CB0"/>
    <w:rsid w:val="00CA118A"/>
    <w:rsid w:val="00CA2DA3"/>
    <w:rsid w:val="00CB35CA"/>
    <w:rsid w:val="00CC618E"/>
    <w:rsid w:val="00CC7B2B"/>
    <w:rsid w:val="00CD14DD"/>
    <w:rsid w:val="00CD3B9E"/>
    <w:rsid w:val="00CD7316"/>
    <w:rsid w:val="00CE705B"/>
    <w:rsid w:val="00CF22DC"/>
    <w:rsid w:val="00CF2D0E"/>
    <w:rsid w:val="00CF6F2C"/>
    <w:rsid w:val="00D024E5"/>
    <w:rsid w:val="00D04900"/>
    <w:rsid w:val="00D061BC"/>
    <w:rsid w:val="00D1275E"/>
    <w:rsid w:val="00D137EB"/>
    <w:rsid w:val="00D22F5A"/>
    <w:rsid w:val="00D269ED"/>
    <w:rsid w:val="00D30233"/>
    <w:rsid w:val="00D34930"/>
    <w:rsid w:val="00D40494"/>
    <w:rsid w:val="00D41005"/>
    <w:rsid w:val="00D433E3"/>
    <w:rsid w:val="00D519B0"/>
    <w:rsid w:val="00D53F50"/>
    <w:rsid w:val="00D55A5E"/>
    <w:rsid w:val="00D67C3A"/>
    <w:rsid w:val="00D76A92"/>
    <w:rsid w:val="00D8046F"/>
    <w:rsid w:val="00D8463D"/>
    <w:rsid w:val="00DA09C7"/>
    <w:rsid w:val="00DA7D90"/>
    <w:rsid w:val="00DB6FBC"/>
    <w:rsid w:val="00DC3C96"/>
    <w:rsid w:val="00DC46BE"/>
    <w:rsid w:val="00DD3599"/>
    <w:rsid w:val="00DD532E"/>
    <w:rsid w:val="00DF6C96"/>
    <w:rsid w:val="00DF7665"/>
    <w:rsid w:val="00DF7FBC"/>
    <w:rsid w:val="00E01DB8"/>
    <w:rsid w:val="00E05B73"/>
    <w:rsid w:val="00E12AB6"/>
    <w:rsid w:val="00E22F2C"/>
    <w:rsid w:val="00E2355E"/>
    <w:rsid w:val="00E25AE6"/>
    <w:rsid w:val="00E35A79"/>
    <w:rsid w:val="00E46180"/>
    <w:rsid w:val="00E461CF"/>
    <w:rsid w:val="00E50E56"/>
    <w:rsid w:val="00E548D7"/>
    <w:rsid w:val="00E649F4"/>
    <w:rsid w:val="00E70363"/>
    <w:rsid w:val="00E72125"/>
    <w:rsid w:val="00E86AF6"/>
    <w:rsid w:val="00E96046"/>
    <w:rsid w:val="00E9634E"/>
    <w:rsid w:val="00E970F0"/>
    <w:rsid w:val="00E972AE"/>
    <w:rsid w:val="00EA52E1"/>
    <w:rsid w:val="00EA76F6"/>
    <w:rsid w:val="00EB38DC"/>
    <w:rsid w:val="00EB58F2"/>
    <w:rsid w:val="00EC078B"/>
    <w:rsid w:val="00EC1A10"/>
    <w:rsid w:val="00EC4347"/>
    <w:rsid w:val="00ED2359"/>
    <w:rsid w:val="00ED7460"/>
    <w:rsid w:val="00EE033F"/>
    <w:rsid w:val="00EE5F97"/>
    <w:rsid w:val="00EF5AA1"/>
    <w:rsid w:val="00F00010"/>
    <w:rsid w:val="00F019AE"/>
    <w:rsid w:val="00F044C1"/>
    <w:rsid w:val="00F06715"/>
    <w:rsid w:val="00F071AD"/>
    <w:rsid w:val="00F13B6B"/>
    <w:rsid w:val="00F14C68"/>
    <w:rsid w:val="00F244AA"/>
    <w:rsid w:val="00F2725B"/>
    <w:rsid w:val="00F30914"/>
    <w:rsid w:val="00F34141"/>
    <w:rsid w:val="00F4114B"/>
    <w:rsid w:val="00F46DB8"/>
    <w:rsid w:val="00F46E31"/>
    <w:rsid w:val="00F52ABF"/>
    <w:rsid w:val="00F565C8"/>
    <w:rsid w:val="00F63DCF"/>
    <w:rsid w:val="00F70308"/>
    <w:rsid w:val="00F70814"/>
    <w:rsid w:val="00F72FA9"/>
    <w:rsid w:val="00F73CFC"/>
    <w:rsid w:val="00F75987"/>
    <w:rsid w:val="00F75BF3"/>
    <w:rsid w:val="00F77405"/>
    <w:rsid w:val="00F85A7D"/>
    <w:rsid w:val="00F97936"/>
    <w:rsid w:val="00FA55D6"/>
    <w:rsid w:val="00FA74B5"/>
    <w:rsid w:val="00FB0A6E"/>
    <w:rsid w:val="00FB2813"/>
    <w:rsid w:val="00FB4D75"/>
    <w:rsid w:val="00FC0D9A"/>
    <w:rsid w:val="00FD090B"/>
    <w:rsid w:val="00FD2B50"/>
    <w:rsid w:val="00FD5B7C"/>
    <w:rsid w:val="00FE158C"/>
    <w:rsid w:val="00FE1E99"/>
    <w:rsid w:val="00FE4925"/>
    <w:rsid w:val="00FE57C2"/>
    <w:rsid w:val="00FE5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AA1"/>
    <w:pPr>
      <w:widowControl w:val="0"/>
      <w:autoSpaceDE w:val="0"/>
      <w:autoSpaceDN w:val="0"/>
      <w:adjustRightInd w:val="0"/>
    </w:pPr>
    <w:rPr>
      <w:rFonts w:ascii="Times New Roman" w:hAnsi="Times New Roman"/>
      <w:sz w:val="24"/>
      <w:szCs w:val="24"/>
    </w:rPr>
  </w:style>
  <w:style w:type="paragraph" w:styleId="1">
    <w:name w:val="heading 1"/>
    <w:basedOn w:val="a"/>
    <w:link w:val="1Char"/>
    <w:uiPriority w:val="99"/>
    <w:qFormat/>
    <w:rsid w:val="00EF5AA1"/>
    <w:pPr>
      <w:spacing w:before="38"/>
      <w:ind w:left="104"/>
      <w:outlineLvl w:val="0"/>
    </w:pPr>
    <w:rPr>
      <w:b/>
      <w:bCs/>
      <w:kern w:val="44"/>
      <w:sz w:val="44"/>
      <w:szCs w:val="44"/>
    </w:rPr>
  </w:style>
  <w:style w:type="paragraph" w:styleId="2">
    <w:name w:val="heading 2"/>
    <w:basedOn w:val="a"/>
    <w:link w:val="2Char"/>
    <w:uiPriority w:val="99"/>
    <w:qFormat/>
    <w:rsid w:val="00EF5AA1"/>
    <w:pPr>
      <w:ind w:left="734" w:hanging="450"/>
      <w:outlineLvl w:val="1"/>
    </w:pPr>
    <w:rPr>
      <w:rFonts w:ascii="等线 Light" w:eastAsia="等线 Light" w:hAnsi="等线 Light"/>
      <w:b/>
      <w:bCs/>
      <w:sz w:val="32"/>
      <w:szCs w:val="32"/>
    </w:rPr>
  </w:style>
  <w:style w:type="paragraph" w:styleId="3">
    <w:name w:val="heading 3"/>
    <w:basedOn w:val="a"/>
    <w:link w:val="3Char"/>
    <w:uiPriority w:val="99"/>
    <w:qFormat/>
    <w:rsid w:val="00EF5AA1"/>
    <w:pPr>
      <w:ind w:left="704"/>
      <w:outlineLvl w:val="2"/>
    </w:pPr>
    <w:rPr>
      <w:b/>
      <w:bCs/>
      <w:sz w:val="32"/>
      <w:szCs w:val="32"/>
    </w:rPr>
  </w:style>
  <w:style w:type="paragraph" w:styleId="4">
    <w:name w:val="heading 4"/>
    <w:basedOn w:val="a"/>
    <w:link w:val="4Char"/>
    <w:uiPriority w:val="99"/>
    <w:qFormat/>
    <w:rsid w:val="00EF5AA1"/>
    <w:pPr>
      <w:ind w:left="224"/>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F5AA1"/>
    <w:rPr>
      <w:rFonts w:ascii="Times New Roman" w:hAnsi="Times New Roman"/>
      <w:b/>
      <w:kern w:val="44"/>
      <w:sz w:val="44"/>
    </w:rPr>
  </w:style>
  <w:style w:type="character" w:customStyle="1" w:styleId="2Char">
    <w:name w:val="标题 2 Char"/>
    <w:link w:val="2"/>
    <w:uiPriority w:val="99"/>
    <w:semiHidden/>
    <w:locked/>
    <w:rsid w:val="00EF5AA1"/>
    <w:rPr>
      <w:rFonts w:ascii="等线 Light" w:eastAsia="等线 Light" w:hAnsi="等线 Light"/>
      <w:b/>
      <w:kern w:val="0"/>
      <w:sz w:val="32"/>
    </w:rPr>
  </w:style>
  <w:style w:type="character" w:customStyle="1" w:styleId="3Char">
    <w:name w:val="标题 3 Char"/>
    <w:link w:val="3"/>
    <w:uiPriority w:val="99"/>
    <w:semiHidden/>
    <w:locked/>
    <w:rsid w:val="00EF5AA1"/>
    <w:rPr>
      <w:rFonts w:ascii="Times New Roman" w:hAnsi="Times New Roman"/>
      <w:b/>
      <w:kern w:val="0"/>
      <w:sz w:val="32"/>
    </w:rPr>
  </w:style>
  <w:style w:type="character" w:customStyle="1" w:styleId="4Char">
    <w:name w:val="标题 4 Char"/>
    <w:link w:val="4"/>
    <w:uiPriority w:val="99"/>
    <w:semiHidden/>
    <w:locked/>
    <w:rsid w:val="00EF5AA1"/>
    <w:rPr>
      <w:rFonts w:ascii="等线 Light" w:eastAsia="等线 Light" w:hAnsi="等线 Light"/>
      <w:b/>
      <w:kern w:val="0"/>
      <w:sz w:val="28"/>
    </w:rPr>
  </w:style>
  <w:style w:type="character" w:customStyle="1" w:styleId="Char">
    <w:name w:val="正文文本 Char"/>
    <w:link w:val="a3"/>
    <w:uiPriority w:val="99"/>
    <w:semiHidden/>
    <w:locked/>
    <w:rsid w:val="00EF5AA1"/>
    <w:rPr>
      <w:rFonts w:ascii="Times New Roman" w:hAnsi="Times New Roman"/>
      <w:kern w:val="0"/>
      <w:sz w:val="24"/>
    </w:rPr>
  </w:style>
  <w:style w:type="paragraph" w:styleId="a4">
    <w:name w:val="List Paragraph"/>
    <w:basedOn w:val="a"/>
    <w:uiPriority w:val="99"/>
    <w:qFormat/>
    <w:rsid w:val="00EF5AA1"/>
  </w:style>
  <w:style w:type="paragraph" w:styleId="a3">
    <w:name w:val="Body Text"/>
    <w:basedOn w:val="a"/>
    <w:link w:val="Char"/>
    <w:uiPriority w:val="99"/>
    <w:rsid w:val="00EF5AA1"/>
    <w:pPr>
      <w:ind w:left="104"/>
    </w:pPr>
  </w:style>
  <w:style w:type="character" w:customStyle="1" w:styleId="BodyTextChar1">
    <w:name w:val="Body Text Char1"/>
    <w:uiPriority w:val="99"/>
    <w:semiHidden/>
    <w:rsid w:val="00F355EC"/>
    <w:rPr>
      <w:rFonts w:ascii="Times New Roman" w:hAnsi="Times New Roman"/>
      <w:kern w:val="0"/>
      <w:sz w:val="24"/>
      <w:szCs w:val="24"/>
    </w:rPr>
  </w:style>
  <w:style w:type="paragraph" w:customStyle="1" w:styleId="TableParagraph">
    <w:name w:val="Table Paragraph"/>
    <w:basedOn w:val="a"/>
    <w:uiPriority w:val="99"/>
    <w:rsid w:val="00EF5AA1"/>
  </w:style>
  <w:style w:type="paragraph" w:styleId="a5">
    <w:name w:val="header"/>
    <w:basedOn w:val="a"/>
    <w:link w:val="Char0"/>
    <w:uiPriority w:val="99"/>
    <w:semiHidden/>
    <w:rsid w:val="00744AF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locked/>
    <w:rsid w:val="00744AFB"/>
    <w:rPr>
      <w:rFonts w:ascii="Times New Roman" w:hAnsi="Times New Roman"/>
      <w:kern w:val="0"/>
      <w:sz w:val="18"/>
    </w:rPr>
  </w:style>
  <w:style w:type="character" w:styleId="a6">
    <w:name w:val="annotation reference"/>
    <w:uiPriority w:val="99"/>
    <w:semiHidden/>
    <w:rsid w:val="0028352E"/>
    <w:rPr>
      <w:rFonts w:cs="Times New Roman"/>
      <w:sz w:val="21"/>
    </w:rPr>
  </w:style>
  <w:style w:type="paragraph" w:styleId="a7">
    <w:name w:val="footer"/>
    <w:basedOn w:val="a"/>
    <w:link w:val="Char1"/>
    <w:uiPriority w:val="99"/>
    <w:semiHidden/>
    <w:rsid w:val="00744AFB"/>
    <w:pPr>
      <w:tabs>
        <w:tab w:val="center" w:pos="4153"/>
        <w:tab w:val="right" w:pos="8306"/>
      </w:tabs>
      <w:snapToGrid w:val="0"/>
    </w:pPr>
    <w:rPr>
      <w:sz w:val="18"/>
      <w:szCs w:val="18"/>
    </w:rPr>
  </w:style>
  <w:style w:type="character" w:customStyle="1" w:styleId="Char1">
    <w:name w:val="页脚 Char"/>
    <w:link w:val="a7"/>
    <w:uiPriority w:val="99"/>
    <w:semiHidden/>
    <w:locked/>
    <w:rsid w:val="00744AFB"/>
    <w:rPr>
      <w:rFonts w:ascii="Times New Roman" w:hAnsi="Times New Roman"/>
      <w:kern w:val="0"/>
      <w:sz w:val="18"/>
    </w:rPr>
  </w:style>
  <w:style w:type="paragraph" w:styleId="a8">
    <w:name w:val="annotation text"/>
    <w:basedOn w:val="a"/>
    <w:link w:val="Char2"/>
    <w:uiPriority w:val="99"/>
    <w:semiHidden/>
    <w:rsid w:val="0028352E"/>
  </w:style>
  <w:style w:type="character" w:customStyle="1" w:styleId="Char2">
    <w:name w:val="批注文字 Char"/>
    <w:link w:val="a8"/>
    <w:uiPriority w:val="99"/>
    <w:semiHidden/>
    <w:locked/>
    <w:rsid w:val="00EF5AA1"/>
    <w:rPr>
      <w:rFonts w:ascii="Times New Roman" w:hAnsi="Times New Roman"/>
      <w:kern w:val="0"/>
      <w:sz w:val="24"/>
    </w:rPr>
  </w:style>
  <w:style w:type="paragraph" w:styleId="a9">
    <w:name w:val="annotation subject"/>
    <w:basedOn w:val="a8"/>
    <w:next w:val="a8"/>
    <w:link w:val="Char3"/>
    <w:uiPriority w:val="99"/>
    <w:semiHidden/>
    <w:rsid w:val="0028352E"/>
    <w:rPr>
      <w:b/>
      <w:bCs/>
    </w:rPr>
  </w:style>
  <w:style w:type="character" w:customStyle="1" w:styleId="Char3">
    <w:name w:val="批注主题 Char"/>
    <w:link w:val="a9"/>
    <w:uiPriority w:val="99"/>
    <w:semiHidden/>
    <w:locked/>
    <w:rsid w:val="00EF5AA1"/>
    <w:rPr>
      <w:rFonts w:ascii="Times New Roman" w:hAnsi="Times New Roman"/>
      <w:b/>
      <w:kern w:val="0"/>
      <w:sz w:val="24"/>
    </w:rPr>
  </w:style>
  <w:style w:type="paragraph" w:styleId="aa">
    <w:name w:val="Balloon Text"/>
    <w:basedOn w:val="a"/>
    <w:link w:val="Char4"/>
    <w:uiPriority w:val="99"/>
    <w:semiHidden/>
    <w:rsid w:val="0028352E"/>
    <w:rPr>
      <w:sz w:val="18"/>
      <w:szCs w:val="18"/>
    </w:rPr>
  </w:style>
  <w:style w:type="character" w:customStyle="1" w:styleId="Char4">
    <w:name w:val="批注框文本 Char"/>
    <w:link w:val="aa"/>
    <w:uiPriority w:val="99"/>
    <w:semiHidden/>
    <w:locked/>
    <w:rsid w:val="00EF5AA1"/>
    <w:rPr>
      <w:rFonts w:ascii="Times New Roman" w:hAnsi="Times New Roman"/>
      <w:kern w:val="0"/>
      <w:sz w:val="18"/>
    </w:rPr>
  </w:style>
  <w:style w:type="character" w:styleId="ab">
    <w:name w:val="Hyperlink"/>
    <w:uiPriority w:val="99"/>
    <w:rsid w:val="004C757A"/>
    <w:rPr>
      <w:rFonts w:cs="Times New Roman"/>
      <w:color w:val="0563C1"/>
      <w:u w:val="single"/>
    </w:rPr>
  </w:style>
  <w:style w:type="paragraph" w:customStyle="1" w:styleId="CM23">
    <w:name w:val="CM23"/>
    <w:basedOn w:val="a"/>
    <w:next w:val="a"/>
    <w:uiPriority w:val="99"/>
    <w:rsid w:val="00B853BE"/>
    <w:pPr>
      <w:spacing w:after="420"/>
    </w:pPr>
  </w:style>
  <w:style w:type="paragraph" w:styleId="20">
    <w:name w:val="toc 2"/>
    <w:basedOn w:val="a"/>
    <w:next w:val="a"/>
    <w:autoRedefine/>
    <w:uiPriority w:val="99"/>
    <w:locked/>
    <w:rsid w:val="00457FC4"/>
    <w:pPr>
      <w:ind w:leftChars="200" w:left="420"/>
    </w:pPr>
  </w:style>
  <w:style w:type="paragraph" w:styleId="10">
    <w:name w:val="toc 1"/>
    <w:basedOn w:val="a"/>
    <w:next w:val="a"/>
    <w:autoRedefine/>
    <w:uiPriority w:val="99"/>
    <w:locked/>
    <w:rsid w:val="00457FC4"/>
  </w:style>
  <w:style w:type="paragraph" w:styleId="30">
    <w:name w:val="toc 3"/>
    <w:basedOn w:val="a"/>
    <w:next w:val="a"/>
    <w:autoRedefine/>
    <w:uiPriority w:val="99"/>
    <w:locked/>
    <w:rsid w:val="00457FC4"/>
    <w:pPr>
      <w:ind w:leftChars="400" w:left="840"/>
    </w:pPr>
  </w:style>
</w:styles>
</file>

<file path=word/webSettings.xml><?xml version="1.0" encoding="utf-8"?>
<w:webSettings xmlns:r="http://schemas.openxmlformats.org/officeDocument/2006/relationships" xmlns:w="http://schemas.openxmlformats.org/wordprocessingml/2006/main">
  <w:divs>
    <w:div w:id="206571366">
      <w:marLeft w:val="0"/>
      <w:marRight w:val="0"/>
      <w:marTop w:val="0"/>
      <w:marBottom w:val="0"/>
      <w:divBdr>
        <w:top w:val="none" w:sz="0" w:space="0" w:color="auto"/>
        <w:left w:val="none" w:sz="0" w:space="0" w:color="auto"/>
        <w:bottom w:val="none" w:sz="0" w:space="0" w:color="auto"/>
        <w:right w:val="none" w:sz="0" w:space="0" w:color="auto"/>
      </w:divBdr>
    </w:div>
    <w:div w:id="206571367">
      <w:marLeft w:val="0"/>
      <w:marRight w:val="0"/>
      <w:marTop w:val="0"/>
      <w:marBottom w:val="0"/>
      <w:divBdr>
        <w:top w:val="none" w:sz="0" w:space="0" w:color="auto"/>
        <w:left w:val="none" w:sz="0" w:space="0" w:color="auto"/>
        <w:bottom w:val="none" w:sz="0" w:space="0" w:color="auto"/>
        <w:right w:val="none" w:sz="0" w:space="0" w:color="auto"/>
      </w:divBdr>
    </w:div>
    <w:div w:id="206571368">
      <w:marLeft w:val="0"/>
      <w:marRight w:val="0"/>
      <w:marTop w:val="0"/>
      <w:marBottom w:val="0"/>
      <w:divBdr>
        <w:top w:val="none" w:sz="0" w:space="0" w:color="auto"/>
        <w:left w:val="none" w:sz="0" w:space="0" w:color="auto"/>
        <w:bottom w:val="none" w:sz="0" w:space="0" w:color="auto"/>
        <w:right w:val="none" w:sz="0" w:space="0" w:color="auto"/>
      </w:divBdr>
    </w:div>
    <w:div w:id="206571369">
      <w:marLeft w:val="0"/>
      <w:marRight w:val="0"/>
      <w:marTop w:val="0"/>
      <w:marBottom w:val="0"/>
      <w:divBdr>
        <w:top w:val="none" w:sz="0" w:space="0" w:color="auto"/>
        <w:left w:val="none" w:sz="0" w:space="0" w:color="auto"/>
        <w:bottom w:val="none" w:sz="0" w:space="0" w:color="auto"/>
        <w:right w:val="none" w:sz="0" w:space="0" w:color="auto"/>
      </w:divBdr>
    </w:div>
    <w:div w:id="206571370">
      <w:marLeft w:val="0"/>
      <w:marRight w:val="0"/>
      <w:marTop w:val="0"/>
      <w:marBottom w:val="0"/>
      <w:divBdr>
        <w:top w:val="none" w:sz="0" w:space="0" w:color="auto"/>
        <w:left w:val="none" w:sz="0" w:space="0" w:color="auto"/>
        <w:bottom w:val="none" w:sz="0" w:space="0" w:color="auto"/>
        <w:right w:val="none" w:sz="0" w:space="0" w:color="auto"/>
      </w:divBdr>
    </w:div>
    <w:div w:id="206571371">
      <w:marLeft w:val="0"/>
      <w:marRight w:val="0"/>
      <w:marTop w:val="0"/>
      <w:marBottom w:val="0"/>
      <w:divBdr>
        <w:top w:val="none" w:sz="0" w:space="0" w:color="auto"/>
        <w:left w:val="none" w:sz="0" w:space="0" w:color="auto"/>
        <w:bottom w:val="none" w:sz="0" w:space="0" w:color="auto"/>
        <w:right w:val="none" w:sz="0" w:space="0" w:color="auto"/>
      </w:divBdr>
    </w:div>
    <w:div w:id="206571372">
      <w:marLeft w:val="0"/>
      <w:marRight w:val="0"/>
      <w:marTop w:val="0"/>
      <w:marBottom w:val="0"/>
      <w:divBdr>
        <w:top w:val="none" w:sz="0" w:space="0" w:color="auto"/>
        <w:left w:val="none" w:sz="0" w:space="0" w:color="auto"/>
        <w:bottom w:val="none" w:sz="0" w:space="0" w:color="auto"/>
        <w:right w:val="none" w:sz="0" w:space="0" w:color="auto"/>
      </w:divBdr>
    </w:div>
    <w:div w:id="206571373">
      <w:marLeft w:val="0"/>
      <w:marRight w:val="0"/>
      <w:marTop w:val="0"/>
      <w:marBottom w:val="0"/>
      <w:divBdr>
        <w:top w:val="none" w:sz="0" w:space="0" w:color="auto"/>
        <w:left w:val="none" w:sz="0" w:space="0" w:color="auto"/>
        <w:bottom w:val="none" w:sz="0" w:space="0" w:color="auto"/>
        <w:right w:val="none" w:sz="0" w:space="0" w:color="auto"/>
      </w:divBdr>
    </w:div>
    <w:div w:id="206571374">
      <w:marLeft w:val="0"/>
      <w:marRight w:val="0"/>
      <w:marTop w:val="0"/>
      <w:marBottom w:val="0"/>
      <w:divBdr>
        <w:top w:val="none" w:sz="0" w:space="0" w:color="auto"/>
        <w:left w:val="none" w:sz="0" w:space="0" w:color="auto"/>
        <w:bottom w:val="none" w:sz="0" w:space="0" w:color="auto"/>
        <w:right w:val="none" w:sz="0" w:space="0" w:color="auto"/>
      </w:divBdr>
    </w:div>
    <w:div w:id="206571375">
      <w:marLeft w:val="0"/>
      <w:marRight w:val="0"/>
      <w:marTop w:val="0"/>
      <w:marBottom w:val="0"/>
      <w:divBdr>
        <w:top w:val="none" w:sz="0" w:space="0" w:color="auto"/>
        <w:left w:val="none" w:sz="0" w:space="0" w:color="auto"/>
        <w:bottom w:val="none" w:sz="0" w:space="0" w:color="auto"/>
        <w:right w:val="none" w:sz="0" w:space="0" w:color="auto"/>
      </w:divBdr>
    </w:div>
    <w:div w:id="206571376">
      <w:marLeft w:val="0"/>
      <w:marRight w:val="0"/>
      <w:marTop w:val="0"/>
      <w:marBottom w:val="0"/>
      <w:divBdr>
        <w:top w:val="none" w:sz="0" w:space="0" w:color="auto"/>
        <w:left w:val="none" w:sz="0" w:space="0" w:color="auto"/>
        <w:bottom w:val="none" w:sz="0" w:space="0" w:color="auto"/>
        <w:right w:val="none" w:sz="0" w:space="0" w:color="auto"/>
      </w:divBdr>
    </w:div>
    <w:div w:id="206571377">
      <w:marLeft w:val="0"/>
      <w:marRight w:val="0"/>
      <w:marTop w:val="0"/>
      <w:marBottom w:val="0"/>
      <w:divBdr>
        <w:top w:val="none" w:sz="0" w:space="0" w:color="auto"/>
        <w:left w:val="none" w:sz="0" w:space="0" w:color="auto"/>
        <w:bottom w:val="none" w:sz="0" w:space="0" w:color="auto"/>
        <w:right w:val="none" w:sz="0" w:space="0" w:color="auto"/>
      </w:divBdr>
    </w:div>
    <w:div w:id="206571378">
      <w:marLeft w:val="0"/>
      <w:marRight w:val="0"/>
      <w:marTop w:val="0"/>
      <w:marBottom w:val="0"/>
      <w:divBdr>
        <w:top w:val="none" w:sz="0" w:space="0" w:color="auto"/>
        <w:left w:val="none" w:sz="0" w:space="0" w:color="auto"/>
        <w:bottom w:val="none" w:sz="0" w:space="0" w:color="auto"/>
        <w:right w:val="none" w:sz="0" w:space="0" w:color="auto"/>
      </w:divBdr>
    </w:div>
    <w:div w:id="206571379">
      <w:marLeft w:val="0"/>
      <w:marRight w:val="0"/>
      <w:marTop w:val="0"/>
      <w:marBottom w:val="0"/>
      <w:divBdr>
        <w:top w:val="none" w:sz="0" w:space="0" w:color="auto"/>
        <w:left w:val="none" w:sz="0" w:space="0" w:color="auto"/>
        <w:bottom w:val="none" w:sz="0" w:space="0" w:color="auto"/>
        <w:right w:val="none" w:sz="0" w:space="0" w:color="auto"/>
      </w:divBdr>
    </w:div>
    <w:div w:id="206571380">
      <w:marLeft w:val="0"/>
      <w:marRight w:val="0"/>
      <w:marTop w:val="0"/>
      <w:marBottom w:val="0"/>
      <w:divBdr>
        <w:top w:val="none" w:sz="0" w:space="0" w:color="auto"/>
        <w:left w:val="none" w:sz="0" w:space="0" w:color="auto"/>
        <w:bottom w:val="none" w:sz="0" w:space="0" w:color="auto"/>
        <w:right w:val="none" w:sz="0" w:space="0" w:color="auto"/>
      </w:divBdr>
    </w:div>
    <w:div w:id="206571381">
      <w:marLeft w:val="0"/>
      <w:marRight w:val="0"/>
      <w:marTop w:val="0"/>
      <w:marBottom w:val="0"/>
      <w:divBdr>
        <w:top w:val="none" w:sz="0" w:space="0" w:color="auto"/>
        <w:left w:val="none" w:sz="0" w:space="0" w:color="auto"/>
        <w:bottom w:val="none" w:sz="0" w:space="0" w:color="auto"/>
        <w:right w:val="none" w:sz="0" w:space="0" w:color="auto"/>
      </w:divBdr>
    </w:div>
    <w:div w:id="206571382">
      <w:marLeft w:val="0"/>
      <w:marRight w:val="0"/>
      <w:marTop w:val="0"/>
      <w:marBottom w:val="0"/>
      <w:divBdr>
        <w:top w:val="none" w:sz="0" w:space="0" w:color="auto"/>
        <w:left w:val="none" w:sz="0" w:space="0" w:color="auto"/>
        <w:bottom w:val="none" w:sz="0" w:space="0" w:color="auto"/>
        <w:right w:val="none" w:sz="0" w:space="0" w:color="auto"/>
      </w:divBdr>
    </w:div>
    <w:div w:id="206571383">
      <w:marLeft w:val="0"/>
      <w:marRight w:val="0"/>
      <w:marTop w:val="0"/>
      <w:marBottom w:val="0"/>
      <w:divBdr>
        <w:top w:val="none" w:sz="0" w:space="0" w:color="auto"/>
        <w:left w:val="none" w:sz="0" w:space="0" w:color="auto"/>
        <w:bottom w:val="none" w:sz="0" w:space="0" w:color="auto"/>
        <w:right w:val="none" w:sz="0" w:space="0" w:color="auto"/>
      </w:divBdr>
    </w:div>
    <w:div w:id="206571384">
      <w:marLeft w:val="0"/>
      <w:marRight w:val="0"/>
      <w:marTop w:val="0"/>
      <w:marBottom w:val="0"/>
      <w:divBdr>
        <w:top w:val="none" w:sz="0" w:space="0" w:color="auto"/>
        <w:left w:val="none" w:sz="0" w:space="0" w:color="auto"/>
        <w:bottom w:val="none" w:sz="0" w:space="0" w:color="auto"/>
        <w:right w:val="none" w:sz="0" w:space="0" w:color="auto"/>
      </w:divBdr>
    </w:div>
    <w:div w:id="206571385">
      <w:marLeft w:val="0"/>
      <w:marRight w:val="0"/>
      <w:marTop w:val="0"/>
      <w:marBottom w:val="0"/>
      <w:divBdr>
        <w:top w:val="none" w:sz="0" w:space="0" w:color="auto"/>
        <w:left w:val="none" w:sz="0" w:space="0" w:color="auto"/>
        <w:bottom w:val="none" w:sz="0" w:space="0" w:color="auto"/>
        <w:right w:val="none" w:sz="0" w:space="0" w:color="auto"/>
      </w:divBdr>
    </w:div>
    <w:div w:id="206571386">
      <w:marLeft w:val="0"/>
      <w:marRight w:val="0"/>
      <w:marTop w:val="0"/>
      <w:marBottom w:val="0"/>
      <w:divBdr>
        <w:top w:val="none" w:sz="0" w:space="0" w:color="auto"/>
        <w:left w:val="none" w:sz="0" w:space="0" w:color="auto"/>
        <w:bottom w:val="none" w:sz="0" w:space="0" w:color="auto"/>
        <w:right w:val="none" w:sz="0" w:space="0" w:color="auto"/>
      </w:divBdr>
    </w:div>
    <w:div w:id="206571387">
      <w:marLeft w:val="0"/>
      <w:marRight w:val="0"/>
      <w:marTop w:val="0"/>
      <w:marBottom w:val="0"/>
      <w:divBdr>
        <w:top w:val="none" w:sz="0" w:space="0" w:color="auto"/>
        <w:left w:val="none" w:sz="0" w:space="0" w:color="auto"/>
        <w:bottom w:val="none" w:sz="0" w:space="0" w:color="auto"/>
        <w:right w:val="none" w:sz="0" w:space="0" w:color="auto"/>
      </w:divBdr>
    </w:div>
    <w:div w:id="206571388">
      <w:marLeft w:val="0"/>
      <w:marRight w:val="0"/>
      <w:marTop w:val="0"/>
      <w:marBottom w:val="0"/>
      <w:divBdr>
        <w:top w:val="none" w:sz="0" w:space="0" w:color="auto"/>
        <w:left w:val="none" w:sz="0" w:space="0" w:color="auto"/>
        <w:bottom w:val="none" w:sz="0" w:space="0" w:color="auto"/>
        <w:right w:val="none" w:sz="0" w:space="0" w:color="auto"/>
      </w:divBdr>
    </w:div>
    <w:div w:id="206571389">
      <w:marLeft w:val="0"/>
      <w:marRight w:val="0"/>
      <w:marTop w:val="0"/>
      <w:marBottom w:val="0"/>
      <w:divBdr>
        <w:top w:val="none" w:sz="0" w:space="0" w:color="auto"/>
        <w:left w:val="none" w:sz="0" w:space="0" w:color="auto"/>
        <w:bottom w:val="none" w:sz="0" w:space="0" w:color="auto"/>
        <w:right w:val="none" w:sz="0" w:space="0" w:color="auto"/>
      </w:divBdr>
    </w:div>
    <w:div w:id="206571390">
      <w:marLeft w:val="0"/>
      <w:marRight w:val="0"/>
      <w:marTop w:val="0"/>
      <w:marBottom w:val="0"/>
      <w:divBdr>
        <w:top w:val="none" w:sz="0" w:space="0" w:color="auto"/>
        <w:left w:val="none" w:sz="0" w:space="0" w:color="auto"/>
        <w:bottom w:val="none" w:sz="0" w:space="0" w:color="auto"/>
        <w:right w:val="none" w:sz="0" w:space="0" w:color="auto"/>
      </w:divBdr>
    </w:div>
    <w:div w:id="206571391">
      <w:marLeft w:val="0"/>
      <w:marRight w:val="0"/>
      <w:marTop w:val="0"/>
      <w:marBottom w:val="0"/>
      <w:divBdr>
        <w:top w:val="none" w:sz="0" w:space="0" w:color="auto"/>
        <w:left w:val="none" w:sz="0" w:space="0" w:color="auto"/>
        <w:bottom w:val="none" w:sz="0" w:space="0" w:color="auto"/>
        <w:right w:val="none" w:sz="0" w:space="0" w:color="auto"/>
      </w:divBdr>
    </w:div>
    <w:div w:id="206571392">
      <w:marLeft w:val="0"/>
      <w:marRight w:val="0"/>
      <w:marTop w:val="0"/>
      <w:marBottom w:val="0"/>
      <w:divBdr>
        <w:top w:val="none" w:sz="0" w:space="0" w:color="auto"/>
        <w:left w:val="none" w:sz="0" w:space="0" w:color="auto"/>
        <w:bottom w:val="none" w:sz="0" w:space="0" w:color="auto"/>
        <w:right w:val="none" w:sz="0" w:space="0" w:color="auto"/>
      </w:divBdr>
    </w:div>
    <w:div w:id="206571393">
      <w:marLeft w:val="0"/>
      <w:marRight w:val="0"/>
      <w:marTop w:val="0"/>
      <w:marBottom w:val="0"/>
      <w:divBdr>
        <w:top w:val="none" w:sz="0" w:space="0" w:color="auto"/>
        <w:left w:val="none" w:sz="0" w:space="0" w:color="auto"/>
        <w:bottom w:val="none" w:sz="0" w:space="0" w:color="auto"/>
        <w:right w:val="none" w:sz="0" w:space="0" w:color="auto"/>
      </w:divBdr>
    </w:div>
    <w:div w:id="206571394">
      <w:marLeft w:val="0"/>
      <w:marRight w:val="0"/>
      <w:marTop w:val="0"/>
      <w:marBottom w:val="0"/>
      <w:divBdr>
        <w:top w:val="none" w:sz="0" w:space="0" w:color="auto"/>
        <w:left w:val="none" w:sz="0" w:space="0" w:color="auto"/>
        <w:bottom w:val="none" w:sz="0" w:space="0" w:color="auto"/>
        <w:right w:val="none" w:sz="0" w:space="0" w:color="auto"/>
      </w:divBdr>
    </w:div>
    <w:div w:id="206571395">
      <w:marLeft w:val="0"/>
      <w:marRight w:val="0"/>
      <w:marTop w:val="0"/>
      <w:marBottom w:val="0"/>
      <w:divBdr>
        <w:top w:val="none" w:sz="0" w:space="0" w:color="auto"/>
        <w:left w:val="none" w:sz="0" w:space="0" w:color="auto"/>
        <w:bottom w:val="none" w:sz="0" w:space="0" w:color="auto"/>
        <w:right w:val="none" w:sz="0" w:space="0" w:color="auto"/>
      </w:divBdr>
    </w:div>
    <w:div w:id="206571396">
      <w:marLeft w:val="0"/>
      <w:marRight w:val="0"/>
      <w:marTop w:val="0"/>
      <w:marBottom w:val="0"/>
      <w:divBdr>
        <w:top w:val="none" w:sz="0" w:space="0" w:color="auto"/>
        <w:left w:val="none" w:sz="0" w:space="0" w:color="auto"/>
        <w:bottom w:val="none" w:sz="0" w:space="0" w:color="auto"/>
        <w:right w:val="none" w:sz="0" w:space="0" w:color="auto"/>
      </w:divBdr>
    </w:div>
    <w:div w:id="206571397">
      <w:marLeft w:val="0"/>
      <w:marRight w:val="0"/>
      <w:marTop w:val="0"/>
      <w:marBottom w:val="0"/>
      <w:divBdr>
        <w:top w:val="none" w:sz="0" w:space="0" w:color="auto"/>
        <w:left w:val="none" w:sz="0" w:space="0" w:color="auto"/>
        <w:bottom w:val="none" w:sz="0" w:space="0" w:color="auto"/>
        <w:right w:val="none" w:sz="0" w:space="0" w:color="auto"/>
      </w:divBdr>
    </w:div>
    <w:div w:id="206571398">
      <w:marLeft w:val="0"/>
      <w:marRight w:val="0"/>
      <w:marTop w:val="0"/>
      <w:marBottom w:val="0"/>
      <w:divBdr>
        <w:top w:val="none" w:sz="0" w:space="0" w:color="auto"/>
        <w:left w:val="none" w:sz="0" w:space="0" w:color="auto"/>
        <w:bottom w:val="none" w:sz="0" w:space="0" w:color="auto"/>
        <w:right w:val="none" w:sz="0" w:space="0" w:color="auto"/>
      </w:divBdr>
    </w:div>
    <w:div w:id="206571399">
      <w:marLeft w:val="0"/>
      <w:marRight w:val="0"/>
      <w:marTop w:val="0"/>
      <w:marBottom w:val="0"/>
      <w:divBdr>
        <w:top w:val="none" w:sz="0" w:space="0" w:color="auto"/>
        <w:left w:val="none" w:sz="0" w:space="0" w:color="auto"/>
        <w:bottom w:val="none" w:sz="0" w:space="0" w:color="auto"/>
        <w:right w:val="none" w:sz="0" w:space="0" w:color="auto"/>
      </w:divBdr>
    </w:div>
    <w:div w:id="206571400">
      <w:marLeft w:val="0"/>
      <w:marRight w:val="0"/>
      <w:marTop w:val="0"/>
      <w:marBottom w:val="0"/>
      <w:divBdr>
        <w:top w:val="none" w:sz="0" w:space="0" w:color="auto"/>
        <w:left w:val="none" w:sz="0" w:space="0" w:color="auto"/>
        <w:bottom w:val="none" w:sz="0" w:space="0" w:color="auto"/>
        <w:right w:val="none" w:sz="0" w:space="0" w:color="auto"/>
      </w:divBdr>
    </w:div>
    <w:div w:id="206571401">
      <w:marLeft w:val="0"/>
      <w:marRight w:val="0"/>
      <w:marTop w:val="0"/>
      <w:marBottom w:val="0"/>
      <w:divBdr>
        <w:top w:val="none" w:sz="0" w:space="0" w:color="auto"/>
        <w:left w:val="none" w:sz="0" w:space="0" w:color="auto"/>
        <w:bottom w:val="none" w:sz="0" w:space="0" w:color="auto"/>
        <w:right w:val="none" w:sz="0" w:space="0" w:color="auto"/>
      </w:divBdr>
    </w:div>
    <w:div w:id="206571402">
      <w:marLeft w:val="0"/>
      <w:marRight w:val="0"/>
      <w:marTop w:val="0"/>
      <w:marBottom w:val="0"/>
      <w:divBdr>
        <w:top w:val="none" w:sz="0" w:space="0" w:color="auto"/>
        <w:left w:val="none" w:sz="0" w:space="0" w:color="auto"/>
        <w:bottom w:val="none" w:sz="0" w:space="0" w:color="auto"/>
        <w:right w:val="none" w:sz="0" w:space="0" w:color="auto"/>
      </w:divBdr>
    </w:div>
    <w:div w:id="206571403">
      <w:marLeft w:val="0"/>
      <w:marRight w:val="0"/>
      <w:marTop w:val="0"/>
      <w:marBottom w:val="0"/>
      <w:divBdr>
        <w:top w:val="none" w:sz="0" w:space="0" w:color="auto"/>
        <w:left w:val="none" w:sz="0" w:space="0" w:color="auto"/>
        <w:bottom w:val="none" w:sz="0" w:space="0" w:color="auto"/>
        <w:right w:val="none" w:sz="0" w:space="0" w:color="auto"/>
      </w:divBdr>
    </w:div>
    <w:div w:id="206571404">
      <w:marLeft w:val="0"/>
      <w:marRight w:val="0"/>
      <w:marTop w:val="0"/>
      <w:marBottom w:val="0"/>
      <w:divBdr>
        <w:top w:val="none" w:sz="0" w:space="0" w:color="auto"/>
        <w:left w:val="none" w:sz="0" w:space="0" w:color="auto"/>
        <w:bottom w:val="none" w:sz="0" w:space="0" w:color="auto"/>
        <w:right w:val="none" w:sz="0" w:space="0" w:color="auto"/>
      </w:divBdr>
    </w:div>
    <w:div w:id="206571405">
      <w:marLeft w:val="0"/>
      <w:marRight w:val="0"/>
      <w:marTop w:val="0"/>
      <w:marBottom w:val="0"/>
      <w:divBdr>
        <w:top w:val="none" w:sz="0" w:space="0" w:color="auto"/>
        <w:left w:val="none" w:sz="0" w:space="0" w:color="auto"/>
        <w:bottom w:val="none" w:sz="0" w:space="0" w:color="auto"/>
        <w:right w:val="none" w:sz="0" w:space="0" w:color="auto"/>
      </w:divBdr>
    </w:div>
    <w:div w:id="206571406">
      <w:marLeft w:val="0"/>
      <w:marRight w:val="0"/>
      <w:marTop w:val="0"/>
      <w:marBottom w:val="0"/>
      <w:divBdr>
        <w:top w:val="none" w:sz="0" w:space="0" w:color="auto"/>
        <w:left w:val="none" w:sz="0" w:space="0" w:color="auto"/>
        <w:bottom w:val="none" w:sz="0" w:space="0" w:color="auto"/>
        <w:right w:val="none" w:sz="0" w:space="0" w:color="auto"/>
      </w:divBdr>
    </w:div>
    <w:div w:id="206571407">
      <w:marLeft w:val="0"/>
      <w:marRight w:val="0"/>
      <w:marTop w:val="0"/>
      <w:marBottom w:val="0"/>
      <w:divBdr>
        <w:top w:val="none" w:sz="0" w:space="0" w:color="auto"/>
        <w:left w:val="none" w:sz="0" w:space="0" w:color="auto"/>
        <w:bottom w:val="none" w:sz="0" w:space="0" w:color="auto"/>
        <w:right w:val="none" w:sz="0" w:space="0" w:color="auto"/>
      </w:divBdr>
    </w:div>
    <w:div w:id="206571408">
      <w:marLeft w:val="0"/>
      <w:marRight w:val="0"/>
      <w:marTop w:val="0"/>
      <w:marBottom w:val="0"/>
      <w:divBdr>
        <w:top w:val="none" w:sz="0" w:space="0" w:color="auto"/>
        <w:left w:val="none" w:sz="0" w:space="0" w:color="auto"/>
        <w:bottom w:val="none" w:sz="0" w:space="0" w:color="auto"/>
        <w:right w:val="none" w:sz="0" w:space="0" w:color="auto"/>
      </w:divBdr>
    </w:div>
    <w:div w:id="206571409">
      <w:marLeft w:val="0"/>
      <w:marRight w:val="0"/>
      <w:marTop w:val="0"/>
      <w:marBottom w:val="0"/>
      <w:divBdr>
        <w:top w:val="none" w:sz="0" w:space="0" w:color="auto"/>
        <w:left w:val="none" w:sz="0" w:space="0" w:color="auto"/>
        <w:bottom w:val="none" w:sz="0" w:space="0" w:color="auto"/>
        <w:right w:val="none" w:sz="0" w:space="0" w:color="auto"/>
      </w:divBdr>
    </w:div>
    <w:div w:id="206571410">
      <w:marLeft w:val="0"/>
      <w:marRight w:val="0"/>
      <w:marTop w:val="0"/>
      <w:marBottom w:val="0"/>
      <w:divBdr>
        <w:top w:val="none" w:sz="0" w:space="0" w:color="auto"/>
        <w:left w:val="none" w:sz="0" w:space="0" w:color="auto"/>
        <w:bottom w:val="none" w:sz="0" w:space="0" w:color="auto"/>
        <w:right w:val="none" w:sz="0" w:space="0" w:color="auto"/>
      </w:divBdr>
    </w:div>
    <w:div w:id="206571411">
      <w:marLeft w:val="0"/>
      <w:marRight w:val="0"/>
      <w:marTop w:val="0"/>
      <w:marBottom w:val="0"/>
      <w:divBdr>
        <w:top w:val="none" w:sz="0" w:space="0" w:color="auto"/>
        <w:left w:val="none" w:sz="0" w:space="0" w:color="auto"/>
        <w:bottom w:val="none" w:sz="0" w:space="0" w:color="auto"/>
        <w:right w:val="none" w:sz="0" w:space="0" w:color="auto"/>
      </w:divBdr>
    </w:div>
    <w:div w:id="206571412">
      <w:marLeft w:val="0"/>
      <w:marRight w:val="0"/>
      <w:marTop w:val="0"/>
      <w:marBottom w:val="0"/>
      <w:divBdr>
        <w:top w:val="none" w:sz="0" w:space="0" w:color="auto"/>
        <w:left w:val="none" w:sz="0" w:space="0" w:color="auto"/>
        <w:bottom w:val="none" w:sz="0" w:space="0" w:color="auto"/>
        <w:right w:val="none" w:sz="0" w:space="0" w:color="auto"/>
      </w:divBdr>
    </w:div>
    <w:div w:id="206571413">
      <w:marLeft w:val="0"/>
      <w:marRight w:val="0"/>
      <w:marTop w:val="0"/>
      <w:marBottom w:val="0"/>
      <w:divBdr>
        <w:top w:val="none" w:sz="0" w:space="0" w:color="auto"/>
        <w:left w:val="none" w:sz="0" w:space="0" w:color="auto"/>
        <w:bottom w:val="none" w:sz="0" w:space="0" w:color="auto"/>
        <w:right w:val="none" w:sz="0" w:space="0" w:color="auto"/>
      </w:divBdr>
    </w:div>
    <w:div w:id="206571414">
      <w:marLeft w:val="0"/>
      <w:marRight w:val="0"/>
      <w:marTop w:val="0"/>
      <w:marBottom w:val="0"/>
      <w:divBdr>
        <w:top w:val="none" w:sz="0" w:space="0" w:color="auto"/>
        <w:left w:val="none" w:sz="0" w:space="0" w:color="auto"/>
        <w:bottom w:val="none" w:sz="0" w:space="0" w:color="auto"/>
        <w:right w:val="none" w:sz="0" w:space="0" w:color="auto"/>
      </w:divBdr>
    </w:div>
    <w:div w:id="206571415">
      <w:marLeft w:val="0"/>
      <w:marRight w:val="0"/>
      <w:marTop w:val="0"/>
      <w:marBottom w:val="0"/>
      <w:divBdr>
        <w:top w:val="none" w:sz="0" w:space="0" w:color="auto"/>
        <w:left w:val="none" w:sz="0" w:space="0" w:color="auto"/>
        <w:bottom w:val="none" w:sz="0" w:space="0" w:color="auto"/>
        <w:right w:val="none" w:sz="0" w:space="0" w:color="auto"/>
      </w:divBdr>
    </w:div>
    <w:div w:id="2065714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cdrh/manual/510kprt1.html" TargetMode="External"/><Relationship Id="rId18" Type="http://schemas.openxmlformats.org/officeDocument/2006/relationships/hyperlink" Target="http://aspe.os.dhhs.gov/admnsim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www.fda.gov/cdrh/ode/calibrator.html" TargetMode="External"/><Relationship Id="rId7" Type="http://schemas.openxmlformats.org/officeDocument/2006/relationships/hyperlink" Target="mailto:maria.chan@fda.hhs.gov" TargetMode="External"/><Relationship Id="rId12" Type="http://schemas.openxmlformats.org/officeDocument/2006/relationships/hyperlink" Target="http://www.fda.gov/cdrh/modact/leastburdensome.html" TargetMode="External"/><Relationship Id="rId17" Type="http://schemas.openxmlformats.org/officeDocument/2006/relationships/hyperlink" Target="http://www.fda.gov/cdrh/ode/guidance/337.html&#122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da.gov/cdrh/ode/reqrecstand.html" TargetMode="External"/><Relationship Id="rId20" Type="http://schemas.openxmlformats.org/officeDocument/2006/relationships/hyperlink" Target="http://www.fda.gov/cdrh/ode/guidance/58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chan@fda.hh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da.gov/cdrh/ode/guidance/1131.html" TargetMode="External"/><Relationship Id="rId23" Type="http://schemas.openxmlformats.org/officeDocument/2006/relationships/footer" Target="footer1.xml"/><Relationship Id="rId10" Type="http://schemas.openxmlformats.org/officeDocument/2006/relationships/hyperlink" Target="http://www.fda.gov/cdrh/oivd/guidance/1570.pdf" TargetMode="External"/><Relationship Id="rId19" Type="http://schemas.openxmlformats.org/officeDocument/2006/relationships/hyperlink" Target="http://www.fda.gov/cdrh/comp/guidance/938.pdf." TargetMode="External"/><Relationship Id="rId4" Type="http://schemas.openxmlformats.org/officeDocument/2006/relationships/webSettings" Target="webSettings.xml"/><Relationship Id="rId9" Type="http://schemas.openxmlformats.org/officeDocument/2006/relationships/hyperlink" Target="http://www.fda.gov/dockets/ecomments" TargetMode="External"/><Relationship Id="rId14" Type="http://schemas.openxmlformats.org/officeDocument/2006/relationships/hyperlink" Target="http://www.fda.gov/cdrh/ode/parad510.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1657</Words>
  <Characters>9448</Characters>
  <Application>Microsoft Office Word</Application>
  <DocSecurity>0</DocSecurity>
  <Lines>78</Lines>
  <Paragraphs>22</Paragraphs>
  <ScaleCrop>false</ScaleCrop>
  <Company>xlmedtrans</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AFP_SCGD.DOC</dc:title>
  <dc:subject/>
  <dc:creator>xlmedtrans</dc:creator>
  <cp:keywords/>
  <dc:description/>
  <cp:lastModifiedBy>杏林A</cp:lastModifiedBy>
  <cp:revision>3</cp:revision>
  <dcterms:created xsi:type="dcterms:W3CDTF">2017-11-27T03:10:00Z</dcterms:created>
  <dcterms:modified xsi:type="dcterms:W3CDTF">2017-11-28T07:40:00Z</dcterms:modified>
</cp:coreProperties>
</file>