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FB4" w:rsidRPr="000B366D" w:rsidRDefault="00C626F8" w:rsidP="009632C4">
      <w:pPr>
        <w:pStyle w:val="1"/>
        <w:pBdr>
          <w:bottom w:val="single" w:sz="4" w:space="1" w:color="auto"/>
        </w:pBdr>
        <w:snapToGrid w:val="0"/>
        <w:spacing w:line="300" w:lineRule="auto"/>
        <w:ind w:left="0"/>
        <w:jc w:val="center"/>
        <w:rPr>
          <w:rFonts w:ascii="Arial" w:hAnsi="Arial" w:cs="Arial"/>
          <w:b w:val="0"/>
          <w:bCs w:val="0"/>
        </w:rPr>
      </w:pPr>
      <w:r w:rsidRPr="000B366D">
        <w:rPr>
          <w:rFonts w:ascii="Arial" w:hAnsi="Arial" w:cs="Arial"/>
        </w:rPr>
        <w:t>一次性使用</w:t>
      </w:r>
      <w:r w:rsidR="00BE5706" w:rsidRPr="000B366D">
        <w:rPr>
          <w:rFonts w:ascii="Arial" w:hAnsi="Arial" w:cs="Arial"/>
        </w:rPr>
        <w:t>眼内眼科器械的细菌内毒素检测建议</w:t>
      </w:r>
    </w:p>
    <w:p w:rsidR="003F2FB4" w:rsidRPr="000B366D" w:rsidRDefault="00BE5706" w:rsidP="009B72FB">
      <w:pPr>
        <w:snapToGrid w:val="0"/>
        <w:spacing w:line="300" w:lineRule="auto"/>
        <w:jc w:val="center"/>
        <w:rPr>
          <w:rFonts w:ascii="Arial" w:eastAsia="宋体" w:hAnsi="Arial" w:cs="Arial"/>
          <w:sz w:val="60"/>
          <w:szCs w:val="60"/>
        </w:rPr>
      </w:pPr>
      <w:r w:rsidRPr="000B366D">
        <w:rPr>
          <w:rFonts w:ascii="Arial" w:eastAsia="宋体" w:hAnsi="Arial" w:cs="Arial"/>
          <w:b/>
          <w:sz w:val="60"/>
        </w:rPr>
        <w:t>行业</w:t>
      </w:r>
      <w:r w:rsidR="007571E2" w:rsidRPr="000B366D">
        <w:rPr>
          <w:rFonts w:ascii="Arial" w:eastAsia="宋体" w:hAnsi="Arial" w:cs="Arial"/>
          <w:b/>
          <w:sz w:val="60"/>
        </w:rPr>
        <w:t>及</w:t>
      </w:r>
      <w:r w:rsidRPr="000B366D">
        <w:rPr>
          <w:rFonts w:ascii="Arial" w:eastAsia="宋体" w:hAnsi="Arial" w:cs="Arial"/>
          <w:b/>
          <w:sz w:val="60"/>
        </w:rPr>
        <w:t>食品药品监督管理局工作人员指南</w:t>
      </w:r>
    </w:p>
    <w:p w:rsidR="003F2FB4" w:rsidRPr="000B366D" w:rsidRDefault="00BE5706" w:rsidP="00CB10E4">
      <w:pPr>
        <w:pStyle w:val="4"/>
        <w:snapToGrid w:val="0"/>
        <w:spacing w:before="277" w:line="300" w:lineRule="auto"/>
        <w:ind w:left="0"/>
        <w:jc w:val="center"/>
        <w:rPr>
          <w:rFonts w:ascii="Arial" w:hAnsi="Arial" w:cs="Arial"/>
          <w:b w:val="0"/>
          <w:bCs w:val="0"/>
        </w:rPr>
      </w:pPr>
      <w:r w:rsidRPr="000B366D">
        <w:rPr>
          <w:rFonts w:ascii="Arial" w:hAnsi="Arial" w:cs="Arial"/>
        </w:rPr>
        <w:t>文档于</w:t>
      </w:r>
      <w:r w:rsidRPr="000B366D">
        <w:rPr>
          <w:rFonts w:ascii="Arial" w:hAnsi="Arial" w:cs="Arial"/>
        </w:rPr>
        <w:t>2015</w:t>
      </w:r>
      <w:r w:rsidRPr="000B366D">
        <w:rPr>
          <w:rFonts w:ascii="Arial" w:hAnsi="Arial" w:cs="Arial"/>
        </w:rPr>
        <w:t>年</w:t>
      </w:r>
      <w:r w:rsidRPr="000B366D">
        <w:rPr>
          <w:rFonts w:ascii="Arial" w:hAnsi="Arial" w:cs="Arial"/>
        </w:rPr>
        <w:t>8</w:t>
      </w:r>
      <w:r w:rsidRPr="000B366D">
        <w:rPr>
          <w:rFonts w:ascii="Arial" w:hAnsi="Arial" w:cs="Arial"/>
        </w:rPr>
        <w:t>月</w:t>
      </w:r>
      <w:r w:rsidRPr="000B366D">
        <w:rPr>
          <w:rFonts w:ascii="Arial" w:hAnsi="Arial" w:cs="Arial"/>
        </w:rPr>
        <w:t>17</w:t>
      </w:r>
      <w:r w:rsidRPr="000B366D">
        <w:rPr>
          <w:rFonts w:ascii="Arial" w:hAnsi="Arial" w:cs="Arial"/>
        </w:rPr>
        <w:t>日发布。</w:t>
      </w:r>
    </w:p>
    <w:p w:rsidR="003F2FB4" w:rsidRPr="000B366D" w:rsidRDefault="003F2FB4" w:rsidP="00CB10E4">
      <w:pPr>
        <w:snapToGrid w:val="0"/>
        <w:spacing w:line="300" w:lineRule="auto"/>
        <w:jc w:val="center"/>
        <w:rPr>
          <w:rFonts w:ascii="Arial" w:eastAsia="宋体" w:hAnsi="Arial" w:cs="Arial"/>
          <w:b/>
          <w:bCs/>
          <w:sz w:val="28"/>
          <w:szCs w:val="28"/>
        </w:rPr>
      </w:pPr>
    </w:p>
    <w:p w:rsidR="003F2FB4" w:rsidRPr="000B366D" w:rsidRDefault="00BE5706" w:rsidP="00CB10E4">
      <w:pPr>
        <w:snapToGrid w:val="0"/>
        <w:spacing w:line="300" w:lineRule="auto"/>
        <w:jc w:val="center"/>
        <w:rPr>
          <w:rFonts w:ascii="Arial" w:eastAsia="宋体" w:hAnsi="Arial" w:cs="Arial"/>
          <w:sz w:val="28"/>
          <w:szCs w:val="28"/>
        </w:rPr>
      </w:pPr>
      <w:r w:rsidRPr="000B366D">
        <w:rPr>
          <w:rFonts w:ascii="Arial" w:eastAsia="宋体" w:hAnsi="Arial" w:cs="Arial"/>
          <w:b/>
          <w:sz w:val="28"/>
        </w:rPr>
        <w:t>本文档草案于</w:t>
      </w:r>
      <w:r w:rsidRPr="000B366D">
        <w:rPr>
          <w:rFonts w:ascii="Arial" w:eastAsia="宋体" w:hAnsi="Arial" w:cs="Arial"/>
          <w:b/>
          <w:sz w:val="28"/>
        </w:rPr>
        <w:t>2014</w:t>
      </w:r>
      <w:r w:rsidRPr="000B366D">
        <w:rPr>
          <w:rFonts w:ascii="Arial" w:eastAsia="宋体" w:hAnsi="Arial" w:cs="Arial"/>
          <w:b/>
          <w:sz w:val="28"/>
        </w:rPr>
        <w:t>年</w:t>
      </w:r>
      <w:r w:rsidRPr="000B366D">
        <w:rPr>
          <w:rFonts w:ascii="Arial" w:eastAsia="宋体" w:hAnsi="Arial" w:cs="Arial"/>
          <w:b/>
          <w:sz w:val="28"/>
        </w:rPr>
        <w:t>4</w:t>
      </w:r>
      <w:r w:rsidRPr="000B366D">
        <w:rPr>
          <w:rFonts w:ascii="Arial" w:eastAsia="宋体" w:hAnsi="Arial" w:cs="Arial"/>
          <w:b/>
          <w:sz w:val="28"/>
        </w:rPr>
        <w:t>月</w:t>
      </w:r>
      <w:r w:rsidRPr="000B366D">
        <w:rPr>
          <w:rFonts w:ascii="Arial" w:eastAsia="宋体" w:hAnsi="Arial" w:cs="Arial"/>
          <w:b/>
          <w:sz w:val="28"/>
        </w:rPr>
        <w:t>17</w:t>
      </w:r>
      <w:r w:rsidRPr="000B366D">
        <w:rPr>
          <w:rFonts w:ascii="Arial" w:eastAsia="宋体" w:hAnsi="Arial" w:cs="Arial"/>
          <w:b/>
          <w:sz w:val="28"/>
        </w:rPr>
        <w:t>日发布。</w:t>
      </w:r>
    </w:p>
    <w:p w:rsidR="003F2FB4" w:rsidRPr="000B366D" w:rsidRDefault="003F2FB4" w:rsidP="009B72FB">
      <w:pPr>
        <w:snapToGrid w:val="0"/>
        <w:spacing w:before="8" w:line="300" w:lineRule="auto"/>
        <w:rPr>
          <w:rFonts w:ascii="Arial" w:eastAsia="宋体" w:hAnsi="Arial" w:cs="Arial"/>
          <w:b/>
          <w:bCs/>
          <w:sz w:val="23"/>
          <w:szCs w:val="23"/>
        </w:rPr>
      </w:pPr>
    </w:p>
    <w:p w:rsidR="003F2FB4" w:rsidRPr="000B366D" w:rsidRDefault="00BE5706" w:rsidP="00583B77">
      <w:pPr>
        <w:pStyle w:val="a3"/>
        <w:snapToGrid w:val="0"/>
        <w:spacing w:line="300" w:lineRule="auto"/>
        <w:ind w:left="0" w:firstLine="0"/>
        <w:jc w:val="both"/>
        <w:rPr>
          <w:rFonts w:ascii="Arial" w:hAnsi="Arial" w:cs="Arial"/>
        </w:rPr>
      </w:pPr>
      <w:r w:rsidRPr="000B366D">
        <w:rPr>
          <w:rFonts w:ascii="Arial" w:hAnsi="Arial" w:cs="Arial"/>
        </w:rPr>
        <w:t>针对本文档的问题，请致电联系眼科和耳鼻喉器械处（</w:t>
      </w:r>
      <w:r w:rsidRPr="000B366D">
        <w:rPr>
          <w:rFonts w:ascii="Arial" w:hAnsi="Arial" w:cs="Arial"/>
        </w:rPr>
        <w:t>DOED</w:t>
      </w:r>
      <w:r w:rsidRPr="000B366D">
        <w:rPr>
          <w:rFonts w:ascii="Arial" w:hAnsi="Arial" w:cs="Arial"/>
        </w:rPr>
        <w:t>），电话：</w:t>
      </w:r>
      <w:r w:rsidRPr="000B366D">
        <w:rPr>
          <w:rFonts w:ascii="Arial" w:hAnsi="Arial" w:cs="Arial"/>
        </w:rPr>
        <w:t>301-796-5620</w:t>
      </w:r>
      <w:r w:rsidRPr="000B366D">
        <w:rPr>
          <w:rFonts w:ascii="Arial" w:hAnsi="Arial" w:cs="Arial"/>
        </w:rPr>
        <w:t>。</w:t>
      </w:r>
    </w:p>
    <w:p w:rsidR="003F2FB4" w:rsidRPr="000B366D" w:rsidRDefault="003F2FB4" w:rsidP="009B72FB">
      <w:pPr>
        <w:snapToGrid w:val="0"/>
        <w:spacing w:line="300" w:lineRule="auto"/>
        <w:rPr>
          <w:rFonts w:ascii="Arial" w:eastAsia="宋体" w:hAnsi="Arial" w:cs="Arial"/>
          <w:sz w:val="24"/>
          <w:szCs w:val="24"/>
        </w:rPr>
      </w:pPr>
    </w:p>
    <w:p w:rsidR="003F2FB4" w:rsidRPr="000B366D" w:rsidRDefault="003F2FB4" w:rsidP="009B72FB">
      <w:pPr>
        <w:snapToGrid w:val="0"/>
        <w:spacing w:line="300" w:lineRule="auto"/>
        <w:rPr>
          <w:rFonts w:ascii="Arial" w:eastAsia="宋体" w:hAnsi="Arial" w:cs="Arial"/>
          <w:sz w:val="24"/>
          <w:szCs w:val="24"/>
        </w:rPr>
      </w:pPr>
    </w:p>
    <w:p w:rsidR="003F2FB4" w:rsidRPr="000B366D" w:rsidRDefault="003F2FB4" w:rsidP="009B72FB">
      <w:pPr>
        <w:snapToGrid w:val="0"/>
        <w:spacing w:line="300" w:lineRule="auto"/>
        <w:rPr>
          <w:rFonts w:ascii="Arial" w:eastAsia="宋体" w:hAnsi="Arial" w:cs="Arial"/>
          <w:sz w:val="24"/>
          <w:szCs w:val="24"/>
        </w:rPr>
      </w:pPr>
    </w:p>
    <w:p w:rsidR="00583B77" w:rsidRPr="000B366D" w:rsidRDefault="00583B77" w:rsidP="009B72FB">
      <w:pPr>
        <w:snapToGrid w:val="0"/>
        <w:spacing w:line="300" w:lineRule="auto"/>
        <w:rPr>
          <w:rFonts w:ascii="Arial" w:eastAsia="宋体" w:hAnsi="Arial" w:cs="Arial"/>
          <w:sz w:val="24"/>
          <w:szCs w:val="24"/>
        </w:rPr>
      </w:pPr>
    </w:p>
    <w:p w:rsidR="00583B77" w:rsidRPr="000B366D" w:rsidRDefault="00583B77" w:rsidP="009B72FB">
      <w:pPr>
        <w:snapToGrid w:val="0"/>
        <w:spacing w:line="300" w:lineRule="auto"/>
        <w:rPr>
          <w:rFonts w:ascii="Arial" w:eastAsia="宋体" w:hAnsi="Arial" w:cs="Arial"/>
          <w:sz w:val="24"/>
          <w:szCs w:val="24"/>
        </w:rPr>
      </w:pPr>
    </w:p>
    <w:p w:rsidR="00583B77" w:rsidRPr="000B366D" w:rsidRDefault="00583B77" w:rsidP="009B72FB">
      <w:pPr>
        <w:snapToGrid w:val="0"/>
        <w:spacing w:line="300" w:lineRule="auto"/>
        <w:rPr>
          <w:rFonts w:ascii="Arial" w:eastAsia="宋体" w:hAnsi="Arial" w:cs="Arial"/>
          <w:sz w:val="24"/>
          <w:szCs w:val="24"/>
        </w:rPr>
      </w:pPr>
    </w:p>
    <w:p w:rsidR="00583B77" w:rsidRPr="000B366D" w:rsidRDefault="00583B77" w:rsidP="009B72FB">
      <w:pPr>
        <w:snapToGrid w:val="0"/>
        <w:spacing w:line="300" w:lineRule="auto"/>
        <w:rPr>
          <w:rFonts w:ascii="Arial" w:eastAsia="宋体" w:hAnsi="Arial" w:cs="Arial"/>
          <w:sz w:val="24"/>
          <w:szCs w:val="24"/>
        </w:rPr>
      </w:pPr>
    </w:p>
    <w:p w:rsidR="003F2FB4" w:rsidRPr="000B366D" w:rsidRDefault="007571E2" w:rsidP="009B72FB">
      <w:pPr>
        <w:pStyle w:val="5"/>
        <w:snapToGrid w:val="0"/>
        <w:spacing w:before="186" w:line="300" w:lineRule="auto"/>
        <w:ind w:firstLine="0"/>
        <w:jc w:val="right"/>
        <w:rPr>
          <w:rFonts w:ascii="Arial" w:hAnsi="Arial" w:cs="Arial"/>
          <w:b w:val="0"/>
          <w:bCs w:val="0"/>
        </w:rPr>
      </w:pPr>
      <w:r w:rsidRPr="000B366D">
        <w:rPr>
          <w:rFonts w:ascii="Arial" w:hAnsi="Arial" w:cs="Arial"/>
        </w:rPr>
        <w:t>美国卫生和人类服务署</w:t>
      </w:r>
    </w:p>
    <w:p w:rsidR="003F2FB4" w:rsidRPr="000B366D" w:rsidRDefault="00417617" w:rsidP="009B72FB">
      <w:pPr>
        <w:snapToGrid w:val="0"/>
        <w:spacing w:line="300" w:lineRule="auto"/>
        <w:ind w:firstLine="1251"/>
        <w:jc w:val="right"/>
        <w:rPr>
          <w:rFonts w:ascii="Arial" w:eastAsia="宋体" w:hAnsi="Arial" w:cs="Arial"/>
          <w:sz w:val="24"/>
          <w:szCs w:val="24"/>
        </w:rPr>
      </w:pPr>
      <w:r w:rsidRPr="000B366D">
        <w:rPr>
          <w:rFonts w:ascii="Arial" w:hAnsi="Arial" w:cs="Arial"/>
          <w:b/>
          <w:bCs/>
          <w:noProof/>
        </w:rPr>
        <w:drawing>
          <wp:anchor distT="0" distB="0" distL="114300" distR="114300" simplePos="0" relativeHeight="1048" behindDoc="0" locked="0" layoutInCell="1" allowOverlap="1" wp14:anchorId="367441D5" wp14:editId="250E50FD">
            <wp:simplePos x="0" y="0"/>
            <wp:positionH relativeFrom="page">
              <wp:posOffset>1128395</wp:posOffset>
            </wp:positionH>
            <wp:positionV relativeFrom="paragraph">
              <wp:posOffset>71120</wp:posOffset>
            </wp:positionV>
            <wp:extent cx="914400" cy="952500"/>
            <wp:effectExtent l="0" t="0" r="0" b="0"/>
            <wp:wrapNone/>
            <wp:docPr id="9" name="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BE5706" w:rsidRPr="000B366D">
        <w:rPr>
          <w:rFonts w:ascii="Arial" w:eastAsia="宋体" w:hAnsi="Arial" w:cs="Arial"/>
          <w:b/>
          <w:sz w:val="24"/>
        </w:rPr>
        <w:t>食品药品监督管理局</w:t>
      </w:r>
      <w:r w:rsidR="00BE5706" w:rsidRPr="000B366D">
        <w:rPr>
          <w:rFonts w:ascii="Arial" w:eastAsia="宋体" w:hAnsi="Arial" w:cs="Arial"/>
          <w:b/>
          <w:sz w:val="24"/>
        </w:rPr>
        <w:br/>
      </w:r>
      <w:r w:rsidR="007571E2" w:rsidRPr="000B366D">
        <w:rPr>
          <w:rFonts w:ascii="Arial" w:eastAsia="宋体" w:hAnsi="Arial" w:cs="Arial"/>
          <w:b/>
          <w:sz w:val="24"/>
        </w:rPr>
        <w:t>器械与放射卫生中心</w:t>
      </w:r>
    </w:p>
    <w:p w:rsidR="003F2FB4" w:rsidRPr="000B366D" w:rsidRDefault="00BE5706" w:rsidP="009B72FB">
      <w:pPr>
        <w:snapToGrid w:val="0"/>
        <w:spacing w:line="300" w:lineRule="auto"/>
        <w:ind w:firstLine="3208"/>
        <w:jc w:val="right"/>
        <w:rPr>
          <w:rFonts w:ascii="Arial" w:eastAsia="宋体" w:hAnsi="Arial" w:cs="Arial"/>
          <w:sz w:val="24"/>
          <w:szCs w:val="24"/>
        </w:rPr>
      </w:pPr>
      <w:r w:rsidRPr="000B366D">
        <w:rPr>
          <w:rFonts w:ascii="Arial" w:eastAsia="宋体" w:hAnsi="Arial" w:cs="Arial"/>
          <w:b/>
          <w:sz w:val="24"/>
        </w:rPr>
        <w:t>器械评价办公室</w:t>
      </w:r>
      <w:r w:rsidRPr="000B366D">
        <w:rPr>
          <w:rFonts w:ascii="Arial" w:eastAsia="宋体" w:hAnsi="Arial" w:cs="Arial"/>
          <w:b/>
          <w:sz w:val="24"/>
        </w:rPr>
        <w:br/>
      </w:r>
      <w:r w:rsidRPr="000B366D">
        <w:rPr>
          <w:rFonts w:ascii="Arial" w:eastAsia="宋体" w:hAnsi="Arial" w:cs="Arial"/>
          <w:b/>
          <w:sz w:val="24"/>
        </w:rPr>
        <w:t>眼科和耳鼻喉器械处</w:t>
      </w:r>
      <w:r w:rsidRPr="000B366D">
        <w:rPr>
          <w:rFonts w:ascii="Arial" w:eastAsia="宋体" w:hAnsi="Arial" w:cs="Arial"/>
          <w:b/>
          <w:sz w:val="24"/>
        </w:rPr>
        <w:br/>
      </w:r>
      <w:r w:rsidRPr="000B366D">
        <w:rPr>
          <w:rFonts w:ascii="Arial" w:eastAsia="宋体" w:hAnsi="Arial" w:cs="Arial"/>
          <w:b/>
          <w:sz w:val="24"/>
        </w:rPr>
        <w:t>眼内和角膜器械科</w:t>
      </w:r>
    </w:p>
    <w:p w:rsidR="003F2FB4" w:rsidRPr="000B366D" w:rsidRDefault="00BE5706" w:rsidP="009B72FB">
      <w:pPr>
        <w:snapToGrid w:val="0"/>
        <w:spacing w:line="300" w:lineRule="auto"/>
        <w:ind w:hanging="180"/>
        <w:jc w:val="right"/>
        <w:rPr>
          <w:rFonts w:ascii="Arial" w:eastAsia="宋体" w:hAnsi="Arial" w:cs="Arial"/>
          <w:sz w:val="24"/>
          <w:szCs w:val="24"/>
        </w:rPr>
      </w:pPr>
      <w:r w:rsidRPr="000B366D">
        <w:rPr>
          <w:rFonts w:ascii="Arial" w:eastAsia="宋体" w:hAnsi="Arial" w:cs="Arial"/>
          <w:b/>
          <w:sz w:val="24"/>
        </w:rPr>
        <w:t>隐形眼镜与视网膜器械科</w:t>
      </w:r>
      <w:r w:rsidRPr="000B366D">
        <w:rPr>
          <w:rFonts w:ascii="Arial" w:eastAsia="宋体" w:hAnsi="Arial" w:cs="Arial"/>
          <w:b/>
          <w:sz w:val="24"/>
        </w:rPr>
        <w:br/>
      </w:r>
      <w:r w:rsidRPr="000B366D">
        <w:rPr>
          <w:rFonts w:ascii="Arial" w:eastAsia="宋体" w:hAnsi="Arial" w:cs="Arial"/>
          <w:b/>
          <w:sz w:val="24"/>
        </w:rPr>
        <w:t>诊断和手术器械科</w:t>
      </w:r>
    </w:p>
    <w:p w:rsidR="003F2FB4" w:rsidRPr="000B366D" w:rsidRDefault="006F7F8D" w:rsidP="009B72FB">
      <w:pPr>
        <w:snapToGrid w:val="0"/>
        <w:spacing w:line="300" w:lineRule="auto"/>
        <w:rPr>
          <w:rFonts w:ascii="Arial" w:eastAsia="宋体" w:hAnsi="Arial" w:cs="Arial"/>
          <w:b/>
          <w:bCs/>
          <w:sz w:val="20"/>
          <w:szCs w:val="20"/>
        </w:rPr>
      </w:pPr>
      <w:r w:rsidRPr="000B366D">
        <w:rPr>
          <w:rFonts w:ascii="Arial" w:eastAsia="宋体" w:hAnsi="Arial" w:cs="Arial"/>
          <w:sz w:val="24"/>
          <w:szCs w:val="24"/>
        </w:rPr>
        <w:br w:type="page"/>
      </w:r>
    </w:p>
    <w:p w:rsidR="002B6CFD" w:rsidRPr="000B366D" w:rsidRDefault="002B6CFD" w:rsidP="002B6CFD">
      <w:pPr>
        <w:snapToGrid w:val="0"/>
        <w:spacing w:before="38" w:line="300" w:lineRule="auto"/>
        <w:jc w:val="center"/>
        <w:rPr>
          <w:rFonts w:ascii="Arial" w:eastAsia="宋体" w:hAnsi="Arial" w:cs="Arial"/>
          <w:sz w:val="48"/>
          <w:szCs w:val="48"/>
        </w:rPr>
      </w:pPr>
      <w:r w:rsidRPr="000B366D">
        <w:rPr>
          <w:rFonts w:ascii="Arial" w:eastAsia="宋体" w:hAnsi="Arial" w:cs="Arial"/>
          <w:b/>
          <w:sz w:val="48"/>
        </w:rPr>
        <w:lastRenderedPageBreak/>
        <w:t>前言</w:t>
      </w:r>
    </w:p>
    <w:p w:rsidR="003F2FB4" w:rsidRPr="000B366D" w:rsidRDefault="007571E2" w:rsidP="009B72FB">
      <w:pPr>
        <w:snapToGrid w:val="0"/>
        <w:spacing w:line="300" w:lineRule="auto"/>
        <w:rPr>
          <w:rFonts w:ascii="Arial" w:eastAsia="宋体" w:hAnsi="Arial" w:cs="Arial"/>
          <w:sz w:val="36"/>
          <w:szCs w:val="36"/>
        </w:rPr>
      </w:pPr>
      <w:r w:rsidRPr="000B366D">
        <w:rPr>
          <w:rFonts w:ascii="Arial" w:eastAsia="宋体" w:hAnsi="Arial" w:cs="Arial"/>
          <w:b/>
          <w:sz w:val="36"/>
        </w:rPr>
        <w:t>公共</w:t>
      </w:r>
      <w:r w:rsidR="00BE5706" w:rsidRPr="000B366D">
        <w:rPr>
          <w:rFonts w:ascii="Arial" w:eastAsia="宋体" w:hAnsi="Arial" w:cs="Arial"/>
          <w:b/>
          <w:sz w:val="36"/>
        </w:rPr>
        <w:t>评论</w:t>
      </w:r>
    </w:p>
    <w:p w:rsidR="007571E2" w:rsidRPr="000B366D" w:rsidRDefault="00BE5706" w:rsidP="00B066C2">
      <w:pPr>
        <w:pStyle w:val="a3"/>
        <w:snapToGrid w:val="0"/>
        <w:spacing w:before="69" w:line="300" w:lineRule="auto"/>
        <w:ind w:left="0" w:firstLine="0"/>
        <w:jc w:val="both"/>
        <w:rPr>
          <w:rFonts w:ascii="Arial" w:hAnsi="Arial" w:cs="Arial"/>
        </w:rPr>
      </w:pPr>
      <w:r w:rsidRPr="000B366D">
        <w:rPr>
          <w:rFonts w:ascii="Arial" w:hAnsi="Arial" w:cs="Arial"/>
        </w:rPr>
        <w:t>为便于本机构收集评论和建议，电子评论和建议可随时提交至</w:t>
      </w:r>
      <w:hyperlink r:id="rId10">
        <w:r w:rsidRPr="000B366D">
          <w:rPr>
            <w:rFonts w:ascii="Arial" w:hAnsi="Arial" w:cs="Arial"/>
          </w:rPr>
          <w:t>http://www.regulations.gov</w:t>
        </w:r>
      </w:hyperlink>
      <w:r w:rsidRPr="000B366D">
        <w:rPr>
          <w:rFonts w:ascii="Arial" w:hAnsi="Arial" w:cs="Arial"/>
        </w:rPr>
        <w:t>。书面评论请提交至食品药品监督管理局案卷管理</w:t>
      </w:r>
      <w:r w:rsidR="007571E2" w:rsidRPr="000B366D">
        <w:rPr>
          <w:rFonts w:ascii="Arial" w:hAnsi="Arial" w:cs="Arial"/>
        </w:rPr>
        <w:t>科（</w:t>
      </w:r>
      <w:r w:rsidRPr="000B366D">
        <w:rPr>
          <w:rFonts w:ascii="Arial" w:hAnsi="Arial" w:cs="Arial"/>
        </w:rPr>
        <w:t>5630 Fishers Lane, Room 1061</w:t>
      </w:r>
      <w:r w:rsidRPr="000B366D">
        <w:rPr>
          <w:rFonts w:ascii="Arial" w:hAnsi="Arial" w:cs="Arial"/>
        </w:rPr>
        <w:t>，</w:t>
      </w:r>
      <w:r w:rsidR="00C75635" w:rsidRPr="000B366D">
        <w:rPr>
          <w:rFonts w:ascii="Arial" w:hAnsi="Arial" w:cs="Arial"/>
        </w:rPr>
        <w:t>（</w:t>
      </w:r>
      <w:r w:rsidRPr="000B366D">
        <w:rPr>
          <w:rFonts w:ascii="Arial" w:hAnsi="Arial" w:cs="Arial"/>
        </w:rPr>
        <w:t>HFA-305</w:t>
      </w:r>
      <w:r w:rsidR="00C75635" w:rsidRPr="000B366D">
        <w:rPr>
          <w:rFonts w:ascii="Arial" w:hAnsi="Arial" w:cs="Arial"/>
        </w:rPr>
        <w:t>）</w:t>
      </w:r>
      <w:r w:rsidRPr="000B366D">
        <w:rPr>
          <w:rFonts w:ascii="Arial" w:hAnsi="Arial" w:cs="Arial"/>
        </w:rPr>
        <w:t>，</w:t>
      </w:r>
      <w:r w:rsidRPr="000B366D">
        <w:rPr>
          <w:rFonts w:ascii="Arial" w:hAnsi="Arial" w:cs="Arial"/>
        </w:rPr>
        <w:t>Rockville</w:t>
      </w:r>
      <w:r w:rsidRPr="000B366D">
        <w:rPr>
          <w:rFonts w:ascii="Arial" w:hAnsi="Arial" w:cs="Arial"/>
        </w:rPr>
        <w:t>，</w:t>
      </w:r>
      <w:r w:rsidRPr="000B366D">
        <w:rPr>
          <w:rFonts w:ascii="Arial" w:hAnsi="Arial" w:cs="Arial"/>
        </w:rPr>
        <w:t>MD 20852</w:t>
      </w:r>
      <w:r w:rsidR="007571E2" w:rsidRPr="000B366D">
        <w:rPr>
          <w:rFonts w:ascii="Arial" w:hAnsi="Arial" w:cs="Arial"/>
        </w:rPr>
        <w:t>）</w:t>
      </w:r>
      <w:r w:rsidRPr="000B366D">
        <w:rPr>
          <w:rFonts w:ascii="Arial" w:hAnsi="Arial" w:cs="Arial"/>
        </w:rPr>
        <w:t>。请使用案卷编号</w:t>
      </w:r>
      <w:r w:rsidRPr="000B366D">
        <w:rPr>
          <w:rFonts w:ascii="Arial" w:hAnsi="Arial" w:cs="Arial"/>
        </w:rPr>
        <w:t>FDA-2014-D-0332</w:t>
      </w:r>
      <w:r w:rsidRPr="000B366D">
        <w:rPr>
          <w:rFonts w:ascii="Arial" w:hAnsi="Arial" w:cs="Arial"/>
        </w:rPr>
        <w:t>注明所有评论。再次进行文件修订或更新之前，本机构可能不会针对评论采取行动。</w:t>
      </w:r>
    </w:p>
    <w:p w:rsidR="003F2FB4" w:rsidRPr="000B366D" w:rsidRDefault="003F2FB4" w:rsidP="009B72FB">
      <w:pPr>
        <w:snapToGrid w:val="0"/>
        <w:spacing w:before="2" w:line="300" w:lineRule="auto"/>
        <w:rPr>
          <w:rFonts w:ascii="Arial" w:eastAsia="宋体" w:hAnsi="Arial" w:cs="Arial"/>
          <w:sz w:val="24"/>
          <w:szCs w:val="24"/>
        </w:rPr>
      </w:pPr>
    </w:p>
    <w:p w:rsidR="003F2FB4" w:rsidRPr="000B366D" w:rsidRDefault="007571E2" w:rsidP="002B6CFD">
      <w:pPr>
        <w:snapToGrid w:val="0"/>
        <w:spacing w:line="300" w:lineRule="auto"/>
        <w:rPr>
          <w:rFonts w:ascii="Arial" w:eastAsia="宋体" w:hAnsi="Arial" w:cs="Arial"/>
          <w:b/>
          <w:sz w:val="36"/>
        </w:rPr>
      </w:pPr>
      <w:r w:rsidRPr="000B366D">
        <w:rPr>
          <w:rFonts w:ascii="Arial" w:eastAsia="宋体" w:hAnsi="Arial" w:cs="Arial"/>
          <w:b/>
          <w:sz w:val="36"/>
        </w:rPr>
        <w:t>其他</w:t>
      </w:r>
      <w:r w:rsidR="00BE5706" w:rsidRPr="000B366D">
        <w:rPr>
          <w:rFonts w:ascii="Arial" w:eastAsia="宋体" w:hAnsi="Arial" w:cs="Arial"/>
          <w:b/>
          <w:sz w:val="36"/>
        </w:rPr>
        <w:t>副本</w:t>
      </w:r>
    </w:p>
    <w:p w:rsidR="003F2FB4" w:rsidRPr="000B366D" w:rsidRDefault="007571E2" w:rsidP="00B066C2">
      <w:pPr>
        <w:pStyle w:val="a3"/>
        <w:snapToGrid w:val="0"/>
        <w:spacing w:line="300" w:lineRule="auto"/>
        <w:ind w:left="0" w:firstLine="0"/>
        <w:jc w:val="both"/>
        <w:rPr>
          <w:rFonts w:ascii="Arial" w:hAnsi="Arial" w:cs="Arial"/>
        </w:rPr>
      </w:pPr>
      <w:r w:rsidRPr="000B366D">
        <w:rPr>
          <w:rFonts w:ascii="Arial" w:hAnsi="Arial" w:cs="Arial"/>
        </w:rPr>
        <w:t>其他</w:t>
      </w:r>
      <w:r w:rsidR="00BE5706" w:rsidRPr="000B366D">
        <w:rPr>
          <w:rFonts w:ascii="Arial" w:hAnsi="Arial" w:cs="Arial"/>
        </w:rPr>
        <w:t>副本可从互联网获得：贵公司还可以向</w:t>
      </w:r>
      <w:hyperlink r:id="rId11">
        <w:r w:rsidR="00BE5706" w:rsidRPr="000B366D">
          <w:rPr>
            <w:rFonts w:ascii="Arial" w:hAnsi="Arial" w:cs="Arial"/>
            <w:color w:val="0000FF"/>
            <w:u w:val="single"/>
          </w:rPr>
          <w:t>CDRH-</w:t>
        </w:r>
      </w:hyperlink>
      <w:r w:rsidR="00BE5706" w:rsidRPr="000B366D">
        <w:rPr>
          <w:rFonts w:ascii="Arial" w:hAnsi="Arial" w:cs="Arial"/>
          <w:color w:val="0000FF"/>
          <w:u w:val="single"/>
        </w:rPr>
        <w:t xml:space="preserve"> </w:t>
      </w:r>
      <w:hyperlink r:id="rId12">
        <w:r w:rsidR="00BE5706" w:rsidRPr="000B366D">
          <w:rPr>
            <w:rFonts w:ascii="Arial" w:hAnsi="Arial" w:cs="Arial"/>
            <w:color w:val="0000FF"/>
            <w:u w:val="single"/>
          </w:rPr>
          <w:t>Guidance@fda.hhs.gov</w:t>
        </w:r>
      </w:hyperlink>
      <w:r w:rsidR="00BE5706" w:rsidRPr="000B366D">
        <w:rPr>
          <w:rFonts w:ascii="Arial" w:hAnsi="Arial" w:cs="Arial"/>
        </w:rPr>
        <w:t>发送电子邮件请求，以接收本指南的电子副本。</w:t>
      </w:r>
      <w:hyperlink r:id="rId13">
        <w:r w:rsidR="00BE5706" w:rsidRPr="000B366D">
          <w:rPr>
            <w:rFonts w:ascii="Arial" w:hAnsi="Arial" w:cs="Arial"/>
          </w:rPr>
          <w:t>请使用文档编号</w:t>
        </w:r>
      </w:hyperlink>
      <w:r w:rsidR="00BE5706" w:rsidRPr="000B366D">
        <w:rPr>
          <w:rFonts w:ascii="Arial" w:hAnsi="Arial" w:cs="Arial"/>
        </w:rPr>
        <w:t>1836</w:t>
      </w:r>
      <w:r w:rsidR="00BE5706" w:rsidRPr="000B366D">
        <w:rPr>
          <w:rFonts w:ascii="Arial" w:hAnsi="Arial" w:cs="Arial"/>
        </w:rPr>
        <w:t>来注明贵公司所要求获得的指南。</w:t>
      </w:r>
    </w:p>
    <w:p w:rsidR="003F2FB4" w:rsidRPr="000B366D" w:rsidRDefault="006F7F8D" w:rsidP="009B72FB">
      <w:pPr>
        <w:snapToGrid w:val="0"/>
        <w:spacing w:line="300" w:lineRule="auto"/>
        <w:rPr>
          <w:rFonts w:ascii="Arial" w:eastAsia="宋体" w:hAnsi="Arial" w:cs="Arial"/>
          <w:sz w:val="20"/>
          <w:szCs w:val="20"/>
        </w:rPr>
      </w:pPr>
      <w:r w:rsidRPr="000B366D">
        <w:rPr>
          <w:rFonts w:ascii="Arial" w:eastAsia="宋体" w:hAnsi="Arial" w:cs="Arial"/>
        </w:rPr>
        <w:br w:type="page"/>
      </w:r>
    </w:p>
    <w:p w:rsidR="003F2FB4" w:rsidRPr="000B366D" w:rsidRDefault="00C626F8" w:rsidP="000C29FF">
      <w:pPr>
        <w:pBdr>
          <w:bottom w:val="single" w:sz="4" w:space="1" w:color="auto"/>
        </w:pBdr>
        <w:snapToGrid w:val="0"/>
        <w:spacing w:before="38" w:line="300" w:lineRule="auto"/>
        <w:jc w:val="center"/>
        <w:rPr>
          <w:rFonts w:ascii="Arial" w:eastAsia="宋体" w:hAnsi="Arial" w:cs="Arial"/>
          <w:sz w:val="52"/>
          <w:szCs w:val="52"/>
        </w:rPr>
      </w:pPr>
      <w:bookmarkStart w:id="0" w:name="I.__Introduction"/>
      <w:bookmarkEnd w:id="0"/>
      <w:r w:rsidRPr="000B366D">
        <w:rPr>
          <w:rFonts w:ascii="Arial" w:eastAsia="宋体" w:hAnsi="Arial" w:cs="Arial"/>
          <w:b/>
          <w:sz w:val="52"/>
          <w:szCs w:val="52"/>
        </w:rPr>
        <w:lastRenderedPageBreak/>
        <w:t>一次性使用</w:t>
      </w:r>
      <w:r w:rsidR="00BE5706" w:rsidRPr="000B366D">
        <w:rPr>
          <w:rFonts w:ascii="Arial" w:eastAsia="宋体" w:hAnsi="Arial" w:cs="Arial"/>
          <w:b/>
          <w:sz w:val="52"/>
          <w:szCs w:val="52"/>
        </w:rPr>
        <w:t>眼内眼科器械的细菌内毒素检测建议</w:t>
      </w:r>
    </w:p>
    <w:p w:rsidR="003F2FB4" w:rsidRPr="000B366D" w:rsidRDefault="00BE5706" w:rsidP="000C29FF">
      <w:pPr>
        <w:snapToGrid w:val="0"/>
        <w:spacing w:line="300" w:lineRule="auto"/>
        <w:jc w:val="center"/>
        <w:rPr>
          <w:rFonts w:ascii="Arial" w:eastAsia="宋体" w:hAnsi="Arial" w:cs="Arial"/>
          <w:sz w:val="52"/>
          <w:szCs w:val="52"/>
        </w:rPr>
      </w:pPr>
      <w:r w:rsidRPr="000B366D">
        <w:rPr>
          <w:rFonts w:ascii="Arial" w:eastAsia="宋体" w:hAnsi="Arial" w:cs="Arial"/>
          <w:b/>
          <w:sz w:val="52"/>
          <w:szCs w:val="52"/>
        </w:rPr>
        <w:t>行业</w:t>
      </w:r>
      <w:r w:rsidR="007571E2" w:rsidRPr="000B366D">
        <w:rPr>
          <w:rFonts w:ascii="Arial" w:eastAsia="宋体" w:hAnsi="Arial" w:cs="Arial"/>
          <w:b/>
          <w:sz w:val="52"/>
          <w:szCs w:val="52"/>
        </w:rPr>
        <w:t>及</w:t>
      </w:r>
      <w:r w:rsidRPr="000B366D">
        <w:rPr>
          <w:rFonts w:ascii="Arial" w:eastAsia="宋体" w:hAnsi="Arial" w:cs="Arial"/>
          <w:b/>
          <w:sz w:val="52"/>
          <w:szCs w:val="52"/>
        </w:rPr>
        <w:t>食品药品监督管理局工作人员指南</w:t>
      </w:r>
    </w:p>
    <w:p w:rsidR="003F2FB4" w:rsidRPr="000B366D" w:rsidRDefault="003F2FB4" w:rsidP="009B72FB">
      <w:pPr>
        <w:snapToGrid w:val="0"/>
        <w:spacing w:before="11" w:line="300" w:lineRule="auto"/>
        <w:rPr>
          <w:rFonts w:ascii="Arial" w:eastAsia="宋体" w:hAnsi="Arial" w:cs="Arial"/>
          <w:b/>
          <w:bCs/>
          <w:sz w:val="26"/>
          <w:szCs w:val="26"/>
        </w:rPr>
      </w:pP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76"/>
      </w:tblGrid>
      <w:tr w:rsidR="00871D95" w:rsidRPr="000B366D" w:rsidTr="00871D95">
        <w:tc>
          <w:tcPr>
            <w:tcW w:w="8876" w:type="dxa"/>
          </w:tcPr>
          <w:p w:rsidR="00871D95" w:rsidRPr="000B366D" w:rsidRDefault="00871D95" w:rsidP="00871D95">
            <w:pPr>
              <w:spacing w:before="32"/>
              <w:ind w:left="119" w:right="294"/>
              <w:jc w:val="both"/>
              <w:rPr>
                <w:rFonts w:ascii="Arial" w:eastAsia="宋体" w:hAnsi="Arial" w:cs="Arial"/>
                <w:sz w:val="24"/>
                <w:szCs w:val="24"/>
              </w:rPr>
            </w:pPr>
            <w:r w:rsidRPr="000B366D">
              <w:rPr>
                <w:rFonts w:ascii="Arial" w:eastAsia="宋体" w:hAnsi="Arial" w:cs="Arial"/>
                <w:b/>
                <w:i/>
                <w:sz w:val="24"/>
              </w:rPr>
              <w:t>本指南代表食品药品监督管理局（</w:t>
            </w:r>
            <w:r w:rsidRPr="000B366D">
              <w:rPr>
                <w:rFonts w:ascii="Arial" w:eastAsia="宋体" w:hAnsi="Arial" w:cs="Arial"/>
                <w:b/>
                <w:i/>
                <w:sz w:val="24"/>
              </w:rPr>
              <w:t>FDA</w:t>
            </w:r>
            <w:r w:rsidRPr="000B366D">
              <w:rPr>
                <w:rFonts w:ascii="Arial" w:eastAsia="宋体" w:hAnsi="Arial" w:cs="Arial"/>
                <w:b/>
                <w:i/>
                <w:sz w:val="24"/>
              </w:rPr>
              <w:t>或本机构）目前关于该主题的思考。其不会为任何人创造或赋予任何权利，也不对</w:t>
            </w:r>
            <w:r w:rsidRPr="000B366D">
              <w:rPr>
                <w:rFonts w:ascii="Arial" w:eastAsia="宋体" w:hAnsi="Arial" w:cs="Arial"/>
                <w:b/>
                <w:i/>
                <w:sz w:val="24"/>
              </w:rPr>
              <w:t>FDA</w:t>
            </w:r>
            <w:r w:rsidRPr="000B366D">
              <w:rPr>
                <w:rFonts w:ascii="Arial" w:eastAsia="宋体" w:hAnsi="Arial" w:cs="Arial"/>
                <w:b/>
                <w:i/>
                <w:sz w:val="24"/>
              </w:rPr>
              <w:t>或公众具有约束力。如果替代方法满足适用的法律法规的要求，则可以使用替代方法。如果贵公司希望讨论一种替代方法，请联系本指南标题页上列出的负责实施本指南的</w:t>
            </w:r>
            <w:r w:rsidRPr="000B366D">
              <w:rPr>
                <w:rFonts w:ascii="Arial" w:eastAsia="宋体" w:hAnsi="Arial" w:cs="Arial"/>
                <w:b/>
                <w:i/>
                <w:sz w:val="24"/>
              </w:rPr>
              <w:t>FDA</w:t>
            </w:r>
            <w:r w:rsidRPr="000B366D">
              <w:rPr>
                <w:rFonts w:ascii="Arial" w:eastAsia="宋体" w:hAnsi="Arial" w:cs="Arial"/>
                <w:b/>
                <w:i/>
                <w:sz w:val="24"/>
              </w:rPr>
              <w:t>工作人员。</w:t>
            </w:r>
          </w:p>
        </w:tc>
      </w:tr>
    </w:tbl>
    <w:p w:rsidR="00871D95" w:rsidRPr="000B366D" w:rsidRDefault="00871D95" w:rsidP="009B72FB">
      <w:pPr>
        <w:snapToGrid w:val="0"/>
        <w:spacing w:before="11" w:line="300" w:lineRule="auto"/>
        <w:rPr>
          <w:rFonts w:ascii="Arial" w:eastAsia="宋体" w:hAnsi="Arial" w:cs="Arial"/>
          <w:b/>
          <w:bCs/>
          <w:sz w:val="26"/>
          <w:szCs w:val="26"/>
        </w:rPr>
      </w:pPr>
    </w:p>
    <w:p w:rsidR="003F2FB4" w:rsidRPr="000B366D" w:rsidRDefault="00BE5706" w:rsidP="00AC1C77">
      <w:pPr>
        <w:pStyle w:val="3"/>
        <w:numPr>
          <w:ilvl w:val="0"/>
          <w:numId w:val="5"/>
        </w:numPr>
        <w:snapToGrid w:val="0"/>
        <w:spacing w:before="53" w:line="300" w:lineRule="auto"/>
        <w:rPr>
          <w:rFonts w:ascii="Arial" w:hAnsi="Arial" w:cs="Arial"/>
          <w:b w:val="0"/>
          <w:bCs w:val="0"/>
        </w:rPr>
      </w:pPr>
      <w:r w:rsidRPr="000B366D">
        <w:rPr>
          <w:rFonts w:ascii="Arial" w:hAnsi="Arial" w:cs="Arial"/>
        </w:rPr>
        <w:t>引言</w:t>
      </w:r>
    </w:p>
    <w:p w:rsidR="003F2FB4" w:rsidRPr="000B366D" w:rsidRDefault="00BE5706" w:rsidP="00AB7F72">
      <w:pPr>
        <w:pStyle w:val="a3"/>
        <w:overflowPunct w:val="0"/>
        <w:snapToGrid w:val="0"/>
        <w:spacing w:before="274" w:line="300" w:lineRule="auto"/>
        <w:ind w:left="0" w:firstLine="0"/>
        <w:jc w:val="both"/>
        <w:rPr>
          <w:rFonts w:ascii="Arial" w:hAnsi="Arial" w:cs="Arial"/>
        </w:rPr>
      </w:pPr>
      <w:r w:rsidRPr="000B366D">
        <w:rPr>
          <w:rFonts w:ascii="Arial" w:hAnsi="Arial" w:cs="Arial"/>
        </w:rPr>
        <w:t>本指导性文件旨在通知制造商在发布眼内器械和</w:t>
      </w:r>
      <w:r w:rsidR="00C626F8" w:rsidRPr="000B366D">
        <w:rPr>
          <w:rFonts w:ascii="Arial" w:hAnsi="Arial" w:cs="Arial"/>
        </w:rPr>
        <w:t>一次性使用</w:t>
      </w:r>
      <w:r w:rsidRPr="000B366D">
        <w:rPr>
          <w:rFonts w:ascii="Arial" w:hAnsi="Arial" w:cs="Arial"/>
        </w:rPr>
        <w:t>眼内眼科手术工具</w:t>
      </w:r>
      <w:r w:rsidRPr="000B366D">
        <w:rPr>
          <w:rFonts w:ascii="Arial" w:hAnsi="Arial" w:cs="Arial"/>
        </w:rPr>
        <w:t>/</w:t>
      </w:r>
      <w:r w:rsidRPr="000B366D">
        <w:rPr>
          <w:rFonts w:ascii="Arial" w:hAnsi="Arial" w:cs="Arial"/>
        </w:rPr>
        <w:t>配件时应注意的细菌内毒素限值，以缓解</w:t>
      </w:r>
      <w:r w:rsidR="008E1A19" w:rsidRPr="000B366D">
        <w:rPr>
          <w:rFonts w:ascii="Arial" w:hAnsi="Arial" w:cs="Arial"/>
        </w:rPr>
        <w:t>将来</w:t>
      </w:r>
      <w:bookmarkStart w:id="1" w:name="OLE_LINK1"/>
      <w:bookmarkStart w:id="2" w:name="OLE_LINK2"/>
      <w:r w:rsidRPr="000B366D">
        <w:rPr>
          <w:rFonts w:ascii="Arial" w:hAnsi="Arial" w:cs="Arial"/>
        </w:rPr>
        <w:t>眼前节毒性综合征</w:t>
      </w:r>
      <w:bookmarkEnd w:id="1"/>
      <w:bookmarkEnd w:id="2"/>
      <w:r w:rsidRPr="000B366D">
        <w:rPr>
          <w:rFonts w:ascii="Arial" w:hAnsi="Arial" w:cs="Arial"/>
        </w:rPr>
        <w:t>（</w:t>
      </w:r>
      <w:r w:rsidRPr="000B366D">
        <w:rPr>
          <w:rFonts w:ascii="Arial" w:hAnsi="Arial" w:cs="Arial"/>
        </w:rPr>
        <w:t>TASS</w:t>
      </w:r>
      <w:r w:rsidRPr="000B366D">
        <w:rPr>
          <w:rFonts w:ascii="Arial" w:hAnsi="Arial" w:cs="Arial"/>
        </w:rPr>
        <w:t>）</w:t>
      </w:r>
      <w:r w:rsidR="00E55F3C" w:rsidRPr="000B366D">
        <w:rPr>
          <w:rFonts w:ascii="Arial" w:hAnsi="Arial" w:cs="Arial"/>
        </w:rPr>
        <w:t>发作</w:t>
      </w:r>
      <w:r w:rsidRPr="000B366D">
        <w:rPr>
          <w:rFonts w:ascii="Arial" w:hAnsi="Arial" w:cs="Arial"/>
        </w:rPr>
        <w:t>风险。</w:t>
      </w:r>
      <w:r w:rsidRPr="000B366D">
        <w:rPr>
          <w:rFonts w:ascii="Arial" w:hAnsi="Arial" w:cs="Arial"/>
        </w:rPr>
        <w:t>TASS</w:t>
      </w:r>
      <w:r w:rsidRPr="000B366D">
        <w:rPr>
          <w:rFonts w:ascii="Arial" w:hAnsi="Arial" w:cs="Arial"/>
        </w:rPr>
        <w:t>是眼内手术后在眼前段出现的无菌炎症性病症。其可导致视力显著降低，且可能需要进行</w:t>
      </w:r>
      <w:r w:rsidR="008E1A19" w:rsidRPr="000B366D">
        <w:rPr>
          <w:rFonts w:ascii="Arial" w:hAnsi="Arial" w:cs="Arial"/>
        </w:rPr>
        <w:t>其他</w:t>
      </w:r>
      <w:r w:rsidRPr="000B366D">
        <w:rPr>
          <w:rFonts w:ascii="Arial" w:hAnsi="Arial" w:cs="Arial"/>
        </w:rPr>
        <w:t>外科手术（包括角膜移植和青光眼手术），以解决其中一些遗症。</w:t>
      </w:r>
    </w:p>
    <w:p w:rsidR="003F2FB4" w:rsidRPr="000B366D" w:rsidRDefault="003F2FB4" w:rsidP="00AB7F72">
      <w:pPr>
        <w:overflowPunct w:val="0"/>
        <w:snapToGrid w:val="0"/>
        <w:spacing w:line="300" w:lineRule="auto"/>
        <w:jc w:val="both"/>
        <w:rPr>
          <w:rFonts w:ascii="Arial" w:eastAsia="宋体" w:hAnsi="Arial" w:cs="Arial"/>
          <w:sz w:val="24"/>
          <w:szCs w:val="24"/>
        </w:rPr>
      </w:pPr>
    </w:p>
    <w:p w:rsidR="003F2FB4" w:rsidRPr="000B366D" w:rsidRDefault="00BE5706" w:rsidP="00AB7F72">
      <w:pPr>
        <w:pStyle w:val="a3"/>
        <w:overflowPunct w:val="0"/>
        <w:snapToGrid w:val="0"/>
        <w:spacing w:line="300" w:lineRule="auto"/>
        <w:ind w:left="0" w:firstLine="0"/>
        <w:jc w:val="both"/>
        <w:rPr>
          <w:rFonts w:ascii="Arial" w:hAnsi="Arial" w:cs="Arial"/>
        </w:rPr>
      </w:pPr>
      <w:r w:rsidRPr="000B366D">
        <w:rPr>
          <w:rFonts w:ascii="Arial" w:hAnsi="Arial" w:cs="Arial"/>
        </w:rPr>
        <w:t>TASS</w:t>
      </w:r>
      <w:r w:rsidRPr="000B366D">
        <w:rPr>
          <w:rFonts w:ascii="Arial" w:hAnsi="Arial" w:cs="Arial"/>
        </w:rPr>
        <w:t>的全国范围内</w:t>
      </w:r>
      <w:r w:rsidR="008E1A19" w:rsidRPr="000B366D">
        <w:rPr>
          <w:rFonts w:ascii="Arial" w:hAnsi="Arial" w:cs="Arial"/>
        </w:rPr>
        <w:t>发作</w:t>
      </w:r>
      <w:r w:rsidRPr="000B366D">
        <w:rPr>
          <w:rFonts w:ascii="Arial" w:hAnsi="Arial" w:cs="Arial"/>
        </w:rPr>
        <w:t>与细菌内毒素有关。在制造、灭菌或包装过程期间，用于眼睛内部的器械（包括眼内器械和</w:t>
      </w:r>
      <w:r w:rsidR="00C626F8" w:rsidRPr="000B366D">
        <w:rPr>
          <w:rFonts w:ascii="Arial" w:hAnsi="Arial" w:cs="Arial"/>
        </w:rPr>
        <w:t>一次性使用</w:t>
      </w:r>
      <w:r w:rsidRPr="000B366D">
        <w:rPr>
          <w:rFonts w:ascii="Arial" w:hAnsi="Arial" w:cs="Arial"/>
        </w:rPr>
        <w:t>眼内眼科手术工具</w:t>
      </w:r>
      <w:r w:rsidRPr="000B366D">
        <w:rPr>
          <w:rFonts w:ascii="Arial" w:hAnsi="Arial" w:cs="Arial"/>
        </w:rPr>
        <w:t>/</w:t>
      </w:r>
      <w:r w:rsidRPr="000B366D">
        <w:rPr>
          <w:rFonts w:ascii="Arial" w:hAnsi="Arial" w:cs="Arial"/>
        </w:rPr>
        <w:t>配件）可能被细菌内毒素污染。本指导性文件提供了有关细菌内毒素限值和细菌内毒素检测的建议，建议适用于为不同类型的眼内器械提交上市前申请（</w:t>
      </w:r>
      <w:r w:rsidRPr="000B366D">
        <w:rPr>
          <w:rFonts w:ascii="Arial" w:hAnsi="Arial" w:cs="Arial"/>
        </w:rPr>
        <w:t>PMA</w:t>
      </w:r>
      <w:r w:rsidRPr="000B366D">
        <w:rPr>
          <w:rFonts w:ascii="Arial" w:hAnsi="Arial" w:cs="Arial"/>
        </w:rPr>
        <w:t>）或上市前通知提交材料</w:t>
      </w:r>
      <w:r w:rsidR="008E1A19" w:rsidRPr="000B366D">
        <w:rPr>
          <w:rFonts w:ascii="Arial" w:hAnsi="Arial" w:cs="Arial"/>
        </w:rPr>
        <w:t>【</w:t>
      </w:r>
      <w:r w:rsidRPr="000B366D">
        <w:rPr>
          <w:rFonts w:ascii="Arial" w:hAnsi="Arial" w:cs="Arial"/>
        </w:rPr>
        <w:t>510</w:t>
      </w:r>
      <w:r w:rsidRPr="000B366D">
        <w:rPr>
          <w:rFonts w:ascii="Arial" w:hAnsi="Arial" w:cs="Arial"/>
        </w:rPr>
        <w:t>（</w:t>
      </w:r>
      <w:r w:rsidRPr="000B366D">
        <w:rPr>
          <w:rFonts w:ascii="Arial" w:hAnsi="Arial" w:cs="Arial"/>
        </w:rPr>
        <w:t>k</w:t>
      </w:r>
      <w:r w:rsidRPr="000B366D">
        <w:rPr>
          <w:rFonts w:ascii="Arial" w:hAnsi="Arial" w:cs="Arial"/>
        </w:rPr>
        <w:t>）</w:t>
      </w:r>
      <w:r w:rsidR="008E1A19" w:rsidRPr="000B366D">
        <w:rPr>
          <w:rFonts w:ascii="Arial" w:hAnsi="Arial" w:cs="Arial"/>
        </w:rPr>
        <w:t>】</w:t>
      </w:r>
      <w:r w:rsidRPr="000B366D">
        <w:rPr>
          <w:rFonts w:ascii="Arial" w:hAnsi="Arial" w:cs="Arial"/>
        </w:rPr>
        <w:t>的制造商和其他实体，以期能够帮助预防未来</w:t>
      </w:r>
      <w:r w:rsidRPr="000B366D">
        <w:rPr>
          <w:rFonts w:ascii="Arial" w:hAnsi="Arial" w:cs="Arial"/>
        </w:rPr>
        <w:t>TASS</w:t>
      </w:r>
      <w:r w:rsidR="008E1A19" w:rsidRPr="000B366D">
        <w:rPr>
          <w:rFonts w:ascii="Arial" w:hAnsi="Arial" w:cs="Arial"/>
        </w:rPr>
        <w:t>发作</w:t>
      </w:r>
      <w:r w:rsidRPr="000B366D">
        <w:rPr>
          <w:rFonts w:ascii="Arial" w:hAnsi="Arial" w:cs="Arial"/>
        </w:rPr>
        <w:t>。</w:t>
      </w:r>
    </w:p>
    <w:p w:rsidR="003F2FB4" w:rsidRPr="000B366D" w:rsidRDefault="003F2FB4" w:rsidP="00AB7F72">
      <w:pPr>
        <w:overflowPunct w:val="0"/>
        <w:snapToGrid w:val="0"/>
        <w:spacing w:line="300" w:lineRule="auto"/>
        <w:jc w:val="both"/>
        <w:rPr>
          <w:rFonts w:ascii="Arial" w:eastAsia="宋体" w:hAnsi="Arial" w:cs="Arial"/>
          <w:sz w:val="24"/>
          <w:szCs w:val="24"/>
        </w:rPr>
      </w:pPr>
    </w:p>
    <w:p w:rsidR="003F2FB4" w:rsidRPr="000B366D" w:rsidRDefault="00BE5706" w:rsidP="00A5375B">
      <w:pPr>
        <w:pStyle w:val="a3"/>
        <w:overflowPunct w:val="0"/>
        <w:snapToGrid w:val="0"/>
        <w:spacing w:line="300" w:lineRule="auto"/>
        <w:ind w:left="0" w:firstLine="0"/>
        <w:jc w:val="both"/>
        <w:rPr>
          <w:rFonts w:ascii="Arial" w:hAnsi="Arial" w:cs="Arial"/>
        </w:rPr>
      </w:pPr>
      <w:r w:rsidRPr="000B366D">
        <w:rPr>
          <w:rFonts w:ascii="Arial" w:hAnsi="Arial" w:cs="Arial"/>
        </w:rPr>
        <w:t>FDA</w:t>
      </w:r>
      <w:r w:rsidRPr="000B366D">
        <w:rPr>
          <w:rFonts w:ascii="Arial" w:hAnsi="Arial" w:cs="Arial"/>
        </w:rPr>
        <w:t>指导性文件，包括本指南</w:t>
      </w:r>
      <w:r w:rsidR="008E1A19" w:rsidRPr="000B366D">
        <w:rPr>
          <w:rFonts w:ascii="Arial" w:hAnsi="Arial" w:cs="Arial"/>
        </w:rPr>
        <w:t>在内</w:t>
      </w:r>
      <w:r w:rsidRPr="000B366D">
        <w:rPr>
          <w:rFonts w:ascii="Arial" w:hAnsi="Arial" w:cs="Arial"/>
        </w:rPr>
        <w:t>，不构成具有法律强制力的责任。相反，指南表明了本机构</w:t>
      </w:r>
      <w:r w:rsidR="008E1A19" w:rsidRPr="000B366D">
        <w:rPr>
          <w:rFonts w:ascii="Arial" w:hAnsi="Arial" w:cs="Arial"/>
        </w:rPr>
        <w:t>目前关于</w:t>
      </w:r>
      <w:r w:rsidRPr="000B366D">
        <w:rPr>
          <w:rFonts w:ascii="Arial" w:hAnsi="Arial" w:cs="Arial"/>
        </w:rPr>
        <w:t>某一主题的</w:t>
      </w:r>
      <w:r w:rsidR="008E1A19" w:rsidRPr="000B366D">
        <w:rPr>
          <w:rFonts w:ascii="Arial" w:hAnsi="Arial" w:cs="Arial"/>
        </w:rPr>
        <w:t>思考</w:t>
      </w:r>
      <w:r w:rsidRPr="000B366D">
        <w:rPr>
          <w:rFonts w:ascii="Arial" w:hAnsi="Arial" w:cs="Arial"/>
        </w:rPr>
        <w:t>，除非引用具体的法规或法律要求，否则只应视为建议。在本审查机构指南中使用词语</w:t>
      </w:r>
      <w:r w:rsidRPr="000B366D">
        <w:rPr>
          <w:rFonts w:ascii="Arial" w:hAnsi="Arial" w:cs="Arial"/>
        </w:rPr>
        <w:t>“</w:t>
      </w:r>
      <w:r w:rsidRPr="000B366D">
        <w:rPr>
          <w:rFonts w:ascii="Arial" w:hAnsi="Arial" w:cs="Arial"/>
        </w:rPr>
        <w:t>应</w:t>
      </w:r>
      <w:r w:rsidRPr="000B366D">
        <w:rPr>
          <w:rFonts w:ascii="Arial" w:hAnsi="Arial" w:cs="Arial"/>
        </w:rPr>
        <w:t>”</w:t>
      </w:r>
      <w:r w:rsidRPr="000B366D">
        <w:rPr>
          <w:rFonts w:ascii="Arial" w:hAnsi="Arial" w:cs="Arial"/>
        </w:rPr>
        <w:t>是指建议或推荐进行某一事项，并非强制要求。</w:t>
      </w:r>
      <w:r w:rsidR="006F7F8D" w:rsidRPr="000B366D">
        <w:rPr>
          <w:rFonts w:ascii="Arial" w:hAnsi="Arial" w:cs="Arial"/>
        </w:rPr>
        <w:br w:type="page"/>
      </w:r>
    </w:p>
    <w:p w:rsidR="003F2FB4" w:rsidRPr="000B366D" w:rsidRDefault="00BE5706" w:rsidP="003E060A">
      <w:pPr>
        <w:pStyle w:val="3"/>
        <w:numPr>
          <w:ilvl w:val="0"/>
          <w:numId w:val="5"/>
        </w:numPr>
        <w:snapToGrid w:val="0"/>
        <w:spacing w:afterLines="50" w:after="120" w:line="300" w:lineRule="auto"/>
        <w:rPr>
          <w:rFonts w:ascii="Arial" w:hAnsi="Arial" w:cs="Arial"/>
        </w:rPr>
      </w:pPr>
      <w:bookmarkStart w:id="3" w:name="Definitions"/>
      <w:bookmarkEnd w:id="3"/>
      <w:r w:rsidRPr="000B366D">
        <w:rPr>
          <w:rFonts w:ascii="Arial" w:hAnsi="Arial" w:cs="Arial"/>
        </w:rPr>
        <w:lastRenderedPageBreak/>
        <w:t>定义</w:t>
      </w:r>
    </w:p>
    <w:p w:rsidR="003F2FB4" w:rsidRPr="000B366D" w:rsidRDefault="00BE5706" w:rsidP="003E060A">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眼内液：</w:t>
      </w:r>
      <w:r w:rsidRPr="000B366D">
        <w:rPr>
          <w:rFonts w:ascii="Arial" w:eastAsia="宋体" w:hAnsi="Arial" w:cs="Arial"/>
          <w:sz w:val="24"/>
          <w:szCs w:val="24"/>
        </w:rPr>
        <w:t>旨在引入眼内以帮助执行手术的非气体性液体，例如帮助维持前房深度，保持组织完整性，保护组织免受手术创伤或在视网膜复位期间充当填塞。</w:t>
      </w:r>
      <w:r w:rsidRPr="000B366D">
        <w:rPr>
          <w:rFonts w:ascii="Arial" w:eastAsia="宋体" w:hAnsi="Arial" w:cs="Arial"/>
          <w:sz w:val="24"/>
          <w:szCs w:val="24"/>
        </w:rPr>
        <w:t>21 CFR 886.4275</w:t>
      </w:r>
      <w:r w:rsidRPr="000B366D">
        <w:rPr>
          <w:rFonts w:ascii="Arial" w:eastAsia="宋体" w:hAnsi="Arial" w:cs="Arial"/>
          <w:sz w:val="24"/>
          <w:szCs w:val="24"/>
        </w:rPr>
        <w:t>。</w:t>
      </w:r>
    </w:p>
    <w:p w:rsidR="003F2FB4" w:rsidRPr="000B366D" w:rsidRDefault="00BE5706" w:rsidP="007C2304">
      <w:pPr>
        <w:pStyle w:val="a4"/>
        <w:numPr>
          <w:ilvl w:val="2"/>
          <w:numId w:val="3"/>
        </w:numPr>
        <w:tabs>
          <w:tab w:val="left" w:pos="1540"/>
        </w:tabs>
        <w:overflowPunct w:val="0"/>
        <w:snapToGrid w:val="0"/>
        <w:spacing w:line="300" w:lineRule="auto"/>
        <w:ind w:leftChars="500" w:left="1457" w:hanging="357"/>
        <w:jc w:val="both"/>
        <w:rPr>
          <w:rFonts w:ascii="Arial" w:eastAsia="宋体" w:hAnsi="Arial" w:cs="Arial"/>
          <w:sz w:val="24"/>
          <w:szCs w:val="24"/>
        </w:rPr>
      </w:pPr>
      <w:r w:rsidRPr="000B366D">
        <w:rPr>
          <w:rFonts w:ascii="Arial" w:eastAsia="宋体" w:hAnsi="Arial" w:cs="Arial"/>
          <w:b/>
          <w:sz w:val="24"/>
          <w:szCs w:val="24"/>
        </w:rPr>
        <w:t>粘弹性眼科植入器械</w:t>
      </w:r>
      <w:r w:rsidR="00C75635" w:rsidRPr="000B366D">
        <w:rPr>
          <w:rFonts w:ascii="Arial" w:eastAsia="宋体" w:hAnsi="Arial" w:cs="Arial"/>
          <w:b/>
          <w:sz w:val="24"/>
          <w:szCs w:val="24"/>
        </w:rPr>
        <w:t>（</w:t>
      </w:r>
      <w:r w:rsidRPr="000B366D">
        <w:rPr>
          <w:rFonts w:ascii="Arial" w:eastAsia="宋体" w:hAnsi="Arial" w:cs="Arial"/>
          <w:b/>
          <w:sz w:val="24"/>
          <w:szCs w:val="24"/>
        </w:rPr>
        <w:t>OVD</w:t>
      </w:r>
      <w:r w:rsidR="00C75635" w:rsidRPr="000B366D">
        <w:rPr>
          <w:rFonts w:ascii="Arial" w:eastAsia="宋体" w:hAnsi="Arial" w:cs="Arial"/>
          <w:b/>
          <w:sz w:val="24"/>
          <w:szCs w:val="24"/>
        </w:rPr>
        <w:t>）</w:t>
      </w:r>
      <w:r w:rsidR="00E133A0" w:rsidRPr="000B366D">
        <w:rPr>
          <w:rFonts w:ascii="Arial" w:eastAsia="宋体" w:hAnsi="Arial" w:cs="Arial"/>
          <w:b/>
          <w:sz w:val="24"/>
          <w:szCs w:val="24"/>
        </w:rPr>
        <w:t>：</w:t>
      </w:r>
      <w:r w:rsidRPr="000B366D">
        <w:rPr>
          <w:rFonts w:ascii="Arial" w:eastAsia="宋体" w:hAnsi="Arial" w:cs="Arial"/>
          <w:sz w:val="24"/>
          <w:szCs w:val="24"/>
        </w:rPr>
        <w:t>在前房手术期间用作外科辅助工具以维持眼内空间并保护眼组织免受手术创伤的粘性和粘弹性眼内液。其通常用于白内障手术、角膜移植手术和青光眼滤过手术。此类器械通常预先包装在注射器中，在上市之前需要获得</w:t>
      </w:r>
      <w:r w:rsidRPr="000B366D">
        <w:rPr>
          <w:rFonts w:ascii="Arial" w:eastAsia="宋体" w:hAnsi="Arial" w:cs="Arial"/>
          <w:sz w:val="24"/>
          <w:szCs w:val="24"/>
        </w:rPr>
        <w:t>PMA</w:t>
      </w:r>
      <w:r w:rsidRPr="000B366D">
        <w:rPr>
          <w:rFonts w:ascii="Arial" w:eastAsia="宋体" w:hAnsi="Arial" w:cs="Arial"/>
          <w:sz w:val="24"/>
          <w:szCs w:val="24"/>
        </w:rPr>
        <w:t>批准。此术语包括粘弹性外科辅助工具。</w:t>
      </w:r>
    </w:p>
    <w:p w:rsidR="003F2FB4" w:rsidRPr="000B366D" w:rsidRDefault="00BE5706" w:rsidP="00E133A0">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人工晶状体</w:t>
      </w:r>
      <w:r w:rsidR="00C75635" w:rsidRPr="000B366D">
        <w:rPr>
          <w:rFonts w:ascii="Arial" w:eastAsia="宋体" w:hAnsi="Arial" w:cs="Arial"/>
          <w:b/>
          <w:sz w:val="24"/>
          <w:szCs w:val="24"/>
        </w:rPr>
        <w:t>（</w:t>
      </w:r>
      <w:r w:rsidRPr="000B366D">
        <w:rPr>
          <w:rFonts w:ascii="Arial" w:eastAsia="宋体" w:hAnsi="Arial" w:cs="Arial"/>
          <w:b/>
          <w:sz w:val="24"/>
          <w:szCs w:val="24"/>
        </w:rPr>
        <w:t>IOL</w:t>
      </w:r>
      <w:r w:rsidR="00C75635" w:rsidRPr="000B366D">
        <w:rPr>
          <w:rFonts w:ascii="Arial" w:eastAsia="宋体" w:hAnsi="Arial" w:cs="Arial"/>
          <w:b/>
          <w:sz w:val="24"/>
          <w:szCs w:val="24"/>
        </w:rPr>
        <w:t>）</w:t>
      </w:r>
      <w:r w:rsidR="00E133A0" w:rsidRPr="000B366D">
        <w:rPr>
          <w:rFonts w:ascii="Arial" w:eastAsia="宋体" w:hAnsi="Arial" w:cs="Arial"/>
          <w:b/>
          <w:sz w:val="24"/>
          <w:szCs w:val="24"/>
        </w:rPr>
        <w:t>：</w:t>
      </w:r>
      <w:r w:rsidRPr="000B366D">
        <w:rPr>
          <w:rFonts w:ascii="Arial" w:eastAsia="宋体" w:hAnsi="Arial" w:cs="Arial"/>
          <w:sz w:val="24"/>
          <w:szCs w:val="24"/>
        </w:rPr>
        <w:t>用于植入以代替眼睛的天然晶状体的人工晶状体。</w:t>
      </w:r>
      <w:r w:rsidRPr="000B366D">
        <w:rPr>
          <w:rFonts w:ascii="Arial" w:eastAsia="宋体" w:hAnsi="Arial" w:cs="Arial"/>
          <w:sz w:val="24"/>
          <w:szCs w:val="24"/>
        </w:rPr>
        <w:t>21 CFR 886.3600</w:t>
      </w:r>
      <w:r w:rsidRPr="000B366D">
        <w:rPr>
          <w:rFonts w:ascii="Arial" w:eastAsia="宋体" w:hAnsi="Arial" w:cs="Arial"/>
          <w:sz w:val="24"/>
          <w:szCs w:val="24"/>
        </w:rPr>
        <w:t>。在白内障手术期间，</w:t>
      </w:r>
      <w:r w:rsidRPr="000B366D">
        <w:rPr>
          <w:rFonts w:ascii="Arial" w:eastAsia="宋体" w:hAnsi="Arial" w:cs="Arial"/>
          <w:sz w:val="24"/>
          <w:szCs w:val="24"/>
        </w:rPr>
        <w:t>IOL</w:t>
      </w:r>
      <w:r w:rsidRPr="000B366D">
        <w:rPr>
          <w:rFonts w:ascii="Arial" w:eastAsia="宋体" w:hAnsi="Arial" w:cs="Arial"/>
          <w:sz w:val="24"/>
          <w:szCs w:val="24"/>
        </w:rPr>
        <w:t>可以用于恢复视力和在去除天然晶状体之后代替眼睛的天然晶状体。在未去除天然晶状体，但需要矫正屈光不正时，也可使用</w:t>
      </w:r>
      <w:r w:rsidRPr="000B366D">
        <w:rPr>
          <w:rFonts w:ascii="Arial" w:eastAsia="宋体" w:hAnsi="Arial" w:cs="Arial"/>
          <w:sz w:val="24"/>
          <w:szCs w:val="24"/>
        </w:rPr>
        <w:t>IOL</w:t>
      </w:r>
      <w:r w:rsidRPr="000B366D">
        <w:rPr>
          <w:rFonts w:ascii="Arial" w:eastAsia="宋体" w:hAnsi="Arial" w:cs="Arial"/>
          <w:sz w:val="24"/>
          <w:szCs w:val="24"/>
        </w:rPr>
        <w:t>。</w:t>
      </w:r>
      <w:r w:rsidRPr="000B366D">
        <w:rPr>
          <w:rFonts w:ascii="Arial" w:eastAsia="宋体" w:hAnsi="Arial" w:cs="Arial"/>
          <w:sz w:val="24"/>
          <w:szCs w:val="24"/>
        </w:rPr>
        <w:t>IOL</w:t>
      </w:r>
      <w:r w:rsidRPr="000B366D">
        <w:rPr>
          <w:rFonts w:ascii="Arial" w:eastAsia="宋体" w:hAnsi="Arial" w:cs="Arial"/>
          <w:sz w:val="24"/>
          <w:szCs w:val="24"/>
        </w:rPr>
        <w:t>分为单焦点，复曲面，多焦点，调节性，虹膜重建和有晶状体眼等类型。虹膜重建晶状体用于从美容方面矫正眼睛外观的缺陷，其中，此类缺陷通常由缺少虹膜引起。</w:t>
      </w:r>
    </w:p>
    <w:p w:rsidR="003F2FB4" w:rsidRPr="000B366D" w:rsidRDefault="00BE5706" w:rsidP="00E133A0">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囊袋张力环：</w:t>
      </w:r>
      <w:r w:rsidRPr="000B366D">
        <w:rPr>
          <w:rFonts w:ascii="Arial" w:eastAsia="宋体" w:hAnsi="Arial" w:cs="Arial"/>
          <w:sz w:val="24"/>
          <w:szCs w:val="24"/>
        </w:rPr>
        <w:t>设计用于在使用人工晶状体进行白内障摘除术的患者具有较薄或部分缺少悬韧带的情况下稳定晶状体囊的假体器械。</w:t>
      </w:r>
    </w:p>
    <w:p w:rsidR="003F2FB4" w:rsidRPr="000B366D" w:rsidRDefault="00BE5706" w:rsidP="00E133A0">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青光眼器械：</w:t>
      </w:r>
      <w:r w:rsidRPr="000B366D">
        <w:rPr>
          <w:rFonts w:ascii="Arial" w:eastAsia="宋体" w:hAnsi="Arial" w:cs="Arial"/>
          <w:sz w:val="24"/>
          <w:szCs w:val="24"/>
        </w:rPr>
        <w:t>用于治疗青光眼的器械，其中青光眼指眼睛内的压力（即眼内压）异常高，从而导致视神经受损的病症。通常将此类器械部分植入眼前段，而将器械其他部分留在眼睛上。此类器械包括水分流器（</w:t>
      </w:r>
      <w:r w:rsidRPr="000B366D">
        <w:rPr>
          <w:rFonts w:ascii="Arial" w:eastAsia="宋体" w:hAnsi="Arial" w:cs="Arial"/>
          <w:sz w:val="24"/>
          <w:szCs w:val="24"/>
        </w:rPr>
        <w:t>21 CFR 886.3920</w:t>
      </w:r>
      <w:r w:rsidRPr="000B366D">
        <w:rPr>
          <w:rFonts w:ascii="Arial" w:eastAsia="宋体" w:hAnsi="Arial" w:cs="Arial"/>
          <w:sz w:val="24"/>
          <w:szCs w:val="24"/>
        </w:rPr>
        <w:t>）。</w:t>
      </w:r>
    </w:p>
    <w:p w:rsidR="003F2FB4" w:rsidRPr="000B366D" w:rsidRDefault="00BE5706" w:rsidP="00E133A0">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晶体乳化仪：</w:t>
      </w:r>
      <w:r w:rsidRPr="000B366D">
        <w:rPr>
          <w:rFonts w:ascii="Arial" w:eastAsia="宋体" w:hAnsi="Arial" w:cs="Arial"/>
          <w:sz w:val="24"/>
          <w:szCs w:val="24"/>
        </w:rPr>
        <w:t>晶体乳化仪是一种交流供电器械，其具有在白内障手术中使用超声波破坏白内障并摘除白内障的分割针。</w:t>
      </w:r>
      <w:r w:rsidRPr="000B366D">
        <w:rPr>
          <w:rFonts w:ascii="Arial" w:eastAsia="宋体" w:hAnsi="Arial" w:cs="Arial"/>
          <w:sz w:val="24"/>
          <w:szCs w:val="24"/>
        </w:rPr>
        <w:t>21 CFR 886.4670</w:t>
      </w:r>
      <w:r w:rsidRPr="000B366D">
        <w:rPr>
          <w:rFonts w:ascii="Arial" w:eastAsia="宋体" w:hAnsi="Arial" w:cs="Arial"/>
          <w:sz w:val="24"/>
          <w:szCs w:val="24"/>
        </w:rPr>
        <w:t>。该手持件由输送超声能量，以乳化晶状体并从其开口端吸出晶状体材料的尖端组成。</w:t>
      </w:r>
    </w:p>
    <w:p w:rsidR="003F2FB4" w:rsidRPr="000B366D" w:rsidRDefault="00BE5706" w:rsidP="007C2304">
      <w:pPr>
        <w:pStyle w:val="a4"/>
        <w:numPr>
          <w:ilvl w:val="2"/>
          <w:numId w:val="3"/>
        </w:numPr>
        <w:tabs>
          <w:tab w:val="left" w:pos="1540"/>
        </w:tabs>
        <w:overflowPunct w:val="0"/>
        <w:snapToGrid w:val="0"/>
        <w:spacing w:line="300" w:lineRule="auto"/>
        <w:ind w:leftChars="500" w:left="1457" w:hanging="357"/>
        <w:jc w:val="both"/>
        <w:rPr>
          <w:rFonts w:ascii="Arial" w:eastAsia="宋体" w:hAnsi="Arial" w:cs="Arial"/>
          <w:sz w:val="24"/>
          <w:szCs w:val="24"/>
        </w:rPr>
      </w:pPr>
      <w:r w:rsidRPr="000B366D">
        <w:rPr>
          <w:rFonts w:ascii="Arial" w:eastAsia="宋体" w:hAnsi="Arial" w:cs="Arial"/>
          <w:b/>
          <w:sz w:val="24"/>
          <w:szCs w:val="24"/>
        </w:rPr>
        <w:t>套筒：</w:t>
      </w:r>
      <w:r w:rsidRPr="000B366D">
        <w:rPr>
          <w:rFonts w:ascii="Arial" w:eastAsia="宋体" w:hAnsi="Arial" w:cs="Arial"/>
          <w:sz w:val="24"/>
          <w:szCs w:val="24"/>
        </w:rPr>
        <w:t>晶体乳化手持件的尖端包裹着套筒，其通常具有橡胶稠度，允许在尖端周围进行冲洗且可充当防止尖端穿透晶状体材料的屏障。</w:t>
      </w:r>
    </w:p>
    <w:p w:rsidR="003F2FB4" w:rsidRPr="000B366D" w:rsidRDefault="00BE5706" w:rsidP="007C2304">
      <w:pPr>
        <w:pStyle w:val="a4"/>
        <w:numPr>
          <w:ilvl w:val="2"/>
          <w:numId w:val="3"/>
        </w:numPr>
        <w:tabs>
          <w:tab w:val="left" w:pos="1540"/>
        </w:tabs>
        <w:overflowPunct w:val="0"/>
        <w:snapToGrid w:val="0"/>
        <w:spacing w:line="300" w:lineRule="auto"/>
        <w:ind w:leftChars="500" w:left="1457" w:hanging="357"/>
        <w:jc w:val="both"/>
        <w:rPr>
          <w:rFonts w:ascii="Arial" w:eastAsia="宋体" w:hAnsi="Arial" w:cs="Arial"/>
          <w:sz w:val="24"/>
          <w:szCs w:val="24"/>
        </w:rPr>
      </w:pPr>
      <w:r w:rsidRPr="000B366D">
        <w:rPr>
          <w:rFonts w:ascii="Arial" w:eastAsia="宋体" w:hAnsi="Arial" w:cs="Arial"/>
          <w:b/>
          <w:sz w:val="24"/>
          <w:szCs w:val="24"/>
        </w:rPr>
        <w:t>管道：</w:t>
      </w:r>
      <w:r w:rsidRPr="000B366D">
        <w:rPr>
          <w:rFonts w:ascii="Arial" w:eastAsia="宋体" w:hAnsi="Arial" w:cs="Arial"/>
          <w:sz w:val="24"/>
          <w:szCs w:val="24"/>
        </w:rPr>
        <w:t>将液体输入或输出眼睛的任何管腔器械。</w:t>
      </w:r>
    </w:p>
    <w:p w:rsidR="003F2FB4" w:rsidRPr="000B366D" w:rsidRDefault="00BE5706" w:rsidP="00355F5C">
      <w:pPr>
        <w:pStyle w:val="a4"/>
        <w:numPr>
          <w:ilvl w:val="1"/>
          <w:numId w:val="3"/>
        </w:numPr>
        <w:tabs>
          <w:tab w:val="left" w:pos="820"/>
        </w:tabs>
        <w:overflowPunct w:val="0"/>
        <w:snapToGrid w:val="0"/>
        <w:spacing w:before="3"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细菌内毒素：</w:t>
      </w:r>
      <w:r w:rsidRPr="000B366D">
        <w:rPr>
          <w:rFonts w:ascii="Arial" w:eastAsia="宋体" w:hAnsi="Arial" w:cs="Arial"/>
          <w:sz w:val="24"/>
          <w:szCs w:val="24"/>
        </w:rPr>
        <w:t>与革兰氏阴性细菌细胞壁相关的高分子量复合体，其在人体中具有致热原性，且可与鲎变形细胞裂解物（</w:t>
      </w:r>
      <w:r w:rsidRPr="000B366D">
        <w:rPr>
          <w:rFonts w:ascii="Arial" w:eastAsia="宋体" w:hAnsi="Arial" w:cs="Arial"/>
          <w:sz w:val="24"/>
          <w:szCs w:val="24"/>
        </w:rPr>
        <w:t>LAL</w:t>
      </w:r>
      <w:r w:rsidRPr="000B366D">
        <w:rPr>
          <w:rFonts w:ascii="Arial" w:eastAsia="宋体" w:hAnsi="Arial" w:cs="Arial"/>
          <w:sz w:val="24"/>
          <w:szCs w:val="24"/>
        </w:rPr>
        <w:t>）进行特异性相互作用。</w:t>
      </w:r>
      <w:hyperlink w:anchor="_bookmark1" w:history="1">
        <w:r w:rsidRPr="000B366D">
          <w:rPr>
            <w:rFonts w:ascii="Arial" w:eastAsia="宋体" w:hAnsi="Arial" w:cs="Arial"/>
            <w:sz w:val="24"/>
            <w:szCs w:val="24"/>
            <w:vertAlign w:val="superscript"/>
          </w:rPr>
          <w:t>1</w:t>
        </w:r>
      </w:hyperlink>
    </w:p>
    <w:p w:rsidR="003F2FB4" w:rsidRPr="000B366D" w:rsidRDefault="00BE5706" w:rsidP="00013A2E">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细菌内毒素单位</w:t>
      </w:r>
      <w:r w:rsidRPr="000B366D">
        <w:rPr>
          <w:rFonts w:ascii="Arial" w:eastAsia="宋体" w:hAnsi="Arial" w:cs="Arial"/>
          <w:b/>
          <w:sz w:val="24"/>
          <w:szCs w:val="24"/>
        </w:rPr>
        <w:t xml:space="preserve"> </w:t>
      </w:r>
      <w:r w:rsidR="00C75635" w:rsidRPr="000B366D">
        <w:rPr>
          <w:rFonts w:ascii="Arial" w:eastAsia="宋体" w:hAnsi="Arial" w:cs="Arial"/>
          <w:b/>
          <w:sz w:val="24"/>
          <w:szCs w:val="24"/>
        </w:rPr>
        <w:t>（</w:t>
      </w:r>
      <w:r w:rsidRPr="000B366D">
        <w:rPr>
          <w:rFonts w:ascii="Arial" w:eastAsia="宋体" w:hAnsi="Arial" w:cs="Arial"/>
          <w:b/>
          <w:sz w:val="24"/>
          <w:szCs w:val="24"/>
        </w:rPr>
        <w:t>EU</w:t>
      </w:r>
      <w:r w:rsidR="00C75635" w:rsidRPr="000B366D">
        <w:rPr>
          <w:rFonts w:ascii="Arial" w:eastAsia="宋体" w:hAnsi="Arial" w:cs="Arial"/>
          <w:b/>
          <w:sz w:val="24"/>
          <w:szCs w:val="24"/>
        </w:rPr>
        <w:t>）</w:t>
      </w:r>
      <w:r w:rsidR="00E133A0" w:rsidRPr="000B366D">
        <w:rPr>
          <w:rFonts w:ascii="Arial" w:eastAsia="宋体" w:hAnsi="Arial" w:cs="Arial"/>
          <w:b/>
          <w:sz w:val="24"/>
          <w:szCs w:val="24"/>
        </w:rPr>
        <w:t>：</w:t>
      </w:r>
      <w:r w:rsidRPr="000B366D">
        <w:rPr>
          <w:rFonts w:ascii="Arial" w:eastAsia="宋体" w:hAnsi="Arial" w:cs="Arial"/>
          <w:sz w:val="24"/>
          <w:szCs w:val="24"/>
        </w:rPr>
        <w:t>最初根据</w:t>
      </w:r>
      <w:r w:rsidRPr="000B366D">
        <w:rPr>
          <w:rFonts w:ascii="Arial" w:eastAsia="宋体" w:hAnsi="Arial" w:cs="Arial"/>
          <w:sz w:val="24"/>
          <w:szCs w:val="24"/>
        </w:rPr>
        <w:t>0.2ng</w:t>
      </w:r>
      <w:r w:rsidRPr="000B366D">
        <w:rPr>
          <w:rFonts w:ascii="Arial" w:eastAsia="宋体" w:hAnsi="Arial" w:cs="Arial"/>
          <w:sz w:val="24"/>
          <w:szCs w:val="24"/>
        </w:rPr>
        <w:t>美国参考标准细菌内毒素批次</w:t>
      </w:r>
      <w:r w:rsidRPr="000B366D">
        <w:rPr>
          <w:rFonts w:ascii="Arial" w:eastAsia="宋体" w:hAnsi="Arial" w:cs="Arial"/>
          <w:sz w:val="24"/>
          <w:szCs w:val="24"/>
        </w:rPr>
        <w:lastRenderedPageBreak/>
        <w:t>EC-2</w:t>
      </w:r>
      <w:r w:rsidRPr="000B366D">
        <w:rPr>
          <w:rFonts w:ascii="Arial" w:eastAsia="宋体" w:hAnsi="Arial" w:cs="Arial"/>
          <w:sz w:val="24"/>
          <w:szCs w:val="24"/>
        </w:rPr>
        <w:t>（</w:t>
      </w:r>
      <w:r w:rsidRPr="000B366D">
        <w:rPr>
          <w:rFonts w:ascii="Arial" w:eastAsia="宋体" w:hAnsi="Arial" w:cs="Arial"/>
          <w:sz w:val="24"/>
          <w:szCs w:val="24"/>
        </w:rPr>
        <w:t>USP</w:t>
      </w:r>
      <w:r w:rsidRPr="000B366D">
        <w:rPr>
          <w:rFonts w:ascii="Arial" w:eastAsia="宋体" w:hAnsi="Arial" w:cs="Arial"/>
          <w:sz w:val="24"/>
          <w:szCs w:val="24"/>
        </w:rPr>
        <w:t>标准参考材料）中所含的活性确定的内毒素活性的标准测量单位。内毒素以国际单位（</w:t>
      </w:r>
      <w:r w:rsidRPr="000B366D">
        <w:rPr>
          <w:rFonts w:ascii="Arial" w:eastAsia="宋体" w:hAnsi="Arial" w:cs="Arial"/>
          <w:sz w:val="24"/>
          <w:szCs w:val="24"/>
        </w:rPr>
        <w:t>IU</w:t>
      </w:r>
      <w:r w:rsidRPr="000B366D">
        <w:rPr>
          <w:rFonts w:ascii="Arial" w:eastAsia="宋体" w:hAnsi="Arial" w:cs="Arial"/>
          <w:sz w:val="24"/>
          <w:szCs w:val="24"/>
        </w:rPr>
        <w:t>）表示，一个</w:t>
      </w:r>
      <w:r w:rsidRPr="000B366D">
        <w:rPr>
          <w:rFonts w:ascii="Arial" w:eastAsia="宋体" w:hAnsi="Arial" w:cs="Arial"/>
          <w:sz w:val="24"/>
          <w:szCs w:val="24"/>
        </w:rPr>
        <w:t>EU</w:t>
      </w:r>
      <w:r w:rsidRPr="000B366D">
        <w:rPr>
          <w:rFonts w:ascii="Arial" w:eastAsia="宋体" w:hAnsi="Arial" w:cs="Arial"/>
          <w:sz w:val="24"/>
          <w:szCs w:val="24"/>
        </w:rPr>
        <w:t>等于一个</w:t>
      </w:r>
      <w:r w:rsidRPr="000B366D">
        <w:rPr>
          <w:rFonts w:ascii="Arial" w:eastAsia="宋体" w:hAnsi="Arial" w:cs="Arial"/>
          <w:sz w:val="24"/>
          <w:szCs w:val="24"/>
        </w:rPr>
        <w:t>IU</w:t>
      </w:r>
      <w:r w:rsidRPr="000B366D">
        <w:rPr>
          <w:rFonts w:ascii="Arial" w:eastAsia="宋体" w:hAnsi="Arial" w:cs="Arial"/>
          <w:sz w:val="24"/>
          <w:szCs w:val="24"/>
        </w:rPr>
        <w:t>。</w:t>
      </w:r>
      <w:r w:rsidRPr="000B366D">
        <w:rPr>
          <w:rFonts w:ascii="Arial" w:eastAsia="宋体" w:hAnsi="Arial" w:cs="Arial"/>
          <w:sz w:val="24"/>
          <w:szCs w:val="24"/>
          <w:vertAlign w:val="superscript"/>
        </w:rPr>
        <w:t>1</w:t>
      </w:r>
    </w:p>
    <w:p w:rsidR="003F2FB4" w:rsidRPr="000B366D" w:rsidRDefault="00BE5706" w:rsidP="00013A2E">
      <w:pPr>
        <w:pStyle w:val="a4"/>
        <w:numPr>
          <w:ilvl w:val="1"/>
          <w:numId w:val="3"/>
        </w:numPr>
        <w:tabs>
          <w:tab w:val="left" w:pos="82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前段：</w:t>
      </w:r>
      <w:r w:rsidRPr="000B366D">
        <w:rPr>
          <w:rFonts w:ascii="Arial" w:eastAsia="宋体" w:hAnsi="Arial" w:cs="Arial"/>
          <w:sz w:val="24"/>
          <w:szCs w:val="24"/>
        </w:rPr>
        <w:t>眼睛的前三分之一，其中包括位于角膜前表面和玻璃体之间的所有结构。</w:t>
      </w:r>
    </w:p>
    <w:p w:rsidR="003F2FB4" w:rsidRPr="000B366D" w:rsidRDefault="00BE5706" w:rsidP="00013A2E">
      <w:pPr>
        <w:pStyle w:val="a4"/>
        <w:numPr>
          <w:ilvl w:val="1"/>
          <w:numId w:val="3"/>
        </w:numPr>
        <w:tabs>
          <w:tab w:val="left" w:pos="840"/>
        </w:tabs>
        <w:overflowPunct w:val="0"/>
        <w:snapToGrid w:val="0"/>
        <w:spacing w:line="300" w:lineRule="auto"/>
        <w:ind w:leftChars="200" w:left="797" w:hanging="357"/>
        <w:jc w:val="both"/>
        <w:rPr>
          <w:rFonts w:ascii="Arial" w:eastAsia="宋体" w:hAnsi="Arial" w:cs="Arial"/>
          <w:sz w:val="24"/>
          <w:szCs w:val="24"/>
        </w:rPr>
      </w:pPr>
      <w:bookmarkStart w:id="4" w:name="Background"/>
      <w:bookmarkEnd w:id="4"/>
      <w:r w:rsidRPr="000B366D">
        <w:rPr>
          <w:rFonts w:ascii="Arial" w:eastAsia="宋体" w:hAnsi="Arial" w:cs="Arial"/>
          <w:b/>
          <w:sz w:val="24"/>
          <w:szCs w:val="24"/>
        </w:rPr>
        <w:t>前房</w:t>
      </w:r>
      <w:r w:rsidRPr="000B366D">
        <w:rPr>
          <w:rFonts w:ascii="Arial" w:eastAsia="宋体" w:hAnsi="Arial" w:cs="Arial"/>
          <w:sz w:val="24"/>
          <w:szCs w:val="24"/>
        </w:rPr>
        <w:t>位于角膜后面和虹膜前面的眼内空间。其含有房水。</w:t>
      </w:r>
    </w:p>
    <w:p w:rsidR="003F2FB4" w:rsidRPr="000B366D" w:rsidRDefault="00BE5706" w:rsidP="00013A2E">
      <w:pPr>
        <w:pStyle w:val="a4"/>
        <w:numPr>
          <w:ilvl w:val="1"/>
          <w:numId w:val="3"/>
        </w:numPr>
        <w:tabs>
          <w:tab w:val="left" w:pos="840"/>
        </w:tabs>
        <w:overflowPunct w:val="0"/>
        <w:snapToGrid w:val="0"/>
        <w:spacing w:line="300" w:lineRule="auto"/>
        <w:ind w:leftChars="200" w:left="797" w:hanging="357"/>
        <w:jc w:val="both"/>
        <w:rPr>
          <w:rFonts w:ascii="Arial" w:eastAsia="宋体" w:hAnsi="Arial" w:cs="Arial"/>
          <w:sz w:val="24"/>
          <w:szCs w:val="24"/>
        </w:rPr>
      </w:pPr>
      <w:r w:rsidRPr="000B366D">
        <w:rPr>
          <w:rFonts w:ascii="Arial" w:eastAsia="宋体" w:hAnsi="Arial" w:cs="Arial"/>
          <w:b/>
          <w:sz w:val="24"/>
          <w:szCs w:val="24"/>
        </w:rPr>
        <w:t>房水：</w:t>
      </w:r>
      <w:r w:rsidRPr="000B366D">
        <w:rPr>
          <w:rFonts w:ascii="Arial" w:eastAsia="宋体" w:hAnsi="Arial" w:cs="Arial"/>
          <w:sz w:val="24"/>
          <w:szCs w:val="24"/>
        </w:rPr>
        <w:t>眼前房和眼后房中循环的透明水样液体。其可维持眼睛的眼内压，为无血管眼组织提供氨基酸和葡萄糖，并在眼睛的</w:t>
      </w:r>
      <w:r w:rsidR="00C75635" w:rsidRPr="000B366D">
        <w:rPr>
          <w:rFonts w:ascii="Arial" w:eastAsia="宋体" w:hAnsi="Arial" w:cs="Arial"/>
          <w:sz w:val="24"/>
          <w:szCs w:val="24"/>
        </w:rPr>
        <w:t>免疫应答</w:t>
      </w:r>
      <w:r w:rsidRPr="000B366D">
        <w:rPr>
          <w:rFonts w:ascii="Arial" w:eastAsia="宋体" w:hAnsi="Arial" w:cs="Arial"/>
          <w:sz w:val="24"/>
          <w:szCs w:val="24"/>
        </w:rPr>
        <w:t>中发挥作用。</w:t>
      </w:r>
    </w:p>
    <w:p w:rsidR="003F2FB4" w:rsidRPr="000B366D" w:rsidRDefault="00BE5706" w:rsidP="00013A2E">
      <w:pPr>
        <w:pStyle w:val="a4"/>
        <w:numPr>
          <w:ilvl w:val="1"/>
          <w:numId w:val="3"/>
        </w:numPr>
        <w:tabs>
          <w:tab w:val="left" w:pos="840"/>
        </w:tabs>
        <w:overflowPunct w:val="0"/>
        <w:snapToGrid w:val="0"/>
        <w:spacing w:before="3" w:line="300" w:lineRule="auto"/>
        <w:ind w:leftChars="200" w:left="797" w:hanging="357"/>
        <w:jc w:val="both"/>
        <w:rPr>
          <w:rFonts w:ascii="Arial" w:eastAsia="宋体" w:hAnsi="Arial" w:cs="Arial"/>
          <w:sz w:val="24"/>
          <w:szCs w:val="24"/>
        </w:rPr>
      </w:pPr>
      <w:r w:rsidRPr="000B366D">
        <w:rPr>
          <w:rFonts w:ascii="Arial" w:eastAsia="宋体" w:hAnsi="Arial" w:cs="Arial"/>
          <w:sz w:val="24"/>
          <w:szCs w:val="24"/>
        </w:rPr>
        <w:t>细菌内毒素检测</w:t>
      </w:r>
      <w:r w:rsidR="00C75635" w:rsidRPr="000B366D">
        <w:rPr>
          <w:rFonts w:ascii="Arial" w:eastAsia="宋体" w:hAnsi="Arial" w:cs="Arial"/>
          <w:b/>
          <w:sz w:val="24"/>
          <w:szCs w:val="24"/>
        </w:rPr>
        <w:t>（</w:t>
      </w:r>
      <w:r w:rsidRPr="000B366D">
        <w:rPr>
          <w:rFonts w:ascii="Arial" w:eastAsia="宋体" w:hAnsi="Arial" w:cs="Arial"/>
          <w:b/>
          <w:sz w:val="24"/>
          <w:szCs w:val="24"/>
        </w:rPr>
        <w:t>BET</w:t>
      </w:r>
      <w:r w:rsidR="00C75635" w:rsidRPr="000B366D">
        <w:rPr>
          <w:rFonts w:ascii="Arial" w:eastAsia="宋体" w:hAnsi="Arial" w:cs="Arial"/>
          <w:b/>
          <w:sz w:val="24"/>
          <w:szCs w:val="24"/>
        </w:rPr>
        <w:t>）</w:t>
      </w:r>
      <w:r w:rsidR="00E133A0" w:rsidRPr="000B366D">
        <w:rPr>
          <w:rFonts w:ascii="Arial" w:eastAsia="宋体" w:hAnsi="Arial" w:cs="Arial"/>
          <w:sz w:val="24"/>
          <w:szCs w:val="24"/>
        </w:rPr>
        <w:t>：</w:t>
      </w:r>
      <w:r w:rsidRPr="000B366D">
        <w:rPr>
          <w:rFonts w:ascii="Arial" w:eastAsia="宋体" w:hAnsi="Arial" w:cs="Arial"/>
          <w:sz w:val="24"/>
          <w:szCs w:val="24"/>
        </w:rPr>
        <w:t>通过将液体试验样品与鲎变形细胞裂解物（</w:t>
      </w:r>
      <w:r w:rsidRPr="000B366D">
        <w:rPr>
          <w:rFonts w:ascii="Arial" w:eastAsia="宋体" w:hAnsi="Arial" w:cs="Arial"/>
          <w:sz w:val="24"/>
          <w:szCs w:val="24"/>
        </w:rPr>
        <w:t>LAL</w:t>
      </w:r>
      <w:r w:rsidRPr="000B366D">
        <w:rPr>
          <w:rFonts w:ascii="Arial" w:eastAsia="宋体" w:hAnsi="Arial" w:cs="Arial"/>
          <w:sz w:val="24"/>
          <w:szCs w:val="24"/>
        </w:rPr>
        <w:t>）试剂结合来测量活性内毒素，并通过凝胶凝块、比浊法、显色法或其他有效的检测方法测量所得比例反应的测定。</w:t>
      </w:r>
      <w:hyperlink w:anchor="_bookmark1" w:history="1">
        <w:r w:rsidRPr="000B366D">
          <w:rPr>
            <w:rFonts w:ascii="Arial" w:eastAsia="宋体" w:hAnsi="Arial" w:cs="Arial"/>
            <w:sz w:val="24"/>
            <w:szCs w:val="24"/>
            <w:vertAlign w:val="superscript"/>
          </w:rPr>
          <w:t>1</w:t>
        </w:r>
      </w:hyperlink>
    </w:p>
    <w:p w:rsidR="003F2FB4" w:rsidRPr="000B366D" w:rsidRDefault="00BE5706" w:rsidP="004003F3">
      <w:pPr>
        <w:pStyle w:val="3"/>
        <w:numPr>
          <w:ilvl w:val="0"/>
          <w:numId w:val="5"/>
        </w:numPr>
        <w:snapToGrid w:val="0"/>
        <w:spacing w:beforeLines="50" w:before="120" w:afterLines="50" w:after="120" w:line="276" w:lineRule="auto"/>
        <w:jc w:val="both"/>
        <w:rPr>
          <w:rFonts w:ascii="Arial" w:hAnsi="Arial" w:cs="Arial"/>
        </w:rPr>
      </w:pPr>
      <w:r w:rsidRPr="000B366D">
        <w:rPr>
          <w:rFonts w:ascii="Arial" w:hAnsi="Arial" w:cs="Arial"/>
        </w:rPr>
        <w:t>背景</w:t>
      </w:r>
    </w:p>
    <w:p w:rsidR="003F2FB4" w:rsidRPr="000B366D" w:rsidRDefault="00BE5706" w:rsidP="004003F3">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在过去十年中，</w:t>
      </w:r>
      <w:r w:rsidRPr="000B366D">
        <w:rPr>
          <w:rFonts w:ascii="Arial" w:hAnsi="Arial" w:cs="Arial"/>
        </w:rPr>
        <w:t>TASS</w:t>
      </w:r>
      <w:r w:rsidRPr="000B366D">
        <w:rPr>
          <w:rFonts w:ascii="Arial" w:hAnsi="Arial" w:cs="Arial"/>
        </w:rPr>
        <w:t>的发作频率已经从约</w:t>
      </w:r>
      <w:r w:rsidRPr="000B366D">
        <w:rPr>
          <w:rFonts w:ascii="Arial" w:hAnsi="Arial" w:cs="Arial"/>
        </w:rPr>
        <w:t>1/1000</w:t>
      </w:r>
      <w:r w:rsidRPr="000B366D">
        <w:rPr>
          <w:rFonts w:ascii="Arial" w:hAnsi="Arial" w:cs="Arial"/>
        </w:rPr>
        <w:t>增加到了约</w:t>
      </w:r>
      <w:r w:rsidRPr="000B366D">
        <w:rPr>
          <w:rFonts w:ascii="Arial" w:hAnsi="Arial" w:cs="Arial"/>
        </w:rPr>
        <w:t>2/100</w:t>
      </w:r>
      <w:r w:rsidRPr="000B366D">
        <w:rPr>
          <w:rFonts w:ascii="Arial" w:hAnsi="Arial" w:cs="Arial"/>
        </w:rPr>
        <w:t>。</w:t>
      </w:r>
      <w:hyperlink w:anchor="_bookmark2" w:history="1">
        <w:r w:rsidRPr="000B366D">
          <w:rPr>
            <w:rFonts w:ascii="Arial" w:hAnsi="Arial" w:cs="Arial"/>
            <w:vertAlign w:val="superscript"/>
          </w:rPr>
          <w:t>2-4</w:t>
        </w:r>
        <w:r w:rsidRPr="000B366D">
          <w:rPr>
            <w:rFonts w:ascii="Arial" w:hAnsi="Arial" w:cs="Arial"/>
          </w:rPr>
          <w:t xml:space="preserve"> </w:t>
        </w:r>
      </w:hyperlink>
      <w:r w:rsidR="004878FD" w:rsidRPr="000B366D">
        <w:rPr>
          <w:rFonts w:ascii="Arial" w:hAnsi="Arial" w:cs="Arial"/>
        </w:rPr>
        <w:t>部分</w:t>
      </w:r>
      <w:r w:rsidR="004878FD" w:rsidRPr="000B366D">
        <w:rPr>
          <w:rFonts w:ascii="Arial" w:hAnsi="Arial" w:cs="Arial"/>
        </w:rPr>
        <w:t>TASS</w:t>
      </w:r>
      <w:r w:rsidR="004878FD" w:rsidRPr="000B366D">
        <w:rPr>
          <w:rFonts w:ascii="Arial" w:hAnsi="Arial" w:cs="Arial"/>
        </w:rPr>
        <w:t>病例</w:t>
      </w:r>
      <w:r w:rsidRPr="000B366D">
        <w:rPr>
          <w:rFonts w:ascii="Arial" w:hAnsi="Arial" w:cs="Arial"/>
        </w:rPr>
        <w:t>极为严重，需要进行二次手术干预，包括青光眼手术和角膜移植术。</w:t>
      </w:r>
      <w:hyperlink w:anchor="_bookmark3" w:history="1">
        <w:r w:rsidRPr="000B366D">
          <w:rPr>
            <w:rFonts w:ascii="Arial" w:hAnsi="Arial" w:cs="Arial"/>
            <w:vertAlign w:val="superscript"/>
          </w:rPr>
          <w:t>5</w:t>
        </w:r>
      </w:hyperlink>
      <w:r w:rsidRPr="000B366D">
        <w:rPr>
          <w:rFonts w:ascii="Arial" w:hAnsi="Arial" w:cs="Arial"/>
        </w:rPr>
        <w:t>使用未适当或未正确加工的眼科手术工具可能是引发</w:t>
      </w:r>
      <w:r w:rsidRPr="000B366D">
        <w:rPr>
          <w:rFonts w:ascii="Arial" w:hAnsi="Arial" w:cs="Arial"/>
        </w:rPr>
        <w:t>TASS</w:t>
      </w:r>
      <w:r w:rsidRPr="000B366D">
        <w:rPr>
          <w:rFonts w:ascii="Arial" w:hAnsi="Arial" w:cs="Arial"/>
        </w:rPr>
        <w:t>的因素之一。</w:t>
      </w:r>
      <w:hyperlink w:anchor="_bookmark4" w:history="1">
        <w:r w:rsidRPr="000B366D">
          <w:rPr>
            <w:rFonts w:ascii="Arial" w:hAnsi="Arial" w:cs="Arial"/>
            <w:vertAlign w:val="superscript"/>
          </w:rPr>
          <w:t>6-9</w:t>
        </w:r>
        <w:r w:rsidRPr="000B366D">
          <w:rPr>
            <w:rFonts w:ascii="Arial" w:hAnsi="Arial" w:cs="Arial"/>
          </w:rPr>
          <w:t xml:space="preserve"> </w:t>
        </w:r>
      </w:hyperlink>
      <w:r w:rsidRPr="000B366D">
        <w:rPr>
          <w:rFonts w:ascii="Arial" w:hAnsi="Arial" w:cs="Arial"/>
        </w:rPr>
        <w:t>在多数</w:t>
      </w:r>
      <w:r w:rsidR="004878FD" w:rsidRPr="000B366D">
        <w:rPr>
          <w:rFonts w:ascii="Arial" w:hAnsi="Arial" w:cs="Arial"/>
        </w:rPr>
        <w:t>TASS</w:t>
      </w:r>
      <w:r w:rsidR="004878FD" w:rsidRPr="000B366D">
        <w:rPr>
          <w:rFonts w:ascii="Arial" w:hAnsi="Arial" w:cs="Arial"/>
        </w:rPr>
        <w:t>病例</w:t>
      </w:r>
      <w:r w:rsidRPr="000B366D">
        <w:rPr>
          <w:rFonts w:ascii="Arial" w:hAnsi="Arial" w:cs="Arial"/>
        </w:rPr>
        <w:t>中，医疗器械携带的细菌内毒素可引起炎症。</w:t>
      </w:r>
      <w:hyperlink w:anchor="_bookmark5" w:history="1">
        <w:r w:rsidRPr="000B366D">
          <w:rPr>
            <w:rFonts w:ascii="Arial" w:hAnsi="Arial" w:cs="Arial"/>
            <w:vertAlign w:val="superscript"/>
          </w:rPr>
          <w:t>10</w:t>
        </w:r>
      </w:hyperlink>
      <w:hyperlink w:anchor="_bookmark6" w:history="1">
        <w:r w:rsidRPr="000B366D">
          <w:rPr>
            <w:rFonts w:ascii="Arial" w:hAnsi="Arial" w:cs="Arial"/>
            <w:vertAlign w:val="superscript"/>
          </w:rPr>
          <w:t>,</w:t>
        </w:r>
      </w:hyperlink>
      <w:hyperlink w:anchor="_bookmark5" w:history="1">
        <w:r w:rsidRPr="000B366D">
          <w:rPr>
            <w:rFonts w:ascii="Arial" w:hAnsi="Arial" w:cs="Arial"/>
            <w:vertAlign w:val="superscript"/>
          </w:rPr>
          <w:t>11</w:t>
        </w:r>
      </w:hyperlink>
      <w:r w:rsidRPr="000B366D">
        <w:rPr>
          <w:rFonts w:ascii="Arial" w:hAnsi="Arial" w:cs="Arial"/>
        </w:rPr>
        <w:t>发现细菌内毒素是白内障手术中使用的平衡盐溶液的固有污染物，其导致</w:t>
      </w:r>
      <w:r w:rsidRPr="000B366D">
        <w:rPr>
          <w:rFonts w:ascii="Arial" w:hAnsi="Arial" w:cs="Arial"/>
        </w:rPr>
        <w:t>TASS</w:t>
      </w:r>
      <w:r w:rsidRPr="000B366D">
        <w:rPr>
          <w:rFonts w:ascii="Arial" w:hAnsi="Arial" w:cs="Arial"/>
        </w:rPr>
        <w:t>在</w:t>
      </w:r>
      <w:r w:rsidRPr="000B366D">
        <w:rPr>
          <w:rFonts w:ascii="Arial" w:hAnsi="Arial" w:cs="Arial"/>
        </w:rPr>
        <w:t>2005</w:t>
      </w:r>
      <w:r w:rsidRPr="000B366D">
        <w:rPr>
          <w:rFonts w:ascii="Arial" w:hAnsi="Arial" w:cs="Arial"/>
        </w:rPr>
        <w:t>年</w:t>
      </w:r>
      <w:r w:rsidR="008E1A19" w:rsidRPr="000B366D">
        <w:rPr>
          <w:rFonts w:ascii="Arial" w:hAnsi="Arial" w:cs="Arial"/>
        </w:rPr>
        <w:t>发作</w:t>
      </w:r>
      <w:r w:rsidRPr="000B366D">
        <w:rPr>
          <w:rFonts w:ascii="Arial" w:hAnsi="Arial" w:cs="Arial"/>
        </w:rPr>
        <w:t>，涉及</w:t>
      </w:r>
      <w:r w:rsidRPr="000B366D">
        <w:rPr>
          <w:rFonts w:ascii="Arial" w:hAnsi="Arial" w:cs="Arial"/>
        </w:rPr>
        <w:t>112</w:t>
      </w:r>
      <w:r w:rsidRPr="000B366D">
        <w:rPr>
          <w:rFonts w:ascii="Arial" w:hAnsi="Arial" w:cs="Arial"/>
        </w:rPr>
        <w:t>例患者。</w:t>
      </w:r>
      <w:hyperlink w:anchor="_bookmark7" w:history="1">
        <w:r w:rsidRPr="000B366D">
          <w:rPr>
            <w:rFonts w:ascii="Arial" w:hAnsi="Arial" w:cs="Arial"/>
            <w:vertAlign w:val="superscript"/>
          </w:rPr>
          <w:t>12</w:t>
        </w:r>
      </w:hyperlink>
    </w:p>
    <w:p w:rsidR="003F2FB4" w:rsidRPr="000B366D" w:rsidRDefault="00BE5706" w:rsidP="004003F3">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由于细菌可在含有水的介质中繁殖，在本质上呈水性，含有水性组分或在制造过程中以其他方式接触水的医疗器械易受细菌增生和后续细菌内毒素污染影响。因此，常用于眼科手术的黏弹性眼科植入器械（</w:t>
      </w:r>
      <w:r w:rsidRPr="000B366D">
        <w:rPr>
          <w:rFonts w:ascii="Arial" w:hAnsi="Arial" w:cs="Arial"/>
        </w:rPr>
        <w:t>OVD</w:t>
      </w:r>
      <w:r w:rsidRPr="000B366D">
        <w:rPr>
          <w:rFonts w:ascii="Arial" w:hAnsi="Arial" w:cs="Arial"/>
        </w:rPr>
        <w:t>）易受细菌内毒素污染影响。此外，用于制造具有生物学来源的透明质酸钠（</w:t>
      </w:r>
      <w:r w:rsidRPr="000B366D">
        <w:rPr>
          <w:rFonts w:ascii="Arial" w:hAnsi="Arial" w:cs="Arial"/>
        </w:rPr>
        <w:t>HA</w:t>
      </w:r>
      <w:r w:rsidRPr="000B366D">
        <w:rPr>
          <w:rFonts w:ascii="Arial" w:hAnsi="Arial" w:cs="Arial"/>
        </w:rPr>
        <w:t>）基</w:t>
      </w:r>
      <w:r w:rsidRPr="000B366D">
        <w:rPr>
          <w:rFonts w:ascii="Arial" w:hAnsi="Arial" w:cs="Arial"/>
        </w:rPr>
        <w:t>OVD</w:t>
      </w:r>
      <w:r w:rsidRPr="000B366D">
        <w:rPr>
          <w:rFonts w:ascii="Arial" w:hAnsi="Arial" w:cs="Arial"/>
        </w:rPr>
        <w:t>的原料也可能携带细菌内毒素。已经表明，与水性溶液中的细菌内毒素相比，由于其与敏感性眼部组织的接触时间更长，</w:t>
      </w:r>
      <w:r w:rsidRPr="000B366D">
        <w:rPr>
          <w:rFonts w:ascii="Arial" w:hAnsi="Arial" w:cs="Arial"/>
        </w:rPr>
        <w:t>OVD</w:t>
      </w:r>
      <w:r w:rsidRPr="000B366D">
        <w:rPr>
          <w:rFonts w:ascii="Arial" w:hAnsi="Arial" w:cs="Arial"/>
        </w:rPr>
        <w:t>等粘性材料中的细菌内毒素更可能引发炎症。</w:t>
      </w:r>
      <w:hyperlink w:anchor="_bookmark8" w:history="1">
        <w:r w:rsidRPr="000B366D">
          <w:rPr>
            <w:rFonts w:ascii="Arial" w:hAnsi="Arial" w:cs="Arial"/>
            <w:vertAlign w:val="superscript"/>
          </w:rPr>
          <w:t>13</w:t>
        </w:r>
      </w:hyperlink>
    </w:p>
    <w:p w:rsidR="003F2FB4" w:rsidRPr="000B366D" w:rsidRDefault="00BE5706" w:rsidP="004003F3">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如美国药典（</w:t>
      </w:r>
      <w:r w:rsidRPr="000B366D">
        <w:rPr>
          <w:rFonts w:ascii="Arial" w:hAnsi="Arial" w:cs="Arial"/>
        </w:rPr>
        <w:t>USP</w:t>
      </w:r>
      <w:r w:rsidRPr="000B366D">
        <w:rPr>
          <w:rFonts w:ascii="Arial" w:hAnsi="Arial" w:cs="Arial"/>
        </w:rPr>
        <w:t>）</w:t>
      </w:r>
      <w:r w:rsidRPr="000B366D">
        <w:rPr>
          <w:rFonts w:ascii="Arial" w:hAnsi="Arial" w:cs="Arial"/>
        </w:rPr>
        <w:t>&lt;85&gt;</w:t>
      </w:r>
      <w:r w:rsidRPr="000B366D">
        <w:rPr>
          <w:rFonts w:ascii="Arial" w:hAnsi="Arial" w:cs="Arial"/>
        </w:rPr>
        <w:t>细菌内毒素检测</w:t>
      </w:r>
      <w:hyperlink w:anchor="_bookmark9" w:history="1">
        <w:r w:rsidRPr="000B366D">
          <w:rPr>
            <w:rFonts w:ascii="Arial" w:hAnsi="Arial" w:cs="Arial"/>
            <w:vertAlign w:val="superscript"/>
          </w:rPr>
          <w:t>14</w:t>
        </w:r>
      </w:hyperlink>
      <w:r w:rsidRPr="000B366D">
        <w:rPr>
          <w:rFonts w:ascii="Arial" w:hAnsi="Arial" w:cs="Arial"/>
        </w:rPr>
        <w:t>、美国国家标准学会（</w:t>
      </w:r>
      <w:r w:rsidRPr="000B366D">
        <w:rPr>
          <w:rFonts w:ascii="Arial" w:hAnsi="Arial" w:cs="Arial"/>
        </w:rPr>
        <w:t>ANSI</w:t>
      </w:r>
      <w:r w:rsidRPr="000B366D">
        <w:rPr>
          <w:rFonts w:ascii="Arial" w:hAnsi="Arial" w:cs="Arial"/>
        </w:rPr>
        <w:t>）</w:t>
      </w:r>
      <w:r w:rsidRPr="000B366D">
        <w:rPr>
          <w:rFonts w:ascii="Arial" w:hAnsi="Arial" w:cs="Arial"/>
        </w:rPr>
        <w:t>/</w:t>
      </w:r>
      <w:r w:rsidRPr="000B366D">
        <w:rPr>
          <w:rFonts w:ascii="Arial" w:hAnsi="Arial" w:cs="Arial"/>
        </w:rPr>
        <w:t>美国国家标准学会（</w:t>
      </w:r>
      <w:r w:rsidRPr="000B366D">
        <w:rPr>
          <w:rFonts w:ascii="Arial" w:hAnsi="Arial" w:cs="Arial"/>
        </w:rPr>
        <w:t>ANSI</w:t>
      </w:r>
      <w:r w:rsidRPr="000B366D">
        <w:rPr>
          <w:rFonts w:ascii="Arial" w:hAnsi="Arial" w:cs="Arial"/>
        </w:rPr>
        <w:t>）</w:t>
      </w:r>
      <w:r w:rsidRPr="000B366D">
        <w:rPr>
          <w:rFonts w:ascii="Arial" w:hAnsi="Arial" w:cs="Arial"/>
        </w:rPr>
        <w:t>/</w:t>
      </w:r>
      <w:r w:rsidRPr="000B366D">
        <w:rPr>
          <w:rFonts w:ascii="Arial" w:hAnsi="Arial" w:cs="Arial"/>
        </w:rPr>
        <w:t>医疗器械促进协会（</w:t>
      </w:r>
      <w:r w:rsidRPr="000B366D">
        <w:rPr>
          <w:rFonts w:ascii="Arial" w:hAnsi="Arial" w:cs="Arial"/>
        </w:rPr>
        <w:t>AAMI</w:t>
      </w:r>
      <w:r w:rsidRPr="000B366D">
        <w:rPr>
          <w:rFonts w:ascii="Arial" w:hAnsi="Arial" w:cs="Arial"/>
        </w:rPr>
        <w:t>）</w:t>
      </w:r>
      <w:r w:rsidRPr="000B366D">
        <w:rPr>
          <w:rFonts w:ascii="Arial" w:hAnsi="Arial" w:cs="Arial"/>
        </w:rPr>
        <w:t>ST72</w:t>
      </w:r>
      <w:r w:rsidRPr="000B366D">
        <w:rPr>
          <w:rFonts w:ascii="Arial" w:hAnsi="Arial" w:cs="Arial"/>
        </w:rPr>
        <w:t>细菌内毒素</w:t>
      </w:r>
      <w:r w:rsidRPr="000B366D">
        <w:rPr>
          <w:rFonts w:ascii="Arial" w:hAnsi="Arial" w:cs="Arial"/>
        </w:rPr>
        <w:t xml:space="preserve"> - </w:t>
      </w:r>
      <w:r w:rsidRPr="000B366D">
        <w:rPr>
          <w:rFonts w:ascii="Arial" w:hAnsi="Arial" w:cs="Arial"/>
        </w:rPr>
        <w:t>检查方法，常规监测和批次试验的替代方法的最新</w:t>
      </w:r>
      <w:r w:rsidRPr="000B366D">
        <w:rPr>
          <w:rFonts w:ascii="Arial" w:hAnsi="Arial" w:cs="Arial"/>
        </w:rPr>
        <w:t>FDA</w:t>
      </w:r>
      <w:r w:rsidRPr="000B366D">
        <w:rPr>
          <w:rFonts w:ascii="Arial" w:hAnsi="Arial" w:cs="Arial"/>
        </w:rPr>
        <w:t>认可版本</w:t>
      </w:r>
      <w:r w:rsidR="009828E9" w:rsidRPr="000B366D">
        <w:rPr>
          <w:rStyle w:val="a9"/>
          <w:rFonts w:ascii="Arial" w:hAnsi="Arial" w:cs="Arial"/>
        </w:rPr>
        <w:footnoteReference w:customMarkFollows="1" w:id="1"/>
        <w:sym w:font="Symbol" w:char="F02A"/>
      </w:r>
      <w:r w:rsidRPr="000B366D">
        <w:rPr>
          <w:rFonts w:ascii="Arial" w:hAnsi="Arial" w:cs="Arial"/>
        </w:rPr>
        <w:t>所述，</w:t>
      </w:r>
      <w:hyperlink w:anchor="_bookmark1" w:history="1">
        <w:r w:rsidRPr="000B366D">
          <w:rPr>
            <w:rFonts w:ascii="Arial" w:hAnsi="Arial" w:cs="Arial"/>
            <w:vertAlign w:val="superscript"/>
          </w:rPr>
          <w:t>1</w:t>
        </w:r>
      </w:hyperlink>
      <w:r w:rsidRPr="000B366D">
        <w:rPr>
          <w:rFonts w:ascii="Arial" w:hAnsi="Arial" w:cs="Arial"/>
        </w:rPr>
        <w:t>测试此类</w:t>
      </w:r>
      <w:r w:rsidR="00C626F8" w:rsidRPr="000B366D">
        <w:rPr>
          <w:rFonts w:ascii="Arial" w:hAnsi="Arial" w:cs="Arial"/>
        </w:rPr>
        <w:t>一次性使用</w:t>
      </w:r>
      <w:r w:rsidRPr="000B366D">
        <w:rPr>
          <w:rFonts w:ascii="Arial" w:hAnsi="Arial" w:cs="Arial"/>
        </w:rPr>
        <w:t>眼内眼科器械的细菌内毒素水平时可以遵循细菌内毒素检测的一般原则。</w:t>
      </w:r>
    </w:p>
    <w:p w:rsidR="003F2FB4" w:rsidRPr="000B366D" w:rsidRDefault="00BE5706" w:rsidP="004003F3">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国际标准化组织（</w:t>
      </w:r>
      <w:r w:rsidRPr="000B366D">
        <w:rPr>
          <w:rFonts w:ascii="Arial" w:hAnsi="Arial" w:cs="Arial"/>
        </w:rPr>
        <w:t>ISO</w:t>
      </w:r>
      <w:r w:rsidRPr="000B366D">
        <w:rPr>
          <w:rFonts w:ascii="Arial" w:hAnsi="Arial" w:cs="Arial"/>
        </w:rPr>
        <w:t>）</w:t>
      </w:r>
      <w:r w:rsidRPr="000B366D">
        <w:rPr>
          <w:rFonts w:ascii="Arial" w:hAnsi="Arial" w:cs="Arial"/>
        </w:rPr>
        <w:t>15798</w:t>
      </w:r>
      <w:r w:rsidRPr="000B366D">
        <w:rPr>
          <w:rFonts w:ascii="Arial" w:hAnsi="Arial" w:cs="Arial"/>
        </w:rPr>
        <w:t>（眼科植入物</w:t>
      </w:r>
      <w:r w:rsidRPr="000B366D">
        <w:rPr>
          <w:rFonts w:ascii="Arial" w:hAnsi="Arial" w:cs="Arial"/>
        </w:rPr>
        <w:t xml:space="preserve"> - </w:t>
      </w:r>
      <w:r w:rsidRPr="000B366D">
        <w:rPr>
          <w:rFonts w:ascii="Arial" w:hAnsi="Arial" w:cs="Arial"/>
        </w:rPr>
        <w:t>黏弹性眼科植入器械中规定的</w:t>
      </w:r>
      <w:r w:rsidRPr="000B366D">
        <w:rPr>
          <w:rFonts w:ascii="Arial" w:hAnsi="Arial" w:cs="Arial"/>
        </w:rPr>
        <w:t>OVD</w:t>
      </w:r>
      <w:r w:rsidRPr="000B366D">
        <w:rPr>
          <w:rFonts w:ascii="Arial" w:hAnsi="Arial" w:cs="Arial"/>
        </w:rPr>
        <w:t>细菌内毒素限值为每毫升（</w:t>
      </w:r>
      <w:r w:rsidRPr="000B366D">
        <w:rPr>
          <w:rFonts w:ascii="Arial" w:hAnsi="Arial" w:cs="Arial"/>
        </w:rPr>
        <w:t>mL</w:t>
      </w:r>
      <w:r w:rsidRPr="000B366D">
        <w:rPr>
          <w:rFonts w:ascii="Arial" w:hAnsi="Arial" w:cs="Arial"/>
        </w:rPr>
        <w:t>）</w:t>
      </w:r>
      <w:r w:rsidRPr="000B366D">
        <w:rPr>
          <w:rFonts w:ascii="Arial" w:hAnsi="Arial" w:cs="Arial"/>
        </w:rPr>
        <w:t>0.5</w:t>
      </w:r>
      <w:r w:rsidRPr="000B366D">
        <w:rPr>
          <w:rFonts w:ascii="Arial" w:hAnsi="Arial" w:cs="Arial"/>
        </w:rPr>
        <w:t>个细菌内毒素单位（</w:t>
      </w:r>
      <w:r w:rsidRPr="000B366D">
        <w:rPr>
          <w:rFonts w:ascii="Arial" w:hAnsi="Arial" w:cs="Arial"/>
        </w:rPr>
        <w:t>EU</w:t>
      </w:r>
      <w:r w:rsidRPr="000B366D">
        <w:rPr>
          <w:rFonts w:ascii="Arial" w:hAnsi="Arial" w:cs="Arial"/>
        </w:rPr>
        <w:t>）。在白内障手术期间，摘除晶状体后眼前段可以容纳</w:t>
      </w:r>
      <w:r w:rsidRPr="000B366D">
        <w:rPr>
          <w:rFonts w:ascii="Arial" w:hAnsi="Arial" w:cs="Arial"/>
        </w:rPr>
        <w:t>0.3ml</w:t>
      </w:r>
      <w:r w:rsidRPr="000B366D">
        <w:rPr>
          <w:rFonts w:ascii="Arial" w:hAnsi="Arial" w:cs="Arial"/>
        </w:rPr>
        <w:t>以上的</w:t>
      </w:r>
      <w:r w:rsidRPr="000B366D">
        <w:rPr>
          <w:rFonts w:ascii="Arial" w:hAnsi="Arial" w:cs="Arial"/>
        </w:rPr>
        <w:t>OVD</w:t>
      </w:r>
      <w:r w:rsidRPr="000B366D">
        <w:rPr>
          <w:rFonts w:ascii="Arial" w:hAnsi="Arial" w:cs="Arial"/>
        </w:rPr>
        <w:t>，且在手术结束时眼睛中可残留多达</w:t>
      </w:r>
      <w:r w:rsidRPr="000B366D">
        <w:rPr>
          <w:rFonts w:ascii="Arial" w:hAnsi="Arial" w:cs="Arial"/>
        </w:rPr>
        <w:t>0.1mL</w:t>
      </w:r>
      <w:r w:rsidRPr="000B366D">
        <w:rPr>
          <w:rFonts w:ascii="Arial" w:hAnsi="Arial" w:cs="Arial"/>
        </w:rPr>
        <w:t>的</w:t>
      </w:r>
      <w:r w:rsidRPr="000B366D">
        <w:rPr>
          <w:rFonts w:ascii="Arial" w:hAnsi="Arial" w:cs="Arial"/>
        </w:rPr>
        <w:t>OVD</w:t>
      </w:r>
      <w:r w:rsidRPr="000B366D">
        <w:rPr>
          <w:rFonts w:ascii="Arial" w:hAnsi="Arial" w:cs="Arial"/>
        </w:rPr>
        <w:t>。</w:t>
      </w:r>
      <w:r w:rsidR="006F7F8D" w:rsidRPr="000B366D">
        <w:rPr>
          <w:rFonts w:ascii="Arial" w:hAnsi="Arial" w:cs="Arial"/>
        </w:rPr>
        <w:br w:type="page"/>
      </w:r>
    </w:p>
    <w:p w:rsidR="003F2FB4" w:rsidRPr="000B366D" w:rsidRDefault="00BE5706" w:rsidP="00E55719">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lastRenderedPageBreak/>
        <w:t>因此，在手术结束时，眼睛中可残留</w:t>
      </w:r>
      <w:r w:rsidRPr="000B366D">
        <w:rPr>
          <w:rFonts w:ascii="Arial" w:hAnsi="Arial" w:cs="Arial"/>
        </w:rPr>
        <w:t>0.05EU</w:t>
      </w:r>
      <w:r w:rsidRPr="000B366D">
        <w:rPr>
          <w:rFonts w:ascii="Arial" w:hAnsi="Arial" w:cs="Arial"/>
        </w:rPr>
        <w:t>细菌内毒素，且已证明此数量可引发炎症。相同研究表明，即使</w:t>
      </w:r>
      <w:r w:rsidRPr="000B366D">
        <w:rPr>
          <w:rFonts w:ascii="Arial" w:hAnsi="Arial" w:cs="Arial"/>
        </w:rPr>
        <w:t>OVD</w:t>
      </w:r>
      <w:r w:rsidRPr="000B366D">
        <w:rPr>
          <w:rFonts w:ascii="Arial" w:hAnsi="Arial" w:cs="Arial"/>
        </w:rPr>
        <w:t>仅含有</w:t>
      </w:r>
      <w:r w:rsidRPr="000B366D">
        <w:rPr>
          <w:rFonts w:ascii="Arial" w:hAnsi="Arial" w:cs="Arial"/>
        </w:rPr>
        <w:t>0.02EU</w:t>
      </w:r>
      <w:r w:rsidRPr="000B366D">
        <w:rPr>
          <w:rFonts w:ascii="Arial" w:hAnsi="Arial" w:cs="Arial"/>
        </w:rPr>
        <w:t>细菌内毒素，也可引发炎症。因此，</w:t>
      </w:r>
      <w:r w:rsidRPr="000B366D">
        <w:rPr>
          <w:rFonts w:ascii="Arial" w:hAnsi="Arial" w:cs="Arial"/>
        </w:rPr>
        <w:t>FDA</w:t>
      </w:r>
      <w:r w:rsidRPr="000B366D">
        <w:rPr>
          <w:rFonts w:ascii="Arial" w:hAnsi="Arial" w:cs="Arial"/>
        </w:rPr>
        <w:t>不承认</w:t>
      </w:r>
      <w:r w:rsidRPr="000B366D">
        <w:rPr>
          <w:rFonts w:ascii="Arial" w:hAnsi="Arial" w:cs="Arial"/>
        </w:rPr>
        <w:t>ISO 15798</w:t>
      </w:r>
      <w:r w:rsidRPr="000B366D">
        <w:rPr>
          <w:rFonts w:ascii="Arial" w:hAnsi="Arial" w:cs="Arial"/>
        </w:rPr>
        <w:t>（眼科植入物</w:t>
      </w:r>
      <w:r w:rsidRPr="000B366D">
        <w:rPr>
          <w:rFonts w:ascii="Arial" w:hAnsi="Arial" w:cs="Arial"/>
        </w:rPr>
        <w:t xml:space="preserve"> - </w:t>
      </w:r>
      <w:r w:rsidRPr="000B366D">
        <w:rPr>
          <w:rFonts w:ascii="Arial" w:hAnsi="Arial" w:cs="Arial"/>
        </w:rPr>
        <w:t>黏弹性眼科植入器械）标准中的细菌内毒素水平。</w:t>
      </w:r>
    </w:p>
    <w:p w:rsidR="003F2FB4" w:rsidRPr="000B366D" w:rsidRDefault="00BE5706" w:rsidP="00E55719">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在</w:t>
      </w:r>
      <w:r w:rsidRPr="000B366D">
        <w:rPr>
          <w:rFonts w:ascii="Arial" w:hAnsi="Arial" w:cs="Arial"/>
        </w:rPr>
        <w:t>ISO 11979-8</w:t>
      </w:r>
      <w:r w:rsidRPr="000B366D">
        <w:rPr>
          <w:rFonts w:ascii="Arial" w:hAnsi="Arial" w:cs="Arial"/>
        </w:rPr>
        <w:t>（眼科植入物</w:t>
      </w:r>
      <w:r w:rsidRPr="000B366D">
        <w:rPr>
          <w:rFonts w:ascii="Arial" w:hAnsi="Arial" w:cs="Arial"/>
        </w:rPr>
        <w:t xml:space="preserve"> - </w:t>
      </w:r>
      <w:r w:rsidRPr="000B366D">
        <w:rPr>
          <w:rFonts w:ascii="Arial" w:hAnsi="Arial" w:cs="Arial"/>
        </w:rPr>
        <w:t>人工晶状体</w:t>
      </w:r>
      <w:r w:rsidRPr="000B366D">
        <w:rPr>
          <w:rFonts w:ascii="Arial" w:hAnsi="Arial" w:cs="Arial"/>
        </w:rPr>
        <w:t xml:space="preserve"> - </w:t>
      </w:r>
      <w:r w:rsidRPr="000B366D">
        <w:rPr>
          <w:rFonts w:ascii="Arial" w:hAnsi="Arial" w:cs="Arial"/>
        </w:rPr>
        <w:t>第</w:t>
      </w:r>
      <w:r w:rsidRPr="000B366D">
        <w:rPr>
          <w:rFonts w:ascii="Arial" w:hAnsi="Arial" w:cs="Arial"/>
        </w:rPr>
        <w:t>8</w:t>
      </w:r>
      <w:r w:rsidRPr="000B366D">
        <w:rPr>
          <w:rFonts w:ascii="Arial" w:hAnsi="Arial" w:cs="Arial"/>
        </w:rPr>
        <w:t>部分：基本要求修正案</w:t>
      </w:r>
      <w:r w:rsidRPr="000B366D">
        <w:rPr>
          <w:rFonts w:ascii="Arial" w:hAnsi="Arial" w:cs="Arial"/>
        </w:rPr>
        <w:t>1</w:t>
      </w:r>
      <w:r w:rsidRPr="000B366D">
        <w:rPr>
          <w:rFonts w:ascii="Arial" w:hAnsi="Arial" w:cs="Arial"/>
        </w:rPr>
        <w:t>）中，</w:t>
      </w:r>
      <w:r w:rsidRPr="000B366D">
        <w:rPr>
          <w:rFonts w:ascii="Arial" w:hAnsi="Arial" w:cs="Arial"/>
        </w:rPr>
        <w:t>IOL</w:t>
      </w:r>
      <w:r w:rsidRPr="000B366D">
        <w:rPr>
          <w:rFonts w:ascii="Arial" w:hAnsi="Arial" w:cs="Arial"/>
        </w:rPr>
        <w:t>的细菌内毒素限值为每器械</w:t>
      </w:r>
      <w:r w:rsidRPr="000B366D">
        <w:rPr>
          <w:rFonts w:ascii="Arial" w:hAnsi="Arial" w:cs="Arial"/>
        </w:rPr>
        <w:t>0.5EU</w:t>
      </w:r>
      <w:r w:rsidRPr="000B366D">
        <w:rPr>
          <w:rFonts w:ascii="Arial" w:hAnsi="Arial" w:cs="Arial"/>
        </w:rPr>
        <w:t>或以下。置入房水等水性介质中时，</w:t>
      </w:r>
      <w:r w:rsidRPr="000B366D">
        <w:rPr>
          <w:rFonts w:ascii="Arial" w:hAnsi="Arial" w:cs="Arial"/>
        </w:rPr>
        <w:t>IOL</w:t>
      </w:r>
      <w:r w:rsidRPr="000B366D">
        <w:rPr>
          <w:rFonts w:ascii="Arial" w:hAnsi="Arial" w:cs="Arial"/>
        </w:rPr>
        <w:t>或其它固体眼科装置上的细菌内毒素将进入溶液。研究表明，平衡盐溶液中的细菌内毒素达</w:t>
      </w:r>
      <w:r w:rsidRPr="000B366D">
        <w:rPr>
          <w:rFonts w:ascii="Arial" w:hAnsi="Arial" w:cs="Arial"/>
        </w:rPr>
        <w:t>0.08EU</w:t>
      </w:r>
      <w:r w:rsidRPr="000B366D">
        <w:rPr>
          <w:rFonts w:ascii="Arial" w:hAnsi="Arial" w:cs="Arial"/>
        </w:rPr>
        <w:t>时可引起眼睛炎症。</w:t>
      </w:r>
      <w:hyperlink w:anchor="_bookmark8" w:history="1">
        <w:r w:rsidRPr="000B366D">
          <w:rPr>
            <w:rFonts w:ascii="Arial" w:hAnsi="Arial" w:cs="Arial"/>
            <w:vertAlign w:val="superscript"/>
          </w:rPr>
          <w:t>13</w:t>
        </w:r>
      </w:hyperlink>
      <w:r w:rsidRPr="000B366D">
        <w:rPr>
          <w:rFonts w:ascii="Arial" w:hAnsi="Arial" w:cs="Arial"/>
        </w:rPr>
        <w:t>因此，</w:t>
      </w:r>
      <w:r w:rsidRPr="000B366D">
        <w:rPr>
          <w:rFonts w:ascii="Arial" w:hAnsi="Arial" w:cs="Arial"/>
        </w:rPr>
        <w:t>FDA</w:t>
      </w:r>
      <w:r w:rsidRPr="000B366D">
        <w:rPr>
          <w:rFonts w:ascii="Arial" w:hAnsi="Arial" w:cs="Arial"/>
        </w:rPr>
        <w:t>不承认</w:t>
      </w:r>
      <w:r w:rsidRPr="000B366D">
        <w:rPr>
          <w:rFonts w:ascii="Arial" w:hAnsi="Arial" w:cs="Arial"/>
        </w:rPr>
        <w:t>ISO 11979-8</w:t>
      </w:r>
      <w:r w:rsidRPr="000B366D">
        <w:rPr>
          <w:rFonts w:ascii="Arial" w:hAnsi="Arial" w:cs="Arial"/>
        </w:rPr>
        <w:t>（眼科植入物</w:t>
      </w:r>
      <w:r w:rsidRPr="000B366D">
        <w:rPr>
          <w:rFonts w:ascii="Arial" w:hAnsi="Arial" w:cs="Arial"/>
        </w:rPr>
        <w:t xml:space="preserve"> - </w:t>
      </w:r>
      <w:r w:rsidRPr="000B366D">
        <w:rPr>
          <w:rFonts w:ascii="Arial" w:hAnsi="Arial" w:cs="Arial"/>
        </w:rPr>
        <w:t>人工晶状体</w:t>
      </w:r>
      <w:r w:rsidRPr="000B366D">
        <w:rPr>
          <w:rFonts w:ascii="Arial" w:hAnsi="Arial" w:cs="Arial"/>
        </w:rPr>
        <w:t xml:space="preserve"> - </w:t>
      </w:r>
      <w:r w:rsidRPr="000B366D">
        <w:rPr>
          <w:rFonts w:ascii="Arial" w:hAnsi="Arial" w:cs="Arial"/>
        </w:rPr>
        <w:t>第</w:t>
      </w:r>
      <w:r w:rsidRPr="000B366D">
        <w:rPr>
          <w:rFonts w:ascii="Arial" w:hAnsi="Arial" w:cs="Arial"/>
        </w:rPr>
        <w:t>8</w:t>
      </w:r>
      <w:r w:rsidRPr="000B366D">
        <w:rPr>
          <w:rFonts w:ascii="Arial" w:hAnsi="Arial" w:cs="Arial"/>
        </w:rPr>
        <w:t>部分：基本要求修正案</w:t>
      </w:r>
      <w:r w:rsidRPr="000B366D">
        <w:rPr>
          <w:rFonts w:ascii="Arial" w:hAnsi="Arial" w:cs="Arial"/>
        </w:rPr>
        <w:t>1</w:t>
      </w:r>
      <w:r w:rsidRPr="000B366D">
        <w:rPr>
          <w:rFonts w:ascii="Arial" w:hAnsi="Arial" w:cs="Arial"/>
        </w:rPr>
        <w:t>）中的细菌内毒素限值或</w:t>
      </w:r>
      <w:r w:rsidRPr="000B366D">
        <w:rPr>
          <w:rFonts w:ascii="Arial" w:hAnsi="Arial" w:cs="Arial"/>
        </w:rPr>
        <w:t>ANSI</w:t>
      </w:r>
      <w:r w:rsidRPr="000B366D">
        <w:rPr>
          <w:rFonts w:ascii="Arial" w:hAnsi="Arial" w:cs="Arial"/>
        </w:rPr>
        <w:t>人工晶状体系列标准中的限值。</w:t>
      </w:r>
    </w:p>
    <w:p w:rsidR="003F2FB4" w:rsidRPr="000B366D" w:rsidRDefault="00BE5706" w:rsidP="00E55719">
      <w:pPr>
        <w:pStyle w:val="3"/>
        <w:numPr>
          <w:ilvl w:val="0"/>
          <w:numId w:val="5"/>
        </w:numPr>
        <w:snapToGrid w:val="0"/>
        <w:spacing w:beforeLines="50" w:before="120" w:afterLines="50" w:after="120" w:line="276" w:lineRule="auto"/>
        <w:jc w:val="both"/>
        <w:rPr>
          <w:rFonts w:ascii="Arial" w:hAnsi="Arial" w:cs="Arial"/>
        </w:rPr>
      </w:pPr>
      <w:r w:rsidRPr="000B366D">
        <w:rPr>
          <w:rFonts w:ascii="Arial" w:hAnsi="Arial" w:cs="Arial"/>
        </w:rPr>
        <w:t>范围</w:t>
      </w:r>
    </w:p>
    <w:p w:rsidR="003F2FB4" w:rsidRPr="000B366D" w:rsidRDefault="00BE5706" w:rsidP="00E55719">
      <w:pPr>
        <w:pStyle w:val="a3"/>
        <w:overflowPunct w:val="0"/>
        <w:snapToGrid w:val="0"/>
        <w:spacing w:afterLines="50" w:after="120" w:line="276" w:lineRule="auto"/>
        <w:ind w:left="0" w:firstLine="0"/>
        <w:jc w:val="both"/>
        <w:rPr>
          <w:rFonts w:ascii="Arial" w:hAnsi="Arial" w:cs="Arial"/>
        </w:rPr>
      </w:pPr>
      <w:r w:rsidRPr="000B366D">
        <w:rPr>
          <w:rFonts w:ascii="Arial" w:hAnsi="Arial" w:cs="Arial"/>
        </w:rPr>
        <w:t>本指南中提出的建议适用于眼睛内部使用</w:t>
      </w:r>
      <w:r w:rsidR="00952946" w:rsidRPr="000B366D">
        <w:rPr>
          <w:rFonts w:ascii="Arial" w:hAnsi="Arial" w:cs="Arial"/>
        </w:rPr>
        <w:t>器械</w:t>
      </w:r>
      <w:r w:rsidRPr="000B366D">
        <w:rPr>
          <w:rFonts w:ascii="Arial" w:hAnsi="Arial" w:cs="Arial"/>
        </w:rPr>
        <w:t>，</w:t>
      </w:r>
      <w:r w:rsidR="00952946" w:rsidRPr="000B366D">
        <w:rPr>
          <w:rFonts w:ascii="Arial" w:hAnsi="Arial" w:cs="Arial"/>
        </w:rPr>
        <w:t>以及在眼内手术中</w:t>
      </w:r>
      <w:r w:rsidRPr="000B366D">
        <w:rPr>
          <w:rFonts w:ascii="Arial" w:hAnsi="Arial" w:cs="Arial"/>
        </w:rPr>
        <w:t>作为永久植入物或</w:t>
      </w:r>
      <w:r w:rsidR="00C626F8" w:rsidRPr="000B366D">
        <w:rPr>
          <w:rFonts w:ascii="Arial" w:hAnsi="Arial" w:cs="Arial"/>
        </w:rPr>
        <w:t>一次性使用</w:t>
      </w:r>
      <w:r w:rsidRPr="000B366D">
        <w:rPr>
          <w:rFonts w:ascii="Arial" w:hAnsi="Arial" w:cs="Arial"/>
        </w:rPr>
        <w:t>的器械。此类器械包括：</w:t>
      </w:r>
    </w:p>
    <w:p w:rsidR="003F2FB4" w:rsidRPr="000B366D" w:rsidRDefault="00BE5706" w:rsidP="00E55719">
      <w:pPr>
        <w:pStyle w:val="a4"/>
        <w:numPr>
          <w:ilvl w:val="0"/>
          <w:numId w:val="2"/>
        </w:numPr>
        <w:tabs>
          <w:tab w:val="left" w:pos="840"/>
        </w:tabs>
        <w:overflowPunct w:val="0"/>
        <w:snapToGrid w:val="0"/>
        <w:spacing w:line="276" w:lineRule="auto"/>
        <w:ind w:leftChars="200" w:left="797" w:hanging="357"/>
        <w:jc w:val="both"/>
        <w:rPr>
          <w:rFonts w:ascii="Arial" w:eastAsia="宋体" w:hAnsi="Arial" w:cs="Arial"/>
          <w:sz w:val="24"/>
          <w:szCs w:val="24"/>
        </w:rPr>
      </w:pPr>
      <w:r w:rsidRPr="000B366D">
        <w:rPr>
          <w:rFonts w:ascii="Arial" w:eastAsia="宋体" w:hAnsi="Arial" w:cs="Arial"/>
          <w:sz w:val="24"/>
          <w:szCs w:val="24"/>
        </w:rPr>
        <w:t>眼内液（</w:t>
      </w:r>
      <w:r w:rsidRPr="000B366D">
        <w:rPr>
          <w:rFonts w:ascii="Arial" w:eastAsia="宋体" w:hAnsi="Arial" w:cs="Arial"/>
          <w:sz w:val="24"/>
          <w:szCs w:val="24"/>
        </w:rPr>
        <w:t>21 CFR 886.4275</w:t>
      </w:r>
      <w:r w:rsidRPr="000B366D">
        <w:rPr>
          <w:rFonts w:ascii="Arial" w:eastAsia="宋体" w:hAnsi="Arial" w:cs="Arial"/>
          <w:sz w:val="24"/>
          <w:szCs w:val="24"/>
        </w:rPr>
        <w:t>，</w:t>
      </w:r>
      <w:r w:rsidRPr="000B366D">
        <w:rPr>
          <w:rFonts w:ascii="Arial" w:eastAsia="宋体" w:hAnsi="Arial" w:cs="Arial"/>
          <w:sz w:val="24"/>
          <w:szCs w:val="24"/>
        </w:rPr>
        <w:t>III</w:t>
      </w:r>
      <w:r w:rsidRPr="000B366D">
        <w:rPr>
          <w:rFonts w:ascii="Arial" w:eastAsia="宋体" w:hAnsi="Arial" w:cs="Arial"/>
          <w:sz w:val="24"/>
          <w:szCs w:val="24"/>
        </w:rPr>
        <w:t>类），特别是粘弹性外科辅助工具（</w:t>
      </w:r>
      <w:r w:rsidRPr="000B366D">
        <w:rPr>
          <w:rFonts w:ascii="Arial" w:eastAsia="宋体" w:hAnsi="Arial" w:cs="Arial"/>
          <w:sz w:val="24"/>
          <w:szCs w:val="24"/>
        </w:rPr>
        <w:t>LZP</w:t>
      </w:r>
      <w:r w:rsidRPr="000B366D">
        <w:rPr>
          <w:rFonts w:ascii="Arial" w:eastAsia="宋体" w:hAnsi="Arial" w:cs="Arial"/>
          <w:sz w:val="24"/>
          <w:szCs w:val="24"/>
        </w:rPr>
        <w:t>）</w:t>
      </w:r>
    </w:p>
    <w:p w:rsidR="003F2FB4" w:rsidRPr="000B366D" w:rsidRDefault="00BE5706" w:rsidP="00E55719">
      <w:pPr>
        <w:pStyle w:val="a4"/>
        <w:numPr>
          <w:ilvl w:val="0"/>
          <w:numId w:val="2"/>
        </w:numPr>
        <w:tabs>
          <w:tab w:val="left" w:pos="840"/>
        </w:tabs>
        <w:overflowPunct w:val="0"/>
        <w:snapToGrid w:val="0"/>
        <w:spacing w:line="276" w:lineRule="auto"/>
        <w:ind w:leftChars="200" w:left="797" w:hanging="357"/>
        <w:jc w:val="both"/>
        <w:rPr>
          <w:rFonts w:ascii="Arial" w:eastAsia="宋体" w:hAnsi="Arial" w:cs="Arial"/>
          <w:sz w:val="24"/>
          <w:szCs w:val="24"/>
        </w:rPr>
      </w:pPr>
      <w:r w:rsidRPr="000B366D">
        <w:rPr>
          <w:rFonts w:ascii="Arial" w:eastAsia="宋体" w:hAnsi="Arial" w:cs="Arial"/>
          <w:sz w:val="24"/>
          <w:szCs w:val="24"/>
        </w:rPr>
        <w:t>前段固体器械</w:t>
      </w:r>
    </w:p>
    <w:p w:rsidR="003F2FB4" w:rsidRPr="000B366D" w:rsidRDefault="00BE5706" w:rsidP="00E55719">
      <w:pPr>
        <w:pStyle w:val="a4"/>
        <w:numPr>
          <w:ilvl w:val="1"/>
          <w:numId w:val="2"/>
        </w:numPr>
        <w:tabs>
          <w:tab w:val="left" w:pos="1200"/>
        </w:tabs>
        <w:overflowPunct w:val="0"/>
        <w:snapToGrid w:val="0"/>
        <w:spacing w:line="276" w:lineRule="auto"/>
        <w:ind w:leftChars="400" w:left="1237" w:hanging="357"/>
        <w:rPr>
          <w:rFonts w:ascii="Arial" w:eastAsia="宋体" w:hAnsi="Arial" w:cs="Arial"/>
          <w:sz w:val="24"/>
          <w:szCs w:val="24"/>
        </w:rPr>
      </w:pPr>
      <w:r w:rsidRPr="000B366D">
        <w:rPr>
          <w:rFonts w:ascii="Arial" w:eastAsia="宋体" w:hAnsi="Arial" w:cs="Arial"/>
          <w:sz w:val="24"/>
          <w:szCs w:val="24"/>
        </w:rPr>
        <w:t>人工晶状体（</w:t>
      </w:r>
      <w:r w:rsidRPr="000B366D">
        <w:rPr>
          <w:rFonts w:ascii="Arial" w:eastAsia="宋体" w:hAnsi="Arial" w:cs="Arial"/>
          <w:sz w:val="24"/>
          <w:szCs w:val="24"/>
        </w:rPr>
        <w:t>21 CFR 886.3600</w:t>
      </w:r>
      <w:r w:rsidRPr="000B366D">
        <w:rPr>
          <w:rFonts w:ascii="Arial" w:eastAsia="宋体" w:hAnsi="Arial" w:cs="Arial"/>
          <w:sz w:val="24"/>
          <w:szCs w:val="24"/>
        </w:rPr>
        <w:t>，</w:t>
      </w:r>
      <w:r w:rsidRPr="000B366D">
        <w:rPr>
          <w:rFonts w:ascii="Arial" w:eastAsia="宋体" w:hAnsi="Arial" w:cs="Arial"/>
          <w:sz w:val="24"/>
          <w:szCs w:val="24"/>
        </w:rPr>
        <w:t>III</w:t>
      </w:r>
      <w:r w:rsidRPr="000B366D">
        <w:rPr>
          <w:rFonts w:ascii="Arial" w:eastAsia="宋体" w:hAnsi="Arial" w:cs="Arial"/>
          <w:sz w:val="24"/>
          <w:szCs w:val="24"/>
        </w:rPr>
        <w:t>类），包括</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人工晶状体（</w:t>
      </w:r>
      <w:r w:rsidRPr="000B366D">
        <w:rPr>
          <w:rFonts w:ascii="Arial" w:eastAsia="宋体" w:hAnsi="Arial" w:cs="Arial"/>
          <w:sz w:val="24"/>
          <w:szCs w:val="24"/>
        </w:rPr>
        <w:t>HQL</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多焦点人工晶状体（</w:t>
      </w:r>
      <w:r w:rsidRPr="000B366D">
        <w:rPr>
          <w:rFonts w:ascii="Arial" w:eastAsia="宋体" w:hAnsi="Arial" w:cs="Arial"/>
          <w:sz w:val="24"/>
          <w:szCs w:val="24"/>
        </w:rPr>
        <w:t>MFK</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有晶状体眼人工晶状体（</w:t>
      </w:r>
      <w:r w:rsidRPr="000B366D">
        <w:rPr>
          <w:rFonts w:ascii="Arial" w:eastAsia="宋体" w:hAnsi="Arial" w:cs="Arial"/>
          <w:sz w:val="24"/>
          <w:szCs w:val="24"/>
        </w:rPr>
        <w:t>MTA</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复曲面人工晶状体（</w:t>
      </w:r>
      <w:r w:rsidRPr="000B366D">
        <w:rPr>
          <w:rFonts w:ascii="Arial" w:eastAsia="宋体" w:hAnsi="Arial" w:cs="Arial"/>
          <w:sz w:val="24"/>
          <w:szCs w:val="24"/>
        </w:rPr>
        <w:t>MJP</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调节性人工晶状体（</w:t>
      </w:r>
      <w:r w:rsidRPr="000B366D">
        <w:rPr>
          <w:rFonts w:ascii="Arial" w:eastAsia="宋体" w:hAnsi="Arial" w:cs="Arial"/>
          <w:sz w:val="24"/>
          <w:szCs w:val="24"/>
        </w:rPr>
        <w:t>NAA</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植入式微型望远镜（</w:t>
      </w:r>
      <w:r w:rsidRPr="000B366D">
        <w:rPr>
          <w:rFonts w:ascii="Arial" w:eastAsia="宋体" w:hAnsi="Arial" w:cs="Arial"/>
          <w:sz w:val="24"/>
          <w:szCs w:val="24"/>
        </w:rPr>
        <w:t>NCJ</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虹膜重建晶状体（</w:t>
      </w:r>
      <w:r w:rsidRPr="000B366D">
        <w:rPr>
          <w:rFonts w:ascii="Arial" w:eastAsia="宋体" w:hAnsi="Arial" w:cs="Arial"/>
          <w:sz w:val="24"/>
          <w:szCs w:val="24"/>
        </w:rPr>
        <w:t>NIZ</w:t>
      </w:r>
      <w:r w:rsidRPr="000B366D">
        <w:rPr>
          <w:rFonts w:ascii="Arial" w:eastAsia="宋体" w:hAnsi="Arial" w:cs="Arial"/>
          <w:sz w:val="24"/>
          <w:szCs w:val="24"/>
        </w:rPr>
        <w:t>）</w:t>
      </w:r>
    </w:p>
    <w:p w:rsidR="003F2FB4" w:rsidRPr="000B366D" w:rsidRDefault="00BE5706" w:rsidP="00E55719">
      <w:pPr>
        <w:pStyle w:val="a4"/>
        <w:numPr>
          <w:ilvl w:val="1"/>
          <w:numId w:val="2"/>
        </w:numPr>
        <w:tabs>
          <w:tab w:val="left" w:pos="1200"/>
        </w:tabs>
        <w:overflowPunct w:val="0"/>
        <w:snapToGrid w:val="0"/>
        <w:spacing w:line="276" w:lineRule="auto"/>
        <w:ind w:leftChars="400" w:left="1237" w:hanging="357"/>
        <w:rPr>
          <w:rFonts w:ascii="Arial" w:eastAsia="宋体" w:hAnsi="Arial" w:cs="Arial"/>
          <w:sz w:val="24"/>
          <w:szCs w:val="24"/>
        </w:rPr>
      </w:pPr>
      <w:r w:rsidRPr="000B366D">
        <w:rPr>
          <w:rFonts w:ascii="Arial" w:eastAsia="宋体" w:hAnsi="Arial" w:cs="Arial"/>
          <w:sz w:val="24"/>
          <w:szCs w:val="24"/>
        </w:rPr>
        <w:t>囊袋张力环器械（</w:t>
      </w:r>
      <w:bookmarkStart w:id="5" w:name="OLE_LINK3"/>
      <w:r w:rsidRPr="000B366D">
        <w:rPr>
          <w:rFonts w:ascii="Arial" w:eastAsia="宋体" w:hAnsi="Arial" w:cs="Arial"/>
          <w:sz w:val="24"/>
          <w:szCs w:val="24"/>
        </w:rPr>
        <w:t>II</w:t>
      </w:r>
      <w:bookmarkEnd w:id="5"/>
      <w:r w:rsidRPr="000B366D">
        <w:rPr>
          <w:rFonts w:ascii="Arial" w:eastAsia="宋体" w:hAnsi="Arial" w:cs="Arial"/>
          <w:sz w:val="24"/>
          <w:szCs w:val="24"/>
        </w:rPr>
        <w:t>I</w:t>
      </w:r>
      <w:r w:rsidRPr="000B366D">
        <w:rPr>
          <w:rFonts w:ascii="Arial" w:eastAsia="宋体" w:hAnsi="Arial" w:cs="Arial"/>
          <w:sz w:val="24"/>
          <w:szCs w:val="24"/>
        </w:rPr>
        <w:t>类），包括</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囊内环（</w:t>
      </w:r>
      <w:r w:rsidRPr="000B366D">
        <w:rPr>
          <w:rFonts w:ascii="Arial" w:eastAsia="宋体" w:hAnsi="Arial" w:cs="Arial"/>
          <w:sz w:val="24"/>
          <w:szCs w:val="24"/>
        </w:rPr>
        <w:t>MRJ</w:t>
      </w:r>
      <w:r w:rsidRPr="000B366D">
        <w:rPr>
          <w:rFonts w:ascii="Arial" w:eastAsia="宋体" w:hAnsi="Arial" w:cs="Arial"/>
          <w:sz w:val="24"/>
          <w:szCs w:val="24"/>
        </w:rPr>
        <w:t>）</w:t>
      </w:r>
    </w:p>
    <w:p w:rsidR="003F2FB4" w:rsidRPr="000B366D" w:rsidRDefault="00BE5706" w:rsidP="00E55719">
      <w:pPr>
        <w:pStyle w:val="a4"/>
        <w:numPr>
          <w:ilvl w:val="1"/>
          <w:numId w:val="2"/>
        </w:numPr>
        <w:tabs>
          <w:tab w:val="left" w:pos="1200"/>
        </w:tabs>
        <w:overflowPunct w:val="0"/>
        <w:snapToGrid w:val="0"/>
        <w:spacing w:line="276" w:lineRule="auto"/>
        <w:ind w:leftChars="400" w:left="1237" w:hanging="357"/>
        <w:rPr>
          <w:rFonts w:ascii="Arial" w:eastAsia="宋体" w:hAnsi="Arial" w:cs="Arial"/>
          <w:sz w:val="24"/>
          <w:szCs w:val="24"/>
        </w:rPr>
      </w:pPr>
      <w:r w:rsidRPr="000B366D">
        <w:rPr>
          <w:rFonts w:ascii="Arial" w:eastAsia="宋体" w:hAnsi="Arial" w:cs="Arial"/>
          <w:sz w:val="24"/>
          <w:szCs w:val="24"/>
        </w:rPr>
        <w:t>青光眼器械</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水分流器（</w:t>
      </w:r>
      <w:r w:rsidRPr="000B366D">
        <w:rPr>
          <w:rFonts w:ascii="Arial" w:eastAsia="宋体" w:hAnsi="Arial" w:cs="Arial"/>
          <w:sz w:val="24"/>
          <w:szCs w:val="24"/>
        </w:rPr>
        <w:t>21 CFR 886.3920</w:t>
      </w:r>
      <w:r w:rsidRPr="000B366D">
        <w:rPr>
          <w:rFonts w:ascii="Arial" w:eastAsia="宋体" w:hAnsi="Arial" w:cs="Arial"/>
          <w:sz w:val="24"/>
          <w:szCs w:val="24"/>
        </w:rPr>
        <w:t>，</w:t>
      </w:r>
      <w:r w:rsidR="00952946" w:rsidRPr="000B366D">
        <w:rPr>
          <w:rFonts w:ascii="Arial" w:eastAsia="宋体" w:hAnsi="Arial" w:cs="Arial"/>
          <w:sz w:val="24"/>
          <w:szCs w:val="24"/>
        </w:rPr>
        <w:t>II</w:t>
      </w:r>
      <w:r w:rsidRPr="000B366D">
        <w:rPr>
          <w:rFonts w:ascii="Arial" w:eastAsia="宋体" w:hAnsi="Arial" w:cs="Arial"/>
          <w:sz w:val="24"/>
          <w:szCs w:val="24"/>
        </w:rPr>
        <w:t>类），包括</w:t>
      </w:r>
    </w:p>
    <w:p w:rsidR="003F2FB4" w:rsidRPr="000B366D" w:rsidRDefault="00BE5706" w:rsidP="00E55719">
      <w:pPr>
        <w:pStyle w:val="a4"/>
        <w:numPr>
          <w:ilvl w:val="3"/>
          <w:numId w:val="2"/>
        </w:numPr>
        <w:tabs>
          <w:tab w:val="left" w:pos="1920"/>
        </w:tabs>
        <w:overflowPunct w:val="0"/>
        <w:snapToGrid w:val="0"/>
        <w:spacing w:line="276" w:lineRule="auto"/>
        <w:ind w:leftChars="800" w:left="2117" w:hanging="357"/>
        <w:rPr>
          <w:rFonts w:ascii="Arial" w:eastAsia="宋体" w:hAnsi="Arial" w:cs="Arial"/>
          <w:sz w:val="24"/>
          <w:szCs w:val="24"/>
        </w:rPr>
      </w:pPr>
      <w:r w:rsidRPr="000B366D">
        <w:rPr>
          <w:rFonts w:ascii="Arial" w:eastAsia="宋体" w:hAnsi="Arial" w:cs="Arial"/>
          <w:sz w:val="24"/>
          <w:szCs w:val="24"/>
        </w:rPr>
        <w:t>眼房水阀植入物（</w:t>
      </w:r>
      <w:r w:rsidRPr="000B366D">
        <w:rPr>
          <w:rFonts w:ascii="Arial" w:eastAsia="宋体" w:hAnsi="Arial" w:cs="Arial"/>
          <w:sz w:val="24"/>
          <w:szCs w:val="24"/>
        </w:rPr>
        <w:t>KYF</w:t>
      </w:r>
      <w:r w:rsidRPr="000B366D">
        <w:rPr>
          <w:rFonts w:ascii="Arial" w:eastAsia="宋体" w:hAnsi="Arial" w:cs="Arial"/>
          <w:sz w:val="24"/>
          <w:szCs w:val="24"/>
        </w:rPr>
        <w:t>）</w:t>
      </w:r>
    </w:p>
    <w:p w:rsidR="003F2FB4" w:rsidRPr="000B366D" w:rsidRDefault="00BE5706" w:rsidP="00E55719">
      <w:pPr>
        <w:pStyle w:val="a4"/>
        <w:numPr>
          <w:ilvl w:val="2"/>
          <w:numId w:val="2"/>
        </w:numPr>
        <w:tabs>
          <w:tab w:val="left" w:pos="1560"/>
        </w:tabs>
        <w:overflowPunct w:val="0"/>
        <w:snapToGrid w:val="0"/>
        <w:spacing w:line="276" w:lineRule="auto"/>
        <w:ind w:leftChars="600" w:left="1677" w:hanging="357"/>
        <w:rPr>
          <w:rFonts w:ascii="Arial" w:eastAsia="宋体" w:hAnsi="Arial" w:cs="Arial"/>
          <w:sz w:val="24"/>
          <w:szCs w:val="24"/>
        </w:rPr>
      </w:pPr>
      <w:r w:rsidRPr="000B366D">
        <w:rPr>
          <w:rFonts w:ascii="Arial" w:eastAsia="宋体" w:hAnsi="Arial" w:cs="Arial"/>
          <w:sz w:val="24"/>
          <w:szCs w:val="24"/>
        </w:rPr>
        <w:t>其他青光眼器械（</w:t>
      </w:r>
      <w:r w:rsidRPr="000B366D">
        <w:rPr>
          <w:rFonts w:ascii="Arial" w:eastAsia="宋体" w:hAnsi="Arial" w:cs="Arial"/>
          <w:sz w:val="24"/>
          <w:szCs w:val="24"/>
        </w:rPr>
        <w:t>III</w:t>
      </w:r>
      <w:r w:rsidRPr="000B366D">
        <w:rPr>
          <w:rFonts w:ascii="Arial" w:eastAsia="宋体" w:hAnsi="Arial" w:cs="Arial"/>
          <w:sz w:val="24"/>
          <w:szCs w:val="24"/>
        </w:rPr>
        <w:t>类）</w:t>
      </w:r>
    </w:p>
    <w:p w:rsidR="003F2FB4" w:rsidRPr="000B366D" w:rsidRDefault="00BE5706" w:rsidP="00E55719">
      <w:pPr>
        <w:pStyle w:val="a4"/>
        <w:numPr>
          <w:ilvl w:val="3"/>
          <w:numId w:val="2"/>
        </w:numPr>
        <w:tabs>
          <w:tab w:val="left" w:pos="1920"/>
        </w:tabs>
        <w:overflowPunct w:val="0"/>
        <w:snapToGrid w:val="0"/>
        <w:spacing w:line="276" w:lineRule="auto"/>
        <w:ind w:leftChars="800" w:left="2117" w:hanging="357"/>
        <w:rPr>
          <w:rFonts w:ascii="Arial" w:eastAsia="宋体" w:hAnsi="Arial" w:cs="Arial"/>
          <w:sz w:val="24"/>
          <w:szCs w:val="24"/>
        </w:rPr>
      </w:pPr>
      <w:r w:rsidRPr="000B366D">
        <w:rPr>
          <w:rFonts w:ascii="Arial" w:eastAsia="宋体" w:hAnsi="Arial" w:cs="Arial"/>
          <w:sz w:val="24"/>
          <w:szCs w:val="24"/>
        </w:rPr>
        <w:t>眼内压降低植入物（</w:t>
      </w:r>
      <w:r w:rsidRPr="000B366D">
        <w:rPr>
          <w:rFonts w:ascii="Arial" w:eastAsia="宋体" w:hAnsi="Arial" w:cs="Arial"/>
          <w:sz w:val="24"/>
          <w:szCs w:val="24"/>
        </w:rPr>
        <w:t>OGO</w:t>
      </w:r>
      <w:r w:rsidRPr="000B366D">
        <w:rPr>
          <w:rFonts w:ascii="Arial" w:eastAsia="宋体" w:hAnsi="Arial" w:cs="Arial"/>
          <w:sz w:val="24"/>
          <w:szCs w:val="24"/>
        </w:rPr>
        <w:t>）</w:t>
      </w:r>
    </w:p>
    <w:p w:rsidR="003F2FB4" w:rsidRPr="000B366D" w:rsidRDefault="00BE5706" w:rsidP="00E55719">
      <w:pPr>
        <w:pStyle w:val="a4"/>
        <w:numPr>
          <w:ilvl w:val="1"/>
          <w:numId w:val="2"/>
        </w:numPr>
        <w:tabs>
          <w:tab w:val="left" w:pos="1200"/>
        </w:tabs>
        <w:overflowPunct w:val="0"/>
        <w:snapToGrid w:val="0"/>
        <w:spacing w:line="276" w:lineRule="auto"/>
        <w:ind w:leftChars="400" w:left="1237" w:hanging="357"/>
        <w:rPr>
          <w:rFonts w:ascii="Arial" w:eastAsia="宋体" w:hAnsi="Arial" w:cs="Arial"/>
          <w:sz w:val="24"/>
          <w:szCs w:val="24"/>
        </w:rPr>
      </w:pPr>
      <w:r w:rsidRPr="000B366D">
        <w:rPr>
          <w:rFonts w:ascii="Arial" w:eastAsia="宋体" w:hAnsi="Arial" w:cs="Arial"/>
          <w:sz w:val="24"/>
          <w:szCs w:val="24"/>
        </w:rPr>
        <w:t>晶体乳化仪（</w:t>
      </w:r>
      <w:r w:rsidRPr="000B366D">
        <w:rPr>
          <w:rFonts w:ascii="Arial" w:eastAsia="宋体" w:hAnsi="Arial" w:cs="Arial"/>
          <w:sz w:val="24"/>
          <w:szCs w:val="24"/>
        </w:rPr>
        <w:t>21 CFR 886.4670</w:t>
      </w:r>
      <w:r w:rsidRPr="000B366D">
        <w:rPr>
          <w:rFonts w:ascii="Arial" w:eastAsia="宋体" w:hAnsi="Arial" w:cs="Arial"/>
          <w:sz w:val="24"/>
          <w:szCs w:val="24"/>
        </w:rPr>
        <w:t>，</w:t>
      </w:r>
      <w:r w:rsidRPr="000B366D">
        <w:rPr>
          <w:rFonts w:ascii="Arial" w:eastAsia="宋体" w:hAnsi="Arial" w:cs="Arial"/>
          <w:sz w:val="24"/>
          <w:szCs w:val="24"/>
        </w:rPr>
        <w:t>II</w:t>
      </w:r>
      <w:r w:rsidRPr="000B366D">
        <w:rPr>
          <w:rFonts w:ascii="Arial" w:eastAsia="宋体" w:hAnsi="Arial" w:cs="Arial"/>
          <w:sz w:val="24"/>
          <w:szCs w:val="24"/>
        </w:rPr>
        <w:t>类），特别是冲洗</w:t>
      </w:r>
      <w:r w:rsidRPr="000B366D">
        <w:rPr>
          <w:rFonts w:ascii="Arial" w:eastAsia="宋体" w:hAnsi="Arial" w:cs="Arial"/>
          <w:sz w:val="24"/>
          <w:szCs w:val="24"/>
        </w:rPr>
        <w:t>/</w:t>
      </w:r>
      <w:r w:rsidRPr="000B366D">
        <w:rPr>
          <w:rFonts w:ascii="Arial" w:eastAsia="宋体" w:hAnsi="Arial" w:cs="Arial"/>
          <w:sz w:val="24"/>
          <w:szCs w:val="24"/>
        </w:rPr>
        <w:t>抽吸套筒和管道（</w:t>
      </w:r>
      <w:r w:rsidRPr="000B366D">
        <w:rPr>
          <w:rFonts w:ascii="Arial" w:eastAsia="宋体" w:hAnsi="Arial" w:cs="Arial"/>
          <w:sz w:val="24"/>
          <w:szCs w:val="24"/>
        </w:rPr>
        <w:t>HQC</w:t>
      </w:r>
      <w:r w:rsidRPr="000B366D">
        <w:rPr>
          <w:rFonts w:ascii="Arial" w:eastAsia="宋体" w:hAnsi="Arial" w:cs="Arial"/>
          <w:sz w:val="24"/>
          <w:szCs w:val="24"/>
        </w:rPr>
        <w:t>）配件</w:t>
      </w:r>
    </w:p>
    <w:p w:rsidR="003F2FB4" w:rsidRPr="000B366D" w:rsidRDefault="00BE5706" w:rsidP="00E55719">
      <w:pPr>
        <w:pStyle w:val="a3"/>
        <w:overflowPunct w:val="0"/>
        <w:snapToGrid w:val="0"/>
        <w:spacing w:line="276" w:lineRule="auto"/>
        <w:ind w:left="0" w:firstLine="0"/>
        <w:rPr>
          <w:rFonts w:ascii="Arial" w:hAnsi="Arial" w:cs="Arial"/>
        </w:rPr>
      </w:pPr>
      <w:r w:rsidRPr="000B366D">
        <w:rPr>
          <w:rFonts w:ascii="Arial" w:hAnsi="Arial" w:cs="Arial"/>
        </w:rPr>
        <w:t>本指南不涵盖可重复使用的手动眼科手术器械的细菌内毒素污染。</w:t>
      </w:r>
      <w:r w:rsidR="006F7F8D" w:rsidRPr="000B366D">
        <w:rPr>
          <w:rFonts w:ascii="Arial" w:hAnsi="Arial" w:cs="Arial"/>
        </w:rPr>
        <w:br w:type="page"/>
      </w:r>
    </w:p>
    <w:p w:rsidR="003F2FB4" w:rsidRPr="000B366D" w:rsidRDefault="00BE5706" w:rsidP="0089543C">
      <w:pPr>
        <w:pStyle w:val="3"/>
        <w:numPr>
          <w:ilvl w:val="0"/>
          <w:numId w:val="5"/>
        </w:numPr>
        <w:snapToGrid w:val="0"/>
        <w:spacing w:beforeLines="50" w:before="120" w:afterLines="50" w:after="120" w:line="276" w:lineRule="auto"/>
        <w:jc w:val="both"/>
        <w:rPr>
          <w:rFonts w:ascii="Arial" w:hAnsi="Arial" w:cs="Arial"/>
        </w:rPr>
      </w:pPr>
      <w:r w:rsidRPr="000B366D">
        <w:rPr>
          <w:rFonts w:ascii="Arial" w:hAnsi="Arial" w:cs="Arial"/>
        </w:rPr>
        <w:lastRenderedPageBreak/>
        <w:t>建议</w:t>
      </w:r>
    </w:p>
    <w:p w:rsidR="003F2FB4" w:rsidRPr="000B366D" w:rsidRDefault="00BE5706" w:rsidP="00390E4D">
      <w:pPr>
        <w:pStyle w:val="5"/>
        <w:numPr>
          <w:ilvl w:val="0"/>
          <w:numId w:val="6"/>
        </w:numPr>
        <w:tabs>
          <w:tab w:val="left" w:pos="820"/>
        </w:tabs>
        <w:overflowPunct w:val="0"/>
        <w:snapToGrid w:val="0"/>
        <w:spacing w:afterLines="50" w:after="120" w:line="300" w:lineRule="auto"/>
        <w:rPr>
          <w:rFonts w:ascii="Arial" w:hAnsi="Arial" w:cs="Arial"/>
          <w:b w:val="0"/>
          <w:bCs w:val="0"/>
        </w:rPr>
      </w:pPr>
      <w:r w:rsidRPr="000B366D">
        <w:rPr>
          <w:rFonts w:ascii="Arial" w:hAnsi="Arial" w:cs="Arial"/>
        </w:rPr>
        <w:t>眼内液</w:t>
      </w:r>
    </w:p>
    <w:p w:rsidR="003F2FB4" w:rsidRPr="000B366D" w:rsidRDefault="00BE5706" w:rsidP="00390E4D">
      <w:pPr>
        <w:pStyle w:val="a4"/>
        <w:numPr>
          <w:ilvl w:val="2"/>
          <w:numId w:val="3"/>
        </w:numPr>
        <w:tabs>
          <w:tab w:val="left" w:pos="1180"/>
        </w:tabs>
        <w:overflowPunct w:val="0"/>
        <w:snapToGrid w:val="0"/>
        <w:spacing w:afterLines="50" w:after="120" w:line="300" w:lineRule="auto"/>
        <w:ind w:leftChars="400" w:left="1237" w:hanging="357"/>
        <w:rPr>
          <w:rFonts w:ascii="Arial" w:eastAsia="宋体" w:hAnsi="Arial" w:cs="Arial"/>
          <w:sz w:val="24"/>
          <w:szCs w:val="24"/>
        </w:rPr>
      </w:pPr>
      <w:r w:rsidRPr="000B366D">
        <w:rPr>
          <w:rFonts w:ascii="Arial" w:eastAsia="宋体" w:hAnsi="Arial" w:cs="Arial"/>
          <w:sz w:val="24"/>
          <w:szCs w:val="24"/>
        </w:rPr>
        <w:t>OVD</w:t>
      </w:r>
    </w:p>
    <w:p w:rsidR="003F2FB4" w:rsidRPr="000B366D" w:rsidRDefault="00BE5706" w:rsidP="00943AC4">
      <w:pPr>
        <w:pStyle w:val="a4"/>
        <w:numPr>
          <w:ilvl w:val="3"/>
          <w:numId w:val="3"/>
        </w:numPr>
        <w:tabs>
          <w:tab w:val="left" w:pos="1694"/>
        </w:tabs>
        <w:overflowPunct w:val="0"/>
        <w:snapToGrid w:val="0"/>
        <w:spacing w:afterLines="50" w:after="120" w:line="300" w:lineRule="auto"/>
        <w:ind w:leftChars="554" w:left="1678" w:hanging="459"/>
        <w:jc w:val="both"/>
        <w:rPr>
          <w:rFonts w:ascii="Arial" w:eastAsia="宋体" w:hAnsi="Arial" w:cs="Arial"/>
          <w:sz w:val="24"/>
          <w:szCs w:val="24"/>
        </w:rPr>
      </w:pPr>
      <w:r w:rsidRPr="000B366D">
        <w:rPr>
          <w:rFonts w:ascii="Arial" w:eastAsia="宋体" w:hAnsi="Arial" w:cs="Arial"/>
          <w:sz w:val="24"/>
          <w:szCs w:val="24"/>
        </w:rPr>
        <w:t>发布试验的推荐细菌内毒素限值为</w:t>
      </w:r>
      <w:r w:rsidRPr="000B366D">
        <w:rPr>
          <w:rFonts w:ascii="Arial" w:eastAsia="宋体" w:hAnsi="Arial" w:cs="Arial"/>
          <w:sz w:val="24"/>
          <w:szCs w:val="24"/>
        </w:rPr>
        <w:t>≤0.2EU/mL</w:t>
      </w:r>
      <w:r w:rsidRPr="000B366D">
        <w:rPr>
          <w:rFonts w:ascii="Arial" w:eastAsia="宋体" w:hAnsi="Arial" w:cs="Arial"/>
          <w:sz w:val="24"/>
          <w:szCs w:val="24"/>
        </w:rPr>
        <w:t>，不论预期使用部位是前段还是后段。</w:t>
      </w:r>
    </w:p>
    <w:p w:rsidR="003F2FB4" w:rsidRPr="000B366D" w:rsidRDefault="00BE5706" w:rsidP="00D42B83">
      <w:pPr>
        <w:pStyle w:val="a4"/>
        <w:numPr>
          <w:ilvl w:val="3"/>
          <w:numId w:val="3"/>
        </w:numPr>
        <w:tabs>
          <w:tab w:val="left" w:pos="1694"/>
        </w:tabs>
        <w:overflowPunct w:val="0"/>
        <w:snapToGrid w:val="0"/>
        <w:spacing w:afterLines="50" w:after="120" w:line="300" w:lineRule="auto"/>
        <w:ind w:leftChars="554" w:left="1678" w:hanging="459"/>
        <w:jc w:val="both"/>
        <w:rPr>
          <w:rFonts w:ascii="Arial" w:eastAsia="宋体" w:hAnsi="Arial" w:cs="Arial"/>
          <w:sz w:val="24"/>
          <w:szCs w:val="24"/>
        </w:rPr>
      </w:pPr>
      <w:r w:rsidRPr="000B366D">
        <w:rPr>
          <w:rFonts w:ascii="Arial" w:eastAsia="宋体" w:hAnsi="Arial" w:cs="Arial"/>
          <w:sz w:val="24"/>
          <w:szCs w:val="24"/>
        </w:rPr>
        <w:t>细菌内毒素检测方法确认：</w:t>
      </w:r>
    </w:p>
    <w:p w:rsidR="003F2FB4" w:rsidRPr="000B366D" w:rsidRDefault="00BE5706" w:rsidP="00E03459">
      <w:pPr>
        <w:pStyle w:val="a3"/>
        <w:overflowPunct w:val="0"/>
        <w:snapToGrid w:val="0"/>
        <w:spacing w:afterLines="50" w:after="120" w:line="300" w:lineRule="auto"/>
        <w:ind w:leftChars="769" w:left="1692" w:firstLine="0"/>
        <w:jc w:val="both"/>
        <w:rPr>
          <w:rFonts w:ascii="Arial" w:hAnsi="Arial" w:cs="Arial"/>
        </w:rPr>
      </w:pPr>
      <w:r w:rsidRPr="000B366D">
        <w:rPr>
          <w:rFonts w:ascii="Arial" w:hAnsi="Arial" w:cs="Arial"/>
        </w:rPr>
        <w:t>OVD</w:t>
      </w:r>
      <w:r w:rsidRPr="000B366D">
        <w:rPr>
          <w:rFonts w:ascii="Arial" w:hAnsi="Arial" w:cs="Arial"/>
        </w:rPr>
        <w:t>的粘度可能会干扰</w:t>
      </w:r>
      <w:r w:rsidRPr="000B366D">
        <w:rPr>
          <w:rFonts w:ascii="Arial" w:hAnsi="Arial" w:cs="Arial"/>
        </w:rPr>
        <w:t>BET</w:t>
      </w:r>
      <w:r w:rsidRPr="000B366D">
        <w:rPr>
          <w:rFonts w:ascii="Arial" w:hAnsi="Arial" w:cs="Arial"/>
        </w:rPr>
        <w:t>。除</w:t>
      </w:r>
      <w:r w:rsidRPr="000B366D">
        <w:rPr>
          <w:rFonts w:ascii="Arial" w:hAnsi="Arial" w:cs="Arial"/>
        </w:rPr>
        <w:t>USP &lt;85&gt;</w:t>
      </w:r>
      <w:r w:rsidRPr="000B366D">
        <w:rPr>
          <w:rFonts w:ascii="Arial" w:hAnsi="Arial" w:cs="Arial"/>
        </w:rPr>
        <w:t>和</w:t>
      </w:r>
      <w:r w:rsidRPr="000B366D">
        <w:rPr>
          <w:rFonts w:ascii="Arial" w:hAnsi="Arial" w:cs="Arial"/>
        </w:rPr>
        <w:t>ANSI / AAMI ST72</w:t>
      </w:r>
      <w:r w:rsidRPr="000B366D">
        <w:rPr>
          <w:rFonts w:ascii="Arial" w:hAnsi="Arial" w:cs="Arial"/>
        </w:rPr>
        <w:t>中描述的一般确认原则外，确认</w:t>
      </w:r>
      <w:r w:rsidRPr="000B366D">
        <w:rPr>
          <w:rFonts w:ascii="Arial" w:hAnsi="Arial" w:cs="Arial"/>
        </w:rPr>
        <w:t>BET</w:t>
      </w:r>
      <w:r w:rsidRPr="000B366D">
        <w:rPr>
          <w:rFonts w:ascii="Arial" w:hAnsi="Arial" w:cs="Arial"/>
        </w:rPr>
        <w:t>后应回收加入</w:t>
      </w:r>
      <w:r w:rsidRPr="000B366D">
        <w:rPr>
          <w:rFonts w:ascii="Arial" w:hAnsi="Arial" w:cs="Arial"/>
        </w:rPr>
        <w:t>/</w:t>
      </w:r>
      <w:r w:rsidRPr="000B366D">
        <w:rPr>
          <w:rFonts w:ascii="Arial" w:hAnsi="Arial" w:cs="Arial"/>
        </w:rPr>
        <w:t>掺入</w:t>
      </w:r>
      <w:r w:rsidRPr="000B366D">
        <w:rPr>
          <w:rFonts w:ascii="Arial" w:hAnsi="Arial" w:cs="Arial"/>
        </w:rPr>
        <w:t>OVD</w:t>
      </w:r>
      <w:r w:rsidRPr="000B366D">
        <w:rPr>
          <w:rFonts w:ascii="Arial" w:hAnsi="Arial" w:cs="Arial"/>
        </w:rPr>
        <w:t>的已知量的细菌内毒素。对于每个待上市</w:t>
      </w:r>
      <w:r w:rsidRPr="000B366D">
        <w:rPr>
          <w:rFonts w:ascii="Arial" w:hAnsi="Arial" w:cs="Arial"/>
        </w:rPr>
        <w:t>OVD</w:t>
      </w:r>
      <w:r w:rsidRPr="000B366D">
        <w:rPr>
          <w:rFonts w:ascii="Arial" w:hAnsi="Arial" w:cs="Arial"/>
        </w:rPr>
        <w:t>，应分别将细菌内毒素掺入来自</w:t>
      </w:r>
      <w:r w:rsidRPr="000B366D">
        <w:rPr>
          <w:rFonts w:ascii="Arial" w:hAnsi="Arial" w:cs="Arial"/>
        </w:rPr>
        <w:t>3</w:t>
      </w:r>
      <w:r w:rsidRPr="000B366D">
        <w:rPr>
          <w:rFonts w:ascii="Arial" w:hAnsi="Arial" w:cs="Arial"/>
        </w:rPr>
        <w:t>个</w:t>
      </w:r>
      <w:r w:rsidRPr="000B366D">
        <w:rPr>
          <w:rFonts w:ascii="Arial" w:hAnsi="Arial" w:cs="Arial"/>
        </w:rPr>
        <w:t>OVD</w:t>
      </w:r>
      <w:r w:rsidRPr="000B366D">
        <w:rPr>
          <w:rFonts w:ascii="Arial" w:hAnsi="Arial" w:cs="Arial"/>
        </w:rPr>
        <w:t>批次的随机样品，使其最终浓度为</w:t>
      </w:r>
      <w:r w:rsidRPr="000B366D">
        <w:rPr>
          <w:rFonts w:ascii="Arial" w:hAnsi="Arial" w:cs="Arial"/>
        </w:rPr>
        <w:t>0.1</w:t>
      </w:r>
      <w:r w:rsidR="00952946" w:rsidRPr="000B366D">
        <w:rPr>
          <w:rFonts w:ascii="Arial" w:hAnsi="Arial" w:cs="Arial"/>
        </w:rPr>
        <w:t>，</w:t>
      </w:r>
      <w:r w:rsidRPr="000B366D">
        <w:rPr>
          <w:rFonts w:ascii="Arial" w:hAnsi="Arial" w:cs="Arial"/>
        </w:rPr>
        <w:t>0.2</w:t>
      </w:r>
      <w:r w:rsidRPr="000B366D">
        <w:rPr>
          <w:rFonts w:ascii="Arial" w:hAnsi="Arial" w:cs="Arial"/>
        </w:rPr>
        <w:t>和</w:t>
      </w:r>
      <w:r w:rsidRPr="000B366D">
        <w:rPr>
          <w:rFonts w:ascii="Arial" w:hAnsi="Arial" w:cs="Arial"/>
        </w:rPr>
        <w:t>0.5EU / mL</w:t>
      </w:r>
      <w:r w:rsidRPr="000B366D">
        <w:rPr>
          <w:rFonts w:ascii="Arial" w:hAnsi="Arial" w:cs="Arial"/>
        </w:rPr>
        <w:t>。每次试验应重复三次（即每个批次应掺入细菌内毒素并抽样三次进行检测）。然后使用</w:t>
      </w:r>
      <w:r w:rsidRPr="000B366D">
        <w:rPr>
          <w:rFonts w:ascii="Arial" w:hAnsi="Arial" w:cs="Arial"/>
        </w:rPr>
        <w:t>BET</w:t>
      </w:r>
      <w:r w:rsidRPr="000B366D">
        <w:rPr>
          <w:rFonts w:ascii="Arial" w:hAnsi="Arial" w:cs="Arial"/>
        </w:rPr>
        <w:t>对</w:t>
      </w:r>
      <w:r w:rsidRPr="000B366D">
        <w:rPr>
          <w:rFonts w:ascii="Arial" w:hAnsi="Arial" w:cs="Arial"/>
        </w:rPr>
        <w:t>OVD</w:t>
      </w:r>
      <w:r w:rsidRPr="000B366D">
        <w:rPr>
          <w:rFonts w:ascii="Arial" w:hAnsi="Arial" w:cs="Arial"/>
        </w:rPr>
        <w:t>进行细菌内毒素检测，细菌内毒素百分比回收率应根据从每个批次的三个试样获得值的平均值计算。检测限可以因用于检测的方法（例如，凝胶凝块，比浊法和显色法）而异，因此，应用不同的方法进行实验以确保细菌内毒素被尽可能地回收。对于使用高分子量</w:t>
      </w:r>
      <w:r w:rsidRPr="000B366D">
        <w:rPr>
          <w:rFonts w:ascii="Arial" w:hAnsi="Arial" w:cs="Arial"/>
        </w:rPr>
        <w:t>HA</w:t>
      </w:r>
      <w:r w:rsidRPr="000B366D">
        <w:rPr>
          <w:rFonts w:ascii="Arial" w:hAnsi="Arial" w:cs="Arial"/>
        </w:rPr>
        <w:t>制备的</w:t>
      </w:r>
      <w:r w:rsidRPr="000B366D">
        <w:rPr>
          <w:rFonts w:ascii="Arial" w:hAnsi="Arial" w:cs="Arial"/>
        </w:rPr>
        <w:t>OVD</w:t>
      </w:r>
      <w:r w:rsidRPr="000B366D">
        <w:rPr>
          <w:rFonts w:ascii="Arial" w:hAnsi="Arial" w:cs="Arial"/>
        </w:rPr>
        <w:t>，应使用含有不可检测水平的细菌内毒素的酶来分解大分子并使细菌内毒素更易于检测。使用酶解将避免使用高稀释因子来克服干扰，从而使</w:t>
      </w:r>
      <w:r w:rsidRPr="000B366D">
        <w:rPr>
          <w:rFonts w:ascii="Arial" w:hAnsi="Arial" w:cs="Arial"/>
        </w:rPr>
        <w:t>OVD</w:t>
      </w:r>
      <w:r w:rsidRPr="000B366D">
        <w:rPr>
          <w:rFonts w:ascii="Arial" w:hAnsi="Arial" w:cs="Arial"/>
        </w:rPr>
        <w:t>满足细菌内毒素限值。</w:t>
      </w:r>
      <w:hyperlink w:anchor="_bookmark8" w:history="1">
        <w:r w:rsidRPr="000B366D">
          <w:rPr>
            <w:rFonts w:ascii="Arial" w:hAnsi="Arial" w:cs="Arial"/>
            <w:vertAlign w:val="superscript"/>
          </w:rPr>
          <w:t>13</w:t>
        </w:r>
      </w:hyperlink>
    </w:p>
    <w:p w:rsidR="003F2FB4" w:rsidRPr="000B366D" w:rsidRDefault="00BE5706" w:rsidP="003D160C">
      <w:pPr>
        <w:pStyle w:val="a4"/>
        <w:numPr>
          <w:ilvl w:val="3"/>
          <w:numId w:val="3"/>
        </w:numPr>
        <w:tabs>
          <w:tab w:val="left" w:pos="1694"/>
        </w:tabs>
        <w:overflowPunct w:val="0"/>
        <w:snapToGrid w:val="0"/>
        <w:spacing w:afterLines="50" w:after="120" w:line="300" w:lineRule="auto"/>
        <w:ind w:leftChars="554" w:left="1678" w:hanging="459"/>
        <w:jc w:val="both"/>
        <w:rPr>
          <w:rFonts w:ascii="Arial" w:eastAsia="宋体" w:hAnsi="Arial" w:cs="Arial"/>
          <w:sz w:val="24"/>
          <w:szCs w:val="24"/>
        </w:rPr>
      </w:pPr>
      <w:r w:rsidRPr="000B366D">
        <w:rPr>
          <w:rFonts w:ascii="Arial" w:eastAsia="宋体" w:hAnsi="Arial" w:cs="Arial"/>
          <w:sz w:val="24"/>
          <w:szCs w:val="24"/>
        </w:rPr>
        <w:t>如果为质量控制和验收标准执行了动物试验，应附带相关标签声明：</w:t>
      </w:r>
    </w:p>
    <w:p w:rsidR="003F2FB4" w:rsidRPr="000B366D" w:rsidRDefault="00BE5706" w:rsidP="00943AC4">
      <w:pPr>
        <w:pStyle w:val="a3"/>
        <w:overflowPunct w:val="0"/>
        <w:snapToGrid w:val="0"/>
        <w:spacing w:afterLines="50" w:after="120" w:line="300" w:lineRule="auto"/>
        <w:ind w:left="0" w:firstLine="0"/>
        <w:jc w:val="both"/>
        <w:rPr>
          <w:rFonts w:ascii="Arial" w:hAnsi="Arial" w:cs="Arial"/>
        </w:rPr>
      </w:pPr>
      <w:r w:rsidRPr="000B366D">
        <w:rPr>
          <w:rFonts w:ascii="Arial" w:hAnsi="Arial" w:cs="Arial"/>
        </w:rPr>
        <w:t>由于</w:t>
      </w:r>
      <w:r w:rsidRPr="000B366D">
        <w:rPr>
          <w:rFonts w:ascii="Arial" w:hAnsi="Arial" w:cs="Arial"/>
        </w:rPr>
        <w:t>OVD</w:t>
      </w:r>
      <w:r w:rsidRPr="000B366D">
        <w:rPr>
          <w:rFonts w:ascii="Arial" w:hAnsi="Arial" w:cs="Arial"/>
        </w:rPr>
        <w:t>可以引发一些炎症，因此</w:t>
      </w:r>
      <w:r w:rsidRPr="000B366D">
        <w:rPr>
          <w:rFonts w:ascii="Arial" w:hAnsi="Arial" w:cs="Arial"/>
        </w:rPr>
        <w:t>OVD</w:t>
      </w:r>
      <w:r w:rsidRPr="000B366D">
        <w:rPr>
          <w:rFonts w:ascii="Arial" w:hAnsi="Arial" w:cs="Arial"/>
        </w:rPr>
        <w:t>标签中不得使用</w:t>
      </w:r>
      <w:r w:rsidRPr="000B366D">
        <w:rPr>
          <w:rFonts w:ascii="Arial" w:hAnsi="Arial" w:cs="Arial"/>
        </w:rPr>
        <w:t>“</w:t>
      </w:r>
      <w:r w:rsidRPr="000B366D">
        <w:rPr>
          <w:rFonts w:ascii="Arial" w:hAnsi="Arial" w:cs="Arial"/>
        </w:rPr>
        <w:t>非炎症性</w:t>
      </w:r>
      <w:r w:rsidRPr="000B366D">
        <w:rPr>
          <w:rFonts w:ascii="Arial" w:hAnsi="Arial" w:cs="Arial"/>
        </w:rPr>
        <w:t>”</w:t>
      </w:r>
      <w:r w:rsidRPr="000B366D">
        <w:rPr>
          <w:rFonts w:ascii="Arial" w:hAnsi="Arial" w:cs="Arial"/>
        </w:rPr>
        <w:t>一词，尽管炎症可能不具临床显著性。如果进行了动物试验或其他用于检测炎症的有效方法作为产品发布试验，</w:t>
      </w:r>
      <w:r w:rsidRPr="000B366D">
        <w:rPr>
          <w:rFonts w:ascii="Arial" w:hAnsi="Arial" w:cs="Arial"/>
        </w:rPr>
        <w:t>OVD</w:t>
      </w:r>
      <w:r w:rsidRPr="000B366D">
        <w:rPr>
          <w:rFonts w:ascii="Arial" w:hAnsi="Arial" w:cs="Arial"/>
        </w:rPr>
        <w:t>可以标记为具有</w:t>
      </w:r>
      <w:r w:rsidRPr="000B366D">
        <w:rPr>
          <w:rFonts w:ascii="Arial" w:hAnsi="Arial" w:cs="Arial"/>
        </w:rPr>
        <w:t>“</w:t>
      </w:r>
      <w:r w:rsidRPr="000B366D">
        <w:rPr>
          <w:rFonts w:ascii="Arial" w:hAnsi="Arial" w:cs="Arial"/>
        </w:rPr>
        <w:t>低炎症潜能</w:t>
      </w:r>
      <w:r w:rsidRPr="000B366D">
        <w:rPr>
          <w:rFonts w:ascii="Arial" w:hAnsi="Arial" w:cs="Arial"/>
        </w:rPr>
        <w:t>”</w:t>
      </w:r>
      <w:r w:rsidRPr="000B366D">
        <w:rPr>
          <w:rFonts w:ascii="Arial" w:hAnsi="Arial" w:cs="Arial"/>
        </w:rPr>
        <w:t>。</w:t>
      </w:r>
    </w:p>
    <w:p w:rsidR="003F2FB4" w:rsidRPr="000B366D" w:rsidRDefault="00BE5706" w:rsidP="00943AC4">
      <w:pPr>
        <w:pStyle w:val="a3"/>
        <w:overflowPunct w:val="0"/>
        <w:snapToGrid w:val="0"/>
        <w:spacing w:afterLines="50" w:after="120" w:line="300" w:lineRule="auto"/>
        <w:ind w:left="0" w:firstLine="0"/>
        <w:jc w:val="both"/>
        <w:rPr>
          <w:rFonts w:ascii="Arial" w:hAnsi="Arial" w:cs="Arial"/>
        </w:rPr>
      </w:pPr>
      <w:r w:rsidRPr="000B366D">
        <w:rPr>
          <w:rFonts w:ascii="Arial" w:hAnsi="Arial" w:cs="Arial"/>
        </w:rPr>
        <w:t>尽管可以使用</w:t>
      </w:r>
      <w:r w:rsidRPr="000B366D">
        <w:rPr>
          <w:rFonts w:ascii="Arial" w:hAnsi="Arial" w:cs="Arial"/>
        </w:rPr>
        <w:t>BET</w:t>
      </w:r>
      <w:r w:rsidRPr="000B366D">
        <w:rPr>
          <w:rFonts w:ascii="Arial" w:hAnsi="Arial" w:cs="Arial"/>
        </w:rPr>
        <w:t>检测和量化</w:t>
      </w:r>
      <w:r w:rsidRPr="000B366D">
        <w:rPr>
          <w:rFonts w:ascii="Arial" w:hAnsi="Arial" w:cs="Arial"/>
        </w:rPr>
        <w:t>OVD</w:t>
      </w:r>
      <w:r w:rsidRPr="000B366D">
        <w:rPr>
          <w:rFonts w:ascii="Arial" w:hAnsi="Arial" w:cs="Arial"/>
        </w:rPr>
        <w:t>中的细菌内毒素，但由于试验存在固有限制，检测到的量仅为实际值的近似值。此外，检测到的细菌内毒素量可以受个别</w:t>
      </w:r>
      <w:r w:rsidRPr="000B366D">
        <w:rPr>
          <w:rFonts w:ascii="Arial" w:hAnsi="Arial" w:cs="Arial"/>
        </w:rPr>
        <w:t>OVD</w:t>
      </w:r>
      <w:r w:rsidRPr="000B366D">
        <w:rPr>
          <w:rFonts w:ascii="Arial" w:hAnsi="Arial" w:cs="Arial"/>
        </w:rPr>
        <w:t>的特有性质（例如分子量）影响，因此此类性质可以改变</w:t>
      </w:r>
      <w:r w:rsidRPr="000B366D">
        <w:rPr>
          <w:rFonts w:ascii="Arial" w:hAnsi="Arial" w:cs="Arial"/>
        </w:rPr>
        <w:t>OVD</w:t>
      </w:r>
      <w:r w:rsidRPr="000B366D">
        <w:rPr>
          <w:rFonts w:ascii="Arial" w:hAnsi="Arial" w:cs="Arial"/>
        </w:rPr>
        <w:t>与眼组织的结合方式，从而改变酶解效率。因此，确保</w:t>
      </w:r>
      <w:r w:rsidRPr="000B366D">
        <w:rPr>
          <w:rFonts w:ascii="Arial" w:hAnsi="Arial" w:cs="Arial"/>
        </w:rPr>
        <w:t>OVD</w:t>
      </w:r>
      <w:r w:rsidRPr="000B366D">
        <w:rPr>
          <w:rFonts w:ascii="Arial" w:hAnsi="Arial" w:cs="Arial"/>
        </w:rPr>
        <w:t>具有低炎症潜能时，推荐对眼前段中的产品进行测试，随后进行炎症评估。</w:t>
      </w:r>
    </w:p>
    <w:p w:rsidR="003F2FB4" w:rsidRPr="000B366D" w:rsidRDefault="00BE5706" w:rsidP="003D160C">
      <w:pPr>
        <w:pStyle w:val="a3"/>
        <w:overflowPunct w:val="0"/>
        <w:snapToGrid w:val="0"/>
        <w:spacing w:afterLines="50" w:after="120" w:line="300" w:lineRule="auto"/>
        <w:ind w:left="0" w:firstLine="0"/>
        <w:jc w:val="both"/>
        <w:rPr>
          <w:rFonts w:ascii="Arial" w:hAnsi="Arial" w:cs="Arial"/>
        </w:rPr>
      </w:pPr>
      <w:r w:rsidRPr="000B366D">
        <w:rPr>
          <w:rFonts w:ascii="Arial" w:hAnsi="Arial" w:cs="Arial"/>
        </w:rPr>
        <w:t>动物模型中</w:t>
      </w:r>
      <w:r w:rsidRPr="000B366D">
        <w:rPr>
          <w:rFonts w:ascii="Arial" w:hAnsi="Arial" w:cs="Arial"/>
        </w:rPr>
        <w:t>OVD</w:t>
      </w:r>
      <w:r w:rsidRPr="000B366D">
        <w:rPr>
          <w:rFonts w:ascii="Arial" w:hAnsi="Arial" w:cs="Arial"/>
        </w:rPr>
        <w:t>试验应通过在前房注射</w:t>
      </w:r>
      <w:r w:rsidRPr="000B366D">
        <w:rPr>
          <w:rFonts w:ascii="Arial" w:hAnsi="Arial" w:cs="Arial"/>
        </w:rPr>
        <w:t>OVD</w:t>
      </w:r>
      <w:r w:rsidRPr="000B366D">
        <w:rPr>
          <w:rFonts w:ascii="Arial" w:hAnsi="Arial" w:cs="Arial"/>
        </w:rPr>
        <w:t>进行。</w:t>
      </w:r>
      <w:hyperlink w:anchor="_bookmark10" w:history="1">
        <w:r w:rsidRPr="000B366D">
          <w:rPr>
            <w:rFonts w:ascii="Arial" w:hAnsi="Arial" w:cs="Arial"/>
            <w:vertAlign w:val="superscript"/>
          </w:rPr>
          <w:t>15</w:t>
        </w:r>
        <w:r w:rsidRPr="000B366D">
          <w:rPr>
            <w:rFonts w:ascii="Arial" w:hAnsi="Arial" w:cs="Arial"/>
          </w:rPr>
          <w:t xml:space="preserve"> </w:t>
        </w:r>
      </w:hyperlink>
      <w:r w:rsidRPr="000B366D">
        <w:rPr>
          <w:rFonts w:ascii="Arial" w:hAnsi="Arial" w:cs="Arial"/>
        </w:rPr>
        <w:t>然后使用裂隙灯监测眼睛</w:t>
      </w:r>
      <w:r w:rsidRPr="000B366D">
        <w:rPr>
          <w:rFonts w:ascii="Arial" w:hAnsi="Arial" w:cs="Arial"/>
        </w:rPr>
        <w:lastRenderedPageBreak/>
        <w:t>的临床症状，至少持续三天（即</w:t>
      </w:r>
      <w:r w:rsidRPr="000B366D">
        <w:rPr>
          <w:rFonts w:ascii="Arial" w:hAnsi="Arial" w:cs="Arial"/>
        </w:rPr>
        <w:t>72</w:t>
      </w:r>
      <w:r w:rsidRPr="000B366D">
        <w:rPr>
          <w:rFonts w:ascii="Arial" w:hAnsi="Arial" w:cs="Arial"/>
        </w:rPr>
        <w:t>小时）。应通过量化注射加标</w:t>
      </w:r>
      <w:r w:rsidRPr="000B366D">
        <w:rPr>
          <w:rFonts w:ascii="Arial" w:hAnsi="Arial" w:cs="Arial"/>
        </w:rPr>
        <w:t>OVD</w:t>
      </w:r>
      <w:r w:rsidRPr="000B366D">
        <w:rPr>
          <w:rFonts w:ascii="Arial" w:hAnsi="Arial" w:cs="Arial"/>
        </w:rPr>
        <w:t>引起的炎症来确认试验方法，其中，注射加标</w:t>
      </w:r>
      <w:r w:rsidRPr="000B366D">
        <w:rPr>
          <w:rFonts w:ascii="Arial" w:hAnsi="Arial" w:cs="Arial"/>
        </w:rPr>
        <w:t>OVD</w:t>
      </w:r>
      <w:r w:rsidRPr="000B366D">
        <w:rPr>
          <w:rFonts w:ascii="Arial" w:hAnsi="Arial" w:cs="Arial"/>
        </w:rPr>
        <w:t>后，眼内剂量应至少可达到</w:t>
      </w:r>
      <w:r w:rsidRPr="000B366D">
        <w:rPr>
          <w:rFonts w:ascii="Arial" w:hAnsi="Arial" w:cs="Arial"/>
        </w:rPr>
        <w:t>0.01</w:t>
      </w:r>
      <w:r w:rsidRPr="000B366D">
        <w:rPr>
          <w:rFonts w:ascii="Arial" w:hAnsi="Arial" w:cs="Arial"/>
        </w:rPr>
        <w:t>、</w:t>
      </w:r>
      <w:r w:rsidRPr="000B366D">
        <w:rPr>
          <w:rFonts w:ascii="Arial" w:hAnsi="Arial" w:cs="Arial"/>
        </w:rPr>
        <w:t>0.02</w:t>
      </w:r>
      <w:r w:rsidRPr="000B366D">
        <w:rPr>
          <w:rFonts w:ascii="Arial" w:hAnsi="Arial" w:cs="Arial"/>
        </w:rPr>
        <w:t>和</w:t>
      </w:r>
      <w:r w:rsidRPr="000B366D">
        <w:rPr>
          <w:rFonts w:ascii="Arial" w:hAnsi="Arial" w:cs="Arial"/>
        </w:rPr>
        <w:t>0.05 Eu/</w:t>
      </w:r>
      <w:r w:rsidRPr="000B366D">
        <w:rPr>
          <w:rFonts w:ascii="Arial" w:hAnsi="Arial" w:cs="Arial"/>
        </w:rPr>
        <w:t>眼。</w:t>
      </w:r>
    </w:p>
    <w:p w:rsidR="003F2FB4" w:rsidRPr="000B366D" w:rsidRDefault="00BE5706" w:rsidP="003D160C">
      <w:pPr>
        <w:pStyle w:val="a3"/>
        <w:overflowPunct w:val="0"/>
        <w:snapToGrid w:val="0"/>
        <w:spacing w:afterLines="50" w:after="120" w:line="300" w:lineRule="auto"/>
        <w:ind w:left="0" w:firstLine="0"/>
        <w:rPr>
          <w:rFonts w:ascii="Arial" w:hAnsi="Arial" w:cs="Arial"/>
        </w:rPr>
      </w:pPr>
      <w:r w:rsidRPr="000B366D">
        <w:rPr>
          <w:rFonts w:ascii="Arial" w:hAnsi="Arial" w:cs="Arial"/>
        </w:rPr>
        <w:t>我们建议，拟进行此试验的申办方应提交预提交材料，以获得眼科和耳鼻喉器械处就动物试验确认，发布试验的验收标准和任何其他炎症检测方法提供的反馈和建议。有关预提交材料的更多信息，请参见</w:t>
      </w:r>
      <w:hyperlink r:id="rId14"/>
      <w:hyperlink r:id="rId15">
        <w:r w:rsidRPr="000B366D">
          <w:rPr>
            <w:rFonts w:ascii="Arial" w:hAnsi="Arial" w:cs="Arial"/>
            <w:color w:val="0000FF"/>
            <w:u w:val="single" w:color="0000FF"/>
          </w:rPr>
          <w:t>“</w:t>
        </w:r>
        <w:r w:rsidRPr="000B366D">
          <w:rPr>
            <w:rFonts w:ascii="Arial" w:hAnsi="Arial" w:cs="Arial"/>
            <w:color w:val="0000FF"/>
            <w:u w:val="single" w:color="0000FF"/>
          </w:rPr>
          <w:t>医疗器械提交材料反馈要求：预提交计划及与食品药品监督管理局工作人员的会议</w:t>
        </w:r>
        <w:r w:rsidRPr="000B366D">
          <w:rPr>
            <w:rFonts w:ascii="Arial" w:hAnsi="Arial" w:cs="Arial"/>
            <w:color w:val="0000FF"/>
            <w:u w:val="single" w:color="0000FF"/>
          </w:rPr>
          <w:t>”</w:t>
        </w:r>
      </w:hyperlink>
      <w:r w:rsidRPr="000B366D">
        <w:rPr>
          <w:rFonts w:ascii="Arial" w:hAnsi="Arial" w:cs="Arial"/>
          <w:color w:val="0000FF"/>
        </w:rPr>
        <w:t xml:space="preserve"> </w:t>
      </w:r>
      <w:hyperlink r:id="rId16"/>
      <w:r w:rsidRPr="000B366D">
        <w:rPr>
          <w:rFonts w:ascii="Arial" w:hAnsi="Arial" w:cs="Arial"/>
        </w:rPr>
        <w:t>（</w:t>
      </w:r>
      <w:hyperlink r:id="rId17">
        <w:r w:rsidRPr="000B366D">
          <w:rPr>
            <w:rFonts w:ascii="Arial" w:hAnsi="Arial" w:cs="Arial"/>
            <w:color w:val="0000FF"/>
            <w:u w:val="single" w:color="0000FF"/>
          </w:rPr>
          <w:t>http://www.fda.gov/downloads/MedicalDevices/DeviceRegulationandGuidance/ GuidanceDocuments / UCM311176.pdf</w:t>
        </w:r>
        <w:r w:rsidRPr="000B366D">
          <w:rPr>
            <w:rFonts w:ascii="Arial" w:hAnsi="Arial" w:cs="Arial"/>
            <w:color w:val="0000FF"/>
            <w:u w:val="single" w:color="0000FF"/>
          </w:rPr>
          <w:t>）</w:t>
        </w:r>
        <w:r w:rsidRPr="000B366D">
          <w:rPr>
            <w:rFonts w:ascii="Arial" w:hAnsi="Arial" w:cs="Arial"/>
          </w:rPr>
          <w:t>。</w:t>
        </w:r>
      </w:hyperlink>
    </w:p>
    <w:p w:rsidR="003F2FB4" w:rsidRPr="000B366D" w:rsidRDefault="00BE5706" w:rsidP="003D160C">
      <w:pPr>
        <w:pStyle w:val="5"/>
        <w:numPr>
          <w:ilvl w:val="0"/>
          <w:numId w:val="6"/>
        </w:numPr>
        <w:tabs>
          <w:tab w:val="left" w:pos="820"/>
        </w:tabs>
        <w:overflowPunct w:val="0"/>
        <w:snapToGrid w:val="0"/>
        <w:spacing w:afterLines="50" w:after="120" w:line="300" w:lineRule="auto"/>
        <w:rPr>
          <w:rFonts w:ascii="Arial" w:hAnsi="Arial" w:cs="Arial"/>
        </w:rPr>
      </w:pPr>
      <w:r w:rsidRPr="000B366D">
        <w:rPr>
          <w:rFonts w:ascii="Arial" w:hAnsi="Arial" w:cs="Arial"/>
        </w:rPr>
        <w:t>前段固体器械</w:t>
      </w:r>
    </w:p>
    <w:p w:rsidR="003F2FB4" w:rsidRPr="000B366D" w:rsidRDefault="00BE5706" w:rsidP="003D160C">
      <w:pPr>
        <w:pStyle w:val="a4"/>
        <w:numPr>
          <w:ilvl w:val="0"/>
          <w:numId w:val="7"/>
        </w:numPr>
        <w:tabs>
          <w:tab w:val="left" w:pos="1180"/>
        </w:tabs>
        <w:overflowPunct w:val="0"/>
        <w:snapToGrid w:val="0"/>
        <w:spacing w:afterLines="50" w:after="120" w:line="300" w:lineRule="auto"/>
        <w:ind w:left="1208" w:hanging="357"/>
        <w:jc w:val="both"/>
        <w:rPr>
          <w:rFonts w:ascii="Arial" w:eastAsia="宋体" w:hAnsi="Arial" w:cs="Arial"/>
          <w:sz w:val="24"/>
          <w:szCs w:val="24"/>
        </w:rPr>
      </w:pPr>
      <w:r w:rsidRPr="000B366D">
        <w:rPr>
          <w:rFonts w:ascii="Arial" w:eastAsia="宋体" w:hAnsi="Arial" w:cs="Arial"/>
          <w:sz w:val="24"/>
          <w:szCs w:val="24"/>
        </w:rPr>
        <w:t>所有前段固体眼内器械的推荐细菌内毒素限值均为</w:t>
      </w:r>
      <w:r w:rsidRPr="000B366D">
        <w:rPr>
          <w:rFonts w:ascii="Arial" w:eastAsia="宋体" w:hAnsi="Arial" w:cs="Arial"/>
          <w:sz w:val="24"/>
          <w:szCs w:val="24"/>
        </w:rPr>
        <w:t>≤0.2EU/</w:t>
      </w:r>
      <w:r w:rsidRPr="000B366D">
        <w:rPr>
          <w:rFonts w:ascii="Arial" w:eastAsia="宋体" w:hAnsi="Arial" w:cs="Arial"/>
          <w:sz w:val="24"/>
          <w:szCs w:val="24"/>
        </w:rPr>
        <w:t>器械。此限值适用于完全置入前段的植入物，例如</w:t>
      </w:r>
      <w:r w:rsidRPr="000B366D">
        <w:rPr>
          <w:rFonts w:ascii="Arial" w:eastAsia="宋体" w:hAnsi="Arial" w:cs="Arial"/>
          <w:sz w:val="24"/>
          <w:szCs w:val="24"/>
        </w:rPr>
        <w:t>IOL</w:t>
      </w:r>
      <w:r w:rsidRPr="000B366D">
        <w:rPr>
          <w:rFonts w:ascii="Arial" w:eastAsia="宋体" w:hAnsi="Arial" w:cs="Arial"/>
          <w:sz w:val="24"/>
          <w:szCs w:val="24"/>
        </w:rPr>
        <w:t>、虹膜重建晶状体和囊袋张力环。对于青光眼器械，此限值适用于置入前房中的器械部分和与房水接触的部分，即使器械的主要部分仍位于眼睛外部。对于</w:t>
      </w:r>
      <w:r w:rsidR="00C626F8" w:rsidRPr="000B366D">
        <w:rPr>
          <w:rFonts w:ascii="Arial" w:eastAsia="宋体" w:hAnsi="Arial" w:cs="Arial"/>
          <w:sz w:val="24"/>
          <w:szCs w:val="24"/>
        </w:rPr>
        <w:t>一次性使用</w:t>
      </w:r>
      <w:r w:rsidRPr="000B366D">
        <w:rPr>
          <w:rFonts w:ascii="Arial" w:eastAsia="宋体" w:hAnsi="Arial" w:cs="Arial"/>
          <w:sz w:val="24"/>
          <w:szCs w:val="24"/>
        </w:rPr>
        <w:t>的插管或管腔器械（例如，冲洗</w:t>
      </w:r>
      <w:r w:rsidRPr="000B366D">
        <w:rPr>
          <w:rFonts w:ascii="Arial" w:eastAsia="宋体" w:hAnsi="Arial" w:cs="Arial"/>
          <w:sz w:val="24"/>
          <w:szCs w:val="24"/>
        </w:rPr>
        <w:t>/</w:t>
      </w:r>
      <w:r w:rsidRPr="000B366D">
        <w:rPr>
          <w:rFonts w:ascii="Arial" w:eastAsia="宋体" w:hAnsi="Arial" w:cs="Arial"/>
          <w:sz w:val="24"/>
          <w:szCs w:val="24"/>
        </w:rPr>
        <w:t>抽吸套筒和管道），此限值适用于液体路径和接触房水的器械部分。</w:t>
      </w:r>
    </w:p>
    <w:p w:rsidR="003F2FB4" w:rsidRPr="000B366D" w:rsidRDefault="00BE5706" w:rsidP="00D16DAA">
      <w:pPr>
        <w:pStyle w:val="a4"/>
        <w:numPr>
          <w:ilvl w:val="0"/>
          <w:numId w:val="7"/>
        </w:numPr>
        <w:tabs>
          <w:tab w:val="left" w:pos="1180"/>
        </w:tabs>
        <w:overflowPunct w:val="0"/>
        <w:snapToGrid w:val="0"/>
        <w:spacing w:afterLines="50" w:after="120" w:line="300" w:lineRule="auto"/>
        <w:ind w:left="1208" w:hanging="357"/>
        <w:jc w:val="both"/>
        <w:rPr>
          <w:rFonts w:ascii="Arial" w:eastAsia="宋体" w:hAnsi="Arial" w:cs="Arial"/>
          <w:sz w:val="24"/>
          <w:szCs w:val="24"/>
        </w:rPr>
      </w:pPr>
      <w:r w:rsidRPr="000B366D">
        <w:rPr>
          <w:rFonts w:ascii="Arial" w:eastAsia="宋体" w:hAnsi="Arial" w:cs="Arial"/>
          <w:sz w:val="24"/>
          <w:szCs w:val="24"/>
        </w:rPr>
        <w:t>试样制备：</w:t>
      </w:r>
    </w:p>
    <w:p w:rsidR="003F2FB4" w:rsidRPr="000B366D" w:rsidRDefault="00BE5706" w:rsidP="00515FB8">
      <w:pPr>
        <w:pStyle w:val="a3"/>
        <w:overflowPunct w:val="0"/>
        <w:snapToGrid w:val="0"/>
        <w:spacing w:afterLines="50" w:after="120" w:line="300" w:lineRule="auto"/>
        <w:ind w:left="0" w:firstLine="0"/>
        <w:jc w:val="both"/>
        <w:rPr>
          <w:rFonts w:ascii="Arial" w:hAnsi="Arial" w:cs="Arial"/>
        </w:rPr>
      </w:pPr>
      <w:r w:rsidRPr="000B366D">
        <w:rPr>
          <w:rFonts w:ascii="Arial" w:hAnsi="Arial" w:cs="Arial"/>
        </w:rPr>
        <w:t>根据</w:t>
      </w:r>
      <w:r w:rsidRPr="000B366D">
        <w:rPr>
          <w:rFonts w:ascii="Arial" w:hAnsi="Arial" w:cs="Arial"/>
        </w:rPr>
        <w:t>“</w:t>
      </w:r>
      <w:hyperlink r:id="rId18">
        <w:r w:rsidRPr="000B366D">
          <w:rPr>
            <w:rFonts w:ascii="Arial" w:hAnsi="Arial" w:cs="Arial"/>
            <w:color w:val="0000FF"/>
            <w:u w:val="single" w:color="0000FF"/>
          </w:rPr>
          <w:t>FDA</w:t>
        </w:r>
        <w:r w:rsidRPr="000B366D">
          <w:rPr>
            <w:rFonts w:ascii="Arial" w:hAnsi="Arial" w:cs="Arial"/>
            <w:color w:val="0000FF"/>
            <w:u w:val="single" w:color="0000FF"/>
          </w:rPr>
          <w:t>行业致热原和细菌内毒素检测指南：问与答</w:t>
        </w:r>
      </w:hyperlink>
      <w:r w:rsidRPr="000B366D">
        <w:rPr>
          <w:rFonts w:ascii="Arial" w:hAnsi="Arial" w:cs="Arial"/>
        </w:rPr>
        <w:t>”</w:t>
      </w:r>
      <w:r w:rsidRPr="000B366D">
        <w:rPr>
          <w:rFonts w:ascii="Arial" w:hAnsi="Arial" w:cs="Arial"/>
        </w:rPr>
        <w:t>中的建议，可以调整标准的</w:t>
      </w:r>
      <w:r w:rsidRPr="000B366D">
        <w:rPr>
          <w:rFonts w:ascii="Arial" w:hAnsi="Arial" w:cs="Arial"/>
        </w:rPr>
        <w:t>40 mL/</w:t>
      </w:r>
      <w:r w:rsidRPr="000B366D">
        <w:rPr>
          <w:rFonts w:ascii="Arial" w:hAnsi="Arial" w:cs="Arial"/>
        </w:rPr>
        <w:t>器械提取比，以适应小尺寸的固体眼内器械。</w:t>
      </w:r>
      <w:r w:rsidRPr="000B366D">
        <w:rPr>
          <w:rFonts w:ascii="Arial" w:hAnsi="Arial" w:cs="Arial"/>
        </w:rPr>
        <w:cr/>
      </w:r>
      <w:r w:rsidRPr="000B366D">
        <w:rPr>
          <w:rFonts w:ascii="Arial" w:hAnsi="Arial" w:cs="Arial"/>
          <w:lang w:val="de-DE"/>
        </w:rPr>
        <w:t>（</w:t>
      </w:r>
      <w:hyperlink r:id="rId19">
        <w:r w:rsidRPr="000B366D">
          <w:rPr>
            <w:rFonts w:ascii="Arial" w:hAnsi="Arial" w:cs="Arial"/>
            <w:color w:val="0000FF"/>
            <w:u w:val="single" w:color="0000FF"/>
            <w:lang w:val="de-DE"/>
          </w:rPr>
          <w:t>http://www.fda.gov/Drugs/GuidanceComplianceRegulatoryInformation/Guidanc</w:t>
        </w:r>
      </w:hyperlink>
      <w:r w:rsidRPr="000B366D">
        <w:rPr>
          <w:rFonts w:ascii="Arial" w:hAnsi="Arial" w:cs="Arial"/>
          <w:color w:val="0000FF"/>
          <w:lang w:val="de-DE"/>
        </w:rPr>
        <w:t xml:space="preserve"> </w:t>
      </w:r>
      <w:hyperlink r:id="rId20">
        <w:r w:rsidRPr="000B366D">
          <w:rPr>
            <w:rFonts w:ascii="Arial" w:hAnsi="Arial" w:cs="Arial"/>
            <w:color w:val="0000FF"/>
            <w:u w:val="single" w:color="0000FF"/>
            <w:lang w:val="de-DE"/>
          </w:rPr>
          <w:t>es/ucm314718.htm</w:t>
        </w:r>
      </w:hyperlink>
      <w:r w:rsidRPr="000B366D">
        <w:rPr>
          <w:rFonts w:ascii="Arial" w:hAnsi="Arial" w:cs="Arial"/>
          <w:lang w:val="de-DE"/>
        </w:rPr>
        <w:t>）</w:t>
      </w:r>
      <w:r w:rsidRPr="000B366D">
        <w:rPr>
          <w:rFonts w:ascii="Arial" w:hAnsi="Arial" w:cs="Arial"/>
        </w:rPr>
        <w:t>。</w:t>
      </w:r>
      <w:hyperlink r:id="rId21"/>
      <w:hyperlink r:id="rId22"/>
      <w:r w:rsidRPr="000B366D">
        <w:rPr>
          <w:rFonts w:ascii="Arial" w:hAnsi="Arial" w:cs="Arial"/>
        </w:rPr>
        <w:t>选择提取液体积时也应考虑到该器械的细菌内毒素限值和试验中使用的</w:t>
      </w:r>
      <w:r w:rsidRPr="000B366D">
        <w:rPr>
          <w:rFonts w:ascii="Arial" w:hAnsi="Arial" w:cs="Arial"/>
        </w:rPr>
        <w:t>LAL</w:t>
      </w:r>
      <w:r w:rsidRPr="000B366D">
        <w:rPr>
          <w:rFonts w:ascii="Arial" w:hAnsi="Arial" w:cs="Arial"/>
        </w:rPr>
        <w:t>裂解物的敏感性。</w:t>
      </w:r>
      <w:r w:rsidRPr="000B366D">
        <w:rPr>
          <w:rFonts w:ascii="Arial" w:hAnsi="Arial" w:cs="Arial"/>
        </w:rPr>
        <w:t>ANSI / AAMI ST72</w:t>
      </w:r>
      <w:r w:rsidRPr="000B366D">
        <w:rPr>
          <w:rFonts w:ascii="Arial" w:hAnsi="Arial" w:cs="Arial"/>
        </w:rPr>
        <w:t>规定，最低提取时间为</w:t>
      </w:r>
      <w:r w:rsidRPr="000B366D">
        <w:rPr>
          <w:rFonts w:ascii="Arial" w:hAnsi="Arial" w:cs="Arial"/>
        </w:rPr>
        <w:t>37</w:t>
      </w:r>
      <w:r w:rsidRPr="000B366D">
        <w:rPr>
          <w:rFonts w:ascii="宋体" w:hAnsi="宋体" w:cs="宋体" w:hint="eastAsia"/>
        </w:rPr>
        <w:t>℃</w:t>
      </w:r>
      <w:r w:rsidRPr="000B366D">
        <w:rPr>
          <w:rFonts w:ascii="Arial" w:hAnsi="Arial" w:cs="Arial"/>
        </w:rPr>
        <w:t>-40</w:t>
      </w:r>
      <w:r w:rsidRPr="000B366D">
        <w:rPr>
          <w:rFonts w:ascii="宋体" w:hAnsi="宋体" w:cs="宋体" w:hint="eastAsia"/>
        </w:rPr>
        <w:t>℃</w:t>
      </w:r>
      <w:r w:rsidRPr="000B366D">
        <w:rPr>
          <w:rFonts w:ascii="Arial" w:hAnsi="Arial" w:cs="Arial"/>
        </w:rPr>
        <w:t>下</w:t>
      </w:r>
      <w:r w:rsidRPr="000B366D">
        <w:rPr>
          <w:rFonts w:ascii="Arial" w:hAnsi="Arial" w:cs="Arial"/>
        </w:rPr>
        <w:t>15</w:t>
      </w:r>
      <w:r w:rsidRPr="000B366D">
        <w:rPr>
          <w:rFonts w:ascii="Arial" w:hAnsi="Arial" w:cs="Arial"/>
        </w:rPr>
        <w:t>分钟或受控室温（通常为</w:t>
      </w:r>
      <w:r w:rsidRPr="000B366D">
        <w:rPr>
          <w:rFonts w:ascii="Arial" w:hAnsi="Arial" w:cs="Arial"/>
        </w:rPr>
        <w:t>18-25</w:t>
      </w:r>
      <w:r w:rsidRPr="000B366D">
        <w:rPr>
          <w:rFonts w:ascii="宋体" w:hAnsi="宋体" w:cs="宋体" w:hint="eastAsia"/>
        </w:rPr>
        <w:t>℃</w:t>
      </w:r>
      <w:r w:rsidRPr="000B366D">
        <w:rPr>
          <w:rFonts w:ascii="Arial" w:hAnsi="Arial" w:cs="Arial"/>
        </w:rPr>
        <w:t>）或其他等同条件下</w:t>
      </w:r>
      <w:r w:rsidRPr="000B366D">
        <w:rPr>
          <w:rFonts w:ascii="Arial" w:hAnsi="Arial" w:cs="Arial"/>
        </w:rPr>
        <w:t>1</w:t>
      </w:r>
      <w:r w:rsidRPr="000B366D">
        <w:rPr>
          <w:rFonts w:ascii="Arial" w:hAnsi="Arial" w:cs="Arial"/>
        </w:rPr>
        <w:t>小时。由于眼睛对细菌内毒素极度敏感，</w:t>
      </w:r>
      <w:r w:rsidRPr="000B366D">
        <w:rPr>
          <w:rFonts w:ascii="Arial" w:hAnsi="Arial" w:cs="Arial"/>
        </w:rPr>
        <w:t>FDA</w:t>
      </w:r>
      <w:r w:rsidRPr="000B366D">
        <w:rPr>
          <w:rFonts w:ascii="Arial" w:hAnsi="Arial" w:cs="Arial"/>
        </w:rPr>
        <w:t>建议在</w:t>
      </w:r>
      <w:r w:rsidRPr="000B366D">
        <w:rPr>
          <w:rFonts w:ascii="Arial" w:hAnsi="Arial" w:cs="Arial"/>
        </w:rPr>
        <w:t>37</w:t>
      </w:r>
      <w:r w:rsidRPr="000B366D">
        <w:rPr>
          <w:rFonts w:ascii="宋体" w:hAnsi="宋体" w:cs="宋体" w:hint="eastAsia"/>
        </w:rPr>
        <w:t>℃</w:t>
      </w:r>
      <w:r w:rsidRPr="000B366D">
        <w:rPr>
          <w:rFonts w:ascii="Arial" w:hAnsi="Arial" w:cs="Arial"/>
        </w:rPr>
        <w:t>-40</w:t>
      </w:r>
      <w:r w:rsidRPr="000B366D">
        <w:rPr>
          <w:rFonts w:ascii="宋体" w:hAnsi="宋体" w:cs="宋体" w:hint="eastAsia"/>
        </w:rPr>
        <w:t>℃</w:t>
      </w:r>
      <w:r w:rsidRPr="000B366D">
        <w:rPr>
          <w:rFonts w:ascii="Arial" w:hAnsi="Arial" w:cs="Arial"/>
        </w:rPr>
        <w:t>下进行提取，并至少搅拌</w:t>
      </w:r>
      <w:r w:rsidRPr="000B366D">
        <w:rPr>
          <w:rFonts w:ascii="Arial" w:hAnsi="Arial" w:cs="Arial"/>
        </w:rPr>
        <w:t>60</w:t>
      </w:r>
      <w:r w:rsidRPr="000B366D">
        <w:rPr>
          <w:rFonts w:ascii="Arial" w:hAnsi="Arial" w:cs="Arial"/>
        </w:rPr>
        <w:t>分钟，以提高提取效率。对于插管或管腔器械，制备样品时应用已预热至</w:t>
      </w:r>
      <w:r w:rsidRPr="000B366D">
        <w:rPr>
          <w:rFonts w:ascii="Arial" w:hAnsi="Arial" w:cs="Arial"/>
        </w:rPr>
        <w:t>37</w:t>
      </w:r>
      <w:r w:rsidRPr="000B366D">
        <w:rPr>
          <w:rFonts w:ascii="宋体" w:hAnsi="宋体" w:cs="宋体" w:hint="eastAsia"/>
        </w:rPr>
        <w:t>℃</w:t>
      </w:r>
      <w:r w:rsidRPr="000B366D">
        <w:rPr>
          <w:rFonts w:ascii="Arial" w:hAnsi="Arial" w:cs="Arial"/>
        </w:rPr>
        <w:t>±1</w:t>
      </w:r>
      <w:r w:rsidRPr="000B366D">
        <w:rPr>
          <w:rFonts w:ascii="宋体" w:hAnsi="宋体" w:cs="宋体" w:hint="eastAsia"/>
        </w:rPr>
        <w:t>℃</w:t>
      </w:r>
      <w:r w:rsidRPr="000B366D">
        <w:rPr>
          <w:rFonts w:ascii="Arial" w:hAnsi="Arial" w:cs="Arial"/>
        </w:rPr>
        <w:t>的提取介质填充液体通道，然后将温度保持在</w:t>
      </w:r>
      <w:r w:rsidRPr="000B366D">
        <w:rPr>
          <w:rFonts w:ascii="Arial" w:hAnsi="Arial" w:cs="Arial"/>
        </w:rPr>
        <w:t>37</w:t>
      </w:r>
      <w:r w:rsidRPr="000B366D">
        <w:rPr>
          <w:rFonts w:ascii="宋体" w:hAnsi="宋体" w:cs="宋体" w:hint="eastAsia"/>
        </w:rPr>
        <w:t>℃</w:t>
      </w:r>
      <w:r w:rsidRPr="000B366D">
        <w:rPr>
          <w:rFonts w:ascii="Arial" w:hAnsi="Arial" w:cs="Arial"/>
        </w:rPr>
        <w:t>±1</w:t>
      </w:r>
      <w:r w:rsidRPr="000B366D">
        <w:rPr>
          <w:rFonts w:ascii="宋体" w:hAnsi="宋体" w:cs="宋体" w:hint="eastAsia"/>
        </w:rPr>
        <w:t>℃</w:t>
      </w:r>
      <w:r w:rsidRPr="000B366D">
        <w:rPr>
          <w:rFonts w:ascii="Arial" w:hAnsi="Arial" w:cs="Arial"/>
        </w:rPr>
        <w:t>至少</w:t>
      </w:r>
      <w:r w:rsidRPr="000B366D">
        <w:rPr>
          <w:rFonts w:ascii="Arial" w:hAnsi="Arial" w:cs="Arial"/>
        </w:rPr>
        <w:t>60</w:t>
      </w:r>
      <w:r w:rsidRPr="000B366D">
        <w:rPr>
          <w:rFonts w:ascii="Arial" w:hAnsi="Arial" w:cs="Arial"/>
        </w:rPr>
        <w:t>分钟。</w:t>
      </w:r>
    </w:p>
    <w:p w:rsidR="003F2FB4" w:rsidRPr="000B366D" w:rsidRDefault="006F7F8D" w:rsidP="004C09BB">
      <w:pPr>
        <w:overflowPunct w:val="0"/>
        <w:snapToGrid w:val="0"/>
        <w:spacing w:afterLines="50" w:after="120" w:line="300" w:lineRule="auto"/>
        <w:rPr>
          <w:rFonts w:ascii="Arial" w:eastAsia="宋体" w:hAnsi="Arial" w:cs="Arial"/>
          <w:sz w:val="24"/>
          <w:szCs w:val="24"/>
        </w:rPr>
      </w:pPr>
      <w:r w:rsidRPr="000B366D">
        <w:rPr>
          <w:rFonts w:ascii="Arial" w:eastAsia="宋体" w:hAnsi="Arial" w:cs="Arial"/>
          <w:sz w:val="24"/>
          <w:szCs w:val="24"/>
        </w:rPr>
        <w:br w:type="page"/>
      </w:r>
    </w:p>
    <w:p w:rsidR="003F2FB4" w:rsidRPr="000B366D" w:rsidRDefault="00BE5706" w:rsidP="00515FB8">
      <w:pPr>
        <w:pStyle w:val="3"/>
        <w:numPr>
          <w:ilvl w:val="0"/>
          <w:numId w:val="5"/>
        </w:numPr>
        <w:snapToGrid w:val="0"/>
        <w:spacing w:beforeLines="50" w:before="120" w:afterLines="50" w:after="120" w:line="276" w:lineRule="auto"/>
        <w:jc w:val="both"/>
        <w:rPr>
          <w:rFonts w:ascii="Arial" w:hAnsi="Arial" w:cs="Arial"/>
        </w:rPr>
      </w:pPr>
      <w:r w:rsidRPr="000B366D">
        <w:rPr>
          <w:rFonts w:ascii="Arial" w:hAnsi="Arial" w:cs="Arial"/>
        </w:rPr>
        <w:lastRenderedPageBreak/>
        <w:t>参考文献</w:t>
      </w:r>
    </w:p>
    <w:p w:rsidR="0012454B" w:rsidRPr="000B366D" w:rsidRDefault="0012454B" w:rsidP="000B366D">
      <w:pPr>
        <w:pStyle w:val="Default"/>
        <w:spacing w:line="300" w:lineRule="auto"/>
        <w:jc w:val="both"/>
        <w:rPr>
          <w:rFonts w:ascii="Arial" w:hAnsi="Arial" w:cs="Arial"/>
          <w:sz w:val="23"/>
          <w:szCs w:val="23"/>
        </w:rPr>
      </w:pPr>
      <w:bookmarkStart w:id="6" w:name="_bookmark1"/>
      <w:bookmarkEnd w:id="6"/>
      <w:r w:rsidRPr="000B366D">
        <w:rPr>
          <w:rFonts w:ascii="Arial" w:hAnsi="Arial" w:cs="Arial"/>
          <w:sz w:val="23"/>
          <w:szCs w:val="23"/>
        </w:rPr>
        <w:t>1.</w:t>
      </w:r>
      <w:r w:rsidR="009E6BA6">
        <w:rPr>
          <w:rFonts w:ascii="Arial" w:hAnsi="Arial" w:cs="Arial" w:hint="eastAsia"/>
          <w:sz w:val="23"/>
          <w:szCs w:val="23"/>
        </w:rPr>
        <w:t xml:space="preserve"> </w:t>
      </w:r>
      <w:r w:rsidRPr="000B366D">
        <w:rPr>
          <w:rFonts w:ascii="Arial" w:hAnsi="Arial" w:cs="Arial"/>
          <w:sz w:val="23"/>
          <w:szCs w:val="23"/>
        </w:rPr>
        <w:t xml:space="preserve">American National Standards Institute, Instrumentation Association for the Advancement of Medical Instrumentation. Bacterial endotoxins-Test methodologies, routine monitoring, and alternatives to batch testing. ST72: 2011.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2. </w:t>
      </w:r>
      <w:r w:rsidR="009E6BA6">
        <w:rPr>
          <w:rFonts w:ascii="Arial" w:hAnsi="Arial" w:cs="Arial" w:hint="eastAsia"/>
          <w:sz w:val="23"/>
          <w:szCs w:val="23"/>
        </w:rPr>
        <w:t xml:space="preserve"> </w:t>
      </w:r>
      <w:r w:rsidRPr="000B366D">
        <w:rPr>
          <w:rFonts w:ascii="Arial" w:hAnsi="Arial" w:cs="Arial"/>
          <w:sz w:val="23"/>
          <w:szCs w:val="23"/>
        </w:rPr>
        <w:t xml:space="preserve">Ronge LJ. Toxic Anterior Segment Syndrome: Why sterile isn't clean enough. </w:t>
      </w:r>
      <w:r w:rsidRPr="000B366D">
        <w:rPr>
          <w:rFonts w:ascii="Arial" w:hAnsi="Arial" w:cs="Arial"/>
          <w:i/>
          <w:iCs/>
          <w:sz w:val="23"/>
          <w:szCs w:val="23"/>
        </w:rPr>
        <w:t>EyeNet</w:t>
      </w:r>
      <w:r w:rsidRPr="000B366D">
        <w:rPr>
          <w:rFonts w:ascii="Arial" w:hAnsi="Arial" w:cs="Arial"/>
          <w:sz w:val="23"/>
          <w:szCs w:val="23"/>
        </w:rPr>
        <w:t xml:space="preserve">. San Francisco: American Academy of Ophthalmology; 2002.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3. </w:t>
      </w:r>
      <w:r w:rsidR="009E6BA6">
        <w:rPr>
          <w:rFonts w:ascii="Arial" w:hAnsi="Arial" w:cs="Arial" w:hint="eastAsia"/>
          <w:sz w:val="23"/>
          <w:szCs w:val="23"/>
        </w:rPr>
        <w:t xml:space="preserve"> </w:t>
      </w:r>
      <w:r w:rsidRPr="000B366D">
        <w:rPr>
          <w:rFonts w:ascii="Arial" w:hAnsi="Arial" w:cs="Arial"/>
          <w:sz w:val="23"/>
          <w:szCs w:val="23"/>
        </w:rPr>
        <w:t xml:space="preserve">Bodnar Z, Clouser S, Mamalis N. Toxic anterior segment syndrome: Update on the most common causes. </w:t>
      </w:r>
      <w:r w:rsidRPr="000B366D">
        <w:rPr>
          <w:rFonts w:ascii="Arial" w:hAnsi="Arial" w:cs="Arial"/>
          <w:i/>
          <w:iCs/>
          <w:sz w:val="23"/>
          <w:szCs w:val="23"/>
        </w:rPr>
        <w:t xml:space="preserve">J Cataract Refract Surg. </w:t>
      </w:r>
      <w:r w:rsidRPr="000B366D">
        <w:rPr>
          <w:rFonts w:ascii="Arial" w:hAnsi="Arial" w:cs="Arial"/>
          <w:sz w:val="23"/>
          <w:szCs w:val="23"/>
        </w:rPr>
        <w:t xml:space="preserve">Nov 2012;38(11):1902-1910.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4. </w:t>
      </w:r>
      <w:r w:rsidR="009E6BA6">
        <w:rPr>
          <w:rFonts w:ascii="Arial" w:hAnsi="Arial" w:cs="Arial" w:hint="eastAsia"/>
          <w:sz w:val="23"/>
          <w:szCs w:val="23"/>
        </w:rPr>
        <w:t xml:space="preserve"> </w:t>
      </w:r>
      <w:r w:rsidRPr="000B366D">
        <w:rPr>
          <w:rFonts w:ascii="Arial" w:hAnsi="Arial" w:cs="Arial"/>
          <w:sz w:val="23"/>
          <w:szCs w:val="23"/>
        </w:rPr>
        <w:t xml:space="preserve">Sengupta S, Chang DF, Gandhi R, Kenia H, Venkatesh R. Incidence and long-term outcomes of toxic anterior segment syndrome at Aravind Eye Hospital. </w:t>
      </w:r>
      <w:r w:rsidRPr="000B366D">
        <w:rPr>
          <w:rFonts w:ascii="Arial" w:hAnsi="Arial" w:cs="Arial"/>
          <w:i/>
          <w:iCs/>
          <w:sz w:val="23"/>
          <w:szCs w:val="23"/>
        </w:rPr>
        <w:t xml:space="preserve">J Cataract Refract Surg. </w:t>
      </w:r>
      <w:r w:rsidRPr="000B366D">
        <w:rPr>
          <w:rFonts w:ascii="Arial" w:hAnsi="Arial" w:cs="Arial"/>
          <w:sz w:val="23"/>
          <w:szCs w:val="23"/>
        </w:rPr>
        <w:t xml:space="preserve">Sep 2011;37(9):1673-1678.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5. </w:t>
      </w:r>
      <w:r w:rsidR="009E6BA6">
        <w:rPr>
          <w:rFonts w:ascii="Arial" w:hAnsi="Arial" w:cs="Arial" w:hint="eastAsia"/>
          <w:sz w:val="23"/>
          <w:szCs w:val="23"/>
        </w:rPr>
        <w:t xml:space="preserve"> </w:t>
      </w:r>
      <w:r w:rsidRPr="000B366D">
        <w:rPr>
          <w:rFonts w:ascii="Arial" w:hAnsi="Arial" w:cs="Arial"/>
          <w:sz w:val="23"/>
          <w:szCs w:val="23"/>
        </w:rPr>
        <w:t xml:space="preserve">Mamalis N, Edelhauser HF, Dawson DG, Chew J, LeBoyer RM, Werner L. Toxic anterior segment syndrome. </w:t>
      </w:r>
      <w:r w:rsidRPr="000B366D">
        <w:rPr>
          <w:rFonts w:ascii="Arial" w:hAnsi="Arial" w:cs="Arial"/>
          <w:i/>
          <w:iCs/>
          <w:sz w:val="23"/>
          <w:szCs w:val="23"/>
        </w:rPr>
        <w:t xml:space="preserve">J Cataract Refract Surg. </w:t>
      </w:r>
      <w:r w:rsidRPr="000B366D">
        <w:rPr>
          <w:rFonts w:ascii="Arial" w:hAnsi="Arial" w:cs="Arial"/>
          <w:sz w:val="23"/>
          <w:szCs w:val="23"/>
        </w:rPr>
        <w:t xml:space="preserve">Feb 2006;32(2):324-333.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6. </w:t>
      </w:r>
      <w:r w:rsidR="009E6BA6">
        <w:rPr>
          <w:rFonts w:ascii="Arial" w:hAnsi="Arial" w:cs="Arial" w:hint="eastAsia"/>
          <w:sz w:val="23"/>
          <w:szCs w:val="23"/>
        </w:rPr>
        <w:t xml:space="preserve"> </w:t>
      </w:r>
      <w:r w:rsidRPr="000B366D">
        <w:rPr>
          <w:rFonts w:ascii="Arial" w:hAnsi="Arial" w:cs="Arial"/>
          <w:sz w:val="23"/>
          <w:szCs w:val="23"/>
        </w:rPr>
        <w:t xml:space="preserve">Cutler CM, Brubaker J, Clouser S, Danford C, Edelhauser HE, Mamalis N. Toxic anterior segment syndrome: common causes. </w:t>
      </w:r>
      <w:r w:rsidRPr="000B366D">
        <w:rPr>
          <w:rFonts w:ascii="Arial" w:hAnsi="Arial" w:cs="Arial"/>
          <w:i/>
          <w:iCs/>
          <w:sz w:val="23"/>
          <w:szCs w:val="23"/>
        </w:rPr>
        <w:t xml:space="preserve">J Cataract Refract Surg. </w:t>
      </w:r>
      <w:r w:rsidRPr="000B366D">
        <w:rPr>
          <w:rFonts w:ascii="Arial" w:hAnsi="Arial" w:cs="Arial"/>
          <w:sz w:val="23"/>
          <w:szCs w:val="23"/>
        </w:rPr>
        <w:t xml:space="preserve">2010;36(7):1073-1080.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7. </w:t>
      </w:r>
      <w:r w:rsidR="009E6BA6">
        <w:rPr>
          <w:rFonts w:ascii="Arial" w:hAnsi="Arial" w:cs="Arial" w:hint="eastAsia"/>
          <w:sz w:val="23"/>
          <w:szCs w:val="23"/>
        </w:rPr>
        <w:t xml:space="preserve"> </w:t>
      </w:r>
      <w:r w:rsidRPr="000B366D">
        <w:rPr>
          <w:rFonts w:ascii="Arial" w:hAnsi="Arial" w:cs="Arial"/>
          <w:sz w:val="23"/>
          <w:szCs w:val="23"/>
        </w:rPr>
        <w:t xml:space="preserve">Mamalis N. Toxic anterior segment syndrome. </w:t>
      </w:r>
      <w:r w:rsidRPr="000B366D">
        <w:rPr>
          <w:rFonts w:ascii="Arial" w:hAnsi="Arial" w:cs="Arial"/>
          <w:i/>
          <w:iCs/>
          <w:sz w:val="23"/>
          <w:szCs w:val="23"/>
        </w:rPr>
        <w:t xml:space="preserve">J Cataract Refract Surg. </w:t>
      </w:r>
      <w:r w:rsidRPr="000B366D">
        <w:rPr>
          <w:rFonts w:ascii="Arial" w:hAnsi="Arial" w:cs="Arial"/>
          <w:sz w:val="23"/>
          <w:szCs w:val="23"/>
        </w:rPr>
        <w:t xml:space="preserve">Feb 2006;32(2):181-182.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8. </w:t>
      </w:r>
      <w:r w:rsidR="009E6BA6">
        <w:rPr>
          <w:rFonts w:ascii="Arial" w:hAnsi="Arial" w:cs="Arial" w:hint="eastAsia"/>
          <w:sz w:val="23"/>
          <w:szCs w:val="23"/>
        </w:rPr>
        <w:t xml:space="preserve"> </w:t>
      </w:r>
      <w:r w:rsidRPr="000B366D">
        <w:rPr>
          <w:rFonts w:ascii="Arial" w:hAnsi="Arial" w:cs="Arial"/>
          <w:sz w:val="23"/>
          <w:szCs w:val="23"/>
        </w:rPr>
        <w:t xml:space="preserve">Holland SP, Morck DW, Lee TL. Update on toxic anterior segment syndrome. </w:t>
      </w:r>
      <w:r w:rsidRPr="000B366D">
        <w:rPr>
          <w:rFonts w:ascii="Arial" w:hAnsi="Arial" w:cs="Arial"/>
          <w:i/>
          <w:iCs/>
          <w:sz w:val="23"/>
          <w:szCs w:val="23"/>
        </w:rPr>
        <w:t xml:space="preserve">Current Opinion in Ophthalmology. </w:t>
      </w:r>
      <w:r w:rsidRPr="000B366D">
        <w:rPr>
          <w:rFonts w:ascii="Arial" w:hAnsi="Arial" w:cs="Arial"/>
          <w:sz w:val="23"/>
          <w:szCs w:val="23"/>
        </w:rPr>
        <w:t xml:space="preserve">Feb 2007;18(1):4-8. </w:t>
      </w:r>
      <w:bookmarkStart w:id="7" w:name="_GoBack"/>
      <w:bookmarkEnd w:id="7"/>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9. </w:t>
      </w:r>
      <w:r w:rsidR="009E6BA6">
        <w:rPr>
          <w:rFonts w:ascii="Arial" w:hAnsi="Arial" w:cs="Arial" w:hint="eastAsia"/>
          <w:sz w:val="23"/>
          <w:szCs w:val="23"/>
        </w:rPr>
        <w:t xml:space="preserve">  </w:t>
      </w:r>
      <w:r w:rsidRPr="000B366D">
        <w:rPr>
          <w:rFonts w:ascii="Arial" w:hAnsi="Arial" w:cs="Arial"/>
          <w:sz w:val="23"/>
          <w:szCs w:val="23"/>
        </w:rPr>
        <w:t xml:space="preserve">Maier P, Birnbaum F, Bohringer D, Reinhard T. Toxic anterior segment syndrome following penetrating keratoplasty. </w:t>
      </w:r>
      <w:r w:rsidRPr="000B366D">
        <w:rPr>
          <w:rFonts w:ascii="Arial" w:hAnsi="Arial" w:cs="Arial"/>
          <w:i/>
          <w:iCs/>
          <w:sz w:val="23"/>
          <w:szCs w:val="23"/>
        </w:rPr>
        <w:t xml:space="preserve">Arch Ophthalmol. </w:t>
      </w:r>
      <w:r w:rsidRPr="000B366D">
        <w:rPr>
          <w:rFonts w:ascii="Arial" w:hAnsi="Arial" w:cs="Arial"/>
          <w:sz w:val="23"/>
          <w:szCs w:val="23"/>
        </w:rPr>
        <w:t xml:space="preserve">Dec 2008;126(12):1677-1681.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10. </w:t>
      </w:r>
      <w:r w:rsidR="009E6BA6">
        <w:rPr>
          <w:rFonts w:ascii="Arial" w:hAnsi="Arial" w:cs="Arial" w:hint="eastAsia"/>
          <w:sz w:val="23"/>
          <w:szCs w:val="23"/>
        </w:rPr>
        <w:t xml:space="preserve"> </w:t>
      </w:r>
      <w:r w:rsidRPr="000B366D">
        <w:rPr>
          <w:rFonts w:ascii="Arial" w:hAnsi="Arial" w:cs="Arial"/>
          <w:sz w:val="23"/>
          <w:szCs w:val="23"/>
        </w:rPr>
        <w:t xml:space="preserve">Kreisler KR, Martin SS, Young CW, Anderson CW, Mamalis N. Postoperative inflammation following cataract extraction caused by bacterial contamination of the cleaning bath detergent. </w:t>
      </w:r>
      <w:r w:rsidRPr="000B366D">
        <w:rPr>
          <w:rFonts w:ascii="Arial" w:hAnsi="Arial" w:cs="Arial"/>
          <w:i/>
          <w:iCs/>
          <w:sz w:val="23"/>
          <w:szCs w:val="23"/>
        </w:rPr>
        <w:t xml:space="preserve">J Cataract Refract Surg. </w:t>
      </w:r>
      <w:r w:rsidRPr="000B366D">
        <w:rPr>
          <w:rFonts w:ascii="Arial" w:hAnsi="Arial" w:cs="Arial"/>
          <w:sz w:val="23"/>
          <w:szCs w:val="23"/>
        </w:rPr>
        <w:t xml:space="preserve">Jan 1992;18(1):106-110.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11. Richburg FA, Reidy JJ, Apple DJ, Olson RJ. Sterile hypopyon secondary to ultrasonic cleaning solution. </w:t>
      </w:r>
      <w:r w:rsidRPr="000B366D">
        <w:rPr>
          <w:rFonts w:ascii="Arial" w:hAnsi="Arial" w:cs="Arial"/>
          <w:i/>
          <w:iCs/>
          <w:sz w:val="23"/>
          <w:szCs w:val="23"/>
        </w:rPr>
        <w:t xml:space="preserve">J Cataract Refract Surg. </w:t>
      </w:r>
      <w:r w:rsidRPr="000B366D">
        <w:rPr>
          <w:rFonts w:ascii="Arial" w:hAnsi="Arial" w:cs="Arial"/>
          <w:sz w:val="23"/>
          <w:szCs w:val="23"/>
        </w:rPr>
        <w:t xml:space="preserve">May 1986;12(3):248-251.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12. </w:t>
      </w:r>
      <w:r w:rsidR="009E6BA6">
        <w:rPr>
          <w:rFonts w:ascii="Arial" w:hAnsi="Arial" w:cs="Arial" w:hint="eastAsia"/>
          <w:sz w:val="23"/>
          <w:szCs w:val="23"/>
        </w:rPr>
        <w:t xml:space="preserve"> </w:t>
      </w:r>
      <w:r w:rsidRPr="000B366D">
        <w:rPr>
          <w:rFonts w:ascii="Arial" w:hAnsi="Arial" w:cs="Arial"/>
          <w:sz w:val="23"/>
          <w:szCs w:val="23"/>
        </w:rPr>
        <w:t xml:space="preserve">Kutty PK, Forster TS, Wood-Koob C, et al. Multistate outbreak of toxic anterior segment syndrome, 2005. </w:t>
      </w:r>
      <w:r w:rsidRPr="000B366D">
        <w:rPr>
          <w:rFonts w:ascii="Arial" w:hAnsi="Arial" w:cs="Arial"/>
          <w:i/>
          <w:iCs/>
          <w:sz w:val="23"/>
          <w:szCs w:val="23"/>
        </w:rPr>
        <w:t xml:space="preserve">J Cataract Refract Surg. </w:t>
      </w:r>
      <w:r w:rsidRPr="000B366D">
        <w:rPr>
          <w:rFonts w:ascii="Arial" w:hAnsi="Arial" w:cs="Arial"/>
          <w:sz w:val="23"/>
          <w:szCs w:val="23"/>
        </w:rPr>
        <w:t xml:space="preserve">Apr 2008;34(4):585-590. </w:t>
      </w:r>
    </w:p>
    <w:p w:rsidR="0012454B" w:rsidRPr="000B366D" w:rsidRDefault="0012454B" w:rsidP="000B366D">
      <w:pPr>
        <w:pStyle w:val="Default"/>
        <w:spacing w:line="300" w:lineRule="auto"/>
        <w:jc w:val="both"/>
        <w:rPr>
          <w:rFonts w:ascii="Arial" w:hAnsi="Arial" w:cs="Arial"/>
          <w:sz w:val="23"/>
          <w:szCs w:val="23"/>
        </w:rPr>
      </w:pPr>
      <w:r w:rsidRPr="000B366D">
        <w:rPr>
          <w:rFonts w:ascii="Arial" w:hAnsi="Arial" w:cs="Arial"/>
          <w:sz w:val="23"/>
          <w:szCs w:val="23"/>
        </w:rPr>
        <w:t xml:space="preserve">13. </w:t>
      </w:r>
      <w:r w:rsidR="009E6BA6">
        <w:rPr>
          <w:rFonts w:ascii="Arial" w:hAnsi="Arial" w:cs="Arial" w:hint="eastAsia"/>
          <w:sz w:val="23"/>
          <w:szCs w:val="23"/>
        </w:rPr>
        <w:t xml:space="preserve"> </w:t>
      </w:r>
      <w:r w:rsidRPr="000B366D">
        <w:rPr>
          <w:rFonts w:ascii="Arial" w:hAnsi="Arial" w:cs="Arial"/>
          <w:sz w:val="23"/>
          <w:szCs w:val="23"/>
        </w:rPr>
        <w:t xml:space="preserve">Buchen SY, Calogero D, Hilmantel G, Eydelman MB. Rabbit ocular reactivity to bacterial endotoxin contained in aqueous solution and ophthalmic viscosurgical devices. </w:t>
      </w:r>
      <w:r w:rsidRPr="000B366D">
        <w:rPr>
          <w:rFonts w:ascii="Arial" w:hAnsi="Arial" w:cs="Arial"/>
          <w:i/>
          <w:iCs/>
          <w:sz w:val="23"/>
          <w:szCs w:val="23"/>
        </w:rPr>
        <w:t xml:space="preserve">Ophthalmology. </w:t>
      </w:r>
      <w:r w:rsidRPr="000B366D">
        <w:rPr>
          <w:rFonts w:ascii="Arial" w:hAnsi="Arial" w:cs="Arial"/>
          <w:sz w:val="23"/>
          <w:szCs w:val="23"/>
        </w:rPr>
        <w:t xml:space="preserve">2012;119(7):e4-e10. </w:t>
      </w:r>
    </w:p>
    <w:p w:rsidR="009E6BA6" w:rsidRDefault="0012454B" w:rsidP="000B366D">
      <w:pPr>
        <w:pStyle w:val="Default"/>
        <w:spacing w:line="300" w:lineRule="auto"/>
        <w:jc w:val="both"/>
        <w:rPr>
          <w:rFonts w:ascii="Arial" w:hAnsi="Arial" w:cs="Arial" w:hint="eastAsia"/>
          <w:sz w:val="23"/>
          <w:szCs w:val="23"/>
        </w:rPr>
      </w:pPr>
      <w:r w:rsidRPr="000B366D">
        <w:rPr>
          <w:rFonts w:ascii="Arial" w:hAnsi="Arial" w:cs="Arial"/>
          <w:sz w:val="23"/>
          <w:szCs w:val="23"/>
        </w:rPr>
        <w:t xml:space="preserve">14. </w:t>
      </w:r>
      <w:r w:rsidR="009E6BA6">
        <w:rPr>
          <w:rFonts w:ascii="Arial" w:hAnsi="Arial" w:cs="Arial" w:hint="eastAsia"/>
          <w:sz w:val="23"/>
          <w:szCs w:val="23"/>
        </w:rPr>
        <w:t xml:space="preserve"> </w:t>
      </w:r>
      <w:r w:rsidRPr="000B366D">
        <w:rPr>
          <w:rFonts w:ascii="Arial" w:hAnsi="Arial" w:cs="Arial"/>
          <w:sz w:val="23"/>
          <w:szCs w:val="23"/>
        </w:rPr>
        <w:t xml:space="preserve">The United States Pharmacopeial Convention. USP &lt;85&gt; Bacterial Endotoxin Test. </w:t>
      </w:r>
    </w:p>
    <w:p w:rsidR="003F2FB4" w:rsidRPr="000B366D" w:rsidRDefault="0012454B" w:rsidP="000B366D">
      <w:pPr>
        <w:pStyle w:val="Default"/>
        <w:spacing w:line="300" w:lineRule="auto"/>
        <w:jc w:val="both"/>
        <w:rPr>
          <w:rFonts w:ascii="Arial" w:eastAsia="宋体" w:hAnsi="Arial" w:cs="Arial"/>
          <w:sz w:val="21"/>
          <w:szCs w:val="21"/>
        </w:rPr>
      </w:pPr>
      <w:r w:rsidRPr="000B366D">
        <w:rPr>
          <w:rFonts w:ascii="Arial" w:hAnsi="Arial" w:cs="Arial"/>
          <w:sz w:val="23"/>
          <w:szCs w:val="23"/>
        </w:rPr>
        <w:t xml:space="preserve">15. </w:t>
      </w:r>
      <w:r w:rsidR="009E6BA6">
        <w:rPr>
          <w:rFonts w:ascii="Arial" w:hAnsi="Arial" w:cs="Arial" w:hint="eastAsia"/>
          <w:sz w:val="23"/>
          <w:szCs w:val="23"/>
        </w:rPr>
        <w:t xml:space="preserve"> </w:t>
      </w:r>
      <w:r w:rsidRPr="000B366D">
        <w:rPr>
          <w:rFonts w:ascii="Arial" w:hAnsi="Arial" w:cs="Arial"/>
          <w:sz w:val="23"/>
          <w:szCs w:val="23"/>
        </w:rPr>
        <w:t xml:space="preserve">Buchen SY, Calogero D, Hilmantel G, Eydelman MB. Detecting endotoxin contamination of ophthalmic viscosurgical devices: intracameral versus intravitreal assays in rabbits. </w:t>
      </w:r>
      <w:r w:rsidRPr="000B366D">
        <w:rPr>
          <w:rFonts w:ascii="Arial" w:hAnsi="Arial" w:cs="Arial"/>
          <w:i/>
          <w:iCs/>
          <w:sz w:val="23"/>
          <w:szCs w:val="23"/>
        </w:rPr>
        <w:t xml:space="preserve">Ophthalmology. </w:t>
      </w:r>
      <w:r w:rsidRPr="000B366D">
        <w:rPr>
          <w:rFonts w:ascii="Arial" w:hAnsi="Arial" w:cs="Arial"/>
          <w:sz w:val="23"/>
          <w:szCs w:val="23"/>
        </w:rPr>
        <w:t xml:space="preserve">Jul 2012;119(7):e11-18. </w:t>
      </w:r>
      <w:bookmarkStart w:id="8" w:name="_bookmark2"/>
      <w:bookmarkStart w:id="9" w:name="_bookmark3"/>
      <w:bookmarkStart w:id="10" w:name="_bookmark4"/>
      <w:bookmarkStart w:id="11" w:name="_bookmark5"/>
      <w:bookmarkStart w:id="12" w:name="_bookmark6"/>
      <w:bookmarkStart w:id="13" w:name="_bookmark7"/>
      <w:bookmarkStart w:id="14" w:name="_bookmark8"/>
      <w:bookmarkStart w:id="15" w:name="_bookmark9"/>
      <w:bookmarkStart w:id="16" w:name="_bookmark10"/>
      <w:bookmarkEnd w:id="8"/>
      <w:bookmarkEnd w:id="9"/>
      <w:bookmarkEnd w:id="10"/>
      <w:bookmarkEnd w:id="11"/>
      <w:bookmarkEnd w:id="12"/>
      <w:bookmarkEnd w:id="13"/>
      <w:bookmarkEnd w:id="14"/>
      <w:bookmarkEnd w:id="15"/>
      <w:bookmarkEnd w:id="16"/>
    </w:p>
    <w:sectPr w:rsidR="003F2FB4" w:rsidRPr="000B366D" w:rsidSect="00CD3ABB">
      <w:headerReference w:type="default" r:id="rId23"/>
      <w:footerReference w:type="default" r:id="rId24"/>
      <w:headerReference w:type="first" r:id="rId25"/>
      <w:pgSz w:w="12260" w:h="15840"/>
      <w:pgMar w:top="1440" w:right="1800" w:bottom="1440" w:left="1800" w:header="75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06" w:rsidRDefault="00BE5706">
      <w:r>
        <w:separator/>
      </w:r>
    </w:p>
  </w:endnote>
  <w:endnote w:type="continuationSeparator" w:id="0">
    <w:p w:rsidR="00BE5706" w:rsidRDefault="00B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922761646"/>
      <w:docPartObj>
        <w:docPartGallery w:val="Page Numbers (Bottom of Page)"/>
        <w:docPartUnique/>
      </w:docPartObj>
    </w:sdtPr>
    <w:sdtEndPr/>
    <w:sdtContent>
      <w:p w:rsidR="003F2FB4" w:rsidRPr="00CD3ABB" w:rsidRDefault="00CD3ABB" w:rsidP="00CD3ABB">
        <w:pPr>
          <w:pStyle w:val="a6"/>
          <w:jc w:val="right"/>
          <w:rPr>
            <w:rFonts w:ascii="Arial" w:hAnsi="Arial" w:cs="Arial"/>
          </w:rPr>
        </w:pPr>
        <w:r w:rsidRPr="00CD3ABB">
          <w:rPr>
            <w:rFonts w:ascii="Arial" w:hAnsi="Arial" w:cs="Arial"/>
          </w:rPr>
          <w:fldChar w:fldCharType="begin"/>
        </w:r>
        <w:r w:rsidRPr="00CD3ABB">
          <w:rPr>
            <w:rFonts w:ascii="Arial" w:hAnsi="Arial" w:cs="Arial"/>
          </w:rPr>
          <w:instrText>PAGE   \* MERGEFORMAT</w:instrText>
        </w:r>
        <w:r w:rsidRPr="00CD3ABB">
          <w:rPr>
            <w:rFonts w:ascii="Arial" w:hAnsi="Arial" w:cs="Arial"/>
          </w:rPr>
          <w:fldChar w:fldCharType="separate"/>
        </w:r>
        <w:r w:rsidR="000B366D" w:rsidRPr="000B366D">
          <w:rPr>
            <w:rFonts w:ascii="Arial" w:hAnsi="Arial" w:cs="Arial"/>
            <w:noProof/>
            <w:lang w:val="zh-CN"/>
          </w:rPr>
          <w:t>8</w:t>
        </w:r>
        <w:r w:rsidRPr="00CD3ABB">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06" w:rsidRDefault="00BE5706">
      <w:r>
        <w:separator/>
      </w:r>
    </w:p>
  </w:footnote>
  <w:footnote w:type="continuationSeparator" w:id="0">
    <w:p w:rsidR="00BE5706" w:rsidRDefault="00BE5706">
      <w:r>
        <w:continuationSeparator/>
      </w:r>
    </w:p>
  </w:footnote>
  <w:footnote w:id="1">
    <w:p w:rsidR="009828E9" w:rsidRPr="009828E9" w:rsidRDefault="009828E9">
      <w:pPr>
        <w:pStyle w:val="a8"/>
        <w:rPr>
          <w:rFonts w:ascii="Arial" w:hAnsi="Arial" w:cs="Arial"/>
        </w:rPr>
      </w:pPr>
      <w:r w:rsidRPr="009828E9">
        <w:rPr>
          <w:rStyle w:val="a9"/>
          <w:rFonts w:ascii="Arial" w:hAnsi="Arial" w:cs="Arial"/>
        </w:rPr>
        <w:sym w:font="Symbol" w:char="F02A"/>
      </w:r>
      <w:r w:rsidRPr="009828E9">
        <w:rPr>
          <w:rFonts w:ascii="Arial" w:hAnsi="Arial" w:cs="Arial"/>
        </w:rPr>
        <w:t xml:space="preserve"> </w:t>
      </w:r>
      <w:r w:rsidRPr="009828E9">
        <w:rPr>
          <w:rFonts w:ascii="Arial" w:eastAsia="宋体" w:hAnsi="Arial" w:cs="Arial"/>
        </w:rPr>
        <w:t>FDA</w:t>
      </w:r>
      <w:r w:rsidRPr="009828E9">
        <w:rPr>
          <w:rFonts w:ascii="Arial" w:eastAsia="宋体" w:hAnsi="Arial" w:cs="Arial"/>
        </w:rPr>
        <w:t>认可</w:t>
      </w:r>
      <w:r w:rsidR="004878FD">
        <w:rPr>
          <w:rFonts w:ascii="Arial" w:eastAsia="宋体" w:hAnsi="Arial" w:cs="Arial" w:hint="eastAsia"/>
        </w:rPr>
        <w:t>的</w:t>
      </w:r>
      <w:r w:rsidRPr="009828E9">
        <w:rPr>
          <w:rFonts w:ascii="Arial" w:eastAsia="宋体" w:hAnsi="Arial" w:cs="Arial"/>
        </w:rPr>
        <w:t>共识标准的可检索数据库可从以下网址获得：</w:t>
      </w:r>
      <w:hyperlink r:id="rId1" w:history="1">
        <w:r w:rsidR="004C09BB" w:rsidRPr="006969BE">
          <w:rPr>
            <w:rStyle w:val="aa"/>
            <w:rFonts w:ascii="Arial" w:eastAsia="宋体" w:hAnsi="Arial" w:cs="Arial"/>
            <w:u w:color="0000FF"/>
          </w:rPr>
          <w:t>http://www.accessdata.fda.gov/scripts/cdrh/cfdocs/cfStandards/search.cfm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668" w:rsidRDefault="007571E2" w:rsidP="00A31668">
    <w:pPr>
      <w:spacing w:line="265" w:lineRule="exact"/>
      <w:ind w:left="20"/>
      <w:jc w:val="center"/>
      <w:rPr>
        <w:rFonts w:ascii="Times New Roman" w:eastAsia="宋体" w:hAnsi="Times New Roman" w:cs="Times New Roman"/>
        <w:sz w:val="24"/>
        <w:szCs w:val="24"/>
      </w:rPr>
    </w:pPr>
    <w:r>
      <w:rPr>
        <w:rFonts w:ascii="Times New Roman" w:eastAsia="宋体" w:hint="eastAsia"/>
        <w:b/>
        <w:i/>
        <w:sz w:val="24"/>
      </w:rPr>
      <w:t>所含建议不具约束力</w:t>
    </w:r>
  </w:p>
  <w:p w:rsidR="003F2FB4" w:rsidRDefault="003F2FB4" w:rsidP="00A31668">
    <w:pPr>
      <w:spacing w:line="14" w:lineRule="auto"/>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BB" w:rsidRDefault="00CD3ABB" w:rsidP="00CD3AB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719C"/>
    <w:multiLevelType w:val="hybridMultilevel"/>
    <w:tmpl w:val="E48ECE24"/>
    <w:lvl w:ilvl="0" w:tplc="513006CE">
      <w:start w:val="1"/>
      <w:numFmt w:val="upperLetter"/>
      <w:lvlText w:val="%1."/>
      <w:lvlJc w:val="left"/>
      <w:pPr>
        <w:ind w:left="840" w:hanging="360"/>
      </w:pPr>
      <w:rPr>
        <w:rFonts w:ascii="Arial" w:eastAsia="Times New Roman" w:hAnsi="Arial" w:cs="Arial" w:hint="default"/>
        <w:sz w:val="24"/>
        <w:szCs w:val="24"/>
      </w:rPr>
    </w:lvl>
    <w:lvl w:ilvl="1" w:tplc="C514234E">
      <w:start w:val="1"/>
      <w:numFmt w:val="decimal"/>
      <w:lvlText w:val="%2."/>
      <w:lvlJc w:val="left"/>
      <w:pPr>
        <w:ind w:left="1200" w:hanging="360"/>
      </w:pPr>
      <w:rPr>
        <w:rFonts w:ascii="Arial" w:eastAsia="Times New Roman" w:hAnsi="Arial" w:cs="Arial" w:hint="default"/>
        <w:sz w:val="24"/>
        <w:szCs w:val="24"/>
      </w:rPr>
    </w:lvl>
    <w:lvl w:ilvl="2" w:tplc="66AE82D6">
      <w:start w:val="1"/>
      <w:numFmt w:val="lowerLetter"/>
      <w:lvlText w:val="%3."/>
      <w:lvlJc w:val="left"/>
      <w:pPr>
        <w:ind w:left="1560" w:hanging="360"/>
      </w:pPr>
      <w:rPr>
        <w:rFonts w:ascii="Arial" w:eastAsia="Times New Roman" w:hAnsi="Arial" w:cs="Arial" w:hint="default"/>
        <w:sz w:val="24"/>
        <w:szCs w:val="24"/>
      </w:rPr>
    </w:lvl>
    <w:lvl w:ilvl="3" w:tplc="D01AEE78">
      <w:start w:val="1"/>
      <w:numFmt w:val="lowerRoman"/>
      <w:lvlText w:val="%4."/>
      <w:lvlJc w:val="left"/>
      <w:pPr>
        <w:ind w:left="1920" w:hanging="360"/>
      </w:pPr>
      <w:rPr>
        <w:rFonts w:ascii="Arial" w:eastAsia="Times New Roman" w:hAnsi="Arial" w:cs="Arial" w:hint="default"/>
        <w:sz w:val="24"/>
        <w:szCs w:val="24"/>
      </w:rPr>
    </w:lvl>
    <w:lvl w:ilvl="4" w:tplc="A4C251A6">
      <w:start w:val="1"/>
      <w:numFmt w:val="bullet"/>
      <w:lvlText w:val="•"/>
      <w:lvlJc w:val="left"/>
      <w:pPr>
        <w:ind w:left="3014" w:hanging="360"/>
      </w:pPr>
      <w:rPr>
        <w:rFonts w:hint="default"/>
      </w:rPr>
    </w:lvl>
    <w:lvl w:ilvl="5" w:tplc="D5048F76">
      <w:start w:val="1"/>
      <w:numFmt w:val="bullet"/>
      <w:lvlText w:val="•"/>
      <w:lvlJc w:val="left"/>
      <w:pPr>
        <w:ind w:left="4108" w:hanging="360"/>
      </w:pPr>
      <w:rPr>
        <w:rFonts w:hint="default"/>
      </w:rPr>
    </w:lvl>
    <w:lvl w:ilvl="6" w:tplc="199E44D2">
      <w:start w:val="1"/>
      <w:numFmt w:val="bullet"/>
      <w:lvlText w:val="•"/>
      <w:lvlJc w:val="left"/>
      <w:pPr>
        <w:ind w:left="5202" w:hanging="360"/>
      </w:pPr>
      <w:rPr>
        <w:rFonts w:hint="default"/>
      </w:rPr>
    </w:lvl>
    <w:lvl w:ilvl="7" w:tplc="C0ECB2CE">
      <w:start w:val="1"/>
      <w:numFmt w:val="bullet"/>
      <w:lvlText w:val="•"/>
      <w:lvlJc w:val="left"/>
      <w:pPr>
        <w:ind w:left="6297" w:hanging="360"/>
      </w:pPr>
      <w:rPr>
        <w:rFonts w:hint="default"/>
      </w:rPr>
    </w:lvl>
    <w:lvl w:ilvl="8" w:tplc="3678F41E">
      <w:start w:val="1"/>
      <w:numFmt w:val="bullet"/>
      <w:lvlText w:val="•"/>
      <w:lvlJc w:val="left"/>
      <w:pPr>
        <w:ind w:left="7391" w:hanging="360"/>
      </w:pPr>
      <w:rPr>
        <w:rFonts w:hint="default"/>
      </w:rPr>
    </w:lvl>
  </w:abstractNum>
  <w:abstractNum w:abstractNumId="1">
    <w:nsid w:val="3EA0314F"/>
    <w:multiLevelType w:val="hybridMultilevel"/>
    <w:tmpl w:val="121E5246"/>
    <w:lvl w:ilvl="0" w:tplc="6C8A4FC0">
      <w:start w:val="1"/>
      <w:numFmt w:val="upperRoman"/>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BD4890"/>
    <w:multiLevelType w:val="hybridMultilevel"/>
    <w:tmpl w:val="FA72A5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8D4AF1"/>
    <w:multiLevelType w:val="hybridMultilevel"/>
    <w:tmpl w:val="ABBCE05C"/>
    <w:lvl w:ilvl="0" w:tplc="5A863D90">
      <w:start w:val="1"/>
      <w:numFmt w:val="decimal"/>
      <w:lvlText w:val="%1."/>
      <w:lvlJc w:val="left"/>
      <w:pPr>
        <w:ind w:left="1540" w:hanging="360"/>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BD0C81"/>
    <w:multiLevelType w:val="hybridMultilevel"/>
    <w:tmpl w:val="4D005200"/>
    <w:lvl w:ilvl="0" w:tplc="42B22E30">
      <w:start w:val="2"/>
      <w:numFmt w:val="upperRoman"/>
      <w:lvlText w:val="%1."/>
      <w:lvlJc w:val="left"/>
      <w:pPr>
        <w:ind w:left="820" w:hanging="720"/>
      </w:pPr>
      <w:rPr>
        <w:rFonts w:ascii="Times New Roman" w:eastAsia="Times New Roman" w:hAnsi="Times New Roman" w:hint="default"/>
        <w:b/>
        <w:bCs/>
        <w:sz w:val="36"/>
        <w:szCs w:val="36"/>
      </w:rPr>
    </w:lvl>
    <w:lvl w:ilvl="1" w:tplc="90F6DA8C">
      <w:start w:val="1"/>
      <w:numFmt w:val="upperLetter"/>
      <w:lvlText w:val="%2."/>
      <w:lvlJc w:val="left"/>
      <w:pPr>
        <w:ind w:left="820" w:hanging="360"/>
      </w:pPr>
      <w:rPr>
        <w:rFonts w:ascii="Arial" w:eastAsia="Times New Roman" w:hAnsi="Arial" w:cs="Arial" w:hint="default"/>
        <w:b/>
        <w:bCs/>
        <w:sz w:val="24"/>
        <w:szCs w:val="24"/>
      </w:rPr>
    </w:lvl>
    <w:lvl w:ilvl="2" w:tplc="5A863D90">
      <w:start w:val="1"/>
      <w:numFmt w:val="decimal"/>
      <w:lvlText w:val="%3."/>
      <w:lvlJc w:val="left"/>
      <w:pPr>
        <w:ind w:left="1540" w:hanging="360"/>
      </w:pPr>
      <w:rPr>
        <w:rFonts w:ascii="Arial" w:eastAsia="Times New Roman" w:hAnsi="Arial" w:cs="Arial" w:hint="default"/>
        <w:sz w:val="24"/>
        <w:szCs w:val="24"/>
      </w:rPr>
    </w:lvl>
    <w:lvl w:ilvl="3" w:tplc="64186370">
      <w:start w:val="1"/>
      <w:numFmt w:val="lowerLetter"/>
      <w:lvlText w:val="%4."/>
      <w:lvlJc w:val="left"/>
      <w:pPr>
        <w:ind w:left="1540" w:hanging="360"/>
      </w:pPr>
      <w:rPr>
        <w:rFonts w:ascii="Arial" w:eastAsia="Times New Roman" w:hAnsi="Arial" w:cs="Arial" w:hint="default"/>
        <w:sz w:val="24"/>
        <w:szCs w:val="24"/>
      </w:rPr>
    </w:lvl>
    <w:lvl w:ilvl="4" w:tplc="2C44B0FC">
      <w:start w:val="1"/>
      <w:numFmt w:val="bullet"/>
      <w:lvlText w:val="•"/>
      <w:lvlJc w:val="left"/>
      <w:pPr>
        <w:ind w:left="3455" w:hanging="360"/>
      </w:pPr>
      <w:rPr>
        <w:rFonts w:hint="default"/>
      </w:rPr>
    </w:lvl>
    <w:lvl w:ilvl="5" w:tplc="5742D0D8">
      <w:start w:val="1"/>
      <w:numFmt w:val="bullet"/>
      <w:lvlText w:val="•"/>
      <w:lvlJc w:val="left"/>
      <w:pPr>
        <w:ind w:left="4412" w:hanging="360"/>
      </w:pPr>
      <w:rPr>
        <w:rFonts w:hint="default"/>
      </w:rPr>
    </w:lvl>
    <w:lvl w:ilvl="6" w:tplc="7CB4AA2E">
      <w:start w:val="1"/>
      <w:numFmt w:val="bullet"/>
      <w:lvlText w:val="•"/>
      <w:lvlJc w:val="left"/>
      <w:pPr>
        <w:ind w:left="5370" w:hanging="360"/>
      </w:pPr>
      <w:rPr>
        <w:rFonts w:hint="default"/>
      </w:rPr>
    </w:lvl>
    <w:lvl w:ilvl="7" w:tplc="19C64AA2">
      <w:start w:val="1"/>
      <w:numFmt w:val="bullet"/>
      <w:lvlText w:val="•"/>
      <w:lvlJc w:val="left"/>
      <w:pPr>
        <w:ind w:left="6327" w:hanging="360"/>
      </w:pPr>
      <w:rPr>
        <w:rFonts w:hint="default"/>
      </w:rPr>
    </w:lvl>
    <w:lvl w:ilvl="8" w:tplc="B860CEFA">
      <w:start w:val="1"/>
      <w:numFmt w:val="bullet"/>
      <w:lvlText w:val="•"/>
      <w:lvlJc w:val="left"/>
      <w:pPr>
        <w:ind w:left="7285" w:hanging="360"/>
      </w:pPr>
      <w:rPr>
        <w:rFonts w:hint="default"/>
      </w:rPr>
    </w:lvl>
  </w:abstractNum>
  <w:abstractNum w:abstractNumId="5">
    <w:nsid w:val="69302913"/>
    <w:multiLevelType w:val="hybridMultilevel"/>
    <w:tmpl w:val="2946EAAC"/>
    <w:lvl w:ilvl="0" w:tplc="6EC4CC78">
      <w:start w:val="1"/>
      <w:numFmt w:val="decimal"/>
      <w:lvlText w:val="%1."/>
      <w:lvlJc w:val="left"/>
      <w:pPr>
        <w:ind w:left="840" w:hanging="720"/>
      </w:pPr>
      <w:rPr>
        <w:rFonts w:ascii="Arial" w:eastAsia="Times New Roman" w:hAnsi="Arial" w:cs="Arial" w:hint="default"/>
        <w:sz w:val="21"/>
        <w:szCs w:val="21"/>
      </w:rPr>
    </w:lvl>
    <w:lvl w:ilvl="1" w:tplc="977E3678">
      <w:start w:val="1"/>
      <w:numFmt w:val="bullet"/>
      <w:lvlText w:val="•"/>
      <w:lvlJc w:val="left"/>
      <w:pPr>
        <w:ind w:left="1714" w:hanging="720"/>
      </w:pPr>
      <w:rPr>
        <w:rFonts w:hint="default"/>
      </w:rPr>
    </w:lvl>
    <w:lvl w:ilvl="2" w:tplc="10F033A8">
      <w:start w:val="1"/>
      <w:numFmt w:val="bullet"/>
      <w:lvlText w:val="•"/>
      <w:lvlJc w:val="left"/>
      <w:pPr>
        <w:ind w:left="2588" w:hanging="720"/>
      </w:pPr>
      <w:rPr>
        <w:rFonts w:hint="default"/>
      </w:rPr>
    </w:lvl>
    <w:lvl w:ilvl="3" w:tplc="1862EA1A">
      <w:start w:val="1"/>
      <w:numFmt w:val="bullet"/>
      <w:lvlText w:val="•"/>
      <w:lvlJc w:val="left"/>
      <w:pPr>
        <w:ind w:left="3462" w:hanging="720"/>
      </w:pPr>
      <w:rPr>
        <w:rFonts w:hint="default"/>
      </w:rPr>
    </w:lvl>
    <w:lvl w:ilvl="4" w:tplc="A3F0D404">
      <w:start w:val="1"/>
      <w:numFmt w:val="bullet"/>
      <w:lvlText w:val="•"/>
      <w:lvlJc w:val="left"/>
      <w:pPr>
        <w:ind w:left="4336" w:hanging="720"/>
      </w:pPr>
      <w:rPr>
        <w:rFonts w:hint="default"/>
      </w:rPr>
    </w:lvl>
    <w:lvl w:ilvl="5" w:tplc="2272C298">
      <w:start w:val="1"/>
      <w:numFmt w:val="bullet"/>
      <w:lvlText w:val="•"/>
      <w:lvlJc w:val="left"/>
      <w:pPr>
        <w:ind w:left="5210" w:hanging="720"/>
      </w:pPr>
      <w:rPr>
        <w:rFonts w:hint="default"/>
      </w:rPr>
    </w:lvl>
    <w:lvl w:ilvl="6" w:tplc="E91458E2">
      <w:start w:val="1"/>
      <w:numFmt w:val="bullet"/>
      <w:lvlText w:val="•"/>
      <w:lvlJc w:val="left"/>
      <w:pPr>
        <w:ind w:left="6084" w:hanging="720"/>
      </w:pPr>
      <w:rPr>
        <w:rFonts w:hint="default"/>
      </w:rPr>
    </w:lvl>
    <w:lvl w:ilvl="7" w:tplc="5316E2A8">
      <w:start w:val="1"/>
      <w:numFmt w:val="bullet"/>
      <w:lvlText w:val="•"/>
      <w:lvlJc w:val="left"/>
      <w:pPr>
        <w:ind w:left="6958" w:hanging="720"/>
      </w:pPr>
      <w:rPr>
        <w:rFonts w:hint="default"/>
      </w:rPr>
    </w:lvl>
    <w:lvl w:ilvl="8" w:tplc="E5A48130">
      <w:start w:val="1"/>
      <w:numFmt w:val="bullet"/>
      <w:lvlText w:val="•"/>
      <w:lvlJc w:val="left"/>
      <w:pPr>
        <w:ind w:left="7832" w:hanging="720"/>
      </w:pPr>
      <w:rPr>
        <w:rFonts w:hint="default"/>
      </w:rPr>
    </w:lvl>
  </w:abstractNum>
  <w:abstractNum w:abstractNumId="6">
    <w:nsid w:val="75B73878"/>
    <w:multiLevelType w:val="hybridMultilevel"/>
    <w:tmpl w:val="0CFEA942"/>
    <w:lvl w:ilvl="0" w:tplc="90F6DA8C">
      <w:start w:val="1"/>
      <w:numFmt w:val="upperLetter"/>
      <w:lvlText w:val="%1."/>
      <w:lvlJc w:val="left"/>
      <w:pPr>
        <w:ind w:left="820" w:hanging="360"/>
      </w:pPr>
      <w:rPr>
        <w:rFonts w:ascii="Arial" w:eastAsia="Times New Roman" w:hAnsi="Arial" w:cs="Arial" w:hint="default"/>
        <w:b/>
        <w:bCs/>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B4"/>
    <w:rsid w:val="00013A2E"/>
    <w:rsid w:val="00083D53"/>
    <w:rsid w:val="000B366D"/>
    <w:rsid w:val="000C29FF"/>
    <w:rsid w:val="0012454B"/>
    <w:rsid w:val="00142279"/>
    <w:rsid w:val="001544EB"/>
    <w:rsid w:val="00195CE2"/>
    <w:rsid w:val="002A31D5"/>
    <w:rsid w:val="002B6CFD"/>
    <w:rsid w:val="00355F5C"/>
    <w:rsid w:val="00390E4D"/>
    <w:rsid w:val="00392BE1"/>
    <w:rsid w:val="003D160C"/>
    <w:rsid w:val="003E060A"/>
    <w:rsid w:val="003F2FB4"/>
    <w:rsid w:val="004003F3"/>
    <w:rsid w:val="00407A8D"/>
    <w:rsid w:val="004139E7"/>
    <w:rsid w:val="00417617"/>
    <w:rsid w:val="00440C37"/>
    <w:rsid w:val="004878FD"/>
    <w:rsid w:val="004C09BB"/>
    <w:rsid w:val="00515FB8"/>
    <w:rsid w:val="00522BF9"/>
    <w:rsid w:val="00552BDE"/>
    <w:rsid w:val="005776F1"/>
    <w:rsid w:val="00583B77"/>
    <w:rsid w:val="005917BB"/>
    <w:rsid w:val="005E36FD"/>
    <w:rsid w:val="006631EE"/>
    <w:rsid w:val="006A3EE2"/>
    <w:rsid w:val="006C3953"/>
    <w:rsid w:val="006F7F8D"/>
    <w:rsid w:val="007571E2"/>
    <w:rsid w:val="007C1440"/>
    <w:rsid w:val="007C2304"/>
    <w:rsid w:val="00863538"/>
    <w:rsid w:val="00871D95"/>
    <w:rsid w:val="00872B6F"/>
    <w:rsid w:val="0089543C"/>
    <w:rsid w:val="008A2115"/>
    <w:rsid w:val="008E1A19"/>
    <w:rsid w:val="008F1A6B"/>
    <w:rsid w:val="009039A1"/>
    <w:rsid w:val="009430EA"/>
    <w:rsid w:val="00943AC4"/>
    <w:rsid w:val="00952946"/>
    <w:rsid w:val="009632C4"/>
    <w:rsid w:val="009828E9"/>
    <w:rsid w:val="0099542B"/>
    <w:rsid w:val="009B72FB"/>
    <w:rsid w:val="009E6BA6"/>
    <w:rsid w:val="00A005A6"/>
    <w:rsid w:val="00A31668"/>
    <w:rsid w:val="00A5375B"/>
    <w:rsid w:val="00A5689D"/>
    <w:rsid w:val="00AB7F72"/>
    <w:rsid w:val="00AC1C77"/>
    <w:rsid w:val="00AE5C2F"/>
    <w:rsid w:val="00B066C2"/>
    <w:rsid w:val="00B2355A"/>
    <w:rsid w:val="00B3057E"/>
    <w:rsid w:val="00B57DCA"/>
    <w:rsid w:val="00B66E88"/>
    <w:rsid w:val="00BB3A80"/>
    <w:rsid w:val="00BE5706"/>
    <w:rsid w:val="00C22955"/>
    <w:rsid w:val="00C626F8"/>
    <w:rsid w:val="00C75635"/>
    <w:rsid w:val="00CA53B8"/>
    <w:rsid w:val="00CB10E4"/>
    <w:rsid w:val="00CD1BFF"/>
    <w:rsid w:val="00CD3ABB"/>
    <w:rsid w:val="00CF7BA3"/>
    <w:rsid w:val="00D16327"/>
    <w:rsid w:val="00D16DAA"/>
    <w:rsid w:val="00D42B83"/>
    <w:rsid w:val="00DC4585"/>
    <w:rsid w:val="00E03459"/>
    <w:rsid w:val="00E133A0"/>
    <w:rsid w:val="00E23054"/>
    <w:rsid w:val="00E55719"/>
    <w:rsid w:val="00E55F3C"/>
    <w:rsid w:val="00E9458A"/>
    <w:rsid w:val="00EF0FC0"/>
    <w:rsid w:val="00FA438C"/>
    <w:rsid w:val="00FB3D68"/>
    <w:rsid w:val="00FB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570" w:hanging="5"/>
      <w:outlineLvl w:val="0"/>
    </w:pPr>
    <w:rPr>
      <w:rFonts w:ascii="Times New Roman" w:eastAsia="宋体" w:hAnsi="Times New Roman"/>
      <w:b/>
      <w:bCs/>
      <w:sz w:val="60"/>
      <w:szCs w:val="60"/>
    </w:rPr>
  </w:style>
  <w:style w:type="paragraph" w:styleId="2">
    <w:name w:val="heading 2"/>
    <w:basedOn w:val="a"/>
    <w:uiPriority w:val="1"/>
    <w:qFormat/>
    <w:pPr>
      <w:spacing w:before="38"/>
      <w:ind w:left="100"/>
      <w:outlineLvl w:val="1"/>
    </w:pPr>
    <w:rPr>
      <w:rFonts w:ascii="Times New Roman" w:eastAsia="宋体" w:hAnsi="Times New Roman"/>
      <w:b/>
      <w:bCs/>
      <w:sz w:val="48"/>
      <w:szCs w:val="48"/>
    </w:rPr>
  </w:style>
  <w:style w:type="paragraph" w:styleId="3">
    <w:name w:val="heading 3"/>
    <w:basedOn w:val="a"/>
    <w:uiPriority w:val="1"/>
    <w:qFormat/>
    <w:pPr>
      <w:ind w:left="840" w:hanging="720"/>
      <w:outlineLvl w:val="2"/>
    </w:pPr>
    <w:rPr>
      <w:rFonts w:ascii="Times New Roman" w:eastAsia="宋体" w:hAnsi="Times New Roman"/>
      <w:b/>
      <w:bCs/>
      <w:sz w:val="36"/>
      <w:szCs w:val="36"/>
    </w:rPr>
  </w:style>
  <w:style w:type="paragraph" w:styleId="4">
    <w:name w:val="heading 4"/>
    <w:basedOn w:val="a"/>
    <w:uiPriority w:val="1"/>
    <w:qFormat/>
    <w:pPr>
      <w:ind w:left="650"/>
      <w:outlineLvl w:val="3"/>
    </w:pPr>
    <w:rPr>
      <w:rFonts w:ascii="Times New Roman" w:eastAsia="宋体" w:hAnsi="Times New Roman"/>
      <w:b/>
      <w:bCs/>
      <w:sz w:val="28"/>
      <w:szCs w:val="28"/>
    </w:rPr>
  </w:style>
  <w:style w:type="paragraph" w:styleId="5">
    <w:name w:val="heading 5"/>
    <w:basedOn w:val="a"/>
    <w:uiPriority w:val="1"/>
    <w:qFormat/>
    <w:pPr>
      <w:ind w:hanging="525"/>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31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31668"/>
    <w:rPr>
      <w:sz w:val="18"/>
      <w:szCs w:val="18"/>
    </w:rPr>
  </w:style>
  <w:style w:type="paragraph" w:styleId="a6">
    <w:name w:val="footer"/>
    <w:basedOn w:val="a"/>
    <w:link w:val="Char0"/>
    <w:uiPriority w:val="99"/>
    <w:unhideWhenUsed/>
    <w:rsid w:val="00A31668"/>
    <w:pPr>
      <w:tabs>
        <w:tab w:val="center" w:pos="4153"/>
        <w:tab w:val="right" w:pos="8306"/>
      </w:tabs>
      <w:snapToGrid w:val="0"/>
    </w:pPr>
    <w:rPr>
      <w:sz w:val="18"/>
      <w:szCs w:val="18"/>
    </w:rPr>
  </w:style>
  <w:style w:type="character" w:customStyle="1" w:styleId="Char0">
    <w:name w:val="页脚 Char"/>
    <w:basedOn w:val="a0"/>
    <w:link w:val="a6"/>
    <w:uiPriority w:val="99"/>
    <w:rsid w:val="00A31668"/>
    <w:rPr>
      <w:sz w:val="18"/>
      <w:szCs w:val="18"/>
    </w:rPr>
  </w:style>
  <w:style w:type="table" w:styleId="a7">
    <w:name w:val="Table Grid"/>
    <w:basedOn w:val="a1"/>
    <w:uiPriority w:val="39"/>
    <w:rsid w:val="0087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1"/>
    <w:uiPriority w:val="99"/>
    <w:semiHidden/>
    <w:unhideWhenUsed/>
    <w:rsid w:val="00863538"/>
    <w:pPr>
      <w:snapToGrid w:val="0"/>
    </w:pPr>
    <w:rPr>
      <w:sz w:val="18"/>
      <w:szCs w:val="18"/>
    </w:rPr>
  </w:style>
  <w:style w:type="character" w:customStyle="1" w:styleId="Char1">
    <w:name w:val="脚注文本 Char"/>
    <w:basedOn w:val="a0"/>
    <w:link w:val="a8"/>
    <w:uiPriority w:val="99"/>
    <w:semiHidden/>
    <w:rsid w:val="00863538"/>
    <w:rPr>
      <w:sz w:val="18"/>
      <w:szCs w:val="18"/>
    </w:rPr>
  </w:style>
  <w:style w:type="character" w:styleId="a9">
    <w:name w:val="footnote reference"/>
    <w:basedOn w:val="a0"/>
    <w:uiPriority w:val="99"/>
    <w:semiHidden/>
    <w:unhideWhenUsed/>
    <w:rsid w:val="00863538"/>
    <w:rPr>
      <w:vertAlign w:val="superscript"/>
    </w:rPr>
  </w:style>
  <w:style w:type="character" w:styleId="aa">
    <w:name w:val="Hyperlink"/>
    <w:basedOn w:val="a0"/>
    <w:uiPriority w:val="99"/>
    <w:unhideWhenUsed/>
    <w:rsid w:val="009828E9"/>
    <w:rPr>
      <w:color w:val="0000FF" w:themeColor="hyperlink"/>
      <w:u w:val="single"/>
    </w:rPr>
  </w:style>
  <w:style w:type="paragraph" w:styleId="ab">
    <w:name w:val="Balloon Text"/>
    <w:basedOn w:val="a"/>
    <w:link w:val="Char2"/>
    <w:uiPriority w:val="99"/>
    <w:semiHidden/>
    <w:unhideWhenUsed/>
    <w:rsid w:val="00952946"/>
    <w:rPr>
      <w:sz w:val="18"/>
      <w:szCs w:val="18"/>
    </w:rPr>
  </w:style>
  <w:style w:type="character" w:customStyle="1" w:styleId="Char2">
    <w:name w:val="批注框文本 Char"/>
    <w:basedOn w:val="a0"/>
    <w:link w:val="ab"/>
    <w:uiPriority w:val="99"/>
    <w:semiHidden/>
    <w:rsid w:val="00952946"/>
    <w:rPr>
      <w:sz w:val="18"/>
      <w:szCs w:val="18"/>
    </w:rPr>
  </w:style>
  <w:style w:type="paragraph" w:customStyle="1" w:styleId="Default">
    <w:name w:val="Default"/>
    <w:rsid w:val="0012454B"/>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570" w:hanging="5"/>
      <w:outlineLvl w:val="0"/>
    </w:pPr>
    <w:rPr>
      <w:rFonts w:ascii="Times New Roman" w:eastAsia="宋体" w:hAnsi="Times New Roman"/>
      <w:b/>
      <w:bCs/>
      <w:sz w:val="60"/>
      <w:szCs w:val="60"/>
    </w:rPr>
  </w:style>
  <w:style w:type="paragraph" w:styleId="2">
    <w:name w:val="heading 2"/>
    <w:basedOn w:val="a"/>
    <w:uiPriority w:val="1"/>
    <w:qFormat/>
    <w:pPr>
      <w:spacing w:before="38"/>
      <w:ind w:left="100"/>
      <w:outlineLvl w:val="1"/>
    </w:pPr>
    <w:rPr>
      <w:rFonts w:ascii="Times New Roman" w:eastAsia="宋体" w:hAnsi="Times New Roman"/>
      <w:b/>
      <w:bCs/>
      <w:sz w:val="48"/>
      <w:szCs w:val="48"/>
    </w:rPr>
  </w:style>
  <w:style w:type="paragraph" w:styleId="3">
    <w:name w:val="heading 3"/>
    <w:basedOn w:val="a"/>
    <w:uiPriority w:val="1"/>
    <w:qFormat/>
    <w:pPr>
      <w:ind w:left="840" w:hanging="720"/>
      <w:outlineLvl w:val="2"/>
    </w:pPr>
    <w:rPr>
      <w:rFonts w:ascii="Times New Roman" w:eastAsia="宋体" w:hAnsi="Times New Roman"/>
      <w:b/>
      <w:bCs/>
      <w:sz w:val="36"/>
      <w:szCs w:val="36"/>
    </w:rPr>
  </w:style>
  <w:style w:type="paragraph" w:styleId="4">
    <w:name w:val="heading 4"/>
    <w:basedOn w:val="a"/>
    <w:uiPriority w:val="1"/>
    <w:qFormat/>
    <w:pPr>
      <w:ind w:left="650"/>
      <w:outlineLvl w:val="3"/>
    </w:pPr>
    <w:rPr>
      <w:rFonts w:ascii="Times New Roman" w:eastAsia="宋体" w:hAnsi="Times New Roman"/>
      <w:b/>
      <w:bCs/>
      <w:sz w:val="28"/>
      <w:szCs w:val="28"/>
    </w:rPr>
  </w:style>
  <w:style w:type="paragraph" w:styleId="5">
    <w:name w:val="heading 5"/>
    <w:basedOn w:val="a"/>
    <w:uiPriority w:val="1"/>
    <w:qFormat/>
    <w:pPr>
      <w:ind w:hanging="525"/>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31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31668"/>
    <w:rPr>
      <w:sz w:val="18"/>
      <w:szCs w:val="18"/>
    </w:rPr>
  </w:style>
  <w:style w:type="paragraph" w:styleId="a6">
    <w:name w:val="footer"/>
    <w:basedOn w:val="a"/>
    <w:link w:val="Char0"/>
    <w:uiPriority w:val="99"/>
    <w:unhideWhenUsed/>
    <w:rsid w:val="00A31668"/>
    <w:pPr>
      <w:tabs>
        <w:tab w:val="center" w:pos="4153"/>
        <w:tab w:val="right" w:pos="8306"/>
      </w:tabs>
      <w:snapToGrid w:val="0"/>
    </w:pPr>
    <w:rPr>
      <w:sz w:val="18"/>
      <w:szCs w:val="18"/>
    </w:rPr>
  </w:style>
  <w:style w:type="character" w:customStyle="1" w:styleId="Char0">
    <w:name w:val="页脚 Char"/>
    <w:basedOn w:val="a0"/>
    <w:link w:val="a6"/>
    <w:uiPriority w:val="99"/>
    <w:rsid w:val="00A31668"/>
    <w:rPr>
      <w:sz w:val="18"/>
      <w:szCs w:val="18"/>
    </w:rPr>
  </w:style>
  <w:style w:type="table" w:styleId="a7">
    <w:name w:val="Table Grid"/>
    <w:basedOn w:val="a1"/>
    <w:uiPriority w:val="39"/>
    <w:rsid w:val="0087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1"/>
    <w:uiPriority w:val="99"/>
    <w:semiHidden/>
    <w:unhideWhenUsed/>
    <w:rsid w:val="00863538"/>
    <w:pPr>
      <w:snapToGrid w:val="0"/>
    </w:pPr>
    <w:rPr>
      <w:sz w:val="18"/>
      <w:szCs w:val="18"/>
    </w:rPr>
  </w:style>
  <w:style w:type="character" w:customStyle="1" w:styleId="Char1">
    <w:name w:val="脚注文本 Char"/>
    <w:basedOn w:val="a0"/>
    <w:link w:val="a8"/>
    <w:uiPriority w:val="99"/>
    <w:semiHidden/>
    <w:rsid w:val="00863538"/>
    <w:rPr>
      <w:sz w:val="18"/>
      <w:szCs w:val="18"/>
    </w:rPr>
  </w:style>
  <w:style w:type="character" w:styleId="a9">
    <w:name w:val="footnote reference"/>
    <w:basedOn w:val="a0"/>
    <w:uiPriority w:val="99"/>
    <w:semiHidden/>
    <w:unhideWhenUsed/>
    <w:rsid w:val="00863538"/>
    <w:rPr>
      <w:vertAlign w:val="superscript"/>
    </w:rPr>
  </w:style>
  <w:style w:type="character" w:styleId="aa">
    <w:name w:val="Hyperlink"/>
    <w:basedOn w:val="a0"/>
    <w:uiPriority w:val="99"/>
    <w:unhideWhenUsed/>
    <w:rsid w:val="009828E9"/>
    <w:rPr>
      <w:color w:val="0000FF" w:themeColor="hyperlink"/>
      <w:u w:val="single"/>
    </w:rPr>
  </w:style>
  <w:style w:type="paragraph" w:styleId="ab">
    <w:name w:val="Balloon Text"/>
    <w:basedOn w:val="a"/>
    <w:link w:val="Char2"/>
    <w:uiPriority w:val="99"/>
    <w:semiHidden/>
    <w:unhideWhenUsed/>
    <w:rsid w:val="00952946"/>
    <w:rPr>
      <w:sz w:val="18"/>
      <w:szCs w:val="18"/>
    </w:rPr>
  </w:style>
  <w:style w:type="character" w:customStyle="1" w:styleId="Char2">
    <w:name w:val="批注框文本 Char"/>
    <w:basedOn w:val="a0"/>
    <w:link w:val="ab"/>
    <w:uiPriority w:val="99"/>
    <w:semiHidden/>
    <w:rsid w:val="00952946"/>
    <w:rPr>
      <w:sz w:val="18"/>
      <w:szCs w:val="18"/>
    </w:rPr>
  </w:style>
  <w:style w:type="paragraph" w:customStyle="1" w:styleId="Default">
    <w:name w:val="Default"/>
    <w:rsid w:val="0012454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H-Guidance@fda.hhs.gov" TargetMode="External"/><Relationship Id="rId18" Type="http://schemas.openxmlformats.org/officeDocument/2006/relationships/hyperlink" Target="http://www.fda.gov/Drugs/GuidanceComplianceRegulatoryInformation/Guidances/ucm314718.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Drugs/GuidanceComplianceRegulatoryInformation/Guidances/ucm314718.htm" TargetMode="Externa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hyperlink" Target="http://www.fda.gov/downloads/MedicalDevices/DeviceRegulationandGuidance/GuidanceDocuments/UCM311176.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fda.gov/downloads/MedicalDevices/DeviceRegulationandGuidance/GuidanceDocuments/UCM311176.pdf" TargetMode="External"/><Relationship Id="rId20" Type="http://schemas.openxmlformats.org/officeDocument/2006/relationships/hyperlink" Target="http://www.fda.gov/Drugs/GuidanceComplianceRegulatoryInformation/Guidances/ucm31471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da.gov/downloads/MedicalDevices/DeviceRegulationandGuidance/GuidanceDocuments/UCM311176.pdf" TargetMode="External"/><Relationship Id="rId23" Type="http://schemas.openxmlformats.org/officeDocument/2006/relationships/header" Target="header1.xml"/><Relationship Id="rId10" Type="http://schemas.openxmlformats.org/officeDocument/2006/relationships/hyperlink" Target="http://www.regulations.gov/" TargetMode="External"/><Relationship Id="rId19" Type="http://schemas.openxmlformats.org/officeDocument/2006/relationships/hyperlink" Target="http://www.fda.gov/Drugs/GuidanceComplianceRegulatoryInformation/Guidances/ucm314718.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downloads/MedicalDevices/DeviceRegulationandGuidance/GuidanceDocuments/UCM311176.pdf" TargetMode="External"/><Relationship Id="rId22" Type="http://schemas.openxmlformats.org/officeDocument/2006/relationships/hyperlink" Target="http://www.fda.gov/Drugs/GuidanceComplianceRegulatoryInformation/Guidances/ucm314718.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cessdata.fda.gov/scripts/cdrh/cfdocs/cfStandards/search.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47902-607A-44E3-B7A8-F112B74F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8229</Characters>
  <Application>Microsoft Office Word</Application>
  <DocSecurity>0</DocSecurity>
  <Lines>68</Lines>
  <Paragraphs>19</Paragraphs>
  <ScaleCrop>false</ScaleCrop>
  <Company>Microsoft</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Endotoxin Testing Recommendations for Single-Use Intraocular Ophthalmic Devices - Guidance for Industry and Food and Drug Administration Staff</dc:title>
  <dc:creator>CDRH</dc:creator>
  <cp:lastModifiedBy>cathy-wen</cp:lastModifiedBy>
  <cp:revision>3</cp:revision>
  <dcterms:created xsi:type="dcterms:W3CDTF">2017-11-17T08:19:00Z</dcterms:created>
  <dcterms:modified xsi:type="dcterms:W3CDTF">2017-11-17T08:19:00Z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2015-08-13T00:00:00Z</vt:filetime>
  </property>
  <property fmtid="{D5CDD505-2E9C-101B-9397-08002B2CF9AE}" pid="3" name="Creator">
    <vt:lpwstr>CommonLook Office-1.2.5.17</vt:lpwstr>
  </property>
  <property fmtid="{D5CDD505-2E9C-101B-9397-08002B2CF9AE}" pid="4" name="LastSaved">
    <vt:filetime>2017-10-14T00:00:00Z</vt:filetime>
  </property>
</Properties>
</file>