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0B" w:rsidRPr="003A103F" w:rsidRDefault="00DE0398" w:rsidP="00BD04CC">
      <w:pPr>
        <w:pStyle w:val="10"/>
        <w:keepNext/>
        <w:keepLines/>
        <w:shd w:val="clear" w:color="auto" w:fill="auto"/>
        <w:snapToGrid w:val="0"/>
        <w:spacing w:beforeLines="600" w:before="1440" w:afterLines="100" w:after="240" w:line="300" w:lineRule="auto"/>
        <w:rPr>
          <w:spacing w:val="0"/>
          <w:sz w:val="64"/>
          <w:szCs w:val="64"/>
        </w:rPr>
      </w:pPr>
      <w:bookmarkStart w:id="0" w:name="bookmark0"/>
      <w:r w:rsidRPr="003A103F">
        <w:rPr>
          <w:rFonts w:hint="eastAsia"/>
          <w:spacing w:val="0"/>
          <w:sz w:val="64"/>
          <w:szCs w:val="64"/>
        </w:rPr>
        <w:t>CPG</w:t>
      </w:r>
      <w:r w:rsidRPr="003A103F">
        <w:rPr>
          <w:rFonts w:hint="eastAsia"/>
          <w:spacing w:val="0"/>
          <w:sz w:val="64"/>
          <w:szCs w:val="64"/>
        </w:rPr>
        <w:t>章节正面光束限制的超控</w:t>
      </w:r>
      <w:r w:rsidRPr="003A103F">
        <w:rPr>
          <w:rFonts w:hint="eastAsia"/>
          <w:spacing w:val="0"/>
          <w:sz w:val="64"/>
          <w:szCs w:val="64"/>
        </w:rPr>
        <w:t>-21 CFR 1020.31</w:t>
      </w:r>
      <w:r w:rsidRPr="003A103F">
        <w:rPr>
          <w:rFonts w:hint="eastAsia"/>
          <w:spacing w:val="0"/>
          <w:sz w:val="64"/>
          <w:szCs w:val="64"/>
        </w:rPr>
        <w:t>（</w:t>
      </w:r>
      <w:r w:rsidRPr="003A103F">
        <w:rPr>
          <w:rFonts w:hint="eastAsia"/>
          <w:spacing w:val="0"/>
          <w:sz w:val="64"/>
          <w:szCs w:val="64"/>
        </w:rPr>
        <w:t>G</w:t>
      </w:r>
      <w:r w:rsidRPr="003A103F">
        <w:rPr>
          <w:rFonts w:hint="eastAsia"/>
          <w:spacing w:val="0"/>
          <w:sz w:val="64"/>
          <w:szCs w:val="64"/>
        </w:rPr>
        <w:t>）（</w:t>
      </w:r>
      <w:r w:rsidRPr="003A103F">
        <w:rPr>
          <w:rFonts w:hint="eastAsia"/>
          <w:spacing w:val="0"/>
          <w:sz w:val="64"/>
          <w:szCs w:val="64"/>
        </w:rPr>
        <w:t>5</w:t>
      </w:r>
      <w:r w:rsidRPr="003A103F">
        <w:rPr>
          <w:rFonts w:hint="eastAsia"/>
          <w:spacing w:val="0"/>
          <w:sz w:val="64"/>
          <w:szCs w:val="64"/>
        </w:rPr>
        <w:t>）</w:t>
      </w:r>
      <w:bookmarkEnd w:id="0"/>
    </w:p>
    <w:p w:rsidR="00243A0B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背景：</w:t>
      </w:r>
    </w:p>
    <w:p w:rsidR="00243A0B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1973</w:t>
      </w:r>
      <w:r w:rsidRPr="00A73DE2">
        <w:rPr>
          <w:rFonts w:hint="eastAsia"/>
          <w:sz w:val="28"/>
          <w:szCs w:val="28"/>
        </w:rPr>
        <w:t>年</w:t>
      </w:r>
      <w:r w:rsidRPr="00A73DE2">
        <w:rPr>
          <w:rFonts w:hint="eastAsia"/>
          <w:sz w:val="28"/>
          <w:szCs w:val="28"/>
        </w:rPr>
        <w:t>11</w:t>
      </w:r>
      <w:r w:rsidRPr="00A73DE2">
        <w:rPr>
          <w:rFonts w:hint="eastAsia"/>
          <w:sz w:val="28"/>
          <w:szCs w:val="28"/>
        </w:rPr>
        <w:t>月</w:t>
      </w:r>
      <w:r w:rsidRPr="00A73DE2">
        <w:rPr>
          <w:rFonts w:hint="eastAsia"/>
          <w:sz w:val="28"/>
          <w:szCs w:val="28"/>
        </w:rPr>
        <w:t>21</w:t>
      </w:r>
      <w:r w:rsidRPr="00A73DE2">
        <w:rPr>
          <w:rFonts w:hint="eastAsia"/>
          <w:sz w:val="28"/>
          <w:szCs w:val="28"/>
        </w:rPr>
        <w:t>日，器械和放射卫生中心（</w:t>
      </w:r>
      <w:r w:rsidRPr="00A73DE2">
        <w:rPr>
          <w:rFonts w:hint="eastAsia"/>
          <w:sz w:val="28"/>
          <w:szCs w:val="28"/>
        </w:rPr>
        <w:t>CDRH</w:t>
      </w:r>
      <w:r w:rsidRPr="00A73DE2">
        <w:rPr>
          <w:rFonts w:hint="eastAsia"/>
          <w:sz w:val="28"/>
          <w:szCs w:val="28"/>
        </w:rPr>
        <w:t>）发布咨询意见，指出仅在提供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的源到图像受体距离（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）的情况下，才能超控正光束限制（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），超控开关仍然必须防止在没有提供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的任何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处的</w:t>
      </w:r>
      <w:r w:rsidRPr="00A73DE2">
        <w:rPr>
          <w:rFonts w:hint="eastAsia"/>
          <w:sz w:val="28"/>
          <w:szCs w:val="28"/>
        </w:rPr>
        <w:t>X</w:t>
      </w:r>
      <w:r w:rsidR="00B701C2">
        <w:rPr>
          <w:rFonts w:hint="eastAsia"/>
          <w:sz w:val="28"/>
          <w:szCs w:val="28"/>
        </w:rPr>
        <w:t>射线产生。然而，</w:t>
      </w:r>
      <w:r w:rsidRPr="00A73DE2">
        <w:rPr>
          <w:rFonts w:hint="eastAsia"/>
          <w:sz w:val="28"/>
          <w:szCs w:val="28"/>
        </w:rPr>
        <w:t>已经在仅仅为系统失效提供超控开关时，是否应该应用该策略提出了一些问题。由于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系统失效往往涉及到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感知机制，因此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系统失效的超控开关完全断开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逻辑系统是合理的，在所有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（包括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不存在的操作）上提供完全手动的校准器操作。该观点与</w:t>
      </w:r>
      <w:r w:rsidRPr="00A73DE2">
        <w:rPr>
          <w:rFonts w:hint="eastAsia"/>
          <w:sz w:val="28"/>
          <w:szCs w:val="28"/>
        </w:rPr>
        <w:t>1973</w:t>
      </w:r>
      <w:r w:rsidRPr="00A73DE2">
        <w:rPr>
          <w:rFonts w:hint="eastAsia"/>
          <w:sz w:val="28"/>
          <w:szCs w:val="28"/>
        </w:rPr>
        <w:t>年</w:t>
      </w:r>
      <w:r w:rsidRPr="00A73DE2">
        <w:rPr>
          <w:rFonts w:hint="eastAsia"/>
          <w:sz w:val="28"/>
          <w:szCs w:val="28"/>
        </w:rPr>
        <w:t>11</w:t>
      </w:r>
      <w:r w:rsidRPr="00A73DE2">
        <w:rPr>
          <w:rFonts w:hint="eastAsia"/>
          <w:sz w:val="28"/>
          <w:szCs w:val="28"/>
        </w:rPr>
        <w:t>月</w:t>
      </w:r>
      <w:r w:rsidRPr="00A73DE2">
        <w:rPr>
          <w:rFonts w:hint="eastAsia"/>
          <w:sz w:val="28"/>
          <w:szCs w:val="28"/>
        </w:rPr>
        <w:t>21</w:t>
      </w:r>
      <w:r w:rsidRPr="00A73DE2">
        <w:rPr>
          <w:rFonts w:hint="eastAsia"/>
          <w:sz w:val="28"/>
          <w:szCs w:val="28"/>
        </w:rPr>
        <w:t>日</w:t>
      </w:r>
      <w:r w:rsidRPr="00A73DE2">
        <w:rPr>
          <w:rFonts w:hint="eastAsia"/>
          <w:sz w:val="28"/>
          <w:szCs w:val="28"/>
        </w:rPr>
        <w:t>CDRH</w:t>
      </w:r>
      <w:r w:rsidRPr="00A73DE2">
        <w:rPr>
          <w:rFonts w:hint="eastAsia"/>
          <w:sz w:val="28"/>
          <w:szCs w:val="28"/>
        </w:rPr>
        <w:t>的咨询意见相反。此外，在调查了众多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系统制造商的设计后，</w:t>
      </w:r>
      <w:r w:rsidRPr="00A73DE2">
        <w:rPr>
          <w:rFonts w:hint="eastAsia"/>
          <w:sz w:val="28"/>
          <w:szCs w:val="28"/>
        </w:rPr>
        <w:t>CDRH</w:t>
      </w:r>
      <w:r w:rsidRPr="00A73DE2">
        <w:rPr>
          <w:rFonts w:hint="eastAsia"/>
          <w:sz w:val="28"/>
          <w:szCs w:val="28"/>
        </w:rPr>
        <w:t>发现，在维修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系统期间，有时会提供服务开关来超控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功能。但是，并非所有的这些服务开关均已如第</w:t>
      </w:r>
      <w:r w:rsidRPr="00A73DE2">
        <w:rPr>
          <w:rFonts w:hint="eastAsia"/>
          <w:sz w:val="28"/>
          <w:szCs w:val="28"/>
        </w:rPr>
        <w:t>1020.31</w:t>
      </w:r>
      <w:r w:rsidRPr="00A73DE2">
        <w:rPr>
          <w:rFonts w:hint="eastAsia"/>
          <w:sz w:val="28"/>
          <w:szCs w:val="28"/>
        </w:rPr>
        <w:t>节（</w:t>
      </w:r>
      <w:r w:rsidRPr="00A73DE2">
        <w:rPr>
          <w:rFonts w:hint="eastAsia"/>
          <w:sz w:val="28"/>
          <w:szCs w:val="28"/>
        </w:rPr>
        <w:t>g</w:t>
      </w:r>
      <w:r w:rsidRPr="00A73DE2">
        <w:rPr>
          <w:rFonts w:hint="eastAsia"/>
          <w:sz w:val="28"/>
          <w:szCs w:val="28"/>
        </w:rPr>
        <w:t>）（</w:t>
      </w:r>
      <w:r w:rsidRPr="00A73DE2">
        <w:rPr>
          <w:rFonts w:hint="eastAsia"/>
          <w:sz w:val="28"/>
          <w:szCs w:val="28"/>
        </w:rPr>
        <w:t>5</w:t>
      </w:r>
      <w:r w:rsidRPr="00A73DE2">
        <w:rPr>
          <w:rFonts w:hint="eastAsia"/>
          <w:sz w:val="28"/>
          <w:szCs w:val="28"/>
        </w:rPr>
        <w:t>）</w:t>
      </w:r>
      <w:r w:rsidRPr="00A73DE2">
        <w:rPr>
          <w:rFonts w:hint="eastAsia"/>
          <w:sz w:val="28"/>
          <w:szCs w:val="28"/>
        </w:rPr>
        <w:t>*</w:t>
      </w:r>
      <w:r w:rsidRPr="00A73DE2">
        <w:rPr>
          <w:rFonts w:hint="eastAsia"/>
          <w:sz w:val="28"/>
          <w:szCs w:val="28"/>
        </w:rPr>
        <w:t>所述捕获密钥开关。</w:t>
      </w:r>
    </w:p>
    <w:p w:rsidR="00243A0B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政策：</w:t>
      </w:r>
    </w:p>
    <w:p w:rsidR="00243A0B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CDRH</w:t>
      </w:r>
      <w:r w:rsidRPr="00A73DE2">
        <w:rPr>
          <w:rFonts w:hint="eastAsia"/>
          <w:sz w:val="28"/>
          <w:szCs w:val="28"/>
        </w:rPr>
        <w:t>认为，在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系统失效的情况下，保持</w:t>
      </w:r>
      <w:r w:rsidRPr="00A73DE2">
        <w:rPr>
          <w:rFonts w:hint="eastAsia"/>
          <w:sz w:val="28"/>
          <w:szCs w:val="28"/>
        </w:rPr>
        <w:t>X</w:t>
      </w:r>
      <w:r w:rsidRPr="00A73DE2">
        <w:rPr>
          <w:rFonts w:hint="eastAsia"/>
          <w:sz w:val="28"/>
          <w:szCs w:val="28"/>
        </w:rPr>
        <w:t>射线系统的正常运行很重要，直到能将其修复。因此，仅在维修人员使用的任何超越开关或为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系统失效提供的任何超控密钥，才符合“法规”的意图，允许在所有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（包括没有提供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的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）上完全手动校准器操作。所有具有超控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性能并易于为操作员所用的服务开关均必须如第</w:t>
      </w:r>
      <w:r w:rsidRPr="00A73DE2">
        <w:rPr>
          <w:rFonts w:hint="eastAsia"/>
          <w:sz w:val="28"/>
          <w:szCs w:val="28"/>
        </w:rPr>
        <w:t>1020.31</w:t>
      </w:r>
      <w:r w:rsidRPr="00A73DE2">
        <w:rPr>
          <w:rFonts w:hint="eastAsia"/>
          <w:sz w:val="28"/>
          <w:szCs w:val="28"/>
        </w:rPr>
        <w:t>（</w:t>
      </w:r>
      <w:r w:rsidRPr="00A73DE2">
        <w:rPr>
          <w:rFonts w:hint="eastAsia"/>
          <w:sz w:val="28"/>
          <w:szCs w:val="28"/>
        </w:rPr>
        <w:t>g</w:t>
      </w:r>
      <w:r w:rsidRPr="00A73DE2">
        <w:rPr>
          <w:rFonts w:hint="eastAsia"/>
          <w:sz w:val="28"/>
          <w:szCs w:val="28"/>
        </w:rPr>
        <w:t>）（</w:t>
      </w:r>
      <w:r w:rsidRPr="00A73DE2">
        <w:rPr>
          <w:rFonts w:hint="eastAsia"/>
          <w:sz w:val="28"/>
          <w:szCs w:val="28"/>
        </w:rPr>
        <w:t>5</w:t>
      </w:r>
      <w:r w:rsidRPr="00A73DE2">
        <w:rPr>
          <w:rFonts w:hint="eastAsia"/>
          <w:sz w:val="28"/>
          <w:szCs w:val="28"/>
        </w:rPr>
        <w:t>）所述的捕获的密钥开关。通常操作员无法访问的所有服务开关均不需要密钥。</w:t>
      </w:r>
    </w:p>
    <w:p w:rsidR="00DE0398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这些规定还提供了执行特殊程序的额外超控性能。如果提供了这样的超控性能，则仅在提供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的</w:t>
      </w:r>
      <w:r w:rsidRPr="00A73DE2">
        <w:rPr>
          <w:rFonts w:hint="eastAsia"/>
          <w:sz w:val="28"/>
          <w:szCs w:val="28"/>
        </w:rPr>
        <w:t>SID</w:t>
      </w:r>
      <w:r w:rsidRPr="00A73DE2">
        <w:rPr>
          <w:rFonts w:hint="eastAsia"/>
          <w:sz w:val="28"/>
          <w:szCs w:val="28"/>
        </w:rPr>
        <w:t>中超控</w:t>
      </w:r>
      <w:r w:rsidRPr="00A73DE2">
        <w:rPr>
          <w:rFonts w:hint="eastAsia"/>
          <w:sz w:val="28"/>
          <w:szCs w:val="28"/>
        </w:rPr>
        <w:t>PBL</w:t>
      </w:r>
      <w:r w:rsidRPr="00A73DE2">
        <w:rPr>
          <w:rFonts w:hint="eastAsia"/>
          <w:sz w:val="28"/>
          <w:szCs w:val="28"/>
        </w:rPr>
        <w:t>功能。对于操作员可轻松访问的所有超控开关，均需要采集密钥开关。</w:t>
      </w:r>
    </w:p>
    <w:p w:rsidR="00DE0398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</w:rPr>
      </w:pPr>
    </w:p>
    <w:p w:rsidR="008607C6" w:rsidRDefault="008607C6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/>
      </w:r>
    </w:p>
    <w:p w:rsidR="00DE0398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ind w:right="5778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lastRenderedPageBreak/>
        <w:t>*</w:t>
      </w:r>
      <w:r w:rsidRPr="00A73DE2">
        <w:rPr>
          <w:rFonts w:hint="eastAsia"/>
          <w:sz w:val="28"/>
          <w:szCs w:val="28"/>
        </w:rPr>
        <w:t>星号之间的材料是新材料或改进材料</w:t>
      </w:r>
      <w:r w:rsidRPr="00A73DE2">
        <w:rPr>
          <w:rFonts w:hint="eastAsia"/>
          <w:sz w:val="28"/>
          <w:szCs w:val="28"/>
        </w:rPr>
        <w:t>*</w:t>
      </w:r>
    </w:p>
    <w:p w:rsidR="00DE0398" w:rsidRPr="00A73DE2" w:rsidRDefault="00DE0398" w:rsidP="008A3ADC">
      <w:pPr>
        <w:pStyle w:val="20"/>
        <w:shd w:val="clear" w:color="auto" w:fill="auto"/>
        <w:snapToGrid w:val="0"/>
        <w:spacing w:before="0" w:after="0" w:line="300" w:lineRule="auto"/>
        <w:ind w:right="5778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发布日期：</w:t>
      </w:r>
      <w:r w:rsidRPr="00A73DE2">
        <w:rPr>
          <w:rFonts w:hint="eastAsia"/>
          <w:sz w:val="28"/>
          <w:szCs w:val="28"/>
        </w:rPr>
        <w:t>1980</w:t>
      </w:r>
      <w:r w:rsidRPr="00A73DE2">
        <w:rPr>
          <w:rFonts w:hint="eastAsia"/>
          <w:sz w:val="28"/>
          <w:szCs w:val="28"/>
        </w:rPr>
        <w:t>年</w:t>
      </w:r>
      <w:r w:rsidRPr="00A73DE2">
        <w:rPr>
          <w:rFonts w:hint="eastAsia"/>
          <w:sz w:val="28"/>
          <w:szCs w:val="28"/>
        </w:rPr>
        <w:t>10</w:t>
      </w:r>
      <w:r w:rsidRPr="00A73DE2">
        <w:rPr>
          <w:rFonts w:hint="eastAsia"/>
          <w:sz w:val="28"/>
          <w:szCs w:val="28"/>
        </w:rPr>
        <w:t>月</w:t>
      </w:r>
      <w:r w:rsidRPr="00A73DE2">
        <w:rPr>
          <w:rFonts w:hint="eastAsia"/>
          <w:sz w:val="28"/>
          <w:szCs w:val="28"/>
        </w:rPr>
        <w:t>1</w:t>
      </w:r>
      <w:r w:rsidRPr="00A73DE2">
        <w:rPr>
          <w:rFonts w:hint="eastAsia"/>
          <w:sz w:val="28"/>
          <w:szCs w:val="28"/>
        </w:rPr>
        <w:t>日</w:t>
      </w:r>
    </w:p>
    <w:p w:rsidR="00DE0398" w:rsidRPr="00A73DE2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ind w:right="5778"/>
        <w:jc w:val="both"/>
        <w:rPr>
          <w:sz w:val="28"/>
          <w:szCs w:val="28"/>
        </w:rPr>
      </w:pPr>
      <w:r w:rsidRPr="00A73DE2">
        <w:rPr>
          <w:rFonts w:hint="eastAsia"/>
          <w:sz w:val="28"/>
          <w:szCs w:val="28"/>
        </w:rPr>
        <w:t>修订日期：</w:t>
      </w:r>
      <w:r w:rsidRPr="00A73DE2">
        <w:rPr>
          <w:rFonts w:hint="eastAsia"/>
          <w:sz w:val="28"/>
          <w:szCs w:val="28"/>
        </w:rPr>
        <w:t>1995</w:t>
      </w:r>
      <w:r w:rsidRPr="00A73DE2">
        <w:rPr>
          <w:rFonts w:hint="eastAsia"/>
          <w:sz w:val="28"/>
          <w:szCs w:val="28"/>
        </w:rPr>
        <w:t>年</w:t>
      </w:r>
      <w:r w:rsidRPr="00A73DE2">
        <w:rPr>
          <w:rFonts w:hint="eastAsia"/>
          <w:sz w:val="28"/>
          <w:szCs w:val="28"/>
        </w:rPr>
        <w:t>3</w:t>
      </w:r>
      <w:r w:rsidRPr="00A73DE2">
        <w:rPr>
          <w:rFonts w:hint="eastAsia"/>
          <w:sz w:val="28"/>
          <w:szCs w:val="28"/>
        </w:rPr>
        <w:t>月、</w:t>
      </w:r>
      <w:r w:rsidRPr="00A73DE2">
        <w:rPr>
          <w:rFonts w:hint="eastAsia"/>
          <w:sz w:val="28"/>
          <w:szCs w:val="28"/>
        </w:rPr>
        <w:t>2005</w:t>
      </w:r>
      <w:r w:rsidRPr="00A73DE2">
        <w:rPr>
          <w:rFonts w:hint="eastAsia"/>
          <w:sz w:val="28"/>
          <w:szCs w:val="28"/>
        </w:rPr>
        <w:t>年</w:t>
      </w:r>
      <w:r w:rsidRPr="00A73DE2">
        <w:rPr>
          <w:rFonts w:hint="eastAsia"/>
          <w:sz w:val="28"/>
          <w:szCs w:val="28"/>
        </w:rPr>
        <w:t>3</w:t>
      </w:r>
      <w:r w:rsidRPr="00A73DE2">
        <w:rPr>
          <w:rFonts w:hint="eastAsia"/>
          <w:sz w:val="28"/>
          <w:szCs w:val="28"/>
        </w:rPr>
        <w:t>月</w:t>
      </w:r>
      <w:bookmarkStart w:id="1" w:name="_GoBack"/>
      <w:bookmarkEnd w:id="1"/>
    </w:p>
    <w:p w:rsidR="00DE0398" w:rsidRDefault="00DE0398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BD04CC" w:rsidRPr="00D63D75" w:rsidTr="00D87C40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hyperlink r:id="rId7">
              <w:r w:rsidR="00BD04CC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BD04CC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BD04CC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前言：合规政策指南（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BD04CC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BD04CC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BD04CC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BD04CC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BD04CC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BD04CC" w:rsidRPr="00D63D75" w:rsidTr="00D87C40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BD04CC" w:rsidRPr="00D63D75" w:rsidRDefault="005A7D86" w:rsidP="00BD04CC">
            <w:pPr>
              <w:snapToGrid w:val="0"/>
              <w:spacing w:beforeLines="50" w:before="120" w:afterLines="50" w:after="120" w:line="276" w:lineRule="auto"/>
              <w:ind w:leftChars="20" w:left="48" w:rightChars="20" w:right="48"/>
              <w:rPr>
                <w:rFonts w:ascii="Arial" w:hAnsi="Arial" w:cs="Arial"/>
                <w:sz w:val="24"/>
                <w:szCs w:val="24"/>
              </w:rPr>
            </w:pPr>
            <w:hyperlink r:id="rId13">
              <w:r w:rsidR="00BD04CC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BD04CC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BD04CC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BD04CC" w:rsidRPr="00D63D75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BD04CC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BD04CC" w:rsidRPr="003A103F" w:rsidRDefault="00BD04CC" w:rsidP="00243747">
      <w:pPr>
        <w:pStyle w:val="20"/>
        <w:shd w:val="clear" w:color="auto" w:fill="auto"/>
        <w:snapToGrid w:val="0"/>
        <w:spacing w:before="0" w:afterLines="100" w:after="240" w:line="300" w:lineRule="auto"/>
        <w:jc w:val="both"/>
      </w:pPr>
    </w:p>
    <w:sectPr w:rsidR="00BD04CC" w:rsidRPr="003A103F" w:rsidSect="00A9424D">
      <w:headerReference w:type="default" r:id="rId14"/>
      <w:footerReference w:type="default" r:id="rId15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4" w:rsidRDefault="00DE0398">
      <w:pPr>
        <w:rPr>
          <w:rFonts w:hint="eastAsia"/>
        </w:rPr>
      </w:pPr>
      <w:r>
        <w:separator/>
      </w:r>
    </w:p>
  </w:endnote>
  <w:endnote w:type="continuationSeparator" w:id="0">
    <w:p w:rsidR="009B6CE4" w:rsidRDefault="00DE03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A0B" w:rsidRPr="00A9424D" w:rsidRDefault="00A9424D" w:rsidP="00BD04CC">
    <w:pPr>
      <w:pStyle w:val="a5"/>
      <w:shd w:val="clear" w:color="auto" w:fill="auto"/>
      <w:tabs>
        <w:tab w:val="right" w:pos="10751"/>
        <w:tab w:val="right" w:pos="10886"/>
      </w:tabs>
      <w:spacing w:line="240" w:lineRule="auto"/>
      <w:rPr>
        <w:sz w:val="15"/>
        <w:szCs w:val="15"/>
      </w:rPr>
    </w:pPr>
    <w:r w:rsidRPr="00A9424D">
      <w:rPr>
        <w:rStyle w:val="a6"/>
        <w:rFonts w:hint="eastAsia"/>
        <w:bCs/>
        <w:sz w:val="15"/>
        <w:szCs w:val="15"/>
      </w:rPr>
      <w:t>https://www.fda.gov/ICECI/ComplianceManuals/CompliancePolicyGuidanceManual/ucm073935.htm</w:t>
    </w:r>
    <w:r w:rsidRPr="00A9424D">
      <w:rPr>
        <w:rStyle w:val="a6"/>
        <w:rFonts w:hint="eastAsia"/>
        <w:bCs/>
        <w:sz w:val="15"/>
        <w:szCs w:val="15"/>
      </w:rPr>
      <w:tab/>
    </w:r>
    <w:r w:rsidRPr="00A9424D">
      <w:fldChar w:fldCharType="begin"/>
    </w:r>
    <w:r w:rsidRPr="00A9424D">
      <w:rPr>
        <w:sz w:val="15"/>
        <w:szCs w:val="15"/>
      </w:rPr>
      <w:instrText xml:space="preserve"> PAGE \* MERGEFORMAT </w:instrText>
    </w:r>
    <w:r w:rsidRPr="00A9424D">
      <w:fldChar w:fldCharType="separate"/>
    </w:r>
    <w:r w:rsidR="005A7D86" w:rsidRPr="005A7D86">
      <w:rPr>
        <w:rStyle w:val="a6"/>
        <w:bCs/>
        <w:noProof/>
        <w:sz w:val="15"/>
        <w:szCs w:val="15"/>
      </w:rPr>
      <w:t>2</w:t>
    </w:r>
    <w:r w:rsidRPr="00A9424D">
      <w:rPr>
        <w:rStyle w:val="a6"/>
        <w:bCs/>
        <w:sz w:val="15"/>
        <w:szCs w:val="15"/>
      </w:rPr>
      <w:fldChar w:fldCharType="end"/>
    </w:r>
    <w:r w:rsidRPr="00A9424D">
      <w:rPr>
        <w:rStyle w:val="a6"/>
        <w:rFonts w:hint="eastAsia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0B" w:rsidRDefault="00243A0B">
      <w:pPr>
        <w:rPr>
          <w:rFonts w:hint="eastAsia"/>
        </w:rPr>
      </w:pPr>
    </w:p>
  </w:footnote>
  <w:footnote w:type="continuationSeparator" w:id="0">
    <w:p w:rsidR="00243A0B" w:rsidRDefault="00243A0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A0B" w:rsidRPr="005C54AB" w:rsidRDefault="00A9424D" w:rsidP="00A9424D">
    <w:pPr>
      <w:pStyle w:val="a5"/>
      <w:shd w:val="clear" w:color="auto" w:fill="auto"/>
      <w:tabs>
        <w:tab w:val="left" w:pos="3402"/>
      </w:tabs>
      <w:snapToGrid w:val="0"/>
      <w:spacing w:afterLines="200" w:after="480" w:line="300" w:lineRule="auto"/>
      <w:rPr>
        <w:sz w:val="15"/>
        <w:szCs w:val="15"/>
      </w:rPr>
    </w:pPr>
    <w:r w:rsidRPr="005C54AB">
      <w:rPr>
        <w:rStyle w:val="a6"/>
        <w:rFonts w:hint="eastAsia"/>
        <w:bCs/>
        <w:sz w:val="15"/>
        <w:szCs w:val="15"/>
      </w:rPr>
      <w:t>2017</w:t>
    </w:r>
    <w:r w:rsidRPr="005C54AB">
      <w:rPr>
        <w:rStyle w:val="a6"/>
        <w:rFonts w:hint="eastAsia"/>
        <w:bCs/>
        <w:sz w:val="15"/>
        <w:szCs w:val="15"/>
      </w:rPr>
      <w:t>年</w:t>
    </w:r>
    <w:r w:rsidRPr="005C54AB">
      <w:rPr>
        <w:rStyle w:val="a6"/>
        <w:rFonts w:hint="eastAsia"/>
        <w:bCs/>
        <w:sz w:val="15"/>
        <w:szCs w:val="15"/>
      </w:rPr>
      <w:t>8</w:t>
    </w:r>
    <w:r w:rsidRPr="005C54AB">
      <w:rPr>
        <w:rStyle w:val="a6"/>
        <w:rFonts w:hint="eastAsia"/>
        <w:bCs/>
        <w:sz w:val="15"/>
        <w:szCs w:val="15"/>
      </w:rPr>
      <w:t>月</w:t>
    </w:r>
    <w:r w:rsidRPr="005C54AB">
      <w:rPr>
        <w:rStyle w:val="a6"/>
        <w:rFonts w:hint="eastAsia"/>
        <w:bCs/>
        <w:sz w:val="15"/>
        <w:szCs w:val="15"/>
      </w:rPr>
      <w:t>9</w:t>
    </w:r>
    <w:r w:rsidRPr="005C54AB">
      <w:rPr>
        <w:rStyle w:val="a6"/>
        <w:rFonts w:hint="eastAsia"/>
        <w:bCs/>
        <w:sz w:val="15"/>
        <w:szCs w:val="15"/>
      </w:rPr>
      <w:t>日</w:t>
    </w:r>
    <w:r w:rsidRPr="005C54AB">
      <w:rPr>
        <w:rStyle w:val="a6"/>
        <w:rFonts w:hint="eastAsia"/>
        <w:bCs/>
        <w:sz w:val="15"/>
        <w:szCs w:val="15"/>
      </w:rPr>
      <w:tab/>
    </w:r>
    <w:r w:rsidRPr="005C54AB">
      <w:rPr>
        <w:rStyle w:val="a6"/>
        <w:rFonts w:hint="eastAsia"/>
        <w:bCs/>
        <w:sz w:val="15"/>
        <w:szCs w:val="15"/>
      </w:rPr>
      <w:t>合规政策指南</w:t>
    </w:r>
    <w:r w:rsidRPr="005C54AB">
      <w:rPr>
        <w:rStyle w:val="a6"/>
        <w:rFonts w:hint="eastAsia"/>
        <w:bCs/>
        <w:sz w:val="15"/>
        <w:szCs w:val="15"/>
      </w:rPr>
      <w:t>&gt;CPG</w:t>
    </w:r>
    <w:r w:rsidRPr="005C54AB">
      <w:rPr>
        <w:rStyle w:val="a6"/>
        <w:rFonts w:hint="eastAsia"/>
        <w:bCs/>
        <w:sz w:val="15"/>
        <w:szCs w:val="15"/>
      </w:rPr>
      <w:t>章节正面光束限制的超控</w:t>
    </w:r>
    <w:r w:rsidRPr="005C54AB">
      <w:rPr>
        <w:rStyle w:val="a6"/>
        <w:rFonts w:hint="eastAsia"/>
        <w:bCs/>
        <w:sz w:val="15"/>
        <w:szCs w:val="15"/>
      </w:rPr>
      <w:t>-21 CFR 1020.31</w:t>
    </w:r>
    <w:r w:rsidRPr="005C54AB">
      <w:rPr>
        <w:rStyle w:val="a6"/>
        <w:rFonts w:hint="eastAsia"/>
        <w:bCs/>
        <w:sz w:val="15"/>
        <w:szCs w:val="15"/>
      </w:rPr>
      <w:t>（</w:t>
    </w:r>
    <w:r w:rsidRPr="005C54AB">
      <w:rPr>
        <w:rStyle w:val="a6"/>
        <w:rFonts w:hint="eastAsia"/>
        <w:bCs/>
        <w:sz w:val="15"/>
        <w:szCs w:val="15"/>
      </w:rPr>
      <w:t>G</w:t>
    </w:r>
    <w:r w:rsidRPr="005C54AB">
      <w:rPr>
        <w:rStyle w:val="a6"/>
        <w:rFonts w:hint="eastAsia"/>
        <w:bCs/>
        <w:sz w:val="15"/>
        <w:szCs w:val="15"/>
      </w:rPr>
      <w:t>）（</w:t>
    </w:r>
    <w:r w:rsidRPr="005C54AB">
      <w:rPr>
        <w:rStyle w:val="a6"/>
        <w:rFonts w:hint="eastAsia"/>
        <w:bCs/>
        <w:sz w:val="15"/>
        <w:szCs w:val="15"/>
      </w:rPr>
      <w:t>5</w:t>
    </w:r>
    <w:r w:rsidRPr="005C54AB">
      <w:rPr>
        <w:rStyle w:val="a6"/>
        <w:rFonts w:hint="eastAsia"/>
        <w:bCs/>
        <w:sz w:val="15"/>
        <w:szCs w:val="15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0B"/>
    <w:rsid w:val="00243747"/>
    <w:rsid w:val="00243A0B"/>
    <w:rsid w:val="00310059"/>
    <w:rsid w:val="003A103F"/>
    <w:rsid w:val="005A7D86"/>
    <w:rsid w:val="005C54AB"/>
    <w:rsid w:val="006162FD"/>
    <w:rsid w:val="007C0192"/>
    <w:rsid w:val="007C3C11"/>
    <w:rsid w:val="008607C6"/>
    <w:rsid w:val="008A3ADC"/>
    <w:rsid w:val="009B6CE4"/>
    <w:rsid w:val="00A73DE2"/>
    <w:rsid w:val="00A9424D"/>
    <w:rsid w:val="00B701C2"/>
    <w:rsid w:val="00BD04CC"/>
    <w:rsid w:val="00DE0398"/>
    <w:rsid w:val="00E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DE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E0398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E03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E0398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D04CC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04CC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="宋体" w:hAnsi="Microsoft JhengHei Light" w:cs="Microsoft JhengHei Light"/>
        <w:sz w:val="24"/>
        <w:szCs w:val="24"/>
        <w:lang w:val="en-US" w:eastAsia="zh-CN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宋体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宋体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2">
    <w:name w:val="正文文本 (2)_"/>
    <w:basedOn w:val="a0"/>
    <w:link w:val="20"/>
    <w:rPr>
      <w:rFonts w:ascii="Arial" w:eastAsia="宋体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宋体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宋体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hAnsi="Arial" w:cs="Arial"/>
    </w:rPr>
  </w:style>
  <w:style w:type="paragraph" w:styleId="a7">
    <w:name w:val="header"/>
    <w:basedOn w:val="a"/>
    <w:link w:val="Char"/>
    <w:uiPriority w:val="99"/>
    <w:unhideWhenUsed/>
    <w:rsid w:val="00DE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E0398"/>
    <w:rPr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E03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E0398"/>
    <w:rPr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D04CC"/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04CC"/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80.htm" TargetMode="External"/><Relationship Id="rId13" Type="http://schemas.openxmlformats.org/officeDocument/2006/relationships/hyperlink" Target="https://www.fda.gov/ICECI/ComplianceManuals/CompliancePolicyGuidanceManual/ucm11704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194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9572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da.gov/ICECI/ComplianceManuals/CompliancePolicyGuidanceManual/ucm1168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336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2017-11-17T12:58:00Z</dcterms:created>
  <dcterms:modified xsi:type="dcterms:W3CDTF">2017-11-17T12:58:00Z</dcterms:modified>
</cp:coreProperties>
</file>