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38" w:rsidRPr="003A3440" w:rsidRDefault="00F91703" w:rsidP="003A3440">
      <w:pPr>
        <w:topLinePunct/>
        <w:adjustRightInd w:val="0"/>
        <w:snapToGrid w:val="0"/>
        <w:spacing w:afterLines="75" w:after="234" w:line="288" w:lineRule="auto"/>
        <w:jc w:val="center"/>
        <w:rPr>
          <w:rFonts w:ascii="Arial" w:eastAsia="宋体" w:hAnsi="Arial" w:cs="Arial"/>
          <w:b/>
          <w:snapToGrid w:val="0"/>
          <w:kern w:val="0"/>
          <w:sz w:val="72"/>
        </w:rPr>
      </w:pPr>
      <w:r w:rsidRPr="003A3440">
        <w:rPr>
          <w:rFonts w:ascii="Arial" w:eastAsia="宋体" w:hAnsi="Arial" w:cs="Arial"/>
          <w:b/>
          <w:snapToGrid w:val="0"/>
          <w:kern w:val="0"/>
          <w:sz w:val="72"/>
        </w:rPr>
        <w:t>行业指南</w:t>
      </w:r>
    </w:p>
    <w:p w:rsidR="00F91703" w:rsidRPr="003A3440" w:rsidRDefault="00F91703" w:rsidP="003A3440">
      <w:pPr>
        <w:topLinePunct/>
        <w:adjustRightInd w:val="0"/>
        <w:snapToGrid w:val="0"/>
        <w:spacing w:afterLines="75" w:after="234" w:line="288" w:lineRule="auto"/>
        <w:jc w:val="center"/>
        <w:rPr>
          <w:rFonts w:ascii="Arial" w:eastAsia="宋体" w:hAnsi="Arial" w:cs="Arial"/>
          <w:b/>
          <w:snapToGrid w:val="0"/>
          <w:kern w:val="0"/>
          <w:sz w:val="36"/>
        </w:rPr>
      </w:pPr>
      <w:r w:rsidRPr="003A3440">
        <w:rPr>
          <w:rFonts w:ascii="Arial" w:eastAsia="宋体" w:hAnsi="Arial" w:cs="Arial"/>
          <w:b/>
          <w:snapToGrid w:val="0"/>
          <w:kern w:val="0"/>
          <w:sz w:val="36"/>
        </w:rPr>
        <w:t>行业支持的科学和教育活动</w:t>
      </w:r>
      <w:bookmarkStart w:id="0" w:name="_GoBack"/>
      <w:bookmarkEnd w:id="0"/>
    </w:p>
    <w:p w:rsidR="00F91703" w:rsidRPr="002905FD" w:rsidRDefault="00F91703"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144437" w:rsidRPr="00AB16FD" w:rsidRDefault="00144437" w:rsidP="00AB16FD">
      <w:pPr>
        <w:topLinePunct/>
        <w:adjustRightInd w:val="0"/>
        <w:snapToGrid w:val="0"/>
        <w:spacing w:afterLines="75" w:after="234" w:line="288" w:lineRule="auto"/>
        <w:rPr>
          <w:rFonts w:ascii="Arial" w:eastAsia="宋体" w:hAnsi="Arial" w:cs="Arial"/>
          <w:snapToGrid w:val="0"/>
          <w:kern w:val="0"/>
          <w:sz w:val="24"/>
        </w:rPr>
      </w:pPr>
    </w:p>
    <w:p w:rsidR="00F91703" w:rsidRPr="00144437" w:rsidRDefault="005D1BCA" w:rsidP="0014443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美国卫生和人类服务署</w:t>
      </w:r>
    </w:p>
    <w:p w:rsidR="00F91703" w:rsidRPr="00144437" w:rsidRDefault="005D1BCA" w:rsidP="0014443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食品药品监督管理局</w:t>
      </w:r>
    </w:p>
    <w:p w:rsidR="00F91703" w:rsidRPr="00144437" w:rsidRDefault="00F91703" w:rsidP="00144437">
      <w:pPr>
        <w:topLinePunct/>
        <w:adjustRightInd w:val="0"/>
        <w:snapToGrid w:val="0"/>
        <w:spacing w:line="288" w:lineRule="auto"/>
        <w:jc w:val="right"/>
        <w:rPr>
          <w:rFonts w:ascii="Arial" w:eastAsia="宋体" w:hAnsi="Arial" w:cs="Arial"/>
          <w:b/>
          <w:snapToGrid w:val="0"/>
          <w:kern w:val="0"/>
          <w:sz w:val="24"/>
        </w:rPr>
      </w:pPr>
      <w:r w:rsidRPr="00144437">
        <w:rPr>
          <w:rFonts w:ascii="Arial" w:eastAsia="宋体" w:hAnsi="Arial" w:cs="Arial"/>
          <w:b/>
          <w:snapToGrid w:val="0"/>
          <w:kern w:val="0"/>
          <w:sz w:val="24"/>
        </w:rPr>
        <w:t>政策办公室</w:t>
      </w:r>
    </w:p>
    <w:p w:rsidR="00F91703" w:rsidRPr="00144437" w:rsidRDefault="00F91703" w:rsidP="00144437">
      <w:pPr>
        <w:topLinePunct/>
        <w:adjustRightInd w:val="0"/>
        <w:snapToGrid w:val="0"/>
        <w:spacing w:line="288" w:lineRule="auto"/>
        <w:jc w:val="right"/>
        <w:rPr>
          <w:rFonts w:ascii="Arial" w:eastAsia="宋体" w:hAnsi="Arial" w:cs="Arial"/>
          <w:b/>
          <w:snapToGrid w:val="0"/>
          <w:kern w:val="0"/>
          <w:sz w:val="24"/>
        </w:rPr>
      </w:pPr>
      <w:r w:rsidRPr="00144437">
        <w:rPr>
          <w:rFonts w:ascii="Arial" w:eastAsia="宋体" w:hAnsi="Arial" w:cs="Arial"/>
          <w:b/>
          <w:snapToGrid w:val="0"/>
          <w:kern w:val="0"/>
          <w:sz w:val="24"/>
        </w:rPr>
        <w:t>1997</w:t>
      </w:r>
      <w:r w:rsidRPr="00144437">
        <w:rPr>
          <w:rFonts w:ascii="Arial" w:eastAsia="宋体" w:hAnsi="Arial" w:cs="Arial"/>
          <w:b/>
          <w:snapToGrid w:val="0"/>
          <w:kern w:val="0"/>
          <w:sz w:val="24"/>
        </w:rPr>
        <w:t>年</w:t>
      </w:r>
      <w:r w:rsidRPr="00144437">
        <w:rPr>
          <w:rFonts w:ascii="Arial" w:eastAsia="宋体" w:hAnsi="Arial" w:cs="Arial"/>
          <w:b/>
          <w:snapToGrid w:val="0"/>
          <w:kern w:val="0"/>
          <w:sz w:val="24"/>
        </w:rPr>
        <w:t>11</w:t>
      </w:r>
      <w:r w:rsidRPr="00144437">
        <w:rPr>
          <w:rFonts w:ascii="Arial" w:eastAsia="宋体" w:hAnsi="Arial" w:cs="Arial"/>
          <w:b/>
          <w:snapToGrid w:val="0"/>
          <w:kern w:val="0"/>
          <w:sz w:val="24"/>
        </w:rPr>
        <w:t>月</w:t>
      </w:r>
    </w:p>
    <w:p w:rsidR="00F91703" w:rsidRPr="00AB16FD" w:rsidRDefault="00F91703" w:rsidP="00AB16FD">
      <w:pPr>
        <w:topLinePunct/>
        <w:adjustRightInd w:val="0"/>
        <w:snapToGrid w:val="0"/>
        <w:spacing w:afterLines="75" w:after="234" w:line="288" w:lineRule="auto"/>
        <w:rPr>
          <w:rFonts w:ascii="Arial" w:eastAsia="宋体" w:hAnsi="Arial" w:cs="Arial"/>
          <w:snapToGrid w:val="0"/>
          <w:kern w:val="0"/>
          <w:sz w:val="24"/>
        </w:rPr>
      </w:pPr>
      <w:r w:rsidRPr="00AB16FD">
        <w:rPr>
          <w:rFonts w:ascii="Arial" w:eastAsia="宋体" w:hAnsi="Arial" w:cs="Arial"/>
          <w:snapToGrid w:val="0"/>
          <w:kern w:val="0"/>
          <w:sz w:val="24"/>
        </w:rPr>
        <w:br w:type="page"/>
      </w:r>
    </w:p>
    <w:p w:rsidR="00F91703" w:rsidRPr="00144437" w:rsidRDefault="00F91703" w:rsidP="0061066A">
      <w:pPr>
        <w:topLinePunct/>
        <w:adjustRightInd w:val="0"/>
        <w:snapToGrid w:val="0"/>
        <w:spacing w:afterLines="75" w:after="234" w:line="360" w:lineRule="auto"/>
        <w:rPr>
          <w:rFonts w:ascii="Arial" w:eastAsia="宋体" w:hAnsi="Arial" w:cs="Arial"/>
          <w:b/>
          <w:snapToGrid w:val="0"/>
          <w:kern w:val="0"/>
          <w:sz w:val="24"/>
        </w:rPr>
      </w:pPr>
      <w:r w:rsidRPr="00144437">
        <w:rPr>
          <w:rFonts w:ascii="Arial" w:eastAsia="宋体" w:hAnsi="Arial" w:cs="Arial"/>
          <w:b/>
          <w:snapToGrid w:val="0"/>
          <w:kern w:val="0"/>
          <w:sz w:val="24"/>
        </w:rPr>
        <w:lastRenderedPageBreak/>
        <w:t>行业指南</w:t>
      </w:r>
      <w:r w:rsidRPr="00144437">
        <w:rPr>
          <w:rStyle w:val="a4"/>
          <w:rFonts w:ascii="Arial" w:eastAsia="宋体" w:hAnsi="Arial" w:cs="Arial"/>
          <w:b/>
          <w:snapToGrid w:val="0"/>
          <w:kern w:val="0"/>
          <w:sz w:val="24"/>
        </w:rPr>
        <w:footnoteReference w:id="1"/>
      </w:r>
    </w:p>
    <w:p w:rsidR="00F91703" w:rsidRPr="00144437" w:rsidRDefault="00F91703" w:rsidP="0061066A">
      <w:pPr>
        <w:topLinePunct/>
        <w:adjustRightInd w:val="0"/>
        <w:snapToGrid w:val="0"/>
        <w:spacing w:afterLines="75" w:after="234" w:line="360" w:lineRule="auto"/>
        <w:rPr>
          <w:rFonts w:ascii="Arial" w:eastAsia="宋体" w:hAnsi="Arial" w:cs="Arial"/>
          <w:b/>
          <w:snapToGrid w:val="0"/>
          <w:kern w:val="0"/>
          <w:sz w:val="24"/>
        </w:rPr>
      </w:pPr>
      <w:r w:rsidRPr="00144437">
        <w:rPr>
          <w:rFonts w:ascii="Arial" w:eastAsia="宋体" w:hAnsi="Arial" w:cs="Arial"/>
          <w:b/>
          <w:snapToGrid w:val="0"/>
          <w:kern w:val="0"/>
          <w:sz w:val="24"/>
        </w:rPr>
        <w:t>行业支持的科学和教育活动</w:t>
      </w:r>
    </w:p>
    <w:p w:rsidR="00F91703" w:rsidRPr="0061066A" w:rsidRDefault="00AB16FD" w:rsidP="0061066A">
      <w:pPr>
        <w:pStyle w:val="a9"/>
        <w:numPr>
          <w:ilvl w:val="0"/>
          <w:numId w:val="1"/>
        </w:numPr>
        <w:topLinePunct/>
        <w:adjustRightInd w:val="0"/>
        <w:snapToGrid w:val="0"/>
        <w:spacing w:afterLines="75" w:after="234" w:line="360" w:lineRule="auto"/>
        <w:ind w:firstLineChars="0"/>
        <w:rPr>
          <w:rFonts w:ascii="Arial" w:eastAsia="宋体" w:hAnsi="Arial" w:cs="Arial"/>
          <w:b/>
          <w:i/>
          <w:snapToGrid w:val="0"/>
          <w:kern w:val="0"/>
          <w:sz w:val="24"/>
        </w:rPr>
      </w:pPr>
      <w:r w:rsidRPr="0061066A">
        <w:rPr>
          <w:rFonts w:ascii="Arial" w:eastAsia="宋体" w:hAnsi="Arial" w:cs="Arial"/>
          <w:b/>
          <w:i/>
          <w:snapToGrid w:val="0"/>
          <w:kern w:val="0"/>
          <w:sz w:val="24"/>
        </w:rPr>
        <w:t>背</w:t>
      </w:r>
      <w:r w:rsidR="00F91703" w:rsidRPr="0061066A">
        <w:rPr>
          <w:rFonts w:ascii="Arial" w:eastAsia="宋体" w:hAnsi="Arial" w:cs="Arial"/>
          <w:b/>
          <w:i/>
          <w:snapToGrid w:val="0"/>
          <w:kern w:val="0"/>
          <w:sz w:val="24"/>
        </w:rPr>
        <w:t>景：推广、教育和独立性</w:t>
      </w:r>
    </w:p>
    <w:p w:rsidR="00F91703" w:rsidRPr="00AB16FD" w:rsidRDefault="00F91703"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健康护理专家关于治疗性产品</w:t>
      </w:r>
      <w:r w:rsidR="00AB16FD">
        <w:rPr>
          <w:rFonts w:ascii="Arial" w:eastAsia="宋体" w:hAnsi="Arial" w:cs="Arial"/>
          <w:snapToGrid w:val="0"/>
          <w:kern w:val="0"/>
          <w:sz w:val="24"/>
        </w:rPr>
        <w:t>（</w:t>
      </w:r>
      <w:r w:rsidRPr="00AB16FD">
        <w:rPr>
          <w:rFonts w:ascii="Arial" w:eastAsia="宋体" w:hAnsi="Arial" w:cs="Arial"/>
          <w:snapToGrid w:val="0"/>
          <w:kern w:val="0"/>
          <w:sz w:val="24"/>
        </w:rPr>
        <w:t>由美国</w:t>
      </w:r>
      <w:r w:rsidR="005D1BCA">
        <w:rPr>
          <w:rFonts w:ascii="Arial" w:eastAsia="宋体" w:hAnsi="Arial" w:cs="Arial"/>
          <w:snapToGrid w:val="0"/>
          <w:kern w:val="0"/>
          <w:sz w:val="24"/>
        </w:rPr>
        <w:t>食品药品监督管理局</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FDA</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监</w:t>
      </w:r>
      <w:r w:rsidRPr="00AB16FD">
        <w:rPr>
          <w:rFonts w:ascii="Arial" w:eastAsia="宋体" w:hAnsi="Arial" w:cs="Arial"/>
          <w:snapToGrid w:val="0"/>
          <w:kern w:val="0"/>
          <w:sz w:val="24"/>
        </w:rPr>
        <w:t>管的人类和动物药品、</w:t>
      </w:r>
      <w:r w:rsidR="00685D1B">
        <w:rPr>
          <w:rFonts w:ascii="Arial" w:eastAsia="宋体" w:hAnsi="Arial" w:cs="Arial"/>
          <w:snapToGrid w:val="0"/>
          <w:kern w:val="0"/>
          <w:sz w:val="24"/>
        </w:rPr>
        <w:t>生物制剂</w:t>
      </w:r>
      <w:r w:rsidRPr="00AB16FD">
        <w:rPr>
          <w:rFonts w:ascii="Arial" w:eastAsia="宋体" w:hAnsi="Arial" w:cs="Arial"/>
          <w:snapToGrid w:val="0"/>
          <w:kern w:val="0"/>
          <w:sz w:val="24"/>
        </w:rPr>
        <w:t>以及医疗器械</w:t>
      </w:r>
      <w:r w:rsidR="00AB16FD">
        <w:rPr>
          <w:rFonts w:ascii="Arial" w:eastAsia="宋体" w:hAnsi="Arial" w:cs="Arial"/>
          <w:snapToGrid w:val="0"/>
          <w:kern w:val="0"/>
          <w:sz w:val="24"/>
        </w:rPr>
        <w:t>）</w:t>
      </w:r>
      <w:r w:rsidRPr="00AB16FD">
        <w:rPr>
          <w:rFonts w:ascii="Arial" w:eastAsia="宋体" w:hAnsi="Arial" w:cs="Arial"/>
          <w:snapToGrid w:val="0"/>
          <w:kern w:val="0"/>
          <w:sz w:val="24"/>
        </w:rPr>
        <w:t>的两个重要的信息源是</w:t>
      </w:r>
      <w:r w:rsidR="00AB16FD" w:rsidRPr="00AB16FD">
        <w:rPr>
          <w:rFonts w:ascii="Arial" w:eastAsia="宋体" w:hAnsi="Arial" w:cs="Arial"/>
          <w:snapToGrid w:val="0"/>
          <w:kern w:val="0"/>
          <w:sz w:val="24"/>
        </w:rPr>
        <w:t>：</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1</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由</w:t>
      </w:r>
      <w:r w:rsidRPr="00AB16FD">
        <w:rPr>
          <w:rFonts w:ascii="Arial" w:eastAsia="宋体" w:hAnsi="Arial" w:cs="Arial"/>
          <w:snapToGrid w:val="0"/>
          <w:kern w:val="0"/>
          <w:sz w:val="24"/>
        </w:rPr>
        <w:t>销售该产品的公司举行或代表的活动</w:t>
      </w:r>
      <w:r w:rsidR="00AB16FD">
        <w:rPr>
          <w:rFonts w:ascii="Arial" w:eastAsia="宋体" w:hAnsi="Arial" w:cs="Arial"/>
          <w:snapToGrid w:val="0"/>
          <w:kern w:val="0"/>
          <w:sz w:val="24"/>
        </w:rPr>
        <w:t>（</w:t>
      </w:r>
      <w:r w:rsidRPr="00AB16FD">
        <w:rPr>
          <w:rFonts w:ascii="Arial" w:eastAsia="宋体" w:hAnsi="Arial" w:cs="Arial"/>
          <w:snapToGrid w:val="0"/>
          <w:kern w:val="0"/>
          <w:sz w:val="24"/>
        </w:rPr>
        <w:t>项目和材料</w:t>
      </w:r>
      <w:r w:rsidR="00AB16FD">
        <w:rPr>
          <w:rFonts w:ascii="Arial" w:eastAsia="宋体" w:hAnsi="Arial" w:cs="Arial"/>
          <w:snapToGrid w:val="0"/>
          <w:kern w:val="0"/>
          <w:sz w:val="24"/>
        </w:rPr>
        <w:t>）</w:t>
      </w:r>
      <w:r w:rsidRPr="00AB16FD">
        <w:rPr>
          <w:rFonts w:ascii="Arial" w:eastAsia="宋体" w:hAnsi="Arial" w:cs="Arial"/>
          <w:snapToGrid w:val="0"/>
          <w:kern w:val="0"/>
          <w:sz w:val="24"/>
        </w:rPr>
        <w:t>；</w:t>
      </w:r>
      <w:r w:rsidR="00AB16FD" w:rsidRPr="00AB16FD">
        <w:rPr>
          <w:rFonts w:ascii="Arial" w:eastAsia="宋体" w:hAnsi="Arial" w:cs="Arial"/>
          <w:snapToGrid w:val="0"/>
          <w:kern w:val="0"/>
          <w:sz w:val="24"/>
        </w:rPr>
        <w:t>和</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2</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由</w:t>
      </w:r>
      <w:r w:rsidRPr="00AB16FD">
        <w:rPr>
          <w:rFonts w:ascii="Arial" w:eastAsia="宋体" w:hAnsi="Arial" w:cs="Arial"/>
          <w:snapToGrid w:val="0"/>
          <w:kern w:val="0"/>
          <w:sz w:val="24"/>
        </w:rPr>
        <w:t>公司支持，</w:t>
      </w:r>
      <w:r w:rsidR="00685D1B">
        <w:rPr>
          <w:rFonts w:ascii="Arial" w:eastAsia="宋体" w:hAnsi="Arial" w:cs="Arial"/>
          <w:snapToGrid w:val="0"/>
          <w:kern w:val="0"/>
          <w:sz w:val="24"/>
        </w:rPr>
        <w:t>除此之外</w:t>
      </w:r>
      <w:r w:rsidRPr="00AB16FD">
        <w:rPr>
          <w:rFonts w:ascii="Arial" w:eastAsia="宋体" w:hAnsi="Arial" w:cs="Arial"/>
          <w:snapToGrid w:val="0"/>
          <w:kern w:val="0"/>
          <w:sz w:val="24"/>
        </w:rPr>
        <w:t>与支持公司的推广性影响无关的活动。虽然</w:t>
      </w:r>
      <w:r w:rsidR="005921DA" w:rsidRPr="00AB16FD">
        <w:rPr>
          <w:rFonts w:ascii="Arial" w:eastAsia="宋体" w:hAnsi="Arial" w:cs="Arial"/>
          <w:snapToGrid w:val="0"/>
          <w:kern w:val="0"/>
          <w:sz w:val="24"/>
        </w:rPr>
        <w:t>上述两者都可以为健康护理专家提供有用的甚至是至关重要的信息，但公司举行的和</w:t>
      </w:r>
      <w:r w:rsidR="00DF7C9E">
        <w:rPr>
          <w:rFonts w:ascii="Arial" w:eastAsia="宋体" w:hAnsi="Arial" w:cs="Arial" w:hint="eastAsia"/>
          <w:snapToGrid w:val="0"/>
          <w:kern w:val="0"/>
          <w:sz w:val="24"/>
        </w:rPr>
        <w:t>传播</w:t>
      </w:r>
      <w:r w:rsidR="005921DA" w:rsidRPr="00AB16FD">
        <w:rPr>
          <w:rFonts w:ascii="Arial" w:eastAsia="宋体" w:hAnsi="Arial" w:cs="Arial"/>
          <w:snapToGrid w:val="0"/>
          <w:kern w:val="0"/>
          <w:sz w:val="24"/>
        </w:rPr>
        <w:t>的项目和材料需要接受联邦食品药品与化妆品法案</w:t>
      </w:r>
      <w:r w:rsidR="00AB16FD">
        <w:rPr>
          <w:rFonts w:ascii="Arial" w:eastAsia="宋体" w:hAnsi="Arial" w:cs="Arial"/>
          <w:snapToGrid w:val="0"/>
          <w:kern w:val="0"/>
          <w:sz w:val="24"/>
        </w:rPr>
        <w:t>（</w:t>
      </w:r>
      <w:r w:rsidR="005921DA" w:rsidRPr="00AB16FD">
        <w:rPr>
          <w:rFonts w:ascii="Arial" w:eastAsia="宋体" w:hAnsi="Arial" w:cs="Arial"/>
          <w:snapToGrid w:val="0"/>
          <w:kern w:val="0"/>
          <w:sz w:val="24"/>
        </w:rPr>
        <w:t>法案</w:t>
      </w:r>
      <w:r w:rsidR="00AB16FD">
        <w:rPr>
          <w:rFonts w:ascii="Arial" w:eastAsia="宋体" w:hAnsi="Arial" w:cs="Arial"/>
          <w:snapToGrid w:val="0"/>
          <w:kern w:val="0"/>
          <w:sz w:val="24"/>
        </w:rPr>
        <w:t>）</w:t>
      </w:r>
      <w:r w:rsidR="005921DA" w:rsidRPr="00AB16FD">
        <w:rPr>
          <w:rFonts w:ascii="Arial" w:eastAsia="宋体" w:hAnsi="Arial" w:cs="Arial"/>
          <w:snapToGrid w:val="0"/>
          <w:kern w:val="0"/>
          <w:sz w:val="24"/>
        </w:rPr>
        <w:t>中标签和广告条款的监管，而真正独立的和非营销性质的行业支持活动不在</w:t>
      </w:r>
      <w:r w:rsidR="005921DA" w:rsidRPr="00AB16FD">
        <w:rPr>
          <w:rFonts w:ascii="Arial" w:eastAsia="宋体" w:hAnsi="Arial" w:cs="Arial"/>
          <w:snapToGrid w:val="0"/>
          <w:kern w:val="0"/>
          <w:sz w:val="24"/>
        </w:rPr>
        <w:t>FDA</w:t>
      </w:r>
      <w:r w:rsidR="005921DA" w:rsidRPr="00AB16FD">
        <w:rPr>
          <w:rFonts w:ascii="Arial" w:eastAsia="宋体" w:hAnsi="Arial" w:cs="Arial"/>
          <w:snapToGrid w:val="0"/>
          <w:kern w:val="0"/>
          <w:sz w:val="24"/>
        </w:rPr>
        <w:t>监管范围内。</w:t>
      </w:r>
      <w:r w:rsidR="005921DA" w:rsidRPr="00AB16FD">
        <w:rPr>
          <w:rStyle w:val="a4"/>
          <w:rFonts w:ascii="Arial" w:eastAsia="宋体" w:hAnsi="Arial" w:cs="Arial"/>
          <w:snapToGrid w:val="0"/>
          <w:kern w:val="0"/>
          <w:sz w:val="24"/>
        </w:rPr>
        <w:footnoteReference w:id="2"/>
      </w:r>
    </w:p>
    <w:p w:rsidR="005921DA" w:rsidRPr="00AB16FD" w:rsidRDefault="002D0A57"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司法路线十分重要，因为关于广告和标签的限制，</w:t>
      </w:r>
      <w:r w:rsidRPr="00AB16FD">
        <w:rPr>
          <w:rStyle w:val="a4"/>
          <w:rFonts w:ascii="Arial" w:eastAsia="宋体" w:hAnsi="Arial" w:cs="Arial"/>
          <w:snapToGrid w:val="0"/>
          <w:kern w:val="0"/>
          <w:sz w:val="24"/>
        </w:rPr>
        <w:footnoteReference w:id="3"/>
      </w:r>
      <w:r w:rsidRPr="00AB16FD">
        <w:rPr>
          <w:rFonts w:ascii="Arial" w:eastAsia="宋体" w:hAnsi="Arial" w:cs="Arial"/>
          <w:snapToGrid w:val="0"/>
          <w:kern w:val="0"/>
          <w:sz w:val="24"/>
        </w:rPr>
        <w:t>一旦应用于科学和教育活动，则可以限制参与者讨论其数据或传达其观点的自由。具体来说，讨论未批准</w:t>
      </w:r>
      <w:r w:rsidR="00053324" w:rsidRPr="00AB16FD">
        <w:rPr>
          <w:rFonts w:ascii="Arial" w:eastAsia="宋体" w:hAnsi="Arial" w:cs="Arial"/>
          <w:snapToGrid w:val="0"/>
          <w:kern w:val="0"/>
          <w:sz w:val="24"/>
        </w:rPr>
        <w:t>产品</w:t>
      </w:r>
      <w:r w:rsidRPr="00AB16FD">
        <w:rPr>
          <w:rFonts w:ascii="Arial" w:eastAsia="宋体" w:hAnsi="Arial" w:cs="Arial"/>
          <w:snapToGrid w:val="0"/>
          <w:kern w:val="0"/>
          <w:sz w:val="24"/>
        </w:rPr>
        <w:t>的使用情况是科学和教育活动中的重要组成部分，</w:t>
      </w:r>
      <w:r w:rsidR="00053324" w:rsidRPr="00AB16FD">
        <w:rPr>
          <w:rFonts w:ascii="Arial" w:eastAsia="宋体" w:hAnsi="Arial" w:cs="Arial"/>
          <w:snapToGrid w:val="0"/>
          <w:kern w:val="0"/>
          <w:sz w:val="24"/>
        </w:rPr>
        <w:t>而在本指南中所讨论的情况下，即销售该产品的公司对该活动可以产生</w:t>
      </w:r>
      <w:r w:rsidR="00AB16FD">
        <w:rPr>
          <w:rFonts w:ascii="Arial" w:eastAsia="宋体" w:hAnsi="Arial" w:cs="Arial"/>
          <w:snapToGrid w:val="0"/>
          <w:kern w:val="0"/>
          <w:sz w:val="24"/>
        </w:rPr>
        <w:t>（</w:t>
      </w:r>
      <w:r w:rsidR="00053324" w:rsidRPr="00AB16FD">
        <w:rPr>
          <w:rFonts w:ascii="Arial" w:eastAsia="宋体" w:hAnsi="Arial" w:cs="Arial"/>
          <w:snapToGrid w:val="0"/>
          <w:kern w:val="0"/>
          <w:sz w:val="24"/>
        </w:rPr>
        <w:t>因为活动的组织者没有完全的自主性</w:t>
      </w:r>
      <w:r w:rsidR="00AB16FD">
        <w:rPr>
          <w:rFonts w:ascii="Arial" w:eastAsia="宋体" w:hAnsi="Arial" w:cs="Arial"/>
          <w:snapToGrid w:val="0"/>
          <w:kern w:val="0"/>
          <w:sz w:val="24"/>
        </w:rPr>
        <w:t>）</w:t>
      </w:r>
      <w:r w:rsidR="00053324" w:rsidRPr="00AB16FD">
        <w:rPr>
          <w:rFonts w:ascii="Arial" w:eastAsia="宋体" w:hAnsi="Arial" w:cs="Arial"/>
          <w:snapToGrid w:val="0"/>
          <w:kern w:val="0"/>
          <w:sz w:val="24"/>
        </w:rPr>
        <w:t>实质性影响时，这种讨论是不允许的。因此，在过去，机构会避免监管与产品销售公司影响无关的活动。机构认为，行业支持的活动也可以是非营销性和教育性的。</w:t>
      </w:r>
    </w:p>
    <w:p w:rsidR="0061066A" w:rsidRDefault="0061066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053324" w:rsidRPr="00AB16FD" w:rsidRDefault="00053324"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lastRenderedPageBreak/>
        <w:t>由于行业参与支持</w:t>
      </w:r>
      <w:r w:rsidR="00EA7861" w:rsidRPr="00AB16FD">
        <w:rPr>
          <w:rFonts w:ascii="Arial" w:eastAsia="宋体" w:hAnsi="Arial" w:cs="Arial"/>
          <w:snapToGrid w:val="0"/>
          <w:kern w:val="0"/>
          <w:sz w:val="24"/>
        </w:rPr>
        <w:t>医疗护理专家毕业后教育和继续教育的程度越来越多，区分公司开展或代表的活动</w:t>
      </w:r>
      <w:r w:rsidR="00AB16FD">
        <w:rPr>
          <w:rFonts w:ascii="Arial" w:eastAsia="宋体" w:hAnsi="Arial" w:cs="Arial"/>
          <w:snapToGrid w:val="0"/>
          <w:kern w:val="0"/>
          <w:sz w:val="24"/>
        </w:rPr>
        <w:t>（</w:t>
      </w:r>
      <w:r w:rsidR="00EA7861" w:rsidRPr="00AB16FD">
        <w:rPr>
          <w:rFonts w:ascii="Arial" w:eastAsia="宋体" w:hAnsi="Arial" w:cs="Arial"/>
          <w:snapToGrid w:val="0"/>
          <w:kern w:val="0"/>
          <w:sz w:val="24"/>
        </w:rPr>
        <w:t>需要接受监管</w:t>
      </w:r>
      <w:r w:rsidR="00AB16FD">
        <w:rPr>
          <w:rFonts w:ascii="Arial" w:eastAsia="宋体" w:hAnsi="Arial" w:cs="Arial"/>
          <w:snapToGrid w:val="0"/>
          <w:kern w:val="0"/>
          <w:sz w:val="24"/>
        </w:rPr>
        <w:t>）</w:t>
      </w:r>
      <w:r w:rsidR="00EA7861" w:rsidRPr="00AB16FD">
        <w:rPr>
          <w:rFonts w:ascii="Arial" w:eastAsia="宋体" w:hAnsi="Arial" w:cs="Arial"/>
          <w:snapToGrid w:val="0"/>
          <w:kern w:val="0"/>
          <w:sz w:val="24"/>
        </w:rPr>
        <w:t>和完全独立于其影响的活动也越来越难。</w:t>
      </w:r>
    </w:p>
    <w:p w:rsidR="00EA7861" w:rsidRPr="00AB16FD" w:rsidRDefault="00EA7861"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在过去，机构认可该重要的公共政策，即不将所有的行业支持的活动作为广告或标签进行监管。为允许完全用于科学和教育讨论的行业支持，包括对未批准使用情况的讨论，</w:t>
      </w:r>
      <w:r w:rsidRPr="00AB16FD">
        <w:rPr>
          <w:rFonts w:ascii="Arial" w:eastAsia="宋体" w:hAnsi="Arial" w:cs="Arial"/>
          <w:snapToGrid w:val="0"/>
          <w:kern w:val="0"/>
          <w:sz w:val="24"/>
        </w:rPr>
        <w:t>FDA</w:t>
      </w:r>
      <w:r w:rsidRPr="00AB16FD">
        <w:rPr>
          <w:rFonts w:ascii="Arial" w:eastAsia="宋体" w:hAnsi="Arial" w:cs="Arial"/>
          <w:snapToGrid w:val="0"/>
          <w:kern w:val="0"/>
          <w:sz w:val="24"/>
        </w:rPr>
        <w:t>对公司支持的非营销性、除公司支持外不受任何实质性影响的活动与其他类活动进行了区分。机构认为不受支持公司的影响的非营销性活动不会被作为广告或标签接受监管，也不在机构的监管范围内。</w:t>
      </w:r>
    </w:p>
    <w:p w:rsidR="00EA7861" w:rsidRPr="00AB16FD" w:rsidRDefault="00081EA1"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在确定某项活动是否不受到公司的实质性影响过程中，机构会检查是否以及在何种程度上该公司会影响与其产品相关的信息的展示，或者是否会将表面上的独立项目转化为营销媒介。</w:t>
      </w:r>
      <w:r w:rsidR="00B94348" w:rsidRPr="00AB16FD">
        <w:rPr>
          <w:rFonts w:ascii="Arial" w:eastAsia="宋体" w:hAnsi="Arial" w:cs="Arial"/>
          <w:snapToGrid w:val="0"/>
          <w:kern w:val="0"/>
          <w:sz w:val="24"/>
        </w:rPr>
        <w:t>FDA</w:t>
      </w:r>
      <w:r w:rsidR="00B94348" w:rsidRPr="00AB16FD">
        <w:rPr>
          <w:rFonts w:ascii="Arial" w:eastAsia="宋体" w:hAnsi="Arial" w:cs="Arial"/>
          <w:snapToGrid w:val="0"/>
          <w:kern w:val="0"/>
          <w:sz w:val="24"/>
        </w:rPr>
        <w:t>十分</w:t>
      </w:r>
      <w:r w:rsidR="009B543B">
        <w:rPr>
          <w:rFonts w:ascii="Arial" w:eastAsia="宋体" w:hAnsi="Arial" w:cs="Arial"/>
          <w:snapToGrid w:val="0"/>
          <w:kern w:val="0"/>
          <w:sz w:val="24"/>
        </w:rPr>
        <w:t>关注</w:t>
      </w:r>
      <w:r w:rsidR="00B94348" w:rsidRPr="00AB16FD">
        <w:rPr>
          <w:rFonts w:ascii="Arial" w:eastAsia="宋体" w:hAnsi="Arial" w:cs="Arial"/>
          <w:snapToGrid w:val="0"/>
          <w:kern w:val="0"/>
          <w:sz w:val="24"/>
        </w:rPr>
        <w:t>公司可能会以直接或间接的形式影响教育项目的内容。</w:t>
      </w:r>
      <w:r w:rsidR="009B543B">
        <w:rPr>
          <w:rFonts w:ascii="Arial" w:eastAsia="宋体" w:hAnsi="Arial" w:cs="Arial"/>
          <w:snapToGrid w:val="0"/>
          <w:kern w:val="0"/>
          <w:sz w:val="24"/>
        </w:rPr>
        <w:t>直接方式</w:t>
      </w:r>
      <w:r w:rsidR="00B94348" w:rsidRPr="00AB16FD">
        <w:rPr>
          <w:rFonts w:ascii="Arial" w:eastAsia="宋体" w:hAnsi="Arial" w:cs="Arial"/>
          <w:snapToGrid w:val="0"/>
          <w:kern w:val="0"/>
          <w:sz w:val="24"/>
        </w:rPr>
        <w:t>包括在</w:t>
      </w:r>
      <w:r w:rsidR="0018526F">
        <w:rPr>
          <w:rFonts w:ascii="Arial" w:eastAsia="宋体" w:hAnsi="Arial" w:cs="Arial"/>
          <w:snapToGrid w:val="0"/>
          <w:kern w:val="0"/>
          <w:sz w:val="24"/>
        </w:rPr>
        <w:t>演讲人</w:t>
      </w:r>
      <w:r w:rsidR="00B94348" w:rsidRPr="00AB16FD">
        <w:rPr>
          <w:rFonts w:ascii="Arial" w:eastAsia="宋体" w:hAnsi="Arial" w:cs="Arial"/>
          <w:snapToGrid w:val="0"/>
          <w:kern w:val="0"/>
          <w:sz w:val="24"/>
        </w:rPr>
        <w:t>的选择中或在讨论主题的处理中涉及产品。间接的方式包括通过公司与活动提供者的合作关系性质实现</w:t>
      </w:r>
      <w:r w:rsidR="00AB16FD">
        <w:rPr>
          <w:rFonts w:ascii="Arial" w:eastAsia="宋体" w:hAnsi="Arial" w:cs="Arial"/>
          <w:snapToGrid w:val="0"/>
          <w:kern w:val="0"/>
          <w:sz w:val="24"/>
        </w:rPr>
        <w:t>（</w:t>
      </w:r>
      <w:r w:rsidR="00B94348" w:rsidRPr="00AB16FD">
        <w:rPr>
          <w:rFonts w:ascii="Arial" w:eastAsia="宋体" w:hAnsi="Arial" w:cs="Arial"/>
          <w:snapToGrid w:val="0"/>
          <w:kern w:val="0"/>
          <w:sz w:val="24"/>
        </w:rPr>
        <w:t>例如，活动的提供者</w:t>
      </w:r>
      <w:r w:rsidR="009B543B" w:rsidRPr="00AB16FD">
        <w:rPr>
          <w:rFonts w:ascii="Arial" w:eastAsia="宋体" w:hAnsi="Arial" w:cs="Arial"/>
          <w:snapToGrid w:val="0"/>
          <w:kern w:val="0"/>
          <w:sz w:val="24"/>
        </w:rPr>
        <w:t>是否</w:t>
      </w:r>
      <w:r w:rsidR="00B94348" w:rsidRPr="00AB16FD">
        <w:rPr>
          <w:rFonts w:ascii="Arial" w:eastAsia="宋体" w:hAnsi="Arial" w:cs="Arial"/>
          <w:snapToGrid w:val="0"/>
          <w:kern w:val="0"/>
          <w:sz w:val="24"/>
        </w:rPr>
        <w:t>会认为未来该公司的经济支持与项目中对其产品的营销相关。</w:t>
      </w:r>
      <w:r w:rsidR="00AB16FD">
        <w:rPr>
          <w:rFonts w:ascii="Arial" w:eastAsia="宋体" w:hAnsi="Arial" w:cs="Arial"/>
          <w:snapToGrid w:val="0"/>
          <w:kern w:val="0"/>
          <w:sz w:val="24"/>
        </w:rPr>
        <w:t>）</w:t>
      </w:r>
    </w:p>
    <w:p w:rsidR="00B94348" w:rsidRPr="00AB16FD" w:rsidRDefault="00B94348"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FDA</w:t>
      </w:r>
      <w:r w:rsidRPr="00AB16FD">
        <w:rPr>
          <w:rFonts w:ascii="Arial" w:eastAsia="宋体" w:hAnsi="Arial" w:cs="Arial"/>
          <w:snapToGrid w:val="0"/>
          <w:kern w:val="0"/>
          <w:sz w:val="24"/>
        </w:rPr>
        <w:t>有责任确定非营销性的科学和教育活动确实不会受到监管产品销售商的实质性影响。但机构认为，研究生和继续教育以及科学交流监管的主要责任应由科学和健康护理团体</w:t>
      </w:r>
      <w:r w:rsidR="00BD2F14" w:rsidRPr="00AB16FD">
        <w:rPr>
          <w:rFonts w:ascii="Arial" w:eastAsia="宋体" w:hAnsi="Arial" w:cs="Arial"/>
          <w:snapToGrid w:val="0"/>
          <w:kern w:val="0"/>
          <w:sz w:val="24"/>
        </w:rPr>
        <w:t>以及授权</w:t>
      </w:r>
      <w:r w:rsidRPr="00AB16FD">
        <w:rPr>
          <w:rFonts w:ascii="Arial" w:eastAsia="宋体" w:hAnsi="Arial" w:cs="Arial"/>
          <w:snapToGrid w:val="0"/>
          <w:kern w:val="0"/>
          <w:sz w:val="24"/>
        </w:rPr>
        <w:t>机构承担。因此，</w:t>
      </w:r>
      <w:r w:rsidRPr="00AB16FD">
        <w:rPr>
          <w:rFonts w:ascii="Arial" w:eastAsia="宋体" w:hAnsi="Arial" w:cs="Arial"/>
          <w:snapToGrid w:val="0"/>
          <w:kern w:val="0"/>
          <w:sz w:val="24"/>
        </w:rPr>
        <w:t>FDA</w:t>
      </w:r>
      <w:r w:rsidRPr="00AB16FD">
        <w:rPr>
          <w:rFonts w:ascii="Arial" w:eastAsia="宋体" w:hAnsi="Arial" w:cs="Arial"/>
          <w:snapToGrid w:val="0"/>
          <w:kern w:val="0"/>
          <w:sz w:val="24"/>
        </w:rPr>
        <w:t>将于科学和专业健康护理团体及</w:t>
      </w:r>
      <w:r w:rsidR="00BD2F14" w:rsidRPr="00AB16FD">
        <w:rPr>
          <w:rFonts w:ascii="Arial" w:eastAsia="宋体" w:hAnsi="Arial" w:cs="Arial"/>
          <w:snapToGrid w:val="0"/>
          <w:kern w:val="0"/>
          <w:sz w:val="24"/>
        </w:rPr>
        <w:t>授权机构</w:t>
      </w:r>
      <w:r w:rsidRPr="00AB16FD">
        <w:rPr>
          <w:rFonts w:ascii="Arial" w:eastAsia="宋体" w:hAnsi="Arial" w:cs="Arial"/>
          <w:snapToGrid w:val="0"/>
          <w:kern w:val="0"/>
          <w:sz w:val="24"/>
        </w:rPr>
        <w:t>密切合作，帮助确保活动的提供方的独立性。</w:t>
      </w:r>
    </w:p>
    <w:p w:rsidR="0061066A" w:rsidRDefault="0061066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B94348" w:rsidRPr="00AB16FD" w:rsidRDefault="009C6F07"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lastRenderedPageBreak/>
        <w:t>机构制定了本指南，用以描述机构与行业支持的科学和教育活动相关的政策。本指南希望能够区分</w:t>
      </w:r>
      <w:r w:rsidRPr="00AB16FD">
        <w:rPr>
          <w:rFonts w:ascii="Arial" w:eastAsia="宋体" w:hAnsi="Arial" w:cs="Arial"/>
          <w:snapToGrid w:val="0"/>
          <w:kern w:val="0"/>
          <w:sz w:val="24"/>
        </w:rPr>
        <w:t>FDA</w:t>
      </w:r>
      <w:r w:rsidRPr="00AB16FD">
        <w:rPr>
          <w:rFonts w:ascii="Arial" w:eastAsia="宋体" w:hAnsi="Arial" w:cs="Arial"/>
          <w:snapToGrid w:val="0"/>
          <w:kern w:val="0"/>
          <w:sz w:val="24"/>
        </w:rPr>
        <w:t>认为属于非营销性的科学和教育活动和</w:t>
      </w:r>
      <w:r w:rsidR="003D2185" w:rsidRPr="00AB16FD">
        <w:rPr>
          <w:rFonts w:ascii="Arial" w:eastAsia="宋体" w:hAnsi="Arial" w:cs="Arial"/>
          <w:snapToGrid w:val="0"/>
          <w:kern w:val="0"/>
          <w:sz w:val="24"/>
        </w:rPr>
        <w:t>机构认为属于营销性的活动，以及提供行业支持活动</w:t>
      </w:r>
      <w:r w:rsidR="009B543B">
        <w:rPr>
          <w:rFonts w:ascii="Arial" w:eastAsia="宋体" w:hAnsi="Arial" w:cs="Arial" w:hint="eastAsia"/>
          <w:snapToGrid w:val="0"/>
          <w:kern w:val="0"/>
          <w:sz w:val="24"/>
        </w:rPr>
        <w:t>而</w:t>
      </w:r>
      <w:r w:rsidR="003D2185" w:rsidRPr="00AB16FD">
        <w:rPr>
          <w:rFonts w:ascii="Arial" w:eastAsia="宋体" w:hAnsi="Arial" w:cs="Arial"/>
          <w:snapToGrid w:val="0"/>
          <w:kern w:val="0"/>
          <w:sz w:val="24"/>
        </w:rPr>
        <w:t>无需接受法案标签和广告条理监管的指导。</w:t>
      </w:r>
    </w:p>
    <w:p w:rsidR="003D2185" w:rsidRPr="00AB16FD" w:rsidRDefault="003D2185"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本指南仅适用于公司支持的与支持公司的产品或竞争产品相关的活动。如果公司支持的教育活动或活动中支持的某一部分与公司产品或竞争产品无关，或不涉及宣传使用该公司的产品，则在本指南中不会认定为营销性活动。</w:t>
      </w:r>
    </w:p>
    <w:p w:rsidR="003D2185" w:rsidRPr="0061066A" w:rsidRDefault="00AB16FD" w:rsidP="0061066A">
      <w:pPr>
        <w:pStyle w:val="a9"/>
        <w:numPr>
          <w:ilvl w:val="0"/>
          <w:numId w:val="1"/>
        </w:numPr>
        <w:topLinePunct/>
        <w:adjustRightInd w:val="0"/>
        <w:snapToGrid w:val="0"/>
        <w:spacing w:afterLines="75" w:after="234" w:line="360" w:lineRule="auto"/>
        <w:ind w:left="426" w:firstLineChars="0" w:hanging="426"/>
        <w:rPr>
          <w:rFonts w:ascii="Arial" w:eastAsia="宋体" w:hAnsi="Arial" w:cs="Arial"/>
          <w:b/>
          <w:snapToGrid w:val="0"/>
          <w:kern w:val="0"/>
          <w:sz w:val="24"/>
        </w:rPr>
      </w:pPr>
      <w:r w:rsidRPr="0061066A">
        <w:rPr>
          <w:rFonts w:ascii="Arial" w:eastAsia="宋体" w:hAnsi="Arial" w:cs="Arial"/>
          <w:b/>
          <w:snapToGrid w:val="0"/>
          <w:kern w:val="0"/>
          <w:sz w:val="24"/>
        </w:rPr>
        <w:t>指</w:t>
      </w:r>
      <w:r w:rsidR="003D2185" w:rsidRPr="0061066A">
        <w:rPr>
          <w:rFonts w:ascii="Arial" w:eastAsia="宋体" w:hAnsi="Arial" w:cs="Arial"/>
          <w:b/>
          <w:snapToGrid w:val="0"/>
          <w:kern w:val="0"/>
          <w:sz w:val="24"/>
        </w:rPr>
        <w:t>南：行业支持的科学和教育活动</w:t>
      </w:r>
    </w:p>
    <w:p w:rsidR="003D2185" w:rsidRPr="00AB16FD" w:rsidRDefault="003D2185"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FDA</w:t>
      </w:r>
      <w:r w:rsidRPr="00AB16FD">
        <w:rPr>
          <w:rFonts w:ascii="Arial" w:eastAsia="宋体" w:hAnsi="Arial" w:cs="Arial"/>
          <w:snapToGrid w:val="0"/>
          <w:kern w:val="0"/>
          <w:sz w:val="24"/>
        </w:rPr>
        <w:t>没有也不希望针对由行业支持的但独立于支持公司影响的科学和教育活动开展法案标签和广告条款范围内的监管。如果公司和活动举办方希望能够确保其活动不受监管，则应当根据下文所述的评估活动和确定独立性的因素，在设计和开展活动过程中避免受到公司的影响和偏见。这些因素为此类活动的设计和开展提供了指导，以便保证其本质上为教育性和非营销性活动。这些因素将作为活动整体评估的一部分；单个指标本身不能确定行为的独立性。</w:t>
      </w:r>
    </w:p>
    <w:p w:rsidR="003D2185" w:rsidRPr="0061066A" w:rsidRDefault="003D2185" w:rsidP="0061066A">
      <w:pPr>
        <w:topLinePunct/>
        <w:adjustRightInd w:val="0"/>
        <w:snapToGrid w:val="0"/>
        <w:spacing w:afterLines="75" w:after="234" w:line="360" w:lineRule="auto"/>
        <w:rPr>
          <w:rFonts w:ascii="Arial" w:eastAsia="宋体" w:hAnsi="Arial" w:cs="Arial"/>
          <w:i/>
          <w:snapToGrid w:val="0"/>
          <w:kern w:val="0"/>
          <w:sz w:val="24"/>
        </w:rPr>
      </w:pPr>
      <w:r w:rsidRPr="0061066A">
        <w:rPr>
          <w:rFonts w:ascii="Arial" w:eastAsia="宋体" w:hAnsi="Arial" w:cs="Arial"/>
          <w:i/>
          <w:snapToGrid w:val="0"/>
          <w:kern w:val="0"/>
          <w:sz w:val="24"/>
        </w:rPr>
        <w:t>A.</w:t>
      </w:r>
      <w:r w:rsidR="00AB16FD" w:rsidRPr="0061066A">
        <w:rPr>
          <w:rFonts w:ascii="Arial" w:eastAsia="宋体" w:hAnsi="Arial" w:cs="Arial"/>
          <w:i/>
          <w:snapToGrid w:val="0"/>
          <w:kern w:val="0"/>
          <w:sz w:val="24"/>
        </w:rPr>
        <w:t>在</w:t>
      </w:r>
      <w:r w:rsidRPr="0061066A">
        <w:rPr>
          <w:rFonts w:ascii="Arial" w:eastAsia="宋体" w:hAnsi="Arial" w:cs="Arial"/>
          <w:i/>
          <w:snapToGrid w:val="0"/>
          <w:kern w:val="0"/>
          <w:sz w:val="24"/>
        </w:rPr>
        <w:t>评估活动和确定独立性中考虑的因素</w:t>
      </w:r>
    </w:p>
    <w:p w:rsidR="003D2185" w:rsidRPr="00AB16FD" w:rsidRDefault="00FE59C3"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在评估项目和活动以及确定独立性过程中，</w:t>
      </w:r>
      <w:r w:rsidRPr="00AB16FD">
        <w:rPr>
          <w:rFonts w:ascii="Arial" w:eastAsia="宋体" w:hAnsi="Arial" w:cs="Arial"/>
          <w:snapToGrid w:val="0"/>
          <w:kern w:val="0"/>
          <w:sz w:val="24"/>
        </w:rPr>
        <w:t>FDA</w:t>
      </w:r>
      <w:r w:rsidRPr="00AB16FD">
        <w:rPr>
          <w:rFonts w:ascii="Arial" w:eastAsia="宋体" w:hAnsi="Arial" w:cs="Arial"/>
          <w:snapToGrid w:val="0"/>
          <w:kern w:val="0"/>
          <w:sz w:val="24"/>
        </w:rPr>
        <w:t>会考虑下列因素：</w:t>
      </w:r>
    </w:p>
    <w:p w:rsidR="0061066A" w:rsidRDefault="0061066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E59C3"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lastRenderedPageBreak/>
        <w:t>（</w:t>
      </w:r>
      <w:r w:rsidRPr="00AB16FD">
        <w:rPr>
          <w:rFonts w:ascii="Arial" w:eastAsia="宋体" w:hAnsi="Arial" w:cs="Arial"/>
          <w:snapToGrid w:val="0"/>
          <w:kern w:val="0"/>
          <w:sz w:val="24"/>
        </w:rPr>
        <w:t>1</w:t>
      </w:r>
      <w:r>
        <w:rPr>
          <w:rFonts w:ascii="Arial" w:eastAsia="宋体" w:hAnsi="Arial" w:cs="Arial"/>
          <w:snapToGrid w:val="0"/>
          <w:kern w:val="0"/>
          <w:sz w:val="24"/>
        </w:rPr>
        <w:t>）</w:t>
      </w:r>
      <w:r w:rsidRPr="00AB16FD">
        <w:rPr>
          <w:rFonts w:ascii="Arial" w:eastAsia="宋体" w:hAnsi="Arial" w:cs="Arial"/>
          <w:snapToGrid w:val="0"/>
          <w:kern w:val="0"/>
          <w:sz w:val="24"/>
        </w:rPr>
        <w:t>内</w:t>
      </w:r>
      <w:r w:rsidR="00FE59C3" w:rsidRPr="00AB16FD">
        <w:rPr>
          <w:rFonts w:ascii="Arial" w:eastAsia="宋体" w:hAnsi="Arial" w:cs="Arial"/>
          <w:snapToGrid w:val="0"/>
          <w:kern w:val="0"/>
          <w:sz w:val="24"/>
        </w:rPr>
        <w:t>容控制，以及演讲人和主持人的选择</w:t>
      </w:r>
    </w:p>
    <w:p w:rsidR="00FE59C3" w:rsidRPr="00AB16FD" w:rsidRDefault="00494A24"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机构会考虑活动提供者是否可以完全控制项目内容的选择、项目内容的计划、以及</w:t>
      </w:r>
      <w:r w:rsidR="0018526F">
        <w:rPr>
          <w:rFonts w:ascii="Arial" w:eastAsia="宋体" w:hAnsi="Arial" w:cs="Arial"/>
          <w:snapToGrid w:val="0"/>
          <w:kern w:val="0"/>
          <w:sz w:val="24"/>
        </w:rPr>
        <w:t>演讲人</w:t>
      </w:r>
      <w:r w:rsidRPr="00AB16FD">
        <w:rPr>
          <w:rFonts w:ascii="Arial" w:eastAsia="宋体" w:hAnsi="Arial" w:cs="Arial"/>
          <w:snapToGrid w:val="0"/>
          <w:kern w:val="0"/>
          <w:sz w:val="24"/>
        </w:rPr>
        <w:t>和主持人的选择。在此过程中，机构会查看支持公司是否参与了撰稿、确定重点、或采取了其他旨在影响项目内容的行为。另外，机构会考虑该公司是否建议了涉及或可能涉及公司产品宣传的</w:t>
      </w:r>
      <w:r w:rsidR="0018526F">
        <w:rPr>
          <w:rFonts w:ascii="Arial" w:eastAsia="宋体" w:hAnsi="Arial" w:cs="Arial"/>
          <w:snapToGrid w:val="0"/>
          <w:kern w:val="0"/>
          <w:sz w:val="24"/>
        </w:rPr>
        <w:t>演讲人</w:t>
      </w:r>
      <w:r w:rsidRPr="00AB16FD">
        <w:rPr>
          <w:rFonts w:ascii="Arial" w:eastAsia="宋体" w:hAnsi="Arial" w:cs="Arial"/>
          <w:snapToGrid w:val="0"/>
          <w:kern w:val="0"/>
          <w:sz w:val="24"/>
        </w:rPr>
        <w:t>，或与涉及误导性或带有偏见性宣传公司产品相关投诉或异议相关的演讲人。</w:t>
      </w:r>
    </w:p>
    <w:p w:rsidR="00494A24"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2</w:t>
      </w:r>
      <w:r>
        <w:rPr>
          <w:rFonts w:ascii="Arial" w:eastAsia="宋体" w:hAnsi="Arial" w:cs="Arial"/>
          <w:snapToGrid w:val="0"/>
          <w:kern w:val="0"/>
          <w:sz w:val="24"/>
        </w:rPr>
        <w:t>）</w:t>
      </w:r>
      <w:r w:rsidRPr="00AB16FD">
        <w:rPr>
          <w:rFonts w:ascii="Arial" w:eastAsia="宋体" w:hAnsi="Arial" w:cs="Arial"/>
          <w:snapToGrid w:val="0"/>
          <w:kern w:val="0"/>
          <w:sz w:val="24"/>
        </w:rPr>
        <w:t>披</w:t>
      </w:r>
      <w:r w:rsidR="00494A24" w:rsidRPr="00AB16FD">
        <w:rPr>
          <w:rFonts w:ascii="Arial" w:eastAsia="宋体" w:hAnsi="Arial" w:cs="Arial"/>
          <w:snapToGrid w:val="0"/>
          <w:kern w:val="0"/>
          <w:sz w:val="24"/>
        </w:rPr>
        <w:t>露</w:t>
      </w:r>
    </w:p>
    <w:p w:rsidR="00494A24" w:rsidRPr="00AB16FD" w:rsidRDefault="00494A24"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机构会考虑项目中是否会向听众披露以下有意义的内容</w:t>
      </w:r>
      <w:r w:rsidR="00AB16FD" w:rsidRPr="00AB16FD">
        <w:rPr>
          <w:rFonts w:ascii="Arial" w:eastAsia="宋体" w:hAnsi="Arial" w:cs="Arial"/>
          <w:snapToGrid w:val="0"/>
          <w:kern w:val="0"/>
          <w:sz w:val="24"/>
        </w:rPr>
        <w:t>：</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1</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公</w:t>
      </w:r>
      <w:r w:rsidRPr="00AB16FD">
        <w:rPr>
          <w:rFonts w:ascii="Arial" w:eastAsia="宋体" w:hAnsi="Arial" w:cs="Arial"/>
          <w:snapToGrid w:val="0"/>
          <w:kern w:val="0"/>
          <w:sz w:val="24"/>
        </w:rPr>
        <w:t>司支持了该项目</w:t>
      </w:r>
      <w:r w:rsidR="00AB16FD" w:rsidRPr="00AB16FD">
        <w:rPr>
          <w:rFonts w:ascii="Arial" w:eastAsia="宋体" w:hAnsi="Arial" w:cs="Arial"/>
          <w:snapToGrid w:val="0"/>
          <w:kern w:val="0"/>
          <w:sz w:val="24"/>
        </w:rPr>
        <w:t>；</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2</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活</w:t>
      </w:r>
      <w:r w:rsidRPr="00AB16FD">
        <w:rPr>
          <w:rFonts w:ascii="Arial" w:eastAsia="宋体" w:hAnsi="Arial" w:cs="Arial"/>
          <w:snapToGrid w:val="0"/>
          <w:kern w:val="0"/>
          <w:sz w:val="24"/>
        </w:rPr>
        <w:t>动组织者、</w:t>
      </w:r>
      <w:r w:rsidR="0018526F">
        <w:rPr>
          <w:rFonts w:ascii="Arial" w:eastAsia="宋体" w:hAnsi="Arial" w:cs="Arial"/>
          <w:snapToGrid w:val="0"/>
          <w:kern w:val="0"/>
          <w:sz w:val="24"/>
        </w:rPr>
        <w:t>演讲人</w:t>
      </w:r>
      <w:r w:rsidRPr="00AB16FD">
        <w:rPr>
          <w:rFonts w:ascii="Arial" w:eastAsia="宋体" w:hAnsi="Arial" w:cs="Arial"/>
          <w:snapToGrid w:val="0"/>
          <w:kern w:val="0"/>
          <w:sz w:val="24"/>
        </w:rPr>
        <w:t>或主持人、以及支持的公司之间重要的关系</w:t>
      </w:r>
      <w:r w:rsidR="00AB16FD">
        <w:rPr>
          <w:rFonts w:ascii="Arial" w:eastAsia="宋体" w:hAnsi="Arial" w:cs="Arial"/>
          <w:snapToGrid w:val="0"/>
          <w:kern w:val="0"/>
          <w:sz w:val="24"/>
        </w:rPr>
        <w:t>（</w:t>
      </w:r>
      <w:r w:rsidRPr="00AB16FD">
        <w:rPr>
          <w:rFonts w:ascii="Arial" w:eastAsia="宋体" w:hAnsi="Arial" w:cs="Arial"/>
          <w:snapToGrid w:val="0"/>
          <w:kern w:val="0"/>
          <w:sz w:val="24"/>
        </w:rPr>
        <w:t>例如雇员、受资助人、重大利益或股权持有人</w:t>
      </w:r>
      <w:r w:rsidR="00AB16FD">
        <w:rPr>
          <w:rFonts w:ascii="Arial" w:eastAsia="宋体" w:hAnsi="Arial" w:cs="Arial"/>
          <w:snapToGrid w:val="0"/>
          <w:kern w:val="0"/>
          <w:sz w:val="24"/>
        </w:rPr>
        <w:t>）</w:t>
      </w:r>
      <w:r w:rsidRPr="00AB16FD">
        <w:rPr>
          <w:rFonts w:ascii="Arial" w:eastAsia="宋体" w:hAnsi="Arial" w:cs="Arial"/>
          <w:snapToGrid w:val="0"/>
          <w:kern w:val="0"/>
          <w:sz w:val="24"/>
        </w:rPr>
        <w:t>；</w:t>
      </w:r>
      <w:r w:rsidR="00AB16FD" w:rsidRPr="00AB16FD">
        <w:rPr>
          <w:rFonts w:ascii="Arial" w:eastAsia="宋体" w:hAnsi="Arial" w:cs="Arial"/>
          <w:snapToGrid w:val="0"/>
          <w:kern w:val="0"/>
          <w:sz w:val="24"/>
        </w:rPr>
        <w:t>和</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3</w:t>
      </w:r>
      <w:r w:rsidR="00AB16FD">
        <w:rPr>
          <w:rFonts w:ascii="Arial" w:eastAsia="宋体" w:hAnsi="Arial" w:cs="Arial"/>
          <w:snapToGrid w:val="0"/>
          <w:kern w:val="0"/>
          <w:sz w:val="24"/>
        </w:rPr>
        <w:t>）</w:t>
      </w:r>
      <w:r w:rsidR="00AB16FD" w:rsidRPr="00AB16FD">
        <w:rPr>
          <w:rFonts w:ascii="Arial" w:eastAsia="宋体" w:hAnsi="Arial" w:cs="Arial"/>
          <w:snapToGrid w:val="0"/>
          <w:kern w:val="0"/>
          <w:sz w:val="24"/>
        </w:rPr>
        <w:t>是</w:t>
      </w:r>
      <w:r w:rsidRPr="00AB16FD">
        <w:rPr>
          <w:rFonts w:ascii="Arial" w:eastAsia="宋体" w:hAnsi="Arial" w:cs="Arial"/>
          <w:snapToGrid w:val="0"/>
          <w:kern w:val="0"/>
          <w:sz w:val="24"/>
        </w:rPr>
        <w:t>否会讨论任何未经批准的产品使用；</w:t>
      </w:r>
    </w:p>
    <w:p w:rsidR="00494A24"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3</w:t>
      </w:r>
      <w:r>
        <w:rPr>
          <w:rFonts w:ascii="Arial" w:eastAsia="宋体" w:hAnsi="Arial" w:cs="Arial"/>
          <w:snapToGrid w:val="0"/>
          <w:kern w:val="0"/>
          <w:sz w:val="24"/>
        </w:rPr>
        <w:t>）</w:t>
      </w:r>
      <w:r w:rsidRPr="00AB16FD">
        <w:rPr>
          <w:rFonts w:ascii="Arial" w:eastAsia="宋体" w:hAnsi="Arial" w:cs="Arial"/>
          <w:snapToGrid w:val="0"/>
          <w:kern w:val="0"/>
          <w:sz w:val="24"/>
        </w:rPr>
        <w:t>项</w:t>
      </w:r>
      <w:r w:rsidR="00494A24" w:rsidRPr="00AB16FD">
        <w:rPr>
          <w:rFonts w:ascii="Arial" w:eastAsia="宋体" w:hAnsi="Arial" w:cs="Arial"/>
          <w:snapToGrid w:val="0"/>
          <w:kern w:val="0"/>
          <w:sz w:val="24"/>
        </w:rPr>
        <w:t>目关注点</w:t>
      </w:r>
    </w:p>
    <w:p w:rsidR="00494A24" w:rsidRPr="00AB16FD" w:rsidRDefault="00494A24"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机构会考虑公司和组织方的目标是否为举办独立的、非营销性的、关注与</w:t>
      </w:r>
      <w:r w:rsidR="009C7C1D" w:rsidRPr="00AB16FD">
        <w:rPr>
          <w:rFonts w:ascii="Arial" w:eastAsia="宋体" w:hAnsi="Arial" w:cs="Arial"/>
          <w:snapToGrid w:val="0"/>
          <w:kern w:val="0"/>
          <w:sz w:val="24"/>
        </w:rPr>
        <w:t>教育内容且不受商业影响或偏见的</w:t>
      </w:r>
      <w:r w:rsidRPr="00AB16FD">
        <w:rPr>
          <w:rFonts w:ascii="Arial" w:eastAsia="宋体" w:hAnsi="Arial" w:cs="Arial"/>
          <w:snapToGrid w:val="0"/>
          <w:kern w:val="0"/>
          <w:sz w:val="24"/>
        </w:rPr>
        <w:t>活动</w:t>
      </w:r>
      <w:r w:rsidR="009C7C1D" w:rsidRPr="00AB16FD">
        <w:rPr>
          <w:rFonts w:ascii="Arial" w:eastAsia="宋体" w:hAnsi="Arial" w:cs="Arial"/>
          <w:snapToGrid w:val="0"/>
          <w:kern w:val="0"/>
          <w:sz w:val="24"/>
        </w:rPr>
        <w:t>。机构会考虑活动的主题</w:t>
      </w:r>
      <w:r w:rsidR="0018526F" w:rsidRPr="00AB16FD">
        <w:rPr>
          <w:rFonts w:ascii="Arial" w:eastAsia="宋体" w:hAnsi="Arial" w:cs="Arial"/>
          <w:snapToGrid w:val="0"/>
          <w:kern w:val="0"/>
          <w:sz w:val="24"/>
        </w:rPr>
        <w:t>是否</w:t>
      </w:r>
      <w:r w:rsidR="009C7C1D" w:rsidRPr="00AB16FD">
        <w:rPr>
          <w:rFonts w:ascii="Arial" w:eastAsia="宋体" w:hAnsi="Arial" w:cs="Arial"/>
          <w:snapToGrid w:val="0"/>
          <w:kern w:val="0"/>
          <w:sz w:val="24"/>
        </w:rPr>
        <w:t>恰当，以及主题是否可以准确代表演讲的范围。</w:t>
      </w:r>
    </w:p>
    <w:p w:rsidR="009C7C1D" w:rsidRPr="00AB16FD" w:rsidRDefault="009C7C1D"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机构会通过查看活动的关注点来确定该活动中心主题</w:t>
      </w:r>
      <w:r w:rsidR="0018526F" w:rsidRPr="00AB16FD">
        <w:rPr>
          <w:rFonts w:ascii="Arial" w:eastAsia="宋体" w:hAnsi="Arial" w:cs="Arial"/>
          <w:snapToGrid w:val="0"/>
          <w:kern w:val="0"/>
          <w:sz w:val="24"/>
        </w:rPr>
        <w:t>是否</w:t>
      </w:r>
      <w:r w:rsidRPr="00AB16FD">
        <w:rPr>
          <w:rFonts w:ascii="Arial" w:eastAsia="宋体" w:hAnsi="Arial" w:cs="Arial"/>
          <w:snapToGrid w:val="0"/>
          <w:kern w:val="0"/>
          <w:sz w:val="24"/>
        </w:rPr>
        <w:t>为公司销售的独立产品或竞争产品，除非</w:t>
      </w:r>
      <w:r w:rsidR="007021ED" w:rsidRPr="00AB16FD">
        <w:rPr>
          <w:rFonts w:ascii="Arial" w:eastAsia="宋体" w:hAnsi="Arial" w:cs="Arial"/>
          <w:snapToGrid w:val="0"/>
          <w:kern w:val="0"/>
          <w:sz w:val="24"/>
        </w:rPr>
        <w:t>现有的治疗选择非常有限，无法对其他治疗选择开展有意义的讨论</w:t>
      </w:r>
      <w:r w:rsidRPr="00AB16FD">
        <w:rPr>
          <w:rFonts w:ascii="Arial" w:eastAsia="宋体" w:hAnsi="Arial" w:cs="Arial"/>
          <w:snapToGrid w:val="0"/>
          <w:kern w:val="0"/>
          <w:sz w:val="24"/>
        </w:rPr>
        <w:t>。</w:t>
      </w:r>
      <w:r w:rsidR="007021ED" w:rsidRPr="00AB16FD">
        <w:rPr>
          <w:rFonts w:ascii="Arial" w:eastAsia="宋体" w:hAnsi="Arial" w:cs="Arial"/>
          <w:snapToGrid w:val="0"/>
          <w:kern w:val="0"/>
          <w:sz w:val="24"/>
        </w:rPr>
        <w:t>这并不代表每种治疗方案都必须以完全相同的重要性进行讨论。但如果着重讨论该演讲人认为的新的或更为有效的治疗模式时，应当在讨论所有可行和相关选项的背景下进行讨论。</w:t>
      </w:r>
    </w:p>
    <w:p w:rsidR="0061066A" w:rsidRDefault="0061066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021ED"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lastRenderedPageBreak/>
        <w:t>（</w:t>
      </w:r>
      <w:r w:rsidRPr="00AB16FD">
        <w:rPr>
          <w:rFonts w:ascii="Arial" w:eastAsia="宋体" w:hAnsi="Arial" w:cs="Arial"/>
          <w:snapToGrid w:val="0"/>
          <w:kern w:val="0"/>
          <w:sz w:val="24"/>
        </w:rPr>
        <w:t>4</w:t>
      </w:r>
      <w:r>
        <w:rPr>
          <w:rFonts w:ascii="Arial" w:eastAsia="宋体" w:hAnsi="Arial" w:cs="Arial"/>
          <w:snapToGrid w:val="0"/>
          <w:kern w:val="0"/>
          <w:sz w:val="24"/>
        </w:rPr>
        <w:t>）</w:t>
      </w:r>
      <w:r w:rsidRPr="00AB16FD">
        <w:rPr>
          <w:rFonts w:ascii="Arial" w:eastAsia="宋体" w:hAnsi="Arial" w:cs="Arial"/>
          <w:snapToGrid w:val="0"/>
          <w:kern w:val="0"/>
          <w:sz w:val="24"/>
        </w:rPr>
        <w:t>活</w:t>
      </w:r>
      <w:r w:rsidR="00420E6A" w:rsidRPr="00AB16FD">
        <w:rPr>
          <w:rFonts w:ascii="Arial" w:eastAsia="宋体" w:hAnsi="Arial" w:cs="Arial"/>
          <w:snapToGrid w:val="0"/>
          <w:kern w:val="0"/>
          <w:sz w:val="24"/>
        </w:rPr>
        <w:t>动组织方和支持公司的关系</w:t>
      </w:r>
    </w:p>
    <w:p w:rsidR="00420E6A" w:rsidRPr="00AB16FD" w:rsidRDefault="00420E6A"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机构会考虑公司和提供方是否存在可能对活动的内容产生影响的法律、商务或其他关系</w:t>
      </w:r>
      <w:r w:rsidR="00AB16FD">
        <w:rPr>
          <w:rFonts w:ascii="Arial" w:eastAsia="宋体" w:hAnsi="Arial" w:cs="Arial"/>
          <w:snapToGrid w:val="0"/>
          <w:kern w:val="0"/>
          <w:sz w:val="24"/>
        </w:rPr>
        <w:t>（</w:t>
      </w:r>
      <w:r w:rsidRPr="00AB16FD">
        <w:rPr>
          <w:rFonts w:ascii="Arial" w:eastAsia="宋体" w:hAnsi="Arial" w:cs="Arial"/>
          <w:snapToGrid w:val="0"/>
          <w:kern w:val="0"/>
          <w:sz w:val="24"/>
        </w:rPr>
        <w:t>例如，提供方隶属于该公司，或无法离开活动支持公司的支持</w:t>
      </w:r>
      <w:r w:rsidR="00AB16FD">
        <w:rPr>
          <w:rFonts w:ascii="Arial" w:eastAsia="宋体" w:hAnsi="Arial" w:cs="Arial"/>
          <w:snapToGrid w:val="0"/>
          <w:kern w:val="0"/>
          <w:sz w:val="24"/>
        </w:rPr>
        <w:t>）</w:t>
      </w:r>
      <w:r w:rsidRPr="00AB16FD">
        <w:rPr>
          <w:rFonts w:ascii="Arial" w:eastAsia="宋体" w:hAnsi="Arial" w:cs="Arial"/>
          <w:snapToGrid w:val="0"/>
          <w:kern w:val="0"/>
          <w:sz w:val="24"/>
        </w:rPr>
        <w:t>。</w:t>
      </w:r>
    </w:p>
    <w:p w:rsidR="00420E6A"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5</w:t>
      </w:r>
      <w:r>
        <w:rPr>
          <w:rFonts w:ascii="Arial" w:eastAsia="宋体" w:hAnsi="Arial" w:cs="Arial"/>
          <w:snapToGrid w:val="0"/>
          <w:kern w:val="0"/>
          <w:sz w:val="24"/>
        </w:rPr>
        <w:t>）</w:t>
      </w:r>
      <w:r w:rsidRPr="00AB16FD">
        <w:rPr>
          <w:rFonts w:ascii="Arial" w:eastAsia="宋体" w:hAnsi="Arial" w:cs="Arial"/>
          <w:snapToGrid w:val="0"/>
          <w:kern w:val="0"/>
          <w:sz w:val="24"/>
        </w:rPr>
        <w:t>活</w:t>
      </w:r>
      <w:r w:rsidR="00F371D6" w:rsidRPr="00AB16FD">
        <w:rPr>
          <w:rFonts w:ascii="Arial" w:eastAsia="宋体" w:hAnsi="Arial" w:cs="Arial"/>
          <w:snapToGrid w:val="0"/>
          <w:kern w:val="0"/>
          <w:sz w:val="24"/>
        </w:rPr>
        <w:t>动组织方参与销售或市场营销</w:t>
      </w:r>
    </w:p>
    <w:p w:rsidR="00F371D6" w:rsidRPr="00AB16FD" w:rsidRDefault="00F371D6"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机构会考虑组织方的雇员以及参与科学或教育项目设计或执行的个体是否也参与或协助了公司产品的销售或市场营销。</w:t>
      </w:r>
    </w:p>
    <w:p w:rsidR="00F371D6"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6</w:t>
      </w:r>
      <w:r>
        <w:rPr>
          <w:rFonts w:ascii="Arial" w:eastAsia="宋体" w:hAnsi="Arial" w:cs="Arial"/>
          <w:snapToGrid w:val="0"/>
          <w:kern w:val="0"/>
          <w:sz w:val="24"/>
        </w:rPr>
        <w:t>）</w:t>
      </w:r>
      <w:r w:rsidRPr="00AB16FD">
        <w:rPr>
          <w:rFonts w:ascii="Arial" w:eastAsia="宋体" w:hAnsi="Arial" w:cs="Arial"/>
          <w:snapToGrid w:val="0"/>
          <w:kern w:val="0"/>
          <w:sz w:val="24"/>
        </w:rPr>
        <w:t>组</w:t>
      </w:r>
      <w:r w:rsidR="00F371D6" w:rsidRPr="00AB16FD">
        <w:rPr>
          <w:rFonts w:ascii="Arial" w:eastAsia="宋体" w:hAnsi="Arial" w:cs="Arial"/>
          <w:snapToGrid w:val="0"/>
          <w:kern w:val="0"/>
          <w:sz w:val="24"/>
        </w:rPr>
        <w:t>织方表现出的非合</w:t>
      </w:r>
      <w:proofErr w:type="gramStart"/>
      <w:r w:rsidR="00F371D6" w:rsidRPr="00AB16FD">
        <w:rPr>
          <w:rFonts w:ascii="Arial" w:eastAsia="宋体" w:hAnsi="Arial" w:cs="Arial"/>
          <w:snapToGrid w:val="0"/>
          <w:kern w:val="0"/>
          <w:sz w:val="24"/>
        </w:rPr>
        <w:t>规</w:t>
      </w:r>
      <w:proofErr w:type="gramEnd"/>
      <w:r w:rsidR="00F371D6" w:rsidRPr="00AB16FD">
        <w:rPr>
          <w:rFonts w:ascii="Arial" w:eastAsia="宋体" w:hAnsi="Arial" w:cs="Arial"/>
          <w:snapToGrid w:val="0"/>
          <w:kern w:val="0"/>
          <w:sz w:val="24"/>
        </w:rPr>
        <w:t>情况</w:t>
      </w:r>
    </w:p>
    <w:p w:rsidR="00F371D6" w:rsidRPr="00AB16FD" w:rsidRDefault="00F371D6"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机构会考虑组织方在组织表面上独立的教育项目时，是否存在不符合独立、平衡、客观或科学性标准的项目的记录。</w:t>
      </w:r>
    </w:p>
    <w:p w:rsidR="00F371D6"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7</w:t>
      </w:r>
      <w:r>
        <w:rPr>
          <w:rFonts w:ascii="Arial" w:eastAsia="宋体" w:hAnsi="Arial" w:cs="Arial"/>
          <w:snapToGrid w:val="0"/>
          <w:kern w:val="0"/>
          <w:sz w:val="24"/>
        </w:rPr>
        <w:t>）</w:t>
      </w:r>
      <w:r w:rsidRPr="00AB16FD">
        <w:rPr>
          <w:rFonts w:ascii="Arial" w:eastAsia="宋体" w:hAnsi="Arial" w:cs="Arial"/>
          <w:snapToGrid w:val="0"/>
          <w:kern w:val="0"/>
          <w:sz w:val="24"/>
        </w:rPr>
        <w:t>多</w:t>
      </w:r>
      <w:r w:rsidR="00F371D6" w:rsidRPr="00AB16FD">
        <w:rPr>
          <w:rFonts w:ascii="Arial" w:eastAsia="宋体" w:hAnsi="Arial" w:cs="Arial"/>
          <w:snapToGrid w:val="0"/>
          <w:kern w:val="0"/>
          <w:sz w:val="24"/>
        </w:rPr>
        <w:t>个</w:t>
      </w:r>
      <w:r w:rsidR="0018526F">
        <w:rPr>
          <w:rFonts w:ascii="Arial" w:eastAsia="宋体" w:hAnsi="Arial" w:cs="Arial"/>
          <w:snapToGrid w:val="0"/>
          <w:kern w:val="0"/>
          <w:sz w:val="24"/>
        </w:rPr>
        <w:t>演讲人</w:t>
      </w:r>
    </w:p>
    <w:p w:rsidR="00F371D6" w:rsidRPr="00AB16FD" w:rsidRDefault="00F371D6"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机构会考虑是否针对相同的项目开展了多次演讲。</w:t>
      </w:r>
      <w:r w:rsidRPr="00AB16FD">
        <w:rPr>
          <w:rStyle w:val="a4"/>
          <w:rFonts w:ascii="Arial" w:eastAsia="宋体" w:hAnsi="Arial" w:cs="Arial"/>
          <w:snapToGrid w:val="0"/>
          <w:kern w:val="0"/>
          <w:sz w:val="24"/>
        </w:rPr>
        <w:footnoteReference w:id="4"/>
      </w:r>
    </w:p>
    <w:p w:rsidR="00F371D6"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8</w:t>
      </w:r>
      <w:r>
        <w:rPr>
          <w:rFonts w:ascii="Arial" w:eastAsia="宋体" w:hAnsi="Arial" w:cs="Arial"/>
          <w:snapToGrid w:val="0"/>
          <w:kern w:val="0"/>
          <w:sz w:val="24"/>
        </w:rPr>
        <w:t>）</w:t>
      </w:r>
      <w:r w:rsidRPr="00AB16FD">
        <w:rPr>
          <w:rFonts w:ascii="Arial" w:eastAsia="宋体" w:hAnsi="Arial" w:cs="Arial"/>
          <w:snapToGrid w:val="0"/>
          <w:kern w:val="0"/>
          <w:sz w:val="24"/>
        </w:rPr>
        <w:t>听</w:t>
      </w:r>
      <w:r w:rsidR="00F371D6" w:rsidRPr="00AB16FD">
        <w:rPr>
          <w:rFonts w:ascii="Arial" w:eastAsia="宋体" w:hAnsi="Arial" w:cs="Arial"/>
          <w:snapToGrid w:val="0"/>
          <w:kern w:val="0"/>
          <w:sz w:val="24"/>
        </w:rPr>
        <w:t>众选择</w:t>
      </w:r>
    </w:p>
    <w:p w:rsidR="00F371D6" w:rsidRPr="00AB16FD" w:rsidRDefault="00F371D6"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w:t>
      </w:r>
      <w:proofErr w:type="gramStart"/>
      <w:r w:rsidRPr="00AB16FD">
        <w:rPr>
          <w:rFonts w:ascii="Arial" w:eastAsia="宋体" w:hAnsi="Arial" w:cs="Arial"/>
          <w:snapToGrid w:val="0"/>
          <w:kern w:val="0"/>
          <w:sz w:val="24"/>
        </w:rPr>
        <w:t>考虑受</w:t>
      </w:r>
      <w:proofErr w:type="gramEnd"/>
      <w:r w:rsidRPr="00AB16FD">
        <w:rPr>
          <w:rFonts w:ascii="Arial" w:eastAsia="宋体" w:hAnsi="Arial" w:cs="Arial"/>
          <w:snapToGrid w:val="0"/>
          <w:kern w:val="0"/>
          <w:sz w:val="24"/>
        </w:rPr>
        <w:t>支持活动的邀请或邮件列表是否由支持公司的销售或营销部门指定，或</w:t>
      </w:r>
      <w:r w:rsidR="00A72538">
        <w:rPr>
          <w:rFonts w:ascii="Arial" w:eastAsia="宋体" w:hAnsi="Arial" w:cs="Arial" w:hint="eastAsia"/>
          <w:snapToGrid w:val="0"/>
          <w:kern w:val="0"/>
          <w:sz w:val="24"/>
        </w:rPr>
        <w:t>表明</w:t>
      </w:r>
      <w:r w:rsidRPr="00AB16FD">
        <w:rPr>
          <w:rFonts w:ascii="Arial" w:eastAsia="宋体" w:hAnsi="Arial" w:cs="Arial"/>
          <w:snapToGrid w:val="0"/>
          <w:kern w:val="0"/>
          <w:sz w:val="24"/>
        </w:rPr>
        <w:t>销售或营销目标</w:t>
      </w:r>
      <w:r w:rsidR="00AB16FD">
        <w:rPr>
          <w:rFonts w:ascii="Arial" w:eastAsia="宋体" w:hAnsi="Arial" w:cs="Arial"/>
          <w:snapToGrid w:val="0"/>
          <w:kern w:val="0"/>
          <w:sz w:val="24"/>
        </w:rPr>
        <w:t>（</w:t>
      </w:r>
      <w:r w:rsidRPr="00AB16FD">
        <w:rPr>
          <w:rFonts w:ascii="Arial" w:eastAsia="宋体" w:hAnsi="Arial" w:cs="Arial"/>
          <w:snapToGrid w:val="0"/>
          <w:kern w:val="0"/>
          <w:sz w:val="24"/>
        </w:rPr>
        <w:t>例如，回馈公司产品的大量订购方，或影响</w:t>
      </w:r>
      <w:r w:rsidR="00AB16FD" w:rsidRPr="00AB16FD">
        <w:rPr>
          <w:rFonts w:ascii="宋体" w:eastAsia="宋体" w:hAnsi="宋体" w:cs="Arial"/>
          <w:snapToGrid w:val="0"/>
          <w:kern w:val="0"/>
          <w:sz w:val="24"/>
        </w:rPr>
        <w:t>“</w:t>
      </w:r>
      <w:r w:rsidRPr="00AB16FD">
        <w:rPr>
          <w:rFonts w:ascii="Arial" w:eastAsia="宋体" w:hAnsi="Arial" w:cs="Arial"/>
          <w:snapToGrid w:val="0"/>
          <w:kern w:val="0"/>
          <w:sz w:val="24"/>
        </w:rPr>
        <w:t>意见领袖</w:t>
      </w:r>
      <w:r w:rsidR="00AB16FD" w:rsidRPr="00AB16FD">
        <w:rPr>
          <w:rFonts w:ascii="宋体" w:eastAsia="宋体" w:hAnsi="宋体" w:cs="Arial"/>
          <w:snapToGrid w:val="0"/>
          <w:kern w:val="0"/>
          <w:sz w:val="24"/>
        </w:rPr>
        <w:t>”</w:t>
      </w:r>
      <w:r w:rsidR="00AB16FD">
        <w:rPr>
          <w:rFonts w:ascii="Arial" w:eastAsia="宋体" w:hAnsi="Arial" w:cs="Arial"/>
          <w:snapToGrid w:val="0"/>
          <w:kern w:val="0"/>
          <w:sz w:val="24"/>
        </w:rPr>
        <w:t>）</w:t>
      </w:r>
      <w:r w:rsidRPr="00AB16FD">
        <w:rPr>
          <w:rFonts w:ascii="Arial" w:eastAsia="宋体" w:hAnsi="Arial" w:cs="Arial"/>
          <w:snapToGrid w:val="0"/>
          <w:kern w:val="0"/>
          <w:sz w:val="24"/>
        </w:rPr>
        <w:t>。</w:t>
      </w:r>
    </w:p>
    <w:p w:rsidR="00F371D6"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9</w:t>
      </w:r>
      <w:r>
        <w:rPr>
          <w:rFonts w:ascii="Arial" w:eastAsia="宋体" w:hAnsi="Arial" w:cs="Arial"/>
          <w:snapToGrid w:val="0"/>
          <w:kern w:val="0"/>
          <w:sz w:val="24"/>
        </w:rPr>
        <w:t>）</w:t>
      </w:r>
      <w:r w:rsidRPr="00AB16FD">
        <w:rPr>
          <w:rFonts w:ascii="Arial" w:eastAsia="宋体" w:hAnsi="Arial" w:cs="Arial"/>
          <w:snapToGrid w:val="0"/>
          <w:kern w:val="0"/>
          <w:sz w:val="24"/>
        </w:rPr>
        <w:t>讨</w:t>
      </w:r>
      <w:r w:rsidR="00F371D6" w:rsidRPr="00AB16FD">
        <w:rPr>
          <w:rFonts w:ascii="Arial" w:eastAsia="宋体" w:hAnsi="Arial" w:cs="Arial"/>
          <w:snapToGrid w:val="0"/>
          <w:kern w:val="0"/>
          <w:sz w:val="24"/>
        </w:rPr>
        <w:t>论机会</w:t>
      </w:r>
    </w:p>
    <w:p w:rsidR="00F371D6" w:rsidRPr="00AB16FD" w:rsidRDefault="00F371D6"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对于现场演讲，机构会考虑</w:t>
      </w:r>
      <w:r w:rsidR="0045797A" w:rsidRPr="00AB16FD">
        <w:rPr>
          <w:rFonts w:ascii="Arial" w:eastAsia="宋体" w:hAnsi="Arial" w:cs="Arial"/>
          <w:snapToGrid w:val="0"/>
          <w:kern w:val="0"/>
          <w:sz w:val="24"/>
        </w:rPr>
        <w:t>项目期间</w:t>
      </w:r>
      <w:r w:rsidRPr="00AB16FD">
        <w:rPr>
          <w:rFonts w:ascii="Arial" w:eastAsia="宋体" w:hAnsi="Arial" w:cs="Arial"/>
          <w:snapToGrid w:val="0"/>
          <w:kern w:val="0"/>
          <w:sz w:val="24"/>
        </w:rPr>
        <w:t>是否</w:t>
      </w:r>
      <w:r w:rsidR="0045797A" w:rsidRPr="00AB16FD">
        <w:rPr>
          <w:rFonts w:ascii="Arial" w:eastAsia="宋体" w:hAnsi="Arial" w:cs="Arial"/>
          <w:snapToGrid w:val="0"/>
          <w:kern w:val="0"/>
          <w:sz w:val="24"/>
        </w:rPr>
        <w:t>会提供有意义的讨论会提问机会。</w:t>
      </w:r>
    </w:p>
    <w:p w:rsidR="0061066A" w:rsidRDefault="0061066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45797A"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lastRenderedPageBreak/>
        <w:t>（</w:t>
      </w:r>
      <w:r w:rsidRPr="00AB16FD">
        <w:rPr>
          <w:rFonts w:ascii="Arial" w:eastAsia="宋体" w:hAnsi="Arial" w:cs="Arial"/>
          <w:snapToGrid w:val="0"/>
          <w:kern w:val="0"/>
          <w:sz w:val="24"/>
        </w:rPr>
        <w:t>10</w:t>
      </w:r>
      <w:r>
        <w:rPr>
          <w:rFonts w:ascii="Arial" w:eastAsia="宋体" w:hAnsi="Arial" w:cs="Arial"/>
          <w:snapToGrid w:val="0"/>
          <w:kern w:val="0"/>
          <w:sz w:val="24"/>
        </w:rPr>
        <w:t>）</w:t>
      </w:r>
      <w:r w:rsidRPr="00AB16FD">
        <w:rPr>
          <w:rFonts w:ascii="Arial" w:eastAsia="宋体" w:hAnsi="Arial" w:cs="Arial"/>
          <w:snapToGrid w:val="0"/>
          <w:kern w:val="0"/>
          <w:sz w:val="24"/>
        </w:rPr>
        <w:t>传</w:t>
      </w:r>
      <w:r w:rsidR="0045797A" w:rsidRPr="00AB16FD">
        <w:rPr>
          <w:rFonts w:ascii="Arial" w:eastAsia="宋体" w:hAnsi="Arial" w:cs="Arial"/>
          <w:snapToGrid w:val="0"/>
          <w:kern w:val="0"/>
          <w:sz w:val="24"/>
        </w:rPr>
        <w:t>播</w:t>
      </w:r>
    </w:p>
    <w:p w:rsidR="0045797A" w:rsidRPr="00AB16FD" w:rsidRDefault="0045797A"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机构会考虑在科学或教育活动期间呈现的支持公司的产品信息是否会在项目完成后，由公司或公司的授意进一步传播，而非通过下文中讨论的索取后或通过独立的组织者进行</w:t>
      </w:r>
      <w:r w:rsidR="00A72538">
        <w:rPr>
          <w:rFonts w:ascii="Arial" w:eastAsia="宋体" w:hAnsi="Arial" w:cs="Arial"/>
          <w:snapToGrid w:val="0"/>
          <w:kern w:val="0"/>
          <w:sz w:val="24"/>
        </w:rPr>
        <w:t>传播</w:t>
      </w:r>
      <w:r w:rsidRPr="00AB16FD">
        <w:rPr>
          <w:rFonts w:ascii="Arial" w:eastAsia="宋体" w:hAnsi="Arial" w:cs="Arial"/>
          <w:snapToGrid w:val="0"/>
          <w:kern w:val="0"/>
          <w:sz w:val="24"/>
        </w:rPr>
        <w:t>。</w:t>
      </w:r>
    </w:p>
    <w:p w:rsidR="0045797A"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11</w:t>
      </w:r>
      <w:r>
        <w:rPr>
          <w:rFonts w:ascii="Arial" w:eastAsia="宋体" w:hAnsi="Arial" w:cs="Arial"/>
          <w:snapToGrid w:val="0"/>
          <w:kern w:val="0"/>
          <w:sz w:val="24"/>
        </w:rPr>
        <w:t>）</w:t>
      </w:r>
      <w:r w:rsidRPr="00AB16FD">
        <w:rPr>
          <w:rFonts w:ascii="Arial" w:eastAsia="宋体" w:hAnsi="Arial" w:cs="Arial"/>
          <w:snapToGrid w:val="0"/>
          <w:kern w:val="0"/>
          <w:sz w:val="24"/>
        </w:rPr>
        <w:t>附</w:t>
      </w:r>
      <w:r w:rsidR="0045797A" w:rsidRPr="00AB16FD">
        <w:rPr>
          <w:rFonts w:ascii="Arial" w:eastAsia="宋体" w:hAnsi="Arial" w:cs="Arial"/>
          <w:snapToGrid w:val="0"/>
          <w:kern w:val="0"/>
          <w:sz w:val="24"/>
        </w:rPr>
        <w:t>加的营销活动</w:t>
      </w:r>
    </w:p>
    <w:p w:rsidR="0045797A" w:rsidRPr="00AB16FD" w:rsidRDefault="004961B9"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机构会考虑会议室内是否有营销性活动，如销售代表演讲或营销展览。</w:t>
      </w:r>
    </w:p>
    <w:p w:rsidR="004961B9" w:rsidRPr="00AB16FD" w:rsidRDefault="00AB16FD" w:rsidP="0061066A">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w:t>
      </w:r>
      <w:r w:rsidRPr="00AB16FD">
        <w:rPr>
          <w:rFonts w:ascii="Arial" w:eastAsia="宋体" w:hAnsi="Arial" w:cs="Arial"/>
          <w:snapToGrid w:val="0"/>
          <w:kern w:val="0"/>
          <w:sz w:val="24"/>
        </w:rPr>
        <w:t>12</w:t>
      </w:r>
      <w:r>
        <w:rPr>
          <w:rFonts w:ascii="Arial" w:eastAsia="宋体" w:hAnsi="Arial" w:cs="Arial"/>
          <w:snapToGrid w:val="0"/>
          <w:kern w:val="0"/>
          <w:sz w:val="24"/>
        </w:rPr>
        <w:t>）</w:t>
      </w:r>
      <w:r w:rsidRPr="00AB16FD">
        <w:rPr>
          <w:rFonts w:ascii="Arial" w:eastAsia="宋体" w:hAnsi="Arial" w:cs="Arial"/>
          <w:snapToGrid w:val="0"/>
          <w:kern w:val="0"/>
          <w:sz w:val="24"/>
        </w:rPr>
        <w:t>投</w:t>
      </w:r>
      <w:r w:rsidR="004961B9" w:rsidRPr="00AB16FD">
        <w:rPr>
          <w:rFonts w:ascii="Arial" w:eastAsia="宋体" w:hAnsi="Arial" w:cs="Arial"/>
          <w:snapToGrid w:val="0"/>
          <w:kern w:val="0"/>
          <w:sz w:val="24"/>
        </w:rPr>
        <w:t>诉</w:t>
      </w:r>
    </w:p>
    <w:p w:rsidR="004961B9" w:rsidRPr="00AB16FD" w:rsidRDefault="004961B9"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机构会考虑是否有组织者、</w:t>
      </w:r>
      <w:r w:rsidR="0018526F">
        <w:rPr>
          <w:rFonts w:ascii="Arial" w:eastAsia="宋体" w:hAnsi="Arial" w:cs="Arial"/>
          <w:snapToGrid w:val="0"/>
          <w:kern w:val="0"/>
          <w:sz w:val="24"/>
        </w:rPr>
        <w:t>演讲人</w:t>
      </w:r>
      <w:r w:rsidRPr="00AB16FD">
        <w:rPr>
          <w:rFonts w:ascii="Arial" w:eastAsia="宋体" w:hAnsi="Arial" w:cs="Arial"/>
          <w:snapToGrid w:val="0"/>
          <w:kern w:val="0"/>
          <w:sz w:val="24"/>
        </w:rPr>
        <w:t>或参与者提出了与支持公司试图影响内容相关的投诉。</w:t>
      </w:r>
    </w:p>
    <w:p w:rsidR="004961B9" w:rsidRPr="0061066A" w:rsidRDefault="004961B9" w:rsidP="0061066A">
      <w:pPr>
        <w:topLinePunct/>
        <w:adjustRightInd w:val="0"/>
        <w:snapToGrid w:val="0"/>
        <w:spacing w:afterLines="75" w:after="234" w:line="360" w:lineRule="auto"/>
        <w:rPr>
          <w:rFonts w:ascii="Arial" w:eastAsia="宋体" w:hAnsi="Arial" w:cs="Arial"/>
          <w:i/>
          <w:snapToGrid w:val="0"/>
          <w:kern w:val="0"/>
          <w:sz w:val="24"/>
        </w:rPr>
      </w:pPr>
      <w:r w:rsidRPr="0061066A">
        <w:rPr>
          <w:rFonts w:ascii="Arial" w:eastAsia="宋体" w:hAnsi="Arial" w:cs="Arial"/>
          <w:i/>
          <w:snapToGrid w:val="0"/>
          <w:kern w:val="0"/>
          <w:sz w:val="24"/>
        </w:rPr>
        <w:t>B.</w:t>
      </w:r>
      <w:r w:rsidR="00AB16FD" w:rsidRPr="0061066A">
        <w:rPr>
          <w:rFonts w:ascii="Arial" w:eastAsia="宋体" w:hAnsi="Arial" w:cs="Arial"/>
          <w:i/>
          <w:snapToGrid w:val="0"/>
          <w:kern w:val="0"/>
          <w:sz w:val="24"/>
        </w:rPr>
        <w:t>其</w:t>
      </w:r>
      <w:r w:rsidRPr="0061066A">
        <w:rPr>
          <w:rFonts w:ascii="Arial" w:eastAsia="宋体" w:hAnsi="Arial" w:cs="Arial"/>
          <w:i/>
          <w:snapToGrid w:val="0"/>
          <w:kern w:val="0"/>
          <w:sz w:val="24"/>
        </w:rPr>
        <w:t>他考虑</w:t>
      </w:r>
    </w:p>
    <w:p w:rsidR="004961B9" w:rsidRPr="00AB16FD" w:rsidRDefault="004961B9"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上述因素并非旨在列出所有影响因素，特定情况下可能还需要考虑其他因素。</w:t>
      </w:r>
    </w:p>
    <w:p w:rsidR="004961B9" w:rsidRPr="00AB16FD" w:rsidRDefault="004961B9"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记录所采取的确保活动独立性措施的一种方式是组织者与支持公司达成书面协议。该文件应指明，组织方仅负责活动的设计和执行，且该活动为教育性、非营销性、不受商业偏见影响</w:t>
      </w:r>
      <w:r w:rsidR="00053835" w:rsidRPr="00AB16FD">
        <w:rPr>
          <w:rFonts w:ascii="Arial" w:eastAsia="宋体" w:hAnsi="Arial" w:cs="Arial"/>
          <w:snapToGrid w:val="0"/>
          <w:kern w:val="0"/>
          <w:sz w:val="24"/>
        </w:rPr>
        <w:t>。虽然没有强制要求，但书面协议以及上文所述的因素能够提供有用的证据，证明活动是否为独立的和非营销性的。</w:t>
      </w:r>
    </w:p>
    <w:p w:rsidR="00053835" w:rsidRPr="0061066A" w:rsidRDefault="00053835" w:rsidP="0061066A">
      <w:pPr>
        <w:pStyle w:val="a9"/>
        <w:numPr>
          <w:ilvl w:val="0"/>
          <w:numId w:val="1"/>
        </w:numPr>
        <w:topLinePunct/>
        <w:adjustRightInd w:val="0"/>
        <w:snapToGrid w:val="0"/>
        <w:spacing w:afterLines="75" w:after="234" w:line="360" w:lineRule="auto"/>
        <w:ind w:left="426" w:firstLineChars="0" w:hanging="426"/>
        <w:rPr>
          <w:rFonts w:ascii="Arial" w:eastAsia="宋体" w:hAnsi="Arial" w:cs="Arial"/>
          <w:b/>
          <w:snapToGrid w:val="0"/>
          <w:kern w:val="0"/>
          <w:sz w:val="24"/>
        </w:rPr>
      </w:pPr>
      <w:r w:rsidRPr="0061066A">
        <w:rPr>
          <w:rFonts w:ascii="Arial" w:eastAsia="宋体" w:hAnsi="Arial" w:cs="Arial"/>
          <w:b/>
          <w:snapToGrid w:val="0"/>
          <w:kern w:val="0"/>
          <w:sz w:val="24"/>
        </w:rPr>
        <w:t>FDA</w:t>
      </w:r>
      <w:r w:rsidRPr="0061066A">
        <w:rPr>
          <w:rFonts w:ascii="Arial" w:eastAsia="宋体" w:hAnsi="Arial" w:cs="Arial"/>
          <w:b/>
          <w:snapToGrid w:val="0"/>
          <w:kern w:val="0"/>
          <w:sz w:val="24"/>
        </w:rPr>
        <w:t>与主要相关机构的合作</w:t>
      </w:r>
    </w:p>
    <w:p w:rsidR="00053835" w:rsidRDefault="00053835" w:rsidP="0061066A">
      <w:pPr>
        <w:topLinePunct/>
        <w:adjustRightInd w:val="0"/>
        <w:snapToGrid w:val="0"/>
        <w:spacing w:afterLines="75" w:after="234" w:line="360" w:lineRule="auto"/>
        <w:rPr>
          <w:rFonts w:ascii="Arial" w:eastAsia="宋体" w:hAnsi="Arial" w:cs="Arial"/>
          <w:snapToGrid w:val="0"/>
          <w:kern w:val="0"/>
          <w:sz w:val="24"/>
        </w:rPr>
      </w:pPr>
      <w:r w:rsidRPr="00AB16FD">
        <w:rPr>
          <w:rFonts w:ascii="Arial" w:eastAsia="宋体" w:hAnsi="Arial" w:cs="Arial"/>
          <w:snapToGrid w:val="0"/>
          <w:kern w:val="0"/>
          <w:sz w:val="24"/>
        </w:rPr>
        <w:t>FDA</w:t>
      </w:r>
      <w:r w:rsidRPr="00AB16FD">
        <w:rPr>
          <w:rFonts w:ascii="Arial" w:eastAsia="宋体" w:hAnsi="Arial" w:cs="Arial"/>
          <w:snapToGrid w:val="0"/>
          <w:kern w:val="0"/>
          <w:sz w:val="24"/>
        </w:rPr>
        <w:t>认为，</w:t>
      </w:r>
      <w:r w:rsidR="00314CEA" w:rsidRPr="00AB16FD">
        <w:rPr>
          <w:rFonts w:ascii="Arial" w:eastAsia="宋体" w:hAnsi="Arial" w:cs="Arial"/>
          <w:snapToGrid w:val="0"/>
          <w:kern w:val="0"/>
          <w:sz w:val="24"/>
        </w:rPr>
        <w:t>授权机构能够在确保行业赞助的教育活动的独立性和非营销性过程中</w:t>
      </w:r>
      <w:r w:rsidR="00F62DF1">
        <w:rPr>
          <w:rFonts w:ascii="Arial" w:eastAsia="宋体" w:hAnsi="Arial" w:cs="Arial" w:hint="eastAsia"/>
          <w:snapToGrid w:val="0"/>
          <w:kern w:val="0"/>
          <w:sz w:val="24"/>
        </w:rPr>
        <w:t>承担</w:t>
      </w:r>
      <w:r w:rsidR="00314CEA" w:rsidRPr="00AB16FD">
        <w:rPr>
          <w:rFonts w:ascii="Arial" w:eastAsia="宋体" w:hAnsi="Arial" w:cs="Arial"/>
          <w:snapToGrid w:val="0"/>
          <w:kern w:val="0"/>
          <w:sz w:val="24"/>
        </w:rPr>
        <w:t>重要的</w:t>
      </w:r>
      <w:r w:rsidR="00F62DF1">
        <w:rPr>
          <w:rFonts w:ascii="Arial" w:eastAsia="宋体" w:hAnsi="Arial" w:cs="Arial" w:hint="eastAsia"/>
          <w:snapToGrid w:val="0"/>
          <w:kern w:val="0"/>
          <w:sz w:val="24"/>
        </w:rPr>
        <w:t>职责</w:t>
      </w:r>
      <w:r w:rsidR="00314CEA" w:rsidRPr="00AB16FD">
        <w:rPr>
          <w:rFonts w:ascii="Arial" w:eastAsia="宋体" w:hAnsi="Arial" w:cs="Arial"/>
          <w:snapToGrid w:val="0"/>
          <w:kern w:val="0"/>
          <w:sz w:val="24"/>
        </w:rPr>
        <w:t>。机构也认为，在确保公司营销性活动符合适用的法律要求时，政府应避免过多干预健康护理专家研究生教育和继续教育。因此，机构会继续与主要授权机构一起，监督由授权组织方开展的公司支持的教育活动。</w:t>
      </w:r>
    </w:p>
    <w:p w:rsidR="00466E29" w:rsidRDefault="00466E29">
      <w:pPr>
        <w:widowControl/>
        <w:jc w:val="left"/>
        <w:rPr>
          <w:rFonts w:ascii="Arial" w:eastAsia="宋体" w:hAnsi="Arial" w:cs="Arial"/>
          <w:snapToGrid w:val="0"/>
          <w:kern w:val="0"/>
          <w:sz w:val="20"/>
        </w:rPr>
      </w:pPr>
      <w:r>
        <w:rPr>
          <w:rFonts w:ascii="Arial" w:eastAsia="宋体" w:hAnsi="Arial" w:cs="Arial"/>
          <w:snapToGrid w:val="0"/>
          <w:kern w:val="0"/>
          <w:sz w:val="20"/>
        </w:rPr>
        <w:br w:type="page"/>
      </w:r>
    </w:p>
    <w:p w:rsidR="009D483A" w:rsidRPr="002905FD" w:rsidRDefault="00F62DF1" w:rsidP="009D483A">
      <w:pPr>
        <w:topLinePunct/>
        <w:adjustRightInd w:val="0"/>
        <w:snapToGrid w:val="0"/>
        <w:spacing w:line="360" w:lineRule="auto"/>
        <w:rPr>
          <w:rFonts w:ascii="Arial" w:eastAsia="宋体" w:hAnsi="Arial" w:cs="Arial"/>
          <w:snapToGrid w:val="0"/>
          <w:kern w:val="0"/>
          <w:sz w:val="20"/>
        </w:rPr>
      </w:pPr>
      <w:r w:rsidRPr="002905FD">
        <w:rPr>
          <w:rFonts w:ascii="Arial" w:eastAsia="宋体" w:hAnsi="Arial" w:cs="Arial" w:hint="eastAsia"/>
          <w:snapToGrid w:val="0"/>
          <w:kern w:val="0"/>
          <w:sz w:val="20"/>
        </w:rPr>
        <w:lastRenderedPageBreak/>
        <w:t>【</w:t>
      </w:r>
      <w:r w:rsidR="009D483A" w:rsidRPr="002905FD">
        <w:rPr>
          <w:rFonts w:ascii="Arial" w:eastAsia="宋体" w:hAnsi="Arial" w:cs="Arial"/>
          <w:snapToGrid w:val="0"/>
          <w:kern w:val="0"/>
          <w:sz w:val="20"/>
        </w:rPr>
        <w:t>FR Doc. 97–31741</w:t>
      </w:r>
      <w:r w:rsidRPr="002905FD">
        <w:rPr>
          <w:rFonts w:ascii="Arial" w:eastAsia="宋体" w:hAnsi="Arial" w:cs="Arial" w:hint="eastAsia"/>
          <w:snapToGrid w:val="0"/>
          <w:kern w:val="0"/>
          <w:sz w:val="20"/>
        </w:rPr>
        <w:t>于</w:t>
      </w:r>
      <w:r w:rsidRPr="002905FD">
        <w:rPr>
          <w:rFonts w:ascii="Arial" w:eastAsia="宋体" w:hAnsi="Arial" w:cs="Arial"/>
          <w:snapToGrid w:val="0"/>
          <w:kern w:val="0"/>
          <w:sz w:val="20"/>
        </w:rPr>
        <w:t>19</w:t>
      </w:r>
      <w:r w:rsidR="009D483A" w:rsidRPr="002905FD">
        <w:rPr>
          <w:rFonts w:ascii="Arial" w:eastAsia="宋体" w:hAnsi="Arial" w:cs="Arial"/>
          <w:snapToGrid w:val="0"/>
          <w:kern w:val="0"/>
          <w:sz w:val="20"/>
        </w:rPr>
        <w:t>97</w:t>
      </w:r>
      <w:r w:rsidRPr="002905FD">
        <w:rPr>
          <w:rFonts w:ascii="Arial" w:eastAsia="宋体" w:hAnsi="Arial" w:cs="Arial" w:hint="eastAsia"/>
          <w:snapToGrid w:val="0"/>
          <w:kern w:val="0"/>
          <w:sz w:val="20"/>
        </w:rPr>
        <w:t>年</w:t>
      </w:r>
      <w:r w:rsidRPr="002905FD">
        <w:rPr>
          <w:rFonts w:ascii="Arial" w:eastAsia="宋体" w:hAnsi="Arial" w:cs="Arial"/>
          <w:snapToGrid w:val="0"/>
          <w:kern w:val="0"/>
          <w:sz w:val="20"/>
        </w:rPr>
        <w:t>12</w:t>
      </w:r>
      <w:r w:rsidRPr="002905FD">
        <w:rPr>
          <w:rFonts w:ascii="Arial" w:eastAsia="宋体" w:hAnsi="Arial" w:cs="Arial" w:hint="eastAsia"/>
          <w:snapToGrid w:val="0"/>
          <w:kern w:val="0"/>
          <w:sz w:val="20"/>
        </w:rPr>
        <w:t>月</w:t>
      </w:r>
      <w:r w:rsidRPr="002905FD">
        <w:rPr>
          <w:rFonts w:ascii="Arial" w:eastAsia="宋体" w:hAnsi="Arial" w:cs="Arial"/>
          <w:snapToGrid w:val="0"/>
          <w:kern w:val="0"/>
          <w:sz w:val="20"/>
        </w:rPr>
        <w:t>2</w:t>
      </w:r>
      <w:r w:rsidRPr="002905FD">
        <w:rPr>
          <w:rFonts w:ascii="Arial" w:eastAsia="宋体" w:hAnsi="Arial" w:cs="Arial" w:hint="eastAsia"/>
          <w:snapToGrid w:val="0"/>
          <w:kern w:val="0"/>
          <w:sz w:val="20"/>
        </w:rPr>
        <w:t>日；</w:t>
      </w:r>
      <w:r w:rsidR="009D483A" w:rsidRPr="002905FD">
        <w:rPr>
          <w:rFonts w:ascii="Arial" w:eastAsia="宋体" w:hAnsi="Arial" w:cs="Arial"/>
          <w:snapToGrid w:val="0"/>
          <w:kern w:val="0"/>
          <w:sz w:val="20"/>
        </w:rPr>
        <w:t>8:45 am</w:t>
      </w:r>
      <w:r w:rsidRPr="002905FD">
        <w:rPr>
          <w:rFonts w:ascii="Arial" w:eastAsia="宋体" w:hAnsi="Arial" w:cs="Arial" w:hint="eastAsia"/>
          <w:snapToGrid w:val="0"/>
          <w:kern w:val="0"/>
          <w:sz w:val="20"/>
        </w:rPr>
        <w:t>】</w:t>
      </w:r>
    </w:p>
    <w:p w:rsidR="0061066A" w:rsidRPr="00466E29" w:rsidRDefault="00F62DF1" w:rsidP="009D483A">
      <w:pPr>
        <w:topLinePunct/>
        <w:adjustRightInd w:val="0"/>
        <w:snapToGrid w:val="0"/>
        <w:spacing w:line="360" w:lineRule="auto"/>
        <w:rPr>
          <w:rFonts w:ascii="Arial" w:eastAsia="宋体" w:hAnsi="Arial" w:cs="Arial"/>
          <w:b/>
          <w:snapToGrid w:val="0"/>
          <w:kern w:val="0"/>
          <w:sz w:val="18"/>
        </w:rPr>
      </w:pPr>
      <w:r w:rsidRPr="002905FD">
        <w:rPr>
          <w:rFonts w:ascii="Arial" w:eastAsia="宋体" w:hAnsi="Arial" w:cs="Arial" w:hint="eastAsia"/>
          <w:b/>
          <w:snapToGrid w:val="0"/>
          <w:kern w:val="0"/>
          <w:sz w:val="18"/>
        </w:rPr>
        <w:t>法案代码</w:t>
      </w:r>
      <w:r w:rsidR="009D483A" w:rsidRPr="002905FD">
        <w:rPr>
          <w:rFonts w:ascii="Arial" w:eastAsia="宋体" w:hAnsi="Arial" w:cs="Arial"/>
          <w:b/>
          <w:snapToGrid w:val="0"/>
          <w:kern w:val="0"/>
          <w:sz w:val="18"/>
        </w:rPr>
        <w:t>4160–01–C</w:t>
      </w:r>
    </w:p>
    <w:p w:rsidR="0061066A" w:rsidRPr="00AB16FD" w:rsidRDefault="0061066A" w:rsidP="0061066A">
      <w:pPr>
        <w:topLinePunct/>
        <w:adjustRightInd w:val="0"/>
        <w:snapToGrid w:val="0"/>
        <w:spacing w:afterLines="75" w:after="234" w:line="360" w:lineRule="auto"/>
        <w:rPr>
          <w:rFonts w:ascii="Arial" w:eastAsia="宋体" w:hAnsi="Arial" w:cs="Arial"/>
          <w:snapToGrid w:val="0"/>
          <w:kern w:val="0"/>
          <w:sz w:val="24"/>
        </w:rPr>
      </w:pPr>
    </w:p>
    <w:sectPr w:rsidR="0061066A" w:rsidRPr="00AB16FD" w:rsidSect="00651BB1">
      <w:headerReference w:type="even" r:id="rId9"/>
      <w:headerReference w:type="default" r:id="rId10"/>
      <w:pgSz w:w="11906" w:h="16838"/>
      <w:pgMar w:top="1134" w:right="1440" w:bottom="1134" w:left="1440" w:header="720" w:footer="720" w:gutter="0"/>
      <w:pgNumType w:start="6409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5F" w:rsidRDefault="002D1A5F" w:rsidP="00F91703">
      <w:r>
        <w:separator/>
      </w:r>
    </w:p>
  </w:endnote>
  <w:endnote w:type="continuationSeparator" w:id="0">
    <w:p w:rsidR="002D1A5F" w:rsidRDefault="002D1A5F" w:rsidP="00F9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5F" w:rsidRDefault="002D1A5F" w:rsidP="00F91703">
      <w:r>
        <w:separator/>
      </w:r>
    </w:p>
  </w:footnote>
  <w:footnote w:type="continuationSeparator" w:id="0">
    <w:p w:rsidR="002D1A5F" w:rsidRDefault="002D1A5F" w:rsidP="00F91703">
      <w:r>
        <w:continuationSeparator/>
      </w:r>
    </w:p>
  </w:footnote>
  <w:footnote w:id="1">
    <w:p w:rsidR="00F91703" w:rsidRPr="00EB6FDE" w:rsidRDefault="00F91703" w:rsidP="0061066A">
      <w:pPr>
        <w:pStyle w:val="a3"/>
        <w:spacing w:line="360" w:lineRule="auto"/>
        <w:jc w:val="both"/>
        <w:rPr>
          <w:rFonts w:ascii="Arial" w:eastAsia="宋体" w:hAnsi="Arial" w:cs="Arial"/>
          <w:sz w:val="21"/>
        </w:rPr>
      </w:pPr>
      <w:r w:rsidRPr="00EB6FDE">
        <w:rPr>
          <w:rStyle w:val="a4"/>
          <w:rFonts w:ascii="Arial" w:eastAsia="宋体" w:hAnsi="Arial" w:cs="Arial"/>
          <w:sz w:val="21"/>
        </w:rPr>
        <w:footnoteRef/>
      </w:r>
      <w:r w:rsidRPr="00EB6FDE">
        <w:rPr>
          <w:rFonts w:ascii="Arial" w:eastAsia="宋体" w:hAnsi="Arial" w:cs="Arial"/>
          <w:sz w:val="21"/>
        </w:rPr>
        <w:t xml:space="preserve"> </w:t>
      </w:r>
      <w:r w:rsidR="00BD2F14" w:rsidRPr="00EB6FDE">
        <w:rPr>
          <w:rFonts w:ascii="Arial" w:eastAsia="宋体" w:hAnsi="Arial" w:cs="Arial"/>
          <w:sz w:val="21"/>
        </w:rPr>
        <w:t>本指南由</w:t>
      </w:r>
      <w:r w:rsidR="00BD2F14" w:rsidRPr="00EB6FDE">
        <w:rPr>
          <w:rFonts w:ascii="Arial" w:eastAsia="宋体" w:hAnsi="Arial" w:cs="Arial"/>
          <w:sz w:val="21"/>
        </w:rPr>
        <w:t>FDA</w:t>
      </w:r>
      <w:r w:rsidR="00BD2F14" w:rsidRPr="00EB6FDE">
        <w:rPr>
          <w:rFonts w:ascii="Arial" w:eastAsia="宋体" w:hAnsi="Arial" w:cs="Arial"/>
          <w:sz w:val="21"/>
        </w:rPr>
        <w:t>广告和营销机构内部工作组制定。其代表机构对行业支持的科学和教育活动的最新见解。其不会为任何人创造或赋予任何权利，也不对</w:t>
      </w:r>
      <w:r w:rsidR="00BD2F14" w:rsidRPr="00EB6FDE">
        <w:rPr>
          <w:rFonts w:ascii="Arial" w:eastAsia="宋体" w:hAnsi="Arial" w:cs="Arial"/>
          <w:sz w:val="21"/>
        </w:rPr>
        <w:t>FDA</w:t>
      </w:r>
      <w:r w:rsidR="00BD2F14" w:rsidRPr="00EB6FDE">
        <w:rPr>
          <w:rFonts w:ascii="Arial" w:eastAsia="宋体" w:hAnsi="Arial" w:cs="Arial"/>
          <w:sz w:val="21"/>
        </w:rPr>
        <w:t>或公众具有约束力。如果替代方法满足适用的法律、法规或其两者的要求，可以使用替代方法。</w:t>
      </w:r>
    </w:p>
  </w:footnote>
  <w:footnote w:id="2">
    <w:p w:rsidR="005921DA" w:rsidRPr="00EB6FDE" w:rsidRDefault="005921DA" w:rsidP="0061066A">
      <w:pPr>
        <w:pStyle w:val="a3"/>
        <w:spacing w:line="360" w:lineRule="auto"/>
        <w:jc w:val="both"/>
        <w:rPr>
          <w:rFonts w:ascii="Arial" w:eastAsia="宋体" w:hAnsi="Arial" w:cs="Arial"/>
          <w:sz w:val="21"/>
        </w:rPr>
      </w:pPr>
      <w:r w:rsidRPr="00EB6FDE">
        <w:rPr>
          <w:rStyle w:val="a4"/>
          <w:rFonts w:ascii="Arial" w:eastAsia="宋体" w:hAnsi="Arial" w:cs="Arial"/>
          <w:sz w:val="21"/>
        </w:rPr>
        <w:footnoteRef/>
      </w:r>
      <w:r w:rsidRPr="00EB6FDE">
        <w:rPr>
          <w:rFonts w:ascii="Arial" w:eastAsia="宋体" w:hAnsi="Arial" w:cs="Arial"/>
          <w:sz w:val="21"/>
        </w:rPr>
        <w:t xml:space="preserve"> </w:t>
      </w:r>
      <w:r w:rsidR="00BD2F14" w:rsidRPr="00EB6FDE">
        <w:rPr>
          <w:rFonts w:ascii="Arial" w:eastAsia="宋体" w:hAnsi="Arial" w:cs="Arial"/>
          <w:sz w:val="21"/>
        </w:rPr>
        <w:t>在此上下文中</w:t>
      </w:r>
      <w:r w:rsidR="00BD2F14" w:rsidRPr="00A82C3E">
        <w:rPr>
          <w:rFonts w:ascii="宋体" w:eastAsia="宋体" w:hAnsi="宋体" w:cs="Arial"/>
          <w:sz w:val="21"/>
        </w:rPr>
        <w:t>，“独立”</w:t>
      </w:r>
      <w:r w:rsidR="00BD2F14" w:rsidRPr="00EB6FDE">
        <w:rPr>
          <w:rFonts w:ascii="Arial" w:eastAsia="宋体" w:hAnsi="Arial" w:cs="Arial"/>
          <w:sz w:val="21"/>
        </w:rPr>
        <w:t>和</w:t>
      </w:r>
      <w:r w:rsidR="00BD2F14" w:rsidRPr="00A82C3E">
        <w:rPr>
          <w:rFonts w:ascii="宋体" w:eastAsia="宋体" w:hAnsi="宋体" w:cs="Arial"/>
          <w:sz w:val="21"/>
        </w:rPr>
        <w:t>“非营销性”可</w:t>
      </w:r>
      <w:r w:rsidR="00BD2F14" w:rsidRPr="00EB6FDE">
        <w:rPr>
          <w:rFonts w:ascii="Arial" w:eastAsia="宋体" w:hAnsi="Arial" w:cs="Arial"/>
          <w:sz w:val="21"/>
        </w:rPr>
        <w:t>以互相替代使用。机构将独立性作为某项活动是否为非营销性的指标。</w:t>
      </w:r>
    </w:p>
  </w:footnote>
  <w:footnote w:id="3">
    <w:p w:rsidR="002D0A57" w:rsidRPr="00EB6FDE" w:rsidRDefault="002D0A57" w:rsidP="0061066A">
      <w:pPr>
        <w:pStyle w:val="a3"/>
        <w:spacing w:line="360" w:lineRule="auto"/>
        <w:jc w:val="both"/>
        <w:rPr>
          <w:rFonts w:ascii="Arial" w:eastAsia="宋体" w:hAnsi="Arial" w:cs="Arial"/>
          <w:sz w:val="21"/>
        </w:rPr>
      </w:pPr>
      <w:r w:rsidRPr="00EB6FDE">
        <w:rPr>
          <w:rStyle w:val="a4"/>
          <w:rFonts w:ascii="Arial" w:eastAsia="宋体" w:hAnsi="Arial" w:cs="Arial"/>
          <w:sz w:val="21"/>
        </w:rPr>
        <w:footnoteRef/>
      </w:r>
      <w:r w:rsidRPr="00EB6FDE">
        <w:rPr>
          <w:rFonts w:ascii="Arial" w:eastAsia="宋体" w:hAnsi="Arial" w:cs="Arial"/>
          <w:sz w:val="21"/>
        </w:rPr>
        <w:t xml:space="preserve"> </w:t>
      </w:r>
      <w:r w:rsidR="00BD2F14" w:rsidRPr="00EB6FDE">
        <w:rPr>
          <w:rFonts w:ascii="Arial" w:eastAsia="宋体" w:hAnsi="Arial" w:cs="Arial"/>
          <w:sz w:val="21"/>
        </w:rPr>
        <w:t>这些条款要求公司确保内容不涉及未批准使用情况的推广，并且对公司产品的讨论不得存在虚假或误导性，不应有失公允。</w:t>
      </w:r>
    </w:p>
  </w:footnote>
  <w:footnote w:id="4">
    <w:p w:rsidR="00F371D6" w:rsidRPr="00EB6FDE" w:rsidRDefault="00F371D6" w:rsidP="0061066A">
      <w:pPr>
        <w:pStyle w:val="a3"/>
        <w:spacing w:line="360" w:lineRule="auto"/>
        <w:jc w:val="both"/>
        <w:rPr>
          <w:rFonts w:ascii="Arial" w:eastAsia="宋体" w:hAnsi="Arial" w:cs="Arial"/>
          <w:sz w:val="21"/>
        </w:rPr>
      </w:pPr>
      <w:r w:rsidRPr="00EB6FDE">
        <w:rPr>
          <w:rStyle w:val="a4"/>
          <w:rFonts w:ascii="Arial" w:eastAsia="宋体" w:hAnsi="Arial" w:cs="Arial"/>
          <w:sz w:val="21"/>
        </w:rPr>
        <w:footnoteRef/>
      </w:r>
      <w:r w:rsidRPr="00EB6FDE">
        <w:rPr>
          <w:rFonts w:ascii="Arial" w:eastAsia="宋体" w:hAnsi="Arial" w:cs="Arial"/>
          <w:sz w:val="21"/>
        </w:rPr>
        <w:t xml:space="preserve"> </w:t>
      </w:r>
      <w:r w:rsidR="00BD2F14" w:rsidRPr="00EB6FDE">
        <w:rPr>
          <w:rFonts w:ascii="Arial" w:eastAsia="宋体" w:hAnsi="Arial" w:cs="Arial"/>
          <w:sz w:val="21"/>
        </w:rPr>
        <w:t>FDA</w:t>
      </w:r>
      <w:r w:rsidR="00BD2F14" w:rsidRPr="00EB6FDE">
        <w:rPr>
          <w:rFonts w:ascii="Arial" w:eastAsia="宋体" w:hAnsi="Arial" w:cs="Arial"/>
          <w:sz w:val="21"/>
        </w:rPr>
        <w:t>认为重复的项目</w:t>
      </w:r>
      <w:r w:rsidR="001237A7" w:rsidRPr="00EB6FDE">
        <w:rPr>
          <w:rFonts w:ascii="Arial" w:eastAsia="宋体" w:hAnsi="Arial" w:cs="Arial"/>
          <w:sz w:val="21"/>
        </w:rPr>
        <w:t>可能涉及</w:t>
      </w:r>
      <w:r w:rsidR="00F62DF1">
        <w:rPr>
          <w:rFonts w:ascii="Arial" w:eastAsia="宋体" w:hAnsi="Arial" w:cs="Arial"/>
          <w:sz w:val="21"/>
        </w:rPr>
        <w:t>公共卫生</w:t>
      </w:r>
      <w:r w:rsidR="00BD2F14" w:rsidRPr="00EB6FDE">
        <w:rPr>
          <w:rFonts w:ascii="Arial" w:eastAsia="宋体" w:hAnsi="Arial" w:cs="Arial"/>
          <w:sz w:val="21"/>
        </w:rPr>
        <w:t>利益。</w:t>
      </w:r>
      <w:r w:rsidR="00A72538">
        <w:rPr>
          <w:rFonts w:ascii="Arial" w:eastAsia="宋体" w:hAnsi="Arial" w:cs="Arial"/>
          <w:sz w:val="21"/>
        </w:rPr>
        <w:t>卫生和人类服务署</w:t>
      </w:r>
      <w:r w:rsidR="001237A7" w:rsidRPr="00EB6FDE">
        <w:rPr>
          <w:rFonts w:ascii="Arial" w:eastAsia="宋体" w:hAnsi="Arial" w:cs="Arial"/>
          <w:sz w:val="21"/>
        </w:rPr>
        <w:t>有时会鼓励针对选定的重要议题多次开展演讲。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6C7" w:rsidRPr="002905FD" w:rsidRDefault="003136C7" w:rsidP="003136C7">
    <w:pPr>
      <w:pStyle w:val="a6"/>
      <w:pBdr>
        <w:bottom w:val="none" w:sz="0" w:space="0" w:color="auto"/>
      </w:pBdr>
      <w:tabs>
        <w:tab w:val="clear" w:pos="4153"/>
        <w:tab w:val="clear" w:pos="8306"/>
        <w:tab w:val="center" w:pos="4820"/>
        <w:tab w:val="right" w:pos="9015"/>
      </w:tabs>
      <w:rPr>
        <w:rFonts w:ascii="Arial" w:eastAsia="宋体" w:hAnsi="Arial" w:cs="Arial"/>
        <w:sz w:val="21"/>
        <w:szCs w:val="21"/>
      </w:rPr>
    </w:pPr>
    <w:r w:rsidRPr="002905FD">
      <w:rPr>
        <w:rFonts w:ascii="Arial" w:eastAsia="宋体" w:hAnsi="Arial" w:cs="Arial"/>
        <w:b/>
        <w:bCs/>
        <w:kern w:val="0"/>
        <w:sz w:val="21"/>
        <w:szCs w:val="21"/>
      </w:rPr>
      <w:fldChar w:fldCharType="begin"/>
    </w:r>
    <w:r w:rsidRPr="002905FD">
      <w:rPr>
        <w:rFonts w:ascii="Arial" w:eastAsia="宋体" w:hAnsi="Arial" w:cs="Arial"/>
        <w:b/>
        <w:bCs/>
        <w:kern w:val="0"/>
        <w:sz w:val="21"/>
        <w:szCs w:val="21"/>
      </w:rPr>
      <w:instrText>PAGE   \* MERGEFORMAT</w:instrText>
    </w:r>
    <w:r w:rsidRPr="002905FD">
      <w:rPr>
        <w:rFonts w:ascii="Arial" w:eastAsia="宋体" w:hAnsi="Arial" w:cs="Arial"/>
        <w:b/>
        <w:bCs/>
        <w:kern w:val="0"/>
        <w:sz w:val="21"/>
        <w:szCs w:val="21"/>
      </w:rPr>
      <w:fldChar w:fldCharType="separate"/>
    </w:r>
    <w:r w:rsidR="002905FD">
      <w:rPr>
        <w:rFonts w:ascii="Arial" w:eastAsia="宋体" w:hAnsi="Arial" w:cs="Arial"/>
        <w:b/>
        <w:bCs/>
        <w:noProof/>
        <w:kern w:val="0"/>
        <w:sz w:val="21"/>
        <w:szCs w:val="21"/>
      </w:rPr>
      <w:t>64100</w:t>
    </w:r>
    <w:r w:rsidRPr="002905FD">
      <w:rPr>
        <w:rFonts w:ascii="Arial" w:eastAsia="宋体" w:hAnsi="Arial" w:cs="Arial"/>
        <w:b/>
        <w:bCs/>
        <w:kern w:val="0"/>
        <w:sz w:val="21"/>
        <w:szCs w:val="21"/>
      </w:rPr>
      <w:fldChar w:fldCharType="end"/>
    </w:r>
    <w:r w:rsidRPr="002905FD">
      <w:rPr>
        <w:rFonts w:ascii="Arial" w:eastAsia="宋体" w:hAnsi="Arial" w:cs="Arial"/>
        <w:b/>
        <w:bCs/>
        <w:kern w:val="0"/>
        <w:sz w:val="21"/>
        <w:szCs w:val="21"/>
      </w:rPr>
      <w:tab/>
    </w:r>
    <w:r w:rsidR="005D1BCA" w:rsidRPr="002905FD">
      <w:rPr>
        <w:rFonts w:ascii="Arial" w:eastAsia="宋体" w:hAnsi="Arial" w:cs="Arial" w:hint="eastAsia"/>
        <w:b/>
        <w:bCs/>
        <w:kern w:val="0"/>
        <w:sz w:val="21"/>
        <w:szCs w:val="21"/>
      </w:rPr>
      <w:t>联邦注册</w:t>
    </w:r>
    <w:r w:rsidRPr="002905FD">
      <w:rPr>
        <w:rFonts w:ascii="Arial" w:eastAsia="宋体" w:hAnsi="Arial" w:cs="Arial"/>
        <w:kern w:val="0"/>
        <w:sz w:val="21"/>
        <w:szCs w:val="21"/>
      </w:rPr>
      <w:t>/</w:t>
    </w:r>
    <w:r w:rsidR="005D1BCA" w:rsidRPr="002905FD">
      <w:rPr>
        <w:rFonts w:ascii="Arial" w:eastAsia="宋体" w:hAnsi="Arial" w:cs="Arial" w:hint="eastAsia"/>
        <w:kern w:val="0"/>
        <w:sz w:val="21"/>
        <w:szCs w:val="21"/>
      </w:rPr>
      <w:t>卷</w:t>
    </w:r>
    <w:r w:rsidRPr="002905FD">
      <w:rPr>
        <w:rFonts w:ascii="Arial" w:eastAsia="宋体" w:hAnsi="Arial" w:cs="Arial"/>
        <w:kern w:val="0"/>
        <w:sz w:val="21"/>
        <w:szCs w:val="21"/>
      </w:rPr>
      <w:t>62</w:t>
    </w:r>
    <w:r w:rsidR="005D1BCA" w:rsidRPr="002905FD">
      <w:rPr>
        <w:rFonts w:ascii="Arial" w:eastAsia="宋体" w:hAnsi="Arial" w:cs="Arial" w:hint="eastAsia"/>
        <w:kern w:val="0"/>
        <w:sz w:val="21"/>
        <w:szCs w:val="21"/>
      </w:rPr>
      <w:t>，编号</w:t>
    </w:r>
    <w:r w:rsidRPr="002905FD">
      <w:rPr>
        <w:rFonts w:ascii="Arial" w:eastAsia="宋体" w:hAnsi="Arial" w:cs="Arial"/>
        <w:kern w:val="0"/>
        <w:sz w:val="21"/>
        <w:szCs w:val="21"/>
      </w:rPr>
      <w:t xml:space="preserve">232 / </w:t>
    </w:r>
    <w:r w:rsidR="005D1BCA" w:rsidRPr="002905FD">
      <w:rPr>
        <w:rFonts w:ascii="Arial" w:eastAsia="宋体" w:hAnsi="Arial" w:cs="Arial" w:hint="eastAsia"/>
        <w:kern w:val="0"/>
        <w:sz w:val="21"/>
        <w:szCs w:val="21"/>
      </w:rPr>
      <w:t>周三，</w:t>
    </w:r>
    <w:r w:rsidR="005D1BCA" w:rsidRPr="002905FD">
      <w:rPr>
        <w:rFonts w:ascii="Arial" w:eastAsia="宋体" w:hAnsi="Arial" w:cs="Arial"/>
        <w:kern w:val="0"/>
        <w:sz w:val="21"/>
        <w:szCs w:val="21"/>
      </w:rPr>
      <w:t>1997</w:t>
    </w:r>
    <w:r w:rsidR="005D1BCA" w:rsidRPr="002905FD">
      <w:rPr>
        <w:rFonts w:ascii="Arial" w:eastAsia="宋体" w:hAnsi="Arial" w:cs="Arial" w:hint="eastAsia"/>
        <w:kern w:val="0"/>
        <w:sz w:val="21"/>
        <w:szCs w:val="21"/>
      </w:rPr>
      <w:t>年</w:t>
    </w:r>
    <w:r w:rsidR="005D1BCA" w:rsidRPr="002905FD">
      <w:rPr>
        <w:rFonts w:ascii="Arial" w:eastAsia="宋体" w:hAnsi="Arial" w:cs="Arial"/>
        <w:kern w:val="0"/>
        <w:sz w:val="21"/>
        <w:szCs w:val="21"/>
      </w:rPr>
      <w:t>12</w:t>
    </w:r>
    <w:r w:rsidR="005D1BCA" w:rsidRPr="002905FD">
      <w:rPr>
        <w:rFonts w:ascii="Arial" w:eastAsia="宋体" w:hAnsi="Arial" w:cs="Arial" w:hint="eastAsia"/>
        <w:kern w:val="0"/>
        <w:sz w:val="21"/>
        <w:szCs w:val="21"/>
      </w:rPr>
      <w:t>月</w:t>
    </w:r>
    <w:r w:rsidR="005D1BCA" w:rsidRPr="002905FD">
      <w:rPr>
        <w:rFonts w:ascii="Arial" w:eastAsia="宋体" w:hAnsi="Arial" w:cs="Arial"/>
        <w:kern w:val="0"/>
        <w:sz w:val="21"/>
        <w:szCs w:val="21"/>
      </w:rPr>
      <w:t>3</w:t>
    </w:r>
    <w:r w:rsidR="005D1BCA" w:rsidRPr="002905FD">
      <w:rPr>
        <w:rFonts w:ascii="Arial" w:eastAsia="宋体" w:hAnsi="Arial" w:cs="Arial" w:hint="eastAsia"/>
        <w:kern w:val="0"/>
        <w:sz w:val="21"/>
        <w:szCs w:val="21"/>
      </w:rPr>
      <w:t>日</w:t>
    </w:r>
    <w:r w:rsidRPr="002905FD">
      <w:rPr>
        <w:rFonts w:ascii="Arial" w:eastAsia="宋体" w:hAnsi="Arial" w:cs="Arial"/>
        <w:kern w:val="0"/>
        <w:sz w:val="21"/>
        <w:szCs w:val="21"/>
      </w:rPr>
      <w:t>/</w:t>
    </w:r>
    <w:r w:rsidR="005D1BCA" w:rsidRPr="002905FD">
      <w:rPr>
        <w:rFonts w:ascii="Arial" w:eastAsia="宋体" w:hAnsi="Arial" w:cs="Arial" w:hint="eastAsia"/>
        <w:kern w:val="0"/>
        <w:sz w:val="21"/>
        <w:szCs w:val="21"/>
      </w:rPr>
      <w:t>通告</w:t>
    </w:r>
    <w:r w:rsidRPr="002905FD">
      <w:rPr>
        <w:rFonts w:ascii="Arial" w:eastAsia="宋体" w:hAnsi="Arial" w:cs="Arial"/>
        <w:b/>
        <w:bCs/>
        <w:kern w:val="0"/>
        <w:sz w:val="21"/>
        <w:szCs w:val="21"/>
      </w:rPr>
      <w:tab/>
    </w:r>
  </w:p>
  <w:p w:rsidR="003136C7" w:rsidRDefault="003136C7" w:rsidP="003136C7">
    <w:pPr>
      <w:pStyle w:val="a6"/>
      <w:pBdr>
        <w:bottom w:val="none" w:sz="0" w:space="0" w:color="auto"/>
      </w:pBdr>
    </w:pPr>
    <w:r>
      <w:rPr>
        <w:rFonts w:hint="eastAsia"/>
        <w:noProof/>
      </w:rPr>
      <w:drawing>
        <wp:inline distT="0" distB="0" distL="0" distR="0" wp14:anchorId="22DFEEB5" wp14:editId="03D5664E">
          <wp:extent cx="5731510" cy="81996"/>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996"/>
                  </a:xfrm>
                  <a:prstGeom prst="rect">
                    <a:avLst/>
                  </a:prstGeom>
                  <a:noFill/>
                  <a:ln>
                    <a:noFill/>
                  </a:ln>
                </pic:spPr>
              </pic:pic>
            </a:graphicData>
          </a:graphic>
        </wp:inline>
      </w:drawing>
    </w:r>
  </w:p>
  <w:p w:rsidR="003136C7" w:rsidRDefault="003136C7" w:rsidP="003136C7">
    <w:pPr>
      <w:pStyle w:val="a6"/>
      <w:pBdr>
        <w:bottom w:val="none" w:sz="0" w:space="0" w:color="auto"/>
      </w:pBdr>
    </w:pPr>
  </w:p>
  <w:p w:rsidR="00651BB1" w:rsidRDefault="00651BB1" w:rsidP="00651BB1">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B1" w:rsidRPr="002905FD" w:rsidRDefault="00651BB1" w:rsidP="00651BB1">
    <w:pPr>
      <w:pStyle w:val="a6"/>
      <w:pBdr>
        <w:bottom w:val="none" w:sz="0" w:space="0" w:color="auto"/>
      </w:pBdr>
      <w:tabs>
        <w:tab w:val="clear" w:pos="8306"/>
        <w:tab w:val="right" w:pos="9015"/>
      </w:tabs>
      <w:rPr>
        <w:rFonts w:ascii="Arial" w:eastAsia="宋体" w:hAnsi="Arial" w:cs="Arial"/>
        <w:sz w:val="21"/>
        <w:szCs w:val="21"/>
      </w:rPr>
    </w:pPr>
    <w:r w:rsidRPr="002905FD">
      <w:rPr>
        <w:rFonts w:ascii="Arial" w:eastAsia="宋体" w:hAnsi="Arial" w:cs="Arial"/>
        <w:b/>
        <w:bCs/>
        <w:kern w:val="0"/>
        <w:sz w:val="21"/>
        <w:szCs w:val="21"/>
      </w:rPr>
      <w:tab/>
    </w:r>
    <w:r w:rsidR="005D1BCA" w:rsidRPr="002905FD">
      <w:rPr>
        <w:rFonts w:ascii="Arial" w:eastAsia="宋体" w:hAnsi="Arial" w:cs="Arial" w:hint="eastAsia"/>
        <w:b/>
        <w:bCs/>
        <w:kern w:val="0"/>
        <w:sz w:val="21"/>
        <w:szCs w:val="21"/>
      </w:rPr>
      <w:t>联邦注册</w:t>
    </w:r>
    <w:r w:rsidRPr="002905FD">
      <w:rPr>
        <w:rFonts w:ascii="Arial" w:eastAsia="宋体" w:hAnsi="Arial" w:cs="Arial"/>
        <w:kern w:val="0"/>
        <w:sz w:val="21"/>
        <w:szCs w:val="21"/>
      </w:rPr>
      <w:t>/</w:t>
    </w:r>
    <w:r w:rsidR="005D1BCA" w:rsidRPr="002905FD">
      <w:rPr>
        <w:rFonts w:ascii="Arial" w:eastAsia="宋体" w:hAnsi="Arial" w:cs="Arial" w:hint="eastAsia"/>
        <w:kern w:val="0"/>
        <w:sz w:val="21"/>
        <w:szCs w:val="21"/>
      </w:rPr>
      <w:t>卷</w:t>
    </w:r>
    <w:r w:rsidRPr="002905FD">
      <w:rPr>
        <w:rFonts w:ascii="Arial" w:eastAsia="宋体" w:hAnsi="Arial" w:cs="Arial"/>
        <w:kern w:val="0"/>
        <w:sz w:val="21"/>
        <w:szCs w:val="21"/>
      </w:rPr>
      <w:t>62</w:t>
    </w:r>
    <w:r w:rsidR="005D1BCA" w:rsidRPr="002905FD">
      <w:rPr>
        <w:rFonts w:ascii="Arial" w:eastAsia="宋体" w:hAnsi="Arial" w:cs="Arial" w:hint="eastAsia"/>
        <w:kern w:val="0"/>
        <w:sz w:val="21"/>
        <w:szCs w:val="21"/>
      </w:rPr>
      <w:t>，编号</w:t>
    </w:r>
    <w:r w:rsidRPr="002905FD">
      <w:rPr>
        <w:rFonts w:ascii="Arial" w:eastAsia="宋体" w:hAnsi="Arial" w:cs="Arial"/>
        <w:kern w:val="0"/>
        <w:sz w:val="21"/>
        <w:szCs w:val="21"/>
      </w:rPr>
      <w:t>232/</w:t>
    </w:r>
    <w:r w:rsidR="005D1BCA" w:rsidRPr="002905FD">
      <w:rPr>
        <w:rFonts w:ascii="Arial" w:eastAsia="宋体" w:hAnsi="Arial" w:cs="Arial" w:hint="eastAsia"/>
        <w:kern w:val="0"/>
        <w:sz w:val="21"/>
        <w:szCs w:val="21"/>
      </w:rPr>
      <w:t>周三，</w:t>
    </w:r>
    <w:r w:rsidR="005D1BCA" w:rsidRPr="002905FD">
      <w:rPr>
        <w:rFonts w:ascii="Arial" w:eastAsia="宋体" w:hAnsi="Arial" w:cs="Arial"/>
        <w:kern w:val="0"/>
        <w:sz w:val="21"/>
        <w:szCs w:val="21"/>
      </w:rPr>
      <w:t>1997</w:t>
    </w:r>
    <w:r w:rsidR="005D1BCA" w:rsidRPr="002905FD">
      <w:rPr>
        <w:rFonts w:ascii="Arial" w:eastAsia="宋体" w:hAnsi="Arial" w:cs="Arial" w:hint="eastAsia"/>
        <w:kern w:val="0"/>
        <w:sz w:val="21"/>
        <w:szCs w:val="21"/>
      </w:rPr>
      <w:t>年</w:t>
    </w:r>
    <w:r w:rsidR="005D1BCA" w:rsidRPr="002905FD">
      <w:rPr>
        <w:rFonts w:ascii="Arial" w:eastAsia="宋体" w:hAnsi="Arial" w:cs="Arial"/>
        <w:kern w:val="0"/>
        <w:sz w:val="21"/>
        <w:szCs w:val="21"/>
      </w:rPr>
      <w:t>12</w:t>
    </w:r>
    <w:r w:rsidR="005D1BCA" w:rsidRPr="002905FD">
      <w:rPr>
        <w:rFonts w:ascii="Arial" w:eastAsia="宋体" w:hAnsi="Arial" w:cs="Arial" w:hint="eastAsia"/>
        <w:kern w:val="0"/>
        <w:sz w:val="21"/>
        <w:szCs w:val="21"/>
      </w:rPr>
      <w:t>月</w:t>
    </w:r>
    <w:r w:rsidR="005D1BCA" w:rsidRPr="002905FD">
      <w:rPr>
        <w:rFonts w:ascii="Arial" w:eastAsia="宋体" w:hAnsi="Arial" w:cs="Arial"/>
        <w:kern w:val="0"/>
        <w:sz w:val="21"/>
        <w:szCs w:val="21"/>
      </w:rPr>
      <w:t>3</w:t>
    </w:r>
    <w:r w:rsidR="005D1BCA" w:rsidRPr="002905FD">
      <w:rPr>
        <w:rFonts w:ascii="Arial" w:eastAsia="宋体" w:hAnsi="Arial" w:cs="Arial" w:hint="eastAsia"/>
        <w:kern w:val="0"/>
        <w:sz w:val="21"/>
        <w:szCs w:val="21"/>
      </w:rPr>
      <w:t>日</w:t>
    </w:r>
    <w:r w:rsidRPr="002905FD">
      <w:rPr>
        <w:rFonts w:ascii="Arial" w:eastAsia="宋体" w:hAnsi="Arial" w:cs="Arial"/>
        <w:kern w:val="0"/>
        <w:sz w:val="21"/>
        <w:szCs w:val="21"/>
      </w:rPr>
      <w:t xml:space="preserve"> /</w:t>
    </w:r>
    <w:r w:rsidR="005D1BCA" w:rsidRPr="002905FD">
      <w:rPr>
        <w:rFonts w:ascii="Arial" w:eastAsia="宋体" w:hAnsi="Arial" w:cs="Arial" w:hint="eastAsia"/>
        <w:kern w:val="0"/>
        <w:sz w:val="21"/>
        <w:szCs w:val="21"/>
      </w:rPr>
      <w:t>通告</w:t>
    </w:r>
    <w:r w:rsidRPr="002905FD">
      <w:rPr>
        <w:rFonts w:ascii="Arial" w:eastAsia="宋体" w:hAnsi="Arial" w:cs="Arial"/>
        <w:kern w:val="0"/>
        <w:sz w:val="21"/>
        <w:szCs w:val="21"/>
      </w:rPr>
      <w:t xml:space="preserve"> </w:t>
    </w:r>
    <w:r w:rsidRPr="002905FD">
      <w:rPr>
        <w:rFonts w:ascii="Arial" w:eastAsia="宋体" w:hAnsi="Arial" w:cs="Arial"/>
        <w:b/>
        <w:bCs/>
        <w:kern w:val="0"/>
        <w:sz w:val="21"/>
        <w:szCs w:val="21"/>
      </w:rPr>
      <w:tab/>
    </w:r>
    <w:r w:rsidRPr="002905FD">
      <w:rPr>
        <w:rFonts w:ascii="Arial" w:eastAsia="宋体" w:hAnsi="Arial" w:cs="Arial"/>
        <w:b/>
        <w:bCs/>
        <w:kern w:val="0"/>
        <w:sz w:val="21"/>
        <w:szCs w:val="21"/>
      </w:rPr>
      <w:fldChar w:fldCharType="begin"/>
    </w:r>
    <w:r w:rsidRPr="002905FD">
      <w:rPr>
        <w:rFonts w:ascii="Arial" w:eastAsia="宋体" w:hAnsi="Arial" w:cs="Arial"/>
        <w:b/>
        <w:bCs/>
        <w:kern w:val="0"/>
        <w:sz w:val="21"/>
        <w:szCs w:val="21"/>
      </w:rPr>
      <w:instrText>PAGE   \* MERGEFORMAT</w:instrText>
    </w:r>
    <w:r w:rsidRPr="002905FD">
      <w:rPr>
        <w:rFonts w:ascii="Arial" w:eastAsia="宋体" w:hAnsi="Arial" w:cs="Arial"/>
        <w:b/>
        <w:bCs/>
        <w:kern w:val="0"/>
        <w:sz w:val="21"/>
        <w:szCs w:val="21"/>
      </w:rPr>
      <w:fldChar w:fldCharType="separate"/>
    </w:r>
    <w:r w:rsidR="002905FD">
      <w:rPr>
        <w:rFonts w:ascii="Arial" w:eastAsia="宋体" w:hAnsi="Arial" w:cs="Arial"/>
        <w:b/>
        <w:bCs/>
        <w:noProof/>
        <w:kern w:val="0"/>
        <w:sz w:val="21"/>
        <w:szCs w:val="21"/>
      </w:rPr>
      <w:t>64093</w:t>
    </w:r>
    <w:r w:rsidRPr="002905FD">
      <w:rPr>
        <w:rFonts w:ascii="Arial" w:eastAsia="宋体" w:hAnsi="Arial" w:cs="Arial"/>
        <w:b/>
        <w:bCs/>
        <w:kern w:val="0"/>
        <w:sz w:val="21"/>
        <w:szCs w:val="21"/>
      </w:rPr>
      <w:fldChar w:fldCharType="end"/>
    </w:r>
  </w:p>
  <w:p w:rsidR="00651BB1" w:rsidRDefault="00651BB1" w:rsidP="00651BB1">
    <w:pPr>
      <w:pStyle w:val="a6"/>
      <w:pBdr>
        <w:bottom w:val="none" w:sz="0" w:space="0" w:color="auto"/>
      </w:pBdr>
    </w:pPr>
    <w:r>
      <w:rPr>
        <w:rFonts w:hint="eastAsia"/>
        <w:noProof/>
      </w:rPr>
      <w:drawing>
        <wp:inline distT="0" distB="0" distL="0" distR="0" wp14:anchorId="07AF7C54" wp14:editId="72415AEF">
          <wp:extent cx="5731510" cy="81996"/>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996"/>
                  </a:xfrm>
                  <a:prstGeom prst="rect">
                    <a:avLst/>
                  </a:prstGeom>
                  <a:noFill/>
                  <a:ln>
                    <a:noFill/>
                  </a:ln>
                </pic:spPr>
              </pic:pic>
            </a:graphicData>
          </a:graphic>
        </wp:inline>
      </w:drawing>
    </w:r>
  </w:p>
  <w:p w:rsidR="00651BB1" w:rsidRDefault="00651BB1" w:rsidP="00651BB1">
    <w:pPr>
      <w:pStyle w:val="a6"/>
      <w:pBdr>
        <w:bottom w:val="none" w:sz="0" w:space="0" w:color="auto"/>
      </w:pBdr>
    </w:pPr>
  </w:p>
  <w:p w:rsidR="00651BB1" w:rsidRDefault="00651BB1" w:rsidP="00651BB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F3A3E"/>
    <w:multiLevelType w:val="hybridMultilevel"/>
    <w:tmpl w:val="A2203B0E"/>
    <w:lvl w:ilvl="0" w:tplc="3C4445A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05"/>
    <w:rsid w:val="00053324"/>
    <w:rsid w:val="00053835"/>
    <w:rsid w:val="000609A7"/>
    <w:rsid w:val="00081EA1"/>
    <w:rsid w:val="001237A7"/>
    <w:rsid w:val="00144437"/>
    <w:rsid w:val="0018526F"/>
    <w:rsid w:val="001D5738"/>
    <w:rsid w:val="002905FD"/>
    <w:rsid w:val="002D0A57"/>
    <w:rsid w:val="002D1A5F"/>
    <w:rsid w:val="003136C7"/>
    <w:rsid w:val="00314CEA"/>
    <w:rsid w:val="003A3440"/>
    <w:rsid w:val="003D2185"/>
    <w:rsid w:val="00420E6A"/>
    <w:rsid w:val="0045797A"/>
    <w:rsid w:val="00466E29"/>
    <w:rsid w:val="00494A24"/>
    <w:rsid w:val="004961B9"/>
    <w:rsid w:val="005910C4"/>
    <w:rsid w:val="005921DA"/>
    <w:rsid w:val="005D1BCA"/>
    <w:rsid w:val="0061066A"/>
    <w:rsid w:val="00651BB1"/>
    <w:rsid w:val="00685D1B"/>
    <w:rsid w:val="007021ED"/>
    <w:rsid w:val="00733DB3"/>
    <w:rsid w:val="00770319"/>
    <w:rsid w:val="009B543B"/>
    <w:rsid w:val="009C6F07"/>
    <w:rsid w:val="009C7C1D"/>
    <w:rsid w:val="009D483A"/>
    <w:rsid w:val="00A72538"/>
    <w:rsid w:val="00A82C3E"/>
    <w:rsid w:val="00AB16FD"/>
    <w:rsid w:val="00B8480A"/>
    <w:rsid w:val="00B94348"/>
    <w:rsid w:val="00BD2F14"/>
    <w:rsid w:val="00CF0F1D"/>
    <w:rsid w:val="00CF4405"/>
    <w:rsid w:val="00DF7C9E"/>
    <w:rsid w:val="00E91D0A"/>
    <w:rsid w:val="00EA7861"/>
    <w:rsid w:val="00EB6FDE"/>
    <w:rsid w:val="00F007E1"/>
    <w:rsid w:val="00F0169D"/>
    <w:rsid w:val="00F371D6"/>
    <w:rsid w:val="00F62DF1"/>
    <w:rsid w:val="00F91703"/>
    <w:rsid w:val="00FE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91703"/>
    <w:pPr>
      <w:snapToGrid w:val="0"/>
      <w:jc w:val="left"/>
    </w:pPr>
    <w:rPr>
      <w:sz w:val="18"/>
      <w:szCs w:val="18"/>
    </w:rPr>
  </w:style>
  <w:style w:type="character" w:customStyle="1" w:styleId="Char">
    <w:name w:val="脚注文本 Char"/>
    <w:basedOn w:val="a0"/>
    <w:link w:val="a3"/>
    <w:uiPriority w:val="99"/>
    <w:semiHidden/>
    <w:rsid w:val="00F91703"/>
    <w:rPr>
      <w:sz w:val="18"/>
      <w:szCs w:val="18"/>
    </w:rPr>
  </w:style>
  <w:style w:type="character" w:styleId="a4">
    <w:name w:val="footnote reference"/>
    <w:basedOn w:val="a0"/>
    <w:uiPriority w:val="99"/>
    <w:semiHidden/>
    <w:unhideWhenUsed/>
    <w:rsid w:val="00F91703"/>
    <w:rPr>
      <w:vertAlign w:val="superscript"/>
    </w:rPr>
  </w:style>
  <w:style w:type="table" w:styleId="a5">
    <w:name w:val="Table Grid"/>
    <w:basedOn w:val="a1"/>
    <w:uiPriority w:val="39"/>
    <w:rsid w:val="00E91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AB16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16FD"/>
    <w:rPr>
      <w:sz w:val="18"/>
      <w:szCs w:val="18"/>
    </w:rPr>
  </w:style>
  <w:style w:type="paragraph" w:styleId="a7">
    <w:name w:val="footer"/>
    <w:basedOn w:val="a"/>
    <w:link w:val="Char1"/>
    <w:uiPriority w:val="99"/>
    <w:unhideWhenUsed/>
    <w:rsid w:val="00AB16FD"/>
    <w:pPr>
      <w:tabs>
        <w:tab w:val="center" w:pos="4153"/>
        <w:tab w:val="right" w:pos="8306"/>
      </w:tabs>
      <w:snapToGrid w:val="0"/>
      <w:jc w:val="left"/>
    </w:pPr>
    <w:rPr>
      <w:sz w:val="18"/>
      <w:szCs w:val="18"/>
    </w:rPr>
  </w:style>
  <w:style w:type="character" w:customStyle="1" w:styleId="Char1">
    <w:name w:val="页脚 Char"/>
    <w:basedOn w:val="a0"/>
    <w:link w:val="a7"/>
    <w:uiPriority w:val="99"/>
    <w:rsid w:val="00AB16FD"/>
    <w:rPr>
      <w:sz w:val="18"/>
      <w:szCs w:val="18"/>
    </w:rPr>
  </w:style>
  <w:style w:type="paragraph" w:styleId="a8">
    <w:name w:val="Balloon Text"/>
    <w:basedOn w:val="a"/>
    <w:link w:val="Char2"/>
    <w:uiPriority w:val="99"/>
    <w:semiHidden/>
    <w:unhideWhenUsed/>
    <w:rsid w:val="00651BB1"/>
    <w:rPr>
      <w:sz w:val="18"/>
      <w:szCs w:val="18"/>
    </w:rPr>
  </w:style>
  <w:style w:type="character" w:customStyle="1" w:styleId="Char2">
    <w:name w:val="批注框文本 Char"/>
    <w:basedOn w:val="a0"/>
    <w:link w:val="a8"/>
    <w:uiPriority w:val="99"/>
    <w:semiHidden/>
    <w:rsid w:val="00651BB1"/>
    <w:rPr>
      <w:sz w:val="18"/>
      <w:szCs w:val="18"/>
    </w:rPr>
  </w:style>
  <w:style w:type="paragraph" w:styleId="a9">
    <w:name w:val="List Paragraph"/>
    <w:basedOn w:val="a"/>
    <w:uiPriority w:val="34"/>
    <w:qFormat/>
    <w:rsid w:val="006106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91703"/>
    <w:pPr>
      <w:snapToGrid w:val="0"/>
      <w:jc w:val="left"/>
    </w:pPr>
    <w:rPr>
      <w:sz w:val="18"/>
      <w:szCs w:val="18"/>
    </w:rPr>
  </w:style>
  <w:style w:type="character" w:customStyle="1" w:styleId="Char">
    <w:name w:val="脚注文本 Char"/>
    <w:basedOn w:val="a0"/>
    <w:link w:val="a3"/>
    <w:uiPriority w:val="99"/>
    <w:semiHidden/>
    <w:rsid w:val="00F91703"/>
    <w:rPr>
      <w:sz w:val="18"/>
      <w:szCs w:val="18"/>
    </w:rPr>
  </w:style>
  <w:style w:type="character" w:styleId="a4">
    <w:name w:val="footnote reference"/>
    <w:basedOn w:val="a0"/>
    <w:uiPriority w:val="99"/>
    <w:semiHidden/>
    <w:unhideWhenUsed/>
    <w:rsid w:val="00F91703"/>
    <w:rPr>
      <w:vertAlign w:val="superscript"/>
    </w:rPr>
  </w:style>
  <w:style w:type="table" w:styleId="a5">
    <w:name w:val="Table Grid"/>
    <w:basedOn w:val="a1"/>
    <w:uiPriority w:val="39"/>
    <w:rsid w:val="00E91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AB16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16FD"/>
    <w:rPr>
      <w:sz w:val="18"/>
      <w:szCs w:val="18"/>
    </w:rPr>
  </w:style>
  <w:style w:type="paragraph" w:styleId="a7">
    <w:name w:val="footer"/>
    <w:basedOn w:val="a"/>
    <w:link w:val="Char1"/>
    <w:uiPriority w:val="99"/>
    <w:unhideWhenUsed/>
    <w:rsid w:val="00AB16FD"/>
    <w:pPr>
      <w:tabs>
        <w:tab w:val="center" w:pos="4153"/>
        <w:tab w:val="right" w:pos="8306"/>
      </w:tabs>
      <w:snapToGrid w:val="0"/>
      <w:jc w:val="left"/>
    </w:pPr>
    <w:rPr>
      <w:sz w:val="18"/>
      <w:szCs w:val="18"/>
    </w:rPr>
  </w:style>
  <w:style w:type="character" w:customStyle="1" w:styleId="Char1">
    <w:name w:val="页脚 Char"/>
    <w:basedOn w:val="a0"/>
    <w:link w:val="a7"/>
    <w:uiPriority w:val="99"/>
    <w:rsid w:val="00AB16FD"/>
    <w:rPr>
      <w:sz w:val="18"/>
      <w:szCs w:val="18"/>
    </w:rPr>
  </w:style>
  <w:style w:type="paragraph" w:styleId="a8">
    <w:name w:val="Balloon Text"/>
    <w:basedOn w:val="a"/>
    <w:link w:val="Char2"/>
    <w:uiPriority w:val="99"/>
    <w:semiHidden/>
    <w:unhideWhenUsed/>
    <w:rsid w:val="00651BB1"/>
    <w:rPr>
      <w:sz w:val="18"/>
      <w:szCs w:val="18"/>
    </w:rPr>
  </w:style>
  <w:style w:type="character" w:customStyle="1" w:styleId="Char2">
    <w:name w:val="批注框文本 Char"/>
    <w:basedOn w:val="a0"/>
    <w:link w:val="a8"/>
    <w:uiPriority w:val="99"/>
    <w:semiHidden/>
    <w:rsid w:val="00651BB1"/>
    <w:rPr>
      <w:sz w:val="18"/>
      <w:szCs w:val="18"/>
    </w:rPr>
  </w:style>
  <w:style w:type="paragraph" w:styleId="a9">
    <w:name w:val="List Paragraph"/>
    <w:basedOn w:val="a"/>
    <w:uiPriority w:val="34"/>
    <w:qFormat/>
    <w:rsid w:val="006106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6450-2301-45A9-B4D7-3B8B0B3B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Words>
  <Characters>2639</Characters>
  <Application>Microsoft Office Word</Application>
  <DocSecurity>0</DocSecurity>
  <Lines>21</Lines>
  <Paragraphs>6</Paragraphs>
  <ScaleCrop>false</ScaleCrop>
  <Company>Microsoft</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2017-12-18T15:09:00Z</dcterms:created>
  <dcterms:modified xsi:type="dcterms:W3CDTF">2017-12-18T15:09:00Z</dcterms:modified>
</cp:coreProperties>
</file>