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2" w:rsidRPr="00560D1F" w:rsidRDefault="00212B15" w:rsidP="00560D1F">
      <w:pPr>
        <w:pStyle w:val="1"/>
        <w:snapToGrid w:val="0"/>
        <w:spacing w:afterLines="50" w:after="120" w:line="300" w:lineRule="auto"/>
        <w:ind w:left="0"/>
        <w:jc w:val="center"/>
        <w:rPr>
          <w:rFonts w:ascii="Arial" w:hAnsi="Arial" w:cs="Arial"/>
          <w:b w:val="0"/>
          <w:bCs w:val="0"/>
        </w:rPr>
      </w:pPr>
      <w:r w:rsidRPr="00560D1F">
        <w:rPr>
          <w:rFonts w:ascii="Arial" w:hAnsi="Arial" w:cs="Arial"/>
        </w:rPr>
        <w:t>机构审查委员会、临床研究者和申办者的须知信息指南</w:t>
      </w:r>
    </w:p>
    <w:p w:rsidR="00C42A62" w:rsidRPr="00AB24FA" w:rsidRDefault="00212B15" w:rsidP="00560D1F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sz w:val="52"/>
          <w:szCs w:val="52"/>
        </w:rPr>
      </w:pPr>
      <w:r w:rsidRPr="00AB24FA">
        <w:rPr>
          <w:rFonts w:ascii="Arial" w:eastAsia="宋体" w:hAnsi="Arial" w:cs="Arial"/>
          <w:b/>
          <w:sz w:val="52"/>
          <w:szCs w:val="52"/>
        </w:rPr>
        <w:t>FDA</w:t>
      </w:r>
      <w:r w:rsidRPr="00AB24FA">
        <w:rPr>
          <w:rFonts w:ascii="Arial" w:eastAsia="宋体" w:hAnsi="Arial" w:cs="Arial"/>
          <w:b/>
          <w:sz w:val="52"/>
          <w:szCs w:val="52"/>
        </w:rPr>
        <w:t>机构审查委员会检查</w:t>
      </w:r>
    </w:p>
    <w:p w:rsidR="00C42A62" w:rsidRPr="00560D1F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b/>
          <w:bCs/>
          <w:sz w:val="56"/>
          <w:szCs w:val="56"/>
        </w:rPr>
      </w:pPr>
    </w:p>
    <w:p w:rsidR="00C42A62" w:rsidRPr="00560D1F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b/>
          <w:bCs/>
          <w:sz w:val="56"/>
          <w:szCs w:val="56"/>
        </w:rPr>
      </w:pPr>
    </w:p>
    <w:p w:rsidR="00C42A62" w:rsidRPr="00560D1F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b/>
          <w:bCs/>
          <w:sz w:val="51"/>
          <w:szCs w:val="51"/>
        </w:rPr>
      </w:pPr>
    </w:p>
    <w:p w:rsidR="00C42A62" w:rsidRPr="00AB24FA" w:rsidRDefault="00212B15" w:rsidP="00560D1F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i/>
          <w:sz w:val="21"/>
          <w:szCs w:val="21"/>
        </w:rPr>
        <w:t>更多副本请咨询：</w:t>
      </w:r>
    </w:p>
    <w:p w:rsidR="00C42A62" w:rsidRPr="00AB24FA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i/>
          <w:sz w:val="21"/>
          <w:szCs w:val="21"/>
        </w:rPr>
      </w:pPr>
    </w:p>
    <w:p w:rsidR="00C42A62" w:rsidRPr="00AB24FA" w:rsidRDefault="00212B15" w:rsidP="00AB24FA">
      <w:pPr>
        <w:snapToGrid w:val="0"/>
        <w:spacing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sz w:val="21"/>
          <w:szCs w:val="21"/>
        </w:rPr>
        <w:t>良好临床实践办公室</w:t>
      </w:r>
    </w:p>
    <w:p w:rsidR="00C42A62" w:rsidRPr="00AB24FA" w:rsidRDefault="00212B15" w:rsidP="00AB24FA">
      <w:pPr>
        <w:snapToGrid w:val="0"/>
        <w:spacing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sz w:val="21"/>
          <w:szCs w:val="21"/>
        </w:rPr>
        <w:t>特殊医疗项目办公室，</w:t>
      </w:r>
      <w:r w:rsidRPr="00AB24FA">
        <w:rPr>
          <w:rFonts w:ascii="Arial" w:eastAsia="宋体" w:hAnsi="Arial" w:cs="Arial"/>
          <w:sz w:val="21"/>
          <w:szCs w:val="21"/>
        </w:rPr>
        <w:t>FDA</w:t>
      </w:r>
      <w:r w:rsidRPr="00AB24FA">
        <w:rPr>
          <w:rFonts w:ascii="Arial" w:eastAsia="宋体" w:hAnsi="Arial" w:cs="Arial"/>
          <w:sz w:val="21"/>
          <w:szCs w:val="21"/>
        </w:rPr>
        <w:t>局长办公室</w:t>
      </w:r>
    </w:p>
    <w:p w:rsidR="00C42A62" w:rsidRPr="00AB24FA" w:rsidRDefault="00212B15" w:rsidP="00AB24FA">
      <w:pPr>
        <w:snapToGrid w:val="0"/>
        <w:spacing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sz w:val="21"/>
          <w:szCs w:val="21"/>
        </w:rPr>
        <w:t>10903 New Hampshire Ave., WO32-5129 Silver Spring, MD 20993-5129</w:t>
      </w:r>
    </w:p>
    <w:p w:rsidR="00C42A62" w:rsidRPr="00AB24FA" w:rsidRDefault="00212B15" w:rsidP="00AB24FA">
      <w:pPr>
        <w:snapToGrid w:val="0"/>
        <w:spacing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sz w:val="21"/>
          <w:szCs w:val="21"/>
        </w:rPr>
        <w:t>(</w:t>
      </w:r>
      <w:r w:rsidRPr="00AB24FA">
        <w:rPr>
          <w:rFonts w:ascii="Arial" w:eastAsia="宋体" w:hAnsi="Arial" w:cs="Arial"/>
          <w:sz w:val="21"/>
          <w:szCs w:val="21"/>
        </w:rPr>
        <w:t>电话</w:t>
      </w:r>
      <w:r w:rsidRPr="00AB24FA">
        <w:rPr>
          <w:rFonts w:ascii="Arial" w:eastAsia="宋体" w:hAnsi="Arial" w:cs="Arial"/>
          <w:sz w:val="21"/>
          <w:szCs w:val="21"/>
        </w:rPr>
        <w:t>) (301)-796-8340</w:t>
      </w:r>
    </w:p>
    <w:p w:rsidR="00C42A62" w:rsidRPr="00AB24FA" w:rsidRDefault="00262A55" w:rsidP="00560D1F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sz w:val="21"/>
          <w:szCs w:val="21"/>
        </w:rPr>
      </w:pPr>
      <w:hyperlink r:id="rId9">
        <w:r w:rsidR="00212B15" w:rsidRPr="00AB24FA">
          <w:rPr>
            <w:rFonts w:ascii="Arial" w:eastAsia="宋体" w:hAnsi="Arial" w:cs="Arial"/>
            <w:sz w:val="21"/>
            <w:szCs w:val="21"/>
          </w:rPr>
          <w:t>http://www.fda.gov/downloads/RegulatoryInformation/Guidances/UCM126555.pdf</w:t>
        </w:r>
      </w:hyperlink>
    </w:p>
    <w:p w:rsidR="00C42A62" w:rsidRPr="00AB24FA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sz w:val="21"/>
          <w:szCs w:val="21"/>
        </w:rPr>
      </w:pPr>
    </w:p>
    <w:p w:rsidR="00C42A62" w:rsidRPr="00AB24FA" w:rsidRDefault="00212B15" w:rsidP="00AB24FA">
      <w:pPr>
        <w:snapToGrid w:val="0"/>
        <w:spacing w:afterLines="50" w:after="120" w:line="300" w:lineRule="auto"/>
        <w:ind w:left="720" w:hanging="720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b/>
          <w:sz w:val="21"/>
          <w:szCs w:val="21"/>
        </w:rPr>
        <w:t>FDA</w:t>
      </w:r>
      <w:r w:rsidRPr="00AB24FA">
        <w:rPr>
          <w:rFonts w:ascii="Arial" w:eastAsia="宋体" w:hAnsi="Arial" w:cs="Arial"/>
          <w:b/>
          <w:sz w:val="21"/>
          <w:szCs w:val="21"/>
        </w:rPr>
        <w:t>美国卫生和公众服务部</w:t>
      </w:r>
    </w:p>
    <w:p w:rsidR="00C42A62" w:rsidRPr="00AB24FA" w:rsidRDefault="00C42A62" w:rsidP="00AB24FA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b/>
          <w:bCs/>
          <w:sz w:val="21"/>
          <w:szCs w:val="21"/>
        </w:rPr>
      </w:pPr>
    </w:p>
    <w:p w:rsidR="00C42A62" w:rsidRPr="00AB24FA" w:rsidRDefault="00212B15" w:rsidP="00AB24FA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sz w:val="21"/>
          <w:szCs w:val="21"/>
        </w:rPr>
      </w:pPr>
      <w:r w:rsidRPr="00AB24FA">
        <w:rPr>
          <w:rFonts w:ascii="Arial" w:eastAsia="宋体" w:hAnsi="Arial" w:cs="Arial"/>
          <w:b/>
          <w:sz w:val="21"/>
          <w:szCs w:val="21"/>
        </w:rPr>
        <w:t>2006</w:t>
      </w:r>
      <w:r w:rsidRPr="00AB24FA">
        <w:rPr>
          <w:rFonts w:ascii="Arial" w:eastAsia="宋体" w:hAnsi="Arial" w:cs="Arial"/>
          <w:b/>
          <w:sz w:val="21"/>
          <w:szCs w:val="21"/>
        </w:rPr>
        <w:t>年</w:t>
      </w:r>
      <w:r w:rsidRPr="00AB24FA">
        <w:rPr>
          <w:rFonts w:ascii="Arial" w:eastAsia="宋体" w:hAnsi="Arial" w:cs="Arial"/>
          <w:b/>
          <w:sz w:val="21"/>
          <w:szCs w:val="21"/>
        </w:rPr>
        <w:t>1</w:t>
      </w:r>
      <w:r w:rsidRPr="00AB24FA">
        <w:rPr>
          <w:rFonts w:ascii="Arial" w:eastAsia="宋体" w:hAnsi="Arial" w:cs="Arial"/>
          <w:b/>
          <w:sz w:val="21"/>
          <w:szCs w:val="21"/>
        </w:rPr>
        <w:t>月</w:t>
      </w:r>
    </w:p>
    <w:p w:rsidR="00C42A62" w:rsidRPr="00AB24FA" w:rsidRDefault="00C42A62" w:rsidP="00560D1F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sz w:val="24"/>
          <w:szCs w:val="24"/>
        </w:rPr>
        <w:sectPr w:rsidR="00C42A62" w:rsidRPr="00AB24FA" w:rsidSect="00560D1F">
          <w:type w:val="continuous"/>
          <w:pgSz w:w="12240" w:h="15840"/>
          <w:pgMar w:top="1440" w:right="1800" w:bottom="1440" w:left="1800" w:header="720" w:footer="720" w:gutter="0"/>
          <w:cols w:space="720"/>
          <w:docGrid w:linePitch="299"/>
        </w:sectPr>
      </w:pPr>
    </w:p>
    <w:p w:rsidR="00C42A62" w:rsidRPr="001F0E14" w:rsidRDefault="00262A55" w:rsidP="00560D1F">
      <w:pPr>
        <w:snapToGrid w:val="0"/>
        <w:spacing w:afterLines="50" w:after="120" w:line="300" w:lineRule="auto"/>
        <w:jc w:val="center"/>
        <w:rPr>
          <w:rFonts w:ascii="Arial" w:eastAsia="宋体" w:hAnsi="Arial" w:cs="Arial"/>
          <w:b/>
          <w:sz w:val="32"/>
          <w:szCs w:val="32"/>
        </w:rPr>
      </w:pPr>
      <w:hyperlink w:anchor="_bookmark0" w:history="1"/>
      <w:r w:rsidR="00212B15" w:rsidRPr="001F0E14">
        <w:rPr>
          <w:rFonts w:ascii="Arial" w:eastAsia="宋体" w:hAnsi="Arial" w:cs="Arial"/>
          <w:b/>
          <w:sz w:val="32"/>
          <w:szCs w:val="32"/>
        </w:rPr>
        <w:t>机构审查委员会、临床研究者和申办者</w:t>
      </w:r>
      <w:r w:rsidR="001F0E14" w:rsidRPr="001F0E14">
        <w:rPr>
          <w:rStyle w:val="a9"/>
          <w:rFonts w:ascii="Arial" w:eastAsia="宋体" w:hAnsi="Arial" w:cs="Arial"/>
          <w:b/>
          <w:sz w:val="32"/>
          <w:szCs w:val="32"/>
        </w:rPr>
        <w:footnoteReference w:id="1"/>
      </w:r>
      <w:r w:rsidR="00212B15" w:rsidRPr="001F0E14">
        <w:rPr>
          <w:rFonts w:ascii="Arial" w:eastAsia="宋体" w:hAnsi="Arial" w:cs="Arial"/>
          <w:b/>
          <w:sz w:val="32"/>
          <w:szCs w:val="32"/>
        </w:rPr>
        <w:t>的须知信息指南</w:t>
      </w:r>
      <w:r w:rsidR="00212B15" w:rsidRPr="001F0E14">
        <w:rPr>
          <w:rFonts w:ascii="Arial" w:eastAsia="宋体" w:hAnsi="Arial" w:cs="Arial"/>
          <w:b/>
          <w:sz w:val="32"/>
          <w:szCs w:val="32"/>
        </w:rPr>
        <w:cr/>
        <w:t>FDA</w:t>
      </w:r>
      <w:r w:rsidR="00212B15" w:rsidRPr="001F0E14">
        <w:rPr>
          <w:rFonts w:ascii="Arial" w:eastAsia="宋体" w:hAnsi="Arial" w:cs="Arial"/>
          <w:b/>
          <w:sz w:val="32"/>
          <w:szCs w:val="32"/>
        </w:rPr>
        <w:t>机构审查委员会（</w:t>
      </w:r>
      <w:r w:rsidR="00212B15" w:rsidRPr="001F0E14">
        <w:rPr>
          <w:rFonts w:ascii="Arial" w:eastAsia="宋体" w:hAnsi="Arial" w:cs="Arial"/>
          <w:b/>
          <w:sz w:val="32"/>
          <w:szCs w:val="32"/>
        </w:rPr>
        <w:t>IRB</w:t>
      </w:r>
      <w:r w:rsidR="00212B15" w:rsidRPr="001F0E14">
        <w:rPr>
          <w:rFonts w:ascii="Arial" w:eastAsia="宋体" w:hAnsi="Arial" w:cs="Arial"/>
          <w:b/>
          <w:sz w:val="32"/>
          <w:szCs w:val="32"/>
        </w:rPr>
        <w:t>）检查</w:t>
      </w:r>
    </w:p>
    <w:p w:rsidR="00C42A62" w:rsidRPr="00AB24FA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60D1F" w:rsidRPr="00AB24FA" w:rsidTr="001F0E14">
        <w:tc>
          <w:tcPr>
            <w:tcW w:w="8856" w:type="dxa"/>
          </w:tcPr>
          <w:p w:rsidR="00560D1F" w:rsidRPr="001F0E14" w:rsidRDefault="00560D1F" w:rsidP="001F0E14">
            <w:pPr>
              <w:snapToGrid w:val="0"/>
              <w:spacing w:beforeLines="20" w:before="48" w:afterLines="20" w:after="48" w:line="300" w:lineRule="auto"/>
              <w:ind w:leftChars="113" w:left="249" w:rightChars="113" w:right="249"/>
              <w:rPr>
                <w:rFonts w:ascii="Arial" w:eastAsia="宋体" w:hAnsi="Arial" w:cs="Arial"/>
                <w:sz w:val="24"/>
                <w:szCs w:val="24"/>
              </w:rPr>
            </w:pPr>
            <w:r w:rsidRPr="001F0E14">
              <w:rPr>
                <w:rFonts w:ascii="Arial" w:hAnsi="Arial" w:cs="Arial"/>
                <w:sz w:val="24"/>
                <w:szCs w:val="24"/>
              </w:rPr>
              <w:t>本指南草案代表</w:t>
            </w:r>
            <w:r w:rsidRPr="001F0E14">
              <w:rPr>
                <w:rFonts w:ascii="Arial" w:hAnsi="Arial" w:cs="Arial"/>
                <w:sz w:val="24"/>
                <w:szCs w:val="24"/>
              </w:rPr>
              <w:t>FDA</w:t>
            </w:r>
            <w:r w:rsidRPr="001F0E14">
              <w:rPr>
                <w:rFonts w:ascii="Arial" w:hAnsi="Arial" w:cs="Arial"/>
                <w:sz w:val="24"/>
                <w:szCs w:val="24"/>
              </w:rPr>
              <w:t>目前关于该主题的思考。其不会为任何人创造或赋予任何权利，也不会对</w:t>
            </w:r>
            <w:r w:rsidRPr="001F0E14">
              <w:rPr>
                <w:rFonts w:ascii="Arial" w:hAnsi="Arial" w:cs="Arial"/>
                <w:sz w:val="24"/>
                <w:szCs w:val="24"/>
              </w:rPr>
              <w:t>FDA</w:t>
            </w:r>
            <w:r w:rsidRPr="001F0E14">
              <w:rPr>
                <w:rFonts w:ascii="Arial" w:hAnsi="Arial" w:cs="Arial"/>
                <w:sz w:val="24"/>
                <w:szCs w:val="24"/>
              </w:rPr>
              <w:t>或公众产生约束。如果替代方法满足适用的法律法规的要求，则可以使用该方法。如果您想讨论另一种方法，请联系</w:t>
            </w:r>
            <w:r w:rsidRPr="001F0E14">
              <w:rPr>
                <w:rFonts w:ascii="Arial" w:hAnsi="Arial" w:cs="Arial"/>
                <w:sz w:val="24"/>
                <w:szCs w:val="24"/>
              </w:rPr>
              <w:t>FDA</w:t>
            </w:r>
            <w:r w:rsidRPr="001F0E14">
              <w:rPr>
                <w:rFonts w:ascii="Arial" w:hAnsi="Arial" w:cs="Arial"/>
                <w:sz w:val="24"/>
                <w:szCs w:val="24"/>
              </w:rPr>
              <w:t>负责实施本指南的人员。如果您无法确定适当的</w:t>
            </w:r>
            <w:r w:rsidRPr="001F0E14">
              <w:rPr>
                <w:rFonts w:ascii="Arial" w:hAnsi="Arial" w:cs="Arial"/>
                <w:sz w:val="24"/>
                <w:szCs w:val="24"/>
              </w:rPr>
              <w:t>FDA</w:t>
            </w:r>
            <w:r w:rsidRPr="001F0E14">
              <w:rPr>
                <w:rFonts w:ascii="Arial" w:hAnsi="Arial" w:cs="Arial"/>
                <w:sz w:val="24"/>
                <w:szCs w:val="24"/>
              </w:rPr>
              <w:t>工作人员，请拨打本指南标题页上列出的适当号码。</w:t>
            </w:r>
          </w:p>
        </w:tc>
      </w:tr>
    </w:tbl>
    <w:p w:rsidR="00C42A62" w:rsidRPr="00AB24FA" w:rsidRDefault="00C42A62" w:rsidP="00560D1F">
      <w:pPr>
        <w:snapToGrid w:val="0"/>
        <w:spacing w:afterLines="50" w:after="120" w:line="300" w:lineRule="auto"/>
        <w:rPr>
          <w:rFonts w:ascii="Arial" w:eastAsia="宋体" w:hAnsi="Arial" w:cs="Arial"/>
          <w:b/>
          <w:bCs/>
          <w:sz w:val="24"/>
          <w:szCs w:val="24"/>
        </w:rPr>
      </w:pP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b w:val="0"/>
          <w:bCs w:val="0"/>
          <w:sz w:val="32"/>
          <w:szCs w:val="32"/>
        </w:rPr>
      </w:pPr>
      <w:r w:rsidRPr="001F0E14">
        <w:rPr>
          <w:rFonts w:ascii="Arial" w:hAnsi="Arial" w:cs="Arial"/>
          <w:sz w:val="32"/>
          <w:szCs w:val="32"/>
        </w:rPr>
        <w:t>引言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本指南旨在提供有关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根据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生物研究试验监查体系（</w:t>
      </w:r>
      <w:r w:rsidRPr="00AB24FA">
        <w:rPr>
          <w:rFonts w:ascii="Arial" w:hAnsi="Arial" w:cs="Arial"/>
        </w:rPr>
        <w:t>BIMO</w:t>
      </w:r>
      <w:r w:rsidRPr="00AB24FA">
        <w:rPr>
          <w:rFonts w:ascii="Arial" w:hAnsi="Arial" w:cs="Arial"/>
        </w:rPr>
        <w:t>）执行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检查的信息。本份文件取代了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前卫生局</w:t>
      </w:r>
      <w:r w:rsidRPr="00AB24FA">
        <w:rPr>
          <w:rFonts w:ascii="Arial" w:hAnsi="Arial" w:cs="Arial"/>
        </w:rPr>
        <w:t>1998</w:t>
      </w:r>
      <w:r w:rsidRPr="00AB24FA">
        <w:rPr>
          <w:rFonts w:ascii="Arial" w:hAnsi="Arial" w:cs="Arial"/>
        </w:rPr>
        <w:t>年</w:t>
      </w:r>
      <w:r w:rsidRPr="00AB24FA">
        <w:rPr>
          <w:rFonts w:ascii="Arial" w:hAnsi="Arial" w:cs="Arial"/>
        </w:rPr>
        <w:t>9</w:t>
      </w:r>
      <w:r w:rsidRPr="00AB24FA">
        <w:rPr>
          <w:rFonts w:ascii="Arial" w:hAnsi="Arial" w:cs="Arial"/>
        </w:rPr>
        <w:t>月发布的</w:t>
      </w:r>
      <w:r w:rsidRPr="00AB24FA">
        <w:rPr>
          <w:rFonts w:ascii="Arial" w:hAnsi="Arial" w:cs="Arial"/>
        </w:rPr>
        <w:t>“FDA</w:t>
      </w:r>
      <w:r w:rsidRPr="00AB24FA">
        <w:rPr>
          <w:rFonts w:ascii="Arial" w:hAnsi="Arial" w:cs="Arial"/>
        </w:rPr>
        <w:t>机构审查委员会检查</w:t>
      </w:r>
      <w:r w:rsidRPr="00AB24FA">
        <w:rPr>
          <w:rFonts w:ascii="Arial" w:hAnsi="Arial" w:cs="Arial"/>
        </w:rPr>
        <w:t>”</w:t>
      </w:r>
      <w:r w:rsidRPr="00AB24FA">
        <w:rPr>
          <w:rFonts w:ascii="Arial" w:hAnsi="Arial" w:cs="Arial"/>
        </w:rPr>
        <w:t>文件。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本文件进行了修订，编入了最新信息，并将根据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的良好指南实践法规（</w:t>
      </w:r>
      <w:r w:rsidRPr="00AB24FA">
        <w:rPr>
          <w:rFonts w:ascii="Arial" w:hAnsi="Arial" w:cs="Arial"/>
        </w:rPr>
        <w:t>21 CFR 10.115</w:t>
      </w:r>
      <w:r w:rsidRPr="00AB24FA">
        <w:rPr>
          <w:rFonts w:ascii="Arial" w:hAnsi="Arial" w:cs="Arial"/>
        </w:rPr>
        <w:t>）印发</w:t>
      </w:r>
      <w:r w:rsidR="001F0E14">
        <w:rPr>
          <w:rStyle w:val="a9"/>
          <w:rFonts w:ascii="Arial" w:hAnsi="Arial" w:cs="Arial"/>
        </w:rPr>
        <w:footnoteReference w:id="2"/>
      </w:r>
      <w:r w:rsidRPr="00AB24FA">
        <w:rPr>
          <w:rFonts w:ascii="Arial" w:hAnsi="Arial" w:cs="Arial"/>
        </w:rPr>
        <w:t>。</w:t>
      </w:r>
      <w:hyperlink w:anchor="_bookmark1" w:history="1"/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包括本指南在内的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指导文件没有规定法律强制性义务。相反，指南描述了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对当前主题的思考，应仅视为推荐意见，除非引用具体的法律或法规要求。本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指南中使用的词语</w:t>
      </w:r>
      <w:r w:rsidRPr="00AB24FA">
        <w:rPr>
          <w:rFonts w:ascii="Arial" w:hAnsi="Arial" w:cs="Arial"/>
        </w:rPr>
        <w:t>“</w:t>
      </w:r>
      <w:r w:rsidRPr="00AB24FA">
        <w:rPr>
          <w:rFonts w:ascii="Arial" w:hAnsi="Arial" w:cs="Arial"/>
        </w:rPr>
        <w:t>应</w:t>
      </w:r>
      <w:r w:rsidRPr="00AB24FA">
        <w:rPr>
          <w:rFonts w:ascii="Arial" w:hAnsi="Arial" w:cs="Arial"/>
        </w:rPr>
        <w:t>”</w:t>
      </w:r>
      <w:r w:rsidRPr="00AB24FA">
        <w:rPr>
          <w:rFonts w:ascii="Arial" w:hAnsi="Arial" w:cs="Arial"/>
        </w:rPr>
        <w:t>表示</w:t>
      </w:r>
      <w:r w:rsidRPr="00AB24FA">
        <w:rPr>
          <w:rFonts w:ascii="Arial" w:hAnsi="Arial" w:cs="Arial"/>
        </w:rPr>
        <w:t>“</w:t>
      </w:r>
      <w:r w:rsidRPr="00AB24FA">
        <w:rPr>
          <w:rFonts w:ascii="Arial" w:hAnsi="Arial" w:cs="Arial"/>
        </w:rPr>
        <w:t>建议</w:t>
      </w:r>
      <w:r w:rsidRPr="00AB24FA">
        <w:rPr>
          <w:rFonts w:ascii="Arial" w:hAnsi="Arial" w:cs="Arial"/>
        </w:rPr>
        <w:t>”</w:t>
      </w:r>
      <w:r w:rsidRPr="00AB24FA">
        <w:rPr>
          <w:rFonts w:ascii="Arial" w:hAnsi="Arial" w:cs="Arial"/>
        </w:rPr>
        <w:t>或</w:t>
      </w:r>
      <w:r w:rsidRPr="00AB24FA">
        <w:rPr>
          <w:rFonts w:ascii="Arial" w:hAnsi="Arial" w:cs="Arial"/>
        </w:rPr>
        <w:t>“</w:t>
      </w:r>
      <w:r w:rsidRPr="00AB24FA">
        <w:rPr>
          <w:rFonts w:ascii="Arial" w:hAnsi="Arial" w:cs="Arial"/>
        </w:rPr>
        <w:t>推荐</w:t>
      </w:r>
      <w:r w:rsidRPr="00AB24FA">
        <w:rPr>
          <w:rFonts w:ascii="Arial" w:hAnsi="Arial" w:cs="Arial"/>
        </w:rPr>
        <w:t>”</w:t>
      </w:r>
      <w:r w:rsidRPr="00AB24FA">
        <w:rPr>
          <w:rFonts w:ascii="Arial" w:hAnsi="Arial" w:cs="Arial"/>
        </w:rPr>
        <w:t>意见，并不是强制性的。</w:t>
      </w: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sz w:val="32"/>
          <w:szCs w:val="32"/>
        </w:rPr>
      </w:pPr>
      <w:bookmarkStart w:id="0" w:name="II.___BACKGROUND"/>
      <w:bookmarkEnd w:id="0"/>
      <w:r w:rsidRPr="001F0E14">
        <w:rPr>
          <w:rFonts w:ascii="Arial" w:hAnsi="Arial" w:cs="Arial"/>
          <w:sz w:val="32"/>
          <w:szCs w:val="32"/>
        </w:rPr>
        <w:t>背景</w:t>
      </w:r>
    </w:p>
    <w:p w:rsidR="00E40A1A" w:rsidRPr="00AB24FA" w:rsidRDefault="00E40A1A" w:rsidP="001F0E14">
      <w:pPr>
        <w:jc w:val="both"/>
        <w:rPr>
          <w:rFonts w:ascii="Arial" w:eastAsia="宋体" w:hAnsi="Arial" w:cs="Arial"/>
          <w:sz w:val="24"/>
          <w:szCs w:val="24"/>
        </w:rPr>
      </w:pPr>
      <w:r w:rsidRPr="00AB24FA">
        <w:rPr>
          <w:rFonts w:ascii="Arial" w:eastAsia="宋体" w:hAnsi="Arial" w:cs="Arial"/>
          <w:sz w:val="24"/>
          <w:szCs w:val="24"/>
        </w:rPr>
        <w:br w:type="page"/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lastRenderedPageBreak/>
        <w:t>FDA</w:t>
      </w:r>
      <w:r w:rsidRPr="00AB24FA">
        <w:rPr>
          <w:rFonts w:ascii="Arial" w:hAnsi="Arial" w:cs="Arial"/>
        </w:rPr>
        <w:t>法规一般要求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审查和审批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管制产品的研究（如研究药物、生物制品和医疗器械）（</w:t>
      </w:r>
      <w:r w:rsidRPr="00AB24FA">
        <w:rPr>
          <w:rFonts w:ascii="Arial" w:hAnsi="Arial" w:cs="Arial"/>
        </w:rPr>
        <w:t>21 CFR</w:t>
      </w:r>
      <w:r w:rsidRPr="00AB24FA">
        <w:rPr>
          <w:rFonts w:ascii="Arial" w:hAnsi="Arial" w:cs="Arial"/>
        </w:rPr>
        <w:t>第</w:t>
      </w:r>
      <w:r w:rsidRPr="00AB24FA">
        <w:rPr>
          <w:rFonts w:ascii="Arial" w:hAnsi="Arial" w:cs="Arial"/>
        </w:rPr>
        <w:t>56</w:t>
      </w:r>
      <w:r w:rsidRPr="00AB24FA">
        <w:rPr>
          <w:rFonts w:ascii="Arial" w:hAnsi="Arial" w:cs="Arial"/>
        </w:rPr>
        <w:t>部分）。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制定了</w:t>
      </w:r>
      <w:r w:rsidRPr="00AB24FA">
        <w:rPr>
          <w:rFonts w:ascii="Arial" w:hAnsi="Arial" w:cs="Arial"/>
        </w:rPr>
        <w:t>BIMO</w:t>
      </w:r>
      <w:r w:rsidRPr="00AB24FA">
        <w:rPr>
          <w:rFonts w:ascii="Arial" w:hAnsi="Arial" w:cs="Arial"/>
        </w:rPr>
        <w:t>体系，以保护人类受试者的权利、福利和安全性，及提交给机构的数据的质量和完好性。在其他方面，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的</w:t>
      </w:r>
      <w:r w:rsidRPr="00AB24FA">
        <w:rPr>
          <w:rFonts w:ascii="Arial" w:hAnsi="Arial" w:cs="Arial"/>
        </w:rPr>
        <w:t>BIMO</w:t>
      </w:r>
      <w:r w:rsidRPr="00AB24FA">
        <w:rPr>
          <w:rFonts w:ascii="Arial" w:hAnsi="Arial" w:cs="Arial"/>
        </w:rPr>
        <w:t>体系涉及实地考察机构审查委员会、临床研究者、申办者、监查员、合同研究组织，非临床（动物）实验室、生物等效分析实验室。本文涉及实地考察机构审查委员会（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），机构审查委员会（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）的职能是审查</w:t>
      </w:r>
      <w:r w:rsidR="00BA356D">
        <w:rPr>
          <w:rFonts w:ascii="Arial" w:hAnsi="Arial" w:cs="Arial"/>
        </w:rPr>
        <w:t xml:space="preserve">FDA </w:t>
      </w:r>
      <w:r w:rsidRPr="00AB24FA">
        <w:rPr>
          <w:rFonts w:ascii="Arial" w:hAnsi="Arial" w:cs="Arial"/>
        </w:rPr>
        <w:t>21 USC 355(</w:t>
      </w:r>
      <w:proofErr w:type="spellStart"/>
      <w:r w:rsidRPr="00AB24FA">
        <w:rPr>
          <w:rFonts w:ascii="Arial" w:hAnsi="Arial" w:cs="Arial"/>
        </w:rPr>
        <w:t>i</w:t>
      </w:r>
      <w:proofErr w:type="spellEnd"/>
      <w:r w:rsidRPr="00AB24FA">
        <w:rPr>
          <w:rFonts w:ascii="Arial" w:hAnsi="Arial" w:cs="Arial"/>
        </w:rPr>
        <w:t>)</w:t>
      </w:r>
      <w:r w:rsidRPr="00AB24FA">
        <w:rPr>
          <w:rFonts w:ascii="Arial" w:hAnsi="Arial" w:cs="Arial"/>
        </w:rPr>
        <w:t>和</w:t>
      </w:r>
      <w:r w:rsidRPr="00AB24FA">
        <w:rPr>
          <w:rFonts w:ascii="Arial" w:hAnsi="Arial" w:cs="Arial"/>
        </w:rPr>
        <w:t>21 USC 360(j)</w:t>
      </w:r>
      <w:r w:rsidRPr="00AB24FA">
        <w:rPr>
          <w:rFonts w:ascii="Arial" w:hAnsi="Arial" w:cs="Arial"/>
        </w:rPr>
        <w:t>监管的临床研究及支持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管制产品的研究申请或上市申请的临床研究。</w:t>
      </w: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 w:rsidRPr="001F0E14">
        <w:rPr>
          <w:rFonts w:ascii="Arial" w:hAnsi="Arial" w:cs="Arial"/>
          <w:sz w:val="32"/>
          <w:szCs w:val="32"/>
        </w:rPr>
        <w:t>IRB</w:t>
      </w:r>
      <w:r w:rsidRPr="001F0E14">
        <w:rPr>
          <w:rFonts w:ascii="Arial" w:hAnsi="Arial" w:cs="Arial"/>
          <w:sz w:val="32"/>
          <w:szCs w:val="32"/>
        </w:rPr>
        <w:t>检查什么时候进行？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对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进行检查，以确认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操作符合现行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法规和法律要求，并遵循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内部书面程序。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相关的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法规包括</w:t>
      </w:r>
      <w:r w:rsidRPr="00AB24FA">
        <w:rPr>
          <w:rFonts w:ascii="Arial" w:hAnsi="Arial" w:cs="Arial"/>
        </w:rPr>
        <w:t xml:space="preserve">21 CFR </w:t>
      </w:r>
      <w:r w:rsidRPr="00AB24FA">
        <w:rPr>
          <w:rFonts w:ascii="Arial" w:hAnsi="Arial" w:cs="Arial"/>
        </w:rPr>
        <w:t>第</w:t>
      </w:r>
      <w:r w:rsidRPr="00AB24FA">
        <w:rPr>
          <w:rFonts w:ascii="Arial" w:hAnsi="Arial" w:cs="Arial"/>
        </w:rPr>
        <w:t xml:space="preserve"> 50</w:t>
      </w:r>
      <w:r w:rsidRPr="00AB24FA">
        <w:rPr>
          <w:rFonts w:ascii="Arial" w:hAnsi="Arial" w:cs="Arial"/>
        </w:rPr>
        <w:t>部分（人类受试者保护）、第</w:t>
      </w:r>
      <w:r w:rsidRPr="00AB24FA">
        <w:rPr>
          <w:rFonts w:ascii="Arial" w:hAnsi="Arial" w:cs="Arial"/>
        </w:rPr>
        <w:t>56</w:t>
      </w:r>
      <w:r w:rsidRPr="00AB24FA">
        <w:rPr>
          <w:rFonts w:ascii="Arial" w:hAnsi="Arial" w:cs="Arial"/>
        </w:rPr>
        <w:t>部分（机构审查委员会）、第</w:t>
      </w:r>
      <w:r w:rsidRPr="00AB24FA">
        <w:rPr>
          <w:rFonts w:ascii="Arial" w:hAnsi="Arial" w:cs="Arial"/>
        </w:rPr>
        <w:t>312</w:t>
      </w:r>
      <w:r w:rsidRPr="00AB24FA">
        <w:rPr>
          <w:rFonts w:ascii="Arial" w:hAnsi="Arial" w:cs="Arial"/>
        </w:rPr>
        <w:t>部分（新药临床试验申请）及第</w:t>
      </w:r>
      <w:r w:rsidRPr="00AB24FA">
        <w:rPr>
          <w:rFonts w:ascii="Arial" w:hAnsi="Arial" w:cs="Arial"/>
        </w:rPr>
        <w:t>812</w:t>
      </w:r>
      <w:r w:rsidRPr="00AB24FA">
        <w:rPr>
          <w:rFonts w:ascii="Arial" w:hAnsi="Arial" w:cs="Arial"/>
        </w:rPr>
        <w:t>部分（研究性器械豁免）。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检查一般可以分为两类：</w:t>
      </w:r>
    </w:p>
    <w:p w:rsidR="00C42A62" w:rsidRPr="00AB24FA" w:rsidRDefault="00212B15" w:rsidP="001F0E14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监管检查</w:t>
      </w:r>
      <w:r w:rsidRPr="00AB24FA">
        <w:rPr>
          <w:rFonts w:ascii="Arial" w:hAnsi="Arial" w:cs="Arial"/>
        </w:rPr>
        <w:t>—</w:t>
      </w:r>
      <w:r w:rsidRPr="00AB24FA">
        <w:rPr>
          <w:rFonts w:ascii="Arial" w:hAnsi="Arial" w:cs="Arial"/>
        </w:rPr>
        <w:t>审查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总体操作和流程的定期有计划的检查。</w:t>
      </w:r>
    </w:p>
    <w:p w:rsidR="00C42A62" w:rsidRPr="00AB24FA" w:rsidRDefault="00212B15" w:rsidP="001F0E14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定向检查</w:t>
      </w:r>
      <w:r w:rsidRPr="00AB24FA">
        <w:rPr>
          <w:rFonts w:ascii="Arial" w:hAnsi="Arial" w:cs="Arial"/>
        </w:rPr>
        <w:t>-</w:t>
      </w:r>
      <w:r w:rsidRPr="00AB24FA">
        <w:rPr>
          <w:rFonts w:ascii="Arial" w:hAnsi="Arial" w:cs="Arial"/>
        </w:rPr>
        <w:t>非计划性检查，重点是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对特定临床试验或试验的审查。定向检查通常是针对临床研究或临床研究机构有关的投诉、临床研究者不当行为或安全性问题。</w:t>
      </w: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 w:rsidRPr="001F0E14">
        <w:rPr>
          <w:rFonts w:ascii="Arial" w:hAnsi="Arial" w:cs="Arial"/>
          <w:sz w:val="32"/>
          <w:szCs w:val="32"/>
        </w:rPr>
        <w:t>IRB</w:t>
      </w:r>
      <w:r w:rsidRPr="001F0E14">
        <w:rPr>
          <w:rFonts w:ascii="Arial" w:hAnsi="Arial" w:cs="Arial"/>
          <w:sz w:val="32"/>
          <w:szCs w:val="32"/>
        </w:rPr>
        <w:t>检查如何进行？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地方办事处的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人员联系机构负责人，通常是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主任。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人员发出检查通知（</w:t>
      </w:r>
      <w:r w:rsidRPr="00AB24FA">
        <w:rPr>
          <w:rFonts w:ascii="Arial" w:hAnsi="Arial" w:cs="Arial"/>
        </w:rPr>
        <w:t>FDA 482</w:t>
      </w:r>
      <w:r w:rsidRPr="00AB24FA">
        <w:rPr>
          <w:rFonts w:ascii="Arial" w:hAnsi="Arial" w:cs="Arial"/>
        </w:rPr>
        <w:t>表格），并在检查开始前向最高负责人出示证件。与相关人员面谈，获取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政策和流程的相关信息。通常情况下，通过跟踪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依据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法规审查的一个或多个研究，评价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执行能力。同时，检查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程序和成员名单，确定是否符合现行的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法规（</w:t>
      </w:r>
      <w:r w:rsidRPr="00AB24FA">
        <w:rPr>
          <w:rFonts w:ascii="Arial" w:hAnsi="Arial" w:cs="Arial"/>
        </w:rPr>
        <w:t xml:space="preserve">21 CFR </w:t>
      </w:r>
      <w:r w:rsidRPr="00AB24FA">
        <w:rPr>
          <w:rFonts w:ascii="Arial" w:hAnsi="Arial" w:cs="Arial"/>
        </w:rPr>
        <w:t>第</w:t>
      </w:r>
      <w:r w:rsidRPr="00AB24FA">
        <w:rPr>
          <w:rFonts w:ascii="Arial" w:hAnsi="Arial" w:cs="Arial"/>
        </w:rPr>
        <w:t>56</w:t>
      </w:r>
      <w:r w:rsidRPr="00AB24FA">
        <w:rPr>
          <w:rFonts w:ascii="Arial" w:hAnsi="Arial" w:cs="Arial"/>
        </w:rPr>
        <w:t>部分，</w:t>
      </w:r>
      <w:r w:rsidRPr="00AB24FA">
        <w:rPr>
          <w:rFonts w:ascii="Arial" w:hAnsi="Arial" w:cs="Arial"/>
        </w:rPr>
        <w:t>A-D</w:t>
      </w:r>
      <w:r w:rsidRPr="00AB24FA">
        <w:rPr>
          <w:rFonts w:ascii="Arial" w:hAnsi="Arial" w:cs="Arial"/>
        </w:rPr>
        <w:t>节）。检查期间，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工作人员通常审查和复印：</w:t>
      </w:r>
      <w:bookmarkStart w:id="1" w:name="_GoBack"/>
      <w:bookmarkEnd w:id="1"/>
    </w:p>
    <w:p w:rsidR="00C42A62" w:rsidRPr="00AB24FA" w:rsidRDefault="00212B15" w:rsidP="001F0E14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成员记录</w:t>
      </w:r>
    </w:p>
    <w:p w:rsidR="00C42A62" w:rsidRPr="00AB24FA" w:rsidRDefault="00212B15" w:rsidP="001F0E14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流程和指南</w:t>
      </w:r>
    </w:p>
    <w:p w:rsidR="00C42A62" w:rsidRPr="00AB24FA" w:rsidRDefault="00212B15" w:rsidP="001F0E14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lastRenderedPageBreak/>
        <w:t>过去一年的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会议记录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2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临床研究者提交给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的研究文件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2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发送给临床研究者的研究文件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20"/>
        </w:tabs>
        <w:snapToGrid w:val="0"/>
        <w:spacing w:afterLines="50" w:after="120" w:line="300" w:lineRule="auto"/>
        <w:ind w:leftChars="200" w:left="79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这些研究的其他材料</w:t>
      </w: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 w:rsidRPr="001F0E14">
        <w:rPr>
          <w:rFonts w:ascii="Arial" w:hAnsi="Arial" w:cs="Arial"/>
          <w:sz w:val="32"/>
          <w:szCs w:val="32"/>
        </w:rPr>
        <w:t>检查完成后应做什么？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检查结束时，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人员与负责机构和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代表进行总结面谈。面谈期间，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检查人员审查并讨论检查意见，如果发现缺陷，向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最高负责人代表发出书面表格</w:t>
      </w:r>
      <w:r w:rsidRPr="00AB24FA">
        <w:rPr>
          <w:rFonts w:ascii="Arial" w:hAnsi="Arial" w:cs="Arial"/>
        </w:rPr>
        <w:t>FDA 483</w:t>
      </w:r>
      <w:r w:rsidRPr="00AB24FA">
        <w:rPr>
          <w:rFonts w:ascii="Arial" w:hAnsi="Arial" w:cs="Arial"/>
        </w:rPr>
        <w:t>（检查意见；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）。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表格描述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检查工作人员认为代表适用法律和法规偏离情况的检查意见。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可在总结面谈时回复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意见，和</w:t>
      </w:r>
      <w:r w:rsidRPr="00AB24FA">
        <w:rPr>
          <w:rFonts w:ascii="Arial" w:hAnsi="Arial" w:cs="Arial"/>
        </w:rPr>
        <w:t>/</w:t>
      </w:r>
      <w:r w:rsidRPr="00AB24FA">
        <w:rPr>
          <w:rFonts w:ascii="Arial" w:hAnsi="Arial" w:cs="Arial"/>
        </w:rPr>
        <w:t>或在检查后以书面形式回复。如果</w:t>
      </w:r>
      <w:r w:rsidRPr="00AB24FA">
        <w:rPr>
          <w:rFonts w:ascii="Arial" w:hAnsi="Arial" w:cs="Arial"/>
        </w:rPr>
        <w:t>IRB /</w:t>
      </w:r>
      <w:r w:rsidRPr="00AB24FA">
        <w:rPr>
          <w:rFonts w:ascii="Arial" w:hAnsi="Arial" w:cs="Arial"/>
        </w:rPr>
        <w:t>责任机构选择书面答复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列出的缺陷，则应直接向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左上角列出的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地区办事处</w:t>
      </w:r>
      <w:proofErr w:type="gramStart"/>
      <w:r w:rsidRPr="00AB24FA">
        <w:rPr>
          <w:rFonts w:ascii="Arial" w:hAnsi="Arial" w:cs="Arial"/>
        </w:rPr>
        <w:t>作出</w:t>
      </w:r>
      <w:proofErr w:type="gramEnd"/>
      <w:r w:rsidRPr="00AB24FA">
        <w:rPr>
          <w:rFonts w:ascii="Arial" w:hAnsi="Arial" w:cs="Arial"/>
        </w:rPr>
        <w:t>答复。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的网站列出了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各地区办事处</w:t>
      </w:r>
      <w:r w:rsidRPr="00BA356D">
        <w:rPr>
          <w:rFonts w:ascii="Arial" w:hAnsi="Arial" w:cs="Arial"/>
          <w:i/>
          <w:color w:val="0000FF"/>
        </w:rPr>
        <w:t>（</w:t>
      </w:r>
      <w:r w:rsidRPr="00BA356D">
        <w:rPr>
          <w:rFonts w:ascii="Arial" w:hAnsi="Arial" w:cs="Arial"/>
          <w:i/>
          <w:color w:val="0000FF"/>
        </w:rPr>
        <w:t>http</w:t>
      </w:r>
      <w:r w:rsidR="00BA356D" w:rsidRPr="00BA356D">
        <w:rPr>
          <w:rFonts w:ascii="Arial" w:hAnsi="Arial" w:cs="Arial" w:hint="eastAsia"/>
          <w:i/>
          <w:color w:val="0000FF"/>
        </w:rPr>
        <w:t>:</w:t>
      </w:r>
      <w:r w:rsidR="00BA356D" w:rsidRPr="00BA356D">
        <w:rPr>
          <w:rFonts w:ascii="Arial" w:hAnsi="Arial" w:cs="Arial"/>
          <w:i/>
          <w:color w:val="0000FF"/>
        </w:rPr>
        <w:t>//www.gov</w:t>
      </w:r>
      <w:hyperlink r:id="rId10">
        <w:r w:rsidR="00BA356D" w:rsidRPr="00BA356D">
          <w:rPr>
            <w:rFonts w:ascii="Arial" w:hAnsi="Arial" w:cs="Arial"/>
            <w:b/>
            <w:i/>
            <w:color w:val="0000FF"/>
          </w:rPr>
          <w:t>/</w:t>
        </w:r>
        <w:r w:rsidR="00BA356D" w:rsidRPr="00BA356D">
          <w:rPr>
            <w:rFonts w:ascii="Arial" w:hAnsi="Arial" w:cs="Arial" w:hint="eastAsia"/>
            <w:i/>
            <w:color w:val="0000FF"/>
          </w:rPr>
          <w:t>ora</w:t>
        </w:r>
        <w:r w:rsidRPr="00BA356D">
          <w:rPr>
            <w:rFonts w:ascii="Arial" w:hAnsi="Arial" w:cs="Arial"/>
            <w:i/>
            <w:color w:val="0000FF"/>
          </w:rPr>
          <w:t>）</w:t>
        </w:r>
        <w:r w:rsidRPr="00BA356D">
          <w:rPr>
            <w:rFonts w:ascii="Arial" w:hAnsi="Arial" w:cs="Arial"/>
            <w:i/>
          </w:rPr>
          <w:t>。</w:t>
        </w:r>
      </w:hyperlink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检查后，执行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检查的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人员出具书面现场检查报告（</w:t>
      </w:r>
      <w:r w:rsidRPr="00AB24FA">
        <w:rPr>
          <w:rFonts w:ascii="Arial" w:hAnsi="Arial" w:cs="Arial"/>
        </w:rPr>
        <w:t>EIR</w:t>
      </w:r>
      <w:r w:rsidRPr="00AB24FA">
        <w:rPr>
          <w:rFonts w:ascii="Arial" w:hAnsi="Arial" w:cs="Arial"/>
        </w:rPr>
        <w:t>）。现场检查报告、</w:t>
      </w:r>
      <w:r w:rsidRPr="00AB24FA">
        <w:rPr>
          <w:rFonts w:ascii="Arial" w:hAnsi="Arial" w:cs="Arial"/>
        </w:rPr>
        <w:t>483</w:t>
      </w:r>
      <w:r w:rsidRPr="00AB24FA">
        <w:rPr>
          <w:rFonts w:ascii="Arial" w:hAnsi="Arial" w:cs="Arial"/>
        </w:rPr>
        <w:t>（若发布）及检查期间收集的所有资料副本及所有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回复均应提交给相应的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中心，以便进行进一步审评。完成该审评后，审评中心将向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负责人或其他责任机构办事处发出如下其中一种类型的信函：</w:t>
      </w:r>
    </w:p>
    <w:p w:rsidR="00C42A62" w:rsidRPr="00AB24FA" w:rsidRDefault="00212B15" w:rsidP="00BA356D">
      <w:pPr>
        <w:pStyle w:val="a3"/>
        <w:numPr>
          <w:ilvl w:val="0"/>
          <w:numId w:val="1"/>
        </w:numPr>
        <w:tabs>
          <w:tab w:val="left" w:pos="82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信中一般描述</w:t>
      </w:r>
      <w:r w:rsidRPr="00AB24FA">
        <w:rPr>
          <w:rFonts w:ascii="Arial" w:hAnsi="Arial" w:cs="Arial"/>
        </w:rPr>
        <w:t>“FDA</w:t>
      </w:r>
      <w:r w:rsidRPr="00AB24FA">
        <w:rPr>
          <w:rFonts w:ascii="Arial" w:hAnsi="Arial" w:cs="Arial"/>
        </w:rPr>
        <w:t>没有发现严重偏离法规的情况。请注意，若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没有发现严重偏离，则不一定发送信函。</w:t>
      </w:r>
    </w:p>
    <w:p w:rsidR="00C42A62" w:rsidRPr="00AB24FA" w:rsidRDefault="00212B15" w:rsidP="00BA356D">
      <w:pPr>
        <w:pStyle w:val="a3"/>
        <w:numPr>
          <w:ilvl w:val="0"/>
          <w:numId w:val="1"/>
        </w:numPr>
        <w:tabs>
          <w:tab w:val="left" w:pos="82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对于描述法律和法规偏离情况的通知性信函或无标题信函，只需采取自愿性纠正措施。有时需要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回复这类信函。</w:t>
      </w:r>
    </w:p>
    <w:p w:rsidR="00C42A62" w:rsidRPr="00AB24FA" w:rsidRDefault="00212B15" w:rsidP="00BA356D">
      <w:pPr>
        <w:pStyle w:val="a3"/>
        <w:numPr>
          <w:ilvl w:val="0"/>
          <w:numId w:val="1"/>
        </w:numPr>
        <w:tabs>
          <w:tab w:val="left" w:pos="82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警告信函描述适用法律和法规的严重偏离情况。警告信函一般要求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立即纠正，并要求给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提交正式书面答复。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也可根据</w:t>
      </w:r>
      <w:r w:rsidRPr="00AB24FA">
        <w:rPr>
          <w:rFonts w:ascii="Arial" w:hAnsi="Arial" w:cs="Arial"/>
        </w:rPr>
        <w:t>21 CFR 56.120</w:t>
      </w:r>
      <w:r w:rsidRPr="00AB24FA">
        <w:rPr>
          <w:rFonts w:ascii="Arial" w:hAnsi="Arial" w:cs="Arial"/>
        </w:rPr>
        <w:t>发布信函。在这种情况下，该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将要求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或</w:t>
      </w:r>
      <w:proofErr w:type="gramStart"/>
      <w:r w:rsidRPr="00AB24FA">
        <w:rPr>
          <w:rFonts w:ascii="Arial" w:hAnsi="Arial" w:cs="Arial"/>
        </w:rPr>
        <w:t>母机构</w:t>
      </w:r>
      <w:proofErr w:type="gramEnd"/>
      <w:r w:rsidRPr="00AB24FA">
        <w:rPr>
          <w:rFonts w:ascii="Arial" w:hAnsi="Arial" w:cs="Arial"/>
        </w:rPr>
        <w:t>在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规定的期限内对该信</w:t>
      </w:r>
      <w:proofErr w:type="gramStart"/>
      <w:r w:rsidRPr="00AB24FA">
        <w:rPr>
          <w:rFonts w:ascii="Arial" w:hAnsi="Arial" w:cs="Arial"/>
        </w:rPr>
        <w:t>作出</w:t>
      </w:r>
      <w:proofErr w:type="gramEnd"/>
      <w:r w:rsidRPr="00AB24FA">
        <w:rPr>
          <w:rFonts w:ascii="Arial" w:hAnsi="Arial" w:cs="Arial"/>
        </w:rPr>
        <w:t>答复，并描述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或</w:t>
      </w:r>
      <w:proofErr w:type="gramStart"/>
      <w:r w:rsidRPr="00AB24FA">
        <w:rPr>
          <w:rFonts w:ascii="Arial" w:hAnsi="Arial" w:cs="Arial"/>
        </w:rPr>
        <w:t>母机构</w:t>
      </w:r>
      <w:proofErr w:type="gramEnd"/>
      <w:r w:rsidRPr="00AB24FA">
        <w:rPr>
          <w:rFonts w:ascii="Arial" w:hAnsi="Arial" w:cs="Arial"/>
        </w:rPr>
        <w:t>或两者都将采取的纠正措施，以达到合</w:t>
      </w:r>
      <w:proofErr w:type="gramStart"/>
      <w:r w:rsidRPr="00AB24FA">
        <w:rPr>
          <w:rFonts w:ascii="Arial" w:hAnsi="Arial" w:cs="Arial"/>
        </w:rPr>
        <w:t>规</w:t>
      </w:r>
      <w:proofErr w:type="gramEnd"/>
      <w:r w:rsidRPr="00AB24FA">
        <w:rPr>
          <w:rFonts w:ascii="Arial" w:hAnsi="Arial" w:cs="Arial"/>
        </w:rPr>
        <w:t>性。基于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或机构对这些信函的回复，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可能会安排复检，确认纠正措施是否充分。对于适用法规和法律（</w:t>
      </w:r>
      <w:r w:rsidRPr="00AB24FA">
        <w:rPr>
          <w:rFonts w:ascii="Arial" w:hAnsi="Arial" w:cs="Arial"/>
        </w:rPr>
        <w:t xml:space="preserve">21 CFR </w:t>
      </w:r>
      <w:r w:rsidRPr="00AB24FA">
        <w:rPr>
          <w:rFonts w:ascii="Arial" w:hAnsi="Arial" w:cs="Arial"/>
        </w:rPr>
        <w:t>第</w:t>
      </w:r>
      <w:r w:rsidRPr="00AB24FA">
        <w:rPr>
          <w:rFonts w:ascii="Arial" w:hAnsi="Arial" w:cs="Arial"/>
        </w:rPr>
        <w:t>56</w:t>
      </w:r>
      <w:r w:rsidRPr="00AB24FA">
        <w:rPr>
          <w:rFonts w:ascii="Arial" w:hAnsi="Arial" w:cs="Arial"/>
        </w:rPr>
        <w:t>部分，</w:t>
      </w:r>
      <w:r w:rsidRPr="00AB24FA">
        <w:rPr>
          <w:rFonts w:ascii="Arial" w:hAnsi="Arial" w:cs="Arial"/>
        </w:rPr>
        <w:t>E</w:t>
      </w:r>
      <w:r w:rsidRPr="00AB24FA">
        <w:rPr>
          <w:rFonts w:ascii="Arial" w:hAnsi="Arial" w:cs="Arial"/>
        </w:rPr>
        <w:t>节）的不合</w:t>
      </w:r>
      <w:proofErr w:type="gramStart"/>
      <w:r w:rsidRPr="00AB24FA">
        <w:rPr>
          <w:rFonts w:ascii="Arial" w:hAnsi="Arial" w:cs="Arial"/>
        </w:rPr>
        <w:t>规</w:t>
      </w:r>
      <w:proofErr w:type="gramEnd"/>
      <w:r w:rsidRPr="00AB24FA">
        <w:rPr>
          <w:rFonts w:ascii="Arial" w:hAnsi="Arial" w:cs="Arial"/>
        </w:rPr>
        <w:t>情况，除了发布这些信函，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可以对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或其机构采取其他行政措施。在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或</w:t>
      </w:r>
      <w:proofErr w:type="gramStart"/>
      <w:r w:rsidRPr="00AB24FA">
        <w:rPr>
          <w:rFonts w:ascii="Arial" w:hAnsi="Arial" w:cs="Arial"/>
        </w:rPr>
        <w:t>母机构</w:t>
      </w:r>
      <w:proofErr w:type="gramEnd"/>
      <w:r w:rsidRPr="00AB24FA">
        <w:rPr>
          <w:rFonts w:ascii="Arial" w:hAnsi="Arial" w:cs="Arial"/>
        </w:rPr>
        <w:t>采取适当的纠正措施之前，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可能（</w:t>
      </w:r>
      <w:r w:rsidRPr="00AB24FA">
        <w:rPr>
          <w:rFonts w:ascii="Arial" w:hAnsi="Arial" w:cs="Arial"/>
        </w:rPr>
        <w:t>FDA IRB</w:t>
      </w:r>
      <w:r w:rsidRPr="00AB24FA">
        <w:rPr>
          <w:rFonts w:ascii="Arial" w:hAnsi="Arial" w:cs="Arial"/>
        </w:rPr>
        <w:t>法规监管研究）：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lastRenderedPageBreak/>
        <w:t>暂停审批该机构执行的或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审核的新研究。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要求正在进行的研究不得增加受试者。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终止正在进行的研究，以避免危害受试者</w:t>
      </w:r>
    </w:p>
    <w:p w:rsidR="00C42A62" w:rsidRPr="00AB24FA" w:rsidRDefault="00212B15" w:rsidP="00BA356D">
      <w:pPr>
        <w:pStyle w:val="a3"/>
        <w:numPr>
          <w:ilvl w:val="1"/>
          <w:numId w:val="2"/>
        </w:numPr>
        <w:tabs>
          <w:tab w:val="left" w:pos="840"/>
        </w:tabs>
        <w:snapToGrid w:val="0"/>
        <w:spacing w:afterLines="50" w:after="120" w:line="300" w:lineRule="auto"/>
        <w:ind w:leftChars="100" w:left="577" w:hanging="357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当不合</w:t>
      </w:r>
      <w:proofErr w:type="gramStart"/>
      <w:r w:rsidRPr="00AB24FA">
        <w:rPr>
          <w:rFonts w:ascii="Arial" w:hAnsi="Arial" w:cs="Arial"/>
        </w:rPr>
        <w:t>规</w:t>
      </w:r>
      <w:proofErr w:type="gramEnd"/>
      <w:r w:rsidRPr="00AB24FA">
        <w:rPr>
          <w:rFonts w:ascii="Arial" w:hAnsi="Arial" w:cs="Arial"/>
        </w:rPr>
        <w:t>情况明显严重威胁人类受试者权利和福利时，应将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操作缺陷告知有关州和联邦监管机构及其他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行动利益相关方。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若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拒绝遵循或屡次违背</w:t>
      </w:r>
      <w:r w:rsidRPr="00AB24FA">
        <w:rPr>
          <w:rFonts w:ascii="Arial" w:hAnsi="Arial" w:cs="Arial"/>
        </w:rPr>
        <w:t>FDA IRB</w:t>
      </w:r>
      <w:r w:rsidRPr="00AB24FA">
        <w:rPr>
          <w:rFonts w:ascii="Arial" w:hAnsi="Arial" w:cs="Arial"/>
        </w:rPr>
        <w:t>法规（</w:t>
      </w:r>
      <w:r w:rsidRPr="00AB24FA">
        <w:rPr>
          <w:rFonts w:ascii="Arial" w:hAnsi="Arial" w:cs="Arial"/>
        </w:rPr>
        <w:t xml:space="preserve">21 CFR </w:t>
      </w:r>
      <w:r w:rsidRPr="00AB24FA">
        <w:rPr>
          <w:rFonts w:ascii="Arial" w:hAnsi="Arial" w:cs="Arial"/>
        </w:rPr>
        <w:t>第</w:t>
      </w:r>
      <w:r w:rsidRPr="00AB24FA">
        <w:rPr>
          <w:rFonts w:ascii="Arial" w:hAnsi="Arial" w:cs="Arial"/>
        </w:rPr>
        <w:t>56</w:t>
      </w:r>
      <w:r w:rsidRPr="00AB24FA">
        <w:rPr>
          <w:rFonts w:ascii="Arial" w:hAnsi="Arial" w:cs="Arial"/>
        </w:rPr>
        <w:t>部分）并且不合</w:t>
      </w:r>
      <w:proofErr w:type="gramStart"/>
      <w:r w:rsidRPr="00AB24FA">
        <w:rPr>
          <w:rFonts w:ascii="Arial" w:hAnsi="Arial" w:cs="Arial"/>
        </w:rPr>
        <w:t>规</w:t>
      </w:r>
      <w:proofErr w:type="gramEnd"/>
      <w:r w:rsidRPr="00AB24FA">
        <w:rPr>
          <w:rFonts w:ascii="Arial" w:hAnsi="Arial" w:cs="Arial"/>
        </w:rPr>
        <w:t>情况严重影响临床研究中人类受试者的权利或福利时，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专员也可启动吊销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资质的程序。</w:t>
      </w:r>
    </w:p>
    <w:p w:rsidR="00C42A62" w:rsidRPr="001F0E14" w:rsidRDefault="00212B15" w:rsidP="001F0E14">
      <w:pPr>
        <w:pStyle w:val="3"/>
        <w:numPr>
          <w:ilvl w:val="0"/>
          <w:numId w:val="2"/>
        </w:numPr>
        <w:tabs>
          <w:tab w:val="left" w:pos="1060"/>
        </w:tabs>
        <w:snapToGrid w:val="0"/>
        <w:spacing w:afterLines="50" w:after="120" w:line="300" w:lineRule="auto"/>
        <w:ind w:left="720"/>
        <w:jc w:val="left"/>
        <w:rPr>
          <w:rFonts w:ascii="Arial" w:hAnsi="Arial" w:cs="Arial"/>
          <w:sz w:val="32"/>
          <w:szCs w:val="32"/>
        </w:rPr>
      </w:pPr>
      <w:r w:rsidRPr="001F0E14">
        <w:rPr>
          <w:rFonts w:ascii="Arial" w:hAnsi="Arial" w:cs="Arial"/>
          <w:sz w:val="32"/>
          <w:szCs w:val="32"/>
        </w:rPr>
        <w:t>谁能提供更多的信息？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检查期间，若</w:t>
      </w:r>
      <w:r w:rsidRPr="00AB24FA">
        <w:rPr>
          <w:rFonts w:ascii="Arial" w:hAnsi="Arial" w:cs="Arial"/>
        </w:rPr>
        <w:t>IRB</w:t>
      </w:r>
      <w:r w:rsidRPr="00AB24FA">
        <w:rPr>
          <w:rFonts w:ascii="Arial" w:hAnsi="Arial" w:cs="Arial"/>
        </w:rPr>
        <w:t>官员的问题没有得到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检查人员的答复，则可联系地区办事处主任或检查中心的联络人。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检查人员应提供地区办事处主任和中心联络人的姓名和电话号码。</w:t>
      </w:r>
    </w:p>
    <w:p w:rsidR="00C42A62" w:rsidRPr="00AB24FA" w:rsidRDefault="00212B15" w:rsidP="001F0E14">
      <w:pPr>
        <w:pStyle w:val="a3"/>
        <w:snapToGrid w:val="0"/>
        <w:spacing w:afterLines="50" w:after="120" w:line="300" w:lineRule="auto"/>
        <w:ind w:left="0"/>
        <w:jc w:val="both"/>
        <w:rPr>
          <w:rFonts w:ascii="Arial" w:hAnsi="Arial" w:cs="Arial"/>
        </w:rPr>
      </w:pPr>
      <w:r w:rsidRPr="00AB24FA">
        <w:rPr>
          <w:rFonts w:ascii="Arial" w:hAnsi="Arial" w:cs="Arial"/>
        </w:rPr>
        <w:t>此外，有关</w:t>
      </w:r>
      <w:r w:rsidRPr="00AB24FA">
        <w:rPr>
          <w:rFonts w:ascii="Arial" w:hAnsi="Arial" w:cs="Arial"/>
        </w:rPr>
        <w:t>FDA</w:t>
      </w:r>
      <w:r w:rsidRPr="00AB24FA">
        <w:rPr>
          <w:rFonts w:ascii="Arial" w:hAnsi="Arial" w:cs="Arial"/>
        </w:rPr>
        <w:t>执行检查依据的</w:t>
      </w:r>
      <w:r w:rsidRPr="00AB24FA">
        <w:rPr>
          <w:rFonts w:ascii="Arial" w:hAnsi="Arial" w:cs="Arial"/>
        </w:rPr>
        <w:t>FDA IRB</w:t>
      </w:r>
      <w:r w:rsidRPr="00AB24FA">
        <w:rPr>
          <w:rFonts w:ascii="Arial" w:hAnsi="Arial" w:cs="Arial"/>
        </w:rPr>
        <w:t>检查合</w:t>
      </w:r>
      <w:proofErr w:type="gramStart"/>
      <w:r w:rsidRPr="00AB24FA">
        <w:rPr>
          <w:rFonts w:ascii="Arial" w:hAnsi="Arial" w:cs="Arial"/>
        </w:rPr>
        <w:t>规</w:t>
      </w:r>
      <w:proofErr w:type="gramEnd"/>
      <w:r w:rsidRPr="00AB24FA">
        <w:rPr>
          <w:rFonts w:ascii="Arial" w:hAnsi="Arial" w:cs="Arial"/>
        </w:rPr>
        <w:t>性项目指南手册，可访问</w:t>
      </w:r>
      <w:r w:rsidRPr="00AB24FA">
        <w:rPr>
          <w:rFonts w:ascii="Arial" w:hAnsi="Arial" w:cs="Arial"/>
        </w:rPr>
        <w:t xml:space="preserve"> </w:t>
      </w:r>
      <w:hyperlink r:id="rId11">
        <w:r w:rsidRPr="00AD2412">
          <w:rPr>
            <w:rFonts w:ascii="Arial" w:hAnsi="Arial" w:cs="Arial"/>
            <w:i/>
            <w:color w:val="0000FF"/>
            <w:u w:val="single"/>
          </w:rPr>
          <w:t>http://www.fda.gov/ora/cpgm/default.htm#bimo</w:t>
        </w:r>
      </w:hyperlink>
      <w:r w:rsidRPr="00AB24FA">
        <w:rPr>
          <w:rFonts w:ascii="Arial" w:hAnsi="Arial" w:cs="Arial"/>
        </w:rPr>
        <w:t>。</w:t>
      </w:r>
    </w:p>
    <w:sectPr w:rsidR="00C42A62" w:rsidRPr="00AB24FA" w:rsidSect="00400F89">
      <w:headerReference w:type="default" r:id="rId12"/>
      <w:footerReference w:type="default" r:id="rId13"/>
      <w:pgSz w:w="12240" w:h="15840"/>
      <w:pgMar w:top="1440" w:right="1800" w:bottom="1440" w:left="1800" w:header="113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2F" w:rsidRDefault="00212B15">
      <w:r>
        <w:separator/>
      </w:r>
    </w:p>
  </w:endnote>
  <w:endnote w:type="continuationSeparator" w:id="0">
    <w:p w:rsidR="00E8472F" w:rsidRDefault="0021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1"/>
        <w:szCs w:val="21"/>
      </w:rPr>
      <w:id w:val="1265584178"/>
      <w:docPartObj>
        <w:docPartGallery w:val="Page Numbers (Bottom of Page)"/>
        <w:docPartUnique/>
      </w:docPartObj>
    </w:sdtPr>
    <w:sdtEndPr/>
    <w:sdtContent>
      <w:p w:rsidR="00C42A62" w:rsidRPr="00400F89" w:rsidRDefault="00400F89" w:rsidP="00400F89">
        <w:pPr>
          <w:pStyle w:val="a6"/>
          <w:jc w:val="center"/>
          <w:rPr>
            <w:rFonts w:ascii="Arial" w:hAnsi="Arial" w:cs="Arial"/>
            <w:sz w:val="21"/>
            <w:szCs w:val="21"/>
          </w:rPr>
        </w:pPr>
        <w:r w:rsidRPr="00400F89">
          <w:rPr>
            <w:rFonts w:ascii="Arial" w:hAnsi="Arial" w:cs="Arial"/>
            <w:sz w:val="21"/>
            <w:szCs w:val="21"/>
          </w:rPr>
          <w:fldChar w:fldCharType="begin"/>
        </w:r>
        <w:r w:rsidRPr="00400F89">
          <w:rPr>
            <w:rFonts w:ascii="Arial" w:hAnsi="Arial" w:cs="Arial"/>
            <w:sz w:val="21"/>
            <w:szCs w:val="21"/>
          </w:rPr>
          <w:instrText>PAGE   \* MERGEFORMAT</w:instrText>
        </w:r>
        <w:r w:rsidRPr="00400F89">
          <w:rPr>
            <w:rFonts w:ascii="Arial" w:hAnsi="Arial" w:cs="Arial"/>
            <w:sz w:val="21"/>
            <w:szCs w:val="21"/>
          </w:rPr>
          <w:fldChar w:fldCharType="separate"/>
        </w:r>
        <w:r w:rsidR="007713AE" w:rsidRPr="007713AE">
          <w:rPr>
            <w:rFonts w:ascii="Arial" w:hAnsi="Arial" w:cs="Arial"/>
            <w:noProof/>
            <w:sz w:val="21"/>
            <w:szCs w:val="21"/>
            <w:lang w:val="zh-CN"/>
          </w:rPr>
          <w:t>4</w:t>
        </w:r>
        <w:r w:rsidRPr="00400F89">
          <w:rPr>
            <w:rFonts w:ascii="Arial" w:hAnsi="Arial" w:cs="Arial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2F" w:rsidRDefault="00212B15">
      <w:r>
        <w:separator/>
      </w:r>
    </w:p>
  </w:footnote>
  <w:footnote w:type="continuationSeparator" w:id="0">
    <w:p w:rsidR="00E8472F" w:rsidRDefault="00212B15">
      <w:r>
        <w:continuationSeparator/>
      </w:r>
    </w:p>
  </w:footnote>
  <w:footnote w:id="1">
    <w:p w:rsidR="001F0E14" w:rsidRPr="001F0E14" w:rsidRDefault="001F0E14">
      <w:pPr>
        <w:pStyle w:val="a8"/>
        <w:rPr>
          <w:rFonts w:ascii="Arial" w:hAnsi="Arial" w:cs="Arial"/>
          <w:sz w:val="21"/>
          <w:szCs w:val="21"/>
        </w:rPr>
      </w:pPr>
      <w:r w:rsidRPr="001F0E14">
        <w:rPr>
          <w:rStyle w:val="a9"/>
          <w:rFonts w:ascii="Arial" w:hAnsi="Arial" w:cs="Arial"/>
          <w:sz w:val="21"/>
          <w:szCs w:val="21"/>
        </w:rPr>
        <w:footnoteRef/>
      </w:r>
      <w:r w:rsidRPr="001F0E14">
        <w:rPr>
          <w:rFonts w:ascii="Arial" w:hAnsi="Arial" w:cs="Arial"/>
          <w:sz w:val="21"/>
          <w:szCs w:val="21"/>
        </w:rPr>
        <w:t xml:space="preserve"> </w:t>
      </w:r>
      <w:r w:rsidRPr="001F0E14">
        <w:rPr>
          <w:rFonts w:ascii="Arial" w:eastAsia="宋体" w:hAnsi="Arial" w:cs="Arial"/>
          <w:sz w:val="21"/>
          <w:szCs w:val="21"/>
        </w:rPr>
        <w:t>本指南由局长办公室良好临床实践小组（</w:t>
      </w:r>
      <w:r w:rsidRPr="001F0E14">
        <w:rPr>
          <w:rFonts w:ascii="Arial" w:eastAsia="宋体" w:hAnsi="Arial" w:cs="Arial"/>
          <w:sz w:val="21"/>
          <w:szCs w:val="21"/>
        </w:rPr>
        <w:t>OC</w:t>
      </w:r>
      <w:r w:rsidRPr="001F0E14">
        <w:rPr>
          <w:rFonts w:ascii="Arial" w:eastAsia="宋体" w:hAnsi="Arial" w:cs="Arial"/>
          <w:sz w:val="21"/>
          <w:szCs w:val="21"/>
        </w:rPr>
        <w:t>）联合生物制品评估和研究中心（</w:t>
      </w:r>
      <w:r w:rsidRPr="001F0E14">
        <w:rPr>
          <w:rFonts w:ascii="Arial" w:eastAsia="宋体" w:hAnsi="Arial" w:cs="Arial"/>
          <w:sz w:val="21"/>
          <w:szCs w:val="21"/>
        </w:rPr>
        <w:t>CBER</w:t>
      </w:r>
      <w:r w:rsidRPr="001F0E14">
        <w:rPr>
          <w:rFonts w:ascii="Arial" w:eastAsia="宋体" w:hAnsi="Arial" w:cs="Arial"/>
          <w:sz w:val="21"/>
          <w:szCs w:val="21"/>
        </w:rPr>
        <w:t>）、器械和</w:t>
      </w:r>
      <w:r w:rsidR="007713AE">
        <w:rPr>
          <w:rFonts w:ascii="Arial" w:eastAsia="宋体" w:hAnsi="Arial" w:cs="Arial"/>
          <w:sz w:val="21"/>
          <w:szCs w:val="21"/>
        </w:rPr>
        <w:t>放射卫生</w:t>
      </w:r>
      <w:r w:rsidRPr="001F0E14">
        <w:rPr>
          <w:rFonts w:ascii="Arial" w:eastAsia="宋体" w:hAnsi="Arial" w:cs="Arial"/>
          <w:sz w:val="21"/>
          <w:szCs w:val="21"/>
        </w:rPr>
        <w:t>中心（</w:t>
      </w:r>
      <w:r w:rsidRPr="001F0E14">
        <w:rPr>
          <w:rFonts w:ascii="Arial" w:eastAsia="宋体" w:hAnsi="Arial" w:cs="Arial"/>
          <w:sz w:val="21"/>
          <w:szCs w:val="21"/>
        </w:rPr>
        <w:t>CDRH</w:t>
      </w:r>
      <w:r w:rsidRPr="001F0E14">
        <w:rPr>
          <w:rFonts w:ascii="Arial" w:eastAsia="宋体" w:hAnsi="Arial" w:cs="Arial"/>
          <w:sz w:val="21"/>
          <w:szCs w:val="21"/>
        </w:rPr>
        <w:t>）、药品评价和研究中心（</w:t>
      </w:r>
      <w:r w:rsidRPr="001F0E14">
        <w:rPr>
          <w:rFonts w:ascii="Arial" w:eastAsia="宋体" w:hAnsi="Arial" w:cs="Arial"/>
          <w:sz w:val="21"/>
          <w:szCs w:val="21"/>
        </w:rPr>
        <w:t>CDER</w:t>
      </w:r>
      <w:r w:rsidRPr="001F0E14">
        <w:rPr>
          <w:rFonts w:ascii="Arial" w:eastAsia="宋体" w:hAnsi="Arial" w:cs="Arial"/>
          <w:sz w:val="21"/>
          <w:szCs w:val="21"/>
        </w:rPr>
        <w:t>）及法规事务办公室（</w:t>
      </w:r>
      <w:r w:rsidRPr="001F0E14">
        <w:rPr>
          <w:rFonts w:ascii="Arial" w:eastAsia="宋体" w:hAnsi="Arial" w:cs="Arial"/>
          <w:sz w:val="21"/>
          <w:szCs w:val="21"/>
        </w:rPr>
        <w:t>ORA</w:t>
      </w:r>
      <w:r w:rsidRPr="001F0E14">
        <w:rPr>
          <w:rFonts w:ascii="Arial" w:eastAsia="宋体" w:hAnsi="Arial" w:cs="Arial"/>
          <w:sz w:val="21"/>
          <w:szCs w:val="21"/>
        </w:rPr>
        <w:t>）共同制定。</w:t>
      </w:r>
    </w:p>
  </w:footnote>
  <w:footnote w:id="2">
    <w:p w:rsidR="001F0E14" w:rsidRPr="001F0E14" w:rsidRDefault="001F0E14">
      <w:pPr>
        <w:pStyle w:val="a8"/>
        <w:rPr>
          <w:rFonts w:ascii="Arial" w:hAnsi="Arial" w:cs="Arial"/>
          <w:sz w:val="21"/>
          <w:szCs w:val="21"/>
        </w:rPr>
      </w:pPr>
      <w:r w:rsidRPr="001F0E14">
        <w:rPr>
          <w:rStyle w:val="a9"/>
          <w:rFonts w:ascii="Arial" w:hAnsi="Arial" w:cs="Arial"/>
          <w:sz w:val="21"/>
          <w:szCs w:val="21"/>
        </w:rPr>
        <w:footnoteRef/>
      </w:r>
      <w:r w:rsidRPr="001F0E14">
        <w:rPr>
          <w:rFonts w:ascii="Arial" w:hAnsi="Arial" w:cs="Arial"/>
          <w:sz w:val="21"/>
          <w:szCs w:val="21"/>
        </w:rPr>
        <w:t xml:space="preserve"> </w:t>
      </w:r>
      <w:r w:rsidRPr="001F0E14">
        <w:rPr>
          <w:rFonts w:ascii="Arial" w:eastAsia="宋体" w:hAnsi="Arial" w:cs="Arial"/>
          <w:sz w:val="21"/>
          <w:szCs w:val="21"/>
        </w:rPr>
        <w:t>65 FR 56477</w:t>
      </w:r>
      <w:r w:rsidRPr="001F0E14">
        <w:rPr>
          <w:rFonts w:ascii="Arial" w:eastAsia="宋体" w:hAnsi="Arial" w:cs="Arial"/>
          <w:sz w:val="21"/>
          <w:szCs w:val="21"/>
        </w:rPr>
        <w:t>，</w:t>
      </w:r>
      <w:r w:rsidRPr="001F0E14">
        <w:rPr>
          <w:rFonts w:ascii="Arial" w:eastAsia="宋体" w:hAnsi="Arial" w:cs="Arial"/>
          <w:sz w:val="21"/>
          <w:szCs w:val="21"/>
        </w:rPr>
        <w:t>2000</w:t>
      </w:r>
      <w:r w:rsidRPr="001F0E14">
        <w:rPr>
          <w:rFonts w:ascii="Arial" w:eastAsia="宋体" w:hAnsi="Arial" w:cs="Arial"/>
          <w:sz w:val="21"/>
          <w:szCs w:val="21"/>
        </w:rPr>
        <w:t>年</w:t>
      </w:r>
      <w:r w:rsidRPr="001F0E14">
        <w:rPr>
          <w:rFonts w:ascii="Arial" w:eastAsia="宋体" w:hAnsi="Arial" w:cs="Arial"/>
          <w:sz w:val="21"/>
          <w:szCs w:val="21"/>
        </w:rPr>
        <w:t>9</w:t>
      </w:r>
      <w:r w:rsidRPr="001F0E14">
        <w:rPr>
          <w:rFonts w:ascii="Arial" w:eastAsia="宋体" w:hAnsi="Arial" w:cs="Arial"/>
          <w:sz w:val="21"/>
          <w:szCs w:val="21"/>
        </w:rPr>
        <w:t>月</w:t>
      </w:r>
      <w:r w:rsidRPr="001F0E14">
        <w:rPr>
          <w:rFonts w:ascii="Arial" w:eastAsia="宋体" w:hAnsi="Arial" w:cs="Arial"/>
          <w:sz w:val="21"/>
          <w:szCs w:val="21"/>
        </w:rPr>
        <w:t>19</w:t>
      </w:r>
      <w:r w:rsidRPr="001F0E14">
        <w:rPr>
          <w:rFonts w:ascii="Arial" w:eastAsia="宋体" w:hAnsi="Arial" w:cs="Arial"/>
          <w:sz w:val="21"/>
          <w:szCs w:val="21"/>
        </w:rPr>
        <w:t>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FA" w:rsidRPr="001F0E14" w:rsidRDefault="007713AE" w:rsidP="001F0E14">
    <w:pPr>
      <w:snapToGrid w:val="0"/>
      <w:spacing w:afterLines="300" w:after="720" w:line="300" w:lineRule="auto"/>
      <w:ind w:left="23"/>
      <w:jc w:val="center"/>
      <w:rPr>
        <w:rFonts w:ascii="Times New Roman" w:eastAsia="宋体"/>
        <w:b/>
        <w:i/>
        <w:sz w:val="21"/>
        <w:szCs w:val="21"/>
      </w:rPr>
    </w:pPr>
    <w:r>
      <w:rPr>
        <w:rFonts w:ascii="Times New Roman" w:eastAsia="宋体" w:hint="eastAsia"/>
        <w:b/>
        <w:i/>
        <w:sz w:val="21"/>
        <w:szCs w:val="21"/>
      </w:rPr>
      <w:t>所含建议</w:t>
    </w:r>
    <w:r w:rsidR="00AB24FA" w:rsidRPr="001F0E14">
      <w:rPr>
        <w:rFonts w:ascii="Times New Roman" w:eastAsia="宋体" w:hint="eastAsia"/>
        <w:b/>
        <w:i/>
        <w:sz w:val="21"/>
        <w:szCs w:val="21"/>
      </w:rPr>
      <w:t>不具约束力</w:t>
    </w:r>
  </w:p>
  <w:p w:rsidR="00C42A62" w:rsidRPr="001F0E14" w:rsidRDefault="00C42A62" w:rsidP="00AB24FA">
    <w:pPr>
      <w:spacing w:line="14" w:lineRule="auto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497"/>
    <w:multiLevelType w:val="hybridMultilevel"/>
    <w:tmpl w:val="108E97C6"/>
    <w:lvl w:ilvl="0" w:tplc="EC147314">
      <w:start w:val="1"/>
      <w:numFmt w:val="upperRoman"/>
      <w:lvlText w:val="%1."/>
      <w:lvlJc w:val="left"/>
      <w:pPr>
        <w:ind w:left="1059" w:hanging="720"/>
        <w:jc w:val="right"/>
      </w:pPr>
      <w:rPr>
        <w:rFonts w:ascii="Arial" w:eastAsia="Times New Roman" w:hAnsi="Arial" w:cs="Arial" w:hint="default"/>
        <w:b/>
        <w:bCs/>
        <w:spacing w:val="-1"/>
        <w:sz w:val="32"/>
        <w:szCs w:val="32"/>
      </w:rPr>
    </w:lvl>
    <w:lvl w:ilvl="1" w:tplc="C58E7D98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1EE6B80">
      <w:start w:val="1"/>
      <w:numFmt w:val="bullet"/>
      <w:lvlText w:val="•"/>
      <w:lvlJc w:val="left"/>
      <w:pPr>
        <w:ind w:left="1059" w:hanging="360"/>
      </w:pPr>
      <w:rPr>
        <w:rFonts w:hint="default"/>
      </w:rPr>
    </w:lvl>
    <w:lvl w:ilvl="3" w:tplc="A650FA16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4" w:tplc="E90E3BA2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  <w:lvl w:ilvl="5" w:tplc="48426D00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6" w:tplc="099CDFDE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7" w:tplc="CDAA9D5A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8" w:tplc="0B5045F4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1">
    <w:nsid w:val="6549720C"/>
    <w:multiLevelType w:val="hybridMultilevel"/>
    <w:tmpl w:val="32D2155A"/>
    <w:lvl w:ilvl="0" w:tplc="5B46F2B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Times New Roman" w:hAnsi="Arial" w:cs="Arial" w:hint="default"/>
        <w:sz w:val="24"/>
        <w:szCs w:val="24"/>
      </w:rPr>
    </w:lvl>
    <w:lvl w:ilvl="1" w:tplc="BB203F7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17B4C27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6727A64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C1FED47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D32F2EE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4362FE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E5E1E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73C4A0D4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62"/>
    <w:rsid w:val="001F0E14"/>
    <w:rsid w:val="00212B15"/>
    <w:rsid w:val="00400F89"/>
    <w:rsid w:val="00560D1F"/>
    <w:rsid w:val="007713AE"/>
    <w:rsid w:val="007A03DD"/>
    <w:rsid w:val="00AB24FA"/>
    <w:rsid w:val="00AD2412"/>
    <w:rsid w:val="00BA356D"/>
    <w:rsid w:val="00C42A62"/>
    <w:rsid w:val="00E02681"/>
    <w:rsid w:val="00E40A1A"/>
    <w:rsid w:val="00E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Times New Roman" w:eastAsia="宋体" w:hAnsi="Times New Roman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28"/>
      <w:outlineLvl w:val="1"/>
    </w:pPr>
    <w:rPr>
      <w:rFonts w:ascii="Times New Roman" w:eastAsia="宋体" w:hAnsi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39" w:hanging="719"/>
      <w:outlineLvl w:val="2"/>
    </w:pPr>
    <w:rPr>
      <w:rFonts w:ascii="Times New Roman" w:eastAsia="宋体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0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26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2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2681"/>
    <w:rPr>
      <w:sz w:val="18"/>
      <w:szCs w:val="18"/>
    </w:rPr>
  </w:style>
  <w:style w:type="table" w:styleId="a7">
    <w:name w:val="Table Grid"/>
    <w:basedOn w:val="a1"/>
    <w:uiPriority w:val="59"/>
    <w:rsid w:val="0056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1"/>
    <w:uiPriority w:val="99"/>
    <w:semiHidden/>
    <w:unhideWhenUsed/>
    <w:rsid w:val="001F0E14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0"/>
    <w:link w:val="a8"/>
    <w:uiPriority w:val="99"/>
    <w:semiHidden/>
    <w:rsid w:val="001F0E14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F0E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Times New Roman" w:eastAsia="宋体" w:hAnsi="Times New Roman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28"/>
      <w:outlineLvl w:val="1"/>
    </w:pPr>
    <w:rPr>
      <w:rFonts w:ascii="Times New Roman" w:eastAsia="宋体" w:hAnsi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39" w:hanging="719"/>
      <w:outlineLvl w:val="2"/>
    </w:pPr>
    <w:rPr>
      <w:rFonts w:ascii="Times New Roman" w:eastAsia="宋体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0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26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2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2681"/>
    <w:rPr>
      <w:sz w:val="18"/>
      <w:szCs w:val="18"/>
    </w:rPr>
  </w:style>
  <w:style w:type="table" w:styleId="a7">
    <w:name w:val="Table Grid"/>
    <w:basedOn w:val="a1"/>
    <w:uiPriority w:val="59"/>
    <w:rsid w:val="0056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1"/>
    <w:uiPriority w:val="99"/>
    <w:semiHidden/>
    <w:unhideWhenUsed/>
    <w:rsid w:val="001F0E14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0"/>
    <w:link w:val="a8"/>
    <w:uiPriority w:val="99"/>
    <w:semiHidden/>
    <w:rsid w:val="001F0E14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F0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ora/cpgm/default.htm%23bim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da.gov/ora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da.gov/downloads/RegulatoryInformation/Guidances/UCM12655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5CFB-F2C9-4502-970E-856B1AD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Institutional Review Board Inspections</dc:title>
  <dc:subject>Information Sheet Guidance For IRBs, Clinical Investigators, and SponsorsFDA Institutional Review Board Inspections</dc:subject>
  <dc:creator>Food and Drug Administration</dc:creator>
  <cp:keywords>IRB, inspection, guidance</cp:keywords>
  <cp:lastModifiedBy>cathy-wen</cp:lastModifiedBy>
  <cp:revision>2</cp:revision>
  <dcterms:created xsi:type="dcterms:W3CDTF">2017-11-17T11:22:00Z</dcterms:created>
  <dcterms:modified xsi:type="dcterms:W3CDTF">2017-11-17T11:22:00Z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2006-02-03T00:00:00Z</vt:filetime>
  </property>
  <property fmtid="{D5CDD505-2E9C-101B-9397-08002B2CF9AE}" pid="3" name="LastSaved">
    <vt:filetime>2017-09-28T00:00:00Z</vt:filetime>
  </property>
</Properties>
</file>