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CBF" w:rsidRPr="003B156D" w:rsidRDefault="00344ADF" w:rsidP="00A45CD1">
      <w:pPr>
        <w:overflowPunct w:val="0"/>
        <w:snapToGrid w:val="0"/>
        <w:spacing w:beforeLines="300" w:before="720" w:line="300" w:lineRule="auto"/>
        <w:jc w:val="center"/>
        <w:rPr>
          <w:rFonts w:ascii="Arial" w:eastAsia="宋体" w:hAnsi="Arial" w:cs="Arial"/>
          <w:sz w:val="72"/>
          <w:szCs w:val="72"/>
        </w:rPr>
      </w:pPr>
      <w:r w:rsidRPr="003B156D">
        <w:rPr>
          <w:rFonts w:ascii="Arial" w:eastAsia="宋体" w:hAnsi="Arial" w:cs="Arial"/>
          <w:b/>
          <w:sz w:val="72"/>
        </w:rPr>
        <w:t>机构审查委员会、</w:t>
      </w:r>
      <w:r w:rsidR="007952B6">
        <w:rPr>
          <w:rFonts w:ascii="Arial" w:eastAsia="宋体" w:hAnsi="Arial" w:cs="Arial" w:hint="eastAsia"/>
          <w:b/>
          <w:sz w:val="72"/>
        </w:rPr>
        <w:br/>
      </w:r>
      <w:r w:rsidRPr="003B156D">
        <w:rPr>
          <w:rFonts w:ascii="Arial" w:eastAsia="宋体" w:hAnsi="Arial" w:cs="Arial"/>
          <w:b/>
          <w:sz w:val="72"/>
        </w:rPr>
        <w:t>临床研究者和</w:t>
      </w:r>
      <w:r w:rsidR="00C646B3">
        <w:rPr>
          <w:rFonts w:ascii="Arial" w:eastAsia="宋体" w:hAnsi="Arial" w:cs="Arial"/>
          <w:b/>
          <w:sz w:val="72"/>
        </w:rPr>
        <w:t>申办方</w:t>
      </w:r>
      <w:r w:rsidRPr="003B156D">
        <w:rPr>
          <w:rFonts w:ascii="Arial" w:eastAsia="宋体" w:hAnsi="Arial" w:cs="Arial"/>
          <w:b/>
          <w:sz w:val="72"/>
        </w:rPr>
        <w:t>的须知信息指南</w:t>
      </w:r>
    </w:p>
    <w:p w:rsidR="00750CBF" w:rsidRPr="007952B6" w:rsidRDefault="00344ADF" w:rsidP="00A45CD1">
      <w:pPr>
        <w:overflowPunct w:val="0"/>
        <w:snapToGrid w:val="0"/>
        <w:spacing w:afterLines="50" w:after="120" w:line="300" w:lineRule="auto"/>
        <w:jc w:val="center"/>
        <w:rPr>
          <w:rFonts w:ascii="Arial" w:eastAsia="宋体" w:hAnsi="Arial" w:cs="Arial"/>
          <w:sz w:val="52"/>
          <w:szCs w:val="52"/>
        </w:rPr>
      </w:pPr>
      <w:r w:rsidRPr="007952B6">
        <w:rPr>
          <w:rFonts w:ascii="Arial" w:eastAsia="宋体" w:hAnsi="Arial" w:cs="Arial"/>
          <w:b/>
          <w:sz w:val="52"/>
          <w:szCs w:val="52"/>
        </w:rPr>
        <w:t xml:space="preserve">FDA </w:t>
      </w:r>
      <w:r w:rsidRPr="007952B6">
        <w:rPr>
          <w:rFonts w:ascii="Arial" w:eastAsia="宋体" w:hAnsi="Arial" w:cs="Arial"/>
          <w:b/>
          <w:sz w:val="52"/>
          <w:szCs w:val="52"/>
        </w:rPr>
        <w:t>临床研究者检查</w:t>
      </w:r>
    </w:p>
    <w:p w:rsidR="00750CBF" w:rsidRPr="003B156D" w:rsidRDefault="00750CBF" w:rsidP="00A45CD1">
      <w:pPr>
        <w:overflowPunct w:val="0"/>
        <w:snapToGrid w:val="0"/>
        <w:spacing w:afterLines="50" w:after="120" w:line="300" w:lineRule="auto"/>
        <w:rPr>
          <w:rFonts w:ascii="Arial" w:eastAsia="宋体" w:hAnsi="Arial" w:cs="Arial"/>
          <w:b/>
          <w:bCs/>
          <w:sz w:val="56"/>
          <w:szCs w:val="56"/>
        </w:rPr>
      </w:pPr>
    </w:p>
    <w:p w:rsidR="00750CBF" w:rsidRPr="003B156D" w:rsidRDefault="00750CBF" w:rsidP="00A45CD1">
      <w:pPr>
        <w:overflowPunct w:val="0"/>
        <w:snapToGrid w:val="0"/>
        <w:spacing w:afterLines="50" w:after="120" w:line="300" w:lineRule="auto"/>
        <w:rPr>
          <w:rFonts w:ascii="Arial" w:eastAsia="宋体" w:hAnsi="Arial" w:cs="Arial"/>
          <w:b/>
          <w:bCs/>
          <w:sz w:val="56"/>
          <w:szCs w:val="56"/>
        </w:rPr>
      </w:pPr>
    </w:p>
    <w:p w:rsidR="00750CBF" w:rsidRPr="007952B6" w:rsidRDefault="00344ADF" w:rsidP="00A45CD1">
      <w:pPr>
        <w:overflowPunct w:val="0"/>
        <w:snapToGrid w:val="0"/>
        <w:spacing w:afterLines="50" w:after="120" w:line="300" w:lineRule="auto"/>
        <w:jc w:val="center"/>
        <w:rPr>
          <w:rFonts w:ascii="Arial" w:eastAsia="宋体" w:hAnsi="Arial" w:cs="Arial"/>
          <w:sz w:val="24"/>
          <w:szCs w:val="24"/>
        </w:rPr>
      </w:pPr>
      <w:r w:rsidRPr="007952B6">
        <w:rPr>
          <w:rFonts w:ascii="Arial" w:eastAsia="宋体" w:hAnsi="Arial" w:cs="Arial"/>
          <w:i/>
          <w:sz w:val="24"/>
          <w:szCs w:val="24"/>
        </w:rPr>
        <w:t>更多副本请咨询：</w:t>
      </w:r>
    </w:p>
    <w:p w:rsidR="00750CBF" w:rsidRPr="007952B6" w:rsidRDefault="00750CBF" w:rsidP="00A45CD1">
      <w:pPr>
        <w:overflowPunct w:val="0"/>
        <w:snapToGrid w:val="0"/>
        <w:spacing w:afterLines="50" w:after="120" w:line="300" w:lineRule="auto"/>
        <w:rPr>
          <w:rFonts w:ascii="Arial" w:eastAsia="宋体" w:hAnsi="Arial" w:cs="Arial"/>
          <w:i/>
          <w:sz w:val="24"/>
          <w:szCs w:val="24"/>
        </w:rPr>
      </w:pPr>
    </w:p>
    <w:p w:rsidR="00750CBF" w:rsidRPr="007952B6" w:rsidRDefault="00344ADF" w:rsidP="00A45CD1">
      <w:pPr>
        <w:overflowPunct w:val="0"/>
        <w:snapToGrid w:val="0"/>
        <w:spacing w:line="300" w:lineRule="auto"/>
        <w:jc w:val="center"/>
        <w:rPr>
          <w:rFonts w:ascii="Arial" w:eastAsia="宋体" w:hAnsi="Arial" w:cs="Arial"/>
          <w:sz w:val="24"/>
          <w:szCs w:val="24"/>
        </w:rPr>
      </w:pPr>
      <w:r w:rsidRPr="007952B6">
        <w:rPr>
          <w:rFonts w:ascii="Arial" w:eastAsia="宋体" w:hAnsi="Arial" w:cs="Arial"/>
          <w:sz w:val="24"/>
          <w:szCs w:val="24"/>
        </w:rPr>
        <w:t>良好临床实践办公室</w:t>
      </w:r>
    </w:p>
    <w:p w:rsidR="00750CBF" w:rsidRPr="007952B6" w:rsidRDefault="00344ADF" w:rsidP="00A45CD1">
      <w:pPr>
        <w:overflowPunct w:val="0"/>
        <w:snapToGrid w:val="0"/>
        <w:spacing w:line="300" w:lineRule="auto"/>
        <w:jc w:val="center"/>
        <w:rPr>
          <w:rFonts w:ascii="Arial" w:eastAsia="宋体" w:hAnsi="Arial" w:cs="Arial"/>
          <w:sz w:val="24"/>
          <w:szCs w:val="24"/>
        </w:rPr>
      </w:pPr>
      <w:r w:rsidRPr="007952B6">
        <w:rPr>
          <w:rFonts w:ascii="Arial" w:eastAsia="宋体" w:hAnsi="Arial" w:cs="Arial"/>
          <w:sz w:val="24"/>
          <w:szCs w:val="24"/>
        </w:rPr>
        <w:t>特殊医疗项目办公室，</w:t>
      </w:r>
      <w:r w:rsidRPr="007952B6">
        <w:rPr>
          <w:rFonts w:ascii="Arial" w:eastAsia="宋体" w:hAnsi="Arial" w:cs="Arial"/>
          <w:sz w:val="24"/>
          <w:szCs w:val="24"/>
        </w:rPr>
        <w:t>FDA</w:t>
      </w:r>
      <w:r w:rsidRPr="007952B6">
        <w:rPr>
          <w:rFonts w:ascii="Arial" w:eastAsia="宋体" w:hAnsi="Arial" w:cs="Arial"/>
          <w:sz w:val="24"/>
          <w:szCs w:val="24"/>
        </w:rPr>
        <w:t>局长办公室</w:t>
      </w:r>
    </w:p>
    <w:p w:rsidR="00750CBF" w:rsidRPr="007952B6" w:rsidRDefault="00344ADF" w:rsidP="00A45CD1">
      <w:pPr>
        <w:overflowPunct w:val="0"/>
        <w:snapToGrid w:val="0"/>
        <w:spacing w:line="300" w:lineRule="auto"/>
        <w:jc w:val="center"/>
        <w:rPr>
          <w:rFonts w:ascii="Arial" w:eastAsia="宋体" w:hAnsi="Arial" w:cs="Arial"/>
          <w:sz w:val="24"/>
          <w:szCs w:val="24"/>
        </w:rPr>
      </w:pPr>
      <w:r w:rsidRPr="007952B6">
        <w:rPr>
          <w:rFonts w:ascii="Arial" w:eastAsia="宋体" w:hAnsi="Arial" w:cs="Arial"/>
          <w:sz w:val="24"/>
          <w:szCs w:val="24"/>
        </w:rPr>
        <w:t>10903 New Hampshire Avenue, WO32-5103 Silver Spring, MD 20993-002</w:t>
      </w:r>
    </w:p>
    <w:p w:rsidR="00750CBF" w:rsidRPr="007952B6" w:rsidRDefault="00344ADF" w:rsidP="00A45CD1">
      <w:pPr>
        <w:overflowPunct w:val="0"/>
        <w:snapToGrid w:val="0"/>
        <w:spacing w:line="300" w:lineRule="auto"/>
        <w:jc w:val="center"/>
        <w:rPr>
          <w:rFonts w:ascii="Arial" w:eastAsia="宋体" w:hAnsi="Arial" w:cs="Arial"/>
          <w:sz w:val="24"/>
          <w:szCs w:val="24"/>
        </w:rPr>
      </w:pPr>
      <w:r w:rsidRPr="007952B6">
        <w:rPr>
          <w:rFonts w:ascii="Arial" w:eastAsia="宋体" w:hAnsi="Arial" w:cs="Arial"/>
          <w:sz w:val="24"/>
          <w:szCs w:val="24"/>
        </w:rPr>
        <w:t>(</w:t>
      </w:r>
      <w:r w:rsidRPr="007952B6">
        <w:rPr>
          <w:rFonts w:ascii="Arial" w:eastAsia="宋体" w:hAnsi="Arial" w:cs="Arial"/>
          <w:sz w:val="24"/>
          <w:szCs w:val="24"/>
        </w:rPr>
        <w:t>电话</w:t>
      </w:r>
      <w:r w:rsidRPr="007952B6">
        <w:rPr>
          <w:rFonts w:ascii="Arial" w:eastAsia="宋体" w:hAnsi="Arial" w:cs="Arial"/>
          <w:sz w:val="24"/>
          <w:szCs w:val="24"/>
        </w:rPr>
        <w:t>) (301)-796-8340</w:t>
      </w:r>
    </w:p>
    <w:p w:rsidR="00750CBF" w:rsidRPr="007952B6" w:rsidRDefault="007952B6" w:rsidP="00A45CD1">
      <w:pPr>
        <w:overflowPunct w:val="0"/>
        <w:snapToGrid w:val="0"/>
        <w:spacing w:afterLines="50" w:after="120" w:line="300" w:lineRule="auto"/>
        <w:jc w:val="center"/>
        <w:rPr>
          <w:rFonts w:ascii="Arial" w:eastAsia="宋体" w:hAnsi="Arial" w:cs="Arial"/>
          <w:sz w:val="24"/>
          <w:szCs w:val="24"/>
        </w:rPr>
      </w:pPr>
      <w:r w:rsidRPr="007952B6">
        <w:rPr>
          <w:rFonts w:ascii="Arial" w:hAnsi="Arial" w:cs="Arial"/>
          <w:color w:val="0000FF"/>
          <w:sz w:val="24"/>
          <w:szCs w:val="24"/>
          <w:u w:val="single"/>
        </w:rPr>
        <w:t>http://www.fda.gov/ScienceResearch/SpecialTopics/RunningClinicalTrials/GuidancesInformationSheetsandNotices/default.htm</w:t>
      </w:r>
    </w:p>
    <w:p w:rsidR="00750CBF" w:rsidRPr="007952B6" w:rsidRDefault="00750CBF" w:rsidP="00A45CD1">
      <w:pPr>
        <w:overflowPunct w:val="0"/>
        <w:snapToGrid w:val="0"/>
        <w:spacing w:afterLines="50" w:after="120" w:line="300" w:lineRule="auto"/>
        <w:rPr>
          <w:rFonts w:ascii="Arial" w:eastAsia="宋体" w:hAnsi="Arial" w:cs="Arial"/>
          <w:sz w:val="24"/>
          <w:szCs w:val="24"/>
        </w:rPr>
      </w:pPr>
    </w:p>
    <w:p w:rsidR="00750CBF" w:rsidRPr="007952B6" w:rsidRDefault="00750CBF" w:rsidP="00A45CD1">
      <w:pPr>
        <w:overflowPunct w:val="0"/>
        <w:snapToGrid w:val="0"/>
        <w:spacing w:afterLines="50" w:after="120" w:line="300" w:lineRule="auto"/>
        <w:rPr>
          <w:rFonts w:ascii="Arial" w:eastAsia="宋体" w:hAnsi="Arial" w:cs="Arial"/>
          <w:sz w:val="24"/>
          <w:szCs w:val="24"/>
        </w:rPr>
      </w:pPr>
    </w:p>
    <w:p w:rsidR="00750CBF" w:rsidRPr="007952B6" w:rsidRDefault="00750CBF" w:rsidP="00A45CD1">
      <w:pPr>
        <w:overflowPunct w:val="0"/>
        <w:snapToGrid w:val="0"/>
        <w:spacing w:afterLines="50" w:after="120" w:line="300" w:lineRule="auto"/>
        <w:rPr>
          <w:rFonts w:ascii="Arial" w:eastAsia="宋体" w:hAnsi="Arial" w:cs="Arial"/>
          <w:sz w:val="24"/>
          <w:szCs w:val="24"/>
        </w:rPr>
      </w:pPr>
    </w:p>
    <w:p w:rsidR="00304C8D" w:rsidRPr="007952B6" w:rsidRDefault="00344ADF" w:rsidP="00A45CD1">
      <w:pPr>
        <w:overflowPunct w:val="0"/>
        <w:snapToGrid w:val="0"/>
        <w:spacing w:line="300" w:lineRule="auto"/>
        <w:ind w:hanging="828"/>
        <w:jc w:val="center"/>
        <w:rPr>
          <w:rFonts w:ascii="Arial" w:eastAsia="宋体" w:hAnsi="Arial" w:cs="Arial"/>
          <w:sz w:val="24"/>
          <w:szCs w:val="24"/>
        </w:rPr>
      </w:pPr>
      <w:r w:rsidRPr="007952B6">
        <w:rPr>
          <w:rFonts w:ascii="Arial" w:eastAsia="宋体" w:hAnsi="Arial" w:cs="Arial"/>
          <w:b/>
          <w:sz w:val="24"/>
          <w:szCs w:val="24"/>
        </w:rPr>
        <w:t>FDA</w:t>
      </w:r>
      <w:r w:rsidRPr="007952B6">
        <w:rPr>
          <w:rFonts w:ascii="Arial" w:eastAsia="宋体" w:hAnsi="Arial" w:cs="Arial"/>
          <w:b/>
          <w:sz w:val="24"/>
          <w:szCs w:val="24"/>
        </w:rPr>
        <w:t>美国卫生</w:t>
      </w:r>
      <w:r w:rsidR="00C646B3">
        <w:rPr>
          <w:rFonts w:ascii="Arial" w:eastAsia="宋体" w:hAnsi="Arial" w:cs="Arial" w:hint="eastAsia"/>
          <w:b/>
          <w:sz w:val="24"/>
          <w:szCs w:val="24"/>
        </w:rPr>
        <w:t>和人类服务署</w:t>
      </w:r>
    </w:p>
    <w:p w:rsidR="007952B6" w:rsidRDefault="00344ADF" w:rsidP="00A45CD1">
      <w:pPr>
        <w:overflowPunct w:val="0"/>
        <w:snapToGrid w:val="0"/>
        <w:spacing w:line="300" w:lineRule="auto"/>
        <w:ind w:hanging="828"/>
        <w:jc w:val="center"/>
        <w:rPr>
          <w:rFonts w:ascii="Arial" w:eastAsia="宋体" w:hAnsi="Arial" w:cs="Arial"/>
          <w:b/>
          <w:sz w:val="24"/>
          <w:szCs w:val="24"/>
        </w:rPr>
      </w:pPr>
      <w:r w:rsidRPr="007952B6">
        <w:rPr>
          <w:rFonts w:ascii="Arial" w:eastAsia="宋体" w:hAnsi="Arial" w:cs="Arial"/>
          <w:b/>
          <w:sz w:val="24"/>
          <w:szCs w:val="24"/>
        </w:rPr>
        <w:t>2010</w:t>
      </w:r>
      <w:r w:rsidRPr="007952B6">
        <w:rPr>
          <w:rFonts w:ascii="Arial" w:eastAsia="宋体" w:hAnsi="Arial" w:cs="Arial"/>
          <w:b/>
          <w:sz w:val="24"/>
          <w:szCs w:val="24"/>
        </w:rPr>
        <w:t>年</w:t>
      </w:r>
      <w:r w:rsidRPr="007952B6">
        <w:rPr>
          <w:rFonts w:ascii="Arial" w:eastAsia="宋体" w:hAnsi="Arial" w:cs="Arial"/>
          <w:b/>
          <w:sz w:val="24"/>
          <w:szCs w:val="24"/>
        </w:rPr>
        <w:t>6</w:t>
      </w:r>
      <w:r w:rsidRPr="007952B6">
        <w:rPr>
          <w:rFonts w:ascii="Arial" w:eastAsia="宋体" w:hAnsi="Arial" w:cs="Arial"/>
          <w:b/>
          <w:sz w:val="24"/>
          <w:szCs w:val="24"/>
        </w:rPr>
        <w:t>月</w:t>
      </w:r>
    </w:p>
    <w:p w:rsidR="00750CBF" w:rsidRPr="007952B6" w:rsidRDefault="00344ADF" w:rsidP="00A45CD1">
      <w:pPr>
        <w:overflowPunct w:val="0"/>
        <w:snapToGrid w:val="0"/>
        <w:spacing w:afterLines="50" w:after="120" w:line="300" w:lineRule="auto"/>
        <w:ind w:hanging="827"/>
        <w:jc w:val="center"/>
        <w:rPr>
          <w:rFonts w:ascii="Arial" w:eastAsia="宋体" w:hAnsi="Arial" w:cs="Arial"/>
          <w:b/>
          <w:bCs/>
          <w:sz w:val="24"/>
          <w:szCs w:val="24"/>
        </w:rPr>
      </w:pPr>
      <w:r w:rsidRPr="007952B6">
        <w:rPr>
          <w:rFonts w:ascii="Arial" w:eastAsia="宋体" w:hAnsi="Arial" w:cs="Arial"/>
          <w:b/>
          <w:sz w:val="24"/>
          <w:szCs w:val="24"/>
        </w:rPr>
        <w:t>程序</w:t>
      </w:r>
      <w:r w:rsidR="003B156D" w:rsidRPr="007952B6">
        <w:rPr>
          <w:rFonts w:ascii="Arial" w:eastAsia="宋体" w:hAnsi="Arial" w:cs="Arial"/>
          <w:sz w:val="24"/>
          <w:szCs w:val="24"/>
        </w:rPr>
        <w:br w:type="page"/>
      </w:r>
    </w:p>
    <w:p w:rsidR="007952B6" w:rsidRDefault="00344ADF" w:rsidP="00A45CD1">
      <w:pPr>
        <w:overflowPunct w:val="0"/>
        <w:snapToGrid w:val="0"/>
        <w:spacing w:line="300" w:lineRule="auto"/>
        <w:jc w:val="center"/>
        <w:rPr>
          <w:rFonts w:ascii="Arial" w:eastAsia="宋体" w:hAnsi="Arial" w:cs="Arial"/>
          <w:b/>
          <w:sz w:val="36"/>
          <w:szCs w:val="36"/>
        </w:rPr>
      </w:pPr>
      <w:r w:rsidRPr="007952B6">
        <w:rPr>
          <w:rFonts w:ascii="Arial" w:eastAsia="宋体" w:hAnsi="Arial" w:cs="Arial"/>
          <w:b/>
          <w:sz w:val="36"/>
          <w:szCs w:val="36"/>
        </w:rPr>
        <w:lastRenderedPageBreak/>
        <w:t>机构审查委员会、临床研究者和</w:t>
      </w:r>
      <w:r w:rsidR="00C646B3">
        <w:rPr>
          <w:rFonts w:ascii="Arial" w:eastAsia="宋体" w:hAnsi="Arial" w:cs="Arial"/>
          <w:b/>
          <w:sz w:val="36"/>
          <w:szCs w:val="36"/>
        </w:rPr>
        <w:t>申办方</w:t>
      </w:r>
      <w:r w:rsidRPr="007952B6">
        <w:rPr>
          <w:rFonts w:ascii="Arial" w:eastAsia="宋体" w:hAnsi="Arial" w:cs="Arial"/>
          <w:b/>
          <w:sz w:val="36"/>
          <w:szCs w:val="36"/>
        </w:rPr>
        <w:t>的</w:t>
      </w:r>
      <w:r w:rsidR="007952B6">
        <w:rPr>
          <w:rFonts w:ascii="Arial" w:eastAsia="宋体" w:hAnsi="Arial" w:cs="Arial" w:hint="eastAsia"/>
          <w:b/>
          <w:sz w:val="36"/>
          <w:szCs w:val="36"/>
        </w:rPr>
        <w:br/>
      </w:r>
      <w:r w:rsidRPr="007952B6">
        <w:rPr>
          <w:rFonts w:ascii="Arial" w:eastAsia="宋体" w:hAnsi="Arial" w:cs="Arial"/>
          <w:b/>
          <w:sz w:val="36"/>
          <w:szCs w:val="36"/>
        </w:rPr>
        <w:t>须知信息指南</w:t>
      </w:r>
      <w:r w:rsidR="007952B6">
        <w:rPr>
          <w:rStyle w:val="aa"/>
          <w:rFonts w:ascii="Arial" w:eastAsia="宋体" w:hAnsi="Arial" w:cs="Arial"/>
          <w:b/>
          <w:sz w:val="36"/>
          <w:szCs w:val="36"/>
        </w:rPr>
        <w:footnoteReference w:id="1"/>
      </w:r>
    </w:p>
    <w:p w:rsidR="00750CBF" w:rsidRPr="007952B6" w:rsidRDefault="00344ADF" w:rsidP="00A45CD1">
      <w:pPr>
        <w:overflowPunct w:val="0"/>
        <w:snapToGrid w:val="0"/>
        <w:spacing w:afterLines="50" w:after="120" w:line="300" w:lineRule="auto"/>
        <w:jc w:val="center"/>
        <w:rPr>
          <w:rFonts w:ascii="Arial" w:eastAsia="宋体" w:hAnsi="Arial" w:cs="Arial"/>
          <w:b/>
          <w:sz w:val="36"/>
          <w:szCs w:val="36"/>
        </w:rPr>
      </w:pPr>
      <w:r w:rsidRPr="007952B6">
        <w:rPr>
          <w:rFonts w:ascii="Arial" w:eastAsia="宋体" w:hAnsi="Arial" w:cs="Arial"/>
          <w:b/>
          <w:sz w:val="36"/>
          <w:szCs w:val="36"/>
        </w:rPr>
        <w:t xml:space="preserve">FDA </w:t>
      </w:r>
      <w:r w:rsidRPr="007952B6">
        <w:rPr>
          <w:rFonts w:ascii="Arial" w:eastAsia="宋体" w:hAnsi="Arial" w:cs="Arial"/>
          <w:b/>
          <w:sz w:val="36"/>
          <w:szCs w:val="36"/>
        </w:rPr>
        <w:t>临床研究者检查</w:t>
      </w:r>
    </w:p>
    <w:p w:rsidR="00750CBF" w:rsidRPr="007952B6" w:rsidRDefault="00750CBF" w:rsidP="00A45CD1">
      <w:pPr>
        <w:overflowPunct w:val="0"/>
        <w:snapToGrid w:val="0"/>
        <w:spacing w:afterLines="50" w:after="120" w:line="300" w:lineRule="auto"/>
        <w:rPr>
          <w:rFonts w:ascii="Arial" w:eastAsia="宋体" w:hAnsi="Arial" w:cs="Arial"/>
          <w:b/>
          <w:bCs/>
          <w:sz w:val="24"/>
          <w:szCs w:val="24"/>
        </w:rPr>
      </w:pPr>
    </w:p>
    <w:tbl>
      <w:tblPr>
        <w:tblStyle w:val="a7"/>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856"/>
      </w:tblGrid>
      <w:tr w:rsidR="003B156D" w:rsidRPr="007952B6" w:rsidTr="007952B6">
        <w:tc>
          <w:tcPr>
            <w:tcW w:w="8856" w:type="dxa"/>
          </w:tcPr>
          <w:p w:rsidR="003B156D" w:rsidRPr="007952B6" w:rsidRDefault="003B156D" w:rsidP="00A45CD1">
            <w:pPr>
              <w:overflowPunct w:val="0"/>
              <w:snapToGrid w:val="0"/>
              <w:spacing w:line="300" w:lineRule="auto"/>
              <w:ind w:left="181" w:right="374"/>
              <w:rPr>
                <w:rFonts w:ascii="Arial" w:eastAsia="宋体" w:hAnsi="Arial" w:cs="Arial"/>
                <w:sz w:val="24"/>
                <w:szCs w:val="24"/>
              </w:rPr>
            </w:pPr>
            <w:r w:rsidRPr="007952B6">
              <w:rPr>
                <w:rFonts w:ascii="Arial" w:eastAsia="宋体" w:hAnsi="Arial" w:cs="Arial"/>
                <w:sz w:val="24"/>
                <w:szCs w:val="24"/>
              </w:rPr>
              <w:t>本指南草案代表</w:t>
            </w:r>
            <w:r w:rsidRPr="007952B6">
              <w:rPr>
                <w:rFonts w:ascii="Arial" w:eastAsia="宋体" w:hAnsi="Arial" w:cs="Arial"/>
                <w:sz w:val="24"/>
                <w:szCs w:val="24"/>
              </w:rPr>
              <w:t>FDA</w:t>
            </w:r>
            <w:r w:rsidRPr="007952B6">
              <w:rPr>
                <w:rFonts w:ascii="Arial" w:eastAsia="宋体" w:hAnsi="Arial" w:cs="Arial"/>
                <w:sz w:val="24"/>
                <w:szCs w:val="24"/>
              </w:rPr>
              <w:t>目前关于该主题的思考。其不会为任何人创造或赋予任何权利，也不会对</w:t>
            </w:r>
            <w:r w:rsidRPr="007952B6">
              <w:rPr>
                <w:rFonts w:ascii="Arial" w:eastAsia="宋体" w:hAnsi="Arial" w:cs="Arial"/>
                <w:sz w:val="24"/>
                <w:szCs w:val="24"/>
              </w:rPr>
              <w:t>FDA</w:t>
            </w:r>
            <w:r w:rsidRPr="007952B6">
              <w:rPr>
                <w:rFonts w:ascii="Arial" w:eastAsia="宋体" w:hAnsi="Arial" w:cs="Arial"/>
                <w:sz w:val="24"/>
                <w:szCs w:val="24"/>
              </w:rPr>
              <w:t>或公众产生约束。如果替代方法满足适用的法律法规的要求，则可以使用该方法。如果您想讨论另一种方法，请联系</w:t>
            </w:r>
            <w:r w:rsidRPr="007952B6">
              <w:rPr>
                <w:rFonts w:ascii="Arial" w:eastAsia="宋体" w:hAnsi="Arial" w:cs="Arial"/>
                <w:sz w:val="24"/>
                <w:szCs w:val="24"/>
              </w:rPr>
              <w:t>FDA</w:t>
            </w:r>
            <w:r w:rsidRPr="007952B6">
              <w:rPr>
                <w:rFonts w:ascii="Arial" w:eastAsia="宋体" w:hAnsi="Arial" w:cs="Arial"/>
                <w:sz w:val="24"/>
                <w:szCs w:val="24"/>
              </w:rPr>
              <w:t>负责实施本指南的人员。如果您无法确定适当的</w:t>
            </w:r>
            <w:r w:rsidRPr="007952B6">
              <w:rPr>
                <w:rFonts w:ascii="Arial" w:eastAsia="宋体" w:hAnsi="Arial" w:cs="Arial"/>
                <w:sz w:val="24"/>
                <w:szCs w:val="24"/>
              </w:rPr>
              <w:t>FDA</w:t>
            </w:r>
            <w:r w:rsidRPr="007952B6">
              <w:rPr>
                <w:rFonts w:ascii="Arial" w:eastAsia="宋体" w:hAnsi="Arial" w:cs="Arial"/>
                <w:sz w:val="24"/>
                <w:szCs w:val="24"/>
              </w:rPr>
              <w:t>工作人员，请拨打本指南标题页上列出的适当号码。</w:t>
            </w:r>
          </w:p>
        </w:tc>
      </w:tr>
    </w:tbl>
    <w:p w:rsidR="00750CBF" w:rsidRPr="007952B6" w:rsidRDefault="00750CBF" w:rsidP="00A45CD1">
      <w:pPr>
        <w:overflowPunct w:val="0"/>
        <w:snapToGrid w:val="0"/>
        <w:spacing w:afterLines="50" w:after="120" w:line="300" w:lineRule="auto"/>
        <w:rPr>
          <w:rFonts w:ascii="Arial" w:eastAsia="宋体" w:hAnsi="Arial" w:cs="Arial"/>
          <w:sz w:val="24"/>
          <w:szCs w:val="24"/>
        </w:rPr>
      </w:pPr>
    </w:p>
    <w:p w:rsidR="00750CBF" w:rsidRPr="007952B6" w:rsidRDefault="00344ADF" w:rsidP="00A45CD1">
      <w:pPr>
        <w:pStyle w:val="2"/>
        <w:numPr>
          <w:ilvl w:val="0"/>
          <w:numId w:val="7"/>
        </w:numPr>
        <w:tabs>
          <w:tab w:val="left" w:pos="742"/>
        </w:tabs>
        <w:overflowPunct w:val="0"/>
        <w:snapToGrid w:val="0"/>
        <w:spacing w:afterLines="50" w:after="120" w:line="300" w:lineRule="auto"/>
        <w:ind w:left="720"/>
        <w:jc w:val="left"/>
        <w:rPr>
          <w:rFonts w:ascii="Arial" w:hAnsi="Arial" w:cs="Arial"/>
          <w:b w:val="0"/>
          <w:bCs w:val="0"/>
          <w:sz w:val="32"/>
          <w:szCs w:val="32"/>
        </w:rPr>
      </w:pPr>
      <w:bookmarkStart w:id="0" w:name="I._INTRODUCTION_"/>
      <w:bookmarkEnd w:id="0"/>
      <w:r w:rsidRPr="007952B6">
        <w:rPr>
          <w:rFonts w:ascii="Arial" w:hAnsi="Arial" w:cs="Arial"/>
          <w:sz w:val="32"/>
          <w:szCs w:val="32"/>
        </w:rPr>
        <w:t>引言</w:t>
      </w:r>
    </w:p>
    <w:p w:rsidR="00750CBF" w:rsidRPr="007952B6" w:rsidRDefault="00344ADF" w:rsidP="00A45CD1">
      <w:pPr>
        <w:pStyle w:val="a3"/>
        <w:overflowPunct w:val="0"/>
        <w:snapToGrid w:val="0"/>
        <w:spacing w:afterLines="50" w:after="120" w:line="300" w:lineRule="auto"/>
        <w:ind w:left="0"/>
        <w:jc w:val="both"/>
        <w:rPr>
          <w:rFonts w:ascii="Arial" w:hAnsi="Arial" w:cs="Arial"/>
        </w:rPr>
      </w:pPr>
      <w:r w:rsidRPr="007952B6">
        <w:rPr>
          <w:rFonts w:ascii="Arial" w:hAnsi="Arial" w:cs="Arial"/>
        </w:rPr>
        <w:t>本指南旨在提供有关</w:t>
      </w:r>
      <w:r w:rsidRPr="007952B6">
        <w:rPr>
          <w:rFonts w:ascii="Arial" w:hAnsi="Arial" w:cs="Arial"/>
        </w:rPr>
        <w:t>FDA</w:t>
      </w:r>
      <w:r w:rsidRPr="007952B6">
        <w:rPr>
          <w:rFonts w:ascii="Arial" w:hAnsi="Arial" w:cs="Arial"/>
        </w:rPr>
        <w:t>根据</w:t>
      </w:r>
      <w:r w:rsidRPr="007952B6">
        <w:rPr>
          <w:rFonts w:ascii="Arial" w:hAnsi="Arial" w:cs="Arial"/>
        </w:rPr>
        <w:t>FDA</w:t>
      </w:r>
      <w:r w:rsidRPr="007952B6">
        <w:rPr>
          <w:rFonts w:ascii="Arial" w:hAnsi="Arial" w:cs="Arial"/>
        </w:rPr>
        <w:t>生物研究试验监查体系（</w:t>
      </w:r>
      <w:r w:rsidRPr="007952B6">
        <w:rPr>
          <w:rFonts w:ascii="Arial" w:hAnsi="Arial" w:cs="Arial"/>
        </w:rPr>
        <w:t>BIMO</w:t>
      </w:r>
      <w:r w:rsidRPr="007952B6">
        <w:rPr>
          <w:rFonts w:ascii="Arial" w:hAnsi="Arial" w:cs="Arial"/>
        </w:rPr>
        <w:t>）执行临床研究者检查的信息。本文件取代</w:t>
      </w:r>
      <w:r w:rsidRPr="007952B6">
        <w:rPr>
          <w:rFonts w:ascii="Arial" w:hAnsi="Arial" w:cs="Arial"/>
        </w:rPr>
        <w:t>2006</w:t>
      </w:r>
      <w:r w:rsidRPr="007952B6">
        <w:rPr>
          <w:rFonts w:ascii="Arial" w:hAnsi="Arial" w:cs="Arial"/>
        </w:rPr>
        <w:t>年</w:t>
      </w:r>
      <w:r w:rsidRPr="007952B6">
        <w:rPr>
          <w:rFonts w:ascii="Arial" w:hAnsi="Arial" w:cs="Arial"/>
        </w:rPr>
        <w:t>1</w:t>
      </w:r>
      <w:r w:rsidRPr="007952B6">
        <w:rPr>
          <w:rFonts w:ascii="Arial" w:hAnsi="Arial" w:cs="Arial"/>
        </w:rPr>
        <w:t>月的</w:t>
      </w:r>
      <w:r w:rsidRPr="007952B6">
        <w:rPr>
          <w:rFonts w:ascii="Arial" w:hAnsi="Arial" w:cs="Arial"/>
        </w:rPr>
        <w:t>FDA</w:t>
      </w:r>
      <w:r w:rsidRPr="007952B6">
        <w:rPr>
          <w:rFonts w:ascii="Arial" w:hAnsi="Arial" w:cs="Arial"/>
        </w:rPr>
        <w:t>信息表指南</w:t>
      </w:r>
      <w:r w:rsidRPr="007952B6">
        <w:rPr>
          <w:rFonts w:ascii="Arial" w:hAnsi="Arial" w:cs="Arial"/>
        </w:rPr>
        <w:t xml:space="preserve">“FDA </w:t>
      </w:r>
      <w:r w:rsidRPr="007952B6">
        <w:rPr>
          <w:rFonts w:ascii="Arial" w:hAnsi="Arial" w:cs="Arial"/>
        </w:rPr>
        <w:t>临床研究者检查</w:t>
      </w:r>
      <w:r w:rsidRPr="007952B6">
        <w:rPr>
          <w:rFonts w:ascii="Arial" w:hAnsi="Arial" w:cs="Arial"/>
        </w:rPr>
        <w:t>”</w:t>
      </w:r>
      <w:r w:rsidRPr="007952B6">
        <w:rPr>
          <w:rFonts w:ascii="Arial" w:hAnsi="Arial" w:cs="Arial"/>
        </w:rPr>
        <w:t>。本文件进行了修订，编入了最新信息，并将根据代理机构的良好指南实践法规（</w:t>
      </w:r>
      <w:r w:rsidRPr="007952B6">
        <w:rPr>
          <w:rFonts w:ascii="Arial" w:hAnsi="Arial" w:cs="Arial"/>
        </w:rPr>
        <w:t>21 CFR 10.115</w:t>
      </w:r>
      <w:r w:rsidRPr="007952B6">
        <w:rPr>
          <w:rFonts w:ascii="Arial" w:hAnsi="Arial" w:cs="Arial"/>
        </w:rPr>
        <w:t>）印发。</w:t>
      </w:r>
    </w:p>
    <w:p w:rsidR="00750CBF" w:rsidRPr="007952B6" w:rsidRDefault="00344ADF" w:rsidP="00A45CD1">
      <w:pPr>
        <w:pStyle w:val="a3"/>
        <w:overflowPunct w:val="0"/>
        <w:snapToGrid w:val="0"/>
        <w:spacing w:afterLines="50" w:after="120" w:line="300" w:lineRule="auto"/>
        <w:ind w:left="0"/>
        <w:jc w:val="both"/>
        <w:rPr>
          <w:rFonts w:ascii="Arial" w:hAnsi="Arial" w:cs="Arial"/>
        </w:rPr>
      </w:pPr>
      <w:r w:rsidRPr="007952B6">
        <w:rPr>
          <w:rFonts w:ascii="Arial" w:hAnsi="Arial" w:cs="Arial"/>
        </w:rPr>
        <w:t>包括本指南在内的</w:t>
      </w:r>
      <w:r w:rsidRPr="007952B6">
        <w:rPr>
          <w:rFonts w:ascii="Arial" w:hAnsi="Arial" w:cs="Arial"/>
        </w:rPr>
        <w:t>FDA</w:t>
      </w:r>
      <w:r w:rsidRPr="007952B6">
        <w:rPr>
          <w:rFonts w:ascii="Arial" w:hAnsi="Arial" w:cs="Arial"/>
        </w:rPr>
        <w:t>指导文件没有规定法律强制性义务。相反，指南描述了</w:t>
      </w:r>
      <w:r w:rsidRPr="007952B6">
        <w:rPr>
          <w:rFonts w:ascii="Arial" w:hAnsi="Arial" w:cs="Arial"/>
        </w:rPr>
        <w:t>FDA</w:t>
      </w:r>
      <w:r w:rsidRPr="007952B6">
        <w:rPr>
          <w:rFonts w:ascii="Arial" w:hAnsi="Arial" w:cs="Arial"/>
        </w:rPr>
        <w:t>对当前主题的思考，应仅视为推荐意见，除非引用具体的法律或法规要求。本</w:t>
      </w:r>
      <w:r w:rsidRPr="007952B6">
        <w:rPr>
          <w:rFonts w:ascii="Arial" w:hAnsi="Arial" w:cs="Arial"/>
        </w:rPr>
        <w:t>FDA</w:t>
      </w:r>
      <w:r w:rsidRPr="007952B6">
        <w:rPr>
          <w:rFonts w:ascii="Arial" w:hAnsi="Arial" w:cs="Arial"/>
        </w:rPr>
        <w:t>指南中使用的词语</w:t>
      </w:r>
      <w:r w:rsidRPr="007952B6">
        <w:rPr>
          <w:rFonts w:ascii="Arial" w:hAnsi="Arial" w:cs="Arial"/>
        </w:rPr>
        <w:t>“</w:t>
      </w:r>
      <w:r w:rsidRPr="007952B6">
        <w:rPr>
          <w:rFonts w:ascii="Arial" w:hAnsi="Arial" w:cs="Arial"/>
        </w:rPr>
        <w:t>应</w:t>
      </w:r>
      <w:r w:rsidRPr="007952B6">
        <w:rPr>
          <w:rFonts w:ascii="Arial" w:hAnsi="Arial" w:cs="Arial"/>
        </w:rPr>
        <w:t>”</w:t>
      </w:r>
      <w:r w:rsidRPr="007952B6">
        <w:rPr>
          <w:rFonts w:ascii="Arial" w:hAnsi="Arial" w:cs="Arial"/>
        </w:rPr>
        <w:t>表示</w:t>
      </w:r>
      <w:r w:rsidRPr="007952B6">
        <w:rPr>
          <w:rFonts w:ascii="Arial" w:hAnsi="Arial" w:cs="Arial"/>
        </w:rPr>
        <w:t>“</w:t>
      </w:r>
      <w:r w:rsidRPr="007952B6">
        <w:rPr>
          <w:rFonts w:ascii="Arial" w:hAnsi="Arial" w:cs="Arial"/>
        </w:rPr>
        <w:t>建议</w:t>
      </w:r>
      <w:r w:rsidRPr="007952B6">
        <w:rPr>
          <w:rFonts w:ascii="Arial" w:hAnsi="Arial" w:cs="Arial"/>
        </w:rPr>
        <w:t>”</w:t>
      </w:r>
      <w:r w:rsidRPr="007952B6">
        <w:rPr>
          <w:rFonts w:ascii="Arial" w:hAnsi="Arial" w:cs="Arial"/>
        </w:rPr>
        <w:t>或</w:t>
      </w:r>
      <w:r w:rsidRPr="007952B6">
        <w:rPr>
          <w:rFonts w:ascii="Arial" w:hAnsi="Arial" w:cs="Arial"/>
        </w:rPr>
        <w:t>“</w:t>
      </w:r>
      <w:r w:rsidRPr="007952B6">
        <w:rPr>
          <w:rFonts w:ascii="Arial" w:hAnsi="Arial" w:cs="Arial"/>
        </w:rPr>
        <w:t>推荐</w:t>
      </w:r>
      <w:r w:rsidRPr="007952B6">
        <w:rPr>
          <w:rFonts w:ascii="Arial" w:hAnsi="Arial" w:cs="Arial"/>
        </w:rPr>
        <w:t>”</w:t>
      </w:r>
      <w:r w:rsidRPr="007952B6">
        <w:rPr>
          <w:rFonts w:ascii="Arial" w:hAnsi="Arial" w:cs="Arial"/>
        </w:rPr>
        <w:t>意见，并不是强制性的。</w:t>
      </w:r>
    </w:p>
    <w:p w:rsidR="00750CBF" w:rsidRPr="007952B6" w:rsidRDefault="00344ADF" w:rsidP="00A45CD1">
      <w:pPr>
        <w:pStyle w:val="2"/>
        <w:numPr>
          <w:ilvl w:val="0"/>
          <w:numId w:val="7"/>
        </w:numPr>
        <w:tabs>
          <w:tab w:val="left" w:pos="742"/>
        </w:tabs>
        <w:overflowPunct w:val="0"/>
        <w:snapToGrid w:val="0"/>
        <w:spacing w:afterLines="50" w:after="120" w:line="300" w:lineRule="auto"/>
        <w:ind w:left="720"/>
        <w:jc w:val="both"/>
        <w:rPr>
          <w:rFonts w:ascii="Arial" w:hAnsi="Arial" w:cs="Arial"/>
          <w:sz w:val="32"/>
          <w:szCs w:val="32"/>
        </w:rPr>
      </w:pPr>
      <w:bookmarkStart w:id="1" w:name="II._BACKGROUND_"/>
      <w:bookmarkEnd w:id="1"/>
      <w:r w:rsidRPr="007952B6">
        <w:rPr>
          <w:rFonts w:ascii="Arial" w:hAnsi="Arial" w:cs="Arial"/>
          <w:sz w:val="32"/>
          <w:szCs w:val="32"/>
        </w:rPr>
        <w:t>背景</w:t>
      </w:r>
    </w:p>
    <w:p w:rsidR="00750CBF" w:rsidRPr="007952B6" w:rsidRDefault="00344ADF" w:rsidP="004C321A">
      <w:pPr>
        <w:pStyle w:val="a3"/>
        <w:overflowPunct w:val="0"/>
        <w:snapToGrid w:val="0"/>
        <w:spacing w:afterLines="50" w:after="120" w:line="300" w:lineRule="auto"/>
        <w:ind w:left="0"/>
        <w:jc w:val="both"/>
        <w:rPr>
          <w:rFonts w:ascii="Arial" w:hAnsi="Arial" w:cs="Arial"/>
        </w:rPr>
      </w:pPr>
      <w:r w:rsidRPr="007952B6">
        <w:rPr>
          <w:rFonts w:ascii="Arial" w:hAnsi="Arial" w:cs="Arial"/>
        </w:rPr>
        <w:t>FDA</w:t>
      </w:r>
      <w:r w:rsidRPr="007952B6">
        <w:rPr>
          <w:rFonts w:ascii="Arial" w:hAnsi="Arial" w:cs="Arial"/>
        </w:rPr>
        <w:t>制定了</w:t>
      </w:r>
      <w:r w:rsidRPr="007952B6">
        <w:rPr>
          <w:rFonts w:ascii="Arial" w:hAnsi="Arial" w:cs="Arial"/>
        </w:rPr>
        <w:t>BIMO</w:t>
      </w:r>
      <w:r w:rsidRPr="007952B6">
        <w:rPr>
          <w:rFonts w:ascii="Arial" w:hAnsi="Arial" w:cs="Arial"/>
        </w:rPr>
        <w:t>体系，以保护</w:t>
      </w:r>
      <w:r w:rsidRPr="007952B6">
        <w:rPr>
          <w:rFonts w:ascii="Arial" w:hAnsi="Arial" w:cs="Arial"/>
        </w:rPr>
        <w:t>FDA</w:t>
      </w:r>
      <w:r w:rsidRPr="007952B6">
        <w:rPr>
          <w:rFonts w:ascii="Arial" w:hAnsi="Arial" w:cs="Arial"/>
        </w:rPr>
        <w:t>监管的临床研究的人类研究受试者的权利、福利和安全性、确保研究或上市申请中提交给</w:t>
      </w:r>
      <w:r w:rsidRPr="007952B6">
        <w:rPr>
          <w:rFonts w:ascii="Arial" w:hAnsi="Arial" w:cs="Arial"/>
        </w:rPr>
        <w:t>FDA</w:t>
      </w:r>
      <w:r w:rsidRPr="007952B6">
        <w:rPr>
          <w:rFonts w:ascii="Arial" w:hAnsi="Arial" w:cs="Arial"/>
        </w:rPr>
        <w:t>的数据的质量和完好性、评价临床研究的法定要求和</w:t>
      </w:r>
      <w:r w:rsidRPr="007952B6">
        <w:rPr>
          <w:rFonts w:ascii="Arial" w:hAnsi="Arial" w:cs="Arial"/>
        </w:rPr>
        <w:t>FDA</w:t>
      </w:r>
      <w:r w:rsidRPr="007952B6">
        <w:rPr>
          <w:rFonts w:ascii="Arial" w:hAnsi="Arial" w:cs="Arial"/>
        </w:rPr>
        <w:t>法律的符合性。在其他方面，</w:t>
      </w:r>
      <w:r w:rsidRPr="007952B6">
        <w:rPr>
          <w:rFonts w:ascii="Arial" w:hAnsi="Arial" w:cs="Arial"/>
        </w:rPr>
        <w:t>FDA</w:t>
      </w:r>
      <w:r w:rsidRPr="007952B6">
        <w:rPr>
          <w:rFonts w:ascii="Arial" w:hAnsi="Arial" w:cs="Arial"/>
        </w:rPr>
        <w:t>的</w:t>
      </w:r>
      <w:r w:rsidRPr="007952B6">
        <w:rPr>
          <w:rFonts w:ascii="Arial" w:hAnsi="Arial" w:cs="Arial"/>
        </w:rPr>
        <w:t>BIMO</w:t>
      </w:r>
      <w:r w:rsidRPr="007952B6">
        <w:rPr>
          <w:rFonts w:ascii="Arial" w:hAnsi="Arial" w:cs="Arial"/>
        </w:rPr>
        <w:t>体系涉及现场考察临床研究者、</w:t>
      </w:r>
      <w:r w:rsidR="00C646B3">
        <w:rPr>
          <w:rFonts w:ascii="Arial" w:hAnsi="Arial" w:cs="Arial"/>
        </w:rPr>
        <w:t>申办方</w:t>
      </w:r>
      <w:r w:rsidRPr="007952B6">
        <w:rPr>
          <w:rFonts w:ascii="Arial" w:hAnsi="Arial" w:cs="Arial"/>
        </w:rPr>
        <w:t>、监查员、合同研究组织、机构审查委员会（</w:t>
      </w:r>
      <w:r w:rsidRPr="007952B6">
        <w:rPr>
          <w:rFonts w:ascii="Arial" w:hAnsi="Arial" w:cs="Arial"/>
        </w:rPr>
        <w:t>IRB</w:t>
      </w:r>
      <w:r w:rsidRPr="007952B6">
        <w:rPr>
          <w:rFonts w:ascii="Arial" w:hAnsi="Arial" w:cs="Arial"/>
        </w:rPr>
        <w:t>）、非临床（动物）实验室、生物等效分析实验室。本文描述了</w:t>
      </w:r>
      <w:r w:rsidRPr="007952B6">
        <w:rPr>
          <w:rFonts w:ascii="Arial" w:hAnsi="Arial" w:cs="Arial"/>
        </w:rPr>
        <w:t>FDA 21 USC 355(i)</w:t>
      </w:r>
      <w:r w:rsidRPr="007952B6">
        <w:rPr>
          <w:rFonts w:ascii="Arial" w:hAnsi="Arial" w:cs="Arial"/>
        </w:rPr>
        <w:t>或</w:t>
      </w:r>
      <w:r w:rsidRPr="007952B6">
        <w:rPr>
          <w:rFonts w:ascii="Arial" w:hAnsi="Arial" w:cs="Arial"/>
        </w:rPr>
        <w:t>21 USC 360j(g)</w:t>
      </w:r>
      <w:r w:rsidR="00BB756A">
        <w:rPr>
          <w:rFonts w:ascii="Arial" w:hAnsi="Arial" w:cs="Arial"/>
        </w:rPr>
        <w:t>监管</w:t>
      </w:r>
      <w:r w:rsidRPr="007952B6">
        <w:rPr>
          <w:rFonts w:ascii="Arial" w:hAnsi="Arial" w:cs="Arial"/>
        </w:rPr>
        <w:t>的临床研究的临床研究者的现场考察。</w:t>
      </w:r>
      <w:r w:rsidR="003B156D" w:rsidRPr="007952B6">
        <w:rPr>
          <w:rFonts w:ascii="Arial" w:hAnsi="Arial" w:cs="Arial"/>
        </w:rPr>
        <w:br w:type="page"/>
      </w:r>
    </w:p>
    <w:p w:rsidR="00750CBF" w:rsidRPr="003F4948" w:rsidRDefault="00344ADF" w:rsidP="003F4948">
      <w:pPr>
        <w:pStyle w:val="2"/>
        <w:numPr>
          <w:ilvl w:val="0"/>
          <w:numId w:val="7"/>
        </w:numPr>
        <w:tabs>
          <w:tab w:val="left" w:pos="742"/>
        </w:tabs>
        <w:overflowPunct w:val="0"/>
        <w:snapToGrid w:val="0"/>
        <w:spacing w:afterLines="50" w:after="120" w:line="300" w:lineRule="auto"/>
        <w:ind w:left="720"/>
        <w:jc w:val="both"/>
        <w:rPr>
          <w:rFonts w:ascii="Arial" w:hAnsi="Arial" w:cs="Arial"/>
          <w:sz w:val="32"/>
          <w:szCs w:val="32"/>
        </w:rPr>
      </w:pPr>
      <w:bookmarkStart w:id="2" w:name="III._WHEN_ARE_CLINICAL_INVESTIGATOR_INSP"/>
      <w:bookmarkEnd w:id="2"/>
      <w:r w:rsidRPr="003F4948">
        <w:rPr>
          <w:rFonts w:ascii="Arial" w:hAnsi="Arial" w:cs="Arial"/>
          <w:sz w:val="32"/>
          <w:szCs w:val="32"/>
        </w:rPr>
        <w:lastRenderedPageBreak/>
        <w:t>临床研究者检查什么时候进行？</w:t>
      </w:r>
    </w:p>
    <w:p w:rsidR="00750CBF" w:rsidRPr="007952B6" w:rsidRDefault="00344ADF" w:rsidP="00A45CD1">
      <w:pPr>
        <w:pStyle w:val="a3"/>
        <w:overflowPunct w:val="0"/>
        <w:snapToGrid w:val="0"/>
        <w:spacing w:afterLines="50" w:after="120" w:line="300" w:lineRule="auto"/>
        <w:ind w:left="0"/>
        <w:jc w:val="both"/>
        <w:rPr>
          <w:rFonts w:ascii="Arial" w:hAnsi="Arial" w:cs="Arial"/>
        </w:rPr>
      </w:pPr>
      <w:r w:rsidRPr="007952B6">
        <w:rPr>
          <w:rFonts w:ascii="Arial" w:hAnsi="Arial" w:cs="Arial"/>
        </w:rPr>
        <w:t>FDA</w:t>
      </w:r>
      <w:r w:rsidRPr="007952B6">
        <w:rPr>
          <w:rFonts w:ascii="Arial" w:hAnsi="Arial" w:cs="Arial"/>
        </w:rPr>
        <w:t>进行临床研究者检查，以确定临床研究者是否按照适用的法律法规要求进行临床研究。实施</w:t>
      </w:r>
      <w:r w:rsidRPr="007952B6">
        <w:rPr>
          <w:rFonts w:ascii="Arial" w:hAnsi="Arial" w:cs="Arial"/>
        </w:rPr>
        <w:t>FDA</w:t>
      </w:r>
      <w:r w:rsidRPr="007952B6">
        <w:rPr>
          <w:rFonts w:ascii="Arial" w:hAnsi="Arial" w:cs="Arial"/>
        </w:rPr>
        <w:t>监管的临床研究的临床研究者应允许</w:t>
      </w:r>
      <w:r w:rsidRPr="007952B6">
        <w:rPr>
          <w:rFonts w:ascii="Arial" w:hAnsi="Arial" w:cs="Arial"/>
        </w:rPr>
        <w:t>FDA</w:t>
      </w:r>
      <w:r w:rsidRPr="007952B6">
        <w:rPr>
          <w:rFonts w:ascii="Arial" w:hAnsi="Arial" w:cs="Arial"/>
        </w:rPr>
        <w:t>调查员查阅、复印和核查临床研究者作出的记录和报告，包括研究产品及受试者病历的处理。请参见</w:t>
      </w:r>
      <w:r w:rsidRPr="007952B6">
        <w:rPr>
          <w:rFonts w:ascii="Arial" w:hAnsi="Arial" w:cs="Arial"/>
        </w:rPr>
        <w:t xml:space="preserve"> 21 CFR 312.68 </w:t>
      </w:r>
      <w:r w:rsidRPr="007952B6">
        <w:rPr>
          <w:rFonts w:ascii="Arial" w:hAnsi="Arial" w:cs="Arial"/>
        </w:rPr>
        <w:t>和</w:t>
      </w:r>
      <w:r w:rsidRPr="007952B6">
        <w:rPr>
          <w:rFonts w:ascii="Arial" w:hAnsi="Arial" w:cs="Arial"/>
        </w:rPr>
        <w:t xml:space="preserve"> 812.145</w:t>
      </w:r>
      <w:r w:rsidRPr="007952B6">
        <w:rPr>
          <w:rFonts w:ascii="Arial" w:hAnsi="Arial" w:cs="Arial"/>
        </w:rPr>
        <w:t>。</w:t>
      </w:r>
      <w:r w:rsidRPr="007952B6">
        <w:rPr>
          <w:rFonts w:ascii="Arial" w:hAnsi="Arial" w:cs="Arial"/>
        </w:rPr>
        <w:t>FDA</w:t>
      </w:r>
      <w:r w:rsidRPr="007952B6">
        <w:rPr>
          <w:rFonts w:ascii="Arial" w:hAnsi="Arial" w:cs="Arial"/>
        </w:rPr>
        <w:t>调查员通常通过现场检查来履行监督职能，目的是记录研究在临床研究者机构中是如何进行。对于新药研究，新药适应症上市申请批准之日起，临床研究者应保留研究记录至少</w:t>
      </w:r>
      <w:r w:rsidRPr="007952B6">
        <w:rPr>
          <w:rFonts w:ascii="Arial" w:hAnsi="Arial" w:cs="Arial"/>
        </w:rPr>
        <w:t>2</w:t>
      </w:r>
      <w:r w:rsidRPr="007952B6">
        <w:rPr>
          <w:rFonts w:ascii="Arial" w:hAnsi="Arial" w:cs="Arial"/>
        </w:rPr>
        <w:t>年，若适应症没有提交上市申请或申请未获批准，则自研究中断之日起研究记录保存</w:t>
      </w:r>
      <w:r w:rsidRPr="007952B6">
        <w:rPr>
          <w:rFonts w:ascii="Arial" w:hAnsi="Arial" w:cs="Arial"/>
        </w:rPr>
        <w:t>2</w:t>
      </w:r>
      <w:r w:rsidRPr="007952B6">
        <w:rPr>
          <w:rFonts w:ascii="Arial" w:hAnsi="Arial" w:cs="Arial"/>
        </w:rPr>
        <w:t>年，并通知</w:t>
      </w:r>
      <w:r w:rsidRPr="007952B6">
        <w:rPr>
          <w:rFonts w:ascii="Arial" w:hAnsi="Arial" w:cs="Arial"/>
        </w:rPr>
        <w:t>FDA</w:t>
      </w:r>
      <w:r w:rsidRPr="007952B6">
        <w:rPr>
          <w:rFonts w:ascii="Arial" w:hAnsi="Arial" w:cs="Arial"/>
        </w:rPr>
        <w:t>。请参见</w:t>
      </w:r>
      <w:r w:rsidRPr="007952B6">
        <w:rPr>
          <w:rFonts w:ascii="Arial" w:hAnsi="Arial" w:cs="Arial"/>
        </w:rPr>
        <w:t>21 CFR 312.62(c)</w:t>
      </w:r>
      <w:r w:rsidRPr="007952B6">
        <w:rPr>
          <w:rFonts w:ascii="Arial" w:hAnsi="Arial" w:cs="Arial"/>
        </w:rPr>
        <w:t>。对于研究器械的研究，临床研究者必须保留研究记录，保留时间为自如下两个日期中较晚日期之日起</w:t>
      </w:r>
      <w:r w:rsidRPr="007952B6">
        <w:rPr>
          <w:rFonts w:ascii="Arial" w:hAnsi="Arial" w:cs="Arial"/>
        </w:rPr>
        <w:t>2</w:t>
      </w:r>
      <w:r w:rsidRPr="007952B6">
        <w:rPr>
          <w:rFonts w:ascii="Arial" w:hAnsi="Arial" w:cs="Arial"/>
        </w:rPr>
        <w:t>年：研究终止或完成日期，或上市审批申请或产品开发方案完成通知不再需要记录支持的日期。请参见</w:t>
      </w:r>
      <w:r w:rsidRPr="007952B6">
        <w:rPr>
          <w:rFonts w:ascii="Arial" w:hAnsi="Arial" w:cs="Arial"/>
        </w:rPr>
        <w:t>21 CFR 812.140(d)</w:t>
      </w:r>
      <w:r w:rsidRPr="007952B6">
        <w:rPr>
          <w:rFonts w:ascii="Arial" w:hAnsi="Arial" w:cs="Arial"/>
        </w:rPr>
        <w:t>。</w:t>
      </w:r>
    </w:p>
    <w:p w:rsidR="00750CBF" w:rsidRPr="007952B6" w:rsidRDefault="00344ADF" w:rsidP="00A45CD1">
      <w:pPr>
        <w:pStyle w:val="a3"/>
        <w:overflowPunct w:val="0"/>
        <w:snapToGrid w:val="0"/>
        <w:spacing w:afterLines="50" w:after="120" w:line="300" w:lineRule="auto"/>
        <w:ind w:left="0"/>
        <w:jc w:val="both"/>
        <w:rPr>
          <w:rFonts w:ascii="Arial" w:hAnsi="Arial" w:cs="Arial"/>
        </w:rPr>
      </w:pPr>
      <w:r w:rsidRPr="007952B6">
        <w:rPr>
          <w:rFonts w:ascii="Arial" w:hAnsi="Arial" w:cs="Arial"/>
        </w:rPr>
        <w:t>FDA</w:t>
      </w:r>
      <w:r w:rsidRPr="007952B6">
        <w:rPr>
          <w:rFonts w:ascii="Arial" w:hAnsi="Arial" w:cs="Arial"/>
        </w:rPr>
        <w:t>通常在如下情况对临床研究者机构进行通知检查和飞行检查：</w:t>
      </w:r>
    </w:p>
    <w:p w:rsidR="00750CBF" w:rsidRPr="007952B6" w:rsidRDefault="00344ADF" w:rsidP="004855E3">
      <w:pPr>
        <w:pStyle w:val="a3"/>
        <w:numPr>
          <w:ilvl w:val="1"/>
          <w:numId w:val="7"/>
        </w:numPr>
        <w:tabs>
          <w:tab w:val="left" w:pos="899"/>
        </w:tabs>
        <w:overflowPunct w:val="0"/>
        <w:snapToGrid w:val="0"/>
        <w:spacing w:afterLines="50" w:after="120" w:line="300" w:lineRule="auto"/>
        <w:ind w:leftChars="100" w:left="580" w:hanging="360"/>
        <w:jc w:val="both"/>
        <w:rPr>
          <w:rFonts w:ascii="Arial" w:hAnsi="Arial" w:cs="Arial"/>
        </w:rPr>
      </w:pPr>
      <w:r w:rsidRPr="007952B6">
        <w:rPr>
          <w:rFonts w:ascii="Arial" w:hAnsi="Arial" w:cs="Arial"/>
        </w:rPr>
        <w:t>需要核实提交给</w:t>
      </w:r>
      <w:r w:rsidRPr="007952B6">
        <w:rPr>
          <w:rFonts w:ascii="Arial" w:hAnsi="Arial" w:cs="Arial"/>
        </w:rPr>
        <w:t>FDA</w:t>
      </w:r>
      <w:r w:rsidRPr="007952B6">
        <w:rPr>
          <w:rFonts w:ascii="Arial" w:hAnsi="Arial" w:cs="Arial"/>
        </w:rPr>
        <w:t>的数据的准确性和可靠性；</w:t>
      </w:r>
    </w:p>
    <w:p w:rsidR="00750CBF" w:rsidRPr="007952B6" w:rsidRDefault="00344ADF" w:rsidP="004855E3">
      <w:pPr>
        <w:pStyle w:val="a3"/>
        <w:numPr>
          <w:ilvl w:val="1"/>
          <w:numId w:val="7"/>
        </w:numPr>
        <w:tabs>
          <w:tab w:val="left" w:pos="899"/>
        </w:tabs>
        <w:overflowPunct w:val="0"/>
        <w:snapToGrid w:val="0"/>
        <w:spacing w:afterLines="50" w:after="120" w:line="300" w:lineRule="auto"/>
        <w:ind w:leftChars="100" w:left="580" w:hanging="360"/>
        <w:jc w:val="both"/>
        <w:rPr>
          <w:rFonts w:ascii="Arial" w:hAnsi="Arial" w:cs="Arial"/>
        </w:rPr>
      </w:pPr>
      <w:r w:rsidRPr="007952B6">
        <w:rPr>
          <w:rFonts w:ascii="Arial" w:hAnsi="Arial" w:cs="Arial"/>
        </w:rPr>
        <w:t>FDA</w:t>
      </w:r>
      <w:r w:rsidRPr="007952B6">
        <w:rPr>
          <w:rFonts w:ascii="Arial" w:hAnsi="Arial" w:cs="Arial"/>
        </w:rPr>
        <w:t>收到有关特定研究机构实施研究的投诉；</w:t>
      </w:r>
    </w:p>
    <w:p w:rsidR="00750CBF" w:rsidRPr="007952B6" w:rsidRDefault="00344ADF" w:rsidP="004855E3">
      <w:pPr>
        <w:pStyle w:val="a3"/>
        <w:numPr>
          <w:ilvl w:val="1"/>
          <w:numId w:val="7"/>
        </w:numPr>
        <w:tabs>
          <w:tab w:val="left" w:pos="900"/>
        </w:tabs>
        <w:overflowPunct w:val="0"/>
        <w:snapToGrid w:val="0"/>
        <w:spacing w:afterLines="50" w:after="120" w:line="300" w:lineRule="auto"/>
        <w:ind w:leftChars="100" w:left="579"/>
        <w:jc w:val="both"/>
        <w:rPr>
          <w:rFonts w:ascii="Arial" w:hAnsi="Arial" w:cs="Arial"/>
        </w:rPr>
      </w:pPr>
      <w:r w:rsidRPr="007952B6">
        <w:rPr>
          <w:rFonts w:ascii="Arial" w:hAnsi="Arial" w:cs="Arial"/>
        </w:rPr>
        <w:t>答复</w:t>
      </w:r>
      <w:r w:rsidR="00C646B3">
        <w:rPr>
          <w:rFonts w:ascii="Arial" w:hAnsi="Arial" w:cs="Arial"/>
        </w:rPr>
        <w:t>申办方</w:t>
      </w:r>
      <w:r w:rsidRPr="007952B6">
        <w:rPr>
          <w:rFonts w:ascii="Arial" w:hAnsi="Arial" w:cs="Arial"/>
        </w:rPr>
        <w:t>的顾虑；</w:t>
      </w:r>
    </w:p>
    <w:p w:rsidR="00750CBF" w:rsidRPr="007952B6" w:rsidRDefault="00344ADF" w:rsidP="004855E3">
      <w:pPr>
        <w:pStyle w:val="a3"/>
        <w:numPr>
          <w:ilvl w:val="0"/>
          <w:numId w:val="6"/>
        </w:numPr>
        <w:tabs>
          <w:tab w:val="left" w:pos="900"/>
        </w:tabs>
        <w:overflowPunct w:val="0"/>
        <w:snapToGrid w:val="0"/>
        <w:spacing w:afterLines="50" w:after="120" w:line="300" w:lineRule="auto"/>
        <w:ind w:leftChars="100" w:left="580"/>
        <w:jc w:val="both"/>
        <w:rPr>
          <w:rFonts w:ascii="Arial" w:hAnsi="Arial" w:cs="Arial"/>
        </w:rPr>
      </w:pPr>
      <w:r w:rsidRPr="007952B6">
        <w:rPr>
          <w:rFonts w:ascii="Arial" w:hAnsi="Arial" w:cs="Arial"/>
        </w:rPr>
        <w:t>临床机构处于停工状态时；</w:t>
      </w:r>
    </w:p>
    <w:p w:rsidR="00750CBF" w:rsidRPr="007952B6" w:rsidRDefault="00344ADF" w:rsidP="004855E3">
      <w:pPr>
        <w:pStyle w:val="a3"/>
        <w:numPr>
          <w:ilvl w:val="0"/>
          <w:numId w:val="6"/>
        </w:numPr>
        <w:tabs>
          <w:tab w:val="left" w:pos="900"/>
        </w:tabs>
        <w:overflowPunct w:val="0"/>
        <w:snapToGrid w:val="0"/>
        <w:spacing w:afterLines="50" w:after="120" w:line="300" w:lineRule="auto"/>
        <w:ind w:leftChars="100" w:left="580"/>
        <w:jc w:val="both"/>
        <w:rPr>
          <w:rFonts w:ascii="Arial" w:hAnsi="Arial" w:cs="Arial"/>
        </w:rPr>
      </w:pPr>
      <w:r w:rsidRPr="007952B6">
        <w:rPr>
          <w:rFonts w:ascii="Arial" w:hAnsi="Arial" w:cs="Arial"/>
        </w:rPr>
        <w:t>临床试验进行期间，以实时评价研究者在研究期间的行为并保护人类受试者；</w:t>
      </w:r>
    </w:p>
    <w:p w:rsidR="00750CBF" w:rsidRPr="007952B6" w:rsidRDefault="00344ADF" w:rsidP="004855E3">
      <w:pPr>
        <w:pStyle w:val="a3"/>
        <w:numPr>
          <w:ilvl w:val="1"/>
          <w:numId w:val="7"/>
        </w:numPr>
        <w:tabs>
          <w:tab w:val="left" w:pos="899"/>
        </w:tabs>
        <w:overflowPunct w:val="0"/>
        <w:snapToGrid w:val="0"/>
        <w:spacing w:afterLines="50" w:after="120" w:line="300" w:lineRule="auto"/>
        <w:ind w:leftChars="100" w:left="578" w:hanging="358"/>
        <w:jc w:val="both"/>
        <w:rPr>
          <w:rFonts w:ascii="Arial" w:hAnsi="Arial" w:cs="Arial"/>
        </w:rPr>
      </w:pPr>
      <w:r w:rsidRPr="007952B6">
        <w:rPr>
          <w:rFonts w:ascii="Arial" w:hAnsi="Arial" w:cs="Arial"/>
        </w:rPr>
        <w:t>经</w:t>
      </w:r>
      <w:r w:rsidRPr="007952B6">
        <w:rPr>
          <w:rFonts w:ascii="Arial" w:hAnsi="Arial" w:cs="Arial"/>
        </w:rPr>
        <w:t>FDA</w:t>
      </w:r>
      <w:r w:rsidRPr="007952B6">
        <w:rPr>
          <w:rFonts w:ascii="Arial" w:hAnsi="Arial" w:cs="Arial"/>
        </w:rPr>
        <w:t>审查分部的要求；及</w:t>
      </w:r>
    </w:p>
    <w:p w:rsidR="00750CBF" w:rsidRPr="007952B6" w:rsidRDefault="00344ADF" w:rsidP="004855E3">
      <w:pPr>
        <w:pStyle w:val="a3"/>
        <w:numPr>
          <w:ilvl w:val="1"/>
          <w:numId w:val="7"/>
        </w:numPr>
        <w:tabs>
          <w:tab w:val="left" w:pos="899"/>
        </w:tabs>
        <w:overflowPunct w:val="0"/>
        <w:snapToGrid w:val="0"/>
        <w:spacing w:afterLines="50" w:after="120" w:line="300" w:lineRule="auto"/>
        <w:ind w:leftChars="100" w:left="580" w:hanging="360"/>
        <w:jc w:val="both"/>
        <w:rPr>
          <w:rFonts w:ascii="Arial" w:hAnsi="Arial" w:cs="Arial"/>
        </w:rPr>
      </w:pPr>
      <w:r w:rsidRPr="007952B6">
        <w:rPr>
          <w:rFonts w:ascii="Arial" w:hAnsi="Arial" w:cs="Arial"/>
        </w:rPr>
        <w:t>涉及被</w:t>
      </w:r>
      <w:r w:rsidRPr="007952B6">
        <w:rPr>
          <w:rFonts w:ascii="Arial" w:hAnsi="Arial" w:cs="Arial"/>
        </w:rPr>
        <w:t>FDA</w:t>
      </w:r>
      <w:r w:rsidRPr="007952B6">
        <w:rPr>
          <w:rFonts w:ascii="Arial" w:hAnsi="Arial" w:cs="Arial"/>
        </w:rPr>
        <w:t>当前工作计划列为特殊产品的特定类别研究产品（例如，根据当前大众健康问题，进行针对性检查）。</w:t>
      </w:r>
    </w:p>
    <w:p w:rsidR="00750CBF" w:rsidRPr="007713FF" w:rsidRDefault="00344ADF" w:rsidP="007713FF">
      <w:pPr>
        <w:pStyle w:val="2"/>
        <w:numPr>
          <w:ilvl w:val="0"/>
          <w:numId w:val="7"/>
        </w:numPr>
        <w:tabs>
          <w:tab w:val="left" w:pos="742"/>
        </w:tabs>
        <w:overflowPunct w:val="0"/>
        <w:snapToGrid w:val="0"/>
        <w:spacing w:afterLines="50" w:after="120" w:line="300" w:lineRule="auto"/>
        <w:ind w:left="720"/>
        <w:jc w:val="both"/>
        <w:rPr>
          <w:rFonts w:ascii="Arial" w:hAnsi="Arial" w:cs="Arial"/>
          <w:sz w:val="32"/>
          <w:szCs w:val="32"/>
        </w:rPr>
      </w:pPr>
      <w:bookmarkStart w:id="3" w:name="IV.__HOW_ARE_CLINICAL_INVESTIGATOR_INSPE"/>
      <w:bookmarkEnd w:id="3"/>
      <w:r w:rsidRPr="007713FF">
        <w:rPr>
          <w:rFonts w:ascii="Arial" w:hAnsi="Arial" w:cs="Arial"/>
          <w:sz w:val="32"/>
          <w:szCs w:val="32"/>
        </w:rPr>
        <w:t>临床研究者检查如何进行？</w:t>
      </w:r>
    </w:p>
    <w:p w:rsidR="00750CBF" w:rsidRPr="007952B6" w:rsidRDefault="00344ADF" w:rsidP="00A45CD1">
      <w:pPr>
        <w:pStyle w:val="a3"/>
        <w:overflowPunct w:val="0"/>
        <w:snapToGrid w:val="0"/>
        <w:spacing w:afterLines="50" w:after="120" w:line="300" w:lineRule="auto"/>
        <w:ind w:left="0"/>
        <w:jc w:val="both"/>
        <w:rPr>
          <w:rFonts w:ascii="Arial" w:hAnsi="Arial" w:cs="Arial"/>
        </w:rPr>
      </w:pPr>
      <w:r w:rsidRPr="007952B6">
        <w:rPr>
          <w:rFonts w:ascii="Arial" w:hAnsi="Arial" w:cs="Arial"/>
        </w:rPr>
        <w:t>到达临床研究者的研究机构时，</w:t>
      </w:r>
      <w:r w:rsidRPr="007952B6">
        <w:rPr>
          <w:rFonts w:ascii="Arial" w:hAnsi="Arial" w:cs="Arial"/>
        </w:rPr>
        <w:t>FDA</w:t>
      </w:r>
      <w:r w:rsidRPr="007952B6">
        <w:rPr>
          <w:rFonts w:ascii="Arial" w:hAnsi="Arial" w:cs="Arial"/>
        </w:rPr>
        <w:t>调查员将出示他</w:t>
      </w:r>
      <w:r w:rsidRPr="007952B6">
        <w:rPr>
          <w:rFonts w:ascii="Arial" w:hAnsi="Arial" w:cs="Arial"/>
        </w:rPr>
        <w:t>/</w:t>
      </w:r>
      <w:r w:rsidRPr="007952B6">
        <w:rPr>
          <w:rFonts w:ascii="Arial" w:hAnsi="Arial" w:cs="Arial"/>
        </w:rPr>
        <w:t>她的</w:t>
      </w:r>
      <w:r w:rsidRPr="007952B6">
        <w:rPr>
          <w:rFonts w:ascii="Arial" w:hAnsi="Arial" w:cs="Arial"/>
        </w:rPr>
        <w:t>FDA</w:t>
      </w:r>
      <w:r w:rsidRPr="007952B6">
        <w:rPr>
          <w:rFonts w:ascii="Arial" w:hAnsi="Arial" w:cs="Arial"/>
        </w:rPr>
        <w:t>证书，并向临床研究者或相应的研究人员出具一份完整的</w:t>
      </w:r>
      <w:r w:rsidRPr="007952B6">
        <w:rPr>
          <w:rFonts w:ascii="Arial" w:hAnsi="Arial" w:cs="Arial"/>
        </w:rPr>
        <w:t>FDA 482</w:t>
      </w:r>
      <w:r w:rsidRPr="007952B6">
        <w:rPr>
          <w:rFonts w:ascii="Arial" w:hAnsi="Arial" w:cs="Arial"/>
        </w:rPr>
        <w:t>表（检查通知）。</w:t>
      </w:r>
      <w:r w:rsidRPr="007952B6">
        <w:rPr>
          <w:rFonts w:ascii="Arial" w:hAnsi="Arial" w:cs="Arial"/>
        </w:rPr>
        <w:t>FDA</w:t>
      </w:r>
      <w:r w:rsidRPr="007952B6">
        <w:rPr>
          <w:rFonts w:ascii="Arial" w:hAnsi="Arial" w:cs="Arial"/>
        </w:rPr>
        <w:t>有权在合理的时间访问、检查和复制临床研究有关的任意必要记录。请参见《联邦食品、药品和化妆品法》第</w:t>
      </w:r>
      <w:r w:rsidRPr="007952B6">
        <w:rPr>
          <w:rFonts w:ascii="Arial" w:hAnsi="Arial" w:cs="Arial"/>
        </w:rPr>
        <w:t>704</w:t>
      </w:r>
      <w:r w:rsidRPr="007952B6">
        <w:rPr>
          <w:rFonts w:ascii="Arial" w:hAnsi="Arial" w:cs="Arial"/>
        </w:rPr>
        <w:t>节（</w:t>
      </w:r>
      <w:r w:rsidRPr="007952B6">
        <w:rPr>
          <w:rFonts w:ascii="Arial" w:hAnsi="Arial" w:cs="Arial"/>
        </w:rPr>
        <w:t>21 USC 374</w:t>
      </w:r>
      <w:r w:rsidRPr="007952B6">
        <w:rPr>
          <w:rFonts w:ascii="Arial" w:hAnsi="Arial" w:cs="Arial"/>
        </w:rPr>
        <w:t>），</w:t>
      </w:r>
      <w:r w:rsidRPr="007952B6">
        <w:rPr>
          <w:rFonts w:ascii="Arial" w:hAnsi="Arial" w:cs="Arial"/>
        </w:rPr>
        <w:t>21 CFR 312.68</w:t>
      </w:r>
      <w:r w:rsidRPr="007952B6">
        <w:rPr>
          <w:rFonts w:ascii="Arial" w:hAnsi="Arial" w:cs="Arial"/>
        </w:rPr>
        <w:t>，</w:t>
      </w:r>
      <w:r w:rsidRPr="007952B6">
        <w:rPr>
          <w:rFonts w:ascii="Arial" w:hAnsi="Arial" w:cs="Arial"/>
        </w:rPr>
        <w:t>21 CFR 812.145</w:t>
      </w:r>
      <w:r w:rsidRPr="007952B6">
        <w:rPr>
          <w:rFonts w:ascii="Arial" w:hAnsi="Arial" w:cs="Arial"/>
        </w:rPr>
        <w:t>。</w:t>
      </w:r>
    </w:p>
    <w:p w:rsidR="00750CBF" w:rsidRPr="007952B6" w:rsidRDefault="00344ADF" w:rsidP="00A45CD1">
      <w:pPr>
        <w:pStyle w:val="a3"/>
        <w:overflowPunct w:val="0"/>
        <w:snapToGrid w:val="0"/>
        <w:spacing w:afterLines="50" w:after="120" w:line="300" w:lineRule="auto"/>
        <w:ind w:left="0"/>
        <w:jc w:val="both"/>
        <w:rPr>
          <w:rFonts w:ascii="Arial" w:hAnsi="Arial" w:cs="Arial"/>
        </w:rPr>
      </w:pPr>
      <w:r w:rsidRPr="007952B6">
        <w:rPr>
          <w:rFonts w:ascii="Arial" w:hAnsi="Arial" w:cs="Arial"/>
        </w:rPr>
        <w:t>检查临床研究者所在临床研究机构时，</w:t>
      </w:r>
      <w:r w:rsidRPr="007952B6">
        <w:rPr>
          <w:rFonts w:ascii="Arial" w:hAnsi="Arial" w:cs="Arial"/>
        </w:rPr>
        <w:t>FDA</w:t>
      </w:r>
      <w:r w:rsidRPr="007952B6">
        <w:rPr>
          <w:rFonts w:ascii="Arial" w:hAnsi="Arial" w:cs="Arial"/>
        </w:rPr>
        <w:t>调查员通常检查是否遵循</w:t>
      </w:r>
      <w:r w:rsidRPr="007952B6">
        <w:rPr>
          <w:rFonts w:ascii="Arial" w:hAnsi="Arial" w:cs="Arial"/>
        </w:rPr>
        <w:t>21 CFR</w:t>
      </w:r>
      <w:r w:rsidRPr="007952B6">
        <w:rPr>
          <w:rFonts w:ascii="Arial" w:hAnsi="Arial" w:cs="Arial"/>
        </w:rPr>
        <w:t>第</w:t>
      </w:r>
      <w:r w:rsidRPr="007952B6">
        <w:rPr>
          <w:rFonts w:ascii="Arial" w:hAnsi="Arial" w:cs="Arial"/>
        </w:rPr>
        <w:t>50</w:t>
      </w:r>
      <w:r w:rsidRPr="007952B6">
        <w:rPr>
          <w:rFonts w:ascii="Arial" w:hAnsi="Arial" w:cs="Arial"/>
        </w:rPr>
        <w:t>部分、第</w:t>
      </w:r>
      <w:r w:rsidRPr="007952B6">
        <w:rPr>
          <w:rFonts w:ascii="Arial" w:hAnsi="Arial" w:cs="Arial"/>
        </w:rPr>
        <w:t>56</w:t>
      </w:r>
      <w:r w:rsidRPr="007952B6">
        <w:rPr>
          <w:rFonts w:ascii="Arial" w:hAnsi="Arial" w:cs="Arial"/>
        </w:rPr>
        <w:t>部分、第</w:t>
      </w:r>
      <w:r w:rsidRPr="007952B6">
        <w:rPr>
          <w:rFonts w:ascii="Arial" w:hAnsi="Arial" w:cs="Arial"/>
        </w:rPr>
        <w:t>312</w:t>
      </w:r>
      <w:r w:rsidRPr="007952B6">
        <w:rPr>
          <w:rFonts w:ascii="Arial" w:hAnsi="Arial" w:cs="Arial"/>
        </w:rPr>
        <w:t>部分，及</w:t>
      </w:r>
      <w:r w:rsidRPr="007952B6">
        <w:rPr>
          <w:rFonts w:ascii="Arial" w:hAnsi="Arial" w:cs="Arial"/>
        </w:rPr>
        <w:t>/</w:t>
      </w:r>
      <w:r w:rsidRPr="007952B6">
        <w:rPr>
          <w:rFonts w:ascii="Arial" w:hAnsi="Arial" w:cs="Arial"/>
        </w:rPr>
        <w:t>或</w:t>
      </w:r>
      <w:r w:rsidRPr="007952B6">
        <w:rPr>
          <w:rFonts w:ascii="Arial" w:hAnsi="Arial" w:cs="Arial"/>
        </w:rPr>
        <w:t>812</w:t>
      </w:r>
      <w:r w:rsidRPr="007952B6">
        <w:rPr>
          <w:rFonts w:ascii="Arial" w:hAnsi="Arial" w:cs="Arial"/>
        </w:rPr>
        <w:t>部分中规定的研究产品使用和人类</w:t>
      </w:r>
      <w:r w:rsidRPr="007952B6">
        <w:rPr>
          <w:rFonts w:ascii="Arial" w:hAnsi="Arial" w:cs="Arial"/>
        </w:rPr>
        <w:lastRenderedPageBreak/>
        <w:t>受试者保护有关的法规，并与研究实施人员谈话，以确定：</w:t>
      </w:r>
    </w:p>
    <w:p w:rsidR="00750CBF" w:rsidRPr="007952B6" w:rsidRDefault="00344ADF" w:rsidP="00D01A1F">
      <w:pPr>
        <w:pStyle w:val="a3"/>
        <w:numPr>
          <w:ilvl w:val="1"/>
          <w:numId w:val="7"/>
        </w:numPr>
        <w:tabs>
          <w:tab w:val="left" w:pos="839"/>
        </w:tabs>
        <w:overflowPunct w:val="0"/>
        <w:snapToGrid w:val="0"/>
        <w:spacing w:line="300" w:lineRule="auto"/>
        <w:ind w:leftChars="100" w:left="580" w:hanging="360"/>
        <w:jc w:val="both"/>
        <w:rPr>
          <w:rFonts w:ascii="Arial" w:hAnsi="Arial" w:cs="Arial"/>
        </w:rPr>
      </w:pPr>
      <w:r w:rsidRPr="007952B6">
        <w:rPr>
          <w:rFonts w:ascii="Arial" w:hAnsi="Arial" w:cs="Arial"/>
        </w:rPr>
        <w:t>研究方案各个环节的实施人（例如，入组和排除标准的检查人，知情同意书的获取人，不良事件数据的收集人）；</w:t>
      </w:r>
    </w:p>
    <w:p w:rsidR="00750CBF" w:rsidRPr="007952B6" w:rsidRDefault="00344ADF" w:rsidP="00D01A1F">
      <w:pPr>
        <w:pStyle w:val="a3"/>
        <w:numPr>
          <w:ilvl w:val="0"/>
          <w:numId w:val="5"/>
        </w:numPr>
        <w:tabs>
          <w:tab w:val="left" w:pos="840"/>
        </w:tabs>
        <w:overflowPunct w:val="0"/>
        <w:snapToGrid w:val="0"/>
        <w:spacing w:line="300" w:lineRule="auto"/>
        <w:ind w:leftChars="100" w:left="580"/>
        <w:jc w:val="both"/>
        <w:rPr>
          <w:rFonts w:ascii="Arial" w:hAnsi="Arial" w:cs="Arial"/>
        </w:rPr>
      </w:pPr>
      <w:r w:rsidRPr="007952B6">
        <w:rPr>
          <w:rFonts w:ascii="Arial" w:hAnsi="Arial" w:cs="Arial"/>
        </w:rPr>
        <w:t>IRB</w:t>
      </w:r>
      <w:r w:rsidRPr="007952B6">
        <w:rPr>
          <w:rFonts w:ascii="Arial" w:hAnsi="Arial" w:cs="Arial"/>
        </w:rPr>
        <w:t>是否审核方案、知情同意书及在方案实施前审核方案修正案；</w:t>
      </w:r>
    </w:p>
    <w:p w:rsidR="00750CBF" w:rsidRPr="007952B6" w:rsidRDefault="00344ADF" w:rsidP="00D01A1F">
      <w:pPr>
        <w:pStyle w:val="a3"/>
        <w:numPr>
          <w:ilvl w:val="0"/>
          <w:numId w:val="5"/>
        </w:numPr>
        <w:tabs>
          <w:tab w:val="left" w:pos="840"/>
        </w:tabs>
        <w:overflowPunct w:val="0"/>
        <w:snapToGrid w:val="0"/>
        <w:spacing w:line="300" w:lineRule="auto"/>
        <w:ind w:leftChars="100" w:left="580"/>
        <w:jc w:val="both"/>
        <w:rPr>
          <w:rFonts w:ascii="Arial" w:hAnsi="Arial" w:cs="Arial"/>
        </w:rPr>
      </w:pPr>
      <w:r w:rsidRPr="007952B6">
        <w:rPr>
          <w:rFonts w:ascii="Arial" w:hAnsi="Arial" w:cs="Arial"/>
        </w:rPr>
        <w:t>临床研究者和研究人员是否遵守</w:t>
      </w:r>
      <w:r w:rsidR="00C646B3">
        <w:rPr>
          <w:rFonts w:ascii="Arial" w:hAnsi="Arial" w:cs="Arial"/>
        </w:rPr>
        <w:t>申办方</w:t>
      </w:r>
      <w:r w:rsidRPr="007952B6">
        <w:rPr>
          <w:rFonts w:ascii="Arial" w:hAnsi="Arial" w:cs="Arial"/>
        </w:rPr>
        <w:t>方案和研究计划，是否记录方案偏离并相应报告；</w:t>
      </w:r>
    </w:p>
    <w:p w:rsidR="00750CBF" w:rsidRPr="007952B6" w:rsidRDefault="00344ADF" w:rsidP="00D01A1F">
      <w:pPr>
        <w:pStyle w:val="a3"/>
        <w:numPr>
          <w:ilvl w:val="0"/>
          <w:numId w:val="5"/>
        </w:numPr>
        <w:tabs>
          <w:tab w:val="left" w:pos="840"/>
        </w:tabs>
        <w:overflowPunct w:val="0"/>
        <w:snapToGrid w:val="0"/>
        <w:spacing w:line="300" w:lineRule="auto"/>
        <w:ind w:leftChars="100" w:left="580"/>
        <w:jc w:val="both"/>
        <w:rPr>
          <w:rFonts w:ascii="Arial" w:hAnsi="Arial" w:cs="Arial"/>
        </w:rPr>
      </w:pPr>
      <w:r w:rsidRPr="007952B6">
        <w:rPr>
          <w:rFonts w:ascii="Arial" w:hAnsi="Arial" w:cs="Arial"/>
        </w:rPr>
        <w:t>受试者或受试者法定代表是否在受试者参与研究前（即，研究相关程序执行前）签署知情同意书；</w:t>
      </w:r>
    </w:p>
    <w:p w:rsidR="00750CBF" w:rsidRPr="007952B6" w:rsidRDefault="00344ADF" w:rsidP="00D01A1F">
      <w:pPr>
        <w:pStyle w:val="a3"/>
        <w:numPr>
          <w:ilvl w:val="1"/>
          <w:numId w:val="7"/>
        </w:numPr>
        <w:tabs>
          <w:tab w:val="left" w:pos="839"/>
        </w:tabs>
        <w:overflowPunct w:val="0"/>
        <w:snapToGrid w:val="0"/>
        <w:spacing w:line="300" w:lineRule="auto"/>
        <w:ind w:leftChars="100" w:left="580" w:hanging="360"/>
        <w:jc w:val="both"/>
        <w:rPr>
          <w:rFonts w:ascii="Arial" w:hAnsi="Arial" w:cs="Arial"/>
        </w:rPr>
      </w:pPr>
      <w:r w:rsidRPr="007952B6">
        <w:rPr>
          <w:rFonts w:ascii="Arial" w:hAnsi="Arial" w:cs="Arial"/>
        </w:rPr>
        <w:t>是否授权其他人员执行研究的各个环节，如果是，临床研究者如何监督研究的实施</w:t>
      </w:r>
      <w:r w:rsidR="00D01A1F">
        <w:rPr>
          <w:rStyle w:val="aa"/>
          <w:rFonts w:ascii="Arial" w:hAnsi="Arial" w:cs="Arial"/>
        </w:rPr>
        <w:footnoteReference w:id="2"/>
      </w:r>
      <w:r w:rsidRPr="007952B6">
        <w:rPr>
          <w:rFonts w:ascii="Arial" w:hAnsi="Arial" w:cs="Arial"/>
        </w:rPr>
        <w:t>；</w:t>
      </w:r>
      <w:hyperlink w:anchor="_bookmark1" w:history="1"/>
    </w:p>
    <w:p w:rsidR="00750CBF" w:rsidRPr="007952B6" w:rsidRDefault="00344ADF" w:rsidP="00D01A1F">
      <w:pPr>
        <w:pStyle w:val="a3"/>
        <w:numPr>
          <w:ilvl w:val="1"/>
          <w:numId w:val="7"/>
        </w:numPr>
        <w:tabs>
          <w:tab w:val="left" w:pos="839"/>
        </w:tabs>
        <w:overflowPunct w:val="0"/>
        <w:snapToGrid w:val="0"/>
        <w:spacing w:line="300" w:lineRule="auto"/>
        <w:ind w:leftChars="100" w:left="578" w:hanging="358"/>
        <w:jc w:val="both"/>
        <w:rPr>
          <w:rFonts w:ascii="Arial" w:hAnsi="Arial" w:cs="Arial"/>
        </w:rPr>
      </w:pPr>
      <w:r w:rsidRPr="007952B6">
        <w:rPr>
          <w:rFonts w:ascii="Arial" w:hAnsi="Arial" w:cs="Arial"/>
        </w:rPr>
        <w:t>研究包括哪些具体环节；</w:t>
      </w:r>
    </w:p>
    <w:p w:rsidR="00750CBF" w:rsidRPr="007952B6" w:rsidRDefault="00344ADF" w:rsidP="00D01A1F">
      <w:pPr>
        <w:pStyle w:val="a3"/>
        <w:numPr>
          <w:ilvl w:val="1"/>
          <w:numId w:val="7"/>
        </w:numPr>
        <w:tabs>
          <w:tab w:val="left" w:pos="839"/>
        </w:tabs>
        <w:overflowPunct w:val="0"/>
        <w:snapToGrid w:val="0"/>
        <w:spacing w:line="300" w:lineRule="auto"/>
        <w:ind w:leftChars="100" w:left="578" w:hanging="358"/>
        <w:jc w:val="both"/>
        <w:rPr>
          <w:rFonts w:ascii="Arial" w:hAnsi="Arial" w:cs="Arial"/>
        </w:rPr>
      </w:pPr>
      <w:r w:rsidRPr="007952B6">
        <w:rPr>
          <w:rFonts w:ascii="Arial" w:hAnsi="Arial" w:cs="Arial"/>
        </w:rPr>
        <w:t>研究数据的获取方法及研究数据如何记录；</w:t>
      </w:r>
    </w:p>
    <w:p w:rsidR="00750CBF" w:rsidRPr="007952B6" w:rsidRDefault="00344ADF" w:rsidP="00D01A1F">
      <w:pPr>
        <w:pStyle w:val="a3"/>
        <w:numPr>
          <w:ilvl w:val="1"/>
          <w:numId w:val="7"/>
        </w:numPr>
        <w:tabs>
          <w:tab w:val="left" w:pos="840"/>
        </w:tabs>
        <w:overflowPunct w:val="0"/>
        <w:snapToGrid w:val="0"/>
        <w:spacing w:line="300" w:lineRule="auto"/>
        <w:ind w:leftChars="100" w:left="580" w:hanging="360"/>
        <w:jc w:val="both"/>
        <w:rPr>
          <w:rFonts w:ascii="Arial" w:hAnsi="Arial" w:cs="Arial"/>
        </w:rPr>
      </w:pPr>
      <w:r w:rsidRPr="007952B6">
        <w:rPr>
          <w:rFonts w:ascii="Arial" w:hAnsi="Arial" w:cs="Arial"/>
        </w:rPr>
        <w:t>研究产品的问责，包括运输记录和未使用研究产品的处置；</w:t>
      </w:r>
    </w:p>
    <w:p w:rsidR="00750CBF" w:rsidRPr="007952B6" w:rsidRDefault="00344ADF" w:rsidP="00D01A1F">
      <w:pPr>
        <w:pStyle w:val="a3"/>
        <w:numPr>
          <w:ilvl w:val="0"/>
          <w:numId w:val="5"/>
        </w:numPr>
        <w:tabs>
          <w:tab w:val="left" w:pos="840"/>
        </w:tabs>
        <w:overflowPunct w:val="0"/>
        <w:snapToGrid w:val="0"/>
        <w:spacing w:line="300" w:lineRule="auto"/>
        <w:ind w:leftChars="100" w:left="580"/>
        <w:jc w:val="both"/>
        <w:rPr>
          <w:rFonts w:ascii="Arial" w:hAnsi="Arial" w:cs="Arial"/>
        </w:rPr>
      </w:pPr>
      <w:r w:rsidRPr="007952B6">
        <w:rPr>
          <w:rFonts w:ascii="Arial" w:hAnsi="Arial" w:cs="Arial"/>
        </w:rPr>
        <w:t>临床研究者是否披露其与</w:t>
      </w:r>
      <w:r w:rsidR="00C646B3">
        <w:rPr>
          <w:rFonts w:ascii="Arial" w:hAnsi="Arial" w:cs="Arial"/>
        </w:rPr>
        <w:t>申办方</w:t>
      </w:r>
      <w:r w:rsidRPr="007952B6">
        <w:rPr>
          <w:rFonts w:ascii="Arial" w:hAnsi="Arial" w:cs="Arial"/>
        </w:rPr>
        <w:t>的财务利益关系和</w:t>
      </w:r>
      <w:r w:rsidRPr="007952B6">
        <w:rPr>
          <w:rFonts w:ascii="Arial" w:hAnsi="Arial" w:cs="Arial"/>
        </w:rPr>
        <w:t>/</w:t>
      </w:r>
      <w:r w:rsidRPr="007952B6">
        <w:rPr>
          <w:rFonts w:ascii="Arial" w:hAnsi="Arial" w:cs="Arial"/>
        </w:rPr>
        <w:t>或与助理研究者、配偶和抚养子女之间的利益关系。</w:t>
      </w:r>
      <w:hyperlink w:anchor="_bookmark2" w:history="1"/>
      <w:r w:rsidR="00D01A1F">
        <w:rPr>
          <w:rStyle w:val="aa"/>
          <w:rFonts w:ascii="Arial" w:hAnsi="Arial" w:cs="Arial"/>
        </w:rPr>
        <w:footnoteReference w:id="3"/>
      </w:r>
    </w:p>
    <w:p w:rsidR="00750CBF" w:rsidRPr="007952B6" w:rsidRDefault="00344ADF" w:rsidP="00D01A1F">
      <w:pPr>
        <w:pStyle w:val="a3"/>
        <w:numPr>
          <w:ilvl w:val="1"/>
          <w:numId w:val="7"/>
        </w:numPr>
        <w:tabs>
          <w:tab w:val="left" w:pos="839"/>
        </w:tabs>
        <w:overflowPunct w:val="0"/>
        <w:snapToGrid w:val="0"/>
        <w:spacing w:line="300" w:lineRule="auto"/>
        <w:ind w:leftChars="100" w:left="578" w:hanging="358"/>
        <w:jc w:val="both"/>
        <w:rPr>
          <w:rFonts w:ascii="Arial" w:hAnsi="Arial" w:cs="Arial"/>
        </w:rPr>
      </w:pPr>
      <w:r w:rsidRPr="007952B6">
        <w:rPr>
          <w:rFonts w:ascii="Arial" w:hAnsi="Arial" w:cs="Arial"/>
        </w:rPr>
        <w:t>监察员与临床研究者之间的通信；</w:t>
      </w:r>
    </w:p>
    <w:p w:rsidR="00750CBF" w:rsidRPr="007952B6" w:rsidRDefault="00344ADF" w:rsidP="00D01A1F">
      <w:pPr>
        <w:pStyle w:val="a3"/>
        <w:numPr>
          <w:ilvl w:val="1"/>
          <w:numId w:val="7"/>
        </w:numPr>
        <w:tabs>
          <w:tab w:val="left" w:pos="839"/>
        </w:tabs>
        <w:overflowPunct w:val="0"/>
        <w:snapToGrid w:val="0"/>
        <w:spacing w:line="300" w:lineRule="auto"/>
        <w:ind w:leftChars="100" w:left="579"/>
        <w:jc w:val="both"/>
        <w:rPr>
          <w:rFonts w:ascii="Arial" w:hAnsi="Arial" w:cs="Arial"/>
        </w:rPr>
      </w:pPr>
      <w:r w:rsidRPr="007952B6">
        <w:rPr>
          <w:rFonts w:ascii="Arial" w:hAnsi="Arial" w:cs="Arial"/>
        </w:rPr>
        <w:t>监察员对研究进展的评价；及</w:t>
      </w:r>
    </w:p>
    <w:p w:rsidR="00750CBF" w:rsidRPr="007952B6" w:rsidRDefault="00344ADF" w:rsidP="00356A45">
      <w:pPr>
        <w:pStyle w:val="a3"/>
        <w:numPr>
          <w:ilvl w:val="0"/>
          <w:numId w:val="5"/>
        </w:numPr>
        <w:tabs>
          <w:tab w:val="left" w:pos="840"/>
        </w:tabs>
        <w:overflowPunct w:val="0"/>
        <w:snapToGrid w:val="0"/>
        <w:spacing w:afterLines="50" w:after="120" w:line="300" w:lineRule="auto"/>
        <w:ind w:leftChars="100" w:left="580"/>
        <w:jc w:val="both"/>
        <w:rPr>
          <w:rFonts w:ascii="Arial" w:hAnsi="Arial" w:cs="Arial"/>
        </w:rPr>
      </w:pPr>
      <w:r w:rsidRPr="007952B6">
        <w:rPr>
          <w:rFonts w:ascii="Arial" w:hAnsi="Arial" w:cs="Arial"/>
        </w:rPr>
        <w:t>根据先前</w:t>
      </w:r>
      <w:r w:rsidRPr="007952B6">
        <w:rPr>
          <w:rFonts w:ascii="Arial" w:hAnsi="Arial" w:cs="Arial"/>
        </w:rPr>
        <w:t>FDA</w:t>
      </w:r>
      <w:r w:rsidRPr="007952B6">
        <w:rPr>
          <w:rFonts w:ascii="Arial" w:hAnsi="Arial" w:cs="Arial"/>
        </w:rPr>
        <w:t>检查做出的纠正措施（若有），及监管通信或</w:t>
      </w:r>
      <w:r w:rsidR="00C646B3">
        <w:rPr>
          <w:rFonts w:ascii="Arial" w:hAnsi="Arial" w:cs="Arial"/>
        </w:rPr>
        <w:t>申办方</w:t>
      </w:r>
      <w:r w:rsidRPr="007952B6">
        <w:rPr>
          <w:rFonts w:ascii="Arial" w:hAnsi="Arial" w:cs="Arial"/>
        </w:rPr>
        <w:t>和</w:t>
      </w:r>
      <w:r w:rsidRPr="007952B6">
        <w:rPr>
          <w:rFonts w:ascii="Arial" w:hAnsi="Arial" w:cs="Arial"/>
        </w:rPr>
        <w:t>/</w:t>
      </w:r>
      <w:r w:rsidRPr="007952B6">
        <w:rPr>
          <w:rFonts w:ascii="Arial" w:hAnsi="Arial" w:cs="Arial"/>
        </w:rPr>
        <w:t>或督察员通信。</w:t>
      </w:r>
    </w:p>
    <w:p w:rsidR="00750CBF" w:rsidRPr="007952B6" w:rsidRDefault="00344ADF" w:rsidP="00A45CD1">
      <w:pPr>
        <w:pStyle w:val="a3"/>
        <w:overflowPunct w:val="0"/>
        <w:snapToGrid w:val="0"/>
        <w:spacing w:afterLines="50" w:after="120" w:line="300" w:lineRule="auto"/>
        <w:ind w:left="0"/>
        <w:jc w:val="both"/>
        <w:rPr>
          <w:rFonts w:ascii="Arial" w:hAnsi="Arial" w:cs="Arial"/>
        </w:rPr>
      </w:pPr>
      <w:r w:rsidRPr="007952B6">
        <w:rPr>
          <w:rFonts w:ascii="Arial" w:hAnsi="Arial" w:cs="Arial"/>
        </w:rPr>
        <w:t>FDA</w:t>
      </w:r>
      <w:r w:rsidRPr="007952B6">
        <w:rPr>
          <w:rFonts w:ascii="Arial" w:hAnsi="Arial" w:cs="Arial"/>
        </w:rPr>
        <w:t>调查员也可审核提交给</w:t>
      </w:r>
      <w:r w:rsidRPr="007952B6">
        <w:rPr>
          <w:rFonts w:ascii="Arial" w:hAnsi="Arial" w:cs="Arial"/>
        </w:rPr>
        <w:t>FDA</w:t>
      </w:r>
      <w:r w:rsidRPr="007952B6">
        <w:rPr>
          <w:rFonts w:ascii="Arial" w:hAnsi="Arial" w:cs="Arial"/>
        </w:rPr>
        <w:t>或</w:t>
      </w:r>
      <w:r w:rsidR="00C646B3">
        <w:rPr>
          <w:rFonts w:ascii="Arial" w:hAnsi="Arial" w:cs="Arial"/>
        </w:rPr>
        <w:t>申办方</w:t>
      </w:r>
      <w:r w:rsidRPr="007952B6">
        <w:rPr>
          <w:rFonts w:ascii="Arial" w:hAnsi="Arial" w:cs="Arial"/>
        </w:rPr>
        <w:t>的研究数据及临床研究相关的记录（若有）。此类记录可包括病例报告表、含有签名和日期的知情同意书等支持性源文件，及医生进度记录、受试者医院病历和护士笔记等医疗记录。这些记录可以是硬拷贝形式和</w:t>
      </w:r>
      <w:r w:rsidRPr="007952B6">
        <w:rPr>
          <w:rFonts w:ascii="Arial" w:hAnsi="Arial" w:cs="Arial"/>
        </w:rPr>
        <w:t>/</w:t>
      </w:r>
      <w:r w:rsidRPr="007952B6">
        <w:rPr>
          <w:rFonts w:ascii="Arial" w:hAnsi="Arial" w:cs="Arial"/>
        </w:rPr>
        <w:t>或电子格式。对于电子记录和</w:t>
      </w:r>
      <w:r w:rsidRPr="007952B6">
        <w:rPr>
          <w:rFonts w:ascii="Arial" w:hAnsi="Arial" w:cs="Arial"/>
        </w:rPr>
        <w:t>/</w:t>
      </w:r>
      <w:r w:rsidRPr="007952B6">
        <w:rPr>
          <w:rFonts w:ascii="Arial" w:hAnsi="Arial" w:cs="Arial"/>
        </w:rPr>
        <w:t>或电子签字，</w:t>
      </w:r>
      <w:r w:rsidRPr="007952B6">
        <w:rPr>
          <w:rFonts w:ascii="Arial" w:hAnsi="Arial" w:cs="Arial"/>
        </w:rPr>
        <w:t>FDA</w:t>
      </w:r>
      <w:r w:rsidRPr="007952B6">
        <w:rPr>
          <w:rFonts w:ascii="Arial" w:hAnsi="Arial" w:cs="Arial"/>
        </w:rPr>
        <w:t>调查员可以收集信息，确定是否满足了</w:t>
      </w:r>
      <w:r w:rsidRPr="007952B6">
        <w:rPr>
          <w:rFonts w:ascii="Arial" w:hAnsi="Arial" w:cs="Arial"/>
        </w:rPr>
        <w:t>21 CFR</w:t>
      </w:r>
      <w:r w:rsidRPr="007952B6">
        <w:rPr>
          <w:rFonts w:ascii="Arial" w:hAnsi="Arial" w:cs="Arial"/>
        </w:rPr>
        <w:t>第</w:t>
      </w:r>
      <w:r w:rsidRPr="007952B6">
        <w:rPr>
          <w:rFonts w:ascii="Arial" w:hAnsi="Arial" w:cs="Arial"/>
        </w:rPr>
        <w:t>11</w:t>
      </w:r>
      <w:r w:rsidRPr="007952B6">
        <w:rPr>
          <w:rFonts w:ascii="Arial" w:hAnsi="Arial" w:cs="Arial"/>
        </w:rPr>
        <w:t>部分的要求。</w:t>
      </w:r>
      <w:r w:rsidR="00D01A1F">
        <w:rPr>
          <w:rStyle w:val="aa"/>
          <w:rFonts w:ascii="Arial" w:hAnsi="Arial" w:cs="Arial"/>
        </w:rPr>
        <w:footnoteReference w:id="4"/>
      </w:r>
      <w:hyperlink w:anchor="_bookmark3" w:history="1"/>
    </w:p>
    <w:p w:rsidR="00750CBF" w:rsidRPr="007952B6" w:rsidRDefault="00344ADF" w:rsidP="00A45CD1">
      <w:pPr>
        <w:pStyle w:val="a3"/>
        <w:overflowPunct w:val="0"/>
        <w:snapToGrid w:val="0"/>
        <w:spacing w:afterLines="50" w:after="120" w:line="300" w:lineRule="auto"/>
        <w:ind w:left="0"/>
        <w:jc w:val="both"/>
        <w:rPr>
          <w:rFonts w:ascii="Arial" w:hAnsi="Arial" w:cs="Arial"/>
        </w:rPr>
      </w:pPr>
      <w:r w:rsidRPr="007952B6">
        <w:rPr>
          <w:rFonts w:ascii="Arial" w:hAnsi="Arial" w:cs="Arial"/>
        </w:rPr>
        <w:lastRenderedPageBreak/>
        <w:t>FDA</w:t>
      </w:r>
      <w:r w:rsidRPr="007952B6">
        <w:rPr>
          <w:rFonts w:ascii="Arial" w:hAnsi="Arial" w:cs="Arial"/>
        </w:rPr>
        <w:t>还可检查临床研究有关的受试者医学记录，在研究前确认研究疾病是否确诊、研究合格标准是否满足、受试者是否服用方案禁止的可能干扰性药物。</w:t>
      </w:r>
      <w:r w:rsidRPr="007952B6">
        <w:rPr>
          <w:rFonts w:ascii="Arial" w:hAnsi="Arial" w:cs="Arial"/>
        </w:rPr>
        <w:t>FDA</w:t>
      </w:r>
      <w:r w:rsidRPr="007952B6">
        <w:rPr>
          <w:rFonts w:ascii="Arial" w:hAnsi="Arial" w:cs="Arial"/>
        </w:rPr>
        <w:t>调查员也可审核受试者完成研究相关活动后一段时间内的记录，以确定随访是否遵循方案、临床研究者是否提交所有应报告不良事件（包括所有临床体征和症状）。请参见</w:t>
      </w:r>
      <w:r w:rsidRPr="007952B6">
        <w:rPr>
          <w:rFonts w:ascii="Arial" w:hAnsi="Arial" w:cs="Arial"/>
        </w:rPr>
        <w:t xml:space="preserve"> 21 CFR 312.64(b) </w:t>
      </w:r>
      <w:r w:rsidRPr="007952B6">
        <w:rPr>
          <w:rFonts w:ascii="Arial" w:hAnsi="Arial" w:cs="Arial"/>
        </w:rPr>
        <w:t>和</w:t>
      </w:r>
      <w:r w:rsidRPr="007952B6">
        <w:rPr>
          <w:rFonts w:ascii="Arial" w:hAnsi="Arial" w:cs="Arial"/>
        </w:rPr>
        <w:t xml:space="preserve"> 812.150(a)</w:t>
      </w:r>
      <w:r w:rsidRPr="007952B6">
        <w:rPr>
          <w:rFonts w:ascii="Arial" w:hAnsi="Arial" w:cs="Arial"/>
        </w:rPr>
        <w:t>。有关</w:t>
      </w:r>
      <w:r w:rsidRPr="007952B6">
        <w:rPr>
          <w:rFonts w:ascii="Arial" w:hAnsi="Arial" w:cs="Arial"/>
        </w:rPr>
        <w:t>FDA</w:t>
      </w:r>
      <w:r w:rsidRPr="007952B6">
        <w:rPr>
          <w:rFonts w:ascii="Arial" w:hAnsi="Arial" w:cs="Arial"/>
        </w:rPr>
        <w:t>实施临床研究机构检查期间使用的规程信息，请参见</w:t>
      </w:r>
      <w:r w:rsidRPr="007952B6">
        <w:rPr>
          <w:rFonts w:ascii="Arial" w:hAnsi="Arial" w:cs="Arial"/>
        </w:rPr>
        <w:t>FDA</w:t>
      </w:r>
      <w:r w:rsidRPr="007952B6">
        <w:rPr>
          <w:rFonts w:ascii="Arial" w:hAnsi="Arial" w:cs="Arial"/>
        </w:rPr>
        <w:t>合规计划指导手册（</w:t>
      </w:r>
      <w:r w:rsidRPr="007952B6">
        <w:rPr>
          <w:rFonts w:ascii="Arial" w:hAnsi="Arial" w:cs="Arial"/>
        </w:rPr>
        <w:t>CPGM</w:t>
      </w:r>
      <w:r w:rsidRPr="007952B6">
        <w:rPr>
          <w:rFonts w:ascii="Arial" w:hAnsi="Arial" w:cs="Arial"/>
        </w:rPr>
        <w:t>），及临床研究者和</w:t>
      </w:r>
      <w:r w:rsidR="00C646B3">
        <w:rPr>
          <w:rFonts w:ascii="Arial" w:hAnsi="Arial" w:cs="Arial"/>
        </w:rPr>
        <w:t>申办方</w:t>
      </w:r>
      <w:r w:rsidRPr="007952B6">
        <w:rPr>
          <w:rFonts w:ascii="Arial" w:hAnsi="Arial" w:cs="Arial"/>
        </w:rPr>
        <w:t>-</w:t>
      </w:r>
      <w:r w:rsidRPr="007952B6">
        <w:rPr>
          <w:rFonts w:ascii="Arial" w:hAnsi="Arial" w:cs="Arial"/>
        </w:rPr>
        <w:t>研究者生物学研究监查，计划</w:t>
      </w:r>
      <w:r w:rsidRPr="007952B6">
        <w:rPr>
          <w:rFonts w:ascii="Arial" w:hAnsi="Arial" w:cs="Arial"/>
        </w:rPr>
        <w:t>7348.811</w:t>
      </w:r>
      <w:r w:rsidRPr="007952B6">
        <w:rPr>
          <w:rFonts w:ascii="Arial" w:hAnsi="Arial" w:cs="Arial"/>
        </w:rPr>
        <w:t>。</w:t>
      </w:r>
      <w:r w:rsidR="00605923">
        <w:rPr>
          <w:rStyle w:val="aa"/>
          <w:rFonts w:ascii="Arial" w:hAnsi="Arial" w:cs="Arial"/>
        </w:rPr>
        <w:footnoteReference w:id="5"/>
      </w:r>
      <w:hyperlink w:anchor="_bookmark4" w:history="1"/>
    </w:p>
    <w:p w:rsidR="00750CBF" w:rsidRPr="00D01A1F" w:rsidRDefault="00344ADF" w:rsidP="00D01A1F">
      <w:pPr>
        <w:pStyle w:val="2"/>
        <w:numPr>
          <w:ilvl w:val="0"/>
          <w:numId w:val="7"/>
        </w:numPr>
        <w:tabs>
          <w:tab w:val="left" w:pos="742"/>
        </w:tabs>
        <w:overflowPunct w:val="0"/>
        <w:snapToGrid w:val="0"/>
        <w:spacing w:afterLines="50" w:after="120" w:line="300" w:lineRule="auto"/>
        <w:ind w:left="720"/>
        <w:jc w:val="both"/>
        <w:rPr>
          <w:rFonts w:ascii="Arial" w:hAnsi="Arial" w:cs="Arial"/>
          <w:sz w:val="32"/>
          <w:szCs w:val="32"/>
        </w:rPr>
      </w:pPr>
      <w:bookmarkStart w:id="4" w:name="V._INTERNATIONAL_INSPECTIONS"/>
      <w:bookmarkEnd w:id="4"/>
      <w:r w:rsidRPr="00D01A1F">
        <w:rPr>
          <w:rFonts w:ascii="Arial" w:hAnsi="Arial" w:cs="Arial"/>
          <w:sz w:val="32"/>
          <w:szCs w:val="32"/>
        </w:rPr>
        <w:t>国际检查</w:t>
      </w:r>
    </w:p>
    <w:p w:rsidR="00750CBF" w:rsidRPr="007952B6" w:rsidRDefault="00344ADF" w:rsidP="00A45CD1">
      <w:pPr>
        <w:pStyle w:val="a3"/>
        <w:overflowPunct w:val="0"/>
        <w:snapToGrid w:val="0"/>
        <w:spacing w:afterLines="50" w:after="120" w:line="300" w:lineRule="auto"/>
        <w:ind w:left="0"/>
        <w:jc w:val="both"/>
        <w:rPr>
          <w:rFonts w:ascii="Arial" w:hAnsi="Arial" w:cs="Arial"/>
        </w:rPr>
      </w:pPr>
      <w:r w:rsidRPr="007952B6">
        <w:rPr>
          <w:rFonts w:ascii="Arial" w:hAnsi="Arial" w:cs="Arial"/>
        </w:rPr>
        <w:t>临床研究者的</w:t>
      </w:r>
      <w:r w:rsidRPr="007952B6">
        <w:rPr>
          <w:rFonts w:ascii="Arial" w:hAnsi="Arial" w:cs="Arial"/>
        </w:rPr>
        <w:t>FDA</w:t>
      </w:r>
      <w:r w:rsidRPr="007952B6">
        <w:rPr>
          <w:rFonts w:ascii="Arial" w:hAnsi="Arial" w:cs="Arial"/>
        </w:rPr>
        <w:t>检查并不局限于美国。当研究作为上市申报资料提交给</w:t>
      </w:r>
      <w:r w:rsidRPr="007952B6">
        <w:rPr>
          <w:rFonts w:ascii="Arial" w:hAnsi="Arial" w:cs="Arial"/>
        </w:rPr>
        <w:t>FDA</w:t>
      </w:r>
      <w:r w:rsidRPr="007952B6">
        <w:rPr>
          <w:rFonts w:ascii="Arial" w:hAnsi="Arial" w:cs="Arial"/>
        </w:rPr>
        <w:t>，并提供产品审批决策性数据时，进行国际检查。请参见</w:t>
      </w:r>
      <w:r w:rsidRPr="007952B6">
        <w:rPr>
          <w:rFonts w:ascii="Arial" w:hAnsi="Arial" w:cs="Arial"/>
        </w:rPr>
        <w:t>FDA CPGM</w:t>
      </w:r>
      <w:r w:rsidRPr="007952B6">
        <w:rPr>
          <w:rFonts w:ascii="Arial" w:hAnsi="Arial" w:cs="Arial"/>
        </w:rPr>
        <w:t>，计划</w:t>
      </w:r>
      <w:r w:rsidRPr="007952B6">
        <w:rPr>
          <w:rFonts w:ascii="Arial" w:hAnsi="Arial" w:cs="Arial"/>
        </w:rPr>
        <w:t>7348.811, “</w:t>
      </w:r>
      <w:r w:rsidRPr="007952B6">
        <w:rPr>
          <w:rFonts w:ascii="Arial" w:hAnsi="Arial" w:cs="Arial"/>
        </w:rPr>
        <w:t>临床研究者和</w:t>
      </w:r>
      <w:r w:rsidR="00C646B3">
        <w:rPr>
          <w:rFonts w:ascii="Arial" w:hAnsi="Arial" w:cs="Arial"/>
        </w:rPr>
        <w:t>申办方</w:t>
      </w:r>
      <w:r w:rsidRPr="007952B6">
        <w:rPr>
          <w:rFonts w:ascii="Arial" w:hAnsi="Arial" w:cs="Arial"/>
        </w:rPr>
        <w:t>-</w:t>
      </w:r>
      <w:r w:rsidRPr="007952B6">
        <w:rPr>
          <w:rFonts w:ascii="Arial" w:hAnsi="Arial" w:cs="Arial"/>
        </w:rPr>
        <w:t>临床研究者。</w:t>
      </w:r>
      <w:r w:rsidRPr="007952B6">
        <w:rPr>
          <w:rFonts w:ascii="Arial" w:hAnsi="Arial" w:cs="Arial"/>
        </w:rPr>
        <w:t>”</w:t>
      </w:r>
      <w:r w:rsidR="00605923">
        <w:rPr>
          <w:rStyle w:val="aa"/>
          <w:rFonts w:ascii="Arial" w:hAnsi="Arial" w:cs="Arial"/>
        </w:rPr>
        <w:footnoteReference w:id="6"/>
      </w:r>
      <w:r w:rsidRPr="007952B6">
        <w:rPr>
          <w:rFonts w:ascii="Arial" w:hAnsi="Arial" w:cs="Arial"/>
        </w:rPr>
        <w:t xml:space="preserve"> FDA</w:t>
      </w:r>
      <w:r w:rsidRPr="007952B6">
        <w:rPr>
          <w:rFonts w:ascii="Arial" w:hAnsi="Arial" w:cs="Arial"/>
        </w:rPr>
        <w:t>新药临床试验申报（</w:t>
      </w:r>
      <w:r w:rsidRPr="007952B6">
        <w:rPr>
          <w:rFonts w:ascii="Arial" w:hAnsi="Arial" w:cs="Arial"/>
        </w:rPr>
        <w:t>IND</w:t>
      </w:r>
      <w:r w:rsidRPr="007952B6">
        <w:rPr>
          <w:rFonts w:ascii="Arial" w:hAnsi="Arial" w:cs="Arial"/>
        </w:rPr>
        <w:t>）研究及美国以外国家和地区的研究机构实施的非</w:t>
      </w:r>
      <w:r w:rsidRPr="007952B6">
        <w:rPr>
          <w:rFonts w:ascii="Arial" w:hAnsi="Arial" w:cs="Arial"/>
        </w:rPr>
        <w:t>IND</w:t>
      </w:r>
      <w:r w:rsidRPr="007952B6">
        <w:rPr>
          <w:rFonts w:ascii="Arial" w:hAnsi="Arial" w:cs="Arial"/>
        </w:rPr>
        <w:t>和非</w:t>
      </w:r>
      <w:r w:rsidRPr="007952B6">
        <w:rPr>
          <w:rFonts w:ascii="Arial" w:hAnsi="Arial" w:cs="Arial"/>
        </w:rPr>
        <w:t>IDE</w:t>
      </w:r>
      <w:r w:rsidRPr="007952B6">
        <w:rPr>
          <w:rFonts w:ascii="Arial" w:hAnsi="Arial" w:cs="Arial"/>
        </w:rPr>
        <w:t>研究。</w:t>
      </w:r>
    </w:p>
    <w:p w:rsidR="00750CBF" w:rsidRPr="007952B6" w:rsidRDefault="00344ADF" w:rsidP="00A45CD1">
      <w:pPr>
        <w:pStyle w:val="3"/>
        <w:overflowPunct w:val="0"/>
        <w:snapToGrid w:val="0"/>
        <w:spacing w:afterLines="50" w:after="120" w:line="300" w:lineRule="auto"/>
        <w:ind w:left="0"/>
        <w:jc w:val="both"/>
        <w:rPr>
          <w:rFonts w:ascii="Arial" w:hAnsi="Arial" w:cs="Arial"/>
          <w:b w:val="0"/>
          <w:bCs w:val="0"/>
          <w:i w:val="0"/>
        </w:rPr>
      </w:pPr>
      <w:r w:rsidRPr="007952B6">
        <w:rPr>
          <w:rFonts w:ascii="Arial" w:hAnsi="Arial" w:cs="Arial"/>
        </w:rPr>
        <w:t>研究药物和</w:t>
      </w:r>
      <w:bookmarkStart w:id="5" w:name="_GoBack"/>
      <w:r w:rsidR="00BC117C">
        <w:rPr>
          <w:rFonts w:ascii="Arial" w:hAnsi="Arial" w:cs="Arial"/>
        </w:rPr>
        <w:t>生物制剂</w:t>
      </w:r>
      <w:bookmarkEnd w:id="5"/>
      <w:r w:rsidRPr="007952B6">
        <w:rPr>
          <w:rFonts w:ascii="Arial" w:hAnsi="Arial" w:cs="Arial"/>
        </w:rPr>
        <w:t>相关的研究</w:t>
      </w:r>
    </w:p>
    <w:p w:rsidR="00750CBF" w:rsidRPr="007952B6" w:rsidRDefault="00344ADF" w:rsidP="00A45CD1">
      <w:pPr>
        <w:pStyle w:val="a3"/>
        <w:overflowPunct w:val="0"/>
        <w:snapToGrid w:val="0"/>
        <w:spacing w:afterLines="50" w:after="120" w:line="300" w:lineRule="auto"/>
        <w:ind w:left="0"/>
        <w:jc w:val="both"/>
        <w:rPr>
          <w:rFonts w:ascii="Arial" w:hAnsi="Arial" w:cs="Arial"/>
        </w:rPr>
      </w:pPr>
      <w:r w:rsidRPr="007952B6">
        <w:rPr>
          <w:rFonts w:ascii="Arial" w:hAnsi="Arial" w:cs="Arial"/>
        </w:rPr>
        <w:t>FDA</w:t>
      </w:r>
      <w:r w:rsidRPr="007952B6">
        <w:rPr>
          <w:rFonts w:ascii="Arial" w:hAnsi="Arial" w:cs="Arial"/>
        </w:rPr>
        <w:t>检查执行新药临床试验申请（</w:t>
      </w:r>
      <w:r w:rsidRPr="007952B6">
        <w:rPr>
          <w:rFonts w:ascii="Arial" w:hAnsi="Arial" w:cs="Arial"/>
        </w:rPr>
        <w:t>IND</w:t>
      </w:r>
      <w:r w:rsidRPr="007952B6">
        <w:rPr>
          <w:rFonts w:ascii="Arial" w:hAnsi="Arial" w:cs="Arial"/>
        </w:rPr>
        <w:t>）、新药上市申请（</w:t>
      </w:r>
      <w:r w:rsidRPr="007952B6">
        <w:rPr>
          <w:rFonts w:ascii="Arial" w:hAnsi="Arial" w:cs="Arial"/>
        </w:rPr>
        <w:t>NDA</w:t>
      </w:r>
      <w:r w:rsidRPr="007952B6">
        <w:rPr>
          <w:rFonts w:ascii="Arial" w:hAnsi="Arial" w:cs="Arial"/>
        </w:rPr>
        <w:t>）或</w:t>
      </w:r>
      <w:r w:rsidR="00BC117C">
        <w:rPr>
          <w:rFonts w:ascii="Arial" w:hAnsi="Arial" w:cs="Arial"/>
        </w:rPr>
        <w:t>生物制剂</w:t>
      </w:r>
      <w:r w:rsidRPr="007952B6">
        <w:rPr>
          <w:rFonts w:ascii="Arial" w:hAnsi="Arial" w:cs="Arial"/>
        </w:rPr>
        <w:t>许可申请（</w:t>
      </w:r>
      <w:r w:rsidRPr="007952B6">
        <w:rPr>
          <w:rFonts w:ascii="Arial" w:hAnsi="Arial" w:cs="Arial"/>
        </w:rPr>
        <w:t>BLA</w:t>
      </w:r>
      <w:r w:rsidRPr="007952B6">
        <w:rPr>
          <w:rFonts w:ascii="Arial" w:hAnsi="Arial" w:cs="Arial"/>
        </w:rPr>
        <w:t>）的国外研究的临床研究者。虽然在美国以外国家和地区进行临床试验的</w:t>
      </w:r>
      <w:r w:rsidR="00C646B3">
        <w:rPr>
          <w:rFonts w:ascii="Arial" w:hAnsi="Arial" w:cs="Arial"/>
        </w:rPr>
        <w:t>申办方</w:t>
      </w:r>
      <w:r w:rsidRPr="007952B6">
        <w:rPr>
          <w:rFonts w:ascii="Arial" w:hAnsi="Arial" w:cs="Arial"/>
        </w:rPr>
        <w:t>不需要提交</w:t>
      </w:r>
      <w:r w:rsidRPr="007952B6">
        <w:rPr>
          <w:rFonts w:ascii="Arial" w:hAnsi="Arial" w:cs="Arial"/>
        </w:rPr>
        <w:t>IND</w:t>
      </w:r>
      <w:r w:rsidRPr="007952B6">
        <w:rPr>
          <w:rFonts w:ascii="Arial" w:hAnsi="Arial" w:cs="Arial"/>
        </w:rPr>
        <w:t>申请，但向</w:t>
      </w:r>
      <w:r w:rsidRPr="007952B6">
        <w:rPr>
          <w:rFonts w:ascii="Arial" w:hAnsi="Arial" w:cs="Arial"/>
        </w:rPr>
        <w:t>FDA</w:t>
      </w:r>
      <w:r w:rsidRPr="007952B6">
        <w:rPr>
          <w:rFonts w:ascii="Arial" w:hAnsi="Arial" w:cs="Arial"/>
        </w:rPr>
        <w:t>提交非</w:t>
      </w:r>
      <w:r w:rsidRPr="007952B6">
        <w:rPr>
          <w:rFonts w:ascii="Arial" w:hAnsi="Arial" w:cs="Arial"/>
        </w:rPr>
        <w:t>IND</w:t>
      </w:r>
      <w:r w:rsidRPr="007952B6">
        <w:rPr>
          <w:rFonts w:ascii="Arial" w:hAnsi="Arial" w:cs="Arial"/>
        </w:rPr>
        <w:t>申请的国外临床研究的</w:t>
      </w:r>
      <w:r w:rsidR="00C646B3">
        <w:rPr>
          <w:rFonts w:ascii="Arial" w:hAnsi="Arial" w:cs="Arial"/>
        </w:rPr>
        <w:t>申办方</w:t>
      </w:r>
      <w:r w:rsidRPr="007952B6">
        <w:rPr>
          <w:rFonts w:ascii="Arial" w:hAnsi="Arial" w:cs="Arial"/>
        </w:rPr>
        <w:t>应遵循</w:t>
      </w:r>
      <w:r w:rsidRPr="007952B6">
        <w:rPr>
          <w:rFonts w:ascii="Arial" w:hAnsi="Arial" w:cs="Arial"/>
        </w:rPr>
        <w:t>21 CFR 312.120</w:t>
      </w:r>
      <w:r w:rsidRPr="007952B6">
        <w:rPr>
          <w:rFonts w:ascii="Arial" w:hAnsi="Arial" w:cs="Arial"/>
        </w:rPr>
        <w:t>的要求。若临床研究者在美国以外的国家和地区进行</w:t>
      </w:r>
      <w:r w:rsidRPr="007952B6">
        <w:rPr>
          <w:rFonts w:ascii="Arial" w:hAnsi="Arial" w:cs="Arial"/>
        </w:rPr>
        <w:t>IND</w:t>
      </w:r>
      <w:r w:rsidRPr="007952B6">
        <w:rPr>
          <w:rFonts w:ascii="Arial" w:hAnsi="Arial" w:cs="Arial"/>
        </w:rPr>
        <w:t>申请研究，则临床研究者应遵循</w:t>
      </w:r>
      <w:r w:rsidRPr="007952B6">
        <w:rPr>
          <w:rFonts w:ascii="Arial" w:hAnsi="Arial" w:cs="Arial"/>
        </w:rPr>
        <w:t>FDA</w:t>
      </w:r>
      <w:r w:rsidRPr="007952B6">
        <w:rPr>
          <w:rFonts w:ascii="Arial" w:hAnsi="Arial" w:cs="Arial"/>
        </w:rPr>
        <w:t>法规，包括</w:t>
      </w:r>
      <w:r w:rsidRPr="007952B6">
        <w:rPr>
          <w:rFonts w:ascii="Arial" w:hAnsi="Arial" w:cs="Arial"/>
        </w:rPr>
        <w:t>21 CFR</w:t>
      </w:r>
      <w:r w:rsidRPr="007952B6">
        <w:rPr>
          <w:rFonts w:ascii="Arial" w:hAnsi="Arial" w:cs="Arial"/>
        </w:rPr>
        <w:t>第</w:t>
      </w:r>
      <w:r w:rsidRPr="007952B6">
        <w:rPr>
          <w:rFonts w:ascii="Arial" w:hAnsi="Arial" w:cs="Arial"/>
        </w:rPr>
        <w:t>50</w:t>
      </w:r>
      <w:r w:rsidRPr="007952B6">
        <w:rPr>
          <w:rFonts w:ascii="Arial" w:hAnsi="Arial" w:cs="Arial"/>
        </w:rPr>
        <w:t>部分、第</w:t>
      </w:r>
      <w:r w:rsidRPr="007952B6">
        <w:rPr>
          <w:rFonts w:ascii="Arial" w:hAnsi="Arial" w:cs="Arial"/>
        </w:rPr>
        <w:t>56</w:t>
      </w:r>
      <w:r w:rsidRPr="007952B6">
        <w:rPr>
          <w:rFonts w:ascii="Arial" w:hAnsi="Arial" w:cs="Arial"/>
        </w:rPr>
        <w:t>部分和第</w:t>
      </w:r>
      <w:r w:rsidRPr="007952B6">
        <w:rPr>
          <w:rFonts w:ascii="Arial" w:hAnsi="Arial" w:cs="Arial"/>
        </w:rPr>
        <w:t>312</w:t>
      </w:r>
      <w:r w:rsidRPr="007952B6">
        <w:rPr>
          <w:rFonts w:ascii="Arial" w:hAnsi="Arial" w:cs="Arial"/>
        </w:rPr>
        <w:t>部分的条款。根据上述第</w:t>
      </w:r>
      <w:r w:rsidRPr="007952B6">
        <w:rPr>
          <w:rFonts w:ascii="Arial" w:hAnsi="Arial" w:cs="Arial"/>
        </w:rPr>
        <w:t>III</w:t>
      </w:r>
      <w:r w:rsidRPr="007952B6">
        <w:rPr>
          <w:rFonts w:ascii="Arial" w:hAnsi="Arial" w:cs="Arial"/>
        </w:rPr>
        <w:t>节所列情况执行检查时，</w:t>
      </w:r>
      <w:r w:rsidRPr="007952B6">
        <w:rPr>
          <w:rFonts w:ascii="Arial" w:hAnsi="Arial" w:cs="Arial"/>
        </w:rPr>
        <w:t>FDA</w:t>
      </w:r>
      <w:r w:rsidRPr="007952B6">
        <w:rPr>
          <w:rFonts w:ascii="Arial" w:hAnsi="Arial" w:cs="Arial"/>
        </w:rPr>
        <w:t>确认数据的真实性、准确性和合规性。</w:t>
      </w:r>
    </w:p>
    <w:p w:rsidR="00750CBF" w:rsidRPr="007952B6" w:rsidRDefault="00344ADF" w:rsidP="00A45CD1">
      <w:pPr>
        <w:pStyle w:val="a3"/>
        <w:overflowPunct w:val="0"/>
        <w:snapToGrid w:val="0"/>
        <w:spacing w:afterLines="50" w:after="120" w:line="300" w:lineRule="auto"/>
        <w:ind w:left="0"/>
        <w:jc w:val="both"/>
        <w:rPr>
          <w:rFonts w:ascii="Arial" w:hAnsi="Arial" w:cs="Arial"/>
        </w:rPr>
      </w:pPr>
      <w:r w:rsidRPr="007952B6">
        <w:rPr>
          <w:rFonts w:ascii="Arial" w:hAnsi="Arial" w:cs="Arial"/>
        </w:rPr>
        <w:t>FDA</w:t>
      </w:r>
      <w:r w:rsidRPr="007952B6">
        <w:rPr>
          <w:rFonts w:ascii="Arial" w:hAnsi="Arial" w:cs="Arial"/>
        </w:rPr>
        <w:t>考虑是否接受用于</w:t>
      </w:r>
      <w:r w:rsidRPr="007952B6">
        <w:rPr>
          <w:rFonts w:ascii="Arial" w:hAnsi="Arial" w:cs="Arial"/>
        </w:rPr>
        <w:t>IND</w:t>
      </w:r>
      <w:r w:rsidRPr="007952B6">
        <w:rPr>
          <w:rFonts w:ascii="Arial" w:hAnsi="Arial" w:cs="Arial"/>
        </w:rPr>
        <w:t>申请、</w:t>
      </w:r>
      <w:r w:rsidRPr="007952B6">
        <w:rPr>
          <w:rFonts w:ascii="Arial" w:hAnsi="Arial" w:cs="Arial"/>
        </w:rPr>
        <w:t>NDA</w:t>
      </w:r>
      <w:r w:rsidRPr="007952B6">
        <w:rPr>
          <w:rFonts w:ascii="Arial" w:hAnsi="Arial" w:cs="Arial"/>
        </w:rPr>
        <w:t>申请或</w:t>
      </w:r>
      <w:r w:rsidRPr="007952B6">
        <w:rPr>
          <w:rFonts w:ascii="Arial" w:hAnsi="Arial" w:cs="Arial"/>
        </w:rPr>
        <w:t>BLA</w:t>
      </w:r>
      <w:r w:rsidRPr="007952B6">
        <w:rPr>
          <w:rFonts w:ascii="Arial" w:hAnsi="Arial" w:cs="Arial"/>
        </w:rPr>
        <w:t>申请的美国以外国家和地区的非</w:t>
      </w:r>
      <w:r w:rsidRPr="007952B6">
        <w:rPr>
          <w:rFonts w:ascii="Arial" w:hAnsi="Arial" w:cs="Arial"/>
        </w:rPr>
        <w:t>IND</w:t>
      </w:r>
      <w:r w:rsidRPr="007952B6">
        <w:rPr>
          <w:rFonts w:ascii="Arial" w:hAnsi="Arial" w:cs="Arial"/>
        </w:rPr>
        <w:t>临床研究时，</w:t>
      </w:r>
      <w:r w:rsidRPr="007952B6">
        <w:rPr>
          <w:rFonts w:ascii="Arial" w:hAnsi="Arial" w:cs="Arial"/>
        </w:rPr>
        <w:t>FDA</w:t>
      </w:r>
      <w:r w:rsidRPr="007952B6">
        <w:rPr>
          <w:rFonts w:ascii="Arial" w:hAnsi="Arial" w:cs="Arial"/>
        </w:rPr>
        <w:t>检查有助于确定研究是否符合</w:t>
      </w:r>
      <w:r w:rsidRPr="007952B6">
        <w:rPr>
          <w:rFonts w:ascii="Arial" w:hAnsi="Arial" w:cs="Arial"/>
        </w:rPr>
        <w:t>21 CFR 312.120</w:t>
      </w:r>
      <w:r w:rsidRPr="007952B6">
        <w:rPr>
          <w:rFonts w:ascii="Arial" w:hAnsi="Arial" w:cs="Arial"/>
        </w:rPr>
        <w:t>的要求。具体而言，检查将评估下列标准是否得到满足：</w:t>
      </w:r>
    </w:p>
    <w:p w:rsidR="00750CBF" w:rsidRPr="007952B6" w:rsidRDefault="00344ADF" w:rsidP="001665E3">
      <w:pPr>
        <w:pStyle w:val="a3"/>
        <w:numPr>
          <w:ilvl w:val="0"/>
          <w:numId w:val="4"/>
        </w:numPr>
        <w:tabs>
          <w:tab w:val="left" w:pos="840"/>
        </w:tabs>
        <w:overflowPunct w:val="0"/>
        <w:snapToGrid w:val="0"/>
        <w:spacing w:afterLines="50" w:after="120" w:line="300" w:lineRule="auto"/>
        <w:ind w:leftChars="100" w:left="577" w:hanging="357"/>
        <w:jc w:val="both"/>
        <w:rPr>
          <w:rFonts w:ascii="Arial" w:hAnsi="Arial" w:cs="Arial"/>
        </w:rPr>
      </w:pPr>
      <w:r w:rsidRPr="007952B6">
        <w:rPr>
          <w:rFonts w:ascii="Arial" w:hAnsi="Arial" w:cs="Arial"/>
        </w:rPr>
        <w:lastRenderedPageBreak/>
        <w:t>研究设计合理，严格实施。</w:t>
      </w:r>
    </w:p>
    <w:p w:rsidR="00750CBF" w:rsidRPr="00605923" w:rsidRDefault="00344ADF" w:rsidP="00605923">
      <w:pPr>
        <w:pStyle w:val="a3"/>
        <w:numPr>
          <w:ilvl w:val="0"/>
          <w:numId w:val="4"/>
        </w:numPr>
        <w:tabs>
          <w:tab w:val="left" w:pos="840"/>
        </w:tabs>
        <w:overflowPunct w:val="0"/>
        <w:snapToGrid w:val="0"/>
        <w:spacing w:afterLines="50" w:after="120" w:line="300" w:lineRule="auto"/>
        <w:ind w:leftChars="100" w:left="577" w:hanging="357"/>
        <w:jc w:val="both"/>
        <w:rPr>
          <w:rFonts w:ascii="Arial" w:hAnsi="Arial" w:cs="Arial"/>
        </w:rPr>
      </w:pPr>
      <w:r w:rsidRPr="00605923">
        <w:rPr>
          <w:rFonts w:ascii="Arial" w:hAnsi="Arial" w:cs="Arial"/>
        </w:rPr>
        <w:t>研究依据良好临床实践（</w:t>
      </w:r>
      <w:r w:rsidRPr="00605923">
        <w:rPr>
          <w:rFonts w:ascii="Arial" w:hAnsi="Arial" w:cs="Arial"/>
        </w:rPr>
        <w:t>GCP</w:t>
      </w:r>
      <w:r w:rsidRPr="00605923">
        <w:rPr>
          <w:rFonts w:ascii="Arial" w:hAnsi="Arial" w:cs="Arial"/>
        </w:rPr>
        <w:t>）（临床试验设计、实施、性能、监查、稽查、记录、分析和报告的标准），以确保报告的数据和结果可靠、准确，且受试者的权利、安全和福祉受到保护。</w:t>
      </w:r>
    </w:p>
    <w:p w:rsidR="00750CBF" w:rsidRPr="007952B6" w:rsidRDefault="00344ADF" w:rsidP="00605923">
      <w:pPr>
        <w:pStyle w:val="a3"/>
        <w:numPr>
          <w:ilvl w:val="0"/>
          <w:numId w:val="4"/>
        </w:numPr>
        <w:tabs>
          <w:tab w:val="left" w:pos="840"/>
        </w:tabs>
        <w:overflowPunct w:val="0"/>
        <w:snapToGrid w:val="0"/>
        <w:spacing w:afterLines="50" w:after="120" w:line="300" w:lineRule="auto"/>
        <w:ind w:leftChars="100" w:left="577" w:hanging="357"/>
        <w:jc w:val="both"/>
        <w:rPr>
          <w:rFonts w:ascii="Arial" w:hAnsi="Arial" w:cs="Arial"/>
        </w:rPr>
      </w:pPr>
      <w:r w:rsidRPr="007952B6">
        <w:rPr>
          <w:rFonts w:ascii="Arial" w:hAnsi="Arial" w:cs="Arial"/>
        </w:rPr>
        <w:t>研究在开始前由独立伦理委员会（</w:t>
      </w:r>
      <w:r w:rsidRPr="007952B6">
        <w:rPr>
          <w:rFonts w:ascii="Arial" w:hAnsi="Arial" w:cs="Arial"/>
        </w:rPr>
        <w:t>IEC</w:t>
      </w:r>
      <w:r w:rsidRPr="007952B6">
        <w:rPr>
          <w:rFonts w:ascii="Arial" w:hAnsi="Arial" w:cs="Arial"/>
        </w:rPr>
        <w:t>）进行审查和批准（或提供有利意见）、</w:t>
      </w:r>
      <w:r w:rsidRPr="007952B6">
        <w:rPr>
          <w:rFonts w:ascii="Arial" w:hAnsi="Arial" w:cs="Arial"/>
        </w:rPr>
        <w:t>IEC</w:t>
      </w:r>
      <w:r w:rsidRPr="007952B6">
        <w:rPr>
          <w:rFonts w:ascii="Arial" w:hAnsi="Arial" w:cs="Arial"/>
        </w:rPr>
        <w:t>持续审查进行中的研究、研究程序开始前记录无偿受试者（或，若受试者无法提供同意，受试者的法定授权代表）知情同意书。</w:t>
      </w:r>
    </w:p>
    <w:p w:rsidR="00750CBF" w:rsidRPr="007952B6" w:rsidRDefault="00344ADF" w:rsidP="00A45CD1">
      <w:pPr>
        <w:pStyle w:val="3"/>
        <w:overflowPunct w:val="0"/>
        <w:snapToGrid w:val="0"/>
        <w:spacing w:afterLines="50" w:after="120" w:line="300" w:lineRule="auto"/>
        <w:ind w:left="0"/>
        <w:jc w:val="both"/>
        <w:rPr>
          <w:rFonts w:ascii="Arial" w:hAnsi="Arial" w:cs="Arial"/>
          <w:b w:val="0"/>
          <w:bCs w:val="0"/>
          <w:i w:val="0"/>
        </w:rPr>
      </w:pPr>
      <w:r w:rsidRPr="007952B6">
        <w:rPr>
          <w:rFonts w:ascii="Arial" w:hAnsi="Arial" w:cs="Arial"/>
        </w:rPr>
        <w:t>研究器械相关的研究</w:t>
      </w:r>
    </w:p>
    <w:p w:rsidR="00750CBF" w:rsidRPr="007952B6" w:rsidRDefault="00344ADF" w:rsidP="00A45CD1">
      <w:pPr>
        <w:pStyle w:val="a3"/>
        <w:overflowPunct w:val="0"/>
        <w:snapToGrid w:val="0"/>
        <w:spacing w:afterLines="50" w:after="120" w:line="300" w:lineRule="auto"/>
        <w:ind w:left="0"/>
        <w:jc w:val="both"/>
        <w:rPr>
          <w:rFonts w:ascii="Arial" w:hAnsi="Arial" w:cs="Arial"/>
        </w:rPr>
      </w:pPr>
      <w:r w:rsidRPr="007952B6">
        <w:rPr>
          <w:rFonts w:ascii="Arial" w:hAnsi="Arial" w:cs="Arial"/>
        </w:rPr>
        <w:t>执行国外研究的临床研究者的</w:t>
      </w:r>
      <w:r w:rsidRPr="007952B6">
        <w:rPr>
          <w:rFonts w:ascii="Arial" w:hAnsi="Arial" w:cs="Arial"/>
        </w:rPr>
        <w:t>FDA</w:t>
      </w:r>
      <w:r w:rsidRPr="007952B6">
        <w:rPr>
          <w:rFonts w:ascii="Arial" w:hAnsi="Arial" w:cs="Arial"/>
        </w:rPr>
        <w:t>检查包括用于上市前审批申请（</w:t>
      </w:r>
      <w:r w:rsidRPr="007952B6">
        <w:rPr>
          <w:rFonts w:ascii="Arial" w:hAnsi="Arial" w:cs="Arial"/>
        </w:rPr>
        <w:t>PMA</w:t>
      </w:r>
      <w:r w:rsidRPr="007952B6">
        <w:rPr>
          <w:rFonts w:ascii="Arial" w:hAnsi="Arial" w:cs="Arial"/>
        </w:rPr>
        <w:t>）或上市前通告（</w:t>
      </w:r>
      <w:r w:rsidRPr="007952B6">
        <w:rPr>
          <w:rFonts w:ascii="Arial" w:hAnsi="Arial" w:cs="Arial"/>
        </w:rPr>
        <w:t>510(k)</w:t>
      </w:r>
      <w:r w:rsidRPr="007952B6">
        <w:rPr>
          <w:rFonts w:ascii="Arial" w:hAnsi="Arial" w:cs="Arial"/>
        </w:rPr>
        <w:t>）提交资料的器械研究。</w:t>
      </w:r>
    </w:p>
    <w:p w:rsidR="00750CBF" w:rsidRPr="007952B6" w:rsidRDefault="00344ADF" w:rsidP="00605923">
      <w:pPr>
        <w:pStyle w:val="a3"/>
        <w:overflowPunct w:val="0"/>
        <w:snapToGrid w:val="0"/>
        <w:spacing w:afterLines="50" w:after="120" w:line="300" w:lineRule="auto"/>
        <w:ind w:left="0"/>
        <w:jc w:val="both"/>
        <w:rPr>
          <w:rFonts w:ascii="Arial" w:hAnsi="Arial" w:cs="Arial"/>
        </w:rPr>
      </w:pPr>
      <w:r w:rsidRPr="007952B6">
        <w:rPr>
          <w:rFonts w:ascii="Arial" w:hAnsi="Arial" w:cs="Arial"/>
        </w:rPr>
        <w:t>对于在美国以外国家和地区进行的器械研究，如果满足特定条件，</w:t>
      </w:r>
      <w:r w:rsidRPr="007952B6">
        <w:rPr>
          <w:rFonts w:ascii="Arial" w:hAnsi="Arial" w:cs="Arial"/>
        </w:rPr>
        <w:t>FDA</w:t>
      </w:r>
      <w:r w:rsidRPr="007952B6">
        <w:rPr>
          <w:rFonts w:ascii="Arial" w:hAnsi="Arial" w:cs="Arial"/>
        </w:rPr>
        <w:t>将接受支持</w:t>
      </w:r>
      <w:r w:rsidRPr="007952B6">
        <w:rPr>
          <w:rFonts w:ascii="Arial" w:hAnsi="Arial" w:cs="Arial"/>
        </w:rPr>
        <w:t>PMA</w:t>
      </w:r>
      <w:r w:rsidRPr="007952B6">
        <w:rPr>
          <w:rFonts w:ascii="Arial" w:hAnsi="Arial" w:cs="Arial"/>
        </w:rPr>
        <w:t>但未依据研究器械豁免（</w:t>
      </w:r>
      <w:r w:rsidRPr="007952B6">
        <w:rPr>
          <w:rFonts w:ascii="Arial" w:hAnsi="Arial" w:cs="Arial"/>
        </w:rPr>
        <w:t>IDE</w:t>
      </w:r>
      <w:r w:rsidRPr="007952B6">
        <w:rPr>
          <w:rFonts w:ascii="Arial" w:hAnsi="Arial" w:cs="Arial"/>
        </w:rPr>
        <w:t>）条款实施的研究。</w:t>
      </w:r>
      <w:r w:rsidRPr="007952B6">
        <w:rPr>
          <w:rFonts w:ascii="Arial" w:hAnsi="Arial" w:cs="Arial"/>
        </w:rPr>
        <w:t>FDA</w:t>
      </w:r>
      <w:r w:rsidRPr="007952B6">
        <w:rPr>
          <w:rFonts w:ascii="Arial" w:hAnsi="Arial" w:cs="Arial"/>
        </w:rPr>
        <w:t>检查有助于确定研究是否按照</w:t>
      </w:r>
      <w:r w:rsidRPr="007952B6">
        <w:rPr>
          <w:rFonts w:ascii="Arial" w:hAnsi="Arial" w:cs="Arial"/>
        </w:rPr>
        <w:t xml:space="preserve">21 CFR </w:t>
      </w:r>
      <w:r w:rsidR="00605923">
        <w:rPr>
          <w:rFonts w:ascii="Arial" w:hAnsi="Arial" w:cs="Arial" w:hint="eastAsia"/>
        </w:rPr>
        <w:t>814.15</w:t>
      </w:r>
      <w:r w:rsidRPr="007952B6">
        <w:rPr>
          <w:rFonts w:ascii="Arial" w:hAnsi="Arial" w:cs="Arial"/>
        </w:rPr>
        <w:t>进行。具体而言，检查将评估下列标准是否得到满足：</w:t>
      </w:r>
    </w:p>
    <w:p w:rsidR="00750CBF" w:rsidRPr="007952B6" w:rsidRDefault="00344ADF" w:rsidP="00605923">
      <w:pPr>
        <w:pStyle w:val="a3"/>
        <w:numPr>
          <w:ilvl w:val="2"/>
          <w:numId w:val="3"/>
        </w:numPr>
        <w:tabs>
          <w:tab w:val="left" w:pos="1199"/>
          <w:tab w:val="left" w:pos="1200"/>
        </w:tabs>
        <w:overflowPunct w:val="0"/>
        <w:snapToGrid w:val="0"/>
        <w:spacing w:afterLines="50" w:after="120" w:line="300" w:lineRule="auto"/>
        <w:ind w:leftChars="200" w:left="797" w:hanging="357"/>
        <w:jc w:val="both"/>
        <w:rPr>
          <w:rFonts w:ascii="Arial" w:hAnsi="Arial" w:cs="Arial"/>
        </w:rPr>
      </w:pPr>
      <w:r w:rsidRPr="007952B6">
        <w:rPr>
          <w:rFonts w:ascii="Arial" w:hAnsi="Arial" w:cs="Arial"/>
        </w:rPr>
        <w:t>数据有效；及</w:t>
      </w:r>
    </w:p>
    <w:p w:rsidR="00750CBF" w:rsidRPr="007952B6" w:rsidRDefault="00344ADF" w:rsidP="00605923">
      <w:pPr>
        <w:pStyle w:val="a3"/>
        <w:numPr>
          <w:ilvl w:val="2"/>
          <w:numId w:val="3"/>
        </w:numPr>
        <w:tabs>
          <w:tab w:val="left" w:pos="1199"/>
          <w:tab w:val="left" w:pos="1200"/>
        </w:tabs>
        <w:overflowPunct w:val="0"/>
        <w:snapToGrid w:val="0"/>
        <w:spacing w:afterLines="50" w:after="120" w:line="300" w:lineRule="auto"/>
        <w:ind w:leftChars="200" w:left="797" w:hanging="357"/>
        <w:jc w:val="both"/>
        <w:rPr>
          <w:rFonts w:ascii="Arial" w:hAnsi="Arial" w:cs="Arial"/>
        </w:rPr>
      </w:pPr>
      <w:r w:rsidRPr="007952B6">
        <w:rPr>
          <w:rFonts w:ascii="Arial" w:hAnsi="Arial" w:cs="Arial"/>
        </w:rPr>
        <w:t>研究按照《赫尔辛基宣言》</w:t>
      </w:r>
      <w:r w:rsidR="00605923">
        <w:rPr>
          <w:rStyle w:val="aa"/>
          <w:rFonts w:ascii="Arial" w:hAnsi="Arial" w:cs="Arial"/>
        </w:rPr>
        <w:footnoteReference w:id="7"/>
      </w:r>
      <w:r w:rsidRPr="007952B6">
        <w:rPr>
          <w:rFonts w:ascii="Arial" w:hAnsi="Arial" w:cs="Arial"/>
        </w:rPr>
        <w:t>或</w:t>
      </w:r>
      <w:hyperlink w:anchor="_bookmark6" w:history="1"/>
      <w:r w:rsidRPr="007952B6">
        <w:rPr>
          <w:rFonts w:ascii="Arial" w:hAnsi="Arial" w:cs="Arial"/>
        </w:rPr>
        <w:t>研究所在国家的法律和法规进行，以二者中给人类受试者提供更大保护的为准。</w:t>
      </w:r>
    </w:p>
    <w:p w:rsidR="00750CBF" w:rsidRPr="007952B6" w:rsidRDefault="00344ADF" w:rsidP="00A45CD1">
      <w:pPr>
        <w:pStyle w:val="a3"/>
        <w:overflowPunct w:val="0"/>
        <w:snapToGrid w:val="0"/>
        <w:spacing w:afterLines="50" w:after="120" w:line="300" w:lineRule="auto"/>
        <w:ind w:left="0"/>
        <w:jc w:val="both"/>
        <w:rPr>
          <w:rFonts w:ascii="Arial" w:hAnsi="Arial" w:cs="Arial"/>
        </w:rPr>
      </w:pPr>
      <w:r w:rsidRPr="007952B6">
        <w:rPr>
          <w:rFonts w:ascii="Arial" w:hAnsi="Arial" w:cs="Arial"/>
        </w:rPr>
        <w:t>根据上述第</w:t>
      </w:r>
      <w:r w:rsidRPr="007952B6">
        <w:rPr>
          <w:rFonts w:ascii="Arial" w:hAnsi="Arial" w:cs="Arial"/>
        </w:rPr>
        <w:t>III</w:t>
      </w:r>
      <w:r w:rsidRPr="007952B6">
        <w:rPr>
          <w:rFonts w:ascii="Arial" w:hAnsi="Arial" w:cs="Arial"/>
        </w:rPr>
        <w:t>节所列情况执行检查时，</w:t>
      </w:r>
      <w:r w:rsidRPr="007952B6">
        <w:rPr>
          <w:rFonts w:ascii="Arial" w:hAnsi="Arial" w:cs="Arial"/>
        </w:rPr>
        <w:t>FDA</w:t>
      </w:r>
      <w:r w:rsidRPr="007952B6">
        <w:rPr>
          <w:rFonts w:ascii="Arial" w:hAnsi="Arial" w:cs="Arial"/>
        </w:rPr>
        <w:t>确认数据的真实性、准确性和合规性。</w:t>
      </w:r>
      <w:r w:rsidRPr="007952B6">
        <w:rPr>
          <w:rFonts w:ascii="Arial" w:hAnsi="Arial" w:cs="Arial"/>
        </w:rPr>
        <w:t>FDA</w:t>
      </w:r>
      <w:r w:rsidRPr="007952B6">
        <w:rPr>
          <w:rFonts w:ascii="Arial" w:hAnsi="Arial" w:cs="Arial"/>
        </w:rPr>
        <w:t>调查员可要求有关研究是否依据美国以外国家和地区的法律法规和</w:t>
      </w:r>
      <w:r w:rsidRPr="007952B6">
        <w:rPr>
          <w:rFonts w:ascii="Arial" w:hAnsi="Arial" w:cs="Arial"/>
        </w:rPr>
        <w:t>/</w:t>
      </w:r>
      <w:r w:rsidRPr="007952B6">
        <w:rPr>
          <w:rFonts w:ascii="Arial" w:hAnsi="Arial" w:cs="Arial"/>
        </w:rPr>
        <w:t>或《赫尔辛基宣言》（以二者中给人类受试者提供更大保护的为准）进行的记录。</w:t>
      </w:r>
    </w:p>
    <w:p w:rsidR="00750CBF" w:rsidRPr="00605923" w:rsidRDefault="00344ADF" w:rsidP="00605923">
      <w:pPr>
        <w:pStyle w:val="2"/>
        <w:numPr>
          <w:ilvl w:val="0"/>
          <w:numId w:val="7"/>
        </w:numPr>
        <w:tabs>
          <w:tab w:val="left" w:pos="742"/>
        </w:tabs>
        <w:overflowPunct w:val="0"/>
        <w:snapToGrid w:val="0"/>
        <w:spacing w:afterLines="50" w:after="120" w:line="300" w:lineRule="auto"/>
        <w:ind w:left="720"/>
        <w:jc w:val="both"/>
        <w:rPr>
          <w:rFonts w:ascii="Arial" w:hAnsi="Arial" w:cs="Arial"/>
          <w:sz w:val="32"/>
          <w:szCs w:val="32"/>
        </w:rPr>
      </w:pPr>
      <w:bookmarkStart w:id="6" w:name="VI._WHAT_HAPPENS_AFTER_AN_INSPECTION?_"/>
      <w:bookmarkEnd w:id="6"/>
      <w:r w:rsidRPr="00605923">
        <w:rPr>
          <w:rFonts w:ascii="Arial" w:hAnsi="Arial" w:cs="Arial"/>
          <w:sz w:val="32"/>
          <w:szCs w:val="32"/>
        </w:rPr>
        <w:t>检查完成后应做什么？</w:t>
      </w:r>
    </w:p>
    <w:p w:rsidR="00750CBF" w:rsidRPr="007952B6" w:rsidRDefault="00344ADF" w:rsidP="00A45CD1">
      <w:pPr>
        <w:pStyle w:val="a3"/>
        <w:overflowPunct w:val="0"/>
        <w:snapToGrid w:val="0"/>
        <w:spacing w:afterLines="50" w:after="120" w:line="300" w:lineRule="auto"/>
        <w:ind w:left="0"/>
        <w:jc w:val="both"/>
        <w:rPr>
          <w:rFonts w:ascii="Arial" w:hAnsi="Arial" w:cs="Arial"/>
        </w:rPr>
      </w:pPr>
      <w:r w:rsidRPr="007952B6">
        <w:rPr>
          <w:rFonts w:ascii="Arial" w:hAnsi="Arial" w:cs="Arial"/>
        </w:rPr>
        <w:t>检查结束时，</w:t>
      </w:r>
      <w:r w:rsidRPr="007952B6">
        <w:rPr>
          <w:rFonts w:ascii="Arial" w:hAnsi="Arial" w:cs="Arial"/>
        </w:rPr>
        <w:t>FDA</w:t>
      </w:r>
      <w:r w:rsidRPr="007952B6">
        <w:rPr>
          <w:rFonts w:ascii="Arial" w:hAnsi="Arial" w:cs="Arial"/>
        </w:rPr>
        <w:t>调查员与临床研究者和</w:t>
      </w:r>
      <w:r w:rsidRPr="007952B6">
        <w:rPr>
          <w:rFonts w:ascii="Arial" w:hAnsi="Arial" w:cs="Arial"/>
        </w:rPr>
        <w:t>/</w:t>
      </w:r>
      <w:r w:rsidRPr="007952B6">
        <w:rPr>
          <w:rFonts w:ascii="Arial" w:hAnsi="Arial" w:cs="Arial"/>
        </w:rPr>
        <w:t>或他的</w:t>
      </w:r>
      <w:r w:rsidRPr="007952B6">
        <w:rPr>
          <w:rFonts w:ascii="Arial" w:hAnsi="Arial" w:cs="Arial"/>
        </w:rPr>
        <w:t>/</w:t>
      </w:r>
      <w:r w:rsidRPr="007952B6">
        <w:rPr>
          <w:rFonts w:ascii="Arial" w:hAnsi="Arial" w:cs="Arial"/>
        </w:rPr>
        <w:t>她的代表进行总结面谈。面谈期间，</w:t>
      </w:r>
      <w:r w:rsidRPr="007952B6">
        <w:rPr>
          <w:rFonts w:ascii="Arial" w:hAnsi="Arial" w:cs="Arial"/>
        </w:rPr>
        <w:t>FDA</w:t>
      </w:r>
      <w:r w:rsidRPr="007952B6">
        <w:rPr>
          <w:rFonts w:ascii="Arial" w:hAnsi="Arial" w:cs="Arial"/>
        </w:rPr>
        <w:t>调查员审查并讨论检查意见，如果发现缺陷，向临床研究者或他的</w:t>
      </w:r>
      <w:r w:rsidRPr="007952B6">
        <w:rPr>
          <w:rFonts w:ascii="Arial" w:hAnsi="Arial" w:cs="Arial"/>
        </w:rPr>
        <w:t>/</w:t>
      </w:r>
      <w:r w:rsidRPr="007952B6">
        <w:rPr>
          <w:rFonts w:ascii="Arial" w:hAnsi="Arial" w:cs="Arial"/>
        </w:rPr>
        <w:t>她的代表发出书面</w:t>
      </w:r>
      <w:r w:rsidRPr="007952B6">
        <w:rPr>
          <w:rFonts w:ascii="Arial" w:hAnsi="Arial" w:cs="Arial"/>
        </w:rPr>
        <w:t>FDA 483</w:t>
      </w:r>
      <w:r w:rsidRPr="007952B6">
        <w:rPr>
          <w:rFonts w:ascii="Arial" w:hAnsi="Arial" w:cs="Arial"/>
        </w:rPr>
        <w:t>表格（检查意见；</w:t>
      </w:r>
      <w:r w:rsidRPr="007952B6">
        <w:rPr>
          <w:rFonts w:ascii="Arial" w:hAnsi="Arial" w:cs="Arial"/>
        </w:rPr>
        <w:t>483</w:t>
      </w:r>
      <w:r w:rsidRPr="007952B6">
        <w:rPr>
          <w:rFonts w:ascii="Arial" w:hAnsi="Arial" w:cs="Arial"/>
        </w:rPr>
        <w:t>）。</w:t>
      </w:r>
      <w:r w:rsidRPr="007952B6">
        <w:rPr>
          <w:rFonts w:ascii="Arial" w:hAnsi="Arial" w:cs="Arial"/>
        </w:rPr>
        <w:t>483</w:t>
      </w:r>
      <w:r w:rsidRPr="007952B6">
        <w:rPr>
          <w:rFonts w:ascii="Arial" w:hAnsi="Arial" w:cs="Arial"/>
        </w:rPr>
        <w:t>表格描述</w:t>
      </w:r>
      <w:r w:rsidRPr="007952B6">
        <w:rPr>
          <w:rFonts w:ascii="Arial" w:hAnsi="Arial" w:cs="Arial"/>
        </w:rPr>
        <w:t>FDA</w:t>
      </w:r>
      <w:r w:rsidRPr="007952B6">
        <w:rPr>
          <w:rFonts w:ascii="Arial" w:hAnsi="Arial" w:cs="Arial"/>
        </w:rPr>
        <w:t>调查者认为代表适用法律和法规偏离情况的检查意见。</w:t>
      </w:r>
    </w:p>
    <w:p w:rsidR="00750CBF" w:rsidRPr="007952B6" w:rsidRDefault="00344ADF" w:rsidP="00A45CD1">
      <w:pPr>
        <w:pStyle w:val="a3"/>
        <w:overflowPunct w:val="0"/>
        <w:snapToGrid w:val="0"/>
        <w:spacing w:afterLines="50" w:after="120" w:line="300" w:lineRule="auto"/>
        <w:ind w:left="0"/>
        <w:jc w:val="both"/>
        <w:rPr>
          <w:rFonts w:ascii="Arial" w:hAnsi="Arial" w:cs="Arial"/>
        </w:rPr>
      </w:pPr>
      <w:r w:rsidRPr="007952B6">
        <w:rPr>
          <w:rFonts w:ascii="Arial" w:hAnsi="Arial" w:cs="Arial"/>
        </w:rPr>
        <w:t>FDA</w:t>
      </w:r>
      <w:r w:rsidRPr="007952B6">
        <w:rPr>
          <w:rFonts w:ascii="Arial" w:hAnsi="Arial" w:cs="Arial"/>
        </w:rPr>
        <w:t>调查员在临床研究者检查期间发现的一些常见缺陷包括：</w:t>
      </w:r>
    </w:p>
    <w:p w:rsidR="00750CBF" w:rsidRPr="007952B6" w:rsidRDefault="00344ADF" w:rsidP="00E03171">
      <w:pPr>
        <w:pStyle w:val="a3"/>
        <w:numPr>
          <w:ilvl w:val="0"/>
          <w:numId w:val="2"/>
        </w:numPr>
        <w:tabs>
          <w:tab w:val="left" w:pos="1380"/>
        </w:tabs>
        <w:overflowPunct w:val="0"/>
        <w:snapToGrid w:val="0"/>
        <w:spacing w:afterLines="50" w:after="120" w:line="300" w:lineRule="auto"/>
        <w:ind w:leftChars="200" w:left="797" w:hanging="357"/>
        <w:jc w:val="both"/>
        <w:rPr>
          <w:rFonts w:ascii="Arial" w:hAnsi="Arial" w:cs="Arial"/>
        </w:rPr>
      </w:pPr>
      <w:r w:rsidRPr="007952B6">
        <w:rPr>
          <w:rFonts w:ascii="Arial" w:hAnsi="Arial" w:cs="Arial"/>
        </w:rPr>
        <w:t>未能遵循研究计划和签署的研究者声明</w:t>
      </w:r>
      <w:r w:rsidRPr="007952B6">
        <w:rPr>
          <w:rFonts w:ascii="Arial" w:hAnsi="Arial" w:cs="Arial"/>
        </w:rPr>
        <w:t>/</w:t>
      </w:r>
      <w:r w:rsidRPr="007952B6">
        <w:rPr>
          <w:rFonts w:ascii="Arial" w:hAnsi="Arial" w:cs="Arial"/>
        </w:rPr>
        <w:t>协议（例如，未能按照有关的现行</w:t>
      </w:r>
      <w:r w:rsidRPr="007952B6">
        <w:rPr>
          <w:rFonts w:ascii="Arial" w:hAnsi="Arial" w:cs="Arial"/>
        </w:rPr>
        <w:lastRenderedPageBreak/>
        <w:t>方案进行研究或监督）。请参见</w:t>
      </w:r>
      <w:r w:rsidRPr="007952B6">
        <w:rPr>
          <w:rFonts w:ascii="Arial" w:hAnsi="Arial" w:cs="Arial"/>
        </w:rPr>
        <w:t xml:space="preserve"> 21 CFR 312.60 </w:t>
      </w:r>
      <w:r w:rsidRPr="007952B6">
        <w:rPr>
          <w:rFonts w:ascii="Arial" w:hAnsi="Arial" w:cs="Arial"/>
        </w:rPr>
        <w:t>和</w:t>
      </w:r>
      <w:r w:rsidRPr="007952B6">
        <w:rPr>
          <w:rFonts w:ascii="Arial" w:hAnsi="Arial" w:cs="Arial"/>
        </w:rPr>
        <w:t xml:space="preserve"> 812.110(b)</w:t>
      </w:r>
      <w:r w:rsidRPr="007952B6">
        <w:rPr>
          <w:rFonts w:ascii="Arial" w:hAnsi="Arial" w:cs="Arial"/>
        </w:rPr>
        <w:t>。</w:t>
      </w:r>
    </w:p>
    <w:p w:rsidR="00750CBF" w:rsidRPr="007952B6" w:rsidRDefault="00344ADF" w:rsidP="00E03171">
      <w:pPr>
        <w:pStyle w:val="a3"/>
        <w:numPr>
          <w:ilvl w:val="0"/>
          <w:numId w:val="2"/>
        </w:numPr>
        <w:tabs>
          <w:tab w:val="left" w:pos="1380"/>
        </w:tabs>
        <w:overflowPunct w:val="0"/>
        <w:snapToGrid w:val="0"/>
        <w:spacing w:afterLines="50" w:after="120" w:line="300" w:lineRule="auto"/>
        <w:ind w:leftChars="200" w:left="797" w:hanging="357"/>
        <w:jc w:val="both"/>
        <w:rPr>
          <w:rFonts w:ascii="Arial" w:hAnsi="Arial" w:cs="Arial"/>
        </w:rPr>
      </w:pPr>
      <w:r w:rsidRPr="007952B6">
        <w:rPr>
          <w:rFonts w:ascii="Arial" w:hAnsi="Arial" w:cs="Arial"/>
        </w:rPr>
        <w:t>方案偏离（例如，未能正确记录和报告医学上必要的方案偏离）。请参见</w:t>
      </w:r>
      <w:r w:rsidRPr="007952B6">
        <w:rPr>
          <w:rFonts w:ascii="Arial" w:hAnsi="Arial" w:cs="Arial"/>
        </w:rPr>
        <w:t xml:space="preserve"> 21 CFR 312.66 </w:t>
      </w:r>
      <w:r w:rsidRPr="007952B6">
        <w:rPr>
          <w:rFonts w:ascii="Arial" w:hAnsi="Arial" w:cs="Arial"/>
        </w:rPr>
        <w:t>和</w:t>
      </w:r>
      <w:r w:rsidRPr="007952B6">
        <w:rPr>
          <w:rFonts w:ascii="Arial" w:hAnsi="Arial" w:cs="Arial"/>
        </w:rPr>
        <w:t xml:space="preserve"> 812.150(a)(4)</w:t>
      </w:r>
      <w:r w:rsidRPr="007952B6">
        <w:rPr>
          <w:rFonts w:ascii="Arial" w:hAnsi="Arial" w:cs="Arial"/>
        </w:rPr>
        <w:t>。</w:t>
      </w:r>
    </w:p>
    <w:p w:rsidR="00750CBF" w:rsidRPr="007952B6" w:rsidRDefault="00344ADF" w:rsidP="00E03171">
      <w:pPr>
        <w:pStyle w:val="a3"/>
        <w:numPr>
          <w:ilvl w:val="0"/>
          <w:numId w:val="2"/>
        </w:numPr>
        <w:tabs>
          <w:tab w:val="left" w:pos="1380"/>
        </w:tabs>
        <w:overflowPunct w:val="0"/>
        <w:snapToGrid w:val="0"/>
        <w:spacing w:afterLines="50" w:after="120" w:line="300" w:lineRule="auto"/>
        <w:ind w:leftChars="200" w:left="797" w:hanging="357"/>
        <w:jc w:val="both"/>
        <w:rPr>
          <w:rFonts w:ascii="Arial" w:hAnsi="Arial" w:cs="Arial"/>
        </w:rPr>
      </w:pPr>
      <w:r w:rsidRPr="007952B6">
        <w:rPr>
          <w:rFonts w:ascii="Arial" w:hAnsi="Arial" w:cs="Arial"/>
        </w:rPr>
        <w:t>记录不充分。请参见</w:t>
      </w:r>
      <w:r w:rsidRPr="007952B6">
        <w:rPr>
          <w:rFonts w:ascii="Arial" w:hAnsi="Arial" w:cs="Arial"/>
        </w:rPr>
        <w:t xml:space="preserve"> 21 CFR 312.62 </w:t>
      </w:r>
      <w:r w:rsidRPr="007952B6">
        <w:rPr>
          <w:rFonts w:ascii="Arial" w:hAnsi="Arial" w:cs="Arial"/>
        </w:rPr>
        <w:t>和</w:t>
      </w:r>
      <w:r w:rsidRPr="007952B6">
        <w:rPr>
          <w:rFonts w:ascii="Arial" w:hAnsi="Arial" w:cs="Arial"/>
        </w:rPr>
        <w:t xml:space="preserve"> 812.140(a)</w:t>
      </w:r>
      <w:r w:rsidRPr="007952B6">
        <w:rPr>
          <w:rFonts w:ascii="Arial" w:hAnsi="Arial" w:cs="Arial"/>
        </w:rPr>
        <w:t>。</w:t>
      </w:r>
    </w:p>
    <w:p w:rsidR="00750CBF" w:rsidRPr="007952B6" w:rsidRDefault="00344ADF" w:rsidP="00E03171">
      <w:pPr>
        <w:pStyle w:val="a3"/>
        <w:numPr>
          <w:ilvl w:val="0"/>
          <w:numId w:val="2"/>
        </w:numPr>
        <w:tabs>
          <w:tab w:val="left" w:pos="1380"/>
        </w:tabs>
        <w:overflowPunct w:val="0"/>
        <w:snapToGrid w:val="0"/>
        <w:spacing w:afterLines="50" w:after="120" w:line="300" w:lineRule="auto"/>
        <w:ind w:leftChars="200" w:left="797" w:hanging="357"/>
        <w:jc w:val="both"/>
        <w:rPr>
          <w:rFonts w:ascii="Arial" w:hAnsi="Arial" w:cs="Arial"/>
        </w:rPr>
      </w:pPr>
      <w:r w:rsidRPr="007952B6">
        <w:rPr>
          <w:rFonts w:ascii="Arial" w:hAnsi="Arial" w:cs="Arial"/>
        </w:rPr>
        <w:t>研究产品的问责不充分。请参见</w:t>
      </w:r>
      <w:r w:rsidRPr="007952B6">
        <w:rPr>
          <w:rFonts w:ascii="Arial" w:hAnsi="Arial" w:cs="Arial"/>
        </w:rPr>
        <w:t xml:space="preserve"> 21 CFR 312.62(a)</w:t>
      </w:r>
      <w:r w:rsidRPr="007952B6">
        <w:rPr>
          <w:rFonts w:ascii="Arial" w:hAnsi="Arial" w:cs="Arial"/>
        </w:rPr>
        <w:t>和</w:t>
      </w:r>
      <w:r w:rsidRPr="007952B6">
        <w:rPr>
          <w:rFonts w:ascii="Arial" w:hAnsi="Arial" w:cs="Arial"/>
        </w:rPr>
        <w:t xml:space="preserve"> 812.140(a)(2)</w:t>
      </w:r>
      <w:r w:rsidRPr="007952B6">
        <w:rPr>
          <w:rFonts w:ascii="Arial" w:hAnsi="Arial" w:cs="Arial"/>
        </w:rPr>
        <w:t>。</w:t>
      </w:r>
    </w:p>
    <w:p w:rsidR="00750CBF" w:rsidRPr="007952B6" w:rsidRDefault="00344ADF" w:rsidP="00E03171">
      <w:pPr>
        <w:pStyle w:val="a3"/>
        <w:numPr>
          <w:ilvl w:val="0"/>
          <w:numId w:val="2"/>
        </w:numPr>
        <w:tabs>
          <w:tab w:val="left" w:pos="1380"/>
        </w:tabs>
        <w:overflowPunct w:val="0"/>
        <w:snapToGrid w:val="0"/>
        <w:spacing w:afterLines="50" w:after="120" w:line="300" w:lineRule="auto"/>
        <w:ind w:leftChars="200" w:left="797" w:hanging="357"/>
        <w:jc w:val="both"/>
        <w:rPr>
          <w:rFonts w:ascii="Arial" w:hAnsi="Arial" w:cs="Arial"/>
        </w:rPr>
      </w:pPr>
      <w:r w:rsidRPr="007952B6">
        <w:rPr>
          <w:rFonts w:ascii="Arial" w:hAnsi="Arial" w:cs="Arial"/>
        </w:rPr>
        <w:t>受试者保护不充分，包括知情同意书问题。请参见</w:t>
      </w:r>
      <w:r w:rsidRPr="007952B6">
        <w:rPr>
          <w:rFonts w:ascii="Arial" w:hAnsi="Arial" w:cs="Arial"/>
        </w:rPr>
        <w:t xml:space="preserve"> 21 CFR 50</w:t>
      </w:r>
      <w:r w:rsidRPr="007952B6">
        <w:rPr>
          <w:rFonts w:ascii="Arial" w:hAnsi="Arial" w:cs="Arial"/>
        </w:rPr>
        <w:t>、</w:t>
      </w:r>
      <w:r w:rsidRPr="007952B6">
        <w:rPr>
          <w:rFonts w:ascii="Arial" w:hAnsi="Arial" w:cs="Arial"/>
        </w:rPr>
        <w:t xml:space="preserve"> 312.60</w:t>
      </w:r>
      <w:r w:rsidRPr="007952B6">
        <w:rPr>
          <w:rFonts w:ascii="Arial" w:hAnsi="Arial" w:cs="Arial"/>
        </w:rPr>
        <w:t>和</w:t>
      </w:r>
      <w:r w:rsidRPr="007952B6">
        <w:rPr>
          <w:rFonts w:ascii="Arial" w:hAnsi="Arial" w:cs="Arial"/>
        </w:rPr>
        <w:t>812.100</w:t>
      </w:r>
      <w:r w:rsidRPr="007952B6">
        <w:rPr>
          <w:rFonts w:ascii="Arial" w:hAnsi="Arial" w:cs="Arial"/>
        </w:rPr>
        <w:t>。</w:t>
      </w:r>
    </w:p>
    <w:p w:rsidR="00750CBF" w:rsidRPr="007952B6" w:rsidRDefault="00344ADF" w:rsidP="00E03171">
      <w:pPr>
        <w:pStyle w:val="a3"/>
        <w:overflowPunct w:val="0"/>
        <w:snapToGrid w:val="0"/>
        <w:spacing w:afterLines="50" w:after="120" w:line="300" w:lineRule="auto"/>
        <w:ind w:left="0"/>
        <w:rPr>
          <w:rFonts w:ascii="Arial" w:hAnsi="Arial" w:cs="Arial"/>
        </w:rPr>
      </w:pPr>
      <w:r w:rsidRPr="007952B6">
        <w:rPr>
          <w:rFonts w:ascii="Arial" w:hAnsi="Arial" w:cs="Arial"/>
        </w:rPr>
        <w:t>临床研究者可在总结面谈时回复</w:t>
      </w:r>
      <w:r w:rsidRPr="007952B6">
        <w:rPr>
          <w:rFonts w:ascii="Arial" w:hAnsi="Arial" w:cs="Arial"/>
        </w:rPr>
        <w:t>483</w:t>
      </w:r>
      <w:r w:rsidRPr="007952B6">
        <w:rPr>
          <w:rFonts w:ascii="Arial" w:hAnsi="Arial" w:cs="Arial"/>
        </w:rPr>
        <w:t>意见，和</w:t>
      </w:r>
      <w:r w:rsidRPr="007952B6">
        <w:rPr>
          <w:rFonts w:ascii="Arial" w:hAnsi="Arial" w:cs="Arial"/>
        </w:rPr>
        <w:t>/</w:t>
      </w:r>
      <w:r w:rsidRPr="007952B6">
        <w:rPr>
          <w:rFonts w:ascii="Arial" w:hAnsi="Arial" w:cs="Arial"/>
        </w:rPr>
        <w:t>或在检查后以书面形式回复。如果临床研究者选择书面答复</w:t>
      </w:r>
      <w:r w:rsidRPr="007952B6">
        <w:rPr>
          <w:rFonts w:ascii="Arial" w:hAnsi="Arial" w:cs="Arial"/>
        </w:rPr>
        <w:t>483</w:t>
      </w:r>
      <w:r w:rsidRPr="007952B6">
        <w:rPr>
          <w:rFonts w:ascii="Arial" w:hAnsi="Arial" w:cs="Arial"/>
        </w:rPr>
        <w:t>列出的缺陷，则应直接向</w:t>
      </w:r>
      <w:r w:rsidRPr="007952B6">
        <w:rPr>
          <w:rFonts w:ascii="Arial" w:hAnsi="Arial" w:cs="Arial"/>
        </w:rPr>
        <w:t>483</w:t>
      </w:r>
      <w:r w:rsidRPr="007952B6">
        <w:rPr>
          <w:rFonts w:ascii="Arial" w:hAnsi="Arial" w:cs="Arial"/>
        </w:rPr>
        <w:t>左上角列出的</w:t>
      </w:r>
      <w:r w:rsidRPr="007952B6">
        <w:rPr>
          <w:rFonts w:ascii="Arial" w:hAnsi="Arial" w:cs="Arial"/>
        </w:rPr>
        <w:t>FDA</w:t>
      </w:r>
      <w:r w:rsidRPr="007952B6">
        <w:rPr>
          <w:rFonts w:ascii="Arial" w:hAnsi="Arial" w:cs="Arial"/>
        </w:rPr>
        <w:t>地区办事处作出答复。</w:t>
      </w:r>
      <w:r w:rsidR="00E03171">
        <w:rPr>
          <w:rStyle w:val="aa"/>
          <w:rFonts w:ascii="Arial" w:hAnsi="Arial" w:cs="Arial"/>
        </w:rPr>
        <w:footnoteReference w:id="8"/>
      </w:r>
      <w:r w:rsidRPr="007952B6">
        <w:rPr>
          <w:rFonts w:ascii="Arial" w:hAnsi="Arial" w:cs="Arial"/>
        </w:rPr>
        <w:t>(FDA</w:t>
      </w:r>
      <w:r w:rsidRPr="007952B6">
        <w:rPr>
          <w:rFonts w:ascii="Arial" w:hAnsi="Arial" w:cs="Arial"/>
        </w:rPr>
        <w:t>网站列出了</w:t>
      </w:r>
      <w:r w:rsidRPr="007952B6">
        <w:rPr>
          <w:rFonts w:ascii="Arial" w:hAnsi="Arial" w:cs="Arial"/>
        </w:rPr>
        <w:t>FDA</w:t>
      </w:r>
      <w:r w:rsidRPr="007952B6">
        <w:rPr>
          <w:rFonts w:ascii="Arial" w:hAnsi="Arial" w:cs="Arial"/>
        </w:rPr>
        <w:t>地区办事处</w:t>
      </w:r>
      <w:r w:rsidRPr="007952B6">
        <w:rPr>
          <w:rFonts w:ascii="Arial" w:hAnsi="Arial" w:cs="Arial"/>
        </w:rPr>
        <w:t>(</w:t>
      </w:r>
      <w:hyperlink r:id="rId9">
        <w:r w:rsidRPr="007952B6">
          <w:rPr>
            <w:rFonts w:ascii="Arial" w:hAnsi="Arial" w:cs="Arial"/>
            <w:color w:val="0000FF"/>
            <w:u w:val="single" w:color="0000FF"/>
          </w:rPr>
          <w:t>http://www.fda.gov/ICECI/Inspections/IOM/ucm124008.htm</w:t>
        </w:r>
      </w:hyperlink>
      <w:r w:rsidRPr="007952B6">
        <w:rPr>
          <w:rFonts w:ascii="Arial" w:hAnsi="Arial" w:cs="Arial"/>
        </w:rPr>
        <w:t>)).</w:t>
      </w:r>
    </w:p>
    <w:p w:rsidR="00750CBF" w:rsidRPr="007952B6" w:rsidRDefault="00344ADF" w:rsidP="00A45CD1">
      <w:pPr>
        <w:pStyle w:val="a3"/>
        <w:overflowPunct w:val="0"/>
        <w:snapToGrid w:val="0"/>
        <w:spacing w:afterLines="50" w:after="120" w:line="300" w:lineRule="auto"/>
        <w:ind w:left="0"/>
        <w:jc w:val="both"/>
        <w:rPr>
          <w:rFonts w:ascii="Arial" w:hAnsi="Arial" w:cs="Arial"/>
        </w:rPr>
      </w:pPr>
      <w:r w:rsidRPr="007952B6">
        <w:rPr>
          <w:rFonts w:ascii="Arial" w:hAnsi="Arial" w:cs="Arial"/>
        </w:rPr>
        <w:t>检查后，执行检查的</w:t>
      </w:r>
      <w:r w:rsidRPr="007952B6">
        <w:rPr>
          <w:rFonts w:ascii="Arial" w:hAnsi="Arial" w:cs="Arial"/>
        </w:rPr>
        <w:t>FDA</w:t>
      </w:r>
      <w:r w:rsidRPr="007952B6">
        <w:rPr>
          <w:rFonts w:ascii="Arial" w:hAnsi="Arial" w:cs="Arial"/>
        </w:rPr>
        <w:t>调查员出具书面现场检查报告（</w:t>
      </w:r>
      <w:r w:rsidRPr="007952B6">
        <w:rPr>
          <w:rFonts w:ascii="Arial" w:hAnsi="Arial" w:cs="Arial"/>
        </w:rPr>
        <w:t>EIR</w:t>
      </w:r>
      <w:r w:rsidRPr="007952B6">
        <w:rPr>
          <w:rFonts w:ascii="Arial" w:hAnsi="Arial" w:cs="Arial"/>
        </w:rPr>
        <w:t>）。</w:t>
      </w:r>
      <w:r w:rsidRPr="007952B6">
        <w:rPr>
          <w:rFonts w:ascii="Arial" w:hAnsi="Arial" w:cs="Arial"/>
        </w:rPr>
        <w:t>EIR</w:t>
      </w:r>
      <w:r w:rsidRPr="007952B6">
        <w:rPr>
          <w:rFonts w:ascii="Arial" w:hAnsi="Arial" w:cs="Arial"/>
        </w:rPr>
        <w:t>、</w:t>
      </w:r>
      <w:r w:rsidRPr="007952B6">
        <w:rPr>
          <w:rFonts w:ascii="Arial" w:hAnsi="Arial" w:cs="Arial"/>
        </w:rPr>
        <w:t>FDA 483</w:t>
      </w:r>
      <w:r w:rsidRPr="007952B6">
        <w:rPr>
          <w:rFonts w:ascii="Arial" w:hAnsi="Arial" w:cs="Arial"/>
        </w:rPr>
        <w:t>表（如果发出）、检查期间收集的所有材料及地区办事处收到的所有临床研究者答复均发送给相应的</w:t>
      </w:r>
      <w:r w:rsidRPr="007952B6">
        <w:rPr>
          <w:rFonts w:ascii="Arial" w:hAnsi="Arial" w:cs="Arial"/>
        </w:rPr>
        <w:t>FDA</w:t>
      </w:r>
      <w:r w:rsidRPr="007952B6">
        <w:rPr>
          <w:rFonts w:ascii="Arial" w:hAnsi="Arial" w:cs="Arial"/>
        </w:rPr>
        <w:t>中心，以进一步评价检查结果，并进行最终分类。完成该审评后，审评中心将向临床研究者发出如下其中一种类型的信函：</w:t>
      </w:r>
    </w:p>
    <w:p w:rsidR="00750CBF" w:rsidRPr="00211FF4" w:rsidRDefault="00344ADF" w:rsidP="00211FF4">
      <w:pPr>
        <w:pStyle w:val="a3"/>
        <w:numPr>
          <w:ilvl w:val="0"/>
          <w:numId w:val="1"/>
        </w:numPr>
        <w:tabs>
          <w:tab w:val="left" w:pos="820"/>
        </w:tabs>
        <w:overflowPunct w:val="0"/>
        <w:snapToGrid w:val="0"/>
        <w:spacing w:afterLines="50" w:after="120" w:line="300" w:lineRule="auto"/>
        <w:ind w:leftChars="200" w:left="797" w:hanging="357"/>
        <w:jc w:val="both"/>
        <w:rPr>
          <w:rFonts w:ascii="Arial" w:hAnsi="Arial" w:cs="Arial"/>
        </w:rPr>
      </w:pPr>
      <w:r w:rsidRPr="00211FF4">
        <w:rPr>
          <w:rFonts w:ascii="Arial" w:hAnsi="Arial" w:cs="Arial"/>
        </w:rPr>
        <w:t>一般描述</w:t>
      </w:r>
      <w:r w:rsidRPr="00211FF4">
        <w:rPr>
          <w:rFonts w:ascii="Arial" w:hAnsi="Arial" w:cs="Arial"/>
        </w:rPr>
        <w:t>“FDA</w:t>
      </w:r>
      <w:r w:rsidRPr="00211FF4">
        <w:rPr>
          <w:rFonts w:ascii="Arial" w:hAnsi="Arial" w:cs="Arial"/>
        </w:rPr>
        <w:t>没有发现严重偏离法规的情况</w:t>
      </w:r>
      <w:r w:rsidRPr="00211FF4">
        <w:rPr>
          <w:rFonts w:ascii="Arial" w:hAnsi="Arial" w:cs="Arial"/>
        </w:rPr>
        <w:t>”</w:t>
      </w:r>
      <w:r w:rsidRPr="00211FF4">
        <w:rPr>
          <w:rFonts w:ascii="Arial" w:hAnsi="Arial" w:cs="Arial"/>
        </w:rPr>
        <w:t>的信函。请注意，若</w:t>
      </w:r>
      <w:r w:rsidRPr="00211FF4">
        <w:rPr>
          <w:rFonts w:ascii="Arial" w:hAnsi="Arial" w:cs="Arial"/>
        </w:rPr>
        <w:t>FDA</w:t>
      </w:r>
      <w:r w:rsidRPr="00211FF4">
        <w:rPr>
          <w:rFonts w:ascii="Arial" w:hAnsi="Arial" w:cs="Arial"/>
        </w:rPr>
        <w:t>没有发现严重偏离，则不一定发送信函。参见</w:t>
      </w:r>
      <w:r w:rsidRPr="00211FF4">
        <w:rPr>
          <w:rFonts w:ascii="Arial" w:hAnsi="Arial" w:cs="Arial"/>
        </w:rPr>
        <w:t>FDA CPGM</w:t>
      </w:r>
      <w:r w:rsidRPr="00211FF4">
        <w:rPr>
          <w:rFonts w:ascii="Arial" w:hAnsi="Arial" w:cs="Arial"/>
        </w:rPr>
        <w:t>，计划</w:t>
      </w:r>
      <w:r w:rsidRPr="00211FF4">
        <w:rPr>
          <w:rFonts w:ascii="Arial" w:hAnsi="Arial" w:cs="Arial"/>
        </w:rPr>
        <w:t>7348.811</w:t>
      </w:r>
      <w:r w:rsidRPr="00211FF4">
        <w:rPr>
          <w:rFonts w:ascii="Arial" w:hAnsi="Arial" w:cs="Arial"/>
        </w:rPr>
        <w:t>，</w:t>
      </w:r>
      <w:r w:rsidRPr="00211FF4">
        <w:rPr>
          <w:rFonts w:ascii="Arial" w:hAnsi="Arial" w:cs="Arial"/>
        </w:rPr>
        <w:t>“</w:t>
      </w:r>
      <w:r w:rsidRPr="00211FF4">
        <w:rPr>
          <w:rFonts w:ascii="Arial" w:hAnsi="Arial" w:cs="Arial"/>
        </w:rPr>
        <w:t>临床研究者和</w:t>
      </w:r>
      <w:r w:rsidR="00C646B3">
        <w:rPr>
          <w:rFonts w:ascii="Arial" w:hAnsi="Arial" w:cs="Arial"/>
        </w:rPr>
        <w:t>申办方</w:t>
      </w:r>
      <w:r w:rsidRPr="00211FF4">
        <w:rPr>
          <w:rFonts w:ascii="Arial" w:hAnsi="Arial" w:cs="Arial"/>
        </w:rPr>
        <w:t>-</w:t>
      </w:r>
      <w:r w:rsidRPr="00211FF4">
        <w:rPr>
          <w:rFonts w:ascii="Arial" w:hAnsi="Arial" w:cs="Arial"/>
        </w:rPr>
        <w:t>临床研究者</w:t>
      </w:r>
      <w:r w:rsidRPr="00211FF4">
        <w:rPr>
          <w:rFonts w:ascii="Arial" w:hAnsi="Arial" w:cs="Arial"/>
        </w:rPr>
        <w:t>”</w:t>
      </w:r>
      <w:r w:rsidR="00E03171">
        <w:rPr>
          <w:rStyle w:val="aa"/>
          <w:rFonts w:ascii="Arial" w:hAnsi="Arial" w:cs="Arial"/>
        </w:rPr>
        <w:footnoteReference w:id="9"/>
      </w:r>
    </w:p>
    <w:p w:rsidR="00750CBF" w:rsidRPr="007952B6" w:rsidRDefault="00344ADF" w:rsidP="00211FF4">
      <w:pPr>
        <w:pStyle w:val="a3"/>
        <w:numPr>
          <w:ilvl w:val="0"/>
          <w:numId w:val="1"/>
        </w:numPr>
        <w:tabs>
          <w:tab w:val="left" w:pos="820"/>
        </w:tabs>
        <w:overflowPunct w:val="0"/>
        <w:snapToGrid w:val="0"/>
        <w:spacing w:afterLines="50" w:after="120" w:line="300" w:lineRule="auto"/>
        <w:ind w:leftChars="200" w:left="797" w:hanging="357"/>
        <w:jc w:val="both"/>
        <w:rPr>
          <w:rFonts w:ascii="Arial" w:hAnsi="Arial" w:cs="Arial"/>
        </w:rPr>
      </w:pPr>
      <w:r w:rsidRPr="007952B6">
        <w:rPr>
          <w:rFonts w:ascii="Arial" w:hAnsi="Arial" w:cs="Arial"/>
        </w:rPr>
        <w:t>确定不满足警告信函监管意义阈值的法律法规违背情况的通知函或无标题函。一般来说，此类信件要求临床研究者提供书面答复。有关启动无标题函程序的</w:t>
      </w:r>
      <w:r w:rsidRPr="007952B6">
        <w:rPr>
          <w:rFonts w:ascii="Arial" w:hAnsi="Arial" w:cs="Arial"/>
        </w:rPr>
        <w:t>FDA</w:t>
      </w:r>
      <w:r w:rsidRPr="007952B6">
        <w:rPr>
          <w:rFonts w:ascii="Arial" w:hAnsi="Arial" w:cs="Arial"/>
        </w:rPr>
        <w:t>规程，请参见第</w:t>
      </w:r>
      <w:r w:rsidRPr="007952B6">
        <w:rPr>
          <w:rFonts w:ascii="Arial" w:hAnsi="Arial" w:cs="Arial"/>
        </w:rPr>
        <w:t>4-2</w:t>
      </w:r>
      <w:r w:rsidRPr="007952B6">
        <w:rPr>
          <w:rFonts w:ascii="Arial" w:hAnsi="Arial" w:cs="Arial"/>
        </w:rPr>
        <w:t>章监管程序手册（</w:t>
      </w:r>
      <w:r w:rsidRPr="007952B6">
        <w:rPr>
          <w:rFonts w:ascii="Arial" w:hAnsi="Arial" w:cs="Arial"/>
        </w:rPr>
        <w:t>RPM</w:t>
      </w:r>
      <w:r w:rsidRPr="007952B6">
        <w:rPr>
          <w:rFonts w:ascii="Arial" w:hAnsi="Arial" w:cs="Arial"/>
        </w:rPr>
        <w:t>）。</w:t>
      </w:r>
      <w:r w:rsidR="00E03171">
        <w:rPr>
          <w:rStyle w:val="aa"/>
          <w:rFonts w:ascii="Arial" w:hAnsi="Arial" w:cs="Arial"/>
        </w:rPr>
        <w:footnoteReference w:id="10"/>
      </w:r>
      <w:hyperlink w:anchor="_bookmark9" w:history="1"/>
    </w:p>
    <w:p w:rsidR="00750CBF" w:rsidRPr="001775EB" w:rsidRDefault="00344ADF" w:rsidP="001775EB">
      <w:pPr>
        <w:pStyle w:val="a3"/>
        <w:numPr>
          <w:ilvl w:val="0"/>
          <w:numId w:val="1"/>
        </w:numPr>
        <w:tabs>
          <w:tab w:val="left" w:pos="820"/>
        </w:tabs>
        <w:overflowPunct w:val="0"/>
        <w:snapToGrid w:val="0"/>
        <w:spacing w:afterLines="50" w:after="120" w:line="300" w:lineRule="auto"/>
        <w:ind w:leftChars="200" w:left="797" w:hanging="357"/>
        <w:jc w:val="both"/>
        <w:rPr>
          <w:rFonts w:ascii="Arial" w:hAnsi="Arial" w:cs="Arial"/>
        </w:rPr>
      </w:pPr>
      <w:r w:rsidRPr="001775EB">
        <w:rPr>
          <w:rFonts w:ascii="Arial" w:hAnsi="Arial" w:cs="Arial"/>
        </w:rPr>
        <w:t>警告信函描述适用法律和法规的严重偏离情况。针对违背监管意义的警告</w:t>
      </w:r>
      <w:r w:rsidRPr="001775EB">
        <w:rPr>
          <w:rFonts w:ascii="Arial" w:hAnsi="Arial" w:cs="Arial"/>
        </w:rPr>
        <w:lastRenderedPageBreak/>
        <w:t>函。重大违法行为是指如果不及时和适当纠正，可能导致强制行动的违法行为。发出警告函以实现自愿遵守，包括更正请求及对</w:t>
      </w:r>
      <w:r w:rsidRPr="001775EB">
        <w:rPr>
          <w:rFonts w:ascii="Arial" w:hAnsi="Arial" w:cs="Arial"/>
        </w:rPr>
        <w:t>FDA</w:t>
      </w:r>
      <w:r w:rsidRPr="001775EB">
        <w:rPr>
          <w:rFonts w:ascii="Arial" w:hAnsi="Arial" w:cs="Arial"/>
        </w:rPr>
        <w:t>的书面答复。有关启动取消资格程序的</w:t>
      </w:r>
      <w:r w:rsidRPr="001775EB">
        <w:rPr>
          <w:rFonts w:ascii="Arial" w:hAnsi="Arial" w:cs="Arial"/>
        </w:rPr>
        <w:t>FDA</w:t>
      </w:r>
      <w:r w:rsidRPr="001775EB">
        <w:rPr>
          <w:rFonts w:ascii="Arial" w:hAnsi="Arial" w:cs="Arial"/>
        </w:rPr>
        <w:t>规程，请参见第</w:t>
      </w:r>
      <w:r w:rsidRPr="001775EB">
        <w:rPr>
          <w:rFonts w:ascii="Arial" w:hAnsi="Arial" w:cs="Arial"/>
        </w:rPr>
        <w:t>4-1</w:t>
      </w:r>
      <w:r w:rsidRPr="001775EB">
        <w:rPr>
          <w:rFonts w:ascii="Arial" w:hAnsi="Arial" w:cs="Arial"/>
        </w:rPr>
        <w:t>章监管程序手册（</w:t>
      </w:r>
      <w:r w:rsidRPr="001775EB">
        <w:rPr>
          <w:rFonts w:ascii="Arial" w:hAnsi="Arial" w:cs="Arial"/>
        </w:rPr>
        <w:t>RPM</w:t>
      </w:r>
      <w:r w:rsidRPr="001775EB">
        <w:rPr>
          <w:rFonts w:ascii="Arial" w:hAnsi="Arial" w:cs="Arial"/>
        </w:rPr>
        <w:t>）。</w:t>
      </w:r>
      <w:r w:rsidR="001775EB">
        <w:rPr>
          <w:rStyle w:val="aa"/>
          <w:rFonts w:ascii="Arial" w:hAnsi="Arial" w:cs="Arial"/>
        </w:rPr>
        <w:footnoteReference w:id="11"/>
      </w:r>
      <w:hyperlink w:anchor="_bookmark10" w:history="1"/>
    </w:p>
    <w:p w:rsidR="00750CBF" w:rsidRPr="007952B6" w:rsidRDefault="00344ADF" w:rsidP="001775EB">
      <w:pPr>
        <w:pStyle w:val="a3"/>
        <w:numPr>
          <w:ilvl w:val="0"/>
          <w:numId w:val="1"/>
        </w:numPr>
        <w:tabs>
          <w:tab w:val="left" w:pos="820"/>
        </w:tabs>
        <w:overflowPunct w:val="0"/>
        <w:snapToGrid w:val="0"/>
        <w:spacing w:afterLines="50" w:after="120" w:line="300" w:lineRule="auto"/>
        <w:ind w:leftChars="200" w:left="797" w:hanging="357"/>
        <w:jc w:val="both"/>
        <w:rPr>
          <w:rFonts w:ascii="Arial" w:hAnsi="Arial" w:cs="Arial"/>
        </w:rPr>
      </w:pPr>
      <w:r w:rsidRPr="007952B6">
        <w:rPr>
          <w:rFonts w:ascii="Arial" w:hAnsi="Arial" w:cs="Arial"/>
        </w:rPr>
        <w:t>取消资格程序和解释机会的通知</w:t>
      </w:r>
      <w:r w:rsidRPr="007952B6">
        <w:rPr>
          <w:rFonts w:ascii="Arial" w:hAnsi="Arial" w:cs="Arial"/>
          <w:i/>
        </w:rPr>
        <w:t>(NIDPOE)</w:t>
      </w:r>
      <w:r w:rsidRPr="007952B6">
        <w:rPr>
          <w:rFonts w:ascii="Arial" w:hAnsi="Arial" w:cs="Arial"/>
        </w:rPr>
        <w:t>。若临床研究者屡次或蓄意不遵循适用法规要求或，蓄意或重复向</w:t>
      </w:r>
      <w:r w:rsidR="00C646B3">
        <w:rPr>
          <w:rFonts w:ascii="Arial" w:hAnsi="Arial" w:cs="Arial"/>
        </w:rPr>
        <w:t>申办方</w:t>
      </w:r>
      <w:r w:rsidRPr="007952B6">
        <w:rPr>
          <w:rFonts w:ascii="Arial" w:hAnsi="Arial" w:cs="Arial"/>
        </w:rPr>
        <w:t>或</w:t>
      </w:r>
      <w:r w:rsidRPr="007952B6">
        <w:rPr>
          <w:rFonts w:ascii="Arial" w:hAnsi="Arial" w:cs="Arial"/>
        </w:rPr>
        <w:t>FDA</w:t>
      </w:r>
      <w:r w:rsidRPr="007952B6">
        <w:rPr>
          <w:rFonts w:ascii="Arial" w:hAnsi="Arial" w:cs="Arial"/>
        </w:rPr>
        <w:t>提交含有错误信息的报告，</w:t>
      </w:r>
      <w:r w:rsidRPr="007952B6">
        <w:rPr>
          <w:rFonts w:ascii="Arial" w:hAnsi="Arial" w:cs="Arial"/>
        </w:rPr>
        <w:t>FDA</w:t>
      </w:r>
      <w:r w:rsidRPr="007952B6">
        <w:rPr>
          <w:rFonts w:ascii="Arial" w:hAnsi="Arial" w:cs="Arial"/>
        </w:rPr>
        <w:t>将启动程序，根据第</w:t>
      </w:r>
      <w:r w:rsidRPr="007952B6">
        <w:rPr>
          <w:rFonts w:ascii="Arial" w:hAnsi="Arial" w:cs="Arial"/>
        </w:rPr>
        <w:t>312</w:t>
      </w:r>
      <w:r w:rsidRPr="007952B6">
        <w:rPr>
          <w:rFonts w:ascii="Arial" w:hAnsi="Arial" w:cs="Arial"/>
        </w:rPr>
        <w:t>部分取消临床研究者接收研究新药和</w:t>
      </w:r>
      <w:r w:rsidRPr="007952B6">
        <w:rPr>
          <w:rFonts w:ascii="Arial" w:hAnsi="Arial" w:cs="Arial"/>
        </w:rPr>
        <w:t>/</w:t>
      </w:r>
      <w:r w:rsidRPr="007952B6">
        <w:rPr>
          <w:rFonts w:ascii="Arial" w:hAnsi="Arial" w:cs="Arial"/>
        </w:rPr>
        <w:t>或</w:t>
      </w:r>
      <w:r w:rsidR="00BC117C">
        <w:rPr>
          <w:rFonts w:ascii="Arial" w:hAnsi="Arial" w:cs="Arial"/>
        </w:rPr>
        <w:t>生物制剂</w:t>
      </w:r>
      <w:r w:rsidRPr="007952B6">
        <w:rPr>
          <w:rFonts w:ascii="Arial" w:hAnsi="Arial" w:cs="Arial"/>
        </w:rPr>
        <w:t>的资格或根据第</w:t>
      </w:r>
      <w:r w:rsidRPr="007952B6">
        <w:rPr>
          <w:rFonts w:ascii="Arial" w:hAnsi="Arial" w:cs="Arial"/>
        </w:rPr>
        <w:t>812</w:t>
      </w:r>
      <w:r w:rsidRPr="007952B6">
        <w:rPr>
          <w:rFonts w:ascii="Arial" w:hAnsi="Arial" w:cs="Arial"/>
        </w:rPr>
        <w:t>部分取消接收研究器械的资格。请参见</w:t>
      </w:r>
      <w:r w:rsidRPr="007952B6">
        <w:rPr>
          <w:rFonts w:ascii="Arial" w:hAnsi="Arial" w:cs="Arial"/>
        </w:rPr>
        <w:t xml:space="preserve"> 21 CFR 312.70 </w:t>
      </w:r>
      <w:r w:rsidRPr="007952B6">
        <w:rPr>
          <w:rFonts w:ascii="Arial" w:hAnsi="Arial" w:cs="Arial"/>
        </w:rPr>
        <w:t>和</w:t>
      </w:r>
      <w:r w:rsidRPr="007952B6">
        <w:rPr>
          <w:rFonts w:ascii="Arial" w:hAnsi="Arial" w:cs="Arial"/>
        </w:rPr>
        <w:t xml:space="preserve"> 812.119</w:t>
      </w:r>
      <w:r w:rsidRPr="007952B6">
        <w:rPr>
          <w:rFonts w:ascii="Arial" w:hAnsi="Arial" w:cs="Arial"/>
        </w:rPr>
        <w:t>。</w:t>
      </w:r>
      <w:r w:rsidRPr="007952B6">
        <w:rPr>
          <w:rFonts w:ascii="Arial" w:hAnsi="Arial" w:cs="Arial"/>
        </w:rPr>
        <w:t>NIDPOE</w:t>
      </w:r>
      <w:r w:rsidRPr="007952B6">
        <w:rPr>
          <w:rFonts w:ascii="Arial" w:hAnsi="Arial" w:cs="Arial"/>
        </w:rPr>
        <w:t>确定违规情况，并给临床研究者提供机会，以非正式会议或书面形式作出解释。若答复</w:t>
      </w:r>
      <w:r w:rsidRPr="007952B6">
        <w:rPr>
          <w:rFonts w:ascii="Arial" w:hAnsi="Arial" w:cs="Arial"/>
        </w:rPr>
        <w:t>NIDPOE</w:t>
      </w:r>
      <w:r w:rsidRPr="007952B6">
        <w:rPr>
          <w:rFonts w:ascii="Arial" w:hAnsi="Arial" w:cs="Arial"/>
        </w:rPr>
        <w:t>时，临床研究者提供的解释得到</w:t>
      </w:r>
      <w:r w:rsidRPr="007952B6">
        <w:rPr>
          <w:rFonts w:ascii="Arial" w:hAnsi="Arial" w:cs="Arial"/>
        </w:rPr>
        <w:t>FDA</w:t>
      </w:r>
      <w:r w:rsidRPr="007952B6">
        <w:rPr>
          <w:rFonts w:ascii="Arial" w:hAnsi="Arial" w:cs="Arial"/>
        </w:rPr>
        <w:t>的认可，则不一定取消资格，可能考虑其他决定，例如详细的纠正计划。若研究者的解释不被</w:t>
      </w:r>
      <w:r w:rsidRPr="007952B6">
        <w:rPr>
          <w:rFonts w:ascii="Arial" w:hAnsi="Arial" w:cs="Arial"/>
        </w:rPr>
        <w:t>FDA</w:t>
      </w:r>
      <w:r w:rsidRPr="007952B6">
        <w:rPr>
          <w:rFonts w:ascii="Arial" w:hAnsi="Arial" w:cs="Arial"/>
        </w:rPr>
        <w:t>认可，则</w:t>
      </w:r>
      <w:r w:rsidRPr="007952B6">
        <w:rPr>
          <w:rFonts w:ascii="Arial" w:hAnsi="Arial" w:cs="Arial"/>
        </w:rPr>
        <w:t>FDA</w:t>
      </w:r>
      <w:r w:rsidRPr="007952B6">
        <w:rPr>
          <w:rFonts w:ascii="Arial" w:hAnsi="Arial" w:cs="Arial"/>
        </w:rPr>
        <w:t>可依据</w:t>
      </w:r>
      <w:r w:rsidRPr="007952B6">
        <w:rPr>
          <w:rFonts w:ascii="Arial" w:hAnsi="Arial" w:cs="Arial"/>
        </w:rPr>
        <w:t>21CFR</w:t>
      </w:r>
      <w:r w:rsidRPr="007952B6">
        <w:rPr>
          <w:rFonts w:ascii="Arial" w:hAnsi="Arial" w:cs="Arial"/>
        </w:rPr>
        <w:t>第</w:t>
      </w:r>
      <w:r w:rsidRPr="007952B6">
        <w:rPr>
          <w:rFonts w:ascii="Arial" w:hAnsi="Arial" w:cs="Arial"/>
        </w:rPr>
        <w:t>16</w:t>
      </w:r>
      <w:r w:rsidRPr="007952B6">
        <w:rPr>
          <w:rFonts w:ascii="Arial" w:hAnsi="Arial" w:cs="Arial"/>
        </w:rPr>
        <w:t>部分发布</w:t>
      </w:r>
      <w:r w:rsidRPr="007952B6">
        <w:rPr>
          <w:rFonts w:ascii="Arial" w:hAnsi="Arial" w:cs="Arial"/>
        </w:rPr>
        <w:t>“</w:t>
      </w:r>
      <w:r w:rsidRPr="007952B6">
        <w:rPr>
          <w:rFonts w:ascii="Arial" w:hAnsi="Arial" w:cs="Arial"/>
        </w:rPr>
        <w:t>听证机会通知</w:t>
      </w:r>
      <w:r w:rsidRPr="007952B6">
        <w:rPr>
          <w:rFonts w:ascii="Arial" w:hAnsi="Arial" w:cs="Arial"/>
        </w:rPr>
        <w:t>”</w:t>
      </w:r>
      <w:r w:rsidRPr="007952B6">
        <w:rPr>
          <w:rFonts w:ascii="Arial" w:hAnsi="Arial" w:cs="Arial"/>
        </w:rPr>
        <w:t>。更多信息，请参见</w:t>
      </w:r>
      <w:r w:rsidRPr="007952B6">
        <w:rPr>
          <w:rFonts w:ascii="Arial" w:hAnsi="Arial" w:cs="Arial"/>
        </w:rPr>
        <w:t>FDA</w:t>
      </w:r>
      <w:r w:rsidRPr="007952B6">
        <w:rPr>
          <w:rFonts w:ascii="Arial" w:hAnsi="Arial" w:cs="Arial"/>
        </w:rPr>
        <w:t>的信息表指南，</w:t>
      </w:r>
      <w:r w:rsidRPr="007952B6">
        <w:rPr>
          <w:rFonts w:ascii="Arial" w:hAnsi="Arial" w:cs="Arial"/>
        </w:rPr>
        <w:t>“</w:t>
      </w:r>
      <w:r w:rsidRPr="007952B6">
        <w:rPr>
          <w:rFonts w:ascii="Arial" w:hAnsi="Arial" w:cs="Arial"/>
        </w:rPr>
        <w:t>临床研究行政行为</w:t>
      </w:r>
      <w:hyperlink w:anchor="_bookmark11" w:history="1">
        <w:r w:rsidRPr="007952B6">
          <w:rPr>
            <w:rFonts w:ascii="Arial" w:hAnsi="Arial" w:cs="Arial"/>
          </w:rPr>
          <w:t>-</w:t>
        </w:r>
        <w:r w:rsidRPr="007952B6">
          <w:rPr>
            <w:rFonts w:ascii="Arial" w:hAnsi="Arial" w:cs="Arial"/>
          </w:rPr>
          <w:t>取消资格</w:t>
        </w:r>
      </w:hyperlink>
      <w:r w:rsidRPr="007952B6">
        <w:rPr>
          <w:rFonts w:ascii="Arial" w:hAnsi="Arial" w:cs="Arial"/>
        </w:rPr>
        <w:t>。</w:t>
      </w:r>
      <w:r w:rsidRPr="007952B6">
        <w:rPr>
          <w:rFonts w:ascii="Arial" w:hAnsi="Arial" w:cs="Arial"/>
        </w:rPr>
        <w:t>”</w:t>
      </w:r>
      <w:r w:rsidR="001775EB">
        <w:rPr>
          <w:rStyle w:val="aa"/>
          <w:rFonts w:ascii="Arial" w:hAnsi="Arial" w:cs="Arial"/>
        </w:rPr>
        <w:footnoteReference w:id="12"/>
      </w:r>
      <w:r w:rsidRPr="007952B6">
        <w:rPr>
          <w:rFonts w:ascii="Arial" w:hAnsi="Arial" w:cs="Arial"/>
        </w:rPr>
        <w:t>有关取消资格程序的</w:t>
      </w:r>
      <w:r w:rsidRPr="007952B6">
        <w:rPr>
          <w:rFonts w:ascii="Arial" w:hAnsi="Arial" w:cs="Arial"/>
        </w:rPr>
        <w:t>FDA</w:t>
      </w:r>
      <w:r w:rsidRPr="007952B6">
        <w:rPr>
          <w:rFonts w:ascii="Arial" w:hAnsi="Arial" w:cs="Arial"/>
        </w:rPr>
        <w:t>规程，请参见</w:t>
      </w:r>
      <w:r w:rsidRPr="007952B6">
        <w:rPr>
          <w:rFonts w:ascii="Arial" w:hAnsi="Arial" w:cs="Arial"/>
        </w:rPr>
        <w:t>5-9</w:t>
      </w:r>
      <w:r w:rsidRPr="007952B6">
        <w:rPr>
          <w:rFonts w:ascii="Arial" w:hAnsi="Arial" w:cs="Arial"/>
        </w:rPr>
        <w:t>章的监管程序手册。</w:t>
      </w:r>
      <w:r w:rsidR="001775EB">
        <w:rPr>
          <w:rStyle w:val="aa"/>
          <w:rFonts w:ascii="Arial" w:hAnsi="Arial" w:cs="Arial"/>
        </w:rPr>
        <w:footnoteReference w:id="13"/>
      </w:r>
    </w:p>
    <w:p w:rsidR="00750CBF" w:rsidRPr="007952B6" w:rsidRDefault="00344ADF" w:rsidP="00A45CD1">
      <w:pPr>
        <w:pStyle w:val="a3"/>
        <w:overflowPunct w:val="0"/>
        <w:snapToGrid w:val="0"/>
        <w:spacing w:afterLines="50" w:after="120" w:line="300" w:lineRule="auto"/>
        <w:ind w:left="0"/>
        <w:jc w:val="both"/>
        <w:rPr>
          <w:rFonts w:ascii="Arial" w:hAnsi="Arial" w:cs="Arial"/>
        </w:rPr>
      </w:pPr>
      <w:r w:rsidRPr="007952B6">
        <w:rPr>
          <w:rFonts w:ascii="Arial" w:hAnsi="Arial" w:cs="Arial"/>
        </w:rPr>
        <w:t>为了确保临床研究者及时采取纠正措施并确保保护研究受试者，</w:t>
      </w:r>
      <w:r w:rsidRPr="007952B6">
        <w:rPr>
          <w:rFonts w:ascii="Arial" w:hAnsi="Arial" w:cs="Arial"/>
        </w:rPr>
        <w:t>FDA</w:t>
      </w:r>
      <w:r w:rsidRPr="007952B6">
        <w:rPr>
          <w:rFonts w:ascii="Arial" w:hAnsi="Arial" w:cs="Arial"/>
        </w:rPr>
        <w:t>将警告函和</w:t>
      </w:r>
      <w:r w:rsidRPr="007952B6">
        <w:rPr>
          <w:rFonts w:ascii="Arial" w:hAnsi="Arial" w:cs="Arial"/>
        </w:rPr>
        <w:t>NIDPOE</w:t>
      </w:r>
      <w:r w:rsidRPr="007952B6">
        <w:rPr>
          <w:rFonts w:ascii="Arial" w:hAnsi="Arial" w:cs="Arial"/>
        </w:rPr>
        <w:t>副本提交给研究</w:t>
      </w:r>
      <w:r w:rsidR="00C646B3">
        <w:rPr>
          <w:rFonts w:ascii="Arial" w:hAnsi="Arial" w:cs="Arial"/>
        </w:rPr>
        <w:t>申办方</w:t>
      </w:r>
      <w:r w:rsidRPr="007952B6">
        <w:rPr>
          <w:rFonts w:ascii="Arial" w:hAnsi="Arial" w:cs="Arial"/>
        </w:rPr>
        <w:t>和审核</w:t>
      </w:r>
      <w:r w:rsidRPr="007952B6">
        <w:rPr>
          <w:rFonts w:ascii="Arial" w:hAnsi="Arial" w:cs="Arial"/>
        </w:rPr>
        <w:t>IRB</w:t>
      </w:r>
      <w:r w:rsidRPr="007952B6">
        <w:rPr>
          <w:rFonts w:ascii="Arial" w:hAnsi="Arial" w:cs="Arial"/>
        </w:rPr>
        <w:t>。</w:t>
      </w:r>
      <w:r w:rsidR="001775EB">
        <w:rPr>
          <w:rStyle w:val="aa"/>
          <w:rFonts w:ascii="Arial" w:hAnsi="Arial" w:cs="Arial"/>
        </w:rPr>
        <w:footnoteReference w:id="14"/>
      </w:r>
      <w:hyperlink w:anchor="_bookmark13" w:history="1"/>
    </w:p>
    <w:p w:rsidR="00750CBF" w:rsidRPr="007952B6" w:rsidRDefault="00344ADF" w:rsidP="00A45CD1">
      <w:pPr>
        <w:pStyle w:val="a3"/>
        <w:overflowPunct w:val="0"/>
        <w:snapToGrid w:val="0"/>
        <w:spacing w:afterLines="50" w:after="120" w:line="300" w:lineRule="auto"/>
        <w:ind w:left="0"/>
        <w:jc w:val="both"/>
        <w:rPr>
          <w:rFonts w:ascii="Arial" w:hAnsi="Arial" w:cs="Arial"/>
        </w:rPr>
      </w:pPr>
      <w:r w:rsidRPr="007952B6">
        <w:rPr>
          <w:rFonts w:ascii="Arial" w:hAnsi="Arial" w:cs="Arial"/>
        </w:rPr>
        <w:t>此外，根据</w:t>
      </w:r>
      <w:r w:rsidRPr="007952B6">
        <w:rPr>
          <w:rFonts w:ascii="Arial" w:hAnsi="Arial" w:cs="Arial"/>
        </w:rPr>
        <w:t>FDA</w:t>
      </w:r>
      <w:r w:rsidRPr="007952B6">
        <w:rPr>
          <w:rFonts w:ascii="Arial" w:hAnsi="Arial" w:cs="Arial"/>
        </w:rPr>
        <w:t>中心确定的检查的最终分类，检查结果与审核上市提交资料的</w:t>
      </w:r>
      <w:r w:rsidRPr="007952B6">
        <w:rPr>
          <w:rFonts w:ascii="Arial" w:hAnsi="Arial" w:cs="Arial"/>
        </w:rPr>
        <w:t>FDA</w:t>
      </w:r>
      <w:r w:rsidRPr="007952B6">
        <w:rPr>
          <w:rFonts w:ascii="Arial" w:hAnsi="Arial" w:cs="Arial"/>
        </w:rPr>
        <w:t>部门共享。指定审查部门在审查</w:t>
      </w:r>
      <w:r w:rsidR="00C646B3">
        <w:rPr>
          <w:rFonts w:ascii="Arial" w:hAnsi="Arial" w:cs="Arial"/>
        </w:rPr>
        <w:t>申办方</w:t>
      </w:r>
      <w:r w:rsidRPr="007952B6">
        <w:rPr>
          <w:rFonts w:ascii="Arial" w:hAnsi="Arial" w:cs="Arial"/>
        </w:rPr>
        <w:t>上市提交资料时考虑检查结果。若检查发现严重违反</w:t>
      </w:r>
      <w:r w:rsidRPr="007952B6">
        <w:rPr>
          <w:rFonts w:ascii="Arial" w:hAnsi="Arial" w:cs="Arial"/>
        </w:rPr>
        <w:t>FDA</w:t>
      </w:r>
      <w:r w:rsidRPr="007952B6">
        <w:rPr>
          <w:rFonts w:ascii="Arial" w:hAnsi="Arial" w:cs="Arial"/>
        </w:rPr>
        <w:t>临床研究法规（例如，未能遵循研究计划）的情况，则指定的审查部门将要求对研究数据进行额外分析，或在</w:t>
      </w:r>
      <w:r w:rsidRPr="007952B6">
        <w:rPr>
          <w:rFonts w:ascii="Arial" w:hAnsi="Arial" w:cs="Arial"/>
        </w:rPr>
        <w:t>FDA</w:t>
      </w:r>
      <w:r w:rsidRPr="007952B6">
        <w:rPr>
          <w:rFonts w:ascii="Arial" w:hAnsi="Arial" w:cs="Arial"/>
        </w:rPr>
        <w:t>认为数据不可靠的特定情况下驳回受影响的数据。</w:t>
      </w:r>
    </w:p>
    <w:p w:rsidR="00750CBF" w:rsidRPr="001775EB" w:rsidRDefault="00344ADF" w:rsidP="00A45CD1">
      <w:pPr>
        <w:pStyle w:val="a3"/>
        <w:overflowPunct w:val="0"/>
        <w:snapToGrid w:val="0"/>
        <w:spacing w:afterLines="50" w:after="120" w:line="300" w:lineRule="auto"/>
        <w:ind w:left="0"/>
        <w:jc w:val="both"/>
        <w:rPr>
          <w:rFonts w:ascii="Arial" w:hAnsi="Arial" w:cs="Arial"/>
        </w:rPr>
      </w:pPr>
      <w:r w:rsidRPr="001775EB">
        <w:rPr>
          <w:rFonts w:ascii="Arial" w:hAnsi="Arial" w:cs="Arial"/>
        </w:rPr>
        <w:t>FDA</w:t>
      </w:r>
      <w:r w:rsidRPr="001775EB">
        <w:rPr>
          <w:rFonts w:ascii="Arial" w:hAnsi="Arial" w:cs="Arial"/>
        </w:rPr>
        <w:t>同时在其网站公布最终临床研究者检查分类</w:t>
      </w:r>
      <w:hyperlink w:anchor="_bookmark14" w:history="1"/>
      <w:r w:rsidR="001775EB" w:rsidRPr="001775EB">
        <w:rPr>
          <w:rStyle w:val="aa"/>
          <w:rFonts w:ascii="Arial" w:hAnsi="Arial" w:cs="Arial"/>
        </w:rPr>
        <w:footnoteReference w:id="15"/>
      </w:r>
      <w:r w:rsidRPr="001775EB">
        <w:rPr>
          <w:rFonts w:ascii="Arial" w:hAnsi="Arial" w:cs="Arial"/>
        </w:rPr>
        <w:t>、警告函、</w:t>
      </w:r>
      <w:r w:rsidRPr="001775EB">
        <w:rPr>
          <w:rFonts w:ascii="Arial" w:hAnsi="Arial" w:cs="Arial"/>
        </w:rPr>
        <w:t>NIDPOE</w:t>
      </w:r>
      <w:r w:rsidRPr="001775EB">
        <w:rPr>
          <w:rFonts w:ascii="Arial" w:hAnsi="Arial" w:cs="Arial"/>
        </w:rPr>
        <w:t>和临床研究者取消资格或被限制接收研究产品的其他信息：</w:t>
      </w:r>
    </w:p>
    <w:p w:rsidR="00750CBF" w:rsidRPr="007952B6" w:rsidRDefault="00BC117C" w:rsidP="00A45CD1">
      <w:pPr>
        <w:pStyle w:val="a3"/>
        <w:overflowPunct w:val="0"/>
        <w:snapToGrid w:val="0"/>
        <w:spacing w:afterLines="50" w:after="120" w:line="300" w:lineRule="auto"/>
        <w:ind w:left="0"/>
        <w:jc w:val="both"/>
        <w:rPr>
          <w:rFonts w:ascii="Arial" w:hAnsi="Arial" w:cs="Arial"/>
        </w:rPr>
      </w:pPr>
      <w:hyperlink r:id="rId10">
        <w:r w:rsidR="00344ADF" w:rsidRPr="007952B6">
          <w:rPr>
            <w:rFonts w:ascii="Arial" w:hAnsi="Arial" w:cs="Arial"/>
            <w:color w:val="0000FF"/>
            <w:u w:val="single" w:color="0000FF"/>
          </w:rPr>
          <w:t>http://www.fda.gov/ICECI/EnforcementActions/DisqualifiedRestrictedAssuranceList/default.ht</w:t>
        </w:r>
      </w:hyperlink>
      <w:hyperlink r:id="rId11">
        <w:r w:rsidR="00344ADF" w:rsidRPr="007952B6">
          <w:rPr>
            <w:rFonts w:ascii="Arial" w:hAnsi="Arial" w:cs="Arial"/>
            <w:color w:val="0000FF"/>
            <w:u w:val="single" w:color="0000FF"/>
          </w:rPr>
          <w:t>m</w:t>
        </w:r>
      </w:hyperlink>
    </w:p>
    <w:p w:rsidR="00750CBF" w:rsidRPr="001775EB" w:rsidRDefault="00344ADF" w:rsidP="001775EB">
      <w:pPr>
        <w:pStyle w:val="2"/>
        <w:numPr>
          <w:ilvl w:val="0"/>
          <w:numId w:val="7"/>
        </w:numPr>
        <w:tabs>
          <w:tab w:val="left" w:pos="742"/>
        </w:tabs>
        <w:overflowPunct w:val="0"/>
        <w:snapToGrid w:val="0"/>
        <w:spacing w:afterLines="50" w:after="120" w:line="300" w:lineRule="auto"/>
        <w:ind w:left="720"/>
        <w:jc w:val="both"/>
        <w:rPr>
          <w:rFonts w:ascii="Arial" w:hAnsi="Arial" w:cs="Arial"/>
          <w:sz w:val="32"/>
          <w:szCs w:val="32"/>
        </w:rPr>
      </w:pPr>
      <w:bookmarkStart w:id="7" w:name="VII._WHO_CAN_PROVIDE_MORE_INFORMATION?_"/>
      <w:bookmarkEnd w:id="7"/>
      <w:r w:rsidRPr="001775EB">
        <w:rPr>
          <w:rFonts w:ascii="Arial" w:hAnsi="Arial" w:cs="Arial"/>
          <w:sz w:val="32"/>
          <w:szCs w:val="32"/>
        </w:rPr>
        <w:t>谁能提供更多的信息？</w:t>
      </w:r>
    </w:p>
    <w:p w:rsidR="00750CBF" w:rsidRPr="007952B6" w:rsidRDefault="00344ADF" w:rsidP="00A45CD1">
      <w:pPr>
        <w:pStyle w:val="a3"/>
        <w:overflowPunct w:val="0"/>
        <w:snapToGrid w:val="0"/>
        <w:spacing w:afterLines="50" w:after="120" w:line="300" w:lineRule="auto"/>
        <w:ind w:left="0"/>
        <w:jc w:val="both"/>
        <w:rPr>
          <w:rFonts w:ascii="Arial" w:hAnsi="Arial" w:cs="Arial"/>
        </w:rPr>
      </w:pPr>
      <w:r w:rsidRPr="007952B6">
        <w:rPr>
          <w:rFonts w:ascii="Arial" w:hAnsi="Arial" w:cs="Arial"/>
        </w:rPr>
        <w:t>FDA</w:t>
      </w:r>
      <w:r w:rsidRPr="007952B6">
        <w:rPr>
          <w:rFonts w:ascii="Arial" w:hAnsi="Arial" w:cs="Arial"/>
        </w:rPr>
        <w:t>检查期间或检查后，若临床研究者的问题没有得到</w:t>
      </w:r>
      <w:r w:rsidRPr="007952B6">
        <w:rPr>
          <w:rFonts w:ascii="Arial" w:hAnsi="Arial" w:cs="Arial"/>
        </w:rPr>
        <w:t>FDA</w:t>
      </w:r>
      <w:r w:rsidRPr="007952B6">
        <w:rPr>
          <w:rFonts w:ascii="Arial" w:hAnsi="Arial" w:cs="Arial"/>
        </w:rPr>
        <w:t>检查人员的答复，则可联系地区办事处主任或检查中心的联络人。</w:t>
      </w:r>
      <w:r w:rsidRPr="007952B6">
        <w:rPr>
          <w:rFonts w:ascii="Arial" w:hAnsi="Arial" w:cs="Arial"/>
        </w:rPr>
        <w:t>FDA</w:t>
      </w:r>
      <w:r w:rsidRPr="007952B6">
        <w:rPr>
          <w:rFonts w:ascii="Arial" w:hAnsi="Arial" w:cs="Arial"/>
        </w:rPr>
        <w:t>检查人员应提供地区办事处主任和中心联络人的姓名和电话号码。</w:t>
      </w:r>
    </w:p>
    <w:sectPr w:rsidR="00750CBF" w:rsidRPr="007952B6" w:rsidSect="007952B6">
      <w:headerReference w:type="default" r:id="rId12"/>
      <w:pgSz w:w="12240" w:h="15840"/>
      <w:pgMar w:top="1440" w:right="1800" w:bottom="1440" w:left="1800" w:header="750" w:footer="77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ADF" w:rsidRDefault="00344ADF">
      <w:r>
        <w:separator/>
      </w:r>
    </w:p>
  </w:endnote>
  <w:endnote w:type="continuationSeparator" w:id="0">
    <w:p w:rsidR="00344ADF" w:rsidRDefault="0034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ADF" w:rsidRDefault="00344ADF">
      <w:r>
        <w:separator/>
      </w:r>
    </w:p>
  </w:footnote>
  <w:footnote w:type="continuationSeparator" w:id="0">
    <w:p w:rsidR="00344ADF" w:rsidRDefault="00344ADF">
      <w:r>
        <w:continuationSeparator/>
      </w:r>
    </w:p>
  </w:footnote>
  <w:footnote w:id="1">
    <w:p w:rsidR="007952B6" w:rsidRPr="00477BE4" w:rsidRDefault="007952B6" w:rsidP="00477BE4">
      <w:pPr>
        <w:pStyle w:val="a9"/>
        <w:rPr>
          <w:rFonts w:ascii="Arial" w:hAnsi="Arial" w:cs="Arial"/>
          <w:sz w:val="21"/>
          <w:szCs w:val="21"/>
        </w:rPr>
      </w:pPr>
      <w:r w:rsidRPr="00477BE4">
        <w:rPr>
          <w:rStyle w:val="aa"/>
          <w:rFonts w:ascii="Arial" w:hAnsi="Arial" w:cs="Arial"/>
          <w:sz w:val="21"/>
          <w:szCs w:val="21"/>
        </w:rPr>
        <w:footnoteRef/>
      </w:r>
      <w:r w:rsidRPr="00477BE4">
        <w:rPr>
          <w:rFonts w:ascii="Arial" w:hAnsi="Arial" w:cs="Arial"/>
          <w:sz w:val="21"/>
          <w:szCs w:val="21"/>
        </w:rPr>
        <w:t xml:space="preserve"> </w:t>
      </w:r>
      <w:r w:rsidRPr="00477BE4">
        <w:rPr>
          <w:rFonts w:ascii="Arial" w:hAnsi="Arial" w:cs="Arial"/>
          <w:sz w:val="21"/>
          <w:szCs w:val="21"/>
        </w:rPr>
        <w:t>本指南由局长办公室良好临床实践办公室（</w:t>
      </w:r>
      <w:r w:rsidRPr="00477BE4">
        <w:rPr>
          <w:rFonts w:ascii="Arial" w:hAnsi="Arial" w:cs="Arial"/>
          <w:sz w:val="21"/>
          <w:szCs w:val="21"/>
        </w:rPr>
        <w:t>OC</w:t>
      </w:r>
      <w:r w:rsidRPr="00477BE4">
        <w:rPr>
          <w:rFonts w:ascii="Arial" w:hAnsi="Arial" w:cs="Arial"/>
          <w:sz w:val="21"/>
          <w:szCs w:val="21"/>
        </w:rPr>
        <w:t>）联合</w:t>
      </w:r>
      <w:r w:rsidR="00BC117C">
        <w:rPr>
          <w:rFonts w:ascii="Arial" w:hAnsi="Arial" w:cs="Arial"/>
          <w:sz w:val="21"/>
          <w:szCs w:val="21"/>
        </w:rPr>
        <w:t>生物制剂</w:t>
      </w:r>
      <w:r w:rsidRPr="00477BE4">
        <w:rPr>
          <w:rFonts w:ascii="Arial" w:hAnsi="Arial" w:cs="Arial"/>
          <w:sz w:val="21"/>
          <w:szCs w:val="21"/>
        </w:rPr>
        <w:t>评估和研究中心（</w:t>
      </w:r>
      <w:r w:rsidRPr="00477BE4">
        <w:rPr>
          <w:rFonts w:ascii="Arial" w:hAnsi="Arial" w:cs="Arial"/>
          <w:sz w:val="21"/>
          <w:szCs w:val="21"/>
        </w:rPr>
        <w:t>CBER</w:t>
      </w:r>
      <w:r w:rsidRPr="00477BE4">
        <w:rPr>
          <w:rFonts w:ascii="Arial" w:hAnsi="Arial" w:cs="Arial"/>
          <w:sz w:val="21"/>
          <w:szCs w:val="21"/>
        </w:rPr>
        <w:t>）、器械和放射学卫生中心（</w:t>
      </w:r>
      <w:r w:rsidRPr="00477BE4">
        <w:rPr>
          <w:rFonts w:ascii="Arial" w:hAnsi="Arial" w:cs="Arial"/>
          <w:sz w:val="21"/>
          <w:szCs w:val="21"/>
        </w:rPr>
        <w:t>CDRH</w:t>
      </w:r>
      <w:r w:rsidRPr="00477BE4">
        <w:rPr>
          <w:rFonts w:ascii="Arial" w:hAnsi="Arial" w:cs="Arial"/>
          <w:sz w:val="21"/>
          <w:szCs w:val="21"/>
        </w:rPr>
        <w:t>）、药品评价和研究中心（</w:t>
      </w:r>
      <w:r w:rsidRPr="00477BE4">
        <w:rPr>
          <w:rFonts w:ascii="Arial" w:hAnsi="Arial" w:cs="Arial"/>
          <w:sz w:val="21"/>
          <w:szCs w:val="21"/>
        </w:rPr>
        <w:t>CDER</w:t>
      </w:r>
      <w:r w:rsidRPr="00477BE4">
        <w:rPr>
          <w:rFonts w:ascii="Arial" w:hAnsi="Arial" w:cs="Arial"/>
          <w:sz w:val="21"/>
          <w:szCs w:val="21"/>
        </w:rPr>
        <w:t>）及法规事务办公室（</w:t>
      </w:r>
      <w:r w:rsidRPr="00477BE4">
        <w:rPr>
          <w:rFonts w:ascii="Arial" w:hAnsi="Arial" w:cs="Arial"/>
          <w:sz w:val="21"/>
          <w:szCs w:val="21"/>
        </w:rPr>
        <w:t>ORA</w:t>
      </w:r>
      <w:r w:rsidRPr="00477BE4">
        <w:rPr>
          <w:rFonts w:ascii="Arial" w:hAnsi="Arial" w:cs="Arial"/>
          <w:sz w:val="21"/>
          <w:szCs w:val="21"/>
        </w:rPr>
        <w:t>）共同制定。</w:t>
      </w:r>
    </w:p>
  </w:footnote>
  <w:footnote w:id="2">
    <w:p w:rsidR="00D01A1F" w:rsidRPr="00477BE4" w:rsidRDefault="00D01A1F" w:rsidP="00477BE4">
      <w:pPr>
        <w:pStyle w:val="a9"/>
        <w:rPr>
          <w:rFonts w:ascii="Arial" w:hAnsi="Arial" w:cs="Arial"/>
          <w:sz w:val="21"/>
          <w:szCs w:val="21"/>
        </w:rPr>
      </w:pPr>
      <w:r w:rsidRPr="00477BE4">
        <w:rPr>
          <w:rStyle w:val="aa"/>
          <w:rFonts w:ascii="Arial" w:hAnsi="Arial" w:cs="Arial"/>
          <w:sz w:val="21"/>
          <w:szCs w:val="21"/>
        </w:rPr>
        <w:footnoteRef/>
      </w:r>
      <w:r w:rsidRPr="00477BE4">
        <w:rPr>
          <w:rFonts w:ascii="Arial" w:hAnsi="Arial" w:cs="Arial"/>
          <w:sz w:val="21"/>
          <w:szCs w:val="21"/>
        </w:rPr>
        <w:t xml:space="preserve"> </w:t>
      </w:r>
      <w:r w:rsidRPr="00477BE4">
        <w:rPr>
          <w:rFonts w:ascii="Arial" w:eastAsia="宋体" w:hAnsi="Arial" w:cs="Arial"/>
          <w:sz w:val="21"/>
          <w:szCs w:val="21"/>
        </w:rPr>
        <w:t>临床研究者是临床研究的执行人或研究者团队的负责人。请参见</w:t>
      </w:r>
      <w:r w:rsidRPr="00477BE4">
        <w:rPr>
          <w:rFonts w:ascii="Arial" w:eastAsia="宋体" w:hAnsi="Arial" w:cs="Arial"/>
          <w:sz w:val="21"/>
          <w:szCs w:val="21"/>
        </w:rPr>
        <w:t xml:space="preserve"> 21 CFR 312.3 </w:t>
      </w:r>
      <w:r w:rsidRPr="00477BE4">
        <w:rPr>
          <w:rFonts w:ascii="Arial" w:eastAsia="宋体" w:hAnsi="Arial" w:cs="Arial"/>
          <w:sz w:val="21"/>
          <w:szCs w:val="21"/>
        </w:rPr>
        <w:t>和</w:t>
      </w:r>
      <w:r w:rsidRPr="00477BE4">
        <w:rPr>
          <w:rFonts w:ascii="Arial" w:eastAsia="宋体" w:hAnsi="Arial" w:cs="Arial"/>
          <w:sz w:val="21"/>
          <w:szCs w:val="21"/>
        </w:rPr>
        <w:t xml:space="preserve"> 812.3(i)</w:t>
      </w:r>
      <w:r w:rsidRPr="00477BE4">
        <w:rPr>
          <w:rFonts w:ascii="Arial" w:eastAsia="宋体" w:hAnsi="Arial" w:cs="Arial"/>
          <w:sz w:val="21"/>
          <w:szCs w:val="21"/>
        </w:rPr>
        <w:t>。临床研究者负责保护受研究者护理的受试者的权利、福利和健康。请参见</w:t>
      </w:r>
      <w:r w:rsidRPr="00477BE4">
        <w:rPr>
          <w:rFonts w:ascii="Arial" w:eastAsia="宋体" w:hAnsi="Arial" w:cs="Arial"/>
          <w:sz w:val="21"/>
          <w:szCs w:val="21"/>
        </w:rPr>
        <w:t xml:space="preserve"> 21 CFR 312.60 </w:t>
      </w:r>
      <w:r w:rsidRPr="00477BE4">
        <w:rPr>
          <w:rFonts w:ascii="Arial" w:eastAsia="宋体" w:hAnsi="Arial" w:cs="Arial"/>
          <w:sz w:val="21"/>
          <w:szCs w:val="21"/>
        </w:rPr>
        <w:t>和</w:t>
      </w:r>
      <w:r w:rsidRPr="00477BE4">
        <w:rPr>
          <w:rFonts w:ascii="Arial" w:eastAsia="宋体" w:hAnsi="Arial" w:cs="Arial"/>
          <w:sz w:val="21"/>
          <w:szCs w:val="21"/>
        </w:rPr>
        <w:t xml:space="preserve"> 812.100</w:t>
      </w:r>
      <w:r w:rsidRPr="00477BE4">
        <w:rPr>
          <w:rFonts w:ascii="Arial" w:eastAsia="宋体" w:hAnsi="Arial" w:cs="Arial"/>
          <w:sz w:val="21"/>
          <w:szCs w:val="21"/>
        </w:rPr>
        <w:t>。更多信息，请参阅</w:t>
      </w:r>
      <w:r w:rsidRPr="00477BE4">
        <w:rPr>
          <w:rFonts w:ascii="Arial" w:eastAsia="宋体" w:hAnsi="Arial" w:cs="Arial"/>
          <w:sz w:val="21"/>
          <w:szCs w:val="21"/>
        </w:rPr>
        <w:t>“</w:t>
      </w:r>
      <w:r w:rsidRPr="00477BE4">
        <w:rPr>
          <w:rFonts w:ascii="Arial" w:eastAsia="宋体" w:hAnsi="Arial" w:cs="Arial"/>
          <w:sz w:val="21"/>
          <w:szCs w:val="21"/>
        </w:rPr>
        <w:t>行业指南：研究者职责</w:t>
      </w:r>
      <w:r w:rsidRPr="00477BE4">
        <w:rPr>
          <w:rFonts w:ascii="Arial" w:eastAsia="宋体" w:hAnsi="Arial" w:cs="Arial"/>
          <w:sz w:val="21"/>
          <w:szCs w:val="21"/>
        </w:rPr>
        <w:t>——</w:t>
      </w:r>
      <w:r w:rsidRPr="00477BE4">
        <w:rPr>
          <w:rFonts w:ascii="Arial" w:eastAsia="宋体" w:hAnsi="Arial" w:cs="Arial"/>
          <w:sz w:val="21"/>
          <w:szCs w:val="21"/>
        </w:rPr>
        <w:t>保护研究受试者的权利、安全和福利</w:t>
      </w:r>
      <w:r w:rsidRPr="00477BE4">
        <w:rPr>
          <w:rFonts w:ascii="Arial" w:eastAsia="宋体" w:hAnsi="Arial" w:cs="Arial"/>
          <w:sz w:val="21"/>
          <w:szCs w:val="21"/>
        </w:rPr>
        <w:t xml:space="preserve">”: </w:t>
      </w:r>
      <w:hyperlink r:id="rId1">
        <w:r w:rsidRPr="00477BE4">
          <w:rPr>
            <w:rFonts w:ascii="Arial" w:eastAsia="宋体" w:hAnsi="Arial" w:cs="Arial"/>
            <w:color w:val="0000FF"/>
            <w:sz w:val="21"/>
            <w:szCs w:val="21"/>
            <w:u w:val="single" w:color="0000FF"/>
          </w:rPr>
          <w:t>http://www.fda.gov/downloads/Drugs/GuidanceComplianceRegulatoryInformation/Guidances/UCM187772.pdf</w:t>
        </w:r>
      </w:hyperlink>
      <w:r w:rsidRPr="00477BE4">
        <w:rPr>
          <w:rFonts w:ascii="Arial" w:eastAsia="宋体" w:hAnsi="Arial" w:cs="Arial"/>
          <w:color w:val="0000FF"/>
          <w:sz w:val="21"/>
          <w:szCs w:val="21"/>
        </w:rPr>
        <w:t>.</w:t>
      </w:r>
    </w:p>
  </w:footnote>
  <w:footnote w:id="3">
    <w:p w:rsidR="00D01A1F" w:rsidRPr="00477BE4" w:rsidRDefault="00D01A1F" w:rsidP="00477BE4">
      <w:pPr>
        <w:overflowPunct w:val="0"/>
        <w:snapToGrid w:val="0"/>
        <w:spacing w:line="300" w:lineRule="auto"/>
        <w:ind w:hanging="1"/>
        <w:rPr>
          <w:rFonts w:ascii="Arial" w:hAnsi="Arial" w:cs="Arial"/>
          <w:sz w:val="21"/>
          <w:szCs w:val="21"/>
        </w:rPr>
      </w:pPr>
      <w:r w:rsidRPr="00477BE4">
        <w:rPr>
          <w:rStyle w:val="aa"/>
          <w:rFonts w:ascii="Arial" w:hAnsi="Arial" w:cs="Arial"/>
          <w:sz w:val="21"/>
          <w:szCs w:val="21"/>
        </w:rPr>
        <w:footnoteRef/>
      </w:r>
      <w:r w:rsidRPr="00477BE4">
        <w:rPr>
          <w:rFonts w:ascii="Arial" w:hAnsi="Arial" w:cs="Arial"/>
          <w:sz w:val="21"/>
          <w:szCs w:val="21"/>
        </w:rPr>
        <w:t xml:space="preserve"> </w:t>
      </w:r>
      <w:r w:rsidRPr="00477BE4">
        <w:rPr>
          <w:rFonts w:ascii="Arial" w:eastAsia="宋体" w:hAnsi="Arial" w:cs="Arial"/>
          <w:sz w:val="21"/>
          <w:szCs w:val="21"/>
        </w:rPr>
        <w:t>有关研究者财务披露的要求，请参见</w:t>
      </w:r>
      <w:r w:rsidRPr="00477BE4">
        <w:rPr>
          <w:rFonts w:ascii="Arial" w:eastAsia="宋体" w:hAnsi="Arial" w:cs="Arial"/>
          <w:sz w:val="21"/>
          <w:szCs w:val="21"/>
        </w:rPr>
        <w:t xml:space="preserve">21 CFR </w:t>
      </w:r>
      <w:r w:rsidRPr="00477BE4">
        <w:rPr>
          <w:rFonts w:ascii="Arial" w:eastAsia="宋体" w:hAnsi="Arial" w:cs="Arial"/>
          <w:sz w:val="21"/>
          <w:szCs w:val="21"/>
        </w:rPr>
        <w:t>第</w:t>
      </w:r>
      <w:r w:rsidRPr="00477BE4">
        <w:rPr>
          <w:rFonts w:ascii="Arial" w:eastAsia="宋体" w:hAnsi="Arial" w:cs="Arial"/>
          <w:sz w:val="21"/>
          <w:szCs w:val="21"/>
        </w:rPr>
        <w:t>54</w:t>
      </w:r>
      <w:r w:rsidRPr="00477BE4">
        <w:rPr>
          <w:rFonts w:ascii="Arial" w:eastAsia="宋体" w:hAnsi="Arial" w:cs="Arial"/>
          <w:sz w:val="21"/>
          <w:szCs w:val="21"/>
        </w:rPr>
        <w:t>部分和</w:t>
      </w:r>
      <w:r w:rsidRPr="00477BE4">
        <w:rPr>
          <w:rFonts w:ascii="Arial" w:eastAsia="宋体" w:hAnsi="Arial" w:cs="Arial"/>
          <w:sz w:val="21"/>
          <w:szCs w:val="21"/>
        </w:rPr>
        <w:t>“</w:t>
      </w:r>
      <w:r w:rsidRPr="00477BE4">
        <w:rPr>
          <w:rFonts w:ascii="Arial" w:eastAsia="宋体" w:hAnsi="Arial" w:cs="Arial"/>
          <w:sz w:val="21"/>
          <w:szCs w:val="21"/>
        </w:rPr>
        <w:t>行业指南</w:t>
      </w:r>
      <w:r w:rsidRPr="00477BE4">
        <w:rPr>
          <w:rFonts w:ascii="Arial" w:eastAsia="宋体" w:hAnsi="Arial" w:cs="Arial"/>
          <w:sz w:val="21"/>
          <w:szCs w:val="21"/>
        </w:rPr>
        <w:t>-</w:t>
      </w:r>
      <w:r w:rsidRPr="00477BE4">
        <w:rPr>
          <w:rFonts w:ascii="Arial" w:eastAsia="宋体" w:hAnsi="Arial" w:cs="Arial"/>
          <w:sz w:val="21"/>
          <w:szCs w:val="21"/>
        </w:rPr>
        <w:t>临床研究者的财务披露</w:t>
      </w:r>
      <w:r w:rsidRPr="00477BE4">
        <w:rPr>
          <w:rFonts w:ascii="Arial" w:eastAsia="宋体" w:hAnsi="Arial" w:cs="Arial"/>
          <w:sz w:val="21"/>
          <w:szCs w:val="21"/>
        </w:rPr>
        <w:t>”</w:t>
      </w:r>
      <w:r w:rsidRPr="00477BE4">
        <w:rPr>
          <w:rFonts w:ascii="Arial" w:eastAsia="宋体" w:hAnsi="Arial" w:cs="Arial"/>
          <w:sz w:val="21"/>
          <w:szCs w:val="21"/>
        </w:rPr>
        <w:t>：</w:t>
      </w:r>
      <w:r w:rsidRPr="00477BE4">
        <w:rPr>
          <w:rFonts w:ascii="Arial" w:eastAsia="宋体" w:hAnsi="Arial" w:cs="Arial"/>
          <w:sz w:val="21"/>
          <w:szCs w:val="21"/>
        </w:rPr>
        <w:br/>
      </w:r>
      <w:hyperlink r:id="rId2">
        <w:r w:rsidRPr="00477BE4">
          <w:rPr>
            <w:rFonts w:ascii="Arial" w:eastAsia="宋体" w:hAnsi="Arial" w:cs="Arial"/>
            <w:color w:val="0000FF"/>
            <w:sz w:val="21"/>
            <w:szCs w:val="21"/>
            <w:u w:val="single" w:color="0000FF"/>
          </w:rPr>
          <w:t>http://www.fda.gov/RegulatoryInformation/Guidances/ucm126832.htm</w:t>
        </w:r>
      </w:hyperlink>
      <w:r w:rsidRPr="00477BE4">
        <w:rPr>
          <w:rFonts w:ascii="Arial" w:eastAsia="宋体" w:hAnsi="Arial" w:cs="Arial"/>
          <w:sz w:val="21"/>
          <w:szCs w:val="21"/>
        </w:rPr>
        <w:t>.</w:t>
      </w:r>
    </w:p>
  </w:footnote>
  <w:footnote w:id="4">
    <w:p w:rsidR="00D01A1F" w:rsidRPr="00477BE4" w:rsidRDefault="00D01A1F" w:rsidP="00477BE4">
      <w:pPr>
        <w:overflowPunct w:val="0"/>
        <w:snapToGrid w:val="0"/>
        <w:spacing w:line="300" w:lineRule="auto"/>
        <w:rPr>
          <w:rFonts w:ascii="Arial" w:hAnsi="Arial" w:cs="Arial"/>
          <w:sz w:val="21"/>
          <w:szCs w:val="21"/>
        </w:rPr>
      </w:pPr>
      <w:r w:rsidRPr="00477BE4">
        <w:rPr>
          <w:rStyle w:val="aa"/>
          <w:rFonts w:ascii="Arial" w:hAnsi="Arial" w:cs="Arial"/>
          <w:sz w:val="21"/>
          <w:szCs w:val="21"/>
        </w:rPr>
        <w:footnoteRef/>
      </w:r>
      <w:r w:rsidRPr="00477BE4">
        <w:rPr>
          <w:rFonts w:ascii="Arial" w:hAnsi="Arial" w:cs="Arial"/>
          <w:sz w:val="21"/>
          <w:szCs w:val="21"/>
        </w:rPr>
        <w:t xml:space="preserve"> </w:t>
      </w:r>
      <w:r w:rsidRPr="00477BE4">
        <w:rPr>
          <w:rFonts w:ascii="Arial" w:eastAsia="宋体" w:hAnsi="Arial" w:cs="Arial"/>
          <w:sz w:val="21"/>
          <w:szCs w:val="21"/>
        </w:rPr>
        <w:t>有关电子记录及第</w:t>
      </w:r>
      <w:r w:rsidRPr="00477BE4">
        <w:rPr>
          <w:rFonts w:ascii="Arial" w:eastAsia="宋体" w:hAnsi="Arial" w:cs="Arial"/>
          <w:sz w:val="21"/>
          <w:szCs w:val="21"/>
        </w:rPr>
        <w:t>11</w:t>
      </w:r>
      <w:r w:rsidRPr="00477BE4">
        <w:rPr>
          <w:rFonts w:ascii="Arial" w:eastAsia="宋体" w:hAnsi="Arial" w:cs="Arial"/>
          <w:sz w:val="21"/>
          <w:szCs w:val="21"/>
        </w:rPr>
        <w:t>部分要求的更多信息，请参见</w:t>
      </w:r>
      <w:r w:rsidRPr="00477BE4">
        <w:rPr>
          <w:rFonts w:ascii="Arial" w:eastAsia="宋体" w:hAnsi="Arial" w:cs="Arial"/>
          <w:sz w:val="21"/>
          <w:szCs w:val="21"/>
        </w:rPr>
        <w:t xml:space="preserve"> 21 CFR</w:t>
      </w:r>
      <w:r w:rsidRPr="00477BE4">
        <w:rPr>
          <w:rFonts w:ascii="Arial" w:eastAsia="宋体" w:hAnsi="Arial" w:cs="Arial"/>
          <w:sz w:val="21"/>
          <w:szCs w:val="21"/>
        </w:rPr>
        <w:t>第</w:t>
      </w:r>
      <w:r w:rsidRPr="00477BE4">
        <w:rPr>
          <w:rFonts w:ascii="Arial" w:eastAsia="宋体" w:hAnsi="Arial" w:cs="Arial"/>
          <w:sz w:val="21"/>
          <w:szCs w:val="21"/>
        </w:rPr>
        <w:t>11</w:t>
      </w:r>
      <w:r w:rsidRPr="00477BE4">
        <w:rPr>
          <w:rFonts w:ascii="Arial" w:eastAsia="宋体" w:hAnsi="Arial" w:cs="Arial"/>
          <w:sz w:val="21"/>
          <w:szCs w:val="21"/>
        </w:rPr>
        <w:t>部分和</w:t>
      </w:r>
      <w:r w:rsidRPr="00477BE4">
        <w:rPr>
          <w:rFonts w:ascii="Arial" w:eastAsia="宋体" w:hAnsi="Arial" w:cs="Arial"/>
          <w:sz w:val="21"/>
          <w:szCs w:val="21"/>
        </w:rPr>
        <w:t>“</w:t>
      </w:r>
      <w:r w:rsidRPr="00477BE4">
        <w:rPr>
          <w:rFonts w:ascii="Arial" w:eastAsia="宋体" w:hAnsi="Arial" w:cs="Arial"/>
          <w:sz w:val="21"/>
          <w:szCs w:val="21"/>
        </w:rPr>
        <w:t>行业指南：</w:t>
      </w:r>
      <w:r w:rsidRPr="00477BE4">
        <w:rPr>
          <w:rFonts w:ascii="Arial" w:eastAsia="宋体" w:hAnsi="Arial" w:cs="Arial"/>
          <w:sz w:val="21"/>
          <w:szCs w:val="21"/>
        </w:rPr>
        <w:t xml:space="preserve"> </w:t>
      </w:r>
      <w:r w:rsidRPr="00477BE4">
        <w:rPr>
          <w:rFonts w:ascii="Arial" w:eastAsia="宋体" w:hAnsi="Arial" w:cs="Arial"/>
          <w:sz w:val="21"/>
          <w:szCs w:val="21"/>
        </w:rPr>
        <w:t>第</w:t>
      </w:r>
      <w:r w:rsidRPr="00477BE4">
        <w:rPr>
          <w:rFonts w:ascii="Arial" w:eastAsia="宋体" w:hAnsi="Arial" w:cs="Arial"/>
          <w:sz w:val="21"/>
          <w:szCs w:val="21"/>
        </w:rPr>
        <w:t>11</w:t>
      </w:r>
      <w:r w:rsidRPr="00477BE4">
        <w:rPr>
          <w:rFonts w:ascii="Arial" w:eastAsia="宋体" w:hAnsi="Arial" w:cs="Arial"/>
          <w:sz w:val="21"/>
          <w:szCs w:val="21"/>
        </w:rPr>
        <w:t>部分，电子记录，电子签名</w:t>
      </w:r>
      <w:r w:rsidRPr="00477BE4">
        <w:rPr>
          <w:rFonts w:ascii="Arial" w:eastAsia="宋体" w:hAnsi="Arial" w:cs="Arial"/>
          <w:sz w:val="21"/>
          <w:szCs w:val="21"/>
        </w:rPr>
        <w:t>-</w:t>
      </w:r>
      <w:r w:rsidRPr="00477BE4">
        <w:rPr>
          <w:rFonts w:ascii="Arial" w:eastAsia="宋体" w:hAnsi="Arial" w:cs="Arial"/>
          <w:sz w:val="21"/>
          <w:szCs w:val="21"/>
        </w:rPr>
        <w:t>范围和应用</w:t>
      </w:r>
      <w:r w:rsidRPr="00477BE4">
        <w:rPr>
          <w:rFonts w:ascii="Arial" w:eastAsia="宋体" w:hAnsi="Arial" w:cs="Arial"/>
          <w:sz w:val="21"/>
          <w:szCs w:val="21"/>
        </w:rPr>
        <w:t>”</w:t>
      </w:r>
      <w:r w:rsidRPr="00477BE4">
        <w:rPr>
          <w:rFonts w:ascii="Arial" w:eastAsia="宋体" w:hAnsi="Arial" w:cs="Arial"/>
          <w:sz w:val="21"/>
          <w:szCs w:val="21"/>
        </w:rPr>
        <w:t>：</w:t>
      </w:r>
      <w:r w:rsidR="00605923" w:rsidRPr="00477BE4">
        <w:rPr>
          <w:rFonts w:ascii="Arial" w:eastAsia="宋体" w:hAnsi="Arial" w:cs="Arial"/>
          <w:sz w:val="21"/>
          <w:szCs w:val="21"/>
        </w:rPr>
        <w:br/>
      </w:r>
      <w:hyperlink r:id="rId3">
        <w:r w:rsidRPr="00477BE4">
          <w:rPr>
            <w:rFonts w:ascii="Arial" w:eastAsia="宋体" w:hAnsi="Arial" w:cs="Arial"/>
            <w:color w:val="0000FF"/>
            <w:sz w:val="21"/>
            <w:szCs w:val="21"/>
            <w:u w:val="single" w:color="0000FF"/>
          </w:rPr>
          <w:t>http://www.fda.gov/downloads/RegulatoryInformation/Guidances/ucm125125.pdf</w:t>
        </w:r>
      </w:hyperlink>
      <w:r w:rsidRPr="00477BE4">
        <w:rPr>
          <w:rFonts w:ascii="Arial" w:eastAsia="宋体" w:hAnsi="Arial" w:cs="Arial"/>
          <w:sz w:val="21"/>
          <w:szCs w:val="21"/>
        </w:rPr>
        <w:t>.</w:t>
      </w:r>
      <w:r w:rsidRPr="00477BE4">
        <w:rPr>
          <w:rFonts w:ascii="Arial" w:eastAsia="宋体" w:hAnsi="Arial" w:cs="Arial"/>
          <w:sz w:val="21"/>
          <w:szCs w:val="21"/>
        </w:rPr>
        <w:t>此外，还可参阅临床研究中使用计算机系统的补充指南：</w:t>
      </w:r>
      <w:hyperlink r:id="rId4">
        <w:r w:rsidRPr="00477BE4">
          <w:rPr>
            <w:rFonts w:ascii="Arial" w:eastAsia="宋体" w:hAnsi="Arial" w:cs="Arial"/>
            <w:color w:val="0000FF"/>
            <w:sz w:val="21"/>
            <w:szCs w:val="21"/>
          </w:rPr>
          <w:t xml:space="preserve"> </w:t>
        </w:r>
      </w:hyperlink>
      <w:hyperlink r:id="rId5">
        <w:r w:rsidRPr="00477BE4">
          <w:rPr>
            <w:rFonts w:ascii="Arial" w:eastAsia="宋体" w:hAnsi="Arial" w:cs="Arial"/>
            <w:color w:val="0000FF"/>
            <w:sz w:val="21"/>
            <w:szCs w:val="21"/>
            <w:u w:val="single" w:color="0000FF"/>
          </w:rPr>
          <w:t>http://www.fda.gov/downloads/Drugs/GuidanceComplianceRegulatoryInformation/Guidances/UCM070266.pdf</w:t>
        </w:r>
      </w:hyperlink>
      <w:r w:rsidRPr="00477BE4">
        <w:rPr>
          <w:rFonts w:ascii="Arial" w:eastAsia="宋体" w:hAnsi="Arial" w:cs="Arial"/>
          <w:sz w:val="21"/>
          <w:szCs w:val="21"/>
        </w:rPr>
        <w:t>.</w:t>
      </w:r>
    </w:p>
  </w:footnote>
  <w:footnote w:id="5">
    <w:p w:rsidR="00605923" w:rsidRPr="00477BE4" w:rsidRDefault="00605923" w:rsidP="00477BE4">
      <w:pPr>
        <w:pStyle w:val="a9"/>
        <w:rPr>
          <w:rFonts w:ascii="Arial" w:hAnsi="Arial" w:cs="Arial"/>
          <w:sz w:val="21"/>
          <w:szCs w:val="21"/>
        </w:rPr>
      </w:pPr>
      <w:r w:rsidRPr="00477BE4">
        <w:rPr>
          <w:rStyle w:val="aa"/>
          <w:rFonts w:ascii="Arial" w:hAnsi="Arial" w:cs="Arial"/>
          <w:sz w:val="21"/>
          <w:szCs w:val="21"/>
        </w:rPr>
        <w:footnoteRef/>
      </w:r>
      <w:r w:rsidRPr="00477BE4">
        <w:rPr>
          <w:rFonts w:ascii="Arial" w:hAnsi="Arial" w:cs="Arial"/>
          <w:sz w:val="21"/>
          <w:szCs w:val="21"/>
        </w:rPr>
        <w:t xml:space="preserve"> </w:t>
      </w:r>
      <w:hyperlink r:id="rId6">
        <w:r w:rsidRPr="00477BE4">
          <w:rPr>
            <w:rFonts w:ascii="Arial" w:eastAsia="宋体" w:hAnsi="Arial" w:cs="Arial"/>
            <w:color w:val="0000FF"/>
            <w:sz w:val="21"/>
            <w:szCs w:val="21"/>
            <w:u w:val="single" w:color="0000FF"/>
          </w:rPr>
          <w:t>http://www.fda.gov/downloads/ICECI/EnforcementActions/BioresearchMonitoring/ucm133773.pdf</w:t>
        </w:r>
      </w:hyperlink>
      <w:r w:rsidRPr="00477BE4">
        <w:rPr>
          <w:rFonts w:ascii="Arial" w:eastAsia="宋体" w:hAnsi="Arial" w:cs="Arial"/>
          <w:sz w:val="21"/>
          <w:szCs w:val="21"/>
        </w:rPr>
        <w:t>.</w:t>
      </w:r>
    </w:p>
  </w:footnote>
  <w:footnote w:id="6">
    <w:p w:rsidR="00605923" w:rsidRPr="00477BE4" w:rsidRDefault="00605923" w:rsidP="00477BE4">
      <w:pPr>
        <w:pStyle w:val="a9"/>
        <w:rPr>
          <w:rFonts w:ascii="Arial" w:hAnsi="Arial" w:cs="Arial"/>
          <w:sz w:val="21"/>
          <w:szCs w:val="21"/>
        </w:rPr>
      </w:pPr>
      <w:r w:rsidRPr="00477BE4">
        <w:rPr>
          <w:rStyle w:val="aa"/>
          <w:rFonts w:ascii="Arial" w:hAnsi="Arial" w:cs="Arial"/>
          <w:sz w:val="21"/>
          <w:szCs w:val="21"/>
        </w:rPr>
        <w:footnoteRef/>
      </w:r>
      <w:r w:rsidRPr="00477BE4">
        <w:rPr>
          <w:rFonts w:ascii="Arial" w:hAnsi="Arial" w:cs="Arial"/>
          <w:sz w:val="21"/>
          <w:szCs w:val="21"/>
        </w:rPr>
        <w:t xml:space="preserve"> </w:t>
      </w:r>
      <w:hyperlink r:id="rId7">
        <w:r w:rsidRPr="00477BE4">
          <w:rPr>
            <w:rFonts w:ascii="Arial" w:eastAsia="宋体" w:hAnsi="Arial" w:cs="Arial"/>
            <w:color w:val="0000FF"/>
            <w:sz w:val="21"/>
            <w:szCs w:val="21"/>
            <w:u w:val="single" w:color="0000FF"/>
          </w:rPr>
          <w:t>Ibid</w:t>
        </w:r>
      </w:hyperlink>
      <w:r w:rsidRPr="00477BE4">
        <w:rPr>
          <w:rFonts w:ascii="Arial" w:eastAsia="宋体" w:hAnsi="Arial" w:cs="Arial"/>
          <w:sz w:val="21"/>
          <w:szCs w:val="21"/>
        </w:rPr>
        <w:t>.</w:t>
      </w:r>
    </w:p>
  </w:footnote>
  <w:footnote w:id="7">
    <w:p w:rsidR="00605923" w:rsidRPr="00477BE4" w:rsidRDefault="00605923" w:rsidP="00477BE4">
      <w:pPr>
        <w:pStyle w:val="a9"/>
        <w:rPr>
          <w:rFonts w:ascii="Arial" w:hAnsi="Arial" w:cs="Arial"/>
          <w:sz w:val="21"/>
          <w:szCs w:val="21"/>
        </w:rPr>
      </w:pPr>
      <w:r w:rsidRPr="00477BE4">
        <w:rPr>
          <w:rStyle w:val="aa"/>
          <w:rFonts w:ascii="Arial" w:hAnsi="Arial" w:cs="Arial"/>
          <w:sz w:val="21"/>
          <w:szCs w:val="21"/>
        </w:rPr>
        <w:footnoteRef/>
      </w:r>
      <w:r w:rsidRPr="00477BE4">
        <w:rPr>
          <w:rFonts w:ascii="Arial" w:hAnsi="Arial" w:cs="Arial"/>
          <w:sz w:val="21"/>
          <w:szCs w:val="21"/>
        </w:rPr>
        <w:t xml:space="preserve"> </w:t>
      </w:r>
      <w:r w:rsidRPr="00477BE4">
        <w:rPr>
          <w:rFonts w:ascii="Arial" w:eastAsia="宋体" w:hAnsi="Arial" w:cs="Arial"/>
          <w:sz w:val="21"/>
          <w:szCs w:val="21"/>
        </w:rPr>
        <w:t xml:space="preserve">21 CFR </w:t>
      </w:r>
      <w:r w:rsidRPr="00477BE4">
        <w:rPr>
          <w:rFonts w:ascii="Arial" w:eastAsia="宋体" w:hAnsi="Arial" w:cs="Arial"/>
          <w:sz w:val="21"/>
          <w:szCs w:val="21"/>
        </w:rPr>
        <w:t>第</w:t>
      </w:r>
      <w:r w:rsidRPr="00477BE4">
        <w:rPr>
          <w:rFonts w:ascii="Arial" w:eastAsia="宋体" w:hAnsi="Arial" w:cs="Arial"/>
          <w:sz w:val="21"/>
          <w:szCs w:val="21"/>
        </w:rPr>
        <w:t>814</w:t>
      </w:r>
      <w:r w:rsidRPr="00477BE4">
        <w:rPr>
          <w:rFonts w:ascii="Arial" w:eastAsia="宋体" w:hAnsi="Arial" w:cs="Arial"/>
          <w:sz w:val="21"/>
          <w:szCs w:val="21"/>
        </w:rPr>
        <w:t>部分指，</w:t>
      </w:r>
      <w:r w:rsidRPr="00477BE4">
        <w:rPr>
          <w:rFonts w:ascii="Arial" w:eastAsia="宋体" w:hAnsi="Arial" w:cs="Arial"/>
          <w:sz w:val="21"/>
          <w:szCs w:val="21"/>
        </w:rPr>
        <w:t>1983</w:t>
      </w:r>
      <w:r w:rsidRPr="00477BE4">
        <w:rPr>
          <w:rFonts w:ascii="Arial" w:eastAsia="宋体" w:hAnsi="Arial" w:cs="Arial"/>
          <w:sz w:val="21"/>
          <w:szCs w:val="21"/>
        </w:rPr>
        <w:t>年修订的《赫尔辛基宣言》。该宣言随后进行了修订，但</w:t>
      </w:r>
      <w:r w:rsidRPr="00477BE4">
        <w:rPr>
          <w:rFonts w:ascii="Arial" w:eastAsia="宋体" w:hAnsi="Arial" w:cs="Arial"/>
          <w:sz w:val="21"/>
          <w:szCs w:val="21"/>
        </w:rPr>
        <w:t>FDA</w:t>
      </w:r>
      <w:r w:rsidRPr="00477BE4">
        <w:rPr>
          <w:rFonts w:ascii="Arial" w:eastAsia="宋体" w:hAnsi="Arial" w:cs="Arial"/>
          <w:sz w:val="21"/>
          <w:szCs w:val="21"/>
        </w:rPr>
        <w:t>尚未正式采用后续版本。</w:t>
      </w:r>
    </w:p>
  </w:footnote>
  <w:footnote w:id="8">
    <w:p w:rsidR="00E03171" w:rsidRPr="00477BE4" w:rsidRDefault="00E03171" w:rsidP="00477BE4">
      <w:pPr>
        <w:pStyle w:val="a9"/>
        <w:rPr>
          <w:rFonts w:ascii="Arial" w:hAnsi="Arial" w:cs="Arial"/>
          <w:sz w:val="21"/>
          <w:szCs w:val="21"/>
        </w:rPr>
      </w:pPr>
      <w:r w:rsidRPr="00477BE4">
        <w:rPr>
          <w:rStyle w:val="aa"/>
          <w:rFonts w:ascii="Arial" w:hAnsi="Arial" w:cs="Arial"/>
          <w:sz w:val="21"/>
          <w:szCs w:val="21"/>
        </w:rPr>
        <w:footnoteRef/>
      </w:r>
      <w:r w:rsidRPr="00477BE4">
        <w:rPr>
          <w:rFonts w:ascii="Arial" w:hAnsi="Arial" w:cs="Arial"/>
          <w:sz w:val="21"/>
          <w:szCs w:val="21"/>
        </w:rPr>
        <w:t xml:space="preserve"> </w:t>
      </w:r>
      <w:r w:rsidR="00211FF4" w:rsidRPr="00477BE4">
        <w:rPr>
          <w:rFonts w:ascii="Arial" w:eastAsia="宋体" w:hAnsi="Arial" w:cs="Arial"/>
          <w:sz w:val="21"/>
          <w:szCs w:val="21"/>
        </w:rPr>
        <w:t>一般来说，</w:t>
      </w:r>
      <w:r w:rsidR="00211FF4" w:rsidRPr="00477BE4">
        <w:rPr>
          <w:rFonts w:ascii="Arial" w:eastAsia="宋体" w:hAnsi="Arial" w:cs="Arial"/>
          <w:sz w:val="21"/>
          <w:szCs w:val="21"/>
        </w:rPr>
        <w:t>FDA</w:t>
      </w:r>
      <w:r w:rsidR="00211FF4" w:rsidRPr="00477BE4">
        <w:rPr>
          <w:rFonts w:ascii="Arial" w:eastAsia="宋体" w:hAnsi="Arial" w:cs="Arial"/>
          <w:sz w:val="21"/>
          <w:szCs w:val="21"/>
        </w:rPr>
        <w:t>规定，应在</w:t>
      </w:r>
      <w:r w:rsidR="00211FF4" w:rsidRPr="00477BE4">
        <w:rPr>
          <w:rFonts w:ascii="Arial" w:eastAsia="宋体" w:hAnsi="Arial" w:cs="Arial"/>
          <w:sz w:val="21"/>
          <w:szCs w:val="21"/>
        </w:rPr>
        <w:t>15</w:t>
      </w:r>
      <w:r w:rsidR="00211FF4" w:rsidRPr="00477BE4">
        <w:rPr>
          <w:rFonts w:ascii="Arial" w:eastAsia="宋体" w:hAnsi="Arial" w:cs="Arial"/>
          <w:sz w:val="21"/>
          <w:szCs w:val="21"/>
        </w:rPr>
        <w:t>个工作日内对</w:t>
      </w:r>
      <w:r w:rsidR="00211FF4" w:rsidRPr="00477BE4">
        <w:rPr>
          <w:rFonts w:ascii="Arial" w:eastAsia="宋体" w:hAnsi="Arial" w:cs="Arial"/>
          <w:sz w:val="21"/>
          <w:szCs w:val="21"/>
        </w:rPr>
        <w:t>FDA 483</w:t>
      </w:r>
      <w:r w:rsidR="00211FF4" w:rsidRPr="00477BE4">
        <w:rPr>
          <w:rFonts w:ascii="Arial" w:eastAsia="宋体" w:hAnsi="Arial" w:cs="Arial"/>
          <w:sz w:val="21"/>
          <w:szCs w:val="21"/>
        </w:rPr>
        <w:t>表检查意见作出答复。如果</w:t>
      </w:r>
      <w:r w:rsidR="00211FF4" w:rsidRPr="00477BE4">
        <w:rPr>
          <w:rFonts w:ascii="Arial" w:eastAsia="宋体" w:hAnsi="Arial" w:cs="Arial"/>
          <w:sz w:val="21"/>
          <w:szCs w:val="21"/>
        </w:rPr>
        <w:t>FDA</w:t>
      </w:r>
      <w:r w:rsidR="00211FF4" w:rsidRPr="00477BE4">
        <w:rPr>
          <w:rFonts w:ascii="Arial" w:eastAsia="宋体" w:hAnsi="Arial" w:cs="Arial"/>
          <w:sz w:val="21"/>
          <w:szCs w:val="21"/>
        </w:rPr>
        <w:t>在</w:t>
      </w:r>
      <w:r w:rsidR="00211FF4" w:rsidRPr="00477BE4">
        <w:rPr>
          <w:rFonts w:ascii="Arial" w:eastAsia="宋体" w:hAnsi="Arial" w:cs="Arial"/>
          <w:sz w:val="21"/>
          <w:szCs w:val="21"/>
        </w:rPr>
        <w:t>FDA 483</w:t>
      </w:r>
      <w:r w:rsidR="00211FF4" w:rsidRPr="00477BE4">
        <w:rPr>
          <w:rFonts w:ascii="Arial" w:eastAsia="宋体" w:hAnsi="Arial" w:cs="Arial"/>
          <w:sz w:val="21"/>
          <w:szCs w:val="21"/>
        </w:rPr>
        <w:t>发布后的</w:t>
      </w:r>
      <w:r w:rsidR="00211FF4" w:rsidRPr="00477BE4">
        <w:rPr>
          <w:rFonts w:ascii="Arial" w:eastAsia="宋体" w:hAnsi="Arial" w:cs="Arial"/>
          <w:sz w:val="21"/>
          <w:szCs w:val="21"/>
        </w:rPr>
        <w:t>15</w:t>
      </w:r>
      <w:r w:rsidR="00211FF4" w:rsidRPr="00477BE4">
        <w:rPr>
          <w:rFonts w:ascii="Arial" w:eastAsia="宋体" w:hAnsi="Arial" w:cs="Arial"/>
          <w:sz w:val="21"/>
          <w:szCs w:val="21"/>
        </w:rPr>
        <w:t>个工作日内收到</w:t>
      </w:r>
      <w:r w:rsidR="00211FF4" w:rsidRPr="00477BE4">
        <w:rPr>
          <w:rFonts w:ascii="Arial" w:eastAsia="宋体" w:hAnsi="Arial" w:cs="Arial"/>
          <w:sz w:val="21"/>
          <w:szCs w:val="21"/>
        </w:rPr>
        <w:t>FDA 483</w:t>
      </w:r>
      <w:r w:rsidR="00211FF4" w:rsidRPr="00477BE4">
        <w:rPr>
          <w:rFonts w:ascii="Arial" w:eastAsia="宋体" w:hAnsi="Arial" w:cs="Arial"/>
          <w:sz w:val="21"/>
          <w:szCs w:val="21"/>
        </w:rPr>
        <w:t>意见的答复，</w:t>
      </w:r>
      <w:r w:rsidR="00211FF4" w:rsidRPr="00477BE4">
        <w:rPr>
          <w:rFonts w:ascii="Arial" w:eastAsia="宋体" w:hAnsi="Arial" w:cs="Arial"/>
          <w:sz w:val="21"/>
          <w:szCs w:val="21"/>
        </w:rPr>
        <w:t>FDA</w:t>
      </w:r>
      <w:r w:rsidR="00211FF4" w:rsidRPr="00477BE4">
        <w:rPr>
          <w:rFonts w:ascii="Arial" w:eastAsia="宋体" w:hAnsi="Arial" w:cs="Arial"/>
          <w:sz w:val="21"/>
          <w:szCs w:val="21"/>
        </w:rPr>
        <w:t>将在决定是否发出警告信之前对该答复进行详细的审查。如果</w:t>
      </w:r>
      <w:r w:rsidR="00211FF4" w:rsidRPr="00477BE4">
        <w:rPr>
          <w:rFonts w:ascii="Arial" w:eastAsia="宋体" w:hAnsi="Arial" w:cs="Arial"/>
          <w:sz w:val="21"/>
          <w:szCs w:val="21"/>
        </w:rPr>
        <w:t>FDA</w:t>
      </w:r>
      <w:r w:rsidR="00211FF4" w:rsidRPr="00477BE4">
        <w:rPr>
          <w:rFonts w:ascii="Arial" w:eastAsia="宋体" w:hAnsi="Arial" w:cs="Arial"/>
          <w:sz w:val="21"/>
          <w:szCs w:val="21"/>
        </w:rPr>
        <w:t>在</w:t>
      </w:r>
      <w:r w:rsidR="00211FF4" w:rsidRPr="00477BE4">
        <w:rPr>
          <w:rFonts w:ascii="Arial" w:eastAsia="宋体" w:hAnsi="Arial" w:cs="Arial"/>
          <w:sz w:val="21"/>
          <w:szCs w:val="21"/>
        </w:rPr>
        <w:t>FDA 483</w:t>
      </w:r>
      <w:r w:rsidR="00211FF4" w:rsidRPr="00477BE4">
        <w:rPr>
          <w:rFonts w:ascii="Arial" w:eastAsia="宋体" w:hAnsi="Arial" w:cs="Arial"/>
          <w:sz w:val="21"/>
          <w:szCs w:val="21"/>
        </w:rPr>
        <w:t>发布后超过</w:t>
      </w:r>
      <w:r w:rsidR="00211FF4" w:rsidRPr="00477BE4">
        <w:rPr>
          <w:rFonts w:ascii="Arial" w:eastAsia="宋体" w:hAnsi="Arial" w:cs="Arial"/>
          <w:sz w:val="21"/>
          <w:szCs w:val="21"/>
        </w:rPr>
        <w:t>15</w:t>
      </w:r>
      <w:r w:rsidR="00211FF4" w:rsidRPr="00477BE4">
        <w:rPr>
          <w:rFonts w:ascii="Arial" w:eastAsia="宋体" w:hAnsi="Arial" w:cs="Arial"/>
          <w:sz w:val="21"/>
          <w:szCs w:val="21"/>
        </w:rPr>
        <w:t>个工作日才收到</w:t>
      </w:r>
      <w:r w:rsidR="00211FF4" w:rsidRPr="00477BE4">
        <w:rPr>
          <w:rFonts w:ascii="Arial" w:eastAsia="宋体" w:hAnsi="Arial" w:cs="Arial"/>
          <w:sz w:val="21"/>
          <w:szCs w:val="21"/>
        </w:rPr>
        <w:t>FDA 483</w:t>
      </w:r>
      <w:r w:rsidR="00211FF4" w:rsidRPr="00477BE4">
        <w:rPr>
          <w:rFonts w:ascii="Arial" w:eastAsia="宋体" w:hAnsi="Arial" w:cs="Arial"/>
          <w:sz w:val="21"/>
          <w:szCs w:val="21"/>
        </w:rPr>
        <w:t>意见的答复，</w:t>
      </w:r>
      <w:r w:rsidR="00211FF4" w:rsidRPr="00477BE4">
        <w:rPr>
          <w:rFonts w:ascii="Arial" w:eastAsia="宋体" w:hAnsi="Arial" w:cs="Arial"/>
          <w:sz w:val="21"/>
          <w:szCs w:val="21"/>
        </w:rPr>
        <w:t>FDA</w:t>
      </w:r>
      <w:r w:rsidR="00211FF4" w:rsidRPr="00477BE4">
        <w:rPr>
          <w:rFonts w:ascii="Arial" w:eastAsia="宋体" w:hAnsi="Arial" w:cs="Arial"/>
          <w:sz w:val="21"/>
          <w:szCs w:val="21"/>
        </w:rPr>
        <w:t>不会在警告函中明确地对纠正措施的充分性作出回应。请参见</w:t>
      </w:r>
      <w:r w:rsidR="00211FF4" w:rsidRPr="00477BE4">
        <w:rPr>
          <w:rFonts w:ascii="Arial" w:eastAsia="宋体" w:hAnsi="Arial" w:cs="Arial"/>
          <w:sz w:val="21"/>
          <w:szCs w:val="21"/>
        </w:rPr>
        <w:t xml:space="preserve"> 74 FR 40211</w:t>
      </w:r>
      <w:r w:rsidR="00211FF4" w:rsidRPr="00477BE4">
        <w:rPr>
          <w:rFonts w:ascii="Arial" w:eastAsia="宋体" w:hAnsi="Arial" w:cs="Arial"/>
          <w:sz w:val="21"/>
          <w:szCs w:val="21"/>
        </w:rPr>
        <w:t>（</w:t>
      </w:r>
      <w:r w:rsidR="00211FF4" w:rsidRPr="00477BE4">
        <w:rPr>
          <w:rFonts w:ascii="Arial" w:eastAsia="宋体" w:hAnsi="Arial" w:cs="Arial"/>
          <w:sz w:val="21"/>
          <w:szCs w:val="21"/>
        </w:rPr>
        <w:t>2009</w:t>
      </w:r>
      <w:r w:rsidR="00211FF4" w:rsidRPr="00477BE4">
        <w:rPr>
          <w:rFonts w:ascii="Arial" w:eastAsia="宋体" w:hAnsi="Arial" w:cs="Arial"/>
          <w:sz w:val="21"/>
          <w:szCs w:val="21"/>
        </w:rPr>
        <w:t>年</w:t>
      </w:r>
      <w:r w:rsidR="00211FF4" w:rsidRPr="00477BE4">
        <w:rPr>
          <w:rFonts w:ascii="Arial" w:eastAsia="宋体" w:hAnsi="Arial" w:cs="Arial"/>
          <w:sz w:val="21"/>
          <w:szCs w:val="21"/>
        </w:rPr>
        <w:t>8</w:t>
      </w:r>
      <w:r w:rsidR="00211FF4" w:rsidRPr="00477BE4">
        <w:rPr>
          <w:rFonts w:ascii="Arial" w:eastAsia="宋体" w:hAnsi="Arial" w:cs="Arial"/>
          <w:sz w:val="21"/>
          <w:szCs w:val="21"/>
        </w:rPr>
        <w:t>月</w:t>
      </w:r>
      <w:r w:rsidR="00211FF4" w:rsidRPr="00477BE4">
        <w:rPr>
          <w:rFonts w:ascii="Arial" w:eastAsia="宋体" w:hAnsi="Arial" w:cs="Arial"/>
          <w:sz w:val="21"/>
          <w:szCs w:val="21"/>
        </w:rPr>
        <w:t>11</w:t>
      </w:r>
      <w:r w:rsidR="00211FF4" w:rsidRPr="00477BE4">
        <w:rPr>
          <w:rFonts w:ascii="Arial" w:eastAsia="宋体" w:hAnsi="Arial" w:cs="Arial"/>
          <w:sz w:val="21"/>
          <w:szCs w:val="21"/>
        </w:rPr>
        <w:t>日）：</w:t>
      </w:r>
      <w:hyperlink r:id="rId8">
        <w:r w:rsidR="00211FF4" w:rsidRPr="00477BE4">
          <w:rPr>
            <w:rFonts w:ascii="Arial" w:eastAsia="宋体" w:hAnsi="Arial" w:cs="Arial"/>
            <w:color w:val="0000FF"/>
            <w:sz w:val="21"/>
            <w:szCs w:val="21"/>
            <w:u w:val="single" w:color="0000FF"/>
          </w:rPr>
          <w:t>http://www.regulations.gov/search/Regs/home.html#documentDetail?R=0900006480a0583c</w:t>
        </w:r>
      </w:hyperlink>
      <w:r w:rsidR="00211FF4" w:rsidRPr="00477BE4">
        <w:rPr>
          <w:rFonts w:ascii="Arial" w:eastAsia="宋体" w:hAnsi="Arial" w:cs="Arial"/>
          <w:sz w:val="21"/>
          <w:szCs w:val="21"/>
        </w:rPr>
        <w:t>.</w:t>
      </w:r>
    </w:p>
  </w:footnote>
  <w:footnote w:id="9">
    <w:p w:rsidR="00E03171" w:rsidRPr="00477BE4" w:rsidRDefault="00E03171" w:rsidP="00477BE4">
      <w:pPr>
        <w:pStyle w:val="a9"/>
        <w:rPr>
          <w:rFonts w:ascii="Arial" w:hAnsi="Arial" w:cs="Arial"/>
          <w:sz w:val="21"/>
          <w:szCs w:val="21"/>
        </w:rPr>
      </w:pPr>
      <w:r w:rsidRPr="00477BE4">
        <w:rPr>
          <w:rStyle w:val="aa"/>
          <w:rFonts w:ascii="Arial" w:hAnsi="Arial" w:cs="Arial"/>
          <w:sz w:val="21"/>
          <w:szCs w:val="21"/>
        </w:rPr>
        <w:footnoteRef/>
      </w:r>
      <w:r w:rsidRPr="00477BE4">
        <w:rPr>
          <w:rFonts w:ascii="Arial" w:hAnsi="Arial" w:cs="Arial"/>
          <w:sz w:val="21"/>
          <w:szCs w:val="21"/>
        </w:rPr>
        <w:t xml:space="preserve"> </w:t>
      </w:r>
      <w:hyperlink r:id="rId9">
        <w:r w:rsidR="00211FF4" w:rsidRPr="00477BE4">
          <w:rPr>
            <w:rFonts w:ascii="Arial" w:eastAsia="宋体" w:hAnsi="Arial" w:cs="Arial"/>
            <w:color w:val="0000FF"/>
            <w:sz w:val="21"/>
            <w:szCs w:val="21"/>
            <w:u w:val="single" w:color="0000FF"/>
          </w:rPr>
          <w:t>http://www.fda.gov/downloads/ICECI/EnforcementActions/BioresearchMonitoring/ucm133773.pdf</w:t>
        </w:r>
      </w:hyperlink>
      <w:r w:rsidR="00211FF4" w:rsidRPr="00477BE4">
        <w:rPr>
          <w:rFonts w:ascii="Arial" w:eastAsia="宋体" w:hAnsi="Arial" w:cs="Arial"/>
          <w:sz w:val="21"/>
          <w:szCs w:val="21"/>
        </w:rPr>
        <w:t>.</w:t>
      </w:r>
    </w:p>
  </w:footnote>
  <w:footnote w:id="10">
    <w:p w:rsidR="00E03171" w:rsidRPr="00477BE4" w:rsidRDefault="00E03171" w:rsidP="00477BE4">
      <w:pPr>
        <w:pStyle w:val="a9"/>
        <w:rPr>
          <w:rFonts w:ascii="Arial" w:hAnsi="Arial" w:cs="Arial"/>
          <w:sz w:val="21"/>
          <w:szCs w:val="21"/>
        </w:rPr>
      </w:pPr>
      <w:r w:rsidRPr="00477BE4">
        <w:rPr>
          <w:rStyle w:val="aa"/>
          <w:rFonts w:ascii="Arial" w:hAnsi="Arial" w:cs="Arial"/>
          <w:sz w:val="21"/>
          <w:szCs w:val="21"/>
        </w:rPr>
        <w:footnoteRef/>
      </w:r>
      <w:r w:rsidRPr="00477BE4">
        <w:rPr>
          <w:rFonts w:ascii="Arial" w:hAnsi="Arial" w:cs="Arial"/>
          <w:sz w:val="21"/>
          <w:szCs w:val="21"/>
        </w:rPr>
        <w:t xml:space="preserve"> </w:t>
      </w:r>
      <w:hyperlink r:id="rId10">
        <w:r w:rsidR="00211FF4" w:rsidRPr="00477BE4">
          <w:rPr>
            <w:rFonts w:ascii="Arial" w:eastAsia="宋体" w:hAnsi="Arial" w:cs="Arial"/>
            <w:color w:val="0000FF"/>
            <w:sz w:val="21"/>
            <w:szCs w:val="21"/>
            <w:u w:val="single" w:color="0000FF"/>
          </w:rPr>
          <w:t>http://www.fda.gov/ICECI/ComplianceManuals/RegulatoryProceduresManual/ucm176871.htm</w:t>
        </w:r>
      </w:hyperlink>
      <w:r w:rsidR="00211FF4" w:rsidRPr="00477BE4">
        <w:rPr>
          <w:rFonts w:ascii="Arial" w:eastAsia="宋体" w:hAnsi="Arial" w:cs="Arial"/>
          <w:sz w:val="21"/>
          <w:szCs w:val="21"/>
        </w:rPr>
        <w:t>.</w:t>
      </w:r>
    </w:p>
  </w:footnote>
  <w:footnote w:id="11">
    <w:p w:rsidR="001775EB" w:rsidRPr="00F220C1" w:rsidRDefault="001775EB" w:rsidP="00477BE4">
      <w:pPr>
        <w:pStyle w:val="a9"/>
        <w:rPr>
          <w:rFonts w:ascii="Arial" w:hAnsi="Arial" w:cs="Arial"/>
          <w:spacing w:val="-4"/>
          <w:sz w:val="21"/>
          <w:szCs w:val="21"/>
        </w:rPr>
      </w:pPr>
      <w:r w:rsidRPr="00F220C1">
        <w:rPr>
          <w:rStyle w:val="aa"/>
          <w:rFonts w:ascii="Arial" w:hAnsi="Arial" w:cs="Arial"/>
          <w:spacing w:val="-4"/>
          <w:sz w:val="21"/>
          <w:szCs w:val="21"/>
        </w:rPr>
        <w:footnoteRef/>
      </w:r>
      <w:r w:rsidRPr="00F220C1">
        <w:rPr>
          <w:rFonts w:ascii="Arial" w:hAnsi="Arial" w:cs="Arial"/>
          <w:spacing w:val="-4"/>
          <w:sz w:val="21"/>
          <w:szCs w:val="21"/>
        </w:rPr>
        <w:t xml:space="preserve"> </w:t>
      </w:r>
      <w:hyperlink r:id="rId11">
        <w:r w:rsidRPr="00F220C1">
          <w:rPr>
            <w:rFonts w:ascii="Arial" w:eastAsia="宋体" w:hAnsi="Arial" w:cs="Arial"/>
            <w:color w:val="0000FF"/>
            <w:spacing w:val="-4"/>
            <w:sz w:val="21"/>
            <w:szCs w:val="21"/>
            <w:u w:val="single" w:color="0000FF"/>
          </w:rPr>
          <w:t>http://www.fda.gov/ICECI/ComplianceManuals/RegulatoryProceduresManual/ucm176870.htm</w:t>
        </w:r>
      </w:hyperlink>
      <w:r w:rsidRPr="00F220C1">
        <w:rPr>
          <w:rFonts w:ascii="Arial" w:eastAsia="宋体" w:hAnsi="Arial" w:cs="Arial"/>
          <w:spacing w:val="-4"/>
          <w:sz w:val="21"/>
          <w:szCs w:val="21"/>
        </w:rPr>
        <w:t>.</w:t>
      </w:r>
    </w:p>
  </w:footnote>
  <w:footnote w:id="12">
    <w:p w:rsidR="001775EB" w:rsidRPr="00477BE4" w:rsidRDefault="001775EB" w:rsidP="00477BE4">
      <w:pPr>
        <w:pStyle w:val="a9"/>
        <w:rPr>
          <w:rFonts w:ascii="Arial" w:hAnsi="Arial" w:cs="Arial"/>
          <w:sz w:val="21"/>
          <w:szCs w:val="21"/>
        </w:rPr>
      </w:pPr>
      <w:r w:rsidRPr="00477BE4">
        <w:rPr>
          <w:rStyle w:val="aa"/>
          <w:rFonts w:ascii="Arial" w:hAnsi="Arial" w:cs="Arial"/>
          <w:sz w:val="21"/>
          <w:szCs w:val="21"/>
        </w:rPr>
        <w:footnoteRef/>
      </w:r>
      <w:r w:rsidRPr="00477BE4">
        <w:rPr>
          <w:rFonts w:ascii="Arial" w:hAnsi="Arial" w:cs="Arial"/>
          <w:sz w:val="21"/>
          <w:szCs w:val="21"/>
        </w:rPr>
        <w:t xml:space="preserve"> </w:t>
      </w:r>
      <w:hyperlink r:id="rId12">
        <w:r w:rsidRPr="00477BE4">
          <w:rPr>
            <w:rFonts w:ascii="Arial" w:eastAsia="宋体" w:hAnsi="Arial" w:cs="Arial"/>
            <w:color w:val="0000FF"/>
            <w:sz w:val="21"/>
            <w:szCs w:val="21"/>
            <w:u w:val="single" w:color="0000FF"/>
          </w:rPr>
          <w:t>http://www.fda.gov/downloads/RegulatoryInformation/Guidances/UCM214008.pdf</w:t>
        </w:r>
      </w:hyperlink>
      <w:r w:rsidRPr="00477BE4">
        <w:rPr>
          <w:rFonts w:ascii="Arial" w:eastAsia="宋体" w:hAnsi="Arial" w:cs="Arial"/>
          <w:sz w:val="21"/>
          <w:szCs w:val="21"/>
        </w:rPr>
        <w:t>.</w:t>
      </w:r>
    </w:p>
  </w:footnote>
  <w:footnote w:id="13">
    <w:p w:rsidR="001775EB" w:rsidRPr="00477BE4" w:rsidRDefault="001775EB" w:rsidP="00477BE4">
      <w:pPr>
        <w:pStyle w:val="a9"/>
        <w:rPr>
          <w:rFonts w:ascii="Arial" w:hAnsi="Arial" w:cs="Arial"/>
          <w:sz w:val="21"/>
          <w:szCs w:val="21"/>
        </w:rPr>
      </w:pPr>
      <w:r w:rsidRPr="00477BE4">
        <w:rPr>
          <w:rStyle w:val="aa"/>
          <w:rFonts w:ascii="Arial" w:hAnsi="Arial" w:cs="Arial"/>
          <w:sz w:val="21"/>
          <w:szCs w:val="21"/>
        </w:rPr>
        <w:footnoteRef/>
      </w:r>
      <w:r w:rsidRPr="00477BE4">
        <w:rPr>
          <w:rFonts w:ascii="Arial" w:hAnsi="Arial" w:cs="Arial"/>
          <w:sz w:val="21"/>
          <w:szCs w:val="21"/>
        </w:rPr>
        <w:t xml:space="preserve"> </w:t>
      </w:r>
      <w:hyperlink r:id="rId13">
        <w:r w:rsidRPr="00477BE4">
          <w:rPr>
            <w:rFonts w:ascii="Arial" w:eastAsia="宋体" w:hAnsi="Arial" w:cs="Arial"/>
            <w:color w:val="0000FF"/>
            <w:sz w:val="21"/>
            <w:szCs w:val="21"/>
            <w:u w:val="single" w:color="0000FF"/>
          </w:rPr>
          <w:t>http://www.fda.gov/downloads/ICECI/ComplianceManuals/RegulatoryProceduresManual/UCM074324.pdf</w:t>
        </w:r>
      </w:hyperlink>
      <w:r w:rsidRPr="00477BE4">
        <w:rPr>
          <w:rFonts w:ascii="Arial" w:eastAsia="宋体" w:hAnsi="Arial" w:cs="Arial"/>
          <w:sz w:val="21"/>
          <w:szCs w:val="21"/>
        </w:rPr>
        <w:t>.</w:t>
      </w:r>
    </w:p>
  </w:footnote>
  <w:footnote w:id="14">
    <w:p w:rsidR="001775EB" w:rsidRPr="00477BE4" w:rsidRDefault="001775EB" w:rsidP="00477BE4">
      <w:pPr>
        <w:pStyle w:val="a9"/>
        <w:rPr>
          <w:rFonts w:ascii="Arial" w:hAnsi="Arial" w:cs="Arial"/>
          <w:sz w:val="21"/>
          <w:szCs w:val="21"/>
        </w:rPr>
      </w:pPr>
      <w:r w:rsidRPr="00477BE4">
        <w:rPr>
          <w:rStyle w:val="aa"/>
          <w:rFonts w:ascii="Arial" w:hAnsi="Arial" w:cs="Arial"/>
          <w:sz w:val="21"/>
          <w:szCs w:val="21"/>
        </w:rPr>
        <w:footnoteRef/>
      </w:r>
      <w:r w:rsidRPr="00477BE4">
        <w:rPr>
          <w:rFonts w:ascii="Arial" w:hAnsi="Arial" w:cs="Arial"/>
          <w:sz w:val="21"/>
          <w:szCs w:val="21"/>
        </w:rPr>
        <w:t xml:space="preserve"> </w:t>
      </w:r>
      <w:r w:rsidRPr="00477BE4">
        <w:rPr>
          <w:rFonts w:ascii="Arial" w:eastAsia="宋体" w:hAnsi="Arial" w:cs="Arial"/>
          <w:sz w:val="21"/>
          <w:szCs w:val="21"/>
        </w:rPr>
        <w:t>FDA</w:t>
      </w:r>
      <w:r w:rsidRPr="00477BE4">
        <w:rPr>
          <w:rFonts w:ascii="Arial" w:eastAsia="宋体" w:hAnsi="Arial" w:cs="Arial"/>
          <w:sz w:val="21"/>
          <w:szCs w:val="21"/>
        </w:rPr>
        <w:t>向申办者和监管</w:t>
      </w:r>
      <w:r w:rsidRPr="00477BE4">
        <w:rPr>
          <w:rFonts w:ascii="Arial" w:eastAsia="宋体" w:hAnsi="Arial" w:cs="Arial"/>
          <w:sz w:val="21"/>
          <w:szCs w:val="21"/>
        </w:rPr>
        <w:t>IRB</w:t>
      </w:r>
      <w:r w:rsidRPr="00477BE4">
        <w:rPr>
          <w:rFonts w:ascii="Arial" w:eastAsia="宋体" w:hAnsi="Arial" w:cs="Arial"/>
          <w:sz w:val="21"/>
          <w:szCs w:val="21"/>
        </w:rPr>
        <w:t>披露此信息不违反</w:t>
      </w:r>
      <w:r w:rsidRPr="00477BE4">
        <w:rPr>
          <w:rFonts w:ascii="Arial" w:eastAsia="宋体" w:hAnsi="Arial" w:cs="Arial"/>
          <w:sz w:val="21"/>
          <w:szCs w:val="21"/>
        </w:rPr>
        <w:t>1974</w:t>
      </w:r>
      <w:r w:rsidRPr="00477BE4">
        <w:rPr>
          <w:rFonts w:ascii="Arial" w:eastAsia="宋体" w:hAnsi="Arial" w:cs="Arial"/>
          <w:sz w:val="21"/>
          <w:szCs w:val="21"/>
        </w:rPr>
        <w:t>年的《隐私法案》。请参见</w:t>
      </w:r>
      <w:r w:rsidRPr="00477BE4">
        <w:rPr>
          <w:rFonts w:ascii="Arial" w:eastAsia="宋体" w:hAnsi="Arial" w:cs="Arial"/>
          <w:sz w:val="21"/>
          <w:szCs w:val="21"/>
        </w:rPr>
        <w:t xml:space="preserve"> 63 FR 55873</w:t>
      </w:r>
      <w:r w:rsidRPr="00477BE4">
        <w:rPr>
          <w:rFonts w:ascii="Arial" w:eastAsia="宋体" w:hAnsi="Arial" w:cs="Arial"/>
          <w:sz w:val="21"/>
          <w:szCs w:val="21"/>
        </w:rPr>
        <w:t>，</w:t>
      </w:r>
      <w:r w:rsidRPr="00477BE4">
        <w:rPr>
          <w:rFonts w:ascii="Arial" w:eastAsia="宋体" w:hAnsi="Arial" w:cs="Arial"/>
          <w:sz w:val="21"/>
          <w:szCs w:val="21"/>
        </w:rPr>
        <w:t>1998</w:t>
      </w:r>
      <w:r w:rsidRPr="00477BE4">
        <w:rPr>
          <w:rFonts w:ascii="Arial" w:eastAsia="宋体" w:hAnsi="Arial" w:cs="Arial"/>
          <w:sz w:val="21"/>
          <w:szCs w:val="21"/>
        </w:rPr>
        <w:t>年</w:t>
      </w:r>
      <w:r w:rsidRPr="00477BE4">
        <w:rPr>
          <w:rFonts w:ascii="Arial" w:eastAsia="宋体" w:hAnsi="Arial" w:cs="Arial"/>
          <w:sz w:val="21"/>
          <w:szCs w:val="21"/>
        </w:rPr>
        <w:t>10</w:t>
      </w:r>
      <w:r w:rsidRPr="00477BE4">
        <w:rPr>
          <w:rFonts w:ascii="Arial" w:eastAsia="宋体" w:hAnsi="Arial" w:cs="Arial"/>
          <w:sz w:val="21"/>
          <w:szCs w:val="21"/>
        </w:rPr>
        <w:t>月</w:t>
      </w:r>
      <w:r w:rsidRPr="00477BE4">
        <w:rPr>
          <w:rFonts w:ascii="Arial" w:eastAsia="宋体" w:hAnsi="Arial" w:cs="Arial"/>
          <w:sz w:val="21"/>
          <w:szCs w:val="21"/>
        </w:rPr>
        <w:t>19</w:t>
      </w:r>
      <w:r w:rsidRPr="00477BE4">
        <w:rPr>
          <w:rFonts w:ascii="Arial" w:eastAsia="宋体" w:hAnsi="Arial" w:cs="Arial"/>
          <w:sz w:val="21"/>
          <w:szCs w:val="21"/>
        </w:rPr>
        <w:t>日</w:t>
      </w:r>
    </w:p>
  </w:footnote>
  <w:footnote w:id="15">
    <w:p w:rsidR="001775EB" w:rsidRPr="00477BE4" w:rsidRDefault="001775EB" w:rsidP="00477BE4">
      <w:pPr>
        <w:overflowPunct w:val="0"/>
        <w:snapToGrid w:val="0"/>
        <w:spacing w:line="300" w:lineRule="auto"/>
        <w:jc w:val="both"/>
        <w:rPr>
          <w:rFonts w:ascii="Arial" w:eastAsia="宋体" w:hAnsi="Arial" w:cs="Arial"/>
          <w:sz w:val="21"/>
          <w:szCs w:val="21"/>
        </w:rPr>
      </w:pPr>
      <w:r w:rsidRPr="00477BE4">
        <w:rPr>
          <w:rStyle w:val="aa"/>
          <w:rFonts w:ascii="Arial" w:hAnsi="Arial" w:cs="Arial"/>
          <w:sz w:val="21"/>
          <w:szCs w:val="21"/>
        </w:rPr>
        <w:footnoteRef/>
      </w:r>
      <w:r w:rsidRPr="00477BE4">
        <w:rPr>
          <w:rFonts w:ascii="Arial" w:hAnsi="Arial" w:cs="Arial"/>
          <w:sz w:val="21"/>
          <w:szCs w:val="21"/>
        </w:rPr>
        <w:t xml:space="preserve"> </w:t>
      </w:r>
      <w:r w:rsidRPr="00477BE4">
        <w:rPr>
          <w:rFonts w:ascii="Arial" w:eastAsia="宋体" w:hAnsi="Arial" w:cs="Arial"/>
          <w:sz w:val="21"/>
          <w:szCs w:val="21"/>
        </w:rPr>
        <w:t>此信息可用于涉及药品，</w:t>
      </w:r>
    </w:p>
    <w:p w:rsidR="001775EB" w:rsidRPr="00477BE4" w:rsidRDefault="001775EB" w:rsidP="00477BE4">
      <w:pPr>
        <w:pStyle w:val="a9"/>
        <w:rPr>
          <w:rFonts w:ascii="Arial" w:hAnsi="Arial" w:cs="Arial"/>
          <w:sz w:val="21"/>
          <w:szCs w:val="21"/>
        </w:rPr>
      </w:pPr>
      <w:r w:rsidRPr="00477BE4">
        <w:rPr>
          <w:rFonts w:ascii="Arial" w:eastAsia="宋体" w:hAnsi="Arial" w:cs="Arial"/>
          <w:color w:val="0000FF"/>
          <w:sz w:val="21"/>
          <w:szCs w:val="21"/>
          <w:u w:val="single" w:color="0000FF"/>
        </w:rPr>
        <w:t>http://www.accessdata.fda.gov/scripts/cder/cliil/index.cfm,</w:t>
      </w:r>
      <w:r w:rsidRPr="00477BE4">
        <w:rPr>
          <w:rFonts w:ascii="Arial" w:eastAsia="宋体" w:hAnsi="Arial" w:cs="Arial"/>
          <w:sz w:val="21"/>
          <w:szCs w:val="21"/>
        </w:rPr>
        <w:t>和</w:t>
      </w:r>
      <w:r w:rsidR="00BC117C">
        <w:rPr>
          <w:rFonts w:ascii="Arial" w:eastAsia="宋体" w:hAnsi="Arial" w:cs="Arial"/>
          <w:sz w:val="21"/>
          <w:szCs w:val="21"/>
        </w:rPr>
        <w:t>生物制剂</w:t>
      </w:r>
      <w:r w:rsidRPr="00477BE4">
        <w:rPr>
          <w:rFonts w:ascii="Arial" w:eastAsia="宋体" w:hAnsi="Arial" w:cs="Arial"/>
          <w:color w:val="0000FF"/>
          <w:sz w:val="21"/>
          <w:szCs w:val="21"/>
        </w:rPr>
        <w:t>http://www.fda.gov/downloads/BiologicsBloodVaccines/GuidanceComplianceRegulatoryInformation/ComplianceA</w:t>
      </w:r>
      <w:hyperlink r:id="rId14">
        <w:r w:rsidRPr="00477BE4">
          <w:rPr>
            <w:rFonts w:ascii="Arial" w:eastAsia="宋体" w:hAnsi="Arial" w:cs="Arial"/>
            <w:color w:val="0000FF"/>
            <w:sz w:val="21"/>
            <w:szCs w:val="21"/>
            <w:u w:val="single" w:color="0000FF"/>
          </w:rPr>
          <w:t>ctivities/UCM167052.pdf.</w:t>
        </w:r>
      </w:hyperlink>
      <w:hyperlink r:id="rId15"/>
      <w:r w:rsidRPr="00477BE4">
        <w:rPr>
          <w:rFonts w:ascii="Arial" w:eastAsia="宋体" w:hAnsi="Arial" w:cs="Arial"/>
          <w:sz w:val="21"/>
          <w:szCs w:val="21"/>
        </w:rPr>
        <w:t>的研究。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2B6" w:rsidRPr="007952B6" w:rsidRDefault="00BB756A" w:rsidP="007952B6">
    <w:pPr>
      <w:snapToGrid w:val="0"/>
      <w:spacing w:line="300" w:lineRule="auto"/>
      <w:ind w:left="23"/>
      <w:jc w:val="center"/>
      <w:rPr>
        <w:rFonts w:ascii="Times New Roman" w:eastAsia="宋体" w:hAnsi="Times New Roman" w:cs="Times New Roman"/>
        <w:sz w:val="21"/>
        <w:szCs w:val="21"/>
      </w:rPr>
    </w:pPr>
    <w:r>
      <w:rPr>
        <w:rFonts w:ascii="Times New Roman" w:eastAsia="宋体" w:hint="eastAsia"/>
        <w:i/>
        <w:sz w:val="21"/>
        <w:szCs w:val="21"/>
      </w:rPr>
      <w:t>所含建议</w:t>
    </w:r>
    <w:r w:rsidR="007952B6" w:rsidRPr="007952B6">
      <w:rPr>
        <w:rFonts w:ascii="Times New Roman" w:eastAsia="宋体" w:hint="eastAsia"/>
        <w:i/>
        <w:sz w:val="21"/>
        <w:szCs w:val="21"/>
      </w:rPr>
      <w:t>不具约束力</w:t>
    </w:r>
  </w:p>
  <w:p w:rsidR="00750CBF" w:rsidRPr="007952B6" w:rsidRDefault="00750CBF">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C44FC"/>
    <w:multiLevelType w:val="hybridMultilevel"/>
    <w:tmpl w:val="65A2590A"/>
    <w:lvl w:ilvl="0" w:tplc="61BE326C">
      <w:start w:val="1"/>
      <w:numFmt w:val="bullet"/>
      <w:lvlText w:val=""/>
      <w:lvlJc w:val="left"/>
      <w:pPr>
        <w:ind w:left="840" w:hanging="360"/>
      </w:pPr>
      <w:rPr>
        <w:rFonts w:ascii="Symbol" w:eastAsia="Symbol" w:hAnsi="Symbol" w:hint="default"/>
        <w:sz w:val="18"/>
        <w:szCs w:val="18"/>
      </w:rPr>
    </w:lvl>
    <w:lvl w:ilvl="1" w:tplc="D2326FA4">
      <w:start w:val="1"/>
      <w:numFmt w:val="bullet"/>
      <w:lvlText w:val="•"/>
      <w:lvlJc w:val="left"/>
      <w:pPr>
        <w:ind w:left="1714" w:hanging="360"/>
      </w:pPr>
      <w:rPr>
        <w:rFonts w:hint="default"/>
      </w:rPr>
    </w:lvl>
    <w:lvl w:ilvl="2" w:tplc="68F86B86">
      <w:start w:val="1"/>
      <w:numFmt w:val="bullet"/>
      <w:lvlText w:val="•"/>
      <w:lvlJc w:val="left"/>
      <w:pPr>
        <w:ind w:left="2588" w:hanging="360"/>
      </w:pPr>
      <w:rPr>
        <w:rFonts w:hint="default"/>
      </w:rPr>
    </w:lvl>
    <w:lvl w:ilvl="3" w:tplc="50728122">
      <w:start w:val="1"/>
      <w:numFmt w:val="bullet"/>
      <w:lvlText w:val="•"/>
      <w:lvlJc w:val="left"/>
      <w:pPr>
        <w:ind w:left="3462" w:hanging="360"/>
      </w:pPr>
      <w:rPr>
        <w:rFonts w:hint="default"/>
      </w:rPr>
    </w:lvl>
    <w:lvl w:ilvl="4" w:tplc="9064BFC6">
      <w:start w:val="1"/>
      <w:numFmt w:val="bullet"/>
      <w:lvlText w:val="•"/>
      <w:lvlJc w:val="left"/>
      <w:pPr>
        <w:ind w:left="4336" w:hanging="360"/>
      </w:pPr>
      <w:rPr>
        <w:rFonts w:hint="default"/>
      </w:rPr>
    </w:lvl>
    <w:lvl w:ilvl="5" w:tplc="C1904142">
      <w:start w:val="1"/>
      <w:numFmt w:val="bullet"/>
      <w:lvlText w:val="•"/>
      <w:lvlJc w:val="left"/>
      <w:pPr>
        <w:ind w:left="5210" w:hanging="360"/>
      </w:pPr>
      <w:rPr>
        <w:rFonts w:hint="default"/>
      </w:rPr>
    </w:lvl>
    <w:lvl w:ilvl="6" w:tplc="152A2FCC">
      <w:start w:val="1"/>
      <w:numFmt w:val="bullet"/>
      <w:lvlText w:val="•"/>
      <w:lvlJc w:val="left"/>
      <w:pPr>
        <w:ind w:left="6084" w:hanging="360"/>
      </w:pPr>
      <w:rPr>
        <w:rFonts w:hint="default"/>
      </w:rPr>
    </w:lvl>
    <w:lvl w:ilvl="7" w:tplc="202CA5AA">
      <w:start w:val="1"/>
      <w:numFmt w:val="bullet"/>
      <w:lvlText w:val="•"/>
      <w:lvlJc w:val="left"/>
      <w:pPr>
        <w:ind w:left="6958" w:hanging="360"/>
      </w:pPr>
      <w:rPr>
        <w:rFonts w:hint="default"/>
      </w:rPr>
    </w:lvl>
    <w:lvl w:ilvl="8" w:tplc="14149938">
      <w:start w:val="1"/>
      <w:numFmt w:val="bullet"/>
      <w:lvlText w:val="•"/>
      <w:lvlJc w:val="left"/>
      <w:pPr>
        <w:ind w:left="7832" w:hanging="360"/>
      </w:pPr>
      <w:rPr>
        <w:rFonts w:hint="default"/>
      </w:rPr>
    </w:lvl>
  </w:abstractNum>
  <w:abstractNum w:abstractNumId="1">
    <w:nsid w:val="36E06D92"/>
    <w:multiLevelType w:val="hybridMultilevel"/>
    <w:tmpl w:val="E4D42340"/>
    <w:lvl w:ilvl="0" w:tplc="BDD2BD2A">
      <w:start w:val="1"/>
      <w:numFmt w:val="upperRoman"/>
      <w:lvlText w:val="%1."/>
      <w:lvlJc w:val="left"/>
      <w:pPr>
        <w:ind w:left="1060" w:hanging="720"/>
        <w:jc w:val="right"/>
      </w:pPr>
      <w:rPr>
        <w:rFonts w:ascii="Arial" w:eastAsia="Times New Roman" w:hAnsi="Arial" w:cs="Arial" w:hint="default"/>
        <w:b/>
        <w:bCs/>
        <w:sz w:val="32"/>
        <w:szCs w:val="32"/>
      </w:rPr>
    </w:lvl>
    <w:lvl w:ilvl="1" w:tplc="99909954">
      <w:start w:val="1"/>
      <w:numFmt w:val="bullet"/>
      <w:lvlText w:val="•"/>
      <w:lvlJc w:val="left"/>
      <w:pPr>
        <w:ind w:left="900" w:hanging="359"/>
      </w:pPr>
      <w:rPr>
        <w:rFonts w:ascii="Times New Roman" w:eastAsia="Times New Roman" w:hAnsi="Times New Roman" w:hint="default"/>
        <w:sz w:val="24"/>
        <w:szCs w:val="24"/>
      </w:rPr>
    </w:lvl>
    <w:lvl w:ilvl="2" w:tplc="BB5A04D4">
      <w:start w:val="1"/>
      <w:numFmt w:val="bullet"/>
      <w:lvlText w:val="•"/>
      <w:lvlJc w:val="left"/>
      <w:pPr>
        <w:ind w:left="1060" w:hanging="359"/>
      </w:pPr>
      <w:rPr>
        <w:rFonts w:hint="default"/>
      </w:rPr>
    </w:lvl>
    <w:lvl w:ilvl="3" w:tplc="A6F45906">
      <w:start w:val="1"/>
      <w:numFmt w:val="bullet"/>
      <w:lvlText w:val="•"/>
      <w:lvlJc w:val="left"/>
      <w:pPr>
        <w:ind w:left="2122" w:hanging="359"/>
      </w:pPr>
      <w:rPr>
        <w:rFonts w:hint="default"/>
      </w:rPr>
    </w:lvl>
    <w:lvl w:ilvl="4" w:tplc="D2301716">
      <w:start w:val="1"/>
      <w:numFmt w:val="bullet"/>
      <w:lvlText w:val="•"/>
      <w:lvlJc w:val="left"/>
      <w:pPr>
        <w:ind w:left="3185" w:hanging="359"/>
      </w:pPr>
      <w:rPr>
        <w:rFonts w:hint="default"/>
      </w:rPr>
    </w:lvl>
    <w:lvl w:ilvl="5" w:tplc="F69A1582">
      <w:start w:val="1"/>
      <w:numFmt w:val="bullet"/>
      <w:lvlText w:val="•"/>
      <w:lvlJc w:val="left"/>
      <w:pPr>
        <w:ind w:left="4247" w:hanging="359"/>
      </w:pPr>
      <w:rPr>
        <w:rFonts w:hint="default"/>
      </w:rPr>
    </w:lvl>
    <w:lvl w:ilvl="6" w:tplc="8DD6CBF8">
      <w:start w:val="1"/>
      <w:numFmt w:val="bullet"/>
      <w:lvlText w:val="•"/>
      <w:lvlJc w:val="left"/>
      <w:pPr>
        <w:ind w:left="5310" w:hanging="359"/>
      </w:pPr>
      <w:rPr>
        <w:rFonts w:hint="default"/>
      </w:rPr>
    </w:lvl>
    <w:lvl w:ilvl="7" w:tplc="93884760">
      <w:start w:val="1"/>
      <w:numFmt w:val="bullet"/>
      <w:lvlText w:val="•"/>
      <w:lvlJc w:val="left"/>
      <w:pPr>
        <w:ind w:left="6372" w:hanging="359"/>
      </w:pPr>
      <w:rPr>
        <w:rFonts w:hint="default"/>
      </w:rPr>
    </w:lvl>
    <w:lvl w:ilvl="8" w:tplc="84C2A75E">
      <w:start w:val="1"/>
      <w:numFmt w:val="bullet"/>
      <w:lvlText w:val="•"/>
      <w:lvlJc w:val="left"/>
      <w:pPr>
        <w:ind w:left="7435" w:hanging="359"/>
      </w:pPr>
      <w:rPr>
        <w:rFonts w:hint="default"/>
      </w:rPr>
    </w:lvl>
  </w:abstractNum>
  <w:abstractNum w:abstractNumId="2">
    <w:nsid w:val="4159455C"/>
    <w:multiLevelType w:val="hybridMultilevel"/>
    <w:tmpl w:val="4AC0119A"/>
    <w:lvl w:ilvl="0" w:tplc="A2A06B3C">
      <w:start w:val="1"/>
      <w:numFmt w:val="bullet"/>
      <w:lvlText w:val=""/>
      <w:lvlJc w:val="left"/>
      <w:pPr>
        <w:ind w:left="1380" w:hanging="360"/>
      </w:pPr>
      <w:rPr>
        <w:rFonts w:ascii="Symbol" w:eastAsia="Symbol" w:hAnsi="Symbol" w:hint="default"/>
        <w:sz w:val="18"/>
        <w:szCs w:val="18"/>
      </w:rPr>
    </w:lvl>
    <w:lvl w:ilvl="1" w:tplc="3F4C9420">
      <w:start w:val="1"/>
      <w:numFmt w:val="bullet"/>
      <w:lvlText w:val="•"/>
      <w:lvlJc w:val="left"/>
      <w:pPr>
        <w:ind w:left="2198" w:hanging="360"/>
      </w:pPr>
      <w:rPr>
        <w:rFonts w:hint="default"/>
      </w:rPr>
    </w:lvl>
    <w:lvl w:ilvl="2" w:tplc="FF9E035C">
      <w:start w:val="1"/>
      <w:numFmt w:val="bullet"/>
      <w:lvlText w:val="•"/>
      <w:lvlJc w:val="left"/>
      <w:pPr>
        <w:ind w:left="3016" w:hanging="360"/>
      </w:pPr>
      <w:rPr>
        <w:rFonts w:hint="default"/>
      </w:rPr>
    </w:lvl>
    <w:lvl w:ilvl="3" w:tplc="376A57F2">
      <w:start w:val="1"/>
      <w:numFmt w:val="bullet"/>
      <w:lvlText w:val="•"/>
      <w:lvlJc w:val="left"/>
      <w:pPr>
        <w:ind w:left="3834" w:hanging="360"/>
      </w:pPr>
      <w:rPr>
        <w:rFonts w:hint="default"/>
      </w:rPr>
    </w:lvl>
    <w:lvl w:ilvl="4" w:tplc="45C055C2">
      <w:start w:val="1"/>
      <w:numFmt w:val="bullet"/>
      <w:lvlText w:val="•"/>
      <w:lvlJc w:val="left"/>
      <w:pPr>
        <w:ind w:left="4652" w:hanging="360"/>
      </w:pPr>
      <w:rPr>
        <w:rFonts w:hint="default"/>
      </w:rPr>
    </w:lvl>
    <w:lvl w:ilvl="5" w:tplc="56C2DB96">
      <w:start w:val="1"/>
      <w:numFmt w:val="bullet"/>
      <w:lvlText w:val="•"/>
      <w:lvlJc w:val="left"/>
      <w:pPr>
        <w:ind w:left="5470" w:hanging="360"/>
      </w:pPr>
      <w:rPr>
        <w:rFonts w:hint="default"/>
      </w:rPr>
    </w:lvl>
    <w:lvl w:ilvl="6" w:tplc="AA946AFE">
      <w:start w:val="1"/>
      <w:numFmt w:val="bullet"/>
      <w:lvlText w:val="•"/>
      <w:lvlJc w:val="left"/>
      <w:pPr>
        <w:ind w:left="6288" w:hanging="360"/>
      </w:pPr>
      <w:rPr>
        <w:rFonts w:hint="default"/>
      </w:rPr>
    </w:lvl>
    <w:lvl w:ilvl="7" w:tplc="20D29C60">
      <w:start w:val="1"/>
      <w:numFmt w:val="bullet"/>
      <w:lvlText w:val="•"/>
      <w:lvlJc w:val="left"/>
      <w:pPr>
        <w:ind w:left="7106" w:hanging="360"/>
      </w:pPr>
      <w:rPr>
        <w:rFonts w:hint="default"/>
      </w:rPr>
    </w:lvl>
    <w:lvl w:ilvl="8" w:tplc="B7524058">
      <w:start w:val="1"/>
      <w:numFmt w:val="bullet"/>
      <w:lvlText w:val="•"/>
      <w:lvlJc w:val="left"/>
      <w:pPr>
        <w:ind w:left="7924" w:hanging="360"/>
      </w:pPr>
      <w:rPr>
        <w:rFonts w:hint="default"/>
      </w:rPr>
    </w:lvl>
  </w:abstractNum>
  <w:abstractNum w:abstractNumId="3">
    <w:nsid w:val="44801432"/>
    <w:multiLevelType w:val="hybridMultilevel"/>
    <w:tmpl w:val="E1868F10"/>
    <w:lvl w:ilvl="0" w:tplc="FD4E292A">
      <w:start w:val="1"/>
      <w:numFmt w:val="bullet"/>
      <w:lvlText w:val=""/>
      <w:lvlJc w:val="left"/>
      <w:pPr>
        <w:ind w:left="840" w:hanging="360"/>
      </w:pPr>
      <w:rPr>
        <w:rFonts w:ascii="Symbol" w:eastAsia="Symbol" w:hAnsi="Symbol" w:hint="default"/>
        <w:sz w:val="18"/>
        <w:szCs w:val="18"/>
      </w:rPr>
    </w:lvl>
    <w:lvl w:ilvl="1" w:tplc="A23C7454">
      <w:start w:val="1"/>
      <w:numFmt w:val="bullet"/>
      <w:lvlText w:val="•"/>
      <w:lvlJc w:val="left"/>
      <w:pPr>
        <w:ind w:left="1712" w:hanging="360"/>
      </w:pPr>
      <w:rPr>
        <w:rFonts w:hint="default"/>
      </w:rPr>
    </w:lvl>
    <w:lvl w:ilvl="2" w:tplc="52DAD1EA">
      <w:start w:val="1"/>
      <w:numFmt w:val="bullet"/>
      <w:lvlText w:val="•"/>
      <w:lvlJc w:val="left"/>
      <w:pPr>
        <w:ind w:left="2584" w:hanging="360"/>
      </w:pPr>
      <w:rPr>
        <w:rFonts w:hint="default"/>
      </w:rPr>
    </w:lvl>
    <w:lvl w:ilvl="3" w:tplc="73B44052">
      <w:start w:val="1"/>
      <w:numFmt w:val="bullet"/>
      <w:lvlText w:val="•"/>
      <w:lvlJc w:val="left"/>
      <w:pPr>
        <w:ind w:left="3456" w:hanging="360"/>
      </w:pPr>
      <w:rPr>
        <w:rFonts w:hint="default"/>
      </w:rPr>
    </w:lvl>
    <w:lvl w:ilvl="4" w:tplc="011CF472">
      <w:start w:val="1"/>
      <w:numFmt w:val="bullet"/>
      <w:lvlText w:val="•"/>
      <w:lvlJc w:val="left"/>
      <w:pPr>
        <w:ind w:left="4328" w:hanging="360"/>
      </w:pPr>
      <w:rPr>
        <w:rFonts w:hint="default"/>
      </w:rPr>
    </w:lvl>
    <w:lvl w:ilvl="5" w:tplc="4B045146">
      <w:start w:val="1"/>
      <w:numFmt w:val="bullet"/>
      <w:lvlText w:val="•"/>
      <w:lvlJc w:val="left"/>
      <w:pPr>
        <w:ind w:left="5200" w:hanging="360"/>
      </w:pPr>
      <w:rPr>
        <w:rFonts w:hint="default"/>
      </w:rPr>
    </w:lvl>
    <w:lvl w:ilvl="6" w:tplc="8446D704">
      <w:start w:val="1"/>
      <w:numFmt w:val="bullet"/>
      <w:lvlText w:val="•"/>
      <w:lvlJc w:val="left"/>
      <w:pPr>
        <w:ind w:left="6072" w:hanging="360"/>
      </w:pPr>
      <w:rPr>
        <w:rFonts w:hint="default"/>
      </w:rPr>
    </w:lvl>
    <w:lvl w:ilvl="7" w:tplc="682AA476">
      <w:start w:val="1"/>
      <w:numFmt w:val="bullet"/>
      <w:lvlText w:val="•"/>
      <w:lvlJc w:val="left"/>
      <w:pPr>
        <w:ind w:left="6944" w:hanging="360"/>
      </w:pPr>
      <w:rPr>
        <w:rFonts w:hint="default"/>
      </w:rPr>
    </w:lvl>
    <w:lvl w:ilvl="8" w:tplc="F67EE5B2">
      <w:start w:val="1"/>
      <w:numFmt w:val="bullet"/>
      <w:lvlText w:val="•"/>
      <w:lvlJc w:val="left"/>
      <w:pPr>
        <w:ind w:left="7816" w:hanging="360"/>
      </w:pPr>
      <w:rPr>
        <w:rFonts w:hint="default"/>
      </w:rPr>
    </w:lvl>
  </w:abstractNum>
  <w:abstractNum w:abstractNumId="4">
    <w:nsid w:val="4963160C"/>
    <w:multiLevelType w:val="hybridMultilevel"/>
    <w:tmpl w:val="EABEFC8A"/>
    <w:lvl w:ilvl="0" w:tplc="D9AC2E4A">
      <w:start w:val="1"/>
      <w:numFmt w:val="bullet"/>
      <w:lvlText w:val=""/>
      <w:lvlJc w:val="left"/>
      <w:pPr>
        <w:ind w:left="900" w:hanging="360"/>
      </w:pPr>
      <w:rPr>
        <w:rFonts w:ascii="Symbol" w:eastAsia="Symbol" w:hAnsi="Symbol" w:hint="default"/>
        <w:sz w:val="18"/>
        <w:szCs w:val="18"/>
      </w:rPr>
    </w:lvl>
    <w:lvl w:ilvl="1" w:tplc="4F4EF83C">
      <w:start w:val="1"/>
      <w:numFmt w:val="bullet"/>
      <w:lvlText w:val="•"/>
      <w:lvlJc w:val="left"/>
      <w:pPr>
        <w:ind w:left="1766" w:hanging="360"/>
      </w:pPr>
      <w:rPr>
        <w:rFonts w:hint="default"/>
      </w:rPr>
    </w:lvl>
    <w:lvl w:ilvl="2" w:tplc="D0C49A0A">
      <w:start w:val="1"/>
      <w:numFmt w:val="bullet"/>
      <w:lvlText w:val="•"/>
      <w:lvlJc w:val="left"/>
      <w:pPr>
        <w:ind w:left="2632" w:hanging="360"/>
      </w:pPr>
      <w:rPr>
        <w:rFonts w:hint="default"/>
      </w:rPr>
    </w:lvl>
    <w:lvl w:ilvl="3" w:tplc="0676326A">
      <w:start w:val="1"/>
      <w:numFmt w:val="bullet"/>
      <w:lvlText w:val="•"/>
      <w:lvlJc w:val="left"/>
      <w:pPr>
        <w:ind w:left="3498" w:hanging="360"/>
      </w:pPr>
      <w:rPr>
        <w:rFonts w:hint="default"/>
      </w:rPr>
    </w:lvl>
    <w:lvl w:ilvl="4" w:tplc="6FA8006C">
      <w:start w:val="1"/>
      <w:numFmt w:val="bullet"/>
      <w:lvlText w:val="•"/>
      <w:lvlJc w:val="left"/>
      <w:pPr>
        <w:ind w:left="4364" w:hanging="360"/>
      </w:pPr>
      <w:rPr>
        <w:rFonts w:hint="default"/>
      </w:rPr>
    </w:lvl>
    <w:lvl w:ilvl="5" w:tplc="6A84C3B2">
      <w:start w:val="1"/>
      <w:numFmt w:val="bullet"/>
      <w:lvlText w:val="•"/>
      <w:lvlJc w:val="left"/>
      <w:pPr>
        <w:ind w:left="5230" w:hanging="360"/>
      </w:pPr>
      <w:rPr>
        <w:rFonts w:hint="default"/>
      </w:rPr>
    </w:lvl>
    <w:lvl w:ilvl="6" w:tplc="4080D24A">
      <w:start w:val="1"/>
      <w:numFmt w:val="bullet"/>
      <w:lvlText w:val="•"/>
      <w:lvlJc w:val="left"/>
      <w:pPr>
        <w:ind w:left="6096" w:hanging="360"/>
      </w:pPr>
      <w:rPr>
        <w:rFonts w:hint="default"/>
      </w:rPr>
    </w:lvl>
    <w:lvl w:ilvl="7" w:tplc="229868B4">
      <w:start w:val="1"/>
      <w:numFmt w:val="bullet"/>
      <w:lvlText w:val="•"/>
      <w:lvlJc w:val="left"/>
      <w:pPr>
        <w:ind w:left="6962" w:hanging="360"/>
      </w:pPr>
      <w:rPr>
        <w:rFonts w:hint="default"/>
      </w:rPr>
    </w:lvl>
    <w:lvl w:ilvl="8" w:tplc="5270E3D2">
      <w:start w:val="1"/>
      <w:numFmt w:val="bullet"/>
      <w:lvlText w:val="•"/>
      <w:lvlJc w:val="left"/>
      <w:pPr>
        <w:ind w:left="7828" w:hanging="360"/>
      </w:pPr>
      <w:rPr>
        <w:rFonts w:hint="default"/>
      </w:rPr>
    </w:lvl>
  </w:abstractNum>
  <w:abstractNum w:abstractNumId="5">
    <w:nsid w:val="69897AA8"/>
    <w:multiLevelType w:val="hybridMultilevel"/>
    <w:tmpl w:val="E480B798"/>
    <w:lvl w:ilvl="0" w:tplc="B770DAC2">
      <w:start w:val="1"/>
      <w:numFmt w:val="decimal"/>
      <w:lvlText w:val="(%1)"/>
      <w:lvlJc w:val="left"/>
      <w:pPr>
        <w:ind w:left="840" w:hanging="340"/>
        <w:jc w:val="left"/>
      </w:pPr>
      <w:rPr>
        <w:rFonts w:ascii="Arial" w:eastAsia="Times New Roman" w:hAnsi="Arial" w:cs="Arial" w:hint="default"/>
        <w:i/>
        <w:spacing w:val="-2"/>
        <w:sz w:val="24"/>
        <w:szCs w:val="24"/>
      </w:rPr>
    </w:lvl>
    <w:lvl w:ilvl="1" w:tplc="E2322EEC">
      <w:start w:val="1"/>
      <w:numFmt w:val="bullet"/>
      <w:lvlText w:val="•"/>
      <w:lvlJc w:val="left"/>
      <w:pPr>
        <w:ind w:left="1712" w:hanging="340"/>
      </w:pPr>
      <w:rPr>
        <w:rFonts w:hint="default"/>
      </w:rPr>
    </w:lvl>
    <w:lvl w:ilvl="2" w:tplc="59FA60BC">
      <w:start w:val="1"/>
      <w:numFmt w:val="bullet"/>
      <w:lvlText w:val="•"/>
      <w:lvlJc w:val="left"/>
      <w:pPr>
        <w:ind w:left="2584" w:hanging="340"/>
      </w:pPr>
      <w:rPr>
        <w:rFonts w:hint="default"/>
      </w:rPr>
    </w:lvl>
    <w:lvl w:ilvl="3" w:tplc="94C26916">
      <w:start w:val="1"/>
      <w:numFmt w:val="bullet"/>
      <w:lvlText w:val="•"/>
      <w:lvlJc w:val="left"/>
      <w:pPr>
        <w:ind w:left="3456" w:hanging="340"/>
      </w:pPr>
      <w:rPr>
        <w:rFonts w:hint="default"/>
      </w:rPr>
    </w:lvl>
    <w:lvl w:ilvl="4" w:tplc="0DD4E738">
      <w:start w:val="1"/>
      <w:numFmt w:val="bullet"/>
      <w:lvlText w:val="•"/>
      <w:lvlJc w:val="left"/>
      <w:pPr>
        <w:ind w:left="4328" w:hanging="340"/>
      </w:pPr>
      <w:rPr>
        <w:rFonts w:hint="default"/>
      </w:rPr>
    </w:lvl>
    <w:lvl w:ilvl="5" w:tplc="0218BE66">
      <w:start w:val="1"/>
      <w:numFmt w:val="bullet"/>
      <w:lvlText w:val="•"/>
      <w:lvlJc w:val="left"/>
      <w:pPr>
        <w:ind w:left="5200" w:hanging="340"/>
      </w:pPr>
      <w:rPr>
        <w:rFonts w:hint="default"/>
      </w:rPr>
    </w:lvl>
    <w:lvl w:ilvl="6" w:tplc="CA640218">
      <w:start w:val="1"/>
      <w:numFmt w:val="bullet"/>
      <w:lvlText w:val="•"/>
      <w:lvlJc w:val="left"/>
      <w:pPr>
        <w:ind w:left="6072" w:hanging="340"/>
      </w:pPr>
      <w:rPr>
        <w:rFonts w:hint="default"/>
      </w:rPr>
    </w:lvl>
    <w:lvl w:ilvl="7" w:tplc="9F7602AA">
      <w:start w:val="1"/>
      <w:numFmt w:val="bullet"/>
      <w:lvlText w:val="•"/>
      <w:lvlJc w:val="left"/>
      <w:pPr>
        <w:ind w:left="6944" w:hanging="340"/>
      </w:pPr>
      <w:rPr>
        <w:rFonts w:hint="default"/>
      </w:rPr>
    </w:lvl>
    <w:lvl w:ilvl="8" w:tplc="9AD0A82E">
      <w:start w:val="1"/>
      <w:numFmt w:val="bullet"/>
      <w:lvlText w:val="•"/>
      <w:lvlJc w:val="left"/>
      <w:pPr>
        <w:ind w:left="7816" w:hanging="340"/>
      </w:pPr>
      <w:rPr>
        <w:rFonts w:hint="default"/>
      </w:rPr>
    </w:lvl>
  </w:abstractNum>
  <w:abstractNum w:abstractNumId="6">
    <w:nsid w:val="701B1851"/>
    <w:multiLevelType w:val="multilevel"/>
    <w:tmpl w:val="60B8D76E"/>
    <w:lvl w:ilvl="0">
      <w:start w:val="814"/>
      <w:numFmt w:val="decimal"/>
      <w:lvlText w:val="%1"/>
      <w:lvlJc w:val="left"/>
      <w:pPr>
        <w:ind w:left="959" w:hanging="840"/>
        <w:jc w:val="left"/>
      </w:pPr>
      <w:rPr>
        <w:rFonts w:hint="default"/>
      </w:rPr>
    </w:lvl>
    <w:lvl w:ilvl="1">
      <w:start w:val="15"/>
      <w:numFmt w:val="decimal"/>
      <w:lvlText w:val="%1.%2."/>
      <w:lvlJc w:val="left"/>
      <w:pPr>
        <w:ind w:left="959" w:hanging="840"/>
        <w:jc w:val="left"/>
      </w:pPr>
      <w:rPr>
        <w:rFonts w:ascii="Times New Roman" w:eastAsia="Times New Roman" w:hAnsi="Times New Roman" w:hint="default"/>
        <w:sz w:val="24"/>
        <w:szCs w:val="24"/>
      </w:rPr>
    </w:lvl>
    <w:lvl w:ilvl="2">
      <w:start w:val="1"/>
      <w:numFmt w:val="bullet"/>
      <w:lvlText w:val=""/>
      <w:lvlJc w:val="left"/>
      <w:pPr>
        <w:ind w:left="1200" w:hanging="360"/>
      </w:pPr>
      <w:rPr>
        <w:rFonts w:ascii="Symbol" w:eastAsia="Symbol" w:hAnsi="Symbol" w:hint="default"/>
        <w:sz w:val="18"/>
        <w:szCs w:val="18"/>
      </w:rPr>
    </w:lvl>
    <w:lvl w:ilvl="3">
      <w:start w:val="1"/>
      <w:numFmt w:val="bullet"/>
      <w:lvlText w:val="•"/>
      <w:lvlJc w:val="left"/>
      <w:pPr>
        <w:ind w:left="3057" w:hanging="360"/>
      </w:pPr>
      <w:rPr>
        <w:rFonts w:hint="default"/>
      </w:rPr>
    </w:lvl>
    <w:lvl w:ilvl="4">
      <w:start w:val="1"/>
      <w:numFmt w:val="bullet"/>
      <w:lvlText w:val="•"/>
      <w:lvlJc w:val="left"/>
      <w:pPr>
        <w:ind w:left="3986" w:hanging="360"/>
      </w:pPr>
      <w:rPr>
        <w:rFonts w:hint="default"/>
      </w:rPr>
    </w:lvl>
    <w:lvl w:ilvl="5">
      <w:start w:val="1"/>
      <w:numFmt w:val="bullet"/>
      <w:lvlText w:val="•"/>
      <w:lvlJc w:val="left"/>
      <w:pPr>
        <w:ind w:left="4915" w:hanging="360"/>
      </w:pPr>
      <w:rPr>
        <w:rFonts w:hint="default"/>
      </w:rPr>
    </w:lvl>
    <w:lvl w:ilvl="6">
      <w:start w:val="1"/>
      <w:numFmt w:val="bullet"/>
      <w:lvlText w:val="•"/>
      <w:lvlJc w:val="left"/>
      <w:pPr>
        <w:ind w:left="5844" w:hanging="360"/>
      </w:pPr>
      <w:rPr>
        <w:rFonts w:hint="default"/>
      </w:rPr>
    </w:lvl>
    <w:lvl w:ilvl="7">
      <w:start w:val="1"/>
      <w:numFmt w:val="bullet"/>
      <w:lvlText w:val="•"/>
      <w:lvlJc w:val="left"/>
      <w:pPr>
        <w:ind w:left="6773" w:hanging="360"/>
      </w:pPr>
      <w:rPr>
        <w:rFonts w:hint="default"/>
      </w:rPr>
    </w:lvl>
    <w:lvl w:ilvl="8">
      <w:start w:val="1"/>
      <w:numFmt w:val="bullet"/>
      <w:lvlText w:val="•"/>
      <w:lvlJc w:val="left"/>
      <w:pPr>
        <w:ind w:left="7702" w:hanging="360"/>
      </w:pPr>
      <w:rPr>
        <w:rFonts w:hint="default"/>
      </w:rPr>
    </w:lvl>
  </w:abstractNum>
  <w:num w:numId="1">
    <w:abstractNumId w:val="5"/>
  </w:num>
  <w:num w:numId="2">
    <w:abstractNumId w:val="2"/>
  </w:num>
  <w:num w:numId="3">
    <w:abstractNumId w:val="6"/>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CBF"/>
    <w:rsid w:val="001665E3"/>
    <w:rsid w:val="001775EB"/>
    <w:rsid w:val="00211FF4"/>
    <w:rsid w:val="00304C8D"/>
    <w:rsid w:val="00344ADF"/>
    <w:rsid w:val="00356A45"/>
    <w:rsid w:val="003B156D"/>
    <w:rsid w:val="003F4948"/>
    <w:rsid w:val="00477BE4"/>
    <w:rsid w:val="004855E3"/>
    <w:rsid w:val="004C321A"/>
    <w:rsid w:val="00605923"/>
    <w:rsid w:val="00706791"/>
    <w:rsid w:val="00750CBF"/>
    <w:rsid w:val="007713FF"/>
    <w:rsid w:val="007952B6"/>
    <w:rsid w:val="00A45CD1"/>
    <w:rsid w:val="00BB756A"/>
    <w:rsid w:val="00BC117C"/>
    <w:rsid w:val="00BE197A"/>
    <w:rsid w:val="00C646B3"/>
    <w:rsid w:val="00C76E12"/>
    <w:rsid w:val="00D01A1F"/>
    <w:rsid w:val="00E03171"/>
    <w:rsid w:val="00E145A4"/>
    <w:rsid w:val="00F220C1"/>
    <w:rsid w:val="00F5051A"/>
    <w:rsid w:val="00FD4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28"/>
      <w:outlineLvl w:val="0"/>
    </w:pPr>
    <w:rPr>
      <w:rFonts w:ascii="Times New Roman" w:eastAsia="宋体" w:hAnsi="Times New Roman"/>
      <w:b/>
      <w:bCs/>
      <w:sz w:val="32"/>
      <w:szCs w:val="32"/>
    </w:rPr>
  </w:style>
  <w:style w:type="paragraph" w:styleId="2">
    <w:name w:val="heading 2"/>
    <w:basedOn w:val="a"/>
    <w:uiPriority w:val="1"/>
    <w:qFormat/>
    <w:pPr>
      <w:ind w:left="840" w:hanging="720"/>
      <w:outlineLvl w:val="1"/>
    </w:pPr>
    <w:rPr>
      <w:rFonts w:ascii="Times New Roman" w:eastAsia="宋体" w:hAnsi="Times New Roman"/>
      <w:b/>
      <w:bCs/>
      <w:sz w:val="24"/>
      <w:szCs w:val="24"/>
    </w:rPr>
  </w:style>
  <w:style w:type="paragraph" w:styleId="3">
    <w:name w:val="heading 3"/>
    <w:basedOn w:val="a"/>
    <w:uiPriority w:val="1"/>
    <w:qFormat/>
    <w:pPr>
      <w:ind w:left="120"/>
      <w:outlineLvl w:val="2"/>
    </w:pPr>
    <w:rPr>
      <w:rFonts w:ascii="Times New Roman" w:eastAsia="宋体" w:hAnsi="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4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C76E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76E12"/>
    <w:rPr>
      <w:sz w:val="18"/>
      <w:szCs w:val="18"/>
    </w:rPr>
  </w:style>
  <w:style w:type="paragraph" w:styleId="a6">
    <w:name w:val="footer"/>
    <w:basedOn w:val="a"/>
    <w:link w:val="Char0"/>
    <w:uiPriority w:val="99"/>
    <w:unhideWhenUsed/>
    <w:rsid w:val="00C76E12"/>
    <w:pPr>
      <w:tabs>
        <w:tab w:val="center" w:pos="4153"/>
        <w:tab w:val="right" w:pos="8306"/>
      </w:tabs>
      <w:snapToGrid w:val="0"/>
    </w:pPr>
    <w:rPr>
      <w:sz w:val="18"/>
      <w:szCs w:val="18"/>
    </w:rPr>
  </w:style>
  <w:style w:type="character" w:customStyle="1" w:styleId="Char0">
    <w:name w:val="页脚 Char"/>
    <w:basedOn w:val="a0"/>
    <w:link w:val="a6"/>
    <w:uiPriority w:val="99"/>
    <w:rsid w:val="00C76E12"/>
    <w:rPr>
      <w:sz w:val="18"/>
      <w:szCs w:val="18"/>
    </w:rPr>
  </w:style>
  <w:style w:type="table" w:styleId="a7">
    <w:name w:val="Table Grid"/>
    <w:basedOn w:val="a1"/>
    <w:uiPriority w:val="59"/>
    <w:rsid w:val="003B15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952B6"/>
    <w:pPr>
      <w:autoSpaceDE w:val="0"/>
      <w:autoSpaceDN w:val="0"/>
      <w:adjustRightInd w:val="0"/>
    </w:pPr>
    <w:rPr>
      <w:rFonts w:ascii="Times New Roman" w:hAnsi="Times New Roman" w:cs="Times New Roman"/>
      <w:color w:val="000000"/>
      <w:sz w:val="24"/>
      <w:szCs w:val="24"/>
    </w:rPr>
  </w:style>
  <w:style w:type="paragraph" w:styleId="a8">
    <w:name w:val="Date"/>
    <w:basedOn w:val="a"/>
    <w:next w:val="a"/>
    <w:link w:val="Char1"/>
    <w:uiPriority w:val="99"/>
    <w:semiHidden/>
    <w:unhideWhenUsed/>
    <w:rsid w:val="007952B6"/>
    <w:pPr>
      <w:ind w:leftChars="2500" w:left="100"/>
    </w:pPr>
  </w:style>
  <w:style w:type="character" w:customStyle="1" w:styleId="Char1">
    <w:name w:val="日期 Char"/>
    <w:basedOn w:val="a0"/>
    <w:link w:val="a8"/>
    <w:uiPriority w:val="99"/>
    <w:semiHidden/>
    <w:rsid w:val="007952B6"/>
  </w:style>
  <w:style w:type="paragraph" w:styleId="a9">
    <w:name w:val="footnote text"/>
    <w:basedOn w:val="a"/>
    <w:link w:val="Char2"/>
    <w:uiPriority w:val="99"/>
    <w:semiHidden/>
    <w:unhideWhenUsed/>
    <w:rsid w:val="007952B6"/>
    <w:pPr>
      <w:snapToGrid w:val="0"/>
    </w:pPr>
    <w:rPr>
      <w:sz w:val="18"/>
      <w:szCs w:val="18"/>
    </w:rPr>
  </w:style>
  <w:style w:type="character" w:customStyle="1" w:styleId="Char2">
    <w:name w:val="脚注文本 Char"/>
    <w:basedOn w:val="a0"/>
    <w:link w:val="a9"/>
    <w:uiPriority w:val="99"/>
    <w:semiHidden/>
    <w:rsid w:val="007952B6"/>
    <w:rPr>
      <w:sz w:val="18"/>
      <w:szCs w:val="18"/>
    </w:rPr>
  </w:style>
  <w:style w:type="character" w:styleId="aa">
    <w:name w:val="footnote reference"/>
    <w:basedOn w:val="a0"/>
    <w:uiPriority w:val="99"/>
    <w:semiHidden/>
    <w:unhideWhenUsed/>
    <w:rsid w:val="007952B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28"/>
      <w:outlineLvl w:val="0"/>
    </w:pPr>
    <w:rPr>
      <w:rFonts w:ascii="Times New Roman" w:eastAsia="宋体" w:hAnsi="Times New Roman"/>
      <w:b/>
      <w:bCs/>
      <w:sz w:val="32"/>
      <w:szCs w:val="32"/>
    </w:rPr>
  </w:style>
  <w:style w:type="paragraph" w:styleId="2">
    <w:name w:val="heading 2"/>
    <w:basedOn w:val="a"/>
    <w:uiPriority w:val="1"/>
    <w:qFormat/>
    <w:pPr>
      <w:ind w:left="840" w:hanging="720"/>
      <w:outlineLvl w:val="1"/>
    </w:pPr>
    <w:rPr>
      <w:rFonts w:ascii="Times New Roman" w:eastAsia="宋体" w:hAnsi="Times New Roman"/>
      <w:b/>
      <w:bCs/>
      <w:sz w:val="24"/>
      <w:szCs w:val="24"/>
    </w:rPr>
  </w:style>
  <w:style w:type="paragraph" w:styleId="3">
    <w:name w:val="heading 3"/>
    <w:basedOn w:val="a"/>
    <w:uiPriority w:val="1"/>
    <w:qFormat/>
    <w:pPr>
      <w:ind w:left="120"/>
      <w:outlineLvl w:val="2"/>
    </w:pPr>
    <w:rPr>
      <w:rFonts w:ascii="Times New Roman" w:eastAsia="宋体" w:hAnsi="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4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C76E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76E12"/>
    <w:rPr>
      <w:sz w:val="18"/>
      <w:szCs w:val="18"/>
    </w:rPr>
  </w:style>
  <w:style w:type="paragraph" w:styleId="a6">
    <w:name w:val="footer"/>
    <w:basedOn w:val="a"/>
    <w:link w:val="Char0"/>
    <w:uiPriority w:val="99"/>
    <w:unhideWhenUsed/>
    <w:rsid w:val="00C76E12"/>
    <w:pPr>
      <w:tabs>
        <w:tab w:val="center" w:pos="4153"/>
        <w:tab w:val="right" w:pos="8306"/>
      </w:tabs>
      <w:snapToGrid w:val="0"/>
    </w:pPr>
    <w:rPr>
      <w:sz w:val="18"/>
      <w:szCs w:val="18"/>
    </w:rPr>
  </w:style>
  <w:style w:type="character" w:customStyle="1" w:styleId="Char0">
    <w:name w:val="页脚 Char"/>
    <w:basedOn w:val="a0"/>
    <w:link w:val="a6"/>
    <w:uiPriority w:val="99"/>
    <w:rsid w:val="00C76E12"/>
    <w:rPr>
      <w:sz w:val="18"/>
      <w:szCs w:val="18"/>
    </w:rPr>
  </w:style>
  <w:style w:type="table" w:styleId="a7">
    <w:name w:val="Table Grid"/>
    <w:basedOn w:val="a1"/>
    <w:uiPriority w:val="59"/>
    <w:rsid w:val="003B15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952B6"/>
    <w:pPr>
      <w:autoSpaceDE w:val="0"/>
      <w:autoSpaceDN w:val="0"/>
      <w:adjustRightInd w:val="0"/>
    </w:pPr>
    <w:rPr>
      <w:rFonts w:ascii="Times New Roman" w:hAnsi="Times New Roman" w:cs="Times New Roman"/>
      <w:color w:val="000000"/>
      <w:sz w:val="24"/>
      <w:szCs w:val="24"/>
    </w:rPr>
  </w:style>
  <w:style w:type="paragraph" w:styleId="a8">
    <w:name w:val="Date"/>
    <w:basedOn w:val="a"/>
    <w:next w:val="a"/>
    <w:link w:val="Char1"/>
    <w:uiPriority w:val="99"/>
    <w:semiHidden/>
    <w:unhideWhenUsed/>
    <w:rsid w:val="007952B6"/>
    <w:pPr>
      <w:ind w:leftChars="2500" w:left="100"/>
    </w:pPr>
  </w:style>
  <w:style w:type="character" w:customStyle="1" w:styleId="Char1">
    <w:name w:val="日期 Char"/>
    <w:basedOn w:val="a0"/>
    <w:link w:val="a8"/>
    <w:uiPriority w:val="99"/>
    <w:semiHidden/>
    <w:rsid w:val="007952B6"/>
  </w:style>
  <w:style w:type="paragraph" w:styleId="a9">
    <w:name w:val="footnote text"/>
    <w:basedOn w:val="a"/>
    <w:link w:val="Char2"/>
    <w:uiPriority w:val="99"/>
    <w:semiHidden/>
    <w:unhideWhenUsed/>
    <w:rsid w:val="007952B6"/>
    <w:pPr>
      <w:snapToGrid w:val="0"/>
    </w:pPr>
    <w:rPr>
      <w:sz w:val="18"/>
      <w:szCs w:val="18"/>
    </w:rPr>
  </w:style>
  <w:style w:type="character" w:customStyle="1" w:styleId="Char2">
    <w:name w:val="脚注文本 Char"/>
    <w:basedOn w:val="a0"/>
    <w:link w:val="a9"/>
    <w:uiPriority w:val="99"/>
    <w:semiHidden/>
    <w:rsid w:val="007952B6"/>
    <w:rPr>
      <w:sz w:val="18"/>
      <w:szCs w:val="18"/>
    </w:rPr>
  </w:style>
  <w:style w:type="character" w:styleId="aa">
    <w:name w:val="footnote reference"/>
    <w:basedOn w:val="a0"/>
    <w:uiPriority w:val="99"/>
    <w:semiHidden/>
    <w:unhideWhenUsed/>
    <w:rsid w:val="00795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ICECI/EnforcementActions/DisqualifiedRestrictedAssuranceList/default.htm" TargetMode="External"/><Relationship Id="rId5" Type="http://schemas.openxmlformats.org/officeDocument/2006/relationships/settings" Target="settings.xml"/><Relationship Id="rId10" Type="http://schemas.openxmlformats.org/officeDocument/2006/relationships/hyperlink" Target="http://www.fda.gov/ICECI/EnforcementActions/DisqualifiedRestrictedAssuranceList/default.htm" TargetMode="External"/><Relationship Id="rId4" Type="http://schemas.microsoft.com/office/2007/relationships/stylesWithEffects" Target="stylesWithEffects.xml"/><Relationship Id="rId9" Type="http://schemas.openxmlformats.org/officeDocument/2006/relationships/hyperlink" Target="http://www.fda.gov/ICECI/Inspections/IOM/ucm124008.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regulations.gov/search/Regs/home.html%23documentDetail?R=0900006480a0583c" TargetMode="External"/><Relationship Id="rId13" Type="http://schemas.openxmlformats.org/officeDocument/2006/relationships/hyperlink" Target="http://www.fda.gov/downloads/ICECI/ComplianceManuals/RegulatoryProceduresManual/UCM074324.pdf" TargetMode="External"/><Relationship Id="rId3" Type="http://schemas.openxmlformats.org/officeDocument/2006/relationships/hyperlink" Target="http://www.fda.gov/downloads/RegulatoryInformation/Guidances/ucm125125.pdf" TargetMode="External"/><Relationship Id="rId7" Type="http://schemas.openxmlformats.org/officeDocument/2006/relationships/hyperlink" Target="http://www.fda.gov/downloads/ICECI/EnforcementActions/BioresearchMonitoring/ucm133773.pdf" TargetMode="External"/><Relationship Id="rId12" Type="http://schemas.openxmlformats.org/officeDocument/2006/relationships/hyperlink" Target="http://www.fda.gov/downloads/RegulatoryInformation/Guidances/UCM214008.pdf" TargetMode="External"/><Relationship Id="rId2" Type="http://schemas.openxmlformats.org/officeDocument/2006/relationships/hyperlink" Target="http://www.fda.gov/RegulatoryInformation/Guidances/ucm126832.htm" TargetMode="External"/><Relationship Id="rId1" Type="http://schemas.openxmlformats.org/officeDocument/2006/relationships/hyperlink" Target="http://www.fda.gov/downloads/Drugs/GuidanceComplianceRegulatoryInformation/Guidances/UCM187772.pdf" TargetMode="External"/><Relationship Id="rId6" Type="http://schemas.openxmlformats.org/officeDocument/2006/relationships/hyperlink" Target="http://www.fda.gov/downloads/ICECI/EnforcementActions/BioresearchMonitoring/ucm133773.pdf" TargetMode="External"/><Relationship Id="rId11" Type="http://schemas.openxmlformats.org/officeDocument/2006/relationships/hyperlink" Target="http://www.fda.gov/ICECI/ComplianceManuals/RegulatoryProceduresManual/ucm176870.htm" TargetMode="External"/><Relationship Id="rId5" Type="http://schemas.openxmlformats.org/officeDocument/2006/relationships/hyperlink" Target="http://www.fda.gov/downloads/Drugs/GuidanceComplianceRegulatoryInformation/Guidances/UCM070266.pdf" TargetMode="External"/><Relationship Id="rId15" Type="http://schemas.openxmlformats.org/officeDocument/2006/relationships/hyperlink" Target="http://www.fda.gov/downloads/BiologicsBloodVaccines/GuidanceComplianceRegulatoryInformation/ComplianceActivities/UCM167052.pdf" TargetMode="External"/><Relationship Id="rId10" Type="http://schemas.openxmlformats.org/officeDocument/2006/relationships/hyperlink" Target="http://www.fda.gov/ICECI/ComplianceManuals/RegulatoryProceduresManual/ucm176871.htm" TargetMode="External"/><Relationship Id="rId4" Type="http://schemas.openxmlformats.org/officeDocument/2006/relationships/hyperlink" Target="http://www.fda.gov/downloads/Drugs/GuidanceComplianceRegulatoryInformation/Guidances/UCM070266.pdf" TargetMode="External"/><Relationship Id="rId9" Type="http://schemas.openxmlformats.org/officeDocument/2006/relationships/hyperlink" Target="http://www.fda.gov/downloads/ICECI/EnforcementActions/BioresearchMonitoring/ucm133773.pdf" TargetMode="External"/><Relationship Id="rId14" Type="http://schemas.openxmlformats.org/officeDocument/2006/relationships/hyperlink" Target="http://www.fda.gov/downloads/BiologicsBloodVaccines/GuidanceComplianceRegulatoryInformation/ComplianceActivities/UCM16705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D5FC1-B1F6-468A-8BB6-3D1FBBDA3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936</Words>
  <Characters>5336</Characters>
  <Application>Microsoft Office Word</Application>
  <DocSecurity>0</DocSecurity>
  <Lines>44</Lines>
  <Paragraphs>12</Paragraphs>
  <ScaleCrop>false</ScaleCrop>
  <Company>Microsoft</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FDA Inspections of Clinical Investigators: Information Sheet Guidance for IRBs, Clinical Investigators ,and Sponsors</dc:title>
  <dc:subject>Good Clinical Practice</dc:subject>
  <dc:creator>Food and Drug Administration</dc:creator>
  <cp:keywords>IRB, inspection, clinical investigator</cp:keywords>
  <cp:lastModifiedBy>cathy</cp:lastModifiedBy>
  <cp:revision>5</cp:revision>
  <dcterms:created xsi:type="dcterms:W3CDTF">2017-11-17T11:18:00Z</dcterms:created>
  <dcterms:modified xsi:type="dcterms:W3CDTF">2017-11-17T11:53:00Z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2010-06-22T00:00:00Z</vt:filetime>
  </property>
  <property fmtid="{D5CDD505-2E9C-101B-9397-08002B2CF9AE}" pid="3" name="LastSaved">
    <vt:filetime>2017-09-28T00:00:00Z</vt:filetime>
  </property>
</Properties>
</file>