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A5" w:rsidRPr="00954F0E" w:rsidRDefault="009113A5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9113A5" w:rsidRPr="00954F0E" w:rsidRDefault="009113A5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9113A5" w:rsidRPr="00954F0E" w:rsidRDefault="009113A5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9113A5" w:rsidRPr="00954F0E" w:rsidRDefault="009113A5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9113A5" w:rsidRPr="00954F0E" w:rsidRDefault="006C36AE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64"/>
          <w:szCs w:val="64"/>
        </w:rPr>
      </w:pPr>
      <w:r w:rsidRPr="00954F0E">
        <w:rPr>
          <w:rFonts w:ascii="Arial" w:eastAsia="宋体" w:hAnsi="Arial" w:cs="Arial"/>
          <w:b/>
          <w:sz w:val="64"/>
        </w:rPr>
        <w:t>CPG</w:t>
      </w:r>
      <w:r w:rsidRPr="00954F0E">
        <w:rPr>
          <w:rFonts w:ascii="Arial" w:eastAsia="宋体" w:hAnsi="Arial" w:cs="Arial"/>
          <w:b/>
          <w:sz w:val="64"/>
        </w:rPr>
        <w:t>章节</w:t>
      </w:r>
      <w:r w:rsidRPr="00954F0E">
        <w:rPr>
          <w:rFonts w:ascii="Arial" w:eastAsia="宋体" w:hAnsi="Arial" w:cs="Arial"/>
          <w:b/>
          <w:sz w:val="64"/>
        </w:rPr>
        <w:t>160.750</w:t>
      </w:r>
      <w:r w:rsidRPr="00954F0E">
        <w:rPr>
          <w:rFonts w:ascii="Arial" w:eastAsia="宋体" w:hAnsi="Arial" w:cs="Arial"/>
          <w:b/>
          <w:sz w:val="64"/>
        </w:rPr>
        <w:t>发现违反</w:t>
      </w:r>
      <w:r w:rsidRPr="00954F0E">
        <w:rPr>
          <w:rFonts w:ascii="Arial" w:eastAsia="宋体" w:hAnsi="Arial" w:cs="Arial"/>
          <w:b/>
          <w:sz w:val="64"/>
        </w:rPr>
        <w:t>GMPR</w:t>
      </w:r>
      <w:r w:rsidRPr="00954F0E">
        <w:rPr>
          <w:rFonts w:ascii="Arial" w:eastAsia="宋体" w:hAnsi="Arial" w:cs="Arial"/>
          <w:b/>
          <w:sz w:val="64"/>
        </w:rPr>
        <w:t>的药品和器械产品（包括生物制剂和动物药品）</w:t>
      </w:r>
      <w:r w:rsidR="0088551D">
        <w:rPr>
          <w:rFonts w:ascii="Arial" w:eastAsia="宋体" w:hAnsi="Arial" w:cs="Arial"/>
          <w:b/>
          <w:sz w:val="64"/>
        </w:rPr>
        <w:t>-</w:t>
      </w:r>
      <w:r w:rsidRPr="00954F0E">
        <w:rPr>
          <w:rFonts w:ascii="Arial" w:eastAsia="宋体" w:hAnsi="Arial" w:cs="Arial"/>
          <w:b/>
          <w:sz w:val="64"/>
        </w:rPr>
        <w:t>重新调整</w:t>
      </w:r>
      <w:bookmarkStart w:id="0" w:name="_GoBack"/>
      <w:bookmarkEnd w:id="0"/>
    </w:p>
    <w:p w:rsidR="009113A5" w:rsidRPr="00954F0E" w:rsidRDefault="006C36AE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8"/>
          <w:szCs w:val="28"/>
        </w:rPr>
      </w:pPr>
      <w:r w:rsidRPr="00954F0E">
        <w:rPr>
          <w:rFonts w:ascii="Arial" w:eastAsia="宋体" w:hAnsi="Arial" w:cs="Arial"/>
          <w:b/>
          <w:sz w:val="28"/>
          <w:szCs w:val="28"/>
        </w:rPr>
        <w:t>背景：</w:t>
      </w:r>
    </w:p>
    <w:p w:rsidR="009113A5" w:rsidRPr="00954F0E" w:rsidRDefault="006C36AE" w:rsidP="0006248A">
      <w:pPr>
        <w:pStyle w:val="a3"/>
        <w:snapToGrid w:val="0"/>
        <w:spacing w:afterLines="50" w:after="120" w:line="300" w:lineRule="auto"/>
        <w:ind w:left="0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有关是否通过方法或在不符合</w:t>
      </w:r>
      <w:r w:rsidRPr="0002124A">
        <w:rPr>
          <w:rFonts w:ascii="宋体" w:hAnsi="宋体" w:cs="Arial"/>
          <w:sz w:val="28"/>
          <w:szCs w:val="28"/>
        </w:rPr>
        <w:t>“</w:t>
      </w:r>
      <w:r w:rsidRPr="00954F0E">
        <w:rPr>
          <w:rFonts w:cs="Arial"/>
          <w:sz w:val="28"/>
          <w:szCs w:val="28"/>
        </w:rPr>
        <w:t>良好生产规范</w:t>
      </w:r>
      <w:r w:rsidRPr="0002124A">
        <w:rPr>
          <w:rFonts w:ascii="宋体" w:hAnsi="宋体" w:cs="Arial"/>
          <w:sz w:val="28"/>
          <w:szCs w:val="28"/>
        </w:rPr>
        <w:t>”</w:t>
      </w:r>
      <w:r w:rsidRPr="00954F0E">
        <w:rPr>
          <w:rFonts w:cs="Arial"/>
          <w:sz w:val="28"/>
          <w:szCs w:val="28"/>
        </w:rPr>
        <w:t>规定条件下生产或保存的药品和器械产品出现的问题，并因此确定为不合规的药品和器械产品，可重新调整并返回贸易渠道。本</w:t>
      </w:r>
      <w:r w:rsidRPr="00954F0E">
        <w:rPr>
          <w:rFonts w:cs="Arial"/>
          <w:sz w:val="28"/>
          <w:szCs w:val="28"/>
        </w:rPr>
        <w:t>CPG</w:t>
      </w:r>
      <w:r w:rsidRPr="00954F0E">
        <w:rPr>
          <w:rFonts w:cs="Arial"/>
          <w:sz w:val="28"/>
          <w:szCs w:val="28"/>
        </w:rPr>
        <w:t>涵盖的情况是指已对不合规作出判定的情况，例如，由于不符合</w:t>
      </w:r>
      <w:r w:rsidRPr="0002124A">
        <w:rPr>
          <w:rFonts w:ascii="宋体" w:hAnsi="宋体" w:cs="Arial"/>
          <w:sz w:val="28"/>
          <w:szCs w:val="28"/>
        </w:rPr>
        <w:t>“</w:t>
      </w:r>
      <w:r w:rsidRPr="00954F0E">
        <w:rPr>
          <w:rFonts w:cs="Arial"/>
          <w:sz w:val="28"/>
          <w:szCs w:val="28"/>
        </w:rPr>
        <w:t>良好生产规范</w:t>
      </w:r>
      <w:r w:rsidRPr="0002124A">
        <w:rPr>
          <w:rFonts w:ascii="宋体" w:hAnsi="宋体" w:cs="Arial"/>
          <w:sz w:val="28"/>
          <w:szCs w:val="28"/>
        </w:rPr>
        <w:t>”</w:t>
      </w:r>
      <w:r w:rsidRPr="00954F0E">
        <w:rPr>
          <w:rFonts w:cs="Arial"/>
          <w:sz w:val="28"/>
          <w:szCs w:val="28"/>
        </w:rPr>
        <w:t>，根据该法案第</w:t>
      </w:r>
      <w:r w:rsidRPr="00954F0E">
        <w:rPr>
          <w:rFonts w:cs="Arial"/>
          <w:sz w:val="28"/>
          <w:szCs w:val="28"/>
        </w:rPr>
        <w:t>304</w:t>
      </w:r>
      <w:r w:rsidR="008B2218" w:rsidRPr="00954F0E">
        <w:rPr>
          <w:rFonts w:cs="Arial"/>
          <w:sz w:val="28"/>
          <w:szCs w:val="28"/>
        </w:rPr>
        <w:t>章</w:t>
      </w:r>
      <w:r w:rsidRPr="00954F0E">
        <w:rPr>
          <w:rFonts w:cs="Arial"/>
          <w:sz w:val="28"/>
          <w:szCs w:val="28"/>
        </w:rPr>
        <w:t>扣押和谴责的药品和器械产品，由于发现违反了</w:t>
      </w:r>
      <w:r w:rsidRPr="00954F0E">
        <w:rPr>
          <w:rFonts w:cs="Arial"/>
          <w:sz w:val="28"/>
          <w:szCs w:val="28"/>
        </w:rPr>
        <w:t>CGMPR</w:t>
      </w:r>
      <w:r w:rsidRPr="00954F0E">
        <w:rPr>
          <w:rFonts w:cs="Arial"/>
          <w:sz w:val="28"/>
          <w:szCs w:val="28"/>
        </w:rPr>
        <w:t>等原因而被召回的药品和器械产品。虽然不符合</w:t>
      </w:r>
      <w:r w:rsidRPr="00954F0E">
        <w:rPr>
          <w:rFonts w:cs="Arial"/>
          <w:sz w:val="28"/>
          <w:szCs w:val="28"/>
        </w:rPr>
        <w:t>GMP</w:t>
      </w:r>
      <w:r w:rsidRPr="00954F0E">
        <w:rPr>
          <w:rFonts w:cs="Arial"/>
          <w:sz w:val="28"/>
          <w:szCs w:val="28"/>
        </w:rPr>
        <w:t>可以在后续批次或相关产品批次中得到纠正，但可能很难或不可能追溯性纠正已生产批次或批量中的缺陷的影响。</w:t>
      </w:r>
    </w:p>
    <w:p w:rsidR="009113A5" w:rsidRPr="00954F0E" w:rsidRDefault="006C36AE" w:rsidP="0006248A">
      <w:pPr>
        <w:pStyle w:val="a3"/>
        <w:snapToGrid w:val="0"/>
        <w:spacing w:afterLines="50" w:after="120" w:line="300" w:lineRule="auto"/>
        <w:ind w:left="0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政策：</w:t>
      </w:r>
    </w:p>
    <w:p w:rsidR="009113A5" w:rsidRPr="00954F0E" w:rsidRDefault="006C36AE" w:rsidP="0006248A">
      <w:pPr>
        <w:pStyle w:val="a3"/>
        <w:snapToGrid w:val="0"/>
        <w:spacing w:afterLines="50" w:after="120" w:line="300" w:lineRule="auto"/>
        <w:ind w:left="0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如满足下列条件，生产、加工或保存条件不符合</w:t>
      </w:r>
      <w:r w:rsidRPr="0002124A">
        <w:rPr>
          <w:rFonts w:ascii="宋体" w:hAnsi="宋体" w:cs="Arial"/>
          <w:sz w:val="28"/>
          <w:szCs w:val="28"/>
        </w:rPr>
        <w:t>“</w:t>
      </w:r>
      <w:r w:rsidRPr="00954F0E">
        <w:rPr>
          <w:rFonts w:cs="Arial"/>
          <w:sz w:val="28"/>
          <w:szCs w:val="28"/>
        </w:rPr>
        <w:t>良好生产规范</w:t>
      </w:r>
      <w:r w:rsidRPr="0002124A">
        <w:rPr>
          <w:rFonts w:ascii="宋体" w:hAnsi="宋体" w:cs="Arial"/>
          <w:sz w:val="28"/>
          <w:szCs w:val="28"/>
        </w:rPr>
        <w:t>”</w:t>
      </w:r>
      <w:r w:rsidRPr="00954F0E">
        <w:rPr>
          <w:rFonts w:cs="Arial"/>
          <w:sz w:val="28"/>
          <w:szCs w:val="28"/>
        </w:rPr>
        <w:t>规定的不合规药品和器械产品的重新调整，可获得批准：</w:t>
      </w:r>
    </w:p>
    <w:p w:rsidR="009113A5" w:rsidRPr="00954F0E" w:rsidRDefault="006C36AE" w:rsidP="005B0524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50" w:after="120" w:line="300" w:lineRule="auto"/>
        <w:ind w:left="352" w:hanging="352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所有有关方面（地区、中心、</w:t>
      </w:r>
      <w:r w:rsidRPr="00954F0E">
        <w:rPr>
          <w:rFonts w:cs="Arial"/>
          <w:sz w:val="28"/>
          <w:szCs w:val="28"/>
        </w:rPr>
        <w:t>OE</w:t>
      </w:r>
      <w:r w:rsidRPr="00954F0E">
        <w:rPr>
          <w:rFonts w:cs="Arial"/>
          <w:sz w:val="28"/>
          <w:szCs w:val="28"/>
        </w:rPr>
        <w:t>、</w:t>
      </w:r>
      <w:r w:rsidRPr="00954F0E">
        <w:rPr>
          <w:rFonts w:cs="Arial"/>
          <w:sz w:val="28"/>
          <w:szCs w:val="28"/>
        </w:rPr>
        <w:t>* OCC *</w:t>
      </w:r>
      <w:r w:rsidRPr="00954F0E">
        <w:rPr>
          <w:rFonts w:cs="Arial"/>
          <w:sz w:val="28"/>
          <w:szCs w:val="28"/>
        </w:rPr>
        <w:t>）均必须审查任何重新调整方案，以确定该计划是否能合理预期使药品器械产品符合规定。</w:t>
      </w:r>
    </w:p>
    <w:p w:rsidR="009113A5" w:rsidRPr="00954F0E" w:rsidRDefault="006C36AE" w:rsidP="005B0524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50" w:after="120" w:line="300" w:lineRule="auto"/>
        <w:ind w:left="352" w:hanging="352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为了可以接受，拟议的重新调整计划必须克服任何观察到的</w:t>
      </w:r>
      <w:r w:rsidRPr="00954F0E">
        <w:rPr>
          <w:rFonts w:cs="Arial"/>
          <w:sz w:val="28"/>
          <w:szCs w:val="28"/>
        </w:rPr>
        <w:t>GMP</w:t>
      </w:r>
      <w:r w:rsidRPr="00954F0E">
        <w:rPr>
          <w:rFonts w:cs="Arial"/>
          <w:sz w:val="28"/>
          <w:szCs w:val="28"/>
        </w:rPr>
        <w:t>缺陷并纠正任何已知的产品缺陷。</w:t>
      </w:r>
    </w:p>
    <w:p w:rsidR="009113A5" w:rsidRPr="00954F0E" w:rsidRDefault="006C36AE" w:rsidP="005B0524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50" w:after="120" w:line="300" w:lineRule="auto"/>
        <w:ind w:left="352" w:hanging="352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如果在发生</w:t>
      </w:r>
      <w:r w:rsidRPr="00954F0E">
        <w:rPr>
          <w:rFonts w:cs="Arial"/>
          <w:sz w:val="28"/>
          <w:szCs w:val="28"/>
        </w:rPr>
        <w:t>GMP</w:t>
      </w:r>
      <w:r w:rsidRPr="00954F0E">
        <w:rPr>
          <w:rFonts w:cs="Arial"/>
          <w:sz w:val="28"/>
          <w:szCs w:val="28"/>
        </w:rPr>
        <w:t>违例行为的设施内进行批次重新调整，则必须在接受重新调整建议之前，必须纠正违反规定的情况，或将其纳入重新调整计划的一部分。</w:t>
      </w:r>
    </w:p>
    <w:p w:rsidR="009113A5" w:rsidRPr="00954F0E" w:rsidRDefault="006C36AE" w:rsidP="005B0524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50" w:after="120" w:line="300" w:lineRule="auto"/>
        <w:ind w:left="352" w:hanging="352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如果该批次是在与发生</w:t>
      </w:r>
      <w:r w:rsidRPr="00954F0E">
        <w:rPr>
          <w:rFonts w:cs="Arial"/>
          <w:sz w:val="28"/>
          <w:szCs w:val="28"/>
        </w:rPr>
        <w:t>GMP</w:t>
      </w:r>
      <w:r w:rsidR="005925A9" w:rsidRPr="00954F0E">
        <w:rPr>
          <w:rFonts w:cs="Arial"/>
          <w:sz w:val="28"/>
          <w:szCs w:val="28"/>
        </w:rPr>
        <w:t>违规行为的独立设施中进行且独立的设施符合规定，可根据上文第</w:t>
      </w:r>
      <w:r w:rsidR="005925A9" w:rsidRPr="00954F0E">
        <w:rPr>
          <w:rFonts w:cs="Arial"/>
          <w:sz w:val="28"/>
          <w:szCs w:val="28"/>
        </w:rPr>
        <w:t>1</w:t>
      </w:r>
      <w:r w:rsidR="005925A9" w:rsidRPr="00954F0E">
        <w:rPr>
          <w:rFonts w:cs="Arial"/>
          <w:sz w:val="28"/>
          <w:szCs w:val="28"/>
        </w:rPr>
        <w:t>和第</w:t>
      </w:r>
      <w:r w:rsidR="005925A9" w:rsidRPr="00954F0E">
        <w:rPr>
          <w:rFonts w:cs="Arial"/>
          <w:sz w:val="28"/>
          <w:szCs w:val="28"/>
        </w:rPr>
        <w:t>2</w:t>
      </w:r>
      <w:r w:rsidR="005925A9" w:rsidRPr="00954F0E">
        <w:rPr>
          <w:rFonts w:cs="Arial"/>
          <w:sz w:val="28"/>
          <w:szCs w:val="28"/>
        </w:rPr>
        <w:t>段所规定的条件来考虑重新调整方案。</w:t>
      </w:r>
    </w:p>
    <w:p w:rsidR="0088551D" w:rsidRDefault="0088551D">
      <w:pPr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br w:type="page"/>
      </w:r>
    </w:p>
    <w:p w:rsidR="009113A5" w:rsidRPr="00954F0E" w:rsidRDefault="006C36AE" w:rsidP="0006248A">
      <w:pPr>
        <w:pStyle w:val="a3"/>
        <w:snapToGrid w:val="0"/>
        <w:spacing w:afterLines="50" w:after="120" w:line="300" w:lineRule="auto"/>
        <w:ind w:left="0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lastRenderedPageBreak/>
        <w:t>在所有重新调整确保完全符合</w:t>
      </w:r>
      <w:r w:rsidRPr="00954F0E">
        <w:rPr>
          <w:rFonts w:cs="Arial"/>
          <w:sz w:val="28"/>
          <w:szCs w:val="28"/>
        </w:rPr>
        <w:t>FDA</w:t>
      </w:r>
      <w:r w:rsidRPr="00954F0E">
        <w:rPr>
          <w:rFonts w:cs="Arial"/>
          <w:sz w:val="28"/>
          <w:szCs w:val="28"/>
        </w:rPr>
        <w:t>认证前，不得发布产品。</w:t>
      </w:r>
    </w:p>
    <w:p w:rsidR="009113A5" w:rsidRPr="00954F0E" w:rsidRDefault="009113A5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8"/>
          <w:szCs w:val="28"/>
        </w:rPr>
      </w:pPr>
    </w:p>
    <w:p w:rsidR="008221EF" w:rsidRPr="00954F0E" w:rsidRDefault="006C36AE" w:rsidP="0006248A">
      <w:pPr>
        <w:pStyle w:val="a3"/>
        <w:snapToGrid w:val="0"/>
        <w:spacing w:afterLines="50" w:after="120" w:line="300" w:lineRule="auto"/>
        <w:ind w:left="0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*</w:t>
      </w:r>
      <w:r w:rsidRPr="00954F0E">
        <w:rPr>
          <w:rFonts w:cs="Arial"/>
          <w:sz w:val="28"/>
          <w:szCs w:val="28"/>
        </w:rPr>
        <w:t>星号之间的材料是新材料或改进材料</w:t>
      </w:r>
      <w:r w:rsidRPr="00954F0E">
        <w:rPr>
          <w:rFonts w:cs="Arial"/>
          <w:sz w:val="28"/>
          <w:szCs w:val="28"/>
        </w:rPr>
        <w:t>*</w:t>
      </w:r>
    </w:p>
    <w:p w:rsidR="009113A5" w:rsidRPr="00954F0E" w:rsidRDefault="006C36AE" w:rsidP="0006248A">
      <w:pPr>
        <w:pStyle w:val="a3"/>
        <w:snapToGrid w:val="0"/>
        <w:spacing w:afterLines="50" w:after="120" w:line="300" w:lineRule="auto"/>
        <w:ind w:left="0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发布日期：</w:t>
      </w:r>
      <w:r w:rsidRPr="00954F0E">
        <w:rPr>
          <w:rFonts w:cs="Arial"/>
          <w:sz w:val="28"/>
          <w:szCs w:val="28"/>
        </w:rPr>
        <w:t>1983</w:t>
      </w:r>
      <w:r w:rsidR="005925A9" w:rsidRPr="00954F0E">
        <w:rPr>
          <w:rFonts w:cs="Arial"/>
          <w:sz w:val="28"/>
          <w:szCs w:val="28"/>
        </w:rPr>
        <w:t>年</w:t>
      </w:r>
      <w:r w:rsidR="005925A9" w:rsidRPr="00954F0E">
        <w:rPr>
          <w:rFonts w:cs="Arial"/>
          <w:sz w:val="28"/>
          <w:szCs w:val="28"/>
        </w:rPr>
        <w:t>3</w:t>
      </w:r>
      <w:r w:rsidR="005925A9" w:rsidRPr="00954F0E">
        <w:rPr>
          <w:rFonts w:cs="Arial"/>
          <w:sz w:val="28"/>
          <w:szCs w:val="28"/>
        </w:rPr>
        <w:t>月</w:t>
      </w:r>
      <w:r w:rsidR="005925A9" w:rsidRPr="00954F0E">
        <w:rPr>
          <w:rFonts w:cs="Arial"/>
          <w:sz w:val="28"/>
          <w:szCs w:val="28"/>
        </w:rPr>
        <w:t>1</w:t>
      </w:r>
      <w:r w:rsidR="005925A9" w:rsidRPr="00954F0E">
        <w:rPr>
          <w:rFonts w:cs="Arial"/>
          <w:sz w:val="28"/>
          <w:szCs w:val="28"/>
        </w:rPr>
        <w:t>日</w:t>
      </w:r>
    </w:p>
    <w:p w:rsidR="009113A5" w:rsidRPr="00954F0E" w:rsidRDefault="006C36AE" w:rsidP="0006248A">
      <w:pPr>
        <w:pStyle w:val="a3"/>
        <w:snapToGrid w:val="0"/>
        <w:spacing w:afterLines="50" w:after="120" w:line="300" w:lineRule="auto"/>
        <w:ind w:left="0"/>
        <w:jc w:val="both"/>
        <w:rPr>
          <w:rFonts w:cs="Arial"/>
          <w:sz w:val="28"/>
          <w:szCs w:val="28"/>
        </w:rPr>
      </w:pPr>
      <w:r w:rsidRPr="00954F0E">
        <w:rPr>
          <w:rFonts w:cs="Arial"/>
          <w:sz w:val="28"/>
          <w:szCs w:val="28"/>
        </w:rPr>
        <w:t>修订日期：</w:t>
      </w:r>
      <w:r w:rsidRPr="00954F0E">
        <w:rPr>
          <w:rFonts w:cs="Arial"/>
          <w:sz w:val="28"/>
          <w:szCs w:val="28"/>
        </w:rPr>
        <w:t>1995</w:t>
      </w:r>
      <w:r w:rsidRPr="00954F0E">
        <w:rPr>
          <w:rFonts w:cs="Arial"/>
          <w:sz w:val="28"/>
          <w:szCs w:val="28"/>
        </w:rPr>
        <w:t>年</w:t>
      </w:r>
      <w:r w:rsidRPr="00954F0E">
        <w:rPr>
          <w:rFonts w:cs="Arial"/>
          <w:sz w:val="28"/>
          <w:szCs w:val="28"/>
        </w:rPr>
        <w:t>3</w:t>
      </w:r>
      <w:r w:rsidRPr="00954F0E">
        <w:rPr>
          <w:rFonts w:cs="Arial"/>
          <w:sz w:val="28"/>
          <w:szCs w:val="28"/>
        </w:rPr>
        <w:t>月、</w:t>
      </w:r>
      <w:r w:rsidRPr="00954F0E">
        <w:rPr>
          <w:rFonts w:cs="Arial"/>
          <w:sz w:val="28"/>
          <w:szCs w:val="28"/>
        </w:rPr>
        <w:t>1996</w:t>
      </w:r>
      <w:r w:rsidRPr="00954F0E">
        <w:rPr>
          <w:rFonts w:cs="Arial"/>
          <w:sz w:val="28"/>
          <w:szCs w:val="28"/>
        </w:rPr>
        <w:t>年</w:t>
      </w:r>
      <w:r w:rsidRPr="00954F0E">
        <w:rPr>
          <w:rFonts w:cs="Arial"/>
          <w:sz w:val="28"/>
          <w:szCs w:val="28"/>
        </w:rPr>
        <w:t>8</w:t>
      </w:r>
      <w:r w:rsidRPr="00954F0E">
        <w:rPr>
          <w:rFonts w:cs="Arial"/>
          <w:sz w:val="28"/>
          <w:szCs w:val="28"/>
        </w:rPr>
        <w:t>月</w:t>
      </w:r>
    </w:p>
    <w:p w:rsidR="009113A5" w:rsidRPr="00954F0E" w:rsidRDefault="009113A5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8"/>
          <w:szCs w:val="28"/>
        </w:rPr>
      </w:pP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784098" w:rsidRPr="00EA342B" w:rsidTr="00AD146E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84098" w:rsidRPr="00AD146E" w:rsidRDefault="00EE679F" w:rsidP="00AD146E">
            <w:pPr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8">
              <w:r w:rsidR="00784098" w:rsidRPr="00AD146E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合规政策指南的更多信息</w:t>
              </w:r>
              <w:r w:rsidR="00784098" w:rsidRPr="00AD146E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784098" w:rsidRPr="00AD146E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Manual/default.htm)</w:t>
              </w:r>
            </w:hyperlink>
          </w:p>
        </w:tc>
      </w:tr>
      <w:tr w:rsidR="009113A5" w:rsidRPr="00EA342B" w:rsidTr="00AD146E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113A5" w:rsidRPr="00EA342B" w:rsidRDefault="00EE679F" w:rsidP="00AD146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前言：合规政策指南（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F30394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  <w:r w:rsidR="006C36AE" w:rsidRPr="00EA342B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 </w:t>
            </w:r>
          </w:p>
        </w:tc>
      </w:tr>
      <w:tr w:rsidR="009113A5" w:rsidRPr="00EA342B" w:rsidTr="00AD146E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113A5" w:rsidRPr="00EA342B" w:rsidRDefault="00EE679F" w:rsidP="00AD146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通则</w:t>
              </w:r>
              <w:r w:rsidR="00F30394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9113A5" w:rsidRPr="00EA342B" w:rsidTr="00AD146E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113A5" w:rsidRPr="00EA342B" w:rsidRDefault="00EE679F" w:rsidP="00AD146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F30394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9113A5" w:rsidRPr="00EA342B" w:rsidTr="00AD146E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113A5" w:rsidRPr="00EA342B" w:rsidRDefault="00EE679F" w:rsidP="00AD146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F30394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9113A5" w:rsidRPr="00EA342B" w:rsidTr="00AD146E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113A5" w:rsidRPr="00EA342B" w:rsidRDefault="00EE679F" w:rsidP="00AD146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F30394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9113A5" w:rsidRPr="00EA342B" w:rsidTr="00AD146E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113A5" w:rsidRPr="00EA342B" w:rsidRDefault="00EE679F" w:rsidP="00AD146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F30394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6C36AE" w:rsidRPr="00EA342B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EA342B" w:rsidRPr="00EA342B" w:rsidTr="00AD146E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A342B" w:rsidRPr="00EA342B" w:rsidRDefault="00EE679F" w:rsidP="00AD146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5">
              <w:r w:rsidR="00EA342B" w:rsidRPr="00EA342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EA342B" w:rsidRPr="00EA342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EA342B" w:rsidRPr="00EA342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EA342B" w:rsidRPr="00EA342B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EA342B" w:rsidRPr="00EA342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6C36AE" w:rsidRPr="00954F0E" w:rsidRDefault="006C36AE" w:rsidP="0006248A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8"/>
          <w:szCs w:val="28"/>
        </w:rPr>
      </w:pPr>
    </w:p>
    <w:sectPr w:rsidR="006C36AE" w:rsidRPr="00954F0E" w:rsidSect="00954F0E">
      <w:headerReference w:type="default" r:id="rId16"/>
      <w:footerReference w:type="default" r:id="rId17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9F" w:rsidRDefault="00EE679F">
      <w:r>
        <w:separator/>
      </w:r>
    </w:p>
  </w:endnote>
  <w:endnote w:type="continuationSeparator" w:id="0">
    <w:p w:rsidR="00EE679F" w:rsidRDefault="00EE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8A8" w:rsidRPr="001178A8" w:rsidRDefault="001178A8" w:rsidP="001178A8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1178A8">
      <w:rPr>
        <w:rFonts w:ascii="Arial" w:eastAsia="宋体" w:hAnsi="Arial" w:cs="Arial"/>
        <w:sz w:val="15"/>
        <w:szCs w:val="15"/>
      </w:rPr>
      <w:t>https://</w:t>
    </w:r>
    <w:hyperlink r:id="rId1">
      <w:r w:rsidRPr="001178A8">
        <w:rPr>
          <w:rFonts w:ascii="Arial" w:eastAsia="宋体" w:hAnsi="Arial" w:cs="Arial"/>
          <w:sz w:val="15"/>
          <w:szCs w:val="15"/>
        </w:rPr>
        <w:t>www.fda.gov/ICECI/ComplianceManuals/CompliancePolicyGuidanceManual/ucm073854.htm</w:t>
      </w:r>
    </w:hyperlink>
    <w:r w:rsidRPr="001178A8">
      <w:rPr>
        <w:rFonts w:ascii="Arial" w:eastAsia="宋体" w:hAnsi="Arial" w:cs="Arial"/>
        <w:sz w:val="15"/>
        <w:szCs w:val="15"/>
      </w:rPr>
      <w:tab/>
    </w:r>
    <w:r w:rsidRPr="001178A8">
      <w:rPr>
        <w:rFonts w:ascii="Arial" w:hAnsi="Arial" w:cs="Arial"/>
        <w:sz w:val="15"/>
        <w:szCs w:val="15"/>
      </w:rPr>
      <w:fldChar w:fldCharType="begin"/>
    </w:r>
    <w:r w:rsidRPr="001178A8">
      <w:rPr>
        <w:rFonts w:ascii="Arial" w:eastAsia="宋体" w:hAnsi="Arial" w:cs="Arial"/>
        <w:sz w:val="15"/>
        <w:szCs w:val="15"/>
      </w:rPr>
      <w:instrText xml:space="preserve"> PAGE </w:instrText>
    </w:r>
    <w:r w:rsidRPr="001178A8">
      <w:rPr>
        <w:rFonts w:ascii="Arial" w:hAnsi="Arial" w:cs="Arial"/>
        <w:sz w:val="15"/>
        <w:szCs w:val="15"/>
      </w:rPr>
      <w:fldChar w:fldCharType="separate"/>
    </w:r>
    <w:r w:rsidR="004058F0">
      <w:rPr>
        <w:rFonts w:ascii="Arial" w:eastAsia="宋体" w:hAnsi="Arial" w:cs="Arial"/>
        <w:noProof/>
        <w:sz w:val="15"/>
        <w:szCs w:val="15"/>
      </w:rPr>
      <w:t>2</w:t>
    </w:r>
    <w:r w:rsidRPr="001178A8">
      <w:rPr>
        <w:rFonts w:ascii="Arial" w:hAnsi="Arial" w:cs="Arial"/>
        <w:sz w:val="15"/>
        <w:szCs w:val="15"/>
      </w:rPr>
      <w:fldChar w:fldCharType="end"/>
    </w:r>
    <w:r w:rsidRPr="001178A8">
      <w:rPr>
        <w:rFonts w:ascii="Arial" w:eastAsia="宋体" w:hAnsi="Arial" w:cs="Arial"/>
        <w:sz w:val="15"/>
        <w:szCs w:val="15"/>
      </w:rPr>
      <w:t>/2</w:t>
    </w:r>
  </w:p>
  <w:p w:rsidR="009113A5" w:rsidRPr="001178A8" w:rsidRDefault="009113A5">
    <w:pPr>
      <w:spacing w:line="14" w:lineRule="auto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9F" w:rsidRDefault="00EE679F">
      <w:r>
        <w:separator/>
      </w:r>
    </w:p>
  </w:footnote>
  <w:footnote w:type="continuationSeparator" w:id="0">
    <w:p w:rsidR="00EE679F" w:rsidRDefault="00EE6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97" w:rsidRDefault="00D72497" w:rsidP="001178A8">
    <w:pPr>
      <w:tabs>
        <w:tab w:val="left" w:pos="3402"/>
      </w:tabs>
      <w:spacing w:line="184" w:lineRule="exact"/>
      <w:ind w:left="20"/>
      <w:rPr>
        <w:rFonts w:ascii="Arial" w:eastAsia="宋体" w:hAnsi="Arial"/>
        <w:sz w:val="15"/>
        <w:szCs w:val="15"/>
      </w:rPr>
    </w:pPr>
    <w:r w:rsidRPr="001178A8">
      <w:rPr>
        <w:rFonts w:ascii="Arial" w:eastAsia="宋体" w:hAnsi="Arial" w:hint="eastAsia"/>
        <w:sz w:val="15"/>
        <w:szCs w:val="15"/>
      </w:rPr>
      <w:t>2017</w:t>
    </w:r>
    <w:r w:rsidRPr="001178A8">
      <w:rPr>
        <w:rFonts w:ascii="Arial" w:eastAsia="宋体" w:hAnsi="Arial" w:hint="eastAsia"/>
        <w:sz w:val="15"/>
        <w:szCs w:val="15"/>
      </w:rPr>
      <w:t>年</w:t>
    </w:r>
    <w:r w:rsidRPr="001178A8">
      <w:rPr>
        <w:rFonts w:ascii="Arial" w:eastAsia="宋体" w:hAnsi="Arial" w:hint="eastAsia"/>
        <w:sz w:val="15"/>
        <w:szCs w:val="15"/>
      </w:rPr>
      <w:t>8</w:t>
    </w:r>
    <w:r w:rsidRPr="001178A8">
      <w:rPr>
        <w:rFonts w:ascii="Arial" w:eastAsia="宋体" w:hAnsi="Arial" w:hint="eastAsia"/>
        <w:sz w:val="15"/>
        <w:szCs w:val="15"/>
      </w:rPr>
      <w:t>月</w:t>
    </w:r>
    <w:r w:rsidRPr="001178A8">
      <w:rPr>
        <w:rFonts w:ascii="Arial" w:eastAsia="宋体" w:hAnsi="Arial" w:hint="eastAsia"/>
        <w:sz w:val="15"/>
        <w:szCs w:val="15"/>
      </w:rPr>
      <w:t>10</w:t>
    </w:r>
    <w:r w:rsidRPr="001178A8">
      <w:rPr>
        <w:rFonts w:ascii="Arial" w:eastAsia="宋体" w:hAnsi="Arial" w:hint="eastAsia"/>
        <w:sz w:val="15"/>
        <w:szCs w:val="15"/>
      </w:rPr>
      <w:t>日</w:t>
    </w:r>
    <w:r w:rsidR="001178A8" w:rsidRPr="001178A8">
      <w:rPr>
        <w:rFonts w:ascii="Arial" w:eastAsia="宋体" w:hAnsi="Arial" w:hint="eastAsia"/>
        <w:sz w:val="15"/>
        <w:szCs w:val="15"/>
      </w:rPr>
      <w:tab/>
    </w:r>
    <w:r w:rsidRPr="001178A8">
      <w:rPr>
        <w:rFonts w:ascii="Arial" w:eastAsia="宋体" w:hAnsi="Arial" w:hint="eastAsia"/>
        <w:sz w:val="15"/>
        <w:szCs w:val="15"/>
      </w:rPr>
      <w:t>合规政策指南</w:t>
    </w:r>
    <w:r w:rsidRPr="001178A8">
      <w:rPr>
        <w:rFonts w:ascii="Arial" w:eastAsia="宋体" w:hAnsi="Arial" w:hint="eastAsia"/>
        <w:sz w:val="15"/>
        <w:szCs w:val="15"/>
      </w:rPr>
      <w:t>&gt;CPG</w:t>
    </w:r>
    <w:r w:rsidRPr="001178A8">
      <w:rPr>
        <w:rFonts w:ascii="Arial" w:eastAsia="宋体" w:hAnsi="Arial" w:hint="eastAsia"/>
        <w:sz w:val="15"/>
        <w:szCs w:val="15"/>
      </w:rPr>
      <w:t>章节</w:t>
    </w:r>
    <w:r w:rsidRPr="001178A8">
      <w:rPr>
        <w:rFonts w:ascii="Arial" w:eastAsia="宋体" w:hAnsi="Arial" w:hint="eastAsia"/>
        <w:sz w:val="15"/>
        <w:szCs w:val="15"/>
      </w:rPr>
      <w:t>160.750</w:t>
    </w:r>
    <w:r w:rsidRPr="001178A8">
      <w:rPr>
        <w:rFonts w:ascii="Arial" w:eastAsia="宋体" w:hAnsi="Arial" w:hint="eastAsia"/>
        <w:sz w:val="15"/>
        <w:szCs w:val="15"/>
      </w:rPr>
      <w:t>发现违反</w:t>
    </w:r>
    <w:r w:rsidRPr="001178A8">
      <w:rPr>
        <w:rFonts w:ascii="Arial" w:eastAsia="宋体" w:hAnsi="Arial" w:hint="eastAsia"/>
        <w:sz w:val="15"/>
        <w:szCs w:val="15"/>
      </w:rPr>
      <w:t>GMPR</w:t>
    </w:r>
    <w:r w:rsidRPr="001178A8">
      <w:rPr>
        <w:rFonts w:ascii="Arial" w:eastAsia="宋体" w:hAnsi="Arial" w:hint="eastAsia"/>
        <w:sz w:val="15"/>
        <w:szCs w:val="15"/>
      </w:rPr>
      <w:t>的药品和器械产品（包括生物制剂和动物药品）</w:t>
    </w:r>
    <w:r w:rsidRPr="001178A8">
      <w:rPr>
        <w:rFonts w:ascii="Arial" w:eastAsia="宋体" w:hAnsi="Arial" w:hint="eastAsia"/>
        <w:sz w:val="15"/>
        <w:szCs w:val="15"/>
      </w:rPr>
      <w:t xml:space="preserve">- </w:t>
    </w:r>
    <w:r w:rsidRPr="001178A8">
      <w:rPr>
        <w:rFonts w:ascii="Arial" w:eastAsia="宋体" w:hAnsi="Arial" w:hint="eastAsia"/>
        <w:sz w:val="15"/>
        <w:szCs w:val="15"/>
      </w:rPr>
      <w:t>重新调整</w:t>
    </w:r>
  </w:p>
  <w:p w:rsidR="001178A8" w:rsidRDefault="001178A8" w:rsidP="001178A8">
    <w:pPr>
      <w:tabs>
        <w:tab w:val="left" w:pos="340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1178A8" w:rsidRDefault="001178A8" w:rsidP="001178A8">
    <w:pPr>
      <w:tabs>
        <w:tab w:val="left" w:pos="340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1178A8" w:rsidRPr="001178A8" w:rsidRDefault="001178A8" w:rsidP="001178A8">
    <w:pPr>
      <w:tabs>
        <w:tab w:val="left" w:pos="3402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9113A5" w:rsidRPr="001178A8" w:rsidRDefault="009113A5" w:rsidP="001178A8">
    <w:pPr>
      <w:tabs>
        <w:tab w:val="left" w:pos="3261"/>
      </w:tabs>
      <w:spacing w:line="14" w:lineRule="auto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47A"/>
    <w:multiLevelType w:val="hybridMultilevel"/>
    <w:tmpl w:val="C6F89D30"/>
    <w:lvl w:ilvl="0" w:tplc="E706735A">
      <w:start w:val="1"/>
      <w:numFmt w:val="decimal"/>
      <w:lvlText w:val="%1."/>
      <w:lvlJc w:val="left"/>
      <w:pPr>
        <w:ind w:left="612" w:hanging="353"/>
        <w:jc w:val="left"/>
      </w:pPr>
      <w:rPr>
        <w:rFonts w:ascii="Arial" w:eastAsia="Arial" w:hAnsi="Arial" w:hint="default"/>
        <w:spacing w:val="1"/>
        <w:w w:val="102"/>
        <w:sz w:val="28"/>
        <w:szCs w:val="28"/>
      </w:rPr>
    </w:lvl>
    <w:lvl w:ilvl="1" w:tplc="892008DA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plc="E2C8B928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plc="A4224E0C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plc="7A2E98AC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plc="A626919C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plc="B576EEA4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plc="8FC86CBE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plc="28362CD6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A5"/>
    <w:rsid w:val="0002124A"/>
    <w:rsid w:val="0006248A"/>
    <w:rsid w:val="001178A8"/>
    <w:rsid w:val="004058F0"/>
    <w:rsid w:val="00475B98"/>
    <w:rsid w:val="005925A9"/>
    <w:rsid w:val="005B0524"/>
    <w:rsid w:val="006C09DA"/>
    <w:rsid w:val="006C36AE"/>
    <w:rsid w:val="00784098"/>
    <w:rsid w:val="008221EF"/>
    <w:rsid w:val="0088551D"/>
    <w:rsid w:val="008B2218"/>
    <w:rsid w:val="009113A5"/>
    <w:rsid w:val="00954F0E"/>
    <w:rsid w:val="009D33F0"/>
    <w:rsid w:val="00AD146E"/>
    <w:rsid w:val="00AD76A8"/>
    <w:rsid w:val="00D72497"/>
    <w:rsid w:val="00EA342B"/>
    <w:rsid w:val="00EA5D29"/>
    <w:rsid w:val="00EE679F"/>
    <w:rsid w:val="00F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9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25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25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25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9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25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25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2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572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6801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33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28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71.htm" TargetMode="External"/><Relationship Id="rId14" Type="http://schemas.openxmlformats.org/officeDocument/2006/relationships/hyperlink" Target="https://www.fda.gov/ICECI/ComplianceManuals/CompliancePolicyGuidanceManual/ucm119194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5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2017-11-10T01:48:00Z</dcterms:created>
  <dcterms:modified xsi:type="dcterms:W3CDTF">2017-11-10T01:48:00Z</dcterms:modified>
</cp:coreProperties>
</file>