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47" w:rsidRPr="00813AE7" w:rsidRDefault="00103747" w:rsidP="005C529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103747" w:rsidRPr="00813AE7" w:rsidRDefault="00103747" w:rsidP="005C529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103747" w:rsidRPr="00813AE7" w:rsidRDefault="00103747" w:rsidP="005C529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103747" w:rsidRPr="00813AE7" w:rsidRDefault="00103747" w:rsidP="005C529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103747" w:rsidRPr="00813AE7" w:rsidRDefault="006753F2" w:rsidP="005C529E">
      <w:pPr>
        <w:pStyle w:val="1"/>
        <w:overflowPunct w:val="0"/>
        <w:snapToGrid w:val="0"/>
        <w:spacing w:before="0" w:afterLines="50" w:after="120" w:line="300" w:lineRule="auto"/>
        <w:ind w:left="0"/>
        <w:jc w:val="both"/>
        <w:rPr>
          <w:rFonts w:cs="Arial"/>
        </w:rPr>
      </w:pPr>
      <w:r w:rsidRPr="00813AE7">
        <w:rPr>
          <w:rFonts w:cs="Arial"/>
        </w:rPr>
        <w:t>CPG</w:t>
      </w:r>
      <w:r w:rsidR="007C215D">
        <w:rPr>
          <w:rFonts w:cs="Arial" w:hint="eastAsia"/>
        </w:rPr>
        <w:t>章节</w:t>
      </w:r>
      <w:r w:rsidR="009351FE">
        <w:rPr>
          <w:rFonts w:cs="Arial" w:hint="eastAsia"/>
        </w:rPr>
        <w:t xml:space="preserve"> </w:t>
      </w:r>
      <w:r w:rsidRPr="00813AE7">
        <w:rPr>
          <w:rFonts w:cs="Arial"/>
        </w:rPr>
        <w:t xml:space="preserve">110.700 </w:t>
      </w:r>
      <w:r w:rsidRPr="00813AE7">
        <w:rPr>
          <w:rFonts w:cs="Arial"/>
        </w:rPr>
        <w:t>美国海关对不打算进入美国的国外违禁品的扣押</w:t>
      </w:r>
    </w:p>
    <w:p w:rsidR="00103747" w:rsidRPr="009351FE" w:rsidRDefault="006753F2" w:rsidP="00AB553A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cs="Arial"/>
          <w:sz w:val="24"/>
          <w:szCs w:val="24"/>
        </w:rPr>
      </w:pPr>
      <w:r w:rsidRPr="009351FE">
        <w:rPr>
          <w:rFonts w:cs="Arial"/>
          <w:sz w:val="24"/>
          <w:szCs w:val="24"/>
        </w:rPr>
        <w:t>背景：</w:t>
      </w:r>
    </w:p>
    <w:p w:rsidR="00103747" w:rsidRPr="009351FE" w:rsidRDefault="006753F2" w:rsidP="00AB553A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cs="Arial"/>
          <w:sz w:val="24"/>
          <w:szCs w:val="24"/>
        </w:rPr>
      </w:pPr>
      <w:r w:rsidRPr="009351FE">
        <w:rPr>
          <w:rFonts w:cs="Arial"/>
          <w:sz w:val="24"/>
          <w:szCs w:val="24"/>
        </w:rPr>
        <w:t>19 CFR 18.21</w:t>
      </w:r>
      <w:r w:rsidRPr="009351FE">
        <w:rPr>
          <w:rFonts w:cs="Arial"/>
          <w:sz w:val="24"/>
          <w:szCs w:val="24"/>
        </w:rPr>
        <w:t>（</w:t>
      </w:r>
      <w:r w:rsidRPr="009351FE">
        <w:rPr>
          <w:rFonts w:cs="Arial"/>
          <w:sz w:val="24"/>
          <w:szCs w:val="24"/>
        </w:rPr>
        <w:t>b</w:t>
      </w:r>
      <w:r w:rsidRPr="009351FE">
        <w:rPr>
          <w:rFonts w:cs="Arial"/>
          <w:sz w:val="24"/>
          <w:szCs w:val="24"/>
        </w:rPr>
        <w:t>）规定：</w:t>
      </w:r>
      <w:r w:rsidRPr="009351FE">
        <w:rPr>
          <w:rFonts w:cs="Arial"/>
          <w:sz w:val="24"/>
          <w:szCs w:val="24"/>
        </w:rPr>
        <w:t>”</w:t>
      </w:r>
      <w:r w:rsidRPr="009351FE">
        <w:rPr>
          <w:rFonts w:cs="Arial"/>
          <w:sz w:val="24"/>
          <w:szCs w:val="24"/>
        </w:rPr>
        <w:t>不得运输进口和出口禁止进入美国贸易的毒品和其他违禁品，并且为此目的而提供的任何此类商品进行扣押，除非获得适当的政府机构书面授权以及遵守该机构的规定，才允许出口或运输和进口。</w:t>
      </w:r>
      <w:r w:rsidRPr="009351FE">
        <w:rPr>
          <w:rFonts w:cs="Arial"/>
          <w:sz w:val="24"/>
          <w:szCs w:val="24"/>
        </w:rPr>
        <w:t>”</w:t>
      </w:r>
    </w:p>
    <w:p w:rsidR="00103747" w:rsidRPr="009351FE" w:rsidRDefault="006753F2" w:rsidP="00AB553A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cs="Arial"/>
          <w:sz w:val="24"/>
          <w:szCs w:val="24"/>
        </w:rPr>
      </w:pPr>
      <w:r w:rsidRPr="009351FE">
        <w:rPr>
          <w:rFonts w:cs="Arial"/>
          <w:sz w:val="24"/>
          <w:szCs w:val="24"/>
        </w:rPr>
        <w:t>*</w:t>
      </w:r>
      <w:r w:rsidRPr="009351FE">
        <w:rPr>
          <w:rFonts w:cs="Arial"/>
          <w:sz w:val="24"/>
          <w:szCs w:val="24"/>
        </w:rPr>
        <w:t>例如，</w:t>
      </w:r>
      <w:r w:rsidRPr="009351FE">
        <w:rPr>
          <w:rFonts w:cs="Arial"/>
          <w:sz w:val="24"/>
          <w:szCs w:val="24"/>
        </w:rPr>
        <w:t>*</w:t>
      </w:r>
      <w:r w:rsidRPr="009351FE">
        <w:rPr>
          <w:rFonts w:cs="Arial"/>
          <w:sz w:val="24"/>
          <w:szCs w:val="24"/>
        </w:rPr>
        <w:t>运输进口和出口的苦杏仁</w:t>
      </w:r>
      <w:proofErr w:type="gramStart"/>
      <w:r w:rsidRPr="009351FE">
        <w:rPr>
          <w:rFonts w:cs="Arial"/>
          <w:sz w:val="24"/>
          <w:szCs w:val="24"/>
        </w:rPr>
        <w:t>甙</w:t>
      </w:r>
      <w:proofErr w:type="gramEnd"/>
      <w:r w:rsidRPr="009351FE">
        <w:rPr>
          <w:rFonts w:cs="Arial"/>
          <w:sz w:val="24"/>
          <w:szCs w:val="24"/>
        </w:rPr>
        <w:t>装船被美国海关作为违禁品进行扣押。通知进口商，必须获得关于食品药品监督管理局对商品出口的考虑。进口商写信要求放行出口商品。作为回应，我们通知进口商，我们完全支持美国海关部门的措施，因为《联邦食品、药品和化妆品法案》</w:t>
      </w:r>
      <w:proofErr w:type="gramStart"/>
      <w:r w:rsidRPr="009351FE">
        <w:rPr>
          <w:rFonts w:cs="Arial"/>
          <w:sz w:val="24"/>
          <w:szCs w:val="24"/>
        </w:rPr>
        <w:t>州际</w:t>
      </w:r>
      <w:proofErr w:type="gramEnd"/>
      <w:r w:rsidRPr="009351FE">
        <w:rPr>
          <w:rFonts w:cs="Arial"/>
          <w:sz w:val="24"/>
          <w:szCs w:val="24"/>
        </w:rPr>
        <w:t>贸易禁止进口、出口或其他装运苦杏仁</w:t>
      </w:r>
      <w:proofErr w:type="gramStart"/>
      <w:r w:rsidRPr="009351FE">
        <w:rPr>
          <w:rFonts w:cs="Arial"/>
          <w:sz w:val="24"/>
          <w:szCs w:val="24"/>
        </w:rPr>
        <w:t>甙</w:t>
      </w:r>
      <w:proofErr w:type="gramEnd"/>
      <w:r w:rsidRPr="009351FE">
        <w:rPr>
          <w:rFonts w:cs="Arial"/>
          <w:sz w:val="24"/>
          <w:szCs w:val="24"/>
        </w:rPr>
        <w:t>，因此不会批准该物品出口。</w:t>
      </w:r>
    </w:p>
    <w:p w:rsidR="00103747" w:rsidRPr="009351FE" w:rsidRDefault="006753F2" w:rsidP="00AB553A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cs="Arial"/>
          <w:sz w:val="24"/>
          <w:szCs w:val="24"/>
        </w:rPr>
      </w:pPr>
      <w:r w:rsidRPr="009351FE">
        <w:rPr>
          <w:rFonts w:cs="Arial"/>
          <w:sz w:val="24"/>
          <w:szCs w:val="24"/>
        </w:rPr>
        <w:t>政策：</w:t>
      </w:r>
    </w:p>
    <w:p w:rsidR="00103747" w:rsidRPr="009351FE" w:rsidRDefault="006753F2" w:rsidP="00AB553A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cs="Arial"/>
          <w:sz w:val="24"/>
          <w:szCs w:val="24"/>
        </w:rPr>
      </w:pPr>
      <w:r w:rsidRPr="00330DA4">
        <w:rPr>
          <w:rFonts w:cs="Arial"/>
          <w:sz w:val="24"/>
          <w:szCs w:val="24"/>
        </w:rPr>
        <w:t>如果满足某些条件，则</w:t>
      </w:r>
      <w:r w:rsidRPr="00330DA4">
        <w:rPr>
          <w:rFonts w:cs="Arial"/>
          <w:sz w:val="24"/>
          <w:szCs w:val="24"/>
        </w:rPr>
        <w:t>FDA</w:t>
      </w:r>
      <w:r w:rsidRPr="00330DA4">
        <w:rPr>
          <w:rFonts w:cs="Arial"/>
          <w:sz w:val="24"/>
          <w:szCs w:val="24"/>
        </w:rPr>
        <w:t>支持美国海关根据</w:t>
      </w:r>
      <w:r w:rsidRPr="00330DA4">
        <w:rPr>
          <w:rFonts w:cs="Arial"/>
          <w:sz w:val="24"/>
          <w:szCs w:val="24"/>
        </w:rPr>
        <w:t>FDA 19 CFR 18.21</w:t>
      </w:r>
      <w:r w:rsidRPr="00330DA4">
        <w:rPr>
          <w:rFonts w:cs="Arial"/>
          <w:sz w:val="24"/>
          <w:szCs w:val="24"/>
        </w:rPr>
        <w:t>（</w:t>
      </w:r>
      <w:r w:rsidRPr="00330DA4">
        <w:rPr>
          <w:rFonts w:cs="Arial"/>
          <w:sz w:val="24"/>
          <w:szCs w:val="24"/>
        </w:rPr>
        <w:t>b</w:t>
      </w:r>
      <w:r w:rsidRPr="00330DA4">
        <w:rPr>
          <w:rFonts w:cs="Arial"/>
          <w:sz w:val="24"/>
          <w:szCs w:val="24"/>
        </w:rPr>
        <w:t>）条款（运输和出口条款（</w:t>
      </w:r>
      <w:r w:rsidRPr="00330DA4">
        <w:rPr>
          <w:rFonts w:cs="Arial"/>
          <w:sz w:val="24"/>
          <w:szCs w:val="24"/>
        </w:rPr>
        <w:t>T &amp; E</w:t>
      </w:r>
      <w:r w:rsidRPr="00330DA4">
        <w:rPr>
          <w:rFonts w:cs="Arial"/>
          <w:sz w:val="24"/>
          <w:szCs w:val="24"/>
        </w:rPr>
        <w:t>）提供）规定进行扣押。</w:t>
      </w:r>
      <w:r w:rsidRPr="009351FE">
        <w:rPr>
          <w:rFonts w:cs="Arial"/>
          <w:sz w:val="24"/>
          <w:szCs w:val="24"/>
        </w:rPr>
        <w:t>这样的条件可能是</w:t>
      </w:r>
      <w:r w:rsidR="007C215D">
        <w:rPr>
          <w:rFonts w:cs="Arial" w:hint="eastAsia"/>
          <w:sz w:val="24"/>
          <w:szCs w:val="24"/>
        </w:rPr>
        <w:t>：</w:t>
      </w:r>
      <w:r w:rsidRPr="009351FE">
        <w:rPr>
          <w:rFonts w:cs="Arial"/>
          <w:sz w:val="24"/>
          <w:szCs w:val="24"/>
        </w:rPr>
        <w:t>该物品对健康构成危害，包括严重的污秽，或表现严重的消费者欺诈行为</w:t>
      </w:r>
      <w:r w:rsidRPr="009351FE">
        <w:rPr>
          <w:rFonts w:cs="Arial"/>
          <w:sz w:val="24"/>
          <w:szCs w:val="24"/>
        </w:rPr>
        <w:t>*</w:t>
      </w:r>
      <w:r w:rsidRPr="009351FE">
        <w:rPr>
          <w:rFonts w:cs="Arial"/>
          <w:sz w:val="24"/>
          <w:szCs w:val="24"/>
        </w:rPr>
        <w:t>，或者我们有理由相信该物品可能会在稍后的日期提供美国入境申请，或者在运输过程中可能会偏离路线。</w:t>
      </w:r>
      <w:r w:rsidRPr="009351FE">
        <w:rPr>
          <w:rFonts w:cs="Arial"/>
          <w:sz w:val="24"/>
          <w:szCs w:val="24"/>
        </w:rPr>
        <w:t>*</w:t>
      </w:r>
    </w:p>
    <w:p w:rsidR="00103747" w:rsidRPr="009351FE" w:rsidRDefault="006753F2" w:rsidP="00AB553A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cs="Arial"/>
          <w:sz w:val="24"/>
          <w:szCs w:val="24"/>
        </w:rPr>
      </w:pPr>
      <w:r w:rsidRPr="009351FE">
        <w:rPr>
          <w:rFonts w:cs="Arial"/>
          <w:sz w:val="24"/>
          <w:szCs w:val="24"/>
        </w:rPr>
        <w:t>如果海关已扣押和进口商要求放行出口的物品；如果海关询问是否应该扣押；</w:t>
      </w:r>
      <w:r w:rsidR="00330DA4" w:rsidRPr="00330DA4">
        <w:rPr>
          <w:rFonts w:cs="Arial" w:hint="eastAsia"/>
          <w:sz w:val="24"/>
          <w:szCs w:val="24"/>
        </w:rPr>
        <w:t>或者</w:t>
      </w:r>
      <w:r w:rsidRPr="00330DA4">
        <w:rPr>
          <w:rFonts w:cs="Arial"/>
          <w:sz w:val="24"/>
          <w:szCs w:val="24"/>
        </w:rPr>
        <w:t>如果我们认为海关应根据</w:t>
      </w:r>
      <w:r w:rsidRPr="00330DA4">
        <w:rPr>
          <w:rFonts w:cs="Arial"/>
          <w:sz w:val="24"/>
          <w:szCs w:val="24"/>
        </w:rPr>
        <w:t>FDA 19CFR 18.21</w:t>
      </w:r>
      <w:r w:rsidR="00104131" w:rsidRPr="00330DA4">
        <w:rPr>
          <w:rFonts w:cs="Arial" w:hint="eastAsia"/>
          <w:sz w:val="24"/>
          <w:szCs w:val="24"/>
        </w:rPr>
        <w:t>（</w:t>
      </w:r>
      <w:r w:rsidRPr="00330DA4">
        <w:rPr>
          <w:rFonts w:cs="Arial"/>
          <w:sz w:val="24"/>
          <w:szCs w:val="24"/>
        </w:rPr>
        <w:t>b</w:t>
      </w:r>
      <w:r w:rsidR="00104131" w:rsidRPr="00330DA4">
        <w:rPr>
          <w:rFonts w:cs="Arial" w:hint="eastAsia"/>
          <w:sz w:val="24"/>
          <w:szCs w:val="24"/>
        </w:rPr>
        <w:t>）</w:t>
      </w:r>
      <w:r w:rsidRPr="00330DA4">
        <w:rPr>
          <w:rFonts w:cs="Arial"/>
          <w:sz w:val="24"/>
          <w:szCs w:val="24"/>
        </w:rPr>
        <w:t>条款（提供运输和出口条款（</w:t>
      </w:r>
      <w:r w:rsidRPr="00330DA4">
        <w:rPr>
          <w:rFonts w:cs="Arial"/>
          <w:sz w:val="24"/>
          <w:szCs w:val="24"/>
        </w:rPr>
        <w:t>T&amp;E</w:t>
      </w:r>
      <w:r w:rsidRPr="00330DA4">
        <w:rPr>
          <w:rFonts w:cs="Arial"/>
          <w:sz w:val="24"/>
          <w:szCs w:val="24"/>
        </w:rPr>
        <w:t>））规定的扣押，</w:t>
      </w:r>
      <w:r w:rsidRPr="009351FE">
        <w:rPr>
          <w:rFonts w:cs="Arial"/>
          <w:sz w:val="24"/>
          <w:szCs w:val="24"/>
        </w:rPr>
        <w:t>则应将事实发送到适当的</w:t>
      </w:r>
      <w:r w:rsidRPr="009351FE">
        <w:rPr>
          <w:rFonts w:cs="Arial"/>
          <w:sz w:val="24"/>
          <w:szCs w:val="24"/>
        </w:rPr>
        <w:t>*</w:t>
      </w:r>
      <w:r w:rsidRPr="009351FE">
        <w:rPr>
          <w:rFonts w:cs="Arial"/>
          <w:sz w:val="24"/>
          <w:szCs w:val="24"/>
        </w:rPr>
        <w:t>中心</w:t>
      </w:r>
      <w:r w:rsidRPr="009351FE">
        <w:rPr>
          <w:rFonts w:cs="Arial"/>
          <w:sz w:val="24"/>
          <w:szCs w:val="24"/>
        </w:rPr>
        <w:t>*</w:t>
      </w:r>
      <w:r w:rsidRPr="009351FE">
        <w:rPr>
          <w:rFonts w:cs="Arial"/>
          <w:sz w:val="24"/>
          <w:szCs w:val="24"/>
        </w:rPr>
        <w:t>以采取措施和</w:t>
      </w:r>
      <w:r w:rsidRPr="009351FE">
        <w:rPr>
          <w:rFonts w:cs="Arial"/>
          <w:sz w:val="24"/>
          <w:szCs w:val="24"/>
        </w:rPr>
        <w:t>/</w:t>
      </w:r>
      <w:r w:rsidRPr="009351FE">
        <w:rPr>
          <w:rFonts w:cs="Arial"/>
          <w:sz w:val="24"/>
          <w:szCs w:val="24"/>
        </w:rPr>
        <w:t>或考虑。</w:t>
      </w:r>
    </w:p>
    <w:p w:rsidR="00813AE7" w:rsidRPr="009351FE" w:rsidRDefault="00813AE7" w:rsidP="00AB553A">
      <w:pPr>
        <w:overflowPunct w:val="0"/>
        <w:snapToGrid w:val="0"/>
        <w:spacing w:afterLines="50" w:after="120" w:line="360" w:lineRule="auto"/>
        <w:jc w:val="both"/>
        <w:rPr>
          <w:rFonts w:ascii="Arial" w:eastAsia="宋体" w:hAnsi="Arial" w:cs="Arial"/>
          <w:sz w:val="24"/>
          <w:szCs w:val="24"/>
        </w:rPr>
      </w:pPr>
      <w:r w:rsidRPr="009351FE">
        <w:rPr>
          <w:rFonts w:ascii="Arial" w:eastAsia="宋体" w:hAnsi="Arial" w:cs="Arial"/>
          <w:sz w:val="24"/>
          <w:szCs w:val="24"/>
        </w:rPr>
        <w:br w:type="page"/>
      </w:r>
      <w:bookmarkStart w:id="0" w:name="_GoBack"/>
      <w:bookmarkEnd w:id="0"/>
    </w:p>
    <w:p w:rsidR="007C215D" w:rsidRDefault="006753F2" w:rsidP="00FA20CA">
      <w:pPr>
        <w:overflowPunct w:val="0"/>
        <w:snapToGrid w:val="0"/>
        <w:spacing w:afterLines="50" w:after="120" w:line="360" w:lineRule="auto"/>
        <w:jc w:val="both"/>
        <w:rPr>
          <w:rFonts w:ascii="Arial" w:eastAsia="宋体" w:hAnsi="Arial" w:cs="Arial"/>
          <w:sz w:val="24"/>
          <w:szCs w:val="24"/>
        </w:rPr>
      </w:pPr>
      <w:r w:rsidRPr="009351FE">
        <w:rPr>
          <w:rFonts w:ascii="Arial" w:eastAsia="宋体" w:hAnsi="Arial" w:cs="Arial"/>
          <w:sz w:val="24"/>
          <w:szCs w:val="24"/>
        </w:rPr>
        <w:lastRenderedPageBreak/>
        <w:t>*</w:t>
      </w:r>
      <w:r w:rsidRPr="009351FE">
        <w:rPr>
          <w:rFonts w:ascii="Arial" w:eastAsia="宋体" w:hAnsi="Arial" w:cs="Arial"/>
          <w:sz w:val="24"/>
          <w:szCs w:val="24"/>
        </w:rPr>
        <w:t>星号之间的材料是新</w:t>
      </w:r>
      <w:r w:rsidR="009229CE">
        <w:rPr>
          <w:rFonts w:ascii="Arial" w:eastAsia="宋体" w:hAnsi="Arial" w:cs="Arial" w:hint="eastAsia"/>
          <w:sz w:val="24"/>
          <w:szCs w:val="24"/>
        </w:rPr>
        <w:t>材料</w:t>
      </w:r>
      <w:r w:rsidRPr="009351FE">
        <w:rPr>
          <w:rFonts w:ascii="Arial" w:eastAsia="宋体" w:hAnsi="Arial" w:cs="Arial"/>
          <w:sz w:val="24"/>
          <w:szCs w:val="24"/>
        </w:rPr>
        <w:t>或</w:t>
      </w:r>
      <w:r w:rsidR="009229CE">
        <w:rPr>
          <w:rFonts w:ascii="Arial" w:eastAsia="宋体" w:hAnsi="Arial" w:cs="Arial" w:hint="eastAsia"/>
          <w:sz w:val="24"/>
          <w:szCs w:val="24"/>
        </w:rPr>
        <w:t>改进材料</w:t>
      </w:r>
      <w:r w:rsidRPr="009351FE">
        <w:rPr>
          <w:rFonts w:ascii="Arial" w:eastAsia="宋体" w:hAnsi="Arial" w:cs="Arial"/>
          <w:sz w:val="24"/>
          <w:szCs w:val="24"/>
        </w:rPr>
        <w:t>*</w:t>
      </w:r>
    </w:p>
    <w:p w:rsidR="00103747" w:rsidRPr="009351FE" w:rsidRDefault="006753F2" w:rsidP="00FA20CA">
      <w:pPr>
        <w:overflowPunct w:val="0"/>
        <w:snapToGrid w:val="0"/>
        <w:spacing w:afterLines="50" w:after="120" w:line="360" w:lineRule="auto"/>
        <w:jc w:val="both"/>
        <w:rPr>
          <w:rFonts w:ascii="Arial" w:eastAsia="宋体" w:hAnsi="Arial" w:cs="Arial"/>
          <w:sz w:val="24"/>
          <w:szCs w:val="24"/>
        </w:rPr>
      </w:pPr>
      <w:r w:rsidRPr="009351FE">
        <w:rPr>
          <w:rFonts w:ascii="Arial" w:eastAsia="宋体" w:hAnsi="Arial" w:cs="Arial"/>
          <w:sz w:val="24"/>
          <w:szCs w:val="24"/>
        </w:rPr>
        <w:t>发布日期：</w:t>
      </w:r>
      <w:r w:rsidRPr="009351FE">
        <w:rPr>
          <w:rFonts w:ascii="Arial" w:eastAsia="宋体" w:hAnsi="Arial" w:cs="Arial"/>
          <w:sz w:val="24"/>
          <w:szCs w:val="24"/>
        </w:rPr>
        <w:t>1976</w:t>
      </w:r>
      <w:r w:rsidRPr="009351FE">
        <w:rPr>
          <w:rFonts w:ascii="Arial" w:eastAsia="宋体" w:hAnsi="Arial" w:cs="Arial"/>
          <w:sz w:val="24"/>
          <w:szCs w:val="24"/>
        </w:rPr>
        <w:t>年</w:t>
      </w:r>
      <w:r w:rsidRPr="009351FE">
        <w:rPr>
          <w:rFonts w:ascii="Arial" w:eastAsia="宋体" w:hAnsi="Arial" w:cs="Arial"/>
          <w:sz w:val="24"/>
          <w:szCs w:val="24"/>
        </w:rPr>
        <w:t>11</w:t>
      </w:r>
      <w:r w:rsidRPr="009351FE">
        <w:rPr>
          <w:rFonts w:ascii="Arial" w:eastAsia="宋体" w:hAnsi="Arial" w:cs="Arial"/>
          <w:sz w:val="24"/>
          <w:szCs w:val="24"/>
        </w:rPr>
        <w:t>月</w:t>
      </w:r>
      <w:r w:rsidRPr="009351FE">
        <w:rPr>
          <w:rFonts w:ascii="Arial" w:eastAsia="宋体" w:hAnsi="Arial" w:cs="Arial"/>
          <w:sz w:val="24"/>
          <w:szCs w:val="24"/>
        </w:rPr>
        <w:t>26</w:t>
      </w:r>
      <w:r w:rsidRPr="009351FE">
        <w:rPr>
          <w:rFonts w:ascii="Arial" w:eastAsia="宋体" w:hAnsi="Arial" w:cs="Arial"/>
          <w:sz w:val="24"/>
          <w:szCs w:val="24"/>
        </w:rPr>
        <w:t>日</w:t>
      </w:r>
    </w:p>
    <w:p w:rsidR="00103747" w:rsidRPr="009351FE" w:rsidRDefault="006753F2" w:rsidP="00AB553A">
      <w:pPr>
        <w:pStyle w:val="a3"/>
        <w:overflowPunct w:val="0"/>
        <w:snapToGrid w:val="0"/>
        <w:spacing w:afterLines="50" w:after="120" w:line="360" w:lineRule="auto"/>
        <w:ind w:left="0"/>
        <w:jc w:val="both"/>
        <w:rPr>
          <w:rFonts w:cs="Arial"/>
          <w:sz w:val="24"/>
          <w:szCs w:val="24"/>
        </w:rPr>
      </w:pPr>
      <w:r w:rsidRPr="009351FE">
        <w:rPr>
          <w:rFonts w:cs="Arial"/>
          <w:sz w:val="24"/>
          <w:szCs w:val="24"/>
        </w:rPr>
        <w:t>修订日期：</w:t>
      </w:r>
      <w:r w:rsidRPr="009351FE">
        <w:rPr>
          <w:rFonts w:cs="Arial"/>
          <w:sz w:val="24"/>
          <w:szCs w:val="24"/>
        </w:rPr>
        <w:t>1980</w:t>
      </w:r>
      <w:r w:rsidRPr="009351FE">
        <w:rPr>
          <w:rFonts w:cs="Arial"/>
          <w:sz w:val="24"/>
          <w:szCs w:val="24"/>
        </w:rPr>
        <w:t>年</w:t>
      </w:r>
      <w:r w:rsidRPr="009351FE">
        <w:rPr>
          <w:rFonts w:cs="Arial"/>
          <w:sz w:val="24"/>
          <w:szCs w:val="24"/>
        </w:rPr>
        <w:t>10</w:t>
      </w:r>
      <w:r w:rsidRPr="009351FE">
        <w:rPr>
          <w:rFonts w:cs="Arial"/>
          <w:sz w:val="24"/>
          <w:szCs w:val="24"/>
        </w:rPr>
        <w:t>月</w:t>
      </w:r>
      <w:r w:rsidRPr="009351FE">
        <w:rPr>
          <w:rFonts w:cs="Arial"/>
          <w:sz w:val="24"/>
          <w:szCs w:val="24"/>
        </w:rPr>
        <w:t>1</w:t>
      </w:r>
      <w:r w:rsidRPr="009351FE">
        <w:rPr>
          <w:rFonts w:cs="Arial"/>
          <w:sz w:val="24"/>
          <w:szCs w:val="24"/>
        </w:rPr>
        <w:t>日、</w:t>
      </w:r>
      <w:r w:rsidRPr="009351FE">
        <w:rPr>
          <w:rFonts w:cs="Arial"/>
          <w:sz w:val="24"/>
          <w:szCs w:val="24"/>
        </w:rPr>
        <w:t>1989</w:t>
      </w:r>
      <w:r w:rsidRPr="009351FE">
        <w:rPr>
          <w:rFonts w:cs="Arial"/>
          <w:sz w:val="24"/>
          <w:szCs w:val="24"/>
        </w:rPr>
        <w:t>年</w:t>
      </w:r>
      <w:r w:rsidRPr="009351FE">
        <w:rPr>
          <w:rFonts w:cs="Arial"/>
          <w:sz w:val="24"/>
          <w:szCs w:val="24"/>
        </w:rPr>
        <w:t>8</w:t>
      </w:r>
      <w:r w:rsidRPr="009351FE">
        <w:rPr>
          <w:rFonts w:cs="Arial"/>
          <w:sz w:val="24"/>
          <w:szCs w:val="24"/>
        </w:rPr>
        <w:t>月</w:t>
      </w:r>
      <w:r w:rsidRPr="009351FE">
        <w:rPr>
          <w:rFonts w:cs="Arial"/>
          <w:sz w:val="24"/>
          <w:szCs w:val="24"/>
        </w:rPr>
        <w:t>31</w:t>
      </w:r>
      <w:r w:rsidRPr="009351FE">
        <w:rPr>
          <w:rFonts w:cs="Arial"/>
          <w:sz w:val="24"/>
          <w:szCs w:val="24"/>
        </w:rPr>
        <w:t>日</w:t>
      </w:r>
    </w:p>
    <w:tbl>
      <w:tblPr>
        <w:tblStyle w:val="TableNormal"/>
        <w:tblW w:w="1088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FA20CA" w:rsidRPr="00CD6DB2" w:rsidTr="00A14AF0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FA20CA" w:rsidRPr="00FA20CA" w:rsidRDefault="00FA20CA" w:rsidP="00FA20CA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</w:pPr>
            <w:r w:rsidRPr="00FA20CA">
              <w:rPr>
                <w:rFonts w:ascii="Arial" w:eastAsia="宋体" w:hAnsi="Arial" w:cs="Arial" w:hint="eastAsia"/>
                <w:b/>
                <w:sz w:val="24"/>
                <w:szCs w:val="24"/>
                <w:u w:val="single" w:color="000000"/>
              </w:rPr>
              <w:t>合</w:t>
            </w:r>
            <w:proofErr w:type="gramStart"/>
            <w:r w:rsidRPr="00FA20CA">
              <w:rPr>
                <w:rFonts w:ascii="Arial" w:eastAsia="宋体" w:hAnsi="Arial" w:cs="Arial" w:hint="eastAsia"/>
                <w:b/>
                <w:sz w:val="24"/>
                <w:szCs w:val="24"/>
                <w:u w:val="single" w:color="000000"/>
              </w:rPr>
              <w:t>规</w:t>
            </w:r>
            <w:proofErr w:type="gramEnd"/>
            <w:r w:rsidRPr="00FA20CA">
              <w:rPr>
                <w:rFonts w:ascii="Arial" w:eastAsia="宋体" w:hAnsi="Arial" w:cs="Arial" w:hint="eastAsia"/>
                <w:b/>
                <w:sz w:val="24"/>
                <w:szCs w:val="24"/>
                <w:u w:val="single" w:color="000000"/>
              </w:rPr>
              <w:t>政策指南</w:t>
            </w:r>
            <w:r w:rsidR="009229CE">
              <w:rPr>
                <w:rFonts w:ascii="Arial" w:eastAsia="宋体" w:hAnsi="Arial" w:cs="Arial" w:hint="eastAsia"/>
                <w:b/>
                <w:sz w:val="24"/>
                <w:szCs w:val="24"/>
                <w:u w:val="single" w:color="000000"/>
              </w:rPr>
              <w:t>的更多信息</w:t>
            </w:r>
          </w:p>
          <w:p w:rsidR="00FA20CA" w:rsidRPr="00CD6DB2" w:rsidRDefault="007E58A3" w:rsidP="00A14AF0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hAnsi="Arial" w:cs="Arial"/>
                <w:sz w:val="24"/>
                <w:szCs w:val="24"/>
              </w:rPr>
            </w:pPr>
            <w:hyperlink r:id="rId7"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FA20CA" w:rsidRPr="00CD6DB2" w:rsidTr="00A14AF0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FA20CA" w:rsidRPr="00CD6DB2" w:rsidRDefault="007E58A3" w:rsidP="009229CE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9229CE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前言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：合</w:t>
              </w:r>
              <w:proofErr w:type="gramStart"/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规</w:t>
              </w:r>
              <w:proofErr w:type="gramEnd"/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政策指南（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="00FA20CA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FA20CA" w:rsidRPr="00CD6DB2" w:rsidTr="00A14AF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FA20CA" w:rsidRPr="00CD6DB2" w:rsidRDefault="007E58A3" w:rsidP="00A14AF0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542D0" w:rsidRPr="003542D0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FA20CA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FA20CA" w:rsidRPr="00CD6DB2" w:rsidTr="00A14AF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:rsidR="00FA20CA" w:rsidRPr="00CD6DB2" w:rsidRDefault="007E58A3" w:rsidP="00A14AF0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FA20CA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FA20CA" w:rsidRPr="00CD6DB2" w:rsidTr="00A14AF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FA20CA" w:rsidRPr="00CD6DB2" w:rsidRDefault="007E58A3" w:rsidP="00A14AF0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FA20CA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FA20CA" w:rsidRPr="00CD6DB2" w:rsidTr="00A14AF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FA20CA" w:rsidRPr="00CD6DB2" w:rsidRDefault="007E58A3" w:rsidP="00A14AF0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FA20CA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FA20CA" w:rsidRPr="00CD6DB2" w:rsidTr="00A14AF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FA20CA" w:rsidRPr="00CD6DB2" w:rsidRDefault="007E58A3" w:rsidP="00A14AF0">
            <w:pPr>
              <w:pStyle w:val="TableParagraph"/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3542D0" w:rsidRPr="003542D0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FA20CA">
                <w:rPr>
                  <w:rFonts w:ascii="Arial" w:eastAsia="宋体" w:hAnsi="Arial" w:cs="Arial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A20CA" w:rsidRPr="00CD6DB2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FA20CA" w:rsidRPr="00CD6DB2" w:rsidTr="00A14AF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FA20CA" w:rsidRPr="00B25B1E" w:rsidRDefault="007E58A3" w:rsidP="00A14AF0">
            <w:pPr>
              <w:overflowPunct w:val="0"/>
              <w:snapToGrid w:val="0"/>
              <w:spacing w:beforeLines="30" w:before="72" w:afterLines="30" w:after="72" w:line="300" w:lineRule="auto"/>
              <w:ind w:left="20" w:right="20"/>
              <w:rPr>
                <w:rFonts w:ascii="Arial" w:eastAsia="宋体" w:hAnsi="Arial" w:cs="Arial"/>
              </w:rPr>
            </w:pPr>
            <w:hyperlink r:id="rId14">
              <w:r w:rsidR="00FA20CA" w:rsidRPr="00CD6DB2">
                <w:rPr>
                  <w:rFonts w:ascii="Arial" w:eastAsia="宋体" w:hAnsi="Arial" w:cs="Arial"/>
                  <w:b/>
                  <w:u w:val="single" w:color="000000"/>
                </w:rPr>
                <w:t>第六章</w:t>
              </w:r>
              <w:r w:rsidR="00FA20CA" w:rsidRPr="00CD6DB2">
                <w:rPr>
                  <w:rFonts w:ascii="Arial" w:eastAsia="宋体" w:hAnsi="Arial" w:cs="Arial"/>
                  <w:b/>
                  <w:u w:val="single" w:color="000000"/>
                </w:rPr>
                <w:t>-</w:t>
              </w:r>
              <w:r w:rsidR="00FA20CA" w:rsidRPr="00CD6DB2">
                <w:rPr>
                  <w:rFonts w:ascii="Arial" w:eastAsia="宋体" w:hAnsi="Arial" w:cs="Arial"/>
                  <w:b/>
                  <w:u w:val="single" w:color="000000"/>
                </w:rPr>
                <w:t>兽医</w:t>
              </w:r>
              <w:r w:rsidR="009229CE">
                <w:rPr>
                  <w:rFonts w:ascii="Arial" w:eastAsia="宋体" w:hAnsi="Arial" w:cs="Arial" w:hint="eastAsia"/>
                  <w:b/>
                  <w:u w:val="single" w:color="000000"/>
                </w:rPr>
                <w:t>医</w:t>
              </w:r>
              <w:r w:rsidR="00FA20CA" w:rsidRPr="00CD6DB2">
                <w:rPr>
                  <w:rFonts w:ascii="Arial" w:eastAsia="宋体" w:hAnsi="Arial" w:cs="Arial"/>
                  <w:b/>
                  <w:u w:val="single" w:color="000000"/>
                </w:rPr>
                <w:t>学</w:t>
              </w:r>
              <w:r w:rsidR="00FA20CA">
                <w:rPr>
                  <w:rFonts w:ascii="Arial" w:eastAsia="宋体" w:hAnsi="Arial" w:cs="Arial" w:hint="eastAsia"/>
                  <w:b/>
                  <w:u w:val="single" w:color="000000"/>
                </w:rPr>
                <w:br/>
              </w:r>
              <w:r w:rsidR="00FA20CA" w:rsidRPr="00CD6DB2">
                <w:rPr>
                  <w:rFonts w:ascii="Arial" w:eastAsia="宋体" w:hAnsi="Arial" w:cs="Arial"/>
                  <w:b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103747" w:rsidRPr="009351FE" w:rsidRDefault="00103747" w:rsidP="005C529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03747" w:rsidRPr="009351FE" w:rsidRDefault="00103747" w:rsidP="005C529E">
      <w:pPr>
        <w:overflowPunct w:val="0"/>
        <w:snapToGrid w:val="0"/>
        <w:spacing w:afterLines="50" w:after="120" w:line="300" w:lineRule="auto"/>
        <w:jc w:val="both"/>
        <w:rPr>
          <w:rFonts w:ascii="Arial" w:eastAsia="宋体" w:hAnsi="Arial" w:cs="Arial"/>
          <w:sz w:val="24"/>
          <w:szCs w:val="24"/>
        </w:rPr>
      </w:pPr>
    </w:p>
    <w:sectPr w:rsidR="00103747" w:rsidRPr="009351FE" w:rsidSect="009351FE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A3" w:rsidRDefault="007E58A3">
      <w:r>
        <w:separator/>
      </w:r>
    </w:p>
  </w:endnote>
  <w:endnote w:type="continuationSeparator" w:id="0">
    <w:p w:rsidR="007E58A3" w:rsidRDefault="007E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47" w:rsidRDefault="00C6273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552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9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747" w:rsidRDefault="006753F2">
                          <w:pPr>
                            <w:spacing w:line="184" w:lineRule="exact"/>
                            <w:ind w:left="20"/>
                            <w:rPr>
                              <w:rFonts w:ascii="Arial" w:eastAsia="宋体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Arial" w:eastAsia="宋体" w:hint="eastAsia"/>
                                <w:sz w:val="16"/>
                              </w:rPr>
                              <w:t>www.fda.gov/ICECI/ComplianceManuals/CompliancePolicyGuidanceManual/ucm073834.htm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955" o:spid="_x0000_s1026" type="#_x0000_t202" style="position:absolute;margin-left:25pt;margin-top:816.5pt;width:332.7pt;height:10pt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" filled="f" stroked="f">
              <v:textbox inset="0,0,0,0">
                <w:txbxContent>
                  <w:p w:rsidR="00103747" w:rsidRDefault="006753F2">
                    <w:pPr>
                      <w:spacing w:line="184" w:lineRule="exact"/>
                      <w:ind w:left="20"/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宋体" w:hint="eastAsia"/>
                        <w:sz w:val="16"/>
                      </w:rPr>
                      <w:t>https://</w:t>
                    </w:r>
                    <w:hyperlink r:id="rId2">
                      <w:r>
                        <w:rPr>
                          <w:rFonts w:ascii="Arial" w:eastAsia="宋体" w:hint="eastAsia"/>
                          <w:sz w:val="16"/>
                        </w:rPr>
                        <w:t>www.fda.gov/ICECI/ComplianceManuals/CompliancePolicyGuidanceManual/ucm073834.htm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576" behindDoc="1" locked="0" layoutInCell="1" allowOverlap="1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4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747" w:rsidRDefault="006753F2">
                          <w:pPr>
                            <w:spacing w:line="184" w:lineRule="exact"/>
                            <w:ind w:left="40"/>
                            <w:rPr>
                              <w:rFonts w:ascii="Arial" w:eastAsia="宋体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0DA4">
                            <w:rPr>
                              <w:rFonts w:ascii="Arial" w:eastAsia="宋体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宋体" w:hint="eastAsia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576" o:spid="_x0000_s1027" type="#_x0000_t202" style="position:absolute;margin-left:557pt;margin-top:816.5pt;width:13.45pt;height:10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" filled="f" stroked="f">
              <v:textbox inset="0,0,0,0">
                <w:txbxContent>
                  <w:p w:rsidR="00103747" w:rsidRDefault="006753F2">
                    <w:pPr>
                      <w:spacing w:line="184" w:lineRule="exact"/>
                      <w:ind w:left="40"/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宋体" w:hint="eastAsi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0DA4">
                      <w:rPr>
                        <w:rFonts w:ascii="Arial" w:eastAsia="宋体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宋体" w:hint="eastAsia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A3" w:rsidRDefault="007E58A3">
      <w:r>
        <w:separator/>
      </w:r>
    </w:p>
  </w:footnote>
  <w:footnote w:type="continuationSeparator" w:id="0">
    <w:p w:rsidR="007E58A3" w:rsidRDefault="007E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DA" w:rsidRDefault="001C73DA" w:rsidP="001C73DA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  <w:r w:rsidRPr="00AB553A">
      <w:rPr>
        <w:rFonts w:ascii="Arial" w:eastAsia="宋体" w:hAnsi="Arial" w:hint="eastAsia"/>
        <w:sz w:val="15"/>
        <w:szCs w:val="15"/>
      </w:rPr>
      <w:t>2017</w:t>
    </w:r>
    <w:r w:rsidRPr="00AB553A">
      <w:rPr>
        <w:rFonts w:ascii="Arial" w:eastAsia="宋体" w:hAnsi="Arial" w:hint="eastAsia"/>
        <w:sz w:val="15"/>
        <w:szCs w:val="15"/>
      </w:rPr>
      <w:t>年</w:t>
    </w:r>
    <w:r w:rsidRPr="00AB553A">
      <w:rPr>
        <w:rFonts w:ascii="Arial" w:eastAsia="宋体" w:hAnsi="Arial" w:hint="eastAsia"/>
        <w:sz w:val="15"/>
        <w:szCs w:val="15"/>
      </w:rPr>
      <w:t>8</w:t>
    </w:r>
    <w:r w:rsidRPr="00AB553A">
      <w:rPr>
        <w:rFonts w:ascii="Arial" w:eastAsia="宋体" w:hAnsi="Arial" w:hint="eastAsia"/>
        <w:sz w:val="15"/>
        <w:szCs w:val="15"/>
      </w:rPr>
      <w:t>月</w:t>
    </w:r>
    <w:r w:rsidRPr="00AB553A">
      <w:rPr>
        <w:rFonts w:ascii="Arial" w:eastAsia="宋体" w:hAnsi="Arial" w:hint="eastAsia"/>
        <w:sz w:val="15"/>
        <w:szCs w:val="15"/>
      </w:rPr>
      <w:t>10</w:t>
    </w:r>
    <w:r w:rsidRPr="00AB553A">
      <w:rPr>
        <w:rFonts w:ascii="Arial" w:eastAsia="宋体" w:hAnsi="Arial" w:hint="eastAsia"/>
        <w:sz w:val="15"/>
        <w:szCs w:val="15"/>
      </w:rPr>
      <w:t>日</w:t>
    </w:r>
    <w:r w:rsidRPr="00AB553A">
      <w:rPr>
        <w:rFonts w:ascii="Arial" w:eastAsia="宋体" w:hAnsi="Arial" w:hint="eastAsia"/>
        <w:sz w:val="15"/>
        <w:szCs w:val="15"/>
      </w:rPr>
      <w:tab/>
    </w:r>
    <w:r w:rsidRPr="00AB553A">
      <w:rPr>
        <w:rFonts w:ascii="Arial" w:eastAsia="宋体" w:hAnsi="Arial" w:hint="eastAsia"/>
        <w:sz w:val="15"/>
        <w:szCs w:val="15"/>
      </w:rPr>
      <w:t>合</w:t>
    </w:r>
    <w:proofErr w:type="gramStart"/>
    <w:r w:rsidRPr="00AB553A">
      <w:rPr>
        <w:rFonts w:ascii="Arial" w:eastAsia="宋体" w:hAnsi="Arial" w:hint="eastAsia"/>
        <w:sz w:val="15"/>
        <w:szCs w:val="15"/>
      </w:rPr>
      <w:t>规</w:t>
    </w:r>
    <w:proofErr w:type="gramEnd"/>
    <w:r w:rsidRPr="00AB553A">
      <w:rPr>
        <w:rFonts w:ascii="Arial" w:eastAsia="宋体" w:hAnsi="Arial" w:hint="eastAsia"/>
        <w:sz w:val="15"/>
        <w:szCs w:val="15"/>
      </w:rPr>
      <w:t>政策指南</w:t>
    </w:r>
    <w:r w:rsidRPr="00AB553A">
      <w:rPr>
        <w:rFonts w:ascii="Arial" w:eastAsia="宋体" w:hAnsi="Arial" w:hint="eastAsia"/>
        <w:sz w:val="15"/>
        <w:szCs w:val="15"/>
      </w:rPr>
      <w:t>&gt;CPG</w:t>
    </w:r>
    <w:r w:rsidR="007C215D">
      <w:rPr>
        <w:rFonts w:ascii="Arial" w:eastAsia="宋体" w:hAnsi="Arial" w:hint="eastAsia"/>
        <w:sz w:val="15"/>
        <w:szCs w:val="15"/>
      </w:rPr>
      <w:t>章节</w:t>
    </w:r>
    <w:r w:rsidRPr="00AB553A">
      <w:rPr>
        <w:rFonts w:ascii="Arial" w:eastAsia="宋体" w:hAnsi="Arial" w:hint="eastAsia"/>
        <w:sz w:val="15"/>
        <w:szCs w:val="15"/>
      </w:rPr>
      <w:t xml:space="preserve">110.700 </w:t>
    </w:r>
    <w:r w:rsidRPr="00AB553A">
      <w:rPr>
        <w:rFonts w:ascii="Arial" w:eastAsia="宋体" w:hAnsi="Arial" w:hint="eastAsia"/>
        <w:sz w:val="15"/>
        <w:szCs w:val="15"/>
      </w:rPr>
      <w:t>美国海关对不打算进入美国的国外违禁品的扣押</w:t>
    </w:r>
  </w:p>
  <w:p w:rsidR="00AB553A" w:rsidRDefault="00AB553A" w:rsidP="001C73DA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AB553A" w:rsidRDefault="00AB553A" w:rsidP="001C73DA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AB553A" w:rsidRPr="00AB553A" w:rsidRDefault="00AB553A" w:rsidP="001C73DA">
    <w:pPr>
      <w:tabs>
        <w:tab w:val="left" w:pos="2552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</w:p>
  <w:p w:rsidR="00103747" w:rsidRPr="00AB553A" w:rsidRDefault="00103747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47"/>
    <w:rsid w:val="00103747"/>
    <w:rsid w:val="00104131"/>
    <w:rsid w:val="001C73DA"/>
    <w:rsid w:val="00330DA4"/>
    <w:rsid w:val="003542D0"/>
    <w:rsid w:val="003A7B16"/>
    <w:rsid w:val="005C529E"/>
    <w:rsid w:val="006753F2"/>
    <w:rsid w:val="007C215D"/>
    <w:rsid w:val="007E58A3"/>
    <w:rsid w:val="00813AE7"/>
    <w:rsid w:val="009229CE"/>
    <w:rsid w:val="009351FE"/>
    <w:rsid w:val="009946C1"/>
    <w:rsid w:val="00A704F8"/>
    <w:rsid w:val="00AB553A"/>
    <w:rsid w:val="00B76FE5"/>
    <w:rsid w:val="00C62738"/>
    <w:rsid w:val="00D1354D"/>
    <w:rsid w:val="00F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8"/>
      <w:ind w:left="100"/>
      <w:outlineLvl w:val="0"/>
    </w:pPr>
    <w:rPr>
      <w:rFonts w:ascii="Arial" w:eastAsia="宋体" w:hAnsi="Arial"/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C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73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73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73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8"/>
      <w:ind w:left="100"/>
      <w:outlineLvl w:val="0"/>
    </w:pPr>
    <w:rPr>
      <w:rFonts w:ascii="Arial" w:eastAsia="宋体" w:hAnsi="Arial"/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C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C73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C73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C7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a.gov/ICECI/ComplianceManuals/CompliancePolicyGuidanceManual/ucm073834.htm" TargetMode="External"/><Relationship Id="rId1" Type="http://schemas.openxmlformats.org/officeDocument/2006/relationships/hyperlink" Target="http://www.fda.gov/ICECI/ComplianceManuals/CompliancePolicyGuidanceManual/ucm07383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2017-11-10T01:35:00Z</dcterms:created>
  <dcterms:modified xsi:type="dcterms:W3CDTF">2017-11-10T01:35:00Z</dcterms:modified>
</cp:coreProperties>
</file>