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6A" w:rsidRPr="00084618" w:rsidRDefault="00A3286A" w:rsidP="00053253">
      <w:pPr>
        <w:snapToGrid w:val="0"/>
        <w:spacing w:afterLines="50" w:after="120" w:line="300" w:lineRule="auto"/>
        <w:rPr>
          <w:rFonts w:ascii="Arial" w:eastAsia="宋体" w:hAnsi="Arial" w:cs="Arial" w:hint="eastAsia"/>
          <w:sz w:val="20"/>
          <w:szCs w:val="20"/>
        </w:rPr>
      </w:pPr>
    </w:p>
    <w:p w:rsidR="00A3286A" w:rsidRPr="00084618" w:rsidRDefault="00635917" w:rsidP="00084618">
      <w:pPr>
        <w:pBdr>
          <w:bottom w:val="single" w:sz="4" w:space="1" w:color="auto"/>
        </w:pBdr>
        <w:snapToGrid w:val="0"/>
        <w:spacing w:afterLines="50" w:after="120" w:line="300" w:lineRule="auto"/>
        <w:ind w:firstLine="2"/>
        <w:jc w:val="center"/>
        <w:rPr>
          <w:rFonts w:ascii="Arial" w:eastAsia="宋体" w:hAnsi="Arial" w:cs="Arial"/>
          <w:sz w:val="56"/>
          <w:szCs w:val="56"/>
        </w:rPr>
      </w:pPr>
      <w:r w:rsidRPr="00084618">
        <w:rPr>
          <w:rFonts w:ascii="Arial" w:eastAsia="宋体" w:hAnsi="Arial" w:cs="Arial"/>
          <w:b/>
          <w:sz w:val="56"/>
        </w:rPr>
        <w:t>在医疗器械研究器械豁免中测定收益风险时应考虑的因素</w:t>
      </w:r>
    </w:p>
    <w:p w:rsidR="00A3286A" w:rsidRPr="00084618" w:rsidRDefault="00635917" w:rsidP="00053253">
      <w:pPr>
        <w:snapToGrid w:val="0"/>
        <w:spacing w:afterLines="50" w:after="120" w:line="300" w:lineRule="auto"/>
        <w:jc w:val="center"/>
        <w:rPr>
          <w:rFonts w:ascii="Arial" w:eastAsia="宋体" w:hAnsi="Arial" w:cs="Arial"/>
          <w:sz w:val="56"/>
          <w:szCs w:val="56"/>
        </w:rPr>
      </w:pPr>
      <w:r w:rsidRPr="00084618">
        <w:rPr>
          <w:rFonts w:ascii="Arial" w:eastAsia="宋体" w:hAnsi="Arial" w:cs="Arial"/>
          <w:b/>
          <w:sz w:val="56"/>
        </w:rPr>
        <w:t>研究器械豁免申办方，申办方研究者和食品药品监督管理局工作人员指南</w:t>
      </w:r>
    </w:p>
    <w:p w:rsidR="00A3286A" w:rsidRPr="00084618" w:rsidRDefault="00A3286A" w:rsidP="00053253">
      <w:pPr>
        <w:snapToGrid w:val="0"/>
        <w:spacing w:afterLines="50" w:after="120" w:line="300" w:lineRule="auto"/>
        <w:rPr>
          <w:rFonts w:ascii="Arial" w:eastAsia="宋体" w:hAnsi="Arial" w:cs="Arial"/>
          <w:b/>
          <w:bCs/>
          <w:sz w:val="56"/>
          <w:szCs w:val="56"/>
        </w:rPr>
      </w:pPr>
    </w:p>
    <w:p w:rsidR="00A3286A" w:rsidRPr="00084618" w:rsidRDefault="00635917" w:rsidP="00053253">
      <w:pPr>
        <w:snapToGrid w:val="0"/>
        <w:spacing w:afterLines="50" w:after="120" w:line="300" w:lineRule="auto"/>
        <w:jc w:val="center"/>
        <w:rPr>
          <w:rFonts w:ascii="Arial" w:eastAsia="宋体" w:hAnsi="Arial" w:cs="Arial"/>
          <w:sz w:val="28"/>
          <w:szCs w:val="28"/>
        </w:rPr>
      </w:pPr>
      <w:r w:rsidRPr="00084618">
        <w:rPr>
          <w:rFonts w:ascii="Arial" w:eastAsia="宋体" w:hAnsi="Arial" w:cs="Arial"/>
          <w:b/>
          <w:sz w:val="28"/>
        </w:rPr>
        <w:t>文档于</w:t>
      </w:r>
      <w:r w:rsidRPr="00084618">
        <w:rPr>
          <w:rFonts w:ascii="Arial" w:eastAsia="宋体" w:hAnsi="Arial" w:cs="Arial"/>
          <w:b/>
          <w:sz w:val="28"/>
        </w:rPr>
        <w:t>2017</w:t>
      </w:r>
      <w:r w:rsidRPr="00084618">
        <w:rPr>
          <w:rFonts w:ascii="Arial" w:eastAsia="宋体" w:hAnsi="Arial" w:cs="Arial"/>
          <w:b/>
          <w:sz w:val="28"/>
        </w:rPr>
        <w:t>年</w:t>
      </w:r>
      <w:r w:rsidRPr="00084618">
        <w:rPr>
          <w:rFonts w:ascii="Arial" w:eastAsia="宋体" w:hAnsi="Arial" w:cs="Arial"/>
          <w:b/>
          <w:sz w:val="28"/>
        </w:rPr>
        <w:t>1</w:t>
      </w:r>
      <w:r w:rsidRPr="00084618">
        <w:rPr>
          <w:rFonts w:ascii="Arial" w:eastAsia="宋体" w:hAnsi="Arial" w:cs="Arial"/>
          <w:b/>
          <w:sz w:val="28"/>
        </w:rPr>
        <w:t>月</w:t>
      </w:r>
      <w:r w:rsidRPr="00084618">
        <w:rPr>
          <w:rFonts w:ascii="Arial" w:eastAsia="宋体" w:hAnsi="Arial" w:cs="Arial"/>
          <w:b/>
          <w:sz w:val="28"/>
        </w:rPr>
        <w:t>13</w:t>
      </w:r>
      <w:r w:rsidRPr="00084618">
        <w:rPr>
          <w:rFonts w:ascii="Arial" w:eastAsia="宋体" w:hAnsi="Arial" w:cs="Arial"/>
          <w:b/>
          <w:sz w:val="28"/>
        </w:rPr>
        <w:t>日发布。</w:t>
      </w:r>
    </w:p>
    <w:p w:rsidR="00A3286A" w:rsidRPr="00084618" w:rsidRDefault="00635917" w:rsidP="00053253">
      <w:pPr>
        <w:snapToGrid w:val="0"/>
        <w:spacing w:afterLines="50" w:after="120" w:line="300" w:lineRule="auto"/>
        <w:jc w:val="center"/>
        <w:rPr>
          <w:rFonts w:ascii="Arial" w:eastAsia="宋体" w:hAnsi="Arial" w:cs="Arial"/>
          <w:sz w:val="28"/>
          <w:szCs w:val="28"/>
        </w:rPr>
      </w:pPr>
      <w:r w:rsidRPr="00084618">
        <w:rPr>
          <w:rFonts w:ascii="Arial" w:eastAsia="宋体" w:hAnsi="Arial" w:cs="Arial"/>
          <w:b/>
          <w:sz w:val="28"/>
        </w:rPr>
        <w:t>本指南将有</w:t>
      </w:r>
      <w:r w:rsidRPr="00084618">
        <w:rPr>
          <w:rFonts w:ascii="Arial" w:eastAsia="宋体" w:hAnsi="Arial" w:cs="Arial"/>
          <w:b/>
          <w:sz w:val="28"/>
        </w:rPr>
        <w:t>60</w:t>
      </w:r>
      <w:r w:rsidRPr="00084618">
        <w:rPr>
          <w:rFonts w:ascii="Arial" w:eastAsia="宋体" w:hAnsi="Arial" w:cs="Arial"/>
          <w:b/>
          <w:sz w:val="28"/>
        </w:rPr>
        <w:t>天的实施期。</w:t>
      </w:r>
    </w:p>
    <w:p w:rsidR="00A3286A" w:rsidRPr="00084618" w:rsidRDefault="00A3286A" w:rsidP="00053253">
      <w:pPr>
        <w:snapToGrid w:val="0"/>
        <w:spacing w:afterLines="50" w:after="120" w:line="300" w:lineRule="auto"/>
        <w:rPr>
          <w:rFonts w:ascii="Arial" w:eastAsia="宋体" w:hAnsi="Arial" w:cs="Arial"/>
          <w:b/>
          <w:bCs/>
          <w:sz w:val="28"/>
          <w:szCs w:val="28"/>
        </w:rPr>
      </w:pPr>
    </w:p>
    <w:p w:rsidR="00A3286A" w:rsidRPr="00084618" w:rsidRDefault="00635917" w:rsidP="00053253">
      <w:pPr>
        <w:snapToGrid w:val="0"/>
        <w:spacing w:afterLines="50" w:after="120" w:line="300" w:lineRule="auto"/>
        <w:jc w:val="center"/>
        <w:rPr>
          <w:rFonts w:ascii="Arial" w:eastAsia="宋体" w:hAnsi="Arial" w:cs="Arial"/>
          <w:sz w:val="28"/>
          <w:szCs w:val="28"/>
        </w:rPr>
      </w:pPr>
      <w:r w:rsidRPr="00084618">
        <w:rPr>
          <w:rFonts w:ascii="Arial" w:eastAsia="宋体" w:hAnsi="Arial" w:cs="Arial"/>
          <w:b/>
          <w:sz w:val="28"/>
        </w:rPr>
        <w:t>本文档草案于</w:t>
      </w:r>
      <w:r w:rsidRPr="00084618">
        <w:rPr>
          <w:rFonts w:ascii="Arial" w:eastAsia="宋体" w:hAnsi="Arial" w:cs="Arial"/>
          <w:b/>
          <w:sz w:val="28"/>
        </w:rPr>
        <w:t>2015</w:t>
      </w:r>
      <w:r w:rsidRPr="00084618">
        <w:rPr>
          <w:rFonts w:ascii="Arial" w:eastAsia="宋体" w:hAnsi="Arial" w:cs="Arial"/>
          <w:b/>
          <w:sz w:val="28"/>
        </w:rPr>
        <w:t>年</w:t>
      </w:r>
      <w:r w:rsidRPr="00084618">
        <w:rPr>
          <w:rFonts w:ascii="Arial" w:eastAsia="宋体" w:hAnsi="Arial" w:cs="Arial"/>
          <w:b/>
          <w:sz w:val="28"/>
        </w:rPr>
        <w:t>6</w:t>
      </w:r>
      <w:r w:rsidRPr="00084618">
        <w:rPr>
          <w:rFonts w:ascii="Arial" w:eastAsia="宋体" w:hAnsi="Arial" w:cs="Arial"/>
          <w:b/>
          <w:sz w:val="28"/>
        </w:rPr>
        <w:t>月</w:t>
      </w:r>
      <w:r w:rsidRPr="00084618">
        <w:rPr>
          <w:rFonts w:ascii="Arial" w:eastAsia="宋体" w:hAnsi="Arial" w:cs="Arial"/>
          <w:b/>
          <w:sz w:val="28"/>
        </w:rPr>
        <w:t>18</w:t>
      </w:r>
      <w:r w:rsidRPr="00084618">
        <w:rPr>
          <w:rFonts w:ascii="Arial" w:eastAsia="宋体" w:hAnsi="Arial" w:cs="Arial"/>
          <w:b/>
          <w:sz w:val="28"/>
        </w:rPr>
        <w:t>日发布。</w:t>
      </w:r>
    </w:p>
    <w:p w:rsidR="00A3286A" w:rsidRPr="00084618" w:rsidRDefault="00A3286A" w:rsidP="00053253">
      <w:pPr>
        <w:snapToGrid w:val="0"/>
        <w:spacing w:afterLines="50" w:after="120" w:line="300" w:lineRule="auto"/>
        <w:rPr>
          <w:rFonts w:ascii="Arial" w:eastAsia="宋体" w:hAnsi="Arial" w:cs="Arial"/>
          <w:b/>
          <w:bCs/>
          <w:sz w:val="28"/>
          <w:szCs w:val="28"/>
        </w:rPr>
      </w:pPr>
    </w:p>
    <w:p w:rsidR="00A3286A" w:rsidRPr="00084618" w:rsidRDefault="00635917" w:rsidP="00084618">
      <w:pPr>
        <w:pStyle w:val="a3"/>
        <w:snapToGrid w:val="0"/>
        <w:spacing w:afterLines="50" w:after="120" w:line="300" w:lineRule="auto"/>
        <w:ind w:left="0"/>
        <w:jc w:val="both"/>
        <w:rPr>
          <w:rFonts w:ascii="Arial" w:hAnsi="Arial" w:cs="Arial"/>
        </w:rPr>
      </w:pPr>
      <w:r w:rsidRPr="00084618">
        <w:rPr>
          <w:rFonts w:ascii="Arial" w:hAnsi="Arial" w:cs="Arial"/>
        </w:rPr>
        <w:t>针对本文档的</w:t>
      </w:r>
      <w:r w:rsidRPr="00084618">
        <w:rPr>
          <w:rFonts w:ascii="Arial" w:hAnsi="Arial" w:cs="Arial"/>
        </w:rPr>
        <w:t>CDRH</w:t>
      </w:r>
      <w:r w:rsidRPr="00084618">
        <w:rPr>
          <w:rFonts w:ascii="Arial" w:hAnsi="Arial" w:cs="Arial"/>
        </w:rPr>
        <w:t>监管器械问题，请致电联系器械评价办公室，主任办公室，研究器械豁免（</w:t>
      </w:r>
      <w:r w:rsidRPr="00084618">
        <w:rPr>
          <w:rFonts w:ascii="Arial" w:hAnsi="Arial" w:cs="Arial"/>
        </w:rPr>
        <w:t>IDE</w:t>
      </w:r>
      <w:r w:rsidRPr="00084618">
        <w:rPr>
          <w:rFonts w:ascii="Arial" w:hAnsi="Arial" w:cs="Arial"/>
        </w:rPr>
        <w:t>）工作人员，电话：</w:t>
      </w:r>
      <w:r w:rsidRPr="00084618">
        <w:rPr>
          <w:rFonts w:ascii="Arial" w:hAnsi="Arial" w:cs="Arial"/>
        </w:rPr>
        <w:t>301-796-5640</w:t>
      </w:r>
      <w:r w:rsidRPr="00084618">
        <w:rPr>
          <w:rFonts w:ascii="Arial" w:hAnsi="Arial" w:cs="Arial"/>
        </w:rPr>
        <w:t>。针对本文档的</w:t>
      </w:r>
      <w:r w:rsidRPr="00084618">
        <w:rPr>
          <w:rFonts w:ascii="Arial" w:hAnsi="Arial" w:cs="Arial"/>
        </w:rPr>
        <w:t>CBER</w:t>
      </w:r>
      <w:r w:rsidRPr="00084618">
        <w:rPr>
          <w:rFonts w:ascii="Arial" w:hAnsi="Arial" w:cs="Arial"/>
        </w:rPr>
        <w:t>监管器械问题，请致电联系交流、外联和开发办公室（</w:t>
      </w:r>
      <w:r w:rsidRPr="00084618">
        <w:rPr>
          <w:rFonts w:ascii="Arial" w:hAnsi="Arial" w:cs="Arial"/>
        </w:rPr>
        <w:t>OCOD</w:t>
      </w:r>
      <w:r w:rsidRPr="00084618">
        <w:rPr>
          <w:rFonts w:ascii="Arial" w:hAnsi="Arial" w:cs="Arial"/>
        </w:rPr>
        <w:t>），电话：</w:t>
      </w:r>
      <w:r w:rsidRPr="00084618">
        <w:rPr>
          <w:rFonts w:ascii="Arial" w:hAnsi="Arial" w:cs="Arial"/>
        </w:rPr>
        <w:t>1-800-335-4709</w:t>
      </w:r>
      <w:r w:rsidRPr="00084618">
        <w:rPr>
          <w:rFonts w:ascii="Arial" w:hAnsi="Arial" w:cs="Arial"/>
        </w:rPr>
        <w:t>或</w:t>
      </w:r>
      <w:r w:rsidRPr="00084618">
        <w:rPr>
          <w:rFonts w:ascii="Arial" w:hAnsi="Arial" w:cs="Arial"/>
        </w:rPr>
        <w:t>240-402-8010</w:t>
      </w:r>
      <w:r w:rsidRPr="00084618">
        <w:rPr>
          <w:rFonts w:ascii="Arial" w:hAnsi="Arial" w:cs="Arial"/>
        </w:rPr>
        <w:t>。</w:t>
      </w:r>
    </w:p>
    <w:p w:rsidR="00A3286A" w:rsidRPr="00084618" w:rsidRDefault="00A3286A" w:rsidP="00053253">
      <w:pPr>
        <w:snapToGrid w:val="0"/>
        <w:spacing w:afterLines="50" w:after="120" w:line="300" w:lineRule="auto"/>
        <w:rPr>
          <w:rFonts w:ascii="Arial" w:eastAsia="宋体" w:hAnsi="Arial" w:cs="Arial"/>
          <w:sz w:val="24"/>
          <w:szCs w:val="24"/>
        </w:rPr>
      </w:pPr>
    </w:p>
    <w:p w:rsidR="00A3286A" w:rsidRPr="00084618" w:rsidRDefault="00084618" w:rsidP="00053253">
      <w:pPr>
        <w:snapToGrid w:val="0"/>
        <w:spacing w:afterLines="50" w:after="120" w:line="300" w:lineRule="auto"/>
        <w:jc w:val="right"/>
        <w:rPr>
          <w:rFonts w:ascii="Arial" w:eastAsia="宋体" w:hAnsi="Arial" w:cs="Arial"/>
          <w:sz w:val="24"/>
          <w:szCs w:val="24"/>
        </w:rPr>
      </w:pPr>
      <w:r w:rsidRPr="00084618">
        <w:rPr>
          <w:rFonts w:ascii="Arial" w:eastAsia="宋体" w:hAnsi="Arial" w:cs="Arial"/>
          <w:b/>
          <w:noProof/>
          <w:sz w:val="24"/>
        </w:rPr>
        <w:drawing>
          <wp:anchor distT="0" distB="0" distL="114300" distR="114300" simplePos="0" relativeHeight="251658240" behindDoc="0" locked="0" layoutInCell="1" allowOverlap="1" wp14:anchorId="75482F24" wp14:editId="6D456F70">
            <wp:simplePos x="0" y="0"/>
            <wp:positionH relativeFrom="column">
              <wp:posOffset>-62865</wp:posOffset>
            </wp:positionH>
            <wp:positionV relativeFrom="paragraph">
              <wp:posOffset>227330</wp:posOffset>
            </wp:positionV>
            <wp:extent cx="2369820" cy="495300"/>
            <wp:effectExtent l="0" t="0" r="0" b="0"/>
            <wp:wrapNone/>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820" cy="495300"/>
                    </a:xfrm>
                    <a:prstGeom prst="rect">
                      <a:avLst/>
                    </a:prstGeom>
                  </pic:spPr>
                </pic:pic>
              </a:graphicData>
            </a:graphic>
            <wp14:sizeRelH relativeFrom="page">
              <wp14:pctWidth>0</wp14:pctWidth>
            </wp14:sizeRelH>
            <wp14:sizeRelV relativeFrom="page">
              <wp14:pctHeight>0</wp14:pctHeight>
            </wp14:sizeRelV>
          </wp:anchor>
        </w:drawing>
      </w:r>
      <w:r w:rsidR="00635917" w:rsidRPr="00084618">
        <w:rPr>
          <w:rFonts w:ascii="Arial" w:eastAsia="宋体" w:hAnsi="Arial" w:cs="Arial"/>
          <w:b/>
          <w:sz w:val="24"/>
        </w:rPr>
        <w:t>美国卫生和人类服务署</w:t>
      </w:r>
    </w:p>
    <w:p w:rsidR="00A3286A" w:rsidRPr="00084618" w:rsidRDefault="00635917" w:rsidP="00053253">
      <w:pPr>
        <w:snapToGrid w:val="0"/>
        <w:spacing w:afterLines="50" w:after="120" w:line="300" w:lineRule="auto"/>
        <w:ind w:firstLine="5804"/>
        <w:jc w:val="right"/>
        <w:rPr>
          <w:rFonts w:ascii="Arial" w:eastAsia="宋体" w:hAnsi="Arial" w:cs="Arial"/>
          <w:sz w:val="24"/>
          <w:szCs w:val="24"/>
        </w:rPr>
      </w:pPr>
      <w:r w:rsidRPr="00084618">
        <w:rPr>
          <w:rFonts w:ascii="Arial" w:eastAsia="宋体" w:hAnsi="Arial" w:cs="Arial"/>
          <w:b/>
          <w:sz w:val="24"/>
        </w:rPr>
        <w:t>食品药品监督管理局</w:t>
      </w:r>
      <w:r w:rsidRPr="00084618">
        <w:rPr>
          <w:rFonts w:ascii="Arial" w:eastAsia="宋体" w:hAnsi="Arial" w:cs="Arial"/>
          <w:b/>
          <w:sz w:val="24"/>
        </w:rPr>
        <w:br/>
      </w:r>
      <w:r w:rsidRPr="00084618">
        <w:rPr>
          <w:rFonts w:ascii="Arial" w:eastAsia="宋体" w:hAnsi="Arial" w:cs="Arial"/>
          <w:b/>
          <w:sz w:val="24"/>
        </w:rPr>
        <w:t>器械和</w:t>
      </w:r>
      <w:r w:rsidR="00270D77" w:rsidRPr="00084618">
        <w:rPr>
          <w:rFonts w:ascii="Arial" w:eastAsia="宋体" w:hAnsi="Arial" w:cs="Arial"/>
          <w:b/>
          <w:sz w:val="24"/>
        </w:rPr>
        <w:t>放射卫生中心</w:t>
      </w:r>
      <w:r w:rsidRPr="00084618">
        <w:rPr>
          <w:rFonts w:ascii="Arial" w:eastAsia="宋体" w:hAnsi="Arial" w:cs="Arial"/>
          <w:b/>
          <w:sz w:val="24"/>
        </w:rPr>
        <w:br/>
      </w:r>
      <w:r w:rsidR="00270D77" w:rsidRPr="00084618">
        <w:rPr>
          <w:rFonts w:ascii="Arial" w:eastAsia="宋体" w:hAnsi="Arial" w:cs="Arial"/>
          <w:b/>
          <w:sz w:val="24"/>
        </w:rPr>
        <w:t>生物制剂</w:t>
      </w:r>
      <w:r w:rsidRPr="00084618">
        <w:rPr>
          <w:rFonts w:ascii="Arial" w:eastAsia="宋体" w:hAnsi="Arial" w:cs="Arial"/>
          <w:b/>
          <w:sz w:val="24"/>
        </w:rPr>
        <w:t>评价与研究中心</w:t>
      </w:r>
    </w:p>
    <w:p w:rsidR="00A3286A" w:rsidRPr="00084618" w:rsidRDefault="00635917" w:rsidP="00053253">
      <w:pPr>
        <w:snapToGrid w:val="0"/>
        <w:spacing w:afterLines="50" w:after="120" w:line="300" w:lineRule="auto"/>
        <w:jc w:val="center"/>
        <w:rPr>
          <w:rFonts w:ascii="Arial" w:eastAsia="宋体" w:hAnsi="Arial" w:cs="Arial"/>
          <w:sz w:val="48"/>
          <w:szCs w:val="48"/>
        </w:rPr>
      </w:pPr>
      <w:r w:rsidRPr="00084618">
        <w:rPr>
          <w:rFonts w:ascii="Arial" w:eastAsia="宋体" w:hAnsi="Arial" w:cs="Arial"/>
          <w:b/>
          <w:sz w:val="48"/>
        </w:rPr>
        <w:lastRenderedPageBreak/>
        <w:t>引言</w:t>
      </w:r>
    </w:p>
    <w:p w:rsidR="00A3286A" w:rsidRPr="00084618" w:rsidRDefault="00635917" w:rsidP="00053253">
      <w:pPr>
        <w:snapToGrid w:val="0"/>
        <w:spacing w:afterLines="50" w:after="120" w:line="300" w:lineRule="auto"/>
        <w:rPr>
          <w:rFonts w:ascii="Arial" w:eastAsia="宋体" w:hAnsi="Arial" w:cs="Arial"/>
          <w:sz w:val="36"/>
          <w:szCs w:val="36"/>
        </w:rPr>
      </w:pPr>
      <w:r w:rsidRPr="00084618">
        <w:rPr>
          <w:rFonts w:ascii="Arial" w:eastAsia="宋体" w:hAnsi="Arial" w:cs="Arial"/>
          <w:b/>
          <w:sz w:val="36"/>
        </w:rPr>
        <w:t>公共评论</w:t>
      </w:r>
    </w:p>
    <w:p w:rsidR="00A3286A" w:rsidRPr="00084618" w:rsidRDefault="00635917" w:rsidP="00053253">
      <w:pPr>
        <w:pStyle w:val="a3"/>
        <w:snapToGrid w:val="0"/>
        <w:spacing w:afterLines="50" w:after="120" w:line="300" w:lineRule="auto"/>
        <w:ind w:left="0"/>
        <w:rPr>
          <w:rFonts w:ascii="Arial" w:hAnsi="Arial" w:cs="Arial"/>
        </w:rPr>
      </w:pPr>
      <w:r w:rsidRPr="00084618">
        <w:rPr>
          <w:rFonts w:ascii="Arial" w:hAnsi="Arial" w:cs="Arial"/>
        </w:rPr>
        <w:t>为便于本机构收集评论和建议，电子评论和建议可随时提交至</w:t>
      </w:r>
      <w:hyperlink r:id="rId10">
        <w:r w:rsidRPr="00084618">
          <w:rPr>
            <w:rFonts w:ascii="Arial" w:hAnsi="Arial" w:cs="Arial"/>
            <w:color w:val="0000FF"/>
            <w:u w:val="single" w:color="0000FF"/>
          </w:rPr>
          <w:t>http://www.regulations.gov</w:t>
        </w:r>
      </w:hyperlink>
      <w:r w:rsidRPr="00084618">
        <w:rPr>
          <w:rFonts w:ascii="Arial" w:hAnsi="Arial" w:cs="Arial"/>
        </w:rPr>
        <w:t>。书面评论请提交至食品药品监督管理局</w:t>
      </w:r>
      <w:r w:rsidR="00270D77" w:rsidRPr="00084618">
        <w:rPr>
          <w:rFonts w:ascii="Arial" w:hAnsi="Arial" w:cs="Arial"/>
        </w:rPr>
        <w:t>案卷管理科</w:t>
      </w:r>
      <w:r w:rsidRPr="00084618">
        <w:rPr>
          <w:rFonts w:ascii="Arial" w:hAnsi="Arial" w:cs="Arial"/>
        </w:rPr>
        <w:t>，</w:t>
      </w:r>
      <w:r w:rsidRPr="00084618">
        <w:rPr>
          <w:rFonts w:ascii="Arial" w:hAnsi="Arial" w:cs="Arial"/>
        </w:rPr>
        <w:t>5630 Fishers Lane, Room 1061</w:t>
      </w:r>
      <w:r w:rsidRPr="00084618">
        <w:rPr>
          <w:rFonts w:ascii="Arial" w:hAnsi="Arial" w:cs="Arial"/>
        </w:rPr>
        <w:t>，</w:t>
      </w:r>
      <w:r w:rsidR="00FC4A7B" w:rsidRPr="00084618">
        <w:rPr>
          <w:rFonts w:ascii="Arial" w:hAnsi="Arial" w:cs="Arial"/>
        </w:rPr>
        <w:t>（</w:t>
      </w:r>
      <w:r w:rsidRPr="00084618">
        <w:rPr>
          <w:rFonts w:ascii="Arial" w:hAnsi="Arial" w:cs="Arial"/>
        </w:rPr>
        <w:t>HFA-305</w:t>
      </w:r>
      <w:r w:rsidR="00FC4A7B" w:rsidRPr="00084618">
        <w:rPr>
          <w:rFonts w:ascii="Arial" w:hAnsi="Arial" w:cs="Arial"/>
        </w:rPr>
        <w:t>）</w:t>
      </w:r>
      <w:r w:rsidRPr="00084618">
        <w:rPr>
          <w:rFonts w:ascii="Arial" w:hAnsi="Arial" w:cs="Arial"/>
        </w:rPr>
        <w:t>，</w:t>
      </w:r>
      <w:r w:rsidRPr="00084618">
        <w:rPr>
          <w:rFonts w:ascii="Arial" w:hAnsi="Arial" w:cs="Arial"/>
        </w:rPr>
        <w:t>Rockville</w:t>
      </w:r>
      <w:r w:rsidRPr="00084618">
        <w:rPr>
          <w:rFonts w:ascii="Arial" w:hAnsi="Arial" w:cs="Arial"/>
        </w:rPr>
        <w:t>，</w:t>
      </w:r>
      <w:r w:rsidRPr="00084618">
        <w:rPr>
          <w:rFonts w:ascii="Arial" w:hAnsi="Arial" w:cs="Arial"/>
        </w:rPr>
        <w:t>MD 20852</w:t>
      </w:r>
      <w:r w:rsidRPr="00084618">
        <w:rPr>
          <w:rFonts w:ascii="Arial" w:hAnsi="Arial" w:cs="Arial"/>
        </w:rPr>
        <w:t>。请使用案卷编号</w:t>
      </w:r>
      <w:r w:rsidR="00270D77" w:rsidRPr="00084618">
        <w:rPr>
          <w:rFonts w:ascii="Arial" w:hAnsi="Arial" w:cs="Arial"/>
        </w:rPr>
        <w:t>【</w:t>
      </w:r>
      <w:r w:rsidRPr="00084618">
        <w:rPr>
          <w:rFonts w:ascii="Arial" w:hAnsi="Arial" w:cs="Arial"/>
        </w:rPr>
        <w:t>FDA-2015-D-1777</w:t>
      </w:r>
      <w:r w:rsidR="00270D77" w:rsidRPr="00084618">
        <w:rPr>
          <w:rFonts w:ascii="Arial" w:hAnsi="Arial" w:cs="Arial"/>
        </w:rPr>
        <w:t>】</w:t>
      </w:r>
      <w:r w:rsidRPr="00084618">
        <w:rPr>
          <w:rFonts w:ascii="Arial" w:hAnsi="Arial" w:cs="Arial"/>
        </w:rPr>
        <w:t>注明所有评论。再次进行文件修订或更新之前，本机构可能不会针对评论采取行动。</w:t>
      </w:r>
    </w:p>
    <w:p w:rsidR="00084618" w:rsidRDefault="0036678E" w:rsidP="00053253">
      <w:pPr>
        <w:snapToGrid w:val="0"/>
        <w:spacing w:afterLines="50" w:after="120" w:line="300" w:lineRule="auto"/>
        <w:rPr>
          <w:rFonts w:ascii="Arial" w:eastAsia="宋体" w:hAnsi="Arial" w:cs="Arial"/>
          <w:b/>
          <w:sz w:val="36"/>
        </w:rPr>
      </w:pPr>
      <w:r w:rsidRPr="00084618">
        <w:rPr>
          <w:rFonts w:ascii="Arial" w:eastAsia="宋体" w:hAnsi="Arial" w:cs="Arial"/>
          <w:b/>
          <w:sz w:val="36"/>
        </w:rPr>
        <w:t>其他副本</w:t>
      </w:r>
    </w:p>
    <w:p w:rsidR="00A3286A" w:rsidRPr="00084618" w:rsidRDefault="00635917" w:rsidP="00053253">
      <w:pPr>
        <w:snapToGrid w:val="0"/>
        <w:spacing w:afterLines="50" w:after="120" w:line="300" w:lineRule="auto"/>
        <w:rPr>
          <w:rFonts w:ascii="Arial" w:eastAsia="宋体" w:hAnsi="Arial" w:cs="Arial"/>
          <w:sz w:val="36"/>
          <w:szCs w:val="36"/>
        </w:rPr>
      </w:pPr>
      <w:r w:rsidRPr="00084618">
        <w:rPr>
          <w:rFonts w:ascii="Arial" w:eastAsia="宋体" w:hAnsi="Arial" w:cs="Arial"/>
          <w:b/>
          <w:sz w:val="36"/>
        </w:rPr>
        <w:t>CDRH</w:t>
      </w:r>
    </w:p>
    <w:p w:rsidR="00A3286A" w:rsidRPr="00084618" w:rsidRDefault="0036678E" w:rsidP="00053253">
      <w:pPr>
        <w:pStyle w:val="a3"/>
        <w:snapToGrid w:val="0"/>
        <w:spacing w:afterLines="50" w:after="120" w:line="300" w:lineRule="auto"/>
        <w:ind w:left="0"/>
        <w:rPr>
          <w:rFonts w:ascii="Arial" w:hAnsi="Arial" w:cs="Arial"/>
        </w:rPr>
      </w:pPr>
      <w:r w:rsidRPr="00084618">
        <w:rPr>
          <w:rFonts w:ascii="Arial" w:hAnsi="Arial" w:cs="Arial"/>
        </w:rPr>
        <w:t>其他副本</w:t>
      </w:r>
      <w:r w:rsidR="00635917" w:rsidRPr="00084618">
        <w:rPr>
          <w:rFonts w:ascii="Arial" w:hAnsi="Arial" w:cs="Arial"/>
        </w:rPr>
        <w:t>可从互联网获得：您还可以向</w:t>
      </w:r>
      <w:hyperlink r:id="rId11">
        <w:r w:rsidR="00635917" w:rsidRPr="00084618">
          <w:rPr>
            <w:rFonts w:ascii="Arial" w:hAnsi="Arial" w:cs="Arial"/>
            <w:color w:val="0000FF"/>
          </w:rPr>
          <w:t>CDRH-Guidance@fda.hhs.gov</w:t>
        </w:r>
      </w:hyperlink>
      <w:r w:rsidR="00635917" w:rsidRPr="00084618">
        <w:rPr>
          <w:rFonts w:ascii="Arial" w:hAnsi="Arial" w:cs="Arial"/>
        </w:rPr>
        <w:t>发送电子邮件请求，以接收本指南副本。请使用文档编号</w:t>
      </w:r>
      <w:r w:rsidR="00635917" w:rsidRPr="00084618">
        <w:rPr>
          <w:rFonts w:ascii="Arial" w:hAnsi="Arial" w:cs="Arial"/>
        </w:rPr>
        <w:t>1783</w:t>
      </w:r>
      <w:r w:rsidR="00635917" w:rsidRPr="00084618">
        <w:rPr>
          <w:rFonts w:ascii="Arial" w:hAnsi="Arial" w:cs="Arial"/>
        </w:rPr>
        <w:t>来注明您所要求获得的指南。</w:t>
      </w:r>
    </w:p>
    <w:p w:rsidR="00A3286A" w:rsidRPr="00084618" w:rsidRDefault="00635917" w:rsidP="00053253">
      <w:pPr>
        <w:snapToGrid w:val="0"/>
        <w:spacing w:afterLines="50" w:after="120" w:line="300" w:lineRule="auto"/>
        <w:rPr>
          <w:rFonts w:ascii="Arial" w:eastAsia="宋体" w:hAnsi="Arial" w:cs="Arial"/>
          <w:sz w:val="36"/>
          <w:szCs w:val="36"/>
        </w:rPr>
      </w:pPr>
      <w:r w:rsidRPr="00084618">
        <w:rPr>
          <w:rFonts w:ascii="Arial" w:eastAsia="宋体" w:hAnsi="Arial" w:cs="Arial"/>
          <w:b/>
          <w:sz w:val="36"/>
        </w:rPr>
        <w:t>CBER</w:t>
      </w:r>
    </w:p>
    <w:p w:rsidR="00A3286A" w:rsidRPr="00084618" w:rsidRDefault="00635917" w:rsidP="00053253">
      <w:pPr>
        <w:pStyle w:val="a3"/>
        <w:snapToGrid w:val="0"/>
        <w:spacing w:afterLines="50" w:after="120" w:line="300" w:lineRule="auto"/>
        <w:ind w:left="0"/>
        <w:rPr>
          <w:rFonts w:ascii="Arial" w:hAnsi="Arial" w:cs="Arial"/>
        </w:rPr>
      </w:pPr>
      <w:r w:rsidRPr="00084618">
        <w:rPr>
          <w:rFonts w:ascii="Arial" w:hAnsi="Arial" w:cs="Arial"/>
        </w:rPr>
        <w:t>可通过提交书面请求至</w:t>
      </w:r>
      <w:r w:rsidRPr="00084618">
        <w:rPr>
          <w:rFonts w:ascii="Arial" w:hAnsi="Arial" w:cs="Arial"/>
        </w:rPr>
        <w:t>10903 New Hampshire Ave.</w:t>
      </w:r>
      <w:r w:rsidRPr="00084618">
        <w:rPr>
          <w:rFonts w:ascii="Arial" w:hAnsi="Arial" w:cs="Arial"/>
        </w:rPr>
        <w:t>，</w:t>
      </w:r>
      <w:r w:rsidRPr="00084618">
        <w:rPr>
          <w:rFonts w:ascii="Arial" w:hAnsi="Arial" w:cs="Arial"/>
        </w:rPr>
        <w:t>Bldg. 71</w:t>
      </w:r>
      <w:r w:rsidRPr="00084618">
        <w:rPr>
          <w:rFonts w:ascii="Arial" w:hAnsi="Arial" w:cs="Arial"/>
        </w:rPr>
        <w:t>，</w:t>
      </w:r>
      <w:r w:rsidRPr="00084618">
        <w:rPr>
          <w:rFonts w:ascii="Arial" w:hAnsi="Arial" w:cs="Arial"/>
        </w:rPr>
        <w:t>Room3128</w:t>
      </w:r>
      <w:r w:rsidRPr="00084618">
        <w:rPr>
          <w:rFonts w:ascii="Arial" w:hAnsi="Arial" w:cs="Arial"/>
        </w:rPr>
        <w:t>，</w:t>
      </w:r>
      <w:r w:rsidRPr="00084618">
        <w:rPr>
          <w:rFonts w:ascii="Arial" w:hAnsi="Arial" w:cs="Arial"/>
        </w:rPr>
        <w:t>Silver Spring</w:t>
      </w:r>
      <w:r w:rsidRPr="00084618">
        <w:rPr>
          <w:rFonts w:ascii="Arial" w:hAnsi="Arial" w:cs="Arial"/>
        </w:rPr>
        <w:t>，</w:t>
      </w:r>
      <w:r w:rsidRPr="00084618">
        <w:rPr>
          <w:rFonts w:ascii="Arial" w:hAnsi="Arial" w:cs="Arial"/>
        </w:rPr>
        <w:t>MD 20993- -0002</w:t>
      </w:r>
      <w:r w:rsidRPr="00084618">
        <w:rPr>
          <w:rFonts w:ascii="Arial" w:hAnsi="Arial" w:cs="Arial"/>
        </w:rPr>
        <w:t>或致电</w:t>
      </w:r>
      <w:r w:rsidRPr="00084618">
        <w:rPr>
          <w:rFonts w:ascii="Arial" w:hAnsi="Arial" w:cs="Arial"/>
        </w:rPr>
        <w:t>1-800-835-4709</w:t>
      </w:r>
      <w:r w:rsidRPr="00084618">
        <w:rPr>
          <w:rFonts w:ascii="Arial" w:hAnsi="Arial" w:cs="Arial"/>
        </w:rPr>
        <w:t>或</w:t>
      </w:r>
      <w:r w:rsidRPr="00084618">
        <w:rPr>
          <w:rFonts w:ascii="Arial" w:hAnsi="Arial" w:cs="Arial"/>
        </w:rPr>
        <w:t>240-402-8010</w:t>
      </w:r>
      <w:r w:rsidRPr="00084618">
        <w:rPr>
          <w:rFonts w:ascii="Arial" w:hAnsi="Arial" w:cs="Arial"/>
        </w:rPr>
        <w:t>或发送电子邮件至</w:t>
      </w:r>
      <w:hyperlink r:id="rId12">
        <w:r w:rsidRPr="00084618">
          <w:rPr>
            <w:rFonts w:ascii="Arial" w:hAnsi="Arial" w:cs="Arial"/>
            <w:color w:val="0000FF"/>
          </w:rPr>
          <w:t>ocod@fda.hhs.gov</w:t>
        </w:r>
      </w:hyperlink>
      <w:r w:rsidRPr="00084618">
        <w:rPr>
          <w:rFonts w:ascii="Arial" w:hAnsi="Arial" w:cs="Arial"/>
        </w:rPr>
        <w:t>从交流、外联和开发办公室（</w:t>
      </w:r>
      <w:r w:rsidRPr="00084618">
        <w:rPr>
          <w:rFonts w:ascii="Arial" w:hAnsi="Arial" w:cs="Arial"/>
        </w:rPr>
        <w:t>OCOD</w:t>
      </w:r>
      <w:r w:rsidRPr="00084618">
        <w:rPr>
          <w:rFonts w:ascii="Arial" w:hAnsi="Arial" w:cs="Arial"/>
        </w:rPr>
        <w:t>），</w:t>
      </w:r>
      <w:r w:rsidR="00270D77" w:rsidRPr="00084618">
        <w:rPr>
          <w:rFonts w:ascii="Arial" w:hAnsi="Arial" w:cs="Arial"/>
        </w:rPr>
        <w:t>生物制剂</w:t>
      </w:r>
      <w:r w:rsidRPr="00084618">
        <w:rPr>
          <w:rFonts w:ascii="Arial" w:hAnsi="Arial" w:cs="Arial"/>
        </w:rPr>
        <w:t>评价和研究中心（</w:t>
      </w:r>
      <w:r w:rsidRPr="00084618">
        <w:rPr>
          <w:rFonts w:ascii="Arial" w:hAnsi="Arial" w:cs="Arial"/>
        </w:rPr>
        <w:t>CBER</w:t>
      </w:r>
      <w:r w:rsidRPr="00084618">
        <w:rPr>
          <w:rFonts w:ascii="Arial" w:hAnsi="Arial" w:cs="Arial"/>
        </w:rPr>
        <w:t>）获得</w:t>
      </w:r>
      <w:r w:rsidR="0036678E" w:rsidRPr="00084618">
        <w:rPr>
          <w:rFonts w:ascii="Arial" w:hAnsi="Arial" w:cs="Arial"/>
        </w:rPr>
        <w:t>其他副本</w:t>
      </w:r>
      <w:r w:rsidRPr="00084618">
        <w:rPr>
          <w:rFonts w:ascii="Arial" w:hAnsi="Arial" w:cs="Arial"/>
        </w:rPr>
        <w:t>或访问以下网址：</w:t>
      </w:r>
      <w:hyperlink r:id="rId13">
        <w:r w:rsidRPr="00084618">
          <w:rPr>
            <w:rFonts w:ascii="Arial" w:hAnsi="Arial" w:cs="Arial"/>
            <w:color w:val="0000FF"/>
            <w:u w:val="single" w:color="0000FF"/>
          </w:rPr>
          <w:t>http://www.fda.gov/BiologicsBloodVaccines/GuidanceComplianceRegulatoryInformati</w:t>
        </w:r>
      </w:hyperlink>
      <w:r w:rsidRPr="00084618">
        <w:rPr>
          <w:rFonts w:ascii="Arial" w:hAnsi="Arial" w:cs="Arial"/>
          <w:color w:val="0000FF"/>
          <w:u w:val="single" w:color="0000FF"/>
        </w:rPr>
        <w:t>o</w:t>
      </w:r>
      <w:r w:rsidRPr="00084618">
        <w:rPr>
          <w:rFonts w:ascii="Arial" w:hAnsi="Arial" w:cs="Arial"/>
          <w:color w:val="0000FF"/>
        </w:rPr>
        <w:t xml:space="preserve"> </w:t>
      </w:r>
      <w:hyperlink r:id="rId14">
        <w:r w:rsidRPr="00084618">
          <w:rPr>
            <w:rFonts w:ascii="Arial" w:hAnsi="Arial" w:cs="Arial"/>
            <w:color w:val="0000FF"/>
            <w:u w:val="single" w:color="0000FF"/>
          </w:rPr>
          <w:t>n/Guidances/default.htm</w:t>
        </w:r>
      </w:hyperlink>
      <w:r w:rsidRPr="00084618">
        <w:rPr>
          <w:rFonts w:ascii="Arial" w:hAnsi="Arial" w:cs="Arial"/>
        </w:rPr>
        <w:t>。</w:t>
      </w:r>
    </w:p>
    <w:p w:rsidR="00A3286A" w:rsidRPr="00084618" w:rsidRDefault="00124B27" w:rsidP="00053253">
      <w:pPr>
        <w:snapToGrid w:val="0"/>
        <w:spacing w:afterLines="50" w:after="120" w:line="300" w:lineRule="auto"/>
        <w:rPr>
          <w:rFonts w:ascii="Arial" w:eastAsia="宋体" w:hAnsi="Arial" w:cs="Arial"/>
          <w:sz w:val="20"/>
          <w:szCs w:val="20"/>
        </w:rPr>
      </w:pPr>
      <w:r w:rsidRPr="00084618">
        <w:rPr>
          <w:rFonts w:ascii="Arial" w:eastAsia="宋体" w:hAnsi="Arial" w:cs="Arial"/>
        </w:rPr>
        <w:br w:type="page"/>
      </w:r>
    </w:p>
    <w:sdt>
      <w:sdtPr>
        <w:rPr>
          <w:rFonts w:asciiTheme="minorHAnsi" w:eastAsiaTheme="minorEastAsia" w:hAnsiTheme="minorHAnsi" w:cstheme="minorBidi"/>
          <w:b w:val="0"/>
          <w:bCs w:val="0"/>
          <w:color w:val="auto"/>
          <w:sz w:val="22"/>
          <w:szCs w:val="22"/>
          <w:lang w:val="zh-CN"/>
        </w:rPr>
        <w:id w:val="289488092"/>
        <w:docPartObj>
          <w:docPartGallery w:val="Table of Contents"/>
          <w:docPartUnique/>
        </w:docPartObj>
      </w:sdtPr>
      <w:sdtContent>
        <w:p w:rsidR="00374303" w:rsidRPr="00371F36" w:rsidRDefault="00374303" w:rsidP="00371F36">
          <w:pPr>
            <w:pStyle w:val="TOC"/>
            <w:jc w:val="center"/>
            <w:rPr>
              <w:rFonts w:ascii="Arial" w:eastAsia="宋体" w:hAnsi="Arial" w:cs="Arial"/>
              <w:bCs w:val="0"/>
              <w:color w:val="auto"/>
              <w:sz w:val="36"/>
              <w:szCs w:val="22"/>
            </w:rPr>
          </w:pPr>
          <w:r w:rsidRPr="00371F36">
            <w:rPr>
              <w:rFonts w:ascii="Arial" w:eastAsia="宋体" w:hAnsi="Arial" w:cs="Arial"/>
              <w:bCs w:val="0"/>
              <w:color w:val="auto"/>
              <w:sz w:val="36"/>
              <w:szCs w:val="22"/>
            </w:rPr>
            <w:t>目录</w:t>
          </w:r>
        </w:p>
        <w:p w:rsidR="00DF3DC8" w:rsidRPr="00B114CA" w:rsidRDefault="00DF3DC8">
          <w:pPr>
            <w:pStyle w:val="10"/>
            <w:tabs>
              <w:tab w:val="right" w:leader="dot" w:pos="8630"/>
            </w:tabs>
            <w:rPr>
              <w:rFonts w:ascii="Arial" w:eastAsiaTheme="minorEastAsia" w:hAnsi="Arial" w:cs="Arial"/>
              <w:b w:val="0"/>
              <w:bCs w:val="0"/>
              <w:noProof/>
              <w:kern w:val="2"/>
              <w:sz w:val="21"/>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498621494" w:history="1">
            <w:r w:rsidRPr="00B114CA">
              <w:rPr>
                <w:rStyle w:val="ab"/>
                <w:rFonts w:ascii="Arial" w:eastAsia="Times New Roman" w:hAnsi="Arial" w:cs="Arial"/>
                <w:noProof/>
              </w:rPr>
              <w:t>I.</w:t>
            </w:r>
            <w:r w:rsidRPr="00B114CA">
              <w:rPr>
                <w:rFonts w:ascii="Arial" w:eastAsiaTheme="minorEastAsia" w:hAnsi="Arial" w:cs="Arial"/>
                <w:b w:val="0"/>
                <w:bCs w:val="0"/>
                <w:noProof/>
                <w:kern w:val="2"/>
                <w:sz w:val="21"/>
                <w:szCs w:val="22"/>
              </w:rPr>
              <w:tab/>
            </w:r>
            <w:r w:rsidRPr="00B114CA">
              <w:rPr>
                <w:rStyle w:val="ab"/>
                <w:rFonts w:ascii="Arial" w:hAnsi="Arial" w:cs="Arial"/>
                <w:noProof/>
              </w:rPr>
              <w:t>引言</w:t>
            </w:r>
            <w:r w:rsidRPr="00B114CA">
              <w:rPr>
                <w:rFonts w:ascii="Arial" w:hAnsi="Arial" w:cs="Arial"/>
                <w:noProof/>
                <w:webHidden/>
              </w:rPr>
              <w:tab/>
            </w:r>
            <w:r w:rsidRPr="00B114CA">
              <w:rPr>
                <w:rFonts w:ascii="Arial" w:hAnsi="Arial" w:cs="Arial"/>
                <w:noProof/>
                <w:webHidden/>
              </w:rPr>
              <w:fldChar w:fldCharType="begin"/>
            </w:r>
            <w:r w:rsidRPr="00B114CA">
              <w:rPr>
                <w:rFonts w:ascii="Arial" w:hAnsi="Arial" w:cs="Arial"/>
                <w:noProof/>
                <w:webHidden/>
              </w:rPr>
              <w:instrText xml:space="preserve"> PAGEREF _Toc498621494 \h </w:instrText>
            </w:r>
            <w:r w:rsidRPr="00B114CA">
              <w:rPr>
                <w:rFonts w:ascii="Arial" w:hAnsi="Arial" w:cs="Arial"/>
                <w:noProof/>
                <w:webHidden/>
              </w:rPr>
            </w:r>
            <w:r w:rsidRPr="00B114CA">
              <w:rPr>
                <w:rFonts w:ascii="Arial" w:hAnsi="Arial" w:cs="Arial"/>
                <w:noProof/>
                <w:webHidden/>
              </w:rPr>
              <w:fldChar w:fldCharType="separate"/>
            </w:r>
            <w:r w:rsidRPr="00B114CA">
              <w:rPr>
                <w:rFonts w:ascii="Arial" w:hAnsi="Arial" w:cs="Arial"/>
                <w:noProof/>
                <w:webHidden/>
              </w:rPr>
              <w:t>5</w:t>
            </w:r>
            <w:r w:rsidRPr="00B114CA">
              <w:rPr>
                <w:rFonts w:ascii="Arial" w:hAnsi="Arial" w:cs="Arial"/>
                <w:noProof/>
                <w:webHidden/>
              </w:rPr>
              <w:fldChar w:fldCharType="end"/>
            </w:r>
          </w:hyperlink>
        </w:p>
        <w:p w:rsidR="00DF3DC8" w:rsidRPr="00B114CA" w:rsidRDefault="00CD6A73">
          <w:pPr>
            <w:pStyle w:val="10"/>
            <w:tabs>
              <w:tab w:val="right" w:leader="dot" w:pos="8630"/>
            </w:tabs>
            <w:rPr>
              <w:rFonts w:ascii="Arial" w:eastAsiaTheme="minorEastAsia" w:hAnsi="Arial" w:cs="Arial"/>
              <w:b w:val="0"/>
              <w:bCs w:val="0"/>
              <w:noProof/>
              <w:kern w:val="2"/>
              <w:sz w:val="21"/>
              <w:szCs w:val="22"/>
            </w:rPr>
          </w:pPr>
          <w:hyperlink w:anchor="_Toc498621495" w:history="1">
            <w:r w:rsidR="00DF3DC8" w:rsidRPr="00B114CA">
              <w:rPr>
                <w:rStyle w:val="ab"/>
                <w:rFonts w:ascii="Arial" w:eastAsia="Times New Roman" w:hAnsi="Arial" w:cs="Arial"/>
                <w:noProof/>
              </w:rPr>
              <w:t>II.</w:t>
            </w:r>
            <w:r w:rsidR="00DF3DC8" w:rsidRPr="00B114CA">
              <w:rPr>
                <w:rFonts w:ascii="Arial" w:eastAsiaTheme="minorEastAsia" w:hAnsi="Arial" w:cs="Arial"/>
                <w:b w:val="0"/>
                <w:bCs w:val="0"/>
                <w:noProof/>
                <w:kern w:val="2"/>
                <w:sz w:val="21"/>
                <w:szCs w:val="22"/>
              </w:rPr>
              <w:tab/>
            </w:r>
            <w:r w:rsidR="00DF3DC8" w:rsidRPr="00B114CA">
              <w:rPr>
                <w:rStyle w:val="ab"/>
                <w:rFonts w:ascii="Arial" w:hAnsi="Arial" w:cs="Arial"/>
                <w:noProof/>
              </w:rPr>
              <w:t>范围</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_Toc498621495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7</w:t>
            </w:r>
            <w:r w:rsidR="00DF3DC8" w:rsidRPr="00B114CA">
              <w:rPr>
                <w:rFonts w:ascii="Arial" w:hAnsi="Arial" w:cs="Arial"/>
                <w:noProof/>
                <w:webHidden/>
              </w:rPr>
              <w:fldChar w:fldCharType="end"/>
            </w:r>
          </w:hyperlink>
        </w:p>
        <w:p w:rsidR="00DF3DC8" w:rsidRPr="00B114CA" w:rsidRDefault="00CD6A73">
          <w:pPr>
            <w:pStyle w:val="10"/>
            <w:tabs>
              <w:tab w:val="right" w:leader="dot" w:pos="8630"/>
            </w:tabs>
            <w:rPr>
              <w:rFonts w:ascii="Arial" w:eastAsiaTheme="minorEastAsia" w:hAnsi="Arial" w:cs="Arial"/>
              <w:b w:val="0"/>
              <w:bCs w:val="0"/>
              <w:noProof/>
              <w:kern w:val="2"/>
              <w:sz w:val="21"/>
              <w:szCs w:val="22"/>
            </w:rPr>
          </w:pPr>
          <w:hyperlink w:anchor="_Toc498621496" w:history="1">
            <w:r w:rsidR="00DF3DC8" w:rsidRPr="00B114CA">
              <w:rPr>
                <w:rStyle w:val="ab"/>
                <w:rFonts w:ascii="Arial" w:eastAsia="Times New Roman" w:hAnsi="Arial" w:cs="Arial"/>
                <w:noProof/>
              </w:rPr>
              <w:t>III.</w:t>
            </w:r>
            <w:r w:rsidR="00DF3DC8" w:rsidRPr="00B114CA">
              <w:rPr>
                <w:rFonts w:ascii="Arial" w:eastAsiaTheme="minorEastAsia" w:hAnsi="Arial" w:cs="Arial"/>
                <w:b w:val="0"/>
                <w:bCs w:val="0"/>
                <w:noProof/>
                <w:kern w:val="2"/>
                <w:sz w:val="21"/>
                <w:szCs w:val="22"/>
              </w:rPr>
              <w:tab/>
            </w:r>
            <w:r w:rsidR="00DF3DC8" w:rsidRPr="00B114CA">
              <w:rPr>
                <w:rStyle w:val="ab"/>
                <w:rFonts w:ascii="Arial" w:hAnsi="Arial" w:cs="Arial"/>
                <w:noProof/>
              </w:rPr>
              <w:t>知情同意书和</w:t>
            </w:r>
            <w:r w:rsidR="00DF3DC8" w:rsidRPr="00B114CA">
              <w:rPr>
                <w:rStyle w:val="ab"/>
                <w:rFonts w:ascii="Arial" w:hAnsi="Arial" w:cs="Arial"/>
                <w:noProof/>
              </w:rPr>
              <w:t>IDE</w:t>
            </w:r>
            <w:r w:rsidR="00DF3DC8" w:rsidRPr="00B114CA">
              <w:rPr>
                <w:rStyle w:val="ab"/>
                <w:rFonts w:ascii="Arial" w:hAnsi="Arial" w:cs="Arial"/>
                <w:noProof/>
              </w:rPr>
              <w:t>决策</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_Toc498621496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7</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497" w:history="1">
            <w:r w:rsidR="00DF3DC8" w:rsidRPr="00B114CA">
              <w:rPr>
                <w:rStyle w:val="ab"/>
                <w:rFonts w:ascii="Arial" w:eastAsia="Times New Roman" w:hAnsi="Arial" w:cs="Arial"/>
                <w:noProof/>
              </w:rPr>
              <w:t>A.</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知情同意</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_Toc498621497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8</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498" w:history="1">
            <w:r w:rsidR="00DF3DC8" w:rsidRPr="00B114CA">
              <w:rPr>
                <w:rStyle w:val="ab"/>
                <w:rFonts w:ascii="Arial" w:eastAsia="Times New Roman" w:hAnsi="Arial" w:cs="Arial"/>
                <w:noProof/>
              </w:rPr>
              <w:t>B.</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IDE</w:t>
            </w:r>
            <w:r w:rsidR="00DF3DC8" w:rsidRPr="00B114CA">
              <w:rPr>
                <w:rStyle w:val="ab"/>
                <w:rFonts w:ascii="Arial" w:hAnsi="Arial" w:cs="Arial"/>
                <w:noProof/>
              </w:rPr>
              <w:t>决策的监管标准</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_Toc498621498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9</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499" w:history="1">
            <w:r w:rsidR="00DF3DC8" w:rsidRPr="00B114CA">
              <w:rPr>
                <w:rStyle w:val="ab"/>
                <w:rFonts w:ascii="Arial" w:eastAsia="Times New Roman" w:hAnsi="Arial" w:cs="Arial"/>
                <w:noProof/>
              </w:rPr>
              <w:t>C.</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IDE</w:t>
            </w:r>
            <w:r w:rsidR="00DF3DC8" w:rsidRPr="00B114CA">
              <w:rPr>
                <w:rStyle w:val="ab"/>
                <w:rFonts w:ascii="Arial" w:hAnsi="Arial" w:cs="Arial"/>
                <w:noProof/>
              </w:rPr>
              <w:t>决策类型</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_Toc498621499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10</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500" w:history="1">
            <w:r w:rsidR="00DF3DC8" w:rsidRPr="00B114CA">
              <w:rPr>
                <w:rStyle w:val="ab"/>
                <w:rFonts w:ascii="Arial" w:eastAsia="Times New Roman" w:hAnsi="Arial" w:cs="Arial"/>
                <w:noProof/>
              </w:rPr>
              <w:t>D.</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研究设计考虑因素</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_Toc498621500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12</w:t>
            </w:r>
            <w:r w:rsidR="00DF3DC8" w:rsidRPr="00B114CA">
              <w:rPr>
                <w:rFonts w:ascii="Arial" w:hAnsi="Arial" w:cs="Arial"/>
                <w:noProof/>
                <w:webHidden/>
              </w:rPr>
              <w:fldChar w:fldCharType="end"/>
            </w:r>
          </w:hyperlink>
        </w:p>
        <w:p w:rsidR="00DF3DC8" w:rsidRPr="00B114CA" w:rsidRDefault="00CD6A73">
          <w:pPr>
            <w:pStyle w:val="10"/>
            <w:tabs>
              <w:tab w:val="right" w:leader="dot" w:pos="8630"/>
            </w:tabs>
            <w:rPr>
              <w:rFonts w:ascii="Arial" w:eastAsiaTheme="minorEastAsia" w:hAnsi="Arial" w:cs="Arial"/>
              <w:b w:val="0"/>
              <w:bCs w:val="0"/>
              <w:noProof/>
              <w:kern w:val="2"/>
              <w:sz w:val="21"/>
              <w:szCs w:val="22"/>
            </w:rPr>
          </w:pPr>
          <w:hyperlink w:anchor="_Toc498621501" w:history="1">
            <w:r w:rsidR="00DF3DC8" w:rsidRPr="00B114CA">
              <w:rPr>
                <w:rStyle w:val="ab"/>
                <w:rFonts w:ascii="Arial" w:eastAsia="Times New Roman" w:hAnsi="Arial" w:cs="Arial"/>
                <w:noProof/>
              </w:rPr>
              <w:t>IV.</w:t>
            </w:r>
            <w:r w:rsidR="00DF3DC8" w:rsidRPr="00B114CA">
              <w:rPr>
                <w:rFonts w:ascii="Arial" w:eastAsiaTheme="minorEastAsia" w:hAnsi="Arial" w:cs="Arial"/>
                <w:b w:val="0"/>
                <w:bCs w:val="0"/>
                <w:noProof/>
                <w:kern w:val="2"/>
                <w:sz w:val="21"/>
                <w:szCs w:val="22"/>
              </w:rPr>
              <w:tab/>
            </w:r>
            <w:r w:rsidR="00DF3DC8" w:rsidRPr="00B114CA">
              <w:rPr>
                <w:rStyle w:val="ab"/>
                <w:rFonts w:ascii="Arial" w:hAnsi="Arial" w:cs="Arial"/>
                <w:noProof/>
              </w:rPr>
              <w:t>根据器械开发路径评估</w:t>
            </w:r>
            <w:r w:rsidR="00DF3DC8" w:rsidRPr="00B114CA">
              <w:rPr>
                <w:rStyle w:val="ab"/>
                <w:rFonts w:ascii="Arial" w:hAnsi="Arial" w:cs="Arial"/>
                <w:noProof/>
              </w:rPr>
              <w:t>IDE</w:t>
            </w:r>
            <w:r w:rsidR="00DF3DC8" w:rsidRPr="00B114CA">
              <w:rPr>
                <w:rStyle w:val="ab"/>
                <w:rFonts w:ascii="Arial" w:hAnsi="Arial" w:cs="Arial"/>
                <w:noProof/>
              </w:rPr>
              <w:t>申请</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_Toc498621501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12</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502" w:history="1">
            <w:r w:rsidR="00DF3DC8" w:rsidRPr="00B114CA">
              <w:rPr>
                <w:rStyle w:val="ab"/>
                <w:rFonts w:ascii="Arial" w:eastAsia="Times New Roman" w:hAnsi="Arial" w:cs="Arial"/>
                <w:noProof/>
              </w:rPr>
              <w:t>A.</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器械开发阶段</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_Toc498621502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12</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503" w:history="1">
            <w:r w:rsidR="00DF3DC8" w:rsidRPr="00B114CA">
              <w:rPr>
                <w:rStyle w:val="ab"/>
                <w:rFonts w:ascii="Arial" w:eastAsia="Times New Roman" w:hAnsi="Arial" w:cs="Arial"/>
                <w:noProof/>
              </w:rPr>
              <w:t>B.</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将收益</w:t>
            </w:r>
            <w:r w:rsidR="00DF3DC8" w:rsidRPr="00B114CA">
              <w:rPr>
                <w:rStyle w:val="ab"/>
                <w:rFonts w:ascii="Arial" w:hAnsi="Arial" w:cs="Arial"/>
                <w:noProof/>
              </w:rPr>
              <w:t>-</w:t>
            </w:r>
            <w:r w:rsidR="00DF3DC8" w:rsidRPr="00B114CA">
              <w:rPr>
                <w:rStyle w:val="ab"/>
                <w:rFonts w:ascii="Arial" w:hAnsi="Arial" w:cs="Arial"/>
                <w:noProof/>
              </w:rPr>
              <w:t>风险框架应用于</w:t>
            </w:r>
            <w:r w:rsidR="00DF3DC8" w:rsidRPr="00B114CA">
              <w:rPr>
                <w:rStyle w:val="ab"/>
                <w:rFonts w:ascii="Arial" w:hAnsi="Arial" w:cs="Arial"/>
                <w:noProof/>
              </w:rPr>
              <w:t>IDE</w:t>
            </w:r>
            <w:r w:rsidR="00DF3DC8" w:rsidRPr="00B114CA">
              <w:rPr>
                <w:rStyle w:val="ab"/>
                <w:rFonts w:ascii="Arial" w:hAnsi="Arial" w:cs="Arial"/>
                <w:noProof/>
              </w:rPr>
              <w:t>决策</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_Toc498621503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14</w:t>
            </w:r>
            <w:r w:rsidR="00DF3DC8" w:rsidRPr="00B114CA">
              <w:rPr>
                <w:rFonts w:ascii="Arial" w:hAnsi="Arial" w:cs="Arial"/>
                <w:noProof/>
                <w:webHidden/>
              </w:rPr>
              <w:fldChar w:fldCharType="end"/>
            </w:r>
          </w:hyperlink>
        </w:p>
        <w:p w:rsidR="00DF3DC8" w:rsidRPr="00B114CA" w:rsidRDefault="00CD6A73">
          <w:pPr>
            <w:pStyle w:val="10"/>
            <w:tabs>
              <w:tab w:val="right" w:leader="dot" w:pos="8630"/>
            </w:tabs>
            <w:rPr>
              <w:rFonts w:ascii="Arial" w:eastAsiaTheme="minorEastAsia" w:hAnsi="Arial" w:cs="Arial"/>
              <w:b w:val="0"/>
              <w:bCs w:val="0"/>
              <w:noProof/>
              <w:kern w:val="2"/>
              <w:sz w:val="21"/>
              <w:szCs w:val="22"/>
            </w:rPr>
          </w:pPr>
          <w:hyperlink w:anchor="_Toc498621504" w:history="1">
            <w:r w:rsidR="00DF3DC8" w:rsidRPr="00B114CA">
              <w:rPr>
                <w:rStyle w:val="ab"/>
                <w:rFonts w:ascii="Arial" w:eastAsia="Times New Roman" w:hAnsi="Arial" w:cs="Arial"/>
                <w:noProof/>
              </w:rPr>
              <w:t>V.</w:t>
            </w:r>
            <w:r w:rsidR="00DF3DC8" w:rsidRPr="00B114CA">
              <w:rPr>
                <w:rFonts w:ascii="Arial" w:eastAsiaTheme="minorEastAsia" w:hAnsi="Arial" w:cs="Arial"/>
                <w:b w:val="0"/>
                <w:bCs w:val="0"/>
                <w:noProof/>
                <w:kern w:val="2"/>
                <w:sz w:val="21"/>
                <w:szCs w:val="22"/>
              </w:rPr>
              <w:tab/>
            </w:r>
            <w:r w:rsidR="00DF3DC8" w:rsidRPr="00B114CA">
              <w:rPr>
                <w:rStyle w:val="ab"/>
                <w:rFonts w:ascii="Arial" w:hAnsi="Arial" w:cs="Arial"/>
                <w:noProof/>
              </w:rPr>
              <w:t>评估</w:t>
            </w:r>
            <w:r w:rsidR="00DF3DC8" w:rsidRPr="00B114CA">
              <w:rPr>
                <w:rStyle w:val="ab"/>
                <w:rFonts w:ascii="Arial" w:hAnsi="Arial" w:cs="Arial"/>
                <w:noProof/>
              </w:rPr>
              <w:t>IDE</w:t>
            </w:r>
            <w:r w:rsidR="00DF3DC8" w:rsidRPr="00B114CA">
              <w:rPr>
                <w:rStyle w:val="ab"/>
                <w:rFonts w:ascii="Arial" w:hAnsi="Arial" w:cs="Arial"/>
                <w:noProof/>
              </w:rPr>
              <w:t>申请的收益和风险</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_Toc498621504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15</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505" w:history="1">
            <w:r w:rsidR="00DF3DC8" w:rsidRPr="00B114CA">
              <w:rPr>
                <w:rStyle w:val="ab"/>
                <w:rFonts w:ascii="Arial" w:eastAsia="Times New Roman" w:hAnsi="Arial" w:cs="Arial"/>
                <w:noProof/>
              </w:rPr>
              <w:t>A.</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评估研究受试者的风险</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_Toc498621505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17</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506" w:history="1">
            <w:r w:rsidR="00DF3DC8" w:rsidRPr="00B114CA">
              <w:rPr>
                <w:rStyle w:val="ab"/>
                <w:rFonts w:ascii="Arial" w:eastAsia="Times New Roman" w:hAnsi="Arial" w:cs="Arial"/>
                <w:noProof/>
              </w:rPr>
              <w:t>B.</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评估临床试验研究的其他风险考虑因素</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_Toc498621506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22</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507" w:history="1">
            <w:r w:rsidR="00DF3DC8" w:rsidRPr="00B114CA">
              <w:rPr>
                <w:rStyle w:val="ab"/>
                <w:rFonts w:ascii="Arial" w:eastAsia="Times New Roman" w:hAnsi="Arial" w:cs="Arial"/>
                <w:noProof/>
              </w:rPr>
              <w:t>C.</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评估研究受试者的直接收益</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_Toc498621507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22</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508" w:history="1">
            <w:r w:rsidR="00DF3DC8" w:rsidRPr="00B114CA">
              <w:rPr>
                <w:rStyle w:val="ab"/>
                <w:rFonts w:ascii="Arial" w:eastAsia="Times New Roman" w:hAnsi="Arial" w:cs="Arial"/>
                <w:noProof/>
              </w:rPr>
              <w:t>D.</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评估他人的收益</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_Toc498621508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23</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509" w:history="1">
            <w:r w:rsidR="00DF3DC8" w:rsidRPr="00B114CA">
              <w:rPr>
                <w:rStyle w:val="ab"/>
                <w:rFonts w:ascii="Arial" w:eastAsia="Times New Roman" w:hAnsi="Arial" w:cs="Arial"/>
                <w:noProof/>
              </w:rPr>
              <w:t>E.</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评估</w:t>
            </w:r>
            <w:r w:rsidR="00DF3DC8" w:rsidRPr="00B114CA">
              <w:rPr>
                <w:rStyle w:val="ab"/>
                <w:rFonts w:ascii="Arial" w:hAnsi="Arial" w:cs="Arial"/>
                <w:noProof/>
              </w:rPr>
              <w:t>IDE</w:t>
            </w:r>
            <w:r w:rsidR="00DF3DC8" w:rsidRPr="00B114CA">
              <w:rPr>
                <w:rStyle w:val="ab"/>
                <w:rFonts w:ascii="Arial" w:hAnsi="Arial" w:cs="Arial"/>
                <w:noProof/>
              </w:rPr>
              <w:t>申请的收益</w:t>
            </w:r>
            <w:r w:rsidR="00DF3DC8" w:rsidRPr="00B114CA">
              <w:rPr>
                <w:rStyle w:val="ab"/>
                <w:rFonts w:ascii="Arial" w:hAnsi="Arial" w:cs="Arial"/>
                <w:noProof/>
              </w:rPr>
              <w:t>-</w:t>
            </w:r>
            <w:r w:rsidR="00DF3DC8" w:rsidRPr="00B114CA">
              <w:rPr>
                <w:rStyle w:val="ab"/>
                <w:rFonts w:ascii="Arial" w:hAnsi="Arial" w:cs="Arial"/>
                <w:noProof/>
              </w:rPr>
              <w:t>风险时要考虑的其他因素</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_Toc498621509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24</w:t>
            </w:r>
            <w:r w:rsidR="00DF3DC8" w:rsidRPr="00B114CA">
              <w:rPr>
                <w:rFonts w:ascii="Arial" w:hAnsi="Arial" w:cs="Arial"/>
                <w:noProof/>
                <w:webHidden/>
              </w:rPr>
              <w:fldChar w:fldCharType="end"/>
            </w:r>
          </w:hyperlink>
        </w:p>
        <w:p w:rsidR="00DF3DC8" w:rsidRPr="00B114CA" w:rsidRDefault="00CD6A73">
          <w:pPr>
            <w:pStyle w:val="20"/>
            <w:tabs>
              <w:tab w:val="left" w:pos="840"/>
              <w:tab w:val="right" w:leader="dot" w:pos="8630"/>
            </w:tabs>
            <w:rPr>
              <w:rFonts w:ascii="Arial" w:eastAsiaTheme="minorEastAsia" w:hAnsi="Arial" w:cs="Arial"/>
              <w:noProof/>
              <w:kern w:val="2"/>
              <w:sz w:val="21"/>
              <w:szCs w:val="22"/>
            </w:rPr>
          </w:pPr>
          <w:hyperlink w:anchor="_Toc498621510" w:history="1">
            <w:r w:rsidR="00DF3DC8" w:rsidRPr="00B114CA">
              <w:rPr>
                <w:rStyle w:val="ab"/>
                <w:rFonts w:ascii="Arial" w:eastAsia="Times New Roman" w:hAnsi="Arial" w:cs="Arial"/>
                <w:noProof/>
              </w:rPr>
              <w:t>F.</w:t>
            </w:r>
            <w:r w:rsidR="00DF3DC8" w:rsidRPr="00B114CA">
              <w:rPr>
                <w:rFonts w:ascii="Arial" w:eastAsiaTheme="minorEastAsia" w:hAnsi="Arial" w:cs="Arial"/>
                <w:noProof/>
                <w:kern w:val="2"/>
                <w:sz w:val="21"/>
                <w:szCs w:val="22"/>
              </w:rPr>
              <w:tab/>
            </w:r>
            <w:r w:rsidR="00DF3DC8" w:rsidRPr="00B114CA">
              <w:rPr>
                <w:rStyle w:val="ab"/>
                <w:rFonts w:ascii="Arial" w:hAnsi="Arial" w:cs="Arial"/>
                <w:noProof/>
              </w:rPr>
              <w:t>整体</w:t>
            </w:r>
            <w:r w:rsidR="00DF3DC8" w:rsidRPr="00B114CA">
              <w:rPr>
                <w:rStyle w:val="ab"/>
                <w:rFonts w:ascii="Arial" w:hAnsi="Arial" w:cs="Arial"/>
                <w:noProof/>
              </w:rPr>
              <w:t>IDE</w:t>
            </w:r>
            <w:r w:rsidR="00DF3DC8" w:rsidRPr="00B114CA">
              <w:rPr>
                <w:rStyle w:val="ab"/>
                <w:rFonts w:ascii="Arial" w:hAnsi="Arial" w:cs="Arial"/>
                <w:noProof/>
              </w:rPr>
              <w:t>收益风险测定</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_Toc498621510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26</w:t>
            </w:r>
            <w:r w:rsidR="00DF3DC8" w:rsidRPr="00B114CA">
              <w:rPr>
                <w:rFonts w:ascii="Arial" w:hAnsi="Arial" w:cs="Arial"/>
                <w:noProof/>
                <w:webHidden/>
              </w:rPr>
              <w:fldChar w:fldCharType="end"/>
            </w:r>
          </w:hyperlink>
        </w:p>
        <w:p w:rsidR="00DF3DC8" w:rsidRPr="00B114CA" w:rsidRDefault="00CD6A73">
          <w:pPr>
            <w:pStyle w:val="10"/>
            <w:tabs>
              <w:tab w:val="right" w:leader="dot" w:pos="8630"/>
            </w:tabs>
            <w:rPr>
              <w:rFonts w:ascii="Arial" w:eastAsiaTheme="minorEastAsia" w:hAnsi="Arial" w:cs="Arial"/>
              <w:b w:val="0"/>
              <w:bCs w:val="0"/>
              <w:noProof/>
              <w:kern w:val="2"/>
              <w:sz w:val="21"/>
              <w:szCs w:val="22"/>
            </w:rPr>
          </w:pPr>
          <w:hyperlink w:anchor="_Toc498621511" w:history="1">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附录</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A——</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推荐用于收益</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风险评估的通用框架</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_Toc498621511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27</w:t>
            </w:r>
            <w:r w:rsidR="00DF3DC8" w:rsidRPr="00B114CA">
              <w:rPr>
                <w:rFonts w:ascii="Arial" w:hAnsi="Arial" w:cs="Arial"/>
                <w:noProof/>
                <w:webHidden/>
              </w:rPr>
              <w:fldChar w:fldCharType="end"/>
            </w:r>
          </w:hyperlink>
        </w:p>
        <w:p w:rsidR="00DF3DC8" w:rsidRPr="00B114CA" w:rsidRDefault="00CD6A73">
          <w:pPr>
            <w:pStyle w:val="10"/>
            <w:tabs>
              <w:tab w:val="right" w:leader="dot" w:pos="8630"/>
            </w:tabs>
            <w:rPr>
              <w:rFonts w:ascii="Arial" w:eastAsiaTheme="minorEastAsia" w:hAnsi="Arial" w:cs="Arial"/>
              <w:b w:val="0"/>
              <w:bCs w:val="0"/>
              <w:noProof/>
              <w:kern w:val="2"/>
              <w:sz w:val="21"/>
              <w:szCs w:val="22"/>
            </w:rPr>
          </w:pPr>
          <w:hyperlink w:anchor="_Toc498621512" w:history="1">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附录</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B——</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总结收益</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风险评估的假设示例</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_Toc498621512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29</w:t>
            </w:r>
            <w:r w:rsidR="00DF3DC8" w:rsidRPr="00B114CA">
              <w:rPr>
                <w:rFonts w:ascii="Arial" w:hAnsi="Arial" w:cs="Arial"/>
                <w:noProof/>
                <w:webHidden/>
              </w:rPr>
              <w:fldChar w:fldCharType="end"/>
            </w:r>
          </w:hyperlink>
        </w:p>
        <w:p w:rsidR="00DF3DC8" w:rsidRPr="00B114CA" w:rsidRDefault="00CD6A73">
          <w:pPr>
            <w:pStyle w:val="10"/>
            <w:tabs>
              <w:tab w:val="right" w:leader="dot" w:pos="8630"/>
            </w:tabs>
            <w:rPr>
              <w:rFonts w:ascii="Arial" w:eastAsiaTheme="minorEastAsia" w:hAnsi="Arial" w:cs="Arial"/>
              <w:b w:val="0"/>
              <w:bCs w:val="0"/>
              <w:noProof/>
              <w:kern w:val="2"/>
              <w:sz w:val="21"/>
              <w:szCs w:val="22"/>
            </w:rPr>
          </w:pPr>
          <w:hyperlink w:anchor="_Toc498621513" w:history="1">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附录</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C——</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参考指南：研究器械描述</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_Toc498621513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35</w:t>
            </w:r>
            <w:r w:rsidR="00DF3DC8" w:rsidRPr="00B114CA">
              <w:rPr>
                <w:rFonts w:ascii="Arial" w:hAnsi="Arial" w:cs="Arial"/>
                <w:noProof/>
                <w:webHidden/>
              </w:rPr>
              <w:fldChar w:fldCharType="end"/>
            </w:r>
          </w:hyperlink>
        </w:p>
        <w:p w:rsidR="00DF3DC8" w:rsidRPr="00B114CA" w:rsidRDefault="00CD6A73">
          <w:pPr>
            <w:pStyle w:val="10"/>
            <w:tabs>
              <w:tab w:val="right" w:leader="dot" w:pos="8630"/>
            </w:tabs>
            <w:rPr>
              <w:rFonts w:ascii="Arial" w:eastAsiaTheme="minorEastAsia" w:hAnsi="Arial" w:cs="Arial"/>
              <w:b w:val="0"/>
              <w:bCs w:val="0"/>
              <w:noProof/>
              <w:kern w:val="2"/>
              <w:sz w:val="21"/>
              <w:szCs w:val="22"/>
            </w:rPr>
          </w:pPr>
          <w:hyperlink w:anchor="_Toc498621514" w:history="1">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附录</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D——</w:t>
            </w:r>
            <w:r w:rsidR="00DF3DC8" w:rsidRPr="00210933">
              <w:rPr>
                <w:rStyle w:val="ab"/>
                <w:rFonts w:ascii="Arial" w:hAnsi="Arial" w:cs="Arial"/>
                <w:noProof/>
                <w14:shadow w14:blurRad="50800" w14:dist="38100" w14:dir="2700000" w14:sx="100000" w14:sy="100000" w14:kx="0" w14:ky="0" w14:algn="tl">
                  <w14:srgbClr w14:val="000000">
                    <w14:alpha w14:val="60000"/>
                  </w14:srgbClr>
                </w14:shadow>
              </w:rPr>
              <w:t>风险管理术语表</w:t>
            </w:r>
            <w:r w:rsidR="00DF3DC8" w:rsidRPr="00B114CA">
              <w:rPr>
                <w:rFonts w:ascii="Arial" w:hAnsi="Arial" w:cs="Arial"/>
                <w:noProof/>
                <w:webHidden/>
              </w:rPr>
              <w:tab/>
            </w:r>
            <w:r w:rsidR="00DF3DC8" w:rsidRPr="00B114CA">
              <w:rPr>
                <w:rFonts w:ascii="Arial" w:hAnsi="Arial" w:cs="Arial"/>
                <w:noProof/>
                <w:webHidden/>
              </w:rPr>
              <w:fldChar w:fldCharType="begin"/>
            </w:r>
            <w:r w:rsidR="00DF3DC8" w:rsidRPr="00B114CA">
              <w:rPr>
                <w:rFonts w:ascii="Arial" w:hAnsi="Arial" w:cs="Arial"/>
                <w:noProof/>
                <w:webHidden/>
              </w:rPr>
              <w:instrText xml:space="preserve"> PAGEREF _Toc498621514 \h </w:instrText>
            </w:r>
            <w:r w:rsidR="00DF3DC8" w:rsidRPr="00B114CA">
              <w:rPr>
                <w:rFonts w:ascii="Arial" w:hAnsi="Arial" w:cs="Arial"/>
                <w:noProof/>
                <w:webHidden/>
              </w:rPr>
            </w:r>
            <w:r w:rsidR="00DF3DC8" w:rsidRPr="00B114CA">
              <w:rPr>
                <w:rFonts w:ascii="Arial" w:hAnsi="Arial" w:cs="Arial"/>
                <w:noProof/>
                <w:webHidden/>
              </w:rPr>
              <w:fldChar w:fldCharType="separate"/>
            </w:r>
            <w:r w:rsidR="00DF3DC8" w:rsidRPr="00B114CA">
              <w:rPr>
                <w:rFonts w:ascii="Arial" w:hAnsi="Arial" w:cs="Arial"/>
                <w:noProof/>
                <w:webHidden/>
              </w:rPr>
              <w:t>37</w:t>
            </w:r>
            <w:r w:rsidR="00DF3DC8" w:rsidRPr="00B114CA">
              <w:rPr>
                <w:rFonts w:ascii="Arial" w:hAnsi="Arial" w:cs="Arial"/>
                <w:noProof/>
                <w:webHidden/>
              </w:rPr>
              <w:fldChar w:fldCharType="end"/>
            </w:r>
          </w:hyperlink>
        </w:p>
        <w:p w:rsidR="00374303" w:rsidRDefault="00DF3DC8">
          <w:r>
            <w:rPr>
              <w:rFonts w:ascii="Arial" w:eastAsia="宋体" w:hAnsi="Arial" w:cs="Arial"/>
              <w:sz w:val="24"/>
              <w:szCs w:val="24"/>
            </w:rPr>
            <w:fldChar w:fldCharType="end"/>
          </w:r>
        </w:p>
      </w:sdtContent>
    </w:sdt>
    <w:p w:rsidR="00A3286A" w:rsidRPr="00084618" w:rsidRDefault="00A3286A" w:rsidP="00084618">
      <w:pPr>
        <w:pStyle w:val="10"/>
        <w:tabs>
          <w:tab w:val="left" w:pos="730"/>
          <w:tab w:val="right" w:leader="dot" w:pos="9450"/>
        </w:tabs>
        <w:spacing w:afterLines="50" w:after="120" w:line="300" w:lineRule="auto"/>
        <w:ind w:left="0" w:firstLine="0"/>
        <w:rPr>
          <w:rFonts w:ascii="Arial" w:hAnsi="Arial" w:cs="Arial"/>
          <w:b w:val="0"/>
          <w:bCs w:val="0"/>
        </w:rPr>
      </w:pPr>
    </w:p>
    <w:p w:rsidR="00A3286A" w:rsidRPr="00084618" w:rsidRDefault="00124B27" w:rsidP="00053253">
      <w:pPr>
        <w:snapToGrid w:val="0"/>
        <w:spacing w:afterLines="50" w:after="120" w:line="300" w:lineRule="auto"/>
        <w:rPr>
          <w:rFonts w:ascii="Arial" w:eastAsia="宋体" w:hAnsi="Arial" w:cs="Arial"/>
          <w:sz w:val="17"/>
          <w:szCs w:val="17"/>
        </w:rPr>
      </w:pPr>
      <w:r w:rsidRPr="00084618">
        <w:rPr>
          <w:rFonts w:ascii="Arial" w:eastAsia="宋体" w:hAnsi="Arial" w:cs="Arial"/>
        </w:rPr>
        <w:br w:type="page"/>
      </w:r>
    </w:p>
    <w:p w:rsidR="00A3286A" w:rsidRPr="007B4057" w:rsidRDefault="00124B27" w:rsidP="007B4057">
      <w:pPr>
        <w:pBdr>
          <w:bottom w:val="single" w:sz="4" w:space="1" w:color="auto"/>
        </w:pBdr>
        <w:snapToGrid w:val="0"/>
        <w:spacing w:afterLines="50" w:after="120" w:line="300" w:lineRule="auto"/>
        <w:ind w:firstLine="2"/>
        <w:jc w:val="center"/>
        <w:rPr>
          <w:rFonts w:ascii="Arial" w:eastAsia="宋体" w:hAnsi="Arial" w:cs="Arial"/>
          <w:sz w:val="52"/>
          <w:szCs w:val="52"/>
        </w:rPr>
      </w:pPr>
      <w:r w:rsidRPr="00084618">
        <w:rPr>
          <w:rFonts w:ascii="Arial" w:eastAsia="宋体" w:hAnsi="Arial" w:cs="Arial"/>
          <w:sz w:val="17"/>
          <w:szCs w:val="17"/>
        </w:rPr>
        <w:lastRenderedPageBreak/>
        <w:br w:type="page"/>
      </w:r>
      <w:bookmarkStart w:id="0" w:name="INTRODUCTION"/>
      <w:bookmarkEnd w:id="0"/>
      <w:r w:rsidR="00635917" w:rsidRPr="007B4057">
        <w:rPr>
          <w:rFonts w:ascii="Arial" w:eastAsia="宋体" w:hAnsi="Arial" w:cs="Arial"/>
          <w:b/>
          <w:sz w:val="52"/>
          <w:szCs w:val="52"/>
        </w:rPr>
        <w:lastRenderedPageBreak/>
        <w:t>在医疗器械研究器械豁免中测定收益风险时应考虑的因素</w:t>
      </w:r>
    </w:p>
    <w:p w:rsidR="00A3286A" w:rsidRPr="007B4057" w:rsidRDefault="00635917" w:rsidP="00053253">
      <w:pPr>
        <w:snapToGrid w:val="0"/>
        <w:spacing w:afterLines="50" w:after="120" w:line="300" w:lineRule="auto"/>
        <w:jc w:val="center"/>
        <w:rPr>
          <w:rFonts w:ascii="Arial" w:eastAsia="宋体" w:hAnsi="Arial" w:cs="Arial"/>
          <w:sz w:val="52"/>
          <w:szCs w:val="52"/>
        </w:rPr>
      </w:pPr>
      <w:r w:rsidRPr="007B4057">
        <w:rPr>
          <w:rFonts w:ascii="Arial" w:eastAsia="宋体" w:hAnsi="Arial" w:cs="Arial"/>
          <w:b/>
          <w:sz w:val="52"/>
          <w:szCs w:val="52"/>
        </w:rPr>
        <w:t>研究器械豁免申办方，申办方研究者和食品药品监督管理局工作人员指南</w:t>
      </w:r>
    </w:p>
    <w:p w:rsidR="00A3286A" w:rsidRPr="00084618" w:rsidRDefault="00A3286A" w:rsidP="00053253">
      <w:pPr>
        <w:snapToGrid w:val="0"/>
        <w:spacing w:afterLines="50" w:after="120" w:line="300" w:lineRule="auto"/>
        <w:jc w:val="center"/>
        <w:rPr>
          <w:rFonts w:ascii="Arial" w:eastAsia="宋体" w:hAnsi="Arial" w:cs="Arial"/>
          <w:sz w:val="56"/>
          <w:szCs w:val="56"/>
        </w:rPr>
      </w:pPr>
    </w:p>
    <w:tbl>
      <w:tblPr>
        <w:tblStyle w:val="a8"/>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856"/>
      </w:tblGrid>
      <w:tr w:rsidR="007B4057" w:rsidTr="007B4057">
        <w:tc>
          <w:tcPr>
            <w:tcW w:w="8856" w:type="dxa"/>
          </w:tcPr>
          <w:p w:rsidR="007B4057" w:rsidRPr="007B4057" w:rsidRDefault="007B4057" w:rsidP="007B4057">
            <w:pPr>
              <w:spacing w:before="32" w:line="242" w:lineRule="auto"/>
              <w:ind w:leftChars="20" w:left="44" w:rightChars="20" w:right="44"/>
              <w:rPr>
                <w:rFonts w:ascii="Arial" w:eastAsia="宋体" w:hAnsi="Arial" w:cs="Arial"/>
                <w:sz w:val="24"/>
                <w:szCs w:val="24"/>
              </w:rPr>
            </w:pPr>
            <w:r w:rsidRPr="007B4057">
              <w:rPr>
                <w:rFonts w:ascii="Arial" w:eastAsia="宋体" w:hAnsi="Arial" w:cs="Arial"/>
                <w:b/>
                <w:i/>
                <w:sz w:val="24"/>
              </w:rPr>
              <w:t>本指南代表食品药品监督管理局（</w:t>
            </w:r>
            <w:r w:rsidRPr="007B4057">
              <w:rPr>
                <w:rFonts w:ascii="Arial" w:eastAsia="宋体" w:hAnsi="Arial" w:cs="Arial"/>
                <w:b/>
                <w:i/>
                <w:sz w:val="24"/>
              </w:rPr>
              <w:t>FDA</w:t>
            </w:r>
            <w:r w:rsidRPr="007B4057">
              <w:rPr>
                <w:rFonts w:ascii="Arial" w:eastAsia="宋体" w:hAnsi="Arial" w:cs="Arial"/>
                <w:b/>
                <w:i/>
                <w:sz w:val="24"/>
              </w:rPr>
              <w:t>或本机构）目前关于该主题的思考。其不会为任何人创造或赋予任何权利，也不对</w:t>
            </w:r>
            <w:r w:rsidRPr="007B4057">
              <w:rPr>
                <w:rFonts w:ascii="Arial" w:eastAsia="宋体" w:hAnsi="Arial" w:cs="Arial"/>
                <w:b/>
                <w:i/>
                <w:sz w:val="24"/>
              </w:rPr>
              <w:t>FDA</w:t>
            </w:r>
            <w:r w:rsidRPr="007B4057">
              <w:rPr>
                <w:rFonts w:ascii="Arial" w:eastAsia="宋体" w:hAnsi="Arial" w:cs="Arial"/>
                <w:b/>
                <w:i/>
                <w:sz w:val="24"/>
              </w:rPr>
              <w:t>或公众具有约束力。如果替代方法满足适用的法律法规的要求，则可以使用替代方法。如果您希望讨论一种替代方法，请联系本指南标题页上列出的负责实施本指南的</w:t>
            </w:r>
            <w:r w:rsidRPr="007B4057">
              <w:rPr>
                <w:rFonts w:ascii="Arial" w:eastAsia="宋体" w:hAnsi="Arial" w:cs="Arial"/>
                <w:b/>
                <w:i/>
                <w:sz w:val="24"/>
              </w:rPr>
              <w:t>FDA</w:t>
            </w:r>
            <w:r w:rsidRPr="007B4057">
              <w:rPr>
                <w:rFonts w:ascii="Arial" w:eastAsia="宋体" w:hAnsi="Arial" w:cs="Arial"/>
                <w:b/>
                <w:i/>
                <w:sz w:val="24"/>
              </w:rPr>
              <w:t>工作人员或办公室。</w:t>
            </w:r>
          </w:p>
        </w:tc>
      </w:tr>
    </w:tbl>
    <w:p w:rsidR="00A3286A" w:rsidRPr="00084618" w:rsidRDefault="00A3286A" w:rsidP="00053253">
      <w:pPr>
        <w:snapToGrid w:val="0"/>
        <w:spacing w:afterLines="50" w:after="120" w:line="300" w:lineRule="auto"/>
        <w:rPr>
          <w:rFonts w:ascii="Arial" w:eastAsia="宋体" w:hAnsi="Arial" w:cs="Arial"/>
          <w:b/>
          <w:bCs/>
          <w:sz w:val="20"/>
          <w:szCs w:val="20"/>
        </w:rPr>
      </w:pPr>
    </w:p>
    <w:p w:rsidR="00A3286A" w:rsidRPr="00084618" w:rsidRDefault="00A3286A" w:rsidP="00053253">
      <w:pPr>
        <w:snapToGrid w:val="0"/>
        <w:spacing w:afterLines="50" w:after="120" w:line="300" w:lineRule="auto"/>
        <w:rPr>
          <w:rFonts w:ascii="Arial" w:eastAsia="宋体" w:hAnsi="Arial" w:cs="Arial"/>
          <w:b/>
          <w:bCs/>
          <w:sz w:val="23"/>
          <w:szCs w:val="23"/>
        </w:rPr>
      </w:pPr>
    </w:p>
    <w:p w:rsidR="00A3286A" w:rsidRPr="00CA01D9" w:rsidRDefault="00635917" w:rsidP="00CA01D9">
      <w:pPr>
        <w:pStyle w:val="1"/>
        <w:numPr>
          <w:ilvl w:val="0"/>
          <w:numId w:val="17"/>
        </w:numPr>
        <w:tabs>
          <w:tab w:val="left" w:pos="532"/>
        </w:tabs>
        <w:snapToGrid w:val="0"/>
        <w:spacing w:afterLines="100" w:after="240" w:line="300" w:lineRule="auto"/>
        <w:ind w:left="0" w:firstLine="0"/>
        <w:jc w:val="both"/>
        <w:rPr>
          <w:rFonts w:ascii="Arial" w:hAnsi="Arial" w:cs="Arial"/>
          <w:b w:val="0"/>
          <w:bCs w:val="0"/>
          <w:sz w:val="32"/>
          <w:szCs w:val="32"/>
        </w:rPr>
      </w:pPr>
      <w:bookmarkStart w:id="1" w:name="_bookmark0"/>
      <w:bookmarkStart w:id="2" w:name="_Toc498621494"/>
      <w:bookmarkEnd w:id="1"/>
      <w:r w:rsidRPr="00CA01D9">
        <w:rPr>
          <w:rFonts w:ascii="Arial" w:hAnsi="Arial" w:cs="Arial"/>
          <w:sz w:val="32"/>
          <w:szCs w:val="32"/>
        </w:rPr>
        <w:t>引言</w:t>
      </w:r>
      <w:bookmarkEnd w:id="2"/>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FDA</w:t>
      </w:r>
      <w:r w:rsidRPr="00CA01D9">
        <w:rPr>
          <w:rFonts w:ascii="Arial" w:hAnsi="Arial" w:cs="Arial"/>
        </w:rPr>
        <w:t>致力于通过加强和精简临床试验企业，提高美国医疗器械临床试验的效率并节省其成本，同时</w:t>
      </w:r>
      <w:r w:rsidR="007210C5" w:rsidRPr="00CA01D9">
        <w:rPr>
          <w:rFonts w:ascii="Arial" w:hAnsi="Arial" w:cs="Arial"/>
        </w:rPr>
        <w:t>保证</w:t>
      </w:r>
      <w:r w:rsidRPr="00CA01D9">
        <w:rPr>
          <w:rFonts w:ascii="Arial" w:hAnsi="Arial" w:cs="Arial"/>
        </w:rPr>
        <w:t>患者和研究</w:t>
      </w:r>
      <w:r w:rsidR="007210C5" w:rsidRPr="00CA01D9">
        <w:rPr>
          <w:rFonts w:ascii="Arial" w:hAnsi="Arial" w:cs="Arial"/>
        </w:rPr>
        <w:t>受试者</w:t>
      </w:r>
      <w:r w:rsidRPr="00CA01D9">
        <w:rPr>
          <w:rFonts w:ascii="Arial" w:hAnsi="Arial" w:cs="Arial"/>
        </w:rPr>
        <w:t>得到适当保护来增加美国患者使用新器械的机会。</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本指南旨在向</w:t>
      </w:r>
      <w:r w:rsidRPr="00CA01D9">
        <w:rPr>
          <w:rFonts w:ascii="Arial" w:hAnsi="Arial" w:cs="Arial"/>
        </w:rPr>
        <w:t>FDA</w:t>
      </w:r>
      <w:r w:rsidRPr="00CA01D9">
        <w:rPr>
          <w:rFonts w:ascii="Arial" w:hAnsi="Arial" w:cs="Arial"/>
        </w:rPr>
        <w:t>工作人员和研究器械豁免（</w:t>
      </w:r>
      <w:r w:rsidRPr="00CA01D9">
        <w:rPr>
          <w:rFonts w:ascii="Arial" w:hAnsi="Arial" w:cs="Arial"/>
        </w:rPr>
        <w:t>IDE</w:t>
      </w:r>
      <w:r w:rsidRPr="00CA01D9">
        <w:rPr>
          <w:rFonts w:ascii="Arial" w:hAnsi="Arial" w:cs="Arial"/>
        </w:rPr>
        <w:t>）申办方和申办方研究者</w:t>
      </w:r>
      <w:r w:rsidR="00CA01D9">
        <w:rPr>
          <w:rStyle w:val="aa"/>
          <w:rFonts w:ascii="Arial" w:hAnsi="Arial" w:cs="Arial"/>
        </w:rPr>
        <w:footnoteReference w:id="1"/>
      </w:r>
      <w:r w:rsidRPr="00CA01D9">
        <w:rPr>
          <w:rFonts w:ascii="Arial" w:hAnsi="Arial" w:cs="Arial"/>
        </w:rPr>
        <w:t>进一步说明</w:t>
      </w:r>
      <w:r w:rsidRPr="00CA01D9">
        <w:rPr>
          <w:rFonts w:ascii="Arial" w:hAnsi="Arial" w:cs="Arial"/>
        </w:rPr>
        <w:t>FDA</w:t>
      </w:r>
      <w:r w:rsidRPr="00CA01D9">
        <w:rPr>
          <w:rFonts w:ascii="Arial" w:hAnsi="Arial" w:cs="Arial"/>
        </w:rPr>
        <w:t>将在评估人类临床研究</w:t>
      </w:r>
      <w:r w:rsidRPr="00CA01D9">
        <w:rPr>
          <w:rFonts w:ascii="Arial" w:hAnsi="Arial" w:cs="Arial"/>
        </w:rPr>
        <w:t>IDE</w:t>
      </w:r>
      <w:r w:rsidRPr="00CA01D9">
        <w:rPr>
          <w:rFonts w:ascii="Arial" w:hAnsi="Arial" w:cs="Arial"/>
        </w:rPr>
        <w:t>申请的收益和风险时考虑的主要因素。</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lastRenderedPageBreak/>
        <w:t>根据适用法律和法规，如果除其他原因外，</w:t>
      </w:r>
      <w:r w:rsidRPr="00CA01D9">
        <w:rPr>
          <w:rFonts w:ascii="Arial" w:hAnsi="Arial" w:cs="Arial"/>
        </w:rPr>
        <w:t>“FDA</w:t>
      </w:r>
      <w:r w:rsidRPr="00CA01D9">
        <w:rPr>
          <w:rFonts w:ascii="Arial" w:hAnsi="Arial" w:cs="Arial"/>
        </w:rPr>
        <w:t>有理由</w:t>
      </w:r>
      <w:r w:rsidR="009D40D7" w:rsidRPr="00CA01D9">
        <w:rPr>
          <w:rFonts w:ascii="Arial" w:hAnsi="Arial" w:cs="Arial"/>
        </w:rPr>
        <w:t>认为</w:t>
      </w:r>
      <w:r w:rsidRPr="00CA01D9">
        <w:rPr>
          <w:rFonts w:ascii="Arial" w:hAnsi="Arial" w:cs="Arial"/>
        </w:rPr>
        <w:t>受试者的预期收益和</w:t>
      </w:r>
      <w:proofErr w:type="gramStart"/>
      <w:r w:rsidRPr="00CA01D9">
        <w:rPr>
          <w:rFonts w:ascii="Arial" w:hAnsi="Arial" w:cs="Arial"/>
        </w:rPr>
        <w:t>可</w:t>
      </w:r>
      <w:proofErr w:type="gramEnd"/>
      <w:r w:rsidRPr="00CA01D9">
        <w:rPr>
          <w:rFonts w:ascii="Arial" w:hAnsi="Arial" w:cs="Arial"/>
        </w:rPr>
        <w:t>获得的知识的重要性未超过受试者的风险</w:t>
      </w:r>
      <w:r w:rsidRPr="00CA01D9">
        <w:rPr>
          <w:rFonts w:ascii="Arial" w:hAnsi="Arial" w:cs="Arial"/>
        </w:rPr>
        <w:t>”</w:t>
      </w:r>
      <w:r w:rsidRPr="00CA01D9">
        <w:rPr>
          <w:rFonts w:ascii="Arial" w:hAnsi="Arial" w:cs="Arial"/>
        </w:rPr>
        <w:t>，</w:t>
      </w:r>
      <w:r w:rsidRPr="00CA01D9">
        <w:rPr>
          <w:rFonts w:ascii="Arial" w:hAnsi="Arial" w:cs="Arial"/>
        </w:rPr>
        <w:t>FDA</w:t>
      </w:r>
      <w:r w:rsidRPr="00CA01D9">
        <w:rPr>
          <w:rFonts w:ascii="Arial" w:hAnsi="Arial" w:cs="Arial"/>
        </w:rPr>
        <w:t>可以驳回</w:t>
      </w:r>
      <w:r w:rsidRPr="00CA01D9">
        <w:rPr>
          <w:rFonts w:ascii="Arial" w:hAnsi="Arial" w:cs="Arial"/>
        </w:rPr>
        <w:t>IDE</w:t>
      </w:r>
      <w:r w:rsidRPr="00CA01D9">
        <w:rPr>
          <w:rFonts w:ascii="Arial" w:hAnsi="Arial" w:cs="Arial"/>
        </w:rPr>
        <w:t>申请。</w:t>
      </w:r>
      <w:r w:rsidR="0019249B">
        <w:rPr>
          <w:rStyle w:val="aa"/>
          <w:rFonts w:ascii="Arial" w:hAnsi="Arial" w:cs="Arial"/>
        </w:rPr>
        <w:footnoteReference w:id="2"/>
      </w:r>
      <w:r w:rsidR="007210C5" w:rsidRPr="00CA01D9">
        <w:rPr>
          <w:rFonts w:ascii="Arial" w:hAnsi="Arial" w:cs="Arial"/>
        </w:rPr>
        <w:t>多数</w:t>
      </w:r>
      <w:r w:rsidRPr="00CA01D9">
        <w:rPr>
          <w:rFonts w:ascii="Arial" w:hAnsi="Arial" w:cs="Arial"/>
        </w:rPr>
        <w:t>情况下，本机构认为，有效的风险管理，包括应用风险缓解措施等风险控制措施，可以促进</w:t>
      </w:r>
      <w:r w:rsidRPr="00CA01D9">
        <w:rPr>
          <w:rFonts w:ascii="Arial" w:hAnsi="Arial" w:cs="Arial"/>
        </w:rPr>
        <w:t>IDE</w:t>
      </w:r>
      <w:r w:rsidRPr="00CA01D9">
        <w:rPr>
          <w:rFonts w:ascii="Arial" w:hAnsi="Arial" w:cs="Arial"/>
        </w:rPr>
        <w:t>收益</w:t>
      </w:r>
      <w:r w:rsidRPr="00CA01D9">
        <w:rPr>
          <w:rFonts w:ascii="Arial" w:hAnsi="Arial" w:cs="Arial"/>
        </w:rPr>
        <w:t>-</w:t>
      </w:r>
      <w:r w:rsidRPr="00CA01D9">
        <w:rPr>
          <w:rFonts w:ascii="Arial" w:hAnsi="Arial" w:cs="Arial"/>
        </w:rPr>
        <w:t>风险测定。</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FDA</w:t>
      </w:r>
      <w:r w:rsidR="007210C5" w:rsidRPr="00CA01D9">
        <w:rPr>
          <w:rFonts w:ascii="Arial" w:hAnsi="Arial" w:cs="Arial"/>
        </w:rPr>
        <w:t>认为</w:t>
      </w:r>
      <w:r w:rsidRPr="00CA01D9">
        <w:rPr>
          <w:rFonts w:ascii="Arial" w:hAnsi="Arial" w:cs="Arial"/>
        </w:rPr>
        <w:t>在评估风险和预期收益时，应考虑医疗器械总产品生命周期，且器械开发和</w:t>
      </w:r>
      <w:r w:rsidR="007210C5" w:rsidRPr="00CA01D9">
        <w:rPr>
          <w:rFonts w:ascii="Arial" w:hAnsi="Arial" w:cs="Arial"/>
        </w:rPr>
        <w:t>临床试验</w:t>
      </w:r>
      <w:r w:rsidRPr="00CA01D9">
        <w:rPr>
          <w:rFonts w:ascii="Arial" w:hAnsi="Arial" w:cs="Arial"/>
        </w:rPr>
        <w:t>研究的早期阶段通常具有较大的不确定性（即低证据水平）。本指南的主要目标是说明</w:t>
      </w:r>
      <w:r w:rsidRPr="00CA01D9">
        <w:rPr>
          <w:rFonts w:ascii="Arial" w:hAnsi="Arial" w:cs="Arial"/>
        </w:rPr>
        <w:t>FDA</w:t>
      </w:r>
      <w:r w:rsidRPr="00CA01D9">
        <w:rPr>
          <w:rFonts w:ascii="Arial" w:hAnsi="Arial" w:cs="Arial"/>
        </w:rPr>
        <w:t>将在评估风险和预期收益时考虑的因素，而收益风险关系将会严重影响是否批准</w:t>
      </w:r>
      <w:r w:rsidRPr="00CA01D9">
        <w:rPr>
          <w:rFonts w:ascii="Arial" w:hAnsi="Arial" w:cs="Arial"/>
        </w:rPr>
        <w:t>IDE</w:t>
      </w:r>
      <w:r w:rsidRPr="00CA01D9">
        <w:rPr>
          <w:rFonts w:ascii="Arial" w:hAnsi="Arial" w:cs="Arial"/>
        </w:rPr>
        <w:t>研究的决定，以及说明如何通过各种风险缓解措施抵消不确定性，其中，此类措施应可以确保患者和研究</w:t>
      </w:r>
      <w:r w:rsidR="007210C5" w:rsidRPr="00CA01D9">
        <w:rPr>
          <w:rFonts w:ascii="Arial" w:hAnsi="Arial" w:cs="Arial"/>
        </w:rPr>
        <w:t>受试者</w:t>
      </w:r>
      <w:r w:rsidRPr="00CA01D9">
        <w:rPr>
          <w:rFonts w:ascii="Arial" w:hAnsi="Arial" w:cs="Arial"/>
        </w:rPr>
        <w:t>在</w:t>
      </w:r>
      <w:r w:rsidR="007210C5" w:rsidRPr="00CA01D9">
        <w:rPr>
          <w:rFonts w:ascii="Arial" w:hAnsi="Arial" w:cs="Arial"/>
        </w:rPr>
        <w:t>临床试验</w:t>
      </w:r>
      <w:r w:rsidRPr="00CA01D9">
        <w:rPr>
          <w:rFonts w:ascii="Arial" w:hAnsi="Arial" w:cs="Arial"/>
        </w:rPr>
        <w:t>研究中得到适当保护。对于拟定</w:t>
      </w:r>
      <w:r w:rsidRPr="00CA01D9">
        <w:rPr>
          <w:rFonts w:ascii="Arial" w:hAnsi="Arial" w:cs="Arial"/>
        </w:rPr>
        <w:t>IDE</w:t>
      </w:r>
      <w:r w:rsidRPr="00CA01D9">
        <w:rPr>
          <w:rFonts w:ascii="Arial" w:hAnsi="Arial" w:cs="Arial"/>
        </w:rPr>
        <w:t>研究，在器械开发早期阶段，</w:t>
      </w:r>
      <w:r w:rsidRPr="00CA01D9">
        <w:rPr>
          <w:rFonts w:ascii="Arial" w:hAnsi="Arial" w:cs="Arial"/>
        </w:rPr>
        <w:t>FDA</w:t>
      </w:r>
      <w:r w:rsidRPr="00CA01D9">
        <w:rPr>
          <w:rFonts w:ascii="Arial" w:hAnsi="Arial" w:cs="Arial"/>
        </w:rPr>
        <w:t>将考虑是否实施了适当的缓解措施来降低预期的可能风险和非预期风险，而在后期阶段，</w:t>
      </w:r>
      <w:r w:rsidRPr="00CA01D9">
        <w:rPr>
          <w:rFonts w:ascii="Arial" w:hAnsi="Arial" w:cs="Arial"/>
        </w:rPr>
        <w:t>FDA</w:t>
      </w:r>
      <w:r w:rsidRPr="00CA01D9">
        <w:rPr>
          <w:rFonts w:ascii="Arial" w:hAnsi="Arial" w:cs="Arial"/>
        </w:rPr>
        <w:t>会考虑风险缓解措施是否侧重于最可能风险。</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本指南的另一个重要目标是表征</w:t>
      </w:r>
      <w:r w:rsidR="007210C5" w:rsidRPr="00CA01D9">
        <w:rPr>
          <w:rFonts w:ascii="Arial" w:hAnsi="Arial" w:cs="Arial"/>
        </w:rPr>
        <w:t>临床试验</w:t>
      </w:r>
      <w:r w:rsidRPr="00CA01D9">
        <w:rPr>
          <w:rFonts w:ascii="Arial" w:hAnsi="Arial" w:cs="Arial"/>
        </w:rPr>
        <w:t>研究中的收益，其中包括受试者的直接收益和他人的收益（以及受试者的间接收益，例如从研究获得的知识或可能有助于开发治疗方法的信息）。</w:t>
      </w:r>
    </w:p>
    <w:p w:rsidR="00A3286A" w:rsidRPr="00CA01D9" w:rsidRDefault="00635917" w:rsidP="00CA01D9">
      <w:pPr>
        <w:pStyle w:val="a3"/>
        <w:snapToGrid w:val="0"/>
        <w:spacing w:afterLines="100" w:after="240" w:line="300" w:lineRule="auto"/>
        <w:ind w:left="0"/>
        <w:rPr>
          <w:rFonts w:ascii="Arial" w:hAnsi="Arial" w:cs="Arial"/>
          <w:lang w:val="de-DE"/>
        </w:rPr>
      </w:pPr>
      <w:r w:rsidRPr="00CA01D9">
        <w:rPr>
          <w:rFonts w:ascii="Arial" w:hAnsi="Arial" w:cs="Arial"/>
        </w:rPr>
        <w:t>根据用于评价上市申请的收益</w:t>
      </w:r>
      <w:r w:rsidRPr="00CA01D9">
        <w:rPr>
          <w:rFonts w:ascii="Arial" w:hAnsi="Arial" w:cs="Arial"/>
        </w:rPr>
        <w:t>-</w:t>
      </w:r>
      <w:r w:rsidRPr="00CA01D9">
        <w:rPr>
          <w:rFonts w:ascii="Arial" w:hAnsi="Arial" w:cs="Arial"/>
        </w:rPr>
        <w:t>风险框架，在评估</w:t>
      </w:r>
      <w:r w:rsidRPr="00CA01D9">
        <w:rPr>
          <w:rFonts w:ascii="Arial" w:hAnsi="Arial" w:cs="Arial"/>
        </w:rPr>
        <w:t>IDE</w:t>
      </w:r>
      <w:r w:rsidRPr="00CA01D9">
        <w:rPr>
          <w:rFonts w:ascii="Arial" w:hAnsi="Arial" w:cs="Arial"/>
        </w:rPr>
        <w:t>申请的收益和风险时，</w:t>
      </w:r>
      <w:r w:rsidRPr="00CA01D9">
        <w:rPr>
          <w:rFonts w:ascii="Arial" w:hAnsi="Arial" w:cs="Arial"/>
        </w:rPr>
        <w:t>FDA</w:t>
      </w:r>
      <w:r w:rsidRPr="00CA01D9">
        <w:rPr>
          <w:rFonts w:ascii="Arial" w:hAnsi="Arial" w:cs="Arial"/>
        </w:rPr>
        <w:t>将考虑提出研究的背景设置，包括但不限于所治疗或诊断的疾病或病症表征，替代治疗或诊断的可用性及其相关风险。如果可用，表征受试者风险承受能力及其对收益的看法的信息可能会</w:t>
      </w:r>
      <w:proofErr w:type="gramStart"/>
      <w:r w:rsidRPr="00CA01D9">
        <w:rPr>
          <w:rFonts w:ascii="Arial" w:hAnsi="Arial" w:cs="Arial"/>
        </w:rPr>
        <w:t>促进此</w:t>
      </w:r>
      <w:proofErr w:type="gramEnd"/>
      <w:r w:rsidRPr="00CA01D9">
        <w:rPr>
          <w:rFonts w:ascii="Arial" w:hAnsi="Arial" w:cs="Arial"/>
        </w:rPr>
        <w:t>评估。更多信息</w:t>
      </w:r>
      <w:r w:rsidRPr="00CA01D9">
        <w:rPr>
          <w:rFonts w:ascii="Arial" w:hAnsi="Arial" w:cs="Arial"/>
          <w:lang w:val="de-DE"/>
        </w:rPr>
        <w:t>，</w:t>
      </w:r>
      <w:hyperlink r:id="rId15">
        <w:r w:rsidRPr="00CA01D9">
          <w:rPr>
            <w:rFonts w:ascii="Arial" w:hAnsi="Arial" w:cs="Arial"/>
            <w:u w:val="single" w:color="000000"/>
          </w:rPr>
          <w:t>请参见</w:t>
        </w:r>
        <w:r w:rsidRPr="00CA01D9">
          <w:rPr>
            <w:rFonts w:ascii="Arial" w:hAnsi="Arial" w:cs="Arial"/>
            <w:u w:val="single" w:color="000000"/>
            <w:lang w:val="de-DE"/>
          </w:rPr>
          <w:t>FDA</w:t>
        </w:r>
        <w:r w:rsidRPr="00CA01D9">
          <w:rPr>
            <w:rFonts w:ascii="Arial" w:hAnsi="Arial" w:cs="Arial"/>
            <w:u w:val="single" w:color="000000"/>
          </w:rPr>
          <w:t>指南</w:t>
        </w:r>
        <w:r w:rsidRPr="00CA01D9">
          <w:rPr>
            <w:rFonts w:ascii="Arial" w:hAnsi="Arial" w:cs="Arial"/>
            <w:u w:val="single" w:color="000000"/>
            <w:lang w:val="de-DE"/>
          </w:rPr>
          <w:t>“</w:t>
        </w:r>
        <w:r w:rsidRPr="00CA01D9">
          <w:rPr>
            <w:rFonts w:ascii="Arial" w:hAnsi="Arial" w:cs="Arial"/>
            <w:u w:val="single" w:color="000000"/>
          </w:rPr>
          <w:t>在医疗器械上市前批准和</w:t>
        </w:r>
        <w:r w:rsidR="009D40D7" w:rsidRPr="00CA01D9">
          <w:rPr>
            <w:rFonts w:ascii="Arial" w:hAnsi="Arial" w:cs="Arial"/>
            <w:u w:val="single" w:color="000000"/>
          </w:rPr>
          <w:t>再次申请</w:t>
        </w:r>
        <w:r w:rsidRPr="00CA01D9">
          <w:rPr>
            <w:rFonts w:ascii="Arial" w:hAnsi="Arial" w:cs="Arial"/>
            <w:u w:val="single" w:color="000000"/>
          </w:rPr>
          <w:t>分类中进行收益</w:t>
        </w:r>
        <w:r w:rsidRPr="00CA01D9">
          <w:rPr>
            <w:rFonts w:ascii="Arial" w:hAnsi="Arial" w:cs="Arial"/>
            <w:u w:val="single" w:color="000000"/>
            <w:lang w:val="de-DE"/>
          </w:rPr>
          <w:t>-</w:t>
        </w:r>
        <w:r w:rsidRPr="00CA01D9">
          <w:rPr>
            <w:rFonts w:ascii="Arial" w:hAnsi="Arial" w:cs="Arial"/>
            <w:u w:val="single" w:color="000000"/>
          </w:rPr>
          <w:t>风险测定时应考虑的因素</w:t>
        </w:r>
        <w:r w:rsidRPr="00CA01D9">
          <w:rPr>
            <w:rFonts w:ascii="Arial" w:hAnsi="Arial" w:cs="Arial"/>
            <w:u w:val="single" w:color="000000"/>
            <w:lang w:val="de-DE"/>
          </w:rPr>
          <w:t>”</w:t>
        </w:r>
      </w:hyperlink>
      <w:r w:rsidR="00FC4A7B" w:rsidRPr="00CA01D9">
        <w:rPr>
          <w:rFonts w:ascii="Arial" w:hAnsi="Arial" w:cs="Arial"/>
          <w:lang w:val="de-DE"/>
        </w:rPr>
        <w:t>（</w:t>
      </w:r>
      <w:hyperlink r:id="rId16">
        <w:r w:rsidRPr="00CA01D9">
          <w:rPr>
            <w:rFonts w:ascii="Arial" w:hAnsi="Arial" w:cs="Arial"/>
            <w:color w:val="0000FF"/>
            <w:u w:val="single" w:color="0000FF"/>
            <w:lang w:val="de-DE"/>
          </w:rPr>
          <w:t>http://www.fda.gov/ucm/groups/fdagov-public/@fdagov-meddev</w:t>
        </w:r>
      </w:hyperlink>
      <w:r w:rsidRPr="00CA01D9">
        <w:rPr>
          <w:rFonts w:ascii="Arial" w:hAnsi="Arial" w:cs="Arial"/>
          <w:color w:val="0000FF"/>
          <w:u w:val="single" w:color="0000FF"/>
          <w:lang w:val="de-DE"/>
        </w:rPr>
        <w:t>-</w:t>
      </w:r>
      <w:r w:rsidRPr="00CA01D9">
        <w:rPr>
          <w:rFonts w:ascii="Arial" w:hAnsi="Arial" w:cs="Arial"/>
          <w:color w:val="0000FF"/>
          <w:lang w:val="de-DE"/>
        </w:rPr>
        <w:t xml:space="preserve"> </w:t>
      </w:r>
      <w:hyperlink r:id="rId17">
        <w:r w:rsidRPr="00CA01D9">
          <w:rPr>
            <w:rFonts w:ascii="Arial" w:hAnsi="Arial" w:cs="Arial"/>
            <w:color w:val="0000FF"/>
            <w:u w:val="single" w:color="0000FF"/>
            <w:lang w:val="de-DE"/>
          </w:rPr>
          <w:t>gen/documents/document/ucm517504.pdf</w:t>
        </w:r>
        <w:r w:rsidR="00FC4A7B" w:rsidRPr="00CA01D9">
          <w:rPr>
            <w:rFonts w:ascii="Arial" w:hAnsi="Arial" w:cs="Arial"/>
            <w:lang w:val="de-DE"/>
          </w:rPr>
          <w:t>）</w:t>
        </w:r>
        <w:r w:rsidRPr="00CA01D9">
          <w:rPr>
            <w:rFonts w:ascii="Arial" w:hAnsi="Arial" w:cs="Arial"/>
          </w:rPr>
          <w:t>。</w:t>
        </w:r>
      </w:hyperlink>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FDA</w:t>
      </w:r>
      <w:r w:rsidRPr="00CA01D9">
        <w:rPr>
          <w:rFonts w:ascii="Arial" w:hAnsi="Arial" w:cs="Arial"/>
        </w:rPr>
        <w:t>认为，使用</w:t>
      </w:r>
      <w:proofErr w:type="gramStart"/>
      <w:r w:rsidRPr="00CA01D9">
        <w:rPr>
          <w:rFonts w:ascii="Arial" w:hAnsi="Arial" w:cs="Arial"/>
        </w:rPr>
        <w:t>此收益</w:t>
      </w:r>
      <w:proofErr w:type="gramEnd"/>
      <w:r w:rsidRPr="00CA01D9">
        <w:rPr>
          <w:rFonts w:ascii="Arial" w:hAnsi="Arial" w:cs="Arial"/>
        </w:rPr>
        <w:t>-</w:t>
      </w:r>
      <w:r w:rsidRPr="00CA01D9">
        <w:rPr>
          <w:rFonts w:ascii="Arial" w:hAnsi="Arial" w:cs="Arial"/>
        </w:rPr>
        <w:t>风险框架将有助于结合不同领域（临床、非临床和患者）的证据和知识，以使决策方法更全面，更平衡。</w:t>
      </w:r>
      <w:r w:rsidRPr="00CA01D9">
        <w:rPr>
          <w:rFonts w:ascii="Arial" w:hAnsi="Arial" w:cs="Arial"/>
        </w:rPr>
        <w:t>FDA</w:t>
      </w:r>
      <w:r w:rsidRPr="00CA01D9">
        <w:rPr>
          <w:rFonts w:ascii="Arial" w:hAnsi="Arial" w:cs="Arial"/>
        </w:rPr>
        <w:t>希望，在反复强调可严重影响特定申请的收益</w:t>
      </w:r>
      <w:r w:rsidRPr="00CA01D9">
        <w:rPr>
          <w:rFonts w:ascii="Arial" w:hAnsi="Arial" w:cs="Arial"/>
        </w:rPr>
        <w:t>-</w:t>
      </w:r>
      <w:r w:rsidRPr="00CA01D9">
        <w:rPr>
          <w:rFonts w:ascii="Arial" w:hAnsi="Arial" w:cs="Arial"/>
        </w:rPr>
        <w:t>风险评估的因素以及明确说明此类因素如何影响</w:t>
      </w:r>
      <w:r w:rsidRPr="00CA01D9">
        <w:rPr>
          <w:rFonts w:ascii="Arial" w:hAnsi="Arial" w:cs="Arial"/>
        </w:rPr>
        <w:t>FDA</w:t>
      </w:r>
      <w:r w:rsidRPr="00CA01D9">
        <w:rPr>
          <w:rFonts w:ascii="Arial" w:hAnsi="Arial" w:cs="Arial"/>
        </w:rPr>
        <w:t>的决定后，本指南可促进</w:t>
      </w:r>
      <w:r w:rsidRPr="00CA01D9">
        <w:rPr>
          <w:rFonts w:ascii="Arial" w:hAnsi="Arial" w:cs="Arial"/>
        </w:rPr>
        <w:t>FDA</w:t>
      </w:r>
      <w:r w:rsidRPr="00CA01D9">
        <w:rPr>
          <w:rFonts w:ascii="Arial" w:hAnsi="Arial" w:cs="Arial"/>
        </w:rPr>
        <w:t>与申办方</w:t>
      </w:r>
      <w:r w:rsidRPr="00CA01D9">
        <w:rPr>
          <w:rFonts w:ascii="Arial" w:hAnsi="Arial" w:cs="Arial"/>
        </w:rPr>
        <w:t>/</w:t>
      </w:r>
      <w:r w:rsidRPr="00CA01D9">
        <w:rPr>
          <w:rFonts w:ascii="Arial" w:hAnsi="Arial" w:cs="Arial"/>
        </w:rPr>
        <w:t>申办方研究者之间的共同理解。本指导性文件还将有助于提高</w:t>
      </w:r>
      <w:r w:rsidRPr="00CA01D9">
        <w:rPr>
          <w:rFonts w:ascii="Arial" w:hAnsi="Arial" w:cs="Arial"/>
        </w:rPr>
        <w:t>IDE</w:t>
      </w:r>
      <w:r w:rsidRPr="00CA01D9">
        <w:rPr>
          <w:rFonts w:ascii="Arial" w:hAnsi="Arial" w:cs="Arial"/>
        </w:rPr>
        <w:t>申请审查过程的可预测性、一致性和透明度。</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CA01D9">
      <w:pPr>
        <w:pStyle w:val="a3"/>
        <w:snapToGrid w:val="0"/>
        <w:spacing w:afterLines="100" w:after="240" w:line="300" w:lineRule="auto"/>
        <w:ind w:left="0"/>
        <w:jc w:val="both"/>
        <w:rPr>
          <w:rFonts w:ascii="Arial" w:hAnsi="Arial" w:cs="Arial"/>
        </w:rPr>
      </w:pPr>
      <w:bookmarkStart w:id="3" w:name="SCOPE"/>
      <w:bookmarkStart w:id="4" w:name="INFORMED_CONSENT_AND_IDE_DECISIONS"/>
      <w:bookmarkEnd w:id="3"/>
      <w:bookmarkEnd w:id="4"/>
      <w:r w:rsidRPr="00CA01D9">
        <w:rPr>
          <w:rFonts w:ascii="Arial" w:hAnsi="Arial" w:cs="Arial"/>
        </w:rPr>
        <w:lastRenderedPageBreak/>
        <w:t>FDA</w:t>
      </w:r>
      <w:r w:rsidRPr="00CA01D9">
        <w:rPr>
          <w:rFonts w:ascii="Arial" w:hAnsi="Arial" w:cs="Arial"/>
        </w:rPr>
        <w:t>指导性文件，包括本指导性文件</w:t>
      </w:r>
      <w:r w:rsidR="007210C5" w:rsidRPr="00CA01D9">
        <w:rPr>
          <w:rFonts w:ascii="Arial" w:hAnsi="Arial" w:cs="Arial"/>
        </w:rPr>
        <w:t>在内</w:t>
      </w:r>
      <w:r w:rsidRPr="00CA01D9">
        <w:rPr>
          <w:rFonts w:ascii="Arial" w:hAnsi="Arial" w:cs="Arial"/>
        </w:rPr>
        <w:t>，不构成具有法律强制力的责任。相反，指导性文件表明了本机构</w:t>
      </w:r>
      <w:r w:rsidR="007210C5" w:rsidRPr="00CA01D9">
        <w:rPr>
          <w:rFonts w:ascii="Arial" w:hAnsi="Arial" w:cs="Arial"/>
        </w:rPr>
        <w:t>目前关于</w:t>
      </w:r>
      <w:r w:rsidRPr="00CA01D9">
        <w:rPr>
          <w:rFonts w:ascii="Arial" w:hAnsi="Arial" w:cs="Arial"/>
        </w:rPr>
        <w:t>某一主题的</w:t>
      </w:r>
      <w:r w:rsidR="007210C5" w:rsidRPr="00CA01D9">
        <w:rPr>
          <w:rFonts w:ascii="Arial" w:hAnsi="Arial" w:cs="Arial"/>
        </w:rPr>
        <w:t>思考</w:t>
      </w:r>
      <w:r w:rsidRPr="00CA01D9">
        <w:rPr>
          <w:rFonts w:ascii="Arial" w:hAnsi="Arial" w:cs="Arial"/>
        </w:rPr>
        <w:t>，除非引用具体的法规或法律要求，否则只应视为建议。在本审查机构指南中使用词语</w:t>
      </w:r>
      <w:r w:rsidRPr="00CA01D9">
        <w:rPr>
          <w:rFonts w:ascii="Arial" w:hAnsi="Arial" w:cs="Arial"/>
        </w:rPr>
        <w:t>“</w:t>
      </w:r>
      <w:r w:rsidRPr="00CA01D9">
        <w:rPr>
          <w:rFonts w:ascii="Arial" w:hAnsi="Arial" w:cs="Arial"/>
        </w:rPr>
        <w:t>应</w:t>
      </w:r>
      <w:r w:rsidRPr="00CA01D9">
        <w:rPr>
          <w:rFonts w:ascii="Arial" w:hAnsi="Arial" w:cs="Arial"/>
        </w:rPr>
        <w:t>”</w:t>
      </w:r>
      <w:r w:rsidRPr="00CA01D9">
        <w:rPr>
          <w:rFonts w:ascii="Arial" w:hAnsi="Arial" w:cs="Arial"/>
        </w:rPr>
        <w:t>是指建议或推荐进行某一事项，并非强制要求。</w:t>
      </w:r>
    </w:p>
    <w:p w:rsidR="00A3286A" w:rsidRPr="0019249B" w:rsidRDefault="00635917" w:rsidP="0019249B">
      <w:pPr>
        <w:pStyle w:val="1"/>
        <w:numPr>
          <w:ilvl w:val="0"/>
          <w:numId w:val="17"/>
        </w:numPr>
        <w:tabs>
          <w:tab w:val="left" w:pos="532"/>
        </w:tabs>
        <w:snapToGrid w:val="0"/>
        <w:spacing w:afterLines="100" w:after="240" w:line="300" w:lineRule="auto"/>
        <w:ind w:left="0" w:firstLine="0"/>
        <w:jc w:val="both"/>
        <w:rPr>
          <w:rFonts w:ascii="Arial" w:hAnsi="Arial" w:cs="Arial"/>
          <w:sz w:val="32"/>
          <w:szCs w:val="32"/>
        </w:rPr>
      </w:pPr>
      <w:bookmarkStart w:id="5" w:name="_bookmark3"/>
      <w:bookmarkStart w:id="6" w:name="_Toc498621495"/>
      <w:bookmarkEnd w:id="5"/>
      <w:r w:rsidRPr="0019249B">
        <w:rPr>
          <w:rFonts w:ascii="Arial" w:hAnsi="Arial" w:cs="Arial"/>
          <w:sz w:val="32"/>
          <w:szCs w:val="32"/>
        </w:rPr>
        <w:t>范围</w:t>
      </w:r>
      <w:bookmarkEnd w:id="6"/>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本指导性文件解释了</w:t>
      </w:r>
      <w:r w:rsidRPr="00CA01D9">
        <w:rPr>
          <w:rFonts w:ascii="Arial" w:hAnsi="Arial" w:cs="Arial"/>
        </w:rPr>
        <w:t>FDA</w:t>
      </w:r>
      <w:r w:rsidRPr="00CA01D9">
        <w:rPr>
          <w:rFonts w:ascii="Arial" w:hAnsi="Arial" w:cs="Arial"/>
        </w:rPr>
        <w:t>将在评估某些医疗器械人类临床研究的原始</w:t>
      </w:r>
      <w:r w:rsidRPr="00CA01D9">
        <w:rPr>
          <w:rFonts w:ascii="Arial" w:hAnsi="Arial" w:cs="Arial"/>
        </w:rPr>
        <w:t>IDE</w:t>
      </w:r>
      <w:r w:rsidRPr="00CA01D9">
        <w:rPr>
          <w:rFonts w:ascii="Arial" w:hAnsi="Arial" w:cs="Arial"/>
        </w:rPr>
        <w:t>申请、</w:t>
      </w:r>
      <w:r w:rsidRPr="00CA01D9">
        <w:rPr>
          <w:rFonts w:ascii="Arial" w:hAnsi="Arial" w:cs="Arial"/>
        </w:rPr>
        <w:t>IDE</w:t>
      </w:r>
      <w:r w:rsidRPr="00CA01D9">
        <w:rPr>
          <w:rFonts w:ascii="Arial" w:hAnsi="Arial" w:cs="Arial"/>
        </w:rPr>
        <w:t>修正材料和</w:t>
      </w:r>
      <w:r w:rsidRPr="00CA01D9">
        <w:rPr>
          <w:rFonts w:ascii="Arial" w:hAnsi="Arial" w:cs="Arial"/>
        </w:rPr>
        <w:t>IDE</w:t>
      </w:r>
      <w:r w:rsidRPr="00CA01D9">
        <w:rPr>
          <w:rFonts w:ascii="Arial" w:hAnsi="Arial" w:cs="Arial"/>
        </w:rPr>
        <w:t>补充材料的收益和风险，以确定其安全性和有效性时考虑的主要因素。本指南所述方法适用于符合</w:t>
      </w:r>
      <w:r w:rsidRPr="00CA01D9">
        <w:rPr>
          <w:rFonts w:ascii="Arial" w:hAnsi="Arial" w:cs="Arial"/>
        </w:rPr>
        <w:t>21 CFR</w:t>
      </w:r>
      <w:r w:rsidRPr="00CA01D9">
        <w:rPr>
          <w:rFonts w:ascii="Arial" w:hAnsi="Arial" w:cs="Arial"/>
        </w:rPr>
        <w:t>第</w:t>
      </w:r>
      <w:r w:rsidRPr="00CA01D9">
        <w:rPr>
          <w:rFonts w:ascii="Arial" w:hAnsi="Arial" w:cs="Arial"/>
        </w:rPr>
        <w:t>812</w:t>
      </w:r>
      <w:r w:rsidRPr="00CA01D9">
        <w:rPr>
          <w:rFonts w:ascii="Arial" w:hAnsi="Arial" w:cs="Arial"/>
        </w:rPr>
        <w:t>部分</w:t>
      </w:r>
      <w:r w:rsidRPr="00CA01D9">
        <w:rPr>
          <w:rFonts w:ascii="Arial" w:hAnsi="Arial" w:cs="Arial"/>
        </w:rPr>
        <w:t>IDE</w:t>
      </w:r>
      <w:r w:rsidRPr="00CA01D9">
        <w:rPr>
          <w:rFonts w:ascii="Arial" w:hAnsi="Arial" w:cs="Arial"/>
        </w:rPr>
        <w:t>要求的研究，包括上市后研究。一般来说，使用重大风险器械进行临床研究时，需要提交</w:t>
      </w:r>
      <w:r w:rsidRPr="00CA01D9">
        <w:rPr>
          <w:rFonts w:ascii="Arial" w:hAnsi="Arial" w:cs="Arial"/>
        </w:rPr>
        <w:t>IDE</w:t>
      </w:r>
      <w:r w:rsidRPr="00CA01D9">
        <w:rPr>
          <w:rFonts w:ascii="Arial" w:hAnsi="Arial" w:cs="Arial"/>
        </w:rPr>
        <w:t>申请，以确定其安全性和有效性。</w:t>
      </w:r>
      <w:r w:rsidR="00BD0395">
        <w:rPr>
          <w:rStyle w:val="aa"/>
          <w:rFonts w:ascii="Arial" w:hAnsi="Arial" w:cs="Arial"/>
        </w:rPr>
        <w:footnoteReference w:id="3"/>
      </w:r>
      <w:r w:rsidRPr="00CA01D9">
        <w:rPr>
          <w:rFonts w:ascii="Arial" w:hAnsi="Arial" w:cs="Arial"/>
        </w:rPr>
        <w:t>本指南适用于诊断和治疗器械。本指南并不旨在提供有关器械特定数据或研究要求的建议。</w:t>
      </w:r>
    </w:p>
    <w:p w:rsidR="00A3286A" w:rsidRPr="0019249B" w:rsidRDefault="00635917" w:rsidP="0019249B">
      <w:pPr>
        <w:pStyle w:val="1"/>
        <w:numPr>
          <w:ilvl w:val="0"/>
          <w:numId w:val="17"/>
        </w:numPr>
        <w:tabs>
          <w:tab w:val="left" w:pos="532"/>
        </w:tabs>
        <w:snapToGrid w:val="0"/>
        <w:spacing w:afterLines="100" w:after="240" w:line="300" w:lineRule="auto"/>
        <w:ind w:left="0" w:firstLine="0"/>
        <w:jc w:val="both"/>
        <w:rPr>
          <w:rFonts w:ascii="Arial" w:hAnsi="Arial" w:cs="Arial"/>
          <w:sz w:val="32"/>
          <w:szCs w:val="32"/>
        </w:rPr>
      </w:pPr>
      <w:bookmarkStart w:id="7" w:name="_bookmark4"/>
      <w:bookmarkStart w:id="8" w:name="_Toc498621496"/>
      <w:bookmarkEnd w:id="7"/>
      <w:r w:rsidRPr="0019249B">
        <w:rPr>
          <w:rFonts w:ascii="Arial" w:hAnsi="Arial" w:cs="Arial"/>
          <w:sz w:val="32"/>
          <w:szCs w:val="32"/>
        </w:rPr>
        <w:t>知情同意书和</w:t>
      </w:r>
      <w:r w:rsidRPr="0019249B">
        <w:rPr>
          <w:rFonts w:ascii="Arial" w:hAnsi="Arial" w:cs="Arial"/>
          <w:sz w:val="32"/>
          <w:szCs w:val="32"/>
        </w:rPr>
        <w:t>IDE</w:t>
      </w:r>
      <w:r w:rsidRPr="0019249B">
        <w:rPr>
          <w:rFonts w:ascii="Arial" w:hAnsi="Arial" w:cs="Arial"/>
          <w:sz w:val="32"/>
          <w:szCs w:val="32"/>
        </w:rPr>
        <w:t>决策</w:t>
      </w:r>
      <w:bookmarkEnd w:id="8"/>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w:t>
      </w:r>
      <w:r w:rsidRPr="00CA01D9">
        <w:rPr>
          <w:rFonts w:ascii="Arial" w:hAnsi="Arial" w:cs="Arial"/>
        </w:rPr>
        <w:t>21 CFR</w:t>
      </w:r>
      <w:r w:rsidRPr="00CA01D9">
        <w:rPr>
          <w:rFonts w:ascii="Arial" w:hAnsi="Arial" w:cs="Arial"/>
        </w:rPr>
        <w:t>第</w:t>
      </w:r>
      <w:r w:rsidRPr="00CA01D9">
        <w:rPr>
          <w:rFonts w:ascii="Arial" w:hAnsi="Arial" w:cs="Arial"/>
        </w:rPr>
        <w:t>812</w:t>
      </w:r>
      <w:r w:rsidRPr="00CA01D9">
        <w:rPr>
          <w:rFonts w:ascii="Arial" w:hAnsi="Arial" w:cs="Arial"/>
        </w:rPr>
        <w:t>部分所述，为保护公共卫生和安全并符合伦理标准，</w:t>
      </w:r>
      <w:r w:rsidRPr="00CA01D9">
        <w:rPr>
          <w:rFonts w:ascii="Arial" w:hAnsi="Arial" w:cs="Arial"/>
        </w:rPr>
        <w:t>IDE</w:t>
      </w:r>
      <w:r w:rsidRPr="00CA01D9">
        <w:rPr>
          <w:rFonts w:ascii="Arial" w:hAnsi="Arial" w:cs="Arial"/>
        </w:rPr>
        <w:t>旨在鼓励发现和开发有用的人类使用器械，并尽可能地为追求此目的的科学研究者提供帮助。</w:t>
      </w:r>
      <w:r w:rsidR="00BD0395">
        <w:rPr>
          <w:rStyle w:val="aa"/>
          <w:rFonts w:ascii="Arial" w:hAnsi="Arial" w:cs="Arial"/>
        </w:rPr>
        <w:footnoteReference w:id="4"/>
      </w:r>
      <w:r w:rsidRPr="00CA01D9">
        <w:rPr>
          <w:rFonts w:ascii="Arial" w:hAnsi="Arial" w:cs="Arial"/>
        </w:rPr>
        <w:t>21 CFR</w:t>
      </w:r>
      <w:r w:rsidRPr="00CA01D9">
        <w:rPr>
          <w:rFonts w:ascii="Arial" w:hAnsi="Arial" w:cs="Arial"/>
        </w:rPr>
        <w:t>第</w:t>
      </w:r>
      <w:r w:rsidRPr="00CA01D9">
        <w:rPr>
          <w:rFonts w:ascii="Arial" w:hAnsi="Arial" w:cs="Arial"/>
        </w:rPr>
        <w:t>812</w:t>
      </w:r>
      <w:r w:rsidRPr="00CA01D9">
        <w:rPr>
          <w:rFonts w:ascii="Arial" w:hAnsi="Arial" w:cs="Arial"/>
        </w:rPr>
        <w:t>部分适用于</w:t>
      </w:r>
      <w:proofErr w:type="gramStart"/>
      <w:r w:rsidRPr="00CA01D9">
        <w:rPr>
          <w:rFonts w:ascii="Arial" w:hAnsi="Arial" w:cs="Arial"/>
        </w:rPr>
        <w:t>所有用于</w:t>
      </w:r>
      <w:proofErr w:type="gramEnd"/>
      <w:r w:rsidRPr="00CA01D9">
        <w:rPr>
          <w:rFonts w:ascii="Arial" w:hAnsi="Arial" w:cs="Arial"/>
        </w:rPr>
        <w:t>确定安全性和有效性的器械临床研究，例外情况见</w:t>
      </w:r>
      <w:r w:rsidRPr="00CA01D9">
        <w:rPr>
          <w:rFonts w:ascii="Arial" w:hAnsi="Arial" w:cs="Arial"/>
        </w:rPr>
        <w:t>21 CFR 812.2</w:t>
      </w:r>
      <w:r w:rsidRPr="00CA01D9">
        <w:rPr>
          <w:rFonts w:ascii="Arial" w:hAnsi="Arial" w:cs="Arial"/>
        </w:rPr>
        <w:t>（</w:t>
      </w:r>
      <w:r w:rsidRPr="00CA01D9">
        <w:rPr>
          <w:rFonts w:ascii="Arial" w:hAnsi="Arial" w:cs="Arial"/>
        </w:rPr>
        <w:t>c</w:t>
      </w:r>
      <w:r w:rsidRPr="00CA01D9">
        <w:rPr>
          <w:rFonts w:ascii="Arial" w:hAnsi="Arial" w:cs="Arial"/>
        </w:rPr>
        <w:t>）。</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如果美国临床研究涉及尚未批准或许可用于所研究的适应症的重大风险器械，则在开始研究之前通常需要提交</w:t>
      </w:r>
      <w:r w:rsidRPr="00CA01D9">
        <w:rPr>
          <w:rFonts w:ascii="Arial" w:hAnsi="Arial" w:cs="Arial"/>
        </w:rPr>
        <w:t>IDE</w:t>
      </w:r>
      <w:r w:rsidRPr="00CA01D9">
        <w:rPr>
          <w:rFonts w:ascii="Arial" w:hAnsi="Arial" w:cs="Arial"/>
        </w:rPr>
        <w:t>申请供</w:t>
      </w:r>
      <w:r w:rsidRPr="00CA01D9">
        <w:rPr>
          <w:rFonts w:ascii="Arial" w:hAnsi="Arial" w:cs="Arial"/>
        </w:rPr>
        <w:t>FDA</w:t>
      </w:r>
      <w:r w:rsidRPr="00CA01D9">
        <w:rPr>
          <w:rFonts w:ascii="Arial" w:hAnsi="Arial" w:cs="Arial"/>
        </w:rPr>
        <w:t>批准。</w:t>
      </w:r>
      <w:r w:rsidR="00BD0395">
        <w:rPr>
          <w:rStyle w:val="aa"/>
          <w:rFonts w:ascii="Arial" w:hAnsi="Arial" w:cs="Arial"/>
        </w:rPr>
        <w:footnoteReference w:id="5"/>
      </w:r>
      <w:r w:rsidRPr="00CA01D9">
        <w:rPr>
          <w:rFonts w:ascii="Arial" w:hAnsi="Arial" w:cs="Arial"/>
        </w:rPr>
        <w:t>根据</w:t>
      </w:r>
      <w:r w:rsidRPr="00CA01D9">
        <w:rPr>
          <w:rFonts w:ascii="Arial" w:hAnsi="Arial" w:cs="Arial"/>
        </w:rPr>
        <w:t>21 CFR 812.3</w:t>
      </w:r>
      <w:r w:rsidRPr="00CA01D9">
        <w:rPr>
          <w:rFonts w:ascii="Arial" w:hAnsi="Arial" w:cs="Arial"/>
        </w:rPr>
        <w:t>（</w:t>
      </w:r>
      <w:r w:rsidRPr="00CA01D9">
        <w:rPr>
          <w:rFonts w:ascii="Arial" w:hAnsi="Arial" w:cs="Arial"/>
        </w:rPr>
        <w:t>m</w:t>
      </w:r>
      <w:r w:rsidRPr="00CA01D9">
        <w:rPr>
          <w:rFonts w:ascii="Arial" w:hAnsi="Arial" w:cs="Arial"/>
        </w:rPr>
        <w:t>），重大风险器械是指：</w:t>
      </w:r>
    </w:p>
    <w:p w:rsidR="00A3286A" w:rsidRPr="00CA01D9" w:rsidRDefault="00635917" w:rsidP="00BD0395">
      <w:pPr>
        <w:pStyle w:val="a4"/>
        <w:numPr>
          <w:ilvl w:val="0"/>
          <w:numId w:val="16"/>
        </w:numPr>
        <w:tabs>
          <w:tab w:val="left" w:pos="480"/>
        </w:tabs>
        <w:snapToGrid w:val="0"/>
        <w:spacing w:line="300" w:lineRule="auto"/>
        <w:ind w:left="357" w:hanging="357"/>
        <w:jc w:val="both"/>
        <w:rPr>
          <w:rFonts w:ascii="Arial" w:eastAsia="宋体" w:hAnsi="Arial" w:cs="Arial"/>
          <w:sz w:val="24"/>
          <w:szCs w:val="24"/>
        </w:rPr>
      </w:pPr>
      <w:r w:rsidRPr="00CA01D9">
        <w:rPr>
          <w:rFonts w:ascii="Arial" w:eastAsia="宋体" w:hAnsi="Arial" w:cs="Arial"/>
          <w:sz w:val="24"/>
          <w:szCs w:val="24"/>
        </w:rPr>
        <w:t>旨在作为植入物，但可能给受试者的健康、安全或福利带来严重风险的研究器械</w:t>
      </w:r>
      <w:r w:rsidR="009D40D7" w:rsidRPr="00CA01D9">
        <w:rPr>
          <w:rFonts w:ascii="Arial" w:eastAsia="宋体" w:hAnsi="Arial" w:cs="Arial"/>
          <w:sz w:val="24"/>
          <w:szCs w:val="24"/>
        </w:rPr>
        <w:t>；</w:t>
      </w:r>
    </w:p>
    <w:p w:rsidR="00A3286A" w:rsidRPr="00CA01D9" w:rsidRDefault="00635917" w:rsidP="00BD0395">
      <w:pPr>
        <w:pStyle w:val="a4"/>
        <w:numPr>
          <w:ilvl w:val="0"/>
          <w:numId w:val="16"/>
        </w:numPr>
        <w:tabs>
          <w:tab w:val="left" w:pos="480"/>
        </w:tabs>
        <w:snapToGrid w:val="0"/>
        <w:spacing w:line="300" w:lineRule="auto"/>
        <w:ind w:left="357" w:hanging="357"/>
        <w:jc w:val="both"/>
        <w:rPr>
          <w:rFonts w:ascii="Arial" w:eastAsia="宋体" w:hAnsi="Arial" w:cs="Arial"/>
          <w:sz w:val="24"/>
          <w:szCs w:val="24"/>
        </w:rPr>
      </w:pPr>
      <w:r w:rsidRPr="00CA01D9">
        <w:rPr>
          <w:rFonts w:ascii="Arial" w:eastAsia="宋体" w:hAnsi="Arial" w:cs="Arial"/>
          <w:sz w:val="24"/>
          <w:szCs w:val="24"/>
        </w:rPr>
        <w:t>旨在用于或声称可用于支持或维持人的生命，但可能给受试者的健康、安全或福利带来严重风险的研究器械</w:t>
      </w:r>
      <w:r w:rsidR="009D40D7" w:rsidRPr="00CA01D9">
        <w:rPr>
          <w:rFonts w:ascii="Arial" w:eastAsia="宋体" w:hAnsi="Arial" w:cs="Arial"/>
          <w:sz w:val="24"/>
          <w:szCs w:val="24"/>
        </w:rPr>
        <w:t>；</w:t>
      </w:r>
    </w:p>
    <w:p w:rsidR="00A3286A" w:rsidRPr="00CA01D9" w:rsidRDefault="00635917" w:rsidP="00BD0395">
      <w:pPr>
        <w:pStyle w:val="a4"/>
        <w:numPr>
          <w:ilvl w:val="0"/>
          <w:numId w:val="16"/>
        </w:numPr>
        <w:tabs>
          <w:tab w:val="left" w:pos="480"/>
        </w:tabs>
        <w:snapToGrid w:val="0"/>
        <w:spacing w:line="300" w:lineRule="auto"/>
        <w:ind w:left="357" w:hanging="357"/>
        <w:jc w:val="both"/>
        <w:rPr>
          <w:rFonts w:ascii="Arial" w:eastAsia="宋体" w:hAnsi="Arial" w:cs="Arial"/>
          <w:sz w:val="24"/>
          <w:szCs w:val="24"/>
        </w:rPr>
      </w:pPr>
      <w:r w:rsidRPr="00CA01D9">
        <w:rPr>
          <w:rFonts w:ascii="Arial" w:eastAsia="宋体" w:hAnsi="Arial" w:cs="Arial"/>
          <w:sz w:val="24"/>
          <w:szCs w:val="24"/>
        </w:rPr>
        <w:t>可帮助诊断、治愈、减轻或治疗疾病或以其他方式预防人类健康损害，但可能给受试者的健康、安全或福利带来严重风险的研究器械</w:t>
      </w:r>
      <w:r w:rsidR="009D40D7" w:rsidRPr="00CA01D9">
        <w:rPr>
          <w:rFonts w:ascii="Arial" w:eastAsia="宋体" w:hAnsi="Arial" w:cs="Arial"/>
          <w:sz w:val="24"/>
          <w:szCs w:val="24"/>
        </w:rPr>
        <w:t>；</w:t>
      </w:r>
      <w:r w:rsidRPr="00CA01D9">
        <w:rPr>
          <w:rFonts w:ascii="Arial" w:eastAsia="宋体" w:hAnsi="Arial" w:cs="Arial"/>
          <w:sz w:val="24"/>
          <w:szCs w:val="24"/>
        </w:rPr>
        <w:t xml:space="preserve"> </w:t>
      </w:r>
      <w:r w:rsidRPr="00CA01D9">
        <w:rPr>
          <w:rFonts w:ascii="Arial" w:eastAsia="宋体" w:hAnsi="Arial" w:cs="Arial"/>
          <w:sz w:val="24"/>
          <w:szCs w:val="24"/>
        </w:rPr>
        <w:t>或</w:t>
      </w:r>
    </w:p>
    <w:p w:rsidR="00A3286A" w:rsidRPr="00CA01D9" w:rsidRDefault="00635917" w:rsidP="00BD0395">
      <w:pPr>
        <w:pStyle w:val="a4"/>
        <w:numPr>
          <w:ilvl w:val="0"/>
          <w:numId w:val="16"/>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lastRenderedPageBreak/>
        <w:t>以其他方式给受试者的健康、安全或福利带来严重风险的研究器械。</w:t>
      </w:r>
    </w:p>
    <w:p w:rsidR="00A3286A" w:rsidRPr="00CA01D9" w:rsidRDefault="00635917" w:rsidP="00CA01D9">
      <w:pPr>
        <w:pStyle w:val="a3"/>
        <w:snapToGrid w:val="0"/>
        <w:spacing w:afterLines="100" w:after="240" w:line="300" w:lineRule="auto"/>
        <w:ind w:left="0"/>
        <w:jc w:val="both"/>
        <w:rPr>
          <w:rFonts w:ascii="Arial" w:hAnsi="Arial" w:cs="Arial"/>
        </w:rPr>
      </w:pPr>
      <w:bookmarkStart w:id="9" w:name="Informed_Consent"/>
      <w:bookmarkEnd w:id="9"/>
      <w:r w:rsidRPr="00CA01D9">
        <w:rPr>
          <w:rFonts w:ascii="Arial" w:hAnsi="Arial" w:cs="Arial"/>
        </w:rPr>
        <w:t>IDE</w:t>
      </w:r>
      <w:r w:rsidRPr="00CA01D9">
        <w:rPr>
          <w:rFonts w:ascii="Arial" w:hAnsi="Arial" w:cs="Arial"/>
        </w:rPr>
        <w:t>申请获得批准后，研究申办方可豁免联邦食品、药品和化妆品法案（</w:t>
      </w:r>
      <w:r w:rsidRPr="00CA01D9">
        <w:rPr>
          <w:rFonts w:ascii="Arial" w:hAnsi="Arial" w:cs="Arial"/>
        </w:rPr>
        <w:t>FD</w:t>
      </w:r>
      <w:r w:rsidRPr="00CA01D9">
        <w:rPr>
          <w:rFonts w:ascii="Arial" w:hAnsi="Arial" w:cs="Arial"/>
        </w:rPr>
        <w:t>＆</w:t>
      </w:r>
      <w:r w:rsidRPr="00CA01D9">
        <w:rPr>
          <w:rFonts w:ascii="Arial" w:hAnsi="Arial" w:cs="Arial"/>
        </w:rPr>
        <w:t>C</w:t>
      </w:r>
      <w:r w:rsidRPr="00CA01D9">
        <w:rPr>
          <w:rFonts w:ascii="Arial" w:hAnsi="Arial" w:cs="Arial"/>
        </w:rPr>
        <w:t>法案）的某些规定（如上市提交材料的一些要求和良好制造规范）。但是，</w:t>
      </w:r>
      <w:r w:rsidRPr="00CA01D9">
        <w:rPr>
          <w:rFonts w:ascii="Arial" w:hAnsi="Arial" w:cs="Arial"/>
        </w:rPr>
        <w:t>IDE</w:t>
      </w:r>
      <w:r w:rsidRPr="00CA01D9">
        <w:rPr>
          <w:rFonts w:ascii="Arial" w:hAnsi="Arial" w:cs="Arial"/>
        </w:rPr>
        <w:t>研究必须符合</w:t>
      </w:r>
      <w:r w:rsidRPr="00CA01D9">
        <w:rPr>
          <w:rFonts w:ascii="Arial" w:hAnsi="Arial" w:cs="Arial"/>
        </w:rPr>
        <w:t>21 CFR</w:t>
      </w:r>
      <w:r w:rsidRPr="00CA01D9">
        <w:rPr>
          <w:rFonts w:ascii="Arial" w:hAnsi="Arial" w:cs="Arial"/>
        </w:rPr>
        <w:t>第</w:t>
      </w:r>
      <w:r w:rsidRPr="00CA01D9">
        <w:rPr>
          <w:rFonts w:ascii="Arial" w:hAnsi="Arial" w:cs="Arial"/>
        </w:rPr>
        <w:t>812</w:t>
      </w:r>
      <w:r w:rsidRPr="00CA01D9">
        <w:rPr>
          <w:rFonts w:ascii="Arial" w:hAnsi="Arial" w:cs="Arial"/>
        </w:rPr>
        <w:t>部分中规定的适用要求，包括</w:t>
      </w:r>
      <w:r w:rsidRPr="00CA01D9">
        <w:rPr>
          <w:rFonts w:ascii="Arial" w:hAnsi="Arial" w:cs="Arial"/>
        </w:rPr>
        <w:t>21 CFR</w:t>
      </w:r>
      <w:r w:rsidRPr="00CA01D9">
        <w:rPr>
          <w:rFonts w:ascii="Arial" w:hAnsi="Arial" w:cs="Arial"/>
        </w:rPr>
        <w:t>第</w:t>
      </w:r>
      <w:r w:rsidRPr="00CA01D9">
        <w:rPr>
          <w:rFonts w:ascii="Arial" w:hAnsi="Arial" w:cs="Arial"/>
        </w:rPr>
        <w:t>50</w:t>
      </w:r>
      <w:r w:rsidRPr="00CA01D9">
        <w:rPr>
          <w:rFonts w:ascii="Arial" w:hAnsi="Arial" w:cs="Arial"/>
        </w:rPr>
        <w:t>部分的知情同意书要求，将器械标记为仅供临床研究使用的要求，研究监测、记录和报告要求，以及机构审查委员会（</w:t>
      </w:r>
      <w:r w:rsidRPr="00CA01D9">
        <w:rPr>
          <w:rFonts w:ascii="Arial" w:hAnsi="Arial" w:cs="Arial"/>
        </w:rPr>
        <w:t>IRB</w:t>
      </w:r>
      <w:r w:rsidRPr="00CA01D9">
        <w:rPr>
          <w:rFonts w:ascii="Arial" w:hAnsi="Arial" w:cs="Arial"/>
        </w:rPr>
        <w:t>）根据</w:t>
      </w:r>
      <w:r w:rsidRPr="00CA01D9">
        <w:rPr>
          <w:rFonts w:ascii="Arial" w:hAnsi="Arial" w:cs="Arial"/>
        </w:rPr>
        <w:t>21 CFR</w:t>
      </w:r>
      <w:r w:rsidRPr="00CA01D9">
        <w:rPr>
          <w:rFonts w:ascii="Arial" w:hAnsi="Arial" w:cs="Arial"/>
        </w:rPr>
        <w:t>第</w:t>
      </w:r>
      <w:r w:rsidRPr="00CA01D9">
        <w:rPr>
          <w:rFonts w:ascii="Arial" w:hAnsi="Arial" w:cs="Arial"/>
        </w:rPr>
        <w:t>56</w:t>
      </w:r>
      <w:r w:rsidRPr="00CA01D9">
        <w:rPr>
          <w:rFonts w:ascii="Arial" w:hAnsi="Arial" w:cs="Arial"/>
        </w:rPr>
        <w:t>部分进行批准的要求。</w:t>
      </w:r>
      <w:r w:rsidR="00BD0395">
        <w:rPr>
          <w:rStyle w:val="aa"/>
          <w:rFonts w:ascii="Arial" w:hAnsi="Arial" w:cs="Arial"/>
        </w:rPr>
        <w:footnoteReference w:id="6"/>
      </w:r>
    </w:p>
    <w:p w:rsidR="00A3286A" w:rsidRPr="00CA01D9" w:rsidRDefault="00635917" w:rsidP="00BD0395">
      <w:pPr>
        <w:pStyle w:val="2"/>
        <w:numPr>
          <w:ilvl w:val="0"/>
          <w:numId w:val="15"/>
        </w:numPr>
        <w:tabs>
          <w:tab w:val="left" w:pos="840"/>
        </w:tabs>
        <w:snapToGrid w:val="0"/>
        <w:spacing w:afterLines="100" w:after="240" w:line="300" w:lineRule="auto"/>
        <w:ind w:left="720"/>
        <w:jc w:val="both"/>
        <w:rPr>
          <w:rFonts w:ascii="Arial" w:hAnsi="Arial" w:cs="Arial"/>
          <w:b w:val="0"/>
          <w:bCs w:val="0"/>
          <w:i w:val="0"/>
        </w:rPr>
      </w:pPr>
      <w:bookmarkStart w:id="10" w:name="_bookmark8"/>
      <w:bookmarkStart w:id="11" w:name="_Toc498621497"/>
      <w:bookmarkEnd w:id="10"/>
      <w:r w:rsidRPr="00CA01D9">
        <w:rPr>
          <w:rFonts w:ascii="Arial" w:hAnsi="Arial" w:cs="Arial"/>
        </w:rPr>
        <w:t>知情同意</w:t>
      </w:r>
      <w:bookmarkEnd w:id="11"/>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FDA</w:t>
      </w:r>
      <w:r w:rsidRPr="00CA01D9">
        <w:rPr>
          <w:rFonts w:ascii="Arial" w:hAnsi="Arial" w:cs="Arial"/>
        </w:rPr>
        <w:t>的</w:t>
      </w:r>
      <w:r w:rsidRPr="00CA01D9">
        <w:rPr>
          <w:rFonts w:ascii="Arial" w:hAnsi="Arial" w:cs="Arial"/>
        </w:rPr>
        <w:t>IDE</w:t>
      </w:r>
      <w:r w:rsidRPr="00CA01D9">
        <w:rPr>
          <w:rFonts w:ascii="Arial" w:hAnsi="Arial" w:cs="Arial"/>
        </w:rPr>
        <w:t>收益</w:t>
      </w:r>
      <w:r w:rsidRPr="00CA01D9">
        <w:rPr>
          <w:rFonts w:ascii="Arial" w:hAnsi="Arial" w:cs="Arial"/>
        </w:rPr>
        <w:t>-</w:t>
      </w:r>
      <w:r w:rsidRPr="00CA01D9">
        <w:rPr>
          <w:rFonts w:ascii="Arial" w:hAnsi="Arial" w:cs="Arial"/>
        </w:rPr>
        <w:t>风险框架的关键宗旨是适当保护</w:t>
      </w:r>
      <w:r w:rsidR="009D40D7" w:rsidRPr="00CA01D9">
        <w:rPr>
          <w:rFonts w:ascii="Arial" w:hAnsi="Arial" w:cs="Arial"/>
        </w:rPr>
        <w:t>受试者</w:t>
      </w:r>
      <w:r w:rsidRPr="00CA01D9">
        <w:rPr>
          <w:rFonts w:ascii="Arial" w:hAnsi="Arial" w:cs="Arial"/>
        </w:rPr>
        <w:t>，而临床研究中</w:t>
      </w:r>
      <w:r w:rsidR="009D40D7" w:rsidRPr="00CA01D9">
        <w:rPr>
          <w:rFonts w:ascii="Arial" w:hAnsi="Arial" w:cs="Arial"/>
        </w:rPr>
        <w:t>受试者</w:t>
      </w:r>
      <w:r w:rsidRPr="00CA01D9">
        <w:rPr>
          <w:rFonts w:ascii="Arial" w:hAnsi="Arial" w:cs="Arial"/>
        </w:rPr>
        <w:t>保护的关键原则就是知情同意过程。</w:t>
      </w:r>
      <w:r w:rsidR="00BD0395">
        <w:rPr>
          <w:rStyle w:val="aa"/>
          <w:rFonts w:ascii="Arial" w:hAnsi="Arial" w:cs="Arial"/>
        </w:rPr>
        <w:footnoteReference w:id="7"/>
      </w:r>
      <w:r w:rsidRPr="00CA01D9">
        <w:rPr>
          <w:rFonts w:ascii="Arial" w:hAnsi="Arial" w:cs="Arial"/>
        </w:rPr>
        <w:t>此过程不仅仅只需要受试者签署知情同意书。知情同意过程会向潜在受试者或其法定授权代表提供有关研究的充分信息，包括研究器械、其风险和收益、替代方案以及受试者在参与研究前需满足的条件的相关信息（例如，研究探访、程序、维护受试者日记）。</w:t>
      </w:r>
      <w:r w:rsidR="00BD0395">
        <w:rPr>
          <w:rStyle w:val="aa"/>
          <w:rFonts w:ascii="Arial" w:hAnsi="Arial" w:cs="Arial"/>
        </w:rPr>
        <w:footnoteReference w:id="8"/>
      </w:r>
      <w:r w:rsidRPr="00CA01D9">
        <w:rPr>
          <w:rFonts w:ascii="Arial" w:hAnsi="Arial" w:cs="Arial"/>
        </w:rPr>
        <w:t>必须向受试者或其合法授权代表提供足够机会，以便其受到最小强迫货不正当影响的情况下决定是否在参与临床研究。</w:t>
      </w:r>
      <w:r w:rsidR="00BD0395">
        <w:rPr>
          <w:rStyle w:val="aa"/>
          <w:rFonts w:ascii="Arial" w:hAnsi="Arial" w:cs="Arial"/>
        </w:rPr>
        <w:footnoteReference w:id="9"/>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知情同意过程应允许个体针对受试者的潜在预期收益以及可获得知识的重要性决定是否接受与研究相关的潜在风险。知情同意过程应允许个体在权衡其他因素（包括合理的预期收益和研究的替代方案）后，自行承担风险。</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知情同意过程应确保每个个体在获得研究相关信息之后决定是否参与研究，包括参与研究的风险和收益，以及不会获得直接收益的可能性（如果适用）。</w:t>
      </w:r>
      <w:r w:rsidRPr="00CA01D9">
        <w:rPr>
          <w:rFonts w:ascii="Arial" w:hAnsi="Arial" w:cs="Arial"/>
        </w:rPr>
        <w:t>FDA</w:t>
      </w:r>
      <w:r w:rsidRPr="00CA01D9">
        <w:rPr>
          <w:rFonts w:ascii="Arial" w:hAnsi="Arial" w:cs="Arial"/>
        </w:rPr>
        <w:t>监管的临床研究中</w:t>
      </w:r>
      <w:r w:rsidR="009D40D7" w:rsidRPr="00CA01D9">
        <w:rPr>
          <w:rFonts w:ascii="Arial" w:hAnsi="Arial" w:cs="Arial"/>
        </w:rPr>
        <w:t>受试者</w:t>
      </w:r>
      <w:r w:rsidRPr="00CA01D9">
        <w:rPr>
          <w:rFonts w:ascii="Arial" w:hAnsi="Arial" w:cs="Arial"/>
        </w:rPr>
        <w:t>保护的知情同意相关信息见</w:t>
      </w:r>
      <w:r w:rsidRPr="00CA01D9">
        <w:rPr>
          <w:rFonts w:ascii="Arial" w:hAnsi="Arial" w:cs="Arial"/>
        </w:rPr>
        <w:t>21 CFR</w:t>
      </w:r>
      <w:r w:rsidRPr="00CA01D9">
        <w:rPr>
          <w:rFonts w:ascii="Arial" w:hAnsi="Arial" w:cs="Arial"/>
        </w:rPr>
        <w:t>第</w:t>
      </w:r>
      <w:r w:rsidRPr="00CA01D9">
        <w:rPr>
          <w:rFonts w:ascii="Arial" w:hAnsi="Arial" w:cs="Arial"/>
        </w:rPr>
        <w:t>50</w:t>
      </w:r>
      <w:r w:rsidRPr="00CA01D9">
        <w:rPr>
          <w:rFonts w:ascii="Arial" w:hAnsi="Arial" w:cs="Arial"/>
        </w:rPr>
        <w:t>部分的知情同意法规。例如，</w:t>
      </w:r>
      <w:r w:rsidRPr="00CA01D9">
        <w:rPr>
          <w:rFonts w:ascii="Arial" w:hAnsi="Arial" w:cs="Arial"/>
        </w:rPr>
        <w:t>21 CFR 50.20</w:t>
      </w:r>
      <w:r w:rsidRPr="00CA01D9">
        <w:rPr>
          <w:rFonts w:ascii="Arial" w:hAnsi="Arial" w:cs="Arial"/>
        </w:rPr>
        <w:t>规定：</w:t>
      </w:r>
    </w:p>
    <w:p w:rsidR="00A3286A" w:rsidRPr="00CA01D9" w:rsidRDefault="0063591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i/>
          <w:sz w:val="24"/>
          <w:szCs w:val="24"/>
        </w:rPr>
        <w:t>“</w:t>
      </w:r>
      <w:r w:rsidRPr="00CA01D9">
        <w:rPr>
          <w:rFonts w:ascii="Arial" w:eastAsia="宋体" w:hAnsi="Arial" w:cs="Arial"/>
          <w:i/>
          <w:sz w:val="24"/>
          <w:szCs w:val="24"/>
        </w:rPr>
        <w:t>除</w:t>
      </w:r>
      <w:r w:rsidRPr="00CA01D9">
        <w:rPr>
          <w:rFonts w:ascii="Arial" w:eastAsia="宋体" w:hAnsi="Arial" w:cs="Arial"/>
          <w:i/>
          <w:sz w:val="24"/>
          <w:szCs w:val="24"/>
        </w:rPr>
        <w:t>50.23</w:t>
      </w:r>
      <w:r w:rsidRPr="00CA01D9">
        <w:rPr>
          <w:rFonts w:ascii="Arial" w:eastAsia="宋体" w:hAnsi="Arial" w:cs="Arial"/>
          <w:i/>
          <w:sz w:val="24"/>
          <w:szCs w:val="24"/>
        </w:rPr>
        <w:t>和</w:t>
      </w:r>
      <w:r w:rsidRPr="00CA01D9">
        <w:rPr>
          <w:rFonts w:ascii="Arial" w:eastAsia="宋体" w:hAnsi="Arial" w:cs="Arial"/>
          <w:i/>
          <w:sz w:val="24"/>
          <w:szCs w:val="24"/>
        </w:rPr>
        <w:t>50.24</w:t>
      </w:r>
      <w:r w:rsidRPr="00CA01D9">
        <w:rPr>
          <w:rFonts w:ascii="Arial" w:eastAsia="宋体" w:hAnsi="Arial" w:cs="Arial"/>
          <w:i/>
          <w:sz w:val="24"/>
          <w:szCs w:val="24"/>
        </w:rPr>
        <w:t>另有规定，如果研究者未从受试者或受试者的法定授权代表处获得具有法律效力的知情同意书，则其不得将人类作为</w:t>
      </w:r>
      <w:r w:rsidR="00C420C7" w:rsidRPr="00CA01D9">
        <w:rPr>
          <w:rFonts w:ascii="Arial" w:eastAsia="宋体" w:hAnsi="Arial" w:cs="Arial"/>
          <w:i/>
          <w:sz w:val="24"/>
          <w:szCs w:val="24"/>
        </w:rPr>
        <w:t>研究受试者</w:t>
      </w:r>
      <w:r w:rsidRPr="00CA01D9">
        <w:rPr>
          <w:rFonts w:ascii="Arial" w:eastAsia="宋体" w:hAnsi="Arial" w:cs="Arial"/>
          <w:i/>
          <w:sz w:val="24"/>
          <w:szCs w:val="24"/>
        </w:rPr>
        <w:t>。</w:t>
      </w:r>
      <w:r w:rsidRPr="00CA01D9">
        <w:rPr>
          <w:rFonts w:ascii="Arial" w:eastAsia="宋体" w:hAnsi="Arial" w:cs="Arial"/>
          <w:i/>
          <w:sz w:val="24"/>
          <w:szCs w:val="24"/>
        </w:rPr>
        <w:t>”</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CA01D9">
      <w:pPr>
        <w:pStyle w:val="a3"/>
        <w:snapToGrid w:val="0"/>
        <w:spacing w:afterLines="100" w:after="240" w:line="300" w:lineRule="auto"/>
        <w:ind w:left="0"/>
        <w:jc w:val="both"/>
        <w:rPr>
          <w:rFonts w:ascii="Arial" w:hAnsi="Arial" w:cs="Arial"/>
        </w:rPr>
      </w:pPr>
      <w:bookmarkStart w:id="12" w:name="Regulatory_Standard_for_IDE_Decisions"/>
      <w:bookmarkEnd w:id="12"/>
      <w:r w:rsidRPr="00CA01D9">
        <w:rPr>
          <w:rFonts w:ascii="Arial" w:hAnsi="Arial" w:cs="Arial"/>
        </w:rPr>
        <w:lastRenderedPageBreak/>
        <w:t>此外，</w:t>
      </w:r>
      <w:r w:rsidRPr="00CA01D9">
        <w:rPr>
          <w:rFonts w:ascii="Arial" w:hAnsi="Arial" w:cs="Arial"/>
        </w:rPr>
        <w:t>21 CFR 50.25</w:t>
      </w:r>
      <w:r w:rsidRPr="00CA01D9">
        <w:rPr>
          <w:rFonts w:ascii="Arial" w:hAnsi="Arial" w:cs="Arial"/>
        </w:rPr>
        <w:t>（</w:t>
      </w:r>
      <w:r w:rsidRPr="00CA01D9">
        <w:rPr>
          <w:rFonts w:ascii="Arial" w:hAnsi="Arial" w:cs="Arial"/>
        </w:rPr>
        <w:t>a</w:t>
      </w:r>
      <w:r w:rsidRPr="00CA01D9">
        <w:rPr>
          <w:rFonts w:ascii="Arial" w:hAnsi="Arial" w:cs="Arial"/>
        </w:rPr>
        <w:t>）（</w:t>
      </w:r>
      <w:r w:rsidRPr="00CA01D9">
        <w:rPr>
          <w:rFonts w:ascii="Arial" w:hAnsi="Arial" w:cs="Arial"/>
        </w:rPr>
        <w:t>2</w:t>
      </w:r>
      <w:r w:rsidRPr="00CA01D9">
        <w:rPr>
          <w:rFonts w:ascii="Arial" w:hAnsi="Arial" w:cs="Arial"/>
        </w:rPr>
        <w:t>）规定，知情同意书必须</w:t>
      </w:r>
      <w:r w:rsidRPr="00CA01D9">
        <w:rPr>
          <w:rFonts w:ascii="Arial" w:hAnsi="Arial" w:cs="Arial"/>
        </w:rPr>
        <w:t>“</w:t>
      </w:r>
      <w:r w:rsidRPr="00CA01D9">
        <w:rPr>
          <w:rFonts w:ascii="Arial" w:hAnsi="Arial" w:cs="Arial"/>
        </w:rPr>
        <w:t>描述给受试者带来的任何合理的可预见风险或不适。</w:t>
      </w:r>
    </w:p>
    <w:p w:rsidR="00A3286A" w:rsidRPr="00CA01D9" w:rsidRDefault="00635917" w:rsidP="00BD0395">
      <w:pPr>
        <w:pStyle w:val="2"/>
        <w:numPr>
          <w:ilvl w:val="0"/>
          <w:numId w:val="15"/>
        </w:numPr>
        <w:tabs>
          <w:tab w:val="left" w:pos="840"/>
        </w:tabs>
        <w:snapToGrid w:val="0"/>
        <w:spacing w:afterLines="100" w:after="240" w:line="300" w:lineRule="auto"/>
        <w:ind w:left="720"/>
        <w:jc w:val="both"/>
        <w:rPr>
          <w:rFonts w:ascii="Arial" w:hAnsi="Arial" w:cs="Arial"/>
          <w:b w:val="0"/>
          <w:bCs w:val="0"/>
          <w:i w:val="0"/>
        </w:rPr>
      </w:pPr>
      <w:bookmarkStart w:id="13" w:name="_bookmark13"/>
      <w:bookmarkStart w:id="14" w:name="_Toc498621498"/>
      <w:bookmarkEnd w:id="13"/>
      <w:r w:rsidRPr="00CA01D9">
        <w:rPr>
          <w:rFonts w:ascii="Arial" w:hAnsi="Arial" w:cs="Arial"/>
        </w:rPr>
        <w:t>IDE</w:t>
      </w:r>
      <w:r w:rsidRPr="00CA01D9">
        <w:rPr>
          <w:rFonts w:ascii="Arial" w:hAnsi="Arial" w:cs="Arial"/>
        </w:rPr>
        <w:t>决策的监管标准</w:t>
      </w:r>
      <w:bookmarkEnd w:id="14"/>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根据</w:t>
      </w:r>
      <w:r w:rsidRPr="00CA01D9">
        <w:rPr>
          <w:rFonts w:ascii="Arial" w:hAnsi="Arial" w:cs="Arial"/>
        </w:rPr>
        <w:t>FD</w:t>
      </w:r>
      <w:r w:rsidRPr="00CA01D9">
        <w:rPr>
          <w:rFonts w:ascii="Arial" w:hAnsi="Arial" w:cs="Arial"/>
        </w:rPr>
        <w:t>＆</w:t>
      </w:r>
      <w:r w:rsidRPr="00CA01D9">
        <w:rPr>
          <w:rFonts w:ascii="Arial" w:hAnsi="Arial" w:cs="Arial"/>
        </w:rPr>
        <w:t>C</w:t>
      </w:r>
      <w:r w:rsidRPr="00CA01D9">
        <w:rPr>
          <w:rFonts w:ascii="Arial" w:hAnsi="Arial" w:cs="Arial"/>
        </w:rPr>
        <w:t>法案的第</w:t>
      </w:r>
      <w:r w:rsidRPr="00CA01D9">
        <w:rPr>
          <w:rFonts w:ascii="Arial" w:hAnsi="Arial" w:cs="Arial"/>
        </w:rPr>
        <w:t>520</w:t>
      </w:r>
      <w:r w:rsidRPr="00CA01D9">
        <w:rPr>
          <w:rFonts w:ascii="Arial" w:hAnsi="Arial" w:cs="Arial"/>
        </w:rPr>
        <w:t>（</w:t>
      </w:r>
      <w:r w:rsidRPr="00CA01D9">
        <w:rPr>
          <w:rFonts w:ascii="Arial" w:hAnsi="Arial" w:cs="Arial"/>
        </w:rPr>
        <w:t>g</w:t>
      </w:r>
      <w:r w:rsidRPr="00CA01D9">
        <w:rPr>
          <w:rFonts w:ascii="Arial" w:hAnsi="Arial" w:cs="Arial"/>
        </w:rPr>
        <w:t>）（</w:t>
      </w:r>
      <w:r w:rsidRPr="00CA01D9">
        <w:rPr>
          <w:rFonts w:ascii="Arial" w:hAnsi="Arial" w:cs="Arial"/>
        </w:rPr>
        <w:t>4</w:t>
      </w:r>
      <w:r w:rsidRPr="00CA01D9">
        <w:rPr>
          <w:rFonts w:ascii="Arial" w:hAnsi="Arial" w:cs="Arial"/>
        </w:rPr>
        <w:t>）（</w:t>
      </w:r>
      <w:r w:rsidRPr="00CA01D9">
        <w:rPr>
          <w:rFonts w:ascii="Arial" w:hAnsi="Arial" w:cs="Arial"/>
        </w:rPr>
        <w:t>B</w:t>
      </w:r>
      <w:r w:rsidRPr="00CA01D9">
        <w:rPr>
          <w:rFonts w:ascii="Arial" w:hAnsi="Arial" w:cs="Arial"/>
        </w:rPr>
        <w:t>）条，如果</w:t>
      </w:r>
      <w:r w:rsidRPr="00CA01D9">
        <w:rPr>
          <w:rFonts w:ascii="Arial" w:hAnsi="Arial" w:cs="Arial"/>
        </w:rPr>
        <w:t>FDA</w:t>
      </w:r>
      <w:r w:rsidRPr="00CA01D9">
        <w:rPr>
          <w:rFonts w:ascii="Arial" w:hAnsi="Arial" w:cs="Arial"/>
        </w:rPr>
        <w:t>发现研究不符合法规规定的程序和条件，</w:t>
      </w:r>
      <w:r w:rsidRPr="00CA01D9">
        <w:rPr>
          <w:rFonts w:ascii="Arial" w:hAnsi="Arial" w:cs="Arial"/>
        </w:rPr>
        <w:t>FDA</w:t>
      </w:r>
      <w:r w:rsidRPr="00CA01D9">
        <w:rPr>
          <w:rFonts w:ascii="Arial" w:hAnsi="Arial" w:cs="Arial"/>
        </w:rPr>
        <w:t>可以驳回</w:t>
      </w:r>
      <w:r w:rsidRPr="00CA01D9">
        <w:rPr>
          <w:rFonts w:ascii="Arial" w:hAnsi="Arial" w:cs="Arial"/>
        </w:rPr>
        <w:t>IDE</w:t>
      </w:r>
      <w:r w:rsidRPr="00CA01D9">
        <w:rPr>
          <w:rFonts w:ascii="Arial" w:hAnsi="Arial" w:cs="Arial"/>
        </w:rPr>
        <w:t>申请。为保护公共卫生和安全并符合伦理标准，</w:t>
      </w:r>
      <w:r w:rsidRPr="00CA01D9">
        <w:rPr>
          <w:rFonts w:ascii="Arial" w:hAnsi="Arial" w:cs="Arial"/>
        </w:rPr>
        <w:t>IDE</w:t>
      </w:r>
      <w:r w:rsidRPr="00CA01D9">
        <w:rPr>
          <w:rFonts w:ascii="Arial" w:hAnsi="Arial" w:cs="Arial"/>
        </w:rPr>
        <w:t>旨在</w:t>
      </w:r>
      <w:r w:rsidRPr="00CA01D9">
        <w:rPr>
          <w:rFonts w:ascii="Arial" w:hAnsi="Arial" w:cs="Arial"/>
        </w:rPr>
        <w:t>“</w:t>
      </w:r>
      <w:r w:rsidRPr="00CA01D9">
        <w:rPr>
          <w:rFonts w:ascii="Arial" w:hAnsi="Arial" w:cs="Arial"/>
        </w:rPr>
        <w:t>鼓励发现和开发有用的人类使用器械，并尽可能地为追求此目的的科学研究者提供帮助。</w:t>
      </w:r>
      <w:r w:rsidRPr="00CA01D9">
        <w:rPr>
          <w:rFonts w:ascii="Arial" w:hAnsi="Arial" w:cs="Arial"/>
        </w:rPr>
        <w:t>”</w:t>
      </w:r>
      <w:r w:rsidR="001369B0">
        <w:rPr>
          <w:rStyle w:val="aa"/>
          <w:rFonts w:ascii="Arial" w:hAnsi="Arial" w:cs="Arial"/>
        </w:rPr>
        <w:footnoteReference w:id="10"/>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在</w:t>
      </w:r>
      <w:r w:rsidRPr="00CA01D9">
        <w:rPr>
          <w:rFonts w:ascii="Arial" w:hAnsi="Arial" w:cs="Arial"/>
        </w:rPr>
        <w:t>2012</w:t>
      </w:r>
      <w:r w:rsidRPr="00CA01D9">
        <w:rPr>
          <w:rFonts w:ascii="Arial" w:hAnsi="Arial" w:cs="Arial"/>
        </w:rPr>
        <w:t>年食品药品监督管理局安全与创新法案（</w:t>
      </w:r>
      <w:r w:rsidRPr="00CA01D9">
        <w:rPr>
          <w:rFonts w:ascii="Arial" w:hAnsi="Arial" w:cs="Arial"/>
        </w:rPr>
        <w:t>FDASIA</w:t>
      </w:r>
      <w:r w:rsidRPr="00CA01D9">
        <w:rPr>
          <w:rFonts w:ascii="Arial" w:hAnsi="Arial" w:cs="Arial"/>
        </w:rPr>
        <w:t>）（</w:t>
      </w:r>
      <w:r w:rsidRPr="00CA01D9">
        <w:rPr>
          <w:rFonts w:ascii="Arial" w:hAnsi="Arial" w:cs="Arial"/>
        </w:rPr>
        <w:t>112-144</w:t>
      </w:r>
      <w:r w:rsidRPr="00CA01D9">
        <w:rPr>
          <w:rFonts w:ascii="Arial" w:hAnsi="Arial" w:cs="Arial"/>
        </w:rPr>
        <w:t>号公法）获得通过后，</w:t>
      </w:r>
      <w:r w:rsidRPr="00CA01D9">
        <w:rPr>
          <w:rFonts w:ascii="Arial" w:hAnsi="Arial" w:cs="Arial"/>
        </w:rPr>
        <w:t>FDA</w:t>
      </w:r>
      <w:r w:rsidRPr="00CA01D9">
        <w:rPr>
          <w:rFonts w:ascii="Arial" w:hAnsi="Arial" w:cs="Arial"/>
        </w:rPr>
        <w:t>对</w:t>
      </w:r>
      <w:r w:rsidRPr="00CA01D9">
        <w:rPr>
          <w:rFonts w:ascii="Arial" w:hAnsi="Arial" w:cs="Arial"/>
        </w:rPr>
        <w:t>IDE</w:t>
      </w:r>
      <w:r w:rsidRPr="00CA01D9">
        <w:rPr>
          <w:rFonts w:ascii="Arial" w:hAnsi="Arial" w:cs="Arial"/>
        </w:rPr>
        <w:t>申请决策过程进行了修改。</w:t>
      </w:r>
      <w:r w:rsidRPr="00CA01D9">
        <w:rPr>
          <w:rFonts w:ascii="Arial" w:hAnsi="Arial" w:cs="Arial"/>
        </w:rPr>
        <w:t>FDASIA</w:t>
      </w:r>
      <w:r w:rsidRPr="00CA01D9">
        <w:rPr>
          <w:rFonts w:ascii="Arial" w:hAnsi="Arial" w:cs="Arial"/>
        </w:rPr>
        <w:t>第</w:t>
      </w:r>
      <w:r w:rsidRPr="00CA01D9">
        <w:rPr>
          <w:rFonts w:ascii="Arial" w:hAnsi="Arial" w:cs="Arial"/>
        </w:rPr>
        <w:t>601</w:t>
      </w:r>
      <w:r w:rsidRPr="00CA01D9">
        <w:rPr>
          <w:rFonts w:ascii="Arial" w:hAnsi="Arial" w:cs="Arial"/>
        </w:rPr>
        <w:t>条修正了</w:t>
      </w:r>
      <w:r w:rsidRPr="00CA01D9">
        <w:rPr>
          <w:rFonts w:ascii="Arial" w:hAnsi="Arial" w:cs="Arial"/>
        </w:rPr>
        <w:t>FD</w:t>
      </w:r>
      <w:r w:rsidRPr="00CA01D9">
        <w:rPr>
          <w:rFonts w:ascii="Arial" w:hAnsi="Arial" w:cs="Arial"/>
        </w:rPr>
        <w:t>＆</w:t>
      </w:r>
      <w:r w:rsidRPr="00CA01D9">
        <w:rPr>
          <w:rFonts w:ascii="Arial" w:hAnsi="Arial" w:cs="Arial"/>
        </w:rPr>
        <w:t>C</w:t>
      </w:r>
      <w:r w:rsidRPr="00CA01D9">
        <w:rPr>
          <w:rFonts w:ascii="Arial" w:hAnsi="Arial" w:cs="Arial"/>
        </w:rPr>
        <w:t>法案第</w:t>
      </w:r>
      <w:r w:rsidRPr="00CA01D9">
        <w:rPr>
          <w:rFonts w:ascii="Arial" w:hAnsi="Arial" w:cs="Arial"/>
        </w:rPr>
        <w:t>520</w:t>
      </w:r>
      <w:r w:rsidRPr="00CA01D9">
        <w:rPr>
          <w:rFonts w:ascii="Arial" w:hAnsi="Arial" w:cs="Arial"/>
        </w:rPr>
        <w:t>（</w:t>
      </w:r>
      <w:r w:rsidRPr="00CA01D9">
        <w:rPr>
          <w:rFonts w:ascii="Arial" w:hAnsi="Arial" w:cs="Arial"/>
        </w:rPr>
        <w:t>g</w:t>
      </w:r>
      <w:r w:rsidRPr="00CA01D9">
        <w:rPr>
          <w:rFonts w:ascii="Arial" w:hAnsi="Arial" w:cs="Arial"/>
        </w:rPr>
        <w:t>）条，以指明</w:t>
      </w:r>
      <w:r w:rsidRPr="00CA01D9">
        <w:rPr>
          <w:rFonts w:ascii="Arial" w:hAnsi="Arial" w:cs="Arial"/>
        </w:rPr>
        <w:t>FDA</w:t>
      </w:r>
      <w:r w:rsidRPr="00CA01D9">
        <w:rPr>
          <w:rFonts w:ascii="Arial" w:hAnsi="Arial" w:cs="Arial"/>
        </w:rPr>
        <w:t>不能驳回</w:t>
      </w:r>
      <w:r w:rsidRPr="00CA01D9">
        <w:rPr>
          <w:rFonts w:ascii="Arial" w:hAnsi="Arial" w:cs="Arial"/>
        </w:rPr>
        <w:t>IDE</w:t>
      </w:r>
      <w:r w:rsidRPr="00CA01D9">
        <w:rPr>
          <w:rFonts w:ascii="Arial" w:hAnsi="Arial" w:cs="Arial"/>
        </w:rPr>
        <w:t>申请的某些情况。</w:t>
      </w:r>
      <w:r w:rsidRPr="00CA01D9">
        <w:rPr>
          <w:rFonts w:ascii="Arial" w:hAnsi="Arial" w:cs="Arial"/>
        </w:rPr>
        <w:t>FD</w:t>
      </w:r>
      <w:r w:rsidRPr="00CA01D9">
        <w:rPr>
          <w:rFonts w:ascii="Arial" w:hAnsi="Arial" w:cs="Arial"/>
        </w:rPr>
        <w:t>＆</w:t>
      </w:r>
      <w:r w:rsidRPr="00CA01D9">
        <w:rPr>
          <w:rFonts w:ascii="Arial" w:hAnsi="Arial" w:cs="Arial"/>
        </w:rPr>
        <w:t>C</w:t>
      </w:r>
      <w:r w:rsidRPr="00CA01D9">
        <w:rPr>
          <w:rFonts w:ascii="Arial" w:hAnsi="Arial" w:cs="Arial"/>
        </w:rPr>
        <w:t>法案第</w:t>
      </w:r>
      <w:r w:rsidRPr="00CA01D9">
        <w:rPr>
          <w:rFonts w:ascii="Arial" w:hAnsi="Arial" w:cs="Arial"/>
        </w:rPr>
        <w:t>520</w:t>
      </w:r>
      <w:r w:rsidRPr="00CA01D9">
        <w:rPr>
          <w:rFonts w:ascii="Arial" w:hAnsi="Arial" w:cs="Arial"/>
        </w:rPr>
        <w:t>（</w:t>
      </w:r>
      <w:r w:rsidRPr="00CA01D9">
        <w:rPr>
          <w:rFonts w:ascii="Arial" w:hAnsi="Arial" w:cs="Arial"/>
        </w:rPr>
        <w:t>g</w:t>
      </w:r>
      <w:r w:rsidRPr="00CA01D9">
        <w:rPr>
          <w:rFonts w:ascii="Arial" w:hAnsi="Arial" w:cs="Arial"/>
        </w:rPr>
        <w:t>）（</w:t>
      </w:r>
      <w:r w:rsidRPr="00CA01D9">
        <w:rPr>
          <w:rFonts w:ascii="Arial" w:hAnsi="Arial" w:cs="Arial"/>
        </w:rPr>
        <w:t>4</w:t>
      </w:r>
      <w:r w:rsidRPr="00CA01D9">
        <w:rPr>
          <w:rFonts w:ascii="Arial" w:hAnsi="Arial" w:cs="Arial"/>
        </w:rPr>
        <w:t>）（</w:t>
      </w:r>
      <w:r w:rsidRPr="00CA01D9">
        <w:rPr>
          <w:rFonts w:ascii="Arial" w:hAnsi="Arial" w:cs="Arial"/>
        </w:rPr>
        <w:t>C</w:t>
      </w:r>
      <w:r w:rsidRPr="00CA01D9">
        <w:rPr>
          <w:rFonts w:ascii="Arial" w:hAnsi="Arial" w:cs="Arial"/>
        </w:rPr>
        <w:t>）条规定，根据第</w:t>
      </w:r>
      <w:r w:rsidRPr="00CA01D9">
        <w:rPr>
          <w:rFonts w:ascii="Arial" w:hAnsi="Arial" w:cs="Arial"/>
        </w:rPr>
        <w:t>520</w:t>
      </w:r>
      <w:r w:rsidRPr="00CA01D9">
        <w:rPr>
          <w:rFonts w:ascii="Arial" w:hAnsi="Arial" w:cs="Arial"/>
        </w:rPr>
        <w:t>（</w:t>
      </w:r>
      <w:r w:rsidRPr="00CA01D9">
        <w:rPr>
          <w:rFonts w:ascii="Arial" w:hAnsi="Arial" w:cs="Arial"/>
        </w:rPr>
        <w:t>g</w:t>
      </w:r>
      <w:r w:rsidRPr="00CA01D9">
        <w:rPr>
          <w:rFonts w:ascii="Arial" w:hAnsi="Arial" w:cs="Arial"/>
        </w:rPr>
        <w:t>）（</w:t>
      </w:r>
      <w:r w:rsidRPr="00CA01D9">
        <w:rPr>
          <w:rFonts w:ascii="Arial" w:hAnsi="Arial" w:cs="Arial"/>
        </w:rPr>
        <w:t>1</w:t>
      </w:r>
      <w:r w:rsidRPr="00CA01D9">
        <w:rPr>
          <w:rFonts w:ascii="Arial" w:hAnsi="Arial" w:cs="Arial"/>
        </w:rPr>
        <w:t>）条，</w:t>
      </w:r>
      <w:r w:rsidRPr="00CA01D9">
        <w:rPr>
          <w:rFonts w:ascii="Arial" w:hAnsi="Arial" w:cs="Arial"/>
        </w:rPr>
        <w:t>FDA</w:t>
      </w:r>
      <w:r w:rsidRPr="00CA01D9">
        <w:rPr>
          <w:rFonts w:ascii="Arial" w:hAnsi="Arial" w:cs="Arial"/>
        </w:rPr>
        <w:t>不得因以下情况驳回</w:t>
      </w:r>
      <w:r w:rsidRPr="00CA01D9">
        <w:rPr>
          <w:rFonts w:ascii="Arial" w:hAnsi="Arial" w:cs="Arial"/>
        </w:rPr>
        <w:t>IDE</w:t>
      </w:r>
      <w:r w:rsidRPr="00CA01D9">
        <w:rPr>
          <w:rFonts w:ascii="Arial" w:hAnsi="Arial" w:cs="Arial"/>
        </w:rPr>
        <w:t>申请：</w:t>
      </w:r>
    </w:p>
    <w:p w:rsidR="00A3286A" w:rsidRPr="00CA01D9" w:rsidRDefault="00635917" w:rsidP="001369B0">
      <w:pPr>
        <w:pStyle w:val="a4"/>
        <w:numPr>
          <w:ilvl w:val="1"/>
          <w:numId w:val="15"/>
        </w:numPr>
        <w:tabs>
          <w:tab w:val="left" w:pos="1199"/>
          <w:tab w:val="left" w:pos="1200"/>
        </w:tabs>
        <w:snapToGrid w:val="0"/>
        <w:spacing w:line="300" w:lineRule="auto"/>
        <w:ind w:leftChars="200" w:left="1160"/>
        <w:jc w:val="both"/>
        <w:rPr>
          <w:rFonts w:ascii="Arial" w:eastAsia="宋体" w:hAnsi="Arial" w:cs="Arial"/>
          <w:sz w:val="24"/>
          <w:szCs w:val="24"/>
        </w:rPr>
      </w:pPr>
      <w:r w:rsidRPr="00CA01D9">
        <w:rPr>
          <w:rFonts w:ascii="Arial" w:eastAsia="宋体" w:hAnsi="Arial" w:cs="Arial"/>
          <w:i/>
          <w:sz w:val="24"/>
          <w:szCs w:val="24"/>
        </w:rPr>
        <w:t>研究可能无法支持器械的实质等同性或</w:t>
      </w:r>
      <w:r w:rsidR="009D40D7" w:rsidRPr="00CA01D9">
        <w:rPr>
          <w:rFonts w:ascii="Arial" w:eastAsia="宋体" w:hAnsi="Arial" w:cs="Arial"/>
          <w:i/>
          <w:sz w:val="24"/>
          <w:szCs w:val="24"/>
        </w:rPr>
        <w:t>再次申请</w:t>
      </w:r>
      <w:r w:rsidRPr="00CA01D9">
        <w:rPr>
          <w:rFonts w:ascii="Arial" w:eastAsia="宋体" w:hAnsi="Arial" w:cs="Arial"/>
          <w:i/>
          <w:sz w:val="24"/>
          <w:szCs w:val="24"/>
        </w:rPr>
        <w:t>分类测定或批准</w:t>
      </w:r>
      <w:r w:rsidR="009D40D7" w:rsidRPr="00CA01D9">
        <w:rPr>
          <w:rFonts w:ascii="Arial" w:eastAsia="宋体" w:hAnsi="Arial" w:cs="Arial"/>
          <w:i/>
          <w:sz w:val="24"/>
          <w:szCs w:val="24"/>
        </w:rPr>
        <w:t>；</w:t>
      </w:r>
    </w:p>
    <w:p w:rsidR="00A3286A" w:rsidRPr="00CA01D9" w:rsidRDefault="00635917" w:rsidP="001369B0">
      <w:pPr>
        <w:pStyle w:val="a4"/>
        <w:numPr>
          <w:ilvl w:val="1"/>
          <w:numId w:val="15"/>
        </w:numPr>
        <w:tabs>
          <w:tab w:val="left" w:pos="1199"/>
          <w:tab w:val="left" w:pos="1200"/>
        </w:tabs>
        <w:snapToGrid w:val="0"/>
        <w:spacing w:line="300" w:lineRule="auto"/>
        <w:ind w:leftChars="200" w:left="1160"/>
        <w:jc w:val="both"/>
        <w:rPr>
          <w:rFonts w:ascii="Arial" w:eastAsia="宋体" w:hAnsi="Arial" w:cs="Arial"/>
          <w:sz w:val="24"/>
          <w:szCs w:val="24"/>
        </w:rPr>
      </w:pPr>
      <w:r w:rsidRPr="00CA01D9">
        <w:rPr>
          <w:rFonts w:ascii="Arial" w:eastAsia="宋体" w:hAnsi="Arial" w:cs="Arial"/>
          <w:i/>
          <w:sz w:val="24"/>
          <w:szCs w:val="24"/>
        </w:rPr>
        <w:t>研究可能不符合与器械批准或许可有关的要求，包括数据要求</w:t>
      </w:r>
      <w:r w:rsidR="009D40D7" w:rsidRPr="00CA01D9">
        <w:rPr>
          <w:rFonts w:ascii="Arial" w:eastAsia="宋体" w:hAnsi="Arial" w:cs="Arial"/>
          <w:i/>
          <w:sz w:val="24"/>
          <w:szCs w:val="24"/>
        </w:rPr>
        <w:t>；</w:t>
      </w:r>
      <w:r w:rsidRPr="00CA01D9">
        <w:rPr>
          <w:rFonts w:ascii="Arial" w:eastAsia="宋体" w:hAnsi="Arial" w:cs="Arial"/>
          <w:i/>
          <w:sz w:val="24"/>
          <w:szCs w:val="24"/>
        </w:rPr>
        <w:t>或</w:t>
      </w:r>
    </w:p>
    <w:p w:rsidR="00A3286A" w:rsidRPr="00CA01D9" w:rsidRDefault="00635917" w:rsidP="001369B0">
      <w:pPr>
        <w:pStyle w:val="a4"/>
        <w:numPr>
          <w:ilvl w:val="1"/>
          <w:numId w:val="15"/>
        </w:numPr>
        <w:tabs>
          <w:tab w:val="left" w:pos="1199"/>
          <w:tab w:val="left" w:pos="1200"/>
        </w:tabs>
        <w:snapToGrid w:val="0"/>
        <w:spacing w:afterLines="100" w:after="240" w:line="300" w:lineRule="auto"/>
        <w:ind w:leftChars="200" w:left="1160"/>
        <w:jc w:val="both"/>
        <w:rPr>
          <w:rFonts w:ascii="Arial" w:eastAsia="宋体" w:hAnsi="Arial" w:cs="Arial"/>
          <w:sz w:val="24"/>
          <w:szCs w:val="24"/>
        </w:rPr>
      </w:pPr>
      <w:r w:rsidRPr="00CA01D9">
        <w:rPr>
          <w:rFonts w:ascii="Arial" w:eastAsia="宋体" w:hAnsi="Arial" w:cs="Arial"/>
          <w:i/>
          <w:sz w:val="24"/>
          <w:szCs w:val="24"/>
        </w:rPr>
        <w:t>可能需要进行附加或其他研究，以支持器械批准或许可。</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根据上述标准，当拟定研究旨在支持上市提交材料时，如果申办方可以了解</w:t>
      </w:r>
      <w:r w:rsidRPr="00CA01D9">
        <w:rPr>
          <w:rFonts w:ascii="Arial" w:hAnsi="Arial" w:cs="Arial"/>
        </w:rPr>
        <w:t>FDA</w:t>
      </w:r>
      <w:r w:rsidRPr="00CA01D9">
        <w:rPr>
          <w:rFonts w:ascii="Arial" w:hAnsi="Arial" w:cs="Arial"/>
        </w:rPr>
        <w:t>认为需要进行，使得研究可以充分支持产品批准或许可的方案修改，则其可以从中获益。</w:t>
      </w:r>
      <w:r w:rsidRPr="00CA01D9">
        <w:rPr>
          <w:rFonts w:ascii="Arial" w:hAnsi="Arial" w:cs="Arial"/>
        </w:rPr>
        <w:t>FDA</w:t>
      </w:r>
      <w:r w:rsidRPr="00CA01D9">
        <w:rPr>
          <w:rFonts w:ascii="Arial" w:hAnsi="Arial" w:cs="Arial"/>
        </w:rPr>
        <w:t>打算将向申办方提供此类考虑因素，以使此过程更明确，更可预测。有关更多信息，请参阅</w:t>
      </w:r>
      <w:r w:rsidRPr="00CA01D9">
        <w:rPr>
          <w:rFonts w:ascii="Arial" w:hAnsi="Arial" w:cs="Arial"/>
        </w:rPr>
        <w:t>FDA</w:t>
      </w:r>
      <w:r w:rsidRPr="00CA01D9">
        <w:rPr>
          <w:rFonts w:ascii="Arial" w:hAnsi="Arial" w:cs="Arial"/>
        </w:rPr>
        <w:t>指南</w:t>
      </w:r>
      <w:hyperlink r:id="rId18">
        <w:r w:rsidRPr="00CA01D9">
          <w:rPr>
            <w:rFonts w:ascii="Arial" w:hAnsi="Arial" w:cs="Arial"/>
            <w:color w:val="0000FF"/>
            <w:u w:val="single" w:color="0000FF"/>
          </w:rPr>
          <w:t>“FDA</w:t>
        </w:r>
        <w:r w:rsidRPr="00CA01D9">
          <w:rPr>
            <w:rFonts w:ascii="Arial" w:hAnsi="Arial" w:cs="Arial"/>
            <w:color w:val="0000FF"/>
            <w:u w:val="single" w:color="0000FF"/>
          </w:rPr>
          <w:t>的研究器械豁免（</w:t>
        </w:r>
        <w:r w:rsidRPr="00CA01D9">
          <w:rPr>
            <w:rFonts w:ascii="Arial" w:hAnsi="Arial" w:cs="Arial"/>
            <w:color w:val="0000FF"/>
            <w:u w:val="single" w:color="0000FF"/>
          </w:rPr>
          <w:t>IDE</w:t>
        </w:r>
        <w:r w:rsidRPr="00CA01D9">
          <w:rPr>
            <w:rFonts w:ascii="Arial" w:hAnsi="Arial" w:cs="Arial"/>
            <w:color w:val="0000FF"/>
            <w:u w:val="single" w:color="0000FF"/>
          </w:rPr>
          <w:t>）临床研究决策</w:t>
        </w:r>
        <w:r w:rsidRPr="00CA01D9">
          <w:rPr>
            <w:rFonts w:ascii="Arial" w:hAnsi="Arial" w:cs="Arial"/>
            <w:color w:val="0000FF"/>
            <w:u w:val="single" w:color="0000FF"/>
          </w:rPr>
          <w:t>”</w:t>
        </w:r>
      </w:hyperlink>
      <w:hyperlink r:id="rId19"/>
      <w:r w:rsidRPr="00CA01D9">
        <w:rPr>
          <w:rFonts w:ascii="Arial" w:hAnsi="Arial" w:cs="Arial"/>
        </w:rPr>
        <w:t>（</w:t>
      </w:r>
      <w:hyperlink r:id="rId20">
        <w:r w:rsidRPr="00CA01D9">
          <w:rPr>
            <w:rFonts w:ascii="Arial" w:hAnsi="Arial" w:cs="Arial"/>
            <w:color w:val="0000FF"/>
            <w:u w:val="single" w:color="0000FF"/>
          </w:rPr>
          <w:t>http://www.fda.gov/downloads/medicaldevices/deviceregulationandguidance/guidancedocume</w:t>
        </w:r>
      </w:hyperlink>
      <w:r w:rsidRPr="00CA01D9">
        <w:rPr>
          <w:rFonts w:ascii="Arial" w:hAnsi="Arial" w:cs="Arial"/>
          <w:color w:val="0000FF"/>
          <w:u w:val="single" w:color="0000FF"/>
        </w:rPr>
        <w:t>n</w:t>
      </w:r>
      <w:r w:rsidRPr="00CA01D9">
        <w:rPr>
          <w:rFonts w:ascii="Arial" w:hAnsi="Arial" w:cs="Arial"/>
          <w:color w:val="0000FF"/>
        </w:rPr>
        <w:t xml:space="preserve"> </w:t>
      </w:r>
      <w:hyperlink r:id="rId21">
        <w:r w:rsidRPr="00CA01D9">
          <w:rPr>
            <w:rFonts w:ascii="Arial" w:hAnsi="Arial" w:cs="Arial"/>
            <w:color w:val="0000FF"/>
            <w:u w:val="single" w:color="0000FF"/>
          </w:rPr>
          <w:t>ts/ucm279107.pdf</w:t>
        </w:r>
      </w:hyperlink>
      <w:r w:rsidRPr="00CA01D9">
        <w:rPr>
          <w:rFonts w:ascii="Arial" w:hAnsi="Arial" w:cs="Arial"/>
        </w:rPr>
        <w:t>）</w:t>
      </w:r>
      <w:r w:rsidRPr="00CA01D9">
        <w:rPr>
          <w:rFonts w:ascii="Arial" w:hAnsi="Arial" w:cs="Arial"/>
        </w:rPr>
        <w:t xml:space="preserve"> </w:t>
      </w:r>
      <w:r w:rsidRPr="00CA01D9">
        <w:rPr>
          <w:rFonts w:ascii="Arial" w:hAnsi="Arial" w:cs="Arial"/>
        </w:rPr>
        <w:t>（</w:t>
      </w:r>
      <w:r w:rsidRPr="00CA01D9">
        <w:rPr>
          <w:rFonts w:ascii="Arial" w:hAnsi="Arial" w:cs="Arial"/>
        </w:rPr>
        <w:t>2014</w:t>
      </w:r>
      <w:r w:rsidRPr="00CA01D9">
        <w:rPr>
          <w:rFonts w:ascii="Arial" w:hAnsi="Arial" w:cs="Arial"/>
        </w:rPr>
        <w:t>年</w:t>
      </w:r>
      <w:r w:rsidRPr="00CA01D9">
        <w:rPr>
          <w:rFonts w:ascii="Arial" w:hAnsi="Arial" w:cs="Arial"/>
        </w:rPr>
        <w:t>8</w:t>
      </w:r>
      <w:r w:rsidRPr="00CA01D9">
        <w:rPr>
          <w:rFonts w:ascii="Arial" w:hAnsi="Arial" w:cs="Arial"/>
        </w:rPr>
        <w:t>月</w:t>
      </w:r>
      <w:r w:rsidRPr="00CA01D9">
        <w:rPr>
          <w:rFonts w:ascii="Arial" w:hAnsi="Arial" w:cs="Arial"/>
        </w:rPr>
        <w:t>19</w:t>
      </w:r>
      <w:r w:rsidRPr="00CA01D9">
        <w:rPr>
          <w:rFonts w:ascii="Arial" w:hAnsi="Arial" w:cs="Arial"/>
        </w:rPr>
        <w:t>日发布）（以下简称</w:t>
      </w:r>
      <w:r w:rsidRPr="00CA01D9">
        <w:rPr>
          <w:rFonts w:ascii="Arial" w:hAnsi="Arial" w:cs="Arial"/>
        </w:rPr>
        <w:t>“</w:t>
      </w:r>
      <w:r w:rsidR="009D40D7" w:rsidRPr="00CA01D9">
        <w:rPr>
          <w:rFonts w:ascii="Arial" w:hAnsi="Arial" w:cs="Arial"/>
        </w:rPr>
        <w:t>IDE</w:t>
      </w:r>
      <w:r w:rsidR="009D40D7" w:rsidRPr="00CA01D9">
        <w:rPr>
          <w:rFonts w:ascii="Arial" w:hAnsi="Arial" w:cs="Arial"/>
        </w:rPr>
        <w:t>指南的</w:t>
      </w:r>
      <w:r w:rsidR="009D40D7" w:rsidRPr="00CA01D9">
        <w:rPr>
          <w:rFonts w:ascii="Arial" w:hAnsi="Arial" w:cs="Arial"/>
        </w:rPr>
        <w:t>FDA</w:t>
      </w:r>
      <w:r w:rsidR="009D40D7" w:rsidRPr="00CA01D9">
        <w:rPr>
          <w:rFonts w:ascii="Arial" w:hAnsi="Arial" w:cs="Arial"/>
        </w:rPr>
        <w:t>决策</w:t>
      </w:r>
      <w:r w:rsidRPr="00CA01D9">
        <w:rPr>
          <w:rFonts w:ascii="Arial" w:hAnsi="Arial" w:cs="Arial"/>
        </w:rPr>
        <w:t>”</w:t>
      </w:r>
      <w:r w:rsidRPr="00CA01D9">
        <w:rPr>
          <w:rFonts w:ascii="Arial" w:hAnsi="Arial" w:cs="Arial"/>
        </w:rPr>
        <w:t>）。</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根据</w:t>
      </w:r>
      <w:r w:rsidRPr="00CA01D9">
        <w:rPr>
          <w:rFonts w:ascii="Arial" w:hAnsi="Arial" w:cs="Arial"/>
        </w:rPr>
        <w:t>21 CFR 812.30</w:t>
      </w:r>
      <w:r w:rsidRPr="00CA01D9">
        <w:rPr>
          <w:rFonts w:ascii="Arial" w:hAnsi="Arial" w:cs="Arial"/>
        </w:rPr>
        <w:t>（</w:t>
      </w:r>
      <w:r w:rsidRPr="00CA01D9">
        <w:rPr>
          <w:rFonts w:ascii="Arial" w:hAnsi="Arial" w:cs="Arial"/>
        </w:rPr>
        <w:t>b</w:t>
      </w:r>
      <w:r w:rsidRPr="00CA01D9">
        <w:rPr>
          <w:rFonts w:ascii="Arial" w:hAnsi="Arial" w:cs="Arial"/>
        </w:rPr>
        <w:t>），</w:t>
      </w:r>
      <w:r w:rsidRPr="00CA01D9">
        <w:rPr>
          <w:rFonts w:ascii="Arial" w:hAnsi="Arial" w:cs="Arial"/>
        </w:rPr>
        <w:t>FDA</w:t>
      </w:r>
      <w:r w:rsidRPr="00CA01D9">
        <w:rPr>
          <w:rFonts w:ascii="Arial" w:hAnsi="Arial" w:cs="Arial"/>
        </w:rPr>
        <w:t>可以因以下任何原因驳回或撤销</w:t>
      </w:r>
      <w:r w:rsidRPr="00CA01D9">
        <w:rPr>
          <w:rFonts w:ascii="Arial" w:hAnsi="Arial" w:cs="Arial"/>
        </w:rPr>
        <w:t>IDE</w:t>
      </w:r>
      <w:r w:rsidRPr="00CA01D9">
        <w:rPr>
          <w:rFonts w:ascii="Arial" w:hAnsi="Arial" w:cs="Arial"/>
        </w:rPr>
        <w:t>申请的批准：</w:t>
      </w:r>
    </w:p>
    <w:p w:rsidR="00A3286A" w:rsidRPr="00CA01D9" w:rsidRDefault="00635917" w:rsidP="001369B0">
      <w:pPr>
        <w:pStyle w:val="a4"/>
        <w:numPr>
          <w:ilvl w:val="0"/>
          <w:numId w:val="14"/>
        </w:numPr>
        <w:tabs>
          <w:tab w:val="left" w:pos="818"/>
        </w:tabs>
        <w:snapToGrid w:val="0"/>
        <w:spacing w:line="300" w:lineRule="auto"/>
        <w:ind w:leftChars="200" w:left="440" w:firstLine="0"/>
        <w:jc w:val="both"/>
        <w:rPr>
          <w:rFonts w:ascii="Arial" w:eastAsia="宋体" w:hAnsi="Arial" w:cs="Arial"/>
          <w:sz w:val="24"/>
          <w:szCs w:val="24"/>
        </w:rPr>
      </w:pPr>
      <w:r w:rsidRPr="00CA01D9">
        <w:rPr>
          <w:rFonts w:ascii="Arial" w:eastAsia="宋体" w:hAnsi="Arial" w:cs="Arial"/>
          <w:i/>
          <w:sz w:val="24"/>
          <w:szCs w:val="24"/>
        </w:rPr>
        <w:t>未遵守本部分或该法、任何其他适用法规或法律的任何要求，或</w:t>
      </w:r>
      <w:r w:rsidRPr="00CA01D9">
        <w:rPr>
          <w:rFonts w:ascii="Arial" w:eastAsia="宋体" w:hAnsi="Arial" w:cs="Arial"/>
          <w:i/>
          <w:sz w:val="24"/>
          <w:szCs w:val="24"/>
        </w:rPr>
        <w:t>IRB</w:t>
      </w:r>
      <w:r w:rsidRPr="00CA01D9">
        <w:rPr>
          <w:rFonts w:ascii="Arial" w:eastAsia="宋体" w:hAnsi="Arial" w:cs="Arial"/>
          <w:i/>
          <w:sz w:val="24"/>
          <w:szCs w:val="24"/>
        </w:rPr>
        <w:t>或</w:t>
      </w:r>
      <w:r w:rsidRPr="00CA01D9">
        <w:rPr>
          <w:rFonts w:ascii="Arial" w:eastAsia="宋体" w:hAnsi="Arial" w:cs="Arial"/>
          <w:i/>
          <w:sz w:val="24"/>
          <w:szCs w:val="24"/>
        </w:rPr>
        <w:t>FDA</w:t>
      </w:r>
      <w:r w:rsidRPr="00CA01D9">
        <w:rPr>
          <w:rFonts w:ascii="Arial" w:eastAsia="宋体" w:hAnsi="Arial" w:cs="Arial"/>
          <w:i/>
          <w:sz w:val="24"/>
          <w:szCs w:val="24"/>
        </w:rPr>
        <w:t>规定的任何批准条件。</w:t>
      </w:r>
    </w:p>
    <w:p w:rsidR="00A3286A" w:rsidRPr="00CA01D9" w:rsidRDefault="00635917" w:rsidP="001369B0">
      <w:pPr>
        <w:pStyle w:val="a4"/>
        <w:numPr>
          <w:ilvl w:val="0"/>
          <w:numId w:val="14"/>
        </w:numPr>
        <w:tabs>
          <w:tab w:val="left" w:pos="818"/>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i/>
          <w:sz w:val="24"/>
          <w:szCs w:val="24"/>
        </w:rPr>
        <w:t>申请或报告虚假陈述重大事实，或遗漏本部</w:t>
      </w:r>
      <w:proofErr w:type="gramStart"/>
      <w:r w:rsidRPr="00CA01D9">
        <w:rPr>
          <w:rFonts w:ascii="Arial" w:eastAsia="宋体" w:hAnsi="Arial" w:cs="Arial"/>
          <w:i/>
          <w:sz w:val="24"/>
          <w:szCs w:val="24"/>
        </w:rPr>
        <w:t>分要求</w:t>
      </w:r>
      <w:proofErr w:type="gramEnd"/>
      <w:r w:rsidRPr="00CA01D9">
        <w:rPr>
          <w:rFonts w:ascii="Arial" w:eastAsia="宋体" w:hAnsi="Arial" w:cs="Arial"/>
          <w:i/>
          <w:sz w:val="24"/>
          <w:szCs w:val="24"/>
        </w:rPr>
        <w:t>的材料信息。</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1369B0">
      <w:pPr>
        <w:pStyle w:val="a4"/>
        <w:numPr>
          <w:ilvl w:val="0"/>
          <w:numId w:val="14"/>
        </w:numPr>
        <w:tabs>
          <w:tab w:val="left" w:pos="818"/>
        </w:tabs>
        <w:snapToGrid w:val="0"/>
        <w:spacing w:line="300" w:lineRule="auto"/>
        <w:ind w:leftChars="200" w:left="440" w:firstLine="0"/>
        <w:jc w:val="both"/>
        <w:rPr>
          <w:rFonts w:ascii="Arial" w:eastAsia="宋体" w:hAnsi="Arial" w:cs="Arial"/>
          <w:sz w:val="24"/>
          <w:szCs w:val="24"/>
        </w:rPr>
      </w:pPr>
      <w:bookmarkStart w:id="15" w:name="Types_of_IDE_Decisions"/>
      <w:bookmarkEnd w:id="15"/>
      <w:r w:rsidRPr="00CA01D9">
        <w:rPr>
          <w:rFonts w:ascii="Arial" w:eastAsia="宋体" w:hAnsi="Arial" w:cs="Arial"/>
          <w:i/>
          <w:sz w:val="24"/>
          <w:szCs w:val="24"/>
        </w:rPr>
        <w:lastRenderedPageBreak/>
        <w:t>申办方未能在</w:t>
      </w:r>
      <w:r w:rsidRPr="00CA01D9">
        <w:rPr>
          <w:rFonts w:ascii="Arial" w:eastAsia="宋体" w:hAnsi="Arial" w:cs="Arial"/>
          <w:i/>
          <w:sz w:val="24"/>
          <w:szCs w:val="24"/>
        </w:rPr>
        <w:t>FDA</w:t>
      </w:r>
      <w:r w:rsidRPr="00CA01D9">
        <w:rPr>
          <w:rFonts w:ascii="Arial" w:eastAsia="宋体" w:hAnsi="Arial" w:cs="Arial"/>
          <w:i/>
          <w:sz w:val="24"/>
          <w:szCs w:val="24"/>
        </w:rPr>
        <w:t>规定的时间内相应要求提供更多信息的请求。</w:t>
      </w:r>
    </w:p>
    <w:p w:rsidR="00A3286A" w:rsidRPr="00CA01D9" w:rsidRDefault="00635917" w:rsidP="001369B0">
      <w:pPr>
        <w:pStyle w:val="a4"/>
        <w:numPr>
          <w:ilvl w:val="0"/>
          <w:numId w:val="14"/>
        </w:numPr>
        <w:tabs>
          <w:tab w:val="left" w:pos="818"/>
        </w:tabs>
        <w:snapToGrid w:val="0"/>
        <w:spacing w:line="300" w:lineRule="auto"/>
        <w:ind w:leftChars="200" w:left="440" w:firstLine="0"/>
        <w:jc w:val="both"/>
        <w:rPr>
          <w:rFonts w:ascii="Arial" w:eastAsia="宋体" w:hAnsi="Arial" w:cs="Arial"/>
          <w:sz w:val="24"/>
          <w:szCs w:val="24"/>
        </w:rPr>
      </w:pPr>
      <w:r w:rsidRPr="00CA01D9">
        <w:rPr>
          <w:rFonts w:ascii="Arial" w:eastAsia="宋体" w:hAnsi="Arial" w:cs="Arial"/>
          <w:i/>
          <w:sz w:val="24"/>
          <w:szCs w:val="24"/>
        </w:rPr>
        <w:t>FDA</w:t>
      </w:r>
      <w:r w:rsidRPr="00CA01D9">
        <w:rPr>
          <w:rFonts w:ascii="Arial" w:eastAsia="宋体" w:hAnsi="Arial" w:cs="Arial"/>
          <w:i/>
          <w:sz w:val="24"/>
          <w:szCs w:val="24"/>
        </w:rPr>
        <w:t>有理由</w:t>
      </w:r>
      <w:r w:rsidR="009D40D7" w:rsidRPr="00CA01D9">
        <w:rPr>
          <w:rFonts w:ascii="Arial" w:eastAsia="宋体" w:hAnsi="Arial" w:cs="Arial"/>
          <w:i/>
          <w:sz w:val="24"/>
          <w:szCs w:val="24"/>
        </w:rPr>
        <w:t>认为</w:t>
      </w:r>
      <w:r w:rsidRPr="00CA01D9">
        <w:rPr>
          <w:rFonts w:ascii="Arial" w:eastAsia="宋体" w:hAnsi="Arial" w:cs="Arial"/>
          <w:i/>
          <w:sz w:val="24"/>
          <w:szCs w:val="24"/>
        </w:rPr>
        <w:t>，</w:t>
      </w:r>
      <w:r w:rsidRPr="00CA01D9">
        <w:rPr>
          <w:rFonts w:ascii="Arial" w:eastAsia="宋体" w:hAnsi="Arial" w:cs="Arial"/>
          <w:b/>
          <w:i/>
          <w:sz w:val="24"/>
          <w:szCs w:val="24"/>
          <w:u w:val="single"/>
        </w:rPr>
        <w:t>受试者的预期收益和</w:t>
      </w:r>
      <w:proofErr w:type="gramStart"/>
      <w:r w:rsidRPr="00CA01D9">
        <w:rPr>
          <w:rFonts w:ascii="Arial" w:eastAsia="宋体" w:hAnsi="Arial" w:cs="Arial"/>
          <w:b/>
          <w:i/>
          <w:sz w:val="24"/>
          <w:szCs w:val="24"/>
          <w:u w:val="single"/>
        </w:rPr>
        <w:t>可</w:t>
      </w:r>
      <w:proofErr w:type="gramEnd"/>
      <w:r w:rsidRPr="00CA01D9">
        <w:rPr>
          <w:rFonts w:ascii="Arial" w:eastAsia="宋体" w:hAnsi="Arial" w:cs="Arial"/>
          <w:b/>
          <w:i/>
          <w:sz w:val="24"/>
          <w:szCs w:val="24"/>
          <w:u w:val="single"/>
        </w:rPr>
        <w:t>获得的知识的重要性未超过受试者的风险</w:t>
      </w:r>
      <w:r w:rsidR="00270D77" w:rsidRPr="00CA01D9">
        <w:rPr>
          <w:rFonts w:ascii="Arial" w:eastAsia="宋体" w:hAnsi="Arial" w:cs="Arial"/>
          <w:i/>
          <w:sz w:val="24"/>
          <w:szCs w:val="24"/>
        </w:rPr>
        <w:t>【</w:t>
      </w:r>
      <w:r w:rsidRPr="00CA01D9">
        <w:rPr>
          <w:rFonts w:ascii="Arial" w:eastAsia="宋体" w:hAnsi="Arial" w:cs="Arial"/>
          <w:i/>
          <w:sz w:val="24"/>
          <w:szCs w:val="24"/>
        </w:rPr>
        <w:t>着重强调</w:t>
      </w:r>
      <w:r w:rsidR="00270D77" w:rsidRPr="00CA01D9">
        <w:rPr>
          <w:rFonts w:ascii="Arial" w:eastAsia="宋体" w:hAnsi="Arial" w:cs="Arial"/>
          <w:i/>
          <w:sz w:val="24"/>
          <w:szCs w:val="24"/>
        </w:rPr>
        <w:t>】</w:t>
      </w:r>
      <w:r w:rsidRPr="00CA01D9">
        <w:rPr>
          <w:rFonts w:ascii="Arial" w:eastAsia="宋体" w:hAnsi="Arial" w:cs="Arial"/>
          <w:i/>
          <w:sz w:val="24"/>
          <w:szCs w:val="24"/>
        </w:rPr>
        <w:t>或知情同意过程不充分或研究不具科学合理性，或</w:t>
      </w:r>
      <w:r w:rsidRPr="00CA01D9">
        <w:rPr>
          <w:rFonts w:ascii="Arial" w:eastAsia="宋体" w:hAnsi="Arial" w:cs="Arial"/>
          <w:i/>
          <w:sz w:val="24"/>
          <w:szCs w:val="24"/>
        </w:rPr>
        <w:t>FDA</w:t>
      </w:r>
      <w:r w:rsidRPr="00CA01D9">
        <w:rPr>
          <w:rFonts w:ascii="Arial" w:eastAsia="宋体" w:hAnsi="Arial" w:cs="Arial"/>
          <w:i/>
          <w:sz w:val="24"/>
          <w:szCs w:val="24"/>
        </w:rPr>
        <w:t>有理由</w:t>
      </w:r>
      <w:r w:rsidR="009D40D7" w:rsidRPr="00CA01D9">
        <w:rPr>
          <w:rFonts w:ascii="Arial" w:eastAsia="宋体" w:hAnsi="Arial" w:cs="Arial"/>
          <w:i/>
          <w:sz w:val="24"/>
          <w:szCs w:val="24"/>
        </w:rPr>
        <w:t>认为</w:t>
      </w:r>
      <w:r w:rsidRPr="00CA01D9">
        <w:rPr>
          <w:rFonts w:ascii="Arial" w:eastAsia="宋体" w:hAnsi="Arial" w:cs="Arial"/>
          <w:i/>
          <w:sz w:val="24"/>
          <w:szCs w:val="24"/>
        </w:rPr>
        <w:t>所用器械无效。</w:t>
      </w:r>
    </w:p>
    <w:p w:rsidR="00A3286A" w:rsidRPr="00CA01D9" w:rsidRDefault="00635917" w:rsidP="001369B0">
      <w:pPr>
        <w:pStyle w:val="a4"/>
        <w:numPr>
          <w:ilvl w:val="0"/>
          <w:numId w:val="14"/>
        </w:numPr>
        <w:tabs>
          <w:tab w:val="left" w:pos="818"/>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i/>
          <w:sz w:val="24"/>
          <w:szCs w:val="24"/>
        </w:rPr>
        <w:t>由于器械使用方式或缺少以下信息，无法开始或继续进行研究：</w:t>
      </w:r>
    </w:p>
    <w:p w:rsidR="00A3286A" w:rsidRPr="001369B0" w:rsidRDefault="00635917" w:rsidP="001369B0">
      <w:pPr>
        <w:pStyle w:val="a4"/>
        <w:numPr>
          <w:ilvl w:val="1"/>
          <w:numId w:val="14"/>
        </w:numPr>
        <w:tabs>
          <w:tab w:val="left" w:pos="1125"/>
        </w:tabs>
        <w:snapToGrid w:val="0"/>
        <w:spacing w:line="300" w:lineRule="auto"/>
        <w:ind w:leftChars="400" w:left="880" w:firstLine="0"/>
        <w:jc w:val="both"/>
        <w:rPr>
          <w:rFonts w:ascii="Arial" w:eastAsia="宋体" w:hAnsi="Arial" w:cs="Arial"/>
          <w:i/>
          <w:sz w:val="24"/>
          <w:szCs w:val="24"/>
        </w:rPr>
      </w:pPr>
      <w:r w:rsidRPr="00CA01D9">
        <w:rPr>
          <w:rFonts w:ascii="Arial" w:eastAsia="宋体" w:hAnsi="Arial" w:cs="Arial"/>
          <w:i/>
          <w:sz w:val="24"/>
          <w:szCs w:val="24"/>
        </w:rPr>
        <w:t>先前研究报告或研究计划</w:t>
      </w:r>
      <w:r w:rsidR="009D40D7" w:rsidRPr="00CA01D9">
        <w:rPr>
          <w:rFonts w:ascii="Arial" w:eastAsia="宋体" w:hAnsi="Arial" w:cs="Arial"/>
          <w:i/>
          <w:sz w:val="24"/>
          <w:szCs w:val="24"/>
        </w:rPr>
        <w:t>；</w:t>
      </w:r>
    </w:p>
    <w:p w:rsidR="00A3286A" w:rsidRPr="001369B0" w:rsidRDefault="00635917" w:rsidP="001369B0">
      <w:pPr>
        <w:pStyle w:val="a4"/>
        <w:numPr>
          <w:ilvl w:val="1"/>
          <w:numId w:val="14"/>
        </w:numPr>
        <w:tabs>
          <w:tab w:val="left" w:pos="1125"/>
        </w:tabs>
        <w:snapToGrid w:val="0"/>
        <w:spacing w:line="300" w:lineRule="auto"/>
        <w:ind w:leftChars="400" w:left="880" w:firstLine="0"/>
        <w:jc w:val="both"/>
        <w:rPr>
          <w:rFonts w:ascii="Arial" w:eastAsia="宋体" w:hAnsi="Arial" w:cs="Arial"/>
          <w:i/>
          <w:sz w:val="24"/>
          <w:szCs w:val="24"/>
        </w:rPr>
      </w:pPr>
      <w:r w:rsidRPr="00CA01D9">
        <w:rPr>
          <w:rFonts w:ascii="Arial" w:eastAsia="宋体" w:hAnsi="Arial" w:cs="Arial"/>
          <w:i/>
          <w:sz w:val="24"/>
          <w:szCs w:val="24"/>
        </w:rPr>
        <w:t>用于制造、加工、包装、存储和安装器械（如果适用）的方法、设施和控制</w:t>
      </w:r>
      <w:r w:rsidR="009D40D7" w:rsidRPr="00CA01D9">
        <w:rPr>
          <w:rFonts w:ascii="Arial" w:eastAsia="宋体" w:hAnsi="Arial" w:cs="Arial"/>
          <w:i/>
          <w:sz w:val="24"/>
          <w:szCs w:val="24"/>
        </w:rPr>
        <w:t>；</w:t>
      </w:r>
      <w:r w:rsidRPr="00CA01D9">
        <w:rPr>
          <w:rFonts w:ascii="Arial" w:eastAsia="宋体" w:hAnsi="Arial" w:cs="Arial"/>
          <w:i/>
          <w:sz w:val="24"/>
          <w:szCs w:val="24"/>
        </w:rPr>
        <w:t>或</w:t>
      </w:r>
    </w:p>
    <w:p w:rsidR="00A3286A" w:rsidRPr="001369B0" w:rsidRDefault="00635917" w:rsidP="001369B0">
      <w:pPr>
        <w:pStyle w:val="a4"/>
        <w:numPr>
          <w:ilvl w:val="1"/>
          <w:numId w:val="14"/>
        </w:numPr>
        <w:tabs>
          <w:tab w:val="left" w:pos="1125"/>
        </w:tabs>
        <w:snapToGrid w:val="0"/>
        <w:spacing w:afterLines="100" w:after="240" w:line="300" w:lineRule="auto"/>
        <w:ind w:leftChars="400" w:left="880" w:firstLine="0"/>
        <w:jc w:val="both"/>
        <w:rPr>
          <w:rFonts w:ascii="Arial" w:eastAsia="宋体" w:hAnsi="Arial" w:cs="Arial"/>
          <w:i/>
          <w:sz w:val="24"/>
          <w:szCs w:val="24"/>
        </w:rPr>
      </w:pPr>
      <w:r w:rsidRPr="00CA01D9">
        <w:rPr>
          <w:rFonts w:ascii="Arial" w:eastAsia="宋体" w:hAnsi="Arial" w:cs="Arial"/>
          <w:i/>
          <w:sz w:val="24"/>
          <w:szCs w:val="24"/>
        </w:rPr>
        <w:t>研究监测和审查。</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根据此法规，如果拟定研究的潜在风险不合理，或者所提供的数据不足以充分表征器械的安全性，使得根据</w:t>
      </w:r>
      <w:r w:rsidRPr="00CA01D9">
        <w:rPr>
          <w:rFonts w:ascii="Arial" w:hAnsi="Arial" w:cs="Arial"/>
        </w:rPr>
        <w:t>IDE</w:t>
      </w:r>
      <w:r w:rsidRPr="00CA01D9">
        <w:rPr>
          <w:rFonts w:ascii="Arial" w:hAnsi="Arial" w:cs="Arial"/>
        </w:rPr>
        <w:t>申请所含数据确定人类临床研究不合理，</w:t>
      </w:r>
      <w:r w:rsidRPr="00CA01D9">
        <w:rPr>
          <w:rFonts w:ascii="Arial" w:hAnsi="Arial" w:cs="Arial"/>
        </w:rPr>
        <w:t>FDA</w:t>
      </w:r>
      <w:r w:rsidRPr="00CA01D9">
        <w:rPr>
          <w:rFonts w:ascii="Arial" w:hAnsi="Arial" w:cs="Arial"/>
        </w:rPr>
        <w:t>一般会驳回</w:t>
      </w:r>
      <w:r w:rsidRPr="00CA01D9">
        <w:rPr>
          <w:rFonts w:ascii="Arial" w:hAnsi="Arial" w:cs="Arial"/>
        </w:rPr>
        <w:t>IDE</w:t>
      </w:r>
      <w:r w:rsidRPr="00CA01D9">
        <w:rPr>
          <w:rFonts w:ascii="Arial" w:hAnsi="Arial" w:cs="Arial"/>
        </w:rPr>
        <w:t>申请。</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本指导性文件旨在进一步说明以下方面的监管评估：</w:t>
      </w:r>
    </w:p>
    <w:p w:rsidR="00A3286A" w:rsidRPr="00CA01D9" w:rsidRDefault="00635917" w:rsidP="001369B0">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与</w:t>
      </w:r>
      <w:r w:rsidRPr="00CA01D9">
        <w:rPr>
          <w:rFonts w:ascii="Arial" w:eastAsia="宋体" w:hAnsi="Arial" w:cs="Arial"/>
          <w:sz w:val="24"/>
          <w:szCs w:val="24"/>
        </w:rPr>
        <w:t>IDE</w:t>
      </w:r>
      <w:r w:rsidRPr="00CA01D9">
        <w:rPr>
          <w:rFonts w:ascii="Arial" w:eastAsia="宋体" w:hAnsi="Arial" w:cs="Arial"/>
          <w:sz w:val="24"/>
          <w:szCs w:val="24"/>
        </w:rPr>
        <w:t>申请中提出的临床研究器械使用相关的风险和收益</w:t>
      </w:r>
      <w:r w:rsidR="009D40D7" w:rsidRPr="00CA01D9">
        <w:rPr>
          <w:rFonts w:ascii="Arial" w:eastAsia="宋体" w:hAnsi="Arial" w:cs="Arial"/>
          <w:sz w:val="24"/>
          <w:szCs w:val="24"/>
        </w:rPr>
        <w:t>；</w:t>
      </w:r>
      <w:r w:rsidR="001369B0">
        <w:rPr>
          <w:rStyle w:val="aa"/>
          <w:rFonts w:ascii="Arial" w:eastAsia="宋体" w:hAnsi="Arial" w:cs="Arial"/>
          <w:sz w:val="24"/>
          <w:szCs w:val="24"/>
        </w:rPr>
        <w:footnoteReference w:id="11"/>
      </w:r>
      <w:r w:rsidRPr="00CA01D9">
        <w:rPr>
          <w:rFonts w:ascii="Arial" w:eastAsia="宋体" w:hAnsi="Arial" w:cs="Arial"/>
          <w:sz w:val="24"/>
          <w:szCs w:val="24"/>
        </w:rPr>
        <w:t>以及</w:t>
      </w:r>
    </w:p>
    <w:p w:rsidR="00A3286A" w:rsidRPr="00CA01D9" w:rsidRDefault="00635917" w:rsidP="001369B0">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先前临床研究的临床或非临床数据，拟定研究，器械制造、运输和存储或拟定研究的监督监测是否充分或明确。</w:t>
      </w:r>
      <w:r w:rsidR="001369B0">
        <w:rPr>
          <w:rStyle w:val="aa"/>
          <w:rFonts w:ascii="Arial" w:eastAsia="宋体" w:hAnsi="Arial" w:cs="Arial"/>
          <w:sz w:val="24"/>
          <w:szCs w:val="24"/>
        </w:rPr>
        <w:footnoteReference w:id="12"/>
      </w:r>
    </w:p>
    <w:p w:rsidR="00A3286A" w:rsidRPr="00CA01D9" w:rsidRDefault="00635917" w:rsidP="001369B0">
      <w:pPr>
        <w:pStyle w:val="2"/>
        <w:numPr>
          <w:ilvl w:val="0"/>
          <w:numId w:val="15"/>
        </w:numPr>
        <w:tabs>
          <w:tab w:val="left" w:pos="840"/>
        </w:tabs>
        <w:snapToGrid w:val="0"/>
        <w:spacing w:afterLines="100" w:after="240" w:line="300" w:lineRule="auto"/>
        <w:ind w:left="720"/>
        <w:jc w:val="both"/>
        <w:rPr>
          <w:rFonts w:ascii="Arial" w:hAnsi="Arial" w:cs="Arial"/>
          <w:b w:val="0"/>
          <w:bCs w:val="0"/>
          <w:i w:val="0"/>
        </w:rPr>
      </w:pPr>
      <w:bookmarkStart w:id="16" w:name="_bookmark15"/>
      <w:bookmarkStart w:id="17" w:name="_Toc498621499"/>
      <w:bookmarkEnd w:id="16"/>
      <w:r w:rsidRPr="00CA01D9">
        <w:rPr>
          <w:rFonts w:ascii="Arial" w:hAnsi="Arial" w:cs="Arial"/>
        </w:rPr>
        <w:t>IDE</w:t>
      </w:r>
      <w:r w:rsidRPr="00CA01D9">
        <w:rPr>
          <w:rFonts w:ascii="Arial" w:hAnsi="Arial" w:cs="Arial"/>
        </w:rPr>
        <w:t>决策类型</w:t>
      </w:r>
      <w:bookmarkEnd w:id="17"/>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FDA</w:t>
      </w:r>
      <w:r w:rsidRPr="00CA01D9">
        <w:rPr>
          <w:rFonts w:ascii="Arial" w:hAnsi="Arial" w:cs="Arial"/>
        </w:rPr>
        <w:t>法规</w:t>
      </w:r>
      <w:r w:rsidR="001369B0">
        <w:rPr>
          <w:rStyle w:val="aa"/>
          <w:rFonts w:ascii="Arial" w:hAnsi="Arial" w:cs="Arial"/>
        </w:rPr>
        <w:footnoteReference w:id="13"/>
      </w:r>
      <w:r w:rsidRPr="00CA01D9">
        <w:rPr>
          <w:rFonts w:ascii="Arial" w:hAnsi="Arial" w:cs="Arial"/>
        </w:rPr>
        <w:t>规定了三种主要的</w:t>
      </w:r>
      <w:r w:rsidRPr="00CA01D9">
        <w:rPr>
          <w:rFonts w:ascii="Arial" w:hAnsi="Arial" w:cs="Arial"/>
        </w:rPr>
        <w:t>IDE</w:t>
      </w:r>
      <w:r w:rsidRPr="00CA01D9">
        <w:rPr>
          <w:rFonts w:ascii="Arial" w:hAnsi="Arial" w:cs="Arial"/>
        </w:rPr>
        <w:t>申请决定类别</w:t>
      </w:r>
      <w:r w:rsidRPr="00CA01D9">
        <w:rPr>
          <w:rFonts w:ascii="Arial" w:hAnsi="Arial" w:cs="Arial"/>
        </w:rPr>
        <w:t>——</w:t>
      </w:r>
      <w:r w:rsidRPr="00CA01D9">
        <w:rPr>
          <w:rFonts w:ascii="Arial" w:hAnsi="Arial" w:cs="Arial"/>
        </w:rPr>
        <w:t>批准、条件</w:t>
      </w:r>
      <w:proofErr w:type="gramStart"/>
      <w:r w:rsidRPr="00CA01D9">
        <w:rPr>
          <w:rFonts w:ascii="Arial" w:hAnsi="Arial" w:cs="Arial"/>
        </w:rPr>
        <w:t>性批准</w:t>
      </w:r>
      <w:proofErr w:type="gramEnd"/>
      <w:r w:rsidRPr="00CA01D9">
        <w:rPr>
          <w:rFonts w:ascii="Arial" w:hAnsi="Arial" w:cs="Arial"/>
        </w:rPr>
        <w:t>和驳回。</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如果</w:t>
      </w:r>
      <w:r w:rsidRPr="00CA01D9">
        <w:rPr>
          <w:rFonts w:ascii="Arial" w:hAnsi="Arial" w:cs="Arial"/>
        </w:rPr>
        <w:t>FDA</w:t>
      </w:r>
      <w:r w:rsidRPr="00CA01D9">
        <w:rPr>
          <w:rFonts w:ascii="Arial" w:hAnsi="Arial" w:cs="Arial"/>
        </w:rPr>
        <w:t>批准了</w:t>
      </w:r>
      <w:r w:rsidRPr="00CA01D9">
        <w:rPr>
          <w:rFonts w:ascii="Arial" w:hAnsi="Arial" w:cs="Arial"/>
        </w:rPr>
        <w:t>IDE</w:t>
      </w:r>
      <w:r w:rsidRPr="00CA01D9">
        <w:rPr>
          <w:rFonts w:ascii="Arial" w:hAnsi="Arial" w:cs="Arial"/>
        </w:rPr>
        <w:t>申请，申办方可以在收到</w:t>
      </w:r>
      <w:r w:rsidRPr="00CA01D9">
        <w:rPr>
          <w:rFonts w:ascii="Arial" w:hAnsi="Arial" w:cs="Arial"/>
        </w:rPr>
        <w:t>IRB</w:t>
      </w:r>
      <w:r w:rsidRPr="00CA01D9">
        <w:rPr>
          <w:rFonts w:ascii="Arial" w:hAnsi="Arial" w:cs="Arial"/>
        </w:rPr>
        <w:t>批准后，开始根据</w:t>
      </w:r>
      <w:r w:rsidRPr="00CA01D9">
        <w:rPr>
          <w:rFonts w:ascii="Arial" w:hAnsi="Arial" w:cs="Arial"/>
        </w:rPr>
        <w:t>FDA</w:t>
      </w:r>
      <w:r w:rsidRPr="00CA01D9">
        <w:rPr>
          <w:rFonts w:ascii="Arial" w:hAnsi="Arial" w:cs="Arial"/>
        </w:rPr>
        <w:t>决定函件中规定的限制（包括美国受试者和</w:t>
      </w:r>
      <w:r w:rsidR="00C420C7" w:rsidRPr="00CA01D9">
        <w:rPr>
          <w:rFonts w:ascii="Arial" w:hAnsi="Arial" w:cs="Arial"/>
        </w:rPr>
        <w:t>研究中心</w:t>
      </w:r>
      <w:r w:rsidRPr="00CA01D9">
        <w:rPr>
          <w:rFonts w:ascii="Arial" w:hAnsi="Arial" w:cs="Arial"/>
        </w:rPr>
        <w:t>的最大数量）招募患者。请参见</w:t>
      </w:r>
      <w:r w:rsidRPr="00CA01D9">
        <w:rPr>
          <w:rFonts w:ascii="Arial" w:hAnsi="Arial" w:cs="Arial"/>
        </w:rPr>
        <w:t>“</w:t>
      </w:r>
      <w:hyperlink r:id="rId22">
        <w:r w:rsidR="009D40D7" w:rsidRPr="00CA01D9">
          <w:rPr>
            <w:rFonts w:ascii="Arial" w:hAnsi="Arial" w:cs="Arial"/>
            <w:color w:val="0000FF"/>
            <w:u w:val="single" w:color="0000FF"/>
          </w:rPr>
          <w:t>IDE</w:t>
        </w:r>
        <w:r w:rsidR="009D40D7" w:rsidRPr="00CA01D9">
          <w:rPr>
            <w:rFonts w:ascii="Arial" w:hAnsi="Arial" w:cs="Arial"/>
            <w:color w:val="0000FF"/>
            <w:u w:val="single" w:color="0000FF"/>
          </w:rPr>
          <w:t>指南的</w:t>
        </w:r>
        <w:r w:rsidR="009D40D7" w:rsidRPr="00CA01D9">
          <w:rPr>
            <w:rFonts w:ascii="Arial" w:hAnsi="Arial" w:cs="Arial"/>
            <w:color w:val="0000FF"/>
            <w:u w:val="single" w:color="0000FF"/>
          </w:rPr>
          <w:t>FDA</w:t>
        </w:r>
        <w:r w:rsidR="009D40D7" w:rsidRPr="00CA01D9">
          <w:rPr>
            <w:rFonts w:ascii="Arial" w:hAnsi="Arial" w:cs="Arial"/>
            <w:color w:val="0000FF"/>
            <w:u w:val="single" w:color="0000FF"/>
          </w:rPr>
          <w:t>决策</w:t>
        </w:r>
      </w:hyperlink>
      <w:hyperlink r:id="rId23"/>
      <w:r w:rsidRPr="00CA01D9">
        <w:rPr>
          <w:rFonts w:ascii="Arial" w:hAnsi="Arial" w:cs="Arial"/>
        </w:rPr>
        <w:t>”</w:t>
      </w:r>
      <w:r w:rsidRPr="00CA01D9">
        <w:rPr>
          <w:rFonts w:ascii="Arial" w:hAnsi="Arial" w:cs="Arial"/>
        </w:rPr>
        <w:t>，第</w:t>
      </w:r>
      <w:r w:rsidRPr="00CA01D9">
        <w:rPr>
          <w:rFonts w:ascii="Arial" w:hAnsi="Arial" w:cs="Arial"/>
        </w:rPr>
        <w:t>6</w:t>
      </w:r>
      <w:r w:rsidRPr="00CA01D9">
        <w:rPr>
          <w:rFonts w:ascii="Arial" w:hAnsi="Arial" w:cs="Arial"/>
        </w:rPr>
        <w:t>页。</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如果</w:t>
      </w:r>
      <w:r w:rsidRPr="00CA01D9">
        <w:rPr>
          <w:rFonts w:ascii="Arial" w:hAnsi="Arial" w:cs="Arial"/>
        </w:rPr>
        <w:t>FDA</w:t>
      </w:r>
      <w:r w:rsidRPr="00CA01D9">
        <w:rPr>
          <w:rFonts w:ascii="Arial" w:hAnsi="Arial" w:cs="Arial"/>
        </w:rPr>
        <w:t>批准了</w:t>
      </w:r>
      <w:r w:rsidRPr="00CA01D9">
        <w:rPr>
          <w:rFonts w:ascii="Arial" w:hAnsi="Arial" w:cs="Arial"/>
        </w:rPr>
        <w:t>IDE</w:t>
      </w:r>
      <w:r w:rsidRPr="00CA01D9">
        <w:rPr>
          <w:rFonts w:ascii="Arial" w:hAnsi="Arial" w:cs="Arial"/>
        </w:rPr>
        <w:t>申请，申办方可以在收到</w:t>
      </w:r>
      <w:r w:rsidRPr="00CA01D9">
        <w:rPr>
          <w:rFonts w:ascii="Arial" w:hAnsi="Arial" w:cs="Arial"/>
        </w:rPr>
        <w:t>IRB</w:t>
      </w:r>
      <w:r w:rsidRPr="00CA01D9">
        <w:rPr>
          <w:rFonts w:ascii="Arial" w:hAnsi="Arial" w:cs="Arial"/>
        </w:rPr>
        <w:t>批准后，开始根据</w:t>
      </w:r>
      <w:r w:rsidRPr="00CA01D9">
        <w:rPr>
          <w:rFonts w:ascii="Arial" w:hAnsi="Arial" w:cs="Arial"/>
        </w:rPr>
        <w:t>FDA</w:t>
      </w:r>
      <w:r w:rsidRPr="00CA01D9">
        <w:rPr>
          <w:rFonts w:ascii="Arial" w:hAnsi="Arial" w:cs="Arial"/>
        </w:rPr>
        <w:t>决定函件中规定的限制（包括美国受试者和</w:t>
      </w:r>
      <w:r w:rsidR="00C420C7" w:rsidRPr="00CA01D9">
        <w:rPr>
          <w:rFonts w:ascii="Arial" w:hAnsi="Arial" w:cs="Arial"/>
        </w:rPr>
        <w:t>研究中心</w:t>
      </w:r>
      <w:r w:rsidRPr="00CA01D9">
        <w:rPr>
          <w:rFonts w:ascii="Arial" w:hAnsi="Arial" w:cs="Arial"/>
        </w:rPr>
        <w:t>的最大数量）招募患者，但作为批准条件，</w:t>
      </w:r>
      <w:r w:rsidRPr="00CA01D9">
        <w:rPr>
          <w:rFonts w:ascii="Arial" w:hAnsi="Arial" w:cs="Arial"/>
        </w:rPr>
        <w:t>FDA</w:t>
      </w:r>
      <w:r w:rsidRPr="00CA01D9">
        <w:rPr>
          <w:rFonts w:ascii="Arial" w:hAnsi="Arial" w:cs="Arial"/>
        </w:rPr>
        <w:t>希望申办方在</w:t>
      </w:r>
      <w:r w:rsidRPr="00CA01D9">
        <w:rPr>
          <w:rFonts w:ascii="Arial" w:hAnsi="Arial" w:cs="Arial"/>
        </w:rPr>
        <w:t>45</w:t>
      </w:r>
      <w:r w:rsidRPr="00CA01D9">
        <w:rPr>
          <w:rFonts w:ascii="Arial" w:hAnsi="Arial" w:cs="Arial"/>
        </w:rPr>
        <w:t>天内提交信息来解决</w:t>
      </w:r>
      <w:r w:rsidRPr="00CA01D9">
        <w:rPr>
          <w:rFonts w:ascii="Arial" w:hAnsi="Arial" w:cs="Arial"/>
        </w:rPr>
        <w:t>FDA</w:t>
      </w:r>
      <w:r w:rsidRPr="00CA01D9">
        <w:rPr>
          <w:rFonts w:ascii="Arial" w:hAnsi="Arial" w:cs="Arial"/>
        </w:rPr>
        <w:t>函件中确定的问题。请参见</w:t>
      </w:r>
      <w:r w:rsidRPr="00CA01D9">
        <w:rPr>
          <w:rFonts w:ascii="Arial" w:hAnsi="Arial" w:cs="Arial"/>
        </w:rPr>
        <w:t>“</w:t>
      </w:r>
      <w:hyperlink r:id="rId24">
        <w:r w:rsidR="009D40D7" w:rsidRPr="00CA01D9">
          <w:rPr>
            <w:rFonts w:ascii="Arial" w:hAnsi="Arial" w:cs="Arial"/>
            <w:color w:val="0000FF"/>
            <w:u w:val="single" w:color="0000FF"/>
          </w:rPr>
          <w:t>IDE</w:t>
        </w:r>
        <w:r w:rsidR="009D40D7" w:rsidRPr="00CA01D9">
          <w:rPr>
            <w:rFonts w:ascii="Arial" w:hAnsi="Arial" w:cs="Arial"/>
            <w:color w:val="0000FF"/>
            <w:u w:val="single" w:color="0000FF"/>
          </w:rPr>
          <w:t>指南的</w:t>
        </w:r>
        <w:r w:rsidR="009D40D7" w:rsidRPr="00CA01D9">
          <w:rPr>
            <w:rFonts w:ascii="Arial" w:hAnsi="Arial" w:cs="Arial"/>
            <w:color w:val="0000FF"/>
            <w:u w:val="single" w:color="0000FF"/>
          </w:rPr>
          <w:t>FDA</w:t>
        </w:r>
        <w:r w:rsidR="009D40D7" w:rsidRPr="00CA01D9">
          <w:rPr>
            <w:rFonts w:ascii="Arial" w:hAnsi="Arial" w:cs="Arial"/>
            <w:color w:val="0000FF"/>
            <w:u w:val="single" w:color="0000FF"/>
          </w:rPr>
          <w:t>决策</w:t>
        </w:r>
      </w:hyperlink>
      <w:r w:rsidRPr="00CA01D9">
        <w:rPr>
          <w:rFonts w:ascii="Arial" w:hAnsi="Arial" w:cs="Arial"/>
        </w:rPr>
        <w:t>”</w:t>
      </w:r>
      <w:r w:rsidRPr="00CA01D9">
        <w:rPr>
          <w:rFonts w:ascii="Arial" w:hAnsi="Arial" w:cs="Arial"/>
        </w:rPr>
        <w:t>，第</w:t>
      </w:r>
      <w:r w:rsidRPr="00CA01D9">
        <w:rPr>
          <w:rFonts w:ascii="Arial" w:hAnsi="Arial" w:cs="Arial"/>
        </w:rPr>
        <w:t>7</w:t>
      </w:r>
      <w:r w:rsidRPr="00CA01D9">
        <w:rPr>
          <w:rFonts w:ascii="Arial" w:hAnsi="Arial" w:cs="Arial"/>
        </w:rPr>
        <w:t>页。</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lastRenderedPageBreak/>
        <w:t>如果</w:t>
      </w:r>
      <w:r w:rsidRPr="00CA01D9">
        <w:rPr>
          <w:rFonts w:ascii="Arial" w:hAnsi="Arial" w:cs="Arial"/>
        </w:rPr>
        <w:t>IDE</w:t>
      </w:r>
      <w:r w:rsidRPr="00CA01D9">
        <w:rPr>
          <w:rFonts w:ascii="Arial" w:hAnsi="Arial" w:cs="Arial"/>
        </w:rPr>
        <w:t>申请被驳回，则在提交</w:t>
      </w:r>
      <w:r w:rsidRPr="00CA01D9">
        <w:rPr>
          <w:rFonts w:ascii="Arial" w:hAnsi="Arial" w:cs="Arial"/>
        </w:rPr>
        <w:t>IDE</w:t>
      </w:r>
      <w:r w:rsidRPr="00CA01D9">
        <w:rPr>
          <w:rFonts w:ascii="Arial" w:hAnsi="Arial" w:cs="Arial"/>
        </w:rPr>
        <w:t>修正材料来解决</w:t>
      </w:r>
      <w:r w:rsidRPr="00CA01D9">
        <w:rPr>
          <w:rFonts w:ascii="Arial" w:hAnsi="Arial" w:cs="Arial"/>
        </w:rPr>
        <w:t>FDA</w:t>
      </w:r>
      <w:r w:rsidRPr="00CA01D9">
        <w:rPr>
          <w:rFonts w:ascii="Arial" w:hAnsi="Arial" w:cs="Arial"/>
        </w:rPr>
        <w:t>函件中确定的缺陷并从</w:t>
      </w:r>
      <w:r w:rsidRPr="00CA01D9">
        <w:rPr>
          <w:rFonts w:ascii="Arial" w:hAnsi="Arial" w:cs="Arial"/>
        </w:rPr>
        <w:t>FDA</w:t>
      </w:r>
      <w:r w:rsidRPr="00CA01D9">
        <w:rPr>
          <w:rFonts w:ascii="Arial" w:hAnsi="Arial" w:cs="Arial"/>
        </w:rPr>
        <w:t>获得授予批准或条件</w:t>
      </w:r>
      <w:proofErr w:type="gramStart"/>
      <w:r w:rsidRPr="00CA01D9">
        <w:rPr>
          <w:rFonts w:ascii="Arial" w:hAnsi="Arial" w:cs="Arial"/>
        </w:rPr>
        <w:t>性批准</w:t>
      </w:r>
      <w:proofErr w:type="gramEnd"/>
      <w:r w:rsidRPr="00CA01D9">
        <w:rPr>
          <w:rFonts w:ascii="Arial" w:hAnsi="Arial" w:cs="Arial"/>
        </w:rPr>
        <w:t>的新函件前，申办方不得开始为临床研究招募受试者。请参见</w:t>
      </w:r>
      <w:r w:rsidRPr="00CA01D9">
        <w:rPr>
          <w:rFonts w:ascii="Arial" w:hAnsi="Arial" w:cs="Arial"/>
        </w:rPr>
        <w:t>“</w:t>
      </w:r>
      <w:hyperlink r:id="rId25">
        <w:r w:rsidR="009D40D7" w:rsidRPr="00CA01D9">
          <w:rPr>
            <w:rFonts w:ascii="Arial" w:hAnsi="Arial" w:cs="Arial"/>
            <w:color w:val="0000FF"/>
            <w:u w:val="single" w:color="0000FF"/>
          </w:rPr>
          <w:t>IDE</w:t>
        </w:r>
        <w:r w:rsidR="009D40D7" w:rsidRPr="00CA01D9">
          <w:rPr>
            <w:rFonts w:ascii="Arial" w:hAnsi="Arial" w:cs="Arial"/>
            <w:color w:val="0000FF"/>
            <w:u w:val="single" w:color="0000FF"/>
          </w:rPr>
          <w:t>指南的</w:t>
        </w:r>
        <w:r w:rsidR="009D40D7" w:rsidRPr="00CA01D9">
          <w:rPr>
            <w:rFonts w:ascii="Arial" w:hAnsi="Arial" w:cs="Arial"/>
            <w:color w:val="0000FF"/>
            <w:u w:val="single" w:color="0000FF"/>
          </w:rPr>
          <w:t>FDA</w:t>
        </w:r>
        <w:r w:rsidR="009D40D7" w:rsidRPr="00CA01D9">
          <w:rPr>
            <w:rFonts w:ascii="Arial" w:hAnsi="Arial" w:cs="Arial"/>
            <w:color w:val="0000FF"/>
            <w:u w:val="single" w:color="0000FF"/>
          </w:rPr>
          <w:t>决策</w:t>
        </w:r>
      </w:hyperlink>
      <w:r w:rsidRPr="00CA01D9">
        <w:rPr>
          <w:rFonts w:ascii="Arial" w:hAnsi="Arial" w:cs="Arial"/>
        </w:rPr>
        <w:t>”</w:t>
      </w:r>
      <w:r w:rsidRPr="00CA01D9">
        <w:rPr>
          <w:rFonts w:ascii="Arial" w:hAnsi="Arial" w:cs="Arial"/>
        </w:rPr>
        <w:t>，第</w:t>
      </w:r>
      <w:r w:rsidRPr="00CA01D9">
        <w:rPr>
          <w:rFonts w:ascii="Arial" w:hAnsi="Arial" w:cs="Arial"/>
        </w:rPr>
        <w:t>10</w:t>
      </w:r>
      <w:r w:rsidRPr="00CA01D9">
        <w:rPr>
          <w:rFonts w:ascii="Arial" w:hAnsi="Arial" w:cs="Arial"/>
        </w:rPr>
        <w:t>页。</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如果适用，</w:t>
      </w:r>
      <w:r w:rsidRPr="00CA01D9">
        <w:rPr>
          <w:rFonts w:ascii="Arial" w:hAnsi="Arial" w:cs="Arial"/>
        </w:rPr>
        <w:t>FDA</w:t>
      </w:r>
      <w:r w:rsidRPr="00CA01D9">
        <w:rPr>
          <w:rFonts w:ascii="Arial" w:hAnsi="Arial" w:cs="Arial"/>
        </w:rPr>
        <w:t>可以适当允许暂缓解决未决问题（即未来考虑因素，研究设计考虑因素，临时批准，分阶段批准），以便临床研究可以及时开始，同时确保</w:t>
      </w:r>
      <w:r w:rsidR="009D40D7" w:rsidRPr="00CA01D9">
        <w:rPr>
          <w:rFonts w:ascii="Arial" w:hAnsi="Arial" w:cs="Arial"/>
        </w:rPr>
        <w:t>受试者</w:t>
      </w:r>
      <w:r w:rsidRPr="00CA01D9">
        <w:rPr>
          <w:rFonts w:ascii="Arial" w:hAnsi="Arial" w:cs="Arial"/>
        </w:rPr>
        <w:t>得到充分保护。</w:t>
      </w:r>
      <w:r w:rsidR="001369B0">
        <w:rPr>
          <w:rStyle w:val="aa"/>
          <w:rFonts w:ascii="Arial" w:hAnsi="Arial" w:cs="Arial"/>
        </w:rPr>
        <w:footnoteReference w:id="14"/>
      </w:r>
      <w:r w:rsidRPr="00CA01D9">
        <w:rPr>
          <w:rFonts w:ascii="Arial" w:hAnsi="Arial" w:cs="Arial"/>
        </w:rPr>
        <w:t>有关临时批准的讨论，请参见</w:t>
      </w:r>
      <w:r w:rsidRPr="00CA01D9">
        <w:rPr>
          <w:rFonts w:ascii="Arial" w:hAnsi="Arial" w:cs="Arial"/>
        </w:rPr>
        <w:t>FDA</w:t>
      </w:r>
      <w:r w:rsidRPr="00CA01D9">
        <w:rPr>
          <w:rFonts w:ascii="Arial" w:hAnsi="Arial" w:cs="Arial"/>
        </w:rPr>
        <w:t>指南</w:t>
      </w:r>
      <w:r w:rsidRPr="00CA01D9">
        <w:rPr>
          <w:rFonts w:ascii="Arial" w:hAnsi="Arial" w:cs="Arial"/>
        </w:rPr>
        <w:t>“</w:t>
      </w:r>
      <w:hyperlink r:id="rId26">
        <w:r w:rsidRPr="00CA01D9">
          <w:rPr>
            <w:rFonts w:ascii="Arial" w:hAnsi="Arial" w:cs="Arial"/>
            <w:color w:val="0000FF"/>
            <w:u w:val="single" w:color="0000FF"/>
          </w:rPr>
          <w:t>早期可行性医疗器械临床研究（包括某些首次应用于人类（</w:t>
        </w:r>
        <w:r w:rsidRPr="00CA01D9">
          <w:rPr>
            <w:rFonts w:ascii="Arial" w:hAnsi="Arial" w:cs="Arial"/>
            <w:color w:val="0000FF"/>
            <w:u w:val="single" w:color="0000FF"/>
          </w:rPr>
          <w:t>FIH</w:t>
        </w:r>
        <w:r w:rsidRPr="00CA01D9">
          <w:rPr>
            <w:rFonts w:ascii="Arial" w:hAnsi="Arial" w:cs="Arial"/>
            <w:color w:val="0000FF"/>
            <w:u w:val="single" w:color="0000FF"/>
          </w:rPr>
          <w:t>）研究）的研究器械豁免（</w:t>
        </w:r>
        <w:r w:rsidRPr="00CA01D9">
          <w:rPr>
            <w:rFonts w:ascii="Arial" w:hAnsi="Arial" w:cs="Arial"/>
            <w:color w:val="0000FF"/>
            <w:u w:val="single" w:color="0000FF"/>
          </w:rPr>
          <w:t>IDE</w:t>
        </w:r>
        <w:r w:rsidRPr="00CA01D9">
          <w:rPr>
            <w:rFonts w:ascii="Arial" w:hAnsi="Arial" w:cs="Arial"/>
            <w:color w:val="0000FF"/>
            <w:u w:val="single" w:color="0000FF"/>
          </w:rPr>
          <w:t>）</w:t>
        </w:r>
      </w:hyperlink>
      <w:hyperlink r:id="rId27"/>
      <w:r w:rsidRPr="00CA01D9">
        <w:rPr>
          <w:rFonts w:ascii="Arial" w:hAnsi="Arial" w:cs="Arial"/>
        </w:rPr>
        <w:t>”</w:t>
      </w:r>
      <w:r w:rsidRPr="00CA01D9">
        <w:rPr>
          <w:rFonts w:ascii="Arial" w:hAnsi="Arial" w:cs="Arial"/>
        </w:rPr>
        <w:t>（</w:t>
      </w:r>
      <w:hyperlink r:id="rId28">
        <w:r w:rsidRPr="00CA01D9">
          <w:rPr>
            <w:rFonts w:ascii="Arial" w:hAnsi="Arial" w:cs="Arial"/>
            <w:color w:val="0000FF"/>
            <w:u w:val="single" w:color="0000FF"/>
          </w:rPr>
          <w:t>http://www.fda.gov/downloads/medicaldevices/deviceregulationandguidance/guidancedocume</w:t>
        </w:r>
      </w:hyperlink>
      <w:r w:rsidRPr="00CA01D9">
        <w:rPr>
          <w:rFonts w:ascii="Arial" w:hAnsi="Arial" w:cs="Arial"/>
          <w:color w:val="0000FF"/>
          <w:u w:val="single" w:color="0000FF"/>
        </w:rPr>
        <w:t>n</w:t>
      </w:r>
      <w:r w:rsidRPr="00CA01D9">
        <w:rPr>
          <w:rFonts w:ascii="Arial" w:hAnsi="Arial" w:cs="Arial"/>
          <w:color w:val="0000FF"/>
        </w:rPr>
        <w:t xml:space="preserve"> </w:t>
      </w:r>
      <w:hyperlink r:id="rId29">
        <w:r w:rsidRPr="00CA01D9">
          <w:rPr>
            <w:rFonts w:ascii="Arial" w:hAnsi="Arial" w:cs="Arial"/>
            <w:color w:val="0000FF"/>
            <w:u w:val="single" w:color="0000FF"/>
          </w:rPr>
          <w:t>ts/ucm279103.pdf</w:t>
        </w:r>
      </w:hyperlink>
      <w:r w:rsidRPr="00CA01D9">
        <w:rPr>
          <w:rFonts w:ascii="Arial" w:hAnsi="Arial" w:cs="Arial"/>
        </w:rPr>
        <w:t>）（</w:t>
      </w:r>
      <w:r w:rsidRPr="00CA01D9">
        <w:rPr>
          <w:rFonts w:ascii="Arial" w:hAnsi="Arial" w:cs="Arial"/>
        </w:rPr>
        <w:t>2013</w:t>
      </w:r>
      <w:r w:rsidRPr="00CA01D9">
        <w:rPr>
          <w:rFonts w:ascii="Arial" w:hAnsi="Arial" w:cs="Arial"/>
        </w:rPr>
        <w:t>年</w:t>
      </w:r>
      <w:r w:rsidRPr="00CA01D9">
        <w:rPr>
          <w:rFonts w:ascii="Arial" w:hAnsi="Arial" w:cs="Arial"/>
        </w:rPr>
        <w:t>10</w:t>
      </w:r>
      <w:r w:rsidRPr="00CA01D9">
        <w:rPr>
          <w:rFonts w:ascii="Arial" w:hAnsi="Arial" w:cs="Arial"/>
        </w:rPr>
        <w:t>月</w:t>
      </w:r>
      <w:r w:rsidRPr="00CA01D9">
        <w:rPr>
          <w:rFonts w:ascii="Arial" w:hAnsi="Arial" w:cs="Arial"/>
        </w:rPr>
        <w:t>1</w:t>
      </w:r>
      <w:r w:rsidRPr="00CA01D9">
        <w:rPr>
          <w:rFonts w:ascii="Arial" w:hAnsi="Arial" w:cs="Arial"/>
        </w:rPr>
        <w:t>日发布）（以下简称</w:t>
      </w:r>
      <w:r w:rsidRPr="00CA01D9">
        <w:rPr>
          <w:rFonts w:ascii="Arial" w:hAnsi="Arial" w:cs="Arial"/>
        </w:rPr>
        <w:t>“FDA</w:t>
      </w:r>
      <w:r w:rsidRPr="00CA01D9">
        <w:rPr>
          <w:rFonts w:ascii="Arial" w:hAnsi="Arial" w:cs="Arial"/>
        </w:rPr>
        <w:t>早期可行性指南</w:t>
      </w:r>
      <w:r w:rsidRPr="00CA01D9">
        <w:rPr>
          <w:rFonts w:ascii="Arial" w:hAnsi="Arial" w:cs="Arial"/>
        </w:rPr>
        <w:t>”</w:t>
      </w:r>
      <w:r w:rsidRPr="00CA01D9">
        <w:rPr>
          <w:rFonts w:ascii="Arial" w:hAnsi="Arial" w:cs="Arial"/>
        </w:rPr>
        <w:t>）。</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在某些情况下，</w:t>
      </w:r>
      <w:r w:rsidRPr="00CA01D9">
        <w:rPr>
          <w:rFonts w:ascii="Arial" w:hAnsi="Arial" w:cs="Arial"/>
        </w:rPr>
        <w:t>FDA</w:t>
      </w:r>
      <w:r w:rsidRPr="00CA01D9">
        <w:rPr>
          <w:rFonts w:ascii="Arial" w:hAnsi="Arial" w:cs="Arial"/>
        </w:rPr>
        <w:t>可以针对一部分计划性研究队列授予分阶段批准或条件下分阶段批准，或在可影响拟定</w:t>
      </w:r>
      <w:r w:rsidRPr="00CA01D9">
        <w:rPr>
          <w:rFonts w:ascii="Arial" w:hAnsi="Arial" w:cs="Arial"/>
        </w:rPr>
        <w:t>IDE</w:t>
      </w:r>
      <w:r w:rsidRPr="00CA01D9">
        <w:rPr>
          <w:rFonts w:ascii="Arial" w:hAnsi="Arial" w:cs="Arial"/>
        </w:rPr>
        <w:t>的收益</w:t>
      </w:r>
      <w:r w:rsidRPr="00CA01D9">
        <w:rPr>
          <w:rFonts w:ascii="Arial" w:hAnsi="Arial" w:cs="Arial"/>
        </w:rPr>
        <w:t>-</w:t>
      </w:r>
      <w:r w:rsidRPr="00CA01D9">
        <w:rPr>
          <w:rFonts w:ascii="Arial" w:hAnsi="Arial" w:cs="Arial"/>
        </w:rPr>
        <w:t>风险特征的未决问题已得到解决后准许招募有限数量的受试者。有关分阶段批准的更多信息，请参阅</w:t>
      </w:r>
      <w:r w:rsidRPr="00CA01D9">
        <w:rPr>
          <w:rFonts w:ascii="Arial" w:hAnsi="Arial" w:cs="Arial"/>
        </w:rPr>
        <w:t>“</w:t>
      </w:r>
      <w:hyperlink r:id="rId30">
        <w:r w:rsidR="009D40D7" w:rsidRPr="00CA01D9">
          <w:rPr>
            <w:rFonts w:ascii="Arial" w:hAnsi="Arial" w:cs="Arial"/>
            <w:color w:val="0000FF"/>
            <w:u w:val="single" w:color="0000FF"/>
          </w:rPr>
          <w:t>IDE</w:t>
        </w:r>
        <w:r w:rsidR="009D40D7" w:rsidRPr="00CA01D9">
          <w:rPr>
            <w:rFonts w:ascii="Arial" w:hAnsi="Arial" w:cs="Arial"/>
            <w:color w:val="0000FF"/>
            <w:u w:val="single" w:color="0000FF"/>
          </w:rPr>
          <w:t>指南的</w:t>
        </w:r>
        <w:r w:rsidR="009D40D7" w:rsidRPr="00CA01D9">
          <w:rPr>
            <w:rFonts w:ascii="Arial" w:hAnsi="Arial" w:cs="Arial"/>
            <w:color w:val="0000FF"/>
            <w:u w:val="single" w:color="0000FF"/>
          </w:rPr>
          <w:t>FDA</w:t>
        </w:r>
        <w:r w:rsidR="009D40D7" w:rsidRPr="00CA01D9">
          <w:rPr>
            <w:rFonts w:ascii="Arial" w:hAnsi="Arial" w:cs="Arial"/>
            <w:color w:val="0000FF"/>
            <w:u w:val="single" w:color="0000FF"/>
          </w:rPr>
          <w:t>决策</w:t>
        </w:r>
      </w:hyperlink>
      <w:r w:rsidRPr="00CA01D9">
        <w:rPr>
          <w:rFonts w:ascii="Arial" w:hAnsi="Arial" w:cs="Arial"/>
        </w:rPr>
        <w:t>”</w:t>
      </w:r>
      <w:r w:rsidRPr="00CA01D9">
        <w:rPr>
          <w:rFonts w:ascii="Arial" w:hAnsi="Arial" w:cs="Arial"/>
        </w:rPr>
        <w:t>，第</w:t>
      </w:r>
      <w:r w:rsidRPr="00CA01D9">
        <w:rPr>
          <w:rFonts w:ascii="Arial" w:hAnsi="Arial" w:cs="Arial"/>
        </w:rPr>
        <w:t>8</w:t>
      </w:r>
      <w:r w:rsidRPr="00CA01D9">
        <w:rPr>
          <w:rFonts w:ascii="Arial" w:hAnsi="Arial" w:cs="Arial"/>
        </w:rPr>
        <w:t>页。</w:t>
      </w:r>
      <w:r w:rsidR="001369B0">
        <w:rPr>
          <w:rStyle w:val="aa"/>
          <w:rFonts w:ascii="Arial" w:hAnsi="Arial" w:cs="Arial"/>
        </w:rPr>
        <w:footnoteReference w:id="15"/>
      </w:r>
      <w:r w:rsidRPr="00CA01D9">
        <w:rPr>
          <w:rFonts w:ascii="Arial" w:hAnsi="Arial" w:cs="Arial"/>
        </w:rPr>
        <w:t>分阶段批准可使临时研究及时开始，同时确保受试者得到适当保护。如果未实施此类缓解措施，拟定研究的收益</w:t>
      </w:r>
      <w:r w:rsidRPr="00CA01D9">
        <w:rPr>
          <w:rFonts w:ascii="Arial" w:hAnsi="Arial" w:cs="Arial"/>
        </w:rPr>
        <w:t>-</w:t>
      </w:r>
      <w:r w:rsidRPr="00CA01D9">
        <w:rPr>
          <w:rFonts w:ascii="Arial" w:hAnsi="Arial" w:cs="Arial"/>
        </w:rPr>
        <w:t>风险特征可能不允许开始研究。</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如果未决问题不会引起可能阻止开始拟定临床研究的担忧，</w:t>
      </w:r>
      <w:r w:rsidRPr="00CA01D9">
        <w:rPr>
          <w:rFonts w:ascii="Arial" w:hAnsi="Arial" w:cs="Arial"/>
        </w:rPr>
        <w:t>FDA</w:t>
      </w:r>
      <w:r w:rsidRPr="00CA01D9">
        <w:rPr>
          <w:rFonts w:ascii="Arial" w:hAnsi="Arial" w:cs="Arial"/>
        </w:rPr>
        <w:t>可能会授予条件性批准，但申办方应对研究进行推荐修改。根据</w:t>
      </w:r>
      <w:r w:rsidRPr="00CA01D9">
        <w:rPr>
          <w:rFonts w:ascii="Arial" w:hAnsi="Arial" w:cs="Arial"/>
        </w:rPr>
        <w:t>21 CFR</w:t>
      </w:r>
      <w:r w:rsidRPr="00CA01D9">
        <w:rPr>
          <w:rFonts w:ascii="Arial" w:hAnsi="Arial" w:cs="Arial"/>
        </w:rPr>
        <w:t>第</w:t>
      </w:r>
      <w:r w:rsidRPr="00CA01D9">
        <w:rPr>
          <w:rFonts w:ascii="Arial" w:hAnsi="Arial" w:cs="Arial"/>
        </w:rPr>
        <w:t>50</w:t>
      </w:r>
      <w:r w:rsidRPr="00CA01D9">
        <w:rPr>
          <w:rFonts w:ascii="Arial" w:hAnsi="Arial" w:cs="Arial"/>
        </w:rPr>
        <w:t>部分</w:t>
      </w:r>
      <w:r w:rsidRPr="00CA01D9">
        <w:rPr>
          <w:rFonts w:ascii="Arial" w:hAnsi="Arial" w:cs="Arial"/>
        </w:rPr>
        <w:t xml:space="preserve"> - </w:t>
      </w:r>
      <w:r w:rsidRPr="00CA01D9">
        <w:rPr>
          <w:rFonts w:ascii="Arial" w:hAnsi="Arial" w:cs="Arial"/>
        </w:rPr>
        <w:t>保护</w:t>
      </w:r>
      <w:r w:rsidR="009D40D7" w:rsidRPr="00CA01D9">
        <w:rPr>
          <w:rFonts w:ascii="Arial" w:hAnsi="Arial" w:cs="Arial"/>
        </w:rPr>
        <w:t>受试者</w:t>
      </w:r>
      <w:r w:rsidRPr="00CA01D9">
        <w:rPr>
          <w:rFonts w:ascii="Arial" w:hAnsi="Arial" w:cs="Arial"/>
        </w:rPr>
        <w:t>，在研究开始招募受试者之前，无需解决上述类型的问题，但如果问题与知情同意书有关，则必须在开始招募受试者之前解决。</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初始</w:t>
      </w:r>
      <w:r w:rsidRPr="00CA01D9">
        <w:rPr>
          <w:rFonts w:ascii="Arial" w:hAnsi="Arial" w:cs="Arial"/>
        </w:rPr>
        <w:t>IDE</w:t>
      </w:r>
      <w:r w:rsidRPr="00CA01D9">
        <w:rPr>
          <w:rFonts w:ascii="Arial" w:hAnsi="Arial" w:cs="Arial"/>
        </w:rPr>
        <w:t>申请批准</w:t>
      </w:r>
      <w:proofErr w:type="gramStart"/>
      <w:r w:rsidRPr="00CA01D9">
        <w:rPr>
          <w:rFonts w:ascii="Arial" w:hAnsi="Arial" w:cs="Arial"/>
        </w:rPr>
        <w:t>决策仅</w:t>
      </w:r>
      <w:proofErr w:type="gramEnd"/>
      <w:r w:rsidRPr="00CA01D9">
        <w:rPr>
          <w:rFonts w:ascii="Arial" w:hAnsi="Arial" w:cs="Arial"/>
        </w:rPr>
        <w:t>反映</w:t>
      </w:r>
      <w:r w:rsidRPr="00CA01D9">
        <w:rPr>
          <w:rFonts w:ascii="Arial" w:hAnsi="Arial" w:cs="Arial"/>
        </w:rPr>
        <w:t>FDA</w:t>
      </w:r>
      <w:r w:rsidRPr="00CA01D9">
        <w:rPr>
          <w:rFonts w:ascii="Arial" w:hAnsi="Arial" w:cs="Arial"/>
        </w:rPr>
        <w:t>评估时拟定研究的收益</w:t>
      </w:r>
      <w:r w:rsidRPr="00CA01D9">
        <w:rPr>
          <w:rFonts w:ascii="Arial" w:hAnsi="Arial" w:cs="Arial"/>
        </w:rPr>
        <w:t>-</w:t>
      </w:r>
      <w:r w:rsidRPr="00CA01D9">
        <w:rPr>
          <w:rFonts w:ascii="Arial" w:hAnsi="Arial" w:cs="Arial"/>
        </w:rPr>
        <w:t>风险特定。提供新信息后，可以适当更改批准状态（例如，从驳回变为批准），只要此类信息：</w:t>
      </w:r>
    </w:p>
    <w:p w:rsidR="00A3286A" w:rsidRPr="00CA01D9" w:rsidRDefault="00635917" w:rsidP="001369B0">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改变了对风险和收益或其相关不确定性水平的理解</w:t>
      </w:r>
      <w:r w:rsidR="009D40D7" w:rsidRPr="00CA01D9">
        <w:rPr>
          <w:rFonts w:ascii="Arial" w:eastAsia="宋体" w:hAnsi="Arial" w:cs="Arial"/>
          <w:sz w:val="24"/>
          <w:szCs w:val="24"/>
        </w:rPr>
        <w:t>；</w:t>
      </w:r>
    </w:p>
    <w:p w:rsidR="00A3286A" w:rsidRPr="00CA01D9" w:rsidRDefault="00635917" w:rsidP="001369B0">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改变了风险控制或缓解措施的置信度（参见附录</w:t>
      </w:r>
      <w:r w:rsidRPr="00CA01D9">
        <w:rPr>
          <w:rFonts w:ascii="Arial" w:eastAsia="宋体" w:hAnsi="Arial" w:cs="Arial"/>
          <w:sz w:val="24"/>
          <w:szCs w:val="24"/>
        </w:rPr>
        <w:t>D</w:t>
      </w:r>
      <w:r w:rsidRPr="00CA01D9">
        <w:rPr>
          <w:rFonts w:ascii="Arial" w:eastAsia="宋体" w:hAnsi="Arial" w:cs="Arial"/>
          <w:sz w:val="24"/>
          <w:szCs w:val="24"/>
        </w:rPr>
        <w:t>）</w:t>
      </w:r>
      <w:r w:rsidR="009D40D7" w:rsidRPr="00CA01D9">
        <w:rPr>
          <w:rFonts w:ascii="Arial" w:eastAsia="宋体" w:hAnsi="Arial" w:cs="Arial"/>
          <w:sz w:val="24"/>
          <w:szCs w:val="24"/>
        </w:rPr>
        <w:t>；</w:t>
      </w:r>
      <w:r w:rsidRPr="00CA01D9">
        <w:rPr>
          <w:rFonts w:ascii="Arial" w:eastAsia="宋体" w:hAnsi="Arial" w:cs="Arial"/>
          <w:sz w:val="24"/>
          <w:szCs w:val="24"/>
        </w:rPr>
        <w:t>或</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1369B0">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bookmarkStart w:id="18" w:name="Study_Design_Considerations"/>
      <w:bookmarkStart w:id="19" w:name="IV._IDE_APPLICATION_ASSESSMENT_IN_THE_CO"/>
      <w:bookmarkStart w:id="20" w:name="A.__Stages_of_Device_Development"/>
      <w:bookmarkEnd w:id="18"/>
      <w:bookmarkEnd w:id="19"/>
      <w:bookmarkEnd w:id="20"/>
      <w:r w:rsidRPr="00CA01D9">
        <w:rPr>
          <w:rFonts w:ascii="Arial" w:eastAsia="宋体" w:hAnsi="Arial" w:cs="Arial"/>
          <w:sz w:val="24"/>
          <w:szCs w:val="24"/>
        </w:rPr>
        <w:lastRenderedPageBreak/>
        <w:t>改变了</w:t>
      </w:r>
      <w:r w:rsidRPr="00CA01D9">
        <w:rPr>
          <w:rFonts w:ascii="Arial" w:eastAsia="宋体" w:hAnsi="Arial" w:cs="Arial"/>
          <w:sz w:val="24"/>
          <w:szCs w:val="24"/>
        </w:rPr>
        <w:t>IDE</w:t>
      </w:r>
      <w:r w:rsidRPr="00CA01D9">
        <w:rPr>
          <w:rFonts w:ascii="Arial" w:eastAsia="宋体" w:hAnsi="Arial" w:cs="Arial"/>
          <w:sz w:val="24"/>
          <w:szCs w:val="24"/>
        </w:rPr>
        <w:t>器械相对于替代方案的收益</w:t>
      </w:r>
      <w:r w:rsidRPr="00CA01D9">
        <w:rPr>
          <w:rFonts w:ascii="Arial" w:eastAsia="宋体" w:hAnsi="Arial" w:cs="Arial"/>
          <w:sz w:val="24"/>
          <w:szCs w:val="24"/>
        </w:rPr>
        <w:t>-</w:t>
      </w:r>
      <w:r w:rsidRPr="00CA01D9">
        <w:rPr>
          <w:rFonts w:ascii="Arial" w:eastAsia="宋体" w:hAnsi="Arial" w:cs="Arial"/>
          <w:sz w:val="24"/>
          <w:szCs w:val="24"/>
        </w:rPr>
        <w:t>风险特征，进而改变了疾病或临床诊断</w:t>
      </w:r>
      <w:r w:rsidRPr="00CA01D9">
        <w:rPr>
          <w:rFonts w:ascii="Arial" w:eastAsia="宋体" w:hAnsi="Arial" w:cs="Arial"/>
          <w:sz w:val="24"/>
          <w:szCs w:val="24"/>
        </w:rPr>
        <w:t>/</w:t>
      </w:r>
      <w:r w:rsidRPr="00CA01D9">
        <w:rPr>
          <w:rFonts w:ascii="Arial" w:eastAsia="宋体" w:hAnsi="Arial" w:cs="Arial"/>
          <w:sz w:val="24"/>
          <w:szCs w:val="24"/>
        </w:rPr>
        <w:t>治疗环境。</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如有必要，</w:t>
      </w:r>
      <w:r w:rsidRPr="00CA01D9">
        <w:rPr>
          <w:rFonts w:ascii="Arial" w:hAnsi="Arial" w:cs="Arial"/>
        </w:rPr>
        <w:t>FDA</w:t>
      </w:r>
      <w:r w:rsidRPr="00CA01D9">
        <w:rPr>
          <w:rFonts w:ascii="Arial" w:hAnsi="Arial" w:cs="Arial"/>
        </w:rPr>
        <w:t>可能会采取适当的监管行动来保护</w:t>
      </w:r>
      <w:r w:rsidR="00C420C7" w:rsidRPr="00CA01D9">
        <w:rPr>
          <w:rFonts w:ascii="Arial" w:hAnsi="Arial" w:cs="Arial"/>
        </w:rPr>
        <w:t>研究受试者</w:t>
      </w:r>
      <w:r w:rsidRPr="00CA01D9">
        <w:rPr>
          <w:rFonts w:ascii="Arial" w:hAnsi="Arial" w:cs="Arial"/>
        </w:rPr>
        <w:t>，包括对研究施加临床限制。如果在考虑了</w:t>
      </w:r>
      <w:r w:rsidRPr="00CA01D9">
        <w:rPr>
          <w:rFonts w:ascii="Arial" w:hAnsi="Arial" w:cs="Arial"/>
        </w:rPr>
        <w:t>FD</w:t>
      </w:r>
      <w:r w:rsidRPr="00CA01D9">
        <w:rPr>
          <w:rFonts w:ascii="Arial" w:hAnsi="Arial" w:cs="Arial"/>
        </w:rPr>
        <w:t>＆</w:t>
      </w:r>
      <w:r w:rsidRPr="00CA01D9">
        <w:rPr>
          <w:rFonts w:ascii="Arial" w:hAnsi="Arial" w:cs="Arial"/>
        </w:rPr>
        <w:t>C</w:t>
      </w:r>
      <w:r w:rsidRPr="00CA01D9">
        <w:rPr>
          <w:rFonts w:ascii="Arial" w:hAnsi="Arial" w:cs="Arial"/>
        </w:rPr>
        <w:t>法案第</w:t>
      </w:r>
      <w:r w:rsidRPr="00CA01D9">
        <w:rPr>
          <w:rFonts w:ascii="Arial" w:hAnsi="Arial" w:cs="Arial"/>
        </w:rPr>
        <w:t>520</w:t>
      </w:r>
      <w:r w:rsidRPr="00CA01D9">
        <w:rPr>
          <w:rFonts w:ascii="Arial" w:hAnsi="Arial" w:cs="Arial"/>
        </w:rPr>
        <w:t>（</w:t>
      </w:r>
      <w:r w:rsidRPr="00CA01D9">
        <w:rPr>
          <w:rFonts w:ascii="Arial" w:hAnsi="Arial" w:cs="Arial"/>
        </w:rPr>
        <w:t>g</w:t>
      </w:r>
      <w:r w:rsidRPr="00CA01D9">
        <w:rPr>
          <w:rFonts w:ascii="Arial" w:hAnsi="Arial" w:cs="Arial"/>
        </w:rPr>
        <w:t>）（</w:t>
      </w:r>
      <w:r w:rsidRPr="00CA01D9">
        <w:rPr>
          <w:rFonts w:ascii="Arial" w:hAnsi="Arial" w:cs="Arial"/>
        </w:rPr>
        <w:t>8</w:t>
      </w:r>
      <w:r w:rsidRPr="00CA01D9">
        <w:rPr>
          <w:rFonts w:ascii="Arial" w:hAnsi="Arial" w:cs="Arial"/>
        </w:rPr>
        <w:t>）条的因素后，确定研究器械可对临床研究受试者的安全构成不合理风险，</w:t>
      </w:r>
      <w:r w:rsidRPr="00CA01D9">
        <w:rPr>
          <w:rFonts w:ascii="Arial" w:hAnsi="Arial" w:cs="Arial"/>
        </w:rPr>
        <w:t>FDA</w:t>
      </w:r>
      <w:r w:rsidRPr="00CA01D9">
        <w:rPr>
          <w:rFonts w:ascii="Arial" w:hAnsi="Arial" w:cs="Arial"/>
        </w:rPr>
        <w:t>可以对研究施加</w:t>
      </w:r>
      <w:r w:rsidRPr="00CA01D9">
        <w:rPr>
          <w:rFonts w:ascii="Arial" w:hAnsi="Arial" w:cs="Arial"/>
        </w:rPr>
        <w:t>“</w:t>
      </w:r>
      <w:r w:rsidRPr="00CA01D9">
        <w:rPr>
          <w:rFonts w:ascii="Arial" w:hAnsi="Arial" w:cs="Arial"/>
        </w:rPr>
        <w:t>临床限制</w:t>
      </w:r>
      <w:r w:rsidRPr="00CA01D9">
        <w:rPr>
          <w:rFonts w:ascii="Arial" w:hAnsi="Arial" w:cs="Arial"/>
        </w:rPr>
        <w:t>”</w:t>
      </w:r>
      <w:r w:rsidRPr="00CA01D9">
        <w:rPr>
          <w:rFonts w:ascii="Arial" w:hAnsi="Arial" w:cs="Arial"/>
        </w:rPr>
        <w:t>。研究被施加限制后，不得再招募其他受试者。</w:t>
      </w:r>
    </w:p>
    <w:p w:rsidR="00A3286A" w:rsidRPr="00CA01D9" w:rsidRDefault="00635917" w:rsidP="00341F19">
      <w:pPr>
        <w:pStyle w:val="2"/>
        <w:numPr>
          <w:ilvl w:val="0"/>
          <w:numId w:val="15"/>
        </w:numPr>
        <w:tabs>
          <w:tab w:val="left" w:pos="840"/>
        </w:tabs>
        <w:snapToGrid w:val="0"/>
        <w:spacing w:afterLines="100" w:after="240" w:line="300" w:lineRule="auto"/>
        <w:ind w:left="720"/>
        <w:jc w:val="both"/>
        <w:rPr>
          <w:rFonts w:ascii="Arial" w:hAnsi="Arial" w:cs="Arial"/>
          <w:b w:val="0"/>
          <w:bCs w:val="0"/>
          <w:i w:val="0"/>
        </w:rPr>
      </w:pPr>
      <w:bookmarkStart w:id="21" w:name="_bookmark21"/>
      <w:bookmarkStart w:id="22" w:name="_Toc498621500"/>
      <w:bookmarkEnd w:id="21"/>
      <w:r w:rsidRPr="00CA01D9">
        <w:rPr>
          <w:rFonts w:ascii="Arial" w:hAnsi="Arial" w:cs="Arial"/>
        </w:rPr>
        <w:t>研究设计考虑因素</w:t>
      </w:r>
      <w:bookmarkEnd w:id="22"/>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虽然根据</w:t>
      </w:r>
      <w:r w:rsidRPr="00CA01D9">
        <w:rPr>
          <w:rFonts w:ascii="Arial" w:hAnsi="Arial" w:cs="Arial"/>
        </w:rPr>
        <w:t>“FD</w:t>
      </w:r>
      <w:r w:rsidRPr="00CA01D9">
        <w:rPr>
          <w:rFonts w:ascii="Arial" w:hAnsi="Arial" w:cs="Arial"/>
        </w:rPr>
        <w:t>＆</w:t>
      </w:r>
      <w:r w:rsidRPr="00CA01D9">
        <w:rPr>
          <w:rFonts w:ascii="Arial" w:hAnsi="Arial" w:cs="Arial"/>
        </w:rPr>
        <w:t>C</w:t>
      </w:r>
      <w:r w:rsidRPr="00CA01D9">
        <w:rPr>
          <w:rFonts w:ascii="Arial" w:hAnsi="Arial" w:cs="Arial"/>
        </w:rPr>
        <w:t>法</w:t>
      </w:r>
      <w:r w:rsidRPr="00CA01D9">
        <w:rPr>
          <w:rFonts w:ascii="Arial" w:hAnsi="Arial" w:cs="Arial"/>
        </w:rPr>
        <w:t>”</w:t>
      </w:r>
      <w:r w:rsidRPr="00CA01D9">
        <w:rPr>
          <w:rFonts w:ascii="Arial" w:hAnsi="Arial" w:cs="Arial"/>
        </w:rPr>
        <w:t>第</w:t>
      </w:r>
      <w:r w:rsidRPr="00CA01D9">
        <w:rPr>
          <w:rFonts w:ascii="Arial" w:hAnsi="Arial" w:cs="Arial"/>
        </w:rPr>
        <w:t>520</w:t>
      </w:r>
      <w:r w:rsidRPr="00CA01D9">
        <w:rPr>
          <w:rFonts w:ascii="Arial" w:hAnsi="Arial" w:cs="Arial"/>
        </w:rPr>
        <w:t>（</w:t>
      </w:r>
      <w:r w:rsidRPr="00CA01D9">
        <w:rPr>
          <w:rFonts w:ascii="Arial" w:hAnsi="Arial" w:cs="Arial"/>
        </w:rPr>
        <w:t>g</w:t>
      </w:r>
      <w:r w:rsidRPr="00CA01D9">
        <w:rPr>
          <w:rFonts w:ascii="Arial" w:hAnsi="Arial" w:cs="Arial"/>
        </w:rPr>
        <w:t>）（</w:t>
      </w:r>
      <w:r w:rsidRPr="00CA01D9">
        <w:rPr>
          <w:rFonts w:ascii="Arial" w:hAnsi="Arial" w:cs="Arial"/>
        </w:rPr>
        <w:t>4</w:t>
      </w:r>
      <w:r w:rsidRPr="00CA01D9">
        <w:rPr>
          <w:rFonts w:ascii="Arial" w:hAnsi="Arial" w:cs="Arial"/>
        </w:rPr>
        <w:t>）（</w:t>
      </w:r>
      <w:r w:rsidRPr="00CA01D9">
        <w:rPr>
          <w:rFonts w:ascii="Arial" w:hAnsi="Arial" w:cs="Arial"/>
        </w:rPr>
        <w:t>C</w:t>
      </w:r>
      <w:r w:rsidRPr="00CA01D9">
        <w:rPr>
          <w:rFonts w:ascii="Arial" w:hAnsi="Arial" w:cs="Arial"/>
        </w:rPr>
        <w:t>）条，</w:t>
      </w:r>
      <w:r w:rsidRPr="00CA01D9">
        <w:rPr>
          <w:rFonts w:ascii="Arial" w:hAnsi="Arial" w:cs="Arial"/>
        </w:rPr>
        <w:t>FDA</w:t>
      </w:r>
      <w:r w:rsidRPr="00CA01D9">
        <w:rPr>
          <w:rFonts w:ascii="Arial" w:hAnsi="Arial" w:cs="Arial"/>
        </w:rPr>
        <w:t>不会因关键研究的调查计划无法支持上市提交材料的批准或许可而驳回</w:t>
      </w:r>
      <w:r w:rsidRPr="00CA01D9">
        <w:rPr>
          <w:rFonts w:ascii="Arial" w:hAnsi="Arial" w:cs="Arial"/>
        </w:rPr>
        <w:t>IDE</w:t>
      </w:r>
      <w:r w:rsidRPr="00CA01D9">
        <w:rPr>
          <w:rFonts w:ascii="Arial" w:hAnsi="Arial" w:cs="Arial"/>
        </w:rPr>
        <w:t>，但研究设计与可以从此研究获得的知识有着直接关系。如果研究设计不良，则其产生的证据可能会导致错误结论，进而对公共卫生造成严重的负面影响。如果研究设计不良，则其产生的证据数据可能不具确定性或难以解释，从而限制了研究产生有用知识的程度。</w:t>
      </w:r>
    </w:p>
    <w:p w:rsidR="00A3286A" w:rsidRPr="00CA01D9" w:rsidRDefault="00635917" w:rsidP="00F3419D">
      <w:pPr>
        <w:pStyle w:val="a3"/>
        <w:snapToGrid w:val="0"/>
        <w:spacing w:afterLines="100" w:after="240" w:line="300" w:lineRule="auto"/>
        <w:ind w:left="0"/>
        <w:jc w:val="both"/>
        <w:rPr>
          <w:rFonts w:ascii="Arial" w:hAnsi="Arial" w:cs="Arial"/>
        </w:rPr>
      </w:pPr>
      <w:r w:rsidRPr="00CA01D9">
        <w:rPr>
          <w:rFonts w:ascii="Arial" w:hAnsi="Arial" w:cs="Arial"/>
        </w:rPr>
        <w:t>相反，设计良好的研究更有可能产生关于器械或疾病的重要知识。</w:t>
      </w:r>
      <w:r w:rsidRPr="00CA01D9">
        <w:rPr>
          <w:rFonts w:ascii="Arial" w:hAnsi="Arial" w:cs="Arial"/>
        </w:rPr>
        <w:t>FDA</w:t>
      </w:r>
      <w:r w:rsidRPr="00CA01D9">
        <w:rPr>
          <w:rFonts w:ascii="Arial" w:hAnsi="Arial" w:cs="Arial"/>
        </w:rPr>
        <w:t>认为，鼓励进行设计用于实现既定目标的研究可提高效率，减轻负担。如果</w:t>
      </w:r>
      <w:r w:rsidRPr="00CA01D9">
        <w:rPr>
          <w:rFonts w:ascii="Arial" w:hAnsi="Arial" w:cs="Arial"/>
        </w:rPr>
        <w:t>FDA</w:t>
      </w:r>
      <w:r w:rsidRPr="00CA01D9">
        <w:rPr>
          <w:rFonts w:ascii="Arial" w:hAnsi="Arial" w:cs="Arial"/>
        </w:rPr>
        <w:t>认为，修改可以提高研究产生的信息和知识质量，则</w:t>
      </w:r>
      <w:r w:rsidRPr="00CA01D9">
        <w:rPr>
          <w:rFonts w:ascii="Arial" w:hAnsi="Arial" w:cs="Arial"/>
        </w:rPr>
        <w:t>FDA</w:t>
      </w:r>
      <w:r w:rsidRPr="00CA01D9">
        <w:rPr>
          <w:rFonts w:ascii="Arial" w:hAnsi="Arial" w:cs="Arial"/>
        </w:rPr>
        <w:t>可能会向申办方提供有关研究设计的建议修改</w:t>
      </w:r>
      <w:r w:rsidRPr="00CA01D9">
        <w:rPr>
          <w:rFonts w:ascii="Arial" w:hAnsi="Arial" w:cs="Arial"/>
        </w:rPr>
        <w:t xml:space="preserve"> - </w:t>
      </w:r>
      <w:r w:rsidRPr="00CA01D9">
        <w:rPr>
          <w:rFonts w:ascii="Arial" w:hAnsi="Arial" w:cs="Arial"/>
        </w:rPr>
        <w:t>研究设计注意事项（</w:t>
      </w:r>
      <w:r w:rsidRPr="00CA01D9">
        <w:rPr>
          <w:rFonts w:ascii="Arial" w:hAnsi="Arial" w:cs="Arial"/>
        </w:rPr>
        <w:t>SDC</w:t>
      </w:r>
      <w:r w:rsidRPr="00CA01D9">
        <w:rPr>
          <w:rFonts w:ascii="Arial" w:hAnsi="Arial" w:cs="Arial"/>
        </w:rPr>
        <w:t>）</w:t>
      </w:r>
      <w:r w:rsidR="00CF3364">
        <w:rPr>
          <w:rStyle w:val="aa"/>
          <w:rFonts w:ascii="Arial" w:hAnsi="Arial" w:cs="Arial"/>
        </w:rPr>
        <w:footnoteReference w:id="16"/>
      </w:r>
      <w:r w:rsidRPr="00CA01D9">
        <w:rPr>
          <w:rFonts w:ascii="Arial" w:hAnsi="Arial" w:cs="Arial"/>
        </w:rPr>
        <w:t xml:space="preserve"> - </w:t>
      </w:r>
      <w:r w:rsidRPr="00CA01D9">
        <w:rPr>
          <w:rFonts w:ascii="Arial" w:hAnsi="Arial" w:cs="Arial"/>
        </w:rPr>
        <w:t>即鼓励申办方进行此类修改，但不强制要求。</w:t>
      </w:r>
    </w:p>
    <w:p w:rsidR="00A3286A" w:rsidRPr="00915AD9" w:rsidRDefault="00635917" w:rsidP="00CA01D9">
      <w:pPr>
        <w:pStyle w:val="1"/>
        <w:numPr>
          <w:ilvl w:val="0"/>
          <w:numId w:val="17"/>
        </w:numPr>
        <w:tabs>
          <w:tab w:val="left" w:pos="534"/>
        </w:tabs>
        <w:snapToGrid w:val="0"/>
        <w:spacing w:afterLines="100" w:after="240" w:line="300" w:lineRule="auto"/>
        <w:ind w:left="0" w:firstLine="0"/>
        <w:jc w:val="both"/>
        <w:rPr>
          <w:rFonts w:ascii="Arial" w:hAnsi="Arial" w:cs="Arial"/>
          <w:b w:val="0"/>
          <w:bCs w:val="0"/>
          <w:sz w:val="32"/>
          <w:szCs w:val="32"/>
        </w:rPr>
      </w:pPr>
      <w:bookmarkStart w:id="23" w:name="_bookmark22"/>
      <w:bookmarkStart w:id="24" w:name="_Toc498621501"/>
      <w:bookmarkEnd w:id="23"/>
      <w:r w:rsidRPr="00915AD9">
        <w:rPr>
          <w:rFonts w:ascii="Arial" w:hAnsi="Arial" w:cs="Arial"/>
          <w:sz w:val="32"/>
          <w:szCs w:val="32"/>
        </w:rPr>
        <w:t>根据器械开发路径评估</w:t>
      </w:r>
      <w:r w:rsidRPr="00915AD9">
        <w:rPr>
          <w:rFonts w:ascii="Arial" w:hAnsi="Arial" w:cs="Arial"/>
          <w:sz w:val="32"/>
          <w:szCs w:val="32"/>
        </w:rPr>
        <w:t>IDE</w:t>
      </w:r>
      <w:r w:rsidRPr="00915AD9">
        <w:rPr>
          <w:rFonts w:ascii="Arial" w:hAnsi="Arial" w:cs="Arial"/>
          <w:sz w:val="32"/>
          <w:szCs w:val="32"/>
        </w:rPr>
        <w:t>申请</w:t>
      </w:r>
      <w:bookmarkEnd w:id="24"/>
    </w:p>
    <w:p w:rsidR="00A3286A" w:rsidRPr="00CA01D9" w:rsidRDefault="00635917" w:rsidP="00915AD9">
      <w:pPr>
        <w:pStyle w:val="2"/>
        <w:numPr>
          <w:ilvl w:val="0"/>
          <w:numId w:val="12"/>
        </w:numPr>
        <w:tabs>
          <w:tab w:val="left" w:pos="840"/>
        </w:tabs>
        <w:snapToGrid w:val="0"/>
        <w:spacing w:afterLines="100" w:after="240" w:line="300" w:lineRule="auto"/>
        <w:ind w:left="720"/>
        <w:jc w:val="both"/>
        <w:rPr>
          <w:rFonts w:ascii="Arial" w:hAnsi="Arial" w:cs="Arial"/>
          <w:b w:val="0"/>
          <w:bCs w:val="0"/>
          <w:i w:val="0"/>
        </w:rPr>
      </w:pPr>
      <w:bookmarkStart w:id="25" w:name="_bookmark23"/>
      <w:bookmarkStart w:id="26" w:name="_Toc498621502"/>
      <w:bookmarkEnd w:id="25"/>
      <w:r w:rsidRPr="00CA01D9">
        <w:rPr>
          <w:rFonts w:ascii="Arial" w:hAnsi="Arial" w:cs="Arial"/>
        </w:rPr>
        <w:t>器械开发阶段</w:t>
      </w:r>
      <w:bookmarkEnd w:id="26"/>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评估</w:t>
      </w:r>
      <w:r w:rsidRPr="00CA01D9">
        <w:rPr>
          <w:rFonts w:ascii="Arial" w:hAnsi="Arial" w:cs="Arial"/>
        </w:rPr>
        <w:t>IDE</w:t>
      </w:r>
      <w:r w:rsidRPr="00CA01D9">
        <w:rPr>
          <w:rFonts w:ascii="Arial" w:hAnsi="Arial" w:cs="Arial"/>
        </w:rPr>
        <w:t>收益</w:t>
      </w:r>
      <w:r w:rsidRPr="00CA01D9">
        <w:rPr>
          <w:rFonts w:ascii="Arial" w:hAnsi="Arial" w:cs="Arial"/>
        </w:rPr>
        <w:t>-</w:t>
      </w:r>
      <w:r w:rsidRPr="00CA01D9">
        <w:rPr>
          <w:rFonts w:ascii="Arial" w:hAnsi="Arial" w:cs="Arial"/>
        </w:rPr>
        <w:t>风险时，</w:t>
      </w:r>
      <w:r w:rsidRPr="00CA01D9">
        <w:rPr>
          <w:rFonts w:ascii="Arial" w:hAnsi="Arial" w:cs="Arial"/>
        </w:rPr>
        <w:t>FDA</w:t>
      </w:r>
      <w:r w:rsidRPr="00CA01D9">
        <w:rPr>
          <w:rFonts w:ascii="Arial" w:hAnsi="Arial" w:cs="Arial"/>
        </w:rPr>
        <w:t>将考虑：</w:t>
      </w:r>
      <w:r w:rsidRPr="00CA01D9">
        <w:rPr>
          <w:rFonts w:ascii="Arial" w:hAnsi="Arial" w:cs="Arial"/>
        </w:rPr>
        <w:t>1</w:t>
      </w:r>
      <w:r w:rsidRPr="00CA01D9">
        <w:rPr>
          <w:rFonts w:ascii="Arial" w:hAnsi="Arial" w:cs="Arial"/>
        </w:rPr>
        <w:t>）器械开发阶段，</w:t>
      </w:r>
      <w:r w:rsidRPr="00CA01D9">
        <w:rPr>
          <w:rFonts w:ascii="Arial" w:hAnsi="Arial" w:cs="Arial"/>
        </w:rPr>
        <w:t>2</w:t>
      </w:r>
      <w:r w:rsidRPr="00CA01D9">
        <w:rPr>
          <w:rFonts w:ascii="Arial" w:hAnsi="Arial" w:cs="Arial"/>
        </w:rPr>
        <w:t>）拟定技术的成熟度，</w:t>
      </w:r>
      <w:r w:rsidRPr="00CA01D9">
        <w:rPr>
          <w:rFonts w:ascii="Arial" w:hAnsi="Arial" w:cs="Arial"/>
        </w:rPr>
        <w:t>3</w:t>
      </w:r>
      <w:r w:rsidRPr="00CA01D9">
        <w:rPr>
          <w:rFonts w:ascii="Arial" w:hAnsi="Arial" w:cs="Arial"/>
        </w:rPr>
        <w:t>）非临床试验补充或替代临床试验的可用性。</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FDA</w:t>
      </w:r>
      <w:r w:rsidRPr="00CA01D9">
        <w:rPr>
          <w:rFonts w:ascii="Arial" w:hAnsi="Arial" w:cs="Arial"/>
        </w:rPr>
        <w:t>的</w:t>
      </w:r>
      <w:hyperlink r:id="rId31">
        <w:r w:rsidRPr="00CA01D9">
          <w:rPr>
            <w:rFonts w:ascii="Arial" w:hAnsi="Arial" w:cs="Arial"/>
            <w:color w:val="0000FF"/>
            <w:u w:val="single" w:color="0000FF"/>
          </w:rPr>
          <w:t>早期可行性指南</w:t>
        </w:r>
      </w:hyperlink>
      <w:r w:rsidRPr="00CA01D9">
        <w:rPr>
          <w:rFonts w:ascii="Arial" w:hAnsi="Arial" w:cs="Arial"/>
        </w:rPr>
        <w:t>（第</w:t>
      </w:r>
      <w:r w:rsidRPr="00CA01D9">
        <w:rPr>
          <w:rFonts w:ascii="Arial" w:hAnsi="Arial" w:cs="Arial"/>
        </w:rPr>
        <w:t>6</w:t>
      </w:r>
      <w:r w:rsidRPr="00CA01D9">
        <w:rPr>
          <w:rFonts w:ascii="Arial" w:hAnsi="Arial" w:cs="Arial"/>
        </w:rPr>
        <w:t>页）界定了以下器械研究类型：</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CF3364">
      <w:pPr>
        <w:pStyle w:val="a3"/>
        <w:snapToGrid w:val="0"/>
        <w:spacing w:afterLines="100" w:after="240" w:line="300" w:lineRule="auto"/>
        <w:ind w:leftChars="200" w:left="440"/>
        <w:jc w:val="both"/>
        <w:rPr>
          <w:rFonts w:ascii="Arial" w:hAnsi="Arial" w:cs="Arial"/>
        </w:rPr>
      </w:pPr>
      <w:r w:rsidRPr="00CA01D9">
        <w:rPr>
          <w:rFonts w:ascii="Arial" w:hAnsi="Arial" w:cs="Arial"/>
        </w:rPr>
        <w:lastRenderedPageBreak/>
        <w:t>首次应用于人类</w:t>
      </w:r>
      <w:r w:rsidR="00FC4A7B" w:rsidRPr="00CA01D9">
        <w:rPr>
          <w:rFonts w:ascii="Arial" w:hAnsi="Arial" w:cs="Arial"/>
        </w:rPr>
        <w:t>（</w:t>
      </w:r>
      <w:r w:rsidRPr="00CA01D9">
        <w:rPr>
          <w:rFonts w:ascii="Arial" w:hAnsi="Arial" w:cs="Arial"/>
        </w:rPr>
        <w:t>FIH</w:t>
      </w:r>
      <w:r w:rsidR="00FC4A7B" w:rsidRPr="00CA01D9">
        <w:rPr>
          <w:rFonts w:ascii="Arial" w:hAnsi="Arial" w:cs="Arial"/>
        </w:rPr>
        <w:t>）</w:t>
      </w:r>
      <w:r w:rsidR="009D40D7" w:rsidRPr="00CA01D9">
        <w:rPr>
          <w:rFonts w:ascii="Arial" w:hAnsi="Arial" w:cs="Arial"/>
        </w:rPr>
        <w:t>：</w:t>
      </w:r>
      <w:r w:rsidRPr="00CA01D9">
        <w:rPr>
          <w:rFonts w:ascii="Arial" w:hAnsi="Arial" w:cs="Arial"/>
        </w:rPr>
        <w:t>首次应用于人类研究是首次在</w:t>
      </w:r>
      <w:r w:rsidR="009D40D7" w:rsidRPr="00CA01D9">
        <w:rPr>
          <w:rFonts w:ascii="Arial" w:hAnsi="Arial" w:cs="Arial"/>
        </w:rPr>
        <w:t>受试者</w:t>
      </w:r>
      <w:r w:rsidRPr="00CA01D9">
        <w:rPr>
          <w:rFonts w:ascii="Arial" w:hAnsi="Arial" w:cs="Arial"/>
        </w:rPr>
        <w:t>中针对特定适应症评价器械的一类研究。</w:t>
      </w:r>
    </w:p>
    <w:p w:rsidR="00A3286A" w:rsidRPr="00CA01D9" w:rsidRDefault="00635917" w:rsidP="00CF3364">
      <w:pPr>
        <w:pStyle w:val="a3"/>
        <w:snapToGrid w:val="0"/>
        <w:spacing w:afterLines="100" w:after="240" w:line="300" w:lineRule="auto"/>
        <w:ind w:leftChars="200" w:left="440"/>
        <w:jc w:val="both"/>
        <w:rPr>
          <w:rFonts w:ascii="Arial" w:hAnsi="Arial" w:cs="Arial"/>
        </w:rPr>
      </w:pPr>
      <w:r w:rsidRPr="00CA01D9">
        <w:rPr>
          <w:rFonts w:ascii="Arial" w:hAnsi="Arial" w:cs="Arial"/>
        </w:rPr>
        <w:t>早期可行性：早期可行性研究是针对特定适应症使用尚处于早期开发阶段（通常在确定器械设计之前）的器械进行的有限临床研究（例如，用于新的或既定预期用途的创新器械，用于新型临床应用的已上市器械）。</w:t>
      </w:r>
    </w:p>
    <w:p w:rsidR="00A3286A" w:rsidRPr="00CA01D9" w:rsidRDefault="00635917" w:rsidP="00CF3364">
      <w:pPr>
        <w:pStyle w:val="a3"/>
        <w:snapToGrid w:val="0"/>
        <w:spacing w:afterLines="100" w:after="240" w:line="300" w:lineRule="auto"/>
        <w:ind w:leftChars="200" w:left="440"/>
        <w:jc w:val="both"/>
        <w:rPr>
          <w:rFonts w:ascii="Arial" w:hAnsi="Arial" w:cs="Arial"/>
        </w:rPr>
      </w:pPr>
      <w:r w:rsidRPr="00CA01D9">
        <w:rPr>
          <w:rFonts w:ascii="Arial" w:hAnsi="Arial" w:cs="Arial"/>
        </w:rPr>
        <w:t>传统可行性：传统可行性研究是通常用于获得半成品或成品器械设计的初步安全性和有效性信息，以便充分规划适当的关键研究的临床研究。</w:t>
      </w:r>
    </w:p>
    <w:p w:rsidR="00A3286A" w:rsidRPr="00CA01D9" w:rsidRDefault="00635917" w:rsidP="00CF3364">
      <w:pPr>
        <w:pStyle w:val="a3"/>
        <w:snapToGrid w:val="0"/>
        <w:spacing w:afterLines="100" w:after="240" w:line="300" w:lineRule="auto"/>
        <w:ind w:leftChars="200" w:left="440"/>
        <w:jc w:val="both"/>
        <w:rPr>
          <w:rFonts w:ascii="Arial" w:hAnsi="Arial" w:cs="Arial"/>
        </w:rPr>
      </w:pPr>
      <w:r w:rsidRPr="00CA01D9">
        <w:rPr>
          <w:rFonts w:ascii="Arial" w:hAnsi="Arial" w:cs="Arial"/>
        </w:rPr>
        <w:t>关键研究：关键研究是旨在收集有关器械用于特定预期用途的安全性和有效性的确定性证据的临床研究，此研究通常在数量符合统计要求的受试者中进行。</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在某些情况下，</w:t>
      </w:r>
      <w:r w:rsidRPr="00CA01D9">
        <w:rPr>
          <w:rFonts w:ascii="Arial" w:hAnsi="Arial" w:cs="Arial"/>
        </w:rPr>
        <w:t>IDE</w:t>
      </w:r>
      <w:r w:rsidRPr="00CA01D9">
        <w:rPr>
          <w:rFonts w:ascii="Arial" w:hAnsi="Arial" w:cs="Arial"/>
        </w:rPr>
        <w:t>研究也可设计用于研究已上市产品。例如，可以进行</w:t>
      </w:r>
      <w:r w:rsidRPr="00CA01D9">
        <w:rPr>
          <w:rFonts w:ascii="Arial" w:hAnsi="Arial" w:cs="Arial"/>
        </w:rPr>
        <w:t>IDE</w:t>
      </w:r>
      <w:r w:rsidRPr="00CA01D9">
        <w:rPr>
          <w:rFonts w:ascii="Arial" w:hAnsi="Arial" w:cs="Arial"/>
        </w:rPr>
        <w:t>研究以扩展使用适应症或更新器械标签。</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应根据器械开发阶段调整</w:t>
      </w:r>
      <w:r w:rsidRPr="00CA01D9">
        <w:rPr>
          <w:rFonts w:ascii="Arial" w:hAnsi="Arial" w:cs="Arial"/>
        </w:rPr>
        <w:t>IDE</w:t>
      </w:r>
      <w:r w:rsidRPr="00CA01D9">
        <w:rPr>
          <w:rFonts w:ascii="Arial" w:hAnsi="Arial" w:cs="Arial"/>
        </w:rPr>
        <w:t>申请中的收益风险评估方法，因为在不同开发阶段，器械研究通常具有不同类型的风险和不同的不确定性水平。具体来说，对于新型科技和早期器械开发阶段（例如首次应用于人类或早期可行性试验），预期不确定性程度会更高，而在传统可行性和关键试验中，预期确定性程度会更高。在早期阶段，应侧重关注拟定研究是否以采取适当的风险控制措施来降低预期的可能风险和非预期风险，而在后期阶段，则应关注降低最可能风险。此外，早期开发临床研究通常旨在评估拟定器械用途的初步安全性和概念证明。后期阶段研究，特别是旨在支持未来监管申请的研究，通常旨在评估预期患者人群的安全性和有效性结局，以及提供附加信息来量化每种结局的不确定性。</w:t>
      </w:r>
      <w:r w:rsidRPr="00CA01D9">
        <w:rPr>
          <w:rFonts w:ascii="Arial" w:hAnsi="Arial" w:cs="Arial"/>
        </w:rPr>
        <w:t>IDE</w:t>
      </w:r>
      <w:r w:rsidRPr="00CA01D9">
        <w:rPr>
          <w:rFonts w:ascii="Arial" w:hAnsi="Arial" w:cs="Arial"/>
        </w:rPr>
        <w:t>收益</w:t>
      </w:r>
      <w:r w:rsidRPr="00CA01D9">
        <w:rPr>
          <w:rFonts w:ascii="Arial" w:hAnsi="Arial" w:cs="Arial"/>
        </w:rPr>
        <w:t>-</w:t>
      </w:r>
      <w:r w:rsidRPr="00CA01D9">
        <w:rPr>
          <w:rFonts w:ascii="Arial" w:hAnsi="Arial" w:cs="Arial"/>
        </w:rPr>
        <w:t>风险评估应考虑到不确定性水平是否适合于研究器械的开发阶段。应该注意的是，无论开发阶段如何，为促进收益</w:t>
      </w:r>
      <w:r w:rsidRPr="00CA01D9">
        <w:rPr>
          <w:rFonts w:ascii="Arial" w:hAnsi="Arial" w:cs="Arial"/>
        </w:rPr>
        <w:t>-</w:t>
      </w:r>
      <w:r w:rsidRPr="00CA01D9">
        <w:rPr>
          <w:rFonts w:ascii="Arial" w:hAnsi="Arial" w:cs="Arial"/>
        </w:rPr>
        <w:t>风险评估，即使某些严重事件的发生率较低，也可能需要采取风险缓解措施。</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对于所有器械开发阶段的</w:t>
      </w:r>
      <w:r w:rsidRPr="00CA01D9">
        <w:rPr>
          <w:rFonts w:ascii="Arial" w:hAnsi="Arial" w:cs="Arial"/>
        </w:rPr>
        <w:t>IDE</w:t>
      </w:r>
      <w:r w:rsidRPr="00CA01D9">
        <w:rPr>
          <w:rFonts w:ascii="Arial" w:hAnsi="Arial" w:cs="Arial"/>
        </w:rPr>
        <w:t>收益</w:t>
      </w:r>
      <w:r w:rsidRPr="00CA01D9">
        <w:rPr>
          <w:rFonts w:ascii="Arial" w:hAnsi="Arial" w:cs="Arial"/>
        </w:rPr>
        <w:t>-</w:t>
      </w:r>
      <w:r w:rsidRPr="00CA01D9">
        <w:rPr>
          <w:rFonts w:ascii="Arial" w:hAnsi="Arial" w:cs="Arial"/>
        </w:rPr>
        <w:t>风险测定，必须认识到，非临床和先前临床数据也起着关键作用。医疗器械通常具有不能单独用临床方法测试的属性，但此类属性却在器械性能、安全性或有效性方面起主要作用。在某些情况下，非临床试验（例如，体外试验、动物研究和计算机建模和模拟）可以消除或减少进行附加临床试验来评价器械设计或性能的某些方面的需求。临床和非临床试验方法均可用于评估给定风险的可能性</w:t>
      </w:r>
      <w:r w:rsidRPr="00CA01D9">
        <w:rPr>
          <w:rFonts w:ascii="Arial" w:hAnsi="Arial" w:cs="Arial"/>
        </w:rPr>
        <w:t>/</w:t>
      </w:r>
      <w:r w:rsidRPr="00CA01D9">
        <w:rPr>
          <w:rFonts w:ascii="Arial" w:hAnsi="Arial" w:cs="Arial"/>
        </w:rPr>
        <w:t>概率或严重程度，和</w:t>
      </w:r>
      <w:r w:rsidRPr="00CA01D9">
        <w:rPr>
          <w:rFonts w:ascii="Arial" w:hAnsi="Arial" w:cs="Arial"/>
        </w:rPr>
        <w:t>/</w:t>
      </w:r>
      <w:r w:rsidRPr="00CA01D9">
        <w:rPr>
          <w:rFonts w:ascii="Arial" w:hAnsi="Arial" w:cs="Arial"/>
        </w:rPr>
        <w:t>或风险控制措施（包括风险缓解措施）是否成功。</w:t>
      </w:r>
    </w:p>
    <w:p w:rsidR="00A3286A" w:rsidRPr="00CA01D9" w:rsidRDefault="00A3286A" w:rsidP="00CA01D9">
      <w:pPr>
        <w:snapToGrid w:val="0"/>
        <w:spacing w:afterLines="100" w:after="240" w:line="300" w:lineRule="auto"/>
        <w:jc w:val="both"/>
        <w:rPr>
          <w:rFonts w:ascii="Arial" w:eastAsia="宋体" w:hAnsi="Arial" w:cs="Arial"/>
          <w:sz w:val="24"/>
          <w:szCs w:val="24"/>
        </w:rPr>
      </w:pPr>
    </w:p>
    <w:p w:rsidR="00A3286A" w:rsidRPr="00CA01D9" w:rsidRDefault="00635917" w:rsidP="00CA01D9">
      <w:pPr>
        <w:pStyle w:val="a3"/>
        <w:snapToGrid w:val="0"/>
        <w:spacing w:afterLines="100" w:after="240" w:line="300" w:lineRule="auto"/>
        <w:ind w:left="0"/>
        <w:jc w:val="both"/>
        <w:rPr>
          <w:rFonts w:ascii="Arial" w:hAnsi="Arial" w:cs="Arial"/>
        </w:rPr>
      </w:pPr>
      <w:bookmarkStart w:id="27" w:name="B.__Applying_Benefit-Risk_Framework_to_I"/>
      <w:bookmarkEnd w:id="27"/>
      <w:r w:rsidRPr="00CA01D9">
        <w:rPr>
          <w:rFonts w:ascii="Arial" w:hAnsi="Arial" w:cs="Arial"/>
        </w:rPr>
        <w:t>可以使用在美国境外进行的早期临床研究和</w:t>
      </w:r>
      <w:r w:rsidRPr="00CA01D9">
        <w:rPr>
          <w:rFonts w:ascii="Arial" w:hAnsi="Arial" w:cs="Arial"/>
        </w:rPr>
        <w:t>/</w:t>
      </w:r>
      <w:r w:rsidRPr="00CA01D9">
        <w:rPr>
          <w:rFonts w:ascii="Arial" w:hAnsi="Arial" w:cs="Arial"/>
        </w:rPr>
        <w:t>或研究的数据确定是否需要进行收益</w:t>
      </w:r>
      <w:r w:rsidRPr="00CA01D9">
        <w:rPr>
          <w:rFonts w:ascii="Arial" w:hAnsi="Arial" w:cs="Arial"/>
        </w:rPr>
        <w:t>/</w:t>
      </w:r>
      <w:r w:rsidRPr="00CA01D9">
        <w:rPr>
          <w:rFonts w:ascii="Arial" w:hAnsi="Arial" w:cs="Arial"/>
        </w:rPr>
        <w:t>风险评估，以及是否在未来的</w:t>
      </w:r>
      <w:r w:rsidRPr="00CA01D9">
        <w:rPr>
          <w:rFonts w:ascii="Arial" w:hAnsi="Arial" w:cs="Arial"/>
        </w:rPr>
        <w:t>IDE</w:t>
      </w:r>
      <w:r w:rsidRPr="00CA01D9">
        <w:rPr>
          <w:rFonts w:ascii="Arial" w:hAnsi="Arial" w:cs="Arial"/>
        </w:rPr>
        <w:t>研究中实施适当的风险缓解和控制措施。</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有关</w:t>
      </w:r>
      <w:r w:rsidRPr="00CA01D9">
        <w:rPr>
          <w:rFonts w:ascii="Arial" w:hAnsi="Arial" w:cs="Arial"/>
        </w:rPr>
        <w:t>FDA</w:t>
      </w:r>
      <w:r w:rsidRPr="00CA01D9">
        <w:rPr>
          <w:rFonts w:ascii="Arial" w:hAnsi="Arial" w:cs="Arial"/>
        </w:rPr>
        <w:t>将在根据器械开发途径评估收益</w:t>
      </w:r>
      <w:r w:rsidRPr="00CA01D9">
        <w:rPr>
          <w:rFonts w:ascii="Arial" w:hAnsi="Arial" w:cs="Arial"/>
        </w:rPr>
        <w:t>-</w:t>
      </w:r>
      <w:r w:rsidRPr="00CA01D9">
        <w:rPr>
          <w:rFonts w:ascii="Arial" w:hAnsi="Arial" w:cs="Arial"/>
        </w:rPr>
        <w:t>风险时考虑的信息的参考指南，请参见附录</w:t>
      </w:r>
      <w:r w:rsidRPr="00CA01D9">
        <w:rPr>
          <w:rFonts w:ascii="Arial" w:hAnsi="Arial" w:cs="Arial"/>
        </w:rPr>
        <w:t>A.</w:t>
      </w:r>
    </w:p>
    <w:p w:rsidR="00A3286A" w:rsidRPr="00CA01D9" w:rsidRDefault="00635917" w:rsidP="008E36CB">
      <w:pPr>
        <w:pStyle w:val="2"/>
        <w:numPr>
          <w:ilvl w:val="0"/>
          <w:numId w:val="12"/>
        </w:numPr>
        <w:tabs>
          <w:tab w:val="left" w:pos="840"/>
        </w:tabs>
        <w:snapToGrid w:val="0"/>
        <w:spacing w:afterLines="100" w:after="240" w:line="300" w:lineRule="auto"/>
        <w:ind w:left="720"/>
        <w:jc w:val="both"/>
        <w:rPr>
          <w:rFonts w:ascii="Arial" w:hAnsi="Arial" w:cs="Arial"/>
          <w:b w:val="0"/>
          <w:bCs w:val="0"/>
          <w:i w:val="0"/>
        </w:rPr>
      </w:pPr>
      <w:bookmarkStart w:id="28" w:name="_bookmark25"/>
      <w:bookmarkStart w:id="29" w:name="_Toc498621503"/>
      <w:bookmarkEnd w:id="28"/>
      <w:r w:rsidRPr="00CA01D9">
        <w:rPr>
          <w:rFonts w:ascii="Arial" w:hAnsi="Arial" w:cs="Arial"/>
        </w:rPr>
        <w:t>将收益</w:t>
      </w:r>
      <w:r w:rsidRPr="00CA01D9">
        <w:rPr>
          <w:rFonts w:ascii="Arial" w:hAnsi="Arial" w:cs="Arial"/>
        </w:rPr>
        <w:t>-</w:t>
      </w:r>
      <w:r w:rsidRPr="00CA01D9">
        <w:rPr>
          <w:rFonts w:ascii="Arial" w:hAnsi="Arial" w:cs="Arial"/>
        </w:rPr>
        <w:t>风险框架应用于</w:t>
      </w:r>
      <w:r w:rsidRPr="00CA01D9">
        <w:rPr>
          <w:rFonts w:ascii="Arial" w:hAnsi="Arial" w:cs="Arial"/>
        </w:rPr>
        <w:t>IDE</w:t>
      </w:r>
      <w:r w:rsidRPr="00CA01D9">
        <w:rPr>
          <w:rFonts w:ascii="Arial" w:hAnsi="Arial" w:cs="Arial"/>
        </w:rPr>
        <w:t>决策</w:t>
      </w:r>
      <w:bookmarkEnd w:id="29"/>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收益</w:t>
      </w:r>
      <w:r w:rsidRPr="00CA01D9">
        <w:rPr>
          <w:rFonts w:ascii="Arial" w:hAnsi="Arial" w:cs="Arial"/>
        </w:rPr>
        <w:t>-</w:t>
      </w:r>
      <w:r w:rsidRPr="00CA01D9">
        <w:rPr>
          <w:rFonts w:ascii="Arial" w:hAnsi="Arial" w:cs="Arial"/>
        </w:rPr>
        <w:t>风险框架用于支持</w:t>
      </w:r>
      <w:r w:rsidRPr="00CA01D9">
        <w:rPr>
          <w:rFonts w:ascii="Arial" w:hAnsi="Arial" w:cs="Arial"/>
        </w:rPr>
        <w:t>IDE</w:t>
      </w:r>
      <w:r w:rsidRPr="00CA01D9">
        <w:rPr>
          <w:rFonts w:ascii="Arial" w:hAnsi="Arial" w:cs="Arial"/>
        </w:rPr>
        <w:t>决策，以及与上市提交材料相关的决策（例如，</w:t>
      </w:r>
      <w:r w:rsidRPr="00CA01D9">
        <w:rPr>
          <w:rFonts w:ascii="Arial" w:hAnsi="Arial" w:cs="Arial"/>
        </w:rPr>
        <w:t>PMA</w:t>
      </w:r>
      <w:r w:rsidRPr="00CA01D9">
        <w:rPr>
          <w:rFonts w:ascii="Arial" w:hAnsi="Arial" w:cs="Arial"/>
        </w:rPr>
        <w:t>、</w:t>
      </w:r>
      <w:r w:rsidR="009D40D7" w:rsidRPr="00CA01D9">
        <w:rPr>
          <w:rFonts w:ascii="Arial" w:hAnsi="Arial" w:cs="Arial"/>
        </w:rPr>
        <w:t>再次申请</w:t>
      </w:r>
      <w:r w:rsidRPr="00CA01D9">
        <w:rPr>
          <w:rFonts w:ascii="Arial" w:hAnsi="Arial" w:cs="Arial"/>
        </w:rPr>
        <w:t>以及</w:t>
      </w:r>
      <w:r w:rsidRPr="00CA01D9">
        <w:rPr>
          <w:rFonts w:ascii="Arial" w:hAnsi="Arial" w:cs="Arial"/>
        </w:rPr>
        <w:t>510</w:t>
      </w:r>
      <w:r w:rsidRPr="00CA01D9">
        <w:rPr>
          <w:rFonts w:ascii="Arial" w:hAnsi="Arial" w:cs="Arial"/>
        </w:rPr>
        <w:t>（</w:t>
      </w:r>
      <w:r w:rsidRPr="00CA01D9">
        <w:rPr>
          <w:rFonts w:ascii="Arial" w:hAnsi="Arial" w:cs="Arial"/>
        </w:rPr>
        <w:t>k</w:t>
      </w:r>
      <w:r w:rsidRPr="00CA01D9">
        <w:rPr>
          <w:rFonts w:ascii="Arial" w:hAnsi="Arial" w:cs="Arial"/>
        </w:rPr>
        <w:t>）实质等同性测定的某些方面）。但是，需指出的是，</w:t>
      </w:r>
      <w:r w:rsidRPr="00CA01D9">
        <w:rPr>
          <w:rFonts w:ascii="Arial" w:hAnsi="Arial" w:cs="Arial"/>
        </w:rPr>
        <w:t>IDE</w:t>
      </w:r>
      <w:r w:rsidRPr="00CA01D9">
        <w:rPr>
          <w:rFonts w:ascii="Arial" w:hAnsi="Arial" w:cs="Arial"/>
        </w:rPr>
        <w:t>申请的收益</w:t>
      </w:r>
      <w:r w:rsidRPr="00CA01D9">
        <w:rPr>
          <w:rFonts w:ascii="Arial" w:hAnsi="Arial" w:cs="Arial"/>
        </w:rPr>
        <w:t>-</w:t>
      </w:r>
      <w:r w:rsidRPr="00CA01D9">
        <w:rPr>
          <w:rFonts w:ascii="Arial" w:hAnsi="Arial" w:cs="Arial"/>
        </w:rPr>
        <w:t>风险决策有着根本不同，因为临床研究是指在给定器械、技术或治疗的相对收益和风险方面有着内在不确定性的调查研究。</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因此，</w:t>
      </w:r>
      <w:r w:rsidRPr="00CA01D9">
        <w:rPr>
          <w:rFonts w:ascii="Arial" w:hAnsi="Arial" w:cs="Arial"/>
        </w:rPr>
        <w:t>FDA</w:t>
      </w:r>
      <w:r w:rsidRPr="00CA01D9">
        <w:rPr>
          <w:rFonts w:ascii="Arial" w:hAnsi="Arial" w:cs="Arial"/>
        </w:rPr>
        <w:t>打算根据适用法律和法规给予</w:t>
      </w:r>
      <w:r w:rsidRPr="00CA01D9">
        <w:rPr>
          <w:rFonts w:ascii="Arial" w:hAnsi="Arial" w:cs="Arial"/>
        </w:rPr>
        <w:t>IDE</w:t>
      </w:r>
      <w:r w:rsidRPr="00CA01D9">
        <w:rPr>
          <w:rFonts w:ascii="Arial" w:hAnsi="Arial" w:cs="Arial"/>
        </w:rPr>
        <w:t>研究的适当自由度。在考虑风险是否超过了受试者的潜在收益以及可获得知识的重要性时，不能因缺少确定性收益证据或存在纯粹假设风险而驳回</w:t>
      </w:r>
      <w:r w:rsidRPr="00CA01D9">
        <w:rPr>
          <w:rFonts w:ascii="Arial" w:hAnsi="Arial" w:cs="Arial"/>
        </w:rPr>
        <w:t>IDE</w:t>
      </w:r>
      <w:r w:rsidRPr="00CA01D9">
        <w:rPr>
          <w:rFonts w:ascii="Arial" w:hAnsi="Arial" w:cs="Arial"/>
        </w:rPr>
        <w:t>申请（请参见本</w:t>
      </w:r>
      <w:proofErr w:type="gramStart"/>
      <w:r w:rsidRPr="00CA01D9">
        <w:rPr>
          <w:rFonts w:ascii="Arial" w:hAnsi="Arial" w:cs="Arial"/>
        </w:rPr>
        <w:t>指南第</w:t>
      </w:r>
      <w:proofErr w:type="gramEnd"/>
      <w:r w:rsidRPr="00CA01D9">
        <w:rPr>
          <w:rFonts w:ascii="Arial" w:hAnsi="Arial" w:cs="Arial"/>
        </w:rPr>
        <w:t>III.B.</w:t>
      </w:r>
      <w:r w:rsidRPr="00CA01D9">
        <w:rPr>
          <w:rFonts w:ascii="Arial" w:hAnsi="Arial" w:cs="Arial"/>
        </w:rPr>
        <w:t>节）。</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鉴于与上市申请相比，</w:t>
      </w:r>
      <w:r w:rsidRPr="00CA01D9">
        <w:rPr>
          <w:rFonts w:ascii="Arial" w:hAnsi="Arial" w:cs="Arial"/>
        </w:rPr>
        <w:t>IDE</w:t>
      </w:r>
      <w:r w:rsidRPr="00CA01D9">
        <w:rPr>
          <w:rFonts w:ascii="Arial" w:hAnsi="Arial" w:cs="Arial"/>
        </w:rPr>
        <w:t>申请的证据水平通常更低</w:t>
      </w:r>
      <w:r w:rsidRPr="00CA01D9">
        <w:rPr>
          <w:rFonts w:ascii="Arial" w:hAnsi="Arial" w:cs="Arial"/>
        </w:rPr>
        <w:t>——</w:t>
      </w:r>
      <w:r w:rsidRPr="00CA01D9">
        <w:rPr>
          <w:rFonts w:ascii="Arial" w:hAnsi="Arial" w:cs="Arial"/>
        </w:rPr>
        <w:t>特别是早期研究阶段</w:t>
      </w:r>
      <w:r w:rsidRPr="00CA01D9">
        <w:rPr>
          <w:rFonts w:ascii="Arial" w:hAnsi="Arial" w:cs="Arial"/>
        </w:rPr>
        <w:t>——</w:t>
      </w:r>
      <w:r w:rsidRPr="00CA01D9">
        <w:rPr>
          <w:rFonts w:ascii="Arial" w:hAnsi="Arial" w:cs="Arial"/>
        </w:rPr>
        <w:t>一般在不确定性相对较高且证据水平相对较低的情况下</w:t>
      </w:r>
      <w:proofErr w:type="gramStart"/>
      <w:r w:rsidRPr="00CA01D9">
        <w:rPr>
          <w:rFonts w:ascii="Arial" w:hAnsi="Arial" w:cs="Arial"/>
        </w:rPr>
        <w:t>作出</w:t>
      </w:r>
      <w:proofErr w:type="gramEnd"/>
      <w:r w:rsidRPr="00CA01D9">
        <w:rPr>
          <w:rFonts w:ascii="Arial" w:hAnsi="Arial" w:cs="Arial"/>
        </w:rPr>
        <w:t>有关</w:t>
      </w:r>
      <w:r w:rsidRPr="00CA01D9">
        <w:rPr>
          <w:rFonts w:ascii="Arial" w:hAnsi="Arial" w:cs="Arial"/>
        </w:rPr>
        <w:t>IDE</w:t>
      </w:r>
      <w:r w:rsidRPr="00CA01D9">
        <w:rPr>
          <w:rFonts w:ascii="Arial" w:hAnsi="Arial" w:cs="Arial"/>
        </w:rPr>
        <w:t>申请的决策。尽管临床研究具有内在不确定性，但通常可以通过适当调整风险控制</w:t>
      </w:r>
      <w:r w:rsidRPr="00CA01D9">
        <w:rPr>
          <w:rFonts w:ascii="Arial" w:hAnsi="Arial" w:cs="Arial"/>
        </w:rPr>
        <w:t>/</w:t>
      </w:r>
      <w:r w:rsidRPr="00CA01D9">
        <w:rPr>
          <w:rFonts w:ascii="Arial" w:hAnsi="Arial" w:cs="Arial"/>
        </w:rPr>
        <w:t>风险缓解措施来进行抵消，其中，此类措施有助于确保患者和研究</w:t>
      </w:r>
      <w:r w:rsidR="007210C5" w:rsidRPr="00CA01D9">
        <w:rPr>
          <w:rFonts w:ascii="Arial" w:hAnsi="Arial" w:cs="Arial"/>
        </w:rPr>
        <w:t>受试者</w:t>
      </w:r>
      <w:r w:rsidRPr="00CA01D9">
        <w:rPr>
          <w:rFonts w:ascii="Arial" w:hAnsi="Arial" w:cs="Arial"/>
        </w:rPr>
        <w:t>在</w:t>
      </w:r>
      <w:r w:rsidR="007210C5" w:rsidRPr="00CA01D9">
        <w:rPr>
          <w:rFonts w:ascii="Arial" w:hAnsi="Arial" w:cs="Arial"/>
        </w:rPr>
        <w:t>临床试验</w:t>
      </w:r>
      <w:r w:rsidRPr="00CA01D9">
        <w:rPr>
          <w:rFonts w:ascii="Arial" w:hAnsi="Arial" w:cs="Arial"/>
        </w:rPr>
        <w:t>研究中得到适当保护（可能适用于第</w:t>
      </w:r>
      <w:r w:rsidRPr="00CA01D9">
        <w:rPr>
          <w:rFonts w:ascii="Arial" w:hAnsi="Arial" w:cs="Arial"/>
        </w:rPr>
        <w:t>III.A.4.</w:t>
      </w:r>
      <w:r w:rsidRPr="00CA01D9">
        <w:rPr>
          <w:rFonts w:ascii="Arial" w:hAnsi="Arial" w:cs="Arial"/>
        </w:rPr>
        <w:t>节所述</w:t>
      </w:r>
      <w:r w:rsidRPr="00CA01D9">
        <w:rPr>
          <w:rFonts w:ascii="Arial" w:hAnsi="Arial" w:cs="Arial"/>
        </w:rPr>
        <w:t>IDE</w:t>
      </w:r>
      <w:r w:rsidRPr="00CA01D9">
        <w:rPr>
          <w:rFonts w:ascii="Arial" w:hAnsi="Arial" w:cs="Arial"/>
        </w:rPr>
        <w:t>研究的某些类型的风险控制措施）。在考虑</w:t>
      </w:r>
      <w:r w:rsidR="007210C5" w:rsidRPr="00CA01D9">
        <w:rPr>
          <w:rFonts w:ascii="Arial" w:hAnsi="Arial" w:cs="Arial"/>
        </w:rPr>
        <w:t>临床试验</w:t>
      </w:r>
      <w:r w:rsidRPr="00CA01D9">
        <w:rPr>
          <w:rFonts w:ascii="Arial" w:hAnsi="Arial" w:cs="Arial"/>
        </w:rPr>
        <w:t>研究的收益时，</w:t>
      </w:r>
      <w:r w:rsidRPr="00CA01D9">
        <w:rPr>
          <w:rFonts w:ascii="Arial" w:hAnsi="Arial" w:cs="Arial"/>
        </w:rPr>
        <w:t>FDA</w:t>
      </w:r>
      <w:r w:rsidRPr="00CA01D9">
        <w:rPr>
          <w:rFonts w:ascii="Arial" w:hAnsi="Arial" w:cs="Arial"/>
        </w:rPr>
        <w:t>将考虑受试者的直接收益和他人的收益（以及受试者的间接收益，例如从研究获得的知识或可能有助于开发治疗方法的信息）。</w:t>
      </w:r>
    </w:p>
    <w:p w:rsidR="00A3286A" w:rsidRPr="00CA01D9" w:rsidRDefault="00635917" w:rsidP="00CA01D9">
      <w:pPr>
        <w:pStyle w:val="a3"/>
        <w:snapToGrid w:val="0"/>
        <w:spacing w:afterLines="100" w:after="240" w:line="300" w:lineRule="auto"/>
        <w:ind w:left="0"/>
        <w:jc w:val="both"/>
        <w:rPr>
          <w:rFonts w:ascii="Arial" w:hAnsi="Arial" w:cs="Arial"/>
        </w:rPr>
      </w:pPr>
      <w:bookmarkStart w:id="30" w:name="V._ASSESSING_BENEFITS_AND_RISKS_FOR_IDE_"/>
      <w:bookmarkEnd w:id="30"/>
      <w:r w:rsidRPr="00CA01D9">
        <w:rPr>
          <w:rFonts w:ascii="Arial" w:hAnsi="Arial" w:cs="Arial"/>
        </w:rPr>
        <w:t>根据用于上市申请的收益</w:t>
      </w:r>
      <w:r w:rsidRPr="00CA01D9">
        <w:rPr>
          <w:rFonts w:ascii="Arial" w:hAnsi="Arial" w:cs="Arial"/>
        </w:rPr>
        <w:t>-</w:t>
      </w:r>
      <w:r w:rsidRPr="00CA01D9">
        <w:rPr>
          <w:rFonts w:ascii="Arial" w:hAnsi="Arial" w:cs="Arial"/>
        </w:rPr>
        <w:t>风险框架，在评估</w:t>
      </w:r>
      <w:r w:rsidRPr="00CA01D9">
        <w:rPr>
          <w:rFonts w:ascii="Arial" w:hAnsi="Arial" w:cs="Arial"/>
        </w:rPr>
        <w:t>IDE</w:t>
      </w:r>
      <w:r w:rsidRPr="00CA01D9">
        <w:rPr>
          <w:rFonts w:ascii="Arial" w:hAnsi="Arial" w:cs="Arial"/>
        </w:rPr>
        <w:t>申请的收益和风险时，</w:t>
      </w:r>
      <w:r w:rsidR="008E36CB">
        <w:rPr>
          <w:rStyle w:val="aa"/>
          <w:rFonts w:ascii="Arial" w:hAnsi="Arial" w:cs="Arial"/>
        </w:rPr>
        <w:footnoteReference w:id="17"/>
      </w:r>
      <w:r w:rsidRPr="00CA01D9">
        <w:rPr>
          <w:rFonts w:ascii="Arial" w:hAnsi="Arial" w:cs="Arial"/>
        </w:rPr>
        <w:t>FDA</w:t>
      </w:r>
      <w:r w:rsidRPr="00CA01D9">
        <w:rPr>
          <w:rFonts w:ascii="Arial" w:hAnsi="Arial" w:cs="Arial"/>
        </w:rPr>
        <w:t>将考虑背景设置，包括所治疗或诊断的疾病或病症表征</w:t>
      </w:r>
      <w:r w:rsidR="009D40D7" w:rsidRPr="00CA01D9">
        <w:rPr>
          <w:rFonts w:ascii="Arial" w:hAnsi="Arial" w:cs="Arial"/>
        </w:rPr>
        <w:t>；</w:t>
      </w:r>
      <w:r w:rsidRPr="00CA01D9">
        <w:rPr>
          <w:rFonts w:ascii="Arial" w:hAnsi="Arial" w:cs="Arial"/>
        </w:rPr>
        <w:t xml:space="preserve"> </w:t>
      </w:r>
      <w:r w:rsidRPr="00CA01D9">
        <w:rPr>
          <w:rFonts w:ascii="Arial" w:hAnsi="Arial" w:cs="Arial"/>
        </w:rPr>
        <w:t>以及替代疗法的可用性（包括其相关收益和风险）。如果可用，表征受试者风险承受能力及其对收益的看法的信息可能会</w:t>
      </w:r>
      <w:proofErr w:type="gramStart"/>
      <w:r w:rsidRPr="00CA01D9">
        <w:rPr>
          <w:rFonts w:ascii="Arial" w:hAnsi="Arial" w:cs="Arial"/>
        </w:rPr>
        <w:t>促进此</w:t>
      </w:r>
      <w:proofErr w:type="gramEnd"/>
      <w:r w:rsidRPr="00CA01D9">
        <w:rPr>
          <w:rFonts w:ascii="Arial" w:hAnsi="Arial" w:cs="Arial"/>
        </w:rPr>
        <w:t>评估。</w:t>
      </w:r>
    </w:p>
    <w:p w:rsidR="008E36CB" w:rsidRDefault="008E36CB">
      <w:pPr>
        <w:rPr>
          <w:rFonts w:ascii="Arial" w:eastAsia="宋体" w:hAnsi="Arial" w:cs="Arial"/>
          <w:b/>
          <w:bCs/>
          <w:sz w:val="32"/>
          <w:szCs w:val="32"/>
        </w:rPr>
      </w:pPr>
      <w:bookmarkStart w:id="31" w:name="_bookmark26"/>
      <w:bookmarkEnd w:id="31"/>
      <w:r>
        <w:rPr>
          <w:rFonts w:ascii="Arial" w:hAnsi="Arial" w:cs="Arial"/>
          <w:sz w:val="32"/>
          <w:szCs w:val="32"/>
        </w:rPr>
        <w:br w:type="page"/>
      </w:r>
    </w:p>
    <w:p w:rsidR="00A3286A" w:rsidRPr="008E36CB" w:rsidRDefault="00635917" w:rsidP="008E36CB">
      <w:pPr>
        <w:pStyle w:val="1"/>
        <w:numPr>
          <w:ilvl w:val="0"/>
          <w:numId w:val="17"/>
        </w:numPr>
        <w:tabs>
          <w:tab w:val="left" w:pos="410"/>
        </w:tabs>
        <w:snapToGrid w:val="0"/>
        <w:spacing w:afterLines="100" w:after="240" w:line="300" w:lineRule="auto"/>
        <w:ind w:left="289" w:hanging="289"/>
        <w:jc w:val="both"/>
        <w:rPr>
          <w:rFonts w:ascii="Arial" w:hAnsi="Arial" w:cs="Arial"/>
          <w:b w:val="0"/>
          <w:bCs w:val="0"/>
          <w:sz w:val="32"/>
          <w:szCs w:val="32"/>
        </w:rPr>
      </w:pPr>
      <w:bookmarkStart w:id="32" w:name="_Toc498621504"/>
      <w:r w:rsidRPr="008E36CB">
        <w:rPr>
          <w:rFonts w:ascii="Arial" w:hAnsi="Arial" w:cs="Arial"/>
          <w:sz w:val="32"/>
          <w:szCs w:val="32"/>
        </w:rPr>
        <w:lastRenderedPageBreak/>
        <w:t>评估</w:t>
      </w:r>
      <w:r w:rsidRPr="008E36CB">
        <w:rPr>
          <w:rFonts w:ascii="Arial" w:hAnsi="Arial" w:cs="Arial"/>
          <w:sz w:val="32"/>
          <w:szCs w:val="32"/>
        </w:rPr>
        <w:t>IDE</w:t>
      </w:r>
      <w:r w:rsidRPr="008E36CB">
        <w:rPr>
          <w:rFonts w:ascii="Arial" w:hAnsi="Arial" w:cs="Arial"/>
          <w:sz w:val="32"/>
          <w:szCs w:val="32"/>
        </w:rPr>
        <w:t>申请的收益和风险</w:t>
      </w:r>
      <w:bookmarkEnd w:id="32"/>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本节所述方法将介绍</w:t>
      </w:r>
      <w:r w:rsidRPr="00CA01D9">
        <w:rPr>
          <w:rFonts w:ascii="Arial" w:hAnsi="Arial" w:cs="Arial"/>
        </w:rPr>
        <w:t>FDA</w:t>
      </w:r>
      <w:r w:rsidRPr="00CA01D9">
        <w:rPr>
          <w:rFonts w:ascii="Arial" w:hAnsi="Arial" w:cs="Arial"/>
        </w:rPr>
        <w:t>将在评估</w:t>
      </w:r>
      <w:r w:rsidRPr="00CA01D9">
        <w:rPr>
          <w:rFonts w:ascii="Arial" w:hAnsi="Arial" w:cs="Arial"/>
        </w:rPr>
        <w:t>IDE</w:t>
      </w:r>
      <w:r w:rsidRPr="00CA01D9">
        <w:rPr>
          <w:rFonts w:ascii="Arial" w:hAnsi="Arial" w:cs="Arial"/>
        </w:rPr>
        <w:t>研究的收益和风险时考虑的关键因素。</w:t>
      </w:r>
      <w:r w:rsidRPr="00CA01D9">
        <w:rPr>
          <w:rFonts w:ascii="Arial" w:hAnsi="Arial" w:cs="Arial"/>
        </w:rPr>
        <w:t>FDA</w:t>
      </w:r>
      <w:r w:rsidRPr="00CA01D9">
        <w:rPr>
          <w:rFonts w:ascii="Arial" w:hAnsi="Arial" w:cs="Arial"/>
        </w:rPr>
        <w:t>认为，使用</w:t>
      </w:r>
      <w:proofErr w:type="gramStart"/>
      <w:r w:rsidRPr="00CA01D9">
        <w:rPr>
          <w:rFonts w:ascii="Arial" w:hAnsi="Arial" w:cs="Arial"/>
        </w:rPr>
        <w:t>此收益</w:t>
      </w:r>
      <w:proofErr w:type="gramEnd"/>
      <w:r w:rsidRPr="00CA01D9">
        <w:rPr>
          <w:rFonts w:ascii="Arial" w:hAnsi="Arial" w:cs="Arial"/>
        </w:rPr>
        <w:t>-</w:t>
      </w:r>
      <w:r w:rsidRPr="00CA01D9">
        <w:rPr>
          <w:rFonts w:ascii="Arial" w:hAnsi="Arial" w:cs="Arial"/>
        </w:rPr>
        <w:t>风险框架将有助于结合不同领域（临床、非临床和患者）的证据和知识，以使决策方法更全面，更平衡。此框架应侧重于相关事实、不确定性和关键判断领域，以使监管过程更明确，更可预测。</w:t>
      </w:r>
      <w:r w:rsidRPr="00CA01D9">
        <w:rPr>
          <w:rFonts w:ascii="Arial" w:hAnsi="Arial" w:cs="Arial"/>
        </w:rPr>
        <w:t>FDA</w:t>
      </w:r>
      <w:r w:rsidRPr="00CA01D9">
        <w:rPr>
          <w:rFonts w:ascii="Arial" w:hAnsi="Arial" w:cs="Arial"/>
        </w:rPr>
        <w:t>希望，在反复强调可严重影响特定申请的收益</w:t>
      </w:r>
      <w:r w:rsidRPr="00CA01D9">
        <w:rPr>
          <w:rFonts w:ascii="Arial" w:hAnsi="Arial" w:cs="Arial"/>
        </w:rPr>
        <w:t>-</w:t>
      </w:r>
      <w:r w:rsidRPr="00CA01D9">
        <w:rPr>
          <w:rFonts w:ascii="Arial" w:hAnsi="Arial" w:cs="Arial"/>
        </w:rPr>
        <w:t>风险评估的因素以及明确说明此类因素如何影响</w:t>
      </w:r>
      <w:r w:rsidRPr="00CA01D9">
        <w:rPr>
          <w:rFonts w:ascii="Arial" w:hAnsi="Arial" w:cs="Arial"/>
        </w:rPr>
        <w:t>FDA</w:t>
      </w:r>
      <w:r w:rsidRPr="00CA01D9">
        <w:rPr>
          <w:rFonts w:ascii="Arial" w:hAnsi="Arial" w:cs="Arial"/>
        </w:rPr>
        <w:t>的决定后，此类因素可促进申办方与</w:t>
      </w:r>
      <w:r w:rsidRPr="00CA01D9">
        <w:rPr>
          <w:rFonts w:ascii="Arial" w:hAnsi="Arial" w:cs="Arial"/>
        </w:rPr>
        <w:t>FDA</w:t>
      </w:r>
      <w:r w:rsidRPr="00CA01D9">
        <w:rPr>
          <w:rFonts w:ascii="Arial" w:hAnsi="Arial" w:cs="Arial"/>
        </w:rPr>
        <w:t>之间的共同理解。</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FDA</w:t>
      </w:r>
      <w:r w:rsidRPr="00CA01D9">
        <w:rPr>
          <w:rFonts w:ascii="Arial" w:hAnsi="Arial" w:cs="Arial"/>
        </w:rPr>
        <w:t>建议，</w:t>
      </w:r>
      <w:r w:rsidRPr="00CA01D9">
        <w:rPr>
          <w:rFonts w:ascii="Arial" w:hAnsi="Arial" w:cs="Arial"/>
        </w:rPr>
        <w:t>IDE</w:t>
      </w:r>
      <w:r w:rsidRPr="00CA01D9">
        <w:rPr>
          <w:rFonts w:ascii="Arial" w:hAnsi="Arial" w:cs="Arial"/>
        </w:rPr>
        <w:t>申办方应在</w:t>
      </w:r>
      <w:r w:rsidRPr="00CA01D9">
        <w:rPr>
          <w:rFonts w:ascii="Arial" w:hAnsi="Arial" w:cs="Arial"/>
        </w:rPr>
        <w:t>IDE</w:t>
      </w:r>
      <w:r w:rsidRPr="00CA01D9">
        <w:rPr>
          <w:rFonts w:ascii="Arial" w:hAnsi="Arial" w:cs="Arial"/>
        </w:rPr>
        <w:t>申请中总结</w:t>
      </w:r>
      <w:r w:rsidRPr="00CA01D9">
        <w:rPr>
          <w:rFonts w:ascii="Arial" w:hAnsi="Arial" w:cs="Arial"/>
        </w:rPr>
        <w:t>IDE</w:t>
      </w:r>
      <w:r w:rsidRPr="00CA01D9">
        <w:rPr>
          <w:rFonts w:ascii="Arial" w:hAnsi="Arial" w:cs="Arial"/>
        </w:rPr>
        <w:t>收益</w:t>
      </w:r>
      <w:r w:rsidRPr="00CA01D9">
        <w:rPr>
          <w:rFonts w:ascii="Arial" w:hAnsi="Arial" w:cs="Arial"/>
        </w:rPr>
        <w:t>-</w:t>
      </w:r>
      <w:r w:rsidRPr="00CA01D9">
        <w:rPr>
          <w:rFonts w:ascii="Arial" w:hAnsi="Arial" w:cs="Arial"/>
        </w:rPr>
        <w:t>风险评估的关键考虑因素。有关</w:t>
      </w:r>
      <w:r w:rsidRPr="00CA01D9">
        <w:rPr>
          <w:rFonts w:ascii="Arial" w:hAnsi="Arial" w:cs="Arial"/>
        </w:rPr>
        <w:t>IDE</w:t>
      </w:r>
      <w:r w:rsidRPr="00CA01D9">
        <w:rPr>
          <w:rFonts w:ascii="Arial" w:hAnsi="Arial" w:cs="Arial"/>
        </w:rPr>
        <w:t>收益</w:t>
      </w:r>
      <w:r w:rsidRPr="00CA01D9">
        <w:rPr>
          <w:rFonts w:ascii="Arial" w:hAnsi="Arial" w:cs="Arial"/>
        </w:rPr>
        <w:t>-</w:t>
      </w:r>
      <w:r w:rsidRPr="00CA01D9">
        <w:rPr>
          <w:rFonts w:ascii="Arial" w:hAnsi="Arial" w:cs="Arial"/>
        </w:rPr>
        <w:t>风险评估总体框架的概述，请参阅附录</w:t>
      </w:r>
      <w:r w:rsidRPr="00CA01D9">
        <w:rPr>
          <w:rFonts w:ascii="Arial" w:hAnsi="Arial" w:cs="Arial"/>
        </w:rPr>
        <w:t>A</w:t>
      </w:r>
      <w:r w:rsidRPr="00CA01D9">
        <w:rPr>
          <w:rFonts w:ascii="Arial" w:hAnsi="Arial" w:cs="Arial"/>
        </w:rPr>
        <w:t>。附录</w:t>
      </w:r>
      <w:r w:rsidRPr="00CA01D9">
        <w:rPr>
          <w:rFonts w:ascii="Arial" w:hAnsi="Arial" w:cs="Arial"/>
        </w:rPr>
        <w:t>B</w:t>
      </w:r>
      <w:r w:rsidRPr="00CA01D9">
        <w:rPr>
          <w:rFonts w:ascii="Arial" w:hAnsi="Arial" w:cs="Arial"/>
        </w:rPr>
        <w:t>提供</w:t>
      </w:r>
      <w:r w:rsidRPr="00CA01D9">
        <w:rPr>
          <w:rFonts w:ascii="Arial" w:hAnsi="Arial" w:cs="Arial"/>
        </w:rPr>
        <w:t>IDE</w:t>
      </w:r>
      <w:r w:rsidRPr="00CA01D9">
        <w:rPr>
          <w:rFonts w:ascii="Arial" w:hAnsi="Arial" w:cs="Arial"/>
        </w:rPr>
        <w:t>收益</w:t>
      </w:r>
      <w:r w:rsidRPr="00CA01D9">
        <w:rPr>
          <w:rFonts w:ascii="Arial" w:hAnsi="Arial" w:cs="Arial"/>
        </w:rPr>
        <w:t>-</w:t>
      </w:r>
      <w:r w:rsidRPr="00CA01D9">
        <w:rPr>
          <w:rFonts w:ascii="Arial" w:hAnsi="Arial" w:cs="Arial"/>
        </w:rPr>
        <w:t>风险测定的通用示例，仅供参考。</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患者偏好</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在将收益</w:t>
      </w:r>
      <w:r w:rsidRPr="00CA01D9">
        <w:rPr>
          <w:rFonts w:ascii="Arial" w:hAnsi="Arial" w:cs="Arial"/>
        </w:rPr>
        <w:t>-</w:t>
      </w:r>
      <w:r w:rsidRPr="00CA01D9">
        <w:rPr>
          <w:rFonts w:ascii="Arial" w:hAnsi="Arial" w:cs="Arial"/>
        </w:rPr>
        <w:t>风险框架应用于</w:t>
      </w:r>
      <w:r w:rsidRPr="00CA01D9">
        <w:rPr>
          <w:rFonts w:ascii="Arial" w:hAnsi="Arial" w:cs="Arial"/>
        </w:rPr>
        <w:t>IDE</w:t>
      </w:r>
      <w:r w:rsidRPr="00CA01D9">
        <w:rPr>
          <w:rFonts w:ascii="Arial" w:hAnsi="Arial" w:cs="Arial"/>
        </w:rPr>
        <w:t>申请决策时，</w:t>
      </w:r>
      <w:r w:rsidRPr="00CA01D9">
        <w:rPr>
          <w:rFonts w:ascii="Arial" w:hAnsi="Arial" w:cs="Arial"/>
        </w:rPr>
        <w:t>FDA</w:t>
      </w:r>
      <w:r w:rsidRPr="00CA01D9">
        <w:rPr>
          <w:rFonts w:ascii="Arial" w:hAnsi="Arial" w:cs="Arial"/>
        </w:rPr>
        <w:t>的评估通常取决于分配给各种患者风险和预期患者受益的值。在临床研究中，预期收益不仅包括患者的直接收益，还包括从研究中获得的知识所带来的社会收益。</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必须承认，个体患者的偏好各不相同，且患者分配给各种风险和预期收益的值可能与其医师、家庭成员或其他个体不同。此外，患者偏好在首选治疗模式</w:t>
      </w:r>
      <w:r w:rsidRPr="00CA01D9">
        <w:rPr>
          <w:rFonts w:ascii="Arial" w:hAnsi="Arial" w:cs="Arial"/>
        </w:rPr>
        <w:t>/</w:t>
      </w:r>
      <w:r w:rsidRPr="00CA01D9">
        <w:rPr>
          <w:rFonts w:ascii="Arial" w:hAnsi="Arial" w:cs="Arial"/>
        </w:rPr>
        <w:t>诊断程序（器械通常是治疗护理途径中可考虑一种选择，还可以选择手术或药物等）以及风险承受能力方面也不同。一些患者愿意承担更高的风险，以获得较小的收益，而其他患者则更趋向于规避风险。在某些情况下，一些患者可能愿意参与不会给受试者带来直接受益或此类收益有限，但预期在推进医学科学方面具有社会收益的临床研究。请参见</w:t>
      </w:r>
      <w:r w:rsidRPr="00CA01D9">
        <w:rPr>
          <w:rFonts w:ascii="Arial" w:hAnsi="Arial" w:cs="Arial"/>
        </w:rPr>
        <w:t>FDA</w:t>
      </w:r>
      <w:r w:rsidRPr="00CA01D9">
        <w:rPr>
          <w:rFonts w:ascii="Arial" w:hAnsi="Arial" w:cs="Arial"/>
        </w:rPr>
        <w:t>指南</w:t>
      </w:r>
      <w:r w:rsidRPr="00CA01D9">
        <w:rPr>
          <w:rFonts w:ascii="Arial" w:hAnsi="Arial" w:cs="Arial"/>
        </w:rPr>
        <w:t>“</w:t>
      </w:r>
      <w:hyperlink r:id="rId32">
        <w:r w:rsidRPr="00CA01D9">
          <w:rPr>
            <w:rFonts w:ascii="Arial" w:hAnsi="Arial" w:cs="Arial"/>
            <w:color w:val="0000FF"/>
            <w:u w:val="single" w:color="0000FF"/>
          </w:rPr>
          <w:t>患者偏好信息</w:t>
        </w:r>
        <w:r w:rsidRPr="00CA01D9">
          <w:rPr>
            <w:rFonts w:ascii="Arial" w:hAnsi="Arial" w:cs="Arial"/>
            <w:color w:val="0000FF"/>
            <w:u w:val="single" w:color="0000FF"/>
          </w:rPr>
          <w:t xml:space="preserve"> - </w:t>
        </w:r>
        <w:r w:rsidRPr="00CA01D9">
          <w:rPr>
            <w:rFonts w:ascii="Arial" w:hAnsi="Arial" w:cs="Arial"/>
            <w:color w:val="0000FF"/>
            <w:u w:val="single" w:color="0000FF"/>
          </w:rPr>
          <w:t>自愿提交，审查上市前批准申请、人道主义器械豁免申请和</w:t>
        </w:r>
        <w:r w:rsidR="009D40D7" w:rsidRPr="00CA01D9">
          <w:rPr>
            <w:rFonts w:ascii="Arial" w:hAnsi="Arial" w:cs="Arial"/>
            <w:color w:val="0000FF"/>
            <w:u w:val="single" w:color="0000FF"/>
          </w:rPr>
          <w:t>再次申请</w:t>
        </w:r>
        <w:r w:rsidRPr="00CA01D9">
          <w:rPr>
            <w:rFonts w:ascii="Arial" w:hAnsi="Arial" w:cs="Arial"/>
            <w:color w:val="0000FF"/>
            <w:u w:val="single" w:color="0000FF"/>
          </w:rPr>
          <w:t>请求，以及纳入决策总结和器械标签</w:t>
        </w:r>
      </w:hyperlink>
      <w:r w:rsidRPr="00CA01D9">
        <w:rPr>
          <w:rFonts w:ascii="Arial" w:hAnsi="Arial" w:cs="Arial"/>
        </w:rPr>
        <w:t>”</w:t>
      </w:r>
      <w:r w:rsidRPr="00CA01D9">
        <w:rPr>
          <w:rFonts w:ascii="Arial" w:hAnsi="Arial" w:cs="Arial"/>
        </w:rPr>
        <w:t>（</w:t>
      </w:r>
      <w:hyperlink r:id="rId33">
        <w:r w:rsidRPr="00CA01D9">
          <w:rPr>
            <w:rFonts w:ascii="Arial" w:hAnsi="Arial" w:cs="Arial"/>
            <w:color w:val="0000FF"/>
            <w:u w:val="single" w:color="0000FF"/>
          </w:rPr>
          <w:t>http://www.fda.gov/downloads/medicaldevices/deviceregulationandguidance/guidancedocume</w:t>
        </w:r>
      </w:hyperlink>
      <w:r w:rsidRPr="00CA01D9">
        <w:rPr>
          <w:rFonts w:ascii="Arial" w:hAnsi="Arial" w:cs="Arial"/>
          <w:color w:val="0000FF"/>
          <w:u w:val="single" w:color="0000FF"/>
        </w:rPr>
        <w:t>n</w:t>
      </w:r>
      <w:hyperlink r:id="rId34">
        <w:r w:rsidRPr="00CA01D9">
          <w:rPr>
            <w:rFonts w:ascii="Arial" w:hAnsi="Arial" w:cs="Arial"/>
            <w:color w:val="0000FF"/>
            <w:u w:val="single" w:color="0000FF"/>
          </w:rPr>
          <w:t>ts/ucm446680.pdf</w:t>
        </w:r>
      </w:hyperlink>
      <w:r w:rsidRPr="00CA01D9">
        <w:rPr>
          <w:rFonts w:ascii="Arial" w:hAnsi="Arial" w:cs="Arial"/>
        </w:rPr>
        <w:t>）。</w:t>
      </w:r>
    </w:p>
    <w:p w:rsidR="008E36CB" w:rsidRDefault="008E36CB">
      <w:pPr>
        <w:rPr>
          <w:rFonts w:ascii="Arial" w:eastAsia="宋体" w:hAnsi="Arial" w:cs="Arial"/>
          <w:sz w:val="24"/>
          <w:szCs w:val="24"/>
        </w:rPr>
      </w:pPr>
      <w:r>
        <w:rPr>
          <w:rFonts w:ascii="Arial" w:hAnsi="Arial" w:cs="Arial"/>
        </w:rPr>
        <w:br w:type="page"/>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lastRenderedPageBreak/>
        <w:t>即使仅有</w:t>
      </w:r>
      <w:r w:rsidR="009D40D7" w:rsidRPr="00CA01D9">
        <w:rPr>
          <w:rFonts w:ascii="Arial" w:hAnsi="Arial" w:cs="Arial"/>
        </w:rPr>
        <w:t>以下</w:t>
      </w:r>
      <w:r w:rsidRPr="00CA01D9">
        <w:rPr>
          <w:rFonts w:ascii="Arial" w:hAnsi="Arial" w:cs="Arial"/>
        </w:rPr>
        <w:t>部分合格</w:t>
      </w:r>
      <w:r w:rsidR="009D40D7" w:rsidRPr="00CA01D9">
        <w:rPr>
          <w:rFonts w:ascii="Arial" w:hAnsi="Arial" w:cs="Arial"/>
        </w:rPr>
        <w:t>研究受试者人群</w:t>
      </w:r>
      <w:r w:rsidRPr="00CA01D9">
        <w:rPr>
          <w:rFonts w:ascii="Arial" w:hAnsi="Arial" w:cs="Arial"/>
        </w:rPr>
        <w:t>在权衡了潜在收益（包括有关可获得知识的重要性的收益）后决定接受潜在风险，也可以批准</w:t>
      </w:r>
      <w:r w:rsidRPr="00CA01D9">
        <w:rPr>
          <w:rFonts w:ascii="Arial" w:hAnsi="Arial" w:cs="Arial"/>
        </w:rPr>
        <w:t>IDE</w:t>
      </w:r>
      <w:r w:rsidRPr="00CA01D9">
        <w:rPr>
          <w:rFonts w:ascii="Arial" w:hAnsi="Arial" w:cs="Arial"/>
        </w:rPr>
        <w:t>申请，但必须提供有关此类潜在风险和收益的充分信息并进行适当的知情同意观察，使得研究</w:t>
      </w:r>
      <w:r w:rsidR="007210C5" w:rsidRPr="00CA01D9">
        <w:rPr>
          <w:rFonts w:ascii="Arial" w:hAnsi="Arial" w:cs="Arial"/>
        </w:rPr>
        <w:t>受试者</w:t>
      </w:r>
      <w:r w:rsidRPr="00CA01D9">
        <w:rPr>
          <w:rFonts w:ascii="Arial" w:hAnsi="Arial" w:cs="Arial"/>
        </w:rPr>
        <w:t>可以做出知情决策。但是，如果所有受试者认定，某一</w:t>
      </w:r>
      <w:r w:rsidRPr="00CA01D9">
        <w:rPr>
          <w:rFonts w:ascii="Arial" w:hAnsi="Arial" w:cs="Arial"/>
        </w:rPr>
        <w:t>IDE</w:t>
      </w:r>
      <w:r w:rsidRPr="00CA01D9">
        <w:rPr>
          <w:rFonts w:ascii="Arial" w:hAnsi="Arial" w:cs="Arial"/>
        </w:rPr>
        <w:t>申请的潜在风险超过了预期收益，</w:t>
      </w:r>
      <w:r w:rsidRPr="00CA01D9">
        <w:rPr>
          <w:rFonts w:ascii="Arial" w:hAnsi="Arial" w:cs="Arial"/>
        </w:rPr>
        <w:t>FDA</w:t>
      </w:r>
      <w:r w:rsidRPr="00CA01D9">
        <w:rPr>
          <w:rFonts w:ascii="Arial" w:hAnsi="Arial" w:cs="Arial"/>
        </w:rPr>
        <w:t>将根据</w:t>
      </w:r>
      <w:r w:rsidRPr="00CA01D9">
        <w:rPr>
          <w:rFonts w:ascii="Arial" w:hAnsi="Arial" w:cs="Arial"/>
        </w:rPr>
        <w:t>21 CFR 812.30</w:t>
      </w:r>
      <w:r w:rsidRPr="00CA01D9">
        <w:rPr>
          <w:rFonts w:ascii="Arial" w:hAnsi="Arial" w:cs="Arial"/>
        </w:rPr>
        <w:t>（</w:t>
      </w:r>
      <w:r w:rsidRPr="00CA01D9">
        <w:rPr>
          <w:rFonts w:ascii="Arial" w:hAnsi="Arial" w:cs="Arial"/>
        </w:rPr>
        <w:t>b</w:t>
      </w:r>
      <w:r w:rsidRPr="00CA01D9">
        <w:rPr>
          <w:rFonts w:ascii="Arial" w:hAnsi="Arial" w:cs="Arial"/>
        </w:rPr>
        <w:t>）驳回</w:t>
      </w:r>
      <w:r w:rsidRPr="00CA01D9">
        <w:rPr>
          <w:rFonts w:ascii="Arial" w:hAnsi="Arial" w:cs="Arial"/>
        </w:rPr>
        <w:t>IDE</w:t>
      </w:r>
      <w:r w:rsidRPr="00CA01D9">
        <w:rPr>
          <w:rFonts w:ascii="Arial" w:hAnsi="Arial" w:cs="Arial"/>
        </w:rPr>
        <w:t>申请。</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由于与研究</w:t>
      </w:r>
      <w:r w:rsidR="007210C5" w:rsidRPr="00CA01D9">
        <w:rPr>
          <w:rFonts w:ascii="Arial" w:hAnsi="Arial" w:cs="Arial"/>
        </w:rPr>
        <w:t>受试者</w:t>
      </w:r>
      <w:r w:rsidRPr="00CA01D9">
        <w:rPr>
          <w:rFonts w:ascii="Arial" w:hAnsi="Arial" w:cs="Arial"/>
        </w:rPr>
        <w:t>有关，患者偏好信息可能特别有助于权衡某些挑战性器械领域的风险和收益。例如：</w:t>
      </w:r>
    </w:p>
    <w:p w:rsidR="00A3286A" w:rsidRPr="00CA01D9" w:rsidRDefault="00635917" w:rsidP="00E6710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救生但高风险的器械（例如用于末期心力衰竭的心室辅助器械（</w:t>
      </w:r>
      <w:r w:rsidRPr="00CA01D9">
        <w:rPr>
          <w:rFonts w:ascii="Arial" w:eastAsia="宋体" w:hAnsi="Arial" w:cs="Arial"/>
          <w:sz w:val="24"/>
          <w:szCs w:val="24"/>
        </w:rPr>
        <w:t>VAD</w:t>
      </w:r>
      <w:r w:rsidRPr="00CA01D9">
        <w:rPr>
          <w:rFonts w:ascii="Arial" w:eastAsia="宋体" w:hAnsi="Arial" w:cs="Arial"/>
          <w:sz w:val="24"/>
          <w:szCs w:val="24"/>
        </w:rPr>
        <w:t>））</w:t>
      </w:r>
      <w:r w:rsidR="009D40D7" w:rsidRPr="00CA01D9">
        <w:rPr>
          <w:rFonts w:ascii="Arial" w:eastAsia="宋体" w:hAnsi="Arial" w:cs="Arial"/>
          <w:sz w:val="24"/>
          <w:szCs w:val="24"/>
        </w:rPr>
        <w:t>；</w:t>
      </w:r>
    </w:p>
    <w:p w:rsidR="00A3286A" w:rsidRPr="00CA01D9" w:rsidRDefault="00635917" w:rsidP="00E6710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旨在直接影响健康相关生活质量的器械（例如，用于预防癫痫发作，睡眠呼吸中止症）</w:t>
      </w:r>
      <w:r w:rsidR="009D40D7" w:rsidRPr="00CA01D9">
        <w:rPr>
          <w:rFonts w:ascii="Arial" w:eastAsia="宋体" w:hAnsi="Arial" w:cs="Arial"/>
          <w:sz w:val="24"/>
          <w:szCs w:val="24"/>
        </w:rPr>
        <w:t>；</w:t>
      </w:r>
    </w:p>
    <w:p w:rsidR="00A3286A" w:rsidRPr="00CA01D9" w:rsidRDefault="00635917" w:rsidP="00E6710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旨在产生显著健康受益的器械（例如，肥胖症器械）</w:t>
      </w:r>
      <w:r w:rsidR="009D40D7" w:rsidRPr="00CA01D9">
        <w:rPr>
          <w:rFonts w:ascii="Arial" w:eastAsia="宋体" w:hAnsi="Arial" w:cs="Arial"/>
          <w:sz w:val="24"/>
          <w:szCs w:val="24"/>
        </w:rPr>
        <w:t>；</w:t>
      </w:r>
    </w:p>
    <w:p w:rsidR="00A3286A" w:rsidRPr="00CA01D9" w:rsidRDefault="00635917" w:rsidP="00E6710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旨在产生显著外观收益的器械（例如，乳房植入物，皱纹填充剂）</w:t>
      </w:r>
      <w:r w:rsidR="009D40D7" w:rsidRPr="00CA01D9">
        <w:rPr>
          <w:rFonts w:ascii="Arial" w:eastAsia="宋体" w:hAnsi="Arial" w:cs="Arial"/>
          <w:sz w:val="24"/>
          <w:szCs w:val="24"/>
        </w:rPr>
        <w:t>；</w:t>
      </w:r>
    </w:p>
    <w:p w:rsidR="00A3286A" w:rsidRPr="00CA01D9" w:rsidRDefault="00635917" w:rsidP="00E6710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在替代方法包括外科手术或药物治疗等非器械选项的情况下使用的器械（例如开放手术的微创替代方法）。</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如果可用，表征受试者风险承受能力及其对收益的看法的信息可能会帮助评估拟定临床研究的收益和风险。</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研究器械说明</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评估与研究器械使用相关的收益和风险时最重要的是要了解研究器械本身。</w:t>
      </w:r>
      <w:r w:rsidRPr="00CA01D9">
        <w:rPr>
          <w:rFonts w:ascii="Arial" w:hAnsi="Arial" w:cs="Arial"/>
        </w:rPr>
        <w:t>21 CFR 812.25</w:t>
      </w:r>
      <w:r w:rsidRPr="00CA01D9">
        <w:rPr>
          <w:rFonts w:ascii="Arial" w:hAnsi="Arial" w:cs="Arial"/>
        </w:rPr>
        <w:t>（</w:t>
      </w:r>
      <w:r w:rsidRPr="00CA01D9">
        <w:rPr>
          <w:rFonts w:ascii="Arial" w:hAnsi="Arial" w:cs="Arial"/>
        </w:rPr>
        <w:t>d</w:t>
      </w:r>
      <w:r w:rsidRPr="00CA01D9">
        <w:rPr>
          <w:rFonts w:ascii="Arial" w:hAnsi="Arial" w:cs="Arial"/>
        </w:rPr>
        <w:t>）规定，研究计划应：</w:t>
      </w:r>
    </w:p>
    <w:p w:rsidR="00A3286A" w:rsidRPr="00CA01D9" w:rsidRDefault="00635917" w:rsidP="00657726">
      <w:pPr>
        <w:snapToGrid w:val="0"/>
        <w:spacing w:afterLines="100" w:after="240" w:line="300" w:lineRule="auto"/>
        <w:ind w:leftChars="100" w:left="220"/>
        <w:jc w:val="both"/>
        <w:rPr>
          <w:rFonts w:ascii="Arial" w:eastAsia="宋体" w:hAnsi="Arial" w:cs="Arial"/>
          <w:sz w:val="24"/>
          <w:szCs w:val="24"/>
        </w:rPr>
      </w:pPr>
      <w:r w:rsidRPr="00CA01D9">
        <w:rPr>
          <w:rFonts w:ascii="Arial" w:eastAsia="宋体" w:hAnsi="Arial" w:cs="Arial"/>
          <w:i/>
          <w:sz w:val="24"/>
          <w:szCs w:val="24"/>
        </w:rPr>
        <w:t>描述该器械（描述器械的每个重要组件，成分，属性和操作原理以及研究期间器械的任何预期变化）。</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在未获得完全批准的</w:t>
      </w:r>
      <w:r w:rsidRPr="00CA01D9">
        <w:rPr>
          <w:rFonts w:ascii="Arial" w:hAnsi="Arial" w:cs="Arial"/>
        </w:rPr>
        <w:t>IDE</w:t>
      </w:r>
      <w:r w:rsidRPr="00CA01D9">
        <w:rPr>
          <w:rFonts w:ascii="Arial" w:hAnsi="Arial" w:cs="Arial"/>
        </w:rPr>
        <w:t>申请中，最常见的</w:t>
      </w:r>
      <w:proofErr w:type="gramStart"/>
      <w:r w:rsidRPr="00CA01D9">
        <w:rPr>
          <w:rFonts w:ascii="Arial" w:hAnsi="Arial" w:cs="Arial"/>
        </w:rPr>
        <w:t>非方案</w:t>
      </w:r>
      <w:proofErr w:type="gramEnd"/>
      <w:r w:rsidRPr="00CA01D9">
        <w:rPr>
          <w:rFonts w:ascii="Arial" w:hAnsi="Arial" w:cs="Arial"/>
        </w:rPr>
        <w:t>相关缺陷就是与研究器械描述不完整或不充分相关的缺陷。附录</w:t>
      </w:r>
      <w:r w:rsidRPr="00CA01D9">
        <w:rPr>
          <w:rFonts w:ascii="Arial" w:hAnsi="Arial" w:cs="Arial"/>
        </w:rPr>
        <w:t>C</w:t>
      </w:r>
      <w:r w:rsidRPr="00CA01D9">
        <w:rPr>
          <w:rFonts w:ascii="Arial" w:hAnsi="Arial" w:cs="Arial"/>
        </w:rPr>
        <w:t>列出了</w:t>
      </w:r>
      <w:r w:rsidRPr="00CA01D9">
        <w:rPr>
          <w:rFonts w:ascii="Arial" w:hAnsi="Arial" w:cs="Arial"/>
        </w:rPr>
        <w:t>FDA</w:t>
      </w:r>
      <w:r w:rsidRPr="00CA01D9">
        <w:rPr>
          <w:rFonts w:ascii="Arial" w:hAnsi="Arial" w:cs="Arial"/>
        </w:rPr>
        <w:t>建议在</w:t>
      </w:r>
      <w:r w:rsidRPr="00CA01D9">
        <w:rPr>
          <w:rFonts w:ascii="Arial" w:hAnsi="Arial" w:cs="Arial"/>
        </w:rPr>
        <w:t>IDE</w:t>
      </w:r>
      <w:r w:rsidRPr="00CA01D9">
        <w:rPr>
          <w:rFonts w:ascii="Arial" w:hAnsi="Arial" w:cs="Arial"/>
        </w:rPr>
        <w:t>申请器械描述部分提供的器械属性。</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CA01D9">
      <w:pPr>
        <w:pStyle w:val="a3"/>
        <w:snapToGrid w:val="0"/>
        <w:spacing w:afterLines="100" w:after="240" w:line="300" w:lineRule="auto"/>
        <w:ind w:left="0"/>
        <w:jc w:val="both"/>
        <w:rPr>
          <w:rFonts w:ascii="Arial" w:hAnsi="Arial" w:cs="Arial"/>
        </w:rPr>
      </w:pPr>
      <w:bookmarkStart w:id="33" w:name="Assessment_of_Risks_to_Study_Subjects"/>
      <w:bookmarkEnd w:id="33"/>
      <w:r w:rsidRPr="00CA01D9">
        <w:rPr>
          <w:rFonts w:ascii="Arial" w:hAnsi="Arial" w:cs="Arial"/>
          <w:u w:val="single" w:color="000000"/>
        </w:rPr>
        <w:lastRenderedPageBreak/>
        <w:t>评估与研究器械使用相关的风险</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研究计划必须包括风险分析，其中应描述和分析受试者因参与研究而将遭受的所有增加风险。</w:t>
      </w:r>
      <w:r w:rsidR="009453A8">
        <w:rPr>
          <w:rStyle w:val="aa"/>
          <w:rFonts w:ascii="Arial" w:hAnsi="Arial" w:cs="Arial"/>
        </w:rPr>
        <w:footnoteReference w:id="18"/>
      </w:r>
      <w:r w:rsidRPr="00CA01D9">
        <w:rPr>
          <w:rFonts w:ascii="Arial" w:hAnsi="Arial" w:cs="Arial"/>
        </w:rPr>
        <w:t>FDA</w:t>
      </w:r>
      <w:r w:rsidRPr="00CA01D9">
        <w:rPr>
          <w:rFonts w:ascii="Arial" w:hAnsi="Arial" w:cs="Arial"/>
        </w:rPr>
        <w:t>将比较参加研究前的风险以及参加研究后的风险。</w:t>
      </w:r>
      <w:r w:rsidRPr="00CA01D9">
        <w:rPr>
          <w:rFonts w:ascii="Arial" w:hAnsi="Arial" w:cs="Arial"/>
        </w:rPr>
        <w:t>FDA</w:t>
      </w:r>
      <w:r w:rsidRPr="00CA01D9">
        <w:rPr>
          <w:rFonts w:ascii="Arial" w:hAnsi="Arial" w:cs="Arial"/>
        </w:rPr>
        <w:t>还将考虑降低此类风险的方式，研究理由以及患者人群描述（包括数量、年龄、性别和病症）。应同时进行研究使用风险分析应与器械特定风险分析（例如，故障模式和影响分析（</w:t>
      </w:r>
      <w:r w:rsidRPr="00CA01D9">
        <w:rPr>
          <w:rFonts w:ascii="Arial" w:hAnsi="Arial" w:cs="Arial"/>
        </w:rPr>
        <w:t>FMEA</w:t>
      </w:r>
      <w:r w:rsidRPr="00CA01D9">
        <w:rPr>
          <w:rFonts w:ascii="Arial" w:hAnsi="Arial" w:cs="Arial"/>
        </w:rPr>
        <w:t>）），以作为整个器械历史文件和风险管理过程的一部分。</w:t>
      </w:r>
    </w:p>
    <w:p w:rsidR="009453A8"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FDA</w:t>
      </w:r>
      <w:r w:rsidRPr="00CA01D9">
        <w:rPr>
          <w:rFonts w:ascii="Arial" w:hAnsi="Arial" w:cs="Arial"/>
        </w:rPr>
        <w:t>建议</w:t>
      </w:r>
      <w:r w:rsidRPr="00CA01D9">
        <w:rPr>
          <w:rFonts w:ascii="Arial" w:hAnsi="Arial" w:cs="Arial"/>
        </w:rPr>
        <w:t>IDE</w:t>
      </w:r>
      <w:r w:rsidRPr="00CA01D9">
        <w:rPr>
          <w:rFonts w:ascii="Arial" w:hAnsi="Arial" w:cs="Arial"/>
        </w:rPr>
        <w:t>申办方使用公认方法来评估风险（如果适用）。例如，本指南结合了</w:t>
      </w:r>
      <w:r w:rsidRPr="00CA01D9">
        <w:rPr>
          <w:rFonts w:ascii="Arial" w:hAnsi="Arial" w:cs="Arial"/>
        </w:rPr>
        <w:t>ANSI / AAMI / ISO 14971</w:t>
      </w:r>
      <w:r w:rsidRPr="00CA01D9">
        <w:rPr>
          <w:rFonts w:ascii="Arial" w:hAnsi="Arial" w:cs="Arial"/>
        </w:rPr>
        <w:t>：</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医疗器械</w:t>
      </w:r>
      <w:r w:rsidRPr="00CA01D9">
        <w:rPr>
          <w:rFonts w:ascii="Arial" w:hAnsi="Arial" w:cs="Arial"/>
        </w:rPr>
        <w:t xml:space="preserve"> - </w:t>
      </w:r>
      <w:r w:rsidRPr="00CA01D9">
        <w:rPr>
          <w:rFonts w:ascii="Arial" w:hAnsi="Arial" w:cs="Arial"/>
        </w:rPr>
        <w:t>医疗器械风险管理应用的原则，其为</w:t>
      </w:r>
      <w:r w:rsidRPr="00CA01D9">
        <w:rPr>
          <w:rFonts w:ascii="Arial" w:hAnsi="Arial" w:cs="Arial"/>
        </w:rPr>
        <w:t>FDA</w:t>
      </w:r>
      <w:r w:rsidRPr="00CA01D9">
        <w:rPr>
          <w:rFonts w:ascii="Arial" w:hAnsi="Arial" w:cs="Arial"/>
        </w:rPr>
        <w:t>认可的标准，为系统性管理医疗器械在整个产品生命周期中的风险提供了框架。</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此外，在评估研究期间的风险时，还应注意几个关键概念，在</w:t>
      </w:r>
      <w:r w:rsidRPr="00CA01D9">
        <w:rPr>
          <w:rFonts w:ascii="Arial" w:hAnsi="Arial" w:cs="Arial"/>
        </w:rPr>
        <w:t>FDA</w:t>
      </w:r>
      <w:r w:rsidRPr="00CA01D9">
        <w:rPr>
          <w:rFonts w:ascii="Arial" w:hAnsi="Arial" w:cs="Arial"/>
        </w:rPr>
        <w:t>收到的</w:t>
      </w:r>
      <w:r w:rsidRPr="00CA01D9">
        <w:rPr>
          <w:rFonts w:ascii="Arial" w:hAnsi="Arial" w:cs="Arial"/>
        </w:rPr>
        <w:t>IDE</w:t>
      </w:r>
      <w:r w:rsidRPr="00CA01D9">
        <w:rPr>
          <w:rFonts w:ascii="Arial" w:hAnsi="Arial" w:cs="Arial"/>
        </w:rPr>
        <w:t>申请中，一般没有充分描述此类概念，但申请中应该提供与其相关的信息：</w:t>
      </w:r>
    </w:p>
    <w:p w:rsidR="00A3286A" w:rsidRPr="00CA01D9" w:rsidRDefault="00635917" w:rsidP="009453A8">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损害。必须指明危害如何导致临床后遗症（包括经历的时间长短和残留影响（如果有））或其他有害事件，因为此类信息可使风险严重程度和可能性估计更准确。</w:t>
      </w:r>
    </w:p>
    <w:p w:rsidR="00A3286A" w:rsidRPr="00CA01D9" w:rsidRDefault="00635917" w:rsidP="009453A8">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可能性。如果需要全面估计风险，则应该同时关注风险的严重程度以及可能性。</w:t>
      </w:r>
    </w:p>
    <w:p w:rsidR="00A3286A" w:rsidRPr="00CA01D9" w:rsidRDefault="00635917" w:rsidP="009453A8">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剩余风险和风险控制措施的完整性。许多既定风险已通过有效的风险控制措施降低到可接受水平。在评估</w:t>
      </w:r>
      <w:r w:rsidRPr="00CA01D9">
        <w:rPr>
          <w:rFonts w:ascii="Arial" w:eastAsia="宋体" w:hAnsi="Arial" w:cs="Arial"/>
          <w:sz w:val="24"/>
          <w:szCs w:val="24"/>
        </w:rPr>
        <w:t>IDE</w:t>
      </w:r>
      <w:r w:rsidRPr="00CA01D9">
        <w:rPr>
          <w:rFonts w:ascii="Arial" w:eastAsia="宋体" w:hAnsi="Arial" w:cs="Arial"/>
          <w:sz w:val="24"/>
          <w:szCs w:val="24"/>
        </w:rPr>
        <w:t>申请的收益</w:t>
      </w:r>
      <w:r w:rsidRPr="00CA01D9">
        <w:rPr>
          <w:rFonts w:ascii="Arial" w:eastAsia="宋体" w:hAnsi="Arial" w:cs="Arial"/>
          <w:sz w:val="24"/>
          <w:szCs w:val="24"/>
        </w:rPr>
        <w:t>-</w:t>
      </w:r>
      <w:r w:rsidRPr="00CA01D9">
        <w:rPr>
          <w:rFonts w:ascii="Arial" w:eastAsia="宋体" w:hAnsi="Arial" w:cs="Arial"/>
          <w:sz w:val="24"/>
          <w:szCs w:val="24"/>
        </w:rPr>
        <w:t>风险时，</w:t>
      </w:r>
      <w:r w:rsidRPr="00CA01D9">
        <w:rPr>
          <w:rFonts w:ascii="Arial" w:eastAsia="宋体" w:hAnsi="Arial" w:cs="Arial"/>
          <w:sz w:val="24"/>
          <w:szCs w:val="24"/>
        </w:rPr>
        <w:t>FDA</w:t>
      </w:r>
      <w:r w:rsidRPr="00CA01D9">
        <w:rPr>
          <w:rFonts w:ascii="Arial" w:eastAsia="宋体" w:hAnsi="Arial" w:cs="Arial"/>
          <w:sz w:val="24"/>
          <w:szCs w:val="24"/>
        </w:rPr>
        <w:t>将关注风险控制措施的完整性，以及剩余风险是否超过了受试者的预期收益。</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如果有理由</w:t>
      </w:r>
      <w:r w:rsidR="009D40D7" w:rsidRPr="00CA01D9">
        <w:rPr>
          <w:rFonts w:ascii="Arial" w:hAnsi="Arial" w:cs="Arial"/>
        </w:rPr>
        <w:t>认为</w:t>
      </w:r>
      <w:r w:rsidRPr="00CA01D9">
        <w:rPr>
          <w:rFonts w:ascii="Arial" w:hAnsi="Arial" w:cs="Arial"/>
        </w:rPr>
        <w:t>受试者的风险超过了受试者的预期收益以及可获得知识的重要性，则</w:t>
      </w:r>
      <w:r w:rsidRPr="00CA01D9">
        <w:rPr>
          <w:rFonts w:ascii="Arial" w:hAnsi="Arial" w:cs="Arial"/>
        </w:rPr>
        <w:t>FDA</w:t>
      </w:r>
      <w:r w:rsidRPr="00CA01D9">
        <w:rPr>
          <w:rFonts w:ascii="Arial" w:hAnsi="Arial" w:cs="Arial"/>
        </w:rPr>
        <w:t>可能会驳回</w:t>
      </w:r>
      <w:r w:rsidRPr="00CA01D9">
        <w:rPr>
          <w:rFonts w:ascii="Arial" w:hAnsi="Arial" w:cs="Arial"/>
        </w:rPr>
        <w:t>IDE</w:t>
      </w:r>
      <w:r w:rsidRPr="00CA01D9">
        <w:rPr>
          <w:rFonts w:ascii="Arial" w:hAnsi="Arial" w:cs="Arial"/>
        </w:rPr>
        <w:t>申请。</w:t>
      </w:r>
      <w:r w:rsidR="003A02DE">
        <w:rPr>
          <w:rStyle w:val="aa"/>
          <w:rFonts w:ascii="Arial" w:hAnsi="Arial" w:cs="Arial"/>
        </w:rPr>
        <w:footnoteReference w:id="19"/>
      </w:r>
      <w:r w:rsidRPr="00CA01D9">
        <w:rPr>
          <w:rFonts w:ascii="Arial" w:hAnsi="Arial" w:cs="Arial"/>
        </w:rPr>
        <w:t>无需对照技术最先进的替代方法评估收益和风险，而应对照用于特定疾病或病症的常用治疗方法进行此类评估。</w:t>
      </w:r>
    </w:p>
    <w:p w:rsidR="00A3286A" w:rsidRPr="00CA01D9" w:rsidRDefault="00635917" w:rsidP="001C74EB">
      <w:pPr>
        <w:pStyle w:val="2"/>
        <w:numPr>
          <w:ilvl w:val="0"/>
          <w:numId w:val="11"/>
        </w:numPr>
        <w:tabs>
          <w:tab w:val="left" w:pos="840"/>
        </w:tabs>
        <w:snapToGrid w:val="0"/>
        <w:spacing w:afterLines="100" w:after="240" w:line="300" w:lineRule="auto"/>
        <w:ind w:left="720"/>
        <w:jc w:val="both"/>
        <w:rPr>
          <w:rFonts w:ascii="Arial" w:hAnsi="Arial" w:cs="Arial"/>
          <w:b w:val="0"/>
          <w:bCs w:val="0"/>
          <w:i w:val="0"/>
        </w:rPr>
      </w:pPr>
      <w:bookmarkStart w:id="34" w:name="_bookmark28"/>
      <w:bookmarkStart w:id="35" w:name="_Toc498621505"/>
      <w:bookmarkEnd w:id="34"/>
      <w:r w:rsidRPr="00CA01D9">
        <w:rPr>
          <w:rFonts w:ascii="Arial" w:hAnsi="Arial" w:cs="Arial"/>
        </w:rPr>
        <w:t>评估</w:t>
      </w:r>
      <w:r w:rsidR="00C420C7" w:rsidRPr="00CA01D9">
        <w:rPr>
          <w:rFonts w:ascii="Arial" w:hAnsi="Arial" w:cs="Arial"/>
        </w:rPr>
        <w:t>研究受试者</w:t>
      </w:r>
      <w:r w:rsidRPr="00CA01D9">
        <w:rPr>
          <w:rFonts w:ascii="Arial" w:hAnsi="Arial" w:cs="Arial"/>
        </w:rPr>
        <w:t>的风险</w:t>
      </w:r>
      <w:bookmarkEnd w:id="35"/>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lastRenderedPageBreak/>
        <w:t>一般来说，在评估</w:t>
      </w:r>
      <w:r w:rsidRPr="00CA01D9">
        <w:rPr>
          <w:rFonts w:ascii="Arial" w:hAnsi="Arial" w:cs="Arial"/>
        </w:rPr>
        <w:t>IDE</w:t>
      </w:r>
      <w:r w:rsidRPr="00CA01D9">
        <w:rPr>
          <w:rFonts w:ascii="Arial" w:hAnsi="Arial" w:cs="Arial"/>
        </w:rPr>
        <w:t>受试者的风险时，申办方应关注其存在和特征已得到客观科学证据支持且可以合理预见的风险。评估风险时，必须描述和分析受试者因参与研究而遭受的所有增量风险，以及降低此类风险的方式。</w:t>
      </w:r>
      <w:r w:rsidR="002E4212">
        <w:rPr>
          <w:rStyle w:val="aa"/>
          <w:rFonts w:ascii="Arial" w:hAnsi="Arial" w:cs="Arial"/>
        </w:rPr>
        <w:footnoteReference w:id="20"/>
      </w:r>
      <w:r w:rsidRPr="00CA01D9">
        <w:rPr>
          <w:rFonts w:ascii="Arial" w:hAnsi="Arial" w:cs="Arial"/>
        </w:rPr>
        <w:t>虽然无需针对未得到科学证据支持的假设风险或因发生概率和损害严重程度较低而可忽略不计的风险实施具体的缓解措施，建议在评估风险时确定所有可能风险，并提供有关风险水平确定方式的信息。</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rPr>
        <w:t>危害与损害之间的关系</w:t>
      </w:r>
      <w:r w:rsidR="002E4212">
        <w:rPr>
          <w:rStyle w:val="aa"/>
          <w:rFonts w:ascii="Arial" w:hAnsi="Arial" w:cs="Arial"/>
          <w:u w:val="single"/>
        </w:rPr>
        <w:footnoteReference w:id="21"/>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评估风险时，应依据损伤或伤害描述危害（潜在损害源）和最终损害之间的关系。作为</w:t>
      </w:r>
      <w:r w:rsidRPr="00CA01D9">
        <w:rPr>
          <w:rFonts w:ascii="Arial" w:hAnsi="Arial" w:cs="Arial"/>
        </w:rPr>
        <w:t>FDA IDE</w:t>
      </w:r>
      <w:r w:rsidRPr="00CA01D9">
        <w:rPr>
          <w:rFonts w:ascii="Arial" w:hAnsi="Arial" w:cs="Arial"/>
        </w:rPr>
        <w:t>决策的一部分，此关系应该具体描述可预见的事件序列、危害处境和相关的可能损害。这应包括（如果适用）：</w:t>
      </w:r>
    </w:p>
    <w:p w:rsidR="00A3286A" w:rsidRPr="00CA01D9" w:rsidRDefault="00635917" w:rsidP="002E4212">
      <w:pPr>
        <w:pStyle w:val="a4"/>
        <w:numPr>
          <w:ilvl w:val="0"/>
          <w:numId w:val="13"/>
        </w:numPr>
        <w:tabs>
          <w:tab w:val="left" w:pos="480"/>
        </w:tabs>
        <w:snapToGrid w:val="0"/>
        <w:spacing w:line="300" w:lineRule="auto"/>
        <w:ind w:left="357" w:hanging="357"/>
        <w:jc w:val="both"/>
        <w:rPr>
          <w:rFonts w:ascii="Arial" w:eastAsia="宋体" w:hAnsi="Arial" w:cs="Arial"/>
          <w:sz w:val="24"/>
          <w:szCs w:val="24"/>
        </w:rPr>
      </w:pPr>
      <w:r w:rsidRPr="00CA01D9">
        <w:rPr>
          <w:rFonts w:ascii="Arial" w:eastAsia="宋体" w:hAnsi="Arial" w:cs="Arial"/>
          <w:sz w:val="24"/>
          <w:szCs w:val="24"/>
        </w:rPr>
        <w:t>初始危害，故障模式或境遇</w:t>
      </w:r>
      <w:r w:rsidR="009D40D7" w:rsidRPr="00CA01D9">
        <w:rPr>
          <w:rFonts w:ascii="Arial" w:eastAsia="宋体" w:hAnsi="Arial" w:cs="Arial"/>
          <w:sz w:val="24"/>
          <w:szCs w:val="24"/>
        </w:rPr>
        <w:t>；</w:t>
      </w:r>
    </w:p>
    <w:p w:rsidR="00A3286A" w:rsidRPr="00CA01D9" w:rsidRDefault="00635917" w:rsidP="002E4212">
      <w:pPr>
        <w:pStyle w:val="a4"/>
        <w:numPr>
          <w:ilvl w:val="0"/>
          <w:numId w:val="13"/>
        </w:numPr>
        <w:tabs>
          <w:tab w:val="left" w:pos="480"/>
        </w:tabs>
        <w:snapToGrid w:val="0"/>
        <w:spacing w:line="300" w:lineRule="auto"/>
        <w:ind w:left="357" w:hanging="357"/>
        <w:jc w:val="both"/>
        <w:rPr>
          <w:rFonts w:ascii="Arial" w:eastAsia="宋体" w:hAnsi="Arial" w:cs="Arial"/>
          <w:sz w:val="24"/>
          <w:szCs w:val="24"/>
        </w:rPr>
      </w:pPr>
      <w:r w:rsidRPr="00CA01D9">
        <w:rPr>
          <w:rFonts w:ascii="Arial" w:eastAsia="宋体" w:hAnsi="Arial" w:cs="Arial"/>
          <w:sz w:val="24"/>
          <w:szCs w:val="24"/>
        </w:rPr>
        <w:t>可能致使危害处境发生的事件顺序</w:t>
      </w:r>
      <w:r w:rsidR="009D40D7" w:rsidRPr="00CA01D9">
        <w:rPr>
          <w:rFonts w:ascii="Arial" w:eastAsia="宋体" w:hAnsi="Arial" w:cs="Arial"/>
          <w:sz w:val="24"/>
          <w:szCs w:val="24"/>
        </w:rPr>
        <w:t>；</w:t>
      </w:r>
    </w:p>
    <w:p w:rsidR="00A3286A" w:rsidRPr="00CA01D9" w:rsidRDefault="00635917" w:rsidP="002E4212">
      <w:pPr>
        <w:pStyle w:val="a4"/>
        <w:numPr>
          <w:ilvl w:val="0"/>
          <w:numId w:val="13"/>
        </w:numPr>
        <w:tabs>
          <w:tab w:val="left" w:pos="480"/>
        </w:tabs>
        <w:snapToGrid w:val="0"/>
        <w:spacing w:line="300" w:lineRule="auto"/>
        <w:ind w:left="357" w:hanging="357"/>
        <w:jc w:val="both"/>
        <w:rPr>
          <w:rFonts w:ascii="Arial" w:eastAsia="宋体" w:hAnsi="Arial" w:cs="Arial"/>
          <w:sz w:val="24"/>
          <w:szCs w:val="24"/>
        </w:rPr>
      </w:pPr>
      <w:r w:rsidRPr="00CA01D9">
        <w:rPr>
          <w:rFonts w:ascii="Arial" w:eastAsia="宋体" w:hAnsi="Arial" w:cs="Arial"/>
          <w:sz w:val="24"/>
          <w:szCs w:val="24"/>
        </w:rPr>
        <w:t>出现这种处境的可能性</w:t>
      </w:r>
      <w:r w:rsidR="009D40D7" w:rsidRPr="00CA01D9">
        <w:rPr>
          <w:rFonts w:ascii="Arial" w:eastAsia="宋体" w:hAnsi="Arial" w:cs="Arial"/>
          <w:sz w:val="24"/>
          <w:szCs w:val="24"/>
        </w:rPr>
        <w:t>；</w:t>
      </w:r>
    </w:p>
    <w:p w:rsidR="00A3286A" w:rsidRPr="00CA01D9" w:rsidRDefault="00635917" w:rsidP="002E4212">
      <w:pPr>
        <w:pStyle w:val="a4"/>
        <w:numPr>
          <w:ilvl w:val="0"/>
          <w:numId w:val="13"/>
        </w:numPr>
        <w:tabs>
          <w:tab w:val="left" w:pos="480"/>
        </w:tabs>
        <w:snapToGrid w:val="0"/>
        <w:spacing w:line="300" w:lineRule="auto"/>
        <w:ind w:left="357" w:hanging="357"/>
        <w:jc w:val="both"/>
        <w:rPr>
          <w:rFonts w:ascii="Arial" w:eastAsia="宋体" w:hAnsi="Arial" w:cs="Arial"/>
          <w:sz w:val="24"/>
          <w:szCs w:val="24"/>
        </w:rPr>
      </w:pPr>
      <w:r w:rsidRPr="00CA01D9">
        <w:rPr>
          <w:rFonts w:ascii="Arial" w:eastAsia="宋体" w:hAnsi="Arial" w:cs="Arial"/>
          <w:sz w:val="24"/>
          <w:szCs w:val="24"/>
        </w:rPr>
        <w:t>危害处境造成损害的可能性</w:t>
      </w:r>
      <w:r w:rsidR="009D40D7" w:rsidRPr="00CA01D9">
        <w:rPr>
          <w:rFonts w:ascii="Arial" w:eastAsia="宋体" w:hAnsi="Arial" w:cs="Arial"/>
          <w:sz w:val="24"/>
          <w:szCs w:val="24"/>
        </w:rPr>
        <w:t>；</w:t>
      </w:r>
    </w:p>
    <w:p w:rsidR="00A3286A" w:rsidRPr="00CA01D9" w:rsidRDefault="00635917" w:rsidP="003A02DE">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可能造成的损害性质。</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评估</w:t>
      </w:r>
      <w:r w:rsidRPr="00CA01D9">
        <w:rPr>
          <w:rFonts w:ascii="Arial" w:hAnsi="Arial" w:cs="Arial"/>
        </w:rPr>
        <w:t>IDE</w:t>
      </w:r>
      <w:r w:rsidRPr="00CA01D9">
        <w:rPr>
          <w:rFonts w:ascii="Arial" w:hAnsi="Arial" w:cs="Arial"/>
        </w:rPr>
        <w:t>研究相关风险</w:t>
      </w:r>
      <w:r w:rsidRPr="00CA01D9">
        <w:rPr>
          <w:rFonts w:ascii="Arial" w:hAnsi="Arial" w:cs="Arial"/>
        </w:rPr>
        <w:t>/</w:t>
      </w:r>
      <w:r w:rsidRPr="00CA01D9">
        <w:rPr>
          <w:rFonts w:ascii="Arial" w:hAnsi="Arial" w:cs="Arial"/>
        </w:rPr>
        <w:t>损害的程度是应分别和总体考虑以下因素：</w:t>
      </w:r>
    </w:p>
    <w:p w:rsidR="00A3286A" w:rsidRPr="00CA01D9" w:rsidRDefault="00635917" w:rsidP="003A02DE">
      <w:pPr>
        <w:pStyle w:val="a4"/>
        <w:numPr>
          <w:ilvl w:val="1"/>
          <w:numId w:val="11"/>
        </w:numPr>
        <w:tabs>
          <w:tab w:val="left" w:pos="893"/>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b/>
          <w:sz w:val="24"/>
          <w:szCs w:val="24"/>
        </w:rPr>
        <w:t>风险类型，包括严重程度：</w:t>
      </w:r>
      <w:r w:rsidRPr="00CA01D9">
        <w:rPr>
          <w:rFonts w:ascii="Arial" w:eastAsia="宋体" w:hAnsi="Arial" w:cs="Arial"/>
          <w:sz w:val="24"/>
          <w:szCs w:val="24"/>
        </w:rPr>
        <w:t>应考虑到受试者因参与研究而承担的各种风险，包括风险的严重程度。这些包括：</w:t>
      </w:r>
    </w:p>
    <w:p w:rsidR="00A3286A" w:rsidRPr="00CA01D9" w:rsidRDefault="00635917" w:rsidP="002E4212">
      <w:pPr>
        <w:pStyle w:val="a4"/>
        <w:numPr>
          <w:ilvl w:val="2"/>
          <w:numId w:val="11"/>
        </w:numPr>
        <w:tabs>
          <w:tab w:val="left" w:pos="1199"/>
          <w:tab w:val="left" w:pos="1200"/>
        </w:tabs>
        <w:snapToGrid w:val="0"/>
        <w:spacing w:afterLines="100" w:after="240" w:line="300" w:lineRule="auto"/>
        <w:ind w:leftChars="300" w:left="1017" w:hanging="357"/>
        <w:jc w:val="both"/>
        <w:rPr>
          <w:rFonts w:ascii="Arial" w:eastAsia="宋体" w:hAnsi="Arial" w:cs="Arial"/>
          <w:sz w:val="24"/>
          <w:szCs w:val="24"/>
        </w:rPr>
      </w:pPr>
      <w:r w:rsidRPr="00CA01D9">
        <w:rPr>
          <w:rFonts w:ascii="Arial" w:eastAsia="宋体" w:hAnsi="Arial" w:cs="Arial"/>
          <w:b/>
          <w:sz w:val="24"/>
          <w:szCs w:val="24"/>
        </w:rPr>
        <w:t>基本安全</w:t>
      </w:r>
      <w:r w:rsidRPr="00CA01D9">
        <w:rPr>
          <w:rFonts w:ascii="Arial" w:eastAsia="宋体" w:hAnsi="Arial" w:cs="Arial"/>
          <w:sz w:val="24"/>
          <w:szCs w:val="24"/>
        </w:rPr>
        <w:t>——</w:t>
      </w:r>
      <w:r w:rsidR="00C420C7" w:rsidRPr="00CA01D9">
        <w:rPr>
          <w:rFonts w:ascii="Arial" w:eastAsia="宋体" w:hAnsi="Arial" w:cs="Arial"/>
          <w:sz w:val="24"/>
          <w:szCs w:val="24"/>
        </w:rPr>
        <w:t>避免</w:t>
      </w:r>
      <w:r w:rsidRPr="00CA01D9">
        <w:rPr>
          <w:rFonts w:ascii="Arial" w:eastAsia="宋体" w:hAnsi="Arial" w:cs="Arial"/>
          <w:sz w:val="24"/>
          <w:szCs w:val="24"/>
        </w:rPr>
        <w:t>身体危害，应以合理的确定性水平予以解决和缓解。例如，从电气安全的角度来看，有源器械应具有安全性（例如，器械不应该导致意外电击，且表面温度升高不应该意外烧伤患者或操作员）。</w:t>
      </w:r>
    </w:p>
    <w:p w:rsidR="00A3286A" w:rsidRPr="00CA01D9" w:rsidRDefault="00635917" w:rsidP="002E4212">
      <w:pPr>
        <w:pStyle w:val="a4"/>
        <w:numPr>
          <w:ilvl w:val="2"/>
          <w:numId w:val="11"/>
        </w:numPr>
        <w:tabs>
          <w:tab w:val="left" w:pos="1199"/>
          <w:tab w:val="left" w:pos="1200"/>
        </w:tabs>
        <w:snapToGrid w:val="0"/>
        <w:spacing w:afterLines="100" w:after="240" w:line="300" w:lineRule="auto"/>
        <w:ind w:leftChars="300" w:left="1017" w:hanging="357"/>
        <w:jc w:val="both"/>
        <w:rPr>
          <w:rFonts w:ascii="Arial" w:eastAsia="宋体" w:hAnsi="Arial" w:cs="Arial"/>
          <w:sz w:val="24"/>
          <w:szCs w:val="24"/>
        </w:rPr>
      </w:pPr>
      <w:r w:rsidRPr="00CA01D9">
        <w:rPr>
          <w:rFonts w:ascii="Arial" w:eastAsia="宋体" w:hAnsi="Arial" w:cs="Arial"/>
          <w:b/>
          <w:sz w:val="24"/>
          <w:szCs w:val="24"/>
        </w:rPr>
        <w:t>器械相关严重不良事件</w:t>
      </w:r>
      <w:r w:rsidRPr="00CA01D9">
        <w:rPr>
          <w:rFonts w:ascii="Arial" w:eastAsia="宋体" w:hAnsi="Arial" w:cs="Arial"/>
          <w:sz w:val="24"/>
          <w:szCs w:val="24"/>
        </w:rPr>
        <w:t>——</w:t>
      </w:r>
      <w:r w:rsidRPr="00CA01D9">
        <w:rPr>
          <w:rFonts w:ascii="Arial" w:eastAsia="宋体" w:hAnsi="Arial" w:cs="Arial"/>
          <w:sz w:val="24"/>
          <w:szCs w:val="24"/>
        </w:rPr>
        <w:t>可能造成危及生命，导致身体永久性伤残或损伤，或需要医疗或手术干预来防止永久性身体损害的伤害或疾病的器械研究使用相关事件。</w:t>
      </w:r>
    </w:p>
    <w:p w:rsidR="00A3286A" w:rsidRPr="00CA01D9" w:rsidRDefault="00635917" w:rsidP="002E4212">
      <w:pPr>
        <w:pStyle w:val="a4"/>
        <w:numPr>
          <w:ilvl w:val="2"/>
          <w:numId w:val="11"/>
        </w:numPr>
        <w:tabs>
          <w:tab w:val="left" w:pos="1199"/>
          <w:tab w:val="left" w:pos="1200"/>
        </w:tabs>
        <w:snapToGrid w:val="0"/>
        <w:spacing w:afterLines="100" w:after="240" w:line="300" w:lineRule="auto"/>
        <w:ind w:leftChars="300" w:left="1017" w:hanging="357"/>
        <w:jc w:val="both"/>
        <w:rPr>
          <w:rFonts w:ascii="Arial" w:eastAsia="宋体" w:hAnsi="Arial" w:cs="Arial"/>
          <w:sz w:val="24"/>
          <w:szCs w:val="24"/>
        </w:rPr>
      </w:pPr>
      <w:r w:rsidRPr="00CA01D9">
        <w:rPr>
          <w:rFonts w:ascii="Arial" w:eastAsia="宋体" w:hAnsi="Arial" w:cs="Arial"/>
          <w:b/>
          <w:sz w:val="24"/>
          <w:szCs w:val="24"/>
        </w:rPr>
        <w:t>器械相关非严重不良事件</w:t>
      </w:r>
      <w:r w:rsidRPr="00CA01D9">
        <w:rPr>
          <w:rFonts w:ascii="Arial" w:eastAsia="宋体" w:hAnsi="Arial" w:cs="Arial"/>
          <w:sz w:val="24"/>
          <w:szCs w:val="24"/>
        </w:rPr>
        <w:t>——</w:t>
      </w:r>
      <w:r w:rsidRPr="00CA01D9">
        <w:rPr>
          <w:rFonts w:ascii="Arial" w:eastAsia="宋体" w:hAnsi="Arial" w:cs="Arial"/>
          <w:sz w:val="24"/>
          <w:szCs w:val="24"/>
        </w:rPr>
        <w:t>不会造成危及生命，导致身体永久性伤残或损伤，或需要医疗或手术干预来防止永久性身体损害的伤害或疾病的</w:t>
      </w:r>
      <w:r w:rsidRPr="00CA01D9">
        <w:rPr>
          <w:rFonts w:ascii="Arial" w:eastAsia="宋体" w:hAnsi="Arial" w:cs="Arial"/>
          <w:sz w:val="24"/>
          <w:szCs w:val="24"/>
        </w:rPr>
        <w:lastRenderedPageBreak/>
        <w:t>器械研究使用相关事件。</w:t>
      </w:r>
    </w:p>
    <w:p w:rsidR="00A3286A" w:rsidRPr="00CA01D9" w:rsidRDefault="00635917" w:rsidP="002E4212">
      <w:pPr>
        <w:pStyle w:val="a4"/>
        <w:numPr>
          <w:ilvl w:val="2"/>
          <w:numId w:val="11"/>
        </w:numPr>
        <w:tabs>
          <w:tab w:val="left" w:pos="1199"/>
          <w:tab w:val="left" w:pos="1200"/>
        </w:tabs>
        <w:snapToGrid w:val="0"/>
        <w:spacing w:afterLines="100" w:after="240" w:line="300" w:lineRule="auto"/>
        <w:ind w:leftChars="300" w:left="1017" w:hanging="357"/>
        <w:jc w:val="both"/>
        <w:rPr>
          <w:rFonts w:ascii="Arial" w:eastAsia="宋体" w:hAnsi="Arial" w:cs="Arial"/>
          <w:sz w:val="24"/>
          <w:szCs w:val="24"/>
        </w:rPr>
      </w:pPr>
      <w:r w:rsidRPr="00CA01D9">
        <w:rPr>
          <w:rFonts w:ascii="Arial" w:eastAsia="宋体" w:hAnsi="Arial" w:cs="Arial"/>
          <w:b/>
          <w:sz w:val="24"/>
          <w:szCs w:val="24"/>
        </w:rPr>
        <w:t>研究引起的手术相关并发症</w:t>
      </w:r>
      <w:r w:rsidRPr="00CA01D9">
        <w:rPr>
          <w:rFonts w:ascii="Arial" w:eastAsia="宋体" w:hAnsi="Arial" w:cs="Arial"/>
          <w:sz w:val="24"/>
          <w:szCs w:val="24"/>
        </w:rPr>
        <w:t>——</w:t>
      </w:r>
      <w:r w:rsidRPr="00CA01D9">
        <w:rPr>
          <w:rFonts w:ascii="Arial" w:eastAsia="宋体" w:hAnsi="Arial" w:cs="Arial"/>
          <w:sz w:val="24"/>
          <w:szCs w:val="24"/>
        </w:rPr>
        <w:t>这不仅包括器械使用相关风险，而且包括受试者不会以其他方式遭受的研究相关风险，例如在使用研究器械进行手术期间的麻醉风险。</w:t>
      </w:r>
    </w:p>
    <w:p w:rsidR="00A3286A" w:rsidRPr="00CA01D9" w:rsidRDefault="00635917" w:rsidP="002E4212">
      <w:pPr>
        <w:pStyle w:val="a4"/>
        <w:numPr>
          <w:ilvl w:val="2"/>
          <w:numId w:val="11"/>
        </w:numPr>
        <w:tabs>
          <w:tab w:val="left" w:pos="1199"/>
          <w:tab w:val="left" w:pos="1200"/>
        </w:tabs>
        <w:snapToGrid w:val="0"/>
        <w:spacing w:afterLines="100" w:after="240" w:line="300" w:lineRule="auto"/>
        <w:ind w:leftChars="300" w:left="1017" w:hanging="357"/>
        <w:jc w:val="both"/>
        <w:rPr>
          <w:rFonts w:ascii="Arial" w:eastAsia="宋体" w:hAnsi="Arial" w:cs="Arial"/>
          <w:sz w:val="24"/>
          <w:szCs w:val="24"/>
        </w:rPr>
      </w:pPr>
      <w:r w:rsidRPr="0066621F">
        <w:rPr>
          <w:rFonts w:ascii="Arial" w:eastAsia="宋体" w:hAnsi="Arial" w:cs="Arial"/>
          <w:b/>
          <w:sz w:val="24"/>
          <w:szCs w:val="24"/>
        </w:rPr>
        <w:t>与研究本身相关的风险</w:t>
      </w:r>
      <w:r w:rsidRPr="00CA01D9">
        <w:rPr>
          <w:rFonts w:ascii="Arial" w:eastAsia="宋体" w:hAnsi="Arial" w:cs="Arial"/>
          <w:sz w:val="24"/>
          <w:szCs w:val="24"/>
        </w:rPr>
        <w:t xml:space="preserve"> - </w:t>
      </w:r>
      <w:r w:rsidRPr="00CA01D9">
        <w:rPr>
          <w:rFonts w:ascii="Arial" w:eastAsia="宋体" w:hAnsi="Arial" w:cs="Arial"/>
          <w:sz w:val="24"/>
          <w:szCs w:val="24"/>
        </w:rPr>
        <w:t>受试者可能遭受的，但不直接源于器械使用以及研究外进行的常规护理的风险。示例包括用于确定研究端点的附加程序（如医学成像）。</w:t>
      </w:r>
    </w:p>
    <w:p w:rsidR="00A3286A" w:rsidRPr="00CA01D9" w:rsidRDefault="00635917" w:rsidP="002E4212">
      <w:pPr>
        <w:pStyle w:val="a4"/>
        <w:numPr>
          <w:ilvl w:val="2"/>
          <w:numId w:val="11"/>
        </w:numPr>
        <w:tabs>
          <w:tab w:val="left" w:pos="1199"/>
          <w:tab w:val="left" w:pos="1200"/>
        </w:tabs>
        <w:snapToGrid w:val="0"/>
        <w:spacing w:afterLines="100" w:after="240" w:line="300" w:lineRule="auto"/>
        <w:ind w:leftChars="300" w:left="1017" w:hanging="357"/>
        <w:jc w:val="both"/>
        <w:rPr>
          <w:rFonts w:ascii="Arial" w:eastAsia="宋体" w:hAnsi="Arial" w:cs="Arial"/>
          <w:sz w:val="24"/>
          <w:szCs w:val="24"/>
        </w:rPr>
      </w:pPr>
      <w:r w:rsidRPr="0066621F">
        <w:rPr>
          <w:rFonts w:ascii="Arial" w:eastAsia="宋体" w:hAnsi="Arial" w:cs="Arial"/>
          <w:b/>
          <w:sz w:val="24"/>
          <w:szCs w:val="24"/>
        </w:rPr>
        <w:t>由假阳性或假阴性诊断结果引起的风险</w:t>
      </w:r>
      <w:r w:rsidRPr="00CA01D9">
        <w:rPr>
          <w:rFonts w:ascii="Arial" w:eastAsia="宋体" w:hAnsi="Arial" w:cs="Arial"/>
          <w:sz w:val="24"/>
          <w:szCs w:val="24"/>
        </w:rPr>
        <w:t>——</w:t>
      </w:r>
      <w:r w:rsidRPr="00CA01D9">
        <w:rPr>
          <w:rFonts w:ascii="Arial" w:eastAsia="宋体" w:hAnsi="Arial" w:cs="Arial"/>
          <w:sz w:val="24"/>
          <w:szCs w:val="24"/>
        </w:rPr>
        <w:t>如果诊断器械产生假阳性结果，则受试者可能会遭受由不必要的附加诊断程序和试验，或可能不必要的治疗以及错误诊断疾病的系列后果引起的风险。如果产生假阴性结果，受试者可能无法接受有效治疗（从而缺少治疗所产生的收益），或者可能无法诊断出正确疾病或病症。未能正确诊断传染性疾病也可能导致疾病传播给其他个体，进而造成更广泛的公共卫生问题。</w:t>
      </w:r>
    </w:p>
    <w:p w:rsidR="00A3286A" w:rsidRPr="00CA01D9" w:rsidRDefault="00635917" w:rsidP="00CA01D9">
      <w:pPr>
        <w:pStyle w:val="a4"/>
        <w:numPr>
          <w:ilvl w:val="1"/>
          <w:numId w:val="11"/>
        </w:numPr>
        <w:tabs>
          <w:tab w:val="left" w:pos="533"/>
        </w:tabs>
        <w:snapToGrid w:val="0"/>
        <w:spacing w:afterLines="100" w:after="240" w:line="300" w:lineRule="auto"/>
        <w:ind w:left="0" w:firstLine="0"/>
        <w:jc w:val="both"/>
        <w:rPr>
          <w:rFonts w:ascii="Arial" w:eastAsia="宋体" w:hAnsi="Arial" w:cs="Arial"/>
          <w:sz w:val="24"/>
          <w:szCs w:val="24"/>
        </w:rPr>
      </w:pPr>
      <w:r w:rsidRPr="00CA01D9">
        <w:rPr>
          <w:rFonts w:ascii="Arial" w:eastAsia="宋体" w:hAnsi="Arial" w:cs="Arial"/>
          <w:b/>
          <w:sz w:val="24"/>
          <w:szCs w:val="24"/>
        </w:rPr>
        <w:t>风险的可能性或概率：</w:t>
      </w:r>
      <w:r w:rsidRPr="00CA01D9">
        <w:rPr>
          <w:rFonts w:ascii="Arial" w:eastAsia="宋体" w:hAnsi="Arial" w:cs="Arial"/>
          <w:sz w:val="24"/>
          <w:szCs w:val="24"/>
        </w:rPr>
        <w:t>通常采用各种方法来估计风险的概率，包括但不限于：使用相关历史数据</w:t>
      </w:r>
      <w:r w:rsidR="009D40D7" w:rsidRPr="00CA01D9">
        <w:rPr>
          <w:rFonts w:ascii="Arial" w:eastAsia="宋体" w:hAnsi="Arial" w:cs="Arial"/>
          <w:sz w:val="24"/>
          <w:szCs w:val="24"/>
        </w:rPr>
        <w:t>；</w:t>
      </w:r>
      <w:r w:rsidRPr="00CA01D9">
        <w:rPr>
          <w:rFonts w:ascii="Arial" w:eastAsia="宋体" w:hAnsi="Arial" w:cs="Arial"/>
          <w:sz w:val="24"/>
          <w:szCs w:val="24"/>
        </w:rPr>
        <w:t xml:space="preserve"> </w:t>
      </w:r>
      <w:r w:rsidRPr="00CA01D9">
        <w:rPr>
          <w:rFonts w:ascii="Arial" w:eastAsia="宋体" w:hAnsi="Arial" w:cs="Arial"/>
          <w:sz w:val="24"/>
          <w:szCs w:val="24"/>
        </w:rPr>
        <w:t>使用分析或模拟技术预测风险概率</w:t>
      </w:r>
      <w:r w:rsidR="009D40D7" w:rsidRPr="00CA01D9">
        <w:rPr>
          <w:rFonts w:ascii="Arial" w:eastAsia="宋体" w:hAnsi="Arial" w:cs="Arial"/>
          <w:sz w:val="24"/>
          <w:szCs w:val="24"/>
        </w:rPr>
        <w:t>；</w:t>
      </w:r>
      <w:r w:rsidRPr="00CA01D9">
        <w:rPr>
          <w:rFonts w:ascii="Arial" w:eastAsia="宋体" w:hAnsi="Arial" w:cs="Arial"/>
          <w:sz w:val="24"/>
          <w:szCs w:val="24"/>
        </w:rPr>
        <w:t xml:space="preserve"> </w:t>
      </w:r>
      <w:r w:rsidRPr="00CA01D9">
        <w:rPr>
          <w:rFonts w:ascii="Arial" w:eastAsia="宋体" w:hAnsi="Arial" w:cs="Arial"/>
          <w:sz w:val="24"/>
          <w:szCs w:val="24"/>
        </w:rPr>
        <w:t>使用先前研究的实验数据</w:t>
      </w:r>
      <w:r w:rsidR="009D40D7" w:rsidRPr="00CA01D9">
        <w:rPr>
          <w:rFonts w:ascii="Arial" w:eastAsia="宋体" w:hAnsi="Arial" w:cs="Arial"/>
          <w:sz w:val="24"/>
          <w:szCs w:val="24"/>
        </w:rPr>
        <w:t>；</w:t>
      </w:r>
      <w:r w:rsidRPr="00CA01D9">
        <w:rPr>
          <w:rFonts w:ascii="Arial" w:eastAsia="宋体" w:hAnsi="Arial" w:cs="Arial"/>
          <w:sz w:val="24"/>
          <w:szCs w:val="24"/>
        </w:rPr>
        <w:t xml:space="preserve"> </w:t>
      </w:r>
      <w:r w:rsidRPr="00CA01D9">
        <w:rPr>
          <w:rFonts w:ascii="Arial" w:eastAsia="宋体" w:hAnsi="Arial" w:cs="Arial"/>
          <w:sz w:val="24"/>
          <w:szCs w:val="24"/>
        </w:rPr>
        <w:t>可靠性估计</w:t>
      </w:r>
      <w:r w:rsidR="009D40D7" w:rsidRPr="00CA01D9">
        <w:rPr>
          <w:rFonts w:ascii="Arial" w:eastAsia="宋体" w:hAnsi="Arial" w:cs="Arial"/>
          <w:sz w:val="24"/>
          <w:szCs w:val="24"/>
        </w:rPr>
        <w:t>；</w:t>
      </w:r>
      <w:r w:rsidRPr="00CA01D9">
        <w:rPr>
          <w:rFonts w:ascii="Arial" w:eastAsia="宋体" w:hAnsi="Arial" w:cs="Arial"/>
          <w:sz w:val="24"/>
          <w:szCs w:val="24"/>
        </w:rPr>
        <w:t xml:space="preserve"> </w:t>
      </w:r>
      <w:r w:rsidRPr="00CA01D9">
        <w:rPr>
          <w:rFonts w:ascii="Arial" w:eastAsia="宋体" w:hAnsi="Arial" w:cs="Arial"/>
          <w:sz w:val="24"/>
          <w:szCs w:val="24"/>
        </w:rPr>
        <w:t>生产数据</w:t>
      </w:r>
      <w:r w:rsidR="009D40D7" w:rsidRPr="00CA01D9">
        <w:rPr>
          <w:rFonts w:ascii="Arial" w:eastAsia="宋体" w:hAnsi="Arial" w:cs="Arial"/>
          <w:sz w:val="24"/>
          <w:szCs w:val="24"/>
        </w:rPr>
        <w:t>；</w:t>
      </w:r>
      <w:r w:rsidRPr="00CA01D9">
        <w:rPr>
          <w:rFonts w:ascii="Arial" w:eastAsia="宋体" w:hAnsi="Arial" w:cs="Arial"/>
          <w:sz w:val="24"/>
          <w:szCs w:val="24"/>
        </w:rPr>
        <w:t xml:space="preserve"> </w:t>
      </w:r>
      <w:r w:rsidRPr="00CA01D9">
        <w:rPr>
          <w:rFonts w:ascii="Arial" w:eastAsia="宋体" w:hAnsi="Arial" w:cs="Arial"/>
          <w:sz w:val="24"/>
          <w:szCs w:val="24"/>
        </w:rPr>
        <w:t>生产后信息</w:t>
      </w:r>
      <w:r w:rsidR="009D40D7" w:rsidRPr="00CA01D9">
        <w:rPr>
          <w:rFonts w:ascii="Arial" w:eastAsia="宋体" w:hAnsi="Arial" w:cs="Arial"/>
          <w:sz w:val="24"/>
          <w:szCs w:val="24"/>
        </w:rPr>
        <w:t>；</w:t>
      </w:r>
      <w:r w:rsidRPr="00CA01D9">
        <w:rPr>
          <w:rFonts w:ascii="Arial" w:eastAsia="宋体" w:hAnsi="Arial" w:cs="Arial"/>
          <w:sz w:val="24"/>
          <w:szCs w:val="24"/>
        </w:rPr>
        <w:t xml:space="preserve"> </w:t>
      </w:r>
      <w:r w:rsidRPr="00CA01D9">
        <w:rPr>
          <w:rFonts w:ascii="Arial" w:eastAsia="宋体" w:hAnsi="Arial" w:cs="Arial"/>
          <w:sz w:val="24"/>
          <w:szCs w:val="24"/>
        </w:rPr>
        <w:t>以及使用专家判断。可以考虑使用多种方法，因为这可能有助于增加结果的置信度。在早期开发阶段，此类估计可能会有较大的不确定性，在这种情况下，应适当考虑使用定性方法来进行风险概率分析。当概率无法精确确定，但已知或预期位于估计范围内时，此类分析可以包括定性或半定量概率水平。</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风险的可能性或概率包括导致损害事件的危害的可能性。如果已知，这包括每例患者的损害事件数量或每单位时间的损害事件数量，预期会遭受损害事件的预期人群比例，以及给定受试者或研究群体遭受损害事件的可能性。</w:t>
      </w:r>
      <w:r w:rsidRPr="00CA01D9">
        <w:rPr>
          <w:rFonts w:ascii="Arial" w:hAnsi="Arial" w:cs="Arial"/>
        </w:rPr>
        <w:t>FDA</w:t>
      </w:r>
      <w:r w:rsidRPr="00CA01D9">
        <w:rPr>
          <w:rFonts w:ascii="Arial" w:hAnsi="Arial" w:cs="Arial"/>
        </w:rPr>
        <w:t>在评估风险概率时会考虑事件是否仅发生一次或多次发生。</w:t>
      </w:r>
    </w:p>
    <w:p w:rsidR="00A3286A" w:rsidRPr="00CA01D9" w:rsidRDefault="00635917" w:rsidP="00CA01D9">
      <w:pPr>
        <w:pStyle w:val="a4"/>
        <w:numPr>
          <w:ilvl w:val="1"/>
          <w:numId w:val="11"/>
        </w:numPr>
        <w:tabs>
          <w:tab w:val="left" w:pos="533"/>
        </w:tabs>
        <w:snapToGrid w:val="0"/>
        <w:spacing w:afterLines="100" w:after="240" w:line="300" w:lineRule="auto"/>
        <w:ind w:left="0" w:firstLine="0"/>
        <w:jc w:val="both"/>
        <w:rPr>
          <w:rFonts w:ascii="Arial" w:eastAsia="宋体" w:hAnsi="Arial" w:cs="Arial"/>
          <w:sz w:val="24"/>
          <w:szCs w:val="24"/>
        </w:rPr>
      </w:pPr>
      <w:r w:rsidRPr="00CA01D9">
        <w:rPr>
          <w:rFonts w:ascii="Arial" w:eastAsia="宋体" w:hAnsi="Arial" w:cs="Arial"/>
          <w:b/>
          <w:sz w:val="24"/>
          <w:szCs w:val="24"/>
        </w:rPr>
        <w:t>风险持续时间：</w:t>
      </w:r>
      <w:r w:rsidRPr="00CA01D9">
        <w:rPr>
          <w:rFonts w:ascii="Arial" w:eastAsia="宋体" w:hAnsi="Arial" w:cs="Arial"/>
          <w:sz w:val="24"/>
          <w:szCs w:val="24"/>
        </w:rPr>
        <w:t>一些研究会使受试者遭受临时的轻微损害</w:t>
      </w:r>
      <w:r w:rsidR="009D40D7" w:rsidRPr="00CA01D9">
        <w:rPr>
          <w:rFonts w:ascii="Arial" w:eastAsia="宋体" w:hAnsi="Arial" w:cs="Arial"/>
          <w:sz w:val="24"/>
          <w:szCs w:val="24"/>
        </w:rPr>
        <w:t>；</w:t>
      </w:r>
      <w:r w:rsidRPr="00CA01D9">
        <w:rPr>
          <w:rFonts w:ascii="Arial" w:eastAsia="宋体" w:hAnsi="Arial" w:cs="Arial"/>
          <w:sz w:val="24"/>
          <w:szCs w:val="24"/>
        </w:rPr>
        <w:t xml:space="preserve"> </w:t>
      </w:r>
      <w:r w:rsidRPr="00CA01D9">
        <w:rPr>
          <w:rFonts w:ascii="Arial" w:eastAsia="宋体" w:hAnsi="Arial" w:cs="Arial"/>
          <w:sz w:val="24"/>
          <w:szCs w:val="24"/>
        </w:rPr>
        <w:t>有些研究会造成重复但可逆的损害</w:t>
      </w:r>
      <w:r w:rsidR="009D40D7" w:rsidRPr="00CA01D9">
        <w:rPr>
          <w:rFonts w:ascii="Arial" w:eastAsia="宋体" w:hAnsi="Arial" w:cs="Arial"/>
          <w:sz w:val="24"/>
          <w:szCs w:val="24"/>
        </w:rPr>
        <w:t>；</w:t>
      </w:r>
      <w:r w:rsidRPr="00CA01D9">
        <w:rPr>
          <w:rFonts w:ascii="Arial" w:eastAsia="宋体" w:hAnsi="Arial" w:cs="Arial"/>
          <w:sz w:val="24"/>
          <w:szCs w:val="24"/>
        </w:rPr>
        <w:t>其他研究会造成永久性，衰竭性伤害。如上文</w:t>
      </w:r>
      <w:r w:rsidRPr="00CA01D9">
        <w:rPr>
          <w:rFonts w:ascii="Arial" w:eastAsia="宋体" w:hAnsi="Arial" w:cs="Arial"/>
          <w:sz w:val="24"/>
          <w:szCs w:val="24"/>
        </w:rPr>
        <w:t>A.1</w:t>
      </w:r>
      <w:r w:rsidRPr="00CA01D9">
        <w:rPr>
          <w:rFonts w:ascii="Arial" w:eastAsia="宋体" w:hAnsi="Arial" w:cs="Arial"/>
          <w:sz w:val="24"/>
          <w:szCs w:val="24"/>
        </w:rPr>
        <w:t>中所述，应同时考虑风险的持续时间（即不良后果的持续时长）与严重程度。</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66621F" w:rsidRDefault="00635917" w:rsidP="0066621F">
      <w:pPr>
        <w:pStyle w:val="a4"/>
        <w:numPr>
          <w:ilvl w:val="1"/>
          <w:numId w:val="11"/>
        </w:numPr>
        <w:tabs>
          <w:tab w:val="left" w:pos="893"/>
        </w:tabs>
        <w:snapToGrid w:val="0"/>
        <w:spacing w:afterLines="100" w:after="240" w:line="300" w:lineRule="auto"/>
        <w:ind w:left="0" w:firstLine="0"/>
        <w:jc w:val="left"/>
        <w:rPr>
          <w:rFonts w:ascii="Arial" w:eastAsia="宋体" w:hAnsi="Arial" w:cs="Arial"/>
          <w:sz w:val="24"/>
          <w:szCs w:val="24"/>
        </w:rPr>
      </w:pPr>
      <w:r w:rsidRPr="0066621F">
        <w:rPr>
          <w:rFonts w:ascii="Arial" w:eastAsia="宋体" w:hAnsi="Arial" w:cs="Arial"/>
          <w:b/>
          <w:sz w:val="24"/>
          <w:szCs w:val="24"/>
        </w:rPr>
        <w:lastRenderedPageBreak/>
        <w:t>风险管理</w:t>
      </w:r>
      <w:r w:rsidRPr="0066621F">
        <w:rPr>
          <w:rFonts w:ascii="Arial" w:eastAsia="宋体" w:hAnsi="Arial" w:cs="Arial"/>
          <w:b/>
          <w:sz w:val="24"/>
          <w:szCs w:val="24"/>
        </w:rPr>
        <w:t>:</w:t>
      </w:r>
      <w:r w:rsidR="0066621F" w:rsidRPr="0066621F">
        <w:rPr>
          <w:rStyle w:val="aa"/>
          <w:rFonts w:ascii="Arial" w:eastAsia="宋体" w:hAnsi="Arial" w:cs="Arial"/>
          <w:b/>
          <w:sz w:val="24"/>
          <w:szCs w:val="24"/>
        </w:rPr>
        <w:footnoteReference w:id="22"/>
      </w:r>
      <w:r w:rsidRPr="0066621F">
        <w:rPr>
          <w:rFonts w:ascii="Arial" w:eastAsia="宋体" w:hAnsi="Arial" w:cs="Arial"/>
          <w:sz w:val="24"/>
          <w:szCs w:val="24"/>
        </w:rPr>
        <w:t>风险管理应总结并评估有助于缓解已确定安全问题，或确保器械</w:t>
      </w:r>
      <w:proofErr w:type="gramStart"/>
      <w:r w:rsidRPr="0066621F">
        <w:rPr>
          <w:rFonts w:ascii="Arial" w:eastAsia="宋体" w:hAnsi="Arial" w:cs="Arial"/>
          <w:sz w:val="24"/>
          <w:szCs w:val="24"/>
        </w:rPr>
        <w:t>仅供因潜在</w:t>
      </w:r>
      <w:proofErr w:type="gramEnd"/>
      <w:r w:rsidRPr="0066621F">
        <w:rPr>
          <w:rFonts w:ascii="Arial" w:eastAsia="宋体" w:hAnsi="Arial" w:cs="Arial"/>
          <w:sz w:val="24"/>
          <w:szCs w:val="24"/>
        </w:rPr>
        <w:t>收益超过了风险而接受相关风险的</w:t>
      </w:r>
      <w:r w:rsidR="007210C5" w:rsidRPr="0066621F">
        <w:rPr>
          <w:rFonts w:ascii="Arial" w:eastAsia="宋体" w:hAnsi="Arial" w:cs="Arial"/>
          <w:sz w:val="24"/>
          <w:szCs w:val="24"/>
        </w:rPr>
        <w:t>受试者</w:t>
      </w:r>
      <w:r w:rsidRPr="0066621F">
        <w:rPr>
          <w:rFonts w:ascii="Arial" w:eastAsia="宋体" w:hAnsi="Arial" w:cs="Arial"/>
          <w:sz w:val="24"/>
          <w:szCs w:val="24"/>
        </w:rPr>
        <w:t>使用的任何工作。</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如果适用，应实施风险控制措施（包括风险缓解措施），降低对</w:t>
      </w:r>
      <w:r w:rsidR="00C420C7" w:rsidRPr="00CA01D9">
        <w:rPr>
          <w:rFonts w:ascii="Arial" w:hAnsi="Arial" w:cs="Arial"/>
        </w:rPr>
        <w:t>研究受试者</w:t>
      </w:r>
      <w:r w:rsidRPr="00CA01D9">
        <w:rPr>
          <w:rFonts w:ascii="Arial" w:hAnsi="Arial" w:cs="Arial"/>
        </w:rPr>
        <w:t>的损害的可能性和严重程度，并改善拟定</w:t>
      </w:r>
      <w:r w:rsidRPr="00CA01D9">
        <w:rPr>
          <w:rFonts w:ascii="Arial" w:hAnsi="Arial" w:cs="Arial"/>
        </w:rPr>
        <w:t>IDE</w:t>
      </w:r>
      <w:r w:rsidRPr="00CA01D9">
        <w:rPr>
          <w:rFonts w:ascii="Arial" w:hAnsi="Arial" w:cs="Arial"/>
        </w:rPr>
        <w:t>研究的收益</w:t>
      </w:r>
      <w:r w:rsidRPr="00CA01D9">
        <w:rPr>
          <w:rFonts w:ascii="Arial" w:hAnsi="Arial" w:cs="Arial"/>
        </w:rPr>
        <w:t>-</w:t>
      </w:r>
      <w:r w:rsidRPr="00CA01D9">
        <w:rPr>
          <w:rFonts w:ascii="Arial" w:hAnsi="Arial" w:cs="Arial"/>
        </w:rPr>
        <w:t>风险特征。风险控制措施旨在将风险降至可接受水平。申办方应初步确定哪些风险控制措施适用于其拟定</w:t>
      </w:r>
      <w:r w:rsidRPr="00CA01D9">
        <w:rPr>
          <w:rFonts w:ascii="Arial" w:hAnsi="Arial" w:cs="Arial"/>
        </w:rPr>
        <w:t>IDE</w:t>
      </w:r>
      <w:r w:rsidRPr="00CA01D9">
        <w:rPr>
          <w:rFonts w:ascii="Arial" w:hAnsi="Arial" w:cs="Arial"/>
        </w:rPr>
        <w:t>研究。针对</w:t>
      </w:r>
      <w:r w:rsidRPr="00CA01D9">
        <w:rPr>
          <w:rFonts w:ascii="Arial" w:hAnsi="Arial" w:cs="Arial"/>
        </w:rPr>
        <w:t>IDE</w:t>
      </w:r>
      <w:r w:rsidRPr="00CA01D9">
        <w:rPr>
          <w:rFonts w:ascii="Arial" w:hAnsi="Arial" w:cs="Arial"/>
        </w:rPr>
        <w:t>决策评估收益</w:t>
      </w:r>
      <w:r w:rsidRPr="00CA01D9">
        <w:rPr>
          <w:rFonts w:ascii="Arial" w:hAnsi="Arial" w:cs="Arial"/>
        </w:rPr>
        <w:t>-</w:t>
      </w:r>
      <w:r w:rsidRPr="00CA01D9">
        <w:rPr>
          <w:rFonts w:ascii="Arial" w:hAnsi="Arial" w:cs="Arial"/>
        </w:rPr>
        <w:t>风险时，应重点关注剩余风险，并确定相对于受试者的预期收益，剩余风险是否已经降低至可接受水平。申办方必须在</w:t>
      </w:r>
      <w:r w:rsidRPr="00CA01D9">
        <w:rPr>
          <w:rFonts w:ascii="Arial" w:hAnsi="Arial" w:cs="Arial"/>
        </w:rPr>
        <w:t>IDE</w:t>
      </w:r>
      <w:r w:rsidRPr="00CA01D9">
        <w:rPr>
          <w:rFonts w:ascii="Arial" w:hAnsi="Arial" w:cs="Arial"/>
        </w:rPr>
        <w:t>申请中提供明确的研究理由，并需考虑预期研究人群的风险以及降低此类风险的方式。</w:t>
      </w:r>
      <w:r w:rsidR="0066621F">
        <w:rPr>
          <w:rStyle w:val="aa"/>
          <w:rFonts w:ascii="Arial" w:hAnsi="Arial" w:cs="Arial"/>
        </w:rPr>
        <w:footnoteReference w:id="23"/>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风险控制措施可能包括器械设计特征</w:t>
      </w:r>
      <w:r w:rsidRPr="00CA01D9">
        <w:rPr>
          <w:rFonts w:ascii="Arial" w:hAnsi="Arial" w:cs="Arial"/>
        </w:rPr>
        <w:t>/</w:t>
      </w:r>
      <w:r w:rsidRPr="00CA01D9">
        <w:rPr>
          <w:rFonts w:ascii="Arial" w:hAnsi="Arial" w:cs="Arial"/>
        </w:rPr>
        <w:t>修改，风险缓解措施可能包括保护措施（例如研究设计特征）和传达安全信息（例如培训研究人员）。可能适用于</w:t>
      </w:r>
      <w:r w:rsidRPr="00CA01D9">
        <w:rPr>
          <w:rFonts w:ascii="Arial" w:hAnsi="Arial" w:cs="Arial"/>
        </w:rPr>
        <w:t>IDE</w:t>
      </w:r>
      <w:r w:rsidRPr="00CA01D9">
        <w:rPr>
          <w:rFonts w:ascii="Arial" w:hAnsi="Arial" w:cs="Arial"/>
        </w:rPr>
        <w:t>研究的风险控制措施可能包括但不限于：</w:t>
      </w:r>
    </w:p>
    <w:p w:rsidR="00A3286A" w:rsidRPr="00CA01D9" w:rsidRDefault="00635917" w:rsidP="0066621F">
      <w:pPr>
        <w:pStyle w:val="a3"/>
        <w:snapToGrid w:val="0"/>
        <w:spacing w:afterLines="100" w:after="240" w:line="300" w:lineRule="auto"/>
        <w:ind w:leftChars="200" w:left="440"/>
        <w:jc w:val="both"/>
        <w:rPr>
          <w:rFonts w:ascii="Arial" w:hAnsi="Arial" w:cs="Arial"/>
        </w:rPr>
      </w:pPr>
      <w:r w:rsidRPr="00CA01D9">
        <w:rPr>
          <w:rFonts w:ascii="Arial" w:hAnsi="Arial" w:cs="Arial"/>
          <w:u w:val="single" w:color="000000"/>
        </w:rPr>
        <w:t>设计安全</w:t>
      </w:r>
    </w:p>
    <w:p w:rsidR="0066621F" w:rsidRDefault="00635917" w:rsidP="0066621F">
      <w:pPr>
        <w:pStyle w:val="a4"/>
        <w:numPr>
          <w:ilvl w:val="0"/>
          <w:numId w:val="10"/>
        </w:numPr>
        <w:tabs>
          <w:tab w:val="left" w:pos="1560"/>
        </w:tabs>
        <w:snapToGrid w:val="0"/>
        <w:spacing w:afterLines="100" w:after="240" w:line="300" w:lineRule="auto"/>
        <w:ind w:leftChars="300" w:left="660" w:firstLine="357"/>
        <w:rPr>
          <w:rFonts w:ascii="Arial" w:eastAsia="宋体" w:hAnsi="Arial" w:cs="Arial"/>
          <w:sz w:val="24"/>
          <w:szCs w:val="24"/>
        </w:rPr>
      </w:pPr>
      <w:r w:rsidRPr="00CA01D9">
        <w:rPr>
          <w:rFonts w:ascii="Arial" w:eastAsia="宋体" w:hAnsi="Arial" w:cs="Arial"/>
          <w:sz w:val="24"/>
          <w:szCs w:val="24"/>
        </w:rPr>
        <w:t>器械设计特征和</w:t>
      </w:r>
      <w:r w:rsidRPr="00CA01D9">
        <w:rPr>
          <w:rFonts w:ascii="Arial" w:eastAsia="宋体" w:hAnsi="Arial" w:cs="Arial"/>
          <w:sz w:val="24"/>
          <w:szCs w:val="24"/>
        </w:rPr>
        <w:t>/</w:t>
      </w:r>
      <w:r w:rsidRPr="00CA01D9">
        <w:rPr>
          <w:rFonts w:ascii="Arial" w:eastAsia="宋体" w:hAnsi="Arial" w:cs="Arial"/>
          <w:sz w:val="24"/>
          <w:szCs w:val="24"/>
        </w:rPr>
        <w:t>或修改</w:t>
      </w:r>
    </w:p>
    <w:p w:rsidR="00A3286A" w:rsidRPr="0066621F" w:rsidRDefault="00635917" w:rsidP="0066621F">
      <w:pPr>
        <w:pStyle w:val="a3"/>
        <w:snapToGrid w:val="0"/>
        <w:spacing w:afterLines="100" w:after="240" w:line="300" w:lineRule="auto"/>
        <w:ind w:leftChars="200" w:left="440"/>
        <w:jc w:val="both"/>
        <w:rPr>
          <w:rFonts w:ascii="Arial" w:hAnsi="Arial" w:cs="Arial"/>
        </w:rPr>
      </w:pPr>
      <w:r w:rsidRPr="0066621F">
        <w:rPr>
          <w:rFonts w:ascii="Arial" w:hAnsi="Arial" w:cs="Arial"/>
          <w:u w:val="single"/>
        </w:rPr>
        <w:t>保护</w:t>
      </w:r>
      <w:r w:rsidRPr="0066621F">
        <w:rPr>
          <w:rFonts w:ascii="Arial" w:hAnsi="Arial" w:cs="Arial"/>
          <w:u w:val="single" w:color="000000"/>
        </w:rPr>
        <w:t>措施</w:t>
      </w:r>
    </w:p>
    <w:p w:rsidR="00A3286A" w:rsidRPr="00CA01D9" w:rsidRDefault="00635917" w:rsidP="002E077F">
      <w:pPr>
        <w:pStyle w:val="a4"/>
        <w:numPr>
          <w:ilvl w:val="0"/>
          <w:numId w:val="10"/>
        </w:numPr>
        <w:tabs>
          <w:tab w:val="left" w:pos="1560"/>
        </w:tabs>
        <w:snapToGrid w:val="0"/>
        <w:spacing w:line="300" w:lineRule="auto"/>
        <w:ind w:leftChars="300" w:left="660" w:firstLine="357"/>
        <w:rPr>
          <w:rFonts w:ascii="Arial" w:eastAsia="宋体" w:hAnsi="Arial" w:cs="Arial"/>
          <w:sz w:val="24"/>
          <w:szCs w:val="24"/>
        </w:rPr>
      </w:pPr>
      <w:r w:rsidRPr="00CA01D9">
        <w:rPr>
          <w:rFonts w:ascii="Arial" w:eastAsia="宋体" w:hAnsi="Arial" w:cs="Arial"/>
          <w:sz w:val="24"/>
          <w:szCs w:val="24"/>
        </w:rPr>
        <w:t>物理保护措施（例如用户和受试者辐射屏蔽）</w:t>
      </w:r>
    </w:p>
    <w:p w:rsidR="00A3286A" w:rsidRPr="00CA01D9" w:rsidRDefault="00635917" w:rsidP="002E077F">
      <w:pPr>
        <w:pStyle w:val="a4"/>
        <w:numPr>
          <w:ilvl w:val="0"/>
          <w:numId w:val="10"/>
        </w:numPr>
        <w:tabs>
          <w:tab w:val="left" w:pos="1560"/>
        </w:tabs>
        <w:snapToGrid w:val="0"/>
        <w:spacing w:line="300" w:lineRule="auto"/>
        <w:ind w:leftChars="300" w:left="660" w:firstLine="357"/>
        <w:rPr>
          <w:rFonts w:ascii="Arial" w:eastAsia="宋体" w:hAnsi="Arial" w:cs="Arial"/>
          <w:sz w:val="24"/>
          <w:szCs w:val="24"/>
        </w:rPr>
      </w:pPr>
      <w:r w:rsidRPr="00CA01D9">
        <w:rPr>
          <w:rFonts w:ascii="Arial" w:eastAsia="宋体" w:hAnsi="Arial" w:cs="Arial"/>
          <w:sz w:val="24"/>
          <w:szCs w:val="24"/>
        </w:rPr>
        <w:t>准备或预备人员和设备以应对预期不良事件（例如急救车）</w:t>
      </w:r>
    </w:p>
    <w:p w:rsidR="00A3286A" w:rsidRPr="00CA01D9" w:rsidRDefault="00635917" w:rsidP="002E077F">
      <w:pPr>
        <w:pStyle w:val="a4"/>
        <w:numPr>
          <w:ilvl w:val="0"/>
          <w:numId w:val="10"/>
        </w:numPr>
        <w:tabs>
          <w:tab w:val="left" w:pos="1560"/>
        </w:tabs>
        <w:snapToGrid w:val="0"/>
        <w:spacing w:line="300" w:lineRule="auto"/>
        <w:ind w:leftChars="300" w:left="660" w:firstLine="357"/>
        <w:rPr>
          <w:rFonts w:ascii="Arial" w:eastAsia="宋体" w:hAnsi="Arial" w:cs="Arial"/>
          <w:sz w:val="24"/>
          <w:szCs w:val="24"/>
        </w:rPr>
      </w:pPr>
      <w:r w:rsidRPr="00CA01D9">
        <w:rPr>
          <w:rFonts w:ascii="Arial" w:eastAsia="宋体" w:hAnsi="Arial" w:cs="Arial"/>
          <w:sz w:val="24"/>
          <w:szCs w:val="24"/>
        </w:rPr>
        <w:t>研究设计</w:t>
      </w:r>
      <w:r w:rsidR="002E077F">
        <w:rPr>
          <w:rStyle w:val="aa"/>
          <w:rFonts w:ascii="Arial" w:eastAsia="宋体" w:hAnsi="Arial" w:cs="Arial"/>
          <w:sz w:val="24"/>
          <w:szCs w:val="24"/>
        </w:rPr>
        <w:footnoteReference w:id="24"/>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分阶段招募和有限的初始</w:t>
      </w:r>
      <w:r w:rsidR="009D40D7" w:rsidRPr="00CA01D9">
        <w:rPr>
          <w:rFonts w:ascii="Arial" w:eastAsia="宋体" w:hAnsi="Arial" w:cs="Arial"/>
          <w:sz w:val="24"/>
          <w:szCs w:val="24"/>
        </w:rPr>
        <w:t>受试者</w:t>
      </w:r>
      <w:r w:rsidRPr="00CA01D9">
        <w:rPr>
          <w:rFonts w:ascii="Arial" w:eastAsia="宋体" w:hAnsi="Arial" w:cs="Arial"/>
          <w:sz w:val="24"/>
          <w:szCs w:val="24"/>
        </w:rPr>
        <w:t>暴露及中期预定受试者安全评估（例如，</w:t>
      </w:r>
      <w:r w:rsidRPr="00CA01D9">
        <w:rPr>
          <w:rFonts w:ascii="Arial" w:eastAsia="宋体" w:hAnsi="Arial" w:cs="Arial"/>
          <w:sz w:val="24"/>
          <w:szCs w:val="24"/>
        </w:rPr>
        <w:t>IDE</w:t>
      </w:r>
      <w:r w:rsidRPr="00CA01D9">
        <w:rPr>
          <w:rFonts w:ascii="Arial" w:eastAsia="宋体" w:hAnsi="Arial" w:cs="Arial"/>
          <w:sz w:val="24"/>
          <w:szCs w:val="24"/>
        </w:rPr>
        <w:t>分阶段批准）</w:t>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分阶段</w:t>
      </w:r>
      <w:r w:rsidRPr="00CA01D9">
        <w:rPr>
          <w:rFonts w:ascii="Arial" w:eastAsia="宋体" w:hAnsi="Arial" w:cs="Arial"/>
          <w:sz w:val="24"/>
          <w:szCs w:val="24"/>
        </w:rPr>
        <w:t>/</w:t>
      </w:r>
      <w:r w:rsidRPr="00CA01D9">
        <w:rPr>
          <w:rFonts w:ascii="Arial" w:eastAsia="宋体" w:hAnsi="Arial" w:cs="Arial"/>
          <w:sz w:val="24"/>
          <w:szCs w:val="24"/>
        </w:rPr>
        <w:t>分级暴露于器械干预（例如，在高水平刺激之前应用低水平刺激）</w:t>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潜在不良事件的预定临床管理</w:t>
      </w:r>
      <w:r w:rsidR="009D40D7" w:rsidRPr="00CA01D9">
        <w:rPr>
          <w:rFonts w:ascii="Arial" w:eastAsia="宋体" w:hAnsi="Arial" w:cs="Arial"/>
          <w:sz w:val="24"/>
          <w:szCs w:val="24"/>
        </w:rPr>
        <w:t>；</w:t>
      </w:r>
      <w:r w:rsidRPr="00CA01D9">
        <w:rPr>
          <w:rFonts w:ascii="Arial" w:eastAsia="宋体" w:hAnsi="Arial" w:cs="Arial"/>
          <w:sz w:val="24"/>
          <w:szCs w:val="24"/>
        </w:rPr>
        <w:t xml:space="preserve"> </w:t>
      </w:r>
      <w:r w:rsidRPr="00CA01D9">
        <w:rPr>
          <w:rFonts w:ascii="Arial" w:eastAsia="宋体" w:hAnsi="Arial" w:cs="Arial"/>
          <w:sz w:val="24"/>
          <w:szCs w:val="24"/>
        </w:rPr>
        <w:t>频繁报告</w:t>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学习行为的预定监测，特别是对安全性至关重要的方面</w:t>
      </w:r>
    </w:p>
    <w:p w:rsidR="00A3286A" w:rsidRPr="00CA01D9" w:rsidRDefault="00635917" w:rsidP="00F104A6">
      <w:pPr>
        <w:pStyle w:val="a4"/>
        <w:numPr>
          <w:ilvl w:val="1"/>
          <w:numId w:val="10"/>
        </w:numPr>
        <w:tabs>
          <w:tab w:val="left" w:pos="2280"/>
        </w:tabs>
        <w:snapToGrid w:val="0"/>
        <w:spacing w:afterLines="100" w:after="240"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预定停止规则或指南</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lastRenderedPageBreak/>
        <w:t>如果适用，仅由一个子集组成的狭窄研究人群，其中收益</w:t>
      </w:r>
      <w:r w:rsidRPr="00CA01D9">
        <w:rPr>
          <w:rFonts w:ascii="Arial" w:eastAsia="宋体" w:hAnsi="Arial" w:cs="Arial"/>
          <w:sz w:val="24"/>
          <w:szCs w:val="24"/>
        </w:rPr>
        <w:t>-</w:t>
      </w:r>
      <w:r w:rsidRPr="00CA01D9">
        <w:rPr>
          <w:rFonts w:ascii="Arial" w:eastAsia="宋体" w:hAnsi="Arial" w:cs="Arial"/>
          <w:sz w:val="24"/>
          <w:szCs w:val="24"/>
        </w:rPr>
        <w:t>风险特征更有利（例如限制难治性患者的高风险新型治疗）</w:t>
      </w:r>
    </w:p>
    <w:p w:rsidR="00A3286A" w:rsidRPr="00CA01D9" w:rsidRDefault="00635917" w:rsidP="00882BA1">
      <w:pPr>
        <w:pStyle w:val="a4"/>
        <w:numPr>
          <w:ilvl w:val="0"/>
          <w:numId w:val="10"/>
        </w:numPr>
        <w:tabs>
          <w:tab w:val="left" w:pos="1560"/>
        </w:tabs>
        <w:snapToGrid w:val="0"/>
        <w:spacing w:line="300" w:lineRule="auto"/>
        <w:ind w:leftChars="461" w:left="1565" w:hanging="551"/>
        <w:rPr>
          <w:rFonts w:ascii="Arial" w:eastAsia="宋体" w:hAnsi="Arial" w:cs="Arial"/>
          <w:sz w:val="24"/>
          <w:szCs w:val="24"/>
        </w:rPr>
      </w:pPr>
      <w:r w:rsidRPr="00CA01D9">
        <w:rPr>
          <w:rFonts w:ascii="Arial" w:eastAsia="宋体" w:hAnsi="Arial" w:cs="Arial"/>
          <w:sz w:val="24"/>
          <w:szCs w:val="24"/>
        </w:rPr>
        <w:t>在受过训练的地点或专业地点或有符合某些标准的研究者（例如，多学科心脏团队）进行研究。</w:t>
      </w:r>
    </w:p>
    <w:p w:rsidR="00A3286A" w:rsidRPr="00CA01D9" w:rsidRDefault="00635917" w:rsidP="00882BA1">
      <w:pPr>
        <w:pStyle w:val="a4"/>
        <w:numPr>
          <w:ilvl w:val="0"/>
          <w:numId w:val="10"/>
        </w:numPr>
        <w:tabs>
          <w:tab w:val="left" w:pos="1560"/>
        </w:tabs>
        <w:snapToGrid w:val="0"/>
        <w:spacing w:line="300" w:lineRule="auto"/>
        <w:ind w:leftChars="461" w:left="1565" w:hanging="551"/>
        <w:rPr>
          <w:rFonts w:ascii="Arial" w:eastAsia="宋体" w:hAnsi="Arial" w:cs="Arial"/>
          <w:sz w:val="24"/>
          <w:szCs w:val="24"/>
        </w:rPr>
      </w:pPr>
      <w:r w:rsidRPr="00CA01D9">
        <w:rPr>
          <w:rFonts w:ascii="Arial" w:eastAsia="宋体" w:hAnsi="Arial" w:cs="Arial"/>
          <w:sz w:val="24"/>
          <w:szCs w:val="24"/>
        </w:rPr>
        <w:t>研究监督</w:t>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机构审查委员会</w:t>
      </w:r>
      <w:r w:rsidRPr="00CA01D9">
        <w:rPr>
          <w:rFonts w:ascii="Arial" w:eastAsia="宋体" w:hAnsi="Arial" w:cs="Arial"/>
          <w:sz w:val="24"/>
          <w:szCs w:val="24"/>
        </w:rPr>
        <w:t>/</w:t>
      </w:r>
      <w:r w:rsidRPr="00CA01D9">
        <w:rPr>
          <w:rFonts w:ascii="Arial" w:eastAsia="宋体" w:hAnsi="Arial" w:cs="Arial"/>
          <w:sz w:val="24"/>
          <w:szCs w:val="24"/>
        </w:rPr>
        <w:t>伦理监督</w:t>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使用临床事件委员会，数据监测委员会</w:t>
      </w:r>
      <w:r w:rsidRPr="00CA01D9">
        <w:rPr>
          <w:rFonts w:ascii="Arial" w:eastAsia="宋体" w:hAnsi="Arial" w:cs="Arial"/>
          <w:sz w:val="24"/>
          <w:szCs w:val="24"/>
        </w:rPr>
        <w:t>/</w:t>
      </w:r>
      <w:r w:rsidRPr="00CA01D9">
        <w:rPr>
          <w:rFonts w:ascii="Arial" w:eastAsia="宋体" w:hAnsi="Arial" w:cs="Arial"/>
          <w:sz w:val="24"/>
          <w:szCs w:val="24"/>
        </w:rPr>
        <w:t>数据安全和监测委员会</w:t>
      </w:r>
      <w:r w:rsidR="008B0CC9">
        <w:rPr>
          <w:rStyle w:val="aa"/>
          <w:rFonts w:ascii="Arial" w:eastAsia="宋体" w:hAnsi="Arial" w:cs="Arial"/>
          <w:sz w:val="24"/>
          <w:szCs w:val="24"/>
        </w:rPr>
        <w:footnoteReference w:id="25"/>
      </w:r>
      <w:r w:rsidRPr="00CA01D9">
        <w:rPr>
          <w:rFonts w:ascii="Arial" w:eastAsia="宋体" w:hAnsi="Arial" w:cs="Arial"/>
          <w:sz w:val="24"/>
          <w:szCs w:val="24"/>
        </w:rPr>
        <w:t>或其他设计特征质量</w:t>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IDE</w:t>
      </w:r>
      <w:r w:rsidRPr="00CA01D9">
        <w:rPr>
          <w:rFonts w:ascii="Arial" w:eastAsia="宋体" w:hAnsi="Arial" w:cs="Arial"/>
          <w:sz w:val="24"/>
          <w:szCs w:val="24"/>
        </w:rPr>
        <w:t>进度报告</w:t>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临床限制机构</w:t>
      </w:r>
      <w:r w:rsidR="008B0CC9">
        <w:rPr>
          <w:rStyle w:val="aa"/>
          <w:rFonts w:ascii="Arial" w:eastAsia="宋体" w:hAnsi="Arial" w:cs="Arial"/>
          <w:sz w:val="24"/>
          <w:szCs w:val="24"/>
        </w:rPr>
        <w:footnoteReference w:id="26"/>
      </w:r>
    </w:p>
    <w:p w:rsidR="00A3286A" w:rsidRPr="00CA01D9" w:rsidRDefault="00635917" w:rsidP="00882BA1">
      <w:pPr>
        <w:pStyle w:val="a4"/>
        <w:numPr>
          <w:ilvl w:val="0"/>
          <w:numId w:val="10"/>
        </w:numPr>
        <w:tabs>
          <w:tab w:val="left" w:pos="1560"/>
        </w:tabs>
        <w:snapToGrid w:val="0"/>
        <w:spacing w:line="300" w:lineRule="auto"/>
        <w:ind w:leftChars="461" w:left="1565" w:hanging="551"/>
        <w:rPr>
          <w:rFonts w:ascii="Arial" w:eastAsia="宋体" w:hAnsi="Arial" w:cs="Arial"/>
          <w:sz w:val="24"/>
          <w:szCs w:val="24"/>
        </w:rPr>
      </w:pPr>
      <w:r w:rsidRPr="00CA01D9">
        <w:rPr>
          <w:rFonts w:ascii="Arial" w:eastAsia="宋体" w:hAnsi="Arial" w:cs="Arial"/>
          <w:sz w:val="24"/>
          <w:szCs w:val="24"/>
        </w:rPr>
        <w:t>不良事件报告</w:t>
      </w:r>
      <w:r w:rsidR="008B0CC9">
        <w:rPr>
          <w:rStyle w:val="aa"/>
          <w:rFonts w:ascii="Arial" w:eastAsia="宋体" w:hAnsi="Arial" w:cs="Arial"/>
          <w:sz w:val="24"/>
          <w:szCs w:val="24"/>
        </w:rPr>
        <w:footnoteReference w:id="27"/>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频繁报告严重不良事件（例如，每次发生后，每月，每季度，每年）</w:t>
      </w:r>
    </w:p>
    <w:p w:rsidR="00A3286A" w:rsidRPr="00CA01D9" w:rsidRDefault="00635917" w:rsidP="00F104A6">
      <w:pPr>
        <w:pStyle w:val="a4"/>
        <w:numPr>
          <w:ilvl w:val="1"/>
          <w:numId w:val="10"/>
        </w:numPr>
        <w:tabs>
          <w:tab w:val="left" w:pos="22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准确报告不良事件（包括时间和临床背景）以及描述所提供的任何医疗干预和相关结局</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传达安全信息</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所有临床研究均</w:t>
      </w:r>
      <w:r w:rsidR="00C420C7" w:rsidRPr="00CA01D9">
        <w:rPr>
          <w:rFonts w:ascii="Arial" w:hAnsi="Arial" w:cs="Arial"/>
        </w:rPr>
        <w:t>具有</w:t>
      </w:r>
      <w:r w:rsidRPr="00CA01D9">
        <w:rPr>
          <w:rFonts w:ascii="Arial" w:hAnsi="Arial" w:cs="Arial"/>
        </w:rPr>
        <w:t>风险。通过器械设计特征</w:t>
      </w:r>
      <w:r w:rsidRPr="00CA01D9">
        <w:rPr>
          <w:rFonts w:ascii="Arial" w:hAnsi="Arial" w:cs="Arial"/>
        </w:rPr>
        <w:t>/</w:t>
      </w:r>
      <w:r w:rsidRPr="00CA01D9">
        <w:rPr>
          <w:rFonts w:ascii="Arial" w:hAnsi="Arial" w:cs="Arial"/>
        </w:rPr>
        <w:t>修改和保护措施应用适当措施降低风险后，申办方需要以下列方式传达关于剩余风险的相关安全信息：</w:t>
      </w:r>
      <w:r w:rsidR="008B0CC9">
        <w:rPr>
          <w:rStyle w:val="aa"/>
          <w:rFonts w:ascii="Arial" w:hAnsi="Arial" w:cs="Arial"/>
        </w:rPr>
        <w:footnoteReference w:id="28"/>
      </w:r>
    </w:p>
    <w:p w:rsidR="00A3286A" w:rsidRPr="00CA01D9" w:rsidRDefault="00635917" w:rsidP="00787115">
      <w:pPr>
        <w:pStyle w:val="a4"/>
        <w:numPr>
          <w:ilvl w:val="0"/>
          <w:numId w:val="9"/>
        </w:numPr>
        <w:tabs>
          <w:tab w:val="left" w:pos="1920"/>
        </w:tabs>
        <w:snapToGrid w:val="0"/>
        <w:spacing w:line="300" w:lineRule="auto"/>
        <w:ind w:leftChars="400" w:left="1237" w:hanging="357"/>
        <w:jc w:val="both"/>
        <w:rPr>
          <w:rFonts w:ascii="Arial" w:eastAsia="宋体" w:hAnsi="Arial" w:cs="Arial"/>
          <w:sz w:val="24"/>
          <w:szCs w:val="24"/>
        </w:rPr>
      </w:pPr>
      <w:r w:rsidRPr="00CA01D9">
        <w:rPr>
          <w:rFonts w:ascii="Arial" w:eastAsia="宋体" w:hAnsi="Arial" w:cs="Arial"/>
          <w:sz w:val="24"/>
          <w:szCs w:val="24"/>
        </w:rPr>
        <w:t>通知</w:t>
      </w:r>
      <w:r w:rsidR="00C420C7" w:rsidRPr="00CA01D9">
        <w:rPr>
          <w:rFonts w:ascii="Arial" w:eastAsia="宋体" w:hAnsi="Arial" w:cs="Arial"/>
          <w:sz w:val="24"/>
          <w:szCs w:val="24"/>
        </w:rPr>
        <w:t>研究受试者</w:t>
      </w:r>
      <w:r w:rsidRPr="00CA01D9">
        <w:rPr>
          <w:rFonts w:ascii="Arial" w:eastAsia="宋体" w:hAnsi="Arial" w:cs="Arial"/>
          <w:sz w:val="24"/>
          <w:szCs w:val="24"/>
        </w:rPr>
        <w:t>有关参与研究的合理可预见风险</w:t>
      </w:r>
    </w:p>
    <w:p w:rsidR="00A3286A" w:rsidRPr="00CA01D9" w:rsidRDefault="00635917" w:rsidP="00787115">
      <w:pPr>
        <w:pStyle w:val="a4"/>
        <w:numPr>
          <w:ilvl w:val="0"/>
          <w:numId w:val="9"/>
        </w:numPr>
        <w:tabs>
          <w:tab w:val="left" w:pos="1920"/>
        </w:tabs>
        <w:snapToGrid w:val="0"/>
        <w:spacing w:line="300" w:lineRule="auto"/>
        <w:ind w:leftChars="400" w:left="1237" w:hanging="357"/>
        <w:jc w:val="both"/>
        <w:rPr>
          <w:rFonts w:ascii="Arial" w:eastAsia="宋体" w:hAnsi="Arial" w:cs="Arial"/>
          <w:sz w:val="24"/>
          <w:szCs w:val="24"/>
        </w:rPr>
      </w:pPr>
      <w:r w:rsidRPr="00CA01D9">
        <w:rPr>
          <w:rFonts w:ascii="Arial" w:eastAsia="宋体" w:hAnsi="Arial" w:cs="Arial"/>
          <w:sz w:val="24"/>
          <w:szCs w:val="24"/>
        </w:rPr>
        <w:t>优化</w:t>
      </w:r>
      <w:r w:rsidR="00C420C7" w:rsidRPr="00CA01D9">
        <w:rPr>
          <w:rFonts w:ascii="Arial" w:eastAsia="宋体" w:hAnsi="Arial" w:cs="Arial"/>
          <w:sz w:val="24"/>
          <w:szCs w:val="24"/>
        </w:rPr>
        <w:t>研究中心</w:t>
      </w:r>
      <w:r w:rsidRPr="00CA01D9">
        <w:rPr>
          <w:rFonts w:ascii="Arial" w:eastAsia="宋体" w:hAnsi="Arial" w:cs="Arial"/>
          <w:sz w:val="24"/>
          <w:szCs w:val="24"/>
        </w:rPr>
        <w:t>间关于安全信息的交流（例如有关安全相关行动的研究者和研究协调员通话（风险控制措施））</w:t>
      </w:r>
    </w:p>
    <w:p w:rsidR="00A3286A" w:rsidRPr="00CA01D9" w:rsidRDefault="00635917" w:rsidP="00787115">
      <w:pPr>
        <w:pStyle w:val="a4"/>
        <w:numPr>
          <w:ilvl w:val="0"/>
          <w:numId w:val="9"/>
        </w:numPr>
        <w:tabs>
          <w:tab w:val="left" w:pos="1920"/>
        </w:tabs>
        <w:snapToGrid w:val="0"/>
        <w:spacing w:afterLines="100" w:after="240" w:line="300" w:lineRule="auto"/>
        <w:ind w:leftChars="400" w:left="1240"/>
        <w:jc w:val="both"/>
        <w:rPr>
          <w:rFonts w:ascii="Arial" w:eastAsia="宋体" w:hAnsi="Arial" w:cs="Arial"/>
          <w:sz w:val="24"/>
          <w:szCs w:val="24"/>
        </w:rPr>
      </w:pPr>
      <w:r w:rsidRPr="00CA01D9">
        <w:rPr>
          <w:rFonts w:ascii="Arial" w:eastAsia="宋体" w:hAnsi="Arial" w:cs="Arial"/>
          <w:sz w:val="24"/>
          <w:szCs w:val="24"/>
        </w:rPr>
        <w:t>与监督研究的</w:t>
      </w:r>
      <w:r w:rsidRPr="00CA01D9">
        <w:rPr>
          <w:rFonts w:ascii="Arial" w:eastAsia="宋体" w:hAnsi="Arial" w:cs="Arial"/>
          <w:sz w:val="24"/>
          <w:szCs w:val="24"/>
        </w:rPr>
        <w:t>IRB</w:t>
      </w:r>
      <w:r w:rsidRPr="00CA01D9">
        <w:rPr>
          <w:rFonts w:ascii="Arial" w:eastAsia="宋体" w:hAnsi="Arial" w:cs="Arial"/>
          <w:sz w:val="24"/>
          <w:szCs w:val="24"/>
        </w:rPr>
        <w:t>交流安全信息，确定是否需要实施任何其他</w:t>
      </w:r>
      <w:r w:rsidR="009D40D7" w:rsidRPr="00CA01D9">
        <w:rPr>
          <w:rFonts w:ascii="Arial" w:eastAsia="宋体" w:hAnsi="Arial" w:cs="Arial"/>
          <w:sz w:val="24"/>
          <w:szCs w:val="24"/>
        </w:rPr>
        <w:t>受试者</w:t>
      </w:r>
      <w:r w:rsidRPr="00CA01D9">
        <w:rPr>
          <w:rFonts w:ascii="Arial" w:eastAsia="宋体" w:hAnsi="Arial" w:cs="Arial"/>
          <w:sz w:val="24"/>
          <w:szCs w:val="24"/>
        </w:rPr>
        <w:t>保护措施</w:t>
      </w:r>
    </w:p>
    <w:p w:rsidR="00A3286A" w:rsidRPr="00CA01D9" w:rsidRDefault="00635917" w:rsidP="008B0CC9">
      <w:pPr>
        <w:pStyle w:val="a3"/>
        <w:snapToGrid w:val="0"/>
        <w:spacing w:afterLines="100" w:after="240" w:line="300" w:lineRule="auto"/>
        <w:ind w:left="0"/>
        <w:jc w:val="both"/>
        <w:rPr>
          <w:rFonts w:ascii="Arial" w:hAnsi="Arial" w:cs="Arial"/>
        </w:rPr>
      </w:pPr>
      <w:r w:rsidRPr="00CA01D9">
        <w:rPr>
          <w:rFonts w:ascii="Arial" w:hAnsi="Arial" w:cs="Arial"/>
        </w:rPr>
        <w:t>请注意，风险管理措施（包括风险控制措施）首先应尝试消除风险，如果风险无法消除，则应设计和实施保护措施（例如，在切实可行的情况下降低风险发生的可能性或潜在损害的程度），并将剩余风险传达给</w:t>
      </w:r>
      <w:r w:rsidR="00C420C7" w:rsidRPr="00CA01D9">
        <w:rPr>
          <w:rFonts w:ascii="Arial" w:hAnsi="Arial" w:cs="Arial"/>
        </w:rPr>
        <w:t>研究受试者</w:t>
      </w:r>
      <w:r w:rsidRPr="00CA01D9">
        <w:rPr>
          <w:rFonts w:ascii="Arial" w:hAnsi="Arial" w:cs="Arial"/>
        </w:rPr>
        <w:t>和操作员（例如，通过知情同意书或标签）。</w:t>
      </w:r>
      <w:r w:rsidR="00124B27" w:rsidRPr="00CA01D9">
        <w:rPr>
          <w:rFonts w:ascii="Arial" w:hAnsi="Arial" w:cs="Arial"/>
        </w:rPr>
        <w:br w:type="page"/>
      </w:r>
    </w:p>
    <w:p w:rsidR="00A3286A" w:rsidRPr="00CA01D9" w:rsidRDefault="00635917" w:rsidP="008B0CC9">
      <w:pPr>
        <w:pStyle w:val="a4"/>
        <w:numPr>
          <w:ilvl w:val="1"/>
          <w:numId w:val="11"/>
        </w:numPr>
        <w:tabs>
          <w:tab w:val="left" w:pos="893"/>
        </w:tabs>
        <w:snapToGrid w:val="0"/>
        <w:spacing w:afterLines="100" w:after="240" w:line="300" w:lineRule="auto"/>
        <w:ind w:leftChars="200" w:left="440" w:firstLine="0"/>
        <w:jc w:val="both"/>
        <w:rPr>
          <w:rFonts w:ascii="Arial" w:eastAsia="宋体" w:hAnsi="Arial" w:cs="Arial"/>
          <w:sz w:val="24"/>
          <w:szCs w:val="24"/>
        </w:rPr>
      </w:pPr>
      <w:bookmarkStart w:id="36" w:name="Assessment_of_Other_Risks_Considerations"/>
      <w:bookmarkStart w:id="37" w:name="Assessment_of_Direct_Benefits_to_the_Stu"/>
      <w:bookmarkEnd w:id="36"/>
      <w:bookmarkEnd w:id="37"/>
      <w:r w:rsidRPr="00CA01D9">
        <w:rPr>
          <w:rFonts w:ascii="Arial" w:eastAsia="宋体" w:hAnsi="Arial" w:cs="Arial"/>
          <w:b/>
          <w:sz w:val="24"/>
          <w:szCs w:val="24"/>
        </w:rPr>
        <w:lastRenderedPageBreak/>
        <w:t>剩余风险评价：</w:t>
      </w:r>
      <w:r w:rsidRPr="00CA01D9">
        <w:rPr>
          <w:rFonts w:ascii="Arial" w:eastAsia="宋体" w:hAnsi="Arial" w:cs="Arial"/>
          <w:sz w:val="24"/>
          <w:szCs w:val="24"/>
        </w:rPr>
        <w:t>应用风险控制措施后，在评估任何剩余风险时，特别是研究</w:t>
      </w:r>
      <w:r w:rsidR="00C420C7" w:rsidRPr="00CA01D9">
        <w:rPr>
          <w:rFonts w:ascii="Arial" w:eastAsia="宋体" w:hAnsi="Arial" w:cs="Arial"/>
          <w:sz w:val="24"/>
          <w:szCs w:val="24"/>
        </w:rPr>
        <w:t>具有</w:t>
      </w:r>
      <w:r w:rsidRPr="00CA01D9">
        <w:rPr>
          <w:rFonts w:ascii="Arial" w:eastAsia="宋体" w:hAnsi="Arial" w:cs="Arial"/>
          <w:sz w:val="24"/>
          <w:szCs w:val="24"/>
        </w:rPr>
        <w:t>重大风险的情况下，可考虑以下措施：</w:t>
      </w:r>
    </w:p>
    <w:p w:rsidR="00A3286A" w:rsidRPr="00CA01D9" w:rsidRDefault="00635917" w:rsidP="00AC11F2">
      <w:pPr>
        <w:pStyle w:val="a4"/>
        <w:numPr>
          <w:ilvl w:val="0"/>
          <w:numId w:val="8"/>
        </w:numPr>
        <w:tabs>
          <w:tab w:val="left" w:pos="1199"/>
          <w:tab w:val="left" w:pos="1200"/>
        </w:tabs>
        <w:snapToGrid w:val="0"/>
        <w:spacing w:afterLines="100" w:after="240" w:line="300" w:lineRule="auto"/>
        <w:ind w:leftChars="400" w:left="1237" w:hanging="357"/>
        <w:jc w:val="both"/>
        <w:rPr>
          <w:rFonts w:ascii="Arial" w:eastAsia="宋体" w:hAnsi="Arial" w:cs="Arial"/>
          <w:sz w:val="24"/>
          <w:szCs w:val="24"/>
        </w:rPr>
      </w:pPr>
      <w:r w:rsidRPr="00CA01D9">
        <w:rPr>
          <w:rFonts w:ascii="Arial" w:eastAsia="宋体" w:hAnsi="Arial" w:cs="Arial"/>
          <w:sz w:val="24"/>
          <w:szCs w:val="24"/>
        </w:rPr>
        <w:t>在知情同意过程中交流风险并披露剩余风险，包括关于受试者可</w:t>
      </w:r>
      <w:r w:rsidRPr="00CA01D9">
        <w:rPr>
          <w:rFonts w:ascii="Arial" w:eastAsia="宋体" w:hAnsi="Arial" w:cs="Arial"/>
          <w:sz w:val="24"/>
          <w:szCs w:val="24"/>
        </w:rPr>
        <w:t>/</w:t>
      </w:r>
      <w:r w:rsidRPr="00CA01D9">
        <w:rPr>
          <w:rFonts w:ascii="Arial" w:eastAsia="宋体" w:hAnsi="Arial" w:cs="Arial"/>
          <w:sz w:val="24"/>
          <w:szCs w:val="24"/>
        </w:rPr>
        <w:t>应如何采取行动以进一步控制或降低风险的信息</w:t>
      </w:r>
    </w:p>
    <w:p w:rsidR="00A3286A" w:rsidRPr="00CA01D9" w:rsidRDefault="00635917" w:rsidP="00AC11F2">
      <w:pPr>
        <w:pStyle w:val="a4"/>
        <w:numPr>
          <w:ilvl w:val="0"/>
          <w:numId w:val="8"/>
        </w:numPr>
        <w:tabs>
          <w:tab w:val="left" w:pos="1199"/>
          <w:tab w:val="left" w:pos="1200"/>
        </w:tabs>
        <w:snapToGrid w:val="0"/>
        <w:spacing w:afterLines="100" w:after="240" w:line="300" w:lineRule="auto"/>
        <w:ind w:leftChars="400" w:left="1237" w:hanging="357"/>
        <w:jc w:val="both"/>
        <w:rPr>
          <w:rFonts w:ascii="Arial" w:eastAsia="宋体" w:hAnsi="Arial" w:cs="Arial"/>
          <w:sz w:val="24"/>
          <w:szCs w:val="24"/>
        </w:rPr>
      </w:pPr>
      <w:r w:rsidRPr="00CA01D9">
        <w:rPr>
          <w:rFonts w:ascii="Arial" w:eastAsia="宋体" w:hAnsi="Arial" w:cs="Arial"/>
          <w:sz w:val="24"/>
          <w:szCs w:val="24"/>
        </w:rPr>
        <w:t>当可靠信息可用时，可考虑相对于预期收益，受试者对承担风险的看法和能力</w:t>
      </w:r>
    </w:p>
    <w:p w:rsidR="00A3286A" w:rsidRPr="00CA01D9" w:rsidRDefault="00635917" w:rsidP="00AC11F2">
      <w:pPr>
        <w:pStyle w:val="a4"/>
        <w:numPr>
          <w:ilvl w:val="0"/>
          <w:numId w:val="8"/>
        </w:numPr>
        <w:tabs>
          <w:tab w:val="left" w:pos="1199"/>
          <w:tab w:val="left" w:pos="1200"/>
        </w:tabs>
        <w:snapToGrid w:val="0"/>
        <w:spacing w:afterLines="100" w:after="240" w:line="300" w:lineRule="auto"/>
        <w:ind w:leftChars="400" w:left="1237" w:hanging="357"/>
        <w:jc w:val="both"/>
        <w:rPr>
          <w:rFonts w:ascii="Arial" w:eastAsia="宋体" w:hAnsi="Arial" w:cs="Arial"/>
          <w:sz w:val="24"/>
          <w:szCs w:val="24"/>
        </w:rPr>
      </w:pPr>
      <w:r w:rsidRPr="00CA01D9">
        <w:rPr>
          <w:rFonts w:ascii="Arial" w:eastAsia="宋体" w:hAnsi="Arial" w:cs="Arial"/>
          <w:sz w:val="24"/>
          <w:szCs w:val="24"/>
        </w:rPr>
        <w:t>在最有可能获得收益的受试者中进行初步有限研究或选择收益</w:t>
      </w:r>
      <w:r w:rsidRPr="00CA01D9">
        <w:rPr>
          <w:rFonts w:ascii="Arial" w:eastAsia="宋体" w:hAnsi="Arial" w:cs="Arial"/>
          <w:sz w:val="24"/>
          <w:szCs w:val="24"/>
        </w:rPr>
        <w:t>-</w:t>
      </w:r>
      <w:r w:rsidRPr="00CA01D9">
        <w:rPr>
          <w:rFonts w:ascii="Arial" w:eastAsia="宋体" w:hAnsi="Arial" w:cs="Arial"/>
          <w:sz w:val="24"/>
          <w:szCs w:val="24"/>
        </w:rPr>
        <w:t>风险特征更有利的</w:t>
      </w:r>
      <w:r w:rsidR="007210C5" w:rsidRPr="00CA01D9">
        <w:rPr>
          <w:rFonts w:ascii="Arial" w:eastAsia="宋体" w:hAnsi="Arial" w:cs="Arial"/>
          <w:sz w:val="24"/>
          <w:szCs w:val="24"/>
        </w:rPr>
        <w:t>受试者</w:t>
      </w:r>
      <w:r w:rsidRPr="00CA01D9">
        <w:rPr>
          <w:rFonts w:ascii="Arial" w:eastAsia="宋体" w:hAnsi="Arial" w:cs="Arial"/>
          <w:sz w:val="24"/>
          <w:szCs w:val="24"/>
        </w:rPr>
        <w:t>子集（例如，难治性患者）</w:t>
      </w:r>
    </w:p>
    <w:p w:rsidR="00A3286A" w:rsidRPr="00CA01D9" w:rsidRDefault="00635917" w:rsidP="00890887">
      <w:pPr>
        <w:pStyle w:val="2"/>
        <w:numPr>
          <w:ilvl w:val="0"/>
          <w:numId w:val="11"/>
        </w:numPr>
        <w:tabs>
          <w:tab w:val="left" w:pos="840"/>
        </w:tabs>
        <w:snapToGrid w:val="0"/>
        <w:spacing w:afterLines="100" w:after="240" w:line="300" w:lineRule="auto"/>
        <w:ind w:left="720"/>
        <w:jc w:val="both"/>
        <w:rPr>
          <w:rFonts w:ascii="Arial" w:hAnsi="Arial" w:cs="Arial"/>
          <w:b w:val="0"/>
          <w:bCs w:val="0"/>
          <w:i w:val="0"/>
        </w:rPr>
      </w:pPr>
      <w:bookmarkStart w:id="38" w:name="_bookmark40"/>
      <w:bookmarkStart w:id="39" w:name="_Toc498621506"/>
      <w:bookmarkEnd w:id="38"/>
      <w:r w:rsidRPr="00CA01D9">
        <w:rPr>
          <w:rFonts w:ascii="Arial" w:hAnsi="Arial" w:cs="Arial"/>
        </w:rPr>
        <w:t>评估</w:t>
      </w:r>
      <w:r w:rsidR="007210C5" w:rsidRPr="00CA01D9">
        <w:rPr>
          <w:rFonts w:ascii="Arial" w:hAnsi="Arial" w:cs="Arial"/>
        </w:rPr>
        <w:t>临床试验</w:t>
      </w:r>
      <w:r w:rsidRPr="00CA01D9">
        <w:rPr>
          <w:rFonts w:ascii="Arial" w:hAnsi="Arial" w:cs="Arial"/>
        </w:rPr>
        <w:t>研究的其他风险考虑因素</w:t>
      </w:r>
      <w:bookmarkEnd w:id="39"/>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根据</w:t>
      </w:r>
      <w:r w:rsidRPr="00CA01D9">
        <w:rPr>
          <w:rFonts w:ascii="Arial" w:hAnsi="Arial" w:cs="Arial"/>
        </w:rPr>
        <w:t>FD</w:t>
      </w:r>
      <w:r w:rsidRPr="00CA01D9">
        <w:rPr>
          <w:rFonts w:ascii="Arial" w:hAnsi="Arial" w:cs="Arial"/>
        </w:rPr>
        <w:t>＆</w:t>
      </w:r>
      <w:r w:rsidRPr="00CA01D9">
        <w:rPr>
          <w:rFonts w:ascii="Arial" w:hAnsi="Arial" w:cs="Arial"/>
        </w:rPr>
        <w:t>C</w:t>
      </w:r>
      <w:r w:rsidRPr="00CA01D9">
        <w:rPr>
          <w:rFonts w:ascii="Arial" w:hAnsi="Arial" w:cs="Arial"/>
        </w:rPr>
        <w:t>法案第</w:t>
      </w:r>
      <w:r w:rsidRPr="00CA01D9">
        <w:rPr>
          <w:rFonts w:ascii="Arial" w:hAnsi="Arial" w:cs="Arial"/>
        </w:rPr>
        <w:t>520</w:t>
      </w:r>
      <w:r w:rsidRPr="00CA01D9">
        <w:rPr>
          <w:rFonts w:ascii="Arial" w:hAnsi="Arial" w:cs="Arial"/>
        </w:rPr>
        <w:t>（</w:t>
      </w:r>
      <w:r w:rsidRPr="00CA01D9">
        <w:rPr>
          <w:rFonts w:ascii="Arial" w:hAnsi="Arial" w:cs="Arial"/>
        </w:rPr>
        <w:t>g</w:t>
      </w:r>
      <w:r w:rsidRPr="00CA01D9">
        <w:rPr>
          <w:rFonts w:ascii="Arial" w:hAnsi="Arial" w:cs="Arial"/>
        </w:rPr>
        <w:t>）（</w:t>
      </w:r>
      <w:r w:rsidRPr="00CA01D9">
        <w:rPr>
          <w:rFonts w:ascii="Arial" w:hAnsi="Arial" w:cs="Arial"/>
        </w:rPr>
        <w:t>4</w:t>
      </w:r>
      <w:r w:rsidRPr="00CA01D9">
        <w:rPr>
          <w:rFonts w:ascii="Arial" w:hAnsi="Arial" w:cs="Arial"/>
        </w:rPr>
        <w:t>）（</w:t>
      </w:r>
      <w:r w:rsidRPr="00CA01D9">
        <w:rPr>
          <w:rFonts w:ascii="Arial" w:hAnsi="Arial" w:cs="Arial"/>
        </w:rPr>
        <w:t>B</w:t>
      </w:r>
      <w:r w:rsidRPr="00CA01D9">
        <w:rPr>
          <w:rFonts w:ascii="Arial" w:hAnsi="Arial" w:cs="Arial"/>
        </w:rPr>
        <w:t>）条，</w:t>
      </w:r>
      <w:r w:rsidRPr="00CA01D9">
        <w:rPr>
          <w:rFonts w:ascii="Arial" w:hAnsi="Arial" w:cs="Arial"/>
        </w:rPr>
        <w:t>FDA</w:t>
      </w:r>
      <w:r w:rsidRPr="00CA01D9">
        <w:rPr>
          <w:rFonts w:ascii="Arial" w:hAnsi="Arial" w:cs="Arial"/>
        </w:rPr>
        <w:t>可以考虑上文第</w:t>
      </w:r>
      <w:r w:rsidRPr="00CA01D9">
        <w:rPr>
          <w:rFonts w:ascii="Arial" w:hAnsi="Arial" w:cs="Arial"/>
        </w:rPr>
        <w:t>A</w:t>
      </w:r>
      <w:r w:rsidRPr="00CA01D9">
        <w:rPr>
          <w:rFonts w:ascii="Arial" w:hAnsi="Arial" w:cs="Arial"/>
        </w:rPr>
        <w:t>节所述的风险，以保护公共卫生和安全。在审查风险管理措施时，</w:t>
      </w:r>
      <w:r w:rsidRPr="00CA01D9">
        <w:rPr>
          <w:rFonts w:ascii="Arial" w:hAnsi="Arial" w:cs="Arial"/>
        </w:rPr>
        <w:t>FDA</w:t>
      </w:r>
      <w:r w:rsidRPr="00CA01D9">
        <w:rPr>
          <w:rFonts w:ascii="Arial" w:hAnsi="Arial" w:cs="Arial"/>
        </w:rPr>
        <w:t>将重点关注用于控制此类风险的适当措施。</w:t>
      </w:r>
    </w:p>
    <w:p w:rsidR="00A3286A" w:rsidRPr="00CA01D9" w:rsidRDefault="00635917" w:rsidP="00890887">
      <w:pPr>
        <w:pStyle w:val="a4"/>
        <w:numPr>
          <w:ilvl w:val="1"/>
          <w:numId w:val="11"/>
        </w:numPr>
        <w:tabs>
          <w:tab w:val="left" w:pos="880"/>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b/>
          <w:sz w:val="24"/>
          <w:szCs w:val="24"/>
        </w:rPr>
        <w:t>与解释研究数据有关的风险以及可获得的知识收益：</w:t>
      </w:r>
    </w:p>
    <w:p w:rsidR="00A3286A" w:rsidRPr="00CA01D9" w:rsidRDefault="00635917" w:rsidP="00580060">
      <w:pPr>
        <w:pStyle w:val="a4"/>
        <w:numPr>
          <w:ilvl w:val="0"/>
          <w:numId w:val="19"/>
        </w:numPr>
        <w:tabs>
          <w:tab w:val="left" w:pos="1262"/>
        </w:tabs>
        <w:snapToGrid w:val="0"/>
        <w:spacing w:line="300" w:lineRule="auto"/>
        <w:jc w:val="both"/>
        <w:rPr>
          <w:rFonts w:ascii="Arial" w:eastAsia="宋体" w:hAnsi="Arial" w:cs="Arial"/>
          <w:sz w:val="24"/>
          <w:szCs w:val="24"/>
        </w:rPr>
      </w:pPr>
      <w:r w:rsidRPr="00CA01D9">
        <w:rPr>
          <w:rFonts w:ascii="Arial" w:eastAsia="宋体" w:hAnsi="Arial" w:cs="Arial"/>
          <w:sz w:val="24"/>
          <w:szCs w:val="24"/>
        </w:rPr>
        <w:t>根据所获得的临床数据得出错误结论的风险</w:t>
      </w:r>
    </w:p>
    <w:p w:rsidR="00A3286A" w:rsidRPr="00F3419D" w:rsidRDefault="00635917" w:rsidP="00580060">
      <w:pPr>
        <w:pStyle w:val="a4"/>
        <w:numPr>
          <w:ilvl w:val="0"/>
          <w:numId w:val="19"/>
        </w:numPr>
        <w:tabs>
          <w:tab w:val="left" w:pos="1262"/>
        </w:tabs>
        <w:snapToGrid w:val="0"/>
        <w:spacing w:afterLines="100" w:after="240" w:line="300" w:lineRule="auto"/>
        <w:jc w:val="both"/>
        <w:rPr>
          <w:rFonts w:ascii="Arial" w:eastAsia="宋体" w:hAnsi="Arial" w:cs="Arial"/>
          <w:sz w:val="24"/>
          <w:szCs w:val="24"/>
          <w:vertAlign w:val="superscript"/>
        </w:rPr>
      </w:pPr>
      <w:r w:rsidRPr="00CA01D9">
        <w:rPr>
          <w:rFonts w:ascii="Arial" w:eastAsia="宋体" w:hAnsi="Arial" w:cs="Arial"/>
          <w:sz w:val="24"/>
          <w:szCs w:val="24"/>
        </w:rPr>
        <w:t>数据不确定或难以解释的风险</w:t>
      </w:r>
      <w:r w:rsidR="00580060">
        <w:rPr>
          <w:rStyle w:val="aa"/>
          <w:rFonts w:ascii="Arial" w:eastAsia="宋体" w:hAnsi="Arial" w:cs="Arial"/>
          <w:sz w:val="24"/>
          <w:szCs w:val="24"/>
        </w:rPr>
        <w:footnoteReference w:id="29"/>
      </w:r>
    </w:p>
    <w:p w:rsidR="00A3286A" w:rsidRPr="00CA01D9" w:rsidRDefault="00635917" w:rsidP="004345B6">
      <w:pPr>
        <w:pStyle w:val="a4"/>
        <w:numPr>
          <w:ilvl w:val="1"/>
          <w:numId w:val="11"/>
        </w:numPr>
        <w:tabs>
          <w:tab w:val="left" w:pos="880"/>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b/>
          <w:sz w:val="24"/>
          <w:szCs w:val="24"/>
        </w:rPr>
        <w:t>对他人的风险：</w:t>
      </w:r>
      <w:r w:rsidRPr="00CA01D9">
        <w:rPr>
          <w:rFonts w:ascii="Arial" w:eastAsia="宋体" w:hAnsi="Arial" w:cs="Arial"/>
          <w:sz w:val="24"/>
          <w:szCs w:val="24"/>
        </w:rPr>
        <w:t>某些研究可能涉及对他人的风险，应予以考虑。例如：</w:t>
      </w:r>
    </w:p>
    <w:p w:rsidR="00A3286A" w:rsidRPr="00CA01D9" w:rsidRDefault="00635917" w:rsidP="004345B6">
      <w:pPr>
        <w:pStyle w:val="a4"/>
        <w:numPr>
          <w:ilvl w:val="0"/>
          <w:numId w:val="19"/>
        </w:numPr>
        <w:tabs>
          <w:tab w:val="left" w:pos="1262"/>
        </w:tabs>
        <w:snapToGrid w:val="0"/>
        <w:spacing w:line="300" w:lineRule="auto"/>
        <w:jc w:val="both"/>
        <w:rPr>
          <w:rFonts w:ascii="Arial" w:eastAsia="宋体" w:hAnsi="Arial" w:cs="Arial"/>
          <w:sz w:val="24"/>
          <w:szCs w:val="24"/>
        </w:rPr>
      </w:pPr>
      <w:r w:rsidRPr="00CA01D9">
        <w:rPr>
          <w:rFonts w:ascii="Arial" w:eastAsia="宋体" w:hAnsi="Arial" w:cs="Arial"/>
          <w:sz w:val="24"/>
          <w:szCs w:val="24"/>
        </w:rPr>
        <w:t>医护人员暴露于辐射的风险</w:t>
      </w:r>
    </w:p>
    <w:p w:rsidR="00A3286A" w:rsidRPr="00CA01D9" w:rsidRDefault="00635917" w:rsidP="004345B6">
      <w:pPr>
        <w:pStyle w:val="a4"/>
        <w:numPr>
          <w:ilvl w:val="0"/>
          <w:numId w:val="19"/>
        </w:numPr>
        <w:tabs>
          <w:tab w:val="left" w:pos="1262"/>
        </w:tabs>
        <w:snapToGrid w:val="0"/>
        <w:spacing w:line="300" w:lineRule="auto"/>
        <w:jc w:val="both"/>
        <w:rPr>
          <w:rFonts w:ascii="Arial" w:eastAsia="宋体" w:hAnsi="Arial" w:cs="Arial"/>
          <w:sz w:val="24"/>
          <w:szCs w:val="24"/>
        </w:rPr>
      </w:pPr>
      <w:r w:rsidRPr="00CA01D9">
        <w:rPr>
          <w:rFonts w:ascii="Arial" w:eastAsia="宋体" w:hAnsi="Arial" w:cs="Arial"/>
          <w:sz w:val="24"/>
          <w:szCs w:val="24"/>
        </w:rPr>
        <w:t>如果受治疗的受试者在操作车辆时打瞌睡</w:t>
      </w:r>
    </w:p>
    <w:p w:rsidR="00A3286A" w:rsidRPr="00CA01D9" w:rsidRDefault="00635917" w:rsidP="004345B6">
      <w:pPr>
        <w:pStyle w:val="2"/>
        <w:numPr>
          <w:ilvl w:val="0"/>
          <w:numId w:val="11"/>
        </w:numPr>
        <w:tabs>
          <w:tab w:val="left" w:pos="840"/>
        </w:tabs>
        <w:snapToGrid w:val="0"/>
        <w:spacing w:beforeLines="100" w:before="240" w:afterLines="100" w:after="240" w:line="300" w:lineRule="auto"/>
        <w:ind w:left="720"/>
        <w:jc w:val="both"/>
        <w:rPr>
          <w:rFonts w:ascii="Arial" w:hAnsi="Arial" w:cs="Arial"/>
          <w:b w:val="0"/>
          <w:bCs w:val="0"/>
          <w:i w:val="0"/>
        </w:rPr>
      </w:pPr>
      <w:bookmarkStart w:id="40" w:name="_bookmark41"/>
      <w:bookmarkStart w:id="41" w:name="_Toc498621507"/>
      <w:bookmarkEnd w:id="40"/>
      <w:r w:rsidRPr="00CA01D9">
        <w:rPr>
          <w:rFonts w:ascii="Arial" w:hAnsi="Arial" w:cs="Arial"/>
        </w:rPr>
        <w:t>评估</w:t>
      </w:r>
      <w:r w:rsidR="00C420C7" w:rsidRPr="00CA01D9">
        <w:rPr>
          <w:rFonts w:ascii="Arial" w:hAnsi="Arial" w:cs="Arial"/>
        </w:rPr>
        <w:t>研究受试者</w:t>
      </w:r>
      <w:r w:rsidRPr="00CA01D9">
        <w:rPr>
          <w:rFonts w:ascii="Arial" w:hAnsi="Arial" w:cs="Arial"/>
        </w:rPr>
        <w:t>的直接收益</w:t>
      </w:r>
      <w:bookmarkEnd w:id="41"/>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一般来说，评估</w:t>
      </w:r>
      <w:r w:rsidRPr="00CA01D9">
        <w:rPr>
          <w:rFonts w:ascii="Arial" w:hAnsi="Arial" w:cs="Arial"/>
        </w:rPr>
        <w:t>IDE</w:t>
      </w:r>
      <w:r w:rsidRPr="00CA01D9">
        <w:rPr>
          <w:rFonts w:ascii="Arial" w:hAnsi="Arial" w:cs="Arial"/>
        </w:rPr>
        <w:t>受试者的预期收益时不应考虑纯粹假设收益，而应侧重于直接收益，其中，此类收益的存在和特征已得到与器械开发阶段（包括诊断）相称的有效科学证据支持。评估参与研究的预期收益时，</w:t>
      </w:r>
      <w:r w:rsidRPr="00CA01D9">
        <w:rPr>
          <w:rFonts w:ascii="Arial" w:hAnsi="Arial" w:cs="Arial"/>
        </w:rPr>
        <w:t>FDA</w:t>
      </w:r>
      <w:r w:rsidRPr="00CA01D9">
        <w:rPr>
          <w:rFonts w:ascii="Arial" w:hAnsi="Arial" w:cs="Arial"/>
        </w:rPr>
        <w:t>将考虑受试者的直接收益</w:t>
      </w:r>
      <w:r w:rsidRPr="00CA01D9">
        <w:rPr>
          <w:rFonts w:ascii="Arial" w:hAnsi="Arial" w:cs="Arial"/>
        </w:rPr>
        <w:t xml:space="preserve"> - </w:t>
      </w:r>
      <w:r w:rsidRPr="00CA01D9">
        <w:rPr>
          <w:rFonts w:ascii="Arial" w:hAnsi="Arial" w:cs="Arial"/>
        </w:rPr>
        <w:t>即受试者在参与研究后可能获得的收益，其中包括：</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575499">
      <w:pPr>
        <w:pStyle w:val="a4"/>
        <w:numPr>
          <w:ilvl w:val="1"/>
          <w:numId w:val="11"/>
        </w:numPr>
        <w:tabs>
          <w:tab w:val="left" w:pos="880"/>
        </w:tabs>
        <w:snapToGrid w:val="0"/>
        <w:spacing w:afterLines="100" w:after="240" w:line="300" w:lineRule="auto"/>
        <w:ind w:leftChars="200" w:left="440" w:firstLine="0"/>
        <w:jc w:val="both"/>
        <w:rPr>
          <w:rFonts w:ascii="Arial" w:eastAsia="宋体" w:hAnsi="Arial" w:cs="Arial"/>
          <w:sz w:val="24"/>
          <w:szCs w:val="24"/>
        </w:rPr>
      </w:pPr>
      <w:bookmarkStart w:id="42" w:name="_bookmark44"/>
      <w:bookmarkStart w:id="43" w:name="Assessment_of_Benefits_to_Others"/>
      <w:bookmarkEnd w:id="42"/>
      <w:bookmarkEnd w:id="43"/>
      <w:r w:rsidRPr="00575499">
        <w:rPr>
          <w:rFonts w:ascii="Arial" w:eastAsia="宋体" w:hAnsi="Arial" w:cs="Arial"/>
          <w:b/>
          <w:sz w:val="24"/>
          <w:szCs w:val="24"/>
        </w:rPr>
        <w:lastRenderedPageBreak/>
        <w:t>收益</w:t>
      </w:r>
      <w:r w:rsidRPr="00CA01D9">
        <w:rPr>
          <w:rFonts w:ascii="Arial" w:eastAsia="宋体" w:hAnsi="Arial" w:cs="Arial"/>
          <w:b/>
          <w:bCs/>
          <w:sz w:val="24"/>
          <w:szCs w:val="24"/>
        </w:rPr>
        <w:t>类型：</w:t>
      </w:r>
      <w:r w:rsidRPr="00CA01D9">
        <w:rPr>
          <w:rFonts w:ascii="Arial" w:eastAsia="宋体" w:hAnsi="Arial" w:cs="Arial"/>
          <w:sz w:val="24"/>
          <w:szCs w:val="24"/>
        </w:rPr>
        <w:t>示例包括但不限于器械对目标人群中临床管理、受试者健康和受试者满意度的预期影响，例如改善临床管理和生活质量，降低死亡概率，帮助改善受试者功能，降低功能丧失概率，以及缓解症状。对于诊断，预期收益可能来自其能够识别特定疾病（从而使得能够实施预防其扩散或进展的措施），预测未来疾病发作，提供疾病的早期诊断，降低诊断和辅助收益的频率，或确定更有可能对给定治疗</w:t>
      </w:r>
      <w:proofErr w:type="gramStart"/>
      <w:r w:rsidRPr="00CA01D9">
        <w:rPr>
          <w:rFonts w:ascii="Arial" w:eastAsia="宋体" w:hAnsi="Arial" w:cs="Arial"/>
          <w:sz w:val="24"/>
          <w:szCs w:val="24"/>
        </w:rPr>
        <w:t>作出</w:t>
      </w:r>
      <w:proofErr w:type="gramEnd"/>
      <w:r w:rsidRPr="00CA01D9">
        <w:rPr>
          <w:rFonts w:ascii="Arial" w:eastAsia="宋体" w:hAnsi="Arial" w:cs="Arial"/>
          <w:sz w:val="24"/>
          <w:szCs w:val="24"/>
        </w:rPr>
        <w:t>反应的</w:t>
      </w:r>
      <w:r w:rsidR="007210C5" w:rsidRPr="00CA01D9">
        <w:rPr>
          <w:rFonts w:ascii="Arial" w:eastAsia="宋体" w:hAnsi="Arial" w:cs="Arial"/>
          <w:sz w:val="24"/>
          <w:szCs w:val="24"/>
        </w:rPr>
        <w:t>受试者</w:t>
      </w:r>
      <w:r w:rsidRPr="00CA01D9">
        <w:rPr>
          <w:rFonts w:ascii="Arial" w:eastAsia="宋体" w:hAnsi="Arial" w:cs="Arial"/>
          <w:sz w:val="24"/>
          <w:szCs w:val="24"/>
        </w:rPr>
        <w:t>。</w:t>
      </w:r>
    </w:p>
    <w:p w:rsidR="00A3286A" w:rsidRPr="00CA01D9" w:rsidRDefault="00635917" w:rsidP="00575499">
      <w:pPr>
        <w:pStyle w:val="a4"/>
        <w:numPr>
          <w:ilvl w:val="1"/>
          <w:numId w:val="11"/>
        </w:numPr>
        <w:tabs>
          <w:tab w:val="left" w:pos="893"/>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b/>
          <w:bCs/>
          <w:sz w:val="24"/>
          <w:szCs w:val="24"/>
        </w:rPr>
        <w:t>收益大小：</w:t>
      </w:r>
      <w:r w:rsidRPr="00CA01D9">
        <w:rPr>
          <w:rFonts w:ascii="Arial" w:eastAsia="宋体" w:hAnsi="Arial" w:cs="Arial"/>
          <w:sz w:val="24"/>
          <w:szCs w:val="24"/>
        </w:rPr>
        <w:t>由受试者状况或临床管理的预期变化决定，或由端点的改善或恶化所决定。也可以考虑人群收益大小的变化。从各种来源获得的感知收益（例如人为因素模拟试验，问卷分析和有关类似器械的其他发布数据）也可能促进了解受试者偏好，或者其经验是正面还是负面。</w:t>
      </w:r>
    </w:p>
    <w:p w:rsidR="00A3286A" w:rsidRPr="00CA01D9" w:rsidRDefault="007210C5" w:rsidP="00575499">
      <w:pPr>
        <w:pStyle w:val="a4"/>
        <w:numPr>
          <w:ilvl w:val="1"/>
          <w:numId w:val="11"/>
        </w:numPr>
        <w:tabs>
          <w:tab w:val="left" w:pos="893"/>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b/>
          <w:sz w:val="24"/>
          <w:szCs w:val="24"/>
        </w:rPr>
        <w:t>受试者</w:t>
      </w:r>
      <w:r w:rsidR="00635917" w:rsidRPr="00CA01D9">
        <w:rPr>
          <w:rFonts w:ascii="Arial" w:eastAsia="宋体" w:hAnsi="Arial" w:cs="Arial"/>
          <w:b/>
          <w:sz w:val="24"/>
          <w:szCs w:val="24"/>
        </w:rPr>
        <w:t>获得一个或多个收益的概率：</w:t>
      </w:r>
      <w:r w:rsidR="00635917" w:rsidRPr="00CA01D9">
        <w:rPr>
          <w:rFonts w:ascii="Arial" w:eastAsia="宋体" w:hAnsi="Arial" w:cs="Arial"/>
          <w:sz w:val="24"/>
          <w:szCs w:val="24"/>
        </w:rPr>
        <w:t>根据先前研究提供的证据，有时可以预测哪些受试者更有可能或不太可能获得收益。但是，在其他情况下，特别是在早期器械开发阶段，可能无法评估</w:t>
      </w:r>
      <w:r w:rsidRPr="00CA01D9">
        <w:rPr>
          <w:rFonts w:ascii="Arial" w:eastAsia="宋体" w:hAnsi="Arial" w:cs="Arial"/>
          <w:sz w:val="24"/>
          <w:szCs w:val="24"/>
        </w:rPr>
        <w:t>受试者</w:t>
      </w:r>
      <w:r w:rsidR="00635917" w:rsidRPr="00CA01D9">
        <w:rPr>
          <w:rFonts w:ascii="Arial" w:eastAsia="宋体" w:hAnsi="Arial" w:cs="Arial"/>
          <w:sz w:val="24"/>
          <w:szCs w:val="24"/>
        </w:rPr>
        <w:t>获得一个或多个收益或确定最有可能获得收益的亚组的概率。</w:t>
      </w:r>
    </w:p>
    <w:p w:rsidR="00A3286A" w:rsidRPr="00CA01D9" w:rsidRDefault="00635917" w:rsidP="00575499">
      <w:pPr>
        <w:pStyle w:val="a4"/>
        <w:numPr>
          <w:ilvl w:val="1"/>
          <w:numId w:val="11"/>
        </w:numPr>
        <w:tabs>
          <w:tab w:val="left" w:pos="893"/>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b/>
          <w:bCs/>
          <w:sz w:val="24"/>
          <w:szCs w:val="24"/>
        </w:rPr>
        <w:t>影响</w:t>
      </w:r>
      <w:r w:rsidRPr="00575499">
        <w:rPr>
          <w:rFonts w:ascii="Arial" w:eastAsia="宋体" w:hAnsi="Arial" w:cs="Arial"/>
          <w:b/>
          <w:sz w:val="24"/>
          <w:szCs w:val="24"/>
        </w:rPr>
        <w:t>持续时间</w:t>
      </w:r>
      <w:r w:rsidRPr="00CA01D9">
        <w:rPr>
          <w:rFonts w:ascii="Arial" w:eastAsia="宋体" w:hAnsi="Arial" w:cs="Arial"/>
          <w:b/>
          <w:bCs/>
          <w:sz w:val="24"/>
          <w:szCs w:val="24"/>
        </w:rPr>
        <w:t>：</w:t>
      </w:r>
      <w:r w:rsidRPr="00CA01D9">
        <w:rPr>
          <w:rFonts w:ascii="Arial" w:eastAsia="宋体" w:hAnsi="Arial" w:cs="Arial"/>
          <w:sz w:val="24"/>
          <w:szCs w:val="24"/>
        </w:rPr>
        <w:t>（即，</w:t>
      </w:r>
      <w:r w:rsidR="007210C5" w:rsidRPr="00CA01D9">
        <w:rPr>
          <w:rFonts w:ascii="Arial" w:eastAsia="宋体" w:hAnsi="Arial" w:cs="Arial"/>
          <w:sz w:val="24"/>
          <w:szCs w:val="24"/>
        </w:rPr>
        <w:t>受试者</w:t>
      </w:r>
      <w:r w:rsidRPr="00CA01D9">
        <w:rPr>
          <w:rFonts w:ascii="Arial" w:eastAsia="宋体" w:hAnsi="Arial" w:cs="Arial"/>
          <w:sz w:val="24"/>
          <w:szCs w:val="24"/>
        </w:rPr>
        <w:t>可获得的收益的时间长短）：一些治疗具有治愈性，而有些可能需要在患者的生命周期内频繁重复。如果已知，治疗效果的持续时间可能直接影响其预期收益的定义方式。必须随着时间推移重复的治疗可能会带来更大的累积风险，或者所获得的收益可能在每次治疗重复时减少。</w:t>
      </w:r>
    </w:p>
    <w:p w:rsidR="00A3286A" w:rsidRPr="00CA01D9" w:rsidRDefault="00635917" w:rsidP="00575499">
      <w:pPr>
        <w:pStyle w:val="2"/>
        <w:numPr>
          <w:ilvl w:val="0"/>
          <w:numId w:val="11"/>
        </w:numPr>
        <w:tabs>
          <w:tab w:val="left" w:pos="840"/>
        </w:tabs>
        <w:snapToGrid w:val="0"/>
        <w:spacing w:afterLines="100" w:after="240" w:line="300" w:lineRule="auto"/>
        <w:ind w:left="720"/>
        <w:jc w:val="both"/>
        <w:rPr>
          <w:rFonts w:ascii="Arial" w:hAnsi="Arial" w:cs="Arial"/>
          <w:b w:val="0"/>
          <w:bCs w:val="0"/>
          <w:i w:val="0"/>
        </w:rPr>
      </w:pPr>
      <w:bookmarkStart w:id="44" w:name="_bookmark43"/>
      <w:bookmarkStart w:id="45" w:name="_Toc498621508"/>
      <w:bookmarkEnd w:id="44"/>
      <w:r w:rsidRPr="00CA01D9">
        <w:rPr>
          <w:rFonts w:ascii="Arial" w:hAnsi="Arial" w:cs="Arial"/>
        </w:rPr>
        <w:t>评估他人的收益</w:t>
      </w:r>
      <w:bookmarkEnd w:id="45"/>
    </w:p>
    <w:p w:rsidR="00A3286A" w:rsidRPr="00F3419D" w:rsidRDefault="00635917" w:rsidP="00F3419D">
      <w:pPr>
        <w:pStyle w:val="a3"/>
        <w:snapToGrid w:val="0"/>
        <w:spacing w:afterLines="100" w:after="240" w:line="300" w:lineRule="auto"/>
        <w:ind w:left="0"/>
        <w:jc w:val="both"/>
        <w:rPr>
          <w:rFonts w:ascii="Arial" w:hAnsi="Arial" w:cs="Arial"/>
        </w:rPr>
      </w:pPr>
      <w:r w:rsidRPr="00CA01D9">
        <w:rPr>
          <w:rFonts w:ascii="Arial" w:hAnsi="Arial" w:cs="Arial"/>
        </w:rPr>
        <w:t>除评估</w:t>
      </w:r>
      <w:r w:rsidRPr="00CA01D9">
        <w:rPr>
          <w:rFonts w:ascii="Arial" w:hAnsi="Arial" w:cs="Arial"/>
        </w:rPr>
        <w:t>IDE</w:t>
      </w:r>
      <w:r w:rsidRPr="00CA01D9">
        <w:rPr>
          <w:rFonts w:ascii="Arial" w:hAnsi="Arial" w:cs="Arial"/>
        </w:rPr>
        <w:t>受试者的预期直接收益外，评估</w:t>
      </w:r>
      <w:r w:rsidRPr="00CA01D9">
        <w:rPr>
          <w:rFonts w:ascii="Arial" w:hAnsi="Arial" w:cs="Arial"/>
        </w:rPr>
        <w:t>IDE</w:t>
      </w:r>
      <w:r w:rsidRPr="00CA01D9">
        <w:rPr>
          <w:rFonts w:ascii="Arial" w:hAnsi="Arial" w:cs="Arial"/>
        </w:rPr>
        <w:t>收益</w:t>
      </w:r>
      <w:r w:rsidRPr="00CA01D9">
        <w:rPr>
          <w:rFonts w:ascii="Arial" w:hAnsi="Arial" w:cs="Arial"/>
        </w:rPr>
        <w:t>-</w:t>
      </w:r>
      <w:r w:rsidRPr="00CA01D9">
        <w:rPr>
          <w:rFonts w:ascii="Arial" w:hAnsi="Arial" w:cs="Arial"/>
        </w:rPr>
        <w:t>风险时还将考虑他人的预期收益（有可能是间接收益，例如从研究获得的知识或可能有助于开发治疗方法的信息）。</w:t>
      </w:r>
    </w:p>
    <w:p w:rsidR="00C420C7"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知情同意书中必须描述受试者或</w:t>
      </w:r>
      <w:r w:rsidRPr="00CA01D9">
        <w:rPr>
          <w:rFonts w:ascii="Arial" w:hAnsi="Arial" w:cs="Arial"/>
          <w:i/>
        </w:rPr>
        <w:t>他人</w:t>
      </w:r>
      <w:r w:rsidR="00270D77" w:rsidRPr="00CA01D9">
        <w:rPr>
          <w:rFonts w:ascii="Arial" w:hAnsi="Arial" w:cs="Arial"/>
        </w:rPr>
        <w:t>【</w:t>
      </w:r>
      <w:r w:rsidRPr="00CA01D9">
        <w:rPr>
          <w:rFonts w:ascii="Arial" w:hAnsi="Arial" w:cs="Arial"/>
        </w:rPr>
        <w:t>着重强调</w:t>
      </w:r>
      <w:r w:rsidR="00270D77" w:rsidRPr="00CA01D9">
        <w:rPr>
          <w:rFonts w:ascii="Arial" w:hAnsi="Arial" w:cs="Arial"/>
        </w:rPr>
        <w:t>】</w:t>
      </w:r>
      <w:r w:rsidRPr="00CA01D9">
        <w:rPr>
          <w:rFonts w:ascii="Arial" w:hAnsi="Arial" w:cs="Arial"/>
        </w:rPr>
        <w:t>的任何收益，其中此类收益可以合理预期从研究获得。</w:t>
      </w:r>
      <w:r w:rsidR="00575499">
        <w:rPr>
          <w:rStyle w:val="aa"/>
          <w:rFonts w:ascii="Arial" w:hAnsi="Arial" w:cs="Arial"/>
        </w:rPr>
        <w:footnoteReference w:id="30"/>
      </w:r>
      <w:r w:rsidR="00C420C7" w:rsidRPr="00CA01D9">
        <w:rPr>
          <w:rFonts w:ascii="Arial" w:hAnsi="Arial" w:cs="Arial"/>
        </w:rPr>
        <w:t>可能间接使受试者受益的他人收益包括</w:t>
      </w:r>
      <w:r w:rsidR="00940E41" w:rsidRPr="00CA01D9">
        <w:rPr>
          <w:rFonts w:ascii="Arial" w:hAnsi="Arial" w:cs="Arial"/>
        </w:rPr>
        <w:t>看护者</w:t>
      </w:r>
      <w:r w:rsidR="00C420C7" w:rsidRPr="00CA01D9">
        <w:rPr>
          <w:rFonts w:ascii="Arial" w:hAnsi="Arial" w:cs="Arial"/>
        </w:rPr>
        <w:t>或家庭成员和医疗专业人员的受益。</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hAnsi="Arial" w:cs="Arial"/>
          <w:sz w:val="24"/>
          <w:szCs w:val="24"/>
        </w:rPr>
        <w:br w:type="page"/>
      </w:r>
    </w:p>
    <w:p w:rsidR="00A3286A" w:rsidRPr="00CA01D9" w:rsidRDefault="007210C5" w:rsidP="00CA01D9">
      <w:pPr>
        <w:pStyle w:val="a3"/>
        <w:snapToGrid w:val="0"/>
        <w:spacing w:afterLines="100" w:after="240" w:line="300" w:lineRule="auto"/>
        <w:ind w:left="0"/>
        <w:jc w:val="both"/>
        <w:rPr>
          <w:rFonts w:ascii="Arial" w:hAnsi="Arial" w:cs="Arial"/>
        </w:rPr>
      </w:pPr>
      <w:bookmarkStart w:id="46" w:name="_bookmark46"/>
      <w:bookmarkStart w:id="47" w:name="Other_Factors_to_Consider_When_Assessing"/>
      <w:bookmarkEnd w:id="46"/>
      <w:bookmarkEnd w:id="47"/>
      <w:r w:rsidRPr="00CA01D9">
        <w:rPr>
          <w:rFonts w:ascii="Arial" w:hAnsi="Arial" w:cs="Arial"/>
        </w:rPr>
        <w:lastRenderedPageBreak/>
        <w:t>临床试验</w:t>
      </w:r>
      <w:r w:rsidR="00635917" w:rsidRPr="00CA01D9">
        <w:rPr>
          <w:rFonts w:ascii="Arial" w:hAnsi="Arial" w:cs="Arial"/>
        </w:rPr>
        <w:t>研究对他人的收益之一就是</w:t>
      </w:r>
      <w:r w:rsidR="00635917" w:rsidRPr="00CA01D9">
        <w:rPr>
          <w:rFonts w:ascii="Arial" w:hAnsi="Arial" w:cs="Arial"/>
        </w:rPr>
        <w:t>“</w:t>
      </w:r>
      <w:r w:rsidR="00635917" w:rsidRPr="00CA01D9">
        <w:rPr>
          <w:rFonts w:ascii="Arial" w:hAnsi="Arial" w:cs="Arial"/>
        </w:rPr>
        <w:t>可获得知识的重要性</w:t>
      </w:r>
      <w:r w:rsidR="00635917" w:rsidRPr="00CA01D9">
        <w:rPr>
          <w:rFonts w:ascii="Arial" w:hAnsi="Arial" w:cs="Arial"/>
        </w:rPr>
        <w:t>”</w:t>
      </w:r>
      <w:r w:rsidR="00635917" w:rsidRPr="00CA01D9">
        <w:rPr>
          <w:rFonts w:ascii="Arial" w:hAnsi="Arial" w:cs="Arial"/>
        </w:rPr>
        <w:t>。</w:t>
      </w:r>
      <w:r w:rsidR="00575499">
        <w:rPr>
          <w:rStyle w:val="aa"/>
          <w:rFonts w:ascii="Arial" w:hAnsi="Arial" w:cs="Arial"/>
        </w:rPr>
        <w:footnoteReference w:id="31"/>
      </w:r>
      <w:proofErr w:type="gramStart"/>
      <w:r w:rsidR="00635917" w:rsidRPr="00CA01D9">
        <w:rPr>
          <w:rFonts w:ascii="Arial" w:hAnsi="Arial" w:cs="Arial"/>
        </w:rPr>
        <w:t>此收益</w:t>
      </w:r>
      <w:proofErr w:type="gramEnd"/>
      <w:r w:rsidR="00635917" w:rsidRPr="00CA01D9">
        <w:rPr>
          <w:rFonts w:ascii="Arial" w:hAnsi="Arial" w:cs="Arial"/>
        </w:rPr>
        <w:t>并不属于受试者的直接收益，但由于其可促进对疾病病症和潜在治疗或诊断应用的理解，应视为社会收益。</w:t>
      </w:r>
      <w:proofErr w:type="gramStart"/>
      <w:r w:rsidR="00635917" w:rsidRPr="00CA01D9">
        <w:rPr>
          <w:rFonts w:ascii="Arial" w:hAnsi="Arial" w:cs="Arial"/>
        </w:rPr>
        <w:t>此收益</w:t>
      </w:r>
      <w:proofErr w:type="gramEnd"/>
      <w:r w:rsidR="00635917" w:rsidRPr="00CA01D9">
        <w:rPr>
          <w:rFonts w:ascii="Arial" w:hAnsi="Arial" w:cs="Arial"/>
        </w:rPr>
        <w:t>为研究所特有，不适用于上市申请。在参与研究的收益和风险方面，</w:t>
      </w:r>
      <w:r w:rsidR="00635917" w:rsidRPr="00CA01D9">
        <w:rPr>
          <w:rFonts w:ascii="Arial" w:hAnsi="Arial" w:cs="Arial"/>
        </w:rPr>
        <w:t>IDE</w:t>
      </w:r>
      <w:r w:rsidR="00635917" w:rsidRPr="00CA01D9">
        <w:rPr>
          <w:rFonts w:ascii="Arial" w:hAnsi="Arial" w:cs="Arial"/>
        </w:rPr>
        <w:t>提交材料中通常存在较大程度的不确定性，应该考虑到</w:t>
      </w:r>
      <w:r w:rsidR="00C420C7" w:rsidRPr="00CA01D9">
        <w:rPr>
          <w:rFonts w:ascii="Arial" w:hAnsi="Arial" w:cs="Arial"/>
        </w:rPr>
        <w:t>研究受试者</w:t>
      </w:r>
      <w:r w:rsidR="00635917" w:rsidRPr="00CA01D9">
        <w:rPr>
          <w:rFonts w:ascii="Arial" w:hAnsi="Arial" w:cs="Arial"/>
        </w:rPr>
        <w:t>可能无法因参与研究而直接受益。但是，由于存在间接收益（例如从研究获得的知识或可能有助于开发治疗方法的信息），受试者可能仍然愿意参与。在这方面，设计良好的研究可能会提供更大的收益，因为其产生的知识可以用于确定器械使用是否安全，使得患者可以尽早获得高质量、安全和有效的器械。</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在针对可获得知识的重要性评估</w:t>
      </w:r>
      <w:r w:rsidRPr="00CA01D9">
        <w:rPr>
          <w:rFonts w:ascii="Arial" w:hAnsi="Arial" w:cs="Arial"/>
        </w:rPr>
        <w:t>IDE</w:t>
      </w:r>
      <w:r w:rsidRPr="00CA01D9">
        <w:rPr>
          <w:rFonts w:ascii="Arial" w:hAnsi="Arial" w:cs="Arial"/>
        </w:rPr>
        <w:t>研究时，需重点考虑研究是否可以产生关于研究疾病或病症的可推广知识。如果临床研究可能产生关于受试者疾病或病症的可推广知识，但其具有较大风险且可能不会给个体受试者带来直接收益，则在将儿童纳入临床研究前，可能需要实施额外的保障措施，如</w:t>
      </w:r>
      <w:r w:rsidRPr="00CA01D9">
        <w:rPr>
          <w:rFonts w:ascii="Arial" w:hAnsi="Arial" w:cs="Arial"/>
        </w:rPr>
        <w:t>21 CFR50.53</w:t>
      </w:r>
      <w:r w:rsidRPr="00CA01D9">
        <w:rPr>
          <w:rFonts w:ascii="Arial" w:hAnsi="Arial" w:cs="Arial"/>
        </w:rPr>
        <w:t>所述。</w:t>
      </w:r>
    </w:p>
    <w:p w:rsidR="00A3286A" w:rsidRPr="00CA01D9" w:rsidRDefault="00635917" w:rsidP="00B82788">
      <w:pPr>
        <w:pStyle w:val="2"/>
        <w:numPr>
          <w:ilvl w:val="0"/>
          <w:numId w:val="11"/>
        </w:numPr>
        <w:tabs>
          <w:tab w:val="left" w:pos="840"/>
        </w:tabs>
        <w:snapToGrid w:val="0"/>
        <w:spacing w:afterLines="100" w:after="240" w:line="300" w:lineRule="auto"/>
        <w:ind w:left="720"/>
        <w:jc w:val="both"/>
        <w:rPr>
          <w:rFonts w:ascii="Arial" w:hAnsi="Arial" w:cs="Arial"/>
          <w:b w:val="0"/>
          <w:bCs w:val="0"/>
          <w:i w:val="0"/>
        </w:rPr>
      </w:pPr>
      <w:bookmarkStart w:id="48" w:name="_bookmark45"/>
      <w:bookmarkStart w:id="49" w:name="_Toc498621509"/>
      <w:bookmarkEnd w:id="48"/>
      <w:r w:rsidRPr="00CA01D9">
        <w:rPr>
          <w:rFonts w:ascii="Arial" w:hAnsi="Arial" w:cs="Arial"/>
        </w:rPr>
        <w:t>评估</w:t>
      </w:r>
      <w:r w:rsidRPr="00CA01D9">
        <w:rPr>
          <w:rFonts w:ascii="Arial" w:hAnsi="Arial" w:cs="Arial"/>
        </w:rPr>
        <w:t>IDE</w:t>
      </w:r>
      <w:r w:rsidRPr="00CA01D9">
        <w:rPr>
          <w:rFonts w:ascii="Arial" w:hAnsi="Arial" w:cs="Arial"/>
        </w:rPr>
        <w:t>申请的收益</w:t>
      </w:r>
      <w:r w:rsidRPr="00CA01D9">
        <w:rPr>
          <w:rFonts w:ascii="Arial" w:hAnsi="Arial" w:cs="Arial"/>
        </w:rPr>
        <w:t>-</w:t>
      </w:r>
      <w:r w:rsidRPr="00CA01D9">
        <w:rPr>
          <w:rFonts w:ascii="Arial" w:hAnsi="Arial" w:cs="Arial"/>
        </w:rPr>
        <w:t>风险时要考虑的其他因素</w:t>
      </w:r>
      <w:bookmarkEnd w:id="49"/>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评估</w:t>
      </w:r>
      <w:r w:rsidRPr="00CA01D9">
        <w:rPr>
          <w:rFonts w:ascii="Arial" w:hAnsi="Arial" w:cs="Arial"/>
        </w:rPr>
        <w:t>IDE</w:t>
      </w:r>
      <w:r w:rsidRPr="00CA01D9">
        <w:rPr>
          <w:rFonts w:ascii="Arial" w:hAnsi="Arial" w:cs="Arial"/>
        </w:rPr>
        <w:t>研究的收益和风险时应考虑知识和可用证据的不确定性，提出研究的背景设置（包括所治疗或诊断的疾病或病症表征），和替代方法的可用性以及与之相关的风险。如果可用，表征受试者风险承受能力及其对收益的看法的信息可能会</w:t>
      </w:r>
      <w:proofErr w:type="gramStart"/>
      <w:r w:rsidRPr="00CA01D9">
        <w:rPr>
          <w:rFonts w:ascii="Arial" w:hAnsi="Arial" w:cs="Arial"/>
        </w:rPr>
        <w:t>促进此</w:t>
      </w:r>
      <w:proofErr w:type="gramEnd"/>
      <w:r w:rsidRPr="00CA01D9">
        <w:rPr>
          <w:rFonts w:ascii="Arial" w:hAnsi="Arial" w:cs="Arial"/>
        </w:rPr>
        <w:t>评估。此类信息可以从各种来源获得，包括文献和</w:t>
      </w:r>
      <w:r w:rsidRPr="00CA01D9">
        <w:rPr>
          <w:rFonts w:ascii="Arial" w:hAnsi="Arial" w:cs="Arial"/>
        </w:rPr>
        <w:t>/</w:t>
      </w:r>
      <w:r w:rsidRPr="00CA01D9">
        <w:rPr>
          <w:rFonts w:ascii="Arial" w:hAnsi="Arial" w:cs="Arial"/>
        </w:rPr>
        <w:t>或患者报告结局工具。</w:t>
      </w:r>
    </w:p>
    <w:p w:rsidR="00A3286A" w:rsidRPr="00CA01D9" w:rsidRDefault="00635917" w:rsidP="00066549">
      <w:pPr>
        <w:pStyle w:val="a4"/>
        <w:numPr>
          <w:ilvl w:val="1"/>
          <w:numId w:val="11"/>
        </w:numPr>
        <w:tabs>
          <w:tab w:val="left" w:pos="880"/>
        </w:tabs>
        <w:snapToGrid w:val="0"/>
        <w:spacing w:afterLines="100" w:after="240" w:line="300" w:lineRule="auto"/>
        <w:ind w:leftChars="200" w:left="440" w:firstLine="0"/>
        <w:jc w:val="both"/>
        <w:rPr>
          <w:rFonts w:ascii="Arial" w:eastAsia="宋体" w:hAnsi="Arial" w:cs="Arial"/>
          <w:sz w:val="24"/>
          <w:szCs w:val="24"/>
        </w:rPr>
      </w:pPr>
      <w:r w:rsidRPr="00066549">
        <w:rPr>
          <w:rFonts w:ascii="Arial" w:eastAsia="宋体" w:hAnsi="Arial" w:cs="Arial"/>
          <w:b/>
          <w:sz w:val="24"/>
          <w:szCs w:val="24"/>
        </w:rPr>
        <w:t>疾病</w:t>
      </w:r>
      <w:r w:rsidRPr="00CA01D9">
        <w:rPr>
          <w:rFonts w:ascii="Arial" w:eastAsia="宋体" w:hAnsi="Arial" w:cs="Arial"/>
          <w:b/>
          <w:bCs/>
          <w:sz w:val="24"/>
          <w:szCs w:val="24"/>
        </w:rPr>
        <w:t>表征：</w:t>
      </w:r>
      <w:r w:rsidRPr="00CA01D9">
        <w:rPr>
          <w:rFonts w:ascii="Arial" w:eastAsia="宋体" w:hAnsi="Arial" w:cs="Arial"/>
          <w:sz w:val="24"/>
          <w:szCs w:val="24"/>
        </w:rPr>
        <w:t>所治疗或诊断的病症，其临床表现和严重程度（例如临时或永久性功能丧失），其如何影响患有此类疾病的受试者，如何以及是否治疗所诊断的病症，以及病症的自然病史和进展（即，对于受试者来说其已逐步改善还是进一步恶化以及预期改善或额外速度是多少）等因素是</w:t>
      </w:r>
      <w:r w:rsidRPr="00CA01D9">
        <w:rPr>
          <w:rFonts w:ascii="Arial" w:eastAsia="宋体" w:hAnsi="Arial" w:cs="Arial"/>
          <w:sz w:val="24"/>
          <w:szCs w:val="24"/>
        </w:rPr>
        <w:t>FDA</w:t>
      </w:r>
      <w:r w:rsidRPr="00CA01D9">
        <w:rPr>
          <w:rFonts w:ascii="Arial" w:eastAsia="宋体" w:hAnsi="Arial" w:cs="Arial"/>
          <w:sz w:val="24"/>
          <w:szCs w:val="24"/>
        </w:rPr>
        <w:t>将在表征疾病和评估收益和风险时考虑的重要因素。例如，如果病症在自然疾病过程中的症状较为严重，则可选择的治疗方法将相对较少且效果相对较差，此外，响应当前治疗方法以及在研究中承受更大风险（与患者偏好一致）的可能性也较低。</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FE2478">
      <w:pPr>
        <w:pStyle w:val="a4"/>
        <w:numPr>
          <w:ilvl w:val="1"/>
          <w:numId w:val="11"/>
        </w:numPr>
        <w:tabs>
          <w:tab w:val="left" w:pos="880"/>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b/>
          <w:sz w:val="24"/>
          <w:szCs w:val="24"/>
        </w:rPr>
        <w:lastRenderedPageBreak/>
        <w:t>替代方法的可用性：</w:t>
      </w:r>
      <w:r w:rsidRPr="00CA01D9">
        <w:rPr>
          <w:rFonts w:ascii="Arial" w:eastAsia="宋体" w:hAnsi="Arial" w:cs="Arial"/>
          <w:sz w:val="24"/>
          <w:szCs w:val="24"/>
        </w:rPr>
        <w:t>在表征替代方法的可用性时，</w:t>
      </w:r>
      <w:r w:rsidRPr="00CA01D9">
        <w:rPr>
          <w:rFonts w:ascii="Arial" w:eastAsia="宋体" w:hAnsi="Arial" w:cs="Arial"/>
          <w:sz w:val="24"/>
          <w:szCs w:val="24"/>
        </w:rPr>
        <w:t>FDA</w:t>
      </w:r>
      <w:r w:rsidRPr="00CA01D9">
        <w:rPr>
          <w:rFonts w:ascii="Arial" w:eastAsia="宋体" w:hAnsi="Arial" w:cs="Arial"/>
          <w:sz w:val="24"/>
          <w:szCs w:val="24"/>
        </w:rPr>
        <w:t>将考虑的重要因素是治疗（或诊断）选项，治疗策略（如果适用，如慢性疾病）以及替代方法的安全性和有效性（包括不良事件的可能性）。如果存在替代疗法（或诊断选项），可有效用于受试者人群，且其造成的不良事件相对较少，则受试者在参与研究后可能无法承受更高程度的风险。无需对照技术最先进的替代方法进行评估，而应对照用于特定疾病或病症的常用治疗方法进行此类评估。</w:t>
      </w:r>
    </w:p>
    <w:p w:rsidR="00A3286A" w:rsidRPr="00CA01D9" w:rsidRDefault="00635917" w:rsidP="00FE2478">
      <w:pPr>
        <w:pStyle w:val="a4"/>
        <w:numPr>
          <w:ilvl w:val="1"/>
          <w:numId w:val="11"/>
        </w:numPr>
        <w:tabs>
          <w:tab w:val="left" w:pos="880"/>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b/>
          <w:sz w:val="24"/>
          <w:szCs w:val="24"/>
        </w:rPr>
        <w:t>受试者的风险承受能力及其对收益的开发：</w:t>
      </w:r>
      <w:r w:rsidRPr="00CA01D9">
        <w:rPr>
          <w:rFonts w:ascii="Arial" w:eastAsia="宋体" w:hAnsi="Arial" w:cs="Arial"/>
          <w:sz w:val="24"/>
          <w:szCs w:val="24"/>
        </w:rPr>
        <w:t>受试者的风险承受能力各不相同，这将影响个体受试者的研究参与决定。在评价收益和风险时，</w:t>
      </w:r>
      <w:r w:rsidRPr="00CA01D9">
        <w:rPr>
          <w:rFonts w:ascii="Arial" w:eastAsia="宋体" w:hAnsi="Arial" w:cs="Arial"/>
          <w:sz w:val="24"/>
          <w:szCs w:val="24"/>
        </w:rPr>
        <w:t>FDA</w:t>
      </w:r>
      <w:r w:rsidRPr="00CA01D9">
        <w:rPr>
          <w:rFonts w:ascii="Arial" w:eastAsia="宋体" w:hAnsi="Arial" w:cs="Arial"/>
          <w:sz w:val="24"/>
          <w:szCs w:val="24"/>
        </w:rPr>
        <w:t>认识到，风险承受能力和受试者对风险的评估可以解释个体愿意承受高风险以获得预期收益的原因，特别是在此类收益可改善生活质量或获得知识可产生社会收益时。此外，应进行全面的知情同意过程，确保除其他信息外，已向潜在受试者告知参与研究的风险和收益，并确保其在考虑其他因素（包括潜在收益）后接受参与研究的风险。</w:t>
      </w:r>
    </w:p>
    <w:p w:rsidR="00A3286A" w:rsidRPr="00CA01D9" w:rsidRDefault="00635917" w:rsidP="00FE2478">
      <w:pPr>
        <w:pStyle w:val="a4"/>
        <w:numPr>
          <w:ilvl w:val="1"/>
          <w:numId w:val="11"/>
        </w:numPr>
        <w:tabs>
          <w:tab w:val="left" w:pos="880"/>
        </w:tabs>
        <w:snapToGrid w:val="0"/>
        <w:spacing w:afterLines="100" w:after="240" w:line="300" w:lineRule="auto"/>
        <w:ind w:leftChars="200" w:left="440" w:firstLine="0"/>
        <w:jc w:val="both"/>
        <w:rPr>
          <w:rFonts w:ascii="Arial" w:eastAsia="宋体" w:hAnsi="Arial" w:cs="Arial"/>
          <w:sz w:val="24"/>
          <w:szCs w:val="24"/>
        </w:rPr>
      </w:pPr>
      <w:r w:rsidRPr="00FE2478">
        <w:rPr>
          <w:rFonts w:ascii="Arial" w:eastAsia="宋体" w:hAnsi="Arial" w:cs="Arial"/>
          <w:b/>
          <w:bCs/>
          <w:sz w:val="24"/>
          <w:szCs w:val="24"/>
        </w:rPr>
        <w:t>不确定性</w:t>
      </w:r>
      <w:r w:rsidRPr="00CA01D9">
        <w:rPr>
          <w:rFonts w:ascii="Arial" w:eastAsia="宋体" w:hAnsi="Arial" w:cs="Arial"/>
          <w:b/>
          <w:sz w:val="24"/>
          <w:szCs w:val="24"/>
        </w:rPr>
        <w:t>：</w:t>
      </w:r>
      <w:r w:rsidRPr="00CA01D9">
        <w:rPr>
          <w:rFonts w:ascii="Arial" w:eastAsia="宋体" w:hAnsi="Arial" w:cs="Arial"/>
          <w:sz w:val="24"/>
          <w:szCs w:val="24"/>
        </w:rPr>
        <w:t>在开始临床研究之前权衡收益和风险时，总是存在一些不确定性。但是，在评估</w:t>
      </w:r>
      <w:r w:rsidRPr="00CA01D9">
        <w:rPr>
          <w:rFonts w:ascii="Arial" w:eastAsia="宋体" w:hAnsi="Arial" w:cs="Arial"/>
          <w:sz w:val="24"/>
          <w:szCs w:val="24"/>
        </w:rPr>
        <w:t>IDE</w:t>
      </w:r>
      <w:r w:rsidRPr="00CA01D9">
        <w:rPr>
          <w:rFonts w:ascii="Arial" w:eastAsia="宋体" w:hAnsi="Arial" w:cs="Arial"/>
          <w:sz w:val="24"/>
          <w:szCs w:val="24"/>
        </w:rPr>
        <w:t>事情的收益</w:t>
      </w:r>
      <w:r w:rsidRPr="00CA01D9">
        <w:rPr>
          <w:rFonts w:ascii="Arial" w:eastAsia="宋体" w:hAnsi="Arial" w:cs="Arial"/>
          <w:sz w:val="24"/>
          <w:szCs w:val="24"/>
        </w:rPr>
        <w:t>-</w:t>
      </w:r>
      <w:r w:rsidRPr="00CA01D9">
        <w:rPr>
          <w:rFonts w:ascii="Arial" w:eastAsia="宋体" w:hAnsi="Arial" w:cs="Arial"/>
          <w:sz w:val="24"/>
          <w:szCs w:val="24"/>
        </w:rPr>
        <w:t>风险时，</w:t>
      </w:r>
      <w:r w:rsidRPr="00CA01D9">
        <w:rPr>
          <w:rFonts w:ascii="Arial" w:eastAsia="宋体" w:hAnsi="Arial" w:cs="Arial"/>
          <w:sz w:val="24"/>
          <w:szCs w:val="24"/>
        </w:rPr>
        <w:t>FDA</w:t>
      </w:r>
      <w:r w:rsidRPr="00CA01D9">
        <w:rPr>
          <w:rFonts w:ascii="Arial" w:eastAsia="宋体" w:hAnsi="Arial" w:cs="Arial"/>
          <w:sz w:val="24"/>
          <w:szCs w:val="24"/>
        </w:rPr>
        <w:t>也会考虑确定性程度。</w:t>
      </w:r>
    </w:p>
    <w:p w:rsidR="00A3286A" w:rsidRPr="00CA01D9" w:rsidRDefault="00635917" w:rsidP="00165B66">
      <w:pPr>
        <w:pStyle w:val="a4"/>
        <w:numPr>
          <w:ilvl w:val="0"/>
          <w:numId w:val="5"/>
        </w:numPr>
        <w:tabs>
          <w:tab w:val="left" w:pos="1199"/>
          <w:tab w:val="left" w:pos="1200"/>
        </w:tabs>
        <w:snapToGrid w:val="0"/>
        <w:spacing w:afterLines="100" w:after="240" w:line="300" w:lineRule="auto"/>
        <w:ind w:leftChars="300" w:left="1017" w:hanging="357"/>
        <w:jc w:val="both"/>
        <w:rPr>
          <w:rFonts w:ascii="Arial" w:eastAsia="宋体" w:hAnsi="Arial" w:cs="Arial"/>
          <w:sz w:val="24"/>
          <w:szCs w:val="24"/>
        </w:rPr>
      </w:pPr>
      <w:r w:rsidRPr="00165B66">
        <w:rPr>
          <w:rFonts w:ascii="Arial" w:eastAsia="宋体" w:hAnsi="Arial" w:cs="Arial"/>
          <w:b/>
          <w:sz w:val="24"/>
          <w:szCs w:val="24"/>
        </w:rPr>
        <w:t>先前非临床和临床研究的质量：</w:t>
      </w:r>
      <w:r w:rsidRPr="00CA01D9">
        <w:rPr>
          <w:rFonts w:ascii="Arial" w:eastAsia="宋体" w:hAnsi="Arial" w:cs="Arial"/>
          <w:sz w:val="24"/>
          <w:szCs w:val="24"/>
        </w:rPr>
        <w:t>组织良好的先前非临床和临床研究可以帮助减少不确定性，特别是与既定潜在危害相关的不确定性。但是，研究设计或行为不良或对先前研究数据的分析不足可能会是数据不确定或难以解释。</w:t>
      </w:r>
    </w:p>
    <w:p w:rsidR="00A3286A" w:rsidRPr="00CA01D9" w:rsidRDefault="00635917" w:rsidP="00165B66">
      <w:pPr>
        <w:pStyle w:val="a4"/>
        <w:numPr>
          <w:ilvl w:val="0"/>
          <w:numId w:val="5"/>
        </w:numPr>
        <w:tabs>
          <w:tab w:val="left" w:pos="1199"/>
          <w:tab w:val="left" w:pos="1200"/>
        </w:tabs>
        <w:snapToGrid w:val="0"/>
        <w:spacing w:afterLines="100" w:after="240" w:line="300" w:lineRule="auto"/>
        <w:ind w:leftChars="300" w:left="1017" w:hanging="357"/>
        <w:rPr>
          <w:rFonts w:ascii="Arial" w:eastAsia="宋体" w:hAnsi="Arial" w:cs="Arial"/>
          <w:sz w:val="24"/>
          <w:szCs w:val="24"/>
        </w:rPr>
      </w:pPr>
      <w:r w:rsidRPr="00CA01D9">
        <w:rPr>
          <w:rFonts w:ascii="Arial" w:eastAsia="宋体" w:hAnsi="Arial" w:cs="Arial"/>
          <w:b/>
          <w:sz w:val="24"/>
          <w:szCs w:val="24"/>
        </w:rPr>
        <w:t>先前研究证据的预测能力：</w:t>
      </w:r>
      <w:r w:rsidR="00165B66">
        <w:rPr>
          <w:rStyle w:val="aa"/>
          <w:rFonts w:ascii="Arial" w:eastAsia="宋体" w:hAnsi="Arial" w:cs="Arial"/>
          <w:b/>
          <w:sz w:val="24"/>
          <w:szCs w:val="24"/>
        </w:rPr>
        <w:footnoteReference w:id="32"/>
      </w:r>
      <w:r w:rsidRPr="00CA01D9">
        <w:rPr>
          <w:rFonts w:ascii="Arial" w:eastAsia="宋体" w:hAnsi="Arial" w:cs="Arial"/>
          <w:sz w:val="24"/>
          <w:szCs w:val="24"/>
        </w:rPr>
        <w:t>与早期结果对预期研究和用户人群的可推广性一样，非临床试验和先前临床经验预测拟定研究中临床性能的能力也是一个重要的考虑因素。这应包括从申办方申办以及非申办方申办的其他研究中收集的，适用于当前研究设计的简介，其中包括国际同行评审研究。例如，如果器械需要全面的用户培训或专业化，则应设计临床研究来解决此问题，以使风险缓解措施适当。必须区分纯粹假设风险、实际危害和受试者损害的可能性。</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165B66">
      <w:pPr>
        <w:pStyle w:val="a4"/>
        <w:numPr>
          <w:ilvl w:val="0"/>
          <w:numId w:val="5"/>
        </w:numPr>
        <w:tabs>
          <w:tab w:val="left" w:pos="1199"/>
          <w:tab w:val="left" w:pos="1200"/>
        </w:tabs>
        <w:snapToGrid w:val="0"/>
        <w:spacing w:afterLines="100" w:after="240" w:line="300" w:lineRule="auto"/>
        <w:ind w:leftChars="300" w:left="1017" w:hanging="357"/>
        <w:rPr>
          <w:rFonts w:ascii="Arial" w:eastAsia="宋体" w:hAnsi="Arial" w:cs="Arial"/>
          <w:sz w:val="24"/>
          <w:szCs w:val="24"/>
        </w:rPr>
      </w:pPr>
      <w:bookmarkStart w:id="50" w:name="Overall_IDE_Benefit_Risk_Determination"/>
      <w:bookmarkEnd w:id="50"/>
      <w:r w:rsidRPr="00CA01D9">
        <w:rPr>
          <w:rFonts w:ascii="Arial" w:eastAsia="宋体" w:hAnsi="Arial" w:cs="Arial"/>
          <w:b/>
          <w:sz w:val="24"/>
          <w:szCs w:val="24"/>
        </w:rPr>
        <w:lastRenderedPageBreak/>
        <w:t>不同开发阶段的不同不确定性考虑因素</w:t>
      </w:r>
      <w:r w:rsidRPr="00CA01D9">
        <w:rPr>
          <w:rFonts w:ascii="Arial" w:eastAsia="宋体" w:hAnsi="Arial" w:cs="Arial"/>
          <w:sz w:val="24"/>
          <w:szCs w:val="24"/>
        </w:rPr>
        <w:t>：在不同研究阶段可能会出现不同的不确定性问题。在早期器械开发阶段，不确定性水平预期较高，但可以接受。一般来说，虽然各研究和开发阶段的不确定性类型（</w:t>
      </w:r>
      <w:r w:rsidR="00C420C7" w:rsidRPr="00CA01D9">
        <w:rPr>
          <w:rFonts w:ascii="Arial" w:eastAsia="宋体" w:hAnsi="Arial" w:cs="Arial"/>
          <w:sz w:val="24"/>
          <w:szCs w:val="24"/>
        </w:rPr>
        <w:t>需</w:t>
      </w:r>
      <w:r w:rsidRPr="00CA01D9">
        <w:rPr>
          <w:rFonts w:ascii="Arial" w:eastAsia="宋体" w:hAnsi="Arial" w:cs="Arial"/>
          <w:sz w:val="24"/>
          <w:szCs w:val="24"/>
        </w:rPr>
        <w:t>回答的问题）各不相同，但随着在整个设备开发和探索中收集的数据增加，风险和收益的整体不确定性程度将会下降。</w:t>
      </w:r>
    </w:p>
    <w:p w:rsidR="00A3286A" w:rsidRPr="00CA01D9" w:rsidRDefault="00635917" w:rsidP="00165B66">
      <w:pPr>
        <w:pStyle w:val="a4"/>
        <w:numPr>
          <w:ilvl w:val="1"/>
          <w:numId w:val="11"/>
        </w:numPr>
        <w:tabs>
          <w:tab w:val="left" w:pos="880"/>
        </w:tabs>
        <w:snapToGrid w:val="0"/>
        <w:spacing w:afterLines="100" w:after="240" w:line="300" w:lineRule="auto"/>
        <w:ind w:leftChars="200" w:left="440" w:firstLine="0"/>
        <w:jc w:val="both"/>
        <w:rPr>
          <w:rFonts w:ascii="Arial" w:eastAsia="宋体" w:hAnsi="Arial" w:cs="Arial"/>
          <w:sz w:val="24"/>
          <w:szCs w:val="24"/>
        </w:rPr>
      </w:pPr>
      <w:r w:rsidRPr="00CA01D9">
        <w:rPr>
          <w:rFonts w:ascii="Arial" w:eastAsia="宋体" w:hAnsi="Arial" w:cs="Arial"/>
          <w:b/>
          <w:sz w:val="24"/>
          <w:szCs w:val="24"/>
        </w:rPr>
        <w:t>最小负担研究设计：</w:t>
      </w:r>
      <w:r w:rsidRPr="00CA01D9">
        <w:rPr>
          <w:rFonts w:ascii="Arial" w:eastAsia="宋体" w:hAnsi="Arial" w:cs="Arial"/>
          <w:sz w:val="24"/>
          <w:szCs w:val="24"/>
        </w:rPr>
        <w:t>在考虑研究设计的要素时，如需结合附加要素，则通常应权衡实施研究的时间、成本和实际性，因为此类因素可能会影响临床试验启动的其他方面，如</w:t>
      </w:r>
      <w:r w:rsidRPr="00CA01D9">
        <w:rPr>
          <w:rFonts w:ascii="Arial" w:eastAsia="宋体" w:hAnsi="Arial" w:cs="Arial"/>
          <w:sz w:val="24"/>
          <w:szCs w:val="24"/>
        </w:rPr>
        <w:t>IRB</w:t>
      </w:r>
      <w:r w:rsidRPr="00CA01D9">
        <w:rPr>
          <w:rFonts w:ascii="Arial" w:eastAsia="宋体" w:hAnsi="Arial" w:cs="Arial"/>
          <w:sz w:val="24"/>
          <w:szCs w:val="24"/>
        </w:rPr>
        <w:t>批准和受试者招募的可行性。虽然</w:t>
      </w:r>
      <w:r w:rsidRPr="00CA01D9">
        <w:rPr>
          <w:rFonts w:ascii="Arial" w:eastAsia="宋体" w:hAnsi="Arial" w:cs="Arial"/>
          <w:sz w:val="24"/>
          <w:szCs w:val="24"/>
        </w:rPr>
        <w:t>FDA</w:t>
      </w:r>
      <w:r w:rsidRPr="00CA01D9">
        <w:rPr>
          <w:rFonts w:ascii="Arial" w:eastAsia="宋体" w:hAnsi="Arial" w:cs="Arial"/>
          <w:sz w:val="24"/>
          <w:szCs w:val="24"/>
        </w:rPr>
        <w:t>在决定是否批准</w:t>
      </w:r>
      <w:r w:rsidRPr="00CA01D9">
        <w:rPr>
          <w:rFonts w:ascii="Arial" w:eastAsia="宋体" w:hAnsi="Arial" w:cs="Arial"/>
          <w:sz w:val="24"/>
          <w:szCs w:val="24"/>
        </w:rPr>
        <w:t>IDE</w:t>
      </w:r>
      <w:r w:rsidRPr="00CA01D9">
        <w:rPr>
          <w:rFonts w:ascii="Arial" w:eastAsia="宋体" w:hAnsi="Arial" w:cs="Arial"/>
          <w:sz w:val="24"/>
          <w:szCs w:val="24"/>
        </w:rPr>
        <w:t>申请时通常不会考虑到申办方的成本，但应考虑研究设计要素对试用启动，</w:t>
      </w:r>
      <w:r w:rsidRPr="00CA01D9">
        <w:rPr>
          <w:rFonts w:ascii="Arial" w:eastAsia="宋体" w:hAnsi="Arial" w:cs="Arial"/>
          <w:sz w:val="24"/>
          <w:szCs w:val="24"/>
        </w:rPr>
        <w:t>IRB</w:t>
      </w:r>
      <w:r w:rsidRPr="00CA01D9">
        <w:rPr>
          <w:rFonts w:ascii="Arial" w:eastAsia="宋体" w:hAnsi="Arial" w:cs="Arial"/>
          <w:sz w:val="24"/>
          <w:szCs w:val="24"/>
        </w:rPr>
        <w:t>可批准性和受试者招募的可行性的潜在影响。例如，虽然可能需要实施附加诊断程序来筛选可能不太可能受益于研究的潜在受试者，但如果诊断程序本身对于受试者或研究者来说过于耗时，昂贵或带来过多负担，使得其无法参与研究，</w:t>
      </w:r>
      <w:r w:rsidRPr="00CA01D9">
        <w:rPr>
          <w:rFonts w:ascii="Arial" w:eastAsia="宋体" w:hAnsi="Arial" w:cs="Arial"/>
          <w:sz w:val="24"/>
          <w:szCs w:val="24"/>
        </w:rPr>
        <w:t>FDA</w:t>
      </w:r>
      <w:r w:rsidRPr="00CA01D9">
        <w:rPr>
          <w:rFonts w:ascii="Arial" w:eastAsia="宋体" w:hAnsi="Arial" w:cs="Arial"/>
          <w:sz w:val="24"/>
          <w:szCs w:val="24"/>
        </w:rPr>
        <w:t>将在决策中考虑此类挑战。</w:t>
      </w:r>
    </w:p>
    <w:p w:rsidR="00A3286A" w:rsidRPr="00CA01D9" w:rsidRDefault="00635917" w:rsidP="004B12D5">
      <w:pPr>
        <w:pStyle w:val="2"/>
        <w:numPr>
          <w:ilvl w:val="0"/>
          <w:numId w:val="11"/>
        </w:numPr>
        <w:tabs>
          <w:tab w:val="left" w:pos="840"/>
        </w:tabs>
        <w:snapToGrid w:val="0"/>
        <w:spacing w:afterLines="100" w:after="240" w:line="300" w:lineRule="auto"/>
        <w:ind w:left="720"/>
        <w:jc w:val="both"/>
        <w:rPr>
          <w:rFonts w:ascii="Arial" w:hAnsi="Arial" w:cs="Arial"/>
          <w:b w:val="0"/>
          <w:bCs w:val="0"/>
          <w:i w:val="0"/>
        </w:rPr>
      </w:pPr>
      <w:bookmarkStart w:id="51" w:name="_bookmark48"/>
      <w:bookmarkStart w:id="52" w:name="_Toc498621510"/>
      <w:bookmarkEnd w:id="51"/>
      <w:r w:rsidRPr="00CA01D9">
        <w:rPr>
          <w:rFonts w:ascii="Arial" w:hAnsi="Arial" w:cs="Arial"/>
        </w:rPr>
        <w:t>整体</w:t>
      </w:r>
      <w:r w:rsidRPr="00CA01D9">
        <w:rPr>
          <w:rFonts w:ascii="Arial" w:hAnsi="Arial" w:cs="Arial"/>
        </w:rPr>
        <w:t>IDE</w:t>
      </w:r>
      <w:r w:rsidRPr="00CA01D9">
        <w:rPr>
          <w:rFonts w:ascii="Arial" w:hAnsi="Arial" w:cs="Arial"/>
        </w:rPr>
        <w:t>收益风险测定</w:t>
      </w:r>
      <w:bookmarkEnd w:id="52"/>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根据适用法律和法规，如果除其他原因外，</w:t>
      </w:r>
      <w:r w:rsidRPr="00CA01D9">
        <w:rPr>
          <w:rFonts w:ascii="Arial" w:hAnsi="Arial" w:cs="Arial"/>
        </w:rPr>
        <w:t>FDA</w:t>
      </w:r>
      <w:r w:rsidRPr="00CA01D9">
        <w:rPr>
          <w:rFonts w:ascii="Arial" w:hAnsi="Arial" w:cs="Arial"/>
        </w:rPr>
        <w:t>有理由</w:t>
      </w:r>
      <w:r w:rsidR="009D40D7" w:rsidRPr="00CA01D9">
        <w:rPr>
          <w:rFonts w:ascii="Arial" w:hAnsi="Arial" w:cs="Arial"/>
        </w:rPr>
        <w:t>认为</w:t>
      </w:r>
      <w:r w:rsidRPr="00CA01D9">
        <w:rPr>
          <w:rFonts w:ascii="Arial" w:hAnsi="Arial" w:cs="Arial"/>
        </w:rPr>
        <w:t>受试者的预期收益和</w:t>
      </w:r>
      <w:proofErr w:type="gramStart"/>
      <w:r w:rsidRPr="00CA01D9">
        <w:rPr>
          <w:rFonts w:ascii="Arial" w:hAnsi="Arial" w:cs="Arial"/>
        </w:rPr>
        <w:t>可</w:t>
      </w:r>
      <w:proofErr w:type="gramEnd"/>
      <w:r w:rsidRPr="00CA01D9">
        <w:rPr>
          <w:rFonts w:ascii="Arial" w:hAnsi="Arial" w:cs="Arial"/>
        </w:rPr>
        <w:t>获得知识的重要性未超过受试者的风险，</w:t>
      </w:r>
      <w:r w:rsidRPr="00CA01D9">
        <w:rPr>
          <w:rFonts w:ascii="Arial" w:hAnsi="Arial" w:cs="Arial"/>
        </w:rPr>
        <w:t>FDA</w:t>
      </w:r>
      <w:r w:rsidRPr="00CA01D9">
        <w:rPr>
          <w:rFonts w:ascii="Arial" w:hAnsi="Arial" w:cs="Arial"/>
        </w:rPr>
        <w:t>可以驳回</w:t>
      </w:r>
      <w:r w:rsidRPr="00CA01D9">
        <w:rPr>
          <w:rFonts w:ascii="Arial" w:hAnsi="Arial" w:cs="Arial"/>
        </w:rPr>
        <w:t>IDE</w:t>
      </w:r>
      <w:r w:rsidRPr="00CA01D9">
        <w:rPr>
          <w:rFonts w:ascii="Arial" w:hAnsi="Arial" w:cs="Arial"/>
        </w:rPr>
        <w:t>申请。在许多情况下，本机构认为，有效的风险管理，包括应用风险控制措施（包括风险缓解措施），可以减少剩余风险，从而促进</w:t>
      </w:r>
      <w:r w:rsidRPr="00CA01D9">
        <w:rPr>
          <w:rFonts w:ascii="Arial" w:hAnsi="Arial" w:cs="Arial"/>
        </w:rPr>
        <w:t>IDE</w:t>
      </w:r>
      <w:r w:rsidRPr="00CA01D9">
        <w:rPr>
          <w:rFonts w:ascii="Arial" w:hAnsi="Arial" w:cs="Arial"/>
        </w:rPr>
        <w:t>收益风险测定。</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FDA</w:t>
      </w:r>
      <w:r w:rsidRPr="00CA01D9">
        <w:rPr>
          <w:rFonts w:ascii="Arial" w:hAnsi="Arial" w:cs="Arial"/>
        </w:rPr>
        <w:t>认为，使用通用框架和结构化方法来评估</w:t>
      </w:r>
      <w:r w:rsidRPr="00CA01D9">
        <w:rPr>
          <w:rFonts w:ascii="Arial" w:hAnsi="Arial" w:cs="Arial"/>
        </w:rPr>
        <w:t>IDE</w:t>
      </w:r>
      <w:r w:rsidRPr="00CA01D9">
        <w:rPr>
          <w:rFonts w:ascii="Arial" w:hAnsi="Arial" w:cs="Arial"/>
        </w:rPr>
        <w:t>收益和风险不仅有助于提交相关证据和知识，而且有助于提交有关所提交信息足以证明启动拟定研究合理的明确理由。本指导性文件所述因素的应用可最终提高</w:t>
      </w:r>
      <w:r w:rsidRPr="00CA01D9">
        <w:rPr>
          <w:rFonts w:ascii="Arial" w:hAnsi="Arial" w:cs="Arial"/>
        </w:rPr>
        <w:t>FDA IDE</w:t>
      </w:r>
      <w:r w:rsidRPr="00CA01D9">
        <w:rPr>
          <w:rFonts w:ascii="Arial" w:hAnsi="Arial" w:cs="Arial"/>
        </w:rPr>
        <w:t>决策的可预测性、一致性和透明度，加强和精简美国临床试验企业，提高医疗器械临床试验的效率并节省其成本，同时保持患者和研究</w:t>
      </w:r>
      <w:r w:rsidR="007210C5" w:rsidRPr="00CA01D9">
        <w:rPr>
          <w:rFonts w:ascii="Arial" w:hAnsi="Arial" w:cs="Arial"/>
        </w:rPr>
        <w:t>受试者</w:t>
      </w:r>
      <w:r w:rsidRPr="00CA01D9">
        <w:rPr>
          <w:rFonts w:ascii="Arial" w:hAnsi="Arial" w:cs="Arial"/>
        </w:rPr>
        <w:t>得到适当保护。</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210933" w:rsidRDefault="00635917" w:rsidP="00371F36">
      <w:pPr>
        <w:snapToGrid w:val="0"/>
        <w:spacing w:afterLines="100" w:after="240" w:line="300" w:lineRule="auto"/>
        <w:jc w:val="center"/>
        <w:outlineLvl w:val="0"/>
        <w:rPr>
          <w:rFonts w:ascii="Arial" w:eastAsia="宋体" w:hAnsi="Arial" w:cs="Arial"/>
          <w:sz w:val="24"/>
          <w:szCs w:val="24"/>
          <w14:shadow w14:blurRad="50800" w14:dist="38100" w14:dir="2700000" w14:sx="100000" w14:sy="100000" w14:kx="0" w14:ky="0" w14:algn="tl">
            <w14:srgbClr w14:val="000000">
              <w14:alpha w14:val="60000"/>
            </w14:srgbClr>
          </w14:shadow>
        </w:rPr>
      </w:pPr>
      <w:bookmarkStart w:id="53" w:name="APPENDIX_A_–_RECOMMENDED_GENERAL_FRAMEWO"/>
      <w:bookmarkStart w:id="54" w:name="_bookmark49"/>
      <w:bookmarkStart w:id="55" w:name="_Toc498621511"/>
      <w:bookmarkEnd w:id="53"/>
      <w:bookmarkEnd w:id="54"/>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lastRenderedPageBreak/>
        <w:t>附录</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A——</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推荐用于收益</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风险评估的通用框架</w:t>
      </w:r>
      <w:bookmarkEnd w:id="55"/>
    </w:p>
    <w:p w:rsidR="00A3286A" w:rsidRPr="00CA01D9" w:rsidRDefault="0063591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i/>
          <w:sz w:val="24"/>
          <w:szCs w:val="24"/>
        </w:rPr>
        <w:t>FDA</w:t>
      </w:r>
      <w:r w:rsidRPr="00CA01D9">
        <w:rPr>
          <w:rFonts w:ascii="Arial" w:eastAsia="宋体" w:hAnsi="Arial" w:cs="Arial"/>
          <w:i/>
          <w:sz w:val="24"/>
          <w:szCs w:val="24"/>
        </w:rPr>
        <w:t>建议</w:t>
      </w:r>
      <w:r w:rsidRPr="00CA01D9">
        <w:rPr>
          <w:rFonts w:ascii="Arial" w:eastAsia="宋体" w:hAnsi="Arial" w:cs="Arial"/>
          <w:i/>
          <w:sz w:val="24"/>
          <w:szCs w:val="24"/>
        </w:rPr>
        <w:t>IDE</w:t>
      </w:r>
      <w:r w:rsidRPr="00CA01D9">
        <w:rPr>
          <w:rFonts w:ascii="Arial" w:eastAsia="宋体" w:hAnsi="Arial" w:cs="Arial"/>
          <w:i/>
          <w:sz w:val="24"/>
          <w:szCs w:val="24"/>
        </w:rPr>
        <w:t>申办方在</w:t>
      </w:r>
      <w:r w:rsidRPr="00CA01D9">
        <w:rPr>
          <w:rFonts w:ascii="Arial" w:eastAsia="宋体" w:hAnsi="Arial" w:cs="Arial"/>
          <w:i/>
          <w:sz w:val="24"/>
          <w:szCs w:val="24"/>
        </w:rPr>
        <w:t>IDE</w:t>
      </w:r>
      <w:r w:rsidRPr="00CA01D9">
        <w:rPr>
          <w:rFonts w:ascii="Arial" w:eastAsia="宋体" w:hAnsi="Arial" w:cs="Arial"/>
          <w:i/>
          <w:sz w:val="24"/>
          <w:szCs w:val="24"/>
        </w:rPr>
        <w:t>申请中提供用于总结</w:t>
      </w:r>
      <w:r w:rsidRPr="00CA01D9">
        <w:rPr>
          <w:rFonts w:ascii="Arial" w:eastAsia="宋体" w:hAnsi="Arial" w:cs="Arial"/>
          <w:i/>
          <w:sz w:val="24"/>
          <w:szCs w:val="24"/>
        </w:rPr>
        <w:t>IDE</w:t>
      </w:r>
      <w:r w:rsidRPr="00CA01D9">
        <w:rPr>
          <w:rFonts w:ascii="Arial" w:eastAsia="宋体" w:hAnsi="Arial" w:cs="Arial"/>
          <w:i/>
          <w:sz w:val="24"/>
          <w:szCs w:val="24"/>
        </w:rPr>
        <w:t>收益</w:t>
      </w:r>
      <w:r w:rsidRPr="00CA01D9">
        <w:rPr>
          <w:rFonts w:ascii="Arial" w:eastAsia="宋体" w:hAnsi="Arial" w:cs="Arial"/>
          <w:i/>
          <w:sz w:val="24"/>
          <w:szCs w:val="24"/>
        </w:rPr>
        <w:t>-</w:t>
      </w:r>
      <w:r w:rsidRPr="00CA01D9">
        <w:rPr>
          <w:rFonts w:ascii="Arial" w:eastAsia="宋体" w:hAnsi="Arial" w:cs="Arial"/>
          <w:i/>
          <w:sz w:val="24"/>
          <w:szCs w:val="24"/>
        </w:rPr>
        <w:t>风险评估的关键考虑因素的部分。收益</w:t>
      </w:r>
      <w:r w:rsidRPr="00CA01D9">
        <w:rPr>
          <w:rFonts w:ascii="Arial" w:eastAsia="宋体" w:hAnsi="Arial" w:cs="Arial"/>
          <w:i/>
          <w:sz w:val="24"/>
          <w:szCs w:val="24"/>
        </w:rPr>
        <w:t>-</w:t>
      </w:r>
      <w:r w:rsidRPr="00CA01D9">
        <w:rPr>
          <w:rFonts w:ascii="Arial" w:eastAsia="宋体" w:hAnsi="Arial" w:cs="Arial"/>
          <w:i/>
          <w:sz w:val="24"/>
          <w:szCs w:val="24"/>
        </w:rPr>
        <w:t>风险总结应提供简介，并可以参考</w:t>
      </w:r>
      <w:r w:rsidRPr="00CA01D9">
        <w:rPr>
          <w:rFonts w:ascii="Arial" w:eastAsia="宋体" w:hAnsi="Arial" w:cs="Arial"/>
          <w:i/>
          <w:sz w:val="24"/>
          <w:szCs w:val="24"/>
        </w:rPr>
        <w:t>IDE</w:t>
      </w:r>
      <w:r w:rsidRPr="00CA01D9">
        <w:rPr>
          <w:rFonts w:ascii="Arial" w:eastAsia="宋体" w:hAnsi="Arial" w:cs="Arial"/>
          <w:i/>
          <w:sz w:val="24"/>
          <w:szCs w:val="24"/>
        </w:rPr>
        <w:t>申请中提供支持信息和证据的相关部分。此总结并不旨在提供全面总结收益</w:t>
      </w:r>
      <w:r w:rsidRPr="00CA01D9">
        <w:rPr>
          <w:rFonts w:ascii="Arial" w:eastAsia="宋体" w:hAnsi="Arial" w:cs="Arial"/>
          <w:i/>
          <w:sz w:val="24"/>
          <w:szCs w:val="24"/>
        </w:rPr>
        <w:t>-</w:t>
      </w:r>
      <w:r w:rsidRPr="00CA01D9">
        <w:rPr>
          <w:rFonts w:ascii="Arial" w:eastAsia="宋体" w:hAnsi="Arial" w:cs="Arial"/>
          <w:i/>
          <w:sz w:val="24"/>
          <w:szCs w:val="24"/>
        </w:rPr>
        <w:t>风险评估，相反，其侧重于可能严重影响</w:t>
      </w:r>
      <w:r w:rsidRPr="00CA01D9">
        <w:rPr>
          <w:rFonts w:ascii="Arial" w:eastAsia="宋体" w:hAnsi="Arial" w:cs="Arial"/>
          <w:i/>
          <w:sz w:val="24"/>
          <w:szCs w:val="24"/>
        </w:rPr>
        <w:t>FDA</w:t>
      </w:r>
      <w:r w:rsidRPr="00CA01D9">
        <w:rPr>
          <w:rFonts w:ascii="Arial" w:eastAsia="宋体" w:hAnsi="Arial" w:cs="Arial"/>
          <w:i/>
          <w:sz w:val="24"/>
          <w:szCs w:val="24"/>
        </w:rPr>
        <w:t>决策或建议的项目。值得注意的是，</w:t>
      </w:r>
      <w:r w:rsidRPr="00CA01D9">
        <w:rPr>
          <w:rFonts w:ascii="Arial" w:eastAsia="宋体" w:hAnsi="Arial" w:cs="Arial"/>
          <w:i/>
          <w:sz w:val="24"/>
          <w:szCs w:val="24"/>
        </w:rPr>
        <w:t>FDA</w:t>
      </w:r>
      <w:r w:rsidRPr="00CA01D9">
        <w:rPr>
          <w:rFonts w:ascii="Arial" w:eastAsia="宋体" w:hAnsi="Arial" w:cs="Arial"/>
          <w:i/>
          <w:sz w:val="24"/>
          <w:szCs w:val="24"/>
        </w:rPr>
        <w:t>的</w:t>
      </w:r>
      <w:hyperlink r:id="rId35">
        <w:r w:rsidRPr="00CA01D9">
          <w:rPr>
            <w:rFonts w:ascii="Arial" w:eastAsia="宋体" w:hAnsi="Arial" w:cs="Arial"/>
            <w:i/>
            <w:color w:val="0000FF"/>
            <w:sz w:val="24"/>
            <w:szCs w:val="24"/>
            <w:u w:val="single" w:color="0000FF"/>
          </w:rPr>
          <w:t>早期可行性指南</w:t>
        </w:r>
      </w:hyperlink>
      <w:r w:rsidRPr="00CA01D9">
        <w:rPr>
          <w:rFonts w:ascii="Arial" w:eastAsia="宋体" w:hAnsi="Arial" w:cs="Arial"/>
          <w:i/>
          <w:sz w:val="24"/>
          <w:szCs w:val="24"/>
        </w:rPr>
        <w:t>中推荐的器械评价策略工作表提供了类似信息，也可用于解决本文提供的建议。</w:t>
      </w:r>
    </w:p>
    <w:p w:rsidR="00A3286A" w:rsidRPr="00CA01D9" w:rsidRDefault="0063591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i/>
          <w:sz w:val="24"/>
          <w:szCs w:val="24"/>
        </w:rPr>
        <w:t>FDA</w:t>
      </w:r>
      <w:r w:rsidRPr="00CA01D9">
        <w:rPr>
          <w:rFonts w:ascii="Arial" w:eastAsia="宋体" w:hAnsi="Arial" w:cs="Arial"/>
          <w:i/>
          <w:sz w:val="24"/>
          <w:szCs w:val="24"/>
        </w:rPr>
        <w:t>建议，收益</w:t>
      </w:r>
      <w:r w:rsidRPr="00CA01D9">
        <w:rPr>
          <w:rFonts w:ascii="Arial" w:eastAsia="宋体" w:hAnsi="Arial" w:cs="Arial"/>
          <w:i/>
          <w:sz w:val="24"/>
          <w:szCs w:val="24"/>
        </w:rPr>
        <w:t>-</w:t>
      </w:r>
      <w:r w:rsidRPr="00CA01D9">
        <w:rPr>
          <w:rFonts w:ascii="Arial" w:eastAsia="宋体" w:hAnsi="Arial" w:cs="Arial"/>
          <w:i/>
          <w:sz w:val="24"/>
          <w:szCs w:val="24"/>
        </w:rPr>
        <w:t>风险总结应涉及以下关键要素：</w:t>
      </w:r>
    </w:p>
    <w:p w:rsidR="00A3286A" w:rsidRPr="00CA01D9" w:rsidRDefault="00635917" w:rsidP="004B12D5">
      <w:pPr>
        <w:pStyle w:val="a4"/>
        <w:numPr>
          <w:ilvl w:val="0"/>
          <w:numId w:val="4"/>
        </w:numPr>
        <w:tabs>
          <w:tab w:val="left" w:pos="360"/>
        </w:tabs>
        <w:snapToGrid w:val="0"/>
        <w:spacing w:afterLines="100" w:after="240" w:line="300" w:lineRule="auto"/>
        <w:ind w:left="238" w:hanging="238"/>
        <w:jc w:val="both"/>
        <w:rPr>
          <w:rFonts w:ascii="Arial" w:eastAsia="宋体" w:hAnsi="Arial" w:cs="Arial"/>
          <w:sz w:val="24"/>
          <w:szCs w:val="24"/>
        </w:rPr>
      </w:pPr>
      <w:r w:rsidRPr="00CA01D9">
        <w:rPr>
          <w:rFonts w:ascii="Arial" w:eastAsia="宋体" w:hAnsi="Arial" w:cs="Arial"/>
          <w:sz w:val="24"/>
          <w:szCs w:val="24"/>
          <w:u w:val="single" w:color="000000"/>
        </w:rPr>
        <w:t>拟定研究的背景</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总结所治疗或诊断的疾病或病症，描述器械在当前可用治疗或诊断选项中的应用，以及简要描述研究（其目标和设计）。</w:t>
      </w:r>
    </w:p>
    <w:p w:rsidR="00A3286A" w:rsidRPr="00CA01D9" w:rsidRDefault="00635917" w:rsidP="004B12D5">
      <w:pPr>
        <w:pStyle w:val="a4"/>
        <w:numPr>
          <w:ilvl w:val="0"/>
          <w:numId w:val="4"/>
        </w:numPr>
        <w:tabs>
          <w:tab w:val="left" w:pos="360"/>
        </w:tabs>
        <w:snapToGrid w:val="0"/>
        <w:spacing w:afterLines="100" w:after="240" w:line="300" w:lineRule="auto"/>
        <w:ind w:left="238" w:hanging="238"/>
        <w:jc w:val="both"/>
        <w:rPr>
          <w:rFonts w:ascii="Arial" w:eastAsia="宋体" w:hAnsi="Arial" w:cs="Arial"/>
          <w:sz w:val="24"/>
          <w:szCs w:val="24"/>
        </w:rPr>
      </w:pPr>
      <w:r w:rsidRPr="00CA01D9">
        <w:rPr>
          <w:rFonts w:ascii="Arial" w:eastAsia="宋体" w:hAnsi="Arial" w:cs="Arial"/>
          <w:sz w:val="24"/>
          <w:szCs w:val="24"/>
          <w:u w:val="single" w:color="000000"/>
        </w:rPr>
        <w:t>评估拟定研究的风险</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总结本指南第</w:t>
      </w:r>
      <w:r w:rsidRPr="00CA01D9">
        <w:rPr>
          <w:rFonts w:ascii="Arial" w:hAnsi="Arial" w:cs="Arial"/>
        </w:rPr>
        <w:t>5</w:t>
      </w:r>
      <w:r w:rsidRPr="00CA01D9">
        <w:rPr>
          <w:rFonts w:ascii="Arial" w:hAnsi="Arial" w:cs="Arial"/>
        </w:rPr>
        <w:t>节中确定的主要风险要素，包括风险表征，风险控制措施和剩余风险。</w:t>
      </w:r>
    </w:p>
    <w:p w:rsidR="00A3286A" w:rsidRPr="00CA01D9" w:rsidRDefault="00635917" w:rsidP="004B12D5">
      <w:pPr>
        <w:pStyle w:val="a4"/>
        <w:numPr>
          <w:ilvl w:val="0"/>
          <w:numId w:val="4"/>
        </w:numPr>
        <w:tabs>
          <w:tab w:val="left" w:pos="360"/>
        </w:tabs>
        <w:snapToGrid w:val="0"/>
        <w:spacing w:afterLines="100" w:after="240" w:line="300" w:lineRule="auto"/>
        <w:ind w:left="238" w:hanging="238"/>
        <w:jc w:val="both"/>
        <w:rPr>
          <w:rFonts w:ascii="Arial" w:eastAsia="宋体" w:hAnsi="Arial" w:cs="Arial"/>
          <w:sz w:val="24"/>
          <w:szCs w:val="24"/>
        </w:rPr>
      </w:pPr>
      <w:r w:rsidRPr="00CA01D9">
        <w:rPr>
          <w:rFonts w:ascii="Arial" w:eastAsia="宋体" w:hAnsi="Arial" w:cs="Arial"/>
          <w:sz w:val="24"/>
          <w:szCs w:val="24"/>
          <w:u w:val="single" w:color="000000"/>
        </w:rPr>
        <w:t>评估拟定研究的收益</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总结本指南第</w:t>
      </w:r>
      <w:r w:rsidRPr="00CA01D9">
        <w:rPr>
          <w:rFonts w:ascii="Arial" w:hAnsi="Arial" w:cs="Arial"/>
        </w:rPr>
        <w:t>5</w:t>
      </w:r>
      <w:r w:rsidRPr="00CA01D9">
        <w:rPr>
          <w:rFonts w:ascii="Arial" w:hAnsi="Arial" w:cs="Arial"/>
        </w:rPr>
        <w:t>节中确定的拟定研究的主要收益，其中包括拟定研究对</w:t>
      </w:r>
      <w:r w:rsidR="00C420C7" w:rsidRPr="00CA01D9">
        <w:rPr>
          <w:rFonts w:ascii="Arial" w:hAnsi="Arial" w:cs="Arial"/>
        </w:rPr>
        <w:t>研究受试者</w:t>
      </w:r>
      <w:r w:rsidRPr="00CA01D9">
        <w:rPr>
          <w:rFonts w:ascii="Arial" w:hAnsi="Arial" w:cs="Arial"/>
        </w:rPr>
        <w:t>的直接收益和他人的收益（以及受试者的间接收益，例如从研究获得的知识或可能有助于开发治疗方法的信息）。</w:t>
      </w:r>
    </w:p>
    <w:p w:rsidR="00A3286A" w:rsidRPr="00CA01D9" w:rsidRDefault="00635917" w:rsidP="004B12D5">
      <w:pPr>
        <w:pStyle w:val="a4"/>
        <w:numPr>
          <w:ilvl w:val="0"/>
          <w:numId w:val="4"/>
        </w:numPr>
        <w:tabs>
          <w:tab w:val="left" w:pos="360"/>
        </w:tabs>
        <w:snapToGrid w:val="0"/>
        <w:spacing w:afterLines="100" w:after="240" w:line="300" w:lineRule="auto"/>
        <w:ind w:left="238" w:hanging="238"/>
        <w:jc w:val="both"/>
        <w:rPr>
          <w:rFonts w:ascii="Arial" w:eastAsia="宋体" w:hAnsi="Arial" w:cs="Arial"/>
          <w:sz w:val="24"/>
          <w:szCs w:val="24"/>
        </w:rPr>
      </w:pPr>
      <w:r w:rsidRPr="00CA01D9">
        <w:rPr>
          <w:rFonts w:ascii="Arial" w:eastAsia="宋体" w:hAnsi="Arial" w:cs="Arial"/>
          <w:sz w:val="24"/>
          <w:szCs w:val="24"/>
          <w:u w:val="single" w:color="000000"/>
        </w:rPr>
        <w:t>考虑患者偏好信息</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提供可用患者偏好信息的总结（如果有）。如果没有，声明没有此类信息。</w:t>
      </w:r>
    </w:p>
    <w:p w:rsidR="00A3286A" w:rsidRPr="00CA01D9" w:rsidRDefault="00635917" w:rsidP="004B12D5">
      <w:pPr>
        <w:pStyle w:val="a4"/>
        <w:numPr>
          <w:ilvl w:val="0"/>
          <w:numId w:val="4"/>
        </w:numPr>
        <w:tabs>
          <w:tab w:val="left" w:pos="360"/>
        </w:tabs>
        <w:snapToGrid w:val="0"/>
        <w:spacing w:afterLines="100" w:after="240" w:line="300" w:lineRule="auto"/>
        <w:ind w:left="238" w:hanging="238"/>
        <w:jc w:val="both"/>
        <w:rPr>
          <w:rFonts w:ascii="Arial" w:eastAsia="宋体" w:hAnsi="Arial" w:cs="Arial"/>
          <w:sz w:val="24"/>
          <w:szCs w:val="24"/>
        </w:rPr>
      </w:pPr>
      <w:r w:rsidRPr="00CA01D9">
        <w:rPr>
          <w:rFonts w:ascii="Arial" w:eastAsia="宋体" w:hAnsi="Arial" w:cs="Arial"/>
          <w:sz w:val="24"/>
          <w:szCs w:val="24"/>
          <w:u w:val="single" w:color="000000"/>
        </w:rPr>
        <w:t>评估不确定性</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总结本指南第</w:t>
      </w:r>
      <w:r w:rsidRPr="00CA01D9">
        <w:rPr>
          <w:rFonts w:ascii="Arial" w:hAnsi="Arial" w:cs="Arial"/>
        </w:rPr>
        <w:t>5</w:t>
      </w:r>
      <w:r w:rsidRPr="00CA01D9">
        <w:rPr>
          <w:rFonts w:ascii="Arial" w:hAnsi="Arial" w:cs="Arial"/>
        </w:rPr>
        <w:t>节中确定的现有证据和拟定研究的主要不确定性来源，并说明拟定研究的不确定性水平可以接受</w:t>
      </w:r>
      <w:r w:rsidR="00C420C7" w:rsidRPr="00CA01D9">
        <w:rPr>
          <w:rFonts w:ascii="Arial" w:hAnsi="Arial" w:cs="Arial"/>
        </w:rPr>
        <w:t>的原因</w:t>
      </w:r>
      <w:r w:rsidRPr="00CA01D9">
        <w:rPr>
          <w:rFonts w:ascii="Arial" w:hAnsi="Arial" w:cs="Arial"/>
        </w:rPr>
        <w:t>。</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4E4372">
      <w:pPr>
        <w:pStyle w:val="a4"/>
        <w:numPr>
          <w:ilvl w:val="0"/>
          <w:numId w:val="4"/>
        </w:numPr>
        <w:tabs>
          <w:tab w:val="left" w:pos="340"/>
        </w:tabs>
        <w:snapToGrid w:val="0"/>
        <w:spacing w:afterLines="100" w:after="240" w:line="300" w:lineRule="auto"/>
        <w:ind w:left="238" w:hanging="238"/>
        <w:jc w:val="both"/>
        <w:rPr>
          <w:rFonts w:ascii="Arial" w:eastAsia="宋体" w:hAnsi="Arial" w:cs="Arial"/>
          <w:sz w:val="24"/>
          <w:szCs w:val="24"/>
        </w:rPr>
      </w:pPr>
      <w:r w:rsidRPr="004E4372">
        <w:rPr>
          <w:rFonts w:ascii="Arial" w:eastAsia="宋体" w:hAnsi="Arial" w:cs="Arial"/>
          <w:sz w:val="24"/>
          <w:szCs w:val="24"/>
        </w:rPr>
        <w:lastRenderedPageBreak/>
        <w:t>结论</w:t>
      </w:r>
    </w:p>
    <w:p w:rsidR="00A3286A" w:rsidRPr="00CA01D9" w:rsidRDefault="00635917" w:rsidP="00CA01D9">
      <w:pPr>
        <w:pStyle w:val="a3"/>
        <w:snapToGrid w:val="0"/>
        <w:spacing w:afterLines="100" w:after="240" w:line="300" w:lineRule="auto"/>
        <w:ind w:left="0"/>
        <w:jc w:val="both"/>
        <w:rPr>
          <w:rFonts w:ascii="Arial" w:hAnsi="Arial" w:cs="Arial"/>
        </w:rPr>
      </w:pPr>
      <w:proofErr w:type="gramStart"/>
      <w:r w:rsidRPr="00CA01D9">
        <w:rPr>
          <w:rFonts w:ascii="Arial" w:hAnsi="Arial" w:cs="Arial"/>
        </w:rPr>
        <w:t>总结此</w:t>
      </w:r>
      <w:proofErr w:type="gramEnd"/>
      <w:r w:rsidR="00C420C7" w:rsidRPr="00CA01D9">
        <w:rPr>
          <w:rFonts w:ascii="Arial" w:hAnsi="Arial" w:cs="Arial"/>
        </w:rPr>
        <w:t>摘要</w:t>
      </w:r>
      <w:r w:rsidRPr="00CA01D9">
        <w:rPr>
          <w:rFonts w:ascii="Arial" w:hAnsi="Arial" w:cs="Arial"/>
        </w:rPr>
        <w:t>中考虑的因素如何证明允许进行人类临床研究的决策具有合理性。</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210933" w:rsidRDefault="00635917" w:rsidP="00371F36">
      <w:pPr>
        <w:snapToGrid w:val="0"/>
        <w:spacing w:afterLines="100" w:after="240" w:line="300" w:lineRule="auto"/>
        <w:jc w:val="center"/>
        <w:outlineLvl w:val="0"/>
        <w:rPr>
          <w:rFonts w:ascii="Arial" w:eastAsia="宋体" w:hAnsi="Arial" w:cs="Arial"/>
          <w:b/>
          <w:bCs/>
          <w:sz w:val="24"/>
          <w:szCs w:val="24"/>
          <w14:shadow w14:blurRad="50800" w14:dist="38100" w14:dir="2700000" w14:sx="100000" w14:sy="100000" w14:kx="0" w14:ky="0" w14:algn="tl">
            <w14:srgbClr w14:val="000000">
              <w14:alpha w14:val="60000"/>
            </w14:srgbClr>
          </w14:shadow>
        </w:rPr>
      </w:pPr>
      <w:bookmarkStart w:id="56" w:name="APPENDIX_B_–_HYPOTHETICAL_EXAMPLES_OF_SU"/>
      <w:bookmarkStart w:id="57" w:name="_bookmark50"/>
      <w:bookmarkStart w:id="58" w:name="_Toc498621512"/>
      <w:bookmarkEnd w:id="56"/>
      <w:bookmarkEnd w:id="57"/>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lastRenderedPageBreak/>
        <w:t>附录</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B——</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总结收益</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风险评估的假设示例</w:t>
      </w:r>
      <w:bookmarkEnd w:id="58"/>
    </w:p>
    <w:p w:rsidR="00A3286A" w:rsidRPr="00CA01D9" w:rsidRDefault="0063591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i/>
          <w:sz w:val="24"/>
          <w:szCs w:val="24"/>
        </w:rPr>
        <w:t>FDA</w:t>
      </w:r>
      <w:r w:rsidRPr="00CA01D9">
        <w:rPr>
          <w:rFonts w:ascii="Arial" w:eastAsia="宋体" w:hAnsi="Arial" w:cs="Arial"/>
          <w:i/>
          <w:sz w:val="24"/>
          <w:szCs w:val="24"/>
        </w:rPr>
        <w:t>建议</w:t>
      </w:r>
      <w:r w:rsidRPr="00CA01D9">
        <w:rPr>
          <w:rFonts w:ascii="Arial" w:eastAsia="宋体" w:hAnsi="Arial" w:cs="Arial"/>
          <w:i/>
          <w:sz w:val="24"/>
          <w:szCs w:val="24"/>
        </w:rPr>
        <w:t>IDE</w:t>
      </w:r>
      <w:r w:rsidRPr="00CA01D9">
        <w:rPr>
          <w:rFonts w:ascii="Arial" w:eastAsia="宋体" w:hAnsi="Arial" w:cs="Arial"/>
          <w:i/>
          <w:sz w:val="24"/>
          <w:szCs w:val="24"/>
        </w:rPr>
        <w:t>申办方在</w:t>
      </w:r>
      <w:r w:rsidRPr="00CA01D9">
        <w:rPr>
          <w:rFonts w:ascii="Arial" w:eastAsia="宋体" w:hAnsi="Arial" w:cs="Arial"/>
          <w:i/>
          <w:sz w:val="24"/>
          <w:szCs w:val="24"/>
        </w:rPr>
        <w:t>IDE</w:t>
      </w:r>
      <w:r w:rsidRPr="00CA01D9">
        <w:rPr>
          <w:rFonts w:ascii="Arial" w:eastAsia="宋体" w:hAnsi="Arial" w:cs="Arial"/>
          <w:i/>
          <w:sz w:val="24"/>
          <w:szCs w:val="24"/>
        </w:rPr>
        <w:t>申请中提供用于总结</w:t>
      </w:r>
      <w:r w:rsidRPr="00CA01D9">
        <w:rPr>
          <w:rFonts w:ascii="Arial" w:eastAsia="宋体" w:hAnsi="Arial" w:cs="Arial"/>
          <w:i/>
          <w:sz w:val="24"/>
          <w:szCs w:val="24"/>
        </w:rPr>
        <w:t>IDE</w:t>
      </w:r>
      <w:r w:rsidRPr="00CA01D9">
        <w:rPr>
          <w:rFonts w:ascii="Arial" w:eastAsia="宋体" w:hAnsi="Arial" w:cs="Arial"/>
          <w:i/>
          <w:sz w:val="24"/>
          <w:szCs w:val="24"/>
        </w:rPr>
        <w:t>收益</w:t>
      </w:r>
      <w:r w:rsidRPr="00CA01D9">
        <w:rPr>
          <w:rFonts w:ascii="Arial" w:eastAsia="宋体" w:hAnsi="Arial" w:cs="Arial"/>
          <w:i/>
          <w:sz w:val="24"/>
          <w:szCs w:val="24"/>
        </w:rPr>
        <w:t>-</w:t>
      </w:r>
      <w:r w:rsidRPr="00CA01D9">
        <w:rPr>
          <w:rFonts w:ascii="Arial" w:eastAsia="宋体" w:hAnsi="Arial" w:cs="Arial"/>
          <w:i/>
          <w:sz w:val="24"/>
          <w:szCs w:val="24"/>
        </w:rPr>
        <w:t>风险评估的关键考虑因素的部分。收益</w:t>
      </w:r>
      <w:r w:rsidRPr="00CA01D9">
        <w:rPr>
          <w:rFonts w:ascii="Arial" w:eastAsia="宋体" w:hAnsi="Arial" w:cs="Arial"/>
          <w:i/>
          <w:sz w:val="24"/>
          <w:szCs w:val="24"/>
        </w:rPr>
        <w:t>-</w:t>
      </w:r>
      <w:r w:rsidRPr="00CA01D9">
        <w:rPr>
          <w:rFonts w:ascii="Arial" w:eastAsia="宋体" w:hAnsi="Arial" w:cs="Arial"/>
          <w:i/>
          <w:sz w:val="24"/>
          <w:szCs w:val="24"/>
        </w:rPr>
        <w:t>风险总结应提供简介，并可以参考</w:t>
      </w:r>
      <w:r w:rsidRPr="00CA01D9">
        <w:rPr>
          <w:rFonts w:ascii="Arial" w:eastAsia="宋体" w:hAnsi="Arial" w:cs="Arial"/>
          <w:i/>
          <w:sz w:val="24"/>
          <w:szCs w:val="24"/>
        </w:rPr>
        <w:t>IDE</w:t>
      </w:r>
      <w:r w:rsidRPr="00CA01D9">
        <w:rPr>
          <w:rFonts w:ascii="Arial" w:eastAsia="宋体" w:hAnsi="Arial" w:cs="Arial"/>
          <w:i/>
          <w:sz w:val="24"/>
          <w:szCs w:val="24"/>
        </w:rPr>
        <w:t>申请中提供支持信息和证据的相关部分（详情请参见附录</w:t>
      </w:r>
      <w:r w:rsidRPr="00CA01D9">
        <w:rPr>
          <w:rFonts w:ascii="Arial" w:eastAsia="宋体" w:hAnsi="Arial" w:cs="Arial"/>
          <w:i/>
          <w:sz w:val="24"/>
          <w:szCs w:val="24"/>
        </w:rPr>
        <w:t>A</w:t>
      </w:r>
      <w:r w:rsidRPr="00CA01D9">
        <w:rPr>
          <w:rFonts w:ascii="Arial" w:eastAsia="宋体" w:hAnsi="Arial" w:cs="Arial"/>
          <w:i/>
          <w:sz w:val="24"/>
          <w:szCs w:val="24"/>
        </w:rPr>
        <w:t>）。</w:t>
      </w:r>
    </w:p>
    <w:p w:rsidR="00A3286A" w:rsidRPr="00CA01D9" w:rsidRDefault="0063591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i/>
          <w:sz w:val="24"/>
          <w:szCs w:val="24"/>
        </w:rPr>
        <w:t>以下示例已简化，仅供参考。此类示例中描述的决策旨在说明如何在评估收益</w:t>
      </w:r>
      <w:r w:rsidRPr="00CA01D9">
        <w:rPr>
          <w:rFonts w:ascii="Arial" w:eastAsia="宋体" w:hAnsi="Arial" w:cs="Arial"/>
          <w:i/>
          <w:sz w:val="24"/>
          <w:szCs w:val="24"/>
        </w:rPr>
        <w:t>-</w:t>
      </w:r>
      <w:r w:rsidRPr="00CA01D9">
        <w:rPr>
          <w:rFonts w:ascii="Arial" w:eastAsia="宋体" w:hAnsi="Arial" w:cs="Arial"/>
          <w:i/>
          <w:sz w:val="24"/>
          <w:szCs w:val="24"/>
        </w:rPr>
        <w:t>风险时考虑本指南所述因素以及</w:t>
      </w:r>
      <w:r w:rsidRPr="00CA01D9">
        <w:rPr>
          <w:rFonts w:ascii="Arial" w:eastAsia="宋体" w:hAnsi="Arial" w:cs="Arial"/>
          <w:i/>
          <w:sz w:val="24"/>
          <w:szCs w:val="24"/>
        </w:rPr>
        <w:t>FDA</w:t>
      </w:r>
      <w:r w:rsidRPr="00CA01D9">
        <w:rPr>
          <w:rFonts w:ascii="Arial" w:eastAsia="宋体" w:hAnsi="Arial" w:cs="Arial"/>
          <w:i/>
          <w:sz w:val="24"/>
          <w:szCs w:val="24"/>
        </w:rPr>
        <w:t>分析此类因素的方式。</w:t>
      </w:r>
    </w:p>
    <w:p w:rsidR="00A3286A" w:rsidRPr="00CA01D9" w:rsidRDefault="0063591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b/>
          <w:bCs/>
          <w:sz w:val="24"/>
          <w:szCs w:val="24"/>
        </w:rPr>
        <w:t>示例</w:t>
      </w:r>
      <w:r w:rsidRPr="00CA01D9">
        <w:rPr>
          <w:rFonts w:ascii="Arial" w:eastAsia="宋体" w:hAnsi="Arial" w:cs="Arial"/>
          <w:b/>
          <w:bCs/>
          <w:sz w:val="24"/>
          <w:szCs w:val="24"/>
        </w:rPr>
        <w:t xml:space="preserve">1 - </w:t>
      </w:r>
      <w:r w:rsidRPr="00CA01D9">
        <w:rPr>
          <w:rFonts w:ascii="Arial" w:eastAsia="宋体" w:hAnsi="Arial" w:cs="Arial"/>
          <w:b/>
          <w:bCs/>
          <w:sz w:val="24"/>
          <w:szCs w:val="24"/>
        </w:rPr>
        <w:t>用于治疗危及生命的病症且替代治疗效果不佳的器械的关键研究计划</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拟定研究的背景</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一家公司开发了一种永久性植入式器械，用于治疗影响成年人并具有高死亡风险的疾病。一般来说，疾病会在</w:t>
      </w:r>
      <w:r w:rsidRPr="00CA01D9">
        <w:rPr>
          <w:rFonts w:ascii="Arial" w:hAnsi="Arial" w:cs="Arial"/>
        </w:rPr>
        <w:t>12</w:t>
      </w:r>
      <w:r w:rsidRPr="00CA01D9">
        <w:rPr>
          <w:rFonts w:ascii="Arial" w:hAnsi="Arial" w:cs="Arial"/>
        </w:rPr>
        <w:t>个月内达到晚期，</w:t>
      </w:r>
      <w:r w:rsidRPr="00CA01D9">
        <w:rPr>
          <w:rFonts w:ascii="Arial" w:hAnsi="Arial" w:cs="Arial"/>
        </w:rPr>
        <w:t>30</w:t>
      </w:r>
      <w:r w:rsidRPr="00CA01D9">
        <w:rPr>
          <w:rFonts w:ascii="Arial" w:hAnsi="Arial" w:cs="Arial"/>
        </w:rPr>
        <w:t>％的患者会在</w:t>
      </w:r>
      <w:r w:rsidRPr="00CA01D9">
        <w:rPr>
          <w:rFonts w:ascii="Arial" w:hAnsi="Arial" w:cs="Arial"/>
        </w:rPr>
        <w:t>24</w:t>
      </w:r>
      <w:r w:rsidRPr="00CA01D9">
        <w:rPr>
          <w:rFonts w:ascii="Arial" w:hAnsi="Arial" w:cs="Arial"/>
        </w:rPr>
        <w:t>个月内死亡。虽然可以使用药物治疗，但其仅可暂时缓解症状，并伴有严重的并发症。申办方拟进行前瞻性随机研究，以对照标准药物治疗评估使用器械治疗病症的影响。</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评估拟定研究的风险</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该器械携带的风险与植入所需的外科手术和长期使用相关。此类风险已在动物研究和短期临床可行性研究中进行评价。此类风险可能较为严重，但其发生的可能性仍然未知。</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根据从先前非临床和临床研究中获得的信息，申办方对植入程序进行了微小改动以期可以降低风险。附加风险缓解程序包括：仔细选择受试者，使用专业</w:t>
      </w:r>
      <w:r w:rsidRPr="00CA01D9">
        <w:rPr>
          <w:rFonts w:ascii="Arial" w:hAnsi="Arial" w:cs="Arial"/>
        </w:rPr>
        <w:t>/</w:t>
      </w:r>
      <w:r w:rsidRPr="00CA01D9">
        <w:rPr>
          <w:rFonts w:ascii="Arial" w:hAnsi="Arial" w:cs="Arial"/>
        </w:rPr>
        <w:t>有经验的研究者，受试者监测程序以及使用独立的数据安全和监测委员会。</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评估拟定研究的收益</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尽管可用数据量有限，并未使用对照组，先前非临床和临床研究的初始数据表明，该病症的发病率和死亡率可能出现临床相关降低。此外，该器械的长期有效性尚未明确。</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lastRenderedPageBreak/>
        <w:t>考虑患者偏好信息</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鉴于目前缺乏有效的治疗方法且疾病的发病率和死亡率较高，如果要使用潜在的新治疗方法，预计患者应具有较高的风险承受能力。但是，缺乏确定性患者偏好数据。</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评估不确定性</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有关器械预期收益的不确定性程度最高。虽然非临床和临床可行性研究数据可提供有力支持，但是尚不清楚是否可以在对照研究和长期随访中观察到临床相关收益。此外，尚未确定风险特征以及植入程序的改动和其他缓解策略的实施是否有效。</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结论</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此研究具有较高的风险程度，且在预期收益方面具有较高不确定性水平。但是，</w:t>
      </w:r>
      <w:proofErr w:type="gramStart"/>
      <w:r w:rsidRPr="00CA01D9">
        <w:rPr>
          <w:rFonts w:ascii="Arial" w:hAnsi="Arial" w:cs="Arial"/>
        </w:rPr>
        <w:t>鉴于缺乏</w:t>
      </w:r>
      <w:proofErr w:type="gramEnd"/>
      <w:r w:rsidRPr="00CA01D9">
        <w:rPr>
          <w:rFonts w:ascii="Arial" w:hAnsi="Arial" w:cs="Arial"/>
        </w:rPr>
        <w:t>有效的替代治疗，不了解与此类治疗相关的风险及无效治疗的后果，且器械的收益和风险已在非临床和可行性临床研究中得到合理表征，</w:t>
      </w:r>
      <w:r w:rsidRPr="00CA01D9">
        <w:rPr>
          <w:rFonts w:ascii="Arial" w:hAnsi="Arial" w:cs="Arial"/>
        </w:rPr>
        <w:t>FDA</w:t>
      </w:r>
      <w:r w:rsidRPr="00CA01D9">
        <w:rPr>
          <w:rFonts w:ascii="Arial" w:hAnsi="Arial" w:cs="Arial"/>
        </w:rPr>
        <w:t>可能会批准关键</w:t>
      </w:r>
      <w:r w:rsidRPr="00CA01D9">
        <w:rPr>
          <w:rFonts w:ascii="Arial" w:hAnsi="Arial" w:cs="Arial"/>
        </w:rPr>
        <w:t>IDE</w:t>
      </w:r>
      <w:r w:rsidRPr="00CA01D9">
        <w:rPr>
          <w:rFonts w:ascii="Arial" w:hAnsi="Arial" w:cs="Arial"/>
        </w:rPr>
        <w:t>研究。</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如果当前治疗在控制或治愈疾病过程方面更为有效，或者疾病过程较为良性，则这可能会对收益</w:t>
      </w:r>
      <w:r w:rsidRPr="00CA01D9">
        <w:rPr>
          <w:rFonts w:ascii="Arial" w:hAnsi="Arial" w:cs="Arial"/>
        </w:rPr>
        <w:t>-</w:t>
      </w:r>
      <w:r w:rsidRPr="00CA01D9">
        <w:rPr>
          <w:rFonts w:ascii="Arial" w:hAnsi="Arial" w:cs="Arial"/>
        </w:rPr>
        <w:t>风险评估不利。如果可行性临床研究数据</w:t>
      </w:r>
      <w:proofErr w:type="gramStart"/>
      <w:r w:rsidRPr="00CA01D9">
        <w:rPr>
          <w:rFonts w:ascii="Arial" w:hAnsi="Arial" w:cs="Arial"/>
        </w:rPr>
        <w:t>不</w:t>
      </w:r>
      <w:proofErr w:type="gramEnd"/>
      <w:r w:rsidRPr="00CA01D9">
        <w:rPr>
          <w:rFonts w:ascii="Arial" w:hAnsi="Arial" w:cs="Arial"/>
        </w:rPr>
        <w:t>可用，则有关预期收益的不确定性程度将会显著更高。</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b/>
          <w:bCs/>
          <w:sz w:val="24"/>
          <w:szCs w:val="24"/>
        </w:rPr>
        <w:lastRenderedPageBreak/>
        <w:t>示例</w:t>
      </w:r>
      <w:r w:rsidRPr="00CA01D9">
        <w:rPr>
          <w:rFonts w:ascii="Arial" w:eastAsia="宋体" w:hAnsi="Arial" w:cs="Arial"/>
          <w:b/>
          <w:bCs/>
          <w:sz w:val="24"/>
          <w:szCs w:val="24"/>
        </w:rPr>
        <w:t xml:space="preserve">2 - </w:t>
      </w:r>
      <w:r w:rsidRPr="00CA01D9">
        <w:rPr>
          <w:rFonts w:ascii="Arial" w:eastAsia="宋体" w:hAnsi="Arial" w:cs="Arial"/>
          <w:b/>
          <w:bCs/>
          <w:sz w:val="24"/>
          <w:szCs w:val="24"/>
        </w:rPr>
        <w:t>用于治疗活动限制病症且具有合理的替代治疗的器械的可行性研究计划</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拟定研究的背景</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一家公司开发了一种可吸收器械来治疗可造成轻度疼痛和功能限制，但不增加死亡率的病症。有几种合理有效的永久植入式器械替代方法，尽管此类方法可造成慢性不良事件，且在一些患者中，需要进行手术翻修、器械移除或置换。</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申办方拟进行前瞻性非随机可行性研究，以便初步评估可吸收器械的安全性和可能收益。</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评估拟定研究的风险</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与当前可用的替代方法相比，该器械存在两个未解决的主要风险。</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第一个风险是该器械由尚未被充分表征并且可能具有显着毒性的新材料组成。虽然此类材料与其他器械中使用的材料相似，但是该器械的配方和加工差异有可能导致安全特征不可接受。可以通过附加非临床试验来解决该器械的生物相容性，但申办方未进行此类试验。</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该器械的有效性取决于结构完整性是否在急性愈合期中未受影响，以及该器械的退化特征是否与愈合时间线一致。但是，器械过早退化可能会导致在完全愈合之前丧失结构完整性，进而导致病症复发。评估器械的慢性性能时，可能需要进行临床评价。</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申办</w:t>
      </w:r>
      <w:proofErr w:type="gramStart"/>
      <w:r w:rsidRPr="00CA01D9">
        <w:rPr>
          <w:rFonts w:ascii="Arial" w:hAnsi="Arial" w:cs="Arial"/>
        </w:rPr>
        <w:t>方尚未</w:t>
      </w:r>
      <w:proofErr w:type="gramEnd"/>
      <w:r w:rsidRPr="00CA01D9">
        <w:rPr>
          <w:rFonts w:ascii="Arial" w:hAnsi="Arial" w:cs="Arial"/>
        </w:rPr>
        <w:t>确定研究的临床缓解策略。为了解决生物相容性问题，申办方声明，由于材料与其他可吸收器械相似，此类问题已得到充分缓解。</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评估拟定研究的收益</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可吸收器械可以减少与当前可用器械相关的慢性不良事件，同时保持有效性，且此概念已得到理论支持。</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考虑患者偏好信息</w:t>
      </w:r>
    </w:p>
    <w:p w:rsidR="00A3286A" w:rsidRPr="00CA01D9" w:rsidRDefault="00635917" w:rsidP="007114B9">
      <w:pPr>
        <w:pStyle w:val="a3"/>
        <w:snapToGrid w:val="0"/>
        <w:spacing w:afterLines="100" w:after="240" w:line="300" w:lineRule="auto"/>
        <w:ind w:left="0"/>
        <w:jc w:val="both"/>
        <w:rPr>
          <w:rFonts w:ascii="Arial" w:hAnsi="Arial" w:cs="Arial"/>
        </w:rPr>
      </w:pPr>
      <w:r w:rsidRPr="00CA01D9">
        <w:rPr>
          <w:rFonts w:ascii="Arial" w:hAnsi="Arial" w:cs="Arial"/>
        </w:rPr>
        <w:t>申办方已就患者偏好进行了小型调查。调查显示，一些患者对当前可用器械感到满意。但是，也有一些患者较为关注新型技术，因为此类技术可以减少未来进行手术，以移除或置换器械的潜在需求。</w:t>
      </w:r>
      <w:r w:rsidR="00124B27" w:rsidRPr="00CA01D9">
        <w:rPr>
          <w:rFonts w:ascii="Arial" w:hAnsi="Arial" w:cs="Arial"/>
        </w:rPr>
        <w:br w:type="page"/>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lastRenderedPageBreak/>
        <w:t>评估不确定性</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有关该可吸收器械是否可在适当时间框架内提供足够的结构完整性，以允许病症缓慢愈合的不确定性较大。</w:t>
      </w:r>
    </w:p>
    <w:p w:rsidR="00C420C7"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有关降解物的潜在毒性的不确定性也较大。</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结论</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该器械旨在治疗可造成轻度疼痛和不适的病症，且目前存在与其类似的合理替代方法。此类新材料引起了生物相容性问题，因为其可能对受试者造成无法接受的风险。此类风险可以通过非临床试验解决，但申办方未进行此类试验。由于</w:t>
      </w:r>
      <w:r w:rsidRPr="00CA01D9">
        <w:rPr>
          <w:rFonts w:ascii="Arial" w:hAnsi="Arial" w:cs="Arial"/>
        </w:rPr>
        <w:t>FDA</w:t>
      </w:r>
      <w:r w:rsidRPr="00CA01D9">
        <w:rPr>
          <w:rFonts w:ascii="Arial" w:hAnsi="Arial" w:cs="Arial"/>
        </w:rPr>
        <w:t>认为，材料相似性声明无法解决上述问题，在提供生物相容性数据之前，不得进行临床研究。因此，在提供此类数据并发现其支持生物相容性特征可接受的声明前，</w:t>
      </w:r>
      <w:r w:rsidRPr="00CA01D9">
        <w:rPr>
          <w:rFonts w:ascii="Arial" w:hAnsi="Arial" w:cs="Arial"/>
        </w:rPr>
        <w:t>FDA</w:t>
      </w:r>
      <w:r w:rsidRPr="00CA01D9">
        <w:rPr>
          <w:rFonts w:ascii="Arial" w:hAnsi="Arial" w:cs="Arial"/>
        </w:rPr>
        <w:t>可能不会批准此研究。</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b/>
          <w:bCs/>
          <w:sz w:val="24"/>
          <w:szCs w:val="24"/>
        </w:rPr>
        <w:lastRenderedPageBreak/>
        <w:t>示例</w:t>
      </w:r>
      <w:r w:rsidRPr="00CA01D9">
        <w:rPr>
          <w:rFonts w:ascii="Arial" w:eastAsia="宋体" w:hAnsi="Arial" w:cs="Arial"/>
          <w:b/>
          <w:bCs/>
          <w:sz w:val="24"/>
          <w:szCs w:val="24"/>
        </w:rPr>
        <w:t xml:space="preserve">3 - </w:t>
      </w:r>
      <w:r w:rsidRPr="00CA01D9">
        <w:rPr>
          <w:rFonts w:ascii="Arial" w:eastAsia="宋体" w:hAnsi="Arial" w:cs="Arial"/>
          <w:b/>
          <w:bCs/>
          <w:sz w:val="24"/>
          <w:szCs w:val="24"/>
        </w:rPr>
        <w:t>用于治疗危及生命的病症且缺少替代治疗的器械的可行性研究计划</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拟定研究的背景</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该病症影响成年人，且具有较高的发病率和死亡率。</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对于处于疾病晚期的患者，没有有效的替代疗法。当前治疗可治愈疾病较缓和的患者，但无法治愈处于疾病晚期的患者。</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申办方拟进行早期可行性研究，以提供使用器械治疗病症的原则证明和初始临床安全数据。</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评估拟定研究的风险</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该干预具有手术相关风险，且可产生长期不良反应。已在动物研究中评价了手术风险。此外，可以从有关类似器械（但用于不同预期用途）的临床经验中获得信息。获得相关信息以及了解器械设计理念后，风险类型已知，但频率和严重程度未知。如果新型预期用途的患者特征（例如，年龄、性别或其他关键变量）不同，可以进一步限制先前临床经验的使用范围。</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申办方提出了几种策略来减少</w:t>
      </w:r>
      <w:r w:rsidR="00C420C7" w:rsidRPr="00CA01D9">
        <w:rPr>
          <w:rFonts w:ascii="Arial" w:hAnsi="Arial" w:cs="Arial"/>
        </w:rPr>
        <w:t>研究受试者</w:t>
      </w:r>
      <w:r w:rsidRPr="00CA01D9">
        <w:rPr>
          <w:rFonts w:ascii="Arial" w:hAnsi="Arial" w:cs="Arial"/>
        </w:rPr>
        <w:t>的风险频率和严重程度，其中包括：</w:t>
      </w:r>
    </w:p>
    <w:p w:rsidR="00A3286A" w:rsidRPr="00CA01D9" w:rsidRDefault="00635917" w:rsidP="007114B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使用具有足够专业知识和资源的</w:t>
      </w:r>
      <w:r w:rsidR="00C420C7" w:rsidRPr="00CA01D9">
        <w:rPr>
          <w:rFonts w:ascii="Arial" w:eastAsia="宋体" w:hAnsi="Arial" w:cs="Arial"/>
          <w:sz w:val="24"/>
          <w:szCs w:val="24"/>
        </w:rPr>
        <w:t>研究中心</w:t>
      </w:r>
      <w:r w:rsidRPr="00CA01D9">
        <w:rPr>
          <w:rFonts w:ascii="Arial" w:eastAsia="宋体" w:hAnsi="Arial" w:cs="Arial"/>
          <w:sz w:val="24"/>
          <w:szCs w:val="24"/>
        </w:rPr>
        <w:t>来管理不良事件，并在需要时提供合适的附加疗法</w:t>
      </w:r>
      <w:r w:rsidR="009D40D7" w:rsidRPr="00CA01D9">
        <w:rPr>
          <w:rFonts w:ascii="Arial" w:eastAsia="宋体" w:hAnsi="Arial" w:cs="Arial"/>
          <w:sz w:val="24"/>
          <w:szCs w:val="24"/>
        </w:rPr>
        <w:t>；</w:t>
      </w:r>
    </w:p>
    <w:p w:rsidR="00A3286A" w:rsidRPr="00CA01D9" w:rsidRDefault="00635917" w:rsidP="007114B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确定已接受充分培训，以便进行早期可行性研究的合格研究者</w:t>
      </w:r>
      <w:r w:rsidR="009D40D7" w:rsidRPr="00CA01D9">
        <w:rPr>
          <w:rFonts w:ascii="Arial" w:eastAsia="宋体" w:hAnsi="Arial" w:cs="Arial"/>
          <w:sz w:val="24"/>
          <w:szCs w:val="24"/>
        </w:rPr>
        <w:t>；</w:t>
      </w:r>
    </w:p>
    <w:p w:rsidR="00A3286A" w:rsidRPr="00CA01D9" w:rsidRDefault="00635917" w:rsidP="007114B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实施知情同意过程，其中，将通过此过程充分告知潜在受试者遭受已知和未知风险的高可能性和其严重性，以及获得直接收益的低可能性</w:t>
      </w:r>
      <w:r w:rsidR="009D40D7" w:rsidRPr="00CA01D9">
        <w:rPr>
          <w:rFonts w:ascii="Arial" w:eastAsia="宋体" w:hAnsi="Arial" w:cs="Arial"/>
          <w:sz w:val="24"/>
          <w:szCs w:val="24"/>
        </w:rPr>
        <w:t>；</w:t>
      </w:r>
      <w:r w:rsidRPr="00CA01D9">
        <w:rPr>
          <w:rFonts w:ascii="Arial" w:eastAsia="宋体" w:hAnsi="Arial" w:cs="Arial"/>
          <w:sz w:val="24"/>
          <w:szCs w:val="24"/>
        </w:rPr>
        <w:t xml:space="preserve"> </w:t>
      </w:r>
      <w:r w:rsidRPr="00CA01D9">
        <w:rPr>
          <w:rFonts w:ascii="Arial" w:eastAsia="宋体" w:hAnsi="Arial" w:cs="Arial"/>
          <w:sz w:val="24"/>
          <w:szCs w:val="24"/>
        </w:rPr>
        <w:t>实施计划，用于在研究期间获得人为因素信息，以便根据在治疗附加</w:t>
      </w:r>
      <w:r w:rsidR="007210C5" w:rsidRPr="00CA01D9">
        <w:rPr>
          <w:rFonts w:ascii="Arial" w:eastAsia="宋体" w:hAnsi="Arial" w:cs="Arial"/>
          <w:sz w:val="24"/>
          <w:szCs w:val="24"/>
        </w:rPr>
        <w:t>受试者</w:t>
      </w:r>
      <w:r w:rsidRPr="00CA01D9">
        <w:rPr>
          <w:rFonts w:ascii="Arial" w:eastAsia="宋体" w:hAnsi="Arial" w:cs="Arial"/>
          <w:sz w:val="24"/>
          <w:szCs w:val="24"/>
        </w:rPr>
        <w:t>之前获得的信息按需修改程序或器械</w:t>
      </w:r>
      <w:r w:rsidR="009D40D7" w:rsidRPr="00CA01D9">
        <w:rPr>
          <w:rFonts w:ascii="Arial" w:eastAsia="宋体" w:hAnsi="Arial" w:cs="Arial"/>
          <w:sz w:val="24"/>
          <w:szCs w:val="24"/>
        </w:rPr>
        <w:t>；</w:t>
      </w:r>
    </w:p>
    <w:p w:rsidR="00A3286A" w:rsidRPr="00CA01D9" w:rsidRDefault="00635917" w:rsidP="007114B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将样本量限制在合理数量内，以便进行早期可行性研究（例如，</w:t>
      </w:r>
      <w:r w:rsidRPr="00CA01D9">
        <w:rPr>
          <w:rFonts w:ascii="Arial" w:eastAsia="宋体" w:hAnsi="Arial" w:cs="Arial"/>
          <w:sz w:val="24"/>
          <w:szCs w:val="24"/>
        </w:rPr>
        <w:t>5-10</w:t>
      </w:r>
      <w:r w:rsidR="00C420C7" w:rsidRPr="00CA01D9">
        <w:rPr>
          <w:rFonts w:ascii="Arial" w:eastAsia="宋体" w:hAnsi="Arial" w:cs="Arial"/>
          <w:sz w:val="24"/>
          <w:szCs w:val="24"/>
        </w:rPr>
        <w:t>例</w:t>
      </w:r>
      <w:r w:rsidRPr="00CA01D9">
        <w:rPr>
          <w:rFonts w:ascii="Arial" w:eastAsia="宋体" w:hAnsi="Arial" w:cs="Arial"/>
          <w:sz w:val="24"/>
          <w:szCs w:val="24"/>
        </w:rPr>
        <w:t>初始受试者）</w:t>
      </w:r>
      <w:r w:rsidR="009D40D7" w:rsidRPr="00CA01D9">
        <w:rPr>
          <w:rFonts w:ascii="Arial" w:eastAsia="宋体" w:hAnsi="Arial" w:cs="Arial"/>
          <w:sz w:val="24"/>
          <w:szCs w:val="24"/>
        </w:rPr>
        <w:t>；</w:t>
      </w:r>
    </w:p>
    <w:p w:rsidR="00A3286A" w:rsidRPr="00CA01D9" w:rsidRDefault="00635917" w:rsidP="007114B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频繁进行随访评估，以便监测受试者安全和器械有效性</w:t>
      </w:r>
      <w:r w:rsidR="009D40D7" w:rsidRPr="00CA01D9">
        <w:rPr>
          <w:rFonts w:ascii="Arial" w:eastAsia="宋体" w:hAnsi="Arial" w:cs="Arial"/>
          <w:sz w:val="24"/>
          <w:szCs w:val="24"/>
        </w:rPr>
        <w:t>；</w:t>
      </w:r>
    </w:p>
    <w:p w:rsidR="00A3286A" w:rsidRPr="00CA01D9" w:rsidRDefault="00635917" w:rsidP="007114B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及时报告严重不良事件（即在每次发生后报告，而不是仅在定期进度报告中报</w:t>
      </w:r>
      <w:r w:rsidRPr="00CA01D9">
        <w:rPr>
          <w:rFonts w:ascii="Arial" w:eastAsia="宋体" w:hAnsi="Arial" w:cs="Arial"/>
          <w:sz w:val="24"/>
          <w:szCs w:val="24"/>
        </w:rPr>
        <w:lastRenderedPageBreak/>
        <w:t>告）</w:t>
      </w:r>
      <w:r w:rsidR="009D40D7" w:rsidRPr="00CA01D9">
        <w:rPr>
          <w:rFonts w:ascii="Arial" w:eastAsia="宋体" w:hAnsi="Arial" w:cs="Arial"/>
          <w:sz w:val="24"/>
          <w:szCs w:val="24"/>
        </w:rPr>
        <w:t>；</w:t>
      </w:r>
    </w:p>
    <w:p w:rsidR="00A3286A" w:rsidRPr="00CA01D9" w:rsidRDefault="00635917" w:rsidP="007114B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及时报告器械性能参数，帮助确定器械是否按预期运行</w:t>
      </w:r>
      <w:r w:rsidR="009D40D7" w:rsidRPr="00CA01D9">
        <w:rPr>
          <w:rFonts w:ascii="Arial" w:eastAsia="宋体" w:hAnsi="Arial" w:cs="Arial"/>
          <w:sz w:val="24"/>
          <w:szCs w:val="24"/>
        </w:rPr>
        <w:t>；</w:t>
      </w:r>
    </w:p>
    <w:p w:rsidR="00A3286A" w:rsidRPr="00CA01D9" w:rsidRDefault="00635917" w:rsidP="007114B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细化具有有利解剖形态特性的受试者的研究合格标准，避免入选其解剖形态特性可能增加器械使用难度的受试者</w:t>
      </w:r>
      <w:r w:rsidR="009D40D7" w:rsidRPr="00CA01D9">
        <w:rPr>
          <w:rFonts w:ascii="Arial" w:eastAsia="宋体" w:hAnsi="Arial" w:cs="Arial"/>
          <w:sz w:val="24"/>
          <w:szCs w:val="24"/>
        </w:rPr>
        <w:t>；</w:t>
      </w:r>
      <w:r w:rsidRPr="00CA01D9">
        <w:rPr>
          <w:rFonts w:ascii="Arial" w:eastAsia="宋体" w:hAnsi="Arial" w:cs="Arial"/>
          <w:sz w:val="24"/>
          <w:szCs w:val="24"/>
        </w:rPr>
        <w:t>以及</w:t>
      </w:r>
    </w:p>
    <w:p w:rsidR="00A3286A" w:rsidRPr="00CA01D9" w:rsidRDefault="00635917" w:rsidP="007114B9">
      <w:pPr>
        <w:pStyle w:val="a4"/>
        <w:numPr>
          <w:ilvl w:val="0"/>
          <w:numId w:val="13"/>
        </w:numPr>
        <w:tabs>
          <w:tab w:val="left" w:pos="480"/>
        </w:tabs>
        <w:snapToGrid w:val="0"/>
        <w:spacing w:afterLines="100" w:after="240" w:line="300" w:lineRule="auto"/>
        <w:ind w:left="357" w:hanging="357"/>
        <w:jc w:val="both"/>
        <w:rPr>
          <w:rFonts w:ascii="Arial" w:eastAsia="宋体" w:hAnsi="Arial" w:cs="Arial"/>
          <w:sz w:val="24"/>
          <w:szCs w:val="24"/>
        </w:rPr>
      </w:pPr>
      <w:r w:rsidRPr="00CA01D9">
        <w:rPr>
          <w:rFonts w:ascii="Arial" w:eastAsia="宋体" w:hAnsi="Arial" w:cs="Arial"/>
          <w:sz w:val="24"/>
          <w:szCs w:val="24"/>
        </w:rPr>
        <w:t>预先指定计划，用于在招募附加</w:t>
      </w:r>
      <w:r w:rsidR="007210C5" w:rsidRPr="00CA01D9">
        <w:rPr>
          <w:rFonts w:ascii="Arial" w:eastAsia="宋体" w:hAnsi="Arial" w:cs="Arial"/>
          <w:sz w:val="24"/>
          <w:szCs w:val="24"/>
        </w:rPr>
        <w:t>受试者</w:t>
      </w:r>
      <w:r w:rsidRPr="00CA01D9">
        <w:rPr>
          <w:rFonts w:ascii="Arial" w:eastAsia="宋体" w:hAnsi="Arial" w:cs="Arial"/>
          <w:sz w:val="24"/>
          <w:szCs w:val="24"/>
        </w:rPr>
        <w:t>前，定期评估和报告参加者结局（即在每次使用器械之后）。</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评估拟定研究的收益</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先前非临床研究的初步数据以及现有相关信息表明，尽管可能存在手术相关和长期不良反应，但病症的发病率和死亡率仍有可能出现临床相关降低。</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考虑患者偏好信息</w:t>
      </w:r>
    </w:p>
    <w:p w:rsidR="00A3286A" w:rsidRPr="00CA01D9" w:rsidRDefault="00635917" w:rsidP="00CA01D9">
      <w:pPr>
        <w:pStyle w:val="a3"/>
        <w:snapToGrid w:val="0"/>
        <w:spacing w:afterLines="100" w:after="240" w:line="300" w:lineRule="auto"/>
        <w:ind w:left="0"/>
        <w:jc w:val="both"/>
        <w:rPr>
          <w:rFonts w:ascii="Arial" w:hAnsi="Arial" w:cs="Arial"/>
        </w:rPr>
      </w:pPr>
      <w:proofErr w:type="gramStart"/>
      <w:r w:rsidRPr="00CA01D9">
        <w:rPr>
          <w:rFonts w:ascii="Arial" w:hAnsi="Arial" w:cs="Arial"/>
        </w:rPr>
        <w:t>鉴于缺乏</w:t>
      </w:r>
      <w:proofErr w:type="gramEnd"/>
      <w:r w:rsidRPr="00CA01D9">
        <w:rPr>
          <w:rFonts w:ascii="Arial" w:hAnsi="Arial" w:cs="Arial"/>
        </w:rPr>
        <w:t>有效的替代疗法且病症的发病率和死亡率较高，如果要使用潜在的新治疗方法，预计患者应具有较高的风险承受能力。但是，申办</w:t>
      </w:r>
      <w:proofErr w:type="gramStart"/>
      <w:r w:rsidRPr="00CA01D9">
        <w:rPr>
          <w:rFonts w:ascii="Arial" w:hAnsi="Arial" w:cs="Arial"/>
        </w:rPr>
        <w:t>方尚未</w:t>
      </w:r>
      <w:proofErr w:type="gramEnd"/>
      <w:r w:rsidRPr="00CA01D9">
        <w:rPr>
          <w:rFonts w:ascii="Arial" w:hAnsi="Arial" w:cs="Arial"/>
        </w:rPr>
        <w:t>提供确定性数据来支持此预期。</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评估不确定性</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由于器械和程序较为新颖以及缺乏非临床模型来预测器械临床安全性和有效性，器械相关不确定性程度较高，包括初始安全性，治疗的长期不良反应和预期收益。</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u w:val="single" w:color="000000"/>
        </w:rPr>
        <w:t>结论</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潜在</w:t>
      </w:r>
      <w:r w:rsidR="00C420C7" w:rsidRPr="00CA01D9">
        <w:rPr>
          <w:rFonts w:ascii="Arial" w:hAnsi="Arial" w:cs="Arial"/>
        </w:rPr>
        <w:t>研究受试者</w:t>
      </w:r>
      <w:r w:rsidRPr="00CA01D9">
        <w:rPr>
          <w:rFonts w:ascii="Arial" w:hAnsi="Arial" w:cs="Arial"/>
        </w:rPr>
        <w:t>未被常规治疗治愈，但此类治疗可以使病症较缓和的患者受益。鉴于器械开发尚处于早期阶段且拟定器械和程序较为新颖，拟定研究应具有较高的不确定性程度。尽管仅能获得有关具有不同预期用途的类似器械的信息以及从动物研究获得信息，但仍能确保早期可行性研究期间不会出现灾难性故障。附加非临床试验无法提供可降低不确定性水平的信息。</w:t>
      </w:r>
    </w:p>
    <w:p w:rsidR="00A3286A" w:rsidRPr="00CA01D9" w:rsidRDefault="00635917" w:rsidP="007114B9">
      <w:pPr>
        <w:pStyle w:val="a3"/>
        <w:snapToGrid w:val="0"/>
        <w:spacing w:afterLines="100" w:after="240" w:line="300" w:lineRule="auto"/>
        <w:ind w:left="0"/>
        <w:jc w:val="both"/>
        <w:rPr>
          <w:rFonts w:ascii="Arial" w:hAnsi="Arial" w:cs="Arial"/>
        </w:rPr>
      </w:pPr>
      <w:r w:rsidRPr="00CA01D9">
        <w:rPr>
          <w:rFonts w:ascii="Arial" w:hAnsi="Arial" w:cs="Arial"/>
        </w:rPr>
        <w:t>鉴于：（</w:t>
      </w:r>
      <w:r w:rsidRPr="00CA01D9">
        <w:rPr>
          <w:rFonts w:ascii="Arial" w:hAnsi="Arial" w:cs="Arial"/>
        </w:rPr>
        <w:t>1</w:t>
      </w:r>
      <w:r w:rsidRPr="00CA01D9">
        <w:rPr>
          <w:rFonts w:ascii="Arial" w:hAnsi="Arial" w:cs="Arial"/>
        </w:rPr>
        <w:t>）拟定器械旨在治疗无替代疗法的严重疾病</w:t>
      </w:r>
      <w:r w:rsidR="009D40D7" w:rsidRPr="00CA01D9">
        <w:rPr>
          <w:rFonts w:ascii="Arial" w:hAnsi="Arial" w:cs="Arial"/>
        </w:rPr>
        <w:t>；</w:t>
      </w:r>
      <w:r w:rsidRPr="00CA01D9">
        <w:rPr>
          <w:rFonts w:ascii="Arial" w:hAnsi="Arial" w:cs="Arial"/>
        </w:rPr>
        <w:t>（</w:t>
      </w:r>
      <w:r w:rsidRPr="00CA01D9">
        <w:rPr>
          <w:rFonts w:ascii="Arial" w:hAnsi="Arial" w:cs="Arial"/>
        </w:rPr>
        <w:t>2</w:t>
      </w:r>
      <w:r w:rsidRPr="00CA01D9">
        <w:rPr>
          <w:rFonts w:ascii="Arial" w:hAnsi="Arial" w:cs="Arial"/>
        </w:rPr>
        <w:t>）根据有关具有不同预期用途的类似器械的临床经验确定，不会出现灾难性故障</w:t>
      </w:r>
      <w:r w:rsidR="009D40D7" w:rsidRPr="00CA01D9">
        <w:rPr>
          <w:rFonts w:ascii="Arial" w:hAnsi="Arial" w:cs="Arial"/>
        </w:rPr>
        <w:t>；</w:t>
      </w:r>
      <w:r w:rsidRPr="00CA01D9">
        <w:rPr>
          <w:rFonts w:ascii="Arial" w:hAnsi="Arial" w:cs="Arial"/>
        </w:rPr>
        <w:t>（</w:t>
      </w:r>
      <w:r w:rsidRPr="00CA01D9">
        <w:rPr>
          <w:rFonts w:ascii="Arial" w:hAnsi="Arial" w:cs="Arial"/>
        </w:rPr>
        <w:t>3</w:t>
      </w:r>
      <w:r w:rsidRPr="00CA01D9">
        <w:rPr>
          <w:rFonts w:ascii="Arial" w:hAnsi="Arial" w:cs="Arial"/>
        </w:rPr>
        <w:t>）有理由</w:t>
      </w:r>
      <w:r w:rsidR="009D40D7" w:rsidRPr="00CA01D9">
        <w:rPr>
          <w:rFonts w:ascii="Arial" w:hAnsi="Arial" w:cs="Arial"/>
        </w:rPr>
        <w:t>认为</w:t>
      </w:r>
      <w:r w:rsidRPr="00CA01D9">
        <w:rPr>
          <w:rFonts w:ascii="Arial" w:hAnsi="Arial" w:cs="Arial"/>
        </w:rPr>
        <w:t>使用该器械进行治疗后，患者可能会受益</w:t>
      </w:r>
      <w:r w:rsidR="009D40D7" w:rsidRPr="00CA01D9">
        <w:rPr>
          <w:rFonts w:ascii="Arial" w:hAnsi="Arial" w:cs="Arial"/>
        </w:rPr>
        <w:t>；</w:t>
      </w:r>
      <w:r w:rsidRPr="00CA01D9">
        <w:rPr>
          <w:rFonts w:ascii="Arial" w:hAnsi="Arial" w:cs="Arial"/>
        </w:rPr>
        <w:t>以及（</w:t>
      </w:r>
      <w:r w:rsidRPr="00CA01D9">
        <w:rPr>
          <w:rFonts w:ascii="Arial" w:hAnsi="Arial" w:cs="Arial"/>
        </w:rPr>
        <w:t>4</w:t>
      </w:r>
      <w:r w:rsidRPr="00CA01D9">
        <w:rPr>
          <w:rFonts w:ascii="Arial" w:hAnsi="Arial" w:cs="Arial"/>
        </w:rPr>
        <w:t>）附加非临床试验无法提供推进设备设计所需的信息，</w:t>
      </w:r>
      <w:r w:rsidRPr="00CA01D9">
        <w:rPr>
          <w:rFonts w:ascii="Arial" w:hAnsi="Arial" w:cs="Arial"/>
        </w:rPr>
        <w:t>FDA</w:t>
      </w:r>
      <w:r w:rsidRPr="00CA01D9">
        <w:rPr>
          <w:rFonts w:ascii="Arial" w:hAnsi="Arial" w:cs="Arial"/>
        </w:rPr>
        <w:t>很可能会批准</w:t>
      </w:r>
      <w:r w:rsidRPr="00CA01D9">
        <w:rPr>
          <w:rFonts w:ascii="Arial" w:hAnsi="Arial" w:cs="Arial"/>
        </w:rPr>
        <w:t>IDE</w:t>
      </w:r>
      <w:r w:rsidRPr="00CA01D9">
        <w:rPr>
          <w:rFonts w:ascii="Arial" w:hAnsi="Arial" w:cs="Arial"/>
        </w:rPr>
        <w:t>早期可行性研究。</w:t>
      </w:r>
    </w:p>
    <w:p w:rsidR="00A3286A" w:rsidRPr="00210933" w:rsidRDefault="00635917" w:rsidP="00371F36">
      <w:pPr>
        <w:snapToGrid w:val="0"/>
        <w:spacing w:afterLines="100" w:after="240" w:line="300" w:lineRule="auto"/>
        <w:jc w:val="center"/>
        <w:outlineLvl w:val="0"/>
        <w:rPr>
          <w:rFonts w:ascii="Arial" w:eastAsia="宋体" w:hAnsi="Arial" w:cs="Arial"/>
          <w:b/>
          <w:bCs/>
          <w:sz w:val="24"/>
          <w:szCs w:val="24"/>
          <w14:shadow w14:blurRad="50800" w14:dist="38100" w14:dir="2700000" w14:sx="100000" w14:sy="100000" w14:kx="0" w14:ky="0" w14:algn="tl">
            <w14:srgbClr w14:val="000000">
              <w14:alpha w14:val="60000"/>
            </w14:srgbClr>
          </w14:shadow>
        </w:rPr>
      </w:pPr>
      <w:bookmarkStart w:id="59" w:name="APPENDIX_C_–_REFERENCE_GUIDE:_DESCRIPTIO"/>
      <w:bookmarkStart w:id="60" w:name="_bookmark51"/>
      <w:bookmarkStart w:id="61" w:name="_Toc498621513"/>
      <w:bookmarkEnd w:id="59"/>
      <w:bookmarkEnd w:id="60"/>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lastRenderedPageBreak/>
        <w:t>附录</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C——</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参考指南：研究器械描述</w:t>
      </w:r>
      <w:bookmarkEnd w:id="61"/>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评估与研究器械使用相关的收益和风险时最重要的是要了解研究器械本身。</w:t>
      </w:r>
      <w:r w:rsidRPr="00CA01D9">
        <w:rPr>
          <w:rFonts w:ascii="Arial" w:hAnsi="Arial" w:cs="Arial"/>
        </w:rPr>
        <w:t>21 CFR 812.25</w:t>
      </w:r>
      <w:r w:rsidRPr="00CA01D9">
        <w:rPr>
          <w:rFonts w:ascii="Arial" w:hAnsi="Arial" w:cs="Arial"/>
        </w:rPr>
        <w:t>（</w:t>
      </w:r>
      <w:r w:rsidRPr="00CA01D9">
        <w:rPr>
          <w:rFonts w:ascii="Arial" w:hAnsi="Arial" w:cs="Arial"/>
        </w:rPr>
        <w:t>d</w:t>
      </w:r>
      <w:r w:rsidRPr="00CA01D9">
        <w:rPr>
          <w:rFonts w:ascii="Arial" w:hAnsi="Arial" w:cs="Arial"/>
        </w:rPr>
        <w:t>）规定，研究计划应：</w:t>
      </w:r>
    </w:p>
    <w:p w:rsidR="00A3286A" w:rsidRPr="00CA01D9" w:rsidRDefault="0063591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i/>
          <w:sz w:val="24"/>
          <w:szCs w:val="24"/>
        </w:rPr>
        <w:t>描述该器械（描述器械的每个重要组件，成分，属性和操作原理以及研究期间器械的任何预期变化）。</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在未获得完全批准的</w:t>
      </w:r>
      <w:r w:rsidRPr="00CA01D9">
        <w:rPr>
          <w:rFonts w:ascii="Arial" w:hAnsi="Arial" w:cs="Arial"/>
        </w:rPr>
        <w:t>IDE</w:t>
      </w:r>
      <w:r w:rsidRPr="00CA01D9">
        <w:rPr>
          <w:rFonts w:ascii="Arial" w:hAnsi="Arial" w:cs="Arial"/>
        </w:rPr>
        <w:t>申请中，最常见的</w:t>
      </w:r>
      <w:proofErr w:type="gramStart"/>
      <w:r w:rsidRPr="00CA01D9">
        <w:rPr>
          <w:rFonts w:ascii="Arial" w:hAnsi="Arial" w:cs="Arial"/>
        </w:rPr>
        <w:t>非方案</w:t>
      </w:r>
      <w:proofErr w:type="gramEnd"/>
      <w:r w:rsidRPr="00CA01D9">
        <w:rPr>
          <w:rFonts w:ascii="Arial" w:hAnsi="Arial" w:cs="Arial"/>
        </w:rPr>
        <w:t>相关缺陷就是与研究器械描述不完整或不充分相关的缺陷。本附录列出了</w:t>
      </w:r>
      <w:r w:rsidRPr="00CA01D9">
        <w:rPr>
          <w:rFonts w:ascii="Arial" w:hAnsi="Arial" w:cs="Arial"/>
        </w:rPr>
        <w:t xml:space="preserve">CDRH </w:t>
      </w:r>
      <w:r w:rsidRPr="00CA01D9">
        <w:rPr>
          <w:rFonts w:ascii="Arial" w:hAnsi="Arial" w:cs="Arial"/>
        </w:rPr>
        <w:t>建议在</w:t>
      </w:r>
      <w:r w:rsidRPr="00CA01D9">
        <w:rPr>
          <w:rFonts w:ascii="Arial" w:hAnsi="Arial" w:cs="Arial"/>
        </w:rPr>
        <w:t>IDE</w:t>
      </w:r>
      <w:r w:rsidRPr="00CA01D9">
        <w:rPr>
          <w:rFonts w:ascii="Arial" w:hAnsi="Arial" w:cs="Arial"/>
        </w:rPr>
        <w:t>申请器械描述部分提供的器械属性。</w:t>
      </w:r>
    </w:p>
    <w:p w:rsidR="00A3286A" w:rsidRPr="00CA01D9" w:rsidRDefault="0063591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t>研究器械描述应解释器械的工作原理，构成器械基础的科学理念以及器械的重要物理和性能特性，如设备设计、所用材料和物理性质。可以通过提交工程原理图或其他图形来完善器械描述。如果器械由多个组件组成，则可以适当提供标识器械系统的不同组件如何协同工作的简图。器械描述还应讨论研究器械的物理规格、尺寸和力学公差。</w:t>
      </w:r>
      <w:r w:rsidRPr="00CA01D9">
        <w:rPr>
          <w:rFonts w:ascii="Arial" w:eastAsia="宋体" w:hAnsi="Arial" w:cs="Arial"/>
          <w:i/>
          <w:sz w:val="24"/>
          <w:szCs w:val="24"/>
        </w:rPr>
        <w:t>值得注意的是，</w:t>
      </w:r>
      <w:r w:rsidRPr="00CA01D9">
        <w:rPr>
          <w:rFonts w:ascii="Arial" w:eastAsia="宋体" w:hAnsi="Arial" w:cs="Arial"/>
          <w:i/>
          <w:sz w:val="24"/>
          <w:szCs w:val="24"/>
        </w:rPr>
        <w:t>FDA</w:t>
      </w:r>
      <w:r w:rsidRPr="00CA01D9">
        <w:rPr>
          <w:rFonts w:ascii="Arial" w:eastAsia="宋体" w:hAnsi="Arial" w:cs="Arial"/>
          <w:i/>
          <w:sz w:val="24"/>
          <w:szCs w:val="24"/>
        </w:rPr>
        <w:t>的</w:t>
      </w:r>
      <w:hyperlink r:id="rId36">
        <w:r w:rsidRPr="00CA01D9">
          <w:rPr>
            <w:rFonts w:ascii="Arial" w:eastAsia="宋体" w:hAnsi="Arial" w:cs="Arial"/>
            <w:i/>
            <w:color w:val="0000FF"/>
            <w:sz w:val="24"/>
            <w:szCs w:val="24"/>
            <w:u w:val="single" w:color="0000FF"/>
          </w:rPr>
          <w:t>早期可行性指南</w:t>
        </w:r>
      </w:hyperlink>
      <w:r w:rsidRPr="00CA01D9">
        <w:rPr>
          <w:rFonts w:ascii="Arial" w:eastAsia="宋体" w:hAnsi="Arial" w:cs="Arial"/>
          <w:i/>
          <w:sz w:val="24"/>
          <w:szCs w:val="24"/>
        </w:rPr>
        <w:t>中推荐的器械评价策略工作表提供了类似信息，也可用于解决本文提供的建议。</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一般来说，建议研究器械描述提供以下信息，或说明无需提供有关指定要素的信息或不适用</w:t>
      </w:r>
      <w:r w:rsidR="00940E41" w:rsidRPr="00CA01D9">
        <w:rPr>
          <w:rFonts w:ascii="Arial" w:hAnsi="Arial" w:cs="Arial"/>
        </w:rPr>
        <w:t>的原因</w:t>
      </w:r>
      <w:r w:rsidRPr="00CA01D9">
        <w:rPr>
          <w:rFonts w:ascii="Arial" w:hAnsi="Arial" w:cs="Arial"/>
        </w:rPr>
        <w:t>：</w:t>
      </w:r>
    </w:p>
    <w:p w:rsidR="00A3286A" w:rsidRPr="00CA01D9" w:rsidRDefault="00635917" w:rsidP="007114B9">
      <w:pPr>
        <w:pStyle w:val="a4"/>
        <w:numPr>
          <w:ilvl w:val="0"/>
          <w:numId w:val="3"/>
        </w:numPr>
        <w:tabs>
          <w:tab w:val="left" w:pos="1180"/>
        </w:tabs>
        <w:snapToGrid w:val="0"/>
        <w:spacing w:afterLines="100" w:after="240" w:line="300" w:lineRule="auto"/>
        <w:ind w:leftChars="400" w:left="1237" w:hanging="357"/>
        <w:jc w:val="both"/>
        <w:rPr>
          <w:rFonts w:ascii="Arial" w:eastAsia="宋体" w:hAnsi="Arial" w:cs="Arial"/>
          <w:sz w:val="24"/>
          <w:szCs w:val="24"/>
        </w:rPr>
      </w:pPr>
      <w:r w:rsidRPr="00CA01D9">
        <w:rPr>
          <w:rFonts w:ascii="Arial" w:eastAsia="宋体" w:hAnsi="Arial" w:cs="Arial"/>
          <w:sz w:val="24"/>
          <w:szCs w:val="24"/>
        </w:rPr>
        <w:t>器械标识：</w:t>
      </w:r>
    </w:p>
    <w:p w:rsidR="00A3286A" w:rsidRPr="00CA01D9" w:rsidRDefault="00635917" w:rsidP="00A54712">
      <w:pPr>
        <w:pStyle w:val="a4"/>
        <w:numPr>
          <w:ilvl w:val="1"/>
          <w:numId w:val="3"/>
        </w:numPr>
        <w:tabs>
          <w:tab w:val="left" w:pos="1900"/>
        </w:tabs>
        <w:snapToGrid w:val="0"/>
        <w:spacing w:line="300" w:lineRule="auto"/>
        <w:ind w:leftChars="600" w:left="1677" w:hanging="357"/>
        <w:jc w:val="both"/>
        <w:rPr>
          <w:rFonts w:ascii="Arial" w:eastAsia="宋体" w:hAnsi="Arial" w:cs="Arial"/>
          <w:sz w:val="24"/>
          <w:szCs w:val="24"/>
        </w:rPr>
      </w:pPr>
      <w:r w:rsidRPr="00CA01D9">
        <w:rPr>
          <w:rFonts w:ascii="Arial" w:eastAsia="宋体" w:hAnsi="Arial" w:cs="Arial"/>
          <w:sz w:val="24"/>
          <w:szCs w:val="24"/>
        </w:rPr>
        <w:t>列出所有器械组件（例如，导管、电缆线、引线、测量工具、输送系统等）</w:t>
      </w:r>
    </w:p>
    <w:p w:rsidR="00A3286A" w:rsidRPr="00CA01D9" w:rsidRDefault="00635917" w:rsidP="00A54712">
      <w:pPr>
        <w:pStyle w:val="a4"/>
        <w:numPr>
          <w:ilvl w:val="1"/>
          <w:numId w:val="3"/>
        </w:numPr>
        <w:tabs>
          <w:tab w:val="left" w:pos="1900"/>
        </w:tabs>
        <w:snapToGrid w:val="0"/>
        <w:spacing w:afterLines="100" w:after="240" w:line="300" w:lineRule="auto"/>
        <w:ind w:leftChars="600" w:left="1677" w:hanging="357"/>
        <w:jc w:val="both"/>
        <w:rPr>
          <w:rFonts w:ascii="Arial" w:eastAsia="宋体" w:hAnsi="Arial" w:cs="Arial"/>
          <w:sz w:val="24"/>
          <w:szCs w:val="24"/>
        </w:rPr>
      </w:pPr>
      <w:r w:rsidRPr="00CA01D9">
        <w:rPr>
          <w:rFonts w:ascii="Arial" w:eastAsia="宋体" w:hAnsi="Arial" w:cs="Arial"/>
          <w:sz w:val="24"/>
          <w:szCs w:val="24"/>
        </w:rPr>
        <w:t>列出用于研究的所有模型，并简要说明模型之间的差异</w:t>
      </w:r>
    </w:p>
    <w:p w:rsidR="00A3286A" w:rsidRPr="00CA01D9" w:rsidRDefault="00635917" w:rsidP="00A54712">
      <w:pPr>
        <w:pStyle w:val="a4"/>
        <w:numPr>
          <w:ilvl w:val="0"/>
          <w:numId w:val="3"/>
        </w:numPr>
        <w:tabs>
          <w:tab w:val="left" w:pos="1180"/>
        </w:tabs>
        <w:snapToGrid w:val="0"/>
        <w:spacing w:afterLines="100" w:after="240" w:line="300" w:lineRule="auto"/>
        <w:ind w:leftChars="400" w:left="1237" w:hanging="357"/>
        <w:jc w:val="both"/>
        <w:rPr>
          <w:rFonts w:ascii="Arial" w:eastAsia="宋体" w:hAnsi="Arial" w:cs="Arial"/>
          <w:sz w:val="24"/>
          <w:szCs w:val="24"/>
        </w:rPr>
      </w:pPr>
      <w:r w:rsidRPr="00CA01D9">
        <w:rPr>
          <w:rFonts w:ascii="Arial" w:eastAsia="宋体" w:hAnsi="Arial" w:cs="Arial"/>
          <w:sz w:val="24"/>
          <w:szCs w:val="24"/>
        </w:rPr>
        <w:t>器械的简要书面描述：</w:t>
      </w:r>
    </w:p>
    <w:p w:rsidR="00A3286A" w:rsidRPr="00CA01D9" w:rsidRDefault="00635917" w:rsidP="00A54712">
      <w:pPr>
        <w:pStyle w:val="a4"/>
        <w:numPr>
          <w:ilvl w:val="1"/>
          <w:numId w:val="3"/>
        </w:numPr>
        <w:tabs>
          <w:tab w:val="left" w:pos="1900"/>
        </w:tabs>
        <w:snapToGrid w:val="0"/>
        <w:spacing w:line="300" w:lineRule="auto"/>
        <w:ind w:leftChars="600" w:left="1677" w:hanging="357"/>
        <w:jc w:val="both"/>
        <w:rPr>
          <w:rFonts w:ascii="Arial" w:eastAsia="宋体" w:hAnsi="Arial" w:cs="Arial"/>
          <w:sz w:val="24"/>
          <w:szCs w:val="24"/>
        </w:rPr>
      </w:pPr>
      <w:r w:rsidRPr="00CA01D9">
        <w:rPr>
          <w:rFonts w:ascii="Arial" w:eastAsia="宋体" w:hAnsi="Arial" w:cs="Arial"/>
          <w:sz w:val="24"/>
          <w:szCs w:val="24"/>
        </w:rPr>
        <w:t>说明器械的工作方式</w:t>
      </w:r>
      <w:r w:rsidRPr="00CA01D9">
        <w:rPr>
          <w:rFonts w:ascii="Arial" w:eastAsia="宋体" w:hAnsi="Arial" w:cs="Arial"/>
          <w:sz w:val="24"/>
          <w:szCs w:val="24"/>
        </w:rPr>
        <w:t>/</w:t>
      </w:r>
      <w:r w:rsidRPr="00CA01D9">
        <w:rPr>
          <w:rFonts w:ascii="Arial" w:eastAsia="宋体" w:hAnsi="Arial" w:cs="Arial"/>
          <w:sz w:val="24"/>
          <w:szCs w:val="24"/>
        </w:rPr>
        <w:t>操作原理</w:t>
      </w:r>
    </w:p>
    <w:p w:rsidR="00A3286A" w:rsidRPr="00CA01D9" w:rsidRDefault="00635917" w:rsidP="00A54712">
      <w:pPr>
        <w:pStyle w:val="a4"/>
        <w:numPr>
          <w:ilvl w:val="1"/>
          <w:numId w:val="3"/>
        </w:numPr>
        <w:tabs>
          <w:tab w:val="left" w:pos="1900"/>
        </w:tabs>
        <w:snapToGrid w:val="0"/>
        <w:spacing w:line="300" w:lineRule="auto"/>
        <w:ind w:leftChars="600" w:left="1677" w:hanging="357"/>
        <w:jc w:val="both"/>
        <w:rPr>
          <w:rFonts w:ascii="Arial" w:eastAsia="宋体" w:hAnsi="Arial" w:cs="Arial"/>
          <w:sz w:val="24"/>
          <w:szCs w:val="24"/>
        </w:rPr>
      </w:pPr>
      <w:r w:rsidRPr="00CA01D9">
        <w:rPr>
          <w:rFonts w:ascii="Arial" w:eastAsia="宋体" w:hAnsi="Arial" w:cs="Arial"/>
          <w:sz w:val="24"/>
          <w:szCs w:val="24"/>
        </w:rPr>
        <w:t>作用机制（如果已知）</w:t>
      </w:r>
    </w:p>
    <w:p w:rsidR="00A3286A" w:rsidRPr="00CA01D9" w:rsidRDefault="00635917" w:rsidP="00A54712">
      <w:pPr>
        <w:pStyle w:val="a4"/>
        <w:numPr>
          <w:ilvl w:val="1"/>
          <w:numId w:val="3"/>
        </w:numPr>
        <w:tabs>
          <w:tab w:val="left" w:pos="1900"/>
        </w:tabs>
        <w:snapToGrid w:val="0"/>
        <w:spacing w:line="300" w:lineRule="auto"/>
        <w:ind w:leftChars="600" w:left="1677" w:hanging="357"/>
        <w:jc w:val="both"/>
        <w:rPr>
          <w:rFonts w:ascii="Arial" w:eastAsia="宋体" w:hAnsi="Arial" w:cs="Arial"/>
          <w:sz w:val="24"/>
          <w:szCs w:val="24"/>
        </w:rPr>
      </w:pPr>
      <w:r w:rsidRPr="00CA01D9">
        <w:rPr>
          <w:rFonts w:ascii="Arial" w:eastAsia="宋体" w:hAnsi="Arial" w:cs="Arial"/>
          <w:sz w:val="24"/>
          <w:szCs w:val="24"/>
        </w:rPr>
        <w:t>器械的主要性能规格和制造公差（如果已知）</w:t>
      </w:r>
    </w:p>
    <w:p w:rsidR="00A3286A" w:rsidRPr="00CA01D9" w:rsidRDefault="00635917" w:rsidP="00A54712">
      <w:pPr>
        <w:pStyle w:val="a4"/>
        <w:numPr>
          <w:ilvl w:val="1"/>
          <w:numId w:val="3"/>
        </w:numPr>
        <w:tabs>
          <w:tab w:val="left" w:pos="1900"/>
        </w:tabs>
        <w:snapToGrid w:val="0"/>
        <w:spacing w:line="300" w:lineRule="auto"/>
        <w:ind w:leftChars="600" w:left="1677" w:hanging="357"/>
        <w:jc w:val="both"/>
        <w:rPr>
          <w:rFonts w:ascii="Arial" w:eastAsia="宋体" w:hAnsi="Arial" w:cs="Arial"/>
          <w:sz w:val="24"/>
          <w:szCs w:val="24"/>
        </w:rPr>
      </w:pPr>
      <w:r w:rsidRPr="00CA01D9">
        <w:rPr>
          <w:rFonts w:ascii="Arial" w:eastAsia="宋体" w:hAnsi="Arial" w:cs="Arial"/>
          <w:sz w:val="24"/>
          <w:szCs w:val="24"/>
        </w:rPr>
        <w:t>关键器械特征</w:t>
      </w:r>
      <w:r w:rsidRPr="00CA01D9">
        <w:rPr>
          <w:rFonts w:ascii="Arial" w:eastAsia="宋体" w:hAnsi="Arial" w:cs="Arial"/>
          <w:sz w:val="24"/>
          <w:szCs w:val="24"/>
        </w:rPr>
        <w:t>/</w:t>
      </w:r>
      <w:r w:rsidRPr="00CA01D9">
        <w:rPr>
          <w:rFonts w:ascii="Arial" w:eastAsia="宋体" w:hAnsi="Arial" w:cs="Arial"/>
          <w:sz w:val="24"/>
          <w:szCs w:val="24"/>
        </w:rPr>
        <w:t>特性（给出所有适用信息）</w:t>
      </w:r>
    </w:p>
    <w:p w:rsidR="00A3286A" w:rsidRPr="00CA01D9" w:rsidRDefault="00635917" w:rsidP="00A54712">
      <w:pPr>
        <w:pStyle w:val="a4"/>
        <w:numPr>
          <w:ilvl w:val="0"/>
          <w:numId w:val="20"/>
        </w:numPr>
        <w:tabs>
          <w:tab w:val="left" w:pos="1180"/>
        </w:tabs>
        <w:snapToGrid w:val="0"/>
        <w:spacing w:afterLines="100" w:after="240"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软件</w:t>
      </w:r>
    </w:p>
    <w:p w:rsidR="00A3286A" w:rsidRPr="00CA01D9" w:rsidRDefault="00124B27" w:rsidP="00CA01D9">
      <w:pPr>
        <w:snapToGrid w:val="0"/>
        <w:spacing w:afterLines="100" w:after="240" w:line="300" w:lineRule="auto"/>
        <w:jc w:val="both"/>
        <w:rPr>
          <w:rFonts w:ascii="Arial" w:eastAsia="宋体" w:hAnsi="Arial" w:cs="Arial"/>
          <w:sz w:val="24"/>
          <w:szCs w:val="24"/>
        </w:rPr>
      </w:pPr>
      <w:r w:rsidRPr="00CA01D9">
        <w:rPr>
          <w:rFonts w:ascii="Arial" w:eastAsia="宋体" w:hAnsi="Arial" w:cs="Arial"/>
          <w:sz w:val="24"/>
          <w:szCs w:val="24"/>
        </w:rPr>
        <w:br w:type="page"/>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lastRenderedPageBreak/>
        <w:t>电气性质</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力学性质</w:t>
      </w:r>
    </w:p>
    <w:p w:rsidR="00A3286A" w:rsidRPr="00CA01D9" w:rsidRDefault="00270D7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生物制剂</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药品</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涂层和表面改性（例如，磨损材料表面以帮助固定植入物）</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单次使用或多次使用</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proofErr w:type="gramStart"/>
      <w:r w:rsidRPr="00CA01D9">
        <w:rPr>
          <w:rFonts w:ascii="Arial" w:eastAsia="宋体" w:hAnsi="Arial" w:cs="Arial"/>
          <w:sz w:val="24"/>
          <w:szCs w:val="24"/>
        </w:rPr>
        <w:t>单患者</w:t>
      </w:r>
      <w:proofErr w:type="gramEnd"/>
      <w:r w:rsidRPr="00CA01D9">
        <w:rPr>
          <w:rFonts w:ascii="Arial" w:eastAsia="宋体" w:hAnsi="Arial" w:cs="Arial"/>
          <w:sz w:val="24"/>
          <w:szCs w:val="24"/>
        </w:rPr>
        <w:t>或多患者</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既定用户类型</w:t>
      </w:r>
      <w:r w:rsidRPr="00CA01D9">
        <w:rPr>
          <w:rFonts w:ascii="Arial" w:eastAsia="宋体" w:hAnsi="Arial" w:cs="Arial"/>
          <w:sz w:val="24"/>
          <w:szCs w:val="24"/>
        </w:rPr>
        <w:t xml:space="preserve"> - </w:t>
      </w:r>
      <w:r w:rsidRPr="00CA01D9">
        <w:rPr>
          <w:rFonts w:ascii="Arial" w:eastAsia="宋体" w:hAnsi="Arial" w:cs="Arial"/>
          <w:sz w:val="24"/>
          <w:szCs w:val="24"/>
        </w:rPr>
        <w:t>患者、</w:t>
      </w:r>
      <w:r w:rsidR="00940E41" w:rsidRPr="00CA01D9">
        <w:rPr>
          <w:rFonts w:ascii="Arial" w:eastAsia="宋体" w:hAnsi="Arial" w:cs="Arial"/>
          <w:sz w:val="24"/>
          <w:szCs w:val="24"/>
        </w:rPr>
        <w:t>看护者</w:t>
      </w:r>
      <w:r w:rsidRPr="00CA01D9">
        <w:rPr>
          <w:rFonts w:ascii="Arial" w:eastAsia="宋体" w:hAnsi="Arial" w:cs="Arial"/>
          <w:sz w:val="24"/>
          <w:szCs w:val="24"/>
        </w:rPr>
        <w:t>、医疗专业人员或其组合。</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无菌或灭菌方法</w:t>
      </w:r>
      <w:r w:rsidR="00F3419D">
        <w:rPr>
          <w:rFonts w:ascii="Arial" w:eastAsia="宋体" w:hAnsi="Arial" w:cs="Arial" w:hint="eastAsia"/>
          <w:sz w:val="24"/>
          <w:szCs w:val="24"/>
        </w:rPr>
        <w:t>【</w:t>
      </w:r>
      <w:r w:rsidRPr="00CA01D9">
        <w:rPr>
          <w:rFonts w:ascii="Arial" w:eastAsia="宋体" w:hAnsi="Arial" w:cs="Arial"/>
          <w:sz w:val="24"/>
          <w:szCs w:val="24"/>
        </w:rPr>
        <w:t>说明</w:t>
      </w:r>
      <w:r w:rsidR="00F3419D">
        <w:rPr>
          <w:rFonts w:ascii="Arial" w:eastAsia="宋体" w:hAnsi="Arial" w:cs="Arial" w:hint="eastAsia"/>
          <w:sz w:val="24"/>
          <w:szCs w:val="24"/>
        </w:rPr>
        <w:t>】</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能源（如果适用）</w:t>
      </w:r>
    </w:p>
    <w:p w:rsidR="00A3286A" w:rsidRPr="00CA01D9" w:rsidRDefault="00635917" w:rsidP="009E144E">
      <w:pPr>
        <w:pStyle w:val="a4"/>
        <w:numPr>
          <w:ilvl w:val="0"/>
          <w:numId w:val="20"/>
        </w:numPr>
        <w:tabs>
          <w:tab w:val="left" w:pos="1180"/>
        </w:tabs>
        <w:snapToGrid w:val="0"/>
        <w:spacing w:line="300" w:lineRule="auto"/>
        <w:ind w:leftChars="1000" w:left="2557" w:hanging="357"/>
        <w:jc w:val="both"/>
        <w:rPr>
          <w:rFonts w:ascii="Arial" w:eastAsia="宋体" w:hAnsi="Arial" w:cs="Arial"/>
          <w:sz w:val="24"/>
          <w:szCs w:val="24"/>
        </w:rPr>
      </w:pPr>
      <w:r w:rsidRPr="00CA01D9">
        <w:rPr>
          <w:rFonts w:ascii="Arial" w:eastAsia="宋体" w:hAnsi="Arial" w:cs="Arial"/>
          <w:sz w:val="24"/>
          <w:szCs w:val="24"/>
        </w:rPr>
        <w:t>这不仅包括器械的能量输送（包括使用电池），而且还包括构成器械功能的能量输送（例如，激光、射频、超声等）。</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所用材料</w:t>
      </w:r>
    </w:p>
    <w:p w:rsidR="00A3286A" w:rsidRPr="00CA01D9" w:rsidRDefault="00635917" w:rsidP="009E144E">
      <w:pPr>
        <w:pStyle w:val="a4"/>
        <w:numPr>
          <w:ilvl w:val="0"/>
          <w:numId w:val="20"/>
        </w:numPr>
        <w:tabs>
          <w:tab w:val="left" w:pos="1180"/>
        </w:tabs>
        <w:snapToGrid w:val="0"/>
        <w:spacing w:line="300" w:lineRule="auto"/>
        <w:ind w:leftChars="1000" w:left="2557" w:hanging="357"/>
        <w:jc w:val="both"/>
        <w:rPr>
          <w:rFonts w:ascii="Arial" w:eastAsia="宋体" w:hAnsi="Arial" w:cs="Arial"/>
          <w:sz w:val="24"/>
          <w:szCs w:val="24"/>
        </w:rPr>
      </w:pPr>
      <w:r w:rsidRPr="00CA01D9">
        <w:rPr>
          <w:rFonts w:ascii="Arial" w:eastAsia="宋体" w:hAnsi="Arial" w:cs="Arial"/>
          <w:sz w:val="24"/>
          <w:szCs w:val="24"/>
        </w:rPr>
        <w:t>应提供建构材料中使用的化学配方（如果可用），特别是与患者接触的材料。</w:t>
      </w:r>
    </w:p>
    <w:p w:rsidR="00A3286A" w:rsidRPr="00CA01D9" w:rsidRDefault="00635917" w:rsidP="009E144E">
      <w:pPr>
        <w:pStyle w:val="a4"/>
        <w:numPr>
          <w:ilvl w:val="0"/>
          <w:numId w:val="20"/>
        </w:numPr>
        <w:tabs>
          <w:tab w:val="left" w:pos="1180"/>
        </w:tabs>
        <w:snapToGrid w:val="0"/>
        <w:spacing w:line="300" w:lineRule="auto"/>
        <w:ind w:leftChars="1000" w:left="2557" w:hanging="357"/>
        <w:jc w:val="both"/>
        <w:rPr>
          <w:rFonts w:ascii="Arial" w:eastAsia="宋体" w:hAnsi="Arial" w:cs="Arial"/>
          <w:sz w:val="24"/>
          <w:szCs w:val="24"/>
        </w:rPr>
      </w:pPr>
      <w:r w:rsidRPr="00CA01D9">
        <w:rPr>
          <w:rFonts w:ascii="Arial" w:eastAsia="宋体" w:hAnsi="Arial" w:cs="Arial"/>
          <w:sz w:val="24"/>
          <w:szCs w:val="24"/>
        </w:rPr>
        <w:t>接触持续时间和类型</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使用程序</w:t>
      </w:r>
    </w:p>
    <w:p w:rsidR="00A3286A" w:rsidRPr="00CA01D9" w:rsidRDefault="00635917" w:rsidP="009E144E">
      <w:pPr>
        <w:pStyle w:val="a4"/>
        <w:numPr>
          <w:ilvl w:val="0"/>
          <w:numId w:val="20"/>
        </w:numPr>
        <w:tabs>
          <w:tab w:val="left" w:pos="1180"/>
        </w:tabs>
        <w:snapToGrid w:val="0"/>
        <w:spacing w:line="300" w:lineRule="auto"/>
        <w:ind w:leftChars="1000" w:left="2557" w:hanging="357"/>
        <w:jc w:val="both"/>
        <w:rPr>
          <w:rFonts w:ascii="Arial" w:eastAsia="宋体" w:hAnsi="Arial" w:cs="Arial"/>
          <w:sz w:val="24"/>
          <w:szCs w:val="24"/>
        </w:rPr>
      </w:pPr>
      <w:r w:rsidRPr="00CA01D9">
        <w:rPr>
          <w:rFonts w:ascii="Arial" w:eastAsia="宋体" w:hAnsi="Arial" w:cs="Arial"/>
          <w:sz w:val="24"/>
          <w:szCs w:val="24"/>
        </w:rPr>
        <w:t>对于体外诊断器械，应逐步列出从接收标本到获得结果的建议预分析和分析程序。</w:t>
      </w:r>
    </w:p>
    <w:p w:rsidR="00A3286A" w:rsidRPr="00CA01D9" w:rsidRDefault="00635917" w:rsidP="009E144E">
      <w:pPr>
        <w:pStyle w:val="a4"/>
        <w:numPr>
          <w:ilvl w:val="0"/>
          <w:numId w:val="20"/>
        </w:numPr>
        <w:tabs>
          <w:tab w:val="left" w:pos="1180"/>
        </w:tabs>
        <w:snapToGrid w:val="0"/>
        <w:spacing w:line="300" w:lineRule="auto"/>
        <w:ind w:leftChars="800" w:left="2117" w:hanging="357"/>
        <w:jc w:val="both"/>
        <w:rPr>
          <w:rFonts w:ascii="Arial" w:eastAsia="宋体" w:hAnsi="Arial" w:cs="Arial"/>
          <w:sz w:val="24"/>
          <w:szCs w:val="24"/>
        </w:rPr>
      </w:pPr>
      <w:r w:rsidRPr="00CA01D9">
        <w:rPr>
          <w:rFonts w:ascii="Arial" w:eastAsia="宋体" w:hAnsi="Arial" w:cs="Arial"/>
          <w:sz w:val="24"/>
          <w:szCs w:val="24"/>
        </w:rPr>
        <w:t>其他关键器械特征</w:t>
      </w:r>
    </w:p>
    <w:p w:rsidR="00A3286A" w:rsidRPr="00CA01D9" w:rsidRDefault="00635917" w:rsidP="009E144E">
      <w:pPr>
        <w:pStyle w:val="a4"/>
        <w:numPr>
          <w:ilvl w:val="0"/>
          <w:numId w:val="20"/>
        </w:numPr>
        <w:tabs>
          <w:tab w:val="left" w:pos="1180"/>
        </w:tabs>
        <w:snapToGrid w:val="0"/>
        <w:spacing w:line="300" w:lineRule="auto"/>
        <w:ind w:leftChars="1000" w:left="2557" w:hanging="357"/>
        <w:jc w:val="both"/>
        <w:rPr>
          <w:rFonts w:ascii="Arial" w:eastAsia="宋体" w:hAnsi="Arial" w:cs="Arial"/>
          <w:sz w:val="24"/>
          <w:szCs w:val="24"/>
        </w:rPr>
      </w:pPr>
      <w:r w:rsidRPr="00CA01D9">
        <w:rPr>
          <w:rFonts w:ascii="Arial" w:eastAsia="宋体" w:hAnsi="Arial" w:cs="Arial"/>
          <w:sz w:val="24"/>
          <w:szCs w:val="24"/>
        </w:rPr>
        <w:t>这些可能包括但不限于软件</w:t>
      </w:r>
      <w:r w:rsidRPr="00CA01D9">
        <w:rPr>
          <w:rFonts w:ascii="Arial" w:eastAsia="宋体" w:hAnsi="Arial" w:cs="Arial"/>
          <w:sz w:val="24"/>
          <w:szCs w:val="24"/>
        </w:rPr>
        <w:t>/</w:t>
      </w:r>
      <w:r w:rsidRPr="00CA01D9">
        <w:rPr>
          <w:rFonts w:ascii="Arial" w:eastAsia="宋体" w:hAnsi="Arial" w:cs="Arial"/>
          <w:sz w:val="24"/>
          <w:szCs w:val="24"/>
        </w:rPr>
        <w:t>硬件特征、密度、孔隙率、降解特性、试剂性质（重组体、衍生等离子体等）、测定方法的原理、制造相关方面等，其中，未在材料、设计或能源特性部分明确说明此类信息。</w:t>
      </w:r>
    </w:p>
    <w:p w:rsidR="00A3286A" w:rsidRPr="00CA01D9" w:rsidRDefault="00635917" w:rsidP="009E144E">
      <w:pPr>
        <w:pStyle w:val="a4"/>
        <w:numPr>
          <w:ilvl w:val="0"/>
          <w:numId w:val="20"/>
        </w:numPr>
        <w:tabs>
          <w:tab w:val="left" w:pos="1180"/>
        </w:tabs>
        <w:snapToGrid w:val="0"/>
        <w:spacing w:line="300" w:lineRule="auto"/>
        <w:ind w:leftChars="1000" w:left="2557" w:hanging="357"/>
        <w:jc w:val="both"/>
        <w:rPr>
          <w:rFonts w:ascii="Arial" w:eastAsia="宋体" w:hAnsi="Arial" w:cs="Arial"/>
          <w:sz w:val="24"/>
          <w:szCs w:val="24"/>
        </w:rPr>
      </w:pPr>
      <w:r w:rsidRPr="00CA01D9">
        <w:rPr>
          <w:rFonts w:ascii="Arial" w:eastAsia="宋体" w:hAnsi="Arial" w:cs="Arial"/>
          <w:sz w:val="24"/>
          <w:szCs w:val="24"/>
        </w:rPr>
        <w:t>如果在研究期间或在不同研究阶段（例如，早期可行性到关键）之间对器械进行了修改，则应提供原始和改良器械的详细比较。</w:t>
      </w:r>
      <w:r w:rsidR="00124B27" w:rsidRPr="00CA01D9">
        <w:rPr>
          <w:rFonts w:ascii="Arial" w:eastAsia="宋体" w:hAnsi="Arial" w:cs="Arial"/>
          <w:sz w:val="24"/>
          <w:szCs w:val="24"/>
        </w:rPr>
        <w:br w:type="page"/>
      </w:r>
    </w:p>
    <w:p w:rsidR="00A3286A" w:rsidRPr="00210933" w:rsidRDefault="00635917" w:rsidP="00371F36">
      <w:pPr>
        <w:snapToGrid w:val="0"/>
        <w:spacing w:afterLines="100" w:after="240" w:line="300" w:lineRule="auto"/>
        <w:jc w:val="center"/>
        <w:outlineLvl w:val="0"/>
        <w:rPr>
          <w:rFonts w:ascii="Arial" w:eastAsia="宋体" w:hAnsi="Arial" w:cs="Arial"/>
          <w:b/>
          <w:bCs/>
          <w:sz w:val="24"/>
          <w:szCs w:val="24"/>
          <w14:shadow w14:blurRad="50800" w14:dist="38100" w14:dir="2700000" w14:sx="100000" w14:sy="100000" w14:kx="0" w14:ky="0" w14:algn="tl">
            <w14:srgbClr w14:val="000000">
              <w14:alpha w14:val="60000"/>
            </w14:srgbClr>
          </w14:shadow>
        </w:rPr>
      </w:pPr>
      <w:bookmarkStart w:id="62" w:name="APPENDIX_D_–_GLOSSARY_OF_RISK_MANAGEMENT"/>
      <w:bookmarkStart w:id="63" w:name="_bookmark52"/>
      <w:bookmarkStart w:id="64" w:name="_Toc498621514"/>
      <w:bookmarkEnd w:id="62"/>
      <w:bookmarkEnd w:id="63"/>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lastRenderedPageBreak/>
        <w:t>附录</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D——</w:t>
      </w:r>
      <w:r w:rsidRPr="00210933">
        <w:rPr>
          <w:rFonts w:ascii="Arial" w:eastAsia="宋体" w:hAnsi="Arial" w:cs="Arial"/>
          <w:b/>
          <w:bCs/>
          <w:sz w:val="24"/>
          <w:szCs w:val="24"/>
          <w14:shadow w14:blurRad="50800" w14:dist="38100" w14:dir="2700000" w14:sx="100000" w14:sy="100000" w14:kx="0" w14:ky="0" w14:algn="tl">
            <w14:srgbClr w14:val="000000">
              <w14:alpha w14:val="60000"/>
            </w14:srgbClr>
          </w14:shadow>
        </w:rPr>
        <w:t>风险管理术语表</w:t>
      </w:r>
      <w:bookmarkEnd w:id="64"/>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术语</w:t>
      </w:r>
      <w:r w:rsidRPr="00CA01D9">
        <w:rPr>
          <w:rFonts w:ascii="Arial" w:hAnsi="Arial" w:cs="Arial"/>
        </w:rPr>
        <w:t>/</w:t>
      </w:r>
      <w:r w:rsidRPr="00CA01D9">
        <w:rPr>
          <w:rFonts w:ascii="Arial" w:hAnsi="Arial" w:cs="Arial"/>
        </w:rPr>
        <w:t>定义</w:t>
      </w:r>
      <w:r w:rsidRPr="00CA01D9">
        <w:rPr>
          <w:rFonts w:ascii="Arial" w:hAnsi="Arial" w:cs="Arial"/>
        </w:rPr>
        <w:t>——</w:t>
      </w:r>
      <w:r w:rsidRPr="00CA01D9">
        <w:rPr>
          <w:rFonts w:ascii="Arial" w:hAnsi="Arial" w:cs="Arial"/>
        </w:rPr>
        <w:t>风险评估</w:t>
      </w:r>
    </w:p>
    <w:p w:rsidR="00A3286A" w:rsidRPr="00CA01D9" w:rsidRDefault="00635917" w:rsidP="00CA01D9">
      <w:pPr>
        <w:pStyle w:val="a3"/>
        <w:snapToGrid w:val="0"/>
        <w:spacing w:afterLines="100" w:after="240" w:line="300" w:lineRule="auto"/>
        <w:ind w:left="0"/>
        <w:jc w:val="both"/>
        <w:rPr>
          <w:rFonts w:ascii="Arial" w:hAnsi="Arial" w:cs="Arial"/>
        </w:rPr>
      </w:pPr>
      <w:r w:rsidRPr="00CA01D9">
        <w:rPr>
          <w:rFonts w:ascii="Arial" w:hAnsi="Arial" w:cs="Arial"/>
        </w:rPr>
        <w:t>以下风险管理术语符合</w:t>
      </w:r>
      <w:r w:rsidRPr="00CA01D9">
        <w:rPr>
          <w:rFonts w:ascii="Arial" w:hAnsi="Arial" w:cs="Arial"/>
        </w:rPr>
        <w:t>ISO 14971</w:t>
      </w:r>
      <w:r w:rsidRPr="00CA01D9">
        <w:rPr>
          <w:rFonts w:ascii="Arial" w:hAnsi="Arial" w:cs="Arial"/>
        </w:rPr>
        <w:t>标准。就本指南而言，术语定义如下：</w:t>
      </w:r>
    </w:p>
    <w:p w:rsidR="00A3286A" w:rsidRPr="00CA01D9" w:rsidRDefault="00635917" w:rsidP="005072FF">
      <w:pPr>
        <w:pStyle w:val="a4"/>
        <w:numPr>
          <w:ilvl w:val="0"/>
          <w:numId w:val="1"/>
        </w:numPr>
        <w:tabs>
          <w:tab w:val="left" w:pos="840"/>
        </w:tabs>
        <w:snapToGrid w:val="0"/>
        <w:spacing w:line="300" w:lineRule="auto"/>
        <w:ind w:leftChars="200" w:left="797" w:hanging="357"/>
        <w:jc w:val="both"/>
        <w:rPr>
          <w:rFonts w:ascii="Arial" w:eastAsia="宋体" w:hAnsi="Arial" w:cs="Arial"/>
          <w:sz w:val="24"/>
          <w:szCs w:val="24"/>
        </w:rPr>
      </w:pPr>
      <w:r w:rsidRPr="00CA01D9">
        <w:rPr>
          <w:rFonts w:ascii="Arial" w:eastAsia="宋体" w:hAnsi="Arial" w:cs="Arial"/>
          <w:b/>
          <w:sz w:val="24"/>
          <w:szCs w:val="24"/>
        </w:rPr>
        <w:t>损害</w:t>
      </w:r>
      <w:r w:rsidRPr="00CA01D9">
        <w:rPr>
          <w:rFonts w:ascii="Arial" w:eastAsia="宋体" w:hAnsi="Arial" w:cs="Arial"/>
          <w:sz w:val="24"/>
          <w:szCs w:val="24"/>
        </w:rPr>
        <w:t>——</w:t>
      </w:r>
      <w:r w:rsidRPr="00CA01D9">
        <w:rPr>
          <w:rFonts w:ascii="Arial" w:eastAsia="宋体" w:hAnsi="Arial" w:cs="Arial"/>
          <w:sz w:val="24"/>
          <w:szCs w:val="24"/>
        </w:rPr>
        <w:t>人身伤害或人员的健康损害，财产损失或环境损害。</w:t>
      </w:r>
    </w:p>
    <w:p w:rsidR="00A3286A" w:rsidRPr="00CA01D9" w:rsidRDefault="00635917" w:rsidP="005072FF">
      <w:pPr>
        <w:pStyle w:val="a4"/>
        <w:numPr>
          <w:ilvl w:val="0"/>
          <w:numId w:val="1"/>
        </w:numPr>
        <w:tabs>
          <w:tab w:val="left" w:pos="840"/>
        </w:tabs>
        <w:snapToGrid w:val="0"/>
        <w:spacing w:line="300" w:lineRule="auto"/>
        <w:ind w:leftChars="200" w:left="797" w:hanging="357"/>
        <w:jc w:val="both"/>
        <w:rPr>
          <w:rFonts w:ascii="Arial" w:eastAsia="宋体" w:hAnsi="Arial" w:cs="Arial"/>
          <w:sz w:val="24"/>
          <w:szCs w:val="24"/>
        </w:rPr>
      </w:pPr>
      <w:r w:rsidRPr="00CA01D9">
        <w:rPr>
          <w:rFonts w:ascii="Arial" w:eastAsia="宋体" w:hAnsi="Arial" w:cs="Arial"/>
          <w:b/>
          <w:sz w:val="24"/>
          <w:szCs w:val="24"/>
        </w:rPr>
        <w:t>危害</w:t>
      </w:r>
      <w:r w:rsidRPr="00CA01D9">
        <w:rPr>
          <w:rFonts w:ascii="Arial" w:eastAsia="宋体" w:hAnsi="Arial" w:cs="Arial"/>
          <w:sz w:val="24"/>
          <w:szCs w:val="24"/>
        </w:rPr>
        <w:t>——</w:t>
      </w:r>
      <w:r w:rsidRPr="00CA01D9">
        <w:rPr>
          <w:rFonts w:ascii="Arial" w:eastAsia="宋体" w:hAnsi="Arial" w:cs="Arial"/>
          <w:sz w:val="24"/>
          <w:szCs w:val="24"/>
        </w:rPr>
        <w:t>潜在的损害源</w:t>
      </w:r>
    </w:p>
    <w:p w:rsidR="00A3286A" w:rsidRPr="00CA01D9" w:rsidRDefault="00635917" w:rsidP="005072FF">
      <w:pPr>
        <w:pStyle w:val="a4"/>
        <w:numPr>
          <w:ilvl w:val="0"/>
          <w:numId w:val="1"/>
        </w:numPr>
        <w:tabs>
          <w:tab w:val="left" w:pos="840"/>
        </w:tabs>
        <w:snapToGrid w:val="0"/>
        <w:spacing w:line="300" w:lineRule="auto"/>
        <w:ind w:leftChars="200" w:left="797" w:hanging="357"/>
        <w:jc w:val="both"/>
        <w:rPr>
          <w:rFonts w:ascii="Arial" w:eastAsia="宋体" w:hAnsi="Arial" w:cs="Arial"/>
          <w:sz w:val="24"/>
          <w:szCs w:val="24"/>
        </w:rPr>
      </w:pPr>
      <w:r w:rsidRPr="00CA01D9">
        <w:rPr>
          <w:rFonts w:ascii="Arial" w:eastAsia="宋体" w:hAnsi="Arial" w:cs="Arial"/>
          <w:b/>
          <w:sz w:val="24"/>
          <w:szCs w:val="24"/>
        </w:rPr>
        <w:t>风险</w:t>
      </w:r>
      <w:r w:rsidRPr="00CA01D9">
        <w:rPr>
          <w:rFonts w:ascii="Arial" w:eastAsia="宋体" w:hAnsi="Arial" w:cs="Arial"/>
          <w:sz w:val="24"/>
          <w:szCs w:val="24"/>
        </w:rPr>
        <w:t>——</w:t>
      </w:r>
      <w:r w:rsidRPr="00CA01D9">
        <w:rPr>
          <w:rFonts w:ascii="Arial" w:eastAsia="宋体" w:hAnsi="Arial" w:cs="Arial"/>
          <w:sz w:val="24"/>
          <w:szCs w:val="24"/>
        </w:rPr>
        <w:t>损害发生概率及其严重程度的组合。注意，在早期开发阶段，可以使用相对的可能性，而不是发生概率，因为当证据较少时，难以或无法进行估计。</w:t>
      </w:r>
    </w:p>
    <w:p w:rsidR="00A3286A" w:rsidRPr="00CA01D9" w:rsidRDefault="00635917" w:rsidP="005072FF">
      <w:pPr>
        <w:pStyle w:val="a4"/>
        <w:numPr>
          <w:ilvl w:val="0"/>
          <w:numId w:val="1"/>
        </w:numPr>
        <w:tabs>
          <w:tab w:val="left" w:pos="840"/>
        </w:tabs>
        <w:snapToGrid w:val="0"/>
        <w:spacing w:line="300" w:lineRule="auto"/>
        <w:ind w:leftChars="200" w:left="797" w:hanging="357"/>
        <w:jc w:val="both"/>
        <w:rPr>
          <w:rFonts w:ascii="Arial" w:eastAsia="宋体" w:hAnsi="Arial" w:cs="Arial"/>
          <w:sz w:val="24"/>
          <w:szCs w:val="24"/>
        </w:rPr>
      </w:pPr>
      <w:r w:rsidRPr="00CA01D9">
        <w:rPr>
          <w:rFonts w:ascii="Arial" w:eastAsia="宋体" w:hAnsi="Arial" w:cs="Arial"/>
          <w:b/>
          <w:sz w:val="24"/>
          <w:szCs w:val="24"/>
        </w:rPr>
        <w:t>风险估计</w:t>
      </w:r>
      <w:r w:rsidRPr="00CA01D9">
        <w:rPr>
          <w:rFonts w:ascii="Arial" w:eastAsia="宋体" w:hAnsi="Arial" w:cs="Arial"/>
          <w:sz w:val="24"/>
          <w:szCs w:val="24"/>
        </w:rPr>
        <w:t>——</w:t>
      </w:r>
      <w:r w:rsidRPr="00CA01D9">
        <w:rPr>
          <w:rFonts w:ascii="Arial" w:eastAsia="宋体" w:hAnsi="Arial" w:cs="Arial"/>
          <w:sz w:val="24"/>
          <w:szCs w:val="24"/>
        </w:rPr>
        <w:t>用于给危害发生概率及其严重程度赋值的过程</w:t>
      </w:r>
    </w:p>
    <w:p w:rsidR="00A3286A" w:rsidRPr="00CA01D9" w:rsidRDefault="00635917" w:rsidP="005072FF">
      <w:pPr>
        <w:pStyle w:val="a4"/>
        <w:numPr>
          <w:ilvl w:val="0"/>
          <w:numId w:val="1"/>
        </w:numPr>
        <w:tabs>
          <w:tab w:val="left" w:pos="840"/>
        </w:tabs>
        <w:snapToGrid w:val="0"/>
        <w:spacing w:line="300" w:lineRule="auto"/>
        <w:ind w:leftChars="200" w:left="797" w:hanging="357"/>
        <w:jc w:val="both"/>
        <w:rPr>
          <w:rFonts w:ascii="Arial" w:eastAsia="宋体" w:hAnsi="Arial" w:cs="Arial"/>
          <w:sz w:val="24"/>
          <w:szCs w:val="24"/>
        </w:rPr>
      </w:pPr>
      <w:r w:rsidRPr="00CA01D9">
        <w:rPr>
          <w:rFonts w:ascii="Arial" w:eastAsia="宋体" w:hAnsi="Arial" w:cs="Arial"/>
          <w:b/>
          <w:sz w:val="24"/>
          <w:szCs w:val="24"/>
        </w:rPr>
        <w:t>风险分析</w:t>
      </w:r>
      <w:r w:rsidRPr="00CA01D9">
        <w:rPr>
          <w:rFonts w:ascii="Arial" w:eastAsia="宋体" w:hAnsi="Arial" w:cs="Arial"/>
          <w:sz w:val="24"/>
          <w:szCs w:val="24"/>
        </w:rPr>
        <w:t>——</w:t>
      </w:r>
      <w:r w:rsidRPr="00CA01D9">
        <w:rPr>
          <w:rFonts w:ascii="Arial" w:eastAsia="宋体" w:hAnsi="Arial" w:cs="Arial"/>
          <w:sz w:val="24"/>
          <w:szCs w:val="24"/>
        </w:rPr>
        <w:t>系统使用可用信息来确定危害并估计风险</w:t>
      </w:r>
    </w:p>
    <w:p w:rsidR="00A3286A" w:rsidRPr="00CA01D9" w:rsidRDefault="00635917" w:rsidP="005072FF">
      <w:pPr>
        <w:pStyle w:val="a4"/>
        <w:numPr>
          <w:ilvl w:val="0"/>
          <w:numId w:val="1"/>
        </w:numPr>
        <w:tabs>
          <w:tab w:val="left" w:pos="840"/>
        </w:tabs>
        <w:snapToGrid w:val="0"/>
        <w:spacing w:line="300" w:lineRule="auto"/>
        <w:ind w:leftChars="200" w:left="797" w:hanging="357"/>
        <w:jc w:val="both"/>
        <w:rPr>
          <w:rFonts w:ascii="Arial" w:eastAsia="宋体" w:hAnsi="Arial" w:cs="Arial"/>
          <w:sz w:val="24"/>
          <w:szCs w:val="24"/>
        </w:rPr>
      </w:pPr>
      <w:r w:rsidRPr="00CA01D9">
        <w:rPr>
          <w:rFonts w:ascii="Arial" w:eastAsia="宋体" w:hAnsi="Arial" w:cs="Arial"/>
          <w:b/>
          <w:sz w:val="24"/>
          <w:szCs w:val="24"/>
        </w:rPr>
        <w:t>风险控制</w:t>
      </w:r>
      <w:r w:rsidRPr="00CA01D9">
        <w:rPr>
          <w:rFonts w:ascii="Arial" w:eastAsia="宋体" w:hAnsi="Arial" w:cs="Arial"/>
          <w:sz w:val="24"/>
          <w:szCs w:val="24"/>
        </w:rPr>
        <w:t>——</w:t>
      </w:r>
      <w:r w:rsidRPr="00CA01D9">
        <w:rPr>
          <w:rFonts w:ascii="Arial" w:eastAsia="宋体" w:hAnsi="Arial" w:cs="Arial"/>
          <w:sz w:val="24"/>
          <w:szCs w:val="24"/>
        </w:rPr>
        <w:t>决策过程以及实施以将风险降低或维持在指定水平内的措施（例如风险缓解）。</w:t>
      </w:r>
      <w:r w:rsidR="00F3419D">
        <w:rPr>
          <w:rFonts w:ascii="Arial" w:eastAsia="宋体" w:hAnsi="Arial" w:cs="Arial" w:hint="eastAsia"/>
          <w:sz w:val="24"/>
          <w:szCs w:val="24"/>
        </w:rPr>
        <w:t>【</w:t>
      </w:r>
      <w:r w:rsidRPr="00CA01D9">
        <w:rPr>
          <w:rFonts w:ascii="Arial" w:eastAsia="宋体" w:hAnsi="Arial" w:cs="Arial"/>
          <w:sz w:val="24"/>
          <w:szCs w:val="24"/>
        </w:rPr>
        <w:t>请注意，</w:t>
      </w:r>
      <w:r w:rsidRPr="00CA01D9">
        <w:rPr>
          <w:rFonts w:ascii="Arial" w:eastAsia="宋体" w:hAnsi="Arial" w:cs="Arial"/>
          <w:sz w:val="24"/>
          <w:szCs w:val="24"/>
        </w:rPr>
        <w:t>ISO 14971</w:t>
      </w:r>
      <w:r w:rsidRPr="00CA01D9">
        <w:rPr>
          <w:rFonts w:ascii="Arial" w:eastAsia="宋体" w:hAnsi="Arial" w:cs="Arial"/>
          <w:sz w:val="24"/>
          <w:szCs w:val="24"/>
        </w:rPr>
        <w:t>中不使用属于</w:t>
      </w:r>
      <w:r w:rsidRPr="00CA01D9">
        <w:rPr>
          <w:rFonts w:ascii="Arial" w:eastAsia="宋体" w:hAnsi="Arial" w:cs="Arial"/>
          <w:sz w:val="24"/>
          <w:szCs w:val="24"/>
        </w:rPr>
        <w:t>“</w:t>
      </w:r>
      <w:r w:rsidRPr="00CA01D9">
        <w:rPr>
          <w:rFonts w:ascii="Arial" w:eastAsia="宋体" w:hAnsi="Arial" w:cs="Arial"/>
          <w:sz w:val="24"/>
          <w:szCs w:val="24"/>
        </w:rPr>
        <w:t>风险缓解</w:t>
      </w:r>
      <w:r w:rsidRPr="00CA01D9">
        <w:rPr>
          <w:rFonts w:ascii="Arial" w:eastAsia="宋体" w:hAnsi="Arial" w:cs="Arial"/>
          <w:sz w:val="24"/>
          <w:szCs w:val="24"/>
        </w:rPr>
        <w:t>”</w:t>
      </w:r>
      <w:r w:rsidRPr="00CA01D9">
        <w:rPr>
          <w:rFonts w:ascii="Arial" w:eastAsia="宋体" w:hAnsi="Arial" w:cs="Arial"/>
          <w:sz w:val="24"/>
          <w:szCs w:val="24"/>
        </w:rPr>
        <w:t>。</w:t>
      </w:r>
      <w:r w:rsidR="00F3419D">
        <w:rPr>
          <w:rFonts w:ascii="Arial" w:eastAsia="宋体" w:hAnsi="Arial" w:cs="Arial" w:hint="eastAsia"/>
          <w:sz w:val="24"/>
          <w:szCs w:val="24"/>
        </w:rPr>
        <w:t>】</w:t>
      </w:r>
    </w:p>
    <w:p w:rsidR="00A3286A" w:rsidRPr="00CA01D9" w:rsidRDefault="00635917" w:rsidP="005072FF">
      <w:pPr>
        <w:pStyle w:val="a4"/>
        <w:numPr>
          <w:ilvl w:val="0"/>
          <w:numId w:val="1"/>
        </w:numPr>
        <w:tabs>
          <w:tab w:val="left" w:pos="840"/>
        </w:tabs>
        <w:snapToGrid w:val="0"/>
        <w:spacing w:line="300" w:lineRule="auto"/>
        <w:ind w:leftChars="200" w:left="797" w:hanging="357"/>
        <w:jc w:val="both"/>
        <w:rPr>
          <w:rFonts w:ascii="Arial" w:eastAsia="宋体" w:hAnsi="Arial" w:cs="Arial"/>
          <w:sz w:val="24"/>
          <w:szCs w:val="24"/>
        </w:rPr>
      </w:pPr>
      <w:r w:rsidRPr="00CA01D9">
        <w:rPr>
          <w:rFonts w:ascii="Arial" w:eastAsia="宋体" w:hAnsi="Arial" w:cs="Arial"/>
          <w:b/>
          <w:sz w:val="24"/>
          <w:szCs w:val="24"/>
        </w:rPr>
        <w:t>剩余风险</w:t>
      </w:r>
      <w:r w:rsidRPr="00CA01D9">
        <w:rPr>
          <w:rFonts w:ascii="Arial" w:eastAsia="宋体" w:hAnsi="Arial" w:cs="Arial"/>
          <w:sz w:val="24"/>
          <w:szCs w:val="24"/>
        </w:rPr>
        <w:t>——</w:t>
      </w:r>
      <w:r w:rsidRPr="00CA01D9">
        <w:rPr>
          <w:rFonts w:ascii="Arial" w:eastAsia="宋体" w:hAnsi="Arial" w:cs="Arial"/>
          <w:sz w:val="24"/>
          <w:szCs w:val="24"/>
        </w:rPr>
        <w:t>采取风险控制措施后剩余的风险</w:t>
      </w:r>
    </w:p>
    <w:p w:rsidR="00A3286A" w:rsidRPr="00CA01D9" w:rsidRDefault="00635917" w:rsidP="005072FF">
      <w:pPr>
        <w:pStyle w:val="a4"/>
        <w:numPr>
          <w:ilvl w:val="0"/>
          <w:numId w:val="1"/>
        </w:numPr>
        <w:tabs>
          <w:tab w:val="left" w:pos="840"/>
        </w:tabs>
        <w:snapToGrid w:val="0"/>
        <w:spacing w:line="300" w:lineRule="auto"/>
        <w:ind w:leftChars="200" w:left="797" w:hanging="357"/>
        <w:jc w:val="both"/>
        <w:rPr>
          <w:rFonts w:ascii="Arial" w:eastAsia="宋体" w:hAnsi="Arial" w:cs="Arial"/>
          <w:sz w:val="24"/>
          <w:szCs w:val="24"/>
        </w:rPr>
      </w:pPr>
      <w:r w:rsidRPr="00CA01D9">
        <w:rPr>
          <w:rFonts w:ascii="Arial" w:eastAsia="宋体" w:hAnsi="Arial" w:cs="Arial"/>
          <w:b/>
          <w:sz w:val="24"/>
          <w:szCs w:val="24"/>
        </w:rPr>
        <w:t>风险评估</w:t>
      </w:r>
      <w:r w:rsidRPr="00CA01D9">
        <w:rPr>
          <w:rFonts w:ascii="Arial" w:eastAsia="宋体" w:hAnsi="Arial" w:cs="Arial"/>
          <w:sz w:val="24"/>
          <w:szCs w:val="24"/>
        </w:rPr>
        <w:t>——</w:t>
      </w:r>
      <w:r w:rsidRPr="00CA01D9">
        <w:rPr>
          <w:rFonts w:ascii="Arial" w:eastAsia="宋体" w:hAnsi="Arial" w:cs="Arial"/>
          <w:sz w:val="24"/>
          <w:szCs w:val="24"/>
        </w:rPr>
        <w:t>整体过程，包括风险分析和风险评价</w:t>
      </w:r>
    </w:p>
    <w:p w:rsidR="00A3286A" w:rsidRPr="00CA01D9" w:rsidRDefault="00635917" w:rsidP="005072FF">
      <w:pPr>
        <w:pStyle w:val="a4"/>
        <w:numPr>
          <w:ilvl w:val="0"/>
          <w:numId w:val="1"/>
        </w:numPr>
        <w:tabs>
          <w:tab w:val="left" w:pos="840"/>
        </w:tabs>
        <w:snapToGrid w:val="0"/>
        <w:spacing w:line="300" w:lineRule="auto"/>
        <w:ind w:leftChars="200" w:left="797" w:hanging="357"/>
        <w:jc w:val="both"/>
        <w:rPr>
          <w:rFonts w:ascii="Arial" w:eastAsia="宋体" w:hAnsi="Arial" w:cs="Arial"/>
          <w:sz w:val="24"/>
          <w:szCs w:val="24"/>
        </w:rPr>
      </w:pPr>
      <w:r w:rsidRPr="00CA01D9">
        <w:rPr>
          <w:rFonts w:ascii="Arial" w:eastAsia="宋体" w:hAnsi="Arial" w:cs="Arial"/>
          <w:b/>
          <w:sz w:val="24"/>
          <w:szCs w:val="24"/>
        </w:rPr>
        <w:t>风险评价</w:t>
      </w:r>
      <w:r w:rsidRPr="00CA01D9">
        <w:rPr>
          <w:rFonts w:ascii="Arial" w:eastAsia="宋体" w:hAnsi="Arial" w:cs="Arial"/>
          <w:sz w:val="24"/>
          <w:szCs w:val="24"/>
        </w:rPr>
        <w:t>——</w:t>
      </w:r>
      <w:r w:rsidRPr="00CA01D9">
        <w:rPr>
          <w:rFonts w:ascii="Arial" w:eastAsia="宋体" w:hAnsi="Arial" w:cs="Arial"/>
          <w:sz w:val="24"/>
          <w:szCs w:val="24"/>
        </w:rPr>
        <w:t>估计风险与给定风险标准进行比较以确定风险的可接受性的过程</w:t>
      </w:r>
    </w:p>
    <w:p w:rsidR="00A3286A" w:rsidRPr="00CA01D9" w:rsidRDefault="00635917" w:rsidP="005072FF">
      <w:pPr>
        <w:pStyle w:val="a4"/>
        <w:numPr>
          <w:ilvl w:val="0"/>
          <w:numId w:val="1"/>
        </w:numPr>
        <w:tabs>
          <w:tab w:val="left" w:pos="840"/>
        </w:tabs>
        <w:snapToGrid w:val="0"/>
        <w:spacing w:line="300" w:lineRule="auto"/>
        <w:ind w:leftChars="200" w:left="797" w:hanging="357"/>
        <w:jc w:val="both"/>
        <w:rPr>
          <w:rFonts w:ascii="Arial" w:eastAsia="宋体" w:hAnsi="Arial" w:cs="Arial"/>
          <w:sz w:val="24"/>
          <w:szCs w:val="24"/>
        </w:rPr>
      </w:pPr>
      <w:r w:rsidRPr="00CA01D9">
        <w:rPr>
          <w:rFonts w:ascii="Arial" w:eastAsia="宋体" w:hAnsi="Arial" w:cs="Arial"/>
          <w:b/>
          <w:sz w:val="24"/>
          <w:szCs w:val="24"/>
        </w:rPr>
        <w:t>风险管理</w:t>
      </w:r>
      <w:r w:rsidRPr="00CA01D9">
        <w:rPr>
          <w:rFonts w:ascii="Arial" w:eastAsia="宋体" w:hAnsi="Arial" w:cs="Arial"/>
          <w:sz w:val="24"/>
          <w:szCs w:val="24"/>
        </w:rPr>
        <w:t>——</w:t>
      </w:r>
      <w:r w:rsidRPr="00CA01D9">
        <w:rPr>
          <w:rFonts w:ascii="Arial" w:eastAsia="宋体" w:hAnsi="Arial" w:cs="Arial"/>
          <w:sz w:val="24"/>
          <w:szCs w:val="24"/>
        </w:rPr>
        <w:t>将管理政策、程序和规范系统性应用于分析、评价、控制和监测风险任务</w:t>
      </w:r>
      <w:bookmarkStart w:id="65" w:name="_GoBack"/>
      <w:bookmarkEnd w:id="65"/>
    </w:p>
    <w:sectPr w:rsidR="00A3286A" w:rsidRPr="00CA01D9" w:rsidSect="00124B27">
      <w:headerReference w:type="default" r:id="rId37"/>
      <w:footerReference w:type="default" r:id="rId38"/>
      <w:pgSz w:w="12240" w:h="15840"/>
      <w:pgMar w:top="1440" w:right="1800" w:bottom="1440" w:left="1800" w:header="754" w:footer="76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73" w:rsidRDefault="00CD6A73">
      <w:r>
        <w:separator/>
      </w:r>
    </w:p>
  </w:endnote>
  <w:endnote w:type="continuationSeparator" w:id="0">
    <w:p w:rsidR="00CD6A73" w:rsidRDefault="00CD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lgun Gothic">
    <w:altName w:val="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479530781"/>
      <w:docPartObj>
        <w:docPartGallery w:val="Page Numbers (Bottom of Page)"/>
        <w:docPartUnique/>
      </w:docPartObj>
    </w:sdtPr>
    <w:sdtContent>
      <w:p w:rsidR="00CD6A73" w:rsidRPr="00084618" w:rsidRDefault="00CD6A73" w:rsidP="00084618">
        <w:pPr>
          <w:pStyle w:val="a7"/>
          <w:jc w:val="right"/>
          <w:rPr>
            <w:rFonts w:ascii="Arial" w:hAnsi="Arial" w:cs="Arial"/>
            <w:sz w:val="21"/>
            <w:szCs w:val="21"/>
          </w:rPr>
        </w:pPr>
        <w:r w:rsidRPr="00084618">
          <w:rPr>
            <w:rFonts w:ascii="Arial" w:hAnsi="Arial" w:cs="Arial"/>
            <w:sz w:val="21"/>
            <w:szCs w:val="21"/>
          </w:rPr>
          <w:fldChar w:fldCharType="begin"/>
        </w:r>
        <w:r w:rsidRPr="00084618">
          <w:rPr>
            <w:rFonts w:ascii="Arial" w:hAnsi="Arial" w:cs="Arial"/>
            <w:sz w:val="21"/>
            <w:szCs w:val="21"/>
          </w:rPr>
          <w:instrText>PAGE   \* MERGEFORMAT</w:instrText>
        </w:r>
        <w:r w:rsidRPr="00084618">
          <w:rPr>
            <w:rFonts w:ascii="Arial" w:hAnsi="Arial" w:cs="Arial"/>
            <w:sz w:val="21"/>
            <w:szCs w:val="21"/>
          </w:rPr>
          <w:fldChar w:fldCharType="separate"/>
        </w:r>
        <w:r w:rsidR="00F3419D" w:rsidRPr="00F3419D">
          <w:rPr>
            <w:rFonts w:ascii="Arial" w:hAnsi="Arial" w:cs="Arial"/>
            <w:noProof/>
            <w:sz w:val="21"/>
            <w:szCs w:val="21"/>
            <w:lang w:val="zh-CN"/>
          </w:rPr>
          <w:t>37</w:t>
        </w:r>
        <w:r w:rsidRPr="00084618">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73" w:rsidRDefault="00CD6A73">
      <w:r>
        <w:separator/>
      </w:r>
    </w:p>
  </w:footnote>
  <w:footnote w:type="continuationSeparator" w:id="0">
    <w:p w:rsidR="00CD6A73" w:rsidRDefault="00CD6A73">
      <w:r>
        <w:continuationSeparator/>
      </w:r>
    </w:p>
  </w:footnote>
  <w:footnote w:id="1">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申办方和申办方研究者定义见</w:t>
      </w:r>
      <w:r w:rsidRPr="00165B66">
        <w:rPr>
          <w:rFonts w:ascii="Arial" w:eastAsia="宋体" w:hAnsi="Arial" w:cs="Arial"/>
          <w:sz w:val="21"/>
          <w:szCs w:val="21"/>
        </w:rPr>
        <w:t>21 CFR 812.3</w:t>
      </w:r>
      <w:r w:rsidRPr="00165B66">
        <w:rPr>
          <w:rFonts w:ascii="Arial" w:eastAsia="宋体" w:hAnsi="Arial" w:cs="Arial"/>
          <w:sz w:val="21"/>
          <w:szCs w:val="21"/>
        </w:rPr>
        <w:t>。</w:t>
      </w:r>
    </w:p>
  </w:footnote>
  <w:footnote w:id="2">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812.30</w:t>
      </w:r>
      <w:r w:rsidRPr="00165B66">
        <w:rPr>
          <w:rFonts w:ascii="Arial" w:eastAsia="宋体" w:hAnsi="Arial" w:cs="Arial"/>
          <w:sz w:val="21"/>
          <w:szCs w:val="21"/>
        </w:rPr>
        <w:t>（</w:t>
      </w:r>
      <w:r w:rsidRPr="00165B66">
        <w:rPr>
          <w:rFonts w:ascii="Arial" w:eastAsia="宋体" w:hAnsi="Arial" w:cs="Arial"/>
          <w:sz w:val="21"/>
          <w:szCs w:val="21"/>
        </w:rPr>
        <w:t>b</w:t>
      </w:r>
      <w:r w:rsidRPr="00165B66">
        <w:rPr>
          <w:rFonts w:ascii="Arial" w:eastAsia="宋体" w:hAnsi="Arial" w:cs="Arial"/>
          <w:sz w:val="21"/>
          <w:szCs w:val="21"/>
        </w:rPr>
        <w:t>）（</w:t>
      </w:r>
      <w:r w:rsidRPr="00165B66">
        <w:rPr>
          <w:rFonts w:ascii="Arial" w:eastAsia="宋体" w:hAnsi="Arial" w:cs="Arial"/>
          <w:sz w:val="21"/>
          <w:szCs w:val="21"/>
        </w:rPr>
        <w:t>4</w:t>
      </w:r>
      <w:r w:rsidRPr="00165B66">
        <w:rPr>
          <w:rFonts w:ascii="Arial" w:eastAsia="宋体" w:hAnsi="Arial" w:cs="Arial"/>
          <w:sz w:val="21"/>
          <w:szCs w:val="21"/>
        </w:rPr>
        <w:t>）。</w:t>
      </w:r>
    </w:p>
  </w:footnote>
  <w:footnote w:id="3">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812.2</w:t>
      </w:r>
      <w:r w:rsidRPr="00165B66">
        <w:rPr>
          <w:rFonts w:ascii="Arial" w:eastAsia="宋体" w:hAnsi="Arial" w:cs="Arial"/>
          <w:sz w:val="21"/>
          <w:szCs w:val="21"/>
        </w:rPr>
        <w:t>和</w:t>
      </w:r>
      <w:r w:rsidRPr="00165B66">
        <w:rPr>
          <w:rFonts w:ascii="Arial" w:eastAsia="宋体" w:hAnsi="Arial" w:cs="Arial"/>
          <w:sz w:val="21"/>
          <w:szCs w:val="21"/>
        </w:rPr>
        <w:t>20</w:t>
      </w:r>
      <w:r w:rsidRPr="00165B66">
        <w:rPr>
          <w:rFonts w:ascii="Arial" w:eastAsia="宋体" w:hAnsi="Arial" w:cs="Arial"/>
          <w:sz w:val="21"/>
          <w:szCs w:val="21"/>
        </w:rPr>
        <w:t>。</w:t>
      </w:r>
    </w:p>
  </w:footnote>
  <w:footnote w:id="4">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812.1</w:t>
      </w:r>
      <w:r w:rsidRPr="00165B66">
        <w:rPr>
          <w:rFonts w:ascii="Arial" w:eastAsia="宋体" w:hAnsi="Arial" w:cs="Arial"/>
          <w:sz w:val="21"/>
          <w:szCs w:val="21"/>
        </w:rPr>
        <w:t>。</w:t>
      </w:r>
    </w:p>
  </w:footnote>
  <w:footnote w:id="5">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有关在开始研究前需要提交</w:t>
      </w:r>
      <w:r w:rsidRPr="00165B66">
        <w:rPr>
          <w:rFonts w:ascii="Arial" w:eastAsia="宋体" w:hAnsi="Arial" w:cs="Arial"/>
          <w:sz w:val="21"/>
          <w:szCs w:val="21"/>
        </w:rPr>
        <w:t>IDE</w:t>
      </w:r>
      <w:r w:rsidRPr="00165B66">
        <w:rPr>
          <w:rFonts w:ascii="Arial" w:eastAsia="宋体" w:hAnsi="Arial" w:cs="Arial"/>
          <w:sz w:val="21"/>
          <w:szCs w:val="21"/>
        </w:rPr>
        <w:t>申请的条件，请参见联邦食品、药品和化妆品法案（</w:t>
      </w:r>
      <w:r w:rsidRPr="00165B66">
        <w:rPr>
          <w:rFonts w:ascii="Arial" w:eastAsia="宋体" w:hAnsi="Arial" w:cs="Arial"/>
          <w:sz w:val="21"/>
          <w:szCs w:val="21"/>
        </w:rPr>
        <w:t>FD</w:t>
      </w:r>
      <w:r w:rsidRPr="00165B66">
        <w:rPr>
          <w:rFonts w:ascii="Arial" w:eastAsia="宋体" w:hAnsi="Arial" w:cs="Arial"/>
          <w:sz w:val="21"/>
          <w:szCs w:val="21"/>
        </w:rPr>
        <w:t>＆</w:t>
      </w:r>
      <w:r w:rsidRPr="00165B66">
        <w:rPr>
          <w:rFonts w:ascii="Arial" w:eastAsia="宋体" w:hAnsi="Arial" w:cs="Arial"/>
          <w:sz w:val="21"/>
          <w:szCs w:val="21"/>
        </w:rPr>
        <w:t>C</w:t>
      </w:r>
      <w:r w:rsidRPr="00165B66">
        <w:rPr>
          <w:rFonts w:ascii="Arial" w:eastAsia="宋体" w:hAnsi="Arial" w:cs="Arial"/>
          <w:sz w:val="21"/>
          <w:szCs w:val="21"/>
        </w:rPr>
        <w:t>法案）第</w:t>
      </w:r>
      <w:r w:rsidRPr="00165B66">
        <w:rPr>
          <w:rFonts w:ascii="Arial" w:eastAsia="宋体" w:hAnsi="Arial" w:cs="Arial"/>
          <w:sz w:val="21"/>
          <w:szCs w:val="21"/>
        </w:rPr>
        <w:t>520</w:t>
      </w:r>
      <w:r w:rsidRPr="00165B66">
        <w:rPr>
          <w:rFonts w:ascii="Arial" w:eastAsia="宋体" w:hAnsi="Arial" w:cs="Arial"/>
          <w:sz w:val="21"/>
          <w:szCs w:val="21"/>
        </w:rPr>
        <w:t>（</w:t>
      </w:r>
      <w:r w:rsidRPr="00165B66">
        <w:rPr>
          <w:rFonts w:ascii="Arial" w:eastAsia="宋体" w:hAnsi="Arial" w:cs="Arial"/>
          <w:sz w:val="21"/>
          <w:szCs w:val="21"/>
        </w:rPr>
        <w:t>g</w:t>
      </w:r>
      <w:r w:rsidRPr="00165B66">
        <w:rPr>
          <w:rFonts w:ascii="Arial" w:eastAsia="宋体" w:hAnsi="Arial" w:cs="Arial"/>
          <w:sz w:val="21"/>
          <w:szCs w:val="21"/>
        </w:rPr>
        <w:t>）条和</w:t>
      </w:r>
      <w:r w:rsidRPr="00165B66">
        <w:rPr>
          <w:rFonts w:ascii="Arial" w:eastAsia="宋体" w:hAnsi="Arial" w:cs="Arial"/>
          <w:sz w:val="21"/>
          <w:szCs w:val="21"/>
        </w:rPr>
        <w:t>21 CFR 812.2</w:t>
      </w:r>
      <w:r w:rsidRPr="00165B66">
        <w:rPr>
          <w:rFonts w:ascii="Arial" w:eastAsia="宋体" w:hAnsi="Arial" w:cs="Arial"/>
          <w:sz w:val="21"/>
          <w:szCs w:val="21"/>
        </w:rPr>
        <w:t>（</w:t>
      </w:r>
      <w:r w:rsidRPr="00165B66">
        <w:rPr>
          <w:rFonts w:ascii="Arial" w:eastAsia="宋体" w:hAnsi="Arial" w:cs="Arial"/>
          <w:sz w:val="21"/>
          <w:szCs w:val="21"/>
        </w:rPr>
        <w:t>b</w:t>
      </w:r>
      <w:r w:rsidRPr="00165B66">
        <w:rPr>
          <w:rFonts w:ascii="Arial" w:eastAsia="宋体" w:hAnsi="Arial" w:cs="Arial"/>
          <w:sz w:val="21"/>
          <w:szCs w:val="21"/>
        </w:rPr>
        <w:t>）。</w:t>
      </w:r>
    </w:p>
  </w:footnote>
  <w:footnote w:id="6">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FD</w:t>
      </w:r>
      <w:r w:rsidRPr="00165B66">
        <w:rPr>
          <w:rFonts w:ascii="Arial" w:eastAsia="宋体" w:hAnsi="Arial" w:cs="Arial"/>
          <w:sz w:val="21"/>
          <w:szCs w:val="21"/>
        </w:rPr>
        <w:t>＆</w:t>
      </w:r>
      <w:r w:rsidRPr="00165B66">
        <w:rPr>
          <w:rFonts w:ascii="Arial" w:eastAsia="宋体" w:hAnsi="Arial" w:cs="Arial"/>
          <w:sz w:val="21"/>
          <w:szCs w:val="21"/>
        </w:rPr>
        <w:t>C</w:t>
      </w:r>
      <w:r w:rsidRPr="00165B66">
        <w:rPr>
          <w:rFonts w:ascii="Arial" w:eastAsia="宋体" w:hAnsi="Arial" w:cs="Arial"/>
          <w:sz w:val="21"/>
          <w:szCs w:val="21"/>
        </w:rPr>
        <w:t>法案第</w:t>
      </w:r>
      <w:r w:rsidRPr="00165B66">
        <w:rPr>
          <w:rFonts w:ascii="Arial" w:eastAsia="宋体" w:hAnsi="Arial" w:cs="Arial"/>
          <w:sz w:val="21"/>
          <w:szCs w:val="21"/>
        </w:rPr>
        <w:t>520</w:t>
      </w:r>
      <w:r w:rsidRPr="00165B66">
        <w:rPr>
          <w:rFonts w:ascii="Arial" w:eastAsia="宋体" w:hAnsi="Arial" w:cs="Arial"/>
          <w:sz w:val="21"/>
          <w:szCs w:val="21"/>
        </w:rPr>
        <w:t>（</w:t>
      </w:r>
      <w:r w:rsidRPr="00165B66">
        <w:rPr>
          <w:rFonts w:ascii="Arial" w:eastAsia="宋体" w:hAnsi="Arial" w:cs="Arial"/>
          <w:sz w:val="21"/>
          <w:szCs w:val="21"/>
        </w:rPr>
        <w:t>g</w:t>
      </w:r>
      <w:r w:rsidRPr="00165B66">
        <w:rPr>
          <w:rFonts w:ascii="Arial" w:eastAsia="宋体" w:hAnsi="Arial" w:cs="Arial"/>
          <w:sz w:val="21"/>
          <w:szCs w:val="21"/>
        </w:rPr>
        <w:t>）（</w:t>
      </w:r>
      <w:r w:rsidRPr="00165B66">
        <w:rPr>
          <w:rFonts w:ascii="Arial" w:eastAsia="宋体" w:hAnsi="Arial" w:cs="Arial"/>
          <w:sz w:val="21"/>
          <w:szCs w:val="21"/>
        </w:rPr>
        <w:t>3</w:t>
      </w:r>
      <w:r w:rsidRPr="00165B66">
        <w:rPr>
          <w:rFonts w:ascii="Arial" w:eastAsia="宋体" w:hAnsi="Arial" w:cs="Arial"/>
          <w:sz w:val="21"/>
          <w:szCs w:val="21"/>
        </w:rPr>
        <w:t>）条。</w:t>
      </w:r>
    </w:p>
  </w:footnote>
  <w:footnote w:id="7">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一般请参见</w:t>
      </w:r>
      <w:r w:rsidRPr="00165B66">
        <w:rPr>
          <w:rFonts w:ascii="Arial" w:eastAsia="宋体" w:hAnsi="Arial" w:cs="Arial"/>
          <w:sz w:val="21"/>
          <w:szCs w:val="21"/>
        </w:rPr>
        <w:t>21 CFR</w:t>
      </w:r>
      <w:r w:rsidRPr="00165B66">
        <w:rPr>
          <w:rFonts w:ascii="Arial" w:eastAsia="宋体" w:hAnsi="Arial" w:cs="Arial"/>
          <w:sz w:val="21"/>
          <w:szCs w:val="21"/>
        </w:rPr>
        <w:t>第</w:t>
      </w:r>
      <w:r w:rsidRPr="00165B66">
        <w:rPr>
          <w:rFonts w:ascii="Arial" w:eastAsia="宋体" w:hAnsi="Arial" w:cs="Arial"/>
          <w:sz w:val="21"/>
          <w:szCs w:val="21"/>
        </w:rPr>
        <w:t>50</w:t>
      </w:r>
      <w:r w:rsidRPr="00165B66">
        <w:rPr>
          <w:rFonts w:ascii="Arial" w:eastAsia="宋体" w:hAnsi="Arial" w:cs="Arial"/>
          <w:sz w:val="21"/>
          <w:szCs w:val="21"/>
        </w:rPr>
        <w:t>部分。</w:t>
      </w:r>
    </w:p>
  </w:footnote>
  <w:footnote w:id="8">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请参见</w:t>
      </w:r>
      <w:r w:rsidRPr="00165B66">
        <w:rPr>
          <w:rFonts w:ascii="Arial" w:eastAsia="宋体" w:hAnsi="Arial" w:cs="Arial"/>
          <w:sz w:val="21"/>
          <w:szCs w:val="21"/>
        </w:rPr>
        <w:t>21 CFR 50.25</w:t>
      </w:r>
      <w:r w:rsidRPr="00165B66">
        <w:rPr>
          <w:rFonts w:ascii="Arial" w:eastAsia="宋体" w:hAnsi="Arial" w:cs="Arial"/>
          <w:sz w:val="21"/>
          <w:szCs w:val="21"/>
        </w:rPr>
        <w:t>。</w:t>
      </w:r>
    </w:p>
  </w:footnote>
  <w:footnote w:id="9">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请参见</w:t>
      </w:r>
      <w:r w:rsidRPr="00165B66">
        <w:rPr>
          <w:rFonts w:ascii="Arial" w:eastAsia="宋体" w:hAnsi="Arial" w:cs="Arial"/>
          <w:sz w:val="21"/>
          <w:szCs w:val="21"/>
        </w:rPr>
        <w:t>21 CFR 50.20</w:t>
      </w:r>
      <w:r w:rsidRPr="00165B66">
        <w:rPr>
          <w:rFonts w:ascii="Arial" w:eastAsia="宋体" w:hAnsi="Arial" w:cs="Arial"/>
          <w:sz w:val="21"/>
          <w:szCs w:val="21"/>
        </w:rPr>
        <w:t>。</w:t>
      </w:r>
    </w:p>
  </w:footnote>
  <w:footnote w:id="10">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FD</w:t>
      </w:r>
      <w:r w:rsidRPr="00165B66">
        <w:rPr>
          <w:rFonts w:ascii="Arial" w:eastAsia="宋体" w:hAnsi="Arial" w:cs="Arial"/>
          <w:sz w:val="21"/>
          <w:szCs w:val="21"/>
        </w:rPr>
        <w:t>＆</w:t>
      </w:r>
      <w:r w:rsidRPr="00165B66">
        <w:rPr>
          <w:rFonts w:ascii="Arial" w:eastAsia="宋体" w:hAnsi="Arial" w:cs="Arial"/>
          <w:sz w:val="21"/>
          <w:szCs w:val="21"/>
        </w:rPr>
        <w:t>C</w:t>
      </w:r>
      <w:r w:rsidRPr="00165B66">
        <w:rPr>
          <w:rFonts w:ascii="Arial" w:eastAsia="宋体" w:hAnsi="Arial" w:cs="Arial"/>
          <w:sz w:val="21"/>
          <w:szCs w:val="21"/>
        </w:rPr>
        <w:t>法案第</w:t>
      </w:r>
      <w:r w:rsidRPr="00165B66">
        <w:rPr>
          <w:rFonts w:ascii="Arial" w:eastAsia="宋体" w:hAnsi="Arial" w:cs="Arial"/>
          <w:sz w:val="21"/>
          <w:szCs w:val="21"/>
        </w:rPr>
        <w:t>520</w:t>
      </w:r>
      <w:r w:rsidRPr="00165B66">
        <w:rPr>
          <w:rFonts w:ascii="Arial" w:eastAsia="宋体" w:hAnsi="Arial" w:cs="Arial"/>
          <w:sz w:val="21"/>
          <w:szCs w:val="21"/>
        </w:rPr>
        <w:t>（</w:t>
      </w:r>
      <w:r w:rsidRPr="00165B66">
        <w:rPr>
          <w:rFonts w:ascii="Arial" w:eastAsia="宋体" w:hAnsi="Arial" w:cs="Arial"/>
          <w:sz w:val="21"/>
          <w:szCs w:val="21"/>
        </w:rPr>
        <w:t>g</w:t>
      </w:r>
      <w:r w:rsidRPr="00165B66">
        <w:rPr>
          <w:rFonts w:ascii="Arial" w:eastAsia="宋体" w:hAnsi="Arial" w:cs="Arial"/>
          <w:sz w:val="21"/>
          <w:szCs w:val="21"/>
        </w:rPr>
        <w:t>）（</w:t>
      </w:r>
      <w:r w:rsidRPr="00165B66">
        <w:rPr>
          <w:rFonts w:ascii="Arial" w:eastAsia="宋体" w:hAnsi="Arial" w:cs="Arial"/>
          <w:sz w:val="21"/>
          <w:szCs w:val="21"/>
        </w:rPr>
        <w:t>1</w:t>
      </w:r>
      <w:r w:rsidRPr="00165B66">
        <w:rPr>
          <w:rFonts w:ascii="Arial" w:eastAsia="宋体" w:hAnsi="Arial" w:cs="Arial"/>
          <w:sz w:val="21"/>
          <w:szCs w:val="21"/>
        </w:rPr>
        <w:t>）条。</w:t>
      </w:r>
    </w:p>
  </w:footnote>
  <w:footnote w:id="11">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812.30</w:t>
      </w:r>
      <w:r w:rsidRPr="00165B66">
        <w:rPr>
          <w:rFonts w:ascii="Arial" w:eastAsia="宋体" w:hAnsi="Arial" w:cs="Arial"/>
          <w:sz w:val="21"/>
          <w:szCs w:val="21"/>
        </w:rPr>
        <w:t>（</w:t>
      </w:r>
      <w:r w:rsidRPr="00165B66">
        <w:rPr>
          <w:rFonts w:ascii="Arial" w:eastAsia="宋体" w:hAnsi="Arial" w:cs="Arial"/>
          <w:sz w:val="21"/>
          <w:szCs w:val="21"/>
        </w:rPr>
        <w:t>b</w:t>
      </w:r>
      <w:r w:rsidRPr="00165B66">
        <w:rPr>
          <w:rFonts w:ascii="Arial" w:eastAsia="宋体" w:hAnsi="Arial" w:cs="Arial"/>
          <w:sz w:val="21"/>
          <w:szCs w:val="21"/>
        </w:rPr>
        <w:t>）（</w:t>
      </w:r>
      <w:r w:rsidRPr="00165B66">
        <w:rPr>
          <w:rFonts w:ascii="Arial" w:eastAsia="宋体" w:hAnsi="Arial" w:cs="Arial"/>
          <w:sz w:val="21"/>
          <w:szCs w:val="21"/>
        </w:rPr>
        <w:t>4</w:t>
      </w:r>
      <w:r w:rsidRPr="00165B66">
        <w:rPr>
          <w:rFonts w:ascii="Arial" w:eastAsia="宋体" w:hAnsi="Arial" w:cs="Arial"/>
          <w:sz w:val="21"/>
          <w:szCs w:val="21"/>
        </w:rPr>
        <w:t>）。</w:t>
      </w:r>
    </w:p>
  </w:footnote>
  <w:footnote w:id="12">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812.30</w:t>
      </w:r>
      <w:r w:rsidRPr="00165B66">
        <w:rPr>
          <w:rFonts w:ascii="Arial" w:eastAsia="宋体" w:hAnsi="Arial" w:cs="Arial"/>
          <w:sz w:val="21"/>
          <w:szCs w:val="21"/>
        </w:rPr>
        <w:t>（</w:t>
      </w:r>
      <w:r w:rsidRPr="00165B66">
        <w:rPr>
          <w:rFonts w:ascii="Arial" w:eastAsia="宋体" w:hAnsi="Arial" w:cs="Arial"/>
          <w:sz w:val="21"/>
          <w:szCs w:val="21"/>
        </w:rPr>
        <w:t>b</w:t>
      </w:r>
      <w:r w:rsidRPr="00165B66">
        <w:rPr>
          <w:rFonts w:ascii="Arial" w:eastAsia="宋体" w:hAnsi="Arial" w:cs="Arial"/>
          <w:sz w:val="21"/>
          <w:szCs w:val="21"/>
        </w:rPr>
        <w:t>）（</w:t>
      </w:r>
      <w:r w:rsidRPr="00165B66">
        <w:rPr>
          <w:rFonts w:ascii="Arial" w:eastAsia="宋体" w:hAnsi="Arial" w:cs="Arial"/>
          <w:sz w:val="21"/>
          <w:szCs w:val="21"/>
        </w:rPr>
        <w:t>5</w:t>
      </w:r>
      <w:r w:rsidRPr="00165B66">
        <w:rPr>
          <w:rFonts w:ascii="Arial" w:eastAsia="宋体" w:hAnsi="Arial" w:cs="Arial"/>
          <w:sz w:val="21"/>
          <w:szCs w:val="21"/>
        </w:rPr>
        <w:t>）。</w:t>
      </w:r>
    </w:p>
  </w:footnote>
  <w:footnote w:id="13">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812.30</w:t>
      </w:r>
      <w:r w:rsidRPr="00165B66">
        <w:rPr>
          <w:rFonts w:ascii="Arial" w:eastAsia="宋体" w:hAnsi="Arial" w:cs="Arial"/>
          <w:sz w:val="21"/>
          <w:szCs w:val="21"/>
        </w:rPr>
        <w:t>（</w:t>
      </w:r>
      <w:r w:rsidRPr="00165B66">
        <w:rPr>
          <w:rFonts w:ascii="Arial" w:eastAsia="宋体" w:hAnsi="Arial" w:cs="Arial"/>
          <w:sz w:val="21"/>
          <w:szCs w:val="21"/>
        </w:rPr>
        <w:t>a</w:t>
      </w:r>
      <w:r w:rsidRPr="00165B66">
        <w:rPr>
          <w:rFonts w:ascii="Arial" w:eastAsia="宋体" w:hAnsi="Arial" w:cs="Arial"/>
          <w:sz w:val="21"/>
          <w:szCs w:val="21"/>
        </w:rPr>
        <w:t>）。</w:t>
      </w:r>
    </w:p>
  </w:footnote>
  <w:footnote w:id="14">
    <w:p w:rsidR="00CD6A73" w:rsidRPr="00165B66" w:rsidRDefault="00CD6A73" w:rsidP="001369B0">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有关更多信息，请参见</w:t>
      </w:r>
      <w:r w:rsidRPr="00165B66">
        <w:rPr>
          <w:rFonts w:ascii="Arial" w:eastAsia="宋体" w:hAnsi="Arial" w:cs="Arial"/>
          <w:sz w:val="21"/>
          <w:szCs w:val="21"/>
        </w:rPr>
        <w:t>“</w:t>
      </w:r>
      <w:hyperlink r:id="rId1">
        <w:r w:rsidRPr="00165B66">
          <w:rPr>
            <w:rFonts w:ascii="Arial" w:eastAsia="宋体" w:hAnsi="Arial" w:cs="Arial"/>
            <w:color w:val="0000FF"/>
            <w:sz w:val="21"/>
            <w:szCs w:val="21"/>
            <w:u w:val="single" w:color="0000FF"/>
          </w:rPr>
          <w:t>IDE</w:t>
        </w:r>
        <w:r w:rsidRPr="00165B66">
          <w:rPr>
            <w:rFonts w:ascii="Arial" w:eastAsia="宋体" w:hAnsi="Arial" w:cs="Arial"/>
            <w:color w:val="0000FF"/>
            <w:sz w:val="21"/>
            <w:szCs w:val="21"/>
            <w:u w:val="single" w:color="0000FF"/>
          </w:rPr>
          <w:t>指南的</w:t>
        </w:r>
        <w:r w:rsidRPr="00165B66">
          <w:rPr>
            <w:rFonts w:ascii="Arial" w:eastAsia="宋体" w:hAnsi="Arial" w:cs="Arial"/>
            <w:color w:val="0000FF"/>
            <w:sz w:val="21"/>
            <w:szCs w:val="21"/>
            <w:u w:val="single" w:color="0000FF"/>
          </w:rPr>
          <w:t>FDA</w:t>
        </w:r>
        <w:r w:rsidRPr="00165B66">
          <w:rPr>
            <w:rFonts w:ascii="Arial" w:eastAsia="宋体" w:hAnsi="Arial" w:cs="Arial"/>
            <w:color w:val="0000FF"/>
            <w:sz w:val="21"/>
            <w:szCs w:val="21"/>
            <w:u w:val="single" w:color="0000FF"/>
          </w:rPr>
          <w:t>决策</w:t>
        </w:r>
      </w:hyperlink>
      <w:r w:rsidRPr="00165B66">
        <w:rPr>
          <w:rFonts w:ascii="Arial" w:eastAsia="宋体" w:hAnsi="Arial" w:cs="Arial"/>
          <w:sz w:val="21"/>
          <w:szCs w:val="21"/>
        </w:rPr>
        <w:t>”</w:t>
      </w:r>
      <w:r w:rsidRPr="00165B66">
        <w:rPr>
          <w:rFonts w:ascii="Arial" w:eastAsia="宋体" w:hAnsi="Arial" w:cs="Arial"/>
          <w:sz w:val="21"/>
          <w:szCs w:val="21"/>
        </w:rPr>
        <w:t>（</w:t>
      </w:r>
      <w:hyperlink r:id="rId2">
        <w:r w:rsidRPr="00165B66">
          <w:rPr>
            <w:rFonts w:ascii="Arial" w:eastAsia="宋体" w:hAnsi="Arial" w:cs="Arial"/>
            <w:color w:val="0000FF"/>
            <w:sz w:val="21"/>
            <w:szCs w:val="21"/>
            <w:u w:val="single" w:color="0000FF"/>
          </w:rPr>
          <w:t>http://www.fda.gov/downloads/medicaldevices/deviceregulationandguidance/guidancedocuments/ucm279107.pdf</w:t>
        </w:r>
      </w:hyperlink>
      <w:r w:rsidRPr="00165B66">
        <w:rPr>
          <w:rFonts w:ascii="Arial" w:eastAsia="宋体" w:hAnsi="Arial" w:cs="Arial"/>
          <w:sz w:val="21"/>
          <w:szCs w:val="21"/>
        </w:rPr>
        <w:t>）。</w:t>
      </w:r>
    </w:p>
  </w:footnote>
  <w:footnote w:id="15">
    <w:p w:rsidR="00CD6A73" w:rsidRPr="00165B66" w:rsidRDefault="00CD6A73" w:rsidP="001369B0">
      <w:pPr>
        <w:snapToGrid w:val="0"/>
        <w:spacing w:line="300" w:lineRule="auto"/>
        <w:rPr>
          <w:rFonts w:ascii="Arial" w:eastAsia="宋体"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有关分阶段批准，请参见</w:t>
      </w:r>
      <w:r w:rsidRPr="00165B66">
        <w:rPr>
          <w:rFonts w:ascii="Arial" w:eastAsia="宋体" w:hAnsi="Arial" w:cs="Arial"/>
          <w:sz w:val="21"/>
          <w:szCs w:val="21"/>
        </w:rPr>
        <w:t>“</w:t>
      </w:r>
      <w:hyperlink r:id="rId3">
        <w:r w:rsidRPr="00165B66">
          <w:rPr>
            <w:rFonts w:ascii="Arial" w:eastAsia="宋体" w:hAnsi="Arial" w:cs="Arial"/>
            <w:color w:val="0000FF"/>
            <w:sz w:val="21"/>
            <w:szCs w:val="21"/>
            <w:u w:val="single" w:color="0000FF"/>
          </w:rPr>
          <w:t>IDE</w:t>
        </w:r>
        <w:r w:rsidRPr="00165B66">
          <w:rPr>
            <w:rFonts w:ascii="Arial" w:eastAsia="宋体" w:hAnsi="Arial" w:cs="Arial"/>
            <w:color w:val="0000FF"/>
            <w:sz w:val="21"/>
            <w:szCs w:val="21"/>
            <w:u w:val="single" w:color="0000FF"/>
          </w:rPr>
          <w:t>指南的</w:t>
        </w:r>
        <w:r w:rsidRPr="00165B66">
          <w:rPr>
            <w:rFonts w:ascii="Arial" w:eastAsia="宋体" w:hAnsi="Arial" w:cs="Arial"/>
            <w:color w:val="0000FF"/>
            <w:sz w:val="21"/>
            <w:szCs w:val="21"/>
            <w:u w:val="single" w:color="0000FF"/>
          </w:rPr>
          <w:t>FDA</w:t>
        </w:r>
        <w:r w:rsidRPr="00165B66">
          <w:rPr>
            <w:rFonts w:ascii="Arial" w:eastAsia="宋体" w:hAnsi="Arial" w:cs="Arial"/>
            <w:color w:val="0000FF"/>
            <w:sz w:val="21"/>
            <w:szCs w:val="21"/>
            <w:u w:val="single" w:color="0000FF"/>
          </w:rPr>
          <w:t>决策</w:t>
        </w:r>
      </w:hyperlink>
      <w:r w:rsidRPr="00165B66">
        <w:rPr>
          <w:rFonts w:ascii="Arial" w:eastAsia="宋体" w:hAnsi="Arial" w:cs="Arial"/>
          <w:sz w:val="21"/>
          <w:szCs w:val="21"/>
        </w:rPr>
        <w:t>”</w:t>
      </w:r>
      <w:r w:rsidRPr="00165B66">
        <w:rPr>
          <w:rFonts w:ascii="Arial" w:eastAsia="宋体" w:hAnsi="Arial" w:cs="Arial"/>
          <w:sz w:val="21"/>
          <w:szCs w:val="21"/>
        </w:rPr>
        <w:t>，第</w:t>
      </w:r>
      <w:r w:rsidRPr="00165B66">
        <w:rPr>
          <w:rFonts w:ascii="Arial" w:eastAsia="宋体" w:hAnsi="Arial" w:cs="Arial"/>
          <w:sz w:val="21"/>
          <w:szCs w:val="21"/>
        </w:rPr>
        <w:t>8</w:t>
      </w:r>
      <w:r w:rsidRPr="00165B66">
        <w:rPr>
          <w:rFonts w:ascii="Arial" w:eastAsia="宋体" w:hAnsi="Arial" w:cs="Arial"/>
          <w:sz w:val="21"/>
          <w:szCs w:val="21"/>
        </w:rPr>
        <w:t>页</w:t>
      </w:r>
    </w:p>
    <w:p w:rsidR="00CD6A73" w:rsidRPr="00165B66" w:rsidRDefault="00CD6A73" w:rsidP="001369B0">
      <w:pPr>
        <w:pStyle w:val="a9"/>
        <w:rPr>
          <w:rFonts w:ascii="Arial" w:hAnsi="Arial" w:cs="Arial"/>
          <w:sz w:val="21"/>
          <w:szCs w:val="21"/>
        </w:rPr>
      </w:pPr>
      <w:r w:rsidRPr="00165B66">
        <w:rPr>
          <w:rFonts w:ascii="Arial" w:eastAsia="宋体" w:hAnsi="Arial" w:cs="Arial"/>
          <w:sz w:val="21"/>
          <w:szCs w:val="21"/>
        </w:rPr>
        <w:t>（</w:t>
      </w:r>
      <w:hyperlink r:id="rId4">
        <w:r w:rsidRPr="00165B66">
          <w:rPr>
            <w:rFonts w:ascii="Arial" w:eastAsia="宋体" w:hAnsi="Arial" w:cs="Arial"/>
            <w:color w:val="0000FF"/>
            <w:sz w:val="21"/>
            <w:szCs w:val="21"/>
            <w:u w:val="single" w:color="0000FF"/>
          </w:rPr>
          <w:t>http://www.fda.gov/downloads/medicaldevices/deviceregulationandguidance/guidancedocuments/ucm279107.pdf</w:t>
        </w:r>
      </w:hyperlink>
      <w:r w:rsidRPr="00165B66">
        <w:rPr>
          <w:rFonts w:ascii="Arial" w:eastAsia="宋体" w:hAnsi="Arial" w:cs="Arial"/>
          <w:sz w:val="21"/>
          <w:szCs w:val="21"/>
        </w:rPr>
        <w:t>）。</w:t>
      </w:r>
    </w:p>
  </w:footnote>
  <w:footnote w:id="16">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有关</w:t>
      </w:r>
      <w:r w:rsidRPr="00165B66">
        <w:rPr>
          <w:rFonts w:ascii="Arial" w:eastAsia="宋体" w:hAnsi="Arial" w:cs="Arial"/>
          <w:sz w:val="21"/>
          <w:szCs w:val="21"/>
        </w:rPr>
        <w:t>SDC</w:t>
      </w:r>
      <w:r w:rsidRPr="00165B66">
        <w:rPr>
          <w:rFonts w:ascii="Arial" w:eastAsia="宋体" w:hAnsi="Arial" w:cs="Arial"/>
          <w:sz w:val="21"/>
          <w:szCs w:val="21"/>
        </w:rPr>
        <w:t>的更多信息，请参见</w:t>
      </w:r>
      <w:r w:rsidRPr="00165B66">
        <w:rPr>
          <w:rFonts w:ascii="Arial" w:eastAsia="宋体" w:hAnsi="Arial" w:cs="Arial"/>
          <w:sz w:val="21"/>
          <w:szCs w:val="21"/>
        </w:rPr>
        <w:t>“</w:t>
      </w:r>
      <w:hyperlink r:id="rId5">
        <w:r w:rsidRPr="00165B66">
          <w:rPr>
            <w:rFonts w:ascii="Arial" w:eastAsia="宋体" w:hAnsi="Arial" w:cs="Arial"/>
            <w:color w:val="0000FF"/>
            <w:sz w:val="21"/>
            <w:szCs w:val="21"/>
            <w:u w:val="single" w:color="0000FF"/>
          </w:rPr>
          <w:t>IDE</w:t>
        </w:r>
        <w:r w:rsidRPr="00165B66">
          <w:rPr>
            <w:rFonts w:ascii="Arial" w:eastAsia="宋体" w:hAnsi="Arial" w:cs="Arial"/>
            <w:color w:val="0000FF"/>
            <w:sz w:val="21"/>
            <w:szCs w:val="21"/>
            <w:u w:val="single" w:color="0000FF"/>
          </w:rPr>
          <w:t>指南的</w:t>
        </w:r>
        <w:r w:rsidRPr="00165B66">
          <w:rPr>
            <w:rFonts w:ascii="Arial" w:eastAsia="宋体" w:hAnsi="Arial" w:cs="Arial"/>
            <w:color w:val="0000FF"/>
            <w:sz w:val="21"/>
            <w:szCs w:val="21"/>
            <w:u w:val="single" w:color="0000FF"/>
          </w:rPr>
          <w:t>FDA</w:t>
        </w:r>
        <w:r w:rsidRPr="00165B66">
          <w:rPr>
            <w:rFonts w:ascii="Arial" w:eastAsia="宋体" w:hAnsi="Arial" w:cs="Arial"/>
            <w:color w:val="0000FF"/>
            <w:sz w:val="21"/>
            <w:szCs w:val="21"/>
            <w:u w:val="single" w:color="0000FF"/>
          </w:rPr>
          <w:t>决策</w:t>
        </w:r>
      </w:hyperlink>
      <w:r w:rsidRPr="00165B66">
        <w:rPr>
          <w:rFonts w:ascii="Arial" w:eastAsia="宋体" w:hAnsi="Arial" w:cs="Arial"/>
          <w:sz w:val="21"/>
          <w:szCs w:val="21"/>
        </w:rPr>
        <w:t>”</w:t>
      </w:r>
      <w:r w:rsidRPr="00165B66">
        <w:rPr>
          <w:rFonts w:ascii="Arial" w:eastAsia="宋体" w:hAnsi="Arial" w:cs="Arial"/>
          <w:sz w:val="21"/>
          <w:szCs w:val="21"/>
        </w:rPr>
        <w:t>（</w:t>
      </w:r>
      <w:hyperlink r:id="rId6">
        <w:r w:rsidRPr="00165B66">
          <w:rPr>
            <w:rFonts w:ascii="Arial" w:eastAsia="宋体" w:hAnsi="Arial" w:cs="Arial"/>
            <w:color w:val="0000FF"/>
            <w:sz w:val="21"/>
            <w:szCs w:val="21"/>
            <w:u w:val="single" w:color="0000FF"/>
          </w:rPr>
          <w:t>http://www.fda.gov/downloads/medicaldevices/deviceregulationandguidance/guidancedocuments/ucm279107.pdf</w:t>
        </w:r>
      </w:hyperlink>
      <w:r w:rsidRPr="00165B66">
        <w:rPr>
          <w:rFonts w:ascii="Arial" w:eastAsia="宋体" w:hAnsi="Arial" w:cs="Arial"/>
          <w:sz w:val="21"/>
          <w:szCs w:val="21"/>
        </w:rPr>
        <w:t>）。</w:t>
      </w:r>
    </w:p>
  </w:footnote>
  <w:footnote w:id="17">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请参见</w:t>
      </w:r>
      <w:hyperlink r:id="rId7">
        <w:r w:rsidRPr="00165B66">
          <w:rPr>
            <w:rFonts w:ascii="Arial" w:eastAsia="宋体" w:hAnsi="Arial" w:cs="Arial"/>
            <w:sz w:val="21"/>
            <w:szCs w:val="21"/>
            <w:u w:val="single" w:color="000000"/>
          </w:rPr>
          <w:t>FDA</w:t>
        </w:r>
        <w:r w:rsidRPr="00165B66">
          <w:rPr>
            <w:rFonts w:ascii="Arial" w:eastAsia="宋体" w:hAnsi="Arial" w:cs="Arial"/>
            <w:sz w:val="21"/>
            <w:szCs w:val="21"/>
            <w:u w:val="single" w:color="000000"/>
          </w:rPr>
          <w:t>指南</w:t>
        </w:r>
        <w:r w:rsidRPr="00165B66">
          <w:rPr>
            <w:rFonts w:ascii="Arial" w:eastAsia="宋体" w:hAnsi="Arial" w:cs="Arial"/>
            <w:sz w:val="21"/>
            <w:szCs w:val="21"/>
            <w:u w:val="single" w:color="000000"/>
          </w:rPr>
          <w:t>“</w:t>
        </w:r>
        <w:r w:rsidRPr="00165B66">
          <w:rPr>
            <w:rFonts w:ascii="Arial" w:eastAsia="宋体" w:hAnsi="Arial" w:cs="Arial"/>
            <w:sz w:val="21"/>
            <w:szCs w:val="21"/>
            <w:u w:val="single" w:color="000000"/>
          </w:rPr>
          <w:t>在医疗器械上市前批准和再次申请分类中进行收益</w:t>
        </w:r>
        <w:r w:rsidRPr="00165B66">
          <w:rPr>
            <w:rFonts w:ascii="Arial" w:eastAsia="宋体" w:hAnsi="Arial" w:cs="Arial"/>
            <w:sz w:val="21"/>
            <w:szCs w:val="21"/>
            <w:u w:val="single" w:color="000000"/>
          </w:rPr>
          <w:t>-</w:t>
        </w:r>
        <w:r w:rsidRPr="00165B66">
          <w:rPr>
            <w:rFonts w:ascii="Arial" w:eastAsia="宋体" w:hAnsi="Arial" w:cs="Arial"/>
            <w:sz w:val="21"/>
            <w:szCs w:val="21"/>
            <w:u w:val="single" w:color="000000"/>
          </w:rPr>
          <w:t>风险测定时应考虑的因素</w:t>
        </w:r>
        <w:r w:rsidRPr="00165B66">
          <w:rPr>
            <w:rFonts w:ascii="Arial" w:eastAsia="宋体" w:hAnsi="Arial" w:cs="Arial"/>
            <w:sz w:val="21"/>
            <w:szCs w:val="21"/>
            <w:u w:val="single" w:color="000000"/>
          </w:rPr>
          <w:t>”</w:t>
        </w:r>
      </w:hyperlink>
      <w:r w:rsidRPr="00165B66">
        <w:rPr>
          <w:rFonts w:ascii="Arial" w:eastAsia="宋体" w:hAnsi="Arial" w:cs="Arial"/>
          <w:sz w:val="21"/>
          <w:szCs w:val="21"/>
        </w:rPr>
        <w:t xml:space="preserve"> </w:t>
      </w:r>
      <w:hyperlink r:id="rId8"/>
      <w:r w:rsidRPr="00165B66">
        <w:rPr>
          <w:rFonts w:ascii="Arial" w:eastAsia="宋体" w:hAnsi="Arial" w:cs="Arial"/>
          <w:sz w:val="21"/>
          <w:szCs w:val="21"/>
        </w:rPr>
        <w:t>（</w:t>
      </w:r>
      <w:hyperlink r:id="rId9">
        <w:r w:rsidRPr="00165B66">
          <w:rPr>
            <w:rFonts w:ascii="Arial" w:eastAsia="宋体" w:hAnsi="Arial" w:cs="Arial"/>
            <w:color w:val="0000FF"/>
            <w:sz w:val="21"/>
            <w:szCs w:val="21"/>
            <w:u w:val="single" w:color="0000FF"/>
          </w:rPr>
          <w:t>http://www.fda.gov/ucm/groups/fdagov-public/@fdagov-meddev</w:t>
        </w:r>
      </w:hyperlink>
      <w:r w:rsidRPr="00165B66">
        <w:rPr>
          <w:rFonts w:ascii="Arial" w:eastAsia="宋体" w:hAnsi="Arial" w:cs="Arial"/>
          <w:color w:val="0000FF"/>
          <w:sz w:val="21"/>
          <w:szCs w:val="21"/>
          <w:u w:val="single" w:color="0000FF"/>
        </w:rPr>
        <w:t>-</w:t>
      </w:r>
      <w:r w:rsidRPr="00165B66">
        <w:rPr>
          <w:rFonts w:ascii="Arial" w:eastAsia="宋体" w:hAnsi="Arial" w:cs="Arial"/>
          <w:color w:val="0000FF"/>
          <w:sz w:val="21"/>
          <w:szCs w:val="21"/>
        </w:rPr>
        <w:t xml:space="preserve"> </w:t>
      </w:r>
      <w:hyperlink r:id="rId10">
        <w:r w:rsidRPr="00165B66">
          <w:rPr>
            <w:rFonts w:ascii="Arial" w:eastAsia="宋体" w:hAnsi="Arial" w:cs="Arial"/>
            <w:color w:val="0000FF"/>
            <w:sz w:val="21"/>
            <w:szCs w:val="21"/>
            <w:u w:val="single" w:color="0000FF"/>
          </w:rPr>
          <w:t>gen/documents/document/ucm517504.pdf</w:t>
        </w:r>
      </w:hyperlink>
      <w:r w:rsidRPr="00165B66">
        <w:rPr>
          <w:rFonts w:ascii="Arial" w:eastAsia="宋体" w:hAnsi="Arial" w:cs="Arial"/>
          <w:sz w:val="21"/>
          <w:szCs w:val="21"/>
        </w:rPr>
        <w:t>）。</w:t>
      </w:r>
    </w:p>
  </w:footnote>
  <w:footnote w:id="18">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812.25</w:t>
      </w:r>
      <w:r w:rsidRPr="00165B66">
        <w:rPr>
          <w:rFonts w:ascii="Arial" w:eastAsia="宋体" w:hAnsi="Arial" w:cs="Arial"/>
          <w:sz w:val="21"/>
          <w:szCs w:val="21"/>
        </w:rPr>
        <w:t>（</w:t>
      </w:r>
      <w:r w:rsidRPr="00165B66">
        <w:rPr>
          <w:rFonts w:ascii="Arial" w:eastAsia="宋体" w:hAnsi="Arial" w:cs="Arial"/>
          <w:sz w:val="21"/>
          <w:szCs w:val="21"/>
        </w:rPr>
        <w:t>c</w:t>
      </w:r>
      <w:r w:rsidRPr="00165B66">
        <w:rPr>
          <w:rFonts w:ascii="Arial" w:eastAsia="宋体" w:hAnsi="Arial" w:cs="Arial"/>
          <w:sz w:val="21"/>
          <w:szCs w:val="21"/>
        </w:rPr>
        <w:t>）。</w:t>
      </w:r>
    </w:p>
  </w:footnote>
  <w:footnote w:id="19">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812.30</w:t>
      </w:r>
      <w:r w:rsidRPr="00165B66">
        <w:rPr>
          <w:rFonts w:ascii="Arial" w:eastAsia="宋体" w:hAnsi="Arial" w:cs="Arial"/>
          <w:sz w:val="21"/>
          <w:szCs w:val="21"/>
        </w:rPr>
        <w:t>（</w:t>
      </w:r>
      <w:r w:rsidRPr="00165B66">
        <w:rPr>
          <w:rFonts w:ascii="Arial" w:eastAsia="宋体" w:hAnsi="Arial" w:cs="Arial"/>
          <w:sz w:val="21"/>
          <w:szCs w:val="21"/>
        </w:rPr>
        <w:t>b</w:t>
      </w:r>
      <w:r w:rsidRPr="00165B66">
        <w:rPr>
          <w:rFonts w:ascii="Arial" w:eastAsia="宋体" w:hAnsi="Arial" w:cs="Arial"/>
          <w:sz w:val="21"/>
          <w:szCs w:val="21"/>
        </w:rPr>
        <w:t>）（</w:t>
      </w:r>
      <w:r w:rsidRPr="00165B66">
        <w:rPr>
          <w:rFonts w:ascii="Arial" w:eastAsia="宋体" w:hAnsi="Arial" w:cs="Arial"/>
          <w:sz w:val="21"/>
          <w:szCs w:val="21"/>
        </w:rPr>
        <w:t>4</w:t>
      </w:r>
      <w:r w:rsidRPr="00165B66">
        <w:rPr>
          <w:rFonts w:ascii="Arial" w:eastAsia="宋体" w:hAnsi="Arial" w:cs="Arial"/>
          <w:sz w:val="21"/>
          <w:szCs w:val="21"/>
        </w:rPr>
        <w:t>）。</w:t>
      </w:r>
    </w:p>
  </w:footnote>
  <w:footnote w:id="20">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812.25</w:t>
      </w:r>
      <w:r w:rsidRPr="00165B66">
        <w:rPr>
          <w:rFonts w:ascii="Arial" w:eastAsia="宋体" w:hAnsi="Arial" w:cs="Arial"/>
          <w:sz w:val="21"/>
          <w:szCs w:val="21"/>
        </w:rPr>
        <w:t>（</w:t>
      </w:r>
      <w:r w:rsidRPr="00165B66">
        <w:rPr>
          <w:rFonts w:ascii="Arial" w:eastAsia="宋体" w:hAnsi="Arial" w:cs="Arial"/>
          <w:sz w:val="21"/>
          <w:szCs w:val="21"/>
        </w:rPr>
        <w:t>c</w:t>
      </w:r>
      <w:r w:rsidRPr="00165B66">
        <w:rPr>
          <w:rFonts w:ascii="Arial" w:eastAsia="宋体" w:hAnsi="Arial" w:cs="Arial"/>
          <w:sz w:val="21"/>
          <w:szCs w:val="21"/>
        </w:rPr>
        <w:t>）。</w:t>
      </w:r>
    </w:p>
  </w:footnote>
  <w:footnote w:id="21">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有关风险管理术语表，请参见附录</w:t>
      </w:r>
      <w:r w:rsidRPr="00165B66">
        <w:rPr>
          <w:rFonts w:ascii="Arial" w:eastAsia="宋体" w:hAnsi="Arial" w:cs="Arial"/>
          <w:sz w:val="21"/>
          <w:szCs w:val="21"/>
        </w:rPr>
        <w:t>D</w:t>
      </w:r>
      <w:r w:rsidRPr="00165B66">
        <w:rPr>
          <w:rFonts w:ascii="Arial" w:eastAsia="宋体" w:hAnsi="Arial" w:cs="Arial"/>
          <w:sz w:val="21"/>
          <w:szCs w:val="21"/>
        </w:rPr>
        <w:t>。</w:t>
      </w:r>
    </w:p>
  </w:footnote>
  <w:footnote w:id="22">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有关医疗器械风险管理的其他信息，请参阅</w:t>
      </w:r>
      <w:r w:rsidRPr="00165B66">
        <w:rPr>
          <w:rFonts w:ascii="Arial" w:eastAsia="宋体" w:hAnsi="Arial" w:cs="Arial"/>
          <w:sz w:val="21"/>
          <w:szCs w:val="21"/>
        </w:rPr>
        <w:t>ANSI / AAMI / ISO 14971“</w:t>
      </w:r>
      <w:r w:rsidRPr="00165B66">
        <w:rPr>
          <w:rFonts w:ascii="Arial" w:eastAsia="宋体" w:hAnsi="Arial" w:cs="Arial"/>
          <w:sz w:val="21"/>
          <w:szCs w:val="21"/>
        </w:rPr>
        <w:t>医疗器械</w:t>
      </w:r>
      <w:r w:rsidRPr="00165B66">
        <w:rPr>
          <w:rFonts w:ascii="Arial" w:eastAsia="宋体" w:hAnsi="Arial" w:cs="Arial"/>
          <w:sz w:val="21"/>
          <w:szCs w:val="21"/>
        </w:rPr>
        <w:t xml:space="preserve"> - </w:t>
      </w:r>
      <w:r w:rsidRPr="00165B66">
        <w:rPr>
          <w:rFonts w:ascii="Arial" w:eastAsia="宋体" w:hAnsi="Arial" w:cs="Arial"/>
          <w:sz w:val="21"/>
          <w:szCs w:val="21"/>
        </w:rPr>
        <w:t>医疗器械风险管理应用</w:t>
      </w:r>
      <w:r w:rsidRPr="00165B66">
        <w:rPr>
          <w:rFonts w:ascii="Arial" w:eastAsia="宋体" w:hAnsi="Arial" w:cs="Arial"/>
          <w:sz w:val="21"/>
          <w:szCs w:val="21"/>
        </w:rPr>
        <w:t>”</w:t>
      </w:r>
      <w:r w:rsidRPr="00165B66">
        <w:rPr>
          <w:rFonts w:ascii="Arial" w:eastAsia="宋体" w:hAnsi="Arial" w:cs="Arial"/>
          <w:sz w:val="21"/>
          <w:szCs w:val="21"/>
        </w:rPr>
        <w:t>。</w:t>
      </w:r>
    </w:p>
  </w:footnote>
  <w:footnote w:id="23">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812.25</w:t>
      </w:r>
      <w:r w:rsidRPr="00165B66">
        <w:rPr>
          <w:rFonts w:ascii="Arial" w:eastAsia="宋体" w:hAnsi="Arial" w:cs="Arial"/>
          <w:sz w:val="21"/>
          <w:szCs w:val="21"/>
        </w:rPr>
        <w:t>（</w:t>
      </w:r>
      <w:r w:rsidRPr="00165B66">
        <w:rPr>
          <w:rFonts w:ascii="Arial" w:eastAsia="宋体" w:hAnsi="Arial" w:cs="Arial"/>
          <w:sz w:val="21"/>
          <w:szCs w:val="21"/>
        </w:rPr>
        <w:t>c</w:t>
      </w:r>
      <w:r w:rsidRPr="00165B66">
        <w:rPr>
          <w:rFonts w:ascii="Arial" w:eastAsia="宋体" w:hAnsi="Arial" w:cs="Arial"/>
          <w:sz w:val="21"/>
          <w:szCs w:val="21"/>
        </w:rPr>
        <w:t>）。</w:t>
      </w:r>
    </w:p>
  </w:footnote>
  <w:footnote w:id="24">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请参见本</w:t>
      </w:r>
      <w:proofErr w:type="gramStart"/>
      <w:r w:rsidRPr="00165B66">
        <w:rPr>
          <w:rFonts w:ascii="Arial" w:eastAsia="宋体" w:hAnsi="Arial" w:cs="Arial"/>
          <w:sz w:val="21"/>
          <w:szCs w:val="21"/>
        </w:rPr>
        <w:t>指南第</w:t>
      </w:r>
      <w:proofErr w:type="gramEnd"/>
      <w:r w:rsidRPr="00165B66">
        <w:rPr>
          <w:rFonts w:ascii="Arial" w:eastAsia="宋体" w:hAnsi="Arial" w:cs="Arial"/>
          <w:sz w:val="21"/>
          <w:szCs w:val="21"/>
        </w:rPr>
        <w:t>A.5</w:t>
      </w:r>
      <w:r w:rsidRPr="00165B66">
        <w:rPr>
          <w:rFonts w:ascii="Arial" w:eastAsia="宋体" w:hAnsi="Arial" w:cs="Arial"/>
          <w:sz w:val="21"/>
          <w:szCs w:val="21"/>
        </w:rPr>
        <w:t>节</w:t>
      </w:r>
      <w:r w:rsidRPr="00165B66">
        <w:rPr>
          <w:rFonts w:ascii="Arial" w:eastAsia="宋体" w:hAnsi="Arial" w:cs="Arial"/>
          <w:sz w:val="21"/>
          <w:szCs w:val="21"/>
        </w:rPr>
        <w:t>——</w:t>
      </w:r>
      <w:r w:rsidRPr="00165B66">
        <w:rPr>
          <w:rFonts w:ascii="Arial" w:eastAsia="宋体" w:hAnsi="Arial" w:cs="Arial"/>
          <w:sz w:val="21"/>
          <w:szCs w:val="21"/>
        </w:rPr>
        <w:t>剩余风险评价。</w:t>
      </w:r>
    </w:p>
  </w:footnote>
  <w:footnote w:id="25">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请参见</w:t>
      </w:r>
      <w:r w:rsidRPr="00165B66">
        <w:rPr>
          <w:rFonts w:ascii="Arial" w:eastAsia="宋体" w:hAnsi="Arial" w:cs="Arial"/>
          <w:sz w:val="21"/>
          <w:szCs w:val="21"/>
        </w:rPr>
        <w:t>FDA</w:t>
      </w:r>
      <w:r w:rsidRPr="00165B66">
        <w:rPr>
          <w:rFonts w:ascii="Arial" w:eastAsia="宋体" w:hAnsi="Arial" w:cs="Arial"/>
          <w:sz w:val="21"/>
          <w:szCs w:val="21"/>
        </w:rPr>
        <w:t>指南</w:t>
      </w:r>
      <w:r w:rsidRPr="00165B66">
        <w:rPr>
          <w:rFonts w:ascii="Arial" w:eastAsia="宋体" w:hAnsi="Arial" w:cs="Arial"/>
          <w:sz w:val="21"/>
          <w:szCs w:val="21"/>
        </w:rPr>
        <w:t>“</w:t>
      </w:r>
      <w:r w:rsidRPr="00165B66">
        <w:rPr>
          <w:rFonts w:ascii="Arial" w:eastAsia="宋体" w:hAnsi="Arial" w:cs="Arial"/>
          <w:color w:val="0000FF"/>
          <w:sz w:val="21"/>
          <w:szCs w:val="21"/>
          <w:u w:val="single"/>
        </w:rPr>
        <w:t>建立和运行临床试验数据监测委员会</w:t>
      </w:r>
      <w:r w:rsidRPr="00165B66">
        <w:rPr>
          <w:rFonts w:ascii="Arial" w:eastAsia="宋体" w:hAnsi="Arial" w:cs="Arial"/>
          <w:sz w:val="21"/>
          <w:szCs w:val="21"/>
        </w:rPr>
        <w:t>”</w:t>
      </w:r>
      <w:r w:rsidRPr="00165B66">
        <w:rPr>
          <w:rFonts w:ascii="Arial" w:eastAsia="宋体" w:hAnsi="Arial" w:cs="Arial"/>
          <w:sz w:val="21"/>
          <w:szCs w:val="21"/>
        </w:rPr>
        <w:t>（</w:t>
      </w:r>
      <w:r w:rsidRPr="00165B66">
        <w:rPr>
          <w:rFonts w:ascii="Arial" w:eastAsia="宋体" w:hAnsi="Arial" w:cs="Arial"/>
          <w:sz w:val="21"/>
          <w:szCs w:val="21"/>
        </w:rPr>
        <w:t>2006</w:t>
      </w:r>
      <w:r w:rsidRPr="00165B66">
        <w:rPr>
          <w:rFonts w:ascii="Arial" w:eastAsia="宋体" w:hAnsi="Arial" w:cs="Arial"/>
          <w:sz w:val="21"/>
          <w:szCs w:val="21"/>
        </w:rPr>
        <w:t>年</w:t>
      </w:r>
      <w:r w:rsidRPr="00165B66">
        <w:rPr>
          <w:rFonts w:ascii="Arial" w:eastAsia="宋体" w:hAnsi="Arial" w:cs="Arial"/>
          <w:sz w:val="21"/>
          <w:szCs w:val="21"/>
        </w:rPr>
        <w:t>3</w:t>
      </w:r>
      <w:r w:rsidRPr="00165B66">
        <w:rPr>
          <w:rFonts w:ascii="Arial" w:eastAsia="宋体" w:hAnsi="Arial" w:cs="Arial"/>
          <w:sz w:val="21"/>
          <w:szCs w:val="21"/>
        </w:rPr>
        <w:t>月）（</w:t>
      </w:r>
      <w:hyperlink r:id="rId11">
        <w:r w:rsidRPr="00165B66">
          <w:rPr>
            <w:rFonts w:ascii="Arial" w:eastAsia="宋体" w:hAnsi="Arial" w:cs="Arial"/>
            <w:color w:val="0000FF"/>
            <w:sz w:val="21"/>
            <w:szCs w:val="21"/>
            <w:u w:val="single" w:color="0000FF"/>
          </w:rPr>
          <w:t>http://www.fda.gov/downloads/RegulatoryInformation/Guidances/ucm127073.pdf</w:t>
        </w:r>
      </w:hyperlink>
      <w:r w:rsidRPr="00165B66">
        <w:rPr>
          <w:rFonts w:ascii="Arial" w:eastAsia="宋体" w:hAnsi="Arial" w:cs="Arial"/>
          <w:sz w:val="21"/>
          <w:szCs w:val="21"/>
        </w:rPr>
        <w:t>）。</w:t>
      </w:r>
    </w:p>
  </w:footnote>
  <w:footnote w:id="26">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请参见</w:t>
      </w:r>
      <w:r w:rsidRPr="00165B66">
        <w:rPr>
          <w:rFonts w:ascii="Arial" w:eastAsia="宋体" w:hAnsi="Arial" w:cs="Arial"/>
          <w:sz w:val="21"/>
          <w:szCs w:val="21"/>
        </w:rPr>
        <w:t>FDASIA</w:t>
      </w:r>
      <w:r w:rsidRPr="00165B66">
        <w:rPr>
          <w:rFonts w:ascii="Arial" w:eastAsia="宋体" w:hAnsi="Arial" w:cs="Arial"/>
          <w:sz w:val="21"/>
          <w:szCs w:val="21"/>
        </w:rPr>
        <w:t>第</w:t>
      </w:r>
      <w:r w:rsidRPr="00165B66">
        <w:rPr>
          <w:rFonts w:ascii="Arial" w:eastAsia="宋体" w:hAnsi="Arial" w:cs="Arial"/>
          <w:sz w:val="21"/>
          <w:szCs w:val="21"/>
        </w:rPr>
        <w:t>606</w:t>
      </w:r>
      <w:r w:rsidRPr="00165B66">
        <w:rPr>
          <w:rFonts w:ascii="Arial" w:eastAsia="宋体" w:hAnsi="Arial" w:cs="Arial"/>
          <w:sz w:val="21"/>
          <w:szCs w:val="21"/>
        </w:rPr>
        <w:t>条</w:t>
      </w:r>
      <w:r w:rsidRPr="00165B66">
        <w:rPr>
          <w:rFonts w:ascii="Arial" w:eastAsia="宋体" w:hAnsi="Arial" w:cs="Arial"/>
          <w:sz w:val="21"/>
          <w:szCs w:val="21"/>
        </w:rPr>
        <w:t>“</w:t>
      </w:r>
      <w:r w:rsidRPr="00165B66">
        <w:rPr>
          <w:rFonts w:ascii="Arial" w:eastAsia="宋体" w:hAnsi="Arial" w:cs="Arial"/>
          <w:sz w:val="21"/>
          <w:szCs w:val="21"/>
        </w:rPr>
        <w:t>研究器械豁免的临床限制</w:t>
      </w:r>
      <w:r w:rsidRPr="00165B66">
        <w:rPr>
          <w:rFonts w:ascii="Arial" w:eastAsia="宋体" w:hAnsi="Arial" w:cs="Arial"/>
          <w:sz w:val="21"/>
          <w:szCs w:val="21"/>
        </w:rPr>
        <w:t>”</w:t>
      </w:r>
      <w:r w:rsidRPr="00165B66">
        <w:rPr>
          <w:rFonts w:ascii="Arial" w:eastAsia="宋体" w:hAnsi="Arial" w:cs="Arial"/>
          <w:sz w:val="21"/>
          <w:szCs w:val="21"/>
        </w:rPr>
        <w:t>。</w:t>
      </w:r>
    </w:p>
  </w:footnote>
  <w:footnote w:id="27">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请参见</w:t>
      </w:r>
      <w:r w:rsidRPr="00165B66">
        <w:rPr>
          <w:rFonts w:ascii="Arial" w:eastAsia="宋体" w:hAnsi="Arial" w:cs="Arial"/>
          <w:sz w:val="21"/>
          <w:szCs w:val="21"/>
        </w:rPr>
        <w:t>21 CFR 812.150</w:t>
      </w:r>
      <w:r w:rsidRPr="00165B66">
        <w:rPr>
          <w:rFonts w:ascii="Arial" w:eastAsia="宋体" w:hAnsi="Arial" w:cs="Arial"/>
          <w:sz w:val="21"/>
          <w:szCs w:val="21"/>
        </w:rPr>
        <w:t>。</w:t>
      </w:r>
    </w:p>
  </w:footnote>
  <w:footnote w:id="28">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21 CFR 50.25</w:t>
      </w:r>
      <w:r w:rsidRPr="00165B66">
        <w:rPr>
          <w:rFonts w:ascii="Arial" w:eastAsia="宋体" w:hAnsi="Arial" w:cs="Arial"/>
          <w:sz w:val="21"/>
          <w:szCs w:val="21"/>
        </w:rPr>
        <w:t>。</w:t>
      </w:r>
    </w:p>
  </w:footnote>
  <w:footnote w:id="29">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w:t>
      </w:r>
      <w:r w:rsidRPr="00165B66">
        <w:rPr>
          <w:rFonts w:ascii="Arial" w:eastAsia="宋体" w:hAnsi="Arial" w:cs="Arial"/>
          <w:sz w:val="21"/>
          <w:szCs w:val="21"/>
        </w:rPr>
        <w:t>有关这一点的进一步讨论，请参见本</w:t>
      </w:r>
      <w:proofErr w:type="gramStart"/>
      <w:r w:rsidRPr="00165B66">
        <w:rPr>
          <w:rFonts w:ascii="Arial" w:eastAsia="宋体" w:hAnsi="Arial" w:cs="Arial"/>
          <w:sz w:val="21"/>
          <w:szCs w:val="21"/>
        </w:rPr>
        <w:t>指南第</w:t>
      </w:r>
      <w:proofErr w:type="gramEnd"/>
      <w:r w:rsidRPr="00165B66">
        <w:rPr>
          <w:rFonts w:ascii="Arial" w:eastAsia="宋体" w:hAnsi="Arial" w:cs="Arial"/>
          <w:sz w:val="21"/>
          <w:szCs w:val="21"/>
        </w:rPr>
        <w:t>III.D.</w:t>
      </w:r>
      <w:r w:rsidRPr="00165B66">
        <w:rPr>
          <w:rFonts w:ascii="Arial" w:eastAsia="宋体" w:hAnsi="Arial" w:cs="Arial"/>
          <w:sz w:val="21"/>
          <w:szCs w:val="21"/>
        </w:rPr>
        <w:t>节。</w:t>
      </w:r>
    </w:p>
  </w:footnote>
  <w:footnote w:id="30">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21 CFR 50.25(a</w:t>
      </w:r>
      <w:proofErr w:type="gramStart"/>
      <w:r w:rsidRPr="00165B66">
        <w:rPr>
          <w:rFonts w:ascii="Arial" w:hAnsi="Arial" w:cs="Arial"/>
          <w:sz w:val="21"/>
          <w:szCs w:val="21"/>
        </w:rPr>
        <w:t>)(</w:t>
      </w:r>
      <w:proofErr w:type="gramEnd"/>
      <w:r w:rsidRPr="00165B66">
        <w:rPr>
          <w:rFonts w:ascii="Arial" w:hAnsi="Arial" w:cs="Arial"/>
          <w:sz w:val="21"/>
          <w:szCs w:val="21"/>
        </w:rPr>
        <w:t>3).</w:t>
      </w:r>
    </w:p>
  </w:footnote>
  <w:footnote w:id="31">
    <w:p w:rsidR="00CD6A73" w:rsidRPr="00165B66" w:rsidRDefault="00CD6A73">
      <w:pPr>
        <w:pStyle w:val="a9"/>
        <w:rPr>
          <w:rFonts w:ascii="Arial" w:hAnsi="Arial" w:cs="Arial"/>
          <w:sz w:val="21"/>
          <w:szCs w:val="21"/>
        </w:rPr>
      </w:pPr>
      <w:r w:rsidRPr="00165B66">
        <w:rPr>
          <w:rStyle w:val="aa"/>
          <w:rFonts w:ascii="Arial" w:hAnsi="Arial" w:cs="Arial"/>
          <w:sz w:val="21"/>
          <w:szCs w:val="21"/>
        </w:rPr>
        <w:footnoteRef/>
      </w:r>
      <w:r w:rsidRPr="00165B66">
        <w:rPr>
          <w:rFonts w:ascii="Arial" w:hAnsi="Arial" w:cs="Arial"/>
          <w:sz w:val="21"/>
          <w:szCs w:val="21"/>
        </w:rPr>
        <w:t xml:space="preserve"> 21 CFR 812.30(b</w:t>
      </w:r>
      <w:proofErr w:type="gramStart"/>
      <w:r w:rsidRPr="00165B66">
        <w:rPr>
          <w:rFonts w:ascii="Arial" w:hAnsi="Arial" w:cs="Arial"/>
          <w:sz w:val="21"/>
          <w:szCs w:val="21"/>
        </w:rPr>
        <w:t>)(</w:t>
      </w:r>
      <w:proofErr w:type="gramEnd"/>
      <w:r w:rsidRPr="00165B66">
        <w:rPr>
          <w:rFonts w:ascii="Arial" w:hAnsi="Arial" w:cs="Arial"/>
          <w:sz w:val="21"/>
          <w:szCs w:val="21"/>
        </w:rPr>
        <w:t>4).</w:t>
      </w:r>
    </w:p>
  </w:footnote>
  <w:footnote w:id="32">
    <w:p w:rsidR="00CD6A73" w:rsidRPr="00165B66" w:rsidRDefault="00CD6A73">
      <w:pPr>
        <w:pStyle w:val="a9"/>
        <w:rPr>
          <w:sz w:val="21"/>
          <w:szCs w:val="21"/>
        </w:rPr>
      </w:pPr>
      <w:r w:rsidRPr="00165B66">
        <w:rPr>
          <w:rStyle w:val="aa"/>
          <w:sz w:val="21"/>
          <w:szCs w:val="21"/>
        </w:rPr>
        <w:footnoteRef/>
      </w:r>
      <w:r w:rsidRPr="00165B66">
        <w:rPr>
          <w:sz w:val="21"/>
          <w:szCs w:val="21"/>
        </w:rPr>
        <w:t xml:space="preserve"> </w:t>
      </w:r>
      <w:r w:rsidRPr="00165B66">
        <w:rPr>
          <w:rFonts w:ascii="Arial" w:eastAsia="宋体" w:hAnsi="Arial" w:cs="Arial"/>
          <w:sz w:val="21"/>
          <w:szCs w:val="21"/>
        </w:rPr>
        <w:t>21 CFR 812.27</w:t>
      </w:r>
      <w:r w:rsidRPr="00165B66">
        <w:rPr>
          <w:rFonts w:ascii="Arial" w:eastAsia="宋体" w:hAnsi="Arial" w:cs="Arial"/>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73" w:rsidRPr="00124B27" w:rsidRDefault="00CD6A73" w:rsidP="00124B27">
    <w:pPr>
      <w:pStyle w:val="a6"/>
      <w:pBdr>
        <w:bottom w:val="none" w:sz="0" w:space="0" w:color="auto"/>
      </w:pBdr>
      <w:spacing w:line="300" w:lineRule="auto"/>
      <w:rPr>
        <w:rFonts w:ascii="Arial" w:eastAsia="宋体" w:hAnsi="Arial" w:cs="Arial"/>
        <w:b/>
        <w:i/>
      </w:rPr>
    </w:pPr>
    <w:r w:rsidRPr="00124B27">
      <w:rPr>
        <w:rFonts w:ascii="Arial" w:eastAsia="宋体" w:hAnsi="Arial" w:cs="Arial"/>
        <w:b/>
        <w:i/>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11ED"/>
    <w:multiLevelType w:val="hybridMultilevel"/>
    <w:tmpl w:val="AD52D288"/>
    <w:lvl w:ilvl="0" w:tplc="5282D748">
      <w:start w:val="1"/>
      <w:numFmt w:val="bullet"/>
      <w:lvlText w:val=""/>
      <w:lvlJc w:val="left"/>
      <w:pPr>
        <w:ind w:left="1200" w:hanging="360"/>
      </w:pPr>
      <w:rPr>
        <w:rFonts w:ascii="Symbol" w:eastAsia="Symbol" w:hAnsi="Symbol" w:hint="default"/>
        <w:sz w:val="24"/>
        <w:szCs w:val="24"/>
      </w:rPr>
    </w:lvl>
    <w:lvl w:ilvl="1" w:tplc="A15A902E">
      <w:start w:val="1"/>
      <w:numFmt w:val="bullet"/>
      <w:lvlText w:val="•"/>
      <w:lvlJc w:val="left"/>
      <w:pPr>
        <w:ind w:left="2040" w:hanging="360"/>
      </w:pPr>
      <w:rPr>
        <w:rFonts w:hint="default"/>
      </w:rPr>
    </w:lvl>
    <w:lvl w:ilvl="2" w:tplc="C7BC0706">
      <w:start w:val="1"/>
      <w:numFmt w:val="bullet"/>
      <w:lvlText w:val="•"/>
      <w:lvlJc w:val="left"/>
      <w:pPr>
        <w:ind w:left="2880" w:hanging="360"/>
      </w:pPr>
      <w:rPr>
        <w:rFonts w:hint="default"/>
      </w:rPr>
    </w:lvl>
    <w:lvl w:ilvl="3" w:tplc="CC5C748C">
      <w:start w:val="1"/>
      <w:numFmt w:val="bullet"/>
      <w:lvlText w:val="•"/>
      <w:lvlJc w:val="left"/>
      <w:pPr>
        <w:ind w:left="3720" w:hanging="360"/>
      </w:pPr>
      <w:rPr>
        <w:rFonts w:hint="default"/>
      </w:rPr>
    </w:lvl>
    <w:lvl w:ilvl="4" w:tplc="87B26136">
      <w:start w:val="1"/>
      <w:numFmt w:val="bullet"/>
      <w:lvlText w:val="•"/>
      <w:lvlJc w:val="left"/>
      <w:pPr>
        <w:ind w:left="4560" w:hanging="360"/>
      </w:pPr>
      <w:rPr>
        <w:rFonts w:hint="default"/>
      </w:rPr>
    </w:lvl>
    <w:lvl w:ilvl="5" w:tplc="C6568CBE">
      <w:start w:val="1"/>
      <w:numFmt w:val="bullet"/>
      <w:lvlText w:val="•"/>
      <w:lvlJc w:val="left"/>
      <w:pPr>
        <w:ind w:left="5400" w:hanging="360"/>
      </w:pPr>
      <w:rPr>
        <w:rFonts w:hint="default"/>
      </w:rPr>
    </w:lvl>
    <w:lvl w:ilvl="6" w:tplc="BE44D3C6">
      <w:start w:val="1"/>
      <w:numFmt w:val="bullet"/>
      <w:lvlText w:val="•"/>
      <w:lvlJc w:val="left"/>
      <w:pPr>
        <w:ind w:left="6240" w:hanging="360"/>
      </w:pPr>
      <w:rPr>
        <w:rFonts w:hint="default"/>
      </w:rPr>
    </w:lvl>
    <w:lvl w:ilvl="7" w:tplc="1396DAEC">
      <w:start w:val="1"/>
      <w:numFmt w:val="bullet"/>
      <w:lvlText w:val="•"/>
      <w:lvlJc w:val="left"/>
      <w:pPr>
        <w:ind w:left="7080" w:hanging="360"/>
      </w:pPr>
      <w:rPr>
        <w:rFonts w:hint="default"/>
      </w:rPr>
    </w:lvl>
    <w:lvl w:ilvl="8" w:tplc="219CC738">
      <w:start w:val="1"/>
      <w:numFmt w:val="bullet"/>
      <w:lvlText w:val="•"/>
      <w:lvlJc w:val="left"/>
      <w:pPr>
        <w:ind w:left="7920" w:hanging="360"/>
      </w:pPr>
      <w:rPr>
        <w:rFonts w:hint="default"/>
      </w:rPr>
    </w:lvl>
  </w:abstractNum>
  <w:abstractNum w:abstractNumId="1">
    <w:nsid w:val="0DE7162D"/>
    <w:multiLevelType w:val="hybridMultilevel"/>
    <w:tmpl w:val="103881A2"/>
    <w:lvl w:ilvl="0" w:tplc="8736C926">
      <w:start w:val="1"/>
      <w:numFmt w:val="bullet"/>
      <w:lvlText w:val=""/>
      <w:lvlJc w:val="left"/>
      <w:pPr>
        <w:ind w:left="1261" w:hanging="360"/>
      </w:pPr>
      <w:rPr>
        <w:rFonts w:ascii="Symbol" w:eastAsia="Symbol" w:hAnsi="Symbol" w:hint="default"/>
        <w:sz w:val="24"/>
        <w:szCs w:val="24"/>
        <w:vertAlign w:val="baseline"/>
      </w:rPr>
    </w:lvl>
    <w:lvl w:ilvl="1" w:tplc="DC1C9EDE">
      <w:start w:val="1"/>
      <w:numFmt w:val="bullet"/>
      <w:lvlText w:val="•"/>
      <w:lvlJc w:val="left"/>
      <w:pPr>
        <w:ind w:left="2094" w:hanging="360"/>
      </w:pPr>
      <w:rPr>
        <w:rFonts w:hint="default"/>
      </w:rPr>
    </w:lvl>
    <w:lvl w:ilvl="2" w:tplc="54CA58CE">
      <w:start w:val="1"/>
      <w:numFmt w:val="bullet"/>
      <w:lvlText w:val="•"/>
      <w:lvlJc w:val="left"/>
      <w:pPr>
        <w:ind w:left="2928" w:hanging="360"/>
      </w:pPr>
      <w:rPr>
        <w:rFonts w:hint="default"/>
      </w:rPr>
    </w:lvl>
    <w:lvl w:ilvl="3" w:tplc="519AFB38">
      <w:start w:val="1"/>
      <w:numFmt w:val="bullet"/>
      <w:lvlText w:val="•"/>
      <w:lvlJc w:val="left"/>
      <w:pPr>
        <w:ind w:left="3762" w:hanging="360"/>
      </w:pPr>
      <w:rPr>
        <w:rFonts w:hint="default"/>
      </w:rPr>
    </w:lvl>
    <w:lvl w:ilvl="4" w:tplc="40D80F64">
      <w:start w:val="1"/>
      <w:numFmt w:val="bullet"/>
      <w:lvlText w:val="•"/>
      <w:lvlJc w:val="left"/>
      <w:pPr>
        <w:ind w:left="4596" w:hanging="360"/>
      </w:pPr>
      <w:rPr>
        <w:rFonts w:hint="default"/>
      </w:rPr>
    </w:lvl>
    <w:lvl w:ilvl="5" w:tplc="EABCDA26">
      <w:start w:val="1"/>
      <w:numFmt w:val="bullet"/>
      <w:lvlText w:val="•"/>
      <w:lvlJc w:val="left"/>
      <w:pPr>
        <w:ind w:left="5430" w:hanging="360"/>
      </w:pPr>
      <w:rPr>
        <w:rFonts w:hint="default"/>
      </w:rPr>
    </w:lvl>
    <w:lvl w:ilvl="6" w:tplc="A2CC1B98">
      <w:start w:val="1"/>
      <w:numFmt w:val="bullet"/>
      <w:lvlText w:val="•"/>
      <w:lvlJc w:val="left"/>
      <w:pPr>
        <w:ind w:left="6264" w:hanging="360"/>
      </w:pPr>
      <w:rPr>
        <w:rFonts w:hint="default"/>
      </w:rPr>
    </w:lvl>
    <w:lvl w:ilvl="7" w:tplc="054A5ABE">
      <w:start w:val="1"/>
      <w:numFmt w:val="bullet"/>
      <w:lvlText w:val="•"/>
      <w:lvlJc w:val="left"/>
      <w:pPr>
        <w:ind w:left="7098" w:hanging="360"/>
      </w:pPr>
      <w:rPr>
        <w:rFonts w:hint="default"/>
      </w:rPr>
    </w:lvl>
    <w:lvl w:ilvl="8" w:tplc="BA5ABAF0">
      <w:start w:val="1"/>
      <w:numFmt w:val="bullet"/>
      <w:lvlText w:val="•"/>
      <w:lvlJc w:val="left"/>
      <w:pPr>
        <w:ind w:left="7932" w:hanging="360"/>
      </w:pPr>
      <w:rPr>
        <w:rFonts w:hint="default"/>
      </w:rPr>
    </w:lvl>
  </w:abstractNum>
  <w:abstractNum w:abstractNumId="2">
    <w:nsid w:val="11DA0098"/>
    <w:multiLevelType w:val="hybridMultilevel"/>
    <w:tmpl w:val="2A427740"/>
    <w:lvl w:ilvl="0" w:tplc="352409B8">
      <w:start w:val="1"/>
      <w:numFmt w:val="upperLetter"/>
      <w:lvlText w:val="%1."/>
      <w:lvlJc w:val="left"/>
      <w:pPr>
        <w:ind w:left="840" w:hanging="720"/>
      </w:pPr>
      <w:rPr>
        <w:rFonts w:ascii="Arial" w:eastAsia="Times New Roman" w:hAnsi="Arial" w:cs="Arial" w:hint="default"/>
        <w:b/>
        <w:bCs/>
        <w:i/>
        <w:sz w:val="24"/>
        <w:szCs w:val="24"/>
      </w:rPr>
    </w:lvl>
    <w:lvl w:ilvl="1" w:tplc="E53E28E4">
      <w:start w:val="1"/>
      <w:numFmt w:val="bullet"/>
      <w:lvlText w:val="•"/>
      <w:lvlJc w:val="left"/>
      <w:pPr>
        <w:ind w:left="1716" w:hanging="720"/>
      </w:pPr>
      <w:rPr>
        <w:rFonts w:hint="default"/>
      </w:rPr>
    </w:lvl>
    <w:lvl w:ilvl="2" w:tplc="28186BC4">
      <w:start w:val="1"/>
      <w:numFmt w:val="bullet"/>
      <w:lvlText w:val="•"/>
      <w:lvlJc w:val="left"/>
      <w:pPr>
        <w:ind w:left="2592" w:hanging="720"/>
      </w:pPr>
      <w:rPr>
        <w:rFonts w:hint="default"/>
      </w:rPr>
    </w:lvl>
    <w:lvl w:ilvl="3" w:tplc="9852073A">
      <w:start w:val="1"/>
      <w:numFmt w:val="bullet"/>
      <w:lvlText w:val="•"/>
      <w:lvlJc w:val="left"/>
      <w:pPr>
        <w:ind w:left="3468" w:hanging="720"/>
      </w:pPr>
      <w:rPr>
        <w:rFonts w:hint="default"/>
      </w:rPr>
    </w:lvl>
    <w:lvl w:ilvl="4" w:tplc="AAEA6762">
      <w:start w:val="1"/>
      <w:numFmt w:val="bullet"/>
      <w:lvlText w:val="•"/>
      <w:lvlJc w:val="left"/>
      <w:pPr>
        <w:ind w:left="4344" w:hanging="720"/>
      </w:pPr>
      <w:rPr>
        <w:rFonts w:hint="default"/>
      </w:rPr>
    </w:lvl>
    <w:lvl w:ilvl="5" w:tplc="A42CC3DE">
      <w:start w:val="1"/>
      <w:numFmt w:val="bullet"/>
      <w:lvlText w:val="•"/>
      <w:lvlJc w:val="left"/>
      <w:pPr>
        <w:ind w:left="5220" w:hanging="720"/>
      </w:pPr>
      <w:rPr>
        <w:rFonts w:hint="default"/>
      </w:rPr>
    </w:lvl>
    <w:lvl w:ilvl="6" w:tplc="A860EC4A">
      <w:start w:val="1"/>
      <w:numFmt w:val="bullet"/>
      <w:lvlText w:val="•"/>
      <w:lvlJc w:val="left"/>
      <w:pPr>
        <w:ind w:left="6096" w:hanging="720"/>
      </w:pPr>
      <w:rPr>
        <w:rFonts w:hint="default"/>
      </w:rPr>
    </w:lvl>
    <w:lvl w:ilvl="7" w:tplc="5C081072">
      <w:start w:val="1"/>
      <w:numFmt w:val="bullet"/>
      <w:lvlText w:val="•"/>
      <w:lvlJc w:val="left"/>
      <w:pPr>
        <w:ind w:left="6972" w:hanging="720"/>
      </w:pPr>
      <w:rPr>
        <w:rFonts w:hint="default"/>
      </w:rPr>
    </w:lvl>
    <w:lvl w:ilvl="8" w:tplc="50E4D3DE">
      <w:start w:val="1"/>
      <w:numFmt w:val="bullet"/>
      <w:lvlText w:val="•"/>
      <w:lvlJc w:val="left"/>
      <w:pPr>
        <w:ind w:left="7848" w:hanging="720"/>
      </w:pPr>
      <w:rPr>
        <w:rFonts w:hint="default"/>
      </w:rPr>
    </w:lvl>
  </w:abstractNum>
  <w:abstractNum w:abstractNumId="3">
    <w:nsid w:val="156629D5"/>
    <w:multiLevelType w:val="hybridMultilevel"/>
    <w:tmpl w:val="3BC6A258"/>
    <w:lvl w:ilvl="0" w:tplc="7124CC98">
      <w:start w:val="1"/>
      <w:numFmt w:val="upperRoman"/>
      <w:lvlText w:val="%1."/>
      <w:lvlJc w:val="left"/>
      <w:pPr>
        <w:ind w:left="120" w:hanging="720"/>
        <w:jc w:val="right"/>
      </w:pPr>
      <w:rPr>
        <w:rFonts w:ascii="Arial" w:eastAsia="Times New Roman" w:hAnsi="Arial" w:cs="Arial" w:hint="default"/>
        <w:b/>
        <w:bCs/>
        <w:sz w:val="32"/>
        <w:szCs w:val="32"/>
      </w:rPr>
    </w:lvl>
    <w:lvl w:ilvl="1" w:tplc="B32C14AC">
      <w:start w:val="1"/>
      <w:numFmt w:val="bullet"/>
      <w:lvlText w:val="•"/>
      <w:lvlJc w:val="left"/>
      <w:pPr>
        <w:ind w:left="1100" w:hanging="720"/>
      </w:pPr>
      <w:rPr>
        <w:rFonts w:hint="default"/>
      </w:rPr>
    </w:lvl>
    <w:lvl w:ilvl="2" w:tplc="777ADFF0">
      <w:start w:val="1"/>
      <w:numFmt w:val="bullet"/>
      <w:lvlText w:val="•"/>
      <w:lvlJc w:val="left"/>
      <w:pPr>
        <w:ind w:left="2080" w:hanging="720"/>
      </w:pPr>
      <w:rPr>
        <w:rFonts w:hint="default"/>
      </w:rPr>
    </w:lvl>
    <w:lvl w:ilvl="3" w:tplc="A586B41E">
      <w:start w:val="1"/>
      <w:numFmt w:val="bullet"/>
      <w:lvlText w:val="•"/>
      <w:lvlJc w:val="left"/>
      <w:pPr>
        <w:ind w:left="3060" w:hanging="720"/>
      </w:pPr>
      <w:rPr>
        <w:rFonts w:hint="default"/>
      </w:rPr>
    </w:lvl>
    <w:lvl w:ilvl="4" w:tplc="65560E9A">
      <w:start w:val="1"/>
      <w:numFmt w:val="bullet"/>
      <w:lvlText w:val="•"/>
      <w:lvlJc w:val="left"/>
      <w:pPr>
        <w:ind w:left="4040" w:hanging="720"/>
      </w:pPr>
      <w:rPr>
        <w:rFonts w:hint="default"/>
      </w:rPr>
    </w:lvl>
    <w:lvl w:ilvl="5" w:tplc="8690C33A">
      <w:start w:val="1"/>
      <w:numFmt w:val="bullet"/>
      <w:lvlText w:val="•"/>
      <w:lvlJc w:val="left"/>
      <w:pPr>
        <w:ind w:left="5020" w:hanging="720"/>
      </w:pPr>
      <w:rPr>
        <w:rFonts w:hint="default"/>
      </w:rPr>
    </w:lvl>
    <w:lvl w:ilvl="6" w:tplc="3C98FA3E">
      <w:start w:val="1"/>
      <w:numFmt w:val="bullet"/>
      <w:lvlText w:val="•"/>
      <w:lvlJc w:val="left"/>
      <w:pPr>
        <w:ind w:left="6000" w:hanging="720"/>
      </w:pPr>
      <w:rPr>
        <w:rFonts w:hint="default"/>
      </w:rPr>
    </w:lvl>
    <w:lvl w:ilvl="7" w:tplc="A58ED388">
      <w:start w:val="1"/>
      <w:numFmt w:val="bullet"/>
      <w:lvlText w:val="•"/>
      <w:lvlJc w:val="left"/>
      <w:pPr>
        <w:ind w:left="6980" w:hanging="720"/>
      </w:pPr>
      <w:rPr>
        <w:rFonts w:hint="default"/>
      </w:rPr>
    </w:lvl>
    <w:lvl w:ilvl="8" w:tplc="A0A08A62">
      <w:start w:val="1"/>
      <w:numFmt w:val="bullet"/>
      <w:lvlText w:val="•"/>
      <w:lvlJc w:val="left"/>
      <w:pPr>
        <w:ind w:left="7960" w:hanging="720"/>
      </w:pPr>
      <w:rPr>
        <w:rFonts w:hint="default"/>
      </w:rPr>
    </w:lvl>
  </w:abstractNum>
  <w:abstractNum w:abstractNumId="4">
    <w:nsid w:val="1CF467F7"/>
    <w:multiLevelType w:val="hybridMultilevel"/>
    <w:tmpl w:val="876017E6"/>
    <w:lvl w:ilvl="0" w:tplc="2D240556">
      <w:start w:val="1"/>
      <w:numFmt w:val="upperRoman"/>
      <w:lvlText w:val="%1."/>
      <w:lvlJc w:val="left"/>
      <w:pPr>
        <w:ind w:left="730" w:hanging="630"/>
      </w:pPr>
      <w:rPr>
        <w:rFonts w:ascii="Times New Roman" w:eastAsia="Times New Roman" w:hAnsi="Times New Roman" w:hint="default"/>
        <w:b/>
        <w:bCs/>
        <w:sz w:val="24"/>
        <w:szCs w:val="24"/>
      </w:rPr>
    </w:lvl>
    <w:lvl w:ilvl="1" w:tplc="F9F84664">
      <w:start w:val="1"/>
      <w:numFmt w:val="upperLetter"/>
      <w:lvlText w:val="%2."/>
      <w:lvlJc w:val="left"/>
      <w:pPr>
        <w:ind w:left="760" w:hanging="420"/>
      </w:pPr>
      <w:rPr>
        <w:rFonts w:ascii="Times New Roman" w:eastAsia="Times New Roman" w:hAnsi="Times New Roman" w:hint="default"/>
        <w:sz w:val="24"/>
        <w:szCs w:val="24"/>
      </w:rPr>
    </w:lvl>
    <w:lvl w:ilvl="2" w:tplc="FC8A04A4">
      <w:start w:val="1"/>
      <w:numFmt w:val="bullet"/>
      <w:lvlText w:val="•"/>
      <w:lvlJc w:val="left"/>
      <w:pPr>
        <w:ind w:left="1740" w:hanging="420"/>
      </w:pPr>
      <w:rPr>
        <w:rFonts w:hint="default"/>
      </w:rPr>
    </w:lvl>
    <w:lvl w:ilvl="3" w:tplc="53E4E66A">
      <w:start w:val="1"/>
      <w:numFmt w:val="bullet"/>
      <w:lvlText w:val="•"/>
      <w:lvlJc w:val="left"/>
      <w:pPr>
        <w:ind w:left="2720" w:hanging="420"/>
      </w:pPr>
      <w:rPr>
        <w:rFonts w:hint="default"/>
      </w:rPr>
    </w:lvl>
    <w:lvl w:ilvl="4" w:tplc="185A976A">
      <w:start w:val="1"/>
      <w:numFmt w:val="bullet"/>
      <w:lvlText w:val="•"/>
      <w:lvlJc w:val="left"/>
      <w:pPr>
        <w:ind w:left="3700" w:hanging="420"/>
      </w:pPr>
      <w:rPr>
        <w:rFonts w:hint="default"/>
      </w:rPr>
    </w:lvl>
    <w:lvl w:ilvl="5" w:tplc="511296EE">
      <w:start w:val="1"/>
      <w:numFmt w:val="bullet"/>
      <w:lvlText w:val="•"/>
      <w:lvlJc w:val="left"/>
      <w:pPr>
        <w:ind w:left="4680" w:hanging="420"/>
      </w:pPr>
      <w:rPr>
        <w:rFonts w:hint="default"/>
      </w:rPr>
    </w:lvl>
    <w:lvl w:ilvl="6" w:tplc="B9A0E572">
      <w:start w:val="1"/>
      <w:numFmt w:val="bullet"/>
      <w:lvlText w:val="•"/>
      <w:lvlJc w:val="left"/>
      <w:pPr>
        <w:ind w:left="5660" w:hanging="420"/>
      </w:pPr>
      <w:rPr>
        <w:rFonts w:hint="default"/>
      </w:rPr>
    </w:lvl>
    <w:lvl w:ilvl="7" w:tplc="E812897C">
      <w:start w:val="1"/>
      <w:numFmt w:val="bullet"/>
      <w:lvlText w:val="•"/>
      <w:lvlJc w:val="left"/>
      <w:pPr>
        <w:ind w:left="6640" w:hanging="420"/>
      </w:pPr>
      <w:rPr>
        <w:rFonts w:hint="default"/>
      </w:rPr>
    </w:lvl>
    <w:lvl w:ilvl="8" w:tplc="0054F868">
      <w:start w:val="1"/>
      <w:numFmt w:val="bullet"/>
      <w:lvlText w:val="•"/>
      <w:lvlJc w:val="left"/>
      <w:pPr>
        <w:ind w:left="7620" w:hanging="420"/>
      </w:pPr>
      <w:rPr>
        <w:rFonts w:hint="default"/>
      </w:rPr>
    </w:lvl>
  </w:abstractNum>
  <w:abstractNum w:abstractNumId="5">
    <w:nsid w:val="2EB219ED"/>
    <w:multiLevelType w:val="hybridMultilevel"/>
    <w:tmpl w:val="7C6E1FA0"/>
    <w:lvl w:ilvl="0" w:tplc="92287360">
      <w:start w:val="1"/>
      <w:numFmt w:val="bullet"/>
      <w:lvlText w:val=""/>
      <w:lvlJc w:val="left"/>
      <w:pPr>
        <w:ind w:left="1920" w:hanging="360"/>
      </w:pPr>
      <w:rPr>
        <w:rFonts w:ascii="Symbol" w:eastAsia="Symbol" w:hAnsi="Symbol" w:hint="default"/>
        <w:sz w:val="24"/>
        <w:szCs w:val="24"/>
      </w:rPr>
    </w:lvl>
    <w:lvl w:ilvl="1" w:tplc="A01A733C">
      <w:start w:val="1"/>
      <w:numFmt w:val="bullet"/>
      <w:lvlText w:val="•"/>
      <w:lvlJc w:val="left"/>
      <w:pPr>
        <w:ind w:left="2688" w:hanging="360"/>
      </w:pPr>
      <w:rPr>
        <w:rFonts w:hint="default"/>
      </w:rPr>
    </w:lvl>
    <w:lvl w:ilvl="2" w:tplc="35A0B60C">
      <w:start w:val="1"/>
      <w:numFmt w:val="bullet"/>
      <w:lvlText w:val="•"/>
      <w:lvlJc w:val="left"/>
      <w:pPr>
        <w:ind w:left="3456" w:hanging="360"/>
      </w:pPr>
      <w:rPr>
        <w:rFonts w:hint="default"/>
      </w:rPr>
    </w:lvl>
    <w:lvl w:ilvl="3" w:tplc="64300BD2">
      <w:start w:val="1"/>
      <w:numFmt w:val="bullet"/>
      <w:lvlText w:val="•"/>
      <w:lvlJc w:val="left"/>
      <w:pPr>
        <w:ind w:left="4224" w:hanging="360"/>
      </w:pPr>
      <w:rPr>
        <w:rFonts w:hint="default"/>
      </w:rPr>
    </w:lvl>
    <w:lvl w:ilvl="4" w:tplc="FC48001E">
      <w:start w:val="1"/>
      <w:numFmt w:val="bullet"/>
      <w:lvlText w:val="•"/>
      <w:lvlJc w:val="left"/>
      <w:pPr>
        <w:ind w:left="4992" w:hanging="360"/>
      </w:pPr>
      <w:rPr>
        <w:rFonts w:hint="default"/>
      </w:rPr>
    </w:lvl>
    <w:lvl w:ilvl="5" w:tplc="DDB859CC">
      <w:start w:val="1"/>
      <w:numFmt w:val="bullet"/>
      <w:lvlText w:val="•"/>
      <w:lvlJc w:val="left"/>
      <w:pPr>
        <w:ind w:left="5760" w:hanging="360"/>
      </w:pPr>
      <w:rPr>
        <w:rFonts w:hint="default"/>
      </w:rPr>
    </w:lvl>
    <w:lvl w:ilvl="6" w:tplc="38BE4F80">
      <w:start w:val="1"/>
      <w:numFmt w:val="bullet"/>
      <w:lvlText w:val="•"/>
      <w:lvlJc w:val="left"/>
      <w:pPr>
        <w:ind w:left="6528" w:hanging="360"/>
      </w:pPr>
      <w:rPr>
        <w:rFonts w:hint="default"/>
      </w:rPr>
    </w:lvl>
    <w:lvl w:ilvl="7" w:tplc="43E29AD8">
      <w:start w:val="1"/>
      <w:numFmt w:val="bullet"/>
      <w:lvlText w:val="•"/>
      <w:lvlJc w:val="left"/>
      <w:pPr>
        <w:ind w:left="7296" w:hanging="360"/>
      </w:pPr>
      <w:rPr>
        <w:rFonts w:hint="default"/>
      </w:rPr>
    </w:lvl>
    <w:lvl w:ilvl="8" w:tplc="EE1A07A4">
      <w:start w:val="1"/>
      <w:numFmt w:val="bullet"/>
      <w:lvlText w:val="•"/>
      <w:lvlJc w:val="left"/>
      <w:pPr>
        <w:ind w:left="8064" w:hanging="360"/>
      </w:pPr>
      <w:rPr>
        <w:rFonts w:hint="default"/>
      </w:rPr>
    </w:lvl>
  </w:abstractNum>
  <w:abstractNum w:abstractNumId="6">
    <w:nsid w:val="2F091D4F"/>
    <w:multiLevelType w:val="hybridMultilevel"/>
    <w:tmpl w:val="9E3286F8"/>
    <w:lvl w:ilvl="0" w:tplc="F01638FA">
      <w:start w:val="1"/>
      <w:numFmt w:val="upperLetter"/>
      <w:lvlText w:val="%1."/>
      <w:lvlJc w:val="left"/>
      <w:pPr>
        <w:ind w:left="840" w:hanging="720"/>
      </w:pPr>
      <w:rPr>
        <w:rFonts w:ascii="Arial" w:eastAsia="Times New Roman" w:hAnsi="Arial" w:cs="Arial" w:hint="default"/>
        <w:b/>
        <w:bCs/>
        <w:i/>
        <w:sz w:val="24"/>
        <w:szCs w:val="24"/>
      </w:rPr>
    </w:lvl>
    <w:lvl w:ilvl="1" w:tplc="7DF21AA4">
      <w:start w:val="1"/>
      <w:numFmt w:val="lowerRoman"/>
      <w:lvlText w:val="(%2)"/>
      <w:lvlJc w:val="left"/>
      <w:pPr>
        <w:ind w:left="1200" w:hanging="720"/>
      </w:pPr>
      <w:rPr>
        <w:rFonts w:ascii="Arial" w:eastAsia="Times New Roman" w:hAnsi="Arial" w:cs="Arial" w:hint="default"/>
        <w:i/>
        <w:sz w:val="24"/>
        <w:szCs w:val="24"/>
      </w:rPr>
    </w:lvl>
    <w:lvl w:ilvl="2" w:tplc="659EE154">
      <w:start w:val="1"/>
      <w:numFmt w:val="bullet"/>
      <w:lvlText w:val="•"/>
      <w:lvlJc w:val="left"/>
      <w:pPr>
        <w:ind w:left="2133" w:hanging="720"/>
      </w:pPr>
      <w:rPr>
        <w:rFonts w:hint="default"/>
      </w:rPr>
    </w:lvl>
    <w:lvl w:ilvl="3" w:tplc="1750BD24">
      <w:start w:val="1"/>
      <w:numFmt w:val="bullet"/>
      <w:lvlText w:val="•"/>
      <w:lvlJc w:val="left"/>
      <w:pPr>
        <w:ind w:left="3066" w:hanging="720"/>
      </w:pPr>
      <w:rPr>
        <w:rFonts w:hint="default"/>
      </w:rPr>
    </w:lvl>
    <w:lvl w:ilvl="4" w:tplc="8B78F1D8">
      <w:start w:val="1"/>
      <w:numFmt w:val="bullet"/>
      <w:lvlText w:val="•"/>
      <w:lvlJc w:val="left"/>
      <w:pPr>
        <w:ind w:left="4000" w:hanging="720"/>
      </w:pPr>
      <w:rPr>
        <w:rFonts w:hint="default"/>
      </w:rPr>
    </w:lvl>
    <w:lvl w:ilvl="5" w:tplc="86725AD6">
      <w:start w:val="1"/>
      <w:numFmt w:val="bullet"/>
      <w:lvlText w:val="•"/>
      <w:lvlJc w:val="left"/>
      <w:pPr>
        <w:ind w:left="4933" w:hanging="720"/>
      </w:pPr>
      <w:rPr>
        <w:rFonts w:hint="default"/>
      </w:rPr>
    </w:lvl>
    <w:lvl w:ilvl="6" w:tplc="46603A30">
      <w:start w:val="1"/>
      <w:numFmt w:val="bullet"/>
      <w:lvlText w:val="•"/>
      <w:lvlJc w:val="left"/>
      <w:pPr>
        <w:ind w:left="5866" w:hanging="720"/>
      </w:pPr>
      <w:rPr>
        <w:rFonts w:hint="default"/>
      </w:rPr>
    </w:lvl>
    <w:lvl w:ilvl="7" w:tplc="B1F82F28">
      <w:start w:val="1"/>
      <w:numFmt w:val="bullet"/>
      <w:lvlText w:val="•"/>
      <w:lvlJc w:val="left"/>
      <w:pPr>
        <w:ind w:left="6800" w:hanging="720"/>
      </w:pPr>
      <w:rPr>
        <w:rFonts w:hint="default"/>
      </w:rPr>
    </w:lvl>
    <w:lvl w:ilvl="8" w:tplc="7D56F350">
      <w:start w:val="1"/>
      <w:numFmt w:val="bullet"/>
      <w:lvlText w:val="•"/>
      <w:lvlJc w:val="left"/>
      <w:pPr>
        <w:ind w:left="7733" w:hanging="720"/>
      </w:pPr>
      <w:rPr>
        <w:rFonts w:hint="default"/>
      </w:rPr>
    </w:lvl>
  </w:abstractNum>
  <w:abstractNum w:abstractNumId="7">
    <w:nsid w:val="3E0619D7"/>
    <w:multiLevelType w:val="hybridMultilevel"/>
    <w:tmpl w:val="34308FD2"/>
    <w:lvl w:ilvl="0" w:tplc="9D461588">
      <w:start w:val="1"/>
      <w:numFmt w:val="decimal"/>
      <w:lvlText w:val="(%1)"/>
      <w:lvlJc w:val="left"/>
      <w:pPr>
        <w:ind w:left="480" w:hanging="338"/>
      </w:pPr>
      <w:rPr>
        <w:rFonts w:ascii="Arial" w:eastAsia="Times New Roman" w:hAnsi="Arial" w:cs="Arial" w:hint="default"/>
        <w:i/>
        <w:sz w:val="24"/>
        <w:szCs w:val="24"/>
      </w:rPr>
    </w:lvl>
    <w:lvl w:ilvl="1" w:tplc="FFE48380">
      <w:start w:val="1"/>
      <w:numFmt w:val="lowerRoman"/>
      <w:lvlText w:val="(%2)"/>
      <w:lvlJc w:val="left"/>
      <w:pPr>
        <w:ind w:left="840" w:hanging="285"/>
      </w:pPr>
      <w:rPr>
        <w:rFonts w:ascii="Arial" w:eastAsia="Times New Roman" w:hAnsi="Arial" w:cs="Arial" w:hint="default"/>
        <w:i/>
        <w:sz w:val="24"/>
        <w:szCs w:val="24"/>
      </w:rPr>
    </w:lvl>
    <w:lvl w:ilvl="2" w:tplc="51D6D86E">
      <w:start w:val="1"/>
      <w:numFmt w:val="bullet"/>
      <w:lvlText w:val="•"/>
      <w:lvlJc w:val="left"/>
      <w:pPr>
        <w:ind w:left="1813" w:hanging="285"/>
      </w:pPr>
      <w:rPr>
        <w:rFonts w:hint="default"/>
      </w:rPr>
    </w:lvl>
    <w:lvl w:ilvl="3" w:tplc="72B4F52A">
      <w:start w:val="1"/>
      <w:numFmt w:val="bullet"/>
      <w:lvlText w:val="•"/>
      <w:lvlJc w:val="left"/>
      <w:pPr>
        <w:ind w:left="2786" w:hanging="285"/>
      </w:pPr>
      <w:rPr>
        <w:rFonts w:hint="default"/>
      </w:rPr>
    </w:lvl>
    <w:lvl w:ilvl="4" w:tplc="F5267E9E">
      <w:start w:val="1"/>
      <w:numFmt w:val="bullet"/>
      <w:lvlText w:val="•"/>
      <w:lvlJc w:val="left"/>
      <w:pPr>
        <w:ind w:left="3760" w:hanging="285"/>
      </w:pPr>
      <w:rPr>
        <w:rFonts w:hint="default"/>
      </w:rPr>
    </w:lvl>
    <w:lvl w:ilvl="5" w:tplc="D54AF178">
      <w:start w:val="1"/>
      <w:numFmt w:val="bullet"/>
      <w:lvlText w:val="•"/>
      <w:lvlJc w:val="left"/>
      <w:pPr>
        <w:ind w:left="4733" w:hanging="285"/>
      </w:pPr>
      <w:rPr>
        <w:rFonts w:hint="default"/>
      </w:rPr>
    </w:lvl>
    <w:lvl w:ilvl="6" w:tplc="4FC23B06">
      <w:start w:val="1"/>
      <w:numFmt w:val="bullet"/>
      <w:lvlText w:val="•"/>
      <w:lvlJc w:val="left"/>
      <w:pPr>
        <w:ind w:left="5706" w:hanging="285"/>
      </w:pPr>
      <w:rPr>
        <w:rFonts w:hint="default"/>
      </w:rPr>
    </w:lvl>
    <w:lvl w:ilvl="7" w:tplc="BD84EDFE">
      <w:start w:val="1"/>
      <w:numFmt w:val="bullet"/>
      <w:lvlText w:val="•"/>
      <w:lvlJc w:val="left"/>
      <w:pPr>
        <w:ind w:left="6680" w:hanging="285"/>
      </w:pPr>
      <w:rPr>
        <w:rFonts w:hint="default"/>
      </w:rPr>
    </w:lvl>
    <w:lvl w:ilvl="8" w:tplc="E50478EC">
      <w:start w:val="1"/>
      <w:numFmt w:val="bullet"/>
      <w:lvlText w:val="•"/>
      <w:lvlJc w:val="left"/>
      <w:pPr>
        <w:ind w:left="7653" w:hanging="285"/>
      </w:pPr>
      <w:rPr>
        <w:rFonts w:hint="default"/>
      </w:rPr>
    </w:lvl>
  </w:abstractNum>
  <w:abstractNum w:abstractNumId="8">
    <w:nsid w:val="4010587C"/>
    <w:multiLevelType w:val="hybridMultilevel"/>
    <w:tmpl w:val="B32ACEC4"/>
    <w:lvl w:ilvl="0" w:tplc="AE125D3E">
      <w:start w:val="1"/>
      <w:numFmt w:val="bullet"/>
      <w:lvlText w:val=""/>
      <w:lvlJc w:val="left"/>
      <w:pPr>
        <w:ind w:left="840" w:hanging="360"/>
      </w:pPr>
      <w:rPr>
        <w:rFonts w:ascii="Symbol" w:eastAsia="Symbol" w:hAnsi="Symbol" w:hint="default"/>
        <w:sz w:val="24"/>
        <w:szCs w:val="24"/>
      </w:rPr>
    </w:lvl>
    <w:lvl w:ilvl="1" w:tplc="B114CFDA">
      <w:start w:val="1"/>
      <w:numFmt w:val="bullet"/>
      <w:lvlText w:val="o"/>
      <w:lvlJc w:val="left"/>
      <w:pPr>
        <w:ind w:left="2280" w:hanging="360"/>
      </w:pPr>
      <w:rPr>
        <w:rFonts w:ascii="Courier New" w:eastAsia="Courier New" w:hAnsi="Courier New" w:hint="default"/>
        <w:sz w:val="24"/>
        <w:szCs w:val="24"/>
      </w:rPr>
    </w:lvl>
    <w:lvl w:ilvl="2" w:tplc="86948496">
      <w:start w:val="1"/>
      <w:numFmt w:val="bullet"/>
      <w:lvlText w:val="•"/>
      <w:lvlJc w:val="left"/>
      <w:pPr>
        <w:ind w:left="3093" w:hanging="360"/>
      </w:pPr>
      <w:rPr>
        <w:rFonts w:hint="default"/>
      </w:rPr>
    </w:lvl>
    <w:lvl w:ilvl="3" w:tplc="FE8CF94C">
      <w:start w:val="1"/>
      <w:numFmt w:val="bullet"/>
      <w:lvlText w:val="•"/>
      <w:lvlJc w:val="left"/>
      <w:pPr>
        <w:ind w:left="3906" w:hanging="360"/>
      </w:pPr>
      <w:rPr>
        <w:rFonts w:hint="default"/>
      </w:rPr>
    </w:lvl>
    <w:lvl w:ilvl="4" w:tplc="7408D440">
      <w:start w:val="1"/>
      <w:numFmt w:val="bullet"/>
      <w:lvlText w:val="•"/>
      <w:lvlJc w:val="left"/>
      <w:pPr>
        <w:ind w:left="4720" w:hanging="360"/>
      </w:pPr>
      <w:rPr>
        <w:rFonts w:hint="default"/>
      </w:rPr>
    </w:lvl>
    <w:lvl w:ilvl="5" w:tplc="23FE1C40">
      <w:start w:val="1"/>
      <w:numFmt w:val="bullet"/>
      <w:lvlText w:val="•"/>
      <w:lvlJc w:val="left"/>
      <w:pPr>
        <w:ind w:left="5533" w:hanging="360"/>
      </w:pPr>
      <w:rPr>
        <w:rFonts w:hint="default"/>
      </w:rPr>
    </w:lvl>
    <w:lvl w:ilvl="6" w:tplc="435ECE8A">
      <w:start w:val="1"/>
      <w:numFmt w:val="bullet"/>
      <w:lvlText w:val="•"/>
      <w:lvlJc w:val="left"/>
      <w:pPr>
        <w:ind w:left="6346" w:hanging="360"/>
      </w:pPr>
      <w:rPr>
        <w:rFonts w:hint="default"/>
      </w:rPr>
    </w:lvl>
    <w:lvl w:ilvl="7" w:tplc="01EADE6E">
      <w:start w:val="1"/>
      <w:numFmt w:val="bullet"/>
      <w:lvlText w:val="•"/>
      <w:lvlJc w:val="left"/>
      <w:pPr>
        <w:ind w:left="7160" w:hanging="360"/>
      </w:pPr>
      <w:rPr>
        <w:rFonts w:hint="default"/>
      </w:rPr>
    </w:lvl>
    <w:lvl w:ilvl="8" w:tplc="C4E8704E">
      <w:start w:val="1"/>
      <w:numFmt w:val="bullet"/>
      <w:lvlText w:val="•"/>
      <w:lvlJc w:val="left"/>
      <w:pPr>
        <w:ind w:left="7973" w:hanging="360"/>
      </w:pPr>
      <w:rPr>
        <w:rFonts w:hint="default"/>
      </w:rPr>
    </w:lvl>
  </w:abstractNum>
  <w:abstractNum w:abstractNumId="9">
    <w:nsid w:val="41495F6C"/>
    <w:multiLevelType w:val="hybridMultilevel"/>
    <w:tmpl w:val="0E6A47FA"/>
    <w:lvl w:ilvl="0" w:tplc="936E7424">
      <w:start w:val="1"/>
      <w:numFmt w:val="bullet"/>
      <w:lvlText w:val=""/>
      <w:lvlJc w:val="left"/>
      <w:pPr>
        <w:ind w:left="480" w:hanging="360"/>
      </w:pPr>
      <w:rPr>
        <w:rFonts w:ascii="Symbol" w:eastAsia="Symbol" w:hAnsi="Symbol" w:hint="default"/>
        <w:sz w:val="24"/>
        <w:szCs w:val="24"/>
      </w:rPr>
    </w:lvl>
    <w:lvl w:ilvl="1" w:tplc="E26CEC02">
      <w:start w:val="1"/>
      <w:numFmt w:val="bullet"/>
      <w:lvlText w:val="o"/>
      <w:lvlJc w:val="left"/>
      <w:pPr>
        <w:ind w:left="840" w:hanging="360"/>
      </w:pPr>
      <w:rPr>
        <w:rFonts w:ascii="Courier New" w:eastAsia="Courier New" w:hAnsi="Courier New" w:hint="default"/>
        <w:sz w:val="24"/>
        <w:szCs w:val="24"/>
      </w:rPr>
    </w:lvl>
    <w:lvl w:ilvl="2" w:tplc="918C36C2">
      <w:start w:val="1"/>
      <w:numFmt w:val="bullet"/>
      <w:lvlText w:val="•"/>
      <w:lvlJc w:val="left"/>
      <w:pPr>
        <w:ind w:left="1773" w:hanging="360"/>
      </w:pPr>
      <w:rPr>
        <w:rFonts w:hint="default"/>
      </w:rPr>
    </w:lvl>
    <w:lvl w:ilvl="3" w:tplc="FBD6E7C0">
      <w:start w:val="1"/>
      <w:numFmt w:val="bullet"/>
      <w:lvlText w:val="•"/>
      <w:lvlJc w:val="left"/>
      <w:pPr>
        <w:ind w:left="2706" w:hanging="360"/>
      </w:pPr>
      <w:rPr>
        <w:rFonts w:hint="default"/>
      </w:rPr>
    </w:lvl>
    <w:lvl w:ilvl="4" w:tplc="47DE99DA">
      <w:start w:val="1"/>
      <w:numFmt w:val="bullet"/>
      <w:lvlText w:val="•"/>
      <w:lvlJc w:val="left"/>
      <w:pPr>
        <w:ind w:left="3640" w:hanging="360"/>
      </w:pPr>
      <w:rPr>
        <w:rFonts w:hint="default"/>
      </w:rPr>
    </w:lvl>
    <w:lvl w:ilvl="5" w:tplc="EE12C494">
      <w:start w:val="1"/>
      <w:numFmt w:val="bullet"/>
      <w:lvlText w:val="•"/>
      <w:lvlJc w:val="left"/>
      <w:pPr>
        <w:ind w:left="4573" w:hanging="360"/>
      </w:pPr>
      <w:rPr>
        <w:rFonts w:hint="default"/>
      </w:rPr>
    </w:lvl>
    <w:lvl w:ilvl="6" w:tplc="07E8C332">
      <w:start w:val="1"/>
      <w:numFmt w:val="bullet"/>
      <w:lvlText w:val="•"/>
      <w:lvlJc w:val="left"/>
      <w:pPr>
        <w:ind w:left="5506" w:hanging="360"/>
      </w:pPr>
      <w:rPr>
        <w:rFonts w:hint="default"/>
      </w:rPr>
    </w:lvl>
    <w:lvl w:ilvl="7" w:tplc="0F7C4C9C">
      <w:start w:val="1"/>
      <w:numFmt w:val="bullet"/>
      <w:lvlText w:val="•"/>
      <w:lvlJc w:val="left"/>
      <w:pPr>
        <w:ind w:left="6440" w:hanging="360"/>
      </w:pPr>
      <w:rPr>
        <w:rFonts w:hint="default"/>
      </w:rPr>
    </w:lvl>
    <w:lvl w:ilvl="8" w:tplc="95F2E316">
      <w:start w:val="1"/>
      <w:numFmt w:val="bullet"/>
      <w:lvlText w:val="•"/>
      <w:lvlJc w:val="left"/>
      <w:pPr>
        <w:ind w:left="7373" w:hanging="360"/>
      </w:pPr>
      <w:rPr>
        <w:rFonts w:hint="default"/>
      </w:rPr>
    </w:lvl>
  </w:abstractNum>
  <w:abstractNum w:abstractNumId="10">
    <w:nsid w:val="46DA64CD"/>
    <w:multiLevelType w:val="hybridMultilevel"/>
    <w:tmpl w:val="CC0A3F62"/>
    <w:lvl w:ilvl="0" w:tplc="E16A32A4">
      <w:start w:val="1"/>
      <w:numFmt w:val="bullet"/>
      <w:lvlText w:val="▪"/>
      <w:lvlJc w:val="left"/>
      <w:pPr>
        <w:ind w:left="2240" w:hanging="360"/>
      </w:pPr>
      <w:rPr>
        <w:rFonts w:ascii="Malgun Gothic" w:eastAsia="Malgun Gothic" w:hAnsi="Malgun Gothic" w:hint="default"/>
        <w:sz w:val="20"/>
        <w:szCs w:val="20"/>
      </w:rPr>
    </w:lvl>
    <w:lvl w:ilvl="1" w:tplc="0C6000E6">
      <w:start w:val="1"/>
      <w:numFmt w:val="bullet"/>
      <w:lvlText w:val="▪"/>
      <w:lvlJc w:val="left"/>
      <w:pPr>
        <w:ind w:left="2960" w:hanging="360"/>
      </w:pPr>
      <w:rPr>
        <w:rFonts w:ascii="Malgun Gothic" w:eastAsia="Malgun Gothic" w:hAnsi="Malgun Gothic" w:hint="default"/>
        <w:sz w:val="20"/>
        <w:szCs w:val="20"/>
      </w:rPr>
    </w:lvl>
    <w:lvl w:ilvl="2" w:tplc="BECA0678">
      <w:start w:val="1"/>
      <w:numFmt w:val="bullet"/>
      <w:lvlText w:val="•"/>
      <w:lvlJc w:val="left"/>
      <w:pPr>
        <w:ind w:left="3653" w:hanging="360"/>
      </w:pPr>
      <w:rPr>
        <w:rFonts w:hint="default"/>
      </w:rPr>
    </w:lvl>
    <w:lvl w:ilvl="3" w:tplc="AD727C12">
      <w:start w:val="1"/>
      <w:numFmt w:val="bullet"/>
      <w:lvlText w:val="•"/>
      <w:lvlJc w:val="left"/>
      <w:pPr>
        <w:ind w:left="4346" w:hanging="360"/>
      </w:pPr>
      <w:rPr>
        <w:rFonts w:hint="default"/>
      </w:rPr>
    </w:lvl>
    <w:lvl w:ilvl="4" w:tplc="277E6F50">
      <w:start w:val="1"/>
      <w:numFmt w:val="bullet"/>
      <w:lvlText w:val="•"/>
      <w:lvlJc w:val="left"/>
      <w:pPr>
        <w:ind w:left="5040" w:hanging="360"/>
      </w:pPr>
      <w:rPr>
        <w:rFonts w:hint="default"/>
      </w:rPr>
    </w:lvl>
    <w:lvl w:ilvl="5" w:tplc="B4EEA27E">
      <w:start w:val="1"/>
      <w:numFmt w:val="bullet"/>
      <w:lvlText w:val="•"/>
      <w:lvlJc w:val="left"/>
      <w:pPr>
        <w:ind w:left="5733" w:hanging="360"/>
      </w:pPr>
      <w:rPr>
        <w:rFonts w:hint="default"/>
      </w:rPr>
    </w:lvl>
    <w:lvl w:ilvl="6" w:tplc="3A207162">
      <w:start w:val="1"/>
      <w:numFmt w:val="bullet"/>
      <w:lvlText w:val="•"/>
      <w:lvlJc w:val="left"/>
      <w:pPr>
        <w:ind w:left="6426" w:hanging="360"/>
      </w:pPr>
      <w:rPr>
        <w:rFonts w:hint="default"/>
      </w:rPr>
    </w:lvl>
    <w:lvl w:ilvl="7" w:tplc="192AA128">
      <w:start w:val="1"/>
      <w:numFmt w:val="bullet"/>
      <w:lvlText w:val="•"/>
      <w:lvlJc w:val="left"/>
      <w:pPr>
        <w:ind w:left="7120" w:hanging="360"/>
      </w:pPr>
      <w:rPr>
        <w:rFonts w:hint="default"/>
      </w:rPr>
    </w:lvl>
    <w:lvl w:ilvl="8" w:tplc="01CC671A">
      <w:start w:val="1"/>
      <w:numFmt w:val="bullet"/>
      <w:lvlText w:val="•"/>
      <w:lvlJc w:val="left"/>
      <w:pPr>
        <w:ind w:left="7813" w:hanging="360"/>
      </w:pPr>
      <w:rPr>
        <w:rFonts w:hint="default"/>
      </w:rPr>
    </w:lvl>
  </w:abstractNum>
  <w:abstractNum w:abstractNumId="11">
    <w:nsid w:val="47060502"/>
    <w:multiLevelType w:val="hybridMultilevel"/>
    <w:tmpl w:val="79E4B2A0"/>
    <w:lvl w:ilvl="0" w:tplc="31BA0F8E">
      <w:start w:val="1"/>
      <w:numFmt w:val="bullet"/>
      <w:lvlText w:val=""/>
      <w:lvlJc w:val="left"/>
      <w:pPr>
        <w:ind w:left="840" w:hanging="360"/>
      </w:pPr>
      <w:rPr>
        <w:rFonts w:ascii="Symbol" w:eastAsia="Symbol" w:hAnsi="Symbol" w:hint="default"/>
        <w:sz w:val="24"/>
        <w:szCs w:val="24"/>
      </w:rPr>
    </w:lvl>
    <w:lvl w:ilvl="1" w:tplc="13A4DF5A">
      <w:start w:val="1"/>
      <w:numFmt w:val="bullet"/>
      <w:lvlText w:val="•"/>
      <w:lvlJc w:val="left"/>
      <w:pPr>
        <w:ind w:left="1716" w:hanging="360"/>
      </w:pPr>
      <w:rPr>
        <w:rFonts w:hint="default"/>
      </w:rPr>
    </w:lvl>
    <w:lvl w:ilvl="2" w:tplc="129C5E72">
      <w:start w:val="1"/>
      <w:numFmt w:val="bullet"/>
      <w:lvlText w:val="•"/>
      <w:lvlJc w:val="left"/>
      <w:pPr>
        <w:ind w:left="2592" w:hanging="360"/>
      </w:pPr>
      <w:rPr>
        <w:rFonts w:hint="default"/>
      </w:rPr>
    </w:lvl>
    <w:lvl w:ilvl="3" w:tplc="B6AA1E6E">
      <w:start w:val="1"/>
      <w:numFmt w:val="bullet"/>
      <w:lvlText w:val="•"/>
      <w:lvlJc w:val="left"/>
      <w:pPr>
        <w:ind w:left="3468" w:hanging="360"/>
      </w:pPr>
      <w:rPr>
        <w:rFonts w:hint="default"/>
      </w:rPr>
    </w:lvl>
    <w:lvl w:ilvl="4" w:tplc="C938F152">
      <w:start w:val="1"/>
      <w:numFmt w:val="bullet"/>
      <w:lvlText w:val="•"/>
      <w:lvlJc w:val="left"/>
      <w:pPr>
        <w:ind w:left="4344" w:hanging="360"/>
      </w:pPr>
      <w:rPr>
        <w:rFonts w:hint="default"/>
      </w:rPr>
    </w:lvl>
    <w:lvl w:ilvl="5" w:tplc="67AEE55E">
      <w:start w:val="1"/>
      <w:numFmt w:val="bullet"/>
      <w:lvlText w:val="•"/>
      <w:lvlJc w:val="left"/>
      <w:pPr>
        <w:ind w:left="5220" w:hanging="360"/>
      </w:pPr>
      <w:rPr>
        <w:rFonts w:hint="default"/>
      </w:rPr>
    </w:lvl>
    <w:lvl w:ilvl="6" w:tplc="0AA84ABA">
      <w:start w:val="1"/>
      <w:numFmt w:val="bullet"/>
      <w:lvlText w:val="•"/>
      <w:lvlJc w:val="left"/>
      <w:pPr>
        <w:ind w:left="6096" w:hanging="360"/>
      </w:pPr>
      <w:rPr>
        <w:rFonts w:hint="default"/>
      </w:rPr>
    </w:lvl>
    <w:lvl w:ilvl="7" w:tplc="507AD734">
      <w:start w:val="1"/>
      <w:numFmt w:val="bullet"/>
      <w:lvlText w:val="•"/>
      <w:lvlJc w:val="left"/>
      <w:pPr>
        <w:ind w:left="6972" w:hanging="360"/>
      </w:pPr>
      <w:rPr>
        <w:rFonts w:hint="default"/>
      </w:rPr>
    </w:lvl>
    <w:lvl w:ilvl="8" w:tplc="9F4E1F50">
      <w:start w:val="1"/>
      <w:numFmt w:val="bullet"/>
      <w:lvlText w:val="•"/>
      <w:lvlJc w:val="left"/>
      <w:pPr>
        <w:ind w:left="7848" w:hanging="360"/>
      </w:pPr>
      <w:rPr>
        <w:rFonts w:hint="default"/>
      </w:rPr>
    </w:lvl>
  </w:abstractNum>
  <w:abstractNum w:abstractNumId="12">
    <w:nsid w:val="497E3913"/>
    <w:multiLevelType w:val="hybridMultilevel"/>
    <w:tmpl w:val="33826C90"/>
    <w:lvl w:ilvl="0" w:tplc="67CC7998">
      <w:start w:val="1"/>
      <w:numFmt w:val="decimal"/>
      <w:lvlText w:val="%1."/>
      <w:lvlJc w:val="left"/>
      <w:pPr>
        <w:ind w:left="360" w:hanging="240"/>
      </w:pPr>
      <w:rPr>
        <w:rFonts w:ascii="Arial" w:eastAsia="Times New Roman" w:hAnsi="Arial" w:cs="Arial" w:hint="default"/>
        <w:sz w:val="24"/>
        <w:szCs w:val="24"/>
      </w:rPr>
    </w:lvl>
    <w:lvl w:ilvl="1" w:tplc="DAF0AD04">
      <w:start w:val="1"/>
      <w:numFmt w:val="bullet"/>
      <w:lvlText w:val="•"/>
      <w:lvlJc w:val="left"/>
      <w:pPr>
        <w:ind w:left="1284" w:hanging="240"/>
      </w:pPr>
      <w:rPr>
        <w:rFonts w:hint="default"/>
      </w:rPr>
    </w:lvl>
    <w:lvl w:ilvl="2" w:tplc="1FB49942">
      <w:start w:val="1"/>
      <w:numFmt w:val="bullet"/>
      <w:lvlText w:val="•"/>
      <w:lvlJc w:val="left"/>
      <w:pPr>
        <w:ind w:left="2208" w:hanging="240"/>
      </w:pPr>
      <w:rPr>
        <w:rFonts w:hint="default"/>
      </w:rPr>
    </w:lvl>
    <w:lvl w:ilvl="3" w:tplc="28C225DE">
      <w:start w:val="1"/>
      <w:numFmt w:val="bullet"/>
      <w:lvlText w:val="•"/>
      <w:lvlJc w:val="left"/>
      <w:pPr>
        <w:ind w:left="3132" w:hanging="240"/>
      </w:pPr>
      <w:rPr>
        <w:rFonts w:hint="default"/>
      </w:rPr>
    </w:lvl>
    <w:lvl w:ilvl="4" w:tplc="3D9E2F6E">
      <w:start w:val="1"/>
      <w:numFmt w:val="bullet"/>
      <w:lvlText w:val="•"/>
      <w:lvlJc w:val="left"/>
      <w:pPr>
        <w:ind w:left="4056" w:hanging="240"/>
      </w:pPr>
      <w:rPr>
        <w:rFonts w:hint="default"/>
      </w:rPr>
    </w:lvl>
    <w:lvl w:ilvl="5" w:tplc="F4C85830">
      <w:start w:val="1"/>
      <w:numFmt w:val="bullet"/>
      <w:lvlText w:val="•"/>
      <w:lvlJc w:val="left"/>
      <w:pPr>
        <w:ind w:left="4980" w:hanging="240"/>
      </w:pPr>
      <w:rPr>
        <w:rFonts w:hint="default"/>
      </w:rPr>
    </w:lvl>
    <w:lvl w:ilvl="6" w:tplc="8480C2A4">
      <w:start w:val="1"/>
      <w:numFmt w:val="bullet"/>
      <w:lvlText w:val="•"/>
      <w:lvlJc w:val="left"/>
      <w:pPr>
        <w:ind w:left="5904" w:hanging="240"/>
      </w:pPr>
      <w:rPr>
        <w:rFonts w:hint="default"/>
      </w:rPr>
    </w:lvl>
    <w:lvl w:ilvl="7" w:tplc="BA1691E2">
      <w:start w:val="1"/>
      <w:numFmt w:val="bullet"/>
      <w:lvlText w:val="•"/>
      <w:lvlJc w:val="left"/>
      <w:pPr>
        <w:ind w:left="6828" w:hanging="240"/>
      </w:pPr>
      <w:rPr>
        <w:rFonts w:hint="default"/>
      </w:rPr>
    </w:lvl>
    <w:lvl w:ilvl="8" w:tplc="28A0D7BA">
      <w:start w:val="1"/>
      <w:numFmt w:val="bullet"/>
      <w:lvlText w:val="•"/>
      <w:lvlJc w:val="left"/>
      <w:pPr>
        <w:ind w:left="7752" w:hanging="240"/>
      </w:pPr>
      <w:rPr>
        <w:rFonts w:hint="default"/>
      </w:rPr>
    </w:lvl>
  </w:abstractNum>
  <w:abstractNum w:abstractNumId="13">
    <w:nsid w:val="58B44AEA"/>
    <w:multiLevelType w:val="hybridMultilevel"/>
    <w:tmpl w:val="70A00FB0"/>
    <w:lvl w:ilvl="0" w:tplc="489E6C3C">
      <w:start w:val="1"/>
      <w:numFmt w:val="bullet"/>
      <w:lvlText w:val=""/>
      <w:lvlJc w:val="left"/>
      <w:pPr>
        <w:ind w:left="1200" w:hanging="360"/>
      </w:pPr>
      <w:rPr>
        <w:rFonts w:ascii="Symbol" w:eastAsia="Symbol" w:hAnsi="Symbol" w:hint="default"/>
        <w:sz w:val="24"/>
        <w:szCs w:val="24"/>
      </w:rPr>
    </w:lvl>
    <w:lvl w:ilvl="1" w:tplc="DC344566">
      <w:start w:val="1"/>
      <w:numFmt w:val="bullet"/>
      <w:lvlText w:val="•"/>
      <w:lvlJc w:val="left"/>
      <w:pPr>
        <w:ind w:left="2040" w:hanging="360"/>
      </w:pPr>
      <w:rPr>
        <w:rFonts w:hint="default"/>
      </w:rPr>
    </w:lvl>
    <w:lvl w:ilvl="2" w:tplc="DEDC4588">
      <w:start w:val="1"/>
      <w:numFmt w:val="bullet"/>
      <w:lvlText w:val="•"/>
      <w:lvlJc w:val="left"/>
      <w:pPr>
        <w:ind w:left="2880" w:hanging="360"/>
      </w:pPr>
      <w:rPr>
        <w:rFonts w:hint="default"/>
      </w:rPr>
    </w:lvl>
    <w:lvl w:ilvl="3" w:tplc="EC366808">
      <w:start w:val="1"/>
      <w:numFmt w:val="bullet"/>
      <w:lvlText w:val="•"/>
      <w:lvlJc w:val="left"/>
      <w:pPr>
        <w:ind w:left="3720" w:hanging="360"/>
      </w:pPr>
      <w:rPr>
        <w:rFonts w:hint="default"/>
      </w:rPr>
    </w:lvl>
    <w:lvl w:ilvl="4" w:tplc="7EEE07FE">
      <w:start w:val="1"/>
      <w:numFmt w:val="bullet"/>
      <w:lvlText w:val="•"/>
      <w:lvlJc w:val="left"/>
      <w:pPr>
        <w:ind w:left="4560" w:hanging="360"/>
      </w:pPr>
      <w:rPr>
        <w:rFonts w:hint="default"/>
      </w:rPr>
    </w:lvl>
    <w:lvl w:ilvl="5" w:tplc="121C1080">
      <w:start w:val="1"/>
      <w:numFmt w:val="bullet"/>
      <w:lvlText w:val="•"/>
      <w:lvlJc w:val="left"/>
      <w:pPr>
        <w:ind w:left="5400" w:hanging="360"/>
      </w:pPr>
      <w:rPr>
        <w:rFonts w:hint="default"/>
      </w:rPr>
    </w:lvl>
    <w:lvl w:ilvl="6" w:tplc="618802A2">
      <w:start w:val="1"/>
      <w:numFmt w:val="bullet"/>
      <w:lvlText w:val="•"/>
      <w:lvlJc w:val="left"/>
      <w:pPr>
        <w:ind w:left="6240" w:hanging="360"/>
      </w:pPr>
      <w:rPr>
        <w:rFonts w:hint="default"/>
      </w:rPr>
    </w:lvl>
    <w:lvl w:ilvl="7" w:tplc="53CEA09E">
      <w:start w:val="1"/>
      <w:numFmt w:val="bullet"/>
      <w:lvlText w:val="•"/>
      <w:lvlJc w:val="left"/>
      <w:pPr>
        <w:ind w:left="7080" w:hanging="360"/>
      </w:pPr>
      <w:rPr>
        <w:rFonts w:hint="default"/>
      </w:rPr>
    </w:lvl>
    <w:lvl w:ilvl="8" w:tplc="5002B248">
      <w:start w:val="1"/>
      <w:numFmt w:val="bullet"/>
      <w:lvlText w:val="•"/>
      <w:lvlJc w:val="left"/>
      <w:pPr>
        <w:ind w:left="7920" w:hanging="360"/>
      </w:pPr>
      <w:rPr>
        <w:rFonts w:hint="default"/>
      </w:rPr>
    </w:lvl>
  </w:abstractNum>
  <w:abstractNum w:abstractNumId="14">
    <w:nsid w:val="5964224A"/>
    <w:multiLevelType w:val="hybridMultilevel"/>
    <w:tmpl w:val="2DF8CE9E"/>
    <w:lvl w:ilvl="0" w:tplc="094C061C">
      <w:start w:val="1"/>
      <w:numFmt w:val="bullet"/>
      <w:lvlText w:val=""/>
      <w:lvlJc w:val="left"/>
      <w:pPr>
        <w:ind w:left="1261" w:hanging="360"/>
      </w:pPr>
      <w:rPr>
        <w:rFonts w:ascii="Symbol" w:eastAsia="Symbol" w:hAnsi="Symbol" w:hint="default"/>
        <w:sz w:val="24"/>
        <w:szCs w:val="24"/>
      </w:rPr>
    </w:lvl>
    <w:lvl w:ilvl="1" w:tplc="DC1C9EDE">
      <w:start w:val="1"/>
      <w:numFmt w:val="bullet"/>
      <w:lvlText w:val="•"/>
      <w:lvlJc w:val="left"/>
      <w:pPr>
        <w:ind w:left="2094" w:hanging="360"/>
      </w:pPr>
      <w:rPr>
        <w:rFonts w:hint="default"/>
      </w:rPr>
    </w:lvl>
    <w:lvl w:ilvl="2" w:tplc="54CA58CE">
      <w:start w:val="1"/>
      <w:numFmt w:val="bullet"/>
      <w:lvlText w:val="•"/>
      <w:lvlJc w:val="left"/>
      <w:pPr>
        <w:ind w:left="2928" w:hanging="360"/>
      </w:pPr>
      <w:rPr>
        <w:rFonts w:hint="default"/>
      </w:rPr>
    </w:lvl>
    <w:lvl w:ilvl="3" w:tplc="519AFB38">
      <w:start w:val="1"/>
      <w:numFmt w:val="bullet"/>
      <w:lvlText w:val="•"/>
      <w:lvlJc w:val="left"/>
      <w:pPr>
        <w:ind w:left="3762" w:hanging="360"/>
      </w:pPr>
      <w:rPr>
        <w:rFonts w:hint="default"/>
      </w:rPr>
    </w:lvl>
    <w:lvl w:ilvl="4" w:tplc="40D80F64">
      <w:start w:val="1"/>
      <w:numFmt w:val="bullet"/>
      <w:lvlText w:val="•"/>
      <w:lvlJc w:val="left"/>
      <w:pPr>
        <w:ind w:left="4596" w:hanging="360"/>
      </w:pPr>
      <w:rPr>
        <w:rFonts w:hint="default"/>
      </w:rPr>
    </w:lvl>
    <w:lvl w:ilvl="5" w:tplc="EABCDA26">
      <w:start w:val="1"/>
      <w:numFmt w:val="bullet"/>
      <w:lvlText w:val="•"/>
      <w:lvlJc w:val="left"/>
      <w:pPr>
        <w:ind w:left="5430" w:hanging="360"/>
      </w:pPr>
      <w:rPr>
        <w:rFonts w:hint="default"/>
      </w:rPr>
    </w:lvl>
    <w:lvl w:ilvl="6" w:tplc="A2CC1B98">
      <w:start w:val="1"/>
      <w:numFmt w:val="bullet"/>
      <w:lvlText w:val="•"/>
      <w:lvlJc w:val="left"/>
      <w:pPr>
        <w:ind w:left="6264" w:hanging="360"/>
      </w:pPr>
      <w:rPr>
        <w:rFonts w:hint="default"/>
      </w:rPr>
    </w:lvl>
    <w:lvl w:ilvl="7" w:tplc="054A5ABE">
      <w:start w:val="1"/>
      <w:numFmt w:val="bullet"/>
      <w:lvlText w:val="•"/>
      <w:lvlJc w:val="left"/>
      <w:pPr>
        <w:ind w:left="7098" w:hanging="360"/>
      </w:pPr>
      <w:rPr>
        <w:rFonts w:hint="default"/>
      </w:rPr>
    </w:lvl>
    <w:lvl w:ilvl="8" w:tplc="BA5ABAF0">
      <w:start w:val="1"/>
      <w:numFmt w:val="bullet"/>
      <w:lvlText w:val="•"/>
      <w:lvlJc w:val="left"/>
      <w:pPr>
        <w:ind w:left="7932" w:hanging="360"/>
      </w:pPr>
      <w:rPr>
        <w:rFonts w:hint="default"/>
      </w:rPr>
    </w:lvl>
  </w:abstractNum>
  <w:abstractNum w:abstractNumId="15">
    <w:nsid w:val="5DC0666D"/>
    <w:multiLevelType w:val="multilevel"/>
    <w:tmpl w:val="6242055C"/>
    <w:lvl w:ilvl="0">
      <w:start w:val="1"/>
      <w:numFmt w:val="upperLetter"/>
      <w:lvlText w:val="%1."/>
      <w:lvlJc w:val="left"/>
      <w:pPr>
        <w:ind w:left="840" w:hanging="720"/>
      </w:pPr>
      <w:rPr>
        <w:rFonts w:ascii="Arial" w:eastAsia="Times New Roman" w:hAnsi="Arial" w:cs="Arial" w:hint="default"/>
        <w:b/>
        <w:bCs/>
        <w:i/>
        <w:sz w:val="24"/>
        <w:szCs w:val="24"/>
      </w:rPr>
    </w:lvl>
    <w:lvl w:ilvl="1">
      <w:start w:val="1"/>
      <w:numFmt w:val="decimal"/>
      <w:lvlText w:val="%1.%2"/>
      <w:lvlJc w:val="left"/>
      <w:pPr>
        <w:ind w:left="480" w:hanging="413"/>
        <w:jc w:val="right"/>
      </w:pPr>
      <w:rPr>
        <w:rFonts w:ascii="Arial" w:eastAsia="Times New Roman" w:hAnsi="Arial" w:cs="Arial" w:hint="default"/>
        <w:b/>
        <w:bCs/>
        <w:sz w:val="24"/>
        <w:szCs w:val="24"/>
      </w:rPr>
    </w:lvl>
    <w:lvl w:ilvl="2">
      <w:start w:val="1"/>
      <w:numFmt w:val="bullet"/>
      <w:lvlText w:val="o"/>
      <w:lvlJc w:val="left"/>
      <w:pPr>
        <w:ind w:left="1200" w:hanging="360"/>
      </w:pPr>
      <w:rPr>
        <w:rFonts w:ascii="Courier New" w:eastAsia="Courier New" w:hAnsi="Courier New" w:hint="default"/>
        <w:sz w:val="24"/>
        <w:szCs w:val="24"/>
      </w:rPr>
    </w:lvl>
    <w:lvl w:ilvl="3">
      <w:start w:val="1"/>
      <w:numFmt w:val="bullet"/>
      <w:lvlText w:val="•"/>
      <w:lvlJc w:val="left"/>
      <w:pPr>
        <w:ind w:left="2250" w:hanging="360"/>
      </w:pPr>
      <w:rPr>
        <w:rFonts w:hint="default"/>
      </w:rPr>
    </w:lvl>
    <w:lvl w:ilvl="4">
      <w:start w:val="1"/>
      <w:numFmt w:val="bullet"/>
      <w:lvlText w:val="•"/>
      <w:lvlJc w:val="left"/>
      <w:pPr>
        <w:ind w:left="3300" w:hanging="360"/>
      </w:pPr>
      <w:rPr>
        <w:rFonts w:hint="default"/>
      </w:rPr>
    </w:lvl>
    <w:lvl w:ilvl="5">
      <w:start w:val="1"/>
      <w:numFmt w:val="bullet"/>
      <w:lvlText w:val="•"/>
      <w:lvlJc w:val="left"/>
      <w:pPr>
        <w:ind w:left="4350" w:hanging="360"/>
      </w:pPr>
      <w:rPr>
        <w:rFonts w:hint="default"/>
      </w:rPr>
    </w:lvl>
    <w:lvl w:ilvl="6">
      <w:start w:val="1"/>
      <w:numFmt w:val="bullet"/>
      <w:lvlText w:val="•"/>
      <w:lvlJc w:val="left"/>
      <w:pPr>
        <w:ind w:left="5400" w:hanging="360"/>
      </w:pPr>
      <w:rPr>
        <w:rFonts w:hint="default"/>
      </w:rPr>
    </w:lvl>
    <w:lvl w:ilvl="7">
      <w:start w:val="1"/>
      <w:numFmt w:val="bullet"/>
      <w:lvlText w:val="•"/>
      <w:lvlJc w:val="left"/>
      <w:pPr>
        <w:ind w:left="6450" w:hanging="360"/>
      </w:pPr>
      <w:rPr>
        <w:rFonts w:hint="default"/>
      </w:rPr>
    </w:lvl>
    <w:lvl w:ilvl="8">
      <w:start w:val="1"/>
      <w:numFmt w:val="bullet"/>
      <w:lvlText w:val="•"/>
      <w:lvlJc w:val="left"/>
      <w:pPr>
        <w:ind w:left="7500" w:hanging="360"/>
      </w:pPr>
      <w:rPr>
        <w:rFonts w:hint="default"/>
      </w:rPr>
    </w:lvl>
  </w:abstractNum>
  <w:abstractNum w:abstractNumId="16">
    <w:nsid w:val="6B4A4650"/>
    <w:multiLevelType w:val="hybridMultilevel"/>
    <w:tmpl w:val="A0882D88"/>
    <w:lvl w:ilvl="0" w:tplc="3578CEC4">
      <w:start w:val="1"/>
      <w:numFmt w:val="decimal"/>
      <w:lvlText w:val="%1."/>
      <w:lvlJc w:val="left"/>
      <w:pPr>
        <w:ind w:left="480" w:hanging="360"/>
      </w:pPr>
      <w:rPr>
        <w:rFonts w:ascii="Arial" w:eastAsia="Times New Roman" w:hAnsi="Arial" w:cs="Arial" w:hint="default"/>
        <w:sz w:val="24"/>
        <w:szCs w:val="24"/>
      </w:rPr>
    </w:lvl>
    <w:lvl w:ilvl="1" w:tplc="74F2EE86">
      <w:start w:val="1"/>
      <w:numFmt w:val="bullet"/>
      <w:lvlText w:val="•"/>
      <w:lvlJc w:val="left"/>
      <w:pPr>
        <w:ind w:left="1392" w:hanging="360"/>
      </w:pPr>
      <w:rPr>
        <w:rFonts w:hint="default"/>
      </w:rPr>
    </w:lvl>
    <w:lvl w:ilvl="2" w:tplc="1D1AB9F8">
      <w:start w:val="1"/>
      <w:numFmt w:val="bullet"/>
      <w:lvlText w:val="•"/>
      <w:lvlJc w:val="left"/>
      <w:pPr>
        <w:ind w:left="2304" w:hanging="360"/>
      </w:pPr>
      <w:rPr>
        <w:rFonts w:hint="default"/>
      </w:rPr>
    </w:lvl>
    <w:lvl w:ilvl="3" w:tplc="F880EBD0">
      <w:start w:val="1"/>
      <w:numFmt w:val="bullet"/>
      <w:lvlText w:val="•"/>
      <w:lvlJc w:val="left"/>
      <w:pPr>
        <w:ind w:left="3216" w:hanging="360"/>
      </w:pPr>
      <w:rPr>
        <w:rFonts w:hint="default"/>
      </w:rPr>
    </w:lvl>
    <w:lvl w:ilvl="4" w:tplc="28F8F954">
      <w:start w:val="1"/>
      <w:numFmt w:val="bullet"/>
      <w:lvlText w:val="•"/>
      <w:lvlJc w:val="left"/>
      <w:pPr>
        <w:ind w:left="4128" w:hanging="360"/>
      </w:pPr>
      <w:rPr>
        <w:rFonts w:hint="default"/>
      </w:rPr>
    </w:lvl>
    <w:lvl w:ilvl="5" w:tplc="B1F0EBB2">
      <w:start w:val="1"/>
      <w:numFmt w:val="bullet"/>
      <w:lvlText w:val="•"/>
      <w:lvlJc w:val="left"/>
      <w:pPr>
        <w:ind w:left="5040" w:hanging="360"/>
      </w:pPr>
      <w:rPr>
        <w:rFonts w:hint="default"/>
      </w:rPr>
    </w:lvl>
    <w:lvl w:ilvl="6" w:tplc="B8DEBD0A">
      <w:start w:val="1"/>
      <w:numFmt w:val="bullet"/>
      <w:lvlText w:val="•"/>
      <w:lvlJc w:val="left"/>
      <w:pPr>
        <w:ind w:left="5952" w:hanging="360"/>
      </w:pPr>
      <w:rPr>
        <w:rFonts w:hint="default"/>
      </w:rPr>
    </w:lvl>
    <w:lvl w:ilvl="7" w:tplc="AF3051BE">
      <w:start w:val="1"/>
      <w:numFmt w:val="bullet"/>
      <w:lvlText w:val="•"/>
      <w:lvlJc w:val="left"/>
      <w:pPr>
        <w:ind w:left="6864" w:hanging="360"/>
      </w:pPr>
      <w:rPr>
        <w:rFonts w:hint="default"/>
      </w:rPr>
    </w:lvl>
    <w:lvl w:ilvl="8" w:tplc="40AC617C">
      <w:start w:val="1"/>
      <w:numFmt w:val="bullet"/>
      <w:lvlText w:val="•"/>
      <w:lvlJc w:val="left"/>
      <w:pPr>
        <w:ind w:left="7776" w:hanging="360"/>
      </w:pPr>
      <w:rPr>
        <w:rFonts w:hint="default"/>
      </w:rPr>
    </w:lvl>
  </w:abstractNum>
  <w:abstractNum w:abstractNumId="17">
    <w:nsid w:val="7104003B"/>
    <w:multiLevelType w:val="hybridMultilevel"/>
    <w:tmpl w:val="192C109A"/>
    <w:lvl w:ilvl="0" w:tplc="65DC00C4">
      <w:start w:val="1"/>
      <w:numFmt w:val="bullet"/>
      <w:lvlText w:val=""/>
      <w:lvlJc w:val="left"/>
      <w:pPr>
        <w:ind w:left="1180" w:hanging="360"/>
      </w:pPr>
      <w:rPr>
        <w:rFonts w:ascii="Symbol" w:eastAsia="Symbol" w:hAnsi="Symbol" w:hint="default"/>
        <w:sz w:val="20"/>
        <w:szCs w:val="20"/>
      </w:rPr>
    </w:lvl>
    <w:lvl w:ilvl="1" w:tplc="C9EAB080">
      <w:start w:val="1"/>
      <w:numFmt w:val="bullet"/>
      <w:lvlText w:val="o"/>
      <w:lvlJc w:val="left"/>
      <w:pPr>
        <w:ind w:left="1900" w:hanging="360"/>
      </w:pPr>
      <w:rPr>
        <w:rFonts w:ascii="Courier New" w:eastAsia="Courier New" w:hAnsi="Courier New" w:hint="default"/>
        <w:sz w:val="20"/>
        <w:szCs w:val="20"/>
      </w:rPr>
    </w:lvl>
    <w:lvl w:ilvl="2" w:tplc="D16A57CE">
      <w:start w:val="1"/>
      <w:numFmt w:val="bullet"/>
      <w:lvlText w:val="▪"/>
      <w:lvlJc w:val="left"/>
      <w:pPr>
        <w:ind w:left="2620" w:hanging="360"/>
      </w:pPr>
      <w:rPr>
        <w:rFonts w:ascii="Malgun Gothic" w:eastAsia="Malgun Gothic" w:hAnsi="Malgun Gothic" w:hint="default"/>
        <w:sz w:val="20"/>
        <w:szCs w:val="20"/>
      </w:rPr>
    </w:lvl>
    <w:lvl w:ilvl="3" w:tplc="0736FB74">
      <w:start w:val="1"/>
      <w:numFmt w:val="bullet"/>
      <w:lvlText w:val="•"/>
      <w:lvlJc w:val="left"/>
      <w:pPr>
        <w:ind w:left="3490" w:hanging="360"/>
      </w:pPr>
      <w:rPr>
        <w:rFonts w:hint="default"/>
      </w:rPr>
    </w:lvl>
    <w:lvl w:ilvl="4" w:tplc="2FCAA092">
      <w:start w:val="1"/>
      <w:numFmt w:val="bullet"/>
      <w:lvlText w:val="•"/>
      <w:lvlJc w:val="left"/>
      <w:pPr>
        <w:ind w:left="4360" w:hanging="360"/>
      </w:pPr>
      <w:rPr>
        <w:rFonts w:hint="default"/>
      </w:rPr>
    </w:lvl>
    <w:lvl w:ilvl="5" w:tplc="9BC2F158">
      <w:start w:val="1"/>
      <w:numFmt w:val="bullet"/>
      <w:lvlText w:val="•"/>
      <w:lvlJc w:val="left"/>
      <w:pPr>
        <w:ind w:left="5230" w:hanging="360"/>
      </w:pPr>
      <w:rPr>
        <w:rFonts w:hint="default"/>
      </w:rPr>
    </w:lvl>
    <w:lvl w:ilvl="6" w:tplc="6FB63888">
      <w:start w:val="1"/>
      <w:numFmt w:val="bullet"/>
      <w:lvlText w:val="•"/>
      <w:lvlJc w:val="left"/>
      <w:pPr>
        <w:ind w:left="6100" w:hanging="360"/>
      </w:pPr>
      <w:rPr>
        <w:rFonts w:hint="default"/>
      </w:rPr>
    </w:lvl>
    <w:lvl w:ilvl="7" w:tplc="1CBC9C18">
      <w:start w:val="1"/>
      <w:numFmt w:val="bullet"/>
      <w:lvlText w:val="•"/>
      <w:lvlJc w:val="left"/>
      <w:pPr>
        <w:ind w:left="6970" w:hanging="360"/>
      </w:pPr>
      <w:rPr>
        <w:rFonts w:hint="default"/>
      </w:rPr>
    </w:lvl>
    <w:lvl w:ilvl="8" w:tplc="D27C992C">
      <w:start w:val="1"/>
      <w:numFmt w:val="bullet"/>
      <w:lvlText w:val="•"/>
      <w:lvlJc w:val="left"/>
      <w:pPr>
        <w:ind w:left="7840" w:hanging="360"/>
      </w:pPr>
      <w:rPr>
        <w:rFonts w:hint="default"/>
      </w:rPr>
    </w:lvl>
  </w:abstractNum>
  <w:abstractNum w:abstractNumId="18">
    <w:nsid w:val="786044A1"/>
    <w:multiLevelType w:val="hybridMultilevel"/>
    <w:tmpl w:val="528C18E8"/>
    <w:lvl w:ilvl="0" w:tplc="9A043668">
      <w:start w:val="1"/>
      <w:numFmt w:val="bullet"/>
      <w:lvlText w:val=""/>
      <w:lvlJc w:val="left"/>
      <w:pPr>
        <w:ind w:left="1180" w:hanging="360"/>
      </w:pPr>
      <w:rPr>
        <w:rFonts w:ascii="Wingdings" w:hAnsi="Wingdings" w:hint="default"/>
        <w:sz w:val="20"/>
        <w:szCs w:val="20"/>
      </w:rPr>
    </w:lvl>
    <w:lvl w:ilvl="1" w:tplc="C9EAB080">
      <w:start w:val="1"/>
      <w:numFmt w:val="bullet"/>
      <w:lvlText w:val="o"/>
      <w:lvlJc w:val="left"/>
      <w:pPr>
        <w:ind w:left="1900" w:hanging="360"/>
      </w:pPr>
      <w:rPr>
        <w:rFonts w:ascii="Courier New" w:eastAsia="Courier New" w:hAnsi="Courier New" w:hint="default"/>
        <w:sz w:val="20"/>
        <w:szCs w:val="20"/>
      </w:rPr>
    </w:lvl>
    <w:lvl w:ilvl="2" w:tplc="D16A57CE">
      <w:start w:val="1"/>
      <w:numFmt w:val="bullet"/>
      <w:lvlText w:val="▪"/>
      <w:lvlJc w:val="left"/>
      <w:pPr>
        <w:ind w:left="2620" w:hanging="360"/>
      </w:pPr>
      <w:rPr>
        <w:rFonts w:ascii="Malgun Gothic" w:eastAsia="Malgun Gothic" w:hAnsi="Malgun Gothic" w:hint="default"/>
        <w:sz w:val="20"/>
        <w:szCs w:val="20"/>
      </w:rPr>
    </w:lvl>
    <w:lvl w:ilvl="3" w:tplc="0736FB74">
      <w:start w:val="1"/>
      <w:numFmt w:val="bullet"/>
      <w:lvlText w:val="•"/>
      <w:lvlJc w:val="left"/>
      <w:pPr>
        <w:ind w:left="3490" w:hanging="360"/>
      </w:pPr>
      <w:rPr>
        <w:rFonts w:hint="default"/>
      </w:rPr>
    </w:lvl>
    <w:lvl w:ilvl="4" w:tplc="2FCAA092">
      <w:start w:val="1"/>
      <w:numFmt w:val="bullet"/>
      <w:lvlText w:val="•"/>
      <w:lvlJc w:val="left"/>
      <w:pPr>
        <w:ind w:left="4360" w:hanging="360"/>
      </w:pPr>
      <w:rPr>
        <w:rFonts w:hint="default"/>
      </w:rPr>
    </w:lvl>
    <w:lvl w:ilvl="5" w:tplc="9BC2F158">
      <w:start w:val="1"/>
      <w:numFmt w:val="bullet"/>
      <w:lvlText w:val="•"/>
      <w:lvlJc w:val="left"/>
      <w:pPr>
        <w:ind w:left="5230" w:hanging="360"/>
      </w:pPr>
      <w:rPr>
        <w:rFonts w:hint="default"/>
      </w:rPr>
    </w:lvl>
    <w:lvl w:ilvl="6" w:tplc="6FB63888">
      <w:start w:val="1"/>
      <w:numFmt w:val="bullet"/>
      <w:lvlText w:val="•"/>
      <w:lvlJc w:val="left"/>
      <w:pPr>
        <w:ind w:left="6100" w:hanging="360"/>
      </w:pPr>
      <w:rPr>
        <w:rFonts w:hint="default"/>
      </w:rPr>
    </w:lvl>
    <w:lvl w:ilvl="7" w:tplc="1CBC9C18">
      <w:start w:val="1"/>
      <w:numFmt w:val="bullet"/>
      <w:lvlText w:val="•"/>
      <w:lvlJc w:val="left"/>
      <w:pPr>
        <w:ind w:left="6970" w:hanging="360"/>
      </w:pPr>
      <w:rPr>
        <w:rFonts w:hint="default"/>
      </w:rPr>
    </w:lvl>
    <w:lvl w:ilvl="8" w:tplc="D27C992C">
      <w:start w:val="1"/>
      <w:numFmt w:val="bullet"/>
      <w:lvlText w:val="•"/>
      <w:lvlJc w:val="left"/>
      <w:pPr>
        <w:ind w:left="7840" w:hanging="360"/>
      </w:pPr>
      <w:rPr>
        <w:rFonts w:hint="default"/>
      </w:rPr>
    </w:lvl>
  </w:abstractNum>
  <w:abstractNum w:abstractNumId="19">
    <w:nsid w:val="7D3D64AA"/>
    <w:multiLevelType w:val="hybridMultilevel"/>
    <w:tmpl w:val="27C636EE"/>
    <w:lvl w:ilvl="0" w:tplc="C322A684">
      <w:start w:val="1"/>
      <w:numFmt w:val="bullet"/>
      <w:lvlText w:val=""/>
      <w:lvlJc w:val="left"/>
      <w:pPr>
        <w:ind w:left="1261" w:hanging="360"/>
      </w:pPr>
      <w:rPr>
        <w:rFonts w:ascii="Symbol" w:eastAsia="Symbol" w:hAnsi="Symbol" w:hint="default"/>
        <w:sz w:val="24"/>
        <w:szCs w:val="24"/>
      </w:rPr>
    </w:lvl>
    <w:lvl w:ilvl="1" w:tplc="90FCBC4C">
      <w:start w:val="1"/>
      <w:numFmt w:val="bullet"/>
      <w:lvlText w:val="•"/>
      <w:lvlJc w:val="left"/>
      <w:pPr>
        <w:ind w:left="2094" w:hanging="360"/>
      </w:pPr>
      <w:rPr>
        <w:rFonts w:hint="default"/>
      </w:rPr>
    </w:lvl>
    <w:lvl w:ilvl="2" w:tplc="5EB231CE">
      <w:start w:val="1"/>
      <w:numFmt w:val="bullet"/>
      <w:lvlText w:val="•"/>
      <w:lvlJc w:val="left"/>
      <w:pPr>
        <w:ind w:left="2928" w:hanging="360"/>
      </w:pPr>
      <w:rPr>
        <w:rFonts w:hint="default"/>
      </w:rPr>
    </w:lvl>
    <w:lvl w:ilvl="3" w:tplc="15D00F84">
      <w:start w:val="1"/>
      <w:numFmt w:val="bullet"/>
      <w:lvlText w:val="•"/>
      <w:lvlJc w:val="left"/>
      <w:pPr>
        <w:ind w:left="3762" w:hanging="360"/>
      </w:pPr>
      <w:rPr>
        <w:rFonts w:hint="default"/>
      </w:rPr>
    </w:lvl>
    <w:lvl w:ilvl="4" w:tplc="8188C944">
      <w:start w:val="1"/>
      <w:numFmt w:val="bullet"/>
      <w:lvlText w:val="•"/>
      <w:lvlJc w:val="left"/>
      <w:pPr>
        <w:ind w:left="4596" w:hanging="360"/>
      </w:pPr>
      <w:rPr>
        <w:rFonts w:hint="default"/>
      </w:rPr>
    </w:lvl>
    <w:lvl w:ilvl="5" w:tplc="ABA2D3DC">
      <w:start w:val="1"/>
      <w:numFmt w:val="bullet"/>
      <w:lvlText w:val="•"/>
      <w:lvlJc w:val="left"/>
      <w:pPr>
        <w:ind w:left="5430" w:hanging="360"/>
      </w:pPr>
      <w:rPr>
        <w:rFonts w:hint="default"/>
      </w:rPr>
    </w:lvl>
    <w:lvl w:ilvl="6" w:tplc="1FB48C38">
      <w:start w:val="1"/>
      <w:numFmt w:val="bullet"/>
      <w:lvlText w:val="•"/>
      <w:lvlJc w:val="left"/>
      <w:pPr>
        <w:ind w:left="6264" w:hanging="360"/>
      </w:pPr>
      <w:rPr>
        <w:rFonts w:hint="default"/>
      </w:rPr>
    </w:lvl>
    <w:lvl w:ilvl="7" w:tplc="C2C23AE8">
      <w:start w:val="1"/>
      <w:numFmt w:val="bullet"/>
      <w:lvlText w:val="•"/>
      <w:lvlJc w:val="left"/>
      <w:pPr>
        <w:ind w:left="7098" w:hanging="360"/>
      </w:pPr>
      <w:rPr>
        <w:rFonts w:hint="default"/>
      </w:rPr>
    </w:lvl>
    <w:lvl w:ilvl="8" w:tplc="502E4C04">
      <w:start w:val="1"/>
      <w:numFmt w:val="bullet"/>
      <w:lvlText w:val="•"/>
      <w:lvlJc w:val="left"/>
      <w:pPr>
        <w:ind w:left="7932" w:hanging="360"/>
      </w:pPr>
      <w:rPr>
        <w:rFonts w:hint="default"/>
      </w:rPr>
    </w:lvl>
  </w:abstractNum>
  <w:num w:numId="1">
    <w:abstractNumId w:val="11"/>
  </w:num>
  <w:num w:numId="2">
    <w:abstractNumId w:val="10"/>
  </w:num>
  <w:num w:numId="3">
    <w:abstractNumId w:val="17"/>
  </w:num>
  <w:num w:numId="4">
    <w:abstractNumId w:val="12"/>
  </w:num>
  <w:num w:numId="5">
    <w:abstractNumId w:val="13"/>
  </w:num>
  <w:num w:numId="6">
    <w:abstractNumId w:val="19"/>
  </w:num>
  <w:num w:numId="7">
    <w:abstractNumId w:val="14"/>
  </w:num>
  <w:num w:numId="8">
    <w:abstractNumId w:val="0"/>
  </w:num>
  <w:num w:numId="9">
    <w:abstractNumId w:val="5"/>
  </w:num>
  <w:num w:numId="10">
    <w:abstractNumId w:val="8"/>
  </w:num>
  <w:num w:numId="11">
    <w:abstractNumId w:val="15"/>
  </w:num>
  <w:num w:numId="12">
    <w:abstractNumId w:val="2"/>
  </w:num>
  <w:num w:numId="13">
    <w:abstractNumId w:val="9"/>
  </w:num>
  <w:num w:numId="14">
    <w:abstractNumId w:val="7"/>
  </w:num>
  <w:num w:numId="15">
    <w:abstractNumId w:val="6"/>
  </w:num>
  <w:num w:numId="16">
    <w:abstractNumId w:val="16"/>
  </w:num>
  <w:num w:numId="17">
    <w:abstractNumId w:val="3"/>
  </w:num>
  <w:num w:numId="18">
    <w:abstractNumId w:val="4"/>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6A"/>
    <w:rsid w:val="000207D6"/>
    <w:rsid w:val="00053253"/>
    <w:rsid w:val="00066549"/>
    <w:rsid w:val="00084618"/>
    <w:rsid w:val="00124B27"/>
    <w:rsid w:val="001369B0"/>
    <w:rsid w:val="00152E64"/>
    <w:rsid w:val="00165B66"/>
    <w:rsid w:val="0019249B"/>
    <w:rsid w:val="001C74EB"/>
    <w:rsid w:val="00210933"/>
    <w:rsid w:val="00270D77"/>
    <w:rsid w:val="002E077F"/>
    <w:rsid w:val="002E4212"/>
    <w:rsid w:val="00341F19"/>
    <w:rsid w:val="0036678E"/>
    <w:rsid w:val="00371F36"/>
    <w:rsid w:val="00374303"/>
    <w:rsid w:val="003A02DE"/>
    <w:rsid w:val="003A6E7C"/>
    <w:rsid w:val="003C6274"/>
    <w:rsid w:val="004345B6"/>
    <w:rsid w:val="004B12D5"/>
    <w:rsid w:val="004E4372"/>
    <w:rsid w:val="005072FF"/>
    <w:rsid w:val="00575499"/>
    <w:rsid w:val="00580060"/>
    <w:rsid w:val="005C27CB"/>
    <w:rsid w:val="00635917"/>
    <w:rsid w:val="00657726"/>
    <w:rsid w:val="0066621F"/>
    <w:rsid w:val="00677B05"/>
    <w:rsid w:val="007114B9"/>
    <w:rsid w:val="007210C5"/>
    <w:rsid w:val="00787115"/>
    <w:rsid w:val="007B4057"/>
    <w:rsid w:val="00882BA1"/>
    <w:rsid w:val="00890887"/>
    <w:rsid w:val="008B0CC9"/>
    <w:rsid w:val="008E36CB"/>
    <w:rsid w:val="00915AD9"/>
    <w:rsid w:val="00940E41"/>
    <w:rsid w:val="009453A8"/>
    <w:rsid w:val="00963358"/>
    <w:rsid w:val="009D40D7"/>
    <w:rsid w:val="009E144E"/>
    <w:rsid w:val="00A3286A"/>
    <w:rsid w:val="00A54712"/>
    <w:rsid w:val="00AB7CD6"/>
    <w:rsid w:val="00AC11F2"/>
    <w:rsid w:val="00B114CA"/>
    <w:rsid w:val="00B82788"/>
    <w:rsid w:val="00BD0395"/>
    <w:rsid w:val="00C420C7"/>
    <w:rsid w:val="00CA01D9"/>
    <w:rsid w:val="00CD6A73"/>
    <w:rsid w:val="00CD785F"/>
    <w:rsid w:val="00CF3364"/>
    <w:rsid w:val="00D80E5E"/>
    <w:rsid w:val="00DF3DC8"/>
    <w:rsid w:val="00E67109"/>
    <w:rsid w:val="00EC0760"/>
    <w:rsid w:val="00EF5212"/>
    <w:rsid w:val="00F104A6"/>
    <w:rsid w:val="00F20BDF"/>
    <w:rsid w:val="00F3419D"/>
    <w:rsid w:val="00FC4A7B"/>
    <w:rsid w:val="00FE2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26"/>
      <w:outlineLvl w:val="0"/>
    </w:pPr>
    <w:rPr>
      <w:rFonts w:ascii="Times New Roman" w:eastAsia="宋体" w:hAnsi="Times New Roman"/>
      <w:b/>
      <w:bCs/>
      <w:sz w:val="28"/>
      <w:szCs w:val="28"/>
    </w:rPr>
  </w:style>
  <w:style w:type="paragraph" w:styleId="2">
    <w:name w:val="heading 2"/>
    <w:basedOn w:val="a"/>
    <w:uiPriority w:val="1"/>
    <w:qFormat/>
    <w:pPr>
      <w:ind w:left="840" w:hanging="720"/>
      <w:outlineLvl w:val="1"/>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DF3DC8"/>
    <w:pPr>
      <w:snapToGrid w:val="0"/>
      <w:spacing w:line="288" w:lineRule="auto"/>
      <w:ind w:left="731" w:hanging="629"/>
    </w:pPr>
    <w:rPr>
      <w:rFonts w:ascii="Times New Roman" w:eastAsia="宋体" w:hAnsi="Times New Roman"/>
      <w:b/>
      <w:bCs/>
      <w:sz w:val="24"/>
      <w:szCs w:val="24"/>
    </w:rPr>
  </w:style>
  <w:style w:type="paragraph" w:styleId="20">
    <w:name w:val="toc 2"/>
    <w:basedOn w:val="a"/>
    <w:uiPriority w:val="39"/>
    <w:qFormat/>
    <w:pPr>
      <w:spacing w:before="283"/>
      <w:ind w:left="760" w:hanging="420"/>
    </w:pPr>
    <w:rPr>
      <w:rFonts w:ascii="Times New Roman" w:eastAsia="宋体" w:hAnsi="Times New Roman"/>
      <w:sz w:val="24"/>
      <w:szCs w:val="24"/>
    </w:r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270D77"/>
    <w:rPr>
      <w:sz w:val="18"/>
      <w:szCs w:val="18"/>
    </w:rPr>
  </w:style>
  <w:style w:type="character" w:customStyle="1" w:styleId="Char">
    <w:name w:val="批注框文本 Char"/>
    <w:basedOn w:val="a0"/>
    <w:link w:val="a5"/>
    <w:uiPriority w:val="99"/>
    <w:semiHidden/>
    <w:rsid w:val="00270D77"/>
    <w:rPr>
      <w:sz w:val="18"/>
      <w:szCs w:val="18"/>
    </w:rPr>
  </w:style>
  <w:style w:type="paragraph" w:styleId="a6">
    <w:name w:val="header"/>
    <w:basedOn w:val="a"/>
    <w:link w:val="Char0"/>
    <w:uiPriority w:val="99"/>
    <w:unhideWhenUsed/>
    <w:rsid w:val="00270D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70D77"/>
    <w:rPr>
      <w:sz w:val="18"/>
      <w:szCs w:val="18"/>
    </w:rPr>
  </w:style>
  <w:style w:type="paragraph" w:styleId="a7">
    <w:name w:val="footer"/>
    <w:basedOn w:val="a"/>
    <w:link w:val="Char1"/>
    <w:uiPriority w:val="99"/>
    <w:unhideWhenUsed/>
    <w:rsid w:val="00270D77"/>
    <w:pPr>
      <w:tabs>
        <w:tab w:val="center" w:pos="4153"/>
        <w:tab w:val="right" w:pos="8306"/>
      </w:tabs>
      <w:snapToGrid w:val="0"/>
    </w:pPr>
    <w:rPr>
      <w:sz w:val="18"/>
      <w:szCs w:val="18"/>
    </w:rPr>
  </w:style>
  <w:style w:type="character" w:customStyle="1" w:styleId="Char1">
    <w:name w:val="页脚 Char"/>
    <w:basedOn w:val="a0"/>
    <w:link w:val="a7"/>
    <w:uiPriority w:val="99"/>
    <w:rsid w:val="00270D77"/>
    <w:rPr>
      <w:sz w:val="18"/>
      <w:szCs w:val="18"/>
    </w:rPr>
  </w:style>
  <w:style w:type="table" w:styleId="a8">
    <w:name w:val="Table Grid"/>
    <w:basedOn w:val="a1"/>
    <w:uiPriority w:val="39"/>
    <w:rsid w:val="007B4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CA01D9"/>
    <w:pPr>
      <w:snapToGrid w:val="0"/>
    </w:pPr>
    <w:rPr>
      <w:sz w:val="18"/>
      <w:szCs w:val="18"/>
    </w:rPr>
  </w:style>
  <w:style w:type="character" w:customStyle="1" w:styleId="Char2">
    <w:name w:val="脚注文本 Char"/>
    <w:basedOn w:val="a0"/>
    <w:link w:val="a9"/>
    <w:uiPriority w:val="99"/>
    <w:semiHidden/>
    <w:rsid w:val="00CA01D9"/>
    <w:rPr>
      <w:sz w:val="18"/>
      <w:szCs w:val="18"/>
    </w:rPr>
  </w:style>
  <w:style w:type="character" w:styleId="aa">
    <w:name w:val="footnote reference"/>
    <w:basedOn w:val="a0"/>
    <w:uiPriority w:val="99"/>
    <w:semiHidden/>
    <w:unhideWhenUsed/>
    <w:rsid w:val="00CA01D9"/>
    <w:rPr>
      <w:vertAlign w:val="superscript"/>
    </w:rPr>
  </w:style>
  <w:style w:type="paragraph" w:styleId="TOC">
    <w:name w:val="TOC Heading"/>
    <w:basedOn w:val="1"/>
    <w:next w:val="a"/>
    <w:uiPriority w:val="39"/>
    <w:semiHidden/>
    <w:unhideWhenUsed/>
    <w:qFormat/>
    <w:rsid w:val="00374303"/>
    <w:pPr>
      <w:keepNext/>
      <w:keepLines/>
      <w:widowControl/>
      <w:spacing w:before="480" w:line="276" w:lineRule="auto"/>
      <w:ind w:left="0"/>
      <w:outlineLvl w:val="9"/>
    </w:pPr>
    <w:rPr>
      <w:rFonts w:asciiTheme="majorHAnsi" w:eastAsiaTheme="majorEastAsia" w:hAnsiTheme="majorHAnsi" w:cstheme="majorBidi"/>
      <w:color w:val="365F91" w:themeColor="accent1" w:themeShade="BF"/>
    </w:rPr>
  </w:style>
  <w:style w:type="character" w:styleId="ab">
    <w:name w:val="Hyperlink"/>
    <w:basedOn w:val="a0"/>
    <w:uiPriority w:val="99"/>
    <w:unhideWhenUsed/>
    <w:rsid w:val="003743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26"/>
      <w:outlineLvl w:val="0"/>
    </w:pPr>
    <w:rPr>
      <w:rFonts w:ascii="Times New Roman" w:eastAsia="宋体" w:hAnsi="Times New Roman"/>
      <w:b/>
      <w:bCs/>
      <w:sz w:val="28"/>
      <w:szCs w:val="28"/>
    </w:rPr>
  </w:style>
  <w:style w:type="paragraph" w:styleId="2">
    <w:name w:val="heading 2"/>
    <w:basedOn w:val="a"/>
    <w:uiPriority w:val="1"/>
    <w:qFormat/>
    <w:pPr>
      <w:ind w:left="840" w:hanging="720"/>
      <w:outlineLvl w:val="1"/>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DF3DC8"/>
    <w:pPr>
      <w:snapToGrid w:val="0"/>
      <w:spacing w:line="288" w:lineRule="auto"/>
      <w:ind w:left="731" w:hanging="629"/>
    </w:pPr>
    <w:rPr>
      <w:rFonts w:ascii="Times New Roman" w:eastAsia="宋体" w:hAnsi="Times New Roman"/>
      <w:b/>
      <w:bCs/>
      <w:sz w:val="24"/>
      <w:szCs w:val="24"/>
    </w:rPr>
  </w:style>
  <w:style w:type="paragraph" w:styleId="20">
    <w:name w:val="toc 2"/>
    <w:basedOn w:val="a"/>
    <w:uiPriority w:val="39"/>
    <w:qFormat/>
    <w:pPr>
      <w:spacing w:before="283"/>
      <w:ind w:left="760" w:hanging="420"/>
    </w:pPr>
    <w:rPr>
      <w:rFonts w:ascii="Times New Roman" w:eastAsia="宋体" w:hAnsi="Times New Roman"/>
      <w:sz w:val="24"/>
      <w:szCs w:val="24"/>
    </w:r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270D77"/>
    <w:rPr>
      <w:sz w:val="18"/>
      <w:szCs w:val="18"/>
    </w:rPr>
  </w:style>
  <w:style w:type="character" w:customStyle="1" w:styleId="Char">
    <w:name w:val="批注框文本 Char"/>
    <w:basedOn w:val="a0"/>
    <w:link w:val="a5"/>
    <w:uiPriority w:val="99"/>
    <w:semiHidden/>
    <w:rsid w:val="00270D77"/>
    <w:rPr>
      <w:sz w:val="18"/>
      <w:szCs w:val="18"/>
    </w:rPr>
  </w:style>
  <w:style w:type="paragraph" w:styleId="a6">
    <w:name w:val="header"/>
    <w:basedOn w:val="a"/>
    <w:link w:val="Char0"/>
    <w:uiPriority w:val="99"/>
    <w:unhideWhenUsed/>
    <w:rsid w:val="00270D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70D77"/>
    <w:rPr>
      <w:sz w:val="18"/>
      <w:szCs w:val="18"/>
    </w:rPr>
  </w:style>
  <w:style w:type="paragraph" w:styleId="a7">
    <w:name w:val="footer"/>
    <w:basedOn w:val="a"/>
    <w:link w:val="Char1"/>
    <w:uiPriority w:val="99"/>
    <w:unhideWhenUsed/>
    <w:rsid w:val="00270D77"/>
    <w:pPr>
      <w:tabs>
        <w:tab w:val="center" w:pos="4153"/>
        <w:tab w:val="right" w:pos="8306"/>
      </w:tabs>
      <w:snapToGrid w:val="0"/>
    </w:pPr>
    <w:rPr>
      <w:sz w:val="18"/>
      <w:szCs w:val="18"/>
    </w:rPr>
  </w:style>
  <w:style w:type="character" w:customStyle="1" w:styleId="Char1">
    <w:name w:val="页脚 Char"/>
    <w:basedOn w:val="a0"/>
    <w:link w:val="a7"/>
    <w:uiPriority w:val="99"/>
    <w:rsid w:val="00270D77"/>
    <w:rPr>
      <w:sz w:val="18"/>
      <w:szCs w:val="18"/>
    </w:rPr>
  </w:style>
  <w:style w:type="table" w:styleId="a8">
    <w:name w:val="Table Grid"/>
    <w:basedOn w:val="a1"/>
    <w:uiPriority w:val="39"/>
    <w:rsid w:val="007B4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CA01D9"/>
    <w:pPr>
      <w:snapToGrid w:val="0"/>
    </w:pPr>
    <w:rPr>
      <w:sz w:val="18"/>
      <w:szCs w:val="18"/>
    </w:rPr>
  </w:style>
  <w:style w:type="character" w:customStyle="1" w:styleId="Char2">
    <w:name w:val="脚注文本 Char"/>
    <w:basedOn w:val="a0"/>
    <w:link w:val="a9"/>
    <w:uiPriority w:val="99"/>
    <w:semiHidden/>
    <w:rsid w:val="00CA01D9"/>
    <w:rPr>
      <w:sz w:val="18"/>
      <w:szCs w:val="18"/>
    </w:rPr>
  </w:style>
  <w:style w:type="character" w:styleId="aa">
    <w:name w:val="footnote reference"/>
    <w:basedOn w:val="a0"/>
    <w:uiPriority w:val="99"/>
    <w:semiHidden/>
    <w:unhideWhenUsed/>
    <w:rsid w:val="00CA01D9"/>
    <w:rPr>
      <w:vertAlign w:val="superscript"/>
    </w:rPr>
  </w:style>
  <w:style w:type="paragraph" w:styleId="TOC">
    <w:name w:val="TOC Heading"/>
    <w:basedOn w:val="1"/>
    <w:next w:val="a"/>
    <w:uiPriority w:val="39"/>
    <w:semiHidden/>
    <w:unhideWhenUsed/>
    <w:qFormat/>
    <w:rsid w:val="00374303"/>
    <w:pPr>
      <w:keepNext/>
      <w:keepLines/>
      <w:widowControl/>
      <w:spacing w:before="480" w:line="276" w:lineRule="auto"/>
      <w:ind w:left="0"/>
      <w:outlineLvl w:val="9"/>
    </w:pPr>
    <w:rPr>
      <w:rFonts w:asciiTheme="majorHAnsi" w:eastAsiaTheme="majorEastAsia" w:hAnsiTheme="majorHAnsi" w:cstheme="majorBidi"/>
      <w:color w:val="365F91" w:themeColor="accent1" w:themeShade="BF"/>
    </w:rPr>
  </w:style>
  <w:style w:type="character" w:styleId="ab">
    <w:name w:val="Hyperlink"/>
    <w:basedOn w:val="a0"/>
    <w:uiPriority w:val="99"/>
    <w:unhideWhenUsed/>
    <w:rsid w:val="00374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BiologicsBloodVaccines/GuidanceComplianceRegulatoryInformation/Guidances/default.htm" TargetMode="External"/><Relationship Id="rId18" Type="http://schemas.openxmlformats.org/officeDocument/2006/relationships/hyperlink" Target="http://www.fda.gov/downloads/medicaldevices/deviceregulationandguidance/guidancedocuments/ucm279107.pdf" TargetMode="External"/><Relationship Id="rId26" Type="http://schemas.openxmlformats.org/officeDocument/2006/relationships/hyperlink" Target="http://www.fda.gov/downloads/medicaldevices/deviceregulationandguidance/guidancedocuments/ucm279103.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da.gov/downloads/medicaldevices/deviceregulationandguidance/guidancedocuments/ucm279107.pdf" TargetMode="External"/><Relationship Id="rId34" Type="http://schemas.openxmlformats.org/officeDocument/2006/relationships/hyperlink" Target="http://www.fda.gov/downloads/medicaldevices/deviceregulationandguidance/guidancedocuments/ucm446680.pdf" TargetMode="External"/><Relationship Id="rId7" Type="http://schemas.openxmlformats.org/officeDocument/2006/relationships/footnotes" Target="footnotes.xml"/><Relationship Id="rId12" Type="http://schemas.openxmlformats.org/officeDocument/2006/relationships/hyperlink" Target="mailto:ocod@fda.hhs.gov" TargetMode="External"/><Relationship Id="rId17" Type="http://schemas.openxmlformats.org/officeDocument/2006/relationships/hyperlink" Target="http://www.fda.gov/ucm/groups/fdagov-public/@fdagov-meddev-gen/documents/document/ucm517504.pdf" TargetMode="External"/><Relationship Id="rId25" Type="http://schemas.openxmlformats.org/officeDocument/2006/relationships/hyperlink" Target="http://www.fda.gov/downloads/medicaldevices/deviceregulationandguidance/guidancedocuments/ucm279107.pdf" TargetMode="External"/><Relationship Id="rId33" Type="http://schemas.openxmlformats.org/officeDocument/2006/relationships/hyperlink" Target="http://www.fda.gov/downloads/medicaldevices/deviceregulationandguidance/guidancedocuments/ucm446680.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da.gov/ucm/groups/fdagov-public/@fdagov-meddev-gen/documents/document/ucm517504.pdf" TargetMode="External"/><Relationship Id="rId20" Type="http://schemas.openxmlformats.org/officeDocument/2006/relationships/hyperlink" Target="http://www.fda.gov/downloads/medicaldevices/deviceregulationandguidance/guidancedocuments/ucm279107.pdf" TargetMode="External"/><Relationship Id="rId29" Type="http://schemas.openxmlformats.org/officeDocument/2006/relationships/hyperlink" Target="http://www.fda.gov/downloads/medicaldevices/deviceregulationandguidance/guidancedocuments/ucm27910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24" Type="http://schemas.openxmlformats.org/officeDocument/2006/relationships/hyperlink" Target="http://www.fda.gov/downloads/medicaldevices/deviceregulationandguidance/guidancedocuments/ucm279107.pdf" TargetMode="External"/><Relationship Id="rId32" Type="http://schemas.openxmlformats.org/officeDocument/2006/relationships/hyperlink" Target="http://www.fda.gov/downloads/medicaldevices/deviceregulationandguidance/guidancedocuments/ucm446680.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da.gov/ucm/groups/fdagov-public/@fdagov-meddev-gen/documents/document/ucm517504.pdf" TargetMode="External"/><Relationship Id="rId23" Type="http://schemas.openxmlformats.org/officeDocument/2006/relationships/hyperlink" Target="http://www.fda.gov/downloads/medicaldevices/deviceregulationandguidance/guidancedocuments/ucm279107.pdf" TargetMode="External"/><Relationship Id="rId28" Type="http://schemas.openxmlformats.org/officeDocument/2006/relationships/hyperlink" Target="http://www.fda.gov/downloads/medicaldevices/deviceregulationandguidance/guidancedocuments/ucm279103.pdf" TargetMode="External"/><Relationship Id="rId36" Type="http://schemas.openxmlformats.org/officeDocument/2006/relationships/hyperlink" Target="http://www.fda.gov/downloads/medicaldevices/deviceregulationandguidance/guidancedocuments/ucm279103.pdf" TargetMode="External"/><Relationship Id="rId10" Type="http://schemas.openxmlformats.org/officeDocument/2006/relationships/hyperlink" Target="http://www.regulations.gov/" TargetMode="External"/><Relationship Id="rId19" Type="http://schemas.openxmlformats.org/officeDocument/2006/relationships/hyperlink" Target="http://www.fda.gov/downloads/medicaldevices/deviceregulationandguidance/guidancedocuments/ucm279107.pdf" TargetMode="External"/><Relationship Id="rId31" Type="http://schemas.openxmlformats.org/officeDocument/2006/relationships/hyperlink" Target="http://www.fda.gov/downloads/medicaldevices/deviceregulationandguidance/guidancedocuments/ucm279103.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BiologicsBloodVaccines/GuidanceComplianceRegulatoryInformation/Guidances/default.htm" TargetMode="External"/><Relationship Id="rId22" Type="http://schemas.openxmlformats.org/officeDocument/2006/relationships/hyperlink" Target="http://www.fda.gov/downloads/medicaldevices/deviceregulationandguidance/guidancedocuments/ucm279107.pdf" TargetMode="External"/><Relationship Id="rId27" Type="http://schemas.openxmlformats.org/officeDocument/2006/relationships/hyperlink" Target="http://www.fda.gov/downloads/medicaldevices/deviceregulationandguidance/guidancedocuments/ucm279103.pdf" TargetMode="External"/><Relationship Id="rId30" Type="http://schemas.openxmlformats.org/officeDocument/2006/relationships/hyperlink" Target="http://www.fda.gov/downloads/medicaldevices/deviceregulationandguidance/guidancedocuments/ucm279107.pdf" TargetMode="External"/><Relationship Id="rId35" Type="http://schemas.openxmlformats.org/officeDocument/2006/relationships/hyperlink" Target="http://www.fda.gov/downloads/medicaldevices/deviceregulationandguidance/guidancedocuments/ucm279103.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da.gov/ucm/groups/fdagov-public/@fdagov-meddev-gen/documents/document/ucm517504.pdf" TargetMode="External"/><Relationship Id="rId3" Type="http://schemas.openxmlformats.org/officeDocument/2006/relationships/hyperlink" Target="http://www.fda.gov/downloads/medicaldevices/deviceregulationandguidance/guidancedocuments/ucm279107.pdf" TargetMode="External"/><Relationship Id="rId7" Type="http://schemas.openxmlformats.org/officeDocument/2006/relationships/hyperlink" Target="http://www.fda.gov/ucm/groups/fdagov-public/@fdagov-meddev-gen/documents/document/ucm517504.pdf" TargetMode="External"/><Relationship Id="rId2" Type="http://schemas.openxmlformats.org/officeDocument/2006/relationships/hyperlink" Target="http://www.fda.gov/downloads/medicaldevices/deviceregulationandguidance/guidancedocuments/ucm279107.pdf" TargetMode="External"/><Relationship Id="rId1" Type="http://schemas.openxmlformats.org/officeDocument/2006/relationships/hyperlink" Target="http://www.fda.gov/downloads/medicaldevices/deviceregulationandguidance/guidancedocuments/ucm279107.pdf" TargetMode="External"/><Relationship Id="rId6" Type="http://schemas.openxmlformats.org/officeDocument/2006/relationships/hyperlink" Target="http://www.fda.gov/downloads/medicaldevices/deviceregulationandguidance/guidancedocuments/ucm279107.pdf" TargetMode="External"/><Relationship Id="rId11" Type="http://schemas.openxmlformats.org/officeDocument/2006/relationships/hyperlink" Target="http://www.fda.gov/downloads/RegulatoryInformation/Guidances/ucm127073.pdf" TargetMode="External"/><Relationship Id="rId5" Type="http://schemas.openxmlformats.org/officeDocument/2006/relationships/hyperlink" Target="http://www.fda.gov/downloads/medicaldevices/deviceregulationandguidance/guidancedocuments/ucm279107.pdf" TargetMode="External"/><Relationship Id="rId10" Type="http://schemas.openxmlformats.org/officeDocument/2006/relationships/hyperlink" Target="http://www.fda.gov/ucm/groups/fdagov-public/@fdagov-meddev-gen/documents/document/ucm517504.pdf" TargetMode="External"/><Relationship Id="rId4" Type="http://schemas.openxmlformats.org/officeDocument/2006/relationships/hyperlink" Target="http://www.fda.gov/downloads/medicaldevices/deviceregulationandguidance/guidancedocuments/ucm279107.pdf" TargetMode="External"/><Relationship Id="rId9" Type="http://schemas.openxmlformats.org/officeDocument/2006/relationships/hyperlink" Target="http://www.fda.gov/ucm/groups/fdagov-public/@fdagov-meddev-gen/documents/document/ucm5175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A964-85E5-4CF7-9806-BB72B6C6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4016</Words>
  <Characters>22896</Characters>
  <Application>Microsoft Office Word</Application>
  <DocSecurity>0</DocSecurity>
  <Lines>190</Lines>
  <Paragraphs>53</Paragraphs>
  <ScaleCrop>false</ScaleCrop>
  <Company>Microsoft</Company>
  <LinksUpToDate>false</LinksUpToDate>
  <CharactersWithSpaces>26859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Factors to Consider When Making Benefit-Risk Determinations for Medical Device Investigational Device Exemptions - Guidance for Investigational Device Exemption Sponsors, Sponsor-Investigators and Food and Drug Administration Staff</dc:title>
  <dc:creator>CDRH</dc:creator>
  <cp:lastModifiedBy>cathy-wen</cp:lastModifiedBy>
  <cp:revision>3</cp:revision>
  <dcterms:created xsi:type="dcterms:W3CDTF">2017-11-17T10:00:00Z</dcterms:created>
  <dcterms:modified xsi:type="dcterms:W3CDTF">2017-11-17T10:01:00Z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2017-01-10T00:00:00Z</vt:filetime>
  </property>
  <property fmtid="{D5CDD505-2E9C-101B-9397-08002B2CF9AE}" pid="3" name="Creator">
    <vt:lpwstr>CommonLook Office GlobalAccess-2.0.0.20</vt:lpwstr>
  </property>
  <property fmtid="{D5CDD505-2E9C-101B-9397-08002B2CF9AE}" pid="4" name="LastSaved">
    <vt:filetime>2017-10-23T00:00:00Z</vt:filetime>
  </property>
</Properties>
</file>