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83DDB" w14:textId="30243CA1" w:rsidR="00EB45D4" w:rsidRPr="00432957" w:rsidRDefault="00CD4294" w:rsidP="001F3ACF">
      <w:pPr>
        <w:widowControl/>
        <w:snapToGrid w:val="0"/>
        <w:spacing w:line="300" w:lineRule="auto"/>
        <w:outlineLvl w:val="0"/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</w:pPr>
      <w:bookmarkStart w:id="0" w:name="_GoBack"/>
      <w:bookmarkEnd w:id="0"/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评估</w:t>
      </w:r>
      <w:r w:rsidR="00961280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专业用</w:t>
      </w:r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人绒毛膜促性腺激素（</w:t>
      </w:r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hCG</w:t>
      </w:r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）体外诊断</w:t>
      </w:r>
      <w:r w:rsidR="0061149A"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器械</w:t>
      </w:r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（</w:t>
      </w:r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IVD</w:t>
      </w:r>
      <w:r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）</w:t>
      </w:r>
      <w:r w:rsidR="00E52076" w:rsidRPr="00432957">
        <w:rPr>
          <w:rFonts w:ascii="Arial" w:eastAsia="宋体" w:hAnsi="Arial" w:cs="Arial"/>
          <w:b/>
          <w:bCs/>
          <w:color w:val="484138"/>
          <w:kern w:val="36"/>
          <w:sz w:val="36"/>
          <w:szCs w:val="36"/>
        </w:rPr>
        <w:t>的审查标准</w:t>
      </w:r>
    </w:p>
    <w:p w14:paraId="66924D42" w14:textId="6DE3688B" w:rsidR="00961280" w:rsidRDefault="00961280" w:rsidP="00961280">
      <w:pPr>
        <w:spacing w:before="144"/>
        <w:jc w:val="center"/>
      </w:pP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本指南编写于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1997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年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月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27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日实施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的良好指导规范（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GGP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）之前。其不会为任何人创造或赋予任何权利，也不对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或公众具有约束力。如果替代方法满足适用的法律、法规或其两者的要求，可以使用替代方法。本指南将在下一版本中更新，以纳入</w:t>
      </w:r>
      <w:r w:rsidRPr="00961280">
        <w:rPr>
          <w:rFonts w:ascii="Arial" w:eastAsia="宋体" w:hAnsi="Arial" w:cs="Arial"/>
          <w:color w:val="000000"/>
          <w:kern w:val="0"/>
          <w:sz w:val="18"/>
          <w:szCs w:val="18"/>
        </w:rPr>
        <w:t>GGP</w:t>
      </w:r>
      <w:r w:rsidRPr="00961280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的标准部分。</w:t>
      </w:r>
    </w:p>
    <w:p w14:paraId="51CBB68C" w14:textId="4462C083" w:rsidR="00E52076" w:rsidRPr="00961280" w:rsidRDefault="00E52076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14:paraId="075FF3CD" w14:textId="0DF4B0A9" w:rsidR="00EB45D4" w:rsidRPr="00432957" w:rsidRDefault="00EB45D4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14:paraId="0718B4AD" w14:textId="77777777" w:rsidR="00EB45D4" w:rsidRPr="00432957" w:rsidRDefault="00EB45D4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14:paraId="1676309B" w14:textId="77777777" w:rsidR="009116BF" w:rsidRDefault="009116BF" w:rsidP="001F3ACF">
      <w:pPr>
        <w:widowControl/>
        <w:jc w:val="left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  <w:r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br w:type="page"/>
      </w:r>
    </w:p>
    <w:p w14:paraId="35AE300E" w14:textId="12C1235C" w:rsidR="00DF60A5" w:rsidRPr="001E6508" w:rsidRDefault="00DF60A5" w:rsidP="001F3ACF">
      <w:pPr>
        <w:widowControl/>
        <w:snapToGrid w:val="0"/>
        <w:spacing w:line="300" w:lineRule="auto"/>
        <w:jc w:val="left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lastRenderedPageBreak/>
        <w:t>CDRH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最终指导性文件封页</w:t>
      </w:r>
    </w:p>
    <w:p w14:paraId="77565D02" w14:textId="63E32D81" w:rsidR="00DF60A5" w:rsidRDefault="00DF60A5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1C2EFEB9" w14:textId="77777777" w:rsidR="00E22893" w:rsidRPr="001E6508" w:rsidRDefault="00E22893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1D55A2D4" w14:textId="41AEC0DD" w:rsidR="00DF60A5" w:rsidRPr="001E6508" w:rsidRDefault="00DF60A5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评估</w:t>
      </w:r>
      <w:r w:rsidR="00961280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专业用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人绒毛膜促性腺激素（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hCG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）体外诊断器械（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IVD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）的审查标准</w:t>
      </w:r>
    </w:p>
    <w:p w14:paraId="2E22EB98" w14:textId="0CB4F01A" w:rsidR="00DF60A5" w:rsidRDefault="00DF60A5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4494D152" w14:textId="77777777" w:rsidR="00E22893" w:rsidRPr="001E6508" w:rsidRDefault="00E22893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146BCCAC" w14:textId="668B85F1" w:rsidR="00DF60A5" w:rsidRDefault="00DF60A5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  <w:r w:rsidRPr="00E22893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本文件旨在提供有关准备法规</w:t>
      </w:r>
      <w:r w:rsidR="00961280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提交资料</w:t>
      </w:r>
      <w:r w:rsidRPr="00E22893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方面的指南。其不已任何方式约束</w:t>
      </w:r>
      <w:r w:rsidRPr="00E22893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FDA</w:t>
      </w:r>
      <w:r w:rsidRPr="00E22893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与受管制的行业</w:t>
      </w:r>
    </w:p>
    <w:p w14:paraId="51EEC111" w14:textId="77777777" w:rsidR="00E22893" w:rsidRDefault="00E22893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</w:p>
    <w:p w14:paraId="4F719C6A" w14:textId="77777777" w:rsidR="00E22893" w:rsidRDefault="00E22893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</w:p>
    <w:p w14:paraId="548A7648" w14:textId="77777777" w:rsidR="00E22893" w:rsidRPr="00E22893" w:rsidRDefault="00E22893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</w:p>
    <w:p w14:paraId="70E8523A" w14:textId="1BA77FC5" w:rsidR="00DF60A5" w:rsidRPr="001E6508" w:rsidRDefault="00DF60A5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3D814121" w14:textId="03769D00" w:rsidR="00961280" w:rsidRDefault="00DF60A5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临床化学，临床毒理学和血液学部</w:t>
      </w:r>
    </w:p>
    <w:p w14:paraId="4BD3D7F6" w14:textId="7871A8C4" w:rsidR="00961280" w:rsidRDefault="00DF60A5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临床实验室器械</w:t>
      </w:r>
      <w:r w:rsidR="00961280">
        <w:rPr>
          <w:rFonts w:ascii="Arial" w:eastAsia="宋体" w:hAnsi="Arial" w:cs="Arial" w:hint="eastAsia"/>
          <w:bCs/>
          <w:color w:val="000000"/>
          <w:kern w:val="0"/>
          <w:sz w:val="23"/>
          <w:szCs w:val="23"/>
        </w:rPr>
        <w:t>部</w:t>
      </w:r>
    </w:p>
    <w:p w14:paraId="03DD766C" w14:textId="3B646801" w:rsidR="00DF60A5" w:rsidRDefault="00DF60A5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器械</w:t>
      </w:r>
      <w:r w:rsidR="00961280">
        <w:rPr>
          <w:rFonts w:ascii="Arial" w:eastAsia="宋体" w:hAnsi="Arial" w:cs="Arial" w:hint="eastAsia"/>
          <w:bCs/>
          <w:color w:val="000000"/>
          <w:kern w:val="0"/>
          <w:sz w:val="23"/>
          <w:szCs w:val="23"/>
        </w:rPr>
        <w:t>评估办公室</w:t>
      </w:r>
    </w:p>
    <w:p w14:paraId="5EE897F3" w14:textId="77777777" w:rsidR="00E22893" w:rsidRDefault="00E22893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1C1A1F6B" w14:textId="77777777" w:rsidR="00E22893" w:rsidRPr="001E6508" w:rsidRDefault="00E22893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671FEB69" w14:textId="789A145B" w:rsidR="00DF60A5" w:rsidRDefault="00DF60A5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文件发布日期：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1996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年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10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6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日</w:t>
      </w:r>
    </w:p>
    <w:p w14:paraId="3134130E" w14:textId="77777777" w:rsidR="00E22893" w:rsidRDefault="00E22893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35CBC8FE" w14:textId="77777777" w:rsidR="00E22893" w:rsidRDefault="00E22893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65EA87FF" w14:textId="77777777" w:rsidR="00E22893" w:rsidRPr="001E6508" w:rsidRDefault="00E22893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4A0BDC8C" w14:textId="4418B981" w:rsidR="00DF60A5" w:rsidRPr="001E6508" w:rsidRDefault="00DF60A5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0391711E" w14:textId="38CFB487" w:rsidR="00DF60A5" w:rsidRPr="001E6508" w:rsidRDefault="00DF60A5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尽管本指导性文件代表了最终文件，为便于本审查机构确定其有效性与适用性，贵公司可随时以书面形式提交评论和建议至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cornelia B. rooks</w:t>
      </w:r>
      <w:r w:rsidR="00F06ED3"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，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主任，临床化学，临床毒理学和血液学部，临床实验室</w:t>
      </w:r>
      <w:r w:rsidR="00961280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器械部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，（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HFZ440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），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2098Gaither road</w:t>
      </w:r>
      <w:r w:rsidR="00E22893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，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Rockville</w:t>
      </w:r>
      <w:r w:rsidR="00F06ED3"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，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Maryland 20850</w:t>
      </w:r>
      <w:r w:rsidR="00961280">
        <w:rPr>
          <w:rFonts w:ascii="Arial" w:eastAsia="宋体" w:hAnsi="Arial" w:cs="Arial" w:hint="eastAsia"/>
          <w:bCs/>
          <w:color w:val="000000"/>
          <w:kern w:val="0"/>
          <w:sz w:val="23"/>
          <w:szCs w:val="23"/>
        </w:rPr>
        <w:t>，供部门审议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。有关本指南的使用和解读的问题，请联系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cornelia B. rooks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，电话为：（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301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）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596-1243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。本文件将替代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1995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年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9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27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日发布的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“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评估人绒毛膜促性腺激素（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hCG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）体外诊断器械（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IVD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）的审查标准</w:t>
      </w:r>
      <w:r w:rsidR="004D661F"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的</w:t>
      </w:r>
      <w:r w:rsidR="00961280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专业用</w:t>
      </w:r>
      <w:r w:rsidR="004D661F"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组分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”</w:t>
      </w:r>
    </w:p>
    <w:p w14:paraId="4B4BC3D4" w14:textId="34A46872" w:rsidR="004D661F" w:rsidRDefault="004D661F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539E97D8" w14:textId="77777777" w:rsidR="001F3ACF" w:rsidRDefault="001F3ACF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0634231F" w14:textId="77777777" w:rsidR="001F3ACF" w:rsidRDefault="001F3ACF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19341416" w14:textId="77777777" w:rsidR="001F3ACF" w:rsidRDefault="001F3ACF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7DF34FD4" w14:textId="77777777" w:rsidR="001F3ACF" w:rsidRDefault="001F3ACF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7A4A6EEC" w14:textId="77777777" w:rsidR="001F3ACF" w:rsidRPr="001E6508" w:rsidRDefault="001F3ACF" w:rsidP="001F3ACF">
      <w:pPr>
        <w:widowControl/>
        <w:snapToGrid w:val="0"/>
        <w:spacing w:line="300" w:lineRule="auto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</w:p>
    <w:p w14:paraId="22479B62" w14:textId="1C3A9DC3" w:rsidR="004D661F" w:rsidRPr="003223B3" w:rsidRDefault="004D661F" w:rsidP="003223B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F3ACF">
        <w:rPr>
          <w:rFonts w:ascii="Arial" w:eastAsia="宋体" w:hAnsi="Arial" w:cs="Arial"/>
          <w:bCs/>
          <w:color w:val="000000"/>
          <w:kern w:val="0"/>
          <w:sz w:val="28"/>
          <w:szCs w:val="28"/>
        </w:rPr>
        <w:t>美国</w:t>
      </w:r>
      <w:r w:rsidR="00961280" w:rsidRPr="003223B3">
        <w:rPr>
          <w:rFonts w:ascii="Arial" w:eastAsia="宋体" w:hAnsi="Arial" w:cs="Arial" w:hint="eastAsia"/>
          <w:bCs/>
          <w:color w:val="000000"/>
          <w:kern w:val="0"/>
          <w:sz w:val="28"/>
          <w:szCs w:val="28"/>
        </w:rPr>
        <w:t>卫生与公众服务部</w:t>
      </w:r>
      <w:r w:rsidR="00B26C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8DE39" wp14:editId="6A2D2CE5">
                <wp:simplePos x="0" y="0"/>
                <wp:positionH relativeFrom="column">
                  <wp:posOffset>3928110</wp:posOffset>
                </wp:positionH>
                <wp:positionV relativeFrom="paragraph">
                  <wp:posOffset>6803390</wp:posOffset>
                </wp:positionV>
                <wp:extent cx="1771650" cy="60960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EBBDC5" w14:textId="77777777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收货</w:t>
                            </w:r>
                          </w:p>
                          <w:p w14:paraId="63DC27CC" w14:textId="76B03D87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登记日期：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2015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10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22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  <w:p w14:paraId="0FEFB945" w14:textId="62355482" w:rsidR="00961280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签字：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color w:val="FF0000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3A9EA97" wp14:editId="0899834B">
                                  <wp:extent cx="855785" cy="281751"/>
                                  <wp:effectExtent l="0" t="0" r="1905" b="4445"/>
                                  <wp:docPr id="8" name="图片 8" descr="C:\Users\lxd\AppData\Local\Temp\1487559478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lxd\AppData\Local\Temp\1487559478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7" cy="28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9.3pt;margin-top:535.7pt;width:139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" stroked="f">
                <v:textbox inset="0,0,0,0">
                  <w:txbxContent>
                    <w:p w14:paraId="79EBBDC5" w14:textId="77777777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收货</w:t>
                      </w:r>
                    </w:p>
                    <w:p w14:paraId="63DC27CC" w14:textId="76B03D87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登记日期：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2015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年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10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月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22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日</w:t>
                      </w:r>
                    </w:p>
                    <w:p w14:paraId="0FEFB945" w14:textId="62355482" w:rsidR="00961280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color w:val="FF0000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签字：</w:t>
                      </w:r>
                      <w:r>
                        <w:rPr>
                          <w:rFonts w:asciiTheme="minorBidi" w:hAnsiTheme="minorBidi"/>
                          <w:noProof/>
                          <w:color w:val="FF0000"/>
                          <w:sz w:val="18"/>
                          <w:szCs w:val="20"/>
                        </w:rPr>
                        <w:drawing>
                          <wp:inline distT="0" distB="0" distL="0" distR="0" wp14:anchorId="63A9EA97" wp14:editId="0899834B">
                            <wp:extent cx="855785" cy="281751"/>
                            <wp:effectExtent l="0" t="0" r="1905" b="4445"/>
                            <wp:docPr id="8" name="图片 8" descr="C:\Users\lxd\AppData\Local\Temp\1487559478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lxd\AppData\Local\Temp\1487559478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7" cy="28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C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22141" wp14:editId="0C909520">
                <wp:simplePos x="0" y="0"/>
                <wp:positionH relativeFrom="column">
                  <wp:posOffset>3928110</wp:posOffset>
                </wp:positionH>
                <wp:positionV relativeFrom="paragraph">
                  <wp:posOffset>6803390</wp:posOffset>
                </wp:positionV>
                <wp:extent cx="1771650" cy="60960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894CEC" w14:textId="77777777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收货</w:t>
                            </w:r>
                          </w:p>
                          <w:p w14:paraId="4D58C27D" w14:textId="04460E15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登记日期：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2015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10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22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  <w:p w14:paraId="612A1D8F" w14:textId="0E96FACC" w:rsidR="00961280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签字：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color w:val="FF0000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465C73E" wp14:editId="1F995E95">
                                  <wp:extent cx="855785" cy="281751"/>
                                  <wp:effectExtent l="0" t="0" r="1905" b="4445"/>
                                  <wp:docPr id="6" name="图片 6" descr="C:\Users\lxd\AppData\Local\Temp\1487559478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lxd\AppData\Local\Temp\1487559478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7" cy="28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9.3pt;margin-top:535.7pt;width:139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" stroked="f">
                <v:textbox inset="0,0,0,0">
                  <w:txbxContent>
                    <w:p w14:paraId="2B894CEC" w14:textId="77777777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收货</w:t>
                      </w:r>
                    </w:p>
                    <w:p w14:paraId="4D58C27D" w14:textId="04460E15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登记日期：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2015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年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10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月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22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日</w:t>
                      </w:r>
                    </w:p>
                    <w:p w14:paraId="612A1D8F" w14:textId="0E96FACC" w:rsidR="00961280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color w:val="FF0000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签字：</w:t>
                      </w:r>
                      <w:r>
                        <w:rPr>
                          <w:rFonts w:asciiTheme="minorBidi" w:hAnsiTheme="minorBidi"/>
                          <w:noProof/>
                          <w:color w:val="FF0000"/>
                          <w:sz w:val="18"/>
                          <w:szCs w:val="20"/>
                        </w:rPr>
                        <w:drawing>
                          <wp:inline distT="0" distB="0" distL="0" distR="0" wp14:anchorId="1465C73E" wp14:editId="1F995E95">
                            <wp:extent cx="855785" cy="281751"/>
                            <wp:effectExtent l="0" t="0" r="1905" b="4445"/>
                            <wp:docPr id="6" name="图片 6" descr="C:\Users\lxd\AppData\Local\Temp\1487559478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lxd\AppData\Local\Temp\1487559478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7" cy="28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CC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26759" wp14:editId="09971841">
                <wp:simplePos x="0" y="0"/>
                <wp:positionH relativeFrom="column">
                  <wp:posOffset>3928110</wp:posOffset>
                </wp:positionH>
                <wp:positionV relativeFrom="paragraph">
                  <wp:posOffset>6803390</wp:posOffset>
                </wp:positionV>
                <wp:extent cx="1771650" cy="609600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0DE300" w14:textId="77777777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收货</w:t>
                            </w:r>
                          </w:p>
                          <w:p w14:paraId="2DCA31F8" w14:textId="3E287FA0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登记日期：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2015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10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22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  <w:p w14:paraId="40EBCF0F" w14:textId="32B4F4DE" w:rsidR="00961280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签字：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color w:val="FF0000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0ACB443" wp14:editId="6C8C3332">
                                  <wp:extent cx="855785" cy="281751"/>
                                  <wp:effectExtent l="0" t="0" r="1905" b="4445"/>
                                  <wp:docPr id="310" name="图片 310" descr="C:\Users\lxd\AppData\Local\Temp\1487559478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lxd\AppData\Local\Temp\1487559478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7" cy="28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9.3pt;margin-top:535.7pt;width:139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" stroked="f">
                <v:textbox inset="0,0,0,0">
                  <w:txbxContent>
                    <w:p w14:paraId="160DE300" w14:textId="77777777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收货</w:t>
                      </w:r>
                    </w:p>
                    <w:p w14:paraId="2DCA31F8" w14:textId="3E287FA0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登记日期：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2015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年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10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月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22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日</w:t>
                      </w:r>
                    </w:p>
                    <w:p w14:paraId="40EBCF0F" w14:textId="32B4F4DE" w:rsidR="00961280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color w:val="FF0000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签字：</w:t>
                      </w:r>
                      <w:r>
                        <w:rPr>
                          <w:rFonts w:asciiTheme="minorBidi" w:hAnsiTheme="minorBidi"/>
                          <w:noProof/>
                          <w:color w:val="FF0000"/>
                          <w:sz w:val="18"/>
                          <w:szCs w:val="20"/>
                        </w:rPr>
                        <w:drawing>
                          <wp:inline distT="0" distB="0" distL="0" distR="0" wp14:anchorId="30ACB443" wp14:editId="6C8C3332">
                            <wp:extent cx="855785" cy="281751"/>
                            <wp:effectExtent l="0" t="0" r="1905" b="4445"/>
                            <wp:docPr id="310" name="图片 310" descr="C:\Users\lxd\AppData\Local\Temp\1487559478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lxd\AppData\Local\Temp\1487559478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7" cy="28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C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385AB" wp14:editId="5A76F713">
                <wp:simplePos x="0" y="0"/>
                <wp:positionH relativeFrom="column">
                  <wp:posOffset>3928110</wp:posOffset>
                </wp:positionH>
                <wp:positionV relativeFrom="paragraph">
                  <wp:posOffset>6803390</wp:posOffset>
                </wp:positionV>
                <wp:extent cx="1771650" cy="609600"/>
                <wp:effectExtent l="0" t="0" r="0" b="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C0DBBA" w14:textId="77777777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收货</w:t>
                            </w:r>
                          </w:p>
                          <w:p w14:paraId="5CBA2EEF" w14:textId="1E0E28B7" w:rsidR="00961280" w:rsidRPr="003223B3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登记日期：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2015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10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Pr="003223B3">
                              <w:rPr>
                                <w:rFonts w:asciiTheme="minorBidi" w:hAnsiTheme="minorBidi"/>
                                <w:sz w:val="18"/>
                                <w:szCs w:val="20"/>
                              </w:rPr>
                              <w:t>22</w:t>
                            </w: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  <w:p w14:paraId="6DA761C9" w14:textId="203CABA1" w:rsidR="00961280" w:rsidRDefault="00961280" w:rsidP="009612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3223B3">
                              <w:rPr>
                                <w:rFonts w:asciiTheme="minorBidi" w:hAnsiTheme="minorBidi" w:hint="eastAsia"/>
                                <w:sz w:val="18"/>
                                <w:szCs w:val="20"/>
                              </w:rPr>
                              <w:t>签字：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color w:val="FF0000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79328C8" wp14:editId="139081D6">
                                  <wp:extent cx="855785" cy="281751"/>
                                  <wp:effectExtent l="0" t="0" r="1905" b="4445"/>
                                  <wp:docPr id="4" name="图片 4" descr="C:\Users\lxd\AppData\Local\Temp\1487559478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lxd\AppData\Local\Temp\1487559478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7" cy="28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9.3pt;margin-top:535.7pt;width:139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" stroked="f">
                <v:textbox inset="0,0,0,0">
                  <w:txbxContent>
                    <w:p w14:paraId="17C0DBBA" w14:textId="77777777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收货</w:t>
                      </w:r>
                    </w:p>
                    <w:p w14:paraId="5CBA2EEF" w14:textId="1E0E28B7" w:rsidR="00961280" w:rsidRPr="003223B3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登记日期：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2015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年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10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月</w:t>
                      </w:r>
                      <w:r w:rsidRPr="003223B3">
                        <w:rPr>
                          <w:rFonts w:asciiTheme="minorBidi" w:hAnsiTheme="minorBidi"/>
                          <w:sz w:val="18"/>
                          <w:szCs w:val="20"/>
                        </w:rPr>
                        <w:t>22</w:t>
                      </w: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日</w:t>
                      </w:r>
                    </w:p>
                    <w:p w14:paraId="6DA761C9" w14:textId="203CABA1" w:rsidR="00961280" w:rsidRDefault="00961280" w:rsidP="00961280">
                      <w:pPr>
                        <w:adjustRightInd w:val="0"/>
                        <w:snapToGrid w:val="0"/>
                        <w:jc w:val="center"/>
                        <w:rPr>
                          <w:rFonts w:asciiTheme="minorBidi" w:hAnsiTheme="minorBidi"/>
                          <w:color w:val="FF0000"/>
                          <w:sz w:val="18"/>
                          <w:szCs w:val="20"/>
                        </w:rPr>
                      </w:pPr>
                      <w:r w:rsidRPr="003223B3">
                        <w:rPr>
                          <w:rFonts w:asciiTheme="minorBidi" w:hAnsiTheme="minorBidi" w:hint="eastAsia"/>
                          <w:sz w:val="18"/>
                          <w:szCs w:val="20"/>
                        </w:rPr>
                        <w:t>签字：</w:t>
                      </w:r>
                      <w:r>
                        <w:rPr>
                          <w:rFonts w:asciiTheme="minorBidi" w:hAnsiTheme="minorBidi"/>
                          <w:noProof/>
                          <w:color w:val="FF0000"/>
                          <w:sz w:val="18"/>
                          <w:szCs w:val="20"/>
                        </w:rPr>
                        <w:drawing>
                          <wp:inline distT="0" distB="0" distL="0" distR="0" wp14:anchorId="679328C8" wp14:editId="139081D6">
                            <wp:extent cx="855785" cy="281751"/>
                            <wp:effectExtent l="0" t="0" r="1905" b="4445"/>
                            <wp:docPr id="4" name="图片 4" descr="C:\Users\lxd\AppData\Local\Temp\1487559478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lxd\AppData\Local\Temp\1487559478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7" cy="28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3E3391" w14:textId="0EAA7645" w:rsidR="004D661F" w:rsidRPr="001E6508" w:rsidRDefault="004D661F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食品药品监督管理局</w:t>
      </w:r>
    </w:p>
    <w:p w14:paraId="3C87EEE9" w14:textId="0FC2FEE9" w:rsidR="004D661F" w:rsidRPr="001E6508" w:rsidRDefault="004D661F" w:rsidP="001F3ACF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Cs/>
          <w:color w:val="000000"/>
          <w:kern w:val="0"/>
          <w:sz w:val="23"/>
          <w:szCs w:val="23"/>
        </w:rPr>
      </w:pP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器械与放射</w:t>
      </w:r>
      <w:r w:rsidR="00961280">
        <w:rPr>
          <w:rFonts w:ascii="Arial" w:eastAsia="宋体" w:hAnsi="Arial" w:cs="Arial" w:hint="eastAsia"/>
          <w:bCs/>
          <w:color w:val="000000"/>
          <w:kern w:val="0"/>
          <w:sz w:val="23"/>
          <w:szCs w:val="23"/>
        </w:rPr>
        <w:t>健康</w:t>
      </w:r>
      <w:r w:rsidRPr="001E6508">
        <w:rPr>
          <w:rFonts w:ascii="Arial" w:eastAsia="宋体" w:hAnsi="Arial" w:cs="Arial"/>
          <w:bCs/>
          <w:color w:val="000000"/>
          <w:kern w:val="0"/>
          <w:sz w:val="23"/>
          <w:szCs w:val="23"/>
        </w:rPr>
        <w:t>中心</w:t>
      </w:r>
    </w:p>
    <w:p w14:paraId="34AFE770" w14:textId="77777777" w:rsidR="00DF60A5" w:rsidRPr="00432957" w:rsidRDefault="00DF60A5" w:rsidP="001F3ACF">
      <w:pPr>
        <w:widowControl/>
        <w:snapToGrid w:val="0"/>
        <w:spacing w:line="300" w:lineRule="auto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br w:type="page"/>
      </w:r>
    </w:p>
    <w:p w14:paraId="453FD75E" w14:textId="1BFD01A6" w:rsidR="00E52076" w:rsidRPr="00432957" w:rsidRDefault="00E52076" w:rsidP="00D9264B">
      <w:pPr>
        <w:widowControl/>
        <w:snapToGrid w:val="0"/>
        <w:spacing w:line="300" w:lineRule="auto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lastRenderedPageBreak/>
        <w:t>评估</w:t>
      </w:r>
      <w:r w:rsidR="00961280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专业用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人绒毛膜促性腺激素（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hCG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）体外诊断器械（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IVD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）的审查标准</w:t>
      </w:r>
    </w:p>
    <w:p w14:paraId="3070C776" w14:textId="46B9E58B" w:rsidR="00BD174F" w:rsidRPr="00432957" w:rsidRDefault="00BD174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这是一个灵活的文件，代表当前关于人绒毛膜促性腺激素（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）的主要关注和建议。其基于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）当前的基础科学，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）临床经验和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）先前由制造商提交给食品药品监督管理局的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提交资料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以及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1990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安全医疗器械法案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美国联邦法规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CFR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）中的法规。为了使我们可以根据需要修改草案，请将贵公司的评论发送到以下地址。</w:t>
      </w:r>
    </w:p>
    <w:p w14:paraId="13D18593" w14:textId="77777777" w:rsidR="00EB45D4" w:rsidRPr="00432957" w:rsidRDefault="00EB45D4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14:paraId="2D7C5226" w14:textId="64A7E879" w:rsidR="00BD174F" w:rsidRPr="00432957" w:rsidRDefault="00EB45D4" w:rsidP="001F3ACF">
      <w:pPr>
        <w:widowControl/>
        <w:snapToGrid w:val="0"/>
        <w:spacing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Cornelia Rooks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主任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临床化学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毒理学与血液学部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临床实验室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器械部</w:t>
      </w:r>
    </w:p>
    <w:p w14:paraId="67FE16F7" w14:textId="71260E6A" w:rsidR="00EB45D4" w:rsidRPr="00432957" w:rsidRDefault="00EB45D4" w:rsidP="001F3ACF">
      <w:pPr>
        <w:widowControl/>
        <w:snapToGrid w:val="0"/>
        <w:spacing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HFZ-440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br/>
        <w:t>2098 Gaither Road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br/>
        <w:t>Rockville</w:t>
      </w:r>
      <w:r w:rsidR="00E22893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Maryland 20850</w:t>
      </w:r>
    </w:p>
    <w:p w14:paraId="19C3F546" w14:textId="2E520B22" w:rsidR="00EB45D4" w:rsidRPr="00432957" w:rsidRDefault="0000588E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定义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该通用型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用于临床实验室（实验室）和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医生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办公室实验室（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），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以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作为用于定量和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或定性测量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IVD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临床实验室可以包括医院和参考实验室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可以包括小型诊所。</w:t>
      </w:r>
    </w:p>
    <w:p w14:paraId="0DA5355B" w14:textId="245AAC8C" w:rsidR="00EB45D4" w:rsidRPr="00432957" w:rsidRDefault="00A53150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产品代码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JHJ</w:t>
      </w:r>
      <w:r w:rsidR="00E22893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DHA</w:t>
      </w:r>
      <w:r w:rsidR="00E22893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JHI</w:t>
      </w:r>
    </w:p>
    <w:p w14:paraId="15FC9D02" w14:textId="188E6824" w:rsidR="00EB45D4" w:rsidRPr="00432957" w:rsidRDefault="00961280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</w:rPr>
        <w:t>小组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*** 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临床化学</w:t>
      </w:r>
    </w:p>
    <w:p w14:paraId="17200B01" w14:textId="2A87C0E7" w:rsidR="00EB45D4" w:rsidRPr="00432957" w:rsidRDefault="00A53150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法规编号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21 CFR §862.1155</w:t>
      </w:r>
    </w:p>
    <w:p w14:paraId="4352DE75" w14:textId="589295EC" w:rsidR="00EB45D4" w:rsidRPr="00432957" w:rsidRDefault="00BD174F" w:rsidP="001A1FBE">
      <w:pPr>
        <w:widowControl/>
        <w:numPr>
          <w:ilvl w:val="0"/>
          <w:numId w:val="1"/>
        </w:numPr>
        <w:tabs>
          <w:tab w:val="clear" w:pos="720"/>
        </w:tabs>
        <w:snapToGrid w:val="0"/>
        <w:spacing w:line="300" w:lineRule="auto"/>
        <w:ind w:left="446" w:hangingChars="248" w:hanging="446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标识。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系统是用于早期检测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其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旨在测量血清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血浆或尿液中的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，即</w:t>
      </w:r>
      <w:r w:rsidR="00A5315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胎盘素激素。</w:t>
      </w:r>
    </w:p>
    <w:p w14:paraId="5D2D1814" w14:textId="53202658" w:rsidR="00EB45D4" w:rsidRPr="00432957" w:rsidRDefault="00DB1086" w:rsidP="001A1FBE">
      <w:pPr>
        <w:widowControl/>
        <w:numPr>
          <w:ilvl w:val="0"/>
          <w:numId w:val="1"/>
        </w:numPr>
        <w:tabs>
          <w:tab w:val="clear" w:pos="720"/>
        </w:tabs>
        <w:snapToGrid w:val="0"/>
        <w:spacing w:line="300" w:lineRule="auto"/>
        <w:ind w:left="446" w:hangingChars="248" w:hanging="446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分类。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II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级（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性能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标准）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47 FR 4915 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–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未确定任何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性能标准。</w:t>
      </w:r>
    </w:p>
    <w:p w14:paraId="26018E7C" w14:textId="63D265DF" w:rsidR="00EB45D4" w:rsidRPr="00432957" w:rsidRDefault="00DB1086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所需审查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*** 510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="00EB45D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24C3EF02" w14:textId="4DCEF5B2" w:rsidR="00EB45D4" w:rsidRPr="00432957" w:rsidRDefault="00DB1086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目的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本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文件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的目的是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某一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被许可上市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之前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须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提供给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食品药品监督管理局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）的信息提供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指南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。该信息使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能够根据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一致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的数据库做出更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为合理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的决策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我们希望这些文件可使商业试验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更可靠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</w:t>
      </w:r>
      <w:r w:rsidR="00BD174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复现且更为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标准化。</w:t>
      </w:r>
    </w:p>
    <w:p w14:paraId="0BB4EFE7" w14:textId="77777777" w:rsidR="00EB45D4" w:rsidRPr="00432957" w:rsidRDefault="00EB45D4" w:rsidP="001F3ACF">
      <w:pPr>
        <w:widowControl/>
        <w:snapToGrid w:val="0"/>
        <w:spacing w:line="300" w:lineRule="auto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 xml:space="preserve">I. </w:t>
      </w:r>
      <w:r w:rsidR="00DB1086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背景</w:t>
      </w:r>
    </w:p>
    <w:p w14:paraId="19E030D4" w14:textId="78CA8093" w:rsidR="00DB1086" w:rsidRPr="00432957" w:rsidRDefault="00EC58A2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妊娠试验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基于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检测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尿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液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或血清中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是否存在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激素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被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视为由滋养细胞组织产生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，并且出现在排卵后第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8-9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天（受精发生）或受孕后第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天左右。在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长达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28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天的周期中，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其中，排卵发生于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第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14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天，可以在预期月经前的第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23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天或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天内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微量尿液或血清中检测到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。其功能包括促进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黄体素的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植入以及维持和发展。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该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激素浓度大约每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天翻一倍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，在最后一次月经第一天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7-12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周之间达到峰值，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其中，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平均浓度为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000 mIU / mL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据报道，在早期妊娠期间，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正常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孕妇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浓度高达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000 mIU / mL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。在正常受试者中，尿液中的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提供了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的早期指征。由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水平的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升高也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与滋养细胞疾病和某些非滋养细胞性肿瘤相关，所以在进行妊娠诊断之前必须消除患有这些疾病的可能性。（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）（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="00DB108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6640E835" w14:textId="77777777" w:rsidR="00840A98" w:rsidRDefault="00840A98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br w:type="page"/>
      </w:r>
    </w:p>
    <w:p w14:paraId="3B10DE7A" w14:textId="15BBF208" w:rsidR="00D51A4F" w:rsidRPr="00432957" w:rsidRDefault="00D51A4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HCG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是一种糖蛋白，其分子量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000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道尔顿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每个分子由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18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000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道尔顿的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32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000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道尔顿的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亚基组成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与其他糖蛋白激素类似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（例如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促黄体激素（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LH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促卵泡激素（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FSH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）和促甲状腺激素（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TSH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），其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由两个亚基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组成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这些各种糖蛋白激素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中存在的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亚基在结构上非常相似，但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亚基在氨基酸序列上不同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这些差异</w:t>
      </w:r>
      <w:r w:rsidR="00EC58A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对其生物学和免疫学特异性负责。（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0A25637C" w14:textId="3D85D61F" w:rsidR="00D51A4F" w:rsidRPr="00432957" w:rsidRDefault="00D51A4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人绒毛膜促性腺激素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作为完整分子在具有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简单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妊娠的妇女的血清中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循环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亚基迅速裂开，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肾脏及时清除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因此，尿液含有完整的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，以及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然而，只有完整的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亚基在尿液中保留免疫特异性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由于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的合成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并不平衡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在滋养细胞疾病患者中，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血清和尿液中完整和亚基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的相对浓度有很大差异（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090744B3" w14:textId="64B8CDBF" w:rsidR="00D51A4F" w:rsidRPr="00432957" w:rsidRDefault="00D51A4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现在正式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称为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第三届国际标准（第三版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绒毛膜促性腺激素国际参考制剂（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的第一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IRP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仅包含纯完整的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第二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包含完整的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及其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亚基的混合物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第一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IRP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也可以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用作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亚基和纯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α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制造商现在有可能表征和定义其测定对于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完整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或其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亚基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的特异性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由于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是一个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较为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复杂的分子，所以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无法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通过使用通用标准来获得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结果报告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方面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的统一性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不同的免疫测定可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能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使用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可鉴定该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分子的不同成分（表位）的不同抗体。（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06FA7085" w14:textId="1A127B49" w:rsidR="00D51A4F" w:rsidRPr="00432957" w:rsidRDefault="00D51A4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制造商必须遵守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WHO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就工具盒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标签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制定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指南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，并指定测定系统是否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可测量完整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或亚基，或两者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皆可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这有助于产科医生解释实验室结果。（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6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50BB5E61" w14:textId="77777777" w:rsidR="00EB45D4" w:rsidRPr="00432957" w:rsidRDefault="00EB45D4" w:rsidP="001F3ACF">
      <w:pPr>
        <w:widowControl/>
        <w:snapToGrid w:val="0"/>
        <w:spacing w:line="300" w:lineRule="auto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 xml:space="preserve">II. </w:t>
      </w:r>
      <w:r w:rsidR="00D51A4F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说明</w:t>
      </w:r>
    </w:p>
    <w:p w14:paraId="3F2094B1" w14:textId="77777777" w:rsidR="00EB45D4" w:rsidRPr="00432957" w:rsidRDefault="00D51A4F" w:rsidP="001F3ACF">
      <w:pPr>
        <w:widowControl/>
        <w:numPr>
          <w:ilvl w:val="0"/>
          <w:numId w:val="2"/>
        </w:numPr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历史背景</w:t>
      </w:r>
    </w:p>
    <w:p w14:paraId="5A220EA1" w14:textId="2A3DDC0F" w:rsidR="00C262DF" w:rsidRPr="00432957" w:rsidRDefault="00C262DF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第一个</w:t>
      </w:r>
      <w:r w:rsidR="00545F7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可用于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的生物测定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由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Ascheim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1927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Zondek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1931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年）引入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，其特征在于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注射来自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正常孕妇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尿液后，未成熟小鼠的黄体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增大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黄体化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Zondek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指出，当使用来自患有绒毛膜癌或卵巢癌的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女性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的尿液或来自具有睾丸肿瘤的男性的尿液时，其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产生了类似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结果。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在此类测定引入后，研究者进行了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Friedman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1931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年）和非洲爪蟾试验（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Shapiro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1934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年），其中分别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在兔子和南非蟾蜍中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使用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来自正处于排卵期并具有端点值的孕妇的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尿液。第一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可以在错过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一次月经期后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约两个月内确认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7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）血细胞凝集和乳胶凝集方法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的引入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简化了检测并改善了早期妊娠检测。然而，分析物的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限制在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150-1000 mIU / mL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此后，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生物测定被免疫测定替代，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据报道，第一个免疫测定出现于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1960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年。现在可用的敏感放射免疫测定和免疫放射测定（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IRMA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）和酶免疫测定（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EIA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）技术可通过使用高度特异性抗体准确和精确地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进行定量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。这些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测定可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所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错过的月经期的第一天检测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到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的单克隆抗体的开发提供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了大量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均质抗体并且提高了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该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测定的特异性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8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9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57260D0D" w14:textId="77777777" w:rsidR="00840A98" w:rsidRDefault="00840A98">
      <w:pPr>
        <w:widowControl/>
        <w:jc w:val="left"/>
        <w:rPr>
          <w:rFonts w:ascii="Arial" w:eastAsia="宋体" w:hAnsi="Arial" w:cs="Arial"/>
          <w:b/>
          <w:bCs/>
          <w:color w:val="000000"/>
          <w:kern w:val="0"/>
          <w:sz w:val="29"/>
        </w:rPr>
      </w:pPr>
      <w:r>
        <w:rPr>
          <w:rFonts w:ascii="Arial" w:eastAsia="宋体" w:hAnsi="Arial" w:cs="Arial"/>
          <w:b/>
          <w:bCs/>
          <w:color w:val="000000"/>
          <w:kern w:val="0"/>
          <w:sz w:val="29"/>
        </w:rPr>
        <w:br w:type="page"/>
      </w:r>
    </w:p>
    <w:p w14:paraId="6798186B" w14:textId="63192825" w:rsidR="00EB45D4" w:rsidRPr="00432957" w:rsidRDefault="00EB45D4" w:rsidP="001F3ACF">
      <w:pPr>
        <w:widowControl/>
        <w:snapToGrid w:val="0"/>
        <w:spacing w:line="300" w:lineRule="auto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lastRenderedPageBreak/>
        <w:t xml:space="preserve">III. </w:t>
      </w:r>
      <w:r w:rsidR="00C262DF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性能特性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/</w:t>
      </w:r>
      <w:r w:rsidR="00C262DF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实验室评价</w:t>
      </w:r>
    </w:p>
    <w:p w14:paraId="48A80F05" w14:textId="7A9E4D04" w:rsidR="00C262DF" w:rsidRPr="00432957" w:rsidRDefault="00C262D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制造商为上市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IVD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而提交的申请中提供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不同类型和数量的数据和统计分析，具体取决于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是定量还是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定性测定以及预期用途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的站点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42664B21" w14:textId="7AEF2F60" w:rsidR="00C262DF" w:rsidRPr="00432957" w:rsidRDefault="00C262DF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必须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针对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所有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要求使用的或存在统计差异的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样本类型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基质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证明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性能特性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和方案：</w:t>
      </w:r>
    </w:p>
    <w:p w14:paraId="2F58D101" w14:textId="43758836" w:rsidR="00C262DF" w:rsidRPr="00432957" w:rsidRDefault="00EB45D4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¶ 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应将全血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样本收入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有或没有抗凝剂的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适当导管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中，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使其在室温下凝固并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对其进行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离心。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在采集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后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48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小时内未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测试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的所有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应在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-20°C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下保存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。应避免重复冻融。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出现严重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溶血，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严重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血脂或浑浊的血清样本可能会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致使产生假性</w:t>
      </w:r>
      <w:r w:rsidR="00C262D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结果。</w:t>
      </w:r>
    </w:p>
    <w:p w14:paraId="06252BA0" w14:textId="31C9284A" w:rsidR="00532FC0" w:rsidRPr="00432957" w:rsidRDefault="00EB45D4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¶ 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推荐使用第一天早晨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尿液，因为此时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浓度最高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如果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不能立即测定，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则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应在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2-8</w:t>
      </w:r>
      <w:r w:rsidR="00532FC0" w:rsidRPr="0043295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℃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下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存储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48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小时。（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10</w:t>
      </w:r>
      <w:r w:rsidR="00532FC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417188DC" w14:textId="1C118158" w:rsidR="00532FC0" w:rsidRPr="00432957" w:rsidRDefault="00532FC0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注意：对于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声明可在一天内的任何时间使用的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定性尿液测定，建议在研究中使用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任何时间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采集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3B9C39E9" w14:textId="77777777" w:rsidR="00EB45D4" w:rsidRPr="00432957" w:rsidRDefault="00532FC0" w:rsidP="00840A98">
      <w:pPr>
        <w:widowControl/>
        <w:numPr>
          <w:ilvl w:val="0"/>
          <w:numId w:val="3"/>
        </w:numPr>
        <w:tabs>
          <w:tab w:val="clear" w:pos="720"/>
          <w:tab w:val="num" w:pos="378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比较研究</w:t>
      </w:r>
    </w:p>
    <w:p w14:paraId="73667F40" w14:textId="735914D5" w:rsidR="00EB45D4" w:rsidRPr="00432957" w:rsidRDefault="00532FC0" w:rsidP="006803FB">
      <w:pPr>
        <w:widowControl/>
        <w:numPr>
          <w:ilvl w:val="1"/>
          <w:numId w:val="3"/>
        </w:numPr>
        <w:tabs>
          <w:tab w:val="clear" w:pos="1440"/>
        </w:tabs>
        <w:snapToGrid w:val="0"/>
        <w:spacing w:before="83" w:after="83"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通过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拟定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与当前销售的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的相关性确定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精确性</w:t>
      </w:r>
    </w:p>
    <w:p w14:paraId="3E2CB1C3" w14:textId="77777777" w:rsidR="00EB45D4" w:rsidRPr="00432957" w:rsidRDefault="00532FC0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临床实验室</w:t>
      </w:r>
    </w:p>
    <w:p w14:paraId="78E6B891" w14:textId="761AE959" w:rsidR="004D661F" w:rsidRPr="00432957" w:rsidRDefault="004D661F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建议采集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个以上的新鲜血清样本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对于定量试验，应纳入在整个测定范围内分布有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浓度的样本，以及无法检测到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的样本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对于定性试验，强烈建议纳入阳性和阴性样本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优选情况下</w:t>
      </w:r>
      <w:r w:rsidR="00E22893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的阳性和阴性样本数量应均匀分布，包括一些接近临界值的样本。</w:t>
      </w:r>
    </w:p>
    <w:p w14:paraId="4CC7ECCD" w14:textId="63D68BBA" w:rsidR="002B517D" w:rsidRPr="00432957" w:rsidRDefault="002B517D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采集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个以上的尿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优选情况下，应纳入均匀分布的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的阳性和阴性样本数量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承认，在使用随机抽样的情况下，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这可能不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太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实现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2CD4489E" w14:textId="77777777" w:rsidR="00EB45D4" w:rsidRPr="00432957" w:rsidRDefault="00EB45D4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</w:p>
    <w:p w14:paraId="67EA4239" w14:textId="22300105" w:rsidR="004D661F" w:rsidRPr="00432957" w:rsidRDefault="004D661F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位置的每个位置分析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个或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个以上的样本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如果工具盒使用了一个以上的样本基质，例如血清和尿液，建议总共分析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个样本，其中，其含有的每种基质在数量上相同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应考虑纳入数量分布均匀的阳性和阴性样本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应说明实践类型和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执行试验的人员（例如医生、护士、临床助理）的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背景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培训。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贵公司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在包装说明书的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性能特性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部分中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此信息。</w:t>
      </w:r>
    </w:p>
    <w:p w14:paraId="1F6A7DF8" w14:textId="3ED6BEE0" w:rsidR="002B517D" w:rsidRPr="00432957" w:rsidRDefault="002B517D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对于加标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纳入接近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敏感度水平（包括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10-20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％以上）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此外，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510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）文件中提供加标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的浓度。</w:t>
      </w:r>
    </w:p>
    <w:p w14:paraId="3ADDF3D0" w14:textId="7C3C94EC" w:rsidR="002B517D" w:rsidRPr="00432957" w:rsidRDefault="004D661F" w:rsidP="00E6483E">
      <w:pPr>
        <w:widowControl/>
        <w:numPr>
          <w:ilvl w:val="1"/>
          <w:numId w:val="3"/>
        </w:numPr>
        <w:tabs>
          <w:tab w:val="clear" w:pos="1440"/>
        </w:tabs>
        <w:snapToGrid w:val="0"/>
        <w:spacing w:before="83" w:after="83"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准确性</w:t>
      </w:r>
      <w:r w:rsidR="002B517D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可以通过适当的稀释和回收研究来确定。</w:t>
      </w:r>
    </w:p>
    <w:p w14:paraId="6FDF4C19" w14:textId="77777777" w:rsidR="002B517D" w:rsidRPr="00432957" w:rsidRDefault="002B517D" w:rsidP="00E6483E">
      <w:pPr>
        <w:widowControl/>
        <w:numPr>
          <w:ilvl w:val="1"/>
          <w:numId w:val="3"/>
        </w:numPr>
        <w:tabs>
          <w:tab w:val="clear" w:pos="1440"/>
        </w:tabs>
        <w:snapToGrid w:val="0"/>
        <w:spacing w:before="83" w:after="83"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数据分析</w:t>
      </w:r>
    </w:p>
    <w:p w14:paraId="75FBE4B5" w14:textId="77777777" w:rsidR="00E6483E" w:rsidRDefault="00E6483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b/>
          <w:color w:val="000000"/>
          <w:kern w:val="0"/>
          <w:sz w:val="18"/>
          <w:szCs w:val="18"/>
        </w:rPr>
        <w:br w:type="page"/>
      </w:r>
    </w:p>
    <w:p w14:paraId="64775D9B" w14:textId="7D851823" w:rsidR="00EB45D4" w:rsidRPr="00E6483E" w:rsidRDefault="002B517D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b/>
          <w:color w:val="000000"/>
          <w:kern w:val="0"/>
          <w:sz w:val="18"/>
          <w:szCs w:val="18"/>
        </w:rPr>
      </w:pPr>
      <w:r w:rsidRPr="00E6483E">
        <w:rPr>
          <w:rFonts w:ascii="Arial" w:eastAsia="宋体" w:hAnsi="Arial" w:cs="Arial"/>
          <w:b/>
          <w:color w:val="000000"/>
          <w:kern w:val="0"/>
          <w:sz w:val="18"/>
          <w:szCs w:val="18"/>
        </w:rPr>
        <w:lastRenderedPageBreak/>
        <w:t>定量</w:t>
      </w:r>
    </w:p>
    <w:p w14:paraId="524EED55" w14:textId="26A3E0EE" w:rsidR="00EB45D4" w:rsidRPr="00432957" w:rsidRDefault="00A339C6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建议使用线性回归分析数据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还建议报告斜率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截距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相关系数和测定范围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优选情况下，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贵公司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应以图片形式呈现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数据。</w:t>
      </w:r>
    </w:p>
    <w:p w14:paraId="38F3B08B" w14:textId="77777777" w:rsidR="00EB45D4" w:rsidRPr="00432957" w:rsidRDefault="00A339C6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定性</w:t>
      </w:r>
      <w:r w:rsidR="00EB45D4"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/POL</w:t>
      </w:r>
    </w:p>
    <w:p w14:paraId="77C89617" w14:textId="063C44F6" w:rsidR="00EB45D4" w:rsidRPr="00432957" w:rsidRDefault="00A339C6" w:rsidP="001F3ACF">
      <w:pPr>
        <w:widowControl/>
        <w:snapToGrid w:val="0"/>
        <w:spacing w:before="83" w:after="83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数据可以用百分比（％）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一致性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表示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可以总结来自所有站点的数据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类型（例如，来自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非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绝经后个体等的血清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尿液）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进行说明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6532E923" w14:textId="77777777" w:rsidR="00EB45D4" w:rsidRPr="00432957" w:rsidRDefault="00A339C6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特异性</w:t>
      </w:r>
    </w:p>
    <w:p w14:paraId="06E30CFB" w14:textId="77F8C234" w:rsidR="00A339C6" w:rsidRPr="00432957" w:rsidRDefault="00A339C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建议对具有高生理浓度的黄体生成激素（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LH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促卵泡激素（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FSH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）和促甲状腺激素（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TSH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））的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进行特异性研究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高水平的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LH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不应与所用的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抗体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产生显著的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交叉反应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贵公司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也可以用</w:t>
      </w:r>
      <w:r w:rsidR="00FD2421" w:rsidRPr="00432957">
        <w:rPr>
          <w:rFonts w:ascii="Arial" w:eastAsia="宋体" w:hAnsi="Arial" w:cs="Arial"/>
          <w:color w:val="313131"/>
          <w:sz w:val="18"/>
          <w:szCs w:val="18"/>
        </w:rPr>
        <w:t>人胎盘催乳激素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hPL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）和人生长激素（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hGH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来进行类似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研究。可能需要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进行加标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4F75A278" w14:textId="77777777" w:rsidR="00EB45D4" w:rsidRPr="00432957" w:rsidRDefault="00A339C6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干扰物质</w:t>
      </w:r>
    </w:p>
    <w:p w14:paraId="2360A170" w14:textId="5E4E8034" w:rsidR="00A339C6" w:rsidRPr="00432957" w:rsidRDefault="00A339C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建议使用处方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 OTC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药物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、水平升高的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尿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血清分析物（例如葡萄糖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蛋白质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白蛋白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胆红素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血红蛋白）和尿液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进行干扰研究。</w:t>
      </w:r>
    </w:p>
    <w:p w14:paraId="4D1E0766" w14:textId="1D3F4A7D" w:rsidR="00EB45D4" w:rsidRPr="00432957" w:rsidRDefault="00961280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灵敏度</w:t>
      </w:r>
      <w:r w:rsidR="00EB45D4"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/</w:t>
      </w:r>
      <w:r w:rsidR="00A339C6"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检测限</w:t>
      </w:r>
    </w:p>
    <w:p w14:paraId="140EB95C" w14:textId="20197228" w:rsidR="00EB45D4" w:rsidRPr="00432957" w:rsidRDefault="00A339C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定量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检测极限是最小的单一结果，其具有所述概率（标称为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95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％），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可以与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适当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空白区分开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来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。基于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20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次连续重复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，将其定义为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适当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空白的标准偏差的两倍，例如零标准。</w:t>
      </w:r>
    </w:p>
    <w:p w14:paraId="1A4EF360" w14:textId="44E94D8F" w:rsidR="00FD2421" w:rsidRPr="00432957" w:rsidRDefault="00A339C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定性</w:t>
      </w:r>
      <w:r w:rsidR="00AB218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：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检测限是试验结果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95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％（％）阳性时的分析物浓度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测定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应为当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以小量形式存在时其仍可以被检测到，而由于存在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LH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，假阳性结果将被最小化。（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）此外，预期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95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％将在规定的时间内进行反应。</w:t>
      </w:r>
    </w:p>
    <w:p w14:paraId="0588211D" w14:textId="5AD8959E" w:rsidR="008C1681" w:rsidRPr="00432957" w:rsidRDefault="00961280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可以通过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以所述</w:t>
      </w:r>
      <w:r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和高于所述</w:t>
      </w:r>
      <w:r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对来自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正常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非妊娠女性或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男性（其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具有五种不同浓度的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，如下所述）的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至少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20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个临床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加标以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进行</w:t>
      </w:r>
      <w:r w:rsidR="00FD242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评价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例如，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将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25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100IU / mL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用于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检测限为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25mIU / mL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工具盒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要求为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510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）文件提供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="008C1681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浓度。</w:t>
      </w:r>
    </w:p>
    <w:p w14:paraId="526B1AB1" w14:textId="34E78CD0" w:rsidR="00EB45D4" w:rsidRPr="00432957" w:rsidRDefault="008C1681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不精确</w:t>
      </w:r>
      <w:r w:rsidR="00E71659"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性</w:t>
      </w: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研究（定量）</w:t>
      </w:r>
    </w:p>
    <w:p w14:paraId="2D21B097" w14:textId="18742888" w:rsidR="008C1681" w:rsidRPr="00432957" w:rsidRDefault="008C1681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建议，在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评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价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不精确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时，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遵循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NCCLS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指南（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EP5-T2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）或其他科学有效的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方案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00804A1B" w14:textId="48E7F1CF" w:rsidR="008C1681" w:rsidRPr="00432957" w:rsidRDefault="008C1681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运行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内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和总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精确性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数据应分别归纳总结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建议在包装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说明书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性能特性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部分中报告每个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水平的测定运行次数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平均值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标准偏差和变异系数（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CV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）。</w:t>
      </w:r>
    </w:p>
    <w:p w14:paraId="54A7AF98" w14:textId="77777777" w:rsidR="00EB45D4" w:rsidRPr="00432957" w:rsidRDefault="008C1681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预期值</w:t>
      </w:r>
    </w:p>
    <w:p w14:paraId="188520C6" w14:textId="5886CF72" w:rsidR="008C1681" w:rsidRPr="00432957" w:rsidRDefault="008C1681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制造商可以声明，该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能够以与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所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错过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月经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期的第一天相同的水平检测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，并且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除非得到临床数据确认，一般不得早于该日期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制造商还可以讨论不同的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水平，例如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无法检测的水平、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和植入后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水平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、早期妊娠期间的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水平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应根据需要提供参考。</w:t>
      </w:r>
    </w:p>
    <w:p w14:paraId="46470CF8" w14:textId="77777777" w:rsidR="00EB45D4" w:rsidRPr="00432957" w:rsidRDefault="008C1681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校准</w:t>
      </w:r>
    </w:p>
    <w:p w14:paraId="7C83BBBD" w14:textId="02B3123C" w:rsidR="001406CC" w:rsidRDefault="00A4593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标准或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参照校准的、有关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（第一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IRP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，第二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或第三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IS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）的参考资料的来源应在包装说明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中说明。</w:t>
      </w:r>
    </w:p>
    <w:p w14:paraId="2ACF2CE3" w14:textId="77777777" w:rsidR="001406CC" w:rsidRDefault="001406C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br w:type="page"/>
      </w:r>
    </w:p>
    <w:p w14:paraId="64C62D55" w14:textId="77777777" w:rsidR="00EB45D4" w:rsidRPr="00432957" w:rsidRDefault="00A45936" w:rsidP="00E6483E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lastRenderedPageBreak/>
        <w:t>质量控制</w:t>
      </w:r>
    </w:p>
    <w:p w14:paraId="48EF613F" w14:textId="41F0A2FE" w:rsidR="00E71659" w:rsidRPr="00432957" w:rsidRDefault="00E71659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随器械提供或推荐使用的测定质量控制（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QC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）材料应说明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的水平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建议定性测定使用的阳性质量控制材料应接近测定的所述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，以帮助解释弱阳性结果。</w:t>
      </w:r>
    </w:p>
    <w:p w14:paraId="77F5CC38" w14:textId="3A64B487" w:rsidR="00A45936" w:rsidRPr="00432957" w:rsidRDefault="00E71659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说明书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不应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就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外部质量控制样本的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使用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频率的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具体建议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这一决定应由实验室酌情决定，以符合其当地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州和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或联邦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A459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认证要求。</w:t>
      </w:r>
    </w:p>
    <w:p w14:paraId="444293B5" w14:textId="5EEF12F3" w:rsidR="00E71659" w:rsidRPr="00432957" w:rsidRDefault="00E71659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适当时，制造商可以推荐使用特定器械设计组件的频率（例如，用于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QC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检查的频率）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如果做出了这些建议，则应清楚表明，这些频率应该仅适用于对器械功能本身的评估，且无法用于评价试验的总体分析性能。这些建议应附有明确的免责声明，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以表明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QC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要求应符合当地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州和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或联邦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认证要求。</w:t>
      </w:r>
    </w:p>
    <w:p w14:paraId="43AF1153" w14:textId="7CF53C26" w:rsidR="00A45936" w:rsidRPr="00432957" w:rsidRDefault="00A4593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还建议在包装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说明书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提供有关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无效结果的操作说明。</w:t>
      </w:r>
    </w:p>
    <w:p w14:paraId="2E3875A5" w14:textId="47A9C6E2" w:rsidR="00A45936" w:rsidRPr="00432957" w:rsidRDefault="00A4593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另外，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510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）文件要求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参考线的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E7165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（检测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限）和控制条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线的分量。</w:t>
      </w:r>
    </w:p>
    <w:p w14:paraId="47060246" w14:textId="77777777" w:rsidR="00EB45D4" w:rsidRPr="00432957" w:rsidRDefault="00A45936" w:rsidP="001406CC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稳定性数据</w:t>
      </w:r>
    </w:p>
    <w:p w14:paraId="1A3A5AEA" w14:textId="003774DD" w:rsidR="00A45936" w:rsidRPr="00432957" w:rsidRDefault="00A4593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显示试剂稳定性的数据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无需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提交给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FDA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，但制造商必须按照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良好生产规范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GMP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）要求将其保存。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510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）文件要求提供有关校准物和控制（如果包含在工具盒中）的数据总结，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包括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对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稳定性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方案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说明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4BBE816C" w14:textId="77777777" w:rsidR="00EB45D4" w:rsidRPr="00432957" w:rsidRDefault="00A45936" w:rsidP="001406CC">
      <w:pPr>
        <w:widowControl/>
        <w:numPr>
          <w:ilvl w:val="0"/>
          <w:numId w:val="3"/>
        </w:numPr>
        <w:tabs>
          <w:tab w:val="clear" w:pos="720"/>
        </w:tabs>
        <w:snapToGrid w:val="0"/>
        <w:spacing w:line="300" w:lineRule="auto"/>
        <w:ind w:left="0" w:firstLine="0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限制</w:t>
      </w:r>
    </w:p>
    <w:p w14:paraId="22858446" w14:textId="480A98A9" w:rsidR="00A45936" w:rsidRPr="00432957" w:rsidRDefault="00A45936" w:rsidP="001F3ACF">
      <w:pPr>
        <w:widowControl/>
        <w:snapToGrid w:val="0"/>
        <w:spacing w:before="86" w:after="86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这里提供的示例列表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并不涵盖所有方面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如果适用，应在标签（即包装说明书）中提供有关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最终用户（例如临床实验室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或样本类型的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限制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238FD409" w14:textId="75531A76" w:rsidR="00073B29" w:rsidRPr="00432957" w:rsidRDefault="00073B29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被放射性污染的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可能会产生错误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结果。</w:t>
      </w:r>
    </w:p>
    <w:p w14:paraId="5FC61E9B" w14:textId="72356884" w:rsidR="00073B29" w:rsidRPr="00432957" w:rsidRDefault="00073B29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应该说明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并解释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高剂量钩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效应。</w:t>
      </w:r>
    </w:p>
    <w:p w14:paraId="4E910922" w14:textId="603E67AA" w:rsidR="00073B29" w:rsidRPr="00432957" w:rsidRDefault="00F06ED3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报告结果前，应排除滋养细胞或非滋养细胞的肿瘤状况（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11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2D183B9D" w14:textId="551BC830" w:rsidR="00073B29" w:rsidRPr="00432957" w:rsidRDefault="00F06ED3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在运行测定前，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应该排除癌症化疗患者的样本。</w:t>
      </w:r>
    </w:p>
    <w:p w14:paraId="15B3BCD8" w14:textId="3CEAEF4C" w:rsidR="00073B29" w:rsidRPr="00432957" w:rsidRDefault="00F06ED3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请勿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使用严重溶血或血脂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，因为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其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可能会导致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错误的较低或不稳定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结果。</w:t>
      </w:r>
    </w:p>
    <w:p w14:paraId="2B6076E6" w14:textId="16E1EF2F" w:rsidR="00073B29" w:rsidRPr="00432957" w:rsidRDefault="00F06ED3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含有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胎盘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肿瘤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和绒毛膜癌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患者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血清和尿液检出量升高（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12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2EBE1386" w14:textId="2C62AC81" w:rsidR="00073B29" w:rsidRPr="00432957" w:rsidRDefault="00073B29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正常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、非妊娠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受试者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出现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的低滴度升高。（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</w:p>
    <w:p w14:paraId="4CFFB779" w14:textId="78F0506C" w:rsidR="00073B29" w:rsidRPr="00432957" w:rsidRDefault="00073B29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此</w:t>
      </w:r>
      <w:r w:rsidR="004D661F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工具盒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不适用于早期检测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以外的任何其他用途。</w:t>
      </w:r>
    </w:p>
    <w:p w14:paraId="092E74DA" w14:textId="7C11482E" w:rsidR="00073B29" w:rsidRPr="00432957" w:rsidRDefault="00F06ED3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不能根据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测量将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异位妊娠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与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正常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区别开来。</w:t>
      </w:r>
    </w:p>
    <w:p w14:paraId="56458525" w14:textId="76EA9402" w:rsidR="00073B29" w:rsidRPr="00432957" w:rsidRDefault="00073B29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分娩或流产后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数周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内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可能检出阳性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水平。</w:t>
      </w:r>
    </w:p>
    <w:p w14:paraId="4411ADE3" w14:textId="56281F8B" w:rsidR="00073B29" w:rsidRPr="00432957" w:rsidRDefault="00073B29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受孕后的最初几天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内测试为阳性的样本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可能由于</w:t>
      </w:r>
      <w:r w:rsidR="000C0A04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的自然终止而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变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为阴性。</w:t>
      </w:r>
    </w:p>
    <w:p w14:paraId="7548C84F" w14:textId="1581BFB6" w:rsidR="001A1DED" w:rsidRDefault="00F06ED3" w:rsidP="001406CC">
      <w:pPr>
        <w:widowControl/>
        <w:numPr>
          <w:ilvl w:val="1"/>
          <w:numId w:val="3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与使用小鼠抗体的任何测定一样，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人抗小鼠抗体（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HAMA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可能会产生一定</w:t>
      </w:r>
      <w:r w:rsidR="00073B29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干扰。</w:t>
      </w:r>
    </w:p>
    <w:p w14:paraId="2DA4539A" w14:textId="77777777" w:rsidR="001A1DED" w:rsidRDefault="001A1DED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br w:type="page"/>
      </w:r>
    </w:p>
    <w:p w14:paraId="04397FA8" w14:textId="77777777" w:rsidR="00EB45D4" w:rsidRPr="00432957" w:rsidRDefault="00EB45D4" w:rsidP="001F3ACF">
      <w:pPr>
        <w:widowControl/>
        <w:snapToGrid w:val="0"/>
        <w:spacing w:line="300" w:lineRule="auto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r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lastRenderedPageBreak/>
        <w:t xml:space="preserve">IV. </w:t>
      </w:r>
      <w:r w:rsidR="00073B29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标签</w:t>
      </w:r>
    </w:p>
    <w:p w14:paraId="19C5BE06" w14:textId="00E27E6E" w:rsidR="00073B29" w:rsidRPr="00432957" w:rsidRDefault="00073B29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包装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说明书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应简洁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易于理解，并</w:t>
      </w:r>
      <w:r w:rsidR="000A4760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含有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清晰的插图和图纸。标签格式应符合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CFR 809.10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标签规定。</w:t>
      </w:r>
    </w:p>
    <w:p w14:paraId="5217BA08" w14:textId="77777777" w:rsidR="00EB45D4" w:rsidRPr="00432957" w:rsidRDefault="00EB45D4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14:paraId="7348942D" w14:textId="77777777" w:rsidR="00EB45D4" w:rsidRPr="00432957" w:rsidRDefault="00EB45D4" w:rsidP="001F3ACF">
      <w:pPr>
        <w:widowControl/>
        <w:snapToGrid w:val="0"/>
        <w:spacing w:line="300" w:lineRule="auto"/>
        <w:outlineLvl w:val="3"/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</w:pPr>
      <w:bookmarkStart w:id="1" w:name="OLE_LINK9"/>
      <w:bookmarkStart w:id="2" w:name="OLE_LINK10"/>
      <w:r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 xml:space="preserve">V. </w:t>
      </w:r>
      <w:r w:rsidR="00073B29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ab/>
      </w:r>
      <w:r w:rsidR="00345527" w:rsidRPr="00432957">
        <w:rPr>
          <w:rFonts w:ascii="Arial" w:eastAsia="宋体" w:hAnsi="Arial" w:cs="Arial"/>
          <w:b/>
          <w:bCs/>
          <w:color w:val="000000"/>
          <w:kern w:val="0"/>
          <w:sz w:val="29"/>
        </w:rPr>
        <w:t>参考书目</w:t>
      </w:r>
    </w:p>
    <w:bookmarkEnd w:id="1"/>
    <w:bookmarkEnd w:id="2"/>
    <w:p w14:paraId="081FB960" w14:textId="6C53EA2A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Braunstein GD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Grodin JM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Vaitukaitis J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Ross GT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。人绒毛膜促性腺激素通过正常滋养层的分泌率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美国妇产科杂志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115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447-50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1973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44175A43" w14:textId="662996B6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Brody S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Carlstrom G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。正常和病理性妊娠中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人绒毛膜促性腺激素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的免疫测定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183302" w:rsidRPr="003223B3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临床内分泌学与代谢杂志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564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1962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4EEE93A1" w14:textId="35EDCF72" w:rsidR="00345527" w:rsidRPr="00432957" w:rsidRDefault="00183302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Ross GT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有关人绒毛膜促性腺激素结构的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研究的临床相关性。美国妇产科杂志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1977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129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795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31A278C8" w14:textId="46D3F75A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医生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实验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室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报告。人绒毛膜促性腺激素标准化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1985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月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7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12</w:t>
      </w:r>
    </w:p>
    <w:p w14:paraId="41005CB5" w14:textId="3C9B04D5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Jeffcoat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SL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免疫测定和妊娠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工具盒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的标准化。柳叶刀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1982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803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78996F41" w14:textId="77777777" w:rsidR="00183302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国家临床实验室标准委员会。人绒毛膜促性腺激素小组委员会。</w:t>
      </w:r>
    </w:p>
    <w:p w14:paraId="5AECD1B5" w14:textId="0CEEDC99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Chayen J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Daly JR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Loveridge N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。激素的细胞化学生物测定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激素研究的新进展，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1976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33-72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4A35E2C5" w14:textId="30DE35D9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Henry JB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通过实验室方法进行的临床诊断与管理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18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版，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1991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年，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WB Saunders and Co.</w:t>
      </w:r>
    </w:p>
    <w:p w14:paraId="10498D7D" w14:textId="2496FBA1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Wide L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Gemzell CA</w:t>
      </w:r>
      <w:r w:rsidR="00183302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免疫妊娠试验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内分泌学杂志</w:t>
      </w:r>
      <w:r w:rsidR="00E22893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1960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35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261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70C5B9CB" w14:textId="429D3A60" w:rsidR="00345527" w:rsidRPr="00432957" w:rsidRDefault="00743B75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Krieg AF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。妊娠试验和胎盘功能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的评价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通过实验室方法进行的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临床诊断与管理，第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18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版，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Henry JB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，编辑，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1979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680</w:t>
      </w:r>
      <w:r w:rsidR="00345527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6C75823A" w14:textId="66EC61D2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Braunstein GD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Vaitukaitis JL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Carbone PP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Ross GT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。人绒毛膜促性腺激素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异位生成。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内科学年鉴，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1973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78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39-45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7311D10C" w14:textId="25B27A3C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Hussa RO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。人绒毛膜促性腺激素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临床标志物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审查其生物合成。配体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审查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1981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6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0D8D9B72" w14:textId="44A027B7" w:rsidR="00345527" w:rsidRPr="00432957" w:rsidRDefault="00345527" w:rsidP="003C0860">
      <w:pPr>
        <w:widowControl/>
        <w:numPr>
          <w:ilvl w:val="0"/>
          <w:numId w:val="4"/>
        </w:numPr>
        <w:tabs>
          <w:tab w:val="clear" w:pos="720"/>
        </w:tabs>
        <w:snapToGrid w:val="0"/>
        <w:spacing w:line="300" w:lineRule="auto"/>
        <w:ind w:left="335" w:hangingChars="186" w:hanging="33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Borkowski A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Muquardt C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。正常，非妊娠受试者的血浆中的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人绒毛膜促性腺激素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新英格兰医学杂志</w:t>
      </w:r>
      <w:r w:rsidR="00E22893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1979</w:t>
      </w:r>
      <w:r w:rsidR="00743B75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="00F06ED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301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298-302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0C910F0D" w14:textId="77777777" w:rsidR="00EB45D4" w:rsidRPr="00432957" w:rsidRDefault="00345527" w:rsidP="001F3ACF">
      <w:pPr>
        <w:widowControl/>
        <w:snapToGrid w:val="0"/>
        <w:spacing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缩略词</w:t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1875"/>
      </w:tblGrid>
      <w:tr w:rsidR="00EB45D4" w:rsidRPr="00432957" w14:paraId="4B6BDB20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3FB26C3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CDRH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AD3CB" w14:textId="42B93E99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器械</w:t>
            </w:r>
            <w:r w:rsidR="0096128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与</w:t>
            </w: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放射</w:t>
            </w:r>
            <w:r w:rsidR="0096128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健康</w:t>
            </w: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中心</w:t>
            </w:r>
          </w:p>
        </w:tc>
      </w:tr>
      <w:tr w:rsidR="00EB45D4" w:rsidRPr="00432957" w14:paraId="274B0B49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3C2464D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CLIA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FAC1F" w14:textId="2BEC2593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临床实验室改进法</w:t>
            </w:r>
          </w:p>
        </w:tc>
      </w:tr>
      <w:tr w:rsidR="00EB45D4" w:rsidRPr="00432957" w14:paraId="25A21EE8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4FCCA30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DCLD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53EAB" w14:textId="57A34FAB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临床实验室</w:t>
            </w:r>
            <w:r w:rsidR="0096128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器械部</w:t>
            </w:r>
          </w:p>
        </w:tc>
      </w:tr>
      <w:tr w:rsidR="00EB45D4" w:rsidRPr="00432957" w14:paraId="742ECF25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7887CA0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1F7DE" w14:textId="64A8A7E0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食品药品监督管理局</w:t>
            </w:r>
          </w:p>
        </w:tc>
      </w:tr>
      <w:tr w:rsidR="00EB45D4" w:rsidRPr="00432957" w14:paraId="0BE4E710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2CDB3EE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FSH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7C841B" w14:textId="7EC411BB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卵泡刺激激素</w:t>
            </w:r>
          </w:p>
        </w:tc>
      </w:tr>
      <w:tr w:rsidR="00EB45D4" w:rsidRPr="00432957" w14:paraId="55DD4023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7810FD3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HCG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4908A3" w14:textId="08E5DFCA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人绒毛膜促性腺激素</w:t>
            </w:r>
          </w:p>
        </w:tc>
      </w:tr>
      <w:tr w:rsidR="00EB45D4" w:rsidRPr="00432957" w14:paraId="30C3851B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3F26046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HGH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423F0" w14:textId="0C27983A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人类生长激素</w:t>
            </w:r>
          </w:p>
        </w:tc>
      </w:tr>
    </w:tbl>
    <w:p w14:paraId="7587BD34" w14:textId="77777777" w:rsidR="00C644AD" w:rsidRDefault="00C644AD">
      <w:r>
        <w:br w:type="page"/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415"/>
      </w:tblGrid>
      <w:tr w:rsidR="00EB45D4" w:rsidRPr="00432957" w14:paraId="7D6923D3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7D62B42" w14:textId="0A1227A6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HPL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663A2" w14:textId="32C55884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313131"/>
                <w:sz w:val="18"/>
                <w:szCs w:val="18"/>
              </w:rPr>
              <w:t>人胎盘催乳激素</w:t>
            </w:r>
          </w:p>
        </w:tc>
      </w:tr>
      <w:tr w:rsidR="00EB45D4" w:rsidRPr="00432957" w14:paraId="4CEABAE8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5905E06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IRP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3D622" w14:textId="46EB75B4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国际参考制剂</w:t>
            </w:r>
          </w:p>
        </w:tc>
      </w:tr>
      <w:tr w:rsidR="00EB45D4" w:rsidRPr="00432957" w14:paraId="0C6CC18E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41126FA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136B7" w14:textId="70D456AF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国际标准</w:t>
            </w:r>
          </w:p>
        </w:tc>
      </w:tr>
      <w:tr w:rsidR="00EB45D4" w:rsidRPr="00432957" w14:paraId="35AB9F4E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34A2B78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IVD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2797E" w14:textId="509CB1FC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体外诊断</w:t>
            </w:r>
          </w:p>
        </w:tc>
      </w:tr>
      <w:tr w:rsidR="00EB45D4" w:rsidRPr="00432957" w14:paraId="780CF7D3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40B4696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LH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F9467" w14:textId="4055CC26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黄体激素</w:t>
            </w:r>
          </w:p>
        </w:tc>
      </w:tr>
      <w:tr w:rsidR="00EB45D4" w:rsidRPr="00432957" w14:paraId="36EE73E6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48C53A3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NCCLS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162F7" w14:textId="6F03662E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国家临床实验室标准委员会</w:t>
            </w:r>
          </w:p>
        </w:tc>
      </w:tr>
      <w:tr w:rsidR="00EB45D4" w:rsidRPr="00432957" w14:paraId="79FA4783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4E1140C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POL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AF3DC" w14:textId="338603B6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医生办公室实验室</w:t>
            </w:r>
          </w:p>
        </w:tc>
      </w:tr>
      <w:tr w:rsidR="00EB45D4" w:rsidRPr="00432957" w14:paraId="206DD7B3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19671E4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QC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BF0B3" w14:textId="18FE49D1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质量控制</w:t>
            </w:r>
          </w:p>
        </w:tc>
      </w:tr>
      <w:tr w:rsidR="00EB45D4" w:rsidRPr="00432957" w14:paraId="5C485DF2" w14:textId="77777777" w:rsidTr="00DF4D6B">
        <w:trPr>
          <w:tblCellSpacing w:w="7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0F8AB3F" w14:textId="77777777" w:rsidR="00EB45D4" w:rsidRPr="00432957" w:rsidRDefault="00EB45D4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TSH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E52B9" w14:textId="049B6946" w:rsidR="00EB45D4" w:rsidRPr="00432957" w:rsidRDefault="00743B75" w:rsidP="001F3ACF">
            <w:pPr>
              <w:widowControl/>
              <w:snapToGrid w:val="0"/>
              <w:spacing w:line="30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329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甲状腺刺激激素</w:t>
            </w:r>
          </w:p>
        </w:tc>
      </w:tr>
    </w:tbl>
    <w:p w14:paraId="259E3924" w14:textId="04595902" w:rsidR="00EB45D4" w:rsidRPr="00432957" w:rsidRDefault="008E7238" w:rsidP="00C644AD">
      <w:pPr>
        <w:widowControl/>
        <w:snapToGrid w:val="0"/>
        <w:spacing w:line="300" w:lineRule="auto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清单</w:t>
      </w:r>
    </w:p>
    <w:p w14:paraId="05125E88" w14:textId="63CF84CA" w:rsidR="00990B36" w:rsidRPr="00432957" w:rsidRDefault="00990B36" w:rsidP="001F3ACF">
      <w:pPr>
        <w:widowControl/>
        <w:snapToGrid w:val="0"/>
        <w:spacing w:before="90" w:after="90" w:line="300" w:lineRule="auto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说明：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应将此清单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用于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旨在用于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临床实验室和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人绒毛膜促性腺激素（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hCG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妊娠试验的上市前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提交</w:t>
      </w:r>
      <w:r w:rsidR="005B59CB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请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检查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贵公司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已在上市前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通告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中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的以下项目的框。请注意，有些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项目必须提供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，而其他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项目仅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建议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。所需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提供的项目如下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7760B47F" w14:textId="2B2634F1" w:rsidR="00990B36" w:rsidRPr="00432957" w:rsidRDefault="00990B36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CDRH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上市前</w:t>
      </w:r>
      <w:r w:rsidR="00961280">
        <w:rPr>
          <w:rFonts w:ascii="Arial" w:eastAsia="宋体" w:hAnsi="Arial" w:cs="Arial"/>
          <w:color w:val="000000"/>
          <w:kern w:val="0"/>
          <w:sz w:val="18"/>
          <w:szCs w:val="18"/>
        </w:rPr>
        <w:t>提交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封面</w:t>
      </w:r>
    </w:p>
    <w:p w14:paraId="53F96957" w14:textId="5C39CFA1" w:rsidR="00990B36" w:rsidRPr="00432957" w:rsidRDefault="008E7238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符合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21 CFR 807.87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j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）要求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且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真实准确的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逐字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声明。不允许添加和删除。</w:t>
      </w:r>
    </w:p>
    <w:p w14:paraId="224B1C87" w14:textId="26E246E9" w:rsidR="00990B36" w:rsidRPr="00432957" w:rsidRDefault="008E7238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分别符合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21 CFR 807.92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21 CFR 807.93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要求的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510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k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）总结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或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声明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14:paraId="36922C6D" w14:textId="73C9D4A5" w:rsidR="00990B36" w:rsidRPr="00432957" w:rsidRDefault="00961280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 w:val="18"/>
          <w:szCs w:val="18"/>
        </w:rPr>
        <w:t>灵敏度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检测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限数据</w:t>
      </w:r>
    </w:p>
    <w:p w14:paraId="20BF3315" w14:textId="77777777" w:rsidR="00990B36" w:rsidRPr="00432957" w:rsidRDefault="00990B36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特异性数据，包括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LH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FSH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TSH</w:t>
      </w:r>
    </w:p>
    <w:p w14:paraId="62176C2B" w14:textId="77777777" w:rsidR="00990B36" w:rsidRPr="00432957" w:rsidRDefault="00990B36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干扰物质数据</w:t>
      </w:r>
    </w:p>
    <w:p w14:paraId="379D88A9" w14:textId="7F0F9E53" w:rsidR="00990B36" w:rsidRPr="00432957" w:rsidRDefault="00990B36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比较研究数据，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其应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包括以下内容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（如果适用）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：研究方案概要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范围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使用的加标</w:t>
      </w:r>
      <w:r w:rsidR="006F5D63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样本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浓度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POL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站点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的名称和地址以及进行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试验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的人员的背景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培训。</w:t>
      </w:r>
    </w:p>
    <w:p w14:paraId="31908979" w14:textId="77777777" w:rsidR="00990B36" w:rsidRPr="00432957" w:rsidRDefault="00990B36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抗体表征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纯化信息</w:t>
      </w:r>
    </w:p>
    <w:p w14:paraId="10F6A4C7" w14:textId="601C2CCA" w:rsidR="00990B36" w:rsidRPr="00432957" w:rsidRDefault="008E7238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类似</w:t>
      </w:r>
      <w:r w:rsidR="0061149A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器械</w:t>
      </w:r>
      <w:r w:rsidR="00990B36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标签</w:t>
      </w:r>
    </w:p>
    <w:p w14:paraId="611C1426" w14:textId="284D1FBE" w:rsidR="00990B36" w:rsidRPr="00432957" w:rsidRDefault="00990B36" w:rsidP="00781201">
      <w:pPr>
        <w:widowControl/>
        <w:numPr>
          <w:ilvl w:val="0"/>
          <w:numId w:val="5"/>
        </w:numPr>
        <w:tabs>
          <w:tab w:val="clear" w:pos="720"/>
        </w:tabs>
        <w:snapToGrid w:val="0"/>
        <w:spacing w:line="300" w:lineRule="auto"/>
        <w:ind w:left="434" w:hangingChars="241" w:hanging="434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使用适应症</w:t>
      </w:r>
      <w:r w:rsidR="008E7238" w:rsidRPr="00432957">
        <w:rPr>
          <w:rFonts w:ascii="Arial" w:eastAsia="宋体" w:hAnsi="Arial" w:cs="Arial"/>
          <w:color w:val="000000"/>
          <w:kern w:val="0"/>
          <w:sz w:val="18"/>
          <w:szCs w:val="18"/>
        </w:rPr>
        <w:t>表格</w:t>
      </w:r>
    </w:p>
    <w:p w14:paraId="0D3DD5F1" w14:textId="77777777" w:rsidR="0022020C" w:rsidRPr="00432957" w:rsidRDefault="0022020C" w:rsidP="001F3ACF">
      <w:pPr>
        <w:snapToGrid w:val="0"/>
        <w:spacing w:line="300" w:lineRule="auto"/>
        <w:rPr>
          <w:rFonts w:ascii="Arial" w:eastAsia="宋体" w:hAnsi="Arial" w:cs="Arial"/>
        </w:rPr>
      </w:pPr>
    </w:p>
    <w:sectPr w:rsidR="0022020C" w:rsidRPr="0043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07E7" w14:textId="77777777" w:rsidR="003E7A76" w:rsidRDefault="003E7A76" w:rsidP="00EB45D4">
      <w:r>
        <w:separator/>
      </w:r>
    </w:p>
  </w:endnote>
  <w:endnote w:type="continuationSeparator" w:id="0">
    <w:p w14:paraId="56667F0D" w14:textId="77777777" w:rsidR="003E7A76" w:rsidRDefault="003E7A76" w:rsidP="00EB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7ED4B" w14:textId="77777777" w:rsidR="003E7A76" w:rsidRDefault="003E7A76" w:rsidP="00EB45D4">
      <w:r>
        <w:separator/>
      </w:r>
    </w:p>
  </w:footnote>
  <w:footnote w:type="continuationSeparator" w:id="0">
    <w:p w14:paraId="6DC971BA" w14:textId="77777777" w:rsidR="003E7A76" w:rsidRDefault="003E7A76" w:rsidP="00EB4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531"/>
    <w:multiLevelType w:val="multilevel"/>
    <w:tmpl w:val="FFD40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310E9"/>
    <w:multiLevelType w:val="multilevel"/>
    <w:tmpl w:val="CE2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46AA7"/>
    <w:multiLevelType w:val="multilevel"/>
    <w:tmpl w:val="C5B092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6186F"/>
    <w:multiLevelType w:val="multilevel"/>
    <w:tmpl w:val="2602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84784"/>
    <w:multiLevelType w:val="multilevel"/>
    <w:tmpl w:val="B59EEE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D4"/>
    <w:rsid w:val="0000588E"/>
    <w:rsid w:val="00073B29"/>
    <w:rsid w:val="000A2AC0"/>
    <w:rsid w:val="000A3BB8"/>
    <w:rsid w:val="000A4760"/>
    <w:rsid w:val="000C0A04"/>
    <w:rsid w:val="001406CC"/>
    <w:rsid w:val="00183302"/>
    <w:rsid w:val="001A1DED"/>
    <w:rsid w:val="001A1FBE"/>
    <w:rsid w:val="001D278D"/>
    <w:rsid w:val="001E6508"/>
    <w:rsid w:val="001F3ACF"/>
    <w:rsid w:val="0022020C"/>
    <w:rsid w:val="002B517D"/>
    <w:rsid w:val="003223B3"/>
    <w:rsid w:val="00345527"/>
    <w:rsid w:val="00382A7E"/>
    <w:rsid w:val="003C0860"/>
    <w:rsid w:val="003E7A76"/>
    <w:rsid w:val="00415B76"/>
    <w:rsid w:val="00432957"/>
    <w:rsid w:val="004D661F"/>
    <w:rsid w:val="00532FC0"/>
    <w:rsid w:val="00545F71"/>
    <w:rsid w:val="005B59CB"/>
    <w:rsid w:val="0061149A"/>
    <w:rsid w:val="006803FB"/>
    <w:rsid w:val="006F5D63"/>
    <w:rsid w:val="00743B75"/>
    <w:rsid w:val="00781201"/>
    <w:rsid w:val="00812ED6"/>
    <w:rsid w:val="00840A98"/>
    <w:rsid w:val="00854455"/>
    <w:rsid w:val="008C1681"/>
    <w:rsid w:val="008E7238"/>
    <w:rsid w:val="009116BF"/>
    <w:rsid w:val="00961280"/>
    <w:rsid w:val="00990B36"/>
    <w:rsid w:val="00A339C6"/>
    <w:rsid w:val="00A45936"/>
    <w:rsid w:val="00A53150"/>
    <w:rsid w:val="00AB2188"/>
    <w:rsid w:val="00B26CC1"/>
    <w:rsid w:val="00BD174F"/>
    <w:rsid w:val="00C262DF"/>
    <w:rsid w:val="00C644AD"/>
    <w:rsid w:val="00CD24EE"/>
    <w:rsid w:val="00CD4294"/>
    <w:rsid w:val="00D51A4F"/>
    <w:rsid w:val="00D9264B"/>
    <w:rsid w:val="00DB1086"/>
    <w:rsid w:val="00DF1559"/>
    <w:rsid w:val="00DF4D6B"/>
    <w:rsid w:val="00DF60A5"/>
    <w:rsid w:val="00E22893"/>
    <w:rsid w:val="00E52076"/>
    <w:rsid w:val="00E6483E"/>
    <w:rsid w:val="00E71659"/>
    <w:rsid w:val="00EB45D4"/>
    <w:rsid w:val="00EC58A2"/>
    <w:rsid w:val="00F06ED3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823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45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B45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EB45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EB45D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5D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B45D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B45D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EB45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EB45D4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B4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B45D4"/>
    <w:rPr>
      <w:b/>
      <w:bCs/>
    </w:rPr>
  </w:style>
  <w:style w:type="character" w:customStyle="1" w:styleId="apple-converted-space">
    <w:name w:val="apple-converted-space"/>
    <w:basedOn w:val="a0"/>
    <w:rsid w:val="00EB45D4"/>
  </w:style>
  <w:style w:type="paragraph" w:styleId="a7">
    <w:name w:val="Balloon Text"/>
    <w:basedOn w:val="a"/>
    <w:link w:val="Char1"/>
    <w:uiPriority w:val="99"/>
    <w:semiHidden/>
    <w:unhideWhenUsed/>
    <w:rsid w:val="000A3B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3BB8"/>
    <w:rPr>
      <w:sz w:val="18"/>
      <w:szCs w:val="18"/>
    </w:rPr>
  </w:style>
  <w:style w:type="character" w:customStyle="1" w:styleId="web-item2">
    <w:name w:val="web-item2"/>
    <w:basedOn w:val="a0"/>
    <w:rsid w:val="00183302"/>
    <w:rPr>
      <w:sz w:val="18"/>
      <w:szCs w:val="18"/>
    </w:rPr>
  </w:style>
  <w:style w:type="character" w:styleId="a8">
    <w:name w:val="Emphasis"/>
    <w:basedOn w:val="a0"/>
    <w:uiPriority w:val="20"/>
    <w:qFormat/>
    <w:rsid w:val="00743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45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B45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EB45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EB45D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5D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B45D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B45D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EB45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EB45D4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B4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B45D4"/>
    <w:rPr>
      <w:b/>
      <w:bCs/>
    </w:rPr>
  </w:style>
  <w:style w:type="character" w:customStyle="1" w:styleId="apple-converted-space">
    <w:name w:val="apple-converted-space"/>
    <w:basedOn w:val="a0"/>
    <w:rsid w:val="00EB45D4"/>
  </w:style>
  <w:style w:type="paragraph" w:styleId="a7">
    <w:name w:val="Balloon Text"/>
    <w:basedOn w:val="a"/>
    <w:link w:val="Char1"/>
    <w:uiPriority w:val="99"/>
    <w:semiHidden/>
    <w:unhideWhenUsed/>
    <w:rsid w:val="000A3B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3BB8"/>
    <w:rPr>
      <w:sz w:val="18"/>
      <w:szCs w:val="18"/>
    </w:rPr>
  </w:style>
  <w:style w:type="character" w:customStyle="1" w:styleId="web-item2">
    <w:name w:val="web-item2"/>
    <w:basedOn w:val="a0"/>
    <w:rsid w:val="00183302"/>
    <w:rPr>
      <w:sz w:val="18"/>
      <w:szCs w:val="18"/>
    </w:rPr>
  </w:style>
  <w:style w:type="character" w:styleId="a8">
    <w:name w:val="Emphasis"/>
    <w:basedOn w:val="a0"/>
    <w:uiPriority w:val="20"/>
    <w:qFormat/>
    <w:rsid w:val="00743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1019</Words>
  <Characters>5814</Characters>
  <Application>Microsoft Office Word</Application>
  <DocSecurity>0</DocSecurity>
  <Lines>48</Lines>
  <Paragraphs>13</Paragraphs>
  <ScaleCrop>false</ScaleCrop>
  <Company>Microsoft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2017-04-09T09:34:00Z</dcterms:created>
  <dcterms:modified xsi:type="dcterms:W3CDTF">2017-04-10T09:28:00Z</dcterms:modified>
</cp:coreProperties>
</file>