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7E4" w:rsidRPr="00EB049C" w:rsidRDefault="008F17E4" w:rsidP="009A6A54">
      <w:pPr>
        <w:pStyle w:val="Default"/>
        <w:snapToGrid w:val="0"/>
        <w:spacing w:line="360" w:lineRule="auto"/>
        <w:jc w:val="center"/>
        <w:rPr>
          <w:color w:val="auto"/>
          <w:sz w:val="44"/>
          <w:szCs w:val="44"/>
        </w:rPr>
      </w:pPr>
      <w:r w:rsidRPr="00EB049C">
        <w:rPr>
          <w:rFonts w:hAnsi="宋体" w:hint="eastAsia"/>
          <w:color w:val="auto"/>
          <w:sz w:val="44"/>
          <w:szCs w:val="44"/>
        </w:rPr>
        <w:t>行业</w:t>
      </w:r>
      <w:r w:rsidR="000C5E99" w:rsidRPr="00EB049C">
        <w:rPr>
          <w:rFonts w:hAnsi="宋体" w:hint="eastAsia"/>
          <w:color w:val="auto"/>
          <w:sz w:val="44"/>
          <w:szCs w:val="44"/>
        </w:rPr>
        <w:t>指南</w:t>
      </w:r>
      <w:r w:rsidRPr="00EB049C">
        <w:rPr>
          <w:rFonts w:hAnsi="宋体" w:hint="eastAsia"/>
          <w:color w:val="auto"/>
          <w:sz w:val="44"/>
          <w:szCs w:val="44"/>
        </w:rPr>
        <w:t>和</w:t>
      </w:r>
      <w:r w:rsidRPr="00EB049C">
        <w:rPr>
          <w:color w:val="auto"/>
          <w:sz w:val="44"/>
          <w:szCs w:val="44"/>
        </w:rPr>
        <w:t>/</w:t>
      </w:r>
      <w:r w:rsidRPr="00EB049C">
        <w:rPr>
          <w:rFonts w:hAnsi="宋体" w:hint="eastAsia"/>
          <w:color w:val="auto"/>
          <w:sz w:val="44"/>
          <w:szCs w:val="44"/>
        </w:rPr>
        <w:t>或</w:t>
      </w:r>
      <w:r w:rsidRPr="00EB049C">
        <w:rPr>
          <w:color w:val="auto"/>
          <w:sz w:val="44"/>
          <w:szCs w:val="44"/>
        </w:rPr>
        <w:t>FDA</w:t>
      </w:r>
      <w:r w:rsidR="000C5E99" w:rsidRPr="00EB049C">
        <w:rPr>
          <w:rFonts w:hAnsi="宋体" w:hint="eastAsia"/>
          <w:color w:val="auto"/>
          <w:sz w:val="44"/>
          <w:szCs w:val="44"/>
        </w:rPr>
        <w:t>评审员</w:t>
      </w:r>
      <w:r w:rsidR="000C5E99" w:rsidRPr="00EB049C">
        <w:rPr>
          <w:rFonts w:hAnsi="宋体" w:hint="eastAsia"/>
          <w:color w:val="auto"/>
          <w:sz w:val="44"/>
          <w:szCs w:val="44"/>
        </w:rPr>
        <w:t>/</w:t>
      </w:r>
      <w:r w:rsidR="000C5E99" w:rsidRPr="00EB049C">
        <w:rPr>
          <w:rFonts w:hAnsi="宋体" w:hint="eastAsia"/>
          <w:color w:val="auto"/>
          <w:sz w:val="44"/>
          <w:szCs w:val="44"/>
        </w:rPr>
        <w:t>工作人员指导</w:t>
      </w:r>
      <w:r w:rsidRPr="00EB049C">
        <w:rPr>
          <w:rFonts w:hAnsi="宋体" w:hint="eastAsia"/>
          <w:color w:val="auto"/>
          <w:sz w:val="44"/>
          <w:szCs w:val="44"/>
        </w:rPr>
        <w:t>：</w:t>
      </w:r>
      <w:r w:rsidRPr="00EB049C">
        <w:rPr>
          <w:rFonts w:hAnsi="宋体" w:hint="eastAsia"/>
          <w:b/>
          <w:bCs/>
          <w:color w:val="auto"/>
          <w:sz w:val="44"/>
          <w:szCs w:val="44"/>
        </w:rPr>
        <w:t>脊柱系统试验用器械豁免（</w:t>
      </w:r>
      <w:r w:rsidRPr="00EB049C">
        <w:rPr>
          <w:b/>
          <w:bCs/>
          <w:color w:val="auto"/>
          <w:sz w:val="44"/>
          <w:szCs w:val="44"/>
        </w:rPr>
        <w:t>IDE</w:t>
      </w:r>
      <w:r w:rsidR="004715E8" w:rsidRPr="00EB049C">
        <w:rPr>
          <w:rFonts w:hint="eastAsia"/>
          <w:b/>
          <w:bCs/>
          <w:color w:val="auto"/>
          <w:sz w:val="44"/>
          <w:szCs w:val="44"/>
        </w:rPr>
        <w:t>s</w:t>
      </w:r>
      <w:r w:rsidRPr="00EB049C">
        <w:rPr>
          <w:rFonts w:hAnsi="宋体" w:hint="eastAsia"/>
          <w:b/>
          <w:bCs/>
          <w:color w:val="auto"/>
          <w:sz w:val="44"/>
          <w:szCs w:val="44"/>
        </w:rPr>
        <w:t>）申请准备的指导文件</w:t>
      </w:r>
    </w:p>
    <w:p w:rsidR="008F17E4" w:rsidRPr="00EB049C" w:rsidRDefault="008F17E4" w:rsidP="003E190C">
      <w:pPr>
        <w:widowControl/>
        <w:adjustRightInd w:val="0"/>
        <w:snapToGrid w:val="0"/>
        <w:spacing w:beforeLines="100" w:line="360" w:lineRule="auto"/>
        <w:ind w:firstLine="0"/>
        <w:jc w:val="center"/>
        <w:rPr>
          <w:rFonts w:ascii="Times New Roman" w:hAnsi="Times New Roman" w:cs="Times New Roman"/>
          <w:b/>
          <w:kern w:val="0"/>
        </w:rPr>
      </w:pPr>
      <w:r w:rsidRPr="00EB049C">
        <w:rPr>
          <w:rFonts w:ascii="Times New Roman" w:hAnsi="宋体" w:cs="Times New Roman" w:hint="eastAsia"/>
          <w:b/>
        </w:rPr>
        <w:t>文件发布日期：</w:t>
      </w:r>
      <w:r w:rsidRPr="00EB049C">
        <w:rPr>
          <w:rFonts w:ascii="Times New Roman" w:hAnsi="Times New Roman" w:cs="Times New Roman"/>
          <w:b/>
        </w:rPr>
        <w:t>2000</w:t>
      </w:r>
      <w:r w:rsidRPr="00EB049C">
        <w:rPr>
          <w:rFonts w:ascii="Times New Roman" w:hAnsi="宋体" w:cs="Times New Roman" w:hint="eastAsia"/>
          <w:b/>
        </w:rPr>
        <w:t>年</w:t>
      </w:r>
      <w:r w:rsidRPr="00EB049C">
        <w:rPr>
          <w:rFonts w:ascii="Times New Roman" w:hAnsi="Times New Roman" w:cs="Times New Roman"/>
          <w:b/>
        </w:rPr>
        <w:t>1</w:t>
      </w:r>
      <w:r w:rsidRPr="00EB049C">
        <w:rPr>
          <w:rFonts w:ascii="Times New Roman" w:hAnsi="宋体" w:cs="Times New Roman" w:hint="eastAsia"/>
          <w:b/>
        </w:rPr>
        <w:t>月</w:t>
      </w:r>
      <w:r w:rsidRPr="00EB049C">
        <w:rPr>
          <w:rFonts w:ascii="Times New Roman" w:hAnsi="Times New Roman" w:cs="Times New Roman"/>
          <w:b/>
        </w:rPr>
        <w:t>13</w:t>
      </w:r>
      <w:r w:rsidRPr="00EB049C">
        <w:rPr>
          <w:rFonts w:ascii="Times New Roman" w:hAnsi="宋体" w:cs="Times New Roman" w:hint="eastAsia"/>
          <w:b/>
        </w:rPr>
        <w:t>日</w:t>
      </w:r>
    </w:p>
    <w:p w:rsidR="008F17E4" w:rsidRPr="00EB049C" w:rsidRDefault="008F17E4" w:rsidP="003E190C">
      <w:pPr>
        <w:pStyle w:val="Default"/>
        <w:snapToGrid w:val="0"/>
        <w:spacing w:beforeLines="100" w:afterLines="3000" w:line="360" w:lineRule="auto"/>
        <w:jc w:val="center"/>
        <w:rPr>
          <w:color w:val="auto"/>
          <w:sz w:val="21"/>
          <w:szCs w:val="21"/>
        </w:rPr>
      </w:pPr>
      <w:r w:rsidRPr="00EB049C">
        <w:rPr>
          <w:rFonts w:hAnsi="宋体" w:hint="eastAsia"/>
          <w:color w:val="auto"/>
          <w:sz w:val="21"/>
          <w:szCs w:val="21"/>
        </w:rPr>
        <w:t>本文件取代了初步背景文件，用于</w:t>
      </w:r>
      <w:r w:rsidRPr="00EB049C">
        <w:rPr>
          <w:color w:val="auto"/>
          <w:sz w:val="21"/>
          <w:szCs w:val="21"/>
        </w:rPr>
        <w:t>1998</w:t>
      </w:r>
      <w:r w:rsidRPr="00EB049C">
        <w:rPr>
          <w:rFonts w:hAnsi="宋体" w:hint="eastAsia"/>
          <w:color w:val="auto"/>
          <w:sz w:val="21"/>
          <w:szCs w:val="21"/>
        </w:rPr>
        <w:t>年</w:t>
      </w:r>
      <w:r w:rsidRPr="00EB049C">
        <w:rPr>
          <w:color w:val="auto"/>
          <w:sz w:val="21"/>
          <w:szCs w:val="21"/>
        </w:rPr>
        <w:t>8</w:t>
      </w:r>
      <w:r w:rsidRPr="00EB049C">
        <w:rPr>
          <w:rFonts w:hAnsi="宋体" w:hint="eastAsia"/>
          <w:color w:val="auto"/>
          <w:sz w:val="21"/>
          <w:szCs w:val="21"/>
        </w:rPr>
        <w:t>月</w:t>
      </w:r>
      <w:r w:rsidRPr="00EB049C">
        <w:rPr>
          <w:color w:val="auto"/>
          <w:sz w:val="21"/>
          <w:szCs w:val="21"/>
        </w:rPr>
        <w:t>26</w:t>
      </w:r>
      <w:r w:rsidRPr="00EB049C">
        <w:rPr>
          <w:rFonts w:hAnsi="宋体" w:hint="eastAsia"/>
          <w:color w:val="auto"/>
          <w:sz w:val="21"/>
          <w:szCs w:val="21"/>
        </w:rPr>
        <w:t>日脊柱器械</w:t>
      </w:r>
      <w:r w:rsidRPr="00EB049C">
        <w:rPr>
          <w:color w:val="auto"/>
          <w:sz w:val="21"/>
          <w:szCs w:val="21"/>
        </w:rPr>
        <w:t>IDE</w:t>
      </w:r>
      <w:r w:rsidRPr="00EB049C">
        <w:rPr>
          <w:rFonts w:hAnsi="宋体" w:hint="eastAsia"/>
          <w:color w:val="auto"/>
          <w:sz w:val="21"/>
          <w:szCs w:val="21"/>
        </w:rPr>
        <w:t>指导的日后编制。</w:t>
      </w:r>
    </w:p>
    <w:tbl>
      <w:tblPr>
        <w:tblW w:w="5000" w:type="pct"/>
        <w:tblLook w:val="01E0"/>
      </w:tblPr>
      <w:tblGrid>
        <w:gridCol w:w="2265"/>
        <w:gridCol w:w="6264"/>
      </w:tblGrid>
      <w:tr w:rsidR="008F17E4" w:rsidRPr="00EB049C" w:rsidTr="009A6A54">
        <w:tc>
          <w:tcPr>
            <w:tcW w:w="1328" w:type="pct"/>
          </w:tcPr>
          <w:p w:rsidR="008F17E4" w:rsidRPr="00EB049C" w:rsidRDefault="00045AE8" w:rsidP="009A6A54">
            <w:pPr>
              <w:adjustRightInd w:val="0"/>
              <w:snapToGrid w:val="0"/>
              <w:spacing w:line="360" w:lineRule="auto"/>
              <w:ind w:firstLine="0"/>
              <w:rPr>
                <w:rFonts w:ascii="Times New Roman" w:hAnsi="Times New Roman" w:cs="Times New Roman"/>
                <w:b/>
              </w:rPr>
            </w:pPr>
            <w:r w:rsidRPr="00EB049C">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15pt;height:82.85pt">
                  <v:imagedata r:id="rId7" o:title=""/>
                </v:shape>
              </w:pict>
            </w:r>
          </w:p>
        </w:tc>
        <w:tc>
          <w:tcPr>
            <w:tcW w:w="3672" w:type="pct"/>
          </w:tcPr>
          <w:p w:rsidR="008F17E4" w:rsidRPr="00EB049C" w:rsidRDefault="008F17E4" w:rsidP="009A6A54">
            <w:pPr>
              <w:adjustRightInd w:val="0"/>
              <w:snapToGrid w:val="0"/>
              <w:spacing w:line="360" w:lineRule="auto"/>
              <w:ind w:firstLine="0"/>
              <w:jc w:val="right"/>
              <w:rPr>
                <w:rFonts w:ascii="Times New Roman" w:hAnsi="Times New Roman" w:cs="Times New Roman"/>
                <w:b/>
              </w:rPr>
            </w:pPr>
            <w:r w:rsidRPr="00EB049C">
              <w:rPr>
                <w:rFonts w:ascii="Times New Roman" w:hAnsi="宋体" w:cs="Times New Roman" w:hint="eastAsia"/>
                <w:b/>
              </w:rPr>
              <w:t>美国卫生与人类服务部</w:t>
            </w:r>
          </w:p>
          <w:p w:rsidR="008F17E4" w:rsidRPr="00EB049C" w:rsidRDefault="008F17E4" w:rsidP="009A6A54">
            <w:pPr>
              <w:adjustRightInd w:val="0"/>
              <w:snapToGrid w:val="0"/>
              <w:spacing w:line="360" w:lineRule="auto"/>
              <w:ind w:firstLine="0"/>
              <w:jc w:val="right"/>
              <w:rPr>
                <w:rFonts w:ascii="Times New Roman" w:hAnsi="Times New Roman" w:cs="Times New Roman"/>
                <w:b/>
              </w:rPr>
            </w:pPr>
            <w:r w:rsidRPr="00EB049C">
              <w:rPr>
                <w:rFonts w:ascii="Times New Roman" w:hAnsi="宋体" w:cs="Times New Roman" w:hint="eastAsia"/>
                <w:b/>
              </w:rPr>
              <w:t>食品</w:t>
            </w:r>
            <w:r w:rsidR="00FF4422" w:rsidRPr="00EB049C">
              <w:rPr>
                <w:rFonts w:ascii="Times New Roman" w:hAnsi="宋体" w:cs="Times New Roman" w:hint="eastAsia"/>
                <w:b/>
              </w:rPr>
              <w:t>药品</w:t>
            </w:r>
            <w:r w:rsidRPr="00EB049C">
              <w:rPr>
                <w:rFonts w:ascii="Times New Roman" w:hAnsi="宋体" w:cs="Times New Roman" w:hint="eastAsia"/>
                <w:b/>
              </w:rPr>
              <w:t>管理局</w:t>
            </w:r>
          </w:p>
          <w:p w:rsidR="008F17E4" w:rsidRPr="00EB049C" w:rsidRDefault="008F17E4" w:rsidP="009A6A54">
            <w:pPr>
              <w:tabs>
                <w:tab w:val="left" w:pos="5258"/>
              </w:tabs>
              <w:adjustRightInd w:val="0"/>
              <w:snapToGrid w:val="0"/>
              <w:spacing w:line="360" w:lineRule="auto"/>
              <w:ind w:firstLine="0"/>
              <w:jc w:val="right"/>
              <w:rPr>
                <w:rFonts w:ascii="Times New Roman" w:hAnsi="Times New Roman" w:cs="Times New Roman"/>
                <w:b/>
              </w:rPr>
            </w:pPr>
            <w:r w:rsidRPr="00EB049C">
              <w:rPr>
                <w:rFonts w:ascii="Times New Roman" w:hAnsi="宋体" w:cs="Times New Roman" w:hint="eastAsia"/>
                <w:b/>
              </w:rPr>
              <w:t>器械和放射健康中心</w:t>
            </w:r>
          </w:p>
          <w:p w:rsidR="008F17E4" w:rsidRPr="00EB049C" w:rsidRDefault="008F17E4" w:rsidP="009A6A54">
            <w:pPr>
              <w:tabs>
                <w:tab w:val="left" w:pos="5258"/>
              </w:tabs>
              <w:adjustRightInd w:val="0"/>
              <w:snapToGrid w:val="0"/>
              <w:spacing w:line="360" w:lineRule="auto"/>
              <w:ind w:firstLine="0"/>
              <w:jc w:val="right"/>
              <w:rPr>
                <w:rFonts w:ascii="Times New Roman" w:hAnsi="Times New Roman" w:cs="Times New Roman"/>
                <w:b/>
              </w:rPr>
            </w:pPr>
          </w:p>
          <w:p w:rsidR="008F17E4" w:rsidRPr="00EB049C" w:rsidRDefault="008F17E4" w:rsidP="009A6A54">
            <w:pPr>
              <w:adjustRightInd w:val="0"/>
              <w:snapToGrid w:val="0"/>
              <w:spacing w:line="360" w:lineRule="auto"/>
              <w:ind w:firstLine="0"/>
              <w:jc w:val="right"/>
              <w:rPr>
                <w:rFonts w:ascii="Times New Roman" w:hAnsi="Times New Roman" w:cs="Times New Roman"/>
                <w:b/>
              </w:rPr>
            </w:pPr>
            <w:r w:rsidRPr="00EB049C">
              <w:rPr>
                <w:rFonts w:ascii="Times New Roman" w:hAnsi="宋体" w:cs="Times New Roman" w:hint="eastAsia"/>
                <w:b/>
              </w:rPr>
              <w:t>骨关节器械科</w:t>
            </w:r>
          </w:p>
          <w:p w:rsidR="008F17E4" w:rsidRPr="00EB049C" w:rsidRDefault="00CA2D14" w:rsidP="009A6A54">
            <w:pPr>
              <w:adjustRightInd w:val="0"/>
              <w:snapToGrid w:val="0"/>
              <w:spacing w:line="360" w:lineRule="auto"/>
              <w:ind w:firstLine="0"/>
              <w:jc w:val="right"/>
              <w:rPr>
                <w:rFonts w:ascii="Times New Roman" w:hAnsi="Times New Roman" w:cs="Times New Roman"/>
                <w:b/>
              </w:rPr>
            </w:pPr>
            <w:r w:rsidRPr="00EB049C">
              <w:rPr>
                <w:rFonts w:ascii="Times New Roman" w:hAnsi="宋体" w:cs="Times New Roman" w:hint="eastAsia"/>
                <w:b/>
              </w:rPr>
              <w:t>综合</w:t>
            </w:r>
            <w:r w:rsidR="008F17E4" w:rsidRPr="00EB049C">
              <w:rPr>
                <w:rFonts w:ascii="Times New Roman" w:hAnsi="宋体" w:cs="Times New Roman" w:hint="eastAsia"/>
                <w:b/>
              </w:rPr>
              <w:t>，恢复和神经器</w:t>
            </w:r>
            <w:bookmarkStart w:id="0" w:name="_GoBack"/>
            <w:bookmarkEnd w:id="0"/>
            <w:r w:rsidR="008F17E4" w:rsidRPr="00EB049C">
              <w:rPr>
                <w:rFonts w:ascii="Times New Roman" w:hAnsi="宋体" w:cs="Times New Roman" w:hint="eastAsia"/>
                <w:b/>
              </w:rPr>
              <w:t>官科</w:t>
            </w:r>
          </w:p>
          <w:p w:rsidR="008F17E4" w:rsidRPr="00EB049C" w:rsidRDefault="008F17E4" w:rsidP="009A6A54">
            <w:pPr>
              <w:adjustRightInd w:val="0"/>
              <w:snapToGrid w:val="0"/>
              <w:spacing w:line="360" w:lineRule="auto"/>
              <w:jc w:val="right"/>
              <w:rPr>
                <w:rFonts w:ascii="Times New Roman" w:hAnsi="Times New Roman" w:cs="Times New Roman"/>
                <w:b/>
              </w:rPr>
            </w:pPr>
            <w:r w:rsidRPr="00EB049C">
              <w:rPr>
                <w:rFonts w:ascii="Times New Roman" w:hAnsi="宋体" w:cs="Times New Roman" w:hint="eastAsia"/>
                <w:b/>
              </w:rPr>
              <w:t>器械评估办公室</w:t>
            </w:r>
          </w:p>
        </w:tc>
      </w:tr>
    </w:tbl>
    <w:p w:rsidR="008F17E4" w:rsidRPr="00EB049C" w:rsidRDefault="008F17E4" w:rsidP="009A6A54">
      <w:pPr>
        <w:pStyle w:val="CM4"/>
        <w:snapToGrid w:val="0"/>
        <w:spacing w:line="360" w:lineRule="auto"/>
        <w:jc w:val="center"/>
        <w:rPr>
          <w:b/>
          <w:sz w:val="44"/>
          <w:szCs w:val="44"/>
        </w:rPr>
      </w:pPr>
      <w:r w:rsidRPr="00EB049C">
        <w:rPr>
          <w:bCs/>
          <w:color w:val="00B050"/>
        </w:rPr>
        <w:br w:type="page"/>
      </w:r>
      <w:r w:rsidRPr="00EB049C">
        <w:rPr>
          <w:rFonts w:hAnsi="宋体" w:hint="eastAsia"/>
          <w:b/>
          <w:sz w:val="44"/>
          <w:szCs w:val="44"/>
        </w:rPr>
        <w:lastRenderedPageBreak/>
        <w:t>前言</w:t>
      </w:r>
    </w:p>
    <w:p w:rsidR="008F17E4" w:rsidRPr="00EB049C" w:rsidRDefault="008F17E4" w:rsidP="003E190C">
      <w:pPr>
        <w:adjustRightInd w:val="0"/>
        <w:snapToGrid w:val="0"/>
        <w:spacing w:beforeLines="50" w:afterLines="50" w:line="360" w:lineRule="auto"/>
        <w:ind w:firstLine="0"/>
        <w:rPr>
          <w:rFonts w:ascii="Times New Roman" w:hAnsi="Times New Roman" w:cs="Times New Roman"/>
          <w:b/>
          <w:sz w:val="32"/>
          <w:szCs w:val="32"/>
        </w:rPr>
      </w:pPr>
      <w:bookmarkStart w:id="1" w:name="bookmark4"/>
      <w:r w:rsidRPr="00EB049C">
        <w:rPr>
          <w:rFonts w:ascii="Times New Roman" w:hAnsi="宋体" w:cs="Times New Roman" w:hint="eastAsia"/>
          <w:b/>
          <w:sz w:val="32"/>
          <w:szCs w:val="32"/>
        </w:rPr>
        <w:t>公众意见</w:t>
      </w:r>
      <w:bookmarkEnd w:id="1"/>
    </w:p>
    <w:p w:rsidR="008F17E4" w:rsidRPr="00EB049C" w:rsidRDefault="008F17E4" w:rsidP="009A6A54">
      <w:pPr>
        <w:pStyle w:val="CM4"/>
        <w:snapToGrid w:val="0"/>
        <w:spacing w:line="360" w:lineRule="auto"/>
        <w:jc w:val="both"/>
        <w:rPr>
          <w:sz w:val="21"/>
          <w:szCs w:val="21"/>
        </w:rPr>
      </w:pPr>
      <w:r w:rsidRPr="00EB049C">
        <w:rPr>
          <w:rFonts w:hAnsi="宋体" w:hint="eastAsia"/>
          <w:b/>
          <w:bCs/>
          <w:sz w:val="21"/>
          <w:szCs w:val="21"/>
        </w:rPr>
        <w:t>对于管理局考虑事项的意见和建议，可随时递交至矫形器械公司，地址为</w:t>
      </w:r>
      <w:r w:rsidRPr="00EB049C">
        <w:rPr>
          <w:sz w:val="21"/>
          <w:szCs w:val="21"/>
        </w:rPr>
        <w:t>HFZ-410, 9200 Corporate Blvd., Rockville, MD 20850</w:t>
      </w:r>
      <w:r w:rsidRPr="00EB049C">
        <w:rPr>
          <w:rFonts w:hAnsi="宋体" w:hint="eastAsia"/>
          <w:sz w:val="21"/>
          <w:szCs w:val="21"/>
        </w:rPr>
        <w:t>。机构在下一次修订或更新文件之前，不得对此作出评论。</w:t>
      </w:r>
    </w:p>
    <w:p w:rsidR="008F17E4" w:rsidRPr="00EB049C" w:rsidRDefault="008F17E4" w:rsidP="009A6A54">
      <w:pPr>
        <w:pStyle w:val="CM4"/>
        <w:snapToGrid w:val="0"/>
        <w:spacing w:line="360" w:lineRule="auto"/>
        <w:jc w:val="both"/>
        <w:rPr>
          <w:sz w:val="21"/>
          <w:szCs w:val="21"/>
        </w:rPr>
      </w:pPr>
      <w:r w:rsidRPr="00EB049C">
        <w:rPr>
          <w:rFonts w:hAnsi="宋体" w:hint="eastAsia"/>
          <w:sz w:val="21"/>
          <w:szCs w:val="21"/>
        </w:rPr>
        <w:t>更多关于本指导使用或解释方面的问题，请联系</w:t>
      </w:r>
      <w:r w:rsidRPr="00EB049C">
        <w:rPr>
          <w:sz w:val="21"/>
          <w:szCs w:val="21"/>
        </w:rPr>
        <w:t>Samie Allen</w:t>
      </w:r>
      <w:r w:rsidRPr="00EB049C">
        <w:rPr>
          <w:rFonts w:hAnsi="宋体" w:hint="eastAsia"/>
          <w:sz w:val="21"/>
          <w:szCs w:val="21"/>
        </w:rPr>
        <w:t>，电话为</w:t>
      </w:r>
      <w:r w:rsidRPr="00EB049C">
        <w:rPr>
          <w:sz w:val="21"/>
          <w:szCs w:val="21"/>
        </w:rPr>
        <w:t xml:space="preserve"> 301-594-3090 </w:t>
      </w:r>
      <w:r w:rsidRPr="00EB049C">
        <w:rPr>
          <w:rFonts w:hAnsi="宋体" w:hint="eastAsia"/>
          <w:sz w:val="21"/>
          <w:szCs w:val="21"/>
        </w:rPr>
        <w:t>，</w:t>
      </w:r>
      <w:hyperlink r:id="rId8" w:history="1">
        <w:r w:rsidRPr="00EB049C">
          <w:rPr>
            <w:rStyle w:val="a3"/>
            <w:rFonts w:hAnsi="宋体" w:hint="eastAsia"/>
            <w:color w:val="auto"/>
            <w:sz w:val="21"/>
            <w:szCs w:val="21"/>
          </w:rPr>
          <w:t>或发送邮件至</w:t>
        </w:r>
        <w:r w:rsidRPr="00EB049C">
          <w:rPr>
            <w:rStyle w:val="a3"/>
            <w:color w:val="auto"/>
            <w:sz w:val="21"/>
            <w:szCs w:val="21"/>
          </w:rPr>
          <w:t>SXN@cdrh.fda.gov</w:t>
        </w:r>
      </w:hyperlink>
      <w:r w:rsidRPr="00EB049C">
        <w:rPr>
          <w:rFonts w:hAnsi="宋体" w:hint="eastAsia"/>
          <w:sz w:val="21"/>
          <w:szCs w:val="21"/>
        </w:rPr>
        <w:t>。</w:t>
      </w:r>
    </w:p>
    <w:p w:rsidR="008F17E4" w:rsidRPr="00EB049C" w:rsidRDefault="008F17E4" w:rsidP="003E190C">
      <w:pPr>
        <w:adjustRightInd w:val="0"/>
        <w:snapToGrid w:val="0"/>
        <w:spacing w:beforeLines="50" w:afterLines="50" w:line="360" w:lineRule="auto"/>
        <w:ind w:firstLine="0"/>
        <w:rPr>
          <w:rFonts w:ascii="Times New Roman" w:hAnsi="Times New Roman" w:cs="Times New Roman"/>
          <w:b/>
          <w:sz w:val="32"/>
          <w:szCs w:val="32"/>
        </w:rPr>
      </w:pPr>
      <w:bookmarkStart w:id="2" w:name="bookmark5"/>
      <w:r w:rsidRPr="00EB049C">
        <w:rPr>
          <w:rFonts w:ascii="Times New Roman" w:hAnsi="宋体" w:cs="Times New Roman" w:hint="eastAsia"/>
          <w:b/>
          <w:sz w:val="32"/>
          <w:szCs w:val="32"/>
        </w:rPr>
        <w:t>额外副本</w:t>
      </w:r>
      <w:bookmarkEnd w:id="2"/>
    </w:p>
    <w:p w:rsidR="008F17E4" w:rsidRPr="00EB049C" w:rsidRDefault="008F17E4" w:rsidP="009A6A54">
      <w:pPr>
        <w:pStyle w:val="CM5"/>
        <w:snapToGrid w:val="0"/>
        <w:spacing w:line="360" w:lineRule="auto"/>
        <w:jc w:val="both"/>
        <w:rPr>
          <w:sz w:val="21"/>
          <w:szCs w:val="21"/>
        </w:rPr>
      </w:pPr>
      <w:r w:rsidRPr="00EB049C">
        <w:rPr>
          <w:rFonts w:hAnsi="宋体" w:hint="eastAsia"/>
          <w:sz w:val="21"/>
          <w:szCs w:val="21"/>
        </w:rPr>
        <w:t>需要时可访问万维网</w:t>
      </w:r>
      <w:r w:rsidRPr="00EB049C">
        <w:rPr>
          <w:sz w:val="21"/>
          <w:szCs w:val="21"/>
        </w:rPr>
        <w:t xml:space="preserve">/CDRH </w:t>
      </w:r>
      <w:r w:rsidRPr="00EB049C">
        <w:rPr>
          <w:rFonts w:hAnsi="宋体" w:hint="eastAsia"/>
          <w:sz w:val="21"/>
          <w:szCs w:val="21"/>
        </w:rPr>
        <w:t>主页</w:t>
      </w:r>
      <w:r w:rsidRPr="00EB049C">
        <w:rPr>
          <w:sz w:val="21"/>
          <w:szCs w:val="21"/>
        </w:rPr>
        <w:t xml:space="preserve">http://www.fda.gov/cdrh/ode/87.pdf </w:t>
      </w:r>
      <w:r w:rsidRPr="00EB049C">
        <w:rPr>
          <w:rFonts w:hAnsi="宋体" w:hint="eastAsia"/>
          <w:sz w:val="21"/>
          <w:szCs w:val="21"/>
        </w:rPr>
        <w:t>或使用</w:t>
      </w:r>
      <w:r w:rsidRPr="00EB049C">
        <w:rPr>
          <w:sz w:val="21"/>
          <w:szCs w:val="21"/>
        </w:rPr>
        <w:t>CDRH</w:t>
      </w:r>
      <w:r w:rsidRPr="00EB049C">
        <w:rPr>
          <w:rFonts w:hAnsi="宋体" w:hint="eastAsia"/>
          <w:sz w:val="21"/>
          <w:szCs w:val="21"/>
        </w:rPr>
        <w:t>自动回传系统</w:t>
      </w:r>
      <w:r w:rsidRPr="00EB049C">
        <w:rPr>
          <w:sz w:val="21"/>
          <w:szCs w:val="21"/>
        </w:rPr>
        <w:t xml:space="preserve">1-800-899-0381 </w:t>
      </w:r>
      <w:r w:rsidRPr="00EB049C">
        <w:rPr>
          <w:rFonts w:hAnsi="宋体" w:hint="eastAsia"/>
          <w:sz w:val="21"/>
          <w:szCs w:val="21"/>
        </w:rPr>
        <w:t>或</w:t>
      </w:r>
      <w:r w:rsidRPr="00EB049C">
        <w:rPr>
          <w:sz w:val="21"/>
          <w:szCs w:val="21"/>
        </w:rPr>
        <w:t>301-827-0111</w:t>
      </w:r>
      <w:r w:rsidRPr="00EB049C">
        <w:rPr>
          <w:rFonts w:hAnsi="宋体" w:hint="eastAsia"/>
          <w:sz w:val="21"/>
          <w:szCs w:val="21"/>
        </w:rPr>
        <w:t>，当提示输入货架号时请输入</w:t>
      </w:r>
      <w:r w:rsidRPr="00EB049C">
        <w:rPr>
          <w:sz w:val="21"/>
          <w:szCs w:val="21"/>
        </w:rPr>
        <w:t>2250</w:t>
      </w:r>
      <w:r w:rsidRPr="00EB049C">
        <w:rPr>
          <w:rFonts w:hAnsi="宋体" w:hint="eastAsia"/>
          <w:sz w:val="21"/>
          <w:szCs w:val="21"/>
        </w:rPr>
        <w:t>。</w:t>
      </w:r>
    </w:p>
    <w:p w:rsidR="008F17E4" w:rsidRPr="00EB049C" w:rsidRDefault="008F17E4" w:rsidP="009A6A54">
      <w:pPr>
        <w:pStyle w:val="CM46"/>
        <w:snapToGrid w:val="0"/>
        <w:spacing w:after="0" w:line="360" w:lineRule="auto"/>
        <w:jc w:val="center"/>
        <w:rPr>
          <w:b/>
          <w:bCs/>
          <w:color w:val="00B050"/>
          <w:sz w:val="21"/>
          <w:szCs w:val="21"/>
        </w:rPr>
        <w:sectPr w:rsidR="008F17E4" w:rsidRPr="00EB049C" w:rsidSect="003079E8">
          <w:headerReference w:type="default" r:id="rId9"/>
          <w:pgSz w:w="11907" w:h="16840" w:code="9"/>
          <w:pgMar w:top="1440" w:right="1797" w:bottom="1440" w:left="1797" w:header="720" w:footer="720" w:gutter="0"/>
          <w:cols w:space="720"/>
          <w:noEndnote/>
        </w:sectPr>
      </w:pPr>
    </w:p>
    <w:p w:rsidR="008F17E4" w:rsidRPr="00EB049C" w:rsidRDefault="008F17E4" w:rsidP="003E190C">
      <w:pPr>
        <w:pStyle w:val="CM46"/>
        <w:snapToGrid w:val="0"/>
        <w:spacing w:afterLines="100" w:line="360" w:lineRule="auto"/>
        <w:jc w:val="center"/>
        <w:rPr>
          <w:b/>
          <w:bCs/>
          <w:sz w:val="32"/>
          <w:szCs w:val="32"/>
        </w:rPr>
      </w:pPr>
      <w:r w:rsidRPr="00EB049C">
        <w:rPr>
          <w:rFonts w:hAnsi="宋体" w:hint="eastAsia"/>
          <w:b/>
          <w:bCs/>
          <w:sz w:val="32"/>
          <w:szCs w:val="32"/>
        </w:rPr>
        <w:lastRenderedPageBreak/>
        <w:t>脊柱系统试验用器械豁免（</w:t>
      </w:r>
      <w:r w:rsidRPr="00EB049C">
        <w:rPr>
          <w:b/>
          <w:bCs/>
          <w:sz w:val="32"/>
          <w:szCs w:val="32"/>
        </w:rPr>
        <w:t>IDE</w:t>
      </w:r>
      <w:r w:rsidRPr="00EB049C">
        <w:rPr>
          <w:rFonts w:hAnsi="宋体" w:hint="eastAsia"/>
          <w:b/>
          <w:bCs/>
          <w:sz w:val="32"/>
          <w:szCs w:val="32"/>
        </w:rPr>
        <w:t>）申请准备的指导</w:t>
      </w:r>
      <w:r w:rsidRPr="00EB049C">
        <w:rPr>
          <w:b/>
          <w:bCs/>
          <w:sz w:val="32"/>
          <w:szCs w:val="32"/>
          <w:vertAlign w:val="superscript"/>
        </w:rPr>
        <w:t>1</w:t>
      </w:r>
      <w:r w:rsidRPr="00EB049C">
        <w:rPr>
          <w:rFonts w:hAnsi="宋体" w:hint="eastAsia"/>
          <w:b/>
          <w:bCs/>
          <w:sz w:val="32"/>
          <w:szCs w:val="32"/>
        </w:rPr>
        <w:t>文件</w:t>
      </w:r>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r w:rsidRPr="00EB049C">
        <w:rPr>
          <w:rFonts w:ascii="Times New Roman" w:hAnsi="Times New Roman" w:cs="Times New Roman"/>
          <w:color w:val="00B050"/>
          <w:vertAlign w:val="superscript"/>
        </w:rPr>
        <w:fldChar w:fldCharType="begin"/>
      </w:r>
      <w:r w:rsidR="008F17E4" w:rsidRPr="00EB049C">
        <w:rPr>
          <w:rFonts w:ascii="Times New Roman" w:hAnsi="Times New Roman" w:cs="Times New Roman"/>
          <w:color w:val="00B050"/>
          <w:vertAlign w:val="superscript"/>
        </w:rPr>
        <w:instrText xml:space="preserve"> TOC \o "1-3" \h \z \u </w:instrText>
      </w:r>
      <w:r w:rsidRPr="00EB049C">
        <w:rPr>
          <w:rFonts w:ascii="Times New Roman" w:hAnsi="Times New Roman" w:cs="Times New Roman"/>
          <w:color w:val="00B050"/>
          <w:vertAlign w:val="superscript"/>
        </w:rPr>
        <w:fldChar w:fldCharType="separate"/>
      </w:r>
      <w:hyperlink w:anchor="_Toc480641570" w:history="1">
        <w:r w:rsidR="008F17E4" w:rsidRPr="00EB049C">
          <w:rPr>
            <w:rStyle w:val="a3"/>
            <w:rFonts w:ascii="Times New Roman" w:hAnsi="宋体" w:hint="eastAsia"/>
            <w:b/>
            <w:noProof/>
          </w:rPr>
          <w:t>引言</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3</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571" w:history="1">
        <w:r w:rsidR="008F17E4" w:rsidRPr="00EB049C">
          <w:rPr>
            <w:rStyle w:val="a3"/>
            <w:rFonts w:ascii="Times New Roman" w:hAnsi="宋体" w:hint="eastAsia"/>
            <w:b/>
            <w:bCs/>
            <w:noProof/>
          </w:rPr>
          <w:t>一般的</w:t>
        </w:r>
        <w:r w:rsidR="008F17E4" w:rsidRPr="00EB049C">
          <w:rPr>
            <w:rStyle w:val="a3"/>
            <w:rFonts w:ascii="Times New Roman" w:hAnsi="Times New Roman"/>
            <w:b/>
            <w:bCs/>
            <w:noProof/>
          </w:rPr>
          <w:t xml:space="preserve"> IDE </w:t>
        </w:r>
        <w:r w:rsidR="008F17E4" w:rsidRPr="00EB049C">
          <w:rPr>
            <w:rStyle w:val="a3"/>
            <w:rFonts w:ascii="Times New Roman" w:hAnsi="宋体" w:hint="eastAsia"/>
            <w:b/>
            <w:bCs/>
            <w:noProof/>
          </w:rPr>
          <w:t>内容信息</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4</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572" w:history="1">
        <w:r w:rsidR="008F17E4" w:rsidRPr="00EB049C">
          <w:rPr>
            <w:rStyle w:val="a3"/>
            <w:rFonts w:ascii="Times New Roman" w:hAnsi="宋体" w:hint="eastAsia"/>
            <w:b/>
            <w:bCs/>
            <w:noProof/>
          </w:rPr>
          <w:t>既往研究的报告</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5</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3" w:history="1">
        <w:r w:rsidR="008F17E4" w:rsidRPr="00EB049C">
          <w:rPr>
            <w:rStyle w:val="a3"/>
            <w:rFonts w:ascii="Times New Roman" w:hAnsi="Times New Roman"/>
            <w:noProof/>
          </w:rPr>
          <w:t>1.</w:t>
        </w:r>
        <w:r w:rsidR="008F17E4" w:rsidRPr="00EB049C">
          <w:rPr>
            <w:rFonts w:ascii="Times New Roman" w:hAnsi="Times New Roman" w:cs="Times New Roman"/>
            <w:noProof/>
          </w:rPr>
          <w:tab/>
        </w:r>
        <w:r w:rsidR="008F17E4" w:rsidRPr="00EB049C">
          <w:rPr>
            <w:rStyle w:val="a3"/>
            <w:rFonts w:ascii="Times New Roman" w:hAnsi="宋体" w:hint="eastAsia"/>
            <w:noProof/>
          </w:rPr>
          <w:t>临床数据</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5</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4" w:history="1">
        <w:r w:rsidR="008F17E4" w:rsidRPr="00EB049C">
          <w:rPr>
            <w:rStyle w:val="a3"/>
            <w:rFonts w:ascii="Times New Roman" w:hAnsi="Times New Roman"/>
            <w:noProof/>
          </w:rPr>
          <w:t>2.</w:t>
        </w:r>
        <w:r w:rsidR="008F17E4" w:rsidRPr="00EB049C">
          <w:rPr>
            <w:rFonts w:ascii="Times New Roman" w:hAnsi="Times New Roman" w:cs="Times New Roman"/>
            <w:noProof/>
          </w:rPr>
          <w:tab/>
        </w:r>
        <w:r w:rsidR="008F17E4" w:rsidRPr="00EB049C">
          <w:rPr>
            <w:rStyle w:val="a3"/>
            <w:rFonts w:ascii="Times New Roman" w:hAnsi="宋体" w:hint="eastAsia"/>
            <w:noProof/>
          </w:rPr>
          <w:t>动物数据</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5</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5" w:history="1">
        <w:r w:rsidR="008F17E4" w:rsidRPr="00EB049C">
          <w:rPr>
            <w:rStyle w:val="a3"/>
            <w:rFonts w:ascii="Times New Roman" w:hAnsi="Times New Roman"/>
            <w:noProof/>
          </w:rPr>
          <w:t>3.</w:t>
        </w:r>
        <w:r w:rsidR="008F17E4" w:rsidRPr="00EB049C">
          <w:rPr>
            <w:rFonts w:ascii="Times New Roman" w:hAnsi="Times New Roman" w:cs="Times New Roman"/>
            <w:noProof/>
          </w:rPr>
          <w:tab/>
        </w:r>
        <w:r w:rsidR="008F17E4" w:rsidRPr="00EB049C">
          <w:rPr>
            <w:rStyle w:val="a3"/>
            <w:rFonts w:ascii="Times New Roman" w:hAnsi="宋体" w:hint="eastAsia"/>
            <w:noProof/>
          </w:rPr>
          <w:t>机械数据</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6</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6" w:history="1">
        <w:r w:rsidR="008F17E4" w:rsidRPr="00EB049C">
          <w:rPr>
            <w:rStyle w:val="a3"/>
            <w:rFonts w:ascii="Times New Roman" w:hAnsi="Times New Roman"/>
            <w:noProof/>
          </w:rPr>
          <w:t>4.</w:t>
        </w:r>
        <w:r w:rsidR="008F17E4" w:rsidRPr="00EB049C">
          <w:rPr>
            <w:rFonts w:ascii="Times New Roman" w:hAnsi="Times New Roman" w:cs="Times New Roman"/>
            <w:noProof/>
          </w:rPr>
          <w:tab/>
        </w:r>
        <w:r w:rsidR="008F17E4" w:rsidRPr="00EB049C">
          <w:rPr>
            <w:rStyle w:val="a3"/>
            <w:rFonts w:ascii="Times New Roman" w:hAnsi="宋体" w:hint="eastAsia"/>
            <w:noProof/>
          </w:rPr>
          <w:t>生物相容性</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7</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7" w:history="1">
        <w:r w:rsidR="008F17E4" w:rsidRPr="00EB049C">
          <w:rPr>
            <w:rStyle w:val="a3"/>
            <w:rFonts w:ascii="Times New Roman" w:hAnsi="Times New Roman"/>
            <w:noProof/>
          </w:rPr>
          <w:t>5.</w:t>
        </w:r>
        <w:r w:rsidR="008F17E4" w:rsidRPr="00EB049C">
          <w:rPr>
            <w:rFonts w:ascii="Times New Roman" w:hAnsi="Times New Roman" w:cs="Times New Roman"/>
            <w:noProof/>
          </w:rPr>
          <w:tab/>
        </w:r>
        <w:r w:rsidR="008F17E4" w:rsidRPr="00EB049C">
          <w:rPr>
            <w:rStyle w:val="a3"/>
            <w:rFonts w:ascii="Times New Roman" w:hAnsi="宋体" w:hint="eastAsia"/>
            <w:noProof/>
          </w:rPr>
          <w:t>参考书目</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8</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578" w:history="1">
        <w:r w:rsidR="008F17E4" w:rsidRPr="00EB049C">
          <w:rPr>
            <w:rStyle w:val="a3"/>
            <w:rFonts w:ascii="Times New Roman" w:hAnsi="宋体" w:hint="eastAsia"/>
            <w:b/>
            <w:bCs/>
            <w:noProof/>
          </w:rPr>
          <w:t>试验计划</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8</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79" w:history="1">
        <w:r w:rsidR="008F17E4" w:rsidRPr="00EB049C">
          <w:rPr>
            <w:rStyle w:val="a3"/>
            <w:rFonts w:ascii="Times New Roman" w:hAnsi="Times New Roman"/>
            <w:noProof/>
          </w:rPr>
          <w:t>1.</w:t>
        </w:r>
        <w:r w:rsidR="008F17E4" w:rsidRPr="00EB049C">
          <w:rPr>
            <w:rFonts w:ascii="Times New Roman" w:hAnsi="Times New Roman" w:cs="Times New Roman"/>
            <w:noProof/>
          </w:rPr>
          <w:tab/>
        </w:r>
        <w:r w:rsidR="008F17E4" w:rsidRPr="00EB049C">
          <w:rPr>
            <w:rStyle w:val="a3"/>
            <w:rFonts w:ascii="Times New Roman" w:hAnsi="宋体" w:hint="eastAsia"/>
            <w:noProof/>
          </w:rPr>
          <w:t>可行性</w:t>
        </w:r>
        <w:r w:rsidR="008F17E4" w:rsidRPr="00EB049C">
          <w:rPr>
            <w:rStyle w:val="a3"/>
            <w:rFonts w:ascii="Times New Roman" w:hAnsi="Times New Roman"/>
            <w:noProof/>
          </w:rPr>
          <w:t>/</w:t>
        </w:r>
        <w:r w:rsidR="00171F99" w:rsidRPr="00EB049C">
          <w:rPr>
            <w:rStyle w:val="a3"/>
            <w:rFonts w:ascii="Times New Roman" w:hAnsi="宋体" w:hint="eastAsia"/>
            <w:noProof/>
          </w:rPr>
          <w:t>前驱性研究</w:t>
        </w:r>
        <w:r w:rsidR="008F17E4" w:rsidRPr="00EB049C">
          <w:rPr>
            <w:rStyle w:val="a3"/>
            <w:rFonts w:ascii="Times New Roman" w:hAnsi="宋体" w:hint="eastAsia"/>
            <w:noProof/>
          </w:rPr>
          <w:t>与关键性研究</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_Toc480641579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8</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80" w:history="1">
        <w:r w:rsidR="008F17E4" w:rsidRPr="00EB049C">
          <w:rPr>
            <w:rStyle w:val="a3"/>
            <w:rFonts w:ascii="Times New Roman" w:hAnsi="Times New Roman"/>
            <w:noProof/>
          </w:rPr>
          <w:t>2.</w:t>
        </w:r>
        <w:r w:rsidR="008F17E4" w:rsidRPr="00EB049C">
          <w:rPr>
            <w:rFonts w:ascii="Times New Roman" w:hAnsi="Times New Roman" w:cs="Times New Roman"/>
            <w:noProof/>
          </w:rPr>
          <w:tab/>
        </w:r>
        <w:r w:rsidR="008F17E4" w:rsidRPr="00EB049C">
          <w:rPr>
            <w:rStyle w:val="a3"/>
            <w:rFonts w:ascii="Times New Roman" w:hAnsi="宋体" w:hint="eastAsia"/>
            <w:noProof/>
          </w:rPr>
          <w:t>目的</w:t>
        </w:r>
        <w:r w:rsidR="008F17E4" w:rsidRPr="00EB049C">
          <w:rPr>
            <w:rStyle w:val="a3"/>
            <w:rFonts w:ascii="Times New Roman" w:hAnsi="Times New Roman"/>
            <w:noProof/>
          </w:rPr>
          <w:t>/</w:t>
        </w:r>
        <w:r w:rsidR="008F17E4" w:rsidRPr="00EB049C">
          <w:rPr>
            <w:rStyle w:val="a3"/>
            <w:rFonts w:ascii="Times New Roman" w:hAnsi="宋体" w:hint="eastAsia"/>
            <w:noProof/>
          </w:rPr>
          <w:t>目标声明</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9</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81" w:history="1">
        <w:r w:rsidR="008F17E4" w:rsidRPr="00EB049C">
          <w:rPr>
            <w:rStyle w:val="a3"/>
            <w:rFonts w:ascii="Times New Roman" w:hAnsi="Times New Roman"/>
            <w:noProof/>
          </w:rPr>
          <w:t>3.</w:t>
        </w:r>
        <w:r w:rsidR="008F17E4" w:rsidRPr="00EB049C">
          <w:rPr>
            <w:rFonts w:ascii="Times New Roman" w:hAnsi="Times New Roman" w:cs="Times New Roman"/>
            <w:noProof/>
          </w:rPr>
          <w:tab/>
        </w:r>
        <w:r w:rsidR="008F17E4" w:rsidRPr="00EB049C">
          <w:rPr>
            <w:rStyle w:val="a3"/>
            <w:rFonts w:ascii="Times New Roman" w:hAnsi="宋体" w:hint="eastAsia"/>
            <w:noProof/>
          </w:rPr>
          <w:t>研究设计</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9</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2" w:history="1">
        <w:r w:rsidR="008F17E4" w:rsidRPr="00EB049C">
          <w:rPr>
            <w:rStyle w:val="a3"/>
            <w:rFonts w:ascii="Times New Roman" w:hAnsi="Times New Roman"/>
            <w:noProof/>
          </w:rPr>
          <w:t>3.1</w:t>
        </w:r>
        <w:r w:rsidR="008F17E4" w:rsidRPr="00EB049C">
          <w:rPr>
            <w:rFonts w:ascii="Times New Roman" w:hAnsi="Times New Roman" w:cs="Times New Roman"/>
            <w:noProof/>
          </w:rPr>
          <w:tab/>
        </w:r>
        <w:r w:rsidR="008F17E4" w:rsidRPr="00EB049C">
          <w:rPr>
            <w:rStyle w:val="a3"/>
            <w:rFonts w:ascii="Times New Roman" w:hAnsi="宋体" w:hint="eastAsia"/>
            <w:noProof/>
          </w:rPr>
          <w:t>同期对照</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10</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3" w:history="1">
        <w:r w:rsidR="008F17E4" w:rsidRPr="00EB049C">
          <w:rPr>
            <w:rStyle w:val="a3"/>
            <w:rFonts w:ascii="Times New Roman" w:hAnsi="Times New Roman"/>
            <w:noProof/>
          </w:rPr>
          <w:t>3.2</w:t>
        </w:r>
        <w:r w:rsidR="008F17E4" w:rsidRPr="00EB049C">
          <w:rPr>
            <w:rFonts w:ascii="Times New Roman" w:hAnsi="Times New Roman" w:cs="Times New Roman"/>
            <w:noProof/>
          </w:rPr>
          <w:tab/>
        </w:r>
        <w:r w:rsidR="008F17E4" w:rsidRPr="00EB049C">
          <w:rPr>
            <w:rStyle w:val="a3"/>
            <w:rFonts w:ascii="Times New Roman" w:hAnsi="宋体" w:hint="eastAsia"/>
            <w:noProof/>
          </w:rPr>
          <w:t>文献对照</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10</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84" w:history="1">
        <w:r w:rsidR="008F17E4" w:rsidRPr="00EB049C">
          <w:rPr>
            <w:rStyle w:val="a3"/>
            <w:rFonts w:ascii="Times New Roman" w:hAnsi="Times New Roman"/>
            <w:noProof/>
          </w:rPr>
          <w:t>4.</w:t>
        </w:r>
        <w:r w:rsidR="008F17E4" w:rsidRPr="00EB049C">
          <w:rPr>
            <w:rFonts w:ascii="Times New Roman" w:hAnsi="Times New Roman" w:cs="Times New Roman"/>
            <w:noProof/>
          </w:rPr>
          <w:tab/>
        </w:r>
        <w:r w:rsidR="008F17E4" w:rsidRPr="00EB049C">
          <w:rPr>
            <w:rStyle w:val="a3"/>
            <w:rFonts w:ascii="Times New Roman" w:hAnsi="宋体" w:hint="eastAsia"/>
            <w:noProof/>
          </w:rPr>
          <w:t>入选标准</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11</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5" w:history="1">
        <w:r w:rsidR="008F17E4" w:rsidRPr="00EB049C">
          <w:rPr>
            <w:rStyle w:val="a3"/>
            <w:rFonts w:ascii="Times New Roman" w:hAnsi="Times New Roman"/>
            <w:noProof/>
          </w:rPr>
          <w:t>4.1</w:t>
        </w:r>
        <w:r w:rsidR="008F17E4" w:rsidRPr="00EB049C">
          <w:rPr>
            <w:rFonts w:ascii="Times New Roman" w:hAnsi="Times New Roman" w:cs="Times New Roman"/>
            <w:noProof/>
          </w:rPr>
          <w:tab/>
        </w:r>
        <w:r w:rsidR="008F17E4" w:rsidRPr="00EB049C">
          <w:rPr>
            <w:rStyle w:val="a3"/>
            <w:rFonts w:ascii="Times New Roman" w:hAnsi="宋体" w:hint="eastAsia"/>
            <w:noProof/>
          </w:rPr>
          <w:t>腰椎间盘退行性疾病（</w:t>
        </w:r>
        <w:r w:rsidR="008F17E4" w:rsidRPr="00EB049C">
          <w:rPr>
            <w:rStyle w:val="a3"/>
            <w:rFonts w:ascii="Times New Roman" w:hAnsi="Times New Roman"/>
            <w:noProof/>
          </w:rPr>
          <w:t>DDD</w:t>
        </w:r>
        <w:r w:rsidR="008F17E4" w:rsidRPr="00EB049C">
          <w:rPr>
            <w:rStyle w:val="a3"/>
            <w:rFonts w:ascii="Times New Roman" w:hAnsi="宋体" w:hint="eastAsia"/>
            <w:noProof/>
          </w:rPr>
          <w:t>）</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12</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6" w:history="1">
        <w:r w:rsidR="008F17E4" w:rsidRPr="00EB049C">
          <w:rPr>
            <w:rStyle w:val="a3"/>
            <w:rFonts w:ascii="Times New Roman" w:hAnsi="Times New Roman"/>
            <w:noProof/>
          </w:rPr>
          <w:t>4.2</w:t>
        </w:r>
        <w:r w:rsidR="008F17E4" w:rsidRPr="00EB049C">
          <w:rPr>
            <w:rFonts w:ascii="Times New Roman" w:hAnsi="Times New Roman" w:cs="Times New Roman"/>
            <w:noProof/>
          </w:rPr>
          <w:tab/>
        </w:r>
        <w:r w:rsidR="008F17E4" w:rsidRPr="00EB049C">
          <w:rPr>
            <w:rStyle w:val="a3"/>
            <w:rFonts w:ascii="Times New Roman" w:hAnsi="宋体" w:hint="eastAsia"/>
            <w:noProof/>
          </w:rPr>
          <w:t>脊椎侧凸</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12</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7" w:history="1">
        <w:r w:rsidR="008F17E4" w:rsidRPr="00EB049C">
          <w:rPr>
            <w:rStyle w:val="a3"/>
            <w:rFonts w:ascii="Times New Roman" w:hAnsi="Times New Roman"/>
            <w:noProof/>
          </w:rPr>
          <w:t>4.3</w:t>
        </w:r>
        <w:r w:rsidR="008F17E4" w:rsidRPr="00EB049C">
          <w:rPr>
            <w:rFonts w:ascii="Times New Roman" w:hAnsi="Times New Roman" w:cs="Times New Roman"/>
            <w:noProof/>
          </w:rPr>
          <w:tab/>
        </w:r>
        <w:r w:rsidR="008F17E4" w:rsidRPr="00EB049C">
          <w:rPr>
            <w:rStyle w:val="a3"/>
            <w:rFonts w:ascii="Times New Roman" w:hAnsi="宋体" w:hint="eastAsia"/>
            <w:noProof/>
          </w:rPr>
          <w:t>继发创伤性骨折</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12</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8" w:history="1">
        <w:r w:rsidR="008F17E4" w:rsidRPr="00EB049C">
          <w:rPr>
            <w:rStyle w:val="a3"/>
            <w:rFonts w:ascii="Times New Roman" w:hAnsi="Times New Roman"/>
            <w:noProof/>
          </w:rPr>
          <w:t>4.4</w:t>
        </w:r>
        <w:r w:rsidR="008F17E4" w:rsidRPr="00EB049C">
          <w:rPr>
            <w:rFonts w:ascii="Times New Roman" w:hAnsi="Times New Roman" w:cs="Times New Roman"/>
            <w:noProof/>
          </w:rPr>
          <w:tab/>
        </w:r>
        <w:r w:rsidR="008F17E4" w:rsidRPr="00EB049C">
          <w:rPr>
            <w:rStyle w:val="a3"/>
            <w:rFonts w:ascii="Times New Roman" w:hAnsi="宋体" w:hint="eastAsia"/>
            <w:noProof/>
          </w:rPr>
          <w:t>脊椎滑脱</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13</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89" w:history="1">
        <w:r w:rsidR="008F17E4" w:rsidRPr="00EB049C">
          <w:rPr>
            <w:rStyle w:val="a3"/>
            <w:rFonts w:ascii="Times New Roman" w:hAnsi="Times New Roman"/>
            <w:noProof/>
          </w:rPr>
          <w:t>4.5</w:t>
        </w:r>
        <w:r w:rsidR="008F17E4" w:rsidRPr="00EB049C">
          <w:rPr>
            <w:rFonts w:ascii="Times New Roman" w:hAnsi="Times New Roman" w:cs="Times New Roman"/>
            <w:noProof/>
          </w:rPr>
          <w:tab/>
        </w:r>
        <w:r w:rsidR="008F17E4" w:rsidRPr="00EB049C">
          <w:rPr>
            <w:rStyle w:val="a3"/>
            <w:rFonts w:ascii="Times New Roman" w:hAnsi="宋体" w:hint="eastAsia"/>
            <w:noProof/>
          </w:rPr>
          <w:t>假关节翻修手术</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_Toc480641589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13</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90" w:history="1">
        <w:r w:rsidR="008F17E4" w:rsidRPr="00EB049C">
          <w:rPr>
            <w:rStyle w:val="a3"/>
            <w:rFonts w:ascii="Times New Roman" w:hAnsi="Times New Roman"/>
            <w:noProof/>
          </w:rPr>
          <w:t>4.6</w:t>
        </w:r>
        <w:r w:rsidR="008F17E4" w:rsidRPr="00EB049C">
          <w:rPr>
            <w:rFonts w:ascii="Times New Roman" w:hAnsi="Times New Roman" w:cs="Times New Roman"/>
            <w:noProof/>
          </w:rPr>
          <w:tab/>
        </w:r>
        <w:r w:rsidR="008F17E4" w:rsidRPr="00EB049C">
          <w:rPr>
            <w:rStyle w:val="a3"/>
            <w:rFonts w:ascii="Times New Roman" w:hAnsi="宋体" w:hint="eastAsia"/>
            <w:noProof/>
          </w:rPr>
          <w:t>颈椎间盘退行性疾病</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13</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91" w:history="1">
        <w:r w:rsidR="008F17E4" w:rsidRPr="00EB049C">
          <w:rPr>
            <w:rStyle w:val="a3"/>
            <w:rFonts w:ascii="Times New Roman" w:hAnsi="Times New Roman"/>
            <w:noProof/>
          </w:rPr>
          <w:t>5.</w:t>
        </w:r>
        <w:r w:rsidR="008F17E4" w:rsidRPr="00EB049C">
          <w:rPr>
            <w:rFonts w:ascii="Times New Roman" w:hAnsi="Times New Roman" w:cs="Times New Roman"/>
            <w:noProof/>
          </w:rPr>
          <w:tab/>
        </w:r>
        <w:r w:rsidR="008F17E4" w:rsidRPr="00EB049C">
          <w:rPr>
            <w:rStyle w:val="a3"/>
            <w:rFonts w:ascii="Times New Roman" w:hAnsi="宋体" w:hint="eastAsia"/>
            <w:noProof/>
          </w:rPr>
          <w:t>排除标准</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13</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92" w:history="1">
        <w:r w:rsidR="008F17E4" w:rsidRPr="00EB049C">
          <w:rPr>
            <w:rStyle w:val="a3"/>
            <w:rFonts w:ascii="Times New Roman" w:hAnsi="Times New Roman"/>
            <w:noProof/>
          </w:rPr>
          <w:t>6.</w:t>
        </w:r>
        <w:r w:rsidR="008F17E4" w:rsidRPr="00EB049C">
          <w:rPr>
            <w:rFonts w:ascii="Times New Roman" w:hAnsi="Times New Roman" w:cs="Times New Roman"/>
            <w:noProof/>
          </w:rPr>
          <w:tab/>
        </w:r>
        <w:r w:rsidR="00036E96" w:rsidRPr="00EB049C">
          <w:rPr>
            <w:rStyle w:val="a3"/>
            <w:rFonts w:ascii="Times New Roman" w:hAnsi="宋体" w:hint="eastAsia"/>
            <w:noProof/>
          </w:rPr>
          <w:t>研究中心</w:t>
        </w:r>
        <w:r w:rsidR="008F17E4" w:rsidRPr="00EB049C">
          <w:rPr>
            <w:rStyle w:val="a3"/>
            <w:rFonts w:ascii="Times New Roman" w:hAnsi="Times New Roman"/>
            <w:noProof/>
          </w:rPr>
          <w:t>/</w:t>
        </w:r>
        <w:r w:rsidR="008F17E4" w:rsidRPr="00EB049C">
          <w:rPr>
            <w:rStyle w:val="a3"/>
            <w:rFonts w:ascii="Times New Roman" w:hAnsi="宋体" w:hint="eastAsia"/>
            <w:noProof/>
          </w:rPr>
          <w:t>研究者</w:t>
        </w:r>
        <w:r w:rsidR="008F17E4" w:rsidRPr="00EB049C">
          <w:rPr>
            <w:rStyle w:val="a3"/>
            <w:rFonts w:ascii="Times New Roman" w:hAnsi="Times New Roman"/>
            <w:noProof/>
          </w:rPr>
          <w:t>/</w:t>
        </w:r>
        <w:r w:rsidR="008F17E4" w:rsidRPr="00EB049C">
          <w:rPr>
            <w:rStyle w:val="a3"/>
            <w:rFonts w:ascii="Times New Roman" w:hAnsi="宋体" w:hint="eastAsia"/>
            <w:noProof/>
          </w:rPr>
          <w:t>患者的数量</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14</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93" w:history="1">
        <w:r w:rsidR="008F17E4" w:rsidRPr="00EB049C">
          <w:rPr>
            <w:rStyle w:val="a3"/>
            <w:rFonts w:ascii="Times New Roman" w:hAnsi="Times New Roman"/>
            <w:noProof/>
          </w:rPr>
          <w:t>7.</w:t>
        </w:r>
        <w:r w:rsidR="008F17E4" w:rsidRPr="00EB049C">
          <w:rPr>
            <w:rFonts w:ascii="Times New Roman" w:hAnsi="Times New Roman" w:cs="Times New Roman"/>
            <w:noProof/>
          </w:rPr>
          <w:tab/>
        </w:r>
        <w:r w:rsidR="008F17E4" w:rsidRPr="00EB049C">
          <w:rPr>
            <w:rStyle w:val="a3"/>
            <w:rFonts w:ascii="Times New Roman" w:hAnsi="宋体" w:hint="eastAsia"/>
            <w:noProof/>
          </w:rPr>
          <w:t>研究持续时间</w:t>
        </w:r>
        <w:r w:rsidR="008F17E4" w:rsidRPr="00EB049C">
          <w:rPr>
            <w:rStyle w:val="a3"/>
            <w:rFonts w:ascii="Times New Roman" w:hAnsi="Times New Roman"/>
            <w:noProof/>
          </w:rPr>
          <w:t>/</w:t>
        </w:r>
        <w:r w:rsidR="008F17E4" w:rsidRPr="00EB049C">
          <w:rPr>
            <w:rStyle w:val="a3"/>
            <w:rFonts w:ascii="Times New Roman" w:hAnsi="宋体" w:hint="eastAsia"/>
            <w:noProof/>
          </w:rPr>
          <w:t>随访时间表</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14</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594" w:history="1">
        <w:r w:rsidR="008F17E4" w:rsidRPr="00EB049C">
          <w:rPr>
            <w:rStyle w:val="a3"/>
            <w:rFonts w:ascii="Times New Roman" w:hAnsi="Times New Roman"/>
            <w:noProof/>
          </w:rPr>
          <w:t>8.</w:t>
        </w:r>
        <w:r w:rsidR="008F17E4" w:rsidRPr="00EB049C">
          <w:rPr>
            <w:rFonts w:ascii="Times New Roman" w:hAnsi="Times New Roman" w:cs="Times New Roman"/>
            <w:noProof/>
          </w:rPr>
          <w:tab/>
        </w:r>
        <w:r w:rsidR="008F17E4" w:rsidRPr="00EB049C">
          <w:rPr>
            <w:rStyle w:val="a3"/>
            <w:rFonts w:ascii="Times New Roman" w:hAnsi="宋体" w:hint="eastAsia"/>
            <w:noProof/>
          </w:rPr>
          <w:t>有效性评价</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15</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Style w:val="a3"/>
          <w:rFonts w:ascii="Times New Roman" w:hAnsi="Times New Roman"/>
          <w:noProof/>
        </w:rPr>
      </w:pPr>
      <w:hyperlink w:anchor="_Toc480641595" w:history="1">
        <w:r w:rsidR="008F17E4" w:rsidRPr="00EB049C">
          <w:rPr>
            <w:rStyle w:val="a3"/>
            <w:rFonts w:ascii="Times New Roman" w:hAnsi="Times New Roman"/>
            <w:noProof/>
          </w:rPr>
          <w:t>8.1</w:t>
        </w:r>
        <w:r w:rsidR="008F17E4" w:rsidRPr="00EB049C">
          <w:rPr>
            <w:rFonts w:ascii="Times New Roman" w:hAnsi="Times New Roman" w:cs="Times New Roman"/>
            <w:noProof/>
          </w:rPr>
          <w:tab/>
        </w:r>
        <w:r w:rsidR="008F17E4" w:rsidRPr="00EB049C">
          <w:rPr>
            <w:rStyle w:val="a3"/>
            <w:rFonts w:ascii="Times New Roman" w:hAnsi="宋体" w:hint="eastAsia"/>
            <w:noProof/>
          </w:rPr>
          <w:t>放射学成功</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15</w:t>
        </w:r>
        <w:r w:rsidRPr="00EB049C">
          <w:rPr>
            <w:rFonts w:ascii="Times New Roman" w:hAnsi="Times New Roman" w:cs="Times New Roman"/>
            <w:noProof/>
            <w:webHidden/>
          </w:rPr>
          <w:fldChar w:fldCharType="end"/>
        </w:r>
      </w:hyperlink>
    </w:p>
    <w:p w:rsidR="008F17E4" w:rsidRPr="00EB049C" w:rsidRDefault="008F17E4" w:rsidP="005627F4">
      <w:pPr>
        <w:pStyle w:val="3"/>
        <w:tabs>
          <w:tab w:val="left" w:pos="1470"/>
          <w:tab w:val="right" w:leader="dot" w:pos="8303"/>
        </w:tabs>
        <w:spacing w:line="300" w:lineRule="auto"/>
        <w:ind w:left="1260" w:hangingChars="200" w:hanging="420"/>
        <w:rPr>
          <w:rStyle w:val="a3"/>
          <w:rFonts w:ascii="Times New Roman" w:hAnsi="宋体"/>
          <w:noProof/>
          <w:color w:val="auto"/>
          <w:u w:val="none"/>
        </w:rPr>
      </w:pPr>
      <w:r w:rsidRPr="00EB049C">
        <w:rPr>
          <w:rStyle w:val="a3"/>
          <w:rFonts w:ascii="Times New Roman" w:hAnsi="宋体"/>
          <w:noProof/>
          <w:color w:val="auto"/>
          <w:u w:val="none"/>
        </w:rPr>
        <w:t>8.1.1</w:t>
      </w:r>
      <w:r w:rsidRPr="00EB049C">
        <w:rPr>
          <w:rStyle w:val="a3"/>
          <w:rFonts w:ascii="Times New Roman" w:hAnsi="宋体"/>
          <w:noProof/>
          <w:color w:val="auto"/>
          <w:u w:val="none"/>
        </w:rPr>
        <w:tab/>
      </w:r>
      <w:r w:rsidRPr="00EB049C">
        <w:rPr>
          <w:rStyle w:val="a3"/>
          <w:rFonts w:ascii="Times New Roman" w:hint="eastAsia"/>
          <w:noProof/>
          <w:color w:val="auto"/>
          <w:u w:val="none"/>
        </w:rPr>
        <w:t>融合状态</w:t>
      </w:r>
      <w:r w:rsidRPr="00EB049C">
        <w:rPr>
          <w:rStyle w:val="a3"/>
          <w:rFonts w:ascii="Times New Roman"/>
          <w:noProof/>
          <w:color w:val="auto"/>
          <w:u w:val="none"/>
        </w:rPr>
        <w:tab/>
        <w:t>16</w:t>
      </w:r>
    </w:p>
    <w:p w:rsidR="008F17E4" w:rsidRPr="00EB049C" w:rsidRDefault="008F17E4" w:rsidP="005627F4">
      <w:pPr>
        <w:pStyle w:val="3"/>
        <w:tabs>
          <w:tab w:val="left" w:pos="1470"/>
          <w:tab w:val="right" w:leader="dot" w:pos="8303"/>
        </w:tabs>
        <w:spacing w:line="300" w:lineRule="auto"/>
        <w:ind w:left="1260" w:hangingChars="200" w:hanging="420"/>
        <w:rPr>
          <w:rStyle w:val="a3"/>
          <w:rFonts w:ascii="Times New Roman" w:hAnsi="宋体"/>
          <w:noProof/>
          <w:color w:val="auto"/>
          <w:u w:val="none"/>
        </w:rPr>
      </w:pPr>
      <w:r w:rsidRPr="00EB049C">
        <w:rPr>
          <w:rStyle w:val="a3"/>
          <w:rFonts w:ascii="Times New Roman" w:hAnsi="宋体"/>
          <w:noProof/>
          <w:color w:val="auto"/>
          <w:u w:val="none"/>
        </w:rPr>
        <w:t>8.1.2</w:t>
      </w:r>
      <w:r w:rsidRPr="00EB049C">
        <w:rPr>
          <w:rStyle w:val="a3"/>
          <w:rFonts w:ascii="Times New Roman" w:hAnsi="宋体"/>
          <w:noProof/>
          <w:color w:val="auto"/>
          <w:u w:val="none"/>
        </w:rPr>
        <w:tab/>
      </w:r>
      <w:r w:rsidRPr="00EB049C">
        <w:rPr>
          <w:rStyle w:val="a3"/>
          <w:rFonts w:ascii="Times New Roman" w:hint="eastAsia"/>
          <w:noProof/>
          <w:color w:val="auto"/>
          <w:u w:val="none"/>
        </w:rPr>
        <w:t>非融合系统的放射学成功</w:t>
      </w:r>
      <w:r w:rsidRPr="00EB049C">
        <w:rPr>
          <w:rStyle w:val="a3"/>
          <w:rFonts w:ascii="Times New Roman"/>
          <w:noProof/>
          <w:color w:val="auto"/>
          <w:u w:val="none"/>
        </w:rPr>
        <w:tab/>
        <w:t>17</w:t>
      </w:r>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96" w:history="1">
        <w:r w:rsidR="008F17E4" w:rsidRPr="00EB049C">
          <w:rPr>
            <w:rStyle w:val="a3"/>
            <w:rFonts w:ascii="Times New Roman" w:hAnsi="Times New Roman"/>
            <w:noProof/>
            <w:color w:val="auto"/>
            <w:u w:val="none"/>
          </w:rPr>
          <w:t>8.2</w:t>
        </w:r>
        <w:r w:rsidR="008F17E4" w:rsidRPr="00EB049C">
          <w:rPr>
            <w:rFonts w:ascii="Times New Roman" w:hAnsi="Times New Roman" w:cs="Times New Roman"/>
            <w:noProof/>
          </w:rPr>
          <w:tab/>
        </w:r>
        <w:r w:rsidR="008F17E4" w:rsidRPr="00EB049C">
          <w:rPr>
            <w:rStyle w:val="a3"/>
            <w:rFonts w:ascii="Times New Roman" w:hAnsi="宋体" w:hint="eastAsia"/>
            <w:noProof/>
            <w:color w:val="auto"/>
            <w:u w:val="none"/>
          </w:rPr>
          <w:t>疼痛和功能</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17</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Style w:val="a3"/>
          <w:rFonts w:ascii="Times New Roman" w:hAnsi="Times New Roman"/>
          <w:noProof/>
          <w:color w:val="auto"/>
          <w:u w:val="none"/>
        </w:rPr>
      </w:pPr>
      <w:hyperlink w:anchor="_Toc480641597" w:history="1">
        <w:r w:rsidR="008F17E4" w:rsidRPr="00EB049C">
          <w:rPr>
            <w:rStyle w:val="a3"/>
            <w:rFonts w:ascii="Times New Roman" w:hAnsi="Times New Roman"/>
            <w:noProof/>
            <w:color w:val="auto"/>
            <w:u w:val="none"/>
          </w:rPr>
          <w:t>8.3</w:t>
        </w:r>
        <w:r w:rsidR="008F17E4" w:rsidRPr="00EB049C">
          <w:rPr>
            <w:rFonts w:ascii="Times New Roman" w:hAnsi="Times New Roman" w:cs="Times New Roman"/>
            <w:noProof/>
          </w:rPr>
          <w:tab/>
        </w:r>
        <w:r w:rsidR="008F17E4" w:rsidRPr="00EB049C">
          <w:rPr>
            <w:rStyle w:val="a3"/>
            <w:rFonts w:ascii="Times New Roman" w:hAnsi="宋体" w:hint="eastAsia"/>
            <w:noProof/>
            <w:color w:val="auto"/>
            <w:u w:val="none"/>
          </w:rPr>
          <w:t>椎间盘高度评估</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18</w:t>
        </w:r>
        <w:r w:rsidRPr="00EB049C">
          <w:rPr>
            <w:rFonts w:ascii="Times New Roman" w:hAnsi="Times New Roman" w:cs="Times New Roman"/>
            <w:noProof/>
            <w:webHidden/>
          </w:rPr>
          <w:fldChar w:fldCharType="end"/>
        </w:r>
      </w:hyperlink>
    </w:p>
    <w:p w:rsidR="008F17E4" w:rsidRPr="00EB049C" w:rsidRDefault="008F17E4" w:rsidP="005627F4">
      <w:pPr>
        <w:pStyle w:val="3"/>
        <w:tabs>
          <w:tab w:val="left" w:pos="1470"/>
          <w:tab w:val="right" w:leader="dot" w:pos="8303"/>
        </w:tabs>
        <w:spacing w:line="300" w:lineRule="auto"/>
        <w:ind w:left="1260" w:hangingChars="200" w:hanging="420"/>
        <w:rPr>
          <w:rStyle w:val="a3"/>
          <w:rFonts w:ascii="Times New Roman" w:hAnsi="宋体"/>
          <w:noProof/>
          <w:color w:val="auto"/>
          <w:u w:val="none"/>
        </w:rPr>
      </w:pPr>
      <w:r w:rsidRPr="00EB049C">
        <w:rPr>
          <w:rStyle w:val="a3"/>
          <w:rFonts w:ascii="Times New Roman" w:hAnsi="宋体"/>
          <w:noProof/>
          <w:color w:val="auto"/>
          <w:u w:val="none"/>
        </w:rPr>
        <w:t>8.3.1</w:t>
      </w:r>
      <w:r w:rsidRPr="00EB049C">
        <w:rPr>
          <w:rStyle w:val="a3"/>
          <w:rFonts w:ascii="Times New Roman" w:hAnsi="宋体"/>
          <w:noProof/>
          <w:color w:val="auto"/>
          <w:u w:val="none"/>
        </w:rPr>
        <w:tab/>
      </w:r>
      <w:r w:rsidRPr="00EB049C">
        <w:rPr>
          <w:rStyle w:val="a3"/>
          <w:rFonts w:ascii="Times New Roman" w:hint="eastAsia"/>
          <w:noProof/>
          <w:color w:val="auto"/>
          <w:u w:val="none"/>
        </w:rPr>
        <w:t>椎间盘高度评估</w:t>
      </w:r>
      <w:r w:rsidRPr="00EB049C">
        <w:rPr>
          <w:rStyle w:val="a3"/>
          <w:rFonts w:ascii="Times New Roman"/>
          <w:noProof/>
          <w:color w:val="auto"/>
          <w:u w:val="none"/>
        </w:rPr>
        <w:tab/>
        <w:t>18</w:t>
      </w:r>
    </w:p>
    <w:p w:rsidR="008F17E4" w:rsidRPr="00EB049C" w:rsidRDefault="008F17E4" w:rsidP="005627F4">
      <w:pPr>
        <w:pStyle w:val="3"/>
        <w:tabs>
          <w:tab w:val="left" w:pos="1470"/>
          <w:tab w:val="right" w:leader="dot" w:pos="8303"/>
        </w:tabs>
        <w:spacing w:line="300" w:lineRule="auto"/>
        <w:ind w:left="1260" w:hangingChars="200" w:hanging="420"/>
        <w:rPr>
          <w:rStyle w:val="a3"/>
          <w:rFonts w:ascii="Times New Roman"/>
          <w:noProof/>
          <w:color w:val="auto"/>
          <w:u w:val="none"/>
        </w:rPr>
      </w:pPr>
      <w:r w:rsidRPr="00EB049C">
        <w:rPr>
          <w:rStyle w:val="a3"/>
          <w:rFonts w:ascii="Times New Roman"/>
          <w:noProof/>
          <w:color w:val="auto"/>
          <w:u w:val="none"/>
        </w:rPr>
        <w:t>8.3.2</w:t>
      </w:r>
      <w:r w:rsidRPr="00EB049C">
        <w:rPr>
          <w:rStyle w:val="a3"/>
          <w:rFonts w:ascii="Times New Roman"/>
          <w:noProof/>
          <w:color w:val="auto"/>
          <w:u w:val="none"/>
        </w:rPr>
        <w:tab/>
      </w:r>
      <w:r w:rsidRPr="00EB049C">
        <w:rPr>
          <w:rStyle w:val="a3"/>
          <w:rFonts w:ascii="Times New Roman" w:hint="eastAsia"/>
          <w:noProof/>
          <w:color w:val="auto"/>
          <w:u w:val="none"/>
        </w:rPr>
        <w:t>椎体高度评估</w:t>
      </w:r>
      <w:r w:rsidRPr="00EB049C">
        <w:rPr>
          <w:rStyle w:val="a3"/>
          <w:rFonts w:ascii="Times New Roman"/>
          <w:noProof/>
          <w:color w:val="auto"/>
          <w:u w:val="none"/>
        </w:rPr>
        <w:tab/>
        <w:t>18</w:t>
      </w:r>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598" w:history="1">
        <w:r w:rsidR="008F17E4" w:rsidRPr="00EB049C">
          <w:rPr>
            <w:rStyle w:val="a3"/>
            <w:rFonts w:ascii="Times New Roman" w:hAnsi="Times New Roman"/>
            <w:noProof/>
            <w:color w:val="auto"/>
            <w:u w:val="none"/>
          </w:rPr>
          <w:t>8.4</w:t>
        </w:r>
        <w:r w:rsidR="008F17E4" w:rsidRPr="00EB049C">
          <w:rPr>
            <w:rFonts w:ascii="Times New Roman" w:hAnsi="Times New Roman" w:cs="Times New Roman"/>
            <w:noProof/>
          </w:rPr>
          <w:tab/>
        </w:r>
        <w:r w:rsidR="008F17E4" w:rsidRPr="00EB049C">
          <w:rPr>
            <w:rStyle w:val="a3"/>
            <w:rFonts w:ascii="Times New Roman" w:hAnsi="宋体" w:hint="eastAsia"/>
            <w:noProof/>
            <w:color w:val="auto"/>
            <w:u w:val="none"/>
          </w:rPr>
          <w:t>健康相关生活质量</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_Toc480641598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18</w:t>
        </w:r>
        <w:r w:rsidRPr="00EB049C">
          <w:rPr>
            <w:rFonts w:ascii="Times New Roman" w:hAnsi="Times New Roman" w:cs="Times New Roman"/>
            <w:noProof/>
            <w:webHidden/>
          </w:rPr>
          <w:fldChar w:fldCharType="end"/>
        </w:r>
      </w:hyperlink>
    </w:p>
    <w:p w:rsidR="008F17E4" w:rsidRPr="00EB049C" w:rsidRDefault="00045AE8" w:rsidP="005627F4">
      <w:pPr>
        <w:pStyle w:val="1"/>
        <w:tabs>
          <w:tab w:val="left" w:pos="1050"/>
          <w:tab w:val="right" w:leader="dot" w:pos="8303"/>
        </w:tabs>
        <w:spacing w:line="300" w:lineRule="auto"/>
        <w:ind w:leftChars="200" w:left="840" w:hangingChars="200" w:hanging="420"/>
        <w:rPr>
          <w:rFonts w:ascii="Times New Roman" w:hAnsi="Times New Roman" w:cs="Times New Roman"/>
          <w:noProof/>
          <w:color w:val="auto"/>
        </w:rPr>
      </w:pPr>
      <w:hyperlink w:anchor="_Toc480641599" w:history="1">
        <w:r w:rsidR="008F17E4" w:rsidRPr="00EB049C">
          <w:rPr>
            <w:rStyle w:val="a3"/>
            <w:rFonts w:ascii="Times New Roman" w:hAnsi="Times New Roman"/>
            <w:noProof/>
            <w:color w:val="auto"/>
            <w:u w:val="none"/>
          </w:rPr>
          <w:t>9.</w:t>
        </w:r>
        <w:r w:rsidR="008F17E4" w:rsidRPr="00EB049C">
          <w:rPr>
            <w:rFonts w:ascii="Times New Roman" w:hAnsi="Times New Roman" w:cs="Times New Roman"/>
            <w:noProof/>
            <w:color w:val="auto"/>
          </w:rPr>
          <w:tab/>
        </w:r>
        <w:r w:rsidR="008F17E4" w:rsidRPr="00EB049C">
          <w:rPr>
            <w:rStyle w:val="a3"/>
            <w:rFonts w:ascii="Times New Roman" w:hAnsi="宋体" w:hint="eastAsia"/>
            <w:noProof/>
            <w:color w:val="auto"/>
            <w:u w:val="none"/>
          </w:rPr>
          <w:t>安全性评价</w:t>
        </w:r>
        <w:r w:rsidR="008F17E4" w:rsidRPr="00EB049C">
          <w:rPr>
            <w:rFonts w:ascii="Times New Roman" w:hAnsi="Times New Roman" w:cs="Times New Roman"/>
            <w:noProof/>
            <w:webHidden/>
            <w:color w:val="auto"/>
          </w:rPr>
          <w:tab/>
        </w:r>
        <w:r w:rsidRPr="00EB049C">
          <w:rPr>
            <w:rFonts w:ascii="Times New Roman" w:hAnsi="Times New Roman" w:cs="Times New Roman"/>
            <w:noProof/>
            <w:webHidden/>
            <w:color w:val="auto"/>
          </w:rPr>
          <w:fldChar w:fldCharType="begin"/>
        </w:r>
        <w:r w:rsidR="008F17E4" w:rsidRPr="00EB049C">
          <w:rPr>
            <w:rFonts w:ascii="Times New Roman" w:hAnsi="Times New Roman" w:cs="Times New Roman"/>
            <w:noProof/>
            <w:webHidden/>
            <w:color w:val="auto"/>
          </w:rPr>
          <w:instrText xml:space="preserve"> PAGEREF _Toc480641599 \h </w:instrText>
        </w:r>
        <w:r w:rsidRPr="00EB049C">
          <w:rPr>
            <w:rFonts w:ascii="Times New Roman" w:hAnsi="Times New Roman" w:cs="Times New Roman"/>
            <w:noProof/>
            <w:webHidden/>
            <w:color w:val="auto"/>
          </w:rPr>
        </w:r>
        <w:r w:rsidRPr="00EB049C">
          <w:rPr>
            <w:rFonts w:ascii="Times New Roman" w:hAnsi="Times New Roman" w:cs="Times New Roman"/>
            <w:noProof/>
            <w:webHidden/>
            <w:color w:val="auto"/>
          </w:rPr>
          <w:fldChar w:fldCharType="separate"/>
        </w:r>
        <w:r w:rsidR="008F17E4" w:rsidRPr="00EB049C">
          <w:rPr>
            <w:rFonts w:ascii="Times New Roman" w:hAnsi="Times New Roman" w:cs="Times New Roman"/>
            <w:noProof/>
            <w:webHidden/>
            <w:color w:val="auto"/>
          </w:rPr>
          <w:t>18</w:t>
        </w:r>
        <w:r w:rsidRPr="00EB049C">
          <w:rPr>
            <w:rFonts w:ascii="Times New Roman" w:hAnsi="Times New Roman" w:cs="Times New Roman"/>
            <w:noProof/>
            <w:webHidden/>
            <w:color w:val="auto"/>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600" w:history="1">
        <w:r w:rsidR="008F17E4" w:rsidRPr="00EB049C">
          <w:rPr>
            <w:rStyle w:val="a3"/>
            <w:rFonts w:ascii="Times New Roman" w:hAnsi="Times New Roman"/>
            <w:noProof/>
          </w:rPr>
          <w:t>9.1</w:t>
        </w:r>
        <w:r w:rsidR="008F17E4" w:rsidRPr="00EB049C">
          <w:rPr>
            <w:rFonts w:ascii="Times New Roman" w:hAnsi="Times New Roman" w:cs="Times New Roman"/>
            <w:noProof/>
          </w:rPr>
          <w:tab/>
        </w:r>
        <w:r w:rsidR="008F17E4" w:rsidRPr="00EB049C">
          <w:rPr>
            <w:rStyle w:val="a3"/>
            <w:rFonts w:ascii="Times New Roman" w:hAnsi="宋体" w:hint="eastAsia"/>
            <w:noProof/>
          </w:rPr>
          <w:t>后续手术干预</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19</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601" w:history="1">
        <w:r w:rsidR="008F17E4" w:rsidRPr="00EB049C">
          <w:rPr>
            <w:rStyle w:val="a3"/>
            <w:rFonts w:ascii="Times New Roman" w:hAnsi="Times New Roman"/>
            <w:noProof/>
          </w:rPr>
          <w:t>9.2</w:t>
        </w:r>
        <w:r w:rsidR="008F17E4" w:rsidRPr="00EB049C">
          <w:rPr>
            <w:rFonts w:ascii="Times New Roman" w:hAnsi="Times New Roman" w:cs="Times New Roman"/>
            <w:noProof/>
          </w:rPr>
          <w:tab/>
        </w:r>
        <w:r w:rsidR="008F17E4" w:rsidRPr="00EB049C">
          <w:rPr>
            <w:rStyle w:val="a3"/>
            <w:rFonts w:ascii="Times New Roman" w:hAnsi="宋体" w:hint="eastAsia"/>
            <w:noProof/>
          </w:rPr>
          <w:t>神经功能状况</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19</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02" w:history="1">
        <w:r w:rsidR="008F17E4" w:rsidRPr="00EB049C">
          <w:rPr>
            <w:rStyle w:val="a3"/>
            <w:rFonts w:ascii="Times New Roman" w:hAnsi="Times New Roman"/>
            <w:noProof/>
          </w:rPr>
          <w:t>10.</w:t>
        </w:r>
        <w:r w:rsidR="008F17E4" w:rsidRPr="00EB049C">
          <w:rPr>
            <w:rFonts w:ascii="Times New Roman" w:hAnsi="Times New Roman" w:cs="Times New Roman"/>
            <w:noProof/>
          </w:rPr>
          <w:tab/>
        </w:r>
        <w:r w:rsidR="008F17E4" w:rsidRPr="00EB049C">
          <w:rPr>
            <w:rStyle w:val="a3"/>
            <w:rFonts w:ascii="Times New Roman" w:hAnsi="宋体" w:hint="eastAsia"/>
            <w:noProof/>
          </w:rPr>
          <w:t>患者</w:t>
        </w:r>
        <w:r w:rsidR="008F17E4" w:rsidRPr="00EB049C">
          <w:rPr>
            <w:rStyle w:val="a3"/>
            <w:rFonts w:ascii="Times New Roman" w:hAnsi="Times New Roman"/>
            <w:noProof/>
          </w:rPr>
          <w:t>/</w:t>
        </w:r>
        <w:r w:rsidR="008F17E4" w:rsidRPr="00EB049C">
          <w:rPr>
            <w:rStyle w:val="a3"/>
            <w:rFonts w:ascii="Times New Roman" w:hAnsi="宋体" w:hint="eastAsia"/>
            <w:noProof/>
          </w:rPr>
          <w:t>研究成功</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20</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03" w:history="1">
        <w:r w:rsidR="008F17E4" w:rsidRPr="00EB049C">
          <w:rPr>
            <w:rStyle w:val="a3"/>
            <w:rFonts w:ascii="Times New Roman" w:hAnsi="Times New Roman"/>
            <w:noProof/>
          </w:rPr>
          <w:t>10.1</w:t>
        </w:r>
        <w:r w:rsidR="008F17E4" w:rsidRPr="00EB049C">
          <w:rPr>
            <w:rFonts w:ascii="Times New Roman" w:hAnsi="Times New Roman" w:cs="Times New Roman"/>
            <w:noProof/>
          </w:rPr>
          <w:tab/>
        </w:r>
        <w:r w:rsidR="008F17E4" w:rsidRPr="00EB049C">
          <w:rPr>
            <w:rStyle w:val="a3"/>
            <w:rFonts w:ascii="Times New Roman" w:hAnsi="宋体" w:hint="eastAsia"/>
            <w:noProof/>
          </w:rPr>
          <w:t>患者成功</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20</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04" w:history="1">
        <w:r w:rsidR="008F17E4" w:rsidRPr="00EB049C">
          <w:rPr>
            <w:rStyle w:val="a3"/>
            <w:rFonts w:ascii="Times New Roman" w:hAnsi="Times New Roman"/>
            <w:noProof/>
          </w:rPr>
          <w:t>10.2</w:t>
        </w:r>
        <w:r w:rsidR="008F17E4" w:rsidRPr="00EB049C">
          <w:rPr>
            <w:rFonts w:ascii="Times New Roman" w:hAnsi="Times New Roman" w:cs="Times New Roman"/>
            <w:noProof/>
          </w:rPr>
          <w:tab/>
        </w:r>
        <w:r w:rsidR="008F17E4" w:rsidRPr="00EB049C">
          <w:rPr>
            <w:rStyle w:val="a3"/>
            <w:rFonts w:ascii="Times New Roman" w:hAnsi="宋体" w:hint="eastAsia"/>
            <w:noProof/>
          </w:rPr>
          <w:t>研究成功</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20</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05" w:history="1">
        <w:r w:rsidR="008F17E4" w:rsidRPr="00EB049C">
          <w:rPr>
            <w:rStyle w:val="a3"/>
            <w:rFonts w:ascii="Times New Roman" w:hAnsi="Times New Roman"/>
            <w:noProof/>
          </w:rPr>
          <w:t>11.</w:t>
        </w:r>
        <w:r w:rsidR="008F17E4" w:rsidRPr="00EB049C">
          <w:rPr>
            <w:rFonts w:ascii="Times New Roman" w:hAnsi="Times New Roman" w:cs="Times New Roman"/>
            <w:noProof/>
          </w:rPr>
          <w:tab/>
        </w:r>
        <w:r w:rsidR="008F17E4" w:rsidRPr="00EB049C">
          <w:rPr>
            <w:rStyle w:val="a3"/>
            <w:rFonts w:ascii="Times New Roman" w:hAnsi="宋体" w:hint="eastAsia"/>
            <w:noProof/>
          </w:rPr>
          <w:t>统计分析</w:t>
        </w:r>
        <w:r w:rsidR="008F17E4" w:rsidRPr="00EB049C">
          <w:rPr>
            <w:rStyle w:val="a3"/>
            <w:rFonts w:ascii="Times New Roman" w:hAnsi="Times New Roman"/>
            <w:noProof/>
          </w:rPr>
          <w:t>/</w:t>
        </w:r>
        <w:r w:rsidR="008F17E4" w:rsidRPr="00EB049C">
          <w:rPr>
            <w:rStyle w:val="a3"/>
            <w:rFonts w:ascii="Times New Roman" w:hAnsi="宋体" w:hint="eastAsia"/>
            <w:noProof/>
          </w:rPr>
          <w:t>数据表示</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21</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606" w:history="1">
        <w:r w:rsidR="008F17E4" w:rsidRPr="00EB049C">
          <w:rPr>
            <w:rStyle w:val="a3"/>
            <w:rFonts w:ascii="Times New Roman" w:hAnsi="Times New Roman"/>
            <w:noProof/>
          </w:rPr>
          <w:t>11.1</w:t>
        </w:r>
        <w:r w:rsidR="008F17E4" w:rsidRPr="00EB049C">
          <w:rPr>
            <w:rFonts w:ascii="Times New Roman" w:hAnsi="Times New Roman" w:cs="Times New Roman"/>
            <w:noProof/>
          </w:rPr>
          <w:tab/>
        </w:r>
        <w:r w:rsidR="008F17E4" w:rsidRPr="00EB049C">
          <w:rPr>
            <w:rStyle w:val="a3"/>
            <w:rFonts w:ascii="Times New Roman" w:hAnsi="宋体" w:hint="eastAsia"/>
            <w:noProof/>
          </w:rPr>
          <w:t>统计分析</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21</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470"/>
          <w:tab w:val="right" w:leader="dot" w:pos="8303"/>
        </w:tabs>
        <w:spacing w:line="300" w:lineRule="auto"/>
        <w:ind w:left="1260" w:hangingChars="200" w:hanging="420"/>
        <w:rPr>
          <w:rFonts w:ascii="Times New Roman" w:hAnsi="Times New Roman" w:cs="Times New Roman"/>
          <w:noProof/>
        </w:rPr>
      </w:pPr>
      <w:hyperlink w:anchor="_Toc480641607" w:history="1">
        <w:r w:rsidR="008F17E4" w:rsidRPr="00EB049C">
          <w:rPr>
            <w:rStyle w:val="a3"/>
            <w:rFonts w:ascii="Times New Roman" w:hAnsi="Times New Roman"/>
            <w:noProof/>
          </w:rPr>
          <w:t>11.2</w:t>
        </w:r>
        <w:r w:rsidR="008F17E4" w:rsidRPr="00EB049C">
          <w:rPr>
            <w:rFonts w:ascii="Times New Roman" w:hAnsi="Times New Roman" w:cs="Times New Roman"/>
            <w:noProof/>
          </w:rPr>
          <w:tab/>
        </w:r>
        <w:r w:rsidR="008F17E4" w:rsidRPr="00EB049C">
          <w:rPr>
            <w:rStyle w:val="a3"/>
            <w:rFonts w:ascii="Times New Roman" w:hAnsi="宋体" w:hint="eastAsia"/>
            <w:noProof/>
          </w:rPr>
          <w:t>数据显示</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22</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08" w:history="1">
        <w:r w:rsidR="008F17E4" w:rsidRPr="00EB049C">
          <w:rPr>
            <w:rStyle w:val="a3"/>
            <w:rFonts w:ascii="Times New Roman" w:hAnsi="Times New Roman"/>
            <w:noProof/>
          </w:rPr>
          <w:t>12.</w:t>
        </w:r>
        <w:r w:rsidR="008F17E4" w:rsidRPr="00EB049C">
          <w:rPr>
            <w:rFonts w:ascii="Times New Roman" w:hAnsi="Times New Roman" w:cs="Times New Roman"/>
            <w:noProof/>
          </w:rPr>
          <w:tab/>
        </w:r>
        <w:r w:rsidR="008F17E4" w:rsidRPr="00EB049C">
          <w:rPr>
            <w:rStyle w:val="a3"/>
            <w:rFonts w:ascii="Times New Roman" w:hAnsi="宋体" w:hint="eastAsia"/>
            <w:noProof/>
          </w:rPr>
          <w:t>患者报告表</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23</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09" w:history="1">
        <w:r w:rsidR="008F17E4" w:rsidRPr="00EB049C">
          <w:rPr>
            <w:rStyle w:val="a3"/>
            <w:rFonts w:ascii="Times New Roman" w:hAnsi="Times New Roman"/>
            <w:noProof/>
          </w:rPr>
          <w:t>13.</w:t>
        </w:r>
        <w:r w:rsidR="008F17E4" w:rsidRPr="00EB049C">
          <w:rPr>
            <w:rFonts w:ascii="Times New Roman" w:hAnsi="Times New Roman" w:cs="Times New Roman"/>
            <w:noProof/>
          </w:rPr>
          <w:tab/>
        </w:r>
        <w:r w:rsidR="008F17E4" w:rsidRPr="00EB049C">
          <w:rPr>
            <w:rStyle w:val="a3"/>
            <w:rFonts w:ascii="Times New Roman" w:hAnsi="宋体" w:hint="eastAsia"/>
            <w:noProof/>
          </w:rPr>
          <w:t>风险分析</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_Toc480641609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23</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10" w:history="1">
        <w:r w:rsidR="008F17E4" w:rsidRPr="00EB049C">
          <w:rPr>
            <w:rStyle w:val="a3"/>
            <w:rFonts w:ascii="Times New Roman" w:hAnsi="Times New Roman"/>
            <w:noProof/>
          </w:rPr>
          <w:t>14.</w:t>
        </w:r>
        <w:r w:rsidR="008F17E4" w:rsidRPr="00EB049C">
          <w:rPr>
            <w:rFonts w:ascii="Times New Roman" w:hAnsi="Times New Roman" w:cs="Times New Roman"/>
            <w:noProof/>
          </w:rPr>
          <w:tab/>
        </w:r>
        <w:r w:rsidR="008F17E4" w:rsidRPr="00EB049C">
          <w:rPr>
            <w:rStyle w:val="a3"/>
            <w:rFonts w:ascii="Times New Roman" w:hAnsi="宋体" w:hint="eastAsia"/>
            <w:noProof/>
          </w:rPr>
          <w:t>术后方案</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23</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11" w:history="1">
        <w:r w:rsidR="008F17E4" w:rsidRPr="00EB049C">
          <w:rPr>
            <w:rStyle w:val="a3"/>
            <w:rFonts w:ascii="Times New Roman" w:hAnsi="Times New Roman"/>
            <w:noProof/>
          </w:rPr>
          <w:t>15.</w:t>
        </w:r>
        <w:r w:rsidR="008F17E4" w:rsidRPr="00EB049C">
          <w:rPr>
            <w:rFonts w:ascii="Times New Roman" w:hAnsi="Times New Roman" w:cs="Times New Roman"/>
            <w:noProof/>
          </w:rPr>
          <w:tab/>
        </w:r>
        <w:r w:rsidR="00C40118" w:rsidRPr="00EB049C">
          <w:rPr>
            <w:rStyle w:val="a3"/>
            <w:rFonts w:ascii="Times New Roman" w:hAnsi="宋体" w:hint="eastAsia"/>
            <w:noProof/>
          </w:rPr>
          <w:t>检索研究</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1050"/>
          <w:tab w:val="right" w:leader="dot" w:pos="8303"/>
        </w:tabs>
        <w:spacing w:line="300" w:lineRule="auto"/>
        <w:ind w:left="840" w:hangingChars="200" w:hanging="420"/>
        <w:rPr>
          <w:rFonts w:ascii="Times New Roman" w:hAnsi="Times New Roman" w:cs="Times New Roman"/>
          <w:noProof/>
        </w:rPr>
      </w:pPr>
      <w:hyperlink w:anchor="_Toc480641612" w:history="1">
        <w:r w:rsidR="008F17E4" w:rsidRPr="00EB049C">
          <w:rPr>
            <w:rStyle w:val="a3"/>
            <w:rFonts w:ascii="Times New Roman" w:hAnsi="Times New Roman"/>
            <w:noProof/>
          </w:rPr>
          <w:t>16.</w:t>
        </w:r>
        <w:r w:rsidR="008F17E4" w:rsidRPr="00EB049C">
          <w:rPr>
            <w:rFonts w:ascii="Times New Roman" w:hAnsi="Times New Roman" w:cs="Times New Roman"/>
            <w:noProof/>
          </w:rPr>
          <w:tab/>
        </w:r>
        <w:r w:rsidR="008F17E4" w:rsidRPr="00EB049C">
          <w:rPr>
            <w:rStyle w:val="a3"/>
            <w:rFonts w:ascii="Times New Roman" w:hAnsi="宋体" w:hint="eastAsia"/>
            <w:noProof/>
          </w:rPr>
          <w:t>脊柱肿瘤</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3" w:history="1">
        <w:r w:rsidR="008F17E4" w:rsidRPr="00EB049C">
          <w:rPr>
            <w:rStyle w:val="a3"/>
            <w:rFonts w:ascii="Times New Roman" w:hAnsi="Times New Roman"/>
            <w:noProof/>
          </w:rPr>
          <w:t>16.1</w:t>
        </w:r>
        <w:r w:rsidR="008F17E4" w:rsidRPr="00EB049C">
          <w:rPr>
            <w:rFonts w:ascii="Times New Roman" w:hAnsi="Times New Roman" w:cs="Times New Roman"/>
            <w:noProof/>
          </w:rPr>
          <w:tab/>
        </w:r>
        <w:r w:rsidR="008F17E4" w:rsidRPr="00EB049C">
          <w:rPr>
            <w:rStyle w:val="a3"/>
            <w:rFonts w:ascii="Times New Roman" w:hAnsi="宋体" w:hint="eastAsia"/>
            <w:noProof/>
          </w:rPr>
          <w:t>入选标准</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4" w:history="1">
        <w:r w:rsidR="008F17E4" w:rsidRPr="00EB049C">
          <w:rPr>
            <w:rStyle w:val="a3"/>
            <w:rFonts w:ascii="Times New Roman" w:hAnsi="Times New Roman"/>
            <w:noProof/>
          </w:rPr>
          <w:t>16.2</w:t>
        </w:r>
        <w:r w:rsidR="008F17E4" w:rsidRPr="00EB049C">
          <w:rPr>
            <w:rFonts w:ascii="Times New Roman" w:hAnsi="Times New Roman" w:cs="Times New Roman"/>
            <w:noProof/>
          </w:rPr>
          <w:tab/>
        </w:r>
        <w:r w:rsidR="008F17E4" w:rsidRPr="00EB049C">
          <w:rPr>
            <w:rStyle w:val="a3"/>
            <w:rFonts w:ascii="Times New Roman" w:hAnsi="宋体" w:hint="eastAsia"/>
            <w:noProof/>
          </w:rPr>
          <w:t>研究持续时间</w:t>
        </w:r>
        <w:r w:rsidR="008F17E4" w:rsidRPr="00EB049C">
          <w:rPr>
            <w:rStyle w:val="a3"/>
            <w:rFonts w:ascii="Times New Roman" w:hAnsi="Times New Roman"/>
            <w:noProof/>
          </w:rPr>
          <w:t>/</w:t>
        </w:r>
        <w:r w:rsidR="008F17E4" w:rsidRPr="00EB049C">
          <w:rPr>
            <w:rStyle w:val="a3"/>
            <w:rFonts w:ascii="Times New Roman" w:hAnsi="宋体" w:hint="eastAsia"/>
            <w:noProof/>
          </w:rPr>
          <w:t>随访计划表</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5" w:history="1">
        <w:r w:rsidR="008F17E4" w:rsidRPr="00EB049C">
          <w:rPr>
            <w:rStyle w:val="a3"/>
            <w:rFonts w:ascii="Times New Roman" w:hAnsi="Times New Roman"/>
            <w:noProof/>
          </w:rPr>
          <w:t>16.3</w:t>
        </w:r>
        <w:r w:rsidR="008F17E4" w:rsidRPr="00EB049C">
          <w:rPr>
            <w:rFonts w:ascii="Times New Roman" w:hAnsi="Times New Roman" w:cs="Times New Roman"/>
            <w:noProof/>
          </w:rPr>
          <w:tab/>
        </w:r>
        <w:r w:rsidR="00CF193F" w:rsidRPr="00EB049C">
          <w:rPr>
            <w:rStyle w:val="a3"/>
            <w:rFonts w:ascii="Times New Roman" w:hAnsi="宋体" w:hint="eastAsia"/>
            <w:noProof/>
          </w:rPr>
          <w:t>样本量</w:t>
        </w:r>
        <w:r w:rsidR="008F17E4" w:rsidRPr="00EB049C">
          <w:rPr>
            <w:rStyle w:val="a3"/>
            <w:rFonts w:ascii="Times New Roman" w:hAnsi="Times New Roman"/>
            <w:noProof/>
          </w:rPr>
          <w:t>/</w:t>
        </w:r>
        <w:r w:rsidR="00036E96" w:rsidRPr="00EB049C">
          <w:rPr>
            <w:rStyle w:val="a3"/>
            <w:rFonts w:ascii="Times New Roman" w:hAnsi="宋体" w:hint="eastAsia"/>
            <w:noProof/>
          </w:rPr>
          <w:t>研究中心</w:t>
        </w:r>
        <w:r w:rsidR="008F17E4" w:rsidRPr="00EB049C">
          <w:rPr>
            <w:rStyle w:val="a3"/>
            <w:rFonts w:ascii="Times New Roman" w:hAnsi="宋体" w:hint="eastAsia"/>
            <w:noProof/>
          </w:rPr>
          <w:t>和研究者的数量</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6" w:history="1">
        <w:r w:rsidR="008F17E4" w:rsidRPr="00EB049C">
          <w:rPr>
            <w:rStyle w:val="a3"/>
            <w:rFonts w:ascii="Times New Roman" w:hAnsi="Times New Roman"/>
            <w:noProof/>
          </w:rPr>
          <w:t>16.4</w:t>
        </w:r>
        <w:r w:rsidR="008F17E4" w:rsidRPr="00EB049C">
          <w:rPr>
            <w:rFonts w:ascii="Times New Roman" w:hAnsi="Times New Roman" w:cs="Times New Roman"/>
            <w:noProof/>
          </w:rPr>
          <w:tab/>
        </w:r>
        <w:r w:rsidR="008F17E4" w:rsidRPr="00EB049C">
          <w:rPr>
            <w:rStyle w:val="a3"/>
            <w:rFonts w:ascii="Times New Roman" w:hAnsi="宋体" w:hint="eastAsia"/>
            <w:noProof/>
          </w:rPr>
          <w:t>对照组</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24</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7" w:history="1">
        <w:r w:rsidR="008F17E4" w:rsidRPr="00EB049C">
          <w:rPr>
            <w:rStyle w:val="a3"/>
            <w:rFonts w:ascii="Times New Roman" w:hAnsi="Times New Roman"/>
            <w:noProof/>
          </w:rPr>
          <w:t>16.5</w:t>
        </w:r>
        <w:r w:rsidR="008F17E4" w:rsidRPr="00EB049C">
          <w:rPr>
            <w:rFonts w:ascii="Times New Roman" w:hAnsi="Times New Roman" w:cs="Times New Roman"/>
            <w:noProof/>
          </w:rPr>
          <w:tab/>
        </w:r>
        <w:r w:rsidR="008F17E4" w:rsidRPr="00EB049C">
          <w:rPr>
            <w:rStyle w:val="a3"/>
            <w:rFonts w:ascii="Times New Roman" w:hAnsi="宋体" w:hint="eastAsia"/>
            <w:noProof/>
          </w:rPr>
          <w:t>临床参数</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25</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8" w:history="1">
        <w:r w:rsidR="008F17E4" w:rsidRPr="00EB049C">
          <w:rPr>
            <w:rStyle w:val="a3"/>
            <w:rFonts w:ascii="Times New Roman" w:hAnsi="Times New Roman"/>
            <w:noProof/>
          </w:rPr>
          <w:t>16.6</w:t>
        </w:r>
        <w:r w:rsidR="008F17E4" w:rsidRPr="00EB049C">
          <w:rPr>
            <w:rFonts w:ascii="Times New Roman" w:hAnsi="Times New Roman" w:cs="Times New Roman"/>
            <w:noProof/>
          </w:rPr>
          <w:tab/>
        </w:r>
        <w:r w:rsidR="008F17E4" w:rsidRPr="00EB049C">
          <w:rPr>
            <w:rStyle w:val="a3"/>
            <w:rFonts w:ascii="Times New Roman" w:hAnsi="宋体" w:hint="eastAsia"/>
            <w:noProof/>
          </w:rPr>
          <w:t>安全性</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25</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19" w:history="1">
        <w:r w:rsidR="008F17E4" w:rsidRPr="00EB049C">
          <w:rPr>
            <w:rStyle w:val="a3"/>
            <w:rFonts w:ascii="Times New Roman" w:hAnsi="Times New Roman"/>
            <w:noProof/>
          </w:rPr>
          <w:t>16.7</w:t>
        </w:r>
        <w:r w:rsidR="008F17E4" w:rsidRPr="00EB049C">
          <w:rPr>
            <w:rFonts w:ascii="Times New Roman" w:hAnsi="Times New Roman" w:cs="Times New Roman"/>
            <w:noProof/>
          </w:rPr>
          <w:tab/>
        </w:r>
        <w:r w:rsidR="008F17E4" w:rsidRPr="00EB049C">
          <w:rPr>
            <w:rStyle w:val="a3"/>
            <w:rFonts w:ascii="Times New Roman" w:hAnsi="宋体" w:hint="eastAsia"/>
            <w:noProof/>
          </w:rPr>
          <w:t>患者</w:t>
        </w:r>
        <w:r w:rsidR="008F17E4" w:rsidRPr="00EB049C">
          <w:rPr>
            <w:rStyle w:val="a3"/>
            <w:rFonts w:ascii="Times New Roman" w:hAnsi="Times New Roman"/>
            <w:noProof/>
          </w:rPr>
          <w:t>/</w:t>
        </w:r>
        <w:r w:rsidR="008F17E4" w:rsidRPr="00EB049C">
          <w:rPr>
            <w:rStyle w:val="a3"/>
            <w:rFonts w:ascii="Times New Roman" w:hAnsi="宋体" w:hint="eastAsia"/>
            <w:noProof/>
          </w:rPr>
          <w:t>研究成功</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_Toc480641619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25</w:t>
        </w:r>
        <w:r w:rsidRPr="00EB049C">
          <w:rPr>
            <w:rFonts w:ascii="Times New Roman" w:hAnsi="Times New Roman" w:cs="Times New Roman"/>
            <w:noProof/>
            <w:webHidden/>
          </w:rPr>
          <w:fldChar w:fldCharType="end"/>
        </w:r>
      </w:hyperlink>
    </w:p>
    <w:p w:rsidR="008F17E4" w:rsidRPr="00EB049C" w:rsidRDefault="00045AE8" w:rsidP="005627F4">
      <w:pPr>
        <w:pStyle w:val="3"/>
        <w:tabs>
          <w:tab w:val="left" w:pos="1680"/>
          <w:tab w:val="right" w:leader="dot" w:pos="8303"/>
        </w:tabs>
        <w:spacing w:line="300" w:lineRule="auto"/>
        <w:ind w:left="1260" w:hangingChars="200" w:hanging="420"/>
        <w:rPr>
          <w:rFonts w:ascii="Times New Roman" w:hAnsi="Times New Roman" w:cs="Times New Roman"/>
          <w:noProof/>
        </w:rPr>
      </w:pPr>
      <w:hyperlink w:anchor="_Toc480641620" w:history="1">
        <w:r w:rsidR="008F17E4" w:rsidRPr="00EB049C">
          <w:rPr>
            <w:rStyle w:val="a3"/>
            <w:rFonts w:ascii="Times New Roman" w:hAnsi="Times New Roman"/>
            <w:noProof/>
          </w:rPr>
          <w:t>16.8</w:t>
        </w:r>
        <w:r w:rsidR="008F17E4" w:rsidRPr="00EB049C">
          <w:rPr>
            <w:rFonts w:ascii="Times New Roman" w:hAnsi="Times New Roman" w:cs="Times New Roman"/>
            <w:noProof/>
          </w:rPr>
          <w:tab/>
        </w:r>
        <w:r w:rsidR="008F17E4" w:rsidRPr="00EB049C">
          <w:rPr>
            <w:rStyle w:val="a3"/>
            <w:rFonts w:ascii="Times New Roman" w:hAnsi="宋体" w:hint="eastAsia"/>
            <w:noProof/>
          </w:rPr>
          <w:t>数据显示</w:t>
        </w:r>
        <w:r w:rsidR="008F17E4" w:rsidRPr="00EB049C">
          <w:rPr>
            <w:rStyle w:val="a3"/>
            <w:rFonts w:ascii="Times New Roman" w:hAnsi="Times New Roman"/>
            <w:noProof/>
          </w:rPr>
          <w:t>/</w:t>
        </w:r>
        <w:r w:rsidR="008F17E4" w:rsidRPr="00EB049C">
          <w:rPr>
            <w:rStyle w:val="a3"/>
            <w:rFonts w:ascii="Times New Roman" w:hAnsi="宋体" w:hint="eastAsia"/>
            <w:noProof/>
          </w:rPr>
          <w:t>统计分析</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26</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1" w:history="1">
        <w:r w:rsidR="008F17E4" w:rsidRPr="00EB049C">
          <w:rPr>
            <w:rStyle w:val="a3"/>
            <w:rFonts w:ascii="Times New Roman" w:hAnsi="宋体" w:hint="eastAsia"/>
            <w:b/>
            <w:bCs/>
            <w:noProof/>
          </w:rPr>
          <w:t>器械说明</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26</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2" w:history="1">
        <w:r w:rsidR="008F17E4" w:rsidRPr="00EB049C">
          <w:rPr>
            <w:rStyle w:val="a3"/>
            <w:rFonts w:ascii="Times New Roman" w:hAnsi="宋体" w:hint="eastAsia"/>
            <w:b/>
            <w:bCs/>
            <w:noProof/>
          </w:rPr>
          <w:t>制造</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_Toc480641622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27</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3" w:history="1">
        <w:r w:rsidR="008F17E4" w:rsidRPr="00EB049C">
          <w:rPr>
            <w:rStyle w:val="a3"/>
            <w:rFonts w:ascii="Times New Roman" w:hAnsi="宋体" w:hint="eastAsia"/>
            <w:b/>
            <w:bCs/>
            <w:noProof/>
          </w:rPr>
          <w:t>监测</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_Toc480641623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27</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4" w:history="1">
        <w:r w:rsidR="008F17E4" w:rsidRPr="00EB049C">
          <w:rPr>
            <w:rStyle w:val="a3"/>
            <w:rFonts w:ascii="Times New Roman" w:hAnsi="Times New Roman"/>
            <w:b/>
            <w:bCs/>
            <w:noProof/>
          </w:rPr>
          <w:t xml:space="preserve">IRB </w:t>
        </w:r>
        <w:r w:rsidR="008F17E4" w:rsidRPr="00EB049C">
          <w:rPr>
            <w:rStyle w:val="a3"/>
            <w:rFonts w:ascii="Times New Roman" w:hAnsi="宋体" w:hint="eastAsia"/>
            <w:b/>
            <w:bCs/>
            <w:noProof/>
          </w:rPr>
          <w:t>和研究者信息</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_Toc480641624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27</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5" w:history="1">
        <w:r w:rsidR="008F17E4" w:rsidRPr="00EB049C">
          <w:rPr>
            <w:rStyle w:val="a3"/>
            <w:rFonts w:ascii="Times New Roman" w:hAnsi="宋体" w:hint="eastAsia"/>
            <w:b/>
            <w:bCs/>
            <w:noProof/>
          </w:rPr>
          <w:t>标签</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_Toc480641625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27</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626" w:history="1">
        <w:r w:rsidR="008F17E4" w:rsidRPr="00EB049C">
          <w:rPr>
            <w:rStyle w:val="a3"/>
            <w:rFonts w:ascii="Times New Roman" w:hAnsi="Times New Roman"/>
            <w:noProof/>
          </w:rPr>
          <w:t>1.</w:t>
        </w:r>
        <w:r w:rsidR="008F17E4" w:rsidRPr="00EB049C">
          <w:rPr>
            <w:rFonts w:ascii="Times New Roman" w:hAnsi="Times New Roman" w:cs="Times New Roman"/>
            <w:noProof/>
          </w:rPr>
          <w:tab/>
        </w:r>
        <w:r w:rsidR="008F17E4" w:rsidRPr="00EB049C">
          <w:rPr>
            <w:rStyle w:val="a3"/>
            <w:rFonts w:ascii="Times New Roman" w:hAnsi="宋体" w:hint="eastAsia"/>
            <w:noProof/>
          </w:rPr>
          <w:t>包装标签</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_Toc480641626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28</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627" w:history="1">
        <w:r w:rsidR="008F17E4" w:rsidRPr="00EB049C">
          <w:rPr>
            <w:rStyle w:val="a3"/>
            <w:rFonts w:ascii="Times New Roman" w:hAnsi="Times New Roman"/>
            <w:noProof/>
          </w:rPr>
          <w:t>2.</w:t>
        </w:r>
        <w:r w:rsidR="008F17E4" w:rsidRPr="00EB049C">
          <w:rPr>
            <w:rFonts w:ascii="Times New Roman" w:hAnsi="Times New Roman" w:cs="Times New Roman"/>
            <w:noProof/>
          </w:rPr>
          <w:tab/>
        </w:r>
        <w:r w:rsidR="00176745" w:rsidRPr="00EB049C">
          <w:rPr>
            <w:rStyle w:val="a3"/>
            <w:rFonts w:ascii="Times New Roman" w:hAnsi="宋体" w:hint="eastAsia"/>
            <w:noProof/>
          </w:rPr>
          <w:t>包装说明书</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_Toc480641627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28</w:t>
        </w:r>
        <w:r w:rsidRPr="00EB049C">
          <w:rPr>
            <w:rFonts w:ascii="Times New Roman" w:hAnsi="Times New Roman" w:cs="Times New Roman"/>
            <w:noProof/>
            <w:webHidden/>
          </w:rPr>
          <w:fldChar w:fldCharType="end"/>
        </w:r>
      </w:hyperlink>
    </w:p>
    <w:p w:rsidR="008F17E4" w:rsidRPr="00EB049C" w:rsidRDefault="00045AE8" w:rsidP="005627F4">
      <w:pPr>
        <w:pStyle w:val="2"/>
        <w:tabs>
          <w:tab w:val="left" w:pos="840"/>
          <w:tab w:val="right" w:leader="dot" w:pos="8303"/>
        </w:tabs>
        <w:spacing w:line="300" w:lineRule="auto"/>
        <w:ind w:left="840" w:hangingChars="200" w:hanging="420"/>
        <w:rPr>
          <w:rFonts w:ascii="Times New Roman" w:hAnsi="Times New Roman" w:cs="Times New Roman"/>
          <w:noProof/>
        </w:rPr>
      </w:pPr>
      <w:hyperlink w:anchor="_Toc480641628" w:history="1">
        <w:r w:rsidR="008F17E4" w:rsidRPr="00EB049C">
          <w:rPr>
            <w:rStyle w:val="a3"/>
            <w:rFonts w:ascii="Times New Roman" w:hAnsi="Times New Roman"/>
            <w:noProof/>
          </w:rPr>
          <w:t>3.</w:t>
        </w:r>
        <w:r w:rsidR="008F17E4" w:rsidRPr="00EB049C">
          <w:rPr>
            <w:rFonts w:ascii="Times New Roman" w:hAnsi="Times New Roman" w:cs="Times New Roman"/>
            <w:noProof/>
          </w:rPr>
          <w:tab/>
        </w:r>
        <w:r w:rsidR="008F17E4" w:rsidRPr="00EB049C">
          <w:rPr>
            <w:rStyle w:val="a3"/>
            <w:rFonts w:ascii="Times New Roman" w:hAnsi="宋体" w:hint="eastAsia"/>
            <w:noProof/>
          </w:rPr>
          <w:t>手术技术手册</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_Toc480641628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28</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29" w:history="1">
        <w:r w:rsidR="008F17E4" w:rsidRPr="00EB049C">
          <w:rPr>
            <w:rStyle w:val="a3"/>
            <w:rFonts w:ascii="Times New Roman" w:hAnsi="宋体" w:hint="eastAsia"/>
            <w:b/>
            <w:bCs/>
            <w:noProof/>
          </w:rPr>
          <w:t>知情同意</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_Toc480641629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29</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30" w:history="1">
        <w:r w:rsidR="008F17E4" w:rsidRPr="00EB049C">
          <w:rPr>
            <w:rStyle w:val="a3"/>
            <w:rFonts w:ascii="Times New Roman" w:hAnsi="宋体" w:hint="eastAsia"/>
            <w:b/>
            <w:bCs/>
            <w:noProof/>
          </w:rPr>
          <w:t>销售价格</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_Toc480641630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29</w:t>
        </w:r>
        <w:r w:rsidRPr="00EB049C">
          <w:rPr>
            <w:rFonts w:ascii="Times New Roman" w:hAnsi="Times New Roman" w:cs="Times New Roman"/>
            <w:noProof/>
            <w:webHidden/>
          </w:rPr>
          <w:fldChar w:fldCharType="end"/>
        </w:r>
      </w:hyperlink>
    </w:p>
    <w:p w:rsidR="008F17E4" w:rsidRPr="00EB049C" w:rsidRDefault="00045AE8" w:rsidP="005627F4">
      <w:pPr>
        <w:pStyle w:val="1"/>
        <w:tabs>
          <w:tab w:val="right" w:leader="dot" w:pos="8303"/>
        </w:tabs>
        <w:spacing w:line="300" w:lineRule="auto"/>
        <w:ind w:left="420" w:hangingChars="200" w:hanging="420"/>
        <w:rPr>
          <w:rFonts w:ascii="Times New Roman" w:hAnsi="Times New Roman" w:cs="Times New Roman"/>
          <w:noProof/>
          <w:color w:val="auto"/>
        </w:rPr>
      </w:pPr>
      <w:hyperlink w:anchor="_Toc480641631" w:history="1">
        <w:r w:rsidR="008F17E4" w:rsidRPr="00EB049C">
          <w:rPr>
            <w:rStyle w:val="a3"/>
            <w:rFonts w:ascii="Times New Roman" w:hAnsi="宋体" w:hint="eastAsia"/>
            <w:b/>
            <w:bCs/>
            <w:noProof/>
          </w:rPr>
          <w:t>环境影响评估</w:t>
        </w:r>
        <w:r w:rsidR="008F17E4" w:rsidRPr="00EB049C">
          <w:rPr>
            <w:rFonts w:ascii="Times New Roman" w:hAnsi="Times New Roman" w:cs="Times New Roman"/>
            <w:noProof/>
            <w:webHidden/>
          </w:rPr>
          <w:tab/>
        </w:r>
        <w:r w:rsidRPr="00EB049C">
          <w:rPr>
            <w:rFonts w:ascii="Times New Roman" w:hAnsi="Times New Roman" w:cs="Times New Roman"/>
            <w:noProof/>
            <w:webHidden/>
          </w:rPr>
          <w:fldChar w:fldCharType="begin"/>
        </w:r>
        <w:r w:rsidR="008F17E4" w:rsidRPr="00EB049C">
          <w:rPr>
            <w:rFonts w:ascii="Times New Roman" w:hAnsi="Times New Roman" w:cs="Times New Roman"/>
            <w:noProof/>
            <w:webHidden/>
          </w:rPr>
          <w:instrText xml:space="preserve"> PAGEREF _Toc480641631 \h </w:instrText>
        </w:r>
        <w:r w:rsidRPr="00EB049C">
          <w:rPr>
            <w:rFonts w:ascii="Times New Roman" w:hAnsi="Times New Roman" w:cs="Times New Roman"/>
            <w:noProof/>
            <w:webHidden/>
          </w:rPr>
        </w:r>
        <w:r w:rsidRPr="00EB049C">
          <w:rPr>
            <w:rFonts w:ascii="Times New Roman" w:hAnsi="Times New Roman" w:cs="Times New Roman"/>
            <w:noProof/>
            <w:webHidden/>
          </w:rPr>
          <w:fldChar w:fldCharType="separate"/>
        </w:r>
        <w:r w:rsidR="008F17E4" w:rsidRPr="00EB049C">
          <w:rPr>
            <w:rFonts w:ascii="Times New Roman" w:hAnsi="Times New Roman" w:cs="Times New Roman"/>
            <w:noProof/>
            <w:webHidden/>
          </w:rPr>
          <w:t>29</w:t>
        </w:r>
        <w:r w:rsidRPr="00EB049C">
          <w:rPr>
            <w:rFonts w:ascii="Times New Roman" w:hAnsi="Times New Roman" w:cs="Times New Roman"/>
            <w:noProof/>
            <w:webHidden/>
          </w:rPr>
          <w:fldChar w:fldCharType="end"/>
        </w:r>
      </w:hyperlink>
    </w:p>
    <w:p w:rsidR="008F17E4" w:rsidRPr="00EB049C" w:rsidRDefault="00045AE8" w:rsidP="005627F4">
      <w:pPr>
        <w:pStyle w:val="CM9"/>
        <w:snapToGrid w:val="0"/>
        <w:spacing w:line="300" w:lineRule="auto"/>
        <w:ind w:left="480" w:hangingChars="200" w:hanging="480"/>
        <w:jc w:val="both"/>
        <w:rPr>
          <w:color w:val="00B050"/>
          <w:sz w:val="21"/>
          <w:szCs w:val="21"/>
          <w:vertAlign w:val="superscript"/>
        </w:rPr>
      </w:pPr>
      <w:r w:rsidRPr="00EB049C">
        <w:rPr>
          <w:color w:val="00B050"/>
          <w:vertAlign w:val="superscript"/>
        </w:rPr>
        <w:fldChar w:fldCharType="end"/>
      </w:r>
    </w:p>
    <w:p w:rsidR="008F17E4" w:rsidRPr="00EB049C" w:rsidRDefault="008F17E4" w:rsidP="009A6A54">
      <w:pPr>
        <w:widowControl/>
        <w:adjustRightInd w:val="0"/>
        <w:snapToGrid w:val="0"/>
        <w:spacing w:line="360" w:lineRule="auto"/>
        <w:ind w:firstLine="0"/>
        <w:rPr>
          <w:rFonts w:ascii="Times New Roman" w:hAnsi="Times New Roman" w:cs="Times New Roman"/>
          <w:color w:val="00B050"/>
        </w:rPr>
        <w:sectPr w:rsidR="008F17E4" w:rsidRPr="00EB049C" w:rsidSect="009A6A54">
          <w:footerReference w:type="default" r:id="rId10"/>
          <w:pgSz w:w="11907" w:h="16840" w:code="9"/>
          <w:pgMar w:top="1440" w:right="1797" w:bottom="1440" w:left="1797" w:header="720" w:footer="720" w:gutter="0"/>
          <w:pgNumType w:start="1"/>
          <w:cols w:space="720"/>
          <w:noEndnote/>
        </w:sectPr>
      </w:pPr>
    </w:p>
    <w:p w:rsidR="008F17E4" w:rsidRPr="00EB049C" w:rsidRDefault="008F17E4" w:rsidP="00C40B70">
      <w:pPr>
        <w:pStyle w:val="CM45"/>
        <w:snapToGrid w:val="0"/>
        <w:spacing w:after="0" w:line="360" w:lineRule="auto"/>
        <w:jc w:val="both"/>
        <w:outlineLvl w:val="0"/>
        <w:rPr>
          <w:b/>
          <w:sz w:val="21"/>
          <w:szCs w:val="21"/>
          <w:u w:val="single"/>
        </w:rPr>
      </w:pPr>
      <w:bookmarkStart w:id="3" w:name="_Toc480641570"/>
      <w:r w:rsidRPr="00EB049C">
        <w:rPr>
          <w:rFonts w:hAnsi="宋体" w:hint="eastAsia"/>
          <w:b/>
          <w:sz w:val="21"/>
          <w:szCs w:val="21"/>
          <w:u w:val="single"/>
        </w:rPr>
        <w:lastRenderedPageBreak/>
        <w:t>引言</w:t>
      </w:r>
      <w:bookmarkEnd w:id="3"/>
    </w:p>
    <w:p w:rsidR="008F17E4" w:rsidRPr="00EB049C" w:rsidRDefault="008F17E4" w:rsidP="00406178">
      <w:pPr>
        <w:pStyle w:val="CM45"/>
        <w:snapToGrid w:val="0"/>
        <w:spacing w:after="0" w:line="360" w:lineRule="auto"/>
        <w:jc w:val="both"/>
        <w:rPr>
          <w:sz w:val="21"/>
          <w:szCs w:val="21"/>
        </w:rPr>
      </w:pPr>
      <w:r w:rsidRPr="00EB049C">
        <w:rPr>
          <w:rFonts w:hAnsi="宋体" w:hint="eastAsia"/>
          <w:sz w:val="21"/>
          <w:szCs w:val="21"/>
        </w:rPr>
        <w:t>本文件的目的是为重要的临床前和临床信息提供指导，因为这些信息都应该出现于脊柱系统试验用器械豁免（</w:t>
      </w:r>
      <w:r w:rsidRPr="00EB049C">
        <w:rPr>
          <w:sz w:val="21"/>
          <w:szCs w:val="21"/>
        </w:rPr>
        <w:t>IDE</w:t>
      </w:r>
      <w:r w:rsidRPr="00EB049C">
        <w:rPr>
          <w:rFonts w:hAnsi="宋体" w:hint="eastAsia"/>
          <w:sz w:val="21"/>
          <w:szCs w:val="21"/>
        </w:rPr>
        <w:t>）申请中。之所以编制本指导文件，是为了回应矫形器械公司（</w:t>
      </w:r>
      <w:r w:rsidRPr="00EB049C">
        <w:rPr>
          <w:sz w:val="21"/>
          <w:szCs w:val="21"/>
        </w:rPr>
        <w:t>ORDB</w:t>
      </w:r>
      <w:r w:rsidRPr="00EB049C">
        <w:rPr>
          <w:rFonts w:hAnsi="宋体" w:hint="eastAsia"/>
          <w:sz w:val="21"/>
          <w:szCs w:val="21"/>
        </w:rPr>
        <w:t>）与脊柱系统</w:t>
      </w:r>
      <w:r w:rsidR="0093559A" w:rsidRPr="00EB049C">
        <w:rPr>
          <w:rFonts w:hAnsi="宋体" w:hint="eastAsia"/>
          <w:sz w:val="21"/>
          <w:szCs w:val="21"/>
        </w:rPr>
        <w:t>申办方</w:t>
      </w:r>
      <w:r w:rsidRPr="00EB049C">
        <w:rPr>
          <w:rFonts w:hAnsi="宋体" w:hint="eastAsia"/>
          <w:sz w:val="21"/>
          <w:szCs w:val="21"/>
        </w:rPr>
        <w:t>之间的讨论和通信。</w:t>
      </w:r>
    </w:p>
    <w:p w:rsidR="008F17E4" w:rsidRPr="00EB049C" w:rsidRDefault="008F17E4" w:rsidP="00406178">
      <w:pPr>
        <w:pStyle w:val="CM45"/>
        <w:snapToGrid w:val="0"/>
        <w:spacing w:after="0" w:line="360" w:lineRule="auto"/>
        <w:jc w:val="both"/>
        <w:rPr>
          <w:sz w:val="21"/>
          <w:szCs w:val="21"/>
        </w:rPr>
      </w:pPr>
      <w:r w:rsidRPr="00EB049C">
        <w:rPr>
          <w:rFonts w:hAnsi="宋体" w:hint="eastAsia"/>
          <w:sz w:val="21"/>
          <w:szCs w:val="21"/>
        </w:rPr>
        <w:t>此外，</w:t>
      </w:r>
      <w:r w:rsidRPr="00EB049C">
        <w:rPr>
          <w:sz w:val="21"/>
          <w:szCs w:val="21"/>
        </w:rPr>
        <w:t>1998</w:t>
      </w:r>
      <w:r w:rsidRPr="00EB049C">
        <w:rPr>
          <w:rFonts w:hAnsi="宋体" w:hint="eastAsia"/>
          <w:sz w:val="21"/>
          <w:szCs w:val="21"/>
        </w:rPr>
        <w:t>年</w:t>
      </w:r>
      <w:r w:rsidRPr="00EB049C">
        <w:rPr>
          <w:sz w:val="21"/>
          <w:szCs w:val="21"/>
        </w:rPr>
        <w:t>10</w:t>
      </w:r>
      <w:r w:rsidRPr="00EB049C">
        <w:rPr>
          <w:rFonts w:hAnsi="宋体" w:hint="eastAsia"/>
          <w:sz w:val="21"/>
          <w:szCs w:val="21"/>
        </w:rPr>
        <w:t>月</w:t>
      </w:r>
      <w:r w:rsidRPr="00EB049C">
        <w:rPr>
          <w:sz w:val="21"/>
          <w:szCs w:val="21"/>
        </w:rPr>
        <w:t>8</w:t>
      </w:r>
      <w:r w:rsidRPr="00EB049C">
        <w:rPr>
          <w:rFonts w:hAnsi="宋体" w:hint="eastAsia"/>
          <w:sz w:val="21"/>
          <w:szCs w:val="21"/>
        </w:rPr>
        <w:t>日，</w:t>
      </w:r>
      <w:r w:rsidRPr="00EB049C">
        <w:rPr>
          <w:sz w:val="21"/>
          <w:szCs w:val="21"/>
        </w:rPr>
        <w:t xml:space="preserve"> ORDB </w:t>
      </w:r>
      <w:r w:rsidRPr="00EB049C">
        <w:rPr>
          <w:rFonts w:hAnsi="宋体" w:hint="eastAsia"/>
          <w:sz w:val="21"/>
          <w:szCs w:val="21"/>
        </w:rPr>
        <w:t>公司向矫形与康复器械专家组递交了一份涉及关于制定脊柱系统</w:t>
      </w:r>
      <w:r w:rsidRPr="00EB049C">
        <w:rPr>
          <w:sz w:val="21"/>
          <w:szCs w:val="21"/>
        </w:rPr>
        <w:t>IDE</w:t>
      </w:r>
      <w:r w:rsidRPr="00EB049C">
        <w:rPr>
          <w:rFonts w:hAnsi="宋体" w:hint="eastAsia"/>
          <w:sz w:val="21"/>
          <w:szCs w:val="21"/>
        </w:rPr>
        <w:t>想法的初步背景文件。</w:t>
      </w:r>
      <w:r w:rsidRPr="00EB049C">
        <w:rPr>
          <w:sz w:val="21"/>
          <w:szCs w:val="21"/>
        </w:rPr>
        <w:t>1998</w:t>
      </w:r>
      <w:r w:rsidRPr="00EB049C">
        <w:rPr>
          <w:rFonts w:hAnsi="宋体" w:hint="eastAsia"/>
          <w:sz w:val="21"/>
          <w:szCs w:val="21"/>
        </w:rPr>
        <w:t>年</w:t>
      </w:r>
      <w:r w:rsidRPr="00EB049C">
        <w:rPr>
          <w:sz w:val="21"/>
          <w:szCs w:val="21"/>
        </w:rPr>
        <w:t>10</w:t>
      </w:r>
      <w:r w:rsidRPr="00EB049C">
        <w:rPr>
          <w:rFonts w:hAnsi="宋体" w:hint="eastAsia"/>
          <w:sz w:val="21"/>
          <w:szCs w:val="21"/>
        </w:rPr>
        <w:t>月</w:t>
      </w:r>
      <w:r w:rsidRPr="00EB049C">
        <w:rPr>
          <w:sz w:val="21"/>
          <w:szCs w:val="21"/>
        </w:rPr>
        <w:t>8</w:t>
      </w:r>
      <w:r w:rsidRPr="00EB049C">
        <w:rPr>
          <w:rFonts w:hAnsi="宋体" w:hint="eastAsia"/>
          <w:sz w:val="21"/>
          <w:szCs w:val="21"/>
        </w:rPr>
        <w:t>日期间，专家组会议上，</w:t>
      </w:r>
      <w:r w:rsidRPr="00EB049C">
        <w:rPr>
          <w:sz w:val="21"/>
          <w:szCs w:val="21"/>
        </w:rPr>
        <w:t>ORDB</w:t>
      </w:r>
      <w:r w:rsidRPr="00EB049C">
        <w:rPr>
          <w:rFonts w:hAnsi="宋体" w:hint="eastAsia"/>
          <w:sz w:val="21"/>
          <w:szCs w:val="21"/>
        </w:rPr>
        <w:t>接受了来自专家组成员和公众关于初步背景文件的意见建议，并对它进行了相应地修订。现在，本指导文件代替了该初步背景文件。</w:t>
      </w:r>
    </w:p>
    <w:p w:rsidR="008F17E4" w:rsidRPr="00EB049C" w:rsidRDefault="008F17E4" w:rsidP="00406178">
      <w:pPr>
        <w:pStyle w:val="CM45"/>
        <w:snapToGrid w:val="0"/>
        <w:spacing w:after="0" w:line="360" w:lineRule="auto"/>
        <w:jc w:val="both"/>
        <w:rPr>
          <w:sz w:val="21"/>
          <w:szCs w:val="21"/>
        </w:rPr>
      </w:pPr>
      <w:r w:rsidRPr="00EB049C">
        <w:rPr>
          <w:rFonts w:hAnsi="宋体" w:hint="eastAsia"/>
          <w:sz w:val="21"/>
          <w:szCs w:val="21"/>
        </w:rPr>
        <w:t>本文件中提到的意见和建议反映了已被裁定为可接受的方法，如果遵循这些方法，应该能够有助于利用科学有效的数据完成一份</w:t>
      </w:r>
      <w:r w:rsidRPr="00EB049C">
        <w:rPr>
          <w:sz w:val="21"/>
          <w:szCs w:val="21"/>
        </w:rPr>
        <w:t>IDE</w:t>
      </w:r>
      <w:r w:rsidRPr="00EB049C">
        <w:rPr>
          <w:rFonts w:hAnsi="宋体" w:hint="eastAsia"/>
          <w:sz w:val="21"/>
          <w:szCs w:val="21"/>
        </w:rPr>
        <w:t>申请。本指导文件提出了一些重要的评价标准、试验方法和终点。如果通过其他方式也能实现同样的目的，则</w:t>
      </w:r>
      <w:r w:rsidR="0093559A" w:rsidRPr="00EB049C">
        <w:rPr>
          <w:rFonts w:hAnsi="宋体" w:hint="eastAsia"/>
          <w:sz w:val="21"/>
          <w:szCs w:val="21"/>
        </w:rPr>
        <w:t>申办方</w:t>
      </w:r>
      <w:r w:rsidRPr="00EB049C">
        <w:rPr>
          <w:rFonts w:hAnsi="宋体" w:hint="eastAsia"/>
          <w:sz w:val="21"/>
          <w:szCs w:val="21"/>
        </w:rPr>
        <w:t>不应该克制自己探索其他可替代方法的行动。本指导文件应该被视为一份</w:t>
      </w:r>
      <w:r w:rsidRPr="00EB049C">
        <w:rPr>
          <w:sz w:val="21"/>
          <w:szCs w:val="21"/>
        </w:rPr>
        <w:t>“</w:t>
      </w:r>
      <w:r w:rsidRPr="00EB049C">
        <w:rPr>
          <w:rFonts w:hAnsi="宋体" w:hint="eastAsia"/>
          <w:sz w:val="21"/>
          <w:szCs w:val="21"/>
        </w:rPr>
        <w:t>活</w:t>
      </w:r>
      <w:r w:rsidRPr="00EB049C">
        <w:rPr>
          <w:sz w:val="21"/>
          <w:szCs w:val="21"/>
        </w:rPr>
        <w:t>”</w:t>
      </w:r>
      <w:r w:rsidRPr="00EB049C">
        <w:rPr>
          <w:rFonts w:hAnsi="宋体" w:hint="eastAsia"/>
          <w:sz w:val="21"/>
          <w:szCs w:val="21"/>
        </w:rPr>
        <w:t>文件。随着科学变化和科学技术的不断提高，器械与辐射保健中心（</w:t>
      </w:r>
      <w:r w:rsidRPr="00EB049C">
        <w:rPr>
          <w:sz w:val="21"/>
          <w:szCs w:val="21"/>
        </w:rPr>
        <w:t>CDRH</w:t>
      </w:r>
      <w:r w:rsidRPr="00EB049C">
        <w:rPr>
          <w:rFonts w:hAnsi="宋体" w:hint="eastAsia"/>
          <w:sz w:val="21"/>
          <w:szCs w:val="21"/>
        </w:rPr>
        <w:t>）将会定期修订本文件。</w:t>
      </w:r>
    </w:p>
    <w:p w:rsidR="008F17E4" w:rsidRPr="00EB049C" w:rsidRDefault="008F17E4" w:rsidP="00406178">
      <w:pPr>
        <w:pStyle w:val="CM45"/>
        <w:snapToGrid w:val="0"/>
        <w:spacing w:after="0" w:line="360" w:lineRule="auto"/>
        <w:jc w:val="both"/>
        <w:rPr>
          <w:sz w:val="21"/>
          <w:szCs w:val="21"/>
        </w:rPr>
      </w:pPr>
      <w:r w:rsidRPr="00EB049C">
        <w:rPr>
          <w:rFonts w:hAnsi="宋体" w:hint="eastAsia"/>
          <w:sz w:val="21"/>
          <w:szCs w:val="21"/>
        </w:rPr>
        <w:t>本</w:t>
      </w:r>
      <w:r w:rsidRPr="00EB049C">
        <w:rPr>
          <w:sz w:val="21"/>
          <w:szCs w:val="21"/>
        </w:rPr>
        <w:t>IDE</w:t>
      </w:r>
      <w:r w:rsidRPr="00EB049C">
        <w:rPr>
          <w:rFonts w:hAnsi="宋体" w:hint="eastAsia"/>
          <w:sz w:val="21"/>
          <w:szCs w:val="21"/>
        </w:rPr>
        <w:t>指导文件适用于大多数类型的脊柱系统，包括椎弓根螺钉系统、椎体间融合器械（如，融合器）、椎体置换器械、椎间盘置换件等。本文件中，所谓的脊柱</w:t>
      </w:r>
      <w:r w:rsidRPr="00EB049C">
        <w:rPr>
          <w:sz w:val="21"/>
          <w:szCs w:val="21"/>
        </w:rPr>
        <w:t>“</w:t>
      </w:r>
      <w:r w:rsidRPr="00EB049C">
        <w:rPr>
          <w:rFonts w:hAnsi="宋体" w:hint="eastAsia"/>
          <w:sz w:val="21"/>
          <w:szCs w:val="21"/>
        </w:rPr>
        <w:t>系统</w:t>
      </w:r>
      <w:r w:rsidRPr="00EB049C">
        <w:rPr>
          <w:sz w:val="21"/>
          <w:szCs w:val="21"/>
        </w:rPr>
        <w:t>”</w:t>
      </w:r>
      <w:r w:rsidRPr="00EB049C">
        <w:rPr>
          <w:rFonts w:hAnsi="宋体" w:hint="eastAsia"/>
          <w:sz w:val="21"/>
          <w:szCs w:val="21"/>
        </w:rPr>
        <w:t>指的是完整的植入物配置。</w:t>
      </w:r>
      <w:r w:rsidRPr="00EB049C">
        <w:rPr>
          <w:sz w:val="21"/>
          <w:szCs w:val="21"/>
        </w:rPr>
        <w:t>“</w:t>
      </w:r>
      <w:r w:rsidRPr="00EB049C">
        <w:rPr>
          <w:rFonts w:hAnsi="宋体" w:hint="eastAsia"/>
          <w:sz w:val="21"/>
          <w:szCs w:val="21"/>
        </w:rPr>
        <w:t>组件</w:t>
      </w:r>
      <w:r w:rsidRPr="00EB049C">
        <w:rPr>
          <w:sz w:val="21"/>
          <w:szCs w:val="21"/>
        </w:rPr>
        <w:t>”</w:t>
      </w:r>
      <w:r w:rsidRPr="00EB049C">
        <w:rPr>
          <w:rFonts w:hAnsi="宋体" w:hint="eastAsia"/>
          <w:sz w:val="21"/>
          <w:szCs w:val="21"/>
        </w:rPr>
        <w:t>为系统内的单一元件。当讨论试验时，通常会进行</w:t>
      </w:r>
      <w:r w:rsidRPr="00EB049C">
        <w:rPr>
          <w:sz w:val="21"/>
          <w:szCs w:val="21"/>
        </w:rPr>
        <w:t>“</w:t>
      </w:r>
      <w:r w:rsidRPr="00EB049C">
        <w:rPr>
          <w:rFonts w:hAnsi="宋体" w:hint="eastAsia"/>
          <w:sz w:val="21"/>
          <w:szCs w:val="21"/>
        </w:rPr>
        <w:t>构造</w:t>
      </w:r>
      <w:r w:rsidRPr="00EB049C">
        <w:rPr>
          <w:sz w:val="21"/>
          <w:szCs w:val="21"/>
        </w:rPr>
        <w:t>”</w:t>
      </w:r>
      <w:r w:rsidRPr="00EB049C">
        <w:rPr>
          <w:rFonts w:hAnsi="宋体" w:hint="eastAsia"/>
          <w:sz w:val="21"/>
          <w:szCs w:val="21"/>
        </w:rPr>
        <w:t>参考。鉴于本指导的目的，文中</w:t>
      </w:r>
      <w:r w:rsidRPr="00EB049C">
        <w:rPr>
          <w:sz w:val="21"/>
          <w:szCs w:val="21"/>
        </w:rPr>
        <w:t>“</w:t>
      </w:r>
      <w:r w:rsidRPr="00EB049C">
        <w:rPr>
          <w:rFonts w:hAnsi="宋体" w:hint="eastAsia"/>
          <w:sz w:val="21"/>
          <w:szCs w:val="21"/>
        </w:rPr>
        <w:t>系统</w:t>
      </w:r>
      <w:r w:rsidRPr="00EB049C">
        <w:rPr>
          <w:sz w:val="21"/>
          <w:szCs w:val="21"/>
        </w:rPr>
        <w:t>”</w:t>
      </w:r>
      <w:r w:rsidRPr="00EB049C">
        <w:rPr>
          <w:rFonts w:hAnsi="宋体" w:hint="eastAsia"/>
          <w:sz w:val="21"/>
          <w:szCs w:val="21"/>
        </w:rPr>
        <w:t>和</w:t>
      </w:r>
      <w:r w:rsidRPr="00EB049C">
        <w:rPr>
          <w:sz w:val="21"/>
          <w:szCs w:val="21"/>
        </w:rPr>
        <w:t>“</w:t>
      </w:r>
      <w:r w:rsidRPr="00EB049C">
        <w:rPr>
          <w:rFonts w:hAnsi="宋体" w:hint="eastAsia"/>
          <w:sz w:val="21"/>
          <w:szCs w:val="21"/>
        </w:rPr>
        <w:t>器械</w:t>
      </w:r>
      <w:r w:rsidRPr="00EB049C">
        <w:rPr>
          <w:sz w:val="21"/>
          <w:szCs w:val="21"/>
        </w:rPr>
        <w:t>”</w:t>
      </w:r>
      <w:r w:rsidRPr="00EB049C">
        <w:rPr>
          <w:rFonts w:hAnsi="宋体" w:hint="eastAsia"/>
          <w:sz w:val="21"/>
          <w:szCs w:val="21"/>
        </w:rPr>
        <w:t>可互换使用。</w:t>
      </w:r>
    </w:p>
    <w:p w:rsidR="008F17E4" w:rsidRPr="00EB049C" w:rsidRDefault="008F17E4" w:rsidP="00406178">
      <w:pPr>
        <w:pStyle w:val="CM45"/>
        <w:snapToGrid w:val="0"/>
        <w:spacing w:after="0" w:line="360" w:lineRule="auto"/>
        <w:jc w:val="both"/>
        <w:rPr>
          <w:sz w:val="21"/>
          <w:szCs w:val="21"/>
        </w:rPr>
      </w:pPr>
      <w:r w:rsidRPr="00EB049C">
        <w:rPr>
          <w:rFonts w:hAnsi="宋体" w:hint="eastAsia"/>
          <w:sz w:val="21"/>
          <w:szCs w:val="21"/>
        </w:rPr>
        <w:t>大多数系统都由多个组件（如，椎弓根螺钉系统、带封头的融合器、带生物组件的融合器等）构成。然而，一个系统也可能有单一组件构成（如，一块椎体置换器械）。对于打算进行融合的系统，大多数都是这个目的，通常把这些系统与骨材料一起应用（如自体移植、同种异体移植等）。</w:t>
      </w:r>
    </w:p>
    <w:p w:rsidR="008F17E4" w:rsidRPr="00EB049C" w:rsidRDefault="008F17E4" w:rsidP="00406178">
      <w:pPr>
        <w:pStyle w:val="CM45"/>
        <w:snapToGrid w:val="0"/>
        <w:spacing w:after="0" w:line="360" w:lineRule="auto"/>
        <w:jc w:val="both"/>
        <w:rPr>
          <w:sz w:val="21"/>
          <w:szCs w:val="21"/>
        </w:rPr>
      </w:pPr>
      <w:r w:rsidRPr="00EB049C">
        <w:rPr>
          <w:sz w:val="21"/>
          <w:szCs w:val="21"/>
        </w:rPr>
        <w:t>FDA</w:t>
      </w:r>
      <w:r w:rsidRPr="00EB049C">
        <w:rPr>
          <w:rFonts w:hAnsi="宋体" w:hint="eastAsia"/>
          <w:sz w:val="21"/>
          <w:szCs w:val="21"/>
        </w:rPr>
        <w:t>把所有植入型脊柱系统都视为重大风险器械。这些系统上市之前，</w:t>
      </w:r>
      <w:r w:rsidR="0093559A" w:rsidRPr="00EB049C">
        <w:rPr>
          <w:rFonts w:hAnsi="宋体" w:hint="eastAsia"/>
          <w:sz w:val="21"/>
          <w:szCs w:val="21"/>
        </w:rPr>
        <w:t>申办方</w:t>
      </w:r>
      <w:r w:rsidRPr="00EB049C">
        <w:rPr>
          <w:rFonts w:hAnsi="宋体" w:hint="eastAsia"/>
          <w:sz w:val="21"/>
          <w:szCs w:val="21"/>
        </w:rPr>
        <w:t>必须获得上市前通告（</w:t>
      </w:r>
      <w:r w:rsidRPr="00EB049C">
        <w:rPr>
          <w:sz w:val="21"/>
          <w:szCs w:val="21"/>
        </w:rPr>
        <w:t>510(k)</w:t>
      </w:r>
      <w:r w:rsidRPr="00EB049C">
        <w:rPr>
          <w:rFonts w:hAnsi="宋体" w:hint="eastAsia"/>
          <w:sz w:val="21"/>
          <w:szCs w:val="21"/>
        </w:rPr>
        <w:t>）授权或上市前批准（</w:t>
      </w:r>
      <w:r w:rsidRPr="00EB049C">
        <w:rPr>
          <w:sz w:val="21"/>
          <w:szCs w:val="21"/>
        </w:rPr>
        <w:t>PMA</w:t>
      </w:r>
      <w:r w:rsidRPr="00EB049C">
        <w:rPr>
          <w:rFonts w:hAnsi="宋体" w:hint="eastAsia"/>
          <w:sz w:val="21"/>
          <w:szCs w:val="21"/>
        </w:rPr>
        <w:t>）申请的批准。为了支持特殊类型或设计的脊柱系统的上市申请，可能需要临床数据，并且在美国启动临床试验之前，</w:t>
      </w:r>
      <w:r w:rsidR="0093559A" w:rsidRPr="00EB049C">
        <w:rPr>
          <w:rFonts w:hAnsi="宋体" w:hint="eastAsia"/>
          <w:sz w:val="21"/>
          <w:szCs w:val="21"/>
        </w:rPr>
        <w:t>申办方</w:t>
      </w:r>
      <w:r w:rsidRPr="00EB049C">
        <w:rPr>
          <w:rFonts w:hAnsi="宋体" w:hint="eastAsia"/>
          <w:sz w:val="21"/>
          <w:szCs w:val="21"/>
        </w:rPr>
        <w:t>必须获得</w:t>
      </w:r>
      <w:r w:rsidRPr="00EB049C">
        <w:rPr>
          <w:sz w:val="21"/>
          <w:szCs w:val="21"/>
        </w:rPr>
        <w:t>FDA</w:t>
      </w:r>
      <w:r w:rsidRPr="00EB049C">
        <w:rPr>
          <w:rFonts w:hAnsi="宋体" w:hint="eastAsia"/>
          <w:sz w:val="21"/>
          <w:szCs w:val="21"/>
        </w:rPr>
        <w:t>批准的</w:t>
      </w:r>
      <w:r w:rsidRPr="00EB049C">
        <w:rPr>
          <w:sz w:val="21"/>
          <w:szCs w:val="21"/>
        </w:rPr>
        <w:t>IDE</w:t>
      </w:r>
      <w:r w:rsidRPr="00EB049C">
        <w:rPr>
          <w:rFonts w:hAnsi="宋体" w:hint="eastAsia"/>
          <w:sz w:val="21"/>
          <w:szCs w:val="21"/>
        </w:rPr>
        <w:t>。只取得了机构审查委员会（</w:t>
      </w:r>
      <w:r w:rsidRPr="00EB049C">
        <w:rPr>
          <w:sz w:val="21"/>
          <w:szCs w:val="21"/>
        </w:rPr>
        <w:t>IRB</w:t>
      </w:r>
      <w:r w:rsidRPr="00EB049C">
        <w:rPr>
          <w:rFonts w:hAnsi="宋体" w:hint="eastAsia"/>
          <w:sz w:val="21"/>
          <w:szCs w:val="21"/>
        </w:rPr>
        <w:t>）的批准，不足以启动涉及植入型脊柱系统的人类受试者临床试验。还有一种方法，就是</w:t>
      </w:r>
      <w:r w:rsidR="0093559A" w:rsidRPr="00EB049C">
        <w:rPr>
          <w:rFonts w:hAnsi="宋体" w:hint="eastAsia"/>
          <w:sz w:val="21"/>
          <w:szCs w:val="21"/>
        </w:rPr>
        <w:t>申办方</w:t>
      </w:r>
      <w:r w:rsidRPr="00EB049C">
        <w:rPr>
          <w:rFonts w:hAnsi="宋体" w:hint="eastAsia"/>
          <w:sz w:val="21"/>
          <w:szCs w:val="21"/>
        </w:rPr>
        <w:t>可以递交一份产品开发方案（</w:t>
      </w:r>
      <w:r w:rsidRPr="00EB049C">
        <w:rPr>
          <w:sz w:val="21"/>
          <w:szCs w:val="21"/>
        </w:rPr>
        <w:t>PDP</w:t>
      </w:r>
      <w:r w:rsidRPr="00EB049C">
        <w:rPr>
          <w:rFonts w:hAnsi="宋体" w:hint="eastAsia"/>
          <w:sz w:val="21"/>
          <w:szCs w:val="21"/>
        </w:rPr>
        <w:t>）来代替</w:t>
      </w:r>
      <w:r w:rsidRPr="00EB049C">
        <w:rPr>
          <w:sz w:val="21"/>
          <w:szCs w:val="21"/>
        </w:rPr>
        <w:t>IDE</w:t>
      </w:r>
      <w:r w:rsidRPr="00EB049C">
        <w:rPr>
          <w:rFonts w:hAnsi="宋体" w:hint="eastAsia"/>
          <w:sz w:val="21"/>
          <w:szCs w:val="21"/>
        </w:rPr>
        <w:t>和</w:t>
      </w:r>
      <w:r w:rsidRPr="00EB049C">
        <w:rPr>
          <w:sz w:val="21"/>
          <w:szCs w:val="21"/>
        </w:rPr>
        <w:t>PMA</w:t>
      </w:r>
      <w:r w:rsidRPr="00EB049C">
        <w:rPr>
          <w:rFonts w:hAnsi="宋体" w:hint="eastAsia"/>
          <w:sz w:val="21"/>
          <w:szCs w:val="21"/>
        </w:rPr>
        <w:t>。考虑这一选择的所有</w:t>
      </w:r>
      <w:r w:rsidR="0093559A" w:rsidRPr="00EB049C">
        <w:rPr>
          <w:rFonts w:hAnsi="宋体" w:hint="eastAsia"/>
          <w:sz w:val="21"/>
          <w:szCs w:val="21"/>
        </w:rPr>
        <w:t>申办方</w:t>
      </w:r>
      <w:r w:rsidRPr="00EB049C">
        <w:rPr>
          <w:rFonts w:hAnsi="宋体" w:hint="eastAsia"/>
          <w:sz w:val="21"/>
          <w:szCs w:val="21"/>
        </w:rPr>
        <w:t>都应该参考</w:t>
      </w:r>
      <w:r w:rsidRPr="00EB049C">
        <w:rPr>
          <w:rFonts w:hAnsi="宋体" w:hint="eastAsia"/>
          <w:i/>
          <w:sz w:val="21"/>
          <w:szCs w:val="21"/>
        </w:rPr>
        <w:t>行业指导：产品开发方案内容</w:t>
      </w:r>
      <w:r w:rsidRPr="00EB049C">
        <w:rPr>
          <w:rFonts w:hAnsi="宋体" w:hint="eastAsia"/>
          <w:sz w:val="21"/>
          <w:szCs w:val="21"/>
        </w:rPr>
        <w:t>，了解关于</w:t>
      </w:r>
      <w:r w:rsidRPr="00EB049C">
        <w:rPr>
          <w:sz w:val="21"/>
          <w:szCs w:val="21"/>
        </w:rPr>
        <w:t>PDP</w:t>
      </w:r>
      <w:r w:rsidRPr="00EB049C">
        <w:rPr>
          <w:rFonts w:hAnsi="宋体" w:hint="eastAsia"/>
          <w:sz w:val="21"/>
          <w:szCs w:val="21"/>
        </w:rPr>
        <w:t>申请的具体意见。下面讨论的意见和指导适用于两者之一的产品评价。</w:t>
      </w:r>
    </w:p>
    <w:p w:rsidR="008F17E4" w:rsidRPr="00EB049C" w:rsidRDefault="008F17E4" w:rsidP="00406178">
      <w:pPr>
        <w:pStyle w:val="CM5"/>
        <w:snapToGrid w:val="0"/>
        <w:spacing w:line="360" w:lineRule="auto"/>
        <w:jc w:val="both"/>
        <w:rPr>
          <w:sz w:val="21"/>
          <w:szCs w:val="21"/>
        </w:rPr>
      </w:pPr>
      <w:r w:rsidRPr="00EB049C">
        <w:rPr>
          <w:rFonts w:hAnsi="宋体" w:hint="eastAsia"/>
          <w:sz w:val="21"/>
          <w:szCs w:val="21"/>
        </w:rPr>
        <w:t>本指导文件提供帮助开展临床研究和获取有效科学证据的框架，可以应用来为明确表示出预期用途和</w:t>
      </w:r>
      <w:r w:rsidR="00176745" w:rsidRPr="00EB049C">
        <w:rPr>
          <w:rFonts w:hAnsi="宋体" w:hint="eastAsia"/>
          <w:sz w:val="21"/>
          <w:szCs w:val="21"/>
        </w:rPr>
        <w:t>适应证</w:t>
      </w:r>
      <w:r w:rsidRPr="00EB049C">
        <w:rPr>
          <w:rFonts w:hAnsi="宋体" w:hint="eastAsia"/>
          <w:sz w:val="21"/>
          <w:szCs w:val="21"/>
        </w:rPr>
        <w:t>的脊柱系统的安全性和有效性提供合理保证。在</w:t>
      </w:r>
      <w:r w:rsidRPr="00EB049C">
        <w:rPr>
          <w:sz w:val="21"/>
          <w:szCs w:val="21"/>
        </w:rPr>
        <w:t>IDE</w:t>
      </w:r>
      <w:r w:rsidRPr="00EB049C">
        <w:rPr>
          <w:rFonts w:hAnsi="宋体" w:hint="eastAsia"/>
          <w:sz w:val="21"/>
          <w:szCs w:val="21"/>
        </w:rPr>
        <w:t>申请上，本指导文件可以作为其他</w:t>
      </w:r>
      <w:r w:rsidRPr="00EB049C">
        <w:rPr>
          <w:sz w:val="21"/>
          <w:szCs w:val="21"/>
        </w:rPr>
        <w:t>FDA</w:t>
      </w:r>
      <w:r w:rsidRPr="00EB049C">
        <w:rPr>
          <w:rFonts w:hAnsi="宋体" w:hint="eastAsia"/>
          <w:sz w:val="21"/>
          <w:szCs w:val="21"/>
        </w:rPr>
        <w:t>出版物的补充，不应该解释为代替了这些文件。在临床前试验和试验方案制定上，</w:t>
      </w:r>
      <w:r w:rsidRPr="00EB049C">
        <w:rPr>
          <w:sz w:val="21"/>
          <w:szCs w:val="21"/>
        </w:rPr>
        <w:t>ORDB</w:t>
      </w:r>
      <w:r w:rsidRPr="00EB049C">
        <w:rPr>
          <w:rFonts w:hAnsi="宋体" w:hint="eastAsia"/>
          <w:sz w:val="21"/>
          <w:szCs w:val="21"/>
        </w:rPr>
        <w:t>公司希望能尽早得到指导意见。虽然使用本文件编写临床前和临床方案不一定确保获得</w:t>
      </w:r>
      <w:r w:rsidRPr="00EB049C">
        <w:rPr>
          <w:sz w:val="21"/>
          <w:szCs w:val="21"/>
        </w:rPr>
        <w:t>IDE</w:t>
      </w:r>
      <w:r w:rsidRPr="00EB049C">
        <w:rPr>
          <w:rFonts w:hAnsi="宋体" w:hint="eastAsia"/>
          <w:sz w:val="21"/>
          <w:szCs w:val="21"/>
        </w:rPr>
        <w:t>、</w:t>
      </w:r>
      <w:r w:rsidRPr="00EB049C">
        <w:rPr>
          <w:sz w:val="21"/>
          <w:szCs w:val="21"/>
        </w:rPr>
        <w:t>PMA</w:t>
      </w:r>
      <w:r w:rsidRPr="00EB049C">
        <w:rPr>
          <w:rFonts w:hAnsi="宋体" w:hint="eastAsia"/>
          <w:sz w:val="21"/>
          <w:szCs w:val="21"/>
        </w:rPr>
        <w:t>或</w:t>
      </w:r>
      <w:r w:rsidRPr="00EB049C">
        <w:rPr>
          <w:sz w:val="21"/>
          <w:szCs w:val="21"/>
        </w:rPr>
        <w:t>PDF</w:t>
      </w:r>
      <w:r w:rsidRPr="00EB049C">
        <w:rPr>
          <w:rFonts w:hAnsi="宋体" w:hint="eastAsia"/>
          <w:sz w:val="21"/>
          <w:szCs w:val="21"/>
        </w:rPr>
        <w:t>批准或</w:t>
      </w:r>
      <w:r w:rsidRPr="00EB049C">
        <w:rPr>
          <w:sz w:val="21"/>
          <w:szCs w:val="21"/>
        </w:rPr>
        <w:t>510(k)</w:t>
      </w:r>
      <w:r w:rsidRPr="00EB049C">
        <w:rPr>
          <w:rFonts w:hAnsi="宋体" w:hint="eastAsia"/>
          <w:sz w:val="21"/>
          <w:szCs w:val="21"/>
        </w:rPr>
        <w:t>授权，但是遵循本文件应该能减少</w:t>
      </w:r>
      <w:r w:rsidR="0093559A" w:rsidRPr="00EB049C">
        <w:rPr>
          <w:rFonts w:hAnsi="宋体" w:hint="eastAsia"/>
          <w:sz w:val="21"/>
          <w:szCs w:val="21"/>
        </w:rPr>
        <w:t>申办方</w:t>
      </w:r>
      <w:r w:rsidRPr="00EB049C">
        <w:rPr>
          <w:rFonts w:hAnsi="宋体" w:hint="eastAsia"/>
          <w:sz w:val="21"/>
          <w:szCs w:val="21"/>
        </w:rPr>
        <w:t>不必要的工作，应该便于</w:t>
      </w:r>
      <w:r w:rsidRPr="00EB049C">
        <w:rPr>
          <w:sz w:val="21"/>
          <w:szCs w:val="21"/>
        </w:rPr>
        <w:t>FDA</w:t>
      </w:r>
      <w:r w:rsidRPr="00EB049C">
        <w:rPr>
          <w:rFonts w:hAnsi="宋体" w:hint="eastAsia"/>
          <w:sz w:val="21"/>
          <w:szCs w:val="21"/>
        </w:rPr>
        <w:t>更有效地审查。</w:t>
      </w:r>
    </w:p>
    <w:p w:rsidR="008F17E4" w:rsidRPr="00EB049C" w:rsidRDefault="008F17E4" w:rsidP="009A6A54">
      <w:pPr>
        <w:pStyle w:val="CM45"/>
        <w:snapToGrid w:val="0"/>
        <w:spacing w:after="0" w:line="360" w:lineRule="auto"/>
        <w:jc w:val="both"/>
        <w:rPr>
          <w:sz w:val="21"/>
          <w:szCs w:val="21"/>
        </w:rPr>
      </w:pPr>
      <w:r w:rsidRPr="00EB049C">
        <w:rPr>
          <w:sz w:val="21"/>
          <w:szCs w:val="21"/>
        </w:rPr>
        <w:br w:type="page"/>
      </w:r>
      <w:r w:rsidRPr="00EB049C">
        <w:rPr>
          <w:sz w:val="21"/>
          <w:szCs w:val="21"/>
        </w:rPr>
        <w:lastRenderedPageBreak/>
        <w:t>1997</w:t>
      </w:r>
      <w:r w:rsidRPr="00EB049C">
        <w:rPr>
          <w:rFonts w:hAnsi="宋体" w:hint="eastAsia"/>
          <w:sz w:val="21"/>
          <w:szCs w:val="21"/>
        </w:rPr>
        <w:t>食品药品管理局现代化法（</w:t>
      </w:r>
      <w:r w:rsidRPr="00EB049C">
        <w:rPr>
          <w:sz w:val="21"/>
          <w:szCs w:val="21"/>
        </w:rPr>
        <w:t>FDAMA</w:t>
      </w:r>
      <w:r w:rsidRPr="00EB049C">
        <w:rPr>
          <w:rFonts w:hAnsi="宋体" w:hint="eastAsia"/>
          <w:sz w:val="21"/>
          <w:szCs w:val="21"/>
        </w:rPr>
        <w:t>）第</w:t>
      </w:r>
      <w:r w:rsidRPr="00EB049C">
        <w:rPr>
          <w:sz w:val="21"/>
          <w:szCs w:val="21"/>
        </w:rPr>
        <w:t>205</w:t>
      </w:r>
      <w:r w:rsidRPr="00EB049C">
        <w:rPr>
          <w:rFonts w:hAnsi="宋体" w:hint="eastAsia"/>
          <w:sz w:val="21"/>
          <w:szCs w:val="21"/>
        </w:rPr>
        <w:t>部分要求</w:t>
      </w:r>
      <w:r w:rsidRPr="00EB049C">
        <w:rPr>
          <w:sz w:val="21"/>
          <w:szCs w:val="21"/>
        </w:rPr>
        <w:t>FDA</w:t>
      </w:r>
      <w:r w:rsidRPr="00EB049C">
        <w:rPr>
          <w:rFonts w:hAnsi="宋体" w:hint="eastAsia"/>
          <w:sz w:val="21"/>
          <w:szCs w:val="21"/>
        </w:rPr>
        <w:t>与</w:t>
      </w:r>
      <w:r w:rsidR="0093559A" w:rsidRPr="00EB049C">
        <w:rPr>
          <w:rFonts w:hAnsi="宋体" w:hint="eastAsia"/>
          <w:sz w:val="21"/>
          <w:szCs w:val="21"/>
        </w:rPr>
        <w:t>申办方</w:t>
      </w:r>
      <w:r w:rsidRPr="00EB049C">
        <w:rPr>
          <w:rFonts w:hAnsi="宋体" w:hint="eastAsia"/>
          <w:sz w:val="21"/>
          <w:szCs w:val="21"/>
        </w:rPr>
        <w:t>协商，考虑</w:t>
      </w:r>
      <w:r w:rsidRPr="00EB049C">
        <w:rPr>
          <w:sz w:val="21"/>
          <w:szCs w:val="21"/>
        </w:rPr>
        <w:t>“</w:t>
      </w:r>
      <w:r w:rsidRPr="00EB049C">
        <w:rPr>
          <w:rFonts w:hAnsi="宋体" w:hint="eastAsia"/>
          <w:sz w:val="21"/>
          <w:szCs w:val="21"/>
        </w:rPr>
        <w:t>最小负担</w:t>
      </w:r>
      <w:r w:rsidRPr="00EB049C">
        <w:rPr>
          <w:sz w:val="21"/>
          <w:szCs w:val="21"/>
        </w:rPr>
        <w:t>”</w:t>
      </w:r>
      <w:r w:rsidRPr="00EB049C">
        <w:rPr>
          <w:rFonts w:hAnsi="宋体" w:hint="eastAsia"/>
          <w:sz w:val="21"/>
          <w:szCs w:val="21"/>
        </w:rPr>
        <w:t>方法，允许对器械完成适当的上市前发展和审查，避免对</w:t>
      </w:r>
      <w:r w:rsidR="0093559A" w:rsidRPr="00EB049C">
        <w:rPr>
          <w:rFonts w:hAnsi="宋体" w:hint="eastAsia"/>
          <w:sz w:val="21"/>
          <w:szCs w:val="21"/>
        </w:rPr>
        <w:t>申办方</w:t>
      </w:r>
      <w:r w:rsidRPr="00EB049C">
        <w:rPr>
          <w:rFonts w:hAnsi="宋体" w:hint="eastAsia"/>
          <w:sz w:val="21"/>
          <w:szCs w:val="21"/>
        </w:rPr>
        <w:t>造成不必要的延迟和开销。这一考虑最小负担方法的要求适用于</w:t>
      </w:r>
      <w:r w:rsidRPr="00EB049C">
        <w:rPr>
          <w:sz w:val="21"/>
          <w:szCs w:val="21"/>
        </w:rPr>
        <w:t>510(k)</w:t>
      </w:r>
      <w:r w:rsidRPr="00EB049C">
        <w:rPr>
          <w:rFonts w:hAnsi="宋体" w:hint="eastAsia"/>
          <w:sz w:val="21"/>
          <w:szCs w:val="21"/>
        </w:rPr>
        <w:t>、</w:t>
      </w:r>
      <w:r w:rsidRPr="00EB049C">
        <w:rPr>
          <w:sz w:val="21"/>
          <w:szCs w:val="21"/>
        </w:rPr>
        <w:t>PMA</w:t>
      </w:r>
      <w:r w:rsidRPr="00EB049C">
        <w:rPr>
          <w:rFonts w:hAnsi="宋体" w:hint="eastAsia"/>
          <w:sz w:val="21"/>
          <w:szCs w:val="21"/>
        </w:rPr>
        <w:t>和</w:t>
      </w:r>
      <w:r w:rsidRPr="00EB049C">
        <w:rPr>
          <w:sz w:val="21"/>
          <w:szCs w:val="21"/>
        </w:rPr>
        <w:t xml:space="preserve">PDP </w:t>
      </w:r>
      <w:r w:rsidRPr="00EB049C">
        <w:rPr>
          <w:rFonts w:hAnsi="宋体" w:hint="eastAsia"/>
          <w:sz w:val="21"/>
          <w:szCs w:val="21"/>
        </w:rPr>
        <w:t>。</w:t>
      </w:r>
      <w:r w:rsidRPr="00EB049C">
        <w:rPr>
          <w:sz w:val="21"/>
          <w:szCs w:val="21"/>
        </w:rPr>
        <w:t>FDA</w:t>
      </w:r>
      <w:r w:rsidRPr="00EB049C">
        <w:rPr>
          <w:rFonts w:hAnsi="宋体" w:hint="eastAsia"/>
          <w:sz w:val="21"/>
          <w:szCs w:val="21"/>
        </w:rPr>
        <w:t>承诺与</w:t>
      </w:r>
      <w:r w:rsidR="0093559A" w:rsidRPr="00EB049C">
        <w:rPr>
          <w:rFonts w:hAnsi="宋体" w:hint="eastAsia"/>
          <w:sz w:val="21"/>
          <w:szCs w:val="21"/>
        </w:rPr>
        <w:t>申办方</w:t>
      </w:r>
      <w:r w:rsidRPr="00EB049C">
        <w:rPr>
          <w:rFonts w:hAnsi="宋体" w:hint="eastAsia"/>
          <w:sz w:val="21"/>
          <w:szCs w:val="21"/>
        </w:rPr>
        <w:t>一起合作，实现这一要求，并愿意考虑另一编制充分方案的替代方法。详细内容请参考指导</w:t>
      </w:r>
      <w:r w:rsidRPr="00EB049C">
        <w:rPr>
          <w:sz w:val="21"/>
          <w:szCs w:val="21"/>
        </w:rPr>
        <w:t>“</w:t>
      </w:r>
      <w:r w:rsidRPr="00EB049C">
        <w:rPr>
          <w:rFonts w:hAnsi="宋体" w:hint="eastAsia"/>
          <w:sz w:val="21"/>
          <w:szCs w:val="21"/>
        </w:rPr>
        <w:t>最小负荷上市方法的证据模型</w:t>
      </w:r>
      <w:r w:rsidRPr="00EB049C">
        <w:rPr>
          <w:sz w:val="21"/>
          <w:szCs w:val="21"/>
        </w:rPr>
        <w:t>”</w:t>
      </w:r>
      <w:r w:rsidRPr="00EB049C">
        <w:rPr>
          <w:rFonts w:hAnsi="宋体" w:hint="eastAsia"/>
          <w:sz w:val="21"/>
          <w:szCs w:val="21"/>
        </w:rPr>
        <w:t>，可访问</w:t>
      </w:r>
      <w:hyperlink r:id="rId11" w:history="1">
        <w:r w:rsidRPr="00EB049C">
          <w:rPr>
            <w:sz w:val="21"/>
            <w:szCs w:val="21"/>
            <w:u w:val="single"/>
          </w:rPr>
          <w:t xml:space="preserve">http://www.fda.gov/cdrh/ode/1154.pdf </w:t>
        </w:r>
      </w:hyperlink>
      <w:r w:rsidRPr="00EB049C">
        <w:rPr>
          <w:rFonts w:hAnsi="宋体" w:hint="eastAsia"/>
          <w:sz w:val="21"/>
          <w:szCs w:val="21"/>
          <w:u w:val="single"/>
        </w:rPr>
        <w:t>获取</w:t>
      </w:r>
      <w:r w:rsidRPr="00EB049C">
        <w:rPr>
          <w:rFonts w:hAnsi="宋体" w:hint="eastAsia"/>
          <w:sz w:val="21"/>
          <w:szCs w:val="21"/>
        </w:rPr>
        <w:t>。</w:t>
      </w:r>
    </w:p>
    <w:p w:rsidR="008F17E4" w:rsidRPr="00EB049C" w:rsidRDefault="008F17E4" w:rsidP="009A6A54">
      <w:pPr>
        <w:pStyle w:val="CM5"/>
        <w:snapToGrid w:val="0"/>
        <w:spacing w:line="360" w:lineRule="auto"/>
        <w:jc w:val="both"/>
        <w:rPr>
          <w:sz w:val="21"/>
          <w:szCs w:val="21"/>
        </w:rPr>
      </w:pPr>
      <w:r w:rsidRPr="00EB049C">
        <w:rPr>
          <w:rFonts w:hAnsi="宋体" w:hint="eastAsia"/>
          <w:sz w:val="21"/>
          <w:szCs w:val="21"/>
        </w:rPr>
        <w:t xml:space="preserve">　本指导中提及的</w:t>
      </w:r>
      <w:r w:rsidRPr="00EB049C">
        <w:rPr>
          <w:sz w:val="21"/>
          <w:szCs w:val="21"/>
        </w:rPr>
        <w:t>FDA</w:t>
      </w:r>
      <w:r w:rsidRPr="00EB049C">
        <w:rPr>
          <w:rFonts w:hAnsi="宋体" w:hint="eastAsia"/>
          <w:sz w:val="21"/>
          <w:szCs w:val="21"/>
        </w:rPr>
        <w:t>法规可查阅美国联邦法规第</w:t>
      </w:r>
      <w:r w:rsidRPr="00EB049C">
        <w:rPr>
          <w:sz w:val="21"/>
          <w:szCs w:val="21"/>
        </w:rPr>
        <w:t>21</w:t>
      </w:r>
      <w:r w:rsidRPr="00EB049C">
        <w:rPr>
          <w:rFonts w:hAnsi="宋体" w:hint="eastAsia"/>
          <w:sz w:val="21"/>
          <w:szCs w:val="21"/>
        </w:rPr>
        <w:t>篇，如下：</w:t>
      </w:r>
    </w:p>
    <w:p w:rsidR="008F17E4" w:rsidRPr="00EB049C" w:rsidRDefault="008F17E4"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人类受试者保护；知情同意书（</w:t>
      </w:r>
      <w:r w:rsidRPr="00EB049C">
        <w:rPr>
          <w:color w:val="auto"/>
          <w:sz w:val="21"/>
          <w:szCs w:val="21"/>
        </w:rPr>
        <w:t>21 CFR 50</w:t>
      </w:r>
      <w:r w:rsidRPr="00EB049C">
        <w:rPr>
          <w:rFonts w:hAnsi="宋体" w:hint="eastAsia"/>
          <w:color w:val="auto"/>
          <w:sz w:val="21"/>
          <w:szCs w:val="21"/>
        </w:rPr>
        <w:t>）</w:t>
      </w:r>
    </w:p>
    <w:p w:rsidR="008F17E4" w:rsidRPr="00EB049C" w:rsidRDefault="008F17E4"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临床研究机构审查委员会标准（</w:t>
      </w:r>
      <w:r w:rsidRPr="00EB049C">
        <w:rPr>
          <w:color w:val="auto"/>
          <w:sz w:val="21"/>
          <w:szCs w:val="21"/>
        </w:rPr>
        <w:t>21 CFR 56</w:t>
      </w:r>
      <w:r w:rsidRPr="00EB049C">
        <w:rPr>
          <w:rFonts w:hAnsi="宋体" w:hint="eastAsia"/>
          <w:color w:val="auto"/>
          <w:sz w:val="21"/>
          <w:szCs w:val="21"/>
        </w:rPr>
        <w:t>）</w:t>
      </w:r>
    </w:p>
    <w:p w:rsidR="008F17E4" w:rsidRPr="00EB049C" w:rsidRDefault="005A3D95"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药物非临床研究质量管理规范</w:t>
      </w:r>
      <w:r w:rsidR="008F17E4" w:rsidRPr="00EB049C">
        <w:rPr>
          <w:rFonts w:hAnsi="宋体" w:hint="eastAsia"/>
          <w:color w:val="auto"/>
          <w:sz w:val="21"/>
          <w:szCs w:val="21"/>
        </w:rPr>
        <w:t>（</w:t>
      </w:r>
      <w:r w:rsidR="008F17E4" w:rsidRPr="00EB049C">
        <w:rPr>
          <w:color w:val="auto"/>
          <w:sz w:val="21"/>
          <w:szCs w:val="21"/>
        </w:rPr>
        <w:t>GLP</w:t>
      </w:r>
      <w:r w:rsidR="008F17E4" w:rsidRPr="00EB049C">
        <w:rPr>
          <w:rFonts w:hAnsi="宋体" w:hint="eastAsia"/>
          <w:color w:val="auto"/>
          <w:sz w:val="21"/>
          <w:szCs w:val="21"/>
        </w:rPr>
        <w:t>）法规（</w:t>
      </w:r>
      <w:r w:rsidR="008F17E4" w:rsidRPr="00EB049C">
        <w:rPr>
          <w:color w:val="auto"/>
          <w:sz w:val="21"/>
          <w:szCs w:val="21"/>
        </w:rPr>
        <w:t>21 CFR 58</w:t>
      </w:r>
      <w:r w:rsidR="008F17E4" w:rsidRPr="00EB049C">
        <w:rPr>
          <w:rFonts w:hAnsi="宋体" w:hint="eastAsia"/>
          <w:color w:val="auto"/>
          <w:sz w:val="21"/>
          <w:szCs w:val="21"/>
        </w:rPr>
        <w:t>）</w:t>
      </w:r>
    </w:p>
    <w:p w:rsidR="008F17E4" w:rsidRPr="00EB049C" w:rsidRDefault="008F17E4"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试验用器械豁免（</w:t>
      </w:r>
      <w:r w:rsidRPr="00EB049C">
        <w:rPr>
          <w:color w:val="auto"/>
          <w:sz w:val="21"/>
          <w:szCs w:val="21"/>
        </w:rPr>
        <w:t>21 CFR 812</w:t>
      </w:r>
      <w:r w:rsidRPr="00EB049C">
        <w:rPr>
          <w:rFonts w:hAnsi="宋体" w:hint="eastAsia"/>
          <w:color w:val="auto"/>
          <w:sz w:val="21"/>
          <w:szCs w:val="21"/>
        </w:rPr>
        <w:t>）</w:t>
      </w:r>
    </w:p>
    <w:p w:rsidR="008F17E4" w:rsidRPr="00EB049C" w:rsidRDefault="008F17E4"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安全性和有效性确定（定义有效科学证据）（</w:t>
      </w:r>
      <w:r w:rsidRPr="00EB049C">
        <w:rPr>
          <w:color w:val="auto"/>
          <w:sz w:val="21"/>
          <w:szCs w:val="21"/>
        </w:rPr>
        <w:t>21 CFR 860.7</w:t>
      </w:r>
      <w:r w:rsidRPr="00EB049C">
        <w:rPr>
          <w:rFonts w:hAnsi="宋体" w:hint="eastAsia"/>
          <w:color w:val="auto"/>
          <w:sz w:val="21"/>
          <w:szCs w:val="21"/>
        </w:rPr>
        <w:t>）</w:t>
      </w:r>
    </w:p>
    <w:p w:rsidR="008F17E4" w:rsidRPr="00EB049C" w:rsidRDefault="008F17E4" w:rsidP="005627F4">
      <w:pPr>
        <w:pStyle w:val="Default"/>
        <w:numPr>
          <w:ilvl w:val="0"/>
          <w:numId w:val="1"/>
        </w:numPr>
        <w:snapToGrid w:val="0"/>
        <w:spacing w:line="360" w:lineRule="auto"/>
        <w:ind w:leftChars="200" w:firstLine="0"/>
        <w:jc w:val="both"/>
        <w:rPr>
          <w:color w:val="auto"/>
          <w:sz w:val="21"/>
          <w:szCs w:val="21"/>
        </w:rPr>
      </w:pPr>
      <w:r w:rsidRPr="00EB049C">
        <w:rPr>
          <w:rFonts w:hAnsi="宋体" w:hint="eastAsia"/>
          <w:color w:val="auto"/>
          <w:sz w:val="21"/>
          <w:szCs w:val="21"/>
        </w:rPr>
        <w:t>环境影响事项（</w:t>
      </w:r>
      <w:r w:rsidRPr="00EB049C">
        <w:rPr>
          <w:color w:val="auto"/>
          <w:sz w:val="21"/>
          <w:szCs w:val="21"/>
        </w:rPr>
        <w:t>21 CFR 25</w:t>
      </w:r>
      <w:r w:rsidRPr="00EB049C">
        <w:rPr>
          <w:rFonts w:hAnsi="宋体" w:hint="eastAsia"/>
          <w:color w:val="auto"/>
          <w:sz w:val="21"/>
          <w:szCs w:val="21"/>
        </w:rPr>
        <w:t>）</w:t>
      </w:r>
    </w:p>
    <w:p w:rsidR="008F17E4" w:rsidRPr="00EB049C" w:rsidRDefault="008F17E4" w:rsidP="009A6A54">
      <w:pPr>
        <w:pStyle w:val="CM44"/>
        <w:snapToGrid w:val="0"/>
        <w:spacing w:after="0" w:line="360" w:lineRule="auto"/>
        <w:jc w:val="both"/>
        <w:rPr>
          <w:sz w:val="21"/>
          <w:szCs w:val="21"/>
        </w:rPr>
      </w:pPr>
      <w:r w:rsidRPr="00EB049C">
        <w:rPr>
          <w:rFonts w:hAnsi="宋体" w:hint="eastAsia"/>
          <w:sz w:val="21"/>
          <w:szCs w:val="21"/>
        </w:rPr>
        <w:t>本指导文件中提及的所有</w:t>
      </w:r>
      <w:r w:rsidRPr="00EB049C">
        <w:rPr>
          <w:sz w:val="21"/>
          <w:szCs w:val="21"/>
        </w:rPr>
        <w:t>FDA</w:t>
      </w:r>
      <w:r w:rsidRPr="00EB049C">
        <w:rPr>
          <w:rFonts w:hAnsi="宋体" w:hint="eastAsia"/>
          <w:sz w:val="21"/>
          <w:szCs w:val="21"/>
        </w:rPr>
        <w:t>出版物都可以联系小型制造商服务组（</w:t>
      </w:r>
      <w:r w:rsidRPr="00EB049C">
        <w:rPr>
          <w:sz w:val="21"/>
          <w:szCs w:val="21"/>
        </w:rPr>
        <w:t>DSMA</w:t>
      </w:r>
      <w:r w:rsidRPr="00EB049C">
        <w:rPr>
          <w:rFonts w:hAnsi="宋体" w:hint="eastAsia"/>
          <w:sz w:val="21"/>
          <w:szCs w:val="21"/>
        </w:rPr>
        <w:t>）索取，电话</w:t>
      </w:r>
      <w:r w:rsidRPr="00EB049C">
        <w:rPr>
          <w:sz w:val="21"/>
          <w:szCs w:val="21"/>
        </w:rPr>
        <w:t xml:space="preserve">800-638-2041 </w:t>
      </w:r>
      <w:r w:rsidRPr="00EB049C">
        <w:rPr>
          <w:rFonts w:hAnsi="宋体" w:hint="eastAsia"/>
          <w:sz w:val="21"/>
          <w:szCs w:val="21"/>
        </w:rPr>
        <w:t>（免费电话）或</w:t>
      </w:r>
      <w:r w:rsidRPr="00EB049C">
        <w:rPr>
          <w:sz w:val="21"/>
          <w:szCs w:val="21"/>
        </w:rPr>
        <w:t xml:space="preserve"> 301-443-6597</w:t>
      </w:r>
      <w:r w:rsidRPr="00EB049C">
        <w:rPr>
          <w:rFonts w:hAnsi="宋体" w:hint="eastAsia"/>
          <w:sz w:val="21"/>
          <w:szCs w:val="21"/>
        </w:rPr>
        <w:t>。一些出版物还能通过</w:t>
      </w:r>
      <w:r w:rsidRPr="00EB049C">
        <w:rPr>
          <w:sz w:val="21"/>
          <w:szCs w:val="21"/>
        </w:rPr>
        <w:t>DSMA</w:t>
      </w:r>
      <w:r w:rsidRPr="00EB049C">
        <w:rPr>
          <w:rFonts w:hAnsi="宋体" w:hint="eastAsia"/>
          <w:sz w:val="21"/>
          <w:szCs w:val="21"/>
        </w:rPr>
        <w:t>网站</w:t>
      </w:r>
      <w:hyperlink r:id="rId12" w:history="1">
        <w:r w:rsidRPr="00EB049C">
          <w:rPr>
            <w:sz w:val="21"/>
            <w:szCs w:val="21"/>
            <w:u w:val="single"/>
          </w:rPr>
          <w:t>www.fda.gov/cdrh/dsma/dsmamain.html</w:t>
        </w:r>
      </w:hyperlink>
      <w:r w:rsidRPr="00EB049C">
        <w:rPr>
          <w:rFonts w:hAnsi="宋体" w:hint="eastAsia"/>
          <w:sz w:val="21"/>
          <w:szCs w:val="21"/>
        </w:rPr>
        <w:t>获取。关于本指导文件的具体问题和澄清应该联系</w:t>
      </w:r>
      <w:r w:rsidRPr="00EB049C">
        <w:rPr>
          <w:sz w:val="21"/>
          <w:szCs w:val="21"/>
        </w:rPr>
        <w:t xml:space="preserve"> ORDB</w:t>
      </w:r>
      <w:r w:rsidRPr="00EB049C">
        <w:rPr>
          <w:rFonts w:hAnsi="宋体" w:hint="eastAsia"/>
          <w:sz w:val="21"/>
          <w:szCs w:val="21"/>
        </w:rPr>
        <w:t>公司，电话为</w:t>
      </w:r>
      <w:r w:rsidRPr="00EB049C">
        <w:rPr>
          <w:sz w:val="21"/>
          <w:szCs w:val="21"/>
        </w:rPr>
        <w:t>301-594-2036</w:t>
      </w:r>
      <w:r w:rsidRPr="00EB049C">
        <w:rPr>
          <w:rFonts w:hAnsi="宋体" w:hint="eastAsia"/>
          <w:sz w:val="21"/>
          <w:szCs w:val="21"/>
        </w:rPr>
        <w:t>。</w:t>
      </w:r>
    </w:p>
    <w:p w:rsidR="008F17E4" w:rsidRPr="00EB049C" w:rsidRDefault="008F17E4" w:rsidP="003E190C">
      <w:pPr>
        <w:pStyle w:val="CM45"/>
        <w:snapToGrid w:val="0"/>
        <w:spacing w:beforeLines="100" w:afterLines="50" w:line="360" w:lineRule="auto"/>
        <w:jc w:val="both"/>
        <w:outlineLvl w:val="0"/>
        <w:rPr>
          <w:sz w:val="21"/>
          <w:szCs w:val="21"/>
        </w:rPr>
      </w:pPr>
      <w:bookmarkStart w:id="4" w:name="_Toc480641571"/>
      <w:r w:rsidRPr="00EB049C">
        <w:rPr>
          <w:rFonts w:hAnsi="宋体" w:hint="eastAsia"/>
          <w:b/>
          <w:bCs/>
          <w:sz w:val="21"/>
          <w:szCs w:val="21"/>
          <w:u w:val="single"/>
        </w:rPr>
        <w:t>一般的</w:t>
      </w:r>
      <w:r w:rsidRPr="00EB049C">
        <w:rPr>
          <w:b/>
          <w:bCs/>
          <w:sz w:val="21"/>
          <w:szCs w:val="21"/>
          <w:u w:val="single"/>
        </w:rPr>
        <w:t xml:space="preserve"> IDE</w:t>
      </w:r>
      <w:r w:rsidRPr="00EB049C">
        <w:rPr>
          <w:rFonts w:hAnsi="宋体" w:hint="eastAsia"/>
          <w:b/>
          <w:bCs/>
          <w:sz w:val="21"/>
          <w:szCs w:val="21"/>
          <w:u w:val="single"/>
        </w:rPr>
        <w:t>内容信息</w:t>
      </w:r>
      <w:bookmarkEnd w:id="4"/>
    </w:p>
    <w:p w:rsidR="008F17E4" w:rsidRPr="00EB049C" w:rsidRDefault="008F17E4" w:rsidP="005627F4">
      <w:pPr>
        <w:pStyle w:val="CM45"/>
        <w:snapToGrid w:val="0"/>
        <w:spacing w:after="0" w:line="360" w:lineRule="auto"/>
        <w:ind w:firstLineChars="100" w:firstLine="210"/>
        <w:jc w:val="both"/>
        <w:rPr>
          <w:sz w:val="21"/>
          <w:szCs w:val="21"/>
        </w:rPr>
      </w:pPr>
      <w:r w:rsidRPr="00EB049C">
        <w:rPr>
          <w:rFonts w:hAnsi="宋体" w:hint="eastAsia"/>
          <w:sz w:val="21"/>
          <w:szCs w:val="21"/>
        </w:rPr>
        <w:t>临床研究的</w:t>
      </w:r>
      <w:r w:rsidR="0093559A" w:rsidRPr="00EB049C">
        <w:rPr>
          <w:rFonts w:hAnsi="宋体" w:hint="eastAsia"/>
          <w:sz w:val="21"/>
          <w:szCs w:val="21"/>
        </w:rPr>
        <w:t>申办方</w:t>
      </w:r>
      <w:r w:rsidRPr="00EB049C">
        <w:rPr>
          <w:rFonts w:hAnsi="宋体" w:hint="eastAsia"/>
          <w:sz w:val="21"/>
          <w:szCs w:val="21"/>
        </w:rPr>
        <w:t>应该仔细考虑如何充分支持</w:t>
      </w:r>
      <w:r w:rsidRPr="00EB049C">
        <w:rPr>
          <w:sz w:val="21"/>
          <w:szCs w:val="21"/>
        </w:rPr>
        <w:t>510(k)</w:t>
      </w:r>
      <w:r w:rsidRPr="00EB049C">
        <w:rPr>
          <w:rFonts w:hAnsi="宋体" w:hint="eastAsia"/>
          <w:sz w:val="21"/>
          <w:szCs w:val="21"/>
        </w:rPr>
        <w:t>、</w:t>
      </w:r>
      <w:r w:rsidRPr="00EB049C">
        <w:rPr>
          <w:sz w:val="21"/>
          <w:szCs w:val="21"/>
        </w:rPr>
        <w:t xml:space="preserve"> PMA</w:t>
      </w:r>
      <w:r w:rsidRPr="00EB049C">
        <w:rPr>
          <w:rFonts w:hAnsi="宋体" w:hint="eastAsia"/>
          <w:sz w:val="21"/>
          <w:szCs w:val="21"/>
        </w:rPr>
        <w:t>或</w:t>
      </w:r>
      <w:r w:rsidRPr="00EB049C">
        <w:rPr>
          <w:sz w:val="21"/>
          <w:szCs w:val="21"/>
        </w:rPr>
        <w:t xml:space="preserve"> PDP</w:t>
      </w:r>
      <w:r w:rsidRPr="00EB049C">
        <w:rPr>
          <w:rFonts w:hAnsi="宋体" w:hint="eastAsia"/>
          <w:sz w:val="21"/>
          <w:szCs w:val="21"/>
        </w:rPr>
        <w:t>中其特定系统安全性和有效性的预期用途</w:t>
      </w:r>
      <w:r w:rsidRPr="00EB049C">
        <w:rPr>
          <w:sz w:val="21"/>
          <w:szCs w:val="21"/>
        </w:rPr>
        <w:t>/</w:t>
      </w:r>
      <w:r w:rsidR="00176745" w:rsidRPr="00EB049C">
        <w:rPr>
          <w:rFonts w:hAnsi="宋体" w:hint="eastAsia"/>
          <w:sz w:val="21"/>
          <w:szCs w:val="21"/>
        </w:rPr>
        <w:t>适应证</w:t>
      </w:r>
      <w:r w:rsidRPr="00EB049C">
        <w:rPr>
          <w:rFonts w:hAnsi="宋体" w:hint="eastAsia"/>
          <w:sz w:val="21"/>
          <w:szCs w:val="21"/>
        </w:rPr>
        <w:t>。研究设计应该确保该数据将支持有效的科学证据（按</w:t>
      </w:r>
      <w:r w:rsidRPr="00EB049C">
        <w:rPr>
          <w:sz w:val="21"/>
          <w:szCs w:val="21"/>
        </w:rPr>
        <w:t>21 CFR 860.7</w:t>
      </w:r>
      <w:r w:rsidRPr="00EB049C">
        <w:rPr>
          <w:rFonts w:hAnsi="宋体" w:hint="eastAsia"/>
          <w:sz w:val="21"/>
          <w:szCs w:val="21"/>
        </w:rPr>
        <w:t>中规定），继而满意答复所有适当的问题，支持预期用途</w:t>
      </w:r>
      <w:r w:rsidRPr="00EB049C">
        <w:rPr>
          <w:sz w:val="21"/>
          <w:szCs w:val="21"/>
        </w:rPr>
        <w:t>/</w:t>
      </w:r>
      <w:r w:rsidR="00176745" w:rsidRPr="00EB049C">
        <w:rPr>
          <w:rFonts w:hAnsi="宋体" w:hint="eastAsia"/>
          <w:sz w:val="21"/>
          <w:szCs w:val="21"/>
        </w:rPr>
        <w:t>适应证</w:t>
      </w:r>
      <w:r w:rsidRPr="00EB049C">
        <w:rPr>
          <w:rFonts w:hAnsi="宋体" w:hint="eastAsia"/>
          <w:sz w:val="21"/>
          <w:szCs w:val="21"/>
        </w:rPr>
        <w:t>。</w:t>
      </w:r>
    </w:p>
    <w:p w:rsidR="008F17E4" w:rsidRPr="00EB049C" w:rsidRDefault="008F17E4" w:rsidP="003E190C">
      <w:pPr>
        <w:pStyle w:val="CM5"/>
        <w:snapToGrid w:val="0"/>
        <w:spacing w:beforeLines="50" w:line="360" w:lineRule="auto"/>
        <w:jc w:val="both"/>
        <w:rPr>
          <w:sz w:val="21"/>
          <w:szCs w:val="21"/>
        </w:rPr>
      </w:pPr>
      <w:r w:rsidRPr="00EB049C">
        <w:rPr>
          <w:rFonts w:hAnsi="宋体" w:hint="eastAsia"/>
          <w:sz w:val="21"/>
          <w:szCs w:val="21"/>
        </w:rPr>
        <w:t>任何</w:t>
      </w:r>
      <w:r w:rsidRPr="00EB049C">
        <w:rPr>
          <w:sz w:val="21"/>
          <w:szCs w:val="21"/>
        </w:rPr>
        <w:t xml:space="preserve"> IDE</w:t>
      </w:r>
      <w:r w:rsidRPr="00EB049C">
        <w:rPr>
          <w:rFonts w:hAnsi="宋体" w:hint="eastAsia"/>
          <w:sz w:val="21"/>
          <w:szCs w:val="21"/>
        </w:rPr>
        <w:t>都应该包含以下主要部分：</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既往研究的报告；</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研究计划；</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器械说明；</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(4)</w:t>
      </w:r>
      <w:r w:rsidRPr="00EB049C">
        <w:rPr>
          <w:color w:val="auto"/>
          <w:sz w:val="21"/>
          <w:szCs w:val="21"/>
        </w:rPr>
        <w:tab/>
      </w:r>
      <w:r w:rsidRPr="00EB049C">
        <w:rPr>
          <w:rFonts w:hAnsi="宋体" w:hint="eastAsia"/>
          <w:color w:val="auto"/>
          <w:sz w:val="21"/>
          <w:szCs w:val="21"/>
        </w:rPr>
        <w:t>制造；</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(5)</w:t>
      </w:r>
      <w:r w:rsidRPr="00EB049C">
        <w:rPr>
          <w:color w:val="auto"/>
          <w:sz w:val="21"/>
          <w:szCs w:val="21"/>
        </w:rPr>
        <w:tab/>
      </w:r>
      <w:r w:rsidRPr="00EB049C">
        <w:rPr>
          <w:rFonts w:hAnsi="宋体" w:hint="eastAsia"/>
          <w:color w:val="auto"/>
          <w:sz w:val="21"/>
          <w:szCs w:val="21"/>
        </w:rPr>
        <w:t>监测；</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(6)</w:t>
      </w:r>
      <w:r w:rsidRPr="00EB049C">
        <w:rPr>
          <w:color w:val="auto"/>
          <w:sz w:val="21"/>
          <w:szCs w:val="21"/>
        </w:rPr>
        <w:tab/>
        <w:t xml:space="preserve">IRB </w:t>
      </w:r>
      <w:r w:rsidRPr="00EB049C">
        <w:rPr>
          <w:rFonts w:hAnsi="宋体" w:hint="eastAsia"/>
          <w:color w:val="auto"/>
          <w:sz w:val="21"/>
          <w:szCs w:val="21"/>
        </w:rPr>
        <w:t>和研究者信息；</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(7)</w:t>
      </w:r>
      <w:r w:rsidRPr="00EB049C">
        <w:rPr>
          <w:color w:val="auto"/>
          <w:sz w:val="21"/>
          <w:szCs w:val="21"/>
        </w:rPr>
        <w:tab/>
      </w:r>
      <w:r w:rsidRPr="00EB049C">
        <w:rPr>
          <w:rFonts w:hAnsi="宋体" w:hint="eastAsia"/>
          <w:color w:val="auto"/>
          <w:sz w:val="21"/>
          <w:szCs w:val="21"/>
        </w:rPr>
        <w:t>标签；</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(8)</w:t>
      </w:r>
      <w:r w:rsidRPr="00EB049C">
        <w:rPr>
          <w:color w:val="auto"/>
          <w:sz w:val="21"/>
          <w:szCs w:val="21"/>
        </w:rPr>
        <w:tab/>
      </w:r>
      <w:r w:rsidRPr="00EB049C">
        <w:rPr>
          <w:rFonts w:hAnsi="宋体" w:hint="eastAsia"/>
          <w:color w:val="auto"/>
          <w:sz w:val="21"/>
          <w:szCs w:val="21"/>
        </w:rPr>
        <w:t>知情同意书；</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(9)</w:t>
      </w:r>
      <w:r w:rsidRPr="00EB049C">
        <w:rPr>
          <w:color w:val="auto"/>
          <w:sz w:val="21"/>
          <w:szCs w:val="21"/>
        </w:rPr>
        <w:tab/>
      </w:r>
      <w:r w:rsidRPr="00EB049C">
        <w:rPr>
          <w:rFonts w:hAnsi="宋体" w:hint="eastAsia"/>
          <w:color w:val="auto"/>
          <w:sz w:val="21"/>
          <w:szCs w:val="21"/>
        </w:rPr>
        <w:t>销售价格；和</w:t>
      </w:r>
    </w:p>
    <w:p w:rsidR="008F17E4" w:rsidRPr="00EB049C" w:rsidRDefault="008F17E4" w:rsidP="009A6A54">
      <w:pPr>
        <w:pStyle w:val="Default"/>
        <w:tabs>
          <w:tab w:val="left" w:pos="426"/>
        </w:tabs>
        <w:snapToGrid w:val="0"/>
        <w:spacing w:line="360" w:lineRule="auto"/>
        <w:jc w:val="both"/>
        <w:rPr>
          <w:color w:val="auto"/>
          <w:sz w:val="21"/>
          <w:szCs w:val="21"/>
        </w:rPr>
      </w:pPr>
      <w:r w:rsidRPr="00EB049C">
        <w:rPr>
          <w:color w:val="auto"/>
          <w:sz w:val="21"/>
          <w:szCs w:val="21"/>
        </w:rPr>
        <w:t>(10)</w:t>
      </w:r>
      <w:r w:rsidRPr="00EB049C">
        <w:rPr>
          <w:color w:val="auto"/>
          <w:sz w:val="21"/>
          <w:szCs w:val="21"/>
        </w:rPr>
        <w:tab/>
      </w:r>
      <w:r w:rsidRPr="00EB049C">
        <w:rPr>
          <w:rFonts w:hAnsi="宋体" w:hint="eastAsia"/>
          <w:color w:val="auto"/>
          <w:sz w:val="21"/>
          <w:szCs w:val="21"/>
        </w:rPr>
        <w:t>环境影响评估</w:t>
      </w:r>
    </w:p>
    <w:p w:rsidR="008F17E4" w:rsidRPr="00EB049C" w:rsidRDefault="008F17E4" w:rsidP="009A6A54">
      <w:pPr>
        <w:pStyle w:val="CM12"/>
        <w:snapToGrid w:val="0"/>
        <w:spacing w:line="360" w:lineRule="auto"/>
        <w:jc w:val="both"/>
        <w:rPr>
          <w:sz w:val="21"/>
          <w:szCs w:val="21"/>
        </w:rPr>
      </w:pPr>
      <w:r w:rsidRPr="00EB049C">
        <w:rPr>
          <w:rFonts w:hAnsi="宋体" w:hint="eastAsia"/>
          <w:sz w:val="21"/>
          <w:szCs w:val="21"/>
        </w:rPr>
        <w:t>下列所述是针对脊柱系统以上标识的</w:t>
      </w:r>
      <w:r w:rsidRPr="00EB049C">
        <w:rPr>
          <w:sz w:val="21"/>
          <w:szCs w:val="21"/>
        </w:rPr>
        <w:t>10</w:t>
      </w:r>
      <w:r w:rsidRPr="00EB049C">
        <w:rPr>
          <w:rFonts w:hAnsi="宋体" w:hint="eastAsia"/>
          <w:sz w:val="21"/>
          <w:szCs w:val="21"/>
        </w:rPr>
        <w:t>个主要部分应该递交的特殊类型信息的说明。然而，有些部分（如，制造、销售、环境影响评估）包括适用于</w:t>
      </w:r>
      <w:r w:rsidRPr="00EB049C">
        <w:rPr>
          <w:sz w:val="21"/>
          <w:szCs w:val="21"/>
        </w:rPr>
        <w:t>IDE</w:t>
      </w:r>
      <w:r w:rsidRPr="00EB049C">
        <w:rPr>
          <w:rFonts w:hAnsi="宋体" w:hint="eastAsia"/>
          <w:sz w:val="21"/>
          <w:szCs w:val="21"/>
        </w:rPr>
        <w:t>的一般信息。</w:t>
      </w:r>
    </w:p>
    <w:p w:rsidR="008F17E4" w:rsidRPr="00EB049C" w:rsidRDefault="008F17E4" w:rsidP="00C40B70">
      <w:pPr>
        <w:pStyle w:val="CM45"/>
        <w:snapToGrid w:val="0"/>
        <w:spacing w:after="0" w:line="312" w:lineRule="auto"/>
        <w:jc w:val="both"/>
        <w:outlineLvl w:val="0"/>
        <w:rPr>
          <w:sz w:val="21"/>
          <w:szCs w:val="21"/>
        </w:rPr>
      </w:pPr>
      <w:bookmarkStart w:id="5" w:name="_Toc480641572"/>
      <w:r w:rsidRPr="00EB049C">
        <w:rPr>
          <w:rFonts w:hAnsi="宋体" w:hint="eastAsia"/>
          <w:b/>
          <w:bCs/>
          <w:sz w:val="21"/>
          <w:szCs w:val="21"/>
          <w:u w:val="single"/>
        </w:rPr>
        <w:lastRenderedPageBreak/>
        <w:t>既往研究的报告</w:t>
      </w:r>
      <w:bookmarkEnd w:id="5"/>
    </w:p>
    <w:p w:rsidR="008F17E4" w:rsidRPr="00EB049C" w:rsidRDefault="008F17E4" w:rsidP="003E190C">
      <w:pPr>
        <w:pStyle w:val="CM45"/>
        <w:snapToGrid w:val="0"/>
        <w:spacing w:beforeLines="50" w:after="0" w:line="312" w:lineRule="auto"/>
        <w:jc w:val="both"/>
        <w:rPr>
          <w:sz w:val="21"/>
          <w:szCs w:val="21"/>
        </w:rPr>
      </w:pPr>
      <w:r w:rsidRPr="00EB049C">
        <w:rPr>
          <w:rFonts w:hAnsi="宋体" w:hint="eastAsia"/>
          <w:sz w:val="21"/>
          <w:szCs w:val="21"/>
        </w:rPr>
        <w:t>应该提供以下信息，支持试验中患者将不会被置于不合理风险下的结论。还应该提供既往临床、动物和实验室（如，机械）试验的完整报告以及这些试验的综合总结，以证明拟定研究的合理性。</w:t>
      </w:r>
    </w:p>
    <w:p w:rsidR="008F17E4" w:rsidRPr="00EB049C" w:rsidRDefault="008F17E4" w:rsidP="003E190C">
      <w:pPr>
        <w:pStyle w:val="CM45"/>
        <w:snapToGrid w:val="0"/>
        <w:spacing w:beforeLines="50" w:after="0" w:line="312" w:lineRule="auto"/>
        <w:jc w:val="both"/>
        <w:outlineLvl w:val="1"/>
        <w:rPr>
          <w:sz w:val="21"/>
          <w:szCs w:val="21"/>
        </w:rPr>
      </w:pPr>
      <w:bookmarkStart w:id="6" w:name="_Toc480641573"/>
      <w:r w:rsidRPr="00EB049C">
        <w:rPr>
          <w:sz w:val="21"/>
          <w:szCs w:val="21"/>
        </w:rPr>
        <w:t>1.</w:t>
      </w:r>
      <w:r w:rsidRPr="00EB049C">
        <w:rPr>
          <w:sz w:val="21"/>
          <w:szCs w:val="21"/>
        </w:rPr>
        <w:tab/>
      </w:r>
      <w:r w:rsidRPr="00EB049C">
        <w:rPr>
          <w:rFonts w:hAnsi="宋体" w:hint="eastAsia"/>
          <w:sz w:val="21"/>
          <w:szCs w:val="21"/>
        </w:rPr>
        <w:t>临床数据</w:t>
      </w:r>
      <w:bookmarkEnd w:id="6"/>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应该包括一份关于试验系统或其组件使用任何可用临床数据的报告，不管是否是不利或支持性报告，只要与试验系统安全性或有效性评价有关就可以。</w:t>
      </w:r>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对于已有公开发表经验的脊柱系统类型（如，椎弓根螺钉系统、自体骨椎体间融合器械），可能一份简要总结就足够了。然而，对于具有少量公开发表经验的新型器械设计（如，椎体置换件、椎间盘置换件、骨形态发生蛋白椎体间融合器械），应该提供一份更加详细的相关临床数据报告。虽然，大家一致认为这一详细水平可能不适用于所有研究，但更详尽报告中应该包含的信息类型如下所示（第</w:t>
      </w:r>
      <w:r w:rsidRPr="00EB049C">
        <w:rPr>
          <w:sz w:val="21"/>
          <w:szCs w:val="21"/>
        </w:rPr>
        <w:t>3-7</w:t>
      </w:r>
      <w:r w:rsidRPr="00EB049C">
        <w:rPr>
          <w:rFonts w:hAnsi="宋体" w:hint="eastAsia"/>
          <w:sz w:val="21"/>
          <w:szCs w:val="21"/>
        </w:rPr>
        <w:t>项特定于脊柱</w:t>
      </w:r>
      <w:r w:rsidRPr="00EB049C">
        <w:rPr>
          <w:sz w:val="21"/>
          <w:szCs w:val="21"/>
        </w:rPr>
        <w:t>IDE</w:t>
      </w:r>
      <w:r w:rsidRPr="00EB049C">
        <w:rPr>
          <w:rFonts w:hAnsi="宋体" w:hint="eastAsia"/>
          <w:sz w:val="21"/>
          <w:szCs w:val="21"/>
        </w:rPr>
        <w:t>）：</w:t>
      </w:r>
    </w:p>
    <w:p w:rsidR="008F17E4" w:rsidRPr="00EB049C" w:rsidRDefault="008F17E4" w:rsidP="003E190C">
      <w:pPr>
        <w:pStyle w:val="Default"/>
        <w:snapToGrid w:val="0"/>
        <w:spacing w:beforeLines="50" w:line="312" w:lineRule="auto"/>
        <w:ind w:leftChars="200" w:left="844" w:hangingChars="202" w:hanging="424"/>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研究说明，包括设计和患者分组；</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患者选择标准；</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患者的时间进程分配：理论终止时间、预期时间（理论终止时间减去死亡和失败时间）、实际评价时间、死亡时间、移除时间、翻修时间、再手术时间和补充固定时间；</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(4)</w:t>
      </w:r>
      <w:r w:rsidRPr="00EB049C">
        <w:rPr>
          <w:color w:val="auto"/>
          <w:sz w:val="21"/>
          <w:szCs w:val="21"/>
        </w:rPr>
        <w:tab/>
      </w:r>
      <w:r w:rsidRPr="00EB049C">
        <w:rPr>
          <w:rFonts w:hAnsi="宋体" w:hint="eastAsia"/>
          <w:color w:val="auto"/>
          <w:sz w:val="21"/>
          <w:szCs w:val="21"/>
        </w:rPr>
        <w:t>主要评价参数和总体成功测评量表说明；</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(5)</w:t>
      </w:r>
      <w:r w:rsidRPr="00EB049C">
        <w:rPr>
          <w:color w:val="auto"/>
          <w:sz w:val="21"/>
          <w:szCs w:val="21"/>
        </w:rPr>
        <w:tab/>
      </w:r>
      <w:r w:rsidRPr="00EB049C">
        <w:rPr>
          <w:rFonts w:hAnsi="宋体" w:hint="eastAsia"/>
          <w:color w:val="auto"/>
          <w:sz w:val="21"/>
          <w:szCs w:val="21"/>
        </w:rPr>
        <w:t>主要评价参数、总体成功和并发症的时间分配；</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(6)</w:t>
      </w:r>
      <w:r w:rsidRPr="00EB049C">
        <w:rPr>
          <w:color w:val="auto"/>
          <w:sz w:val="21"/>
          <w:szCs w:val="21"/>
        </w:rPr>
        <w:tab/>
      </w:r>
      <w:r w:rsidRPr="00EB049C">
        <w:rPr>
          <w:rFonts w:hAnsi="宋体" w:hint="eastAsia"/>
          <w:color w:val="auto"/>
          <w:sz w:val="21"/>
          <w:szCs w:val="21"/>
        </w:rPr>
        <w:t>之后接受手术干预治疗（移除、翻修、再手术和</w:t>
      </w:r>
      <w:r w:rsidRPr="00EB049C">
        <w:rPr>
          <w:color w:val="auto"/>
          <w:sz w:val="21"/>
          <w:szCs w:val="21"/>
        </w:rPr>
        <w:t>/</w:t>
      </w:r>
      <w:r w:rsidRPr="00EB049C">
        <w:rPr>
          <w:rFonts w:hAnsi="宋体" w:hint="eastAsia"/>
          <w:color w:val="auto"/>
          <w:sz w:val="21"/>
          <w:szCs w:val="21"/>
        </w:rPr>
        <w:t>或补充固定）的所有患者说明；和</w:t>
      </w:r>
    </w:p>
    <w:p w:rsidR="008F17E4" w:rsidRPr="00EB049C" w:rsidRDefault="008F17E4" w:rsidP="005627F4">
      <w:pPr>
        <w:pStyle w:val="Default"/>
        <w:snapToGrid w:val="0"/>
        <w:spacing w:line="312" w:lineRule="auto"/>
        <w:ind w:leftChars="200" w:left="844" w:hangingChars="202" w:hanging="424"/>
        <w:jc w:val="both"/>
        <w:rPr>
          <w:color w:val="auto"/>
          <w:sz w:val="21"/>
          <w:szCs w:val="21"/>
        </w:rPr>
      </w:pPr>
      <w:r w:rsidRPr="00EB049C">
        <w:rPr>
          <w:color w:val="auto"/>
          <w:sz w:val="21"/>
          <w:szCs w:val="21"/>
        </w:rPr>
        <w:t>(7)</w:t>
      </w:r>
      <w:r w:rsidRPr="00EB049C">
        <w:rPr>
          <w:color w:val="auto"/>
          <w:sz w:val="21"/>
          <w:szCs w:val="21"/>
        </w:rPr>
        <w:tab/>
      </w:r>
      <w:r w:rsidRPr="00EB049C">
        <w:rPr>
          <w:rFonts w:hAnsi="宋体" w:hint="eastAsia"/>
          <w:color w:val="auto"/>
          <w:sz w:val="21"/>
          <w:szCs w:val="21"/>
        </w:rPr>
        <w:t>临床数据如何相关及可能用来支持拟定设计和</w:t>
      </w:r>
      <w:r w:rsidRPr="00EB049C">
        <w:rPr>
          <w:color w:val="auto"/>
          <w:sz w:val="21"/>
          <w:szCs w:val="21"/>
        </w:rPr>
        <w:t>/</w:t>
      </w:r>
      <w:r w:rsidRPr="00EB049C">
        <w:rPr>
          <w:rFonts w:hAnsi="宋体" w:hint="eastAsia"/>
          <w:color w:val="auto"/>
          <w:sz w:val="21"/>
          <w:szCs w:val="21"/>
        </w:rPr>
        <w:t>或患者人群相对安全性的说明。</w:t>
      </w:r>
    </w:p>
    <w:p w:rsidR="008F17E4" w:rsidRPr="00EB049C" w:rsidRDefault="008F17E4" w:rsidP="003E190C">
      <w:pPr>
        <w:pStyle w:val="CM45"/>
        <w:snapToGrid w:val="0"/>
        <w:spacing w:beforeLines="50" w:after="0" w:line="312" w:lineRule="auto"/>
        <w:jc w:val="both"/>
        <w:outlineLvl w:val="1"/>
        <w:rPr>
          <w:sz w:val="21"/>
          <w:szCs w:val="21"/>
        </w:rPr>
      </w:pPr>
      <w:bookmarkStart w:id="7" w:name="_Toc480641574"/>
      <w:r w:rsidRPr="00EB049C">
        <w:rPr>
          <w:sz w:val="21"/>
          <w:szCs w:val="21"/>
        </w:rPr>
        <w:t>2.</w:t>
      </w:r>
      <w:r w:rsidRPr="00EB049C">
        <w:rPr>
          <w:sz w:val="21"/>
          <w:szCs w:val="21"/>
        </w:rPr>
        <w:tab/>
      </w:r>
      <w:r w:rsidRPr="00EB049C">
        <w:rPr>
          <w:rFonts w:hAnsi="宋体" w:hint="eastAsia"/>
          <w:sz w:val="21"/>
          <w:szCs w:val="21"/>
        </w:rPr>
        <w:t>动物数据</w:t>
      </w:r>
      <w:bookmarkEnd w:id="7"/>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开始人类临床试验之前，有时需要动物数据来支持试验系统的相对安全性。进行动物研究的原因有解决颗粒和基质材料的生物应答、剂量研究、功能研究等。</w:t>
      </w:r>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应该包含针对试验系统或其组件进行的任何动物研究的完整报告，不管是否是不良或支持性报告，只要与试验系统安全性或有效性评价相关的报告都可以。动物报告应该详细说明该研究的目的，提供支持病理学、组织学和放射学评价方面的信息。此外，该报告应该说明动物研究中使用的系统版本与</w:t>
      </w:r>
      <w:r w:rsidRPr="00EB049C">
        <w:rPr>
          <w:sz w:val="21"/>
          <w:szCs w:val="21"/>
        </w:rPr>
        <w:t>IDE</w:t>
      </w:r>
      <w:r w:rsidRPr="00EB049C">
        <w:rPr>
          <w:rFonts w:hAnsi="宋体" w:hint="eastAsia"/>
          <w:sz w:val="21"/>
          <w:szCs w:val="21"/>
        </w:rPr>
        <w:t>中拟定系统版本之间的所有差异。</w:t>
      </w:r>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下面是动物研究可能要解决的一些问题实例：</w:t>
      </w:r>
    </w:p>
    <w:p w:rsidR="008F17E4" w:rsidRPr="00EB049C" w:rsidRDefault="008F17E4" w:rsidP="003E190C">
      <w:pPr>
        <w:pStyle w:val="CM14"/>
        <w:numPr>
          <w:ilvl w:val="0"/>
          <w:numId w:val="25"/>
        </w:numPr>
        <w:snapToGrid w:val="0"/>
        <w:spacing w:beforeLines="50" w:line="312" w:lineRule="auto"/>
        <w:ind w:leftChars="200" w:left="840" w:hangingChars="200"/>
        <w:jc w:val="both"/>
        <w:rPr>
          <w:sz w:val="21"/>
          <w:szCs w:val="21"/>
        </w:rPr>
      </w:pPr>
      <w:r w:rsidRPr="00EB049C">
        <w:rPr>
          <w:rFonts w:hAnsi="宋体" w:hint="eastAsia"/>
          <w:sz w:val="21"/>
          <w:szCs w:val="21"/>
        </w:rPr>
        <w:t>对于结合生物成分（如，骨形态发生蛋白）使用的椎体间融合器械，动物研究可能提供关于骨融合是否已发生或正在进行中的信息，以及提供相比于适当对照组器械内（压力保护环境）形成的骨数量和质量方面的信息。还会利用动物研究评价特定系统的稀释、剂量和浓度因素。</w:t>
      </w:r>
    </w:p>
    <w:p w:rsidR="008F17E4" w:rsidRPr="00EB049C" w:rsidRDefault="008F17E4" w:rsidP="005627F4">
      <w:pPr>
        <w:pStyle w:val="CM45"/>
        <w:snapToGrid w:val="0"/>
        <w:spacing w:after="0" w:line="360" w:lineRule="auto"/>
        <w:ind w:leftChars="202" w:left="424"/>
        <w:jc w:val="both"/>
        <w:rPr>
          <w:sz w:val="21"/>
          <w:szCs w:val="21"/>
        </w:rPr>
      </w:pPr>
      <w:r w:rsidRPr="00EB049C">
        <w:rPr>
          <w:i/>
          <w:iCs/>
          <w:sz w:val="21"/>
          <w:szCs w:val="21"/>
        </w:rPr>
        <w:br w:type="page"/>
      </w:r>
      <w:r w:rsidRPr="00EB049C">
        <w:rPr>
          <w:rFonts w:hAnsi="宋体" w:hint="eastAsia"/>
          <w:i/>
          <w:iCs/>
          <w:sz w:val="21"/>
          <w:szCs w:val="21"/>
        </w:rPr>
        <w:lastRenderedPageBreak/>
        <w:t>对于任何含有生物或药物成分（如，骨形态发生蛋白、牛骨蛋白等）的系统，</w:t>
      </w:r>
      <w:r w:rsidR="0093559A" w:rsidRPr="00EB049C">
        <w:rPr>
          <w:rFonts w:hAnsi="宋体" w:hint="eastAsia"/>
          <w:i/>
          <w:iCs/>
          <w:sz w:val="21"/>
          <w:szCs w:val="21"/>
        </w:rPr>
        <w:t>申办方</w:t>
      </w:r>
      <w:r w:rsidRPr="00EB049C">
        <w:rPr>
          <w:rFonts w:hAnsi="宋体" w:hint="eastAsia"/>
          <w:i/>
          <w:iCs/>
          <w:sz w:val="21"/>
          <w:szCs w:val="21"/>
        </w:rPr>
        <w:t>应该遵循关于脊柱系统生物成分使用方面所有可适用的</w:t>
      </w:r>
      <w:r w:rsidRPr="00EB049C">
        <w:rPr>
          <w:i/>
          <w:iCs/>
          <w:sz w:val="21"/>
          <w:szCs w:val="21"/>
        </w:rPr>
        <w:t>DGRD</w:t>
      </w:r>
      <w:r w:rsidRPr="00EB049C">
        <w:rPr>
          <w:rFonts w:hAnsi="宋体" w:hint="eastAsia"/>
          <w:i/>
          <w:iCs/>
          <w:sz w:val="21"/>
          <w:szCs w:val="21"/>
        </w:rPr>
        <w:t>指导。还应该鼓励</w:t>
      </w:r>
      <w:r w:rsidR="0093559A" w:rsidRPr="00EB049C">
        <w:rPr>
          <w:rFonts w:hAnsi="宋体" w:hint="eastAsia"/>
          <w:i/>
          <w:iCs/>
          <w:sz w:val="21"/>
          <w:szCs w:val="21"/>
        </w:rPr>
        <w:t>申办方</w:t>
      </w:r>
      <w:r w:rsidRPr="00EB049C">
        <w:rPr>
          <w:rFonts w:hAnsi="宋体" w:hint="eastAsia"/>
          <w:i/>
          <w:iCs/>
          <w:sz w:val="21"/>
          <w:szCs w:val="21"/>
        </w:rPr>
        <w:t>参考来自生物评价与研究中心（</w:t>
      </w:r>
      <w:r w:rsidRPr="00EB049C">
        <w:rPr>
          <w:i/>
          <w:iCs/>
          <w:sz w:val="21"/>
          <w:szCs w:val="21"/>
        </w:rPr>
        <w:t>CBER</w:t>
      </w:r>
      <w:r w:rsidRPr="00EB049C">
        <w:rPr>
          <w:rFonts w:hAnsi="宋体" w:hint="eastAsia"/>
          <w:i/>
          <w:iCs/>
          <w:sz w:val="21"/>
          <w:szCs w:val="21"/>
        </w:rPr>
        <w:t>）和药品评价与研究中心（</w:t>
      </w:r>
      <w:r w:rsidRPr="00EB049C">
        <w:rPr>
          <w:i/>
          <w:iCs/>
          <w:sz w:val="21"/>
          <w:szCs w:val="21"/>
        </w:rPr>
        <w:t>CDER</w:t>
      </w:r>
      <w:r w:rsidRPr="00EB049C">
        <w:rPr>
          <w:rFonts w:hAnsi="宋体" w:hint="eastAsia"/>
          <w:i/>
          <w:iCs/>
          <w:sz w:val="21"/>
          <w:szCs w:val="21"/>
        </w:rPr>
        <w:t>）所有可适用的指导。</w:t>
      </w:r>
    </w:p>
    <w:p w:rsidR="008F17E4" w:rsidRPr="00EB049C" w:rsidRDefault="008F17E4" w:rsidP="005627F4">
      <w:pPr>
        <w:pStyle w:val="Default"/>
        <w:numPr>
          <w:ilvl w:val="0"/>
          <w:numId w:val="2"/>
        </w:numPr>
        <w:snapToGrid w:val="0"/>
        <w:spacing w:line="360" w:lineRule="auto"/>
        <w:ind w:hangingChars="200"/>
        <w:jc w:val="both"/>
        <w:rPr>
          <w:color w:val="auto"/>
          <w:sz w:val="21"/>
          <w:szCs w:val="21"/>
        </w:rPr>
      </w:pPr>
      <w:r w:rsidRPr="00EB049C">
        <w:rPr>
          <w:rFonts w:hAnsi="宋体" w:hint="eastAsia"/>
          <w:color w:val="auto"/>
          <w:sz w:val="21"/>
          <w:szCs w:val="21"/>
        </w:rPr>
        <w:t>可能利用动物研究评价处于早期发展阶段的新型系统设计（如，不同设计理念的椎间盘置换器械）。</w:t>
      </w:r>
    </w:p>
    <w:p w:rsidR="008F17E4" w:rsidRPr="00EB049C" w:rsidRDefault="008F17E4" w:rsidP="005627F4">
      <w:pPr>
        <w:pStyle w:val="Default"/>
        <w:numPr>
          <w:ilvl w:val="0"/>
          <w:numId w:val="2"/>
        </w:numPr>
        <w:snapToGrid w:val="0"/>
        <w:spacing w:line="360" w:lineRule="auto"/>
        <w:ind w:hangingChars="200"/>
        <w:jc w:val="both"/>
        <w:rPr>
          <w:color w:val="auto"/>
          <w:sz w:val="21"/>
          <w:szCs w:val="21"/>
        </w:rPr>
      </w:pPr>
      <w:r w:rsidRPr="00EB049C">
        <w:rPr>
          <w:rFonts w:hAnsi="宋体" w:hint="eastAsia"/>
          <w:color w:val="auto"/>
          <w:sz w:val="21"/>
          <w:szCs w:val="21"/>
        </w:rPr>
        <w:t>可能利用动物研究支持全新型材料、矫形术使用新材料或脊柱接触新材料的生物相容性。此外，还可能利用这些研究解决新材料发生磨损或产生磨粒的可能性。</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虽然人类应用之前有必要进行动物研究来解决一些特定问题，但我们认为选择和验证动物模型很难，因为没有完美的动物模型存在。很多脊柱系统的动物研究涉及的是山羊、猴子、小型猪或袋鼠。在选择动物模型上，</w:t>
      </w:r>
      <w:r w:rsidR="0093559A" w:rsidRPr="00EB049C">
        <w:rPr>
          <w:rFonts w:hAnsi="宋体" w:hint="eastAsia"/>
          <w:sz w:val="21"/>
          <w:szCs w:val="21"/>
        </w:rPr>
        <w:t>申办方</w:t>
      </w:r>
      <w:r w:rsidRPr="00EB049C">
        <w:rPr>
          <w:rFonts w:hAnsi="宋体" w:hint="eastAsia"/>
          <w:sz w:val="21"/>
          <w:szCs w:val="21"/>
        </w:rPr>
        <w:t>应该考虑与人类情况相比的形态学、组织学、生物力学和动力学等方面。</w:t>
      </w:r>
    </w:p>
    <w:p w:rsidR="008F17E4" w:rsidRPr="00EB049C" w:rsidRDefault="008F17E4" w:rsidP="00C40B70">
      <w:pPr>
        <w:pStyle w:val="CM45"/>
        <w:snapToGrid w:val="0"/>
        <w:spacing w:after="0" w:line="360" w:lineRule="auto"/>
        <w:jc w:val="both"/>
        <w:outlineLvl w:val="1"/>
        <w:rPr>
          <w:sz w:val="21"/>
          <w:szCs w:val="21"/>
        </w:rPr>
      </w:pPr>
      <w:bookmarkStart w:id="8" w:name="_Toc480641575"/>
      <w:r w:rsidRPr="00EB049C">
        <w:rPr>
          <w:sz w:val="21"/>
          <w:szCs w:val="21"/>
        </w:rPr>
        <w:t>3.</w:t>
      </w:r>
      <w:r w:rsidRPr="00EB049C">
        <w:rPr>
          <w:sz w:val="21"/>
          <w:szCs w:val="21"/>
        </w:rPr>
        <w:tab/>
      </w:r>
      <w:r w:rsidRPr="00EB049C">
        <w:rPr>
          <w:rFonts w:hAnsi="宋体" w:hint="eastAsia"/>
          <w:sz w:val="21"/>
          <w:szCs w:val="21"/>
        </w:rPr>
        <w:t>机械数据</w:t>
      </w:r>
      <w:bookmarkEnd w:id="8"/>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所有脊柱系统都需要进行机械试验，或者能有公认的科学依据解释为什么不需要进行这类试验，其目的是为了建立试验系统的相对安全性。机械试验的特殊要求因设计、材料、与脊柱的连接方法以及患者</w:t>
      </w:r>
      <w:r w:rsidR="00176745" w:rsidRPr="00EB049C">
        <w:rPr>
          <w:rFonts w:hAnsi="宋体" w:hint="eastAsia"/>
          <w:sz w:val="21"/>
          <w:szCs w:val="21"/>
        </w:rPr>
        <w:t>适应证</w:t>
      </w:r>
      <w:r w:rsidRPr="00EB049C">
        <w:rPr>
          <w:rFonts w:hAnsi="宋体" w:hint="eastAsia"/>
          <w:sz w:val="21"/>
          <w:szCs w:val="21"/>
        </w:rPr>
        <w:t>的不同而不同。</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应该包含针对试验系统或其组件进行的任何机械试验的完整报告，不管是否是不良或支持性报告，只要与试验系统安全性或有效性评价相关的报告都可以。除了每项试验的完整报告，还应该包含一份关于所有机械试验的综合总结。每份试验报告中最少应该包含以下因素：组成被试结构或子结构的各组件的标识、安装、程序方法，涉及最坏设计、材料和</w:t>
      </w:r>
      <w:r w:rsidRPr="00EB049C">
        <w:rPr>
          <w:sz w:val="21"/>
          <w:szCs w:val="21"/>
        </w:rPr>
        <w:t>/</w:t>
      </w:r>
      <w:r w:rsidRPr="00EB049C">
        <w:rPr>
          <w:rFonts w:hAnsi="宋体" w:hint="eastAsia"/>
          <w:sz w:val="21"/>
          <w:szCs w:val="21"/>
        </w:rPr>
        <w:t>或制造相关工艺试验的基本原理，所选择负荷模式（轴向、弯曲、扭转、切变等）的依据，试验结果，以及关于该系统预期体内性能和临床性能的结果讨论。除了提供充分的基本原理以外，所有试验应该涉及整个系统的最坏结构设计，但不对单个组件进行试验。若拟定系统与被试系统之间存在差异，应该提供这些结果为什么或如何与拟定系统相对安全性建立相关的原因解释。</w:t>
      </w:r>
    </w:p>
    <w:p w:rsidR="008F17E4" w:rsidRPr="00EB049C" w:rsidRDefault="008F17E4" w:rsidP="005627F4">
      <w:pPr>
        <w:pStyle w:val="CM14"/>
        <w:numPr>
          <w:ilvl w:val="0"/>
          <w:numId w:val="27"/>
        </w:numPr>
        <w:snapToGrid w:val="0"/>
        <w:spacing w:line="360" w:lineRule="auto"/>
        <w:ind w:leftChars="200" w:left="840" w:hangingChars="200"/>
        <w:jc w:val="both"/>
        <w:rPr>
          <w:sz w:val="21"/>
          <w:szCs w:val="21"/>
        </w:rPr>
      </w:pPr>
      <w:r w:rsidRPr="00EB049C">
        <w:rPr>
          <w:rFonts w:hAnsi="宋体" w:hint="eastAsia"/>
          <w:sz w:val="21"/>
          <w:szCs w:val="21"/>
          <w:u w:val="single"/>
        </w:rPr>
        <w:t>疲劳试验</w:t>
      </w:r>
      <w:r w:rsidRPr="00EB049C">
        <w:rPr>
          <w:sz w:val="21"/>
          <w:szCs w:val="21"/>
        </w:rPr>
        <w:t xml:space="preserve"> – </w:t>
      </w:r>
      <w:r w:rsidRPr="00EB049C">
        <w:rPr>
          <w:rFonts w:hAnsi="宋体" w:hint="eastAsia"/>
          <w:sz w:val="21"/>
          <w:szCs w:val="21"/>
        </w:rPr>
        <w:t>疲劳试验应该涉及最少六个最坏结构的样本，这样才能生成应力（负荷）</w:t>
      </w:r>
      <w:r w:rsidRPr="00EB049C">
        <w:rPr>
          <w:sz w:val="21"/>
          <w:szCs w:val="21"/>
        </w:rPr>
        <w:t>-</w:t>
      </w:r>
      <w:r w:rsidRPr="00EB049C">
        <w:rPr>
          <w:rFonts w:hAnsi="宋体" w:hint="eastAsia"/>
          <w:sz w:val="21"/>
          <w:szCs w:val="21"/>
        </w:rPr>
        <w:t>循环次数（</w:t>
      </w:r>
      <w:r w:rsidRPr="00EB049C">
        <w:rPr>
          <w:sz w:val="21"/>
          <w:szCs w:val="21"/>
        </w:rPr>
        <w:t>S/N</w:t>
      </w:r>
      <w:r w:rsidRPr="00EB049C">
        <w:rPr>
          <w:rFonts w:hAnsi="宋体" w:hint="eastAsia"/>
          <w:sz w:val="21"/>
          <w:szCs w:val="21"/>
        </w:rPr>
        <w:t>）曲线，刻画出较适当对照器械的渐近疲劳极限（如，每个负荷水平下最少两个样本，其中一个负荷水平达到了五百万次循环的径向振摆）。还应该提供选择为最坏结构组件的基本依据。互连机制</w:t>
      </w:r>
      <w:r w:rsidRPr="00EB049C">
        <w:rPr>
          <w:sz w:val="21"/>
          <w:szCs w:val="21"/>
        </w:rPr>
        <w:t>/</w:t>
      </w:r>
      <w:r w:rsidRPr="00EB049C">
        <w:rPr>
          <w:rFonts w:hAnsi="宋体" w:hint="eastAsia"/>
          <w:sz w:val="21"/>
          <w:szCs w:val="21"/>
        </w:rPr>
        <w:t>系统也可能会在相同的结构设置或每个独立的结构设置中进行试验。应该对每一个互连机制进行试验，或者是提供充分详细的基本依据。对于用来维持椎间盘活动但不融合的脊柱系统来说，应该执行至少</w:t>
      </w:r>
      <w:r w:rsidRPr="00EB049C">
        <w:rPr>
          <w:sz w:val="21"/>
          <w:szCs w:val="21"/>
        </w:rPr>
        <w:t>1000</w:t>
      </w:r>
      <w:r w:rsidRPr="00EB049C">
        <w:rPr>
          <w:rFonts w:hAnsi="宋体" w:hint="eastAsia"/>
          <w:sz w:val="21"/>
          <w:szCs w:val="21"/>
        </w:rPr>
        <w:t>万次循环振摆的疲劳试验，以支持长期植入使用。此外，对于用于肿瘤患者的椎体间置换器械，也应该执行至少</w:t>
      </w:r>
      <w:r w:rsidRPr="00EB049C">
        <w:rPr>
          <w:sz w:val="21"/>
          <w:szCs w:val="21"/>
        </w:rPr>
        <w:t>1000</w:t>
      </w:r>
      <w:r w:rsidRPr="00EB049C">
        <w:rPr>
          <w:rFonts w:hAnsi="宋体" w:hint="eastAsia"/>
          <w:sz w:val="21"/>
          <w:szCs w:val="21"/>
        </w:rPr>
        <w:t>万次循环振摆的疲劳试验，因为这些患者对于实现融合可能存在极大的困难，因此该器械实际上更多地是起到了稳</w:t>
      </w:r>
      <w:r w:rsidRPr="00EB049C">
        <w:rPr>
          <w:rFonts w:hAnsi="宋体" w:hint="eastAsia"/>
          <w:sz w:val="21"/>
          <w:szCs w:val="21"/>
        </w:rPr>
        <w:lastRenderedPageBreak/>
        <w:t>定器的作用。</w:t>
      </w:r>
    </w:p>
    <w:p w:rsidR="008F17E4" w:rsidRPr="00EB049C" w:rsidRDefault="008F17E4" w:rsidP="003E190C">
      <w:pPr>
        <w:pStyle w:val="CM45"/>
        <w:numPr>
          <w:ilvl w:val="0"/>
          <w:numId w:val="26"/>
        </w:numPr>
        <w:snapToGrid w:val="0"/>
        <w:spacing w:beforeLines="50" w:after="0" w:line="360" w:lineRule="auto"/>
        <w:ind w:leftChars="200" w:left="840" w:hangingChars="200"/>
        <w:jc w:val="both"/>
        <w:rPr>
          <w:sz w:val="21"/>
          <w:szCs w:val="21"/>
        </w:rPr>
      </w:pPr>
      <w:r w:rsidRPr="00EB049C">
        <w:rPr>
          <w:rFonts w:hAnsi="宋体" w:hint="eastAsia"/>
          <w:sz w:val="21"/>
          <w:szCs w:val="21"/>
          <w:u w:val="single"/>
        </w:rPr>
        <w:t>静态试验</w:t>
      </w:r>
      <w:r w:rsidRPr="00EB049C">
        <w:rPr>
          <w:sz w:val="21"/>
          <w:szCs w:val="21"/>
        </w:rPr>
        <w:t xml:space="preserve"> – </w:t>
      </w:r>
      <w:r w:rsidRPr="00EB049C">
        <w:rPr>
          <w:rFonts w:hAnsi="宋体" w:hint="eastAsia"/>
          <w:sz w:val="21"/>
          <w:szCs w:val="21"/>
        </w:rPr>
        <w:t>该试验应该涉及最少</w:t>
      </w:r>
      <w:r w:rsidRPr="00EB049C">
        <w:rPr>
          <w:sz w:val="21"/>
          <w:szCs w:val="21"/>
        </w:rPr>
        <w:t>5</w:t>
      </w:r>
      <w:r w:rsidRPr="00EB049C">
        <w:rPr>
          <w:rFonts w:hAnsi="宋体" w:hint="eastAsia"/>
          <w:sz w:val="21"/>
          <w:szCs w:val="21"/>
        </w:rPr>
        <w:t>个最坏结构的样本。跟疲劳试验一样，应该证明被试组件和负荷模式的合理性。</w:t>
      </w:r>
    </w:p>
    <w:p w:rsidR="008F17E4" w:rsidRPr="00EB049C" w:rsidRDefault="008F17E4" w:rsidP="003E190C">
      <w:pPr>
        <w:pStyle w:val="CM45"/>
        <w:snapToGrid w:val="0"/>
        <w:spacing w:beforeLines="50" w:after="0" w:line="360" w:lineRule="auto"/>
        <w:ind w:leftChars="200" w:left="840" w:hangingChars="200" w:hanging="420"/>
        <w:jc w:val="both"/>
        <w:rPr>
          <w:sz w:val="21"/>
          <w:szCs w:val="21"/>
        </w:rPr>
      </w:pPr>
      <w:r w:rsidRPr="00EB049C">
        <w:rPr>
          <w:rFonts w:hAnsi="宋体" w:hint="eastAsia"/>
          <w:sz w:val="21"/>
          <w:szCs w:val="21"/>
        </w:rPr>
        <w:t>为了建立指定类型脊柱系统的相对安全性，通常进行试验的结构类型有如下几种：</w:t>
      </w:r>
    </w:p>
    <w:p w:rsidR="008F17E4" w:rsidRPr="00EB049C" w:rsidRDefault="008F17E4" w:rsidP="003E190C">
      <w:pPr>
        <w:pStyle w:val="Default"/>
        <w:numPr>
          <w:ilvl w:val="0"/>
          <w:numId w:val="3"/>
        </w:numPr>
        <w:snapToGrid w:val="0"/>
        <w:spacing w:beforeLines="50" w:line="360" w:lineRule="auto"/>
        <w:ind w:leftChars="400" w:left="1260" w:hangingChars="200"/>
        <w:jc w:val="both"/>
        <w:rPr>
          <w:color w:val="auto"/>
          <w:sz w:val="21"/>
          <w:szCs w:val="21"/>
        </w:rPr>
      </w:pPr>
      <w:r w:rsidRPr="00EB049C">
        <w:rPr>
          <w:rFonts w:hAnsi="宋体" w:hint="eastAsia"/>
          <w:color w:val="auto"/>
          <w:sz w:val="21"/>
          <w:szCs w:val="21"/>
        </w:rPr>
        <w:t>对于打算进行融合的腰椎和胸椎椎弓根螺钉系统，应该提供静态和疲劳弯曲试验（如</w:t>
      </w:r>
      <w:r w:rsidRPr="00EB049C">
        <w:rPr>
          <w:color w:val="auto"/>
          <w:sz w:val="21"/>
          <w:szCs w:val="21"/>
        </w:rPr>
        <w:t>ASTM F1717</w:t>
      </w:r>
      <w:r w:rsidRPr="00EB049C">
        <w:rPr>
          <w:rFonts w:hAnsi="宋体" w:hint="eastAsia"/>
          <w:color w:val="auto"/>
          <w:sz w:val="21"/>
          <w:szCs w:val="21"/>
        </w:rPr>
        <w:t>）。</w:t>
      </w:r>
    </w:p>
    <w:p w:rsidR="008F17E4" w:rsidRPr="00EB049C" w:rsidRDefault="008F17E4" w:rsidP="003E190C">
      <w:pPr>
        <w:pStyle w:val="Default"/>
        <w:numPr>
          <w:ilvl w:val="0"/>
          <w:numId w:val="3"/>
        </w:numPr>
        <w:snapToGrid w:val="0"/>
        <w:spacing w:beforeLines="50" w:line="360" w:lineRule="auto"/>
        <w:ind w:leftChars="400" w:left="1260" w:hangingChars="200"/>
        <w:jc w:val="both"/>
        <w:rPr>
          <w:color w:val="auto"/>
          <w:sz w:val="21"/>
          <w:szCs w:val="21"/>
        </w:rPr>
      </w:pPr>
      <w:r w:rsidRPr="00EB049C">
        <w:rPr>
          <w:rFonts w:hAnsi="宋体" w:hint="eastAsia"/>
          <w:color w:val="auto"/>
          <w:sz w:val="21"/>
          <w:szCs w:val="21"/>
        </w:rPr>
        <w:t>对于打算进行融合的颈椎、椎弓根或侧块系统，应该提供静态和疲劳试验。而负荷模式（扭转或弯曲）取决于设计和材料。</w:t>
      </w:r>
    </w:p>
    <w:p w:rsidR="008F17E4" w:rsidRPr="00EB049C" w:rsidRDefault="008F17E4" w:rsidP="003E190C">
      <w:pPr>
        <w:pStyle w:val="Default"/>
        <w:numPr>
          <w:ilvl w:val="0"/>
          <w:numId w:val="3"/>
        </w:numPr>
        <w:snapToGrid w:val="0"/>
        <w:spacing w:beforeLines="50" w:line="360" w:lineRule="auto"/>
        <w:ind w:leftChars="400" w:left="1260" w:hangingChars="200"/>
        <w:jc w:val="both"/>
        <w:rPr>
          <w:color w:val="auto"/>
          <w:sz w:val="21"/>
          <w:szCs w:val="21"/>
        </w:rPr>
      </w:pPr>
      <w:r w:rsidRPr="00EB049C">
        <w:rPr>
          <w:rFonts w:hAnsi="宋体" w:hint="eastAsia"/>
          <w:color w:val="auto"/>
          <w:sz w:val="21"/>
          <w:szCs w:val="21"/>
        </w:rPr>
        <w:t>对于椎体间融合器械，应该提供静态、疲劳和排出（推出试验）试验。负荷模式（轴向、扭转、弯曲和</w:t>
      </w:r>
      <w:r w:rsidRPr="00EB049C">
        <w:rPr>
          <w:color w:val="auto"/>
          <w:sz w:val="21"/>
          <w:szCs w:val="21"/>
        </w:rPr>
        <w:t>/</w:t>
      </w:r>
      <w:r w:rsidRPr="00EB049C">
        <w:rPr>
          <w:rFonts w:hAnsi="宋体" w:hint="eastAsia"/>
          <w:color w:val="auto"/>
          <w:sz w:val="21"/>
          <w:szCs w:val="21"/>
        </w:rPr>
        <w:t>或剪切）取决于设计、材料和使用水平。</w:t>
      </w:r>
    </w:p>
    <w:p w:rsidR="008F17E4" w:rsidRPr="00EB049C" w:rsidRDefault="008F17E4" w:rsidP="003E190C">
      <w:pPr>
        <w:pStyle w:val="Default"/>
        <w:numPr>
          <w:ilvl w:val="0"/>
          <w:numId w:val="3"/>
        </w:numPr>
        <w:snapToGrid w:val="0"/>
        <w:spacing w:beforeLines="50" w:line="360" w:lineRule="auto"/>
        <w:ind w:leftChars="400" w:left="1260" w:hangingChars="200"/>
        <w:jc w:val="both"/>
        <w:rPr>
          <w:color w:val="auto"/>
          <w:sz w:val="21"/>
          <w:szCs w:val="21"/>
        </w:rPr>
      </w:pPr>
      <w:r w:rsidRPr="00EB049C">
        <w:rPr>
          <w:rFonts w:hAnsi="宋体" w:hint="eastAsia"/>
          <w:color w:val="auto"/>
          <w:sz w:val="21"/>
          <w:szCs w:val="21"/>
        </w:rPr>
        <w:t>对于椎体置换器械，应该提供弯曲和扭转负荷模式下的静态和疲劳试验。</w:t>
      </w:r>
      <w:r w:rsidRPr="00EB049C">
        <w:rPr>
          <w:color w:val="auto"/>
          <w:sz w:val="21"/>
          <w:szCs w:val="21"/>
        </w:rPr>
        <w:t>.</w:t>
      </w:r>
    </w:p>
    <w:p w:rsidR="008F17E4" w:rsidRPr="00EB049C" w:rsidRDefault="008F17E4" w:rsidP="003E190C">
      <w:pPr>
        <w:pStyle w:val="Default"/>
        <w:numPr>
          <w:ilvl w:val="0"/>
          <w:numId w:val="3"/>
        </w:numPr>
        <w:snapToGrid w:val="0"/>
        <w:spacing w:beforeLines="50" w:line="360" w:lineRule="auto"/>
        <w:ind w:leftChars="400" w:left="1260" w:hangingChars="200"/>
        <w:jc w:val="both"/>
        <w:rPr>
          <w:color w:val="auto"/>
          <w:sz w:val="21"/>
          <w:szCs w:val="21"/>
        </w:rPr>
      </w:pPr>
      <w:r w:rsidRPr="00EB049C">
        <w:rPr>
          <w:rFonts w:hAnsi="宋体" w:hint="eastAsia"/>
          <w:color w:val="auto"/>
          <w:sz w:val="21"/>
          <w:szCs w:val="21"/>
        </w:rPr>
        <w:t>对于椎间盘置换器械，应该提供多个负荷模式下的静态和疲劳试验。</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根据该系统的设计，</w:t>
      </w:r>
      <w:r w:rsidR="0093559A" w:rsidRPr="00EB049C">
        <w:rPr>
          <w:rFonts w:hAnsi="宋体" w:hint="eastAsia"/>
          <w:sz w:val="21"/>
          <w:szCs w:val="21"/>
        </w:rPr>
        <w:t>申办方</w:t>
      </w:r>
      <w:r w:rsidRPr="00EB049C">
        <w:rPr>
          <w:rFonts w:hAnsi="宋体" w:hint="eastAsia"/>
          <w:sz w:val="21"/>
          <w:szCs w:val="21"/>
        </w:rPr>
        <w:t>可能需要执行不同的试验来代替上述标识的试验，在不同试验模式下执行附加试验，并对试验系统的单个组件进行试验等。</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虽然椎弓根螺钉系统有可用的推荐性试验标准（即，</w:t>
      </w:r>
      <w:r w:rsidRPr="00EB049C">
        <w:rPr>
          <w:sz w:val="21"/>
          <w:szCs w:val="21"/>
        </w:rPr>
        <w:t>ASTM F1717</w:t>
      </w:r>
      <w:r w:rsidRPr="00EB049C">
        <w:rPr>
          <w:rFonts w:hAnsi="宋体" w:hint="eastAsia"/>
          <w:sz w:val="21"/>
          <w:szCs w:val="21"/>
        </w:rPr>
        <w:t>），但很多</w:t>
      </w:r>
      <w:r w:rsidR="0093559A" w:rsidRPr="00EB049C">
        <w:rPr>
          <w:rFonts w:hAnsi="宋体" w:hint="eastAsia"/>
          <w:sz w:val="21"/>
          <w:szCs w:val="21"/>
        </w:rPr>
        <w:t>申办方</w:t>
      </w:r>
      <w:r w:rsidRPr="00EB049C">
        <w:rPr>
          <w:rFonts w:hAnsi="宋体" w:hint="eastAsia"/>
          <w:sz w:val="21"/>
          <w:szCs w:val="21"/>
        </w:rPr>
        <w:t>都是利用改良版的标准应用于不同类型的脊柱系统。由于有的试验标准可能在制定中，所以</w:t>
      </w:r>
      <w:r w:rsidR="0093559A" w:rsidRPr="00EB049C">
        <w:rPr>
          <w:rFonts w:hAnsi="宋体" w:hint="eastAsia"/>
          <w:sz w:val="21"/>
          <w:szCs w:val="21"/>
        </w:rPr>
        <w:t>申办方</w:t>
      </w:r>
      <w:r w:rsidRPr="00EB049C">
        <w:rPr>
          <w:rFonts w:hAnsi="宋体" w:hint="eastAsia"/>
          <w:sz w:val="21"/>
          <w:szCs w:val="21"/>
        </w:rPr>
        <w:t>应该联系适当的标准制定机构（如，</w:t>
      </w:r>
      <w:r w:rsidRPr="00EB049C">
        <w:rPr>
          <w:sz w:val="21"/>
          <w:szCs w:val="21"/>
        </w:rPr>
        <w:t>ASTM</w:t>
      </w:r>
      <w:r w:rsidRPr="00EB049C">
        <w:rPr>
          <w:rFonts w:hAnsi="宋体" w:hint="eastAsia"/>
          <w:sz w:val="21"/>
          <w:szCs w:val="21"/>
        </w:rPr>
        <w:t>、</w:t>
      </w:r>
      <w:r w:rsidRPr="00EB049C">
        <w:rPr>
          <w:sz w:val="21"/>
          <w:szCs w:val="21"/>
        </w:rPr>
        <w:t>ISO</w:t>
      </w:r>
      <w:r w:rsidRPr="00EB049C">
        <w:rPr>
          <w:rFonts w:hAnsi="宋体" w:hint="eastAsia"/>
          <w:sz w:val="21"/>
          <w:szCs w:val="21"/>
        </w:rPr>
        <w:t>）来索取关于其特定器械类型试验设置、参数等方面的信息。</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应该提供一份关于所有非临床试验是否都遵从</w:t>
      </w:r>
      <w:r w:rsidRPr="00EB049C">
        <w:rPr>
          <w:sz w:val="21"/>
          <w:szCs w:val="21"/>
        </w:rPr>
        <w:t>GLP</w:t>
      </w:r>
      <w:r w:rsidRPr="00EB049C">
        <w:rPr>
          <w:rFonts w:hAnsi="宋体" w:hint="eastAsia"/>
          <w:sz w:val="21"/>
          <w:szCs w:val="21"/>
        </w:rPr>
        <w:t>规定（</w:t>
      </w:r>
      <w:r w:rsidRPr="00EB049C">
        <w:rPr>
          <w:sz w:val="21"/>
          <w:szCs w:val="21"/>
        </w:rPr>
        <w:t>21 CFR 58</w:t>
      </w:r>
      <w:r w:rsidRPr="00EB049C">
        <w:rPr>
          <w:rFonts w:hAnsi="宋体" w:hint="eastAsia"/>
          <w:sz w:val="21"/>
          <w:szCs w:val="21"/>
        </w:rPr>
        <w:t>）的声明。否则，应该提供一份关于不遵从原因方面的简要声明。</w:t>
      </w:r>
    </w:p>
    <w:p w:rsidR="008F17E4" w:rsidRPr="00EB049C" w:rsidRDefault="008F17E4" w:rsidP="003E190C">
      <w:pPr>
        <w:pStyle w:val="Default"/>
        <w:snapToGrid w:val="0"/>
        <w:spacing w:beforeLines="50" w:line="360" w:lineRule="auto"/>
        <w:jc w:val="both"/>
        <w:outlineLvl w:val="1"/>
        <w:rPr>
          <w:color w:val="auto"/>
          <w:sz w:val="21"/>
          <w:szCs w:val="21"/>
        </w:rPr>
      </w:pPr>
      <w:bookmarkStart w:id="9" w:name="_Toc480641576"/>
      <w:r w:rsidRPr="00EB049C">
        <w:rPr>
          <w:color w:val="auto"/>
          <w:sz w:val="21"/>
          <w:szCs w:val="21"/>
        </w:rPr>
        <w:t>4.</w:t>
      </w:r>
      <w:r w:rsidRPr="00EB049C">
        <w:rPr>
          <w:color w:val="auto"/>
          <w:sz w:val="21"/>
          <w:szCs w:val="21"/>
        </w:rPr>
        <w:tab/>
      </w:r>
      <w:r w:rsidRPr="00EB049C">
        <w:rPr>
          <w:rFonts w:hAnsi="宋体" w:hint="eastAsia"/>
          <w:color w:val="auto"/>
          <w:sz w:val="21"/>
          <w:szCs w:val="21"/>
        </w:rPr>
        <w:t>生物相容性</w:t>
      </w:r>
      <w:bookmarkEnd w:id="9"/>
    </w:p>
    <w:p w:rsidR="008F17E4" w:rsidRPr="00EB049C" w:rsidRDefault="008F17E4" w:rsidP="003E190C">
      <w:pPr>
        <w:pStyle w:val="Default"/>
        <w:snapToGrid w:val="0"/>
        <w:spacing w:beforeLines="50" w:line="360" w:lineRule="auto"/>
        <w:ind w:leftChars="200" w:left="420"/>
        <w:jc w:val="both"/>
        <w:rPr>
          <w:color w:val="auto"/>
          <w:sz w:val="21"/>
          <w:szCs w:val="21"/>
        </w:rPr>
      </w:pPr>
      <w:r w:rsidRPr="00EB049C">
        <w:rPr>
          <w:rFonts w:hAnsi="宋体" w:hint="eastAsia"/>
          <w:color w:val="auto"/>
          <w:sz w:val="21"/>
          <w:szCs w:val="21"/>
        </w:rPr>
        <w:t>根据构成该系统所用的材料，可能需要进行生物相容性试验。</w:t>
      </w:r>
      <w:r w:rsidRPr="00EB049C">
        <w:rPr>
          <w:color w:val="auto"/>
          <w:sz w:val="21"/>
          <w:szCs w:val="21"/>
        </w:rPr>
        <w:t xml:space="preserve">AAMI/ANSI 10993-1 </w:t>
      </w:r>
      <w:r w:rsidRPr="00EB049C">
        <w:rPr>
          <w:rFonts w:hAnsi="宋体" w:hint="eastAsia"/>
          <w:color w:val="auto"/>
          <w:sz w:val="21"/>
          <w:szCs w:val="21"/>
        </w:rPr>
        <w:t>是一项公认的生物相容性标准，对于应该提供何种类型的信息才能解决这一问题，</w:t>
      </w:r>
      <w:r w:rsidR="0093559A" w:rsidRPr="00EB049C">
        <w:rPr>
          <w:rFonts w:hAnsi="宋体" w:hint="eastAsia"/>
          <w:color w:val="auto"/>
          <w:sz w:val="21"/>
          <w:szCs w:val="21"/>
        </w:rPr>
        <w:t>申办方</w:t>
      </w:r>
      <w:r w:rsidRPr="00EB049C">
        <w:rPr>
          <w:rFonts w:hAnsi="宋体" w:hint="eastAsia"/>
          <w:color w:val="auto"/>
          <w:sz w:val="21"/>
          <w:szCs w:val="21"/>
        </w:rPr>
        <w:t>可以参考该标准的说明。此外，对于所有生物或药物成分（如，骨形态发生蛋白、牛骨蛋白等），</w:t>
      </w:r>
      <w:r w:rsidR="0093559A" w:rsidRPr="00EB049C">
        <w:rPr>
          <w:rFonts w:hAnsi="宋体" w:hint="eastAsia"/>
          <w:color w:val="auto"/>
          <w:sz w:val="21"/>
          <w:szCs w:val="21"/>
        </w:rPr>
        <w:t>申办方</w:t>
      </w:r>
      <w:r w:rsidRPr="00EB049C">
        <w:rPr>
          <w:rFonts w:hAnsi="宋体" w:hint="eastAsia"/>
          <w:color w:val="auto"/>
          <w:sz w:val="21"/>
          <w:szCs w:val="21"/>
        </w:rPr>
        <w:t>应该遵循来自</w:t>
      </w:r>
      <w:r w:rsidRPr="00EB049C">
        <w:rPr>
          <w:color w:val="auto"/>
          <w:sz w:val="21"/>
          <w:szCs w:val="21"/>
        </w:rPr>
        <w:t xml:space="preserve">DGRD </w:t>
      </w:r>
      <w:r w:rsidRPr="00EB049C">
        <w:rPr>
          <w:rFonts w:hAnsi="宋体" w:hint="eastAsia"/>
          <w:color w:val="auto"/>
          <w:sz w:val="21"/>
          <w:szCs w:val="21"/>
        </w:rPr>
        <w:t>和</w:t>
      </w:r>
      <w:r w:rsidRPr="00EB049C">
        <w:rPr>
          <w:color w:val="auto"/>
          <w:sz w:val="21"/>
          <w:szCs w:val="21"/>
        </w:rPr>
        <w:t xml:space="preserve"> CBER</w:t>
      </w:r>
      <w:r w:rsidRPr="00EB049C">
        <w:rPr>
          <w:rFonts w:hAnsi="宋体" w:hint="eastAsia"/>
          <w:color w:val="auto"/>
          <w:sz w:val="21"/>
          <w:szCs w:val="21"/>
        </w:rPr>
        <w:t>中心的任何可适用的指导文件。</w:t>
      </w:r>
    </w:p>
    <w:p w:rsidR="008F17E4" w:rsidRPr="00EB049C" w:rsidRDefault="008F17E4" w:rsidP="00C40B70">
      <w:pPr>
        <w:pStyle w:val="Default"/>
        <w:snapToGrid w:val="0"/>
        <w:spacing w:line="360" w:lineRule="auto"/>
        <w:jc w:val="both"/>
        <w:outlineLvl w:val="1"/>
        <w:rPr>
          <w:color w:val="auto"/>
          <w:sz w:val="21"/>
          <w:szCs w:val="21"/>
        </w:rPr>
      </w:pPr>
      <w:r w:rsidRPr="00EB049C">
        <w:rPr>
          <w:color w:val="auto"/>
          <w:sz w:val="21"/>
          <w:szCs w:val="21"/>
        </w:rPr>
        <w:br w:type="page"/>
      </w:r>
      <w:bookmarkStart w:id="10" w:name="_Toc480641577"/>
      <w:r w:rsidRPr="00EB049C">
        <w:rPr>
          <w:color w:val="auto"/>
          <w:sz w:val="21"/>
          <w:szCs w:val="21"/>
        </w:rPr>
        <w:lastRenderedPageBreak/>
        <w:t>5.</w:t>
      </w:r>
      <w:r w:rsidRPr="00EB049C">
        <w:rPr>
          <w:color w:val="auto"/>
          <w:sz w:val="21"/>
          <w:szCs w:val="21"/>
        </w:rPr>
        <w:tab/>
      </w:r>
      <w:r w:rsidRPr="00EB049C">
        <w:rPr>
          <w:rFonts w:hAnsi="宋体" w:hint="eastAsia"/>
          <w:color w:val="auto"/>
          <w:sz w:val="21"/>
          <w:szCs w:val="21"/>
        </w:rPr>
        <w:t>参考书目</w:t>
      </w:r>
      <w:bookmarkEnd w:id="10"/>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应提供所有发表和未发表信息的参考书目，不管是否是不良信息或支持性信息，只要它们与证明</w:t>
      </w:r>
      <w:r w:rsidRPr="00EB049C">
        <w:rPr>
          <w:sz w:val="21"/>
          <w:szCs w:val="21"/>
        </w:rPr>
        <w:t>IDE</w:t>
      </w:r>
      <w:r w:rsidRPr="00EB049C">
        <w:rPr>
          <w:rFonts w:hAnsi="宋体" w:hint="eastAsia"/>
          <w:sz w:val="21"/>
          <w:szCs w:val="21"/>
        </w:rPr>
        <w:t>启动合理相关就可以。此外，应该提供这一信息的副本和一份关于它的综合总结。这一总结应该明确标识出哪些文献被用来提供拟定</w:t>
      </w:r>
      <w:r w:rsidR="00176745" w:rsidRPr="00EB049C">
        <w:rPr>
          <w:rFonts w:hAnsi="宋体" w:hint="eastAsia"/>
          <w:sz w:val="21"/>
          <w:szCs w:val="21"/>
        </w:rPr>
        <w:t>适应证</w:t>
      </w:r>
      <w:r w:rsidRPr="00EB049C">
        <w:rPr>
          <w:rFonts w:hAnsi="宋体" w:hint="eastAsia"/>
          <w:sz w:val="21"/>
          <w:szCs w:val="21"/>
        </w:rPr>
        <w:t>、研究持续时间、评价参数量表、成功定义、系统设计、试验结果等支持性信息。</w:t>
      </w:r>
    </w:p>
    <w:p w:rsidR="008F17E4" w:rsidRPr="00EB049C" w:rsidRDefault="008F17E4" w:rsidP="003E190C">
      <w:pPr>
        <w:pStyle w:val="CM17"/>
        <w:snapToGrid w:val="0"/>
        <w:spacing w:beforeLines="50" w:line="360" w:lineRule="auto"/>
        <w:ind w:leftChars="200" w:left="420"/>
        <w:jc w:val="both"/>
        <w:rPr>
          <w:sz w:val="21"/>
          <w:szCs w:val="21"/>
        </w:rPr>
      </w:pPr>
      <w:r w:rsidRPr="00EB049C">
        <w:rPr>
          <w:rFonts w:hAnsi="宋体" w:hint="eastAsia"/>
          <w:sz w:val="21"/>
          <w:szCs w:val="21"/>
        </w:rPr>
        <w:t>文献可能从以下几方面提供支持性信息或解决问题方法：</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该拟定系统在尺寸上与拟定脊柱节段能相符合吗？</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独特设计特征的基本依据适当吗？</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所执行的机械试验的类型适当吗？</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此机械试验的结果充分吗？</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对于转移性肿瘤患者，适当的研究持续时间、参数量表、成功标准等如何界定？对其他</w:t>
      </w:r>
      <w:r w:rsidR="00176745" w:rsidRPr="00EB049C">
        <w:rPr>
          <w:rFonts w:hAnsi="宋体" w:hint="eastAsia"/>
          <w:color w:val="auto"/>
          <w:sz w:val="21"/>
          <w:szCs w:val="21"/>
        </w:rPr>
        <w:t>适应证</w:t>
      </w:r>
      <w:r w:rsidRPr="00EB049C">
        <w:rPr>
          <w:rFonts w:hAnsi="宋体" w:hint="eastAsia"/>
          <w:color w:val="auto"/>
          <w:sz w:val="21"/>
          <w:szCs w:val="21"/>
        </w:rPr>
        <w:t>呢？对特殊脊柱节段（即，颈椎与腰椎等）呢？</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对于拟定</w:t>
      </w:r>
      <w:r w:rsidR="00176745" w:rsidRPr="00EB049C">
        <w:rPr>
          <w:rFonts w:hAnsi="宋体" w:hint="eastAsia"/>
          <w:color w:val="auto"/>
          <w:sz w:val="21"/>
          <w:szCs w:val="21"/>
        </w:rPr>
        <w:t>适应证</w:t>
      </w:r>
      <w:r w:rsidRPr="00EB049C">
        <w:rPr>
          <w:rFonts w:hAnsi="宋体" w:hint="eastAsia"/>
          <w:color w:val="auto"/>
          <w:sz w:val="21"/>
          <w:szCs w:val="21"/>
        </w:rPr>
        <w:t>，入选标准和排除标准适当吗？</w:t>
      </w:r>
    </w:p>
    <w:p w:rsidR="008F17E4" w:rsidRPr="00EB049C" w:rsidRDefault="008F17E4" w:rsidP="005627F4">
      <w:pPr>
        <w:pStyle w:val="Default"/>
        <w:numPr>
          <w:ilvl w:val="0"/>
          <w:numId w:val="4"/>
        </w:numPr>
        <w:snapToGrid w:val="0"/>
        <w:spacing w:line="360" w:lineRule="auto"/>
        <w:ind w:leftChars="200" w:left="840" w:hangingChars="200"/>
        <w:jc w:val="both"/>
        <w:rPr>
          <w:color w:val="auto"/>
          <w:sz w:val="21"/>
          <w:szCs w:val="21"/>
        </w:rPr>
      </w:pPr>
      <w:r w:rsidRPr="00EB049C">
        <w:rPr>
          <w:rFonts w:hAnsi="宋体" w:hint="eastAsia"/>
          <w:color w:val="auto"/>
          <w:sz w:val="21"/>
          <w:szCs w:val="21"/>
        </w:rPr>
        <w:t>拟定量表和成功定义经过验证或适当吗？</w:t>
      </w:r>
    </w:p>
    <w:p w:rsidR="008F17E4" w:rsidRPr="00EB049C" w:rsidRDefault="008F17E4" w:rsidP="003E190C">
      <w:pPr>
        <w:pStyle w:val="CM45"/>
        <w:snapToGrid w:val="0"/>
        <w:spacing w:beforeLines="50" w:after="0" w:line="360" w:lineRule="auto"/>
        <w:jc w:val="both"/>
        <w:outlineLvl w:val="0"/>
        <w:rPr>
          <w:sz w:val="21"/>
          <w:szCs w:val="21"/>
        </w:rPr>
      </w:pPr>
      <w:bookmarkStart w:id="11" w:name="_Toc480641578"/>
      <w:r w:rsidRPr="00EB049C">
        <w:rPr>
          <w:rFonts w:hAnsi="宋体" w:hint="eastAsia"/>
          <w:b/>
          <w:bCs/>
          <w:sz w:val="21"/>
          <w:szCs w:val="21"/>
          <w:u w:val="single"/>
        </w:rPr>
        <w:t>试验计划</w:t>
      </w:r>
      <w:bookmarkEnd w:id="11"/>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应该以某一方式来设计和执行临床研究，这样它提供的数据才能构成符合</w:t>
      </w:r>
      <w:r w:rsidRPr="00EB049C">
        <w:rPr>
          <w:sz w:val="21"/>
          <w:szCs w:val="21"/>
        </w:rPr>
        <w:t>21 CFR 860.7</w:t>
      </w:r>
      <w:r w:rsidRPr="00EB049C">
        <w:rPr>
          <w:rFonts w:hAnsi="宋体" w:hint="eastAsia"/>
          <w:sz w:val="21"/>
          <w:szCs w:val="21"/>
        </w:rPr>
        <w:t>规定的有效科学证据。</w:t>
      </w:r>
    </w:p>
    <w:p w:rsidR="008F17E4" w:rsidRPr="00EB049C" w:rsidRDefault="008F17E4" w:rsidP="003E190C">
      <w:pPr>
        <w:pStyle w:val="CM45"/>
        <w:snapToGrid w:val="0"/>
        <w:spacing w:beforeLines="50" w:after="0" w:line="360" w:lineRule="auto"/>
        <w:jc w:val="both"/>
        <w:outlineLvl w:val="1"/>
        <w:rPr>
          <w:sz w:val="21"/>
          <w:szCs w:val="21"/>
        </w:rPr>
      </w:pPr>
      <w:bookmarkStart w:id="12" w:name="_Toc480641579"/>
      <w:r w:rsidRPr="00EB049C">
        <w:rPr>
          <w:sz w:val="21"/>
          <w:szCs w:val="21"/>
        </w:rPr>
        <w:t>1.</w:t>
      </w:r>
      <w:r w:rsidRPr="00EB049C">
        <w:rPr>
          <w:sz w:val="21"/>
          <w:szCs w:val="21"/>
        </w:rPr>
        <w:tab/>
      </w:r>
      <w:r w:rsidRPr="00EB049C">
        <w:rPr>
          <w:rFonts w:hAnsi="宋体" w:hint="eastAsia"/>
          <w:sz w:val="21"/>
          <w:szCs w:val="21"/>
        </w:rPr>
        <w:t>可行性</w:t>
      </w:r>
      <w:r w:rsidRPr="00EB049C">
        <w:rPr>
          <w:sz w:val="21"/>
          <w:szCs w:val="21"/>
        </w:rPr>
        <w:t>/</w:t>
      </w:r>
      <w:r w:rsidR="00171F99" w:rsidRPr="00EB049C">
        <w:rPr>
          <w:rFonts w:hAnsi="宋体" w:hint="eastAsia"/>
          <w:sz w:val="21"/>
          <w:szCs w:val="21"/>
        </w:rPr>
        <w:t>前驱性研究</w:t>
      </w:r>
      <w:r w:rsidRPr="00EB049C">
        <w:rPr>
          <w:rFonts w:hAnsi="宋体" w:hint="eastAsia"/>
          <w:sz w:val="21"/>
          <w:szCs w:val="21"/>
        </w:rPr>
        <w:t>与关键性研究</w:t>
      </w:r>
      <w:bookmarkEnd w:id="12"/>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不同于大多数矫形植入物的</w:t>
      </w:r>
      <w:r w:rsidRPr="00EB049C">
        <w:rPr>
          <w:sz w:val="21"/>
          <w:szCs w:val="21"/>
        </w:rPr>
        <w:t>IDE</w:t>
      </w:r>
      <w:r w:rsidRPr="00EB049C">
        <w:rPr>
          <w:rFonts w:hAnsi="宋体" w:hint="eastAsia"/>
          <w:sz w:val="21"/>
          <w:szCs w:val="21"/>
        </w:rPr>
        <w:t>，脊柱系统的</w:t>
      </w:r>
      <w:r w:rsidRPr="00EB049C">
        <w:rPr>
          <w:sz w:val="21"/>
          <w:szCs w:val="21"/>
        </w:rPr>
        <w:t>IDE</w:t>
      </w:r>
      <w:r w:rsidRPr="00EB049C">
        <w:rPr>
          <w:rFonts w:hAnsi="宋体" w:hint="eastAsia"/>
          <w:sz w:val="21"/>
          <w:szCs w:val="21"/>
        </w:rPr>
        <w:t>常常涉及新器械设计和试验方案的介绍。因此，脊柱系统的研究方案范围可能不同，从可行性</w:t>
      </w:r>
      <w:r w:rsidRPr="00EB049C">
        <w:rPr>
          <w:sz w:val="21"/>
          <w:szCs w:val="21"/>
        </w:rPr>
        <w:t>/</w:t>
      </w:r>
      <w:r w:rsidR="00171F99" w:rsidRPr="00EB049C">
        <w:rPr>
          <w:rFonts w:hAnsi="宋体" w:hint="eastAsia"/>
          <w:sz w:val="21"/>
          <w:szCs w:val="21"/>
        </w:rPr>
        <w:t>前驱性研究</w:t>
      </w:r>
      <w:r w:rsidRPr="00EB049C">
        <w:rPr>
          <w:rFonts w:hAnsi="宋体" w:hint="eastAsia"/>
          <w:sz w:val="21"/>
          <w:szCs w:val="21"/>
        </w:rPr>
        <w:t>到用来支持脊柱系统安全性和有效性的研究（本指导中将被称之为</w:t>
      </w:r>
      <w:r w:rsidRPr="00EB049C">
        <w:rPr>
          <w:sz w:val="21"/>
          <w:szCs w:val="21"/>
        </w:rPr>
        <w:t>“</w:t>
      </w:r>
      <w:r w:rsidRPr="00EB049C">
        <w:rPr>
          <w:rFonts w:hAnsi="宋体" w:hint="eastAsia"/>
          <w:sz w:val="21"/>
          <w:szCs w:val="21"/>
        </w:rPr>
        <w:t>关键性</w:t>
      </w:r>
      <w:r w:rsidRPr="00EB049C">
        <w:rPr>
          <w:sz w:val="21"/>
          <w:szCs w:val="21"/>
        </w:rPr>
        <w:t>”</w:t>
      </w:r>
      <w:r w:rsidRPr="00EB049C">
        <w:rPr>
          <w:rFonts w:hAnsi="宋体" w:hint="eastAsia"/>
          <w:sz w:val="21"/>
          <w:szCs w:val="21"/>
        </w:rPr>
        <w:t>研究）都有可能。这些不同类型的研究旨在解决不同的问题，收集不同类型和数量的安全性和有效性信息。</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即将进行的研究的类型（可行性</w:t>
      </w:r>
      <w:r w:rsidRPr="00EB049C">
        <w:rPr>
          <w:sz w:val="21"/>
          <w:szCs w:val="21"/>
        </w:rPr>
        <w:t>/</w:t>
      </w:r>
      <w:r w:rsidRPr="00EB049C">
        <w:rPr>
          <w:rFonts w:hAnsi="宋体" w:hint="eastAsia"/>
          <w:sz w:val="21"/>
          <w:szCs w:val="21"/>
        </w:rPr>
        <w:t>前导性或关键性）会影响</w:t>
      </w:r>
      <w:r w:rsidRPr="00EB049C">
        <w:rPr>
          <w:sz w:val="21"/>
          <w:szCs w:val="21"/>
        </w:rPr>
        <w:t>IDE</w:t>
      </w:r>
      <w:r w:rsidRPr="00EB049C">
        <w:rPr>
          <w:rFonts w:hAnsi="宋体" w:hint="eastAsia"/>
          <w:sz w:val="21"/>
          <w:szCs w:val="21"/>
        </w:rPr>
        <w:t>的很多部分（如，既往研究报告、研究计划、知情同意书、标签等）。该方案的各个子部分，应该针对拟定执行的方案类型进行讨论。有时</w:t>
      </w:r>
      <w:r w:rsidR="0093559A" w:rsidRPr="00EB049C">
        <w:rPr>
          <w:rFonts w:hAnsi="宋体" w:hint="eastAsia"/>
          <w:sz w:val="21"/>
          <w:szCs w:val="21"/>
        </w:rPr>
        <w:t>申办方</w:t>
      </w:r>
      <w:r w:rsidRPr="00EB049C">
        <w:rPr>
          <w:rFonts w:hAnsi="宋体" w:hint="eastAsia"/>
          <w:sz w:val="21"/>
          <w:szCs w:val="21"/>
        </w:rPr>
        <w:t>应该把</w:t>
      </w:r>
      <w:r w:rsidRPr="00EB049C">
        <w:rPr>
          <w:sz w:val="21"/>
          <w:szCs w:val="21"/>
        </w:rPr>
        <w:t>IDE</w:t>
      </w:r>
      <w:r w:rsidRPr="00EB049C">
        <w:rPr>
          <w:rFonts w:hAnsi="宋体" w:hint="eastAsia"/>
          <w:sz w:val="21"/>
          <w:szCs w:val="21"/>
        </w:rPr>
        <w:t>的重点放在一种方案类型上。如果拟定进行可行性</w:t>
      </w:r>
      <w:r w:rsidRPr="00EB049C">
        <w:rPr>
          <w:sz w:val="21"/>
          <w:szCs w:val="21"/>
        </w:rPr>
        <w:t>/</w:t>
      </w:r>
      <w:r w:rsidR="00171F99" w:rsidRPr="00EB049C">
        <w:rPr>
          <w:rFonts w:hAnsi="宋体" w:hint="eastAsia"/>
          <w:sz w:val="21"/>
          <w:szCs w:val="21"/>
        </w:rPr>
        <w:t>前驱性研究</w:t>
      </w:r>
      <w:r w:rsidRPr="00EB049C">
        <w:rPr>
          <w:rFonts w:hAnsi="宋体" w:hint="eastAsia"/>
          <w:sz w:val="21"/>
          <w:szCs w:val="21"/>
        </w:rPr>
        <w:t>，则扩展至关键性研究之前，</w:t>
      </w:r>
      <w:r w:rsidR="0093559A" w:rsidRPr="00EB049C">
        <w:rPr>
          <w:rFonts w:hAnsi="宋体" w:hint="eastAsia"/>
          <w:sz w:val="21"/>
          <w:szCs w:val="21"/>
        </w:rPr>
        <w:t>申办方</w:t>
      </w:r>
      <w:r w:rsidRPr="00EB049C">
        <w:rPr>
          <w:rFonts w:hAnsi="宋体" w:hint="eastAsia"/>
          <w:sz w:val="21"/>
          <w:szCs w:val="21"/>
        </w:rPr>
        <w:t>应该包含应该要达到的标准。</w:t>
      </w:r>
    </w:p>
    <w:p w:rsidR="008F17E4" w:rsidRPr="00EB049C" w:rsidRDefault="008F17E4" w:rsidP="003E190C">
      <w:pPr>
        <w:pStyle w:val="Default"/>
        <w:numPr>
          <w:ilvl w:val="0"/>
          <w:numId w:val="28"/>
        </w:numPr>
        <w:snapToGrid w:val="0"/>
        <w:spacing w:beforeLines="50" w:line="336" w:lineRule="auto"/>
        <w:ind w:leftChars="200" w:left="840" w:hangingChars="200"/>
        <w:jc w:val="both"/>
        <w:rPr>
          <w:color w:val="auto"/>
          <w:sz w:val="21"/>
          <w:szCs w:val="21"/>
        </w:rPr>
      </w:pPr>
      <w:r w:rsidRPr="00EB049C">
        <w:rPr>
          <w:rFonts w:hAnsi="宋体" w:hint="eastAsia"/>
          <w:color w:val="auto"/>
          <w:sz w:val="21"/>
          <w:szCs w:val="21"/>
          <w:u w:val="single"/>
        </w:rPr>
        <w:t>可行性</w:t>
      </w:r>
      <w:r w:rsidRPr="00EB049C">
        <w:rPr>
          <w:color w:val="auto"/>
          <w:sz w:val="21"/>
          <w:szCs w:val="21"/>
          <w:u w:val="single"/>
        </w:rPr>
        <w:t>/</w:t>
      </w:r>
      <w:r w:rsidRPr="00EB049C">
        <w:rPr>
          <w:rFonts w:hAnsi="宋体" w:hint="eastAsia"/>
          <w:color w:val="auto"/>
          <w:sz w:val="21"/>
          <w:szCs w:val="21"/>
          <w:u w:val="single"/>
        </w:rPr>
        <w:t>关键性研究</w:t>
      </w:r>
      <w:r w:rsidRPr="00EB049C">
        <w:rPr>
          <w:rFonts w:hAnsi="宋体" w:hint="eastAsia"/>
          <w:color w:val="auto"/>
          <w:sz w:val="21"/>
          <w:szCs w:val="21"/>
        </w:rPr>
        <w:t>被用来收集非常有限的人类临床试验中的初步安全性和</w:t>
      </w:r>
      <w:r w:rsidRPr="00EB049C">
        <w:rPr>
          <w:color w:val="auto"/>
          <w:sz w:val="21"/>
          <w:szCs w:val="21"/>
        </w:rPr>
        <w:t>/</w:t>
      </w:r>
      <w:r w:rsidRPr="00EB049C">
        <w:rPr>
          <w:rFonts w:hAnsi="宋体" w:hint="eastAsia"/>
          <w:color w:val="auto"/>
          <w:sz w:val="21"/>
          <w:szCs w:val="21"/>
        </w:rPr>
        <w:t>或有效性信息，之后再执行支持脊柱系统安全性和有效性的研究。这种类型的研究通常针对无可用数据或无类似设计器械的脊柱器械设计和试验方案进行。如果已经获得可用数据或已经存在大量类似器械，则可能没有必要进行可行性</w:t>
      </w:r>
      <w:r w:rsidRPr="00EB049C">
        <w:rPr>
          <w:color w:val="auto"/>
          <w:sz w:val="21"/>
          <w:szCs w:val="21"/>
        </w:rPr>
        <w:t>/</w:t>
      </w:r>
      <w:r w:rsidR="00171F99" w:rsidRPr="00EB049C">
        <w:rPr>
          <w:rFonts w:hAnsi="宋体" w:hint="eastAsia"/>
          <w:color w:val="auto"/>
          <w:sz w:val="21"/>
          <w:szCs w:val="21"/>
        </w:rPr>
        <w:t>前驱性研究</w:t>
      </w:r>
      <w:r w:rsidRPr="00EB049C">
        <w:rPr>
          <w:rFonts w:hAnsi="宋体" w:hint="eastAsia"/>
          <w:color w:val="auto"/>
          <w:sz w:val="21"/>
          <w:szCs w:val="21"/>
        </w:rPr>
        <w:t>。这种类型研究的范围和目的非常有限。例如，执行这一类型的研究可能是为了优化手术技术、评价新系统设计、验证新患者评估工具、识别临床上有意义的终点或获取关</w:t>
      </w:r>
      <w:r w:rsidRPr="00EB049C">
        <w:rPr>
          <w:rFonts w:hAnsi="宋体" w:hint="eastAsia"/>
          <w:color w:val="auto"/>
          <w:sz w:val="21"/>
          <w:szCs w:val="21"/>
        </w:rPr>
        <w:lastRenderedPageBreak/>
        <w:t>键性研究设计基础的信息。可行性</w:t>
      </w:r>
      <w:r w:rsidRPr="00EB049C">
        <w:rPr>
          <w:color w:val="auto"/>
          <w:sz w:val="21"/>
          <w:szCs w:val="21"/>
        </w:rPr>
        <w:t>/</w:t>
      </w:r>
      <w:r w:rsidR="00171F99" w:rsidRPr="00EB049C">
        <w:rPr>
          <w:rFonts w:hAnsi="宋体" w:hint="eastAsia"/>
          <w:color w:val="auto"/>
          <w:sz w:val="21"/>
          <w:szCs w:val="21"/>
        </w:rPr>
        <w:t>前驱性研究</w:t>
      </w:r>
      <w:r w:rsidRPr="00EB049C">
        <w:rPr>
          <w:rFonts w:hAnsi="宋体" w:hint="eastAsia"/>
          <w:color w:val="auto"/>
          <w:sz w:val="21"/>
          <w:szCs w:val="21"/>
        </w:rPr>
        <w:t>的目的还可能涉及针对研究者植入新型器械和</w:t>
      </w:r>
      <w:r w:rsidRPr="00EB049C">
        <w:rPr>
          <w:color w:val="auto"/>
          <w:sz w:val="21"/>
          <w:szCs w:val="21"/>
        </w:rPr>
        <w:t>/</w:t>
      </w:r>
      <w:r w:rsidRPr="00EB049C">
        <w:rPr>
          <w:rFonts w:hAnsi="宋体" w:hint="eastAsia"/>
          <w:color w:val="auto"/>
          <w:sz w:val="21"/>
          <w:szCs w:val="21"/>
        </w:rPr>
        <w:t>或通过新方法实施植入的专业培训。根据该可行性</w:t>
      </w:r>
      <w:r w:rsidRPr="00EB049C">
        <w:rPr>
          <w:color w:val="auto"/>
          <w:sz w:val="21"/>
          <w:szCs w:val="21"/>
        </w:rPr>
        <w:t>/</w:t>
      </w:r>
      <w:r w:rsidR="00171F99" w:rsidRPr="00EB049C">
        <w:rPr>
          <w:rFonts w:hAnsi="宋体" w:hint="eastAsia"/>
          <w:color w:val="auto"/>
          <w:sz w:val="21"/>
          <w:szCs w:val="21"/>
        </w:rPr>
        <w:t>前驱性研究</w:t>
      </w:r>
      <w:r w:rsidRPr="00EB049C">
        <w:rPr>
          <w:rFonts w:hAnsi="宋体" w:hint="eastAsia"/>
          <w:color w:val="auto"/>
          <w:sz w:val="21"/>
          <w:szCs w:val="21"/>
        </w:rPr>
        <w:t>的目的，可能需要一个对照品。即使不太可能从这类小规模研究中获得统计显著性，但也应该对安全性和有效性数据进行有限评价。</w:t>
      </w:r>
      <w:r w:rsidR="0093559A" w:rsidRPr="00EB049C">
        <w:rPr>
          <w:rFonts w:hAnsi="宋体" w:hint="eastAsia"/>
          <w:color w:val="auto"/>
          <w:sz w:val="21"/>
          <w:szCs w:val="21"/>
        </w:rPr>
        <w:t>申办方</w:t>
      </w:r>
      <w:r w:rsidRPr="00EB049C">
        <w:rPr>
          <w:rFonts w:hAnsi="宋体" w:hint="eastAsia"/>
          <w:color w:val="auto"/>
          <w:sz w:val="21"/>
          <w:szCs w:val="21"/>
        </w:rPr>
        <w:t>应该参考</w:t>
      </w:r>
      <w:r w:rsidRPr="00EB049C">
        <w:rPr>
          <w:rFonts w:hAnsi="宋体" w:hint="eastAsia"/>
          <w:i/>
          <w:color w:val="auto"/>
          <w:sz w:val="21"/>
          <w:szCs w:val="21"/>
        </w:rPr>
        <w:t>可行性研究试验用器械豁免（</w:t>
      </w:r>
      <w:r w:rsidRPr="00EB049C">
        <w:rPr>
          <w:i/>
          <w:color w:val="auto"/>
          <w:sz w:val="21"/>
          <w:szCs w:val="21"/>
        </w:rPr>
        <w:t>IDE</w:t>
      </w:r>
      <w:r w:rsidRPr="00EB049C">
        <w:rPr>
          <w:rFonts w:hAnsi="宋体" w:hint="eastAsia"/>
          <w:i/>
          <w:color w:val="auto"/>
          <w:sz w:val="21"/>
          <w:szCs w:val="21"/>
        </w:rPr>
        <w:t>）申请审查指导</w:t>
      </w:r>
      <w:r w:rsidRPr="00EB049C">
        <w:rPr>
          <w:rFonts w:hAnsi="宋体" w:hint="eastAsia"/>
          <w:color w:val="auto"/>
          <w:sz w:val="21"/>
          <w:szCs w:val="21"/>
        </w:rPr>
        <w:t>，</w:t>
      </w:r>
      <w:r w:rsidRPr="00EB049C">
        <w:rPr>
          <w:color w:val="auto"/>
          <w:sz w:val="21"/>
          <w:szCs w:val="21"/>
        </w:rPr>
        <w:t>IDE</w:t>
      </w:r>
      <w:r w:rsidRPr="00EB049C">
        <w:rPr>
          <w:rFonts w:hAnsi="宋体" w:hint="eastAsia"/>
          <w:color w:val="auto"/>
          <w:sz w:val="21"/>
          <w:szCs w:val="21"/>
        </w:rPr>
        <w:t>指导备忘录</w:t>
      </w:r>
      <w:r w:rsidRPr="00EB049C">
        <w:rPr>
          <w:color w:val="auto"/>
          <w:sz w:val="21"/>
          <w:szCs w:val="21"/>
        </w:rPr>
        <w:t xml:space="preserve">  89-1</w:t>
      </w:r>
      <w:r w:rsidRPr="00EB049C">
        <w:rPr>
          <w:rFonts w:hAnsi="宋体" w:hint="eastAsia"/>
          <w:color w:val="auto"/>
          <w:sz w:val="21"/>
          <w:szCs w:val="21"/>
        </w:rPr>
        <w:t>号。</w:t>
      </w:r>
    </w:p>
    <w:p w:rsidR="008F17E4" w:rsidRPr="00EB049C" w:rsidRDefault="008F17E4" w:rsidP="003E190C">
      <w:pPr>
        <w:pStyle w:val="Default"/>
        <w:numPr>
          <w:ilvl w:val="0"/>
          <w:numId w:val="5"/>
        </w:numPr>
        <w:snapToGrid w:val="0"/>
        <w:spacing w:beforeLines="50" w:line="336" w:lineRule="auto"/>
        <w:ind w:leftChars="200" w:left="840" w:hangingChars="200"/>
        <w:jc w:val="both"/>
        <w:rPr>
          <w:color w:val="auto"/>
          <w:sz w:val="21"/>
          <w:szCs w:val="21"/>
        </w:rPr>
      </w:pPr>
      <w:r w:rsidRPr="00EB049C">
        <w:rPr>
          <w:rFonts w:hAnsi="宋体" w:hint="eastAsia"/>
          <w:color w:val="auto"/>
          <w:sz w:val="21"/>
          <w:szCs w:val="21"/>
        </w:rPr>
        <w:t>提供充分合理的初步安全性和</w:t>
      </w:r>
      <w:r w:rsidRPr="00EB049C">
        <w:rPr>
          <w:color w:val="auto"/>
          <w:sz w:val="21"/>
          <w:szCs w:val="21"/>
        </w:rPr>
        <w:t>/</w:t>
      </w:r>
      <w:r w:rsidRPr="00EB049C">
        <w:rPr>
          <w:rFonts w:hAnsi="宋体" w:hint="eastAsia"/>
          <w:color w:val="auto"/>
          <w:sz w:val="21"/>
          <w:szCs w:val="21"/>
        </w:rPr>
        <w:t>或有效性信息时，应该提议基于上市目的的</w:t>
      </w:r>
      <w:r w:rsidRPr="00EB049C">
        <w:rPr>
          <w:rFonts w:hAnsi="宋体" w:hint="eastAsia"/>
          <w:color w:val="auto"/>
          <w:sz w:val="21"/>
          <w:szCs w:val="21"/>
          <w:u w:val="single"/>
        </w:rPr>
        <w:t>关键性研究</w:t>
      </w:r>
      <w:r w:rsidRPr="00EB049C">
        <w:rPr>
          <w:rFonts w:hAnsi="宋体" w:hint="eastAsia"/>
          <w:color w:val="auto"/>
          <w:sz w:val="21"/>
          <w:szCs w:val="21"/>
        </w:rPr>
        <w:t>。这些初步信息可能来自于可行性</w:t>
      </w:r>
      <w:r w:rsidRPr="00EB049C">
        <w:rPr>
          <w:color w:val="auto"/>
          <w:sz w:val="21"/>
          <w:szCs w:val="21"/>
        </w:rPr>
        <w:t>/</w:t>
      </w:r>
      <w:r w:rsidR="00171F99" w:rsidRPr="00EB049C">
        <w:rPr>
          <w:rFonts w:hAnsi="宋体" w:hint="eastAsia"/>
          <w:color w:val="auto"/>
          <w:sz w:val="21"/>
          <w:szCs w:val="21"/>
        </w:rPr>
        <w:t>前驱性研究</w:t>
      </w:r>
      <w:r w:rsidRPr="00EB049C">
        <w:rPr>
          <w:rFonts w:hAnsi="宋体" w:hint="eastAsia"/>
          <w:color w:val="auto"/>
          <w:sz w:val="21"/>
          <w:szCs w:val="21"/>
        </w:rPr>
        <w:t>、动物研究或其他临床前研究。</w:t>
      </w:r>
    </w:p>
    <w:p w:rsidR="008F17E4" w:rsidRPr="00EB049C" w:rsidRDefault="008F17E4" w:rsidP="003E190C">
      <w:pPr>
        <w:pStyle w:val="Default"/>
        <w:snapToGrid w:val="0"/>
        <w:spacing w:beforeLines="50" w:line="336" w:lineRule="auto"/>
        <w:jc w:val="both"/>
        <w:outlineLvl w:val="1"/>
        <w:rPr>
          <w:color w:val="auto"/>
          <w:sz w:val="21"/>
          <w:szCs w:val="21"/>
        </w:rPr>
      </w:pPr>
      <w:bookmarkStart w:id="13" w:name="_Toc480641580"/>
      <w:r w:rsidRPr="00EB049C">
        <w:rPr>
          <w:color w:val="auto"/>
          <w:sz w:val="21"/>
          <w:szCs w:val="21"/>
        </w:rPr>
        <w:t>2.</w:t>
      </w:r>
      <w:r w:rsidRPr="00EB049C">
        <w:rPr>
          <w:color w:val="auto"/>
          <w:sz w:val="21"/>
          <w:szCs w:val="21"/>
        </w:rPr>
        <w:tab/>
      </w:r>
      <w:r w:rsidRPr="00EB049C">
        <w:rPr>
          <w:rFonts w:hAnsi="宋体" w:hint="eastAsia"/>
          <w:color w:val="auto"/>
          <w:sz w:val="21"/>
          <w:szCs w:val="21"/>
        </w:rPr>
        <w:t>目的</w:t>
      </w:r>
      <w:r w:rsidRPr="00EB049C">
        <w:rPr>
          <w:color w:val="auto"/>
          <w:sz w:val="21"/>
          <w:szCs w:val="21"/>
        </w:rPr>
        <w:t>/</w:t>
      </w:r>
      <w:r w:rsidRPr="00EB049C">
        <w:rPr>
          <w:rFonts w:hAnsi="宋体" w:hint="eastAsia"/>
          <w:color w:val="auto"/>
          <w:sz w:val="21"/>
          <w:szCs w:val="21"/>
        </w:rPr>
        <w:t>目标声明</w:t>
      </w:r>
      <w:bookmarkEnd w:id="13"/>
    </w:p>
    <w:p w:rsidR="008F17E4" w:rsidRPr="00EB049C" w:rsidRDefault="008F17E4" w:rsidP="003E190C">
      <w:pPr>
        <w:pStyle w:val="Default"/>
        <w:snapToGrid w:val="0"/>
        <w:spacing w:beforeLines="50" w:line="336" w:lineRule="auto"/>
        <w:ind w:leftChars="200" w:left="420"/>
        <w:jc w:val="both"/>
        <w:rPr>
          <w:color w:val="auto"/>
          <w:sz w:val="21"/>
          <w:szCs w:val="21"/>
        </w:rPr>
      </w:pPr>
      <w:r w:rsidRPr="00EB049C">
        <w:rPr>
          <w:rFonts w:hAnsi="宋体" w:hint="eastAsia"/>
          <w:color w:val="auto"/>
          <w:sz w:val="21"/>
          <w:szCs w:val="21"/>
        </w:rPr>
        <w:t>临床方案应该以明确定义的目的和假设开始。应该对实施研究的目的</w:t>
      </w:r>
      <w:r w:rsidRPr="00EB049C">
        <w:rPr>
          <w:color w:val="auto"/>
          <w:sz w:val="21"/>
          <w:szCs w:val="21"/>
        </w:rPr>
        <w:t>/</w:t>
      </w:r>
      <w:r w:rsidRPr="00EB049C">
        <w:rPr>
          <w:rFonts w:hAnsi="宋体" w:hint="eastAsia"/>
          <w:color w:val="auto"/>
          <w:sz w:val="21"/>
          <w:szCs w:val="21"/>
        </w:rPr>
        <w:t>目标做一个总体声明（如，与对照系统相比，评价该试验系统治疗特定病症的安全性和有效性）。此外，目的应该包含一项被治疗病症的精确、医学上可接受的定义和此拟定临床研究的科学合理依据。还应该从测量该试验系统成功</w:t>
      </w:r>
      <w:r w:rsidRPr="00EB049C">
        <w:rPr>
          <w:color w:val="auto"/>
          <w:sz w:val="21"/>
          <w:szCs w:val="21"/>
        </w:rPr>
        <w:t>/</w:t>
      </w:r>
      <w:r w:rsidRPr="00EB049C">
        <w:rPr>
          <w:rFonts w:hAnsi="宋体" w:hint="eastAsia"/>
          <w:color w:val="auto"/>
          <w:sz w:val="21"/>
          <w:szCs w:val="21"/>
        </w:rPr>
        <w:t>失败的特定研究终点、结局和参数方面，说明该拟定研究的原假设和备择假设。然后应该设计研究检验这些假设。</w:t>
      </w:r>
    </w:p>
    <w:p w:rsidR="008F17E4" w:rsidRPr="00EB049C" w:rsidRDefault="008F17E4" w:rsidP="003E190C">
      <w:pPr>
        <w:pStyle w:val="Default"/>
        <w:snapToGrid w:val="0"/>
        <w:spacing w:beforeLines="50" w:line="336" w:lineRule="auto"/>
        <w:jc w:val="both"/>
        <w:outlineLvl w:val="1"/>
        <w:rPr>
          <w:color w:val="auto"/>
          <w:sz w:val="21"/>
          <w:szCs w:val="21"/>
        </w:rPr>
      </w:pPr>
      <w:bookmarkStart w:id="14" w:name="_Toc480641581"/>
      <w:r w:rsidRPr="00EB049C">
        <w:rPr>
          <w:color w:val="auto"/>
          <w:sz w:val="21"/>
          <w:szCs w:val="21"/>
        </w:rPr>
        <w:t>3.</w:t>
      </w:r>
      <w:r w:rsidRPr="00EB049C">
        <w:rPr>
          <w:color w:val="auto"/>
          <w:sz w:val="21"/>
          <w:szCs w:val="21"/>
        </w:rPr>
        <w:tab/>
      </w:r>
      <w:r w:rsidRPr="00EB049C">
        <w:rPr>
          <w:rFonts w:hAnsi="宋体" w:hint="eastAsia"/>
          <w:color w:val="auto"/>
          <w:sz w:val="21"/>
          <w:szCs w:val="21"/>
        </w:rPr>
        <w:t>研究设计</w:t>
      </w:r>
      <w:bookmarkEnd w:id="14"/>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应该清楚描述研究设计，以便于有效收集相关患者人群的数据、测量和比较适当的临床和放射学评估结果、减少研究偏倚。除了其他方面以外，研究设计的选择应该根据以下几方面进行：</w:t>
      </w:r>
    </w:p>
    <w:p w:rsidR="008F17E4" w:rsidRPr="00EB049C" w:rsidRDefault="008F17E4" w:rsidP="003E190C">
      <w:pPr>
        <w:pStyle w:val="Default"/>
        <w:numPr>
          <w:ilvl w:val="0"/>
          <w:numId w:val="5"/>
        </w:numPr>
        <w:snapToGrid w:val="0"/>
        <w:spacing w:beforeLines="50" w:line="336" w:lineRule="auto"/>
        <w:ind w:leftChars="200" w:firstLine="0"/>
        <w:jc w:val="both"/>
        <w:rPr>
          <w:color w:val="auto"/>
          <w:sz w:val="21"/>
          <w:szCs w:val="21"/>
        </w:rPr>
      </w:pPr>
      <w:r w:rsidRPr="00EB049C">
        <w:rPr>
          <w:rFonts w:hAnsi="宋体" w:hint="eastAsia"/>
          <w:color w:val="auto"/>
          <w:sz w:val="21"/>
          <w:szCs w:val="21"/>
        </w:rPr>
        <w:t>替代治疗的类型或拟定预期目的的器械；</w:t>
      </w:r>
    </w:p>
    <w:p w:rsidR="008F17E4" w:rsidRPr="00EB049C" w:rsidRDefault="008F17E4" w:rsidP="005627F4">
      <w:pPr>
        <w:pStyle w:val="Default"/>
        <w:numPr>
          <w:ilvl w:val="0"/>
          <w:numId w:val="5"/>
        </w:numPr>
        <w:snapToGrid w:val="0"/>
        <w:spacing w:line="336" w:lineRule="auto"/>
        <w:ind w:leftChars="200" w:firstLine="0"/>
        <w:jc w:val="both"/>
        <w:rPr>
          <w:color w:val="auto"/>
          <w:sz w:val="21"/>
          <w:szCs w:val="21"/>
        </w:rPr>
      </w:pPr>
      <w:r w:rsidRPr="00EB049C">
        <w:rPr>
          <w:rFonts w:hAnsi="宋体" w:hint="eastAsia"/>
          <w:color w:val="auto"/>
          <w:sz w:val="21"/>
          <w:szCs w:val="21"/>
        </w:rPr>
        <w:t>关于这些替代治疗或器械的可用信息的充分性；</w:t>
      </w:r>
    </w:p>
    <w:p w:rsidR="008F17E4" w:rsidRPr="00EB049C" w:rsidRDefault="008F17E4" w:rsidP="005627F4">
      <w:pPr>
        <w:pStyle w:val="Default"/>
        <w:numPr>
          <w:ilvl w:val="0"/>
          <w:numId w:val="5"/>
        </w:numPr>
        <w:snapToGrid w:val="0"/>
        <w:spacing w:line="336" w:lineRule="auto"/>
        <w:ind w:leftChars="200" w:firstLine="0"/>
        <w:jc w:val="both"/>
        <w:rPr>
          <w:color w:val="auto"/>
          <w:sz w:val="21"/>
          <w:szCs w:val="21"/>
        </w:rPr>
      </w:pPr>
      <w:r w:rsidRPr="00EB049C">
        <w:rPr>
          <w:rFonts w:hAnsi="宋体" w:hint="eastAsia"/>
          <w:color w:val="auto"/>
          <w:sz w:val="21"/>
          <w:szCs w:val="21"/>
        </w:rPr>
        <w:t>拟定患者人群患者的可用性；和</w:t>
      </w:r>
    </w:p>
    <w:p w:rsidR="008F17E4" w:rsidRPr="00EB049C" w:rsidRDefault="008F17E4" w:rsidP="005627F4">
      <w:pPr>
        <w:pStyle w:val="Default"/>
        <w:numPr>
          <w:ilvl w:val="0"/>
          <w:numId w:val="5"/>
        </w:numPr>
        <w:snapToGrid w:val="0"/>
        <w:spacing w:line="336" w:lineRule="auto"/>
        <w:ind w:leftChars="200" w:firstLine="0"/>
        <w:jc w:val="both"/>
        <w:rPr>
          <w:color w:val="auto"/>
          <w:sz w:val="21"/>
          <w:szCs w:val="21"/>
        </w:rPr>
      </w:pPr>
      <w:r w:rsidRPr="00EB049C">
        <w:rPr>
          <w:rFonts w:hAnsi="宋体" w:hint="eastAsia"/>
          <w:color w:val="auto"/>
          <w:sz w:val="21"/>
          <w:szCs w:val="21"/>
        </w:rPr>
        <w:t>统计数据比较的简单性。</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历史基础研究也是一种方法。这可能涉及文献或回顾性数据的使用。实际存在一些</w:t>
      </w:r>
      <w:r w:rsidRPr="00EB049C">
        <w:rPr>
          <w:sz w:val="21"/>
          <w:szCs w:val="21"/>
        </w:rPr>
        <w:t>FDA</w:t>
      </w:r>
      <w:r w:rsidRPr="00EB049C">
        <w:rPr>
          <w:rFonts w:hAnsi="宋体" w:hint="eastAsia"/>
          <w:sz w:val="21"/>
          <w:szCs w:val="21"/>
        </w:rPr>
        <w:t>认为历史基础对照适当的情况，如基于</w:t>
      </w:r>
      <w:r w:rsidR="00176745" w:rsidRPr="00EB049C">
        <w:rPr>
          <w:rFonts w:hAnsi="宋体" w:hint="eastAsia"/>
          <w:sz w:val="21"/>
          <w:szCs w:val="21"/>
        </w:rPr>
        <w:t>适应证</w:t>
      </w:r>
      <w:r w:rsidRPr="00EB049C">
        <w:rPr>
          <w:rFonts w:hAnsi="宋体" w:hint="eastAsia"/>
          <w:sz w:val="21"/>
          <w:szCs w:val="21"/>
        </w:rPr>
        <w:t>的有限患者队列。然而，使用历史基础对照会面临很多固有问题，故而存在很多缺点。例如，经常地，脊柱文献队列不会完整提供数据，即预定研究结局、相关时间点、预期用途说明、参数量表定义、成功标准定义等方面。此外，对于支持上市申请所必需的统计性相关比较，也很难实施。因此，一些情况下，前瞻性收集数据可能会更好地回答安全性和有效性的问题。</w:t>
      </w:r>
    </w:p>
    <w:p w:rsidR="008F17E4" w:rsidRPr="00EB049C" w:rsidRDefault="008F17E4" w:rsidP="003E190C">
      <w:pPr>
        <w:pStyle w:val="CM44"/>
        <w:snapToGrid w:val="0"/>
        <w:spacing w:beforeLines="50" w:after="0" w:line="336" w:lineRule="auto"/>
        <w:ind w:leftChars="200" w:left="420"/>
        <w:jc w:val="both"/>
        <w:rPr>
          <w:sz w:val="21"/>
          <w:szCs w:val="21"/>
        </w:rPr>
      </w:pPr>
      <w:r w:rsidRPr="00EB049C">
        <w:rPr>
          <w:rFonts w:hAnsi="宋体" w:hint="eastAsia"/>
          <w:sz w:val="21"/>
          <w:szCs w:val="21"/>
        </w:rPr>
        <w:t>替代研究设计是一项非随机化、同期对照研究。这一研究设计提供了前瞻性收集数据的优势，故而便于更严格地控制所有参数。然而这些有意收集的数据比随机化研究设计存在更多的固有偏倚。例如，试验组和对照组在患者人群、手术医师经验等方面都可能存在差异。解读数据时，应该处理好这些偏倚。</w:t>
      </w:r>
    </w:p>
    <w:p w:rsidR="008F17E4" w:rsidRPr="00EB049C" w:rsidRDefault="008F17E4" w:rsidP="003E190C">
      <w:pPr>
        <w:pStyle w:val="CM17"/>
        <w:snapToGrid w:val="0"/>
        <w:spacing w:beforeLines="50" w:line="336" w:lineRule="auto"/>
        <w:ind w:leftChars="200" w:left="420"/>
        <w:jc w:val="both"/>
        <w:rPr>
          <w:sz w:val="21"/>
          <w:szCs w:val="21"/>
        </w:rPr>
      </w:pPr>
      <w:r w:rsidRPr="00EB049C">
        <w:rPr>
          <w:rFonts w:hAnsi="宋体" w:hint="eastAsia"/>
          <w:sz w:val="21"/>
          <w:szCs w:val="21"/>
        </w:rPr>
        <w:t>与其他类型研究设计相比，采用随机化同期对照研究的优点很多，它可以严格控制所有参数，解决其他研究设计引进的一些研究偏倚。</w:t>
      </w:r>
    </w:p>
    <w:p w:rsidR="008F17E4" w:rsidRPr="00EB049C" w:rsidRDefault="008F17E4" w:rsidP="00335ED2">
      <w:pPr>
        <w:pStyle w:val="CM45"/>
        <w:snapToGrid w:val="0"/>
        <w:spacing w:after="0" w:line="336" w:lineRule="auto"/>
        <w:jc w:val="both"/>
        <w:rPr>
          <w:sz w:val="21"/>
          <w:szCs w:val="21"/>
        </w:rPr>
      </w:pPr>
      <w:r w:rsidRPr="00EB049C">
        <w:rPr>
          <w:sz w:val="21"/>
          <w:szCs w:val="21"/>
        </w:rPr>
        <w:br w:type="page"/>
      </w:r>
      <w:r w:rsidRPr="00EB049C">
        <w:rPr>
          <w:rFonts w:hAnsi="宋体" w:hint="eastAsia"/>
          <w:sz w:val="21"/>
          <w:szCs w:val="21"/>
        </w:rPr>
        <w:lastRenderedPageBreak/>
        <w:t>只要研究设计选择能够有效阐述脊柱系统的安全性和有效性以及固有偏倚，都有可能提议进行随机化同期对照研究、非随机化同期对照研究或历史基础研究。另外，</w:t>
      </w:r>
      <w:r w:rsidRPr="00EB049C">
        <w:rPr>
          <w:sz w:val="21"/>
          <w:szCs w:val="21"/>
        </w:rPr>
        <w:t>FDA</w:t>
      </w:r>
      <w:r w:rsidRPr="00EB049C">
        <w:rPr>
          <w:rFonts w:hAnsi="宋体" w:hint="eastAsia"/>
          <w:sz w:val="21"/>
          <w:szCs w:val="21"/>
        </w:rPr>
        <w:t>致力于达到方案制定</w:t>
      </w:r>
      <w:r w:rsidRPr="00EB049C">
        <w:rPr>
          <w:sz w:val="21"/>
          <w:szCs w:val="21"/>
        </w:rPr>
        <w:t>“</w:t>
      </w:r>
      <w:r w:rsidRPr="00EB049C">
        <w:rPr>
          <w:rFonts w:hAnsi="宋体" w:hint="eastAsia"/>
          <w:sz w:val="21"/>
          <w:szCs w:val="21"/>
        </w:rPr>
        <w:t>最小负担</w:t>
      </w:r>
      <w:r w:rsidRPr="00EB049C">
        <w:rPr>
          <w:sz w:val="21"/>
          <w:szCs w:val="21"/>
        </w:rPr>
        <w:t>”</w:t>
      </w:r>
      <w:r w:rsidRPr="00EB049C">
        <w:rPr>
          <w:rFonts w:hAnsi="宋体" w:hint="eastAsia"/>
          <w:sz w:val="21"/>
          <w:szCs w:val="21"/>
        </w:rPr>
        <w:t>方法的要求。不管该方案中纳入的对照类型是什么，都应该提供关于试验组和对照组的完整说明。</w:t>
      </w:r>
      <w:r w:rsidR="0093559A" w:rsidRPr="00EB049C">
        <w:rPr>
          <w:rFonts w:hAnsi="宋体" w:hint="eastAsia"/>
          <w:sz w:val="21"/>
          <w:szCs w:val="21"/>
        </w:rPr>
        <w:t>申办方</w:t>
      </w:r>
      <w:r w:rsidRPr="00EB049C">
        <w:rPr>
          <w:rFonts w:hAnsi="宋体" w:hint="eastAsia"/>
          <w:sz w:val="21"/>
          <w:szCs w:val="21"/>
        </w:rPr>
        <w:t>还应该提供拟定研究设计的依据，包括如何处理固有偏倚的方法。</w:t>
      </w:r>
    </w:p>
    <w:p w:rsidR="008F17E4" w:rsidRPr="00EB049C" w:rsidRDefault="008F17E4" w:rsidP="003E190C">
      <w:pPr>
        <w:pStyle w:val="CM45"/>
        <w:snapToGrid w:val="0"/>
        <w:spacing w:beforeLines="50" w:after="0" w:line="336" w:lineRule="auto"/>
        <w:jc w:val="both"/>
        <w:outlineLvl w:val="2"/>
        <w:rPr>
          <w:sz w:val="21"/>
          <w:szCs w:val="21"/>
        </w:rPr>
      </w:pPr>
      <w:bookmarkStart w:id="15" w:name="_Toc480641582"/>
      <w:r w:rsidRPr="00EB049C">
        <w:rPr>
          <w:sz w:val="21"/>
          <w:szCs w:val="21"/>
        </w:rPr>
        <w:t>3.1</w:t>
      </w:r>
      <w:r w:rsidRPr="00EB049C">
        <w:rPr>
          <w:sz w:val="21"/>
          <w:szCs w:val="21"/>
        </w:rPr>
        <w:tab/>
      </w:r>
      <w:r w:rsidRPr="00EB049C">
        <w:rPr>
          <w:rFonts w:hAnsi="宋体" w:hint="eastAsia"/>
          <w:sz w:val="21"/>
          <w:szCs w:val="21"/>
        </w:rPr>
        <w:t>同期对照</w:t>
      </w:r>
      <w:bookmarkEnd w:id="15"/>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如果选择采用同期对照，则针对试验器械研究所选择的对照组应该涉及标示为这一</w:t>
      </w:r>
      <w:r w:rsidR="00176745" w:rsidRPr="00EB049C">
        <w:rPr>
          <w:rFonts w:hAnsi="宋体" w:hint="eastAsia"/>
          <w:sz w:val="21"/>
          <w:szCs w:val="21"/>
        </w:rPr>
        <w:t>适应证</w:t>
      </w:r>
      <w:r w:rsidRPr="00EB049C">
        <w:rPr>
          <w:rFonts w:hAnsi="宋体" w:hint="eastAsia"/>
          <w:sz w:val="21"/>
          <w:szCs w:val="21"/>
        </w:rPr>
        <w:t>且获得</w:t>
      </w:r>
      <w:r w:rsidRPr="00EB049C">
        <w:rPr>
          <w:sz w:val="21"/>
          <w:szCs w:val="21"/>
        </w:rPr>
        <w:t>PMA</w:t>
      </w:r>
      <w:r w:rsidRPr="00EB049C">
        <w:rPr>
          <w:rFonts w:hAnsi="宋体" w:hint="eastAsia"/>
          <w:sz w:val="21"/>
          <w:szCs w:val="21"/>
        </w:rPr>
        <w:t>批准或</w:t>
      </w:r>
      <w:r w:rsidRPr="00EB049C">
        <w:rPr>
          <w:sz w:val="21"/>
          <w:szCs w:val="21"/>
        </w:rPr>
        <w:t xml:space="preserve">510(k) </w:t>
      </w:r>
      <w:r w:rsidRPr="00EB049C">
        <w:rPr>
          <w:rFonts w:hAnsi="宋体" w:hint="eastAsia"/>
          <w:sz w:val="21"/>
          <w:szCs w:val="21"/>
        </w:rPr>
        <w:t>授权的系统或医学上认可的此指定疾病的治疗方法。对照组和试验组最低应该拥有相同的临床终点。然而，在治疗方法上，对照组和试验组未必需要相同。</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选择适当对照组时可能利用的几种方法：</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对照治疗可能在技术、患者人群、预期不良事件和预期临床和放射学结果上与试验系统相类似。例如，如果</w:t>
      </w:r>
      <w:r w:rsidR="0093559A" w:rsidRPr="00EB049C">
        <w:rPr>
          <w:rFonts w:hAnsi="宋体" w:hint="eastAsia"/>
          <w:color w:val="auto"/>
          <w:sz w:val="21"/>
          <w:szCs w:val="21"/>
        </w:rPr>
        <w:t>申办方</w:t>
      </w:r>
      <w:r w:rsidRPr="00EB049C">
        <w:rPr>
          <w:rFonts w:hAnsi="宋体" w:hint="eastAsia"/>
          <w:color w:val="auto"/>
          <w:sz w:val="21"/>
          <w:szCs w:val="21"/>
        </w:rPr>
        <w:t>正在针对腰椎间盘退行性病变（</w:t>
      </w:r>
      <w:r w:rsidRPr="00EB049C">
        <w:rPr>
          <w:color w:val="auto"/>
          <w:sz w:val="21"/>
          <w:szCs w:val="21"/>
        </w:rPr>
        <w:t>DDD</w:t>
      </w:r>
      <w:r w:rsidRPr="00EB049C">
        <w:rPr>
          <w:rFonts w:hAnsi="宋体" w:hint="eastAsia"/>
          <w:color w:val="auto"/>
          <w:sz w:val="21"/>
          <w:szCs w:val="21"/>
        </w:rPr>
        <w:t>）试验椎体间融合器械，对照组也将会利用椎体间融合术进行治疗。</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对照治疗可能在患者人群和预期临床和放射学结果上与试验系统相类似。例如，如果想要利用脊柱融合术治疗腰椎</w:t>
      </w:r>
      <w:r w:rsidRPr="00EB049C">
        <w:rPr>
          <w:color w:val="auto"/>
          <w:sz w:val="21"/>
          <w:szCs w:val="21"/>
        </w:rPr>
        <w:t>DDD</w:t>
      </w:r>
      <w:r w:rsidRPr="00EB049C">
        <w:rPr>
          <w:rFonts w:hAnsi="宋体" w:hint="eastAsia"/>
          <w:color w:val="auto"/>
          <w:sz w:val="21"/>
          <w:szCs w:val="21"/>
        </w:rPr>
        <w:t>疾病，则可能会对椎体间融合与后外侧融合进行比较，或对腹腔镜椎体间融合技术与开放性椎体间手术技术进行比较。假设手术技术和治疗结果中的预期差异适当占据了一部分原因，则这一研究设计能够允许我们对此进行充分比较。</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对照治疗可能只在患者人群和预期临床结果上与试验系统相类似。例如，在腰椎</w:t>
      </w:r>
      <w:r w:rsidRPr="00EB049C">
        <w:rPr>
          <w:color w:val="auto"/>
          <w:sz w:val="21"/>
          <w:szCs w:val="21"/>
        </w:rPr>
        <w:t>DDD</w:t>
      </w:r>
      <w:r w:rsidRPr="00EB049C">
        <w:rPr>
          <w:rFonts w:hAnsi="宋体" w:hint="eastAsia"/>
          <w:color w:val="auto"/>
          <w:sz w:val="21"/>
          <w:szCs w:val="21"/>
        </w:rPr>
        <w:t>症治疗上，与任何一种非手术治疗方法相比，脊柱手术可能会被随机化。最重要的是记住，对患者带来较大风险的治疗本质上应该会给患者队列带来一些更大的益处。设计一项研究时，治疗引起的侵入性程度和不良事件情况都是需要考虑的重要特征。若一项研究发现一种疾病过程的保守非手术治疗方法与侵入性手术治疗方法的治疗结果一样成功，则该研究将不太可能支持手术治疗的产品批准，而可能支持微创手术选择的批准。另外，治疗组之间的所有预期差异对于研究成功性的确定应该都占据一定的原因。</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应该具体说明用来把患者分配成试验组或对照组的方法。可以按方案中预先设定的时间范围，连续入组患者进入研究，因为他们要经过研究者的面试或选择性面试。如果选择性挑选患者，而由于一种方法本质上都会引入偏倚，故研究应该采用随机化、同期对照设计。如果患者组未被随机化，则不鼓励进行选择性研究入组。</w:t>
      </w:r>
    </w:p>
    <w:p w:rsidR="008F17E4" w:rsidRPr="00EB049C" w:rsidRDefault="008F17E4" w:rsidP="003E190C">
      <w:pPr>
        <w:pStyle w:val="CM45"/>
        <w:snapToGrid w:val="0"/>
        <w:spacing w:beforeLines="50" w:after="0" w:line="336" w:lineRule="auto"/>
        <w:jc w:val="both"/>
        <w:outlineLvl w:val="2"/>
        <w:rPr>
          <w:sz w:val="21"/>
          <w:szCs w:val="21"/>
        </w:rPr>
      </w:pPr>
      <w:bookmarkStart w:id="16" w:name="_Toc480641583"/>
      <w:r w:rsidRPr="00EB049C">
        <w:rPr>
          <w:sz w:val="21"/>
          <w:szCs w:val="21"/>
        </w:rPr>
        <w:t>3.2</w:t>
      </w:r>
      <w:r w:rsidRPr="00EB049C">
        <w:rPr>
          <w:sz w:val="21"/>
          <w:szCs w:val="21"/>
        </w:rPr>
        <w:tab/>
      </w:r>
      <w:r w:rsidRPr="00EB049C">
        <w:rPr>
          <w:rFonts w:hAnsi="宋体" w:hint="eastAsia"/>
          <w:sz w:val="21"/>
          <w:szCs w:val="21"/>
        </w:rPr>
        <w:t>文献对照</w:t>
      </w:r>
      <w:bookmarkEnd w:id="16"/>
    </w:p>
    <w:p w:rsidR="008F17E4" w:rsidRPr="00EB049C" w:rsidRDefault="008F17E4" w:rsidP="003E190C">
      <w:pPr>
        <w:pStyle w:val="CM26"/>
        <w:snapToGrid w:val="0"/>
        <w:spacing w:beforeLines="50" w:line="336" w:lineRule="auto"/>
        <w:ind w:leftChars="200" w:left="420"/>
        <w:jc w:val="both"/>
        <w:rPr>
          <w:sz w:val="21"/>
          <w:szCs w:val="21"/>
        </w:rPr>
      </w:pPr>
      <w:r w:rsidRPr="00EB049C">
        <w:rPr>
          <w:rFonts w:hAnsi="宋体" w:hint="eastAsia"/>
          <w:sz w:val="21"/>
          <w:szCs w:val="21"/>
        </w:rPr>
        <w:t>如果选择采用文献对照，则理想上支持一项研究的文献应该提供关于治疗特殊病症所用护理标准方面的综合信息。</w:t>
      </w:r>
    </w:p>
    <w:p w:rsidR="008F17E4" w:rsidRPr="00EB049C" w:rsidRDefault="008F17E4" w:rsidP="005627F4">
      <w:pPr>
        <w:pStyle w:val="CM45"/>
        <w:snapToGrid w:val="0"/>
        <w:spacing w:after="0" w:line="336" w:lineRule="auto"/>
        <w:ind w:leftChars="200" w:left="420"/>
        <w:jc w:val="both"/>
        <w:rPr>
          <w:sz w:val="21"/>
          <w:szCs w:val="21"/>
        </w:rPr>
      </w:pPr>
      <w:r w:rsidRPr="00EB049C">
        <w:rPr>
          <w:rFonts w:hAnsi="宋体" w:hint="eastAsia"/>
          <w:sz w:val="21"/>
          <w:szCs w:val="21"/>
        </w:rPr>
        <w:lastRenderedPageBreak/>
        <w:t>然而，来自文献的参考常常不能完整报告他们的相关临床参数，如使用</w:t>
      </w:r>
      <w:r w:rsidR="00176745" w:rsidRPr="00EB049C">
        <w:rPr>
          <w:rFonts w:hAnsi="宋体" w:hint="eastAsia"/>
          <w:sz w:val="21"/>
          <w:szCs w:val="21"/>
        </w:rPr>
        <w:t>适应证</w:t>
      </w:r>
      <w:r w:rsidRPr="00EB049C">
        <w:rPr>
          <w:rFonts w:hAnsi="宋体" w:hint="eastAsia"/>
          <w:sz w:val="21"/>
          <w:szCs w:val="21"/>
        </w:rPr>
        <w:t>、手术技术和评价方法等。因此，在特定终点上，与文献的比较可能会备受质疑。鉴于文献对照方法的局限性，最好是前瞻性实现护理标准的比较。然而，如果该研究涉及文献对照，则</w:t>
      </w:r>
      <w:r w:rsidR="0093559A" w:rsidRPr="00EB049C">
        <w:rPr>
          <w:rFonts w:hAnsi="宋体" w:hint="eastAsia"/>
          <w:sz w:val="21"/>
          <w:szCs w:val="21"/>
        </w:rPr>
        <w:t>申办方</w:t>
      </w:r>
      <w:r w:rsidRPr="00EB049C">
        <w:rPr>
          <w:rFonts w:hAnsi="宋体" w:hint="eastAsia"/>
          <w:sz w:val="21"/>
          <w:szCs w:val="21"/>
        </w:rPr>
        <w:t>应该提供充分的信息说明来说明拟定的文献对照方法，至少应该包含以下几方面：</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应该提供拟定的文献对照和论文副本。应该明确阐明识别这一文献主体所利用的方法，如关键词</w:t>
      </w:r>
      <w:r w:rsidRPr="00EB049C">
        <w:rPr>
          <w:color w:val="auto"/>
          <w:sz w:val="21"/>
          <w:szCs w:val="21"/>
        </w:rPr>
        <w:t>X</w:t>
      </w:r>
      <w:r w:rsidRPr="00EB049C">
        <w:rPr>
          <w:rFonts w:hAnsi="宋体" w:hint="eastAsia"/>
          <w:color w:val="auto"/>
          <w:sz w:val="21"/>
          <w:szCs w:val="21"/>
        </w:rPr>
        <w:t>和</w:t>
      </w:r>
      <w:r w:rsidRPr="00EB049C">
        <w:rPr>
          <w:color w:val="auto"/>
          <w:sz w:val="21"/>
          <w:szCs w:val="21"/>
        </w:rPr>
        <w:t>/</w:t>
      </w:r>
      <w:r w:rsidRPr="00EB049C">
        <w:rPr>
          <w:rFonts w:hAnsi="宋体" w:hint="eastAsia"/>
          <w:color w:val="auto"/>
          <w:sz w:val="21"/>
          <w:szCs w:val="21"/>
        </w:rPr>
        <w:t>或</w:t>
      </w:r>
      <w:r w:rsidRPr="00EB049C">
        <w:rPr>
          <w:color w:val="auto"/>
          <w:sz w:val="21"/>
          <w:szCs w:val="21"/>
        </w:rPr>
        <w:t>Y</w:t>
      </w:r>
      <w:r w:rsidRPr="00EB049C">
        <w:rPr>
          <w:rFonts w:hAnsi="宋体" w:hint="eastAsia"/>
          <w:color w:val="auto"/>
          <w:sz w:val="21"/>
          <w:szCs w:val="21"/>
        </w:rPr>
        <w:t>下的</w:t>
      </w:r>
      <w:r w:rsidRPr="00EB049C">
        <w:rPr>
          <w:color w:val="auto"/>
          <w:sz w:val="21"/>
          <w:szCs w:val="21"/>
        </w:rPr>
        <w:t xml:space="preserve">MEDLINE </w:t>
      </w:r>
      <w:r w:rsidRPr="00EB049C">
        <w:rPr>
          <w:rFonts w:hAnsi="宋体" w:hint="eastAsia"/>
          <w:color w:val="auto"/>
          <w:sz w:val="21"/>
          <w:szCs w:val="21"/>
        </w:rPr>
        <w:t>检索。一旦确定完整的文献队列，</w:t>
      </w:r>
      <w:r w:rsidR="0093559A" w:rsidRPr="00EB049C">
        <w:rPr>
          <w:rFonts w:hAnsi="宋体" w:hint="eastAsia"/>
          <w:color w:val="auto"/>
          <w:sz w:val="21"/>
          <w:szCs w:val="21"/>
        </w:rPr>
        <w:t>申办方</w:t>
      </w:r>
      <w:r w:rsidRPr="00EB049C">
        <w:rPr>
          <w:rFonts w:hAnsi="宋体" w:hint="eastAsia"/>
          <w:color w:val="auto"/>
          <w:sz w:val="21"/>
          <w:szCs w:val="21"/>
        </w:rPr>
        <w:t>应该提供标准，按标准排除不能作为对照的文献。检索使用的适当关键词有使用</w:t>
      </w:r>
      <w:r w:rsidR="00176745" w:rsidRPr="00EB049C">
        <w:rPr>
          <w:rFonts w:hAnsi="宋体" w:hint="eastAsia"/>
          <w:color w:val="auto"/>
          <w:sz w:val="21"/>
          <w:szCs w:val="21"/>
        </w:rPr>
        <w:t>适应证</w:t>
      </w:r>
      <w:r w:rsidRPr="00EB049C">
        <w:rPr>
          <w:rFonts w:hAnsi="宋体" w:hint="eastAsia"/>
          <w:color w:val="auto"/>
          <w:sz w:val="21"/>
          <w:szCs w:val="21"/>
        </w:rPr>
        <w:t>和特定手术技术</w:t>
      </w:r>
      <w:r w:rsidRPr="00EB049C">
        <w:rPr>
          <w:color w:val="auto"/>
          <w:sz w:val="21"/>
          <w:szCs w:val="21"/>
        </w:rPr>
        <w:t>/</w:t>
      </w:r>
      <w:r w:rsidRPr="00EB049C">
        <w:rPr>
          <w:rFonts w:hAnsi="宋体" w:hint="eastAsia"/>
          <w:color w:val="auto"/>
          <w:sz w:val="21"/>
          <w:szCs w:val="21"/>
        </w:rPr>
        <w:t>预期结果，如</w:t>
      </w:r>
      <w:r w:rsidRPr="00EB049C">
        <w:rPr>
          <w:color w:val="auto"/>
          <w:sz w:val="21"/>
          <w:szCs w:val="21"/>
        </w:rPr>
        <w:t>DDD</w:t>
      </w:r>
      <w:r w:rsidRPr="00EB049C">
        <w:rPr>
          <w:rFonts w:hAnsi="宋体" w:hint="eastAsia"/>
          <w:color w:val="auto"/>
          <w:sz w:val="21"/>
          <w:szCs w:val="21"/>
        </w:rPr>
        <w:t>椎间盘置换术等。</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应该提供一个表格，其中含有每个</w:t>
      </w:r>
      <w:r w:rsidR="00176745" w:rsidRPr="00EB049C">
        <w:rPr>
          <w:rFonts w:hAnsi="宋体" w:hint="eastAsia"/>
          <w:color w:val="auto"/>
          <w:sz w:val="21"/>
          <w:szCs w:val="21"/>
        </w:rPr>
        <w:t>适应证</w:t>
      </w:r>
      <w:r w:rsidRPr="00EB049C">
        <w:rPr>
          <w:rFonts w:hAnsi="宋体" w:hint="eastAsia"/>
          <w:color w:val="auto"/>
          <w:sz w:val="21"/>
          <w:szCs w:val="21"/>
        </w:rPr>
        <w:t>的以下信息：参考文献标识、使用的系统</w:t>
      </w:r>
      <w:r w:rsidRPr="00EB049C">
        <w:rPr>
          <w:color w:val="auto"/>
          <w:sz w:val="21"/>
          <w:szCs w:val="21"/>
        </w:rPr>
        <w:t>/</w:t>
      </w:r>
      <w:r w:rsidRPr="00EB049C">
        <w:rPr>
          <w:rFonts w:hAnsi="宋体" w:hint="eastAsia"/>
          <w:color w:val="auto"/>
          <w:sz w:val="21"/>
          <w:szCs w:val="21"/>
        </w:rPr>
        <w:t>治疗方法、诊断标准、随访时间、融合或其他手术结果的定义、适当主要和次要评价参数的结果以及所用量表的定义。如果提供的是转换量表</w:t>
      </w:r>
      <w:r w:rsidRPr="00EB049C">
        <w:rPr>
          <w:color w:val="auto"/>
          <w:sz w:val="21"/>
          <w:szCs w:val="21"/>
        </w:rPr>
        <w:t>/</w:t>
      </w:r>
      <w:r w:rsidRPr="00EB049C">
        <w:rPr>
          <w:rFonts w:hAnsi="宋体" w:hint="eastAsia"/>
          <w:color w:val="auto"/>
          <w:sz w:val="21"/>
          <w:szCs w:val="21"/>
        </w:rPr>
        <w:t>评分，则应该说明此项转换的基础。此外，对于表格中每次随访的每个要素，都应该说明所研究的患者人数。</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rFonts w:hAnsi="宋体" w:hint="eastAsia"/>
          <w:color w:val="auto"/>
          <w:sz w:val="21"/>
          <w:szCs w:val="21"/>
        </w:rPr>
        <w:t>对于特定</w:t>
      </w:r>
      <w:r w:rsidR="00176745" w:rsidRPr="00EB049C">
        <w:rPr>
          <w:rFonts w:hAnsi="宋体" w:hint="eastAsia"/>
          <w:color w:val="auto"/>
          <w:sz w:val="21"/>
          <w:szCs w:val="21"/>
        </w:rPr>
        <w:t>适应证</w:t>
      </w:r>
      <w:r w:rsidRPr="00EB049C">
        <w:rPr>
          <w:rFonts w:hAnsi="宋体" w:hint="eastAsia"/>
          <w:color w:val="auto"/>
          <w:sz w:val="21"/>
          <w:szCs w:val="21"/>
        </w:rPr>
        <w:t>，应该提供充分数量的适当对照论文，为的是支持试验器械的安全性和有效性。</w:t>
      </w:r>
      <w:r w:rsidRPr="00EB049C">
        <w:rPr>
          <w:color w:val="auto"/>
          <w:sz w:val="21"/>
          <w:szCs w:val="21"/>
        </w:rPr>
        <w:t>FDA</w:t>
      </w:r>
      <w:r w:rsidRPr="00EB049C">
        <w:rPr>
          <w:rFonts w:hAnsi="宋体" w:hint="eastAsia"/>
          <w:color w:val="auto"/>
          <w:sz w:val="21"/>
          <w:szCs w:val="21"/>
        </w:rPr>
        <w:t>认为，如果涉及多种</w:t>
      </w:r>
      <w:r w:rsidR="00176745" w:rsidRPr="00EB049C">
        <w:rPr>
          <w:rFonts w:hAnsi="宋体" w:hint="eastAsia"/>
          <w:color w:val="auto"/>
          <w:sz w:val="21"/>
          <w:szCs w:val="21"/>
        </w:rPr>
        <w:t>适应证</w:t>
      </w:r>
      <w:r w:rsidRPr="00EB049C">
        <w:rPr>
          <w:rFonts w:hAnsi="宋体" w:hint="eastAsia"/>
          <w:color w:val="auto"/>
          <w:sz w:val="21"/>
          <w:szCs w:val="21"/>
        </w:rPr>
        <w:t>，则可能很难从每篇参考文献中摘取信息。如果是这种情况，则</w:t>
      </w:r>
      <w:r w:rsidR="0093559A" w:rsidRPr="00EB049C">
        <w:rPr>
          <w:rFonts w:hAnsi="宋体" w:hint="eastAsia"/>
          <w:color w:val="auto"/>
          <w:sz w:val="21"/>
          <w:szCs w:val="21"/>
        </w:rPr>
        <w:t>申办方</w:t>
      </w:r>
      <w:r w:rsidRPr="00EB049C">
        <w:rPr>
          <w:rFonts w:hAnsi="宋体" w:hint="eastAsia"/>
          <w:color w:val="auto"/>
          <w:sz w:val="21"/>
          <w:szCs w:val="21"/>
        </w:rPr>
        <w:t>应该对该论文进行总结，标识出涉及到的所有</w:t>
      </w:r>
      <w:r w:rsidR="00176745" w:rsidRPr="00EB049C">
        <w:rPr>
          <w:rFonts w:hAnsi="宋体" w:hint="eastAsia"/>
          <w:color w:val="auto"/>
          <w:sz w:val="21"/>
          <w:szCs w:val="21"/>
        </w:rPr>
        <w:t>适应证</w:t>
      </w:r>
      <w:r w:rsidRPr="00EB049C">
        <w:rPr>
          <w:rFonts w:hAnsi="宋体" w:hint="eastAsia"/>
          <w:color w:val="auto"/>
          <w:sz w:val="21"/>
          <w:szCs w:val="21"/>
        </w:rPr>
        <w:t>，并尽可能按</w:t>
      </w:r>
      <w:r w:rsidR="00176745" w:rsidRPr="00EB049C">
        <w:rPr>
          <w:rFonts w:hAnsi="宋体" w:hint="eastAsia"/>
          <w:color w:val="auto"/>
          <w:sz w:val="21"/>
          <w:szCs w:val="21"/>
        </w:rPr>
        <w:t>适应证</w:t>
      </w:r>
      <w:r w:rsidRPr="00EB049C">
        <w:rPr>
          <w:rFonts w:hAnsi="宋体" w:hint="eastAsia"/>
          <w:color w:val="auto"/>
          <w:sz w:val="21"/>
          <w:szCs w:val="21"/>
        </w:rPr>
        <w:t>对所有信息进行分层。</w:t>
      </w:r>
    </w:p>
    <w:p w:rsidR="008F17E4" w:rsidRPr="00EB049C" w:rsidRDefault="008F17E4" w:rsidP="003E190C">
      <w:pPr>
        <w:pStyle w:val="Default"/>
        <w:snapToGrid w:val="0"/>
        <w:spacing w:beforeLines="50" w:line="336" w:lineRule="auto"/>
        <w:ind w:leftChars="200" w:left="840" w:hangingChars="200" w:hanging="420"/>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应该提供一个单独的并发症表格，表格中包含了用来生成上述表格的每一篇论文中的并发症。建议格式为按列划分，分别设标题为</w:t>
      </w:r>
      <w:r w:rsidRPr="00EB049C">
        <w:rPr>
          <w:color w:val="auto"/>
          <w:sz w:val="21"/>
          <w:szCs w:val="21"/>
        </w:rPr>
        <w:t>“</w:t>
      </w:r>
      <w:r w:rsidRPr="00EB049C">
        <w:rPr>
          <w:rFonts w:hAnsi="宋体" w:hint="eastAsia"/>
          <w:color w:val="auto"/>
          <w:sz w:val="21"/>
          <w:szCs w:val="21"/>
        </w:rPr>
        <w:t>并发症、</w:t>
      </w:r>
      <w:r w:rsidRPr="00EB049C">
        <w:rPr>
          <w:color w:val="auto"/>
          <w:sz w:val="21"/>
          <w:szCs w:val="21"/>
        </w:rPr>
        <w:t>1</w:t>
      </w:r>
      <w:r w:rsidRPr="00EB049C">
        <w:rPr>
          <w:rFonts w:hAnsi="宋体" w:hint="eastAsia"/>
          <w:color w:val="auto"/>
          <w:sz w:val="21"/>
          <w:szCs w:val="21"/>
        </w:rPr>
        <w:t>号论文、</w:t>
      </w:r>
      <w:r w:rsidRPr="00EB049C">
        <w:rPr>
          <w:color w:val="auto"/>
          <w:sz w:val="21"/>
          <w:szCs w:val="21"/>
        </w:rPr>
        <w:t>2</w:t>
      </w:r>
      <w:r w:rsidRPr="00EB049C">
        <w:rPr>
          <w:rFonts w:hAnsi="宋体" w:hint="eastAsia"/>
          <w:color w:val="auto"/>
          <w:sz w:val="21"/>
          <w:szCs w:val="21"/>
        </w:rPr>
        <w:t>号论文</w:t>
      </w:r>
      <w:r w:rsidRPr="00EB049C">
        <w:rPr>
          <w:color w:val="auto"/>
          <w:sz w:val="21"/>
          <w:szCs w:val="21"/>
        </w:rPr>
        <w:t>……</w:t>
      </w:r>
      <w:r w:rsidRPr="00EB049C">
        <w:rPr>
          <w:rFonts w:hAnsi="宋体" w:hint="eastAsia"/>
          <w:color w:val="auto"/>
          <w:sz w:val="21"/>
          <w:szCs w:val="21"/>
        </w:rPr>
        <w:t>、文献范围</w:t>
      </w:r>
      <w:r w:rsidRPr="00EB049C">
        <w:rPr>
          <w:color w:val="auto"/>
          <w:sz w:val="21"/>
          <w:szCs w:val="21"/>
        </w:rPr>
        <w:t>”</w:t>
      </w:r>
      <w:r w:rsidRPr="00EB049C">
        <w:rPr>
          <w:rFonts w:hAnsi="宋体" w:hint="eastAsia"/>
          <w:color w:val="auto"/>
          <w:sz w:val="21"/>
          <w:szCs w:val="21"/>
        </w:rPr>
        <w:t>。请提供每次随访时发生特定并发症的患者人数、患者总人数和相应的患者比率（</w:t>
      </w:r>
      <w:r w:rsidRPr="00EB049C">
        <w:rPr>
          <w:color w:val="auto"/>
          <w:sz w:val="21"/>
          <w:szCs w:val="21"/>
        </w:rPr>
        <w:t>%</w:t>
      </w:r>
      <w:r w:rsidRPr="00EB049C">
        <w:rPr>
          <w:rFonts w:hAnsi="宋体" w:hint="eastAsia"/>
          <w:color w:val="auto"/>
          <w:sz w:val="21"/>
          <w:szCs w:val="21"/>
        </w:rPr>
        <w:t>）。这些标准还应该包含每次随访后的后续手术干预方法（即，移除、翻修和补充固定）。</w:t>
      </w:r>
      <w:r w:rsidRPr="00EB049C">
        <w:rPr>
          <w:color w:val="auto"/>
          <w:sz w:val="21"/>
          <w:szCs w:val="21"/>
        </w:rPr>
        <w:t>FDA</w:t>
      </w:r>
      <w:r w:rsidRPr="00EB049C">
        <w:rPr>
          <w:rFonts w:hAnsi="宋体" w:hint="eastAsia"/>
          <w:color w:val="auto"/>
          <w:sz w:val="21"/>
          <w:szCs w:val="21"/>
        </w:rPr>
        <w:t>认为，一些个别的并发症还可能发生于后续手术干预中（如，导致再次手术的硬脊膜撕裂），但这一信息应该总结在一个表格中。</w:t>
      </w:r>
    </w:p>
    <w:p w:rsidR="008F17E4" w:rsidRPr="00EB049C" w:rsidRDefault="008F17E4" w:rsidP="003E190C">
      <w:pPr>
        <w:pStyle w:val="CM45"/>
        <w:snapToGrid w:val="0"/>
        <w:spacing w:beforeLines="50" w:after="0" w:line="336" w:lineRule="auto"/>
        <w:jc w:val="both"/>
        <w:outlineLvl w:val="1"/>
        <w:rPr>
          <w:sz w:val="21"/>
          <w:szCs w:val="21"/>
        </w:rPr>
      </w:pPr>
      <w:bookmarkStart w:id="17" w:name="_Toc480641584"/>
      <w:r w:rsidRPr="00EB049C">
        <w:rPr>
          <w:sz w:val="21"/>
          <w:szCs w:val="21"/>
        </w:rPr>
        <w:t>4.</w:t>
      </w:r>
      <w:r w:rsidRPr="00EB049C">
        <w:rPr>
          <w:sz w:val="21"/>
          <w:szCs w:val="21"/>
        </w:rPr>
        <w:tab/>
      </w:r>
      <w:r w:rsidRPr="00EB049C">
        <w:rPr>
          <w:rFonts w:hAnsi="宋体" w:hint="eastAsia"/>
          <w:sz w:val="21"/>
          <w:szCs w:val="21"/>
        </w:rPr>
        <w:t>入选标准</w:t>
      </w:r>
      <w:bookmarkEnd w:id="17"/>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完整的入选标准对于充分定义待研究患者人群组极为重要。任何脊柱系统临床研究的入选标准将因拟治疗目标患者人群和疾病部位（即，颈椎、胸椎、腰椎）的不同而有所差异。</w:t>
      </w:r>
    </w:p>
    <w:p w:rsidR="008F17E4" w:rsidRPr="00EB049C" w:rsidRDefault="008F17E4" w:rsidP="003E190C">
      <w:pPr>
        <w:pStyle w:val="CM19"/>
        <w:snapToGrid w:val="0"/>
        <w:spacing w:beforeLines="50" w:line="336" w:lineRule="auto"/>
        <w:ind w:leftChars="200" w:left="420"/>
        <w:jc w:val="both"/>
        <w:rPr>
          <w:sz w:val="21"/>
          <w:szCs w:val="21"/>
        </w:rPr>
      </w:pPr>
      <w:r w:rsidRPr="00EB049C">
        <w:rPr>
          <w:rFonts w:hAnsi="宋体" w:hint="eastAsia"/>
          <w:sz w:val="21"/>
          <w:szCs w:val="21"/>
        </w:rPr>
        <w:t>不管特定脊柱系统待研究的</w:t>
      </w:r>
      <w:r w:rsidR="00176745" w:rsidRPr="00EB049C">
        <w:rPr>
          <w:rFonts w:hAnsi="宋体" w:hint="eastAsia"/>
          <w:sz w:val="21"/>
          <w:szCs w:val="21"/>
        </w:rPr>
        <w:t>适应证</w:t>
      </w:r>
      <w:r w:rsidRPr="00EB049C">
        <w:rPr>
          <w:rFonts w:hAnsi="宋体" w:hint="eastAsia"/>
          <w:sz w:val="21"/>
          <w:szCs w:val="21"/>
        </w:rPr>
        <w:t>如何，都应该考虑以下一般入选标准：</w:t>
      </w:r>
    </w:p>
    <w:p w:rsidR="008F17E4" w:rsidRPr="00EB049C" w:rsidRDefault="008F17E4" w:rsidP="005627F4">
      <w:pPr>
        <w:pStyle w:val="Default"/>
        <w:numPr>
          <w:ilvl w:val="0"/>
          <w:numId w:val="6"/>
        </w:numPr>
        <w:snapToGrid w:val="0"/>
        <w:spacing w:line="336" w:lineRule="auto"/>
        <w:ind w:leftChars="200" w:left="840" w:hangingChars="200"/>
        <w:jc w:val="both"/>
        <w:rPr>
          <w:color w:val="auto"/>
          <w:sz w:val="21"/>
          <w:szCs w:val="21"/>
        </w:rPr>
      </w:pPr>
      <w:r w:rsidRPr="00EB049C">
        <w:rPr>
          <w:rFonts w:hAnsi="宋体" w:hint="eastAsia"/>
          <w:color w:val="auto"/>
          <w:sz w:val="21"/>
          <w:szCs w:val="21"/>
        </w:rPr>
        <w:t>患者的年龄范围（如果可以，骨骼成熟患者）</w:t>
      </w:r>
    </w:p>
    <w:p w:rsidR="008F17E4" w:rsidRPr="00EB049C" w:rsidRDefault="008F17E4" w:rsidP="005627F4">
      <w:pPr>
        <w:pStyle w:val="Default"/>
        <w:numPr>
          <w:ilvl w:val="0"/>
          <w:numId w:val="6"/>
        </w:numPr>
        <w:snapToGrid w:val="0"/>
        <w:spacing w:line="336" w:lineRule="auto"/>
        <w:ind w:leftChars="200" w:left="840" w:hangingChars="200"/>
        <w:jc w:val="both"/>
        <w:rPr>
          <w:color w:val="auto"/>
          <w:sz w:val="21"/>
          <w:szCs w:val="21"/>
        </w:rPr>
      </w:pPr>
      <w:r w:rsidRPr="00EB049C">
        <w:rPr>
          <w:rFonts w:hAnsi="宋体" w:hint="eastAsia"/>
          <w:color w:val="auto"/>
          <w:sz w:val="21"/>
          <w:szCs w:val="21"/>
        </w:rPr>
        <w:t>所及的脊柱节段（如，</w:t>
      </w:r>
      <w:r w:rsidRPr="00EB049C">
        <w:rPr>
          <w:color w:val="auto"/>
          <w:sz w:val="21"/>
          <w:szCs w:val="21"/>
        </w:rPr>
        <w:t>C2-C7</w:t>
      </w:r>
      <w:r w:rsidRPr="00EB049C">
        <w:rPr>
          <w:rFonts w:hAnsi="宋体" w:hint="eastAsia"/>
          <w:color w:val="auto"/>
          <w:sz w:val="21"/>
          <w:szCs w:val="21"/>
        </w:rPr>
        <w:t>、</w:t>
      </w:r>
      <w:r w:rsidRPr="00EB049C">
        <w:rPr>
          <w:color w:val="auto"/>
          <w:sz w:val="21"/>
          <w:szCs w:val="21"/>
        </w:rPr>
        <w:t xml:space="preserve"> L2-S1</w:t>
      </w:r>
      <w:r w:rsidRPr="00EB049C">
        <w:rPr>
          <w:rFonts w:hAnsi="宋体" w:hint="eastAsia"/>
          <w:color w:val="auto"/>
          <w:sz w:val="21"/>
          <w:szCs w:val="21"/>
        </w:rPr>
        <w:t>等）</w:t>
      </w:r>
    </w:p>
    <w:p w:rsidR="008F17E4" w:rsidRPr="00EB049C" w:rsidRDefault="008F17E4" w:rsidP="005627F4">
      <w:pPr>
        <w:pStyle w:val="Default"/>
        <w:numPr>
          <w:ilvl w:val="0"/>
          <w:numId w:val="6"/>
        </w:numPr>
        <w:snapToGrid w:val="0"/>
        <w:spacing w:line="336" w:lineRule="auto"/>
        <w:ind w:leftChars="200" w:left="840" w:hangingChars="200"/>
        <w:jc w:val="both"/>
        <w:rPr>
          <w:color w:val="auto"/>
          <w:sz w:val="21"/>
          <w:szCs w:val="21"/>
        </w:rPr>
      </w:pPr>
      <w:r w:rsidRPr="00EB049C">
        <w:rPr>
          <w:rFonts w:hAnsi="宋体" w:hint="eastAsia"/>
          <w:color w:val="auto"/>
          <w:sz w:val="21"/>
          <w:szCs w:val="21"/>
        </w:rPr>
        <w:t>对待植入邻近节段数的限制（如，节段</w:t>
      </w:r>
      <w:r w:rsidRPr="00EB049C">
        <w:rPr>
          <w:color w:val="auto"/>
          <w:sz w:val="21"/>
          <w:szCs w:val="21"/>
        </w:rPr>
        <w:t>1</w:t>
      </w:r>
      <w:r w:rsidRPr="00EB049C">
        <w:rPr>
          <w:rFonts w:hAnsi="宋体" w:hint="eastAsia"/>
          <w:color w:val="auto"/>
          <w:sz w:val="21"/>
          <w:szCs w:val="21"/>
        </w:rPr>
        <w:t>、节段</w:t>
      </w:r>
      <w:r w:rsidRPr="00EB049C">
        <w:rPr>
          <w:color w:val="auto"/>
          <w:sz w:val="21"/>
          <w:szCs w:val="21"/>
        </w:rPr>
        <w:t>2</w:t>
      </w:r>
      <w:r w:rsidRPr="00EB049C">
        <w:rPr>
          <w:rFonts w:hAnsi="宋体" w:hint="eastAsia"/>
          <w:color w:val="auto"/>
          <w:sz w:val="21"/>
          <w:szCs w:val="21"/>
        </w:rPr>
        <w:t>等）</w:t>
      </w:r>
    </w:p>
    <w:p w:rsidR="008F17E4" w:rsidRPr="00EB049C" w:rsidRDefault="008F17E4" w:rsidP="005627F4">
      <w:pPr>
        <w:pStyle w:val="Default"/>
        <w:numPr>
          <w:ilvl w:val="0"/>
          <w:numId w:val="6"/>
        </w:numPr>
        <w:snapToGrid w:val="0"/>
        <w:spacing w:line="336" w:lineRule="auto"/>
        <w:ind w:leftChars="200" w:left="840" w:hangingChars="200"/>
        <w:jc w:val="both"/>
        <w:rPr>
          <w:color w:val="auto"/>
          <w:sz w:val="21"/>
          <w:szCs w:val="21"/>
        </w:rPr>
      </w:pPr>
      <w:r w:rsidRPr="00EB049C">
        <w:rPr>
          <w:rFonts w:hAnsi="宋体" w:hint="eastAsia"/>
          <w:color w:val="auto"/>
          <w:sz w:val="21"/>
          <w:szCs w:val="21"/>
        </w:rPr>
        <w:t>患者入组的临床和放射学条件（如，术前疼痛评分，疼痛部位</w:t>
      </w:r>
      <w:r w:rsidRPr="00EB049C">
        <w:rPr>
          <w:color w:val="auto"/>
          <w:sz w:val="21"/>
          <w:szCs w:val="21"/>
        </w:rPr>
        <w:t>-</w:t>
      </w:r>
      <w:r w:rsidRPr="00EB049C">
        <w:rPr>
          <w:rFonts w:hAnsi="宋体" w:hint="eastAsia"/>
          <w:color w:val="auto"/>
          <w:sz w:val="21"/>
          <w:szCs w:val="21"/>
        </w:rPr>
        <w:t>背、腿、手臂、颈，术前功能评分，术前神经功能评分，</w:t>
      </w:r>
      <w:r w:rsidRPr="00EB049C">
        <w:rPr>
          <w:color w:val="auto"/>
          <w:sz w:val="21"/>
          <w:szCs w:val="21"/>
        </w:rPr>
        <w:t>…</w:t>
      </w:r>
      <w:r w:rsidRPr="00EB049C">
        <w:rPr>
          <w:rFonts w:hAnsi="宋体" w:hint="eastAsia"/>
          <w:color w:val="auto"/>
          <w:sz w:val="21"/>
          <w:szCs w:val="21"/>
        </w:rPr>
        <w:t>的放射学证据等）</w:t>
      </w:r>
    </w:p>
    <w:p w:rsidR="008F17E4" w:rsidRPr="00EB049C" w:rsidRDefault="008F17E4" w:rsidP="005627F4">
      <w:pPr>
        <w:pStyle w:val="Default"/>
        <w:numPr>
          <w:ilvl w:val="0"/>
          <w:numId w:val="6"/>
        </w:numPr>
        <w:snapToGrid w:val="0"/>
        <w:spacing w:line="336" w:lineRule="auto"/>
        <w:ind w:hangingChars="200"/>
        <w:jc w:val="both"/>
        <w:rPr>
          <w:color w:val="auto"/>
          <w:sz w:val="21"/>
          <w:szCs w:val="21"/>
        </w:rPr>
      </w:pPr>
      <w:r w:rsidRPr="00EB049C">
        <w:rPr>
          <w:color w:val="auto"/>
          <w:sz w:val="21"/>
          <w:szCs w:val="21"/>
        </w:rPr>
        <w:br w:type="page"/>
      </w:r>
      <w:r w:rsidRPr="00EB049C">
        <w:rPr>
          <w:rFonts w:hAnsi="宋体" w:hint="eastAsia"/>
          <w:color w:val="auto"/>
          <w:sz w:val="21"/>
          <w:szCs w:val="21"/>
        </w:rPr>
        <w:lastRenderedPageBreak/>
        <w:t>所有不成功、非手术或保守治疗（如，物理治疗、支具治疗、牵引治疗、药物治疗试验）的建议时间框架说明</w:t>
      </w:r>
    </w:p>
    <w:p w:rsidR="008F17E4" w:rsidRPr="00EB049C" w:rsidRDefault="008F17E4" w:rsidP="005627F4">
      <w:pPr>
        <w:pStyle w:val="Default"/>
        <w:numPr>
          <w:ilvl w:val="0"/>
          <w:numId w:val="6"/>
        </w:numPr>
        <w:snapToGrid w:val="0"/>
        <w:spacing w:line="336" w:lineRule="auto"/>
        <w:ind w:hangingChars="200"/>
        <w:jc w:val="both"/>
        <w:rPr>
          <w:color w:val="auto"/>
          <w:sz w:val="21"/>
          <w:szCs w:val="21"/>
        </w:rPr>
      </w:pPr>
      <w:r w:rsidRPr="00EB049C">
        <w:rPr>
          <w:rFonts w:hAnsi="宋体" w:hint="eastAsia"/>
          <w:color w:val="auto"/>
          <w:sz w:val="21"/>
          <w:szCs w:val="21"/>
        </w:rPr>
        <w:t>关于非融合手术之前的任何限制条件说明</w:t>
      </w:r>
    </w:p>
    <w:p w:rsidR="008F17E4" w:rsidRPr="00EB049C" w:rsidRDefault="008F17E4" w:rsidP="005627F4">
      <w:pPr>
        <w:pStyle w:val="Default"/>
        <w:numPr>
          <w:ilvl w:val="0"/>
          <w:numId w:val="6"/>
        </w:numPr>
        <w:snapToGrid w:val="0"/>
        <w:spacing w:line="336" w:lineRule="auto"/>
        <w:ind w:hangingChars="200"/>
        <w:jc w:val="both"/>
        <w:rPr>
          <w:color w:val="auto"/>
          <w:sz w:val="21"/>
          <w:szCs w:val="21"/>
        </w:rPr>
      </w:pPr>
      <w:r w:rsidRPr="00EB049C">
        <w:rPr>
          <w:rFonts w:hAnsi="宋体" w:hint="eastAsia"/>
          <w:color w:val="auto"/>
          <w:sz w:val="21"/>
          <w:szCs w:val="21"/>
        </w:rPr>
        <w:t>患者必须理解并签署知情同意书。</w:t>
      </w:r>
    </w:p>
    <w:p w:rsidR="008F17E4" w:rsidRPr="00EB049C" w:rsidRDefault="008F17E4" w:rsidP="005627F4">
      <w:pPr>
        <w:pStyle w:val="Default"/>
        <w:numPr>
          <w:ilvl w:val="0"/>
          <w:numId w:val="6"/>
        </w:numPr>
        <w:snapToGrid w:val="0"/>
        <w:spacing w:line="336" w:lineRule="auto"/>
        <w:ind w:hangingChars="200"/>
        <w:jc w:val="both"/>
        <w:rPr>
          <w:color w:val="auto"/>
          <w:sz w:val="21"/>
          <w:szCs w:val="21"/>
        </w:rPr>
      </w:pPr>
      <w:r w:rsidRPr="00EB049C">
        <w:rPr>
          <w:rFonts w:hAnsi="宋体" w:hint="eastAsia"/>
          <w:color w:val="auto"/>
          <w:sz w:val="21"/>
          <w:szCs w:val="21"/>
        </w:rPr>
        <w:t>患者能够做到拟定的随访时间安排</w:t>
      </w:r>
    </w:p>
    <w:p w:rsidR="008F17E4" w:rsidRPr="00EB049C" w:rsidRDefault="008F17E4" w:rsidP="005627F4">
      <w:pPr>
        <w:pStyle w:val="Default"/>
        <w:numPr>
          <w:ilvl w:val="0"/>
          <w:numId w:val="6"/>
        </w:numPr>
        <w:snapToGrid w:val="0"/>
        <w:spacing w:line="336" w:lineRule="auto"/>
        <w:ind w:hangingChars="200"/>
        <w:jc w:val="both"/>
        <w:rPr>
          <w:color w:val="auto"/>
          <w:sz w:val="21"/>
          <w:szCs w:val="21"/>
        </w:rPr>
      </w:pPr>
      <w:r w:rsidRPr="00EB049C">
        <w:rPr>
          <w:rFonts w:hAnsi="宋体" w:hint="eastAsia"/>
          <w:color w:val="auto"/>
          <w:sz w:val="21"/>
          <w:szCs w:val="21"/>
        </w:rPr>
        <w:t>患者能够遵守术后管理计划</w:t>
      </w:r>
    </w:p>
    <w:p w:rsidR="008F17E4" w:rsidRPr="00EB049C" w:rsidRDefault="008F17E4" w:rsidP="003E190C">
      <w:pPr>
        <w:pStyle w:val="CM45"/>
        <w:snapToGrid w:val="0"/>
        <w:spacing w:beforeLines="50" w:after="0" w:line="336" w:lineRule="auto"/>
        <w:jc w:val="both"/>
        <w:rPr>
          <w:sz w:val="21"/>
          <w:szCs w:val="21"/>
        </w:rPr>
      </w:pPr>
      <w:r w:rsidRPr="00EB049C">
        <w:rPr>
          <w:rFonts w:hAnsi="宋体" w:hint="eastAsia"/>
          <w:sz w:val="21"/>
          <w:szCs w:val="21"/>
        </w:rPr>
        <w:t>如果</w:t>
      </w:r>
      <w:r w:rsidR="0093559A" w:rsidRPr="00EB049C">
        <w:rPr>
          <w:rFonts w:hAnsi="宋体" w:hint="eastAsia"/>
          <w:sz w:val="21"/>
          <w:szCs w:val="21"/>
        </w:rPr>
        <w:t>申办方</w:t>
      </w:r>
      <w:r w:rsidRPr="00EB049C">
        <w:rPr>
          <w:rFonts w:hAnsi="宋体" w:hint="eastAsia"/>
          <w:sz w:val="21"/>
          <w:szCs w:val="21"/>
        </w:rPr>
        <w:t>正在设计能够反映出疾病之后最低症状水平的入选标准，则</w:t>
      </w:r>
      <w:r w:rsidR="0093559A" w:rsidRPr="00EB049C">
        <w:rPr>
          <w:rFonts w:hAnsi="宋体" w:hint="eastAsia"/>
          <w:sz w:val="21"/>
          <w:szCs w:val="21"/>
        </w:rPr>
        <w:t>申办方</w:t>
      </w:r>
      <w:r w:rsidRPr="00EB049C">
        <w:rPr>
          <w:rFonts w:hAnsi="宋体" w:hint="eastAsia"/>
          <w:sz w:val="21"/>
          <w:szCs w:val="21"/>
        </w:rPr>
        <w:t>应该考虑，要求最大程度干预</w:t>
      </w:r>
      <w:r w:rsidRPr="00EB049C">
        <w:rPr>
          <w:sz w:val="21"/>
          <w:szCs w:val="21"/>
        </w:rPr>
        <w:t>/</w:t>
      </w:r>
      <w:r w:rsidRPr="00EB049C">
        <w:rPr>
          <w:rFonts w:hAnsi="宋体" w:hint="eastAsia"/>
          <w:sz w:val="21"/>
          <w:szCs w:val="21"/>
        </w:rPr>
        <w:t>恢复且发病率最高的系统应该显示出适当程度地临床和放射学结果改善。</w:t>
      </w:r>
    </w:p>
    <w:p w:rsidR="008F17E4" w:rsidRPr="00EB049C" w:rsidRDefault="008F17E4" w:rsidP="003E190C">
      <w:pPr>
        <w:pStyle w:val="CM45"/>
        <w:snapToGrid w:val="0"/>
        <w:spacing w:beforeLines="50" w:after="0" w:line="336" w:lineRule="auto"/>
        <w:jc w:val="both"/>
        <w:rPr>
          <w:sz w:val="21"/>
          <w:szCs w:val="21"/>
        </w:rPr>
      </w:pPr>
      <w:r w:rsidRPr="00EB049C">
        <w:rPr>
          <w:rFonts w:hAnsi="宋体" w:hint="eastAsia"/>
          <w:sz w:val="21"/>
          <w:szCs w:val="21"/>
        </w:rPr>
        <w:t>对于本指导的目的，我们认为应该对参与临床试验的脊柱肿瘤患者进行椎体置换治疗。这些患者的肿瘤类型和预期寿命各不相同，无法未知先验。因此，对于脊柱肿瘤治疗的椎体置换临床试验设计，应该应用特定条件。关于脊柱转移性肿瘤特定信息的详细说明，请参见下文的第</w:t>
      </w:r>
      <w:r w:rsidRPr="00EB049C">
        <w:rPr>
          <w:sz w:val="21"/>
          <w:szCs w:val="21"/>
        </w:rPr>
        <w:t>16</w:t>
      </w:r>
      <w:r w:rsidRPr="00EB049C">
        <w:rPr>
          <w:rFonts w:hAnsi="宋体" w:hint="eastAsia"/>
          <w:sz w:val="21"/>
          <w:szCs w:val="21"/>
        </w:rPr>
        <w:t>部分。</w:t>
      </w:r>
    </w:p>
    <w:p w:rsidR="008F17E4" w:rsidRPr="00EB049C" w:rsidRDefault="008F17E4" w:rsidP="003E190C">
      <w:pPr>
        <w:pStyle w:val="CM45"/>
        <w:snapToGrid w:val="0"/>
        <w:spacing w:beforeLines="50" w:after="0" w:line="336" w:lineRule="auto"/>
        <w:jc w:val="both"/>
        <w:outlineLvl w:val="2"/>
        <w:rPr>
          <w:sz w:val="21"/>
          <w:szCs w:val="21"/>
        </w:rPr>
      </w:pPr>
      <w:bookmarkStart w:id="18" w:name="_Toc480641585"/>
      <w:r w:rsidRPr="00EB049C">
        <w:rPr>
          <w:sz w:val="21"/>
          <w:szCs w:val="21"/>
        </w:rPr>
        <w:t>4.1</w:t>
      </w:r>
      <w:r w:rsidRPr="00EB049C">
        <w:rPr>
          <w:sz w:val="21"/>
          <w:szCs w:val="21"/>
        </w:rPr>
        <w:tab/>
      </w:r>
      <w:r w:rsidRPr="00EB049C">
        <w:rPr>
          <w:rFonts w:hAnsi="宋体" w:hint="eastAsia"/>
          <w:sz w:val="21"/>
          <w:szCs w:val="21"/>
        </w:rPr>
        <w:t>腰椎间盘退行性疾病（</w:t>
      </w:r>
      <w:r w:rsidRPr="00EB049C">
        <w:rPr>
          <w:sz w:val="21"/>
          <w:szCs w:val="21"/>
        </w:rPr>
        <w:t>DDD</w:t>
      </w:r>
      <w:r w:rsidRPr="00EB049C">
        <w:rPr>
          <w:rFonts w:hAnsi="宋体" w:hint="eastAsia"/>
          <w:sz w:val="21"/>
          <w:szCs w:val="21"/>
        </w:rPr>
        <w:t>）</w:t>
      </w:r>
      <w:bookmarkEnd w:id="18"/>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很多方案都涉及到腰椎</w:t>
      </w:r>
      <w:r w:rsidRPr="00EB049C">
        <w:rPr>
          <w:sz w:val="21"/>
          <w:szCs w:val="21"/>
        </w:rPr>
        <w:t>DDD</w:t>
      </w:r>
      <w:r w:rsidRPr="00EB049C">
        <w:rPr>
          <w:rFonts w:hAnsi="宋体" w:hint="eastAsia"/>
          <w:sz w:val="21"/>
          <w:szCs w:val="21"/>
        </w:rPr>
        <w:t>疾病治疗的试验系统。</w:t>
      </w:r>
      <w:r w:rsidRPr="00EB049C">
        <w:rPr>
          <w:sz w:val="21"/>
          <w:szCs w:val="21"/>
        </w:rPr>
        <w:t>DDD</w:t>
      </w:r>
      <w:r w:rsidRPr="00EB049C">
        <w:rPr>
          <w:rFonts w:hAnsi="宋体" w:hint="eastAsia"/>
          <w:sz w:val="21"/>
          <w:szCs w:val="21"/>
        </w:rPr>
        <w:t>疾病应该以患者病史和放射学研究的结果为基础。</w:t>
      </w:r>
      <w:r w:rsidRPr="00EB049C">
        <w:rPr>
          <w:sz w:val="21"/>
          <w:szCs w:val="21"/>
        </w:rPr>
        <w:t>FDA</w:t>
      </w:r>
      <w:r w:rsidRPr="00EB049C">
        <w:rPr>
          <w:rFonts w:hAnsi="宋体" w:hint="eastAsia"/>
          <w:sz w:val="21"/>
          <w:szCs w:val="21"/>
        </w:rPr>
        <w:t>建议，</w:t>
      </w:r>
      <w:r w:rsidR="0093559A" w:rsidRPr="00EB049C">
        <w:rPr>
          <w:rFonts w:hAnsi="宋体" w:hint="eastAsia"/>
          <w:sz w:val="21"/>
          <w:szCs w:val="21"/>
        </w:rPr>
        <w:t>申办方</w:t>
      </w:r>
      <w:r w:rsidRPr="00EB049C">
        <w:rPr>
          <w:rFonts w:hAnsi="宋体" w:hint="eastAsia"/>
          <w:sz w:val="21"/>
          <w:szCs w:val="21"/>
        </w:rPr>
        <w:t>应该考虑以下几方面：</w:t>
      </w:r>
    </w:p>
    <w:p w:rsidR="008F17E4" w:rsidRPr="00EB049C" w:rsidRDefault="008F17E4" w:rsidP="003E190C">
      <w:pPr>
        <w:pStyle w:val="CM16"/>
        <w:snapToGrid w:val="0"/>
        <w:spacing w:beforeLines="50" w:line="336" w:lineRule="auto"/>
        <w:ind w:leftChars="200" w:left="420"/>
        <w:jc w:val="both"/>
        <w:rPr>
          <w:sz w:val="21"/>
          <w:szCs w:val="21"/>
        </w:rPr>
      </w:pPr>
      <w:r w:rsidRPr="00EB049C">
        <w:rPr>
          <w:sz w:val="21"/>
          <w:szCs w:val="21"/>
        </w:rPr>
        <w:t>DDD</w:t>
      </w:r>
      <w:r w:rsidRPr="00EB049C">
        <w:rPr>
          <w:rFonts w:hAnsi="宋体" w:hint="eastAsia"/>
          <w:sz w:val="21"/>
          <w:szCs w:val="21"/>
        </w:rPr>
        <w:t>应该定义为背和</w:t>
      </w:r>
      <w:r w:rsidRPr="00EB049C">
        <w:rPr>
          <w:sz w:val="21"/>
          <w:szCs w:val="21"/>
        </w:rPr>
        <w:t>/</w:t>
      </w:r>
      <w:r w:rsidRPr="00EB049C">
        <w:rPr>
          <w:rFonts w:hAnsi="宋体" w:hint="eastAsia"/>
          <w:sz w:val="21"/>
          <w:szCs w:val="21"/>
        </w:rPr>
        <w:t>或神经根痛伴椎间盘退化，可通过患者病史、体检结果和放射学结果以及一个或多个下列因素（根据放射学测量结果确定，可通过</w:t>
      </w:r>
      <w:r w:rsidRPr="00EB049C">
        <w:rPr>
          <w:sz w:val="21"/>
          <w:szCs w:val="21"/>
        </w:rPr>
        <w:t>CT</w:t>
      </w:r>
      <w:r w:rsidRPr="00EB049C">
        <w:rPr>
          <w:rFonts w:hAnsi="宋体" w:hint="eastAsia"/>
          <w:sz w:val="21"/>
          <w:szCs w:val="21"/>
        </w:rPr>
        <w:t>、</w:t>
      </w:r>
      <w:r w:rsidRPr="00EB049C">
        <w:rPr>
          <w:sz w:val="21"/>
          <w:szCs w:val="21"/>
        </w:rPr>
        <w:t>MRI</w:t>
      </w:r>
      <w:r w:rsidRPr="00EB049C">
        <w:rPr>
          <w:rFonts w:hAnsi="宋体" w:hint="eastAsia"/>
          <w:sz w:val="21"/>
          <w:szCs w:val="21"/>
        </w:rPr>
        <w:t>、平片、脊髓造影、椎间盘造影实现）加以确认：</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按</w:t>
      </w:r>
      <w:r w:rsidRPr="00EB049C">
        <w:rPr>
          <w:color w:val="auto"/>
          <w:sz w:val="21"/>
          <w:szCs w:val="21"/>
        </w:rPr>
        <w:t xml:space="preserve">≥3mm </w:t>
      </w:r>
      <w:r w:rsidRPr="00EB049C">
        <w:rPr>
          <w:rFonts w:hAnsi="宋体" w:hint="eastAsia"/>
          <w:color w:val="auto"/>
          <w:sz w:val="21"/>
          <w:szCs w:val="21"/>
        </w:rPr>
        <w:t>平移或</w:t>
      </w:r>
      <w:r w:rsidRPr="00EB049C">
        <w:rPr>
          <w:color w:val="auto"/>
          <w:sz w:val="21"/>
          <w:szCs w:val="21"/>
        </w:rPr>
        <w:t xml:space="preserve">≥5 </w:t>
      </w:r>
      <w:r w:rsidRPr="00EB049C">
        <w:rPr>
          <w:rFonts w:hAnsi="宋体" w:hint="eastAsia"/>
          <w:color w:val="auto"/>
          <w:sz w:val="21"/>
          <w:szCs w:val="21"/>
        </w:rPr>
        <w:t>角移定义的不稳定性；</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面关节或椎体终板上的骨赘形成；</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椎间盘下降的高度，平均超过</w:t>
      </w:r>
      <w:r w:rsidRPr="00EB049C">
        <w:rPr>
          <w:color w:val="auto"/>
          <w:sz w:val="21"/>
          <w:szCs w:val="21"/>
        </w:rPr>
        <w:t>2mm</w:t>
      </w:r>
      <w:r w:rsidRPr="00EB049C">
        <w:rPr>
          <w:rFonts w:hAnsi="宋体" w:hint="eastAsia"/>
          <w:color w:val="auto"/>
          <w:sz w:val="21"/>
          <w:szCs w:val="21"/>
        </w:rPr>
        <w:t>，但取决于脊柱节段；</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黄韧带、纤维环或面关节囊瘢痕化</w:t>
      </w:r>
      <w:r w:rsidRPr="00EB049C">
        <w:rPr>
          <w:color w:val="auto"/>
          <w:sz w:val="21"/>
          <w:szCs w:val="21"/>
        </w:rPr>
        <w:t>/</w:t>
      </w:r>
      <w:r w:rsidRPr="00EB049C">
        <w:rPr>
          <w:rFonts w:hAnsi="宋体" w:hint="eastAsia"/>
          <w:color w:val="auto"/>
          <w:sz w:val="21"/>
          <w:szCs w:val="21"/>
        </w:rPr>
        <w:t>变厚；</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椎间盘髓核脱出；</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面关节退行性病变</w:t>
      </w:r>
      <w:r w:rsidRPr="00EB049C">
        <w:rPr>
          <w:color w:val="auto"/>
          <w:sz w:val="21"/>
          <w:szCs w:val="21"/>
        </w:rPr>
        <w:t>/</w:t>
      </w:r>
      <w:r w:rsidRPr="00EB049C">
        <w:rPr>
          <w:rFonts w:hAnsi="宋体" w:hint="eastAsia"/>
          <w:color w:val="auto"/>
          <w:sz w:val="21"/>
          <w:szCs w:val="21"/>
        </w:rPr>
        <w:t>变化；和</w:t>
      </w:r>
      <w:r w:rsidRPr="00EB049C">
        <w:rPr>
          <w:color w:val="auto"/>
          <w:sz w:val="21"/>
          <w:szCs w:val="21"/>
        </w:rPr>
        <w:t>/</w:t>
      </w:r>
      <w:r w:rsidRPr="00EB049C">
        <w:rPr>
          <w:rFonts w:hAnsi="宋体" w:hint="eastAsia"/>
          <w:color w:val="auto"/>
          <w:sz w:val="21"/>
          <w:szCs w:val="21"/>
        </w:rPr>
        <w:t>或</w:t>
      </w:r>
    </w:p>
    <w:p w:rsidR="008F17E4" w:rsidRPr="00EB049C" w:rsidRDefault="008F17E4" w:rsidP="005627F4">
      <w:pPr>
        <w:pStyle w:val="Default"/>
        <w:numPr>
          <w:ilvl w:val="0"/>
          <w:numId w:val="7"/>
        </w:numPr>
        <w:snapToGrid w:val="0"/>
        <w:spacing w:line="336" w:lineRule="auto"/>
        <w:ind w:leftChars="200" w:firstLine="0"/>
        <w:jc w:val="both"/>
        <w:rPr>
          <w:color w:val="auto"/>
          <w:sz w:val="21"/>
          <w:szCs w:val="21"/>
        </w:rPr>
      </w:pPr>
      <w:r w:rsidRPr="00EB049C">
        <w:rPr>
          <w:rFonts w:hAnsi="宋体" w:hint="eastAsia"/>
          <w:color w:val="auto"/>
          <w:sz w:val="21"/>
          <w:szCs w:val="21"/>
        </w:rPr>
        <w:t>真空现象。</w:t>
      </w:r>
    </w:p>
    <w:p w:rsidR="008F17E4" w:rsidRPr="00EB049C" w:rsidRDefault="008F17E4" w:rsidP="003E190C">
      <w:pPr>
        <w:pStyle w:val="CM45"/>
        <w:snapToGrid w:val="0"/>
        <w:spacing w:beforeLines="50" w:after="0" w:line="336" w:lineRule="auto"/>
        <w:jc w:val="both"/>
        <w:outlineLvl w:val="2"/>
        <w:rPr>
          <w:sz w:val="21"/>
          <w:szCs w:val="21"/>
        </w:rPr>
      </w:pPr>
      <w:bookmarkStart w:id="19" w:name="_Toc480641586"/>
      <w:r w:rsidRPr="00EB049C">
        <w:rPr>
          <w:sz w:val="21"/>
          <w:szCs w:val="21"/>
        </w:rPr>
        <w:t>4.2</w:t>
      </w:r>
      <w:r w:rsidRPr="00EB049C">
        <w:rPr>
          <w:sz w:val="21"/>
          <w:szCs w:val="21"/>
        </w:rPr>
        <w:tab/>
      </w:r>
      <w:r w:rsidRPr="00EB049C">
        <w:rPr>
          <w:rFonts w:hAnsi="宋体" w:hint="eastAsia"/>
          <w:sz w:val="21"/>
          <w:szCs w:val="21"/>
        </w:rPr>
        <w:t>脊椎侧凸</w:t>
      </w:r>
      <w:bookmarkEnd w:id="19"/>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鼓励</w:t>
      </w:r>
      <w:r w:rsidR="0093559A" w:rsidRPr="00EB049C">
        <w:rPr>
          <w:rFonts w:hAnsi="宋体" w:hint="eastAsia"/>
          <w:sz w:val="21"/>
          <w:szCs w:val="21"/>
        </w:rPr>
        <w:t>申办方</w:t>
      </w:r>
      <w:r w:rsidRPr="00EB049C">
        <w:rPr>
          <w:rFonts w:hAnsi="宋体" w:hint="eastAsia"/>
          <w:sz w:val="21"/>
          <w:szCs w:val="21"/>
        </w:rPr>
        <w:t>对该器械适用的脊柱侧凸程度和手术时的弯曲性质进行讨论。该讨论应该涉及治疗的长期目标和设想的其他治疗方法。对于患者队列的年龄范围，应该给予特别关注，以便对将会受益的所有人群进行适当研究。例如，脊柱侧凸治疗也应该考虑儿科应用。</w:t>
      </w:r>
    </w:p>
    <w:p w:rsidR="008F17E4" w:rsidRPr="00EB049C" w:rsidRDefault="008F17E4" w:rsidP="003E190C">
      <w:pPr>
        <w:pStyle w:val="CM45"/>
        <w:snapToGrid w:val="0"/>
        <w:spacing w:beforeLines="50" w:after="0" w:line="336" w:lineRule="auto"/>
        <w:jc w:val="both"/>
        <w:outlineLvl w:val="2"/>
        <w:rPr>
          <w:sz w:val="21"/>
          <w:szCs w:val="21"/>
        </w:rPr>
      </w:pPr>
      <w:bookmarkStart w:id="20" w:name="_Toc480641587"/>
      <w:r w:rsidRPr="00EB049C">
        <w:rPr>
          <w:sz w:val="21"/>
          <w:szCs w:val="21"/>
        </w:rPr>
        <w:t>4.3</w:t>
      </w:r>
      <w:r w:rsidRPr="00EB049C">
        <w:rPr>
          <w:sz w:val="21"/>
          <w:szCs w:val="21"/>
        </w:rPr>
        <w:tab/>
      </w:r>
      <w:r w:rsidRPr="00EB049C">
        <w:rPr>
          <w:rFonts w:hAnsi="宋体" w:hint="eastAsia"/>
          <w:sz w:val="21"/>
          <w:szCs w:val="21"/>
        </w:rPr>
        <w:t>继发创伤性骨折</w:t>
      </w:r>
      <w:bookmarkEnd w:id="20"/>
    </w:p>
    <w:p w:rsidR="008F17E4" w:rsidRPr="00EB049C" w:rsidRDefault="008F17E4" w:rsidP="003E190C">
      <w:pPr>
        <w:pStyle w:val="CM23"/>
        <w:snapToGrid w:val="0"/>
        <w:spacing w:beforeLines="50" w:line="336" w:lineRule="auto"/>
        <w:ind w:leftChars="200" w:left="420"/>
        <w:jc w:val="both"/>
        <w:rPr>
          <w:sz w:val="21"/>
          <w:szCs w:val="21"/>
        </w:rPr>
      </w:pPr>
      <w:r w:rsidRPr="00EB049C">
        <w:rPr>
          <w:rFonts w:hAnsi="宋体" w:hint="eastAsia"/>
          <w:sz w:val="21"/>
          <w:szCs w:val="21"/>
        </w:rPr>
        <w:t>为了针对这一</w:t>
      </w:r>
      <w:r w:rsidR="00176745" w:rsidRPr="00EB049C">
        <w:rPr>
          <w:rFonts w:hAnsi="宋体" w:hint="eastAsia"/>
          <w:sz w:val="21"/>
          <w:szCs w:val="21"/>
        </w:rPr>
        <w:t>适应证</w:t>
      </w:r>
      <w:r w:rsidRPr="00EB049C">
        <w:rPr>
          <w:rFonts w:hAnsi="宋体" w:hint="eastAsia"/>
          <w:sz w:val="21"/>
          <w:szCs w:val="21"/>
        </w:rPr>
        <w:t>设计研究，应该特别关注骨折类型</w:t>
      </w:r>
      <w:r w:rsidRPr="00EB049C">
        <w:rPr>
          <w:sz w:val="21"/>
          <w:szCs w:val="21"/>
        </w:rPr>
        <w:t>/</w:t>
      </w:r>
      <w:r w:rsidRPr="00EB049C">
        <w:rPr>
          <w:rFonts w:hAnsi="宋体" w:hint="eastAsia"/>
          <w:sz w:val="21"/>
          <w:szCs w:val="21"/>
        </w:rPr>
        <w:t>不稳定程度、骨折水平、后退至脊髓内的比例和所涉及的脊柱节段数。鼓励</w:t>
      </w:r>
      <w:r w:rsidR="0093559A" w:rsidRPr="00EB049C">
        <w:rPr>
          <w:rFonts w:hAnsi="宋体" w:hint="eastAsia"/>
          <w:sz w:val="21"/>
          <w:szCs w:val="21"/>
        </w:rPr>
        <w:t>申办方</w:t>
      </w:r>
      <w:r w:rsidRPr="00EB049C">
        <w:rPr>
          <w:rFonts w:hAnsi="宋体" w:hint="eastAsia"/>
          <w:sz w:val="21"/>
          <w:szCs w:val="21"/>
        </w:rPr>
        <w:t>提供与研究样本范围确定相关的所有数据的基本依据。</w:t>
      </w:r>
    </w:p>
    <w:p w:rsidR="008F17E4" w:rsidRPr="00EB049C" w:rsidRDefault="008F17E4" w:rsidP="003E190C">
      <w:pPr>
        <w:pStyle w:val="CM45"/>
        <w:snapToGrid w:val="0"/>
        <w:spacing w:beforeLines="50" w:after="0" w:line="336" w:lineRule="auto"/>
        <w:jc w:val="both"/>
        <w:outlineLvl w:val="2"/>
        <w:rPr>
          <w:sz w:val="21"/>
          <w:szCs w:val="21"/>
        </w:rPr>
      </w:pPr>
      <w:bookmarkStart w:id="21" w:name="_Toc480641588"/>
      <w:r w:rsidRPr="00EB049C">
        <w:rPr>
          <w:sz w:val="21"/>
          <w:szCs w:val="21"/>
        </w:rPr>
        <w:lastRenderedPageBreak/>
        <w:t>4.4</w:t>
      </w:r>
      <w:r w:rsidRPr="00EB049C">
        <w:rPr>
          <w:sz w:val="21"/>
          <w:szCs w:val="21"/>
        </w:rPr>
        <w:tab/>
      </w:r>
      <w:r w:rsidRPr="00EB049C">
        <w:rPr>
          <w:rFonts w:hAnsi="宋体" w:hint="eastAsia"/>
          <w:sz w:val="21"/>
          <w:szCs w:val="21"/>
        </w:rPr>
        <w:t>脊椎滑脱</w:t>
      </w:r>
      <w:bookmarkEnd w:id="21"/>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当研究脊椎滑脱时，应该特别注意病情级别，也就是说，滑移的程度。应该收集脊椎滑脱的类型，是退行性还是渐退性，以及所有缺损的位置。</w:t>
      </w:r>
      <w:r w:rsidRPr="00EB049C">
        <w:rPr>
          <w:sz w:val="21"/>
          <w:szCs w:val="21"/>
        </w:rPr>
        <w:t>PMA</w:t>
      </w:r>
      <w:r w:rsidRPr="00EB049C">
        <w:rPr>
          <w:rFonts w:hAnsi="宋体" w:hint="eastAsia"/>
          <w:sz w:val="21"/>
          <w:szCs w:val="21"/>
        </w:rPr>
        <w:t>申请时，</w:t>
      </w:r>
      <w:r w:rsidR="0093559A" w:rsidRPr="00EB049C">
        <w:rPr>
          <w:rFonts w:hAnsi="宋体" w:hint="eastAsia"/>
          <w:sz w:val="21"/>
          <w:szCs w:val="21"/>
        </w:rPr>
        <w:t>申办方</w:t>
      </w:r>
      <w:r w:rsidRPr="00EB049C">
        <w:rPr>
          <w:rFonts w:hAnsi="宋体" w:hint="eastAsia"/>
          <w:sz w:val="21"/>
          <w:szCs w:val="21"/>
        </w:rPr>
        <w:t>可能需要说明这两种类型的脊椎滑脱中患者的可合并性。</w:t>
      </w:r>
    </w:p>
    <w:p w:rsidR="008F17E4" w:rsidRPr="00EB049C" w:rsidRDefault="008F17E4" w:rsidP="003E190C">
      <w:pPr>
        <w:pStyle w:val="CM45"/>
        <w:snapToGrid w:val="0"/>
        <w:spacing w:beforeLines="50" w:after="0" w:line="336" w:lineRule="auto"/>
        <w:jc w:val="both"/>
        <w:outlineLvl w:val="2"/>
        <w:rPr>
          <w:sz w:val="21"/>
          <w:szCs w:val="21"/>
        </w:rPr>
      </w:pPr>
      <w:bookmarkStart w:id="22" w:name="_Toc480641589"/>
      <w:r w:rsidRPr="00EB049C">
        <w:rPr>
          <w:sz w:val="21"/>
          <w:szCs w:val="21"/>
        </w:rPr>
        <w:t>4.5</w:t>
      </w:r>
      <w:r w:rsidRPr="00EB049C">
        <w:rPr>
          <w:sz w:val="21"/>
          <w:szCs w:val="21"/>
        </w:rPr>
        <w:tab/>
      </w:r>
      <w:r w:rsidRPr="00EB049C">
        <w:rPr>
          <w:rFonts w:hAnsi="宋体" w:hint="eastAsia"/>
          <w:sz w:val="21"/>
          <w:szCs w:val="21"/>
        </w:rPr>
        <w:t>假关节翻修手术</w:t>
      </w:r>
      <w:bookmarkEnd w:id="22"/>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大家一致认为，先前融合尝试失败的患者特别难以治疗。所以鼓励</w:t>
      </w:r>
      <w:r w:rsidR="0093559A" w:rsidRPr="00EB049C">
        <w:rPr>
          <w:rFonts w:hAnsi="宋体" w:hint="eastAsia"/>
          <w:sz w:val="21"/>
          <w:szCs w:val="21"/>
        </w:rPr>
        <w:t>申办方</w:t>
      </w:r>
      <w:r w:rsidRPr="00EB049C">
        <w:rPr>
          <w:rFonts w:hAnsi="宋体" w:hint="eastAsia"/>
          <w:sz w:val="21"/>
          <w:szCs w:val="21"/>
        </w:rPr>
        <w:t>收集关于先前手术类型和治疗模式（如，骨生长刺激物）方面的信息。</w:t>
      </w:r>
      <w:r w:rsidRPr="00EB049C">
        <w:rPr>
          <w:sz w:val="21"/>
          <w:szCs w:val="21"/>
        </w:rPr>
        <w:t>PMA</w:t>
      </w:r>
      <w:r w:rsidRPr="00EB049C">
        <w:rPr>
          <w:rFonts w:hAnsi="宋体" w:hint="eastAsia"/>
          <w:sz w:val="21"/>
          <w:szCs w:val="21"/>
        </w:rPr>
        <w:t>申请时，</w:t>
      </w:r>
      <w:r w:rsidR="0093559A" w:rsidRPr="00EB049C">
        <w:rPr>
          <w:rFonts w:hAnsi="宋体" w:hint="eastAsia"/>
          <w:sz w:val="21"/>
          <w:szCs w:val="21"/>
        </w:rPr>
        <w:t>申办方</w:t>
      </w:r>
      <w:r w:rsidRPr="00EB049C">
        <w:rPr>
          <w:rFonts w:hAnsi="宋体" w:hint="eastAsia"/>
          <w:sz w:val="21"/>
          <w:szCs w:val="21"/>
        </w:rPr>
        <w:t>可能需要说明不同数量和类型的先前融合手术患者的可合并性。</w:t>
      </w:r>
    </w:p>
    <w:p w:rsidR="008F17E4" w:rsidRPr="00EB049C" w:rsidRDefault="008F17E4" w:rsidP="003E190C">
      <w:pPr>
        <w:pStyle w:val="CM45"/>
        <w:snapToGrid w:val="0"/>
        <w:spacing w:beforeLines="50" w:after="0" w:line="336" w:lineRule="auto"/>
        <w:jc w:val="both"/>
        <w:outlineLvl w:val="2"/>
        <w:rPr>
          <w:sz w:val="21"/>
          <w:szCs w:val="21"/>
        </w:rPr>
      </w:pPr>
      <w:bookmarkStart w:id="23" w:name="_Toc480641590"/>
      <w:r w:rsidRPr="00EB049C">
        <w:rPr>
          <w:sz w:val="21"/>
          <w:szCs w:val="21"/>
        </w:rPr>
        <w:t>4.6</w:t>
      </w:r>
      <w:r w:rsidRPr="00EB049C">
        <w:rPr>
          <w:sz w:val="21"/>
          <w:szCs w:val="21"/>
        </w:rPr>
        <w:tab/>
      </w:r>
      <w:r w:rsidRPr="00EB049C">
        <w:rPr>
          <w:rFonts w:hAnsi="宋体" w:hint="eastAsia"/>
          <w:sz w:val="21"/>
          <w:szCs w:val="21"/>
        </w:rPr>
        <w:t>颈椎间盘退行性疾病</w:t>
      </w:r>
      <w:bookmarkEnd w:id="23"/>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应该把上述腰椎</w:t>
      </w:r>
      <w:r w:rsidRPr="00EB049C">
        <w:rPr>
          <w:sz w:val="21"/>
          <w:szCs w:val="21"/>
        </w:rPr>
        <w:t>DDD</w:t>
      </w:r>
      <w:r w:rsidRPr="00EB049C">
        <w:rPr>
          <w:rFonts w:hAnsi="宋体" w:hint="eastAsia"/>
          <w:sz w:val="21"/>
          <w:szCs w:val="21"/>
        </w:rPr>
        <w:t>的标准修改一下，以反映颈椎的解剖学和症状学反射。此外，为实现研究的一致性，该疾病应该限制于一两块邻近的节段。考虑到颈椎内脊柱解剖的差异性，应该提供拟定解剖部位的基本依据。颈椎内的</w:t>
      </w:r>
      <w:r w:rsidRPr="00EB049C">
        <w:rPr>
          <w:sz w:val="21"/>
          <w:szCs w:val="21"/>
        </w:rPr>
        <w:t>DDD</w:t>
      </w:r>
      <w:r w:rsidRPr="00EB049C">
        <w:rPr>
          <w:rFonts w:hAnsi="宋体" w:hint="eastAsia"/>
          <w:sz w:val="21"/>
          <w:szCs w:val="21"/>
        </w:rPr>
        <w:t>应该基于放射学和临床评估结果。</w:t>
      </w:r>
      <w:r w:rsidRPr="00EB049C">
        <w:rPr>
          <w:sz w:val="21"/>
          <w:szCs w:val="21"/>
        </w:rPr>
        <w:t>FDA</w:t>
      </w:r>
      <w:r w:rsidRPr="00EB049C">
        <w:rPr>
          <w:rFonts w:hAnsi="宋体" w:hint="eastAsia"/>
          <w:sz w:val="21"/>
          <w:szCs w:val="21"/>
        </w:rPr>
        <w:t>建议，</w:t>
      </w:r>
      <w:r w:rsidR="0093559A" w:rsidRPr="00EB049C">
        <w:rPr>
          <w:rFonts w:hAnsi="宋体" w:hint="eastAsia"/>
          <w:sz w:val="21"/>
          <w:szCs w:val="21"/>
        </w:rPr>
        <w:t>申办方</w:t>
      </w:r>
      <w:r w:rsidRPr="00EB049C">
        <w:rPr>
          <w:rFonts w:hAnsi="宋体" w:hint="eastAsia"/>
          <w:sz w:val="21"/>
          <w:szCs w:val="21"/>
        </w:rPr>
        <w:t>应该考虑以下几方面：</w:t>
      </w:r>
    </w:p>
    <w:p w:rsidR="008F17E4" w:rsidRPr="00EB049C" w:rsidRDefault="008F17E4" w:rsidP="003E190C">
      <w:pPr>
        <w:pStyle w:val="CM20"/>
        <w:snapToGrid w:val="0"/>
        <w:spacing w:beforeLines="50" w:line="336" w:lineRule="auto"/>
        <w:ind w:leftChars="200" w:left="420"/>
        <w:jc w:val="both"/>
        <w:rPr>
          <w:sz w:val="21"/>
          <w:szCs w:val="21"/>
        </w:rPr>
      </w:pPr>
      <w:r w:rsidRPr="00EB049C">
        <w:rPr>
          <w:rFonts w:hAnsi="宋体" w:hint="eastAsia"/>
          <w:sz w:val="21"/>
          <w:szCs w:val="21"/>
        </w:rPr>
        <w:t>放射学上（至少一项）：</w:t>
      </w:r>
    </w:p>
    <w:p w:rsidR="008F17E4" w:rsidRPr="00EB049C" w:rsidRDefault="008F17E4" w:rsidP="005627F4">
      <w:pPr>
        <w:pStyle w:val="Default"/>
        <w:numPr>
          <w:ilvl w:val="0"/>
          <w:numId w:val="8"/>
        </w:numPr>
        <w:snapToGrid w:val="0"/>
        <w:spacing w:line="336" w:lineRule="auto"/>
        <w:ind w:leftChars="200" w:firstLine="0"/>
        <w:jc w:val="both"/>
        <w:rPr>
          <w:color w:val="auto"/>
          <w:sz w:val="21"/>
          <w:szCs w:val="21"/>
        </w:rPr>
      </w:pPr>
      <w:r w:rsidRPr="00EB049C">
        <w:rPr>
          <w:color w:val="auto"/>
          <w:sz w:val="21"/>
          <w:szCs w:val="21"/>
        </w:rPr>
        <w:t>MRI</w:t>
      </w:r>
      <w:r w:rsidRPr="00EB049C">
        <w:rPr>
          <w:rFonts w:hAnsi="宋体" w:hint="eastAsia"/>
          <w:color w:val="auto"/>
          <w:sz w:val="21"/>
          <w:szCs w:val="21"/>
        </w:rPr>
        <w:t>上显现的退行性椎间盘；</w:t>
      </w:r>
    </w:p>
    <w:p w:rsidR="008F17E4" w:rsidRPr="00EB049C" w:rsidRDefault="008F17E4" w:rsidP="005627F4">
      <w:pPr>
        <w:pStyle w:val="Default"/>
        <w:numPr>
          <w:ilvl w:val="0"/>
          <w:numId w:val="8"/>
        </w:numPr>
        <w:snapToGrid w:val="0"/>
        <w:spacing w:line="336" w:lineRule="auto"/>
        <w:ind w:leftChars="200" w:firstLine="0"/>
        <w:jc w:val="both"/>
        <w:rPr>
          <w:color w:val="auto"/>
          <w:sz w:val="21"/>
          <w:szCs w:val="21"/>
        </w:rPr>
      </w:pPr>
      <w:r w:rsidRPr="00EB049C">
        <w:rPr>
          <w:rFonts w:hAnsi="宋体" w:hint="eastAsia"/>
          <w:color w:val="auto"/>
          <w:sz w:val="21"/>
          <w:szCs w:val="21"/>
        </w:rPr>
        <w:t>平片、</w:t>
      </w:r>
      <w:r w:rsidRPr="00EB049C">
        <w:rPr>
          <w:color w:val="auto"/>
          <w:sz w:val="21"/>
          <w:szCs w:val="21"/>
        </w:rPr>
        <w:t>CT</w:t>
      </w:r>
      <w:r w:rsidRPr="00EB049C">
        <w:rPr>
          <w:rFonts w:hAnsi="宋体" w:hint="eastAsia"/>
          <w:color w:val="auto"/>
          <w:sz w:val="21"/>
          <w:szCs w:val="21"/>
        </w:rPr>
        <w:t>或</w:t>
      </w:r>
      <w:r w:rsidRPr="00EB049C">
        <w:rPr>
          <w:color w:val="auto"/>
          <w:sz w:val="21"/>
          <w:szCs w:val="21"/>
        </w:rPr>
        <w:t>MRI</w:t>
      </w:r>
      <w:r w:rsidRPr="00EB049C">
        <w:rPr>
          <w:rFonts w:hAnsi="宋体" w:hint="eastAsia"/>
          <w:color w:val="auto"/>
          <w:sz w:val="21"/>
          <w:szCs w:val="21"/>
        </w:rPr>
        <w:t>上的椎间盘高度下降；和</w:t>
      </w:r>
      <w:r w:rsidRPr="00EB049C">
        <w:rPr>
          <w:color w:val="auto"/>
          <w:sz w:val="21"/>
          <w:szCs w:val="21"/>
        </w:rPr>
        <w:t>/</w:t>
      </w:r>
      <w:r w:rsidRPr="00EB049C">
        <w:rPr>
          <w:rFonts w:hAnsi="宋体" w:hint="eastAsia"/>
          <w:color w:val="auto"/>
          <w:sz w:val="21"/>
          <w:szCs w:val="21"/>
        </w:rPr>
        <w:t>或</w:t>
      </w:r>
    </w:p>
    <w:p w:rsidR="008F17E4" w:rsidRPr="00EB049C" w:rsidRDefault="008F17E4" w:rsidP="005627F4">
      <w:pPr>
        <w:pStyle w:val="Default"/>
        <w:numPr>
          <w:ilvl w:val="0"/>
          <w:numId w:val="8"/>
        </w:numPr>
        <w:snapToGrid w:val="0"/>
        <w:spacing w:line="336" w:lineRule="auto"/>
        <w:ind w:leftChars="200" w:firstLine="0"/>
        <w:jc w:val="both"/>
        <w:rPr>
          <w:color w:val="auto"/>
          <w:sz w:val="21"/>
          <w:szCs w:val="21"/>
        </w:rPr>
      </w:pPr>
      <w:r w:rsidRPr="00EB049C">
        <w:rPr>
          <w:color w:val="auto"/>
          <w:sz w:val="21"/>
          <w:szCs w:val="21"/>
        </w:rPr>
        <w:t>CT</w:t>
      </w:r>
      <w:r w:rsidRPr="00EB049C">
        <w:rPr>
          <w:rFonts w:hAnsi="宋体" w:hint="eastAsia"/>
          <w:color w:val="auto"/>
          <w:sz w:val="21"/>
          <w:szCs w:val="21"/>
        </w:rPr>
        <w:t>或</w:t>
      </w:r>
      <w:r w:rsidRPr="00EB049C">
        <w:rPr>
          <w:color w:val="auto"/>
          <w:sz w:val="21"/>
          <w:szCs w:val="21"/>
        </w:rPr>
        <w:t>MRI</w:t>
      </w:r>
      <w:r w:rsidRPr="00EB049C">
        <w:rPr>
          <w:rFonts w:hAnsi="宋体" w:hint="eastAsia"/>
          <w:color w:val="auto"/>
          <w:sz w:val="21"/>
          <w:szCs w:val="21"/>
        </w:rPr>
        <w:t>显示椎间盘突出。</w:t>
      </w:r>
    </w:p>
    <w:p w:rsidR="008F17E4" w:rsidRPr="00EB049C" w:rsidRDefault="008F17E4" w:rsidP="003E190C">
      <w:pPr>
        <w:pStyle w:val="Default"/>
        <w:snapToGrid w:val="0"/>
        <w:spacing w:beforeLines="50" w:line="336" w:lineRule="auto"/>
        <w:ind w:leftChars="200" w:left="420"/>
        <w:jc w:val="both"/>
        <w:rPr>
          <w:color w:val="auto"/>
          <w:sz w:val="21"/>
          <w:szCs w:val="21"/>
        </w:rPr>
      </w:pPr>
      <w:r w:rsidRPr="00EB049C">
        <w:rPr>
          <w:rFonts w:hAnsi="宋体" w:hint="eastAsia"/>
          <w:color w:val="auto"/>
          <w:sz w:val="21"/>
          <w:szCs w:val="21"/>
        </w:rPr>
        <w:t>临床上：神经细根症状（至少一项）：</w:t>
      </w:r>
    </w:p>
    <w:p w:rsidR="008F17E4" w:rsidRPr="00EB049C" w:rsidRDefault="008F17E4" w:rsidP="005627F4">
      <w:pPr>
        <w:pStyle w:val="Default"/>
        <w:numPr>
          <w:ilvl w:val="0"/>
          <w:numId w:val="9"/>
        </w:numPr>
        <w:snapToGrid w:val="0"/>
        <w:spacing w:line="336" w:lineRule="auto"/>
        <w:ind w:leftChars="200" w:firstLine="0"/>
        <w:jc w:val="both"/>
        <w:rPr>
          <w:color w:val="auto"/>
          <w:sz w:val="21"/>
          <w:szCs w:val="21"/>
        </w:rPr>
      </w:pPr>
      <w:r w:rsidRPr="00EB049C">
        <w:rPr>
          <w:rFonts w:hAnsi="宋体" w:hint="eastAsia"/>
          <w:color w:val="auto"/>
          <w:sz w:val="21"/>
          <w:szCs w:val="21"/>
        </w:rPr>
        <w:t>手臂痛</w:t>
      </w:r>
      <w:r w:rsidRPr="00EB049C">
        <w:rPr>
          <w:color w:val="auto"/>
          <w:sz w:val="21"/>
          <w:szCs w:val="21"/>
        </w:rPr>
        <w:t>/</w:t>
      </w:r>
      <w:r w:rsidRPr="00EB049C">
        <w:rPr>
          <w:rFonts w:hAnsi="宋体" w:hint="eastAsia"/>
          <w:color w:val="auto"/>
          <w:sz w:val="21"/>
          <w:szCs w:val="21"/>
        </w:rPr>
        <w:t>肩痛；</w:t>
      </w:r>
    </w:p>
    <w:p w:rsidR="008F17E4" w:rsidRPr="00EB049C" w:rsidRDefault="008F17E4" w:rsidP="005627F4">
      <w:pPr>
        <w:pStyle w:val="Default"/>
        <w:numPr>
          <w:ilvl w:val="0"/>
          <w:numId w:val="9"/>
        </w:numPr>
        <w:snapToGrid w:val="0"/>
        <w:spacing w:line="336" w:lineRule="auto"/>
        <w:ind w:leftChars="200" w:firstLine="0"/>
        <w:jc w:val="both"/>
        <w:rPr>
          <w:color w:val="auto"/>
          <w:sz w:val="21"/>
          <w:szCs w:val="21"/>
        </w:rPr>
      </w:pPr>
      <w:r w:rsidRPr="00EB049C">
        <w:rPr>
          <w:rFonts w:hAnsi="宋体" w:hint="eastAsia"/>
          <w:color w:val="auto"/>
          <w:sz w:val="21"/>
          <w:szCs w:val="21"/>
        </w:rPr>
        <w:t>反射降低；</w:t>
      </w:r>
    </w:p>
    <w:p w:rsidR="008F17E4" w:rsidRPr="00EB049C" w:rsidRDefault="008F17E4" w:rsidP="005627F4">
      <w:pPr>
        <w:pStyle w:val="Default"/>
        <w:numPr>
          <w:ilvl w:val="0"/>
          <w:numId w:val="9"/>
        </w:numPr>
        <w:snapToGrid w:val="0"/>
        <w:spacing w:line="336" w:lineRule="auto"/>
        <w:ind w:leftChars="200" w:firstLine="0"/>
        <w:jc w:val="both"/>
        <w:rPr>
          <w:color w:val="auto"/>
          <w:sz w:val="21"/>
          <w:szCs w:val="21"/>
        </w:rPr>
      </w:pPr>
      <w:r w:rsidRPr="00EB049C">
        <w:rPr>
          <w:rFonts w:hAnsi="宋体" w:hint="eastAsia"/>
          <w:color w:val="auto"/>
          <w:sz w:val="21"/>
          <w:szCs w:val="21"/>
        </w:rPr>
        <w:t>强度减退；和</w:t>
      </w:r>
      <w:r w:rsidRPr="00EB049C">
        <w:rPr>
          <w:color w:val="auto"/>
          <w:sz w:val="21"/>
          <w:szCs w:val="21"/>
        </w:rPr>
        <w:t>/</w:t>
      </w:r>
      <w:r w:rsidRPr="00EB049C">
        <w:rPr>
          <w:rFonts w:hAnsi="宋体" w:hint="eastAsia"/>
          <w:color w:val="auto"/>
          <w:sz w:val="21"/>
          <w:szCs w:val="21"/>
        </w:rPr>
        <w:t>或</w:t>
      </w:r>
    </w:p>
    <w:p w:rsidR="008F17E4" w:rsidRPr="00EB049C" w:rsidRDefault="008F17E4" w:rsidP="005627F4">
      <w:pPr>
        <w:pStyle w:val="Default"/>
        <w:numPr>
          <w:ilvl w:val="0"/>
          <w:numId w:val="9"/>
        </w:numPr>
        <w:snapToGrid w:val="0"/>
        <w:spacing w:line="336" w:lineRule="auto"/>
        <w:ind w:leftChars="200" w:firstLine="0"/>
        <w:jc w:val="both"/>
        <w:rPr>
          <w:color w:val="auto"/>
          <w:sz w:val="21"/>
          <w:szCs w:val="21"/>
        </w:rPr>
      </w:pPr>
      <w:r w:rsidRPr="00EB049C">
        <w:rPr>
          <w:rFonts w:hAnsi="宋体" w:hint="eastAsia"/>
          <w:color w:val="auto"/>
          <w:sz w:val="21"/>
          <w:szCs w:val="21"/>
        </w:rPr>
        <w:t>感觉减退。</w:t>
      </w:r>
    </w:p>
    <w:p w:rsidR="008F17E4" w:rsidRPr="00EB049C" w:rsidRDefault="008F17E4" w:rsidP="003E190C">
      <w:pPr>
        <w:pStyle w:val="CM45"/>
        <w:snapToGrid w:val="0"/>
        <w:spacing w:beforeLines="50" w:after="0" w:line="336" w:lineRule="auto"/>
        <w:jc w:val="both"/>
        <w:outlineLvl w:val="1"/>
        <w:rPr>
          <w:sz w:val="21"/>
          <w:szCs w:val="21"/>
        </w:rPr>
      </w:pPr>
      <w:bookmarkStart w:id="24" w:name="_Toc480641591"/>
      <w:r w:rsidRPr="00EB049C">
        <w:rPr>
          <w:sz w:val="21"/>
          <w:szCs w:val="21"/>
        </w:rPr>
        <w:t>5.</w:t>
      </w:r>
      <w:r w:rsidRPr="00EB049C">
        <w:rPr>
          <w:sz w:val="21"/>
          <w:szCs w:val="21"/>
        </w:rPr>
        <w:tab/>
      </w:r>
      <w:r w:rsidRPr="00EB049C">
        <w:rPr>
          <w:rFonts w:hAnsi="宋体" w:hint="eastAsia"/>
          <w:sz w:val="21"/>
          <w:szCs w:val="21"/>
        </w:rPr>
        <w:t>排除标准</w:t>
      </w:r>
      <w:bookmarkEnd w:id="24"/>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完整的入选标准对于充分定义待研究患者人群组极为重要。这是因为排除标准可能消除特定类型患者相关的安全担忧和</w:t>
      </w:r>
      <w:r w:rsidRPr="00EB049C">
        <w:rPr>
          <w:sz w:val="21"/>
          <w:szCs w:val="21"/>
        </w:rPr>
        <w:t>/</w:t>
      </w:r>
      <w:r w:rsidRPr="00EB049C">
        <w:rPr>
          <w:rFonts w:hAnsi="宋体" w:hint="eastAsia"/>
          <w:sz w:val="21"/>
          <w:szCs w:val="21"/>
        </w:rPr>
        <w:t>或便于排除可能会研究结果和数据分析产生消极影响的患者。下面是很多脊柱研究常见的排除标准列表。如果</w:t>
      </w:r>
      <w:r w:rsidR="0093559A" w:rsidRPr="00EB049C">
        <w:rPr>
          <w:rFonts w:hAnsi="宋体" w:hint="eastAsia"/>
          <w:sz w:val="21"/>
          <w:szCs w:val="21"/>
        </w:rPr>
        <w:t>申办方</w:t>
      </w:r>
      <w:r w:rsidRPr="00EB049C">
        <w:rPr>
          <w:rFonts w:hAnsi="宋体" w:hint="eastAsia"/>
          <w:sz w:val="21"/>
          <w:szCs w:val="21"/>
        </w:rPr>
        <w:t>选择具有一个或多个这类情况的患者进行研究，则他们应该能解决对患者安全、研究设计和数据分析的影响问题。</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排除标准可用来帮助按以下类别定义患者人群：安全性问题、随访问题、简化和阐明研究设计问题以及上述任何几方面或全部的组合。</w:t>
      </w:r>
    </w:p>
    <w:p w:rsidR="008F17E4" w:rsidRPr="00EB049C" w:rsidRDefault="008F17E4" w:rsidP="003E190C">
      <w:pPr>
        <w:pStyle w:val="CM16"/>
        <w:snapToGrid w:val="0"/>
        <w:spacing w:beforeLines="50" w:line="336" w:lineRule="auto"/>
        <w:ind w:leftChars="200" w:left="420"/>
        <w:jc w:val="both"/>
        <w:rPr>
          <w:sz w:val="21"/>
          <w:szCs w:val="21"/>
        </w:rPr>
      </w:pPr>
      <w:r w:rsidRPr="00EB049C">
        <w:rPr>
          <w:rFonts w:hAnsi="宋体" w:hint="eastAsia"/>
          <w:sz w:val="21"/>
          <w:szCs w:val="21"/>
          <w:u w:val="single"/>
        </w:rPr>
        <w:t>安全性问题：</w:t>
      </w:r>
    </w:p>
    <w:p w:rsidR="008F17E4" w:rsidRPr="00EB049C" w:rsidRDefault="008F17E4" w:rsidP="005627F4">
      <w:pPr>
        <w:pStyle w:val="Default"/>
        <w:numPr>
          <w:ilvl w:val="0"/>
          <w:numId w:val="10"/>
        </w:numPr>
        <w:snapToGrid w:val="0"/>
        <w:spacing w:line="336" w:lineRule="auto"/>
        <w:ind w:leftChars="200" w:firstLine="0"/>
        <w:jc w:val="both"/>
        <w:rPr>
          <w:color w:val="auto"/>
          <w:sz w:val="21"/>
          <w:szCs w:val="21"/>
        </w:rPr>
      </w:pPr>
      <w:r w:rsidRPr="00EB049C">
        <w:rPr>
          <w:rFonts w:hAnsi="宋体" w:hint="eastAsia"/>
          <w:color w:val="auto"/>
          <w:sz w:val="21"/>
          <w:szCs w:val="21"/>
        </w:rPr>
        <w:t>发生全身感染或手术部位感染</w:t>
      </w:r>
    </w:p>
    <w:p w:rsidR="008F17E4" w:rsidRPr="00EB049C" w:rsidRDefault="008F17E4" w:rsidP="005627F4">
      <w:pPr>
        <w:pStyle w:val="Default"/>
        <w:numPr>
          <w:ilvl w:val="0"/>
          <w:numId w:val="10"/>
        </w:numPr>
        <w:snapToGrid w:val="0"/>
        <w:spacing w:line="336" w:lineRule="auto"/>
        <w:ind w:leftChars="200" w:firstLine="0"/>
        <w:jc w:val="both"/>
        <w:rPr>
          <w:color w:val="auto"/>
          <w:sz w:val="21"/>
          <w:szCs w:val="21"/>
        </w:rPr>
      </w:pPr>
      <w:r w:rsidRPr="00EB049C">
        <w:rPr>
          <w:rFonts w:hAnsi="宋体" w:hint="eastAsia"/>
          <w:color w:val="auto"/>
          <w:sz w:val="21"/>
          <w:szCs w:val="21"/>
        </w:rPr>
        <w:t>患有骨量减少、骨质疏松或骨软化症，且达到了禁用脊柱内植物的程度</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color w:val="auto"/>
          <w:sz w:val="21"/>
          <w:szCs w:val="21"/>
        </w:rPr>
        <w:br w:type="page"/>
      </w:r>
      <w:r w:rsidRPr="00EB049C">
        <w:rPr>
          <w:rFonts w:hAnsi="宋体" w:hint="eastAsia"/>
          <w:color w:val="auto"/>
          <w:sz w:val="21"/>
          <w:szCs w:val="21"/>
        </w:rPr>
        <w:lastRenderedPageBreak/>
        <w:t>患有骨代谢性疾病</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rFonts w:hAnsi="宋体" w:hint="eastAsia"/>
          <w:color w:val="auto"/>
          <w:sz w:val="21"/>
          <w:szCs w:val="21"/>
        </w:rPr>
        <w:t>对试验器械的任何组件过敏</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rFonts w:hAnsi="宋体" w:hint="eastAsia"/>
          <w:color w:val="auto"/>
          <w:sz w:val="21"/>
          <w:szCs w:val="21"/>
        </w:rPr>
        <w:t>植入生物材料之前，拥有重度过敏或过敏性反应的病史</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rFonts w:hAnsi="宋体" w:hint="eastAsia"/>
          <w:color w:val="auto"/>
          <w:sz w:val="21"/>
          <w:szCs w:val="21"/>
        </w:rPr>
        <w:t>研究期间怀孕或正在备孕</w:t>
      </w:r>
    </w:p>
    <w:p w:rsidR="008F17E4" w:rsidRPr="00EB049C" w:rsidRDefault="008F17E4" w:rsidP="003E190C">
      <w:pPr>
        <w:pStyle w:val="Default"/>
        <w:snapToGrid w:val="0"/>
        <w:spacing w:beforeLines="50" w:line="360" w:lineRule="auto"/>
        <w:jc w:val="both"/>
        <w:rPr>
          <w:color w:val="auto"/>
          <w:sz w:val="21"/>
          <w:szCs w:val="21"/>
        </w:rPr>
      </w:pPr>
      <w:r w:rsidRPr="00EB049C">
        <w:rPr>
          <w:rFonts w:hAnsi="宋体" w:hint="eastAsia"/>
          <w:color w:val="auto"/>
          <w:sz w:val="21"/>
          <w:szCs w:val="21"/>
          <w:u w:val="single"/>
        </w:rPr>
        <w:t>随访问题：</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rFonts w:hAnsi="宋体" w:hint="eastAsia"/>
          <w:color w:val="auto"/>
          <w:sz w:val="21"/>
          <w:szCs w:val="21"/>
        </w:rPr>
        <w:t>有滥用药物史（消遣性药物、酒精）。</w:t>
      </w:r>
      <w:r w:rsidR="0093559A" w:rsidRPr="00EB049C">
        <w:rPr>
          <w:rFonts w:hAnsi="宋体" w:hint="eastAsia"/>
          <w:color w:val="auto"/>
          <w:sz w:val="21"/>
          <w:szCs w:val="21"/>
        </w:rPr>
        <w:t>申办方</w:t>
      </w:r>
      <w:r w:rsidRPr="00EB049C">
        <w:rPr>
          <w:rFonts w:hAnsi="宋体" w:hint="eastAsia"/>
          <w:color w:val="auto"/>
          <w:sz w:val="21"/>
          <w:szCs w:val="21"/>
        </w:rPr>
        <w:t>应该提供</w:t>
      </w:r>
      <w:r w:rsidRPr="00EB049C">
        <w:rPr>
          <w:color w:val="auto"/>
          <w:sz w:val="21"/>
          <w:szCs w:val="21"/>
        </w:rPr>
        <w:t>“</w:t>
      </w:r>
      <w:r w:rsidRPr="00EB049C">
        <w:rPr>
          <w:rFonts w:hAnsi="宋体" w:hint="eastAsia"/>
          <w:color w:val="auto"/>
          <w:sz w:val="21"/>
          <w:szCs w:val="21"/>
        </w:rPr>
        <w:t>滥用</w:t>
      </w:r>
      <w:r w:rsidRPr="00EB049C">
        <w:rPr>
          <w:color w:val="auto"/>
          <w:sz w:val="21"/>
          <w:szCs w:val="21"/>
        </w:rPr>
        <w:t>”</w:t>
      </w:r>
      <w:r w:rsidRPr="00EB049C">
        <w:rPr>
          <w:rFonts w:hAnsi="宋体" w:hint="eastAsia"/>
          <w:color w:val="auto"/>
          <w:sz w:val="21"/>
          <w:szCs w:val="21"/>
        </w:rPr>
        <w:t>的定义标准</w:t>
      </w:r>
    </w:p>
    <w:p w:rsidR="008F17E4" w:rsidRPr="00EB049C" w:rsidRDefault="008F17E4" w:rsidP="009A6A54">
      <w:pPr>
        <w:pStyle w:val="Default"/>
        <w:numPr>
          <w:ilvl w:val="0"/>
          <w:numId w:val="10"/>
        </w:numPr>
        <w:snapToGrid w:val="0"/>
        <w:spacing w:line="360" w:lineRule="auto"/>
        <w:ind w:left="0" w:firstLine="0"/>
        <w:jc w:val="both"/>
        <w:rPr>
          <w:color w:val="auto"/>
          <w:sz w:val="21"/>
          <w:szCs w:val="21"/>
        </w:rPr>
      </w:pPr>
      <w:r w:rsidRPr="00EB049C">
        <w:rPr>
          <w:rFonts w:hAnsi="宋体" w:hint="eastAsia"/>
          <w:color w:val="auto"/>
          <w:sz w:val="21"/>
          <w:szCs w:val="21"/>
        </w:rPr>
        <w:t>囚犯</w:t>
      </w:r>
    </w:p>
    <w:p w:rsidR="008F17E4" w:rsidRPr="00EB049C" w:rsidRDefault="008F17E4" w:rsidP="003E190C">
      <w:pPr>
        <w:pStyle w:val="Default"/>
        <w:snapToGrid w:val="0"/>
        <w:spacing w:beforeLines="50" w:line="360" w:lineRule="auto"/>
        <w:jc w:val="both"/>
        <w:rPr>
          <w:color w:val="auto"/>
          <w:sz w:val="21"/>
          <w:szCs w:val="21"/>
        </w:rPr>
      </w:pPr>
      <w:r w:rsidRPr="00EB049C">
        <w:rPr>
          <w:rFonts w:hAnsi="宋体" w:hint="eastAsia"/>
          <w:color w:val="auto"/>
          <w:sz w:val="21"/>
          <w:szCs w:val="21"/>
          <w:u w:val="single"/>
        </w:rPr>
        <w:t>简化</w:t>
      </w:r>
      <w:r w:rsidRPr="00EB049C">
        <w:rPr>
          <w:color w:val="auto"/>
          <w:sz w:val="21"/>
          <w:szCs w:val="21"/>
          <w:u w:val="single"/>
        </w:rPr>
        <w:t>/</w:t>
      </w:r>
      <w:r w:rsidRPr="00EB049C">
        <w:rPr>
          <w:rFonts w:hAnsi="宋体" w:hint="eastAsia"/>
          <w:color w:val="auto"/>
          <w:sz w:val="21"/>
          <w:szCs w:val="21"/>
          <w:u w:val="single"/>
        </w:rPr>
        <w:t>阐明研究设计问题：</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所涉节段先前进行过融合尝试（除非研究的是假关节患者）</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患有某种病症或需要进行术后药物治疗，这可能会干扰骨</w:t>
      </w:r>
      <w:r w:rsidRPr="00EB049C">
        <w:rPr>
          <w:color w:val="auto"/>
          <w:sz w:val="21"/>
          <w:szCs w:val="21"/>
        </w:rPr>
        <w:t>/</w:t>
      </w:r>
      <w:r w:rsidRPr="00EB049C">
        <w:rPr>
          <w:rFonts w:hAnsi="宋体" w:hint="eastAsia"/>
          <w:color w:val="auto"/>
          <w:sz w:val="21"/>
          <w:szCs w:val="21"/>
        </w:rPr>
        <w:t>软组织愈合（包括吸烟）</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除了待研究病症外，还患有其他脊柱疾病</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当前因类似目的参与了另一项试验产品的研究</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显示出三个或更多个</w:t>
      </w:r>
      <w:r w:rsidRPr="00EB049C">
        <w:rPr>
          <w:color w:val="auto"/>
          <w:sz w:val="21"/>
          <w:szCs w:val="21"/>
        </w:rPr>
        <w:t>“Waddell</w:t>
      </w:r>
      <w:r w:rsidRPr="00EB049C">
        <w:rPr>
          <w:rFonts w:hAnsi="宋体" w:hint="eastAsia"/>
          <w:color w:val="auto"/>
          <w:sz w:val="21"/>
          <w:szCs w:val="21"/>
        </w:rPr>
        <w:t>无极行为体征</w:t>
      </w:r>
      <w:r w:rsidRPr="00EB049C">
        <w:rPr>
          <w:color w:val="auto"/>
          <w:sz w:val="21"/>
          <w:szCs w:val="21"/>
        </w:rPr>
        <w:t>”</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属于工人赔偿案例</w:t>
      </w:r>
    </w:p>
    <w:p w:rsidR="008F17E4" w:rsidRPr="00EB049C" w:rsidRDefault="008F17E4" w:rsidP="003E190C">
      <w:pPr>
        <w:pStyle w:val="Default"/>
        <w:snapToGrid w:val="0"/>
        <w:spacing w:beforeLines="50" w:line="360" w:lineRule="auto"/>
        <w:jc w:val="both"/>
        <w:rPr>
          <w:color w:val="auto"/>
          <w:sz w:val="21"/>
          <w:szCs w:val="21"/>
        </w:rPr>
      </w:pPr>
      <w:r w:rsidRPr="00EB049C">
        <w:rPr>
          <w:rFonts w:hAnsi="宋体" w:hint="eastAsia"/>
          <w:color w:val="auto"/>
          <w:sz w:val="21"/>
          <w:szCs w:val="21"/>
          <w:u w:val="single"/>
        </w:rPr>
        <w:t>上述任何几方面或全部的组合：</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已知患有恶性肿瘤</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患有可能会将患者置于极度手术风险的共病。这一疾病应该由</w:t>
      </w:r>
      <w:r w:rsidR="0093559A" w:rsidRPr="00EB049C">
        <w:rPr>
          <w:rFonts w:hAnsi="宋体" w:hint="eastAsia"/>
          <w:color w:val="auto"/>
          <w:sz w:val="21"/>
          <w:szCs w:val="21"/>
        </w:rPr>
        <w:t>申办方</w:t>
      </w:r>
      <w:r w:rsidRPr="00EB049C">
        <w:rPr>
          <w:rFonts w:hAnsi="宋体" w:hint="eastAsia"/>
          <w:color w:val="auto"/>
          <w:sz w:val="21"/>
          <w:szCs w:val="21"/>
        </w:rPr>
        <w:t>概述。</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患有妨碍准确评价的疾病（如，神经肌肉病、精神病等）。</w:t>
      </w:r>
      <w:r w:rsidR="0093559A" w:rsidRPr="00EB049C">
        <w:rPr>
          <w:rFonts w:hAnsi="宋体" w:hint="eastAsia"/>
          <w:color w:val="auto"/>
          <w:sz w:val="21"/>
          <w:szCs w:val="21"/>
        </w:rPr>
        <w:t>申办方</w:t>
      </w:r>
      <w:r w:rsidRPr="00EB049C">
        <w:rPr>
          <w:rFonts w:hAnsi="宋体" w:hint="eastAsia"/>
          <w:color w:val="auto"/>
          <w:sz w:val="21"/>
          <w:szCs w:val="21"/>
        </w:rPr>
        <w:t>应该根据本研究的终点详细说明这些。</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涉及脊柱损伤相关诉讼问题</w:t>
      </w:r>
    </w:p>
    <w:p w:rsidR="008F17E4" w:rsidRPr="00EB049C" w:rsidRDefault="008F17E4" w:rsidP="005627F4">
      <w:pPr>
        <w:pStyle w:val="Default"/>
        <w:numPr>
          <w:ilvl w:val="0"/>
          <w:numId w:val="10"/>
        </w:numPr>
        <w:snapToGrid w:val="0"/>
        <w:spacing w:line="360" w:lineRule="auto"/>
        <w:ind w:hangingChars="200"/>
        <w:jc w:val="both"/>
        <w:rPr>
          <w:color w:val="auto"/>
          <w:sz w:val="21"/>
          <w:szCs w:val="21"/>
        </w:rPr>
      </w:pPr>
      <w:r w:rsidRPr="00EB049C">
        <w:rPr>
          <w:rFonts w:hAnsi="宋体" w:hint="eastAsia"/>
          <w:color w:val="auto"/>
          <w:sz w:val="21"/>
          <w:szCs w:val="21"/>
        </w:rPr>
        <w:t>按标准测量方法定义的肥胖（</w:t>
      </w:r>
      <w:r w:rsidRPr="00EB049C">
        <w:rPr>
          <w:color w:val="auto"/>
          <w:sz w:val="21"/>
          <w:szCs w:val="21"/>
        </w:rPr>
        <w:t>Metropolitan</w:t>
      </w:r>
      <w:r w:rsidRPr="00EB049C">
        <w:rPr>
          <w:rFonts w:hAnsi="宋体" w:hint="eastAsia"/>
          <w:color w:val="auto"/>
          <w:sz w:val="21"/>
          <w:szCs w:val="21"/>
        </w:rPr>
        <w:t>表、身体质量指数）</w:t>
      </w:r>
    </w:p>
    <w:p w:rsidR="008F17E4" w:rsidRPr="00EB049C" w:rsidRDefault="008F17E4" w:rsidP="003E190C">
      <w:pPr>
        <w:pStyle w:val="Default"/>
        <w:snapToGrid w:val="0"/>
        <w:spacing w:beforeLines="50" w:line="360" w:lineRule="auto"/>
        <w:jc w:val="both"/>
        <w:outlineLvl w:val="1"/>
        <w:rPr>
          <w:color w:val="auto"/>
          <w:sz w:val="21"/>
          <w:szCs w:val="21"/>
        </w:rPr>
      </w:pPr>
      <w:bookmarkStart w:id="25" w:name="_Toc480641592"/>
      <w:r w:rsidRPr="00EB049C">
        <w:rPr>
          <w:color w:val="auto"/>
          <w:sz w:val="21"/>
          <w:szCs w:val="21"/>
        </w:rPr>
        <w:t>6.</w:t>
      </w:r>
      <w:r w:rsidRPr="00EB049C">
        <w:rPr>
          <w:color w:val="auto"/>
          <w:sz w:val="21"/>
          <w:szCs w:val="21"/>
        </w:rPr>
        <w:tab/>
      </w:r>
      <w:r w:rsidR="00036E96" w:rsidRPr="00EB049C">
        <w:rPr>
          <w:rFonts w:hAnsi="宋体" w:hint="eastAsia"/>
          <w:color w:val="auto"/>
          <w:sz w:val="21"/>
          <w:szCs w:val="21"/>
        </w:rPr>
        <w:t>研究中心</w:t>
      </w:r>
      <w:r w:rsidRPr="00EB049C">
        <w:rPr>
          <w:color w:val="auto"/>
          <w:sz w:val="21"/>
          <w:szCs w:val="21"/>
        </w:rPr>
        <w:t>/</w:t>
      </w:r>
      <w:r w:rsidRPr="00EB049C">
        <w:rPr>
          <w:rFonts w:hAnsi="宋体" w:hint="eastAsia"/>
          <w:color w:val="auto"/>
          <w:sz w:val="21"/>
          <w:szCs w:val="21"/>
        </w:rPr>
        <w:t>研究者</w:t>
      </w:r>
      <w:r w:rsidRPr="00EB049C">
        <w:rPr>
          <w:color w:val="auto"/>
          <w:sz w:val="21"/>
          <w:szCs w:val="21"/>
        </w:rPr>
        <w:t>/</w:t>
      </w:r>
      <w:r w:rsidRPr="00EB049C">
        <w:rPr>
          <w:rFonts w:hAnsi="宋体" w:hint="eastAsia"/>
          <w:color w:val="auto"/>
          <w:sz w:val="21"/>
          <w:szCs w:val="21"/>
        </w:rPr>
        <w:t>患者的数量</w:t>
      </w:r>
      <w:bookmarkEnd w:id="25"/>
    </w:p>
    <w:p w:rsidR="008F17E4" w:rsidRPr="00EB049C" w:rsidRDefault="008F17E4" w:rsidP="003E190C">
      <w:pPr>
        <w:pStyle w:val="Default"/>
        <w:snapToGrid w:val="0"/>
        <w:spacing w:beforeLines="50" w:line="360" w:lineRule="auto"/>
        <w:ind w:leftChars="200" w:left="420"/>
        <w:jc w:val="both"/>
        <w:rPr>
          <w:color w:val="auto"/>
          <w:sz w:val="21"/>
          <w:szCs w:val="21"/>
        </w:rPr>
      </w:pPr>
      <w:r w:rsidRPr="00EB049C">
        <w:rPr>
          <w:rFonts w:hAnsi="宋体" w:hint="eastAsia"/>
          <w:color w:val="auto"/>
          <w:sz w:val="21"/>
          <w:szCs w:val="21"/>
        </w:rPr>
        <w:t>应该详细说明研究者、</w:t>
      </w:r>
      <w:r w:rsidR="00036E96" w:rsidRPr="00EB049C">
        <w:rPr>
          <w:rFonts w:hAnsi="宋体" w:hint="eastAsia"/>
          <w:color w:val="auto"/>
          <w:sz w:val="21"/>
          <w:szCs w:val="21"/>
        </w:rPr>
        <w:t>研究中心</w:t>
      </w:r>
      <w:r w:rsidRPr="00EB049C">
        <w:rPr>
          <w:rFonts w:hAnsi="宋体" w:hint="eastAsia"/>
          <w:color w:val="auto"/>
          <w:sz w:val="21"/>
          <w:szCs w:val="21"/>
        </w:rPr>
        <w:t>和患者的拟定数量。应该根据研究的原假设和备择假设，利用样本书计算方法，确定出每个治疗组的患者人数；参见下面的第</w:t>
      </w:r>
      <w:r w:rsidRPr="00EB049C">
        <w:rPr>
          <w:color w:val="auto"/>
          <w:sz w:val="21"/>
          <w:szCs w:val="21"/>
        </w:rPr>
        <w:t>11</w:t>
      </w:r>
      <w:r w:rsidRPr="00EB049C">
        <w:rPr>
          <w:rFonts w:hAnsi="宋体" w:hint="eastAsia"/>
          <w:color w:val="auto"/>
          <w:sz w:val="21"/>
          <w:szCs w:val="21"/>
        </w:rPr>
        <w:t>部分。若每一研究者的患者人数不足和</w:t>
      </w:r>
      <w:r w:rsidRPr="00EB049C">
        <w:rPr>
          <w:color w:val="auto"/>
          <w:sz w:val="21"/>
          <w:szCs w:val="21"/>
        </w:rPr>
        <w:t>/</w:t>
      </w:r>
      <w:r w:rsidRPr="00EB049C">
        <w:rPr>
          <w:rFonts w:hAnsi="宋体" w:hint="eastAsia"/>
          <w:color w:val="auto"/>
          <w:sz w:val="21"/>
          <w:szCs w:val="21"/>
        </w:rPr>
        <w:t>或不一样，则就指定研究者而言，可能会降低患者代表研究人群的可能性。这可能会妨碍研究者和</w:t>
      </w:r>
      <w:r w:rsidRPr="00EB049C">
        <w:rPr>
          <w:color w:val="auto"/>
          <w:sz w:val="21"/>
          <w:szCs w:val="21"/>
        </w:rPr>
        <w:t>/</w:t>
      </w:r>
      <w:r w:rsidR="00036E96" w:rsidRPr="00EB049C">
        <w:rPr>
          <w:rFonts w:hAnsi="宋体" w:hint="eastAsia"/>
          <w:color w:val="auto"/>
          <w:sz w:val="21"/>
          <w:szCs w:val="21"/>
        </w:rPr>
        <w:t>研究中心</w:t>
      </w:r>
      <w:r w:rsidRPr="00EB049C">
        <w:rPr>
          <w:rFonts w:hAnsi="宋体" w:hint="eastAsia"/>
          <w:color w:val="auto"/>
          <w:sz w:val="21"/>
          <w:szCs w:val="21"/>
        </w:rPr>
        <w:t>之间的数据合并。因此，</w:t>
      </w:r>
      <w:r w:rsidRPr="00EB049C">
        <w:rPr>
          <w:color w:val="auto"/>
          <w:sz w:val="21"/>
          <w:szCs w:val="21"/>
        </w:rPr>
        <w:t>FDA</w:t>
      </w:r>
      <w:r w:rsidRPr="00EB049C">
        <w:rPr>
          <w:rFonts w:hAnsi="宋体" w:hint="eastAsia"/>
          <w:color w:val="auto"/>
          <w:sz w:val="21"/>
          <w:szCs w:val="21"/>
        </w:rPr>
        <w:t>建议，</w:t>
      </w:r>
      <w:r w:rsidR="0093559A" w:rsidRPr="00EB049C">
        <w:rPr>
          <w:rFonts w:hAnsi="宋体" w:hint="eastAsia"/>
          <w:color w:val="auto"/>
          <w:sz w:val="21"/>
          <w:szCs w:val="21"/>
        </w:rPr>
        <w:t>申办方</w:t>
      </w:r>
      <w:r w:rsidRPr="00EB049C">
        <w:rPr>
          <w:rFonts w:hAnsi="宋体" w:hint="eastAsia"/>
          <w:color w:val="auto"/>
          <w:sz w:val="21"/>
          <w:szCs w:val="21"/>
        </w:rPr>
        <w:t>应该解决研究中患者分配不足或不等的问题。这一点可通过考虑每个</w:t>
      </w:r>
      <w:r w:rsidR="00036E96" w:rsidRPr="00EB049C">
        <w:rPr>
          <w:rFonts w:hAnsi="宋体" w:hint="eastAsia"/>
          <w:color w:val="auto"/>
          <w:sz w:val="21"/>
          <w:szCs w:val="21"/>
        </w:rPr>
        <w:t>研究中心</w:t>
      </w:r>
      <w:r w:rsidRPr="00EB049C">
        <w:rPr>
          <w:rFonts w:hAnsi="宋体" w:hint="eastAsia"/>
          <w:color w:val="auto"/>
          <w:sz w:val="21"/>
          <w:szCs w:val="21"/>
        </w:rPr>
        <w:t>最少的患者人数来实现，统计上说明了多中心研究合并的合理性（如，每个</w:t>
      </w:r>
      <w:r w:rsidR="00036E96" w:rsidRPr="00EB049C">
        <w:rPr>
          <w:rFonts w:hAnsi="宋体" w:hint="eastAsia"/>
          <w:color w:val="auto"/>
          <w:sz w:val="21"/>
          <w:szCs w:val="21"/>
        </w:rPr>
        <w:t>研究中心</w:t>
      </w:r>
      <w:r w:rsidRPr="00EB049C">
        <w:rPr>
          <w:rFonts w:hAnsi="宋体" w:hint="eastAsia"/>
          <w:color w:val="auto"/>
          <w:sz w:val="21"/>
          <w:szCs w:val="21"/>
        </w:rPr>
        <w:t>中每个治疗组内每一</w:t>
      </w:r>
      <w:r w:rsidR="00176745" w:rsidRPr="00EB049C">
        <w:rPr>
          <w:rFonts w:hAnsi="宋体" w:hint="eastAsia"/>
          <w:color w:val="auto"/>
          <w:sz w:val="21"/>
          <w:szCs w:val="21"/>
        </w:rPr>
        <w:t>适应证</w:t>
      </w:r>
      <w:r w:rsidRPr="00EB049C">
        <w:rPr>
          <w:color w:val="auto"/>
          <w:sz w:val="21"/>
          <w:szCs w:val="21"/>
        </w:rPr>
        <w:t>≥25</w:t>
      </w:r>
      <w:r w:rsidRPr="00EB049C">
        <w:rPr>
          <w:rFonts w:hAnsi="宋体" w:hint="eastAsia"/>
          <w:color w:val="auto"/>
          <w:sz w:val="21"/>
          <w:szCs w:val="21"/>
        </w:rPr>
        <w:t>位患者）。</w:t>
      </w:r>
    </w:p>
    <w:p w:rsidR="008F17E4" w:rsidRPr="00EB049C" w:rsidRDefault="008F17E4" w:rsidP="003E190C">
      <w:pPr>
        <w:pStyle w:val="Default"/>
        <w:snapToGrid w:val="0"/>
        <w:spacing w:beforeLines="50" w:line="360" w:lineRule="auto"/>
        <w:jc w:val="both"/>
        <w:outlineLvl w:val="1"/>
        <w:rPr>
          <w:color w:val="auto"/>
          <w:sz w:val="21"/>
          <w:szCs w:val="21"/>
        </w:rPr>
      </w:pPr>
      <w:bookmarkStart w:id="26" w:name="_Toc480641593"/>
      <w:r w:rsidRPr="00EB049C">
        <w:rPr>
          <w:color w:val="auto"/>
          <w:sz w:val="21"/>
          <w:szCs w:val="21"/>
        </w:rPr>
        <w:t>7.</w:t>
      </w:r>
      <w:r w:rsidRPr="00EB049C">
        <w:rPr>
          <w:color w:val="auto"/>
          <w:sz w:val="21"/>
          <w:szCs w:val="21"/>
        </w:rPr>
        <w:tab/>
      </w:r>
      <w:r w:rsidRPr="00EB049C">
        <w:rPr>
          <w:rFonts w:hAnsi="宋体" w:hint="eastAsia"/>
          <w:color w:val="auto"/>
          <w:sz w:val="21"/>
          <w:szCs w:val="21"/>
        </w:rPr>
        <w:t>研究持续时间</w:t>
      </w:r>
      <w:r w:rsidRPr="00EB049C">
        <w:rPr>
          <w:color w:val="auto"/>
          <w:sz w:val="21"/>
          <w:szCs w:val="21"/>
        </w:rPr>
        <w:t>/</w:t>
      </w:r>
      <w:r w:rsidRPr="00EB049C">
        <w:rPr>
          <w:rFonts w:hAnsi="宋体" w:hint="eastAsia"/>
          <w:color w:val="auto"/>
          <w:sz w:val="21"/>
          <w:szCs w:val="21"/>
        </w:rPr>
        <w:t>随访时间表</w:t>
      </w:r>
      <w:bookmarkEnd w:id="26"/>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为了正确评估所有安全性和主要有效性结果，不仅仅是融合，一项脊柱研究应该收集最少</w:t>
      </w:r>
      <w:r w:rsidRPr="00EB049C">
        <w:rPr>
          <w:sz w:val="21"/>
          <w:szCs w:val="21"/>
        </w:rPr>
        <w:t>2</w:t>
      </w:r>
      <w:r w:rsidRPr="00EB049C">
        <w:rPr>
          <w:rFonts w:hAnsi="宋体" w:hint="eastAsia"/>
          <w:sz w:val="21"/>
          <w:szCs w:val="21"/>
        </w:rPr>
        <w:t>年的随访数据。然而，</w:t>
      </w:r>
      <w:r w:rsidR="0093559A" w:rsidRPr="00EB049C">
        <w:rPr>
          <w:rFonts w:hAnsi="宋体" w:hint="eastAsia"/>
          <w:sz w:val="21"/>
          <w:szCs w:val="21"/>
        </w:rPr>
        <w:t>申办方</w:t>
      </w:r>
      <w:r w:rsidRPr="00EB049C">
        <w:rPr>
          <w:rFonts w:hAnsi="宋体" w:hint="eastAsia"/>
          <w:sz w:val="21"/>
          <w:szCs w:val="21"/>
        </w:rPr>
        <w:t>可能以充分的理由提议进行较短时间的研究。</w:t>
      </w:r>
    </w:p>
    <w:p w:rsidR="008F17E4" w:rsidRPr="00EB049C" w:rsidRDefault="008F17E4" w:rsidP="003E190C">
      <w:pPr>
        <w:pStyle w:val="CM45"/>
        <w:snapToGrid w:val="0"/>
        <w:spacing w:beforeLines="50" w:after="0" w:line="276" w:lineRule="auto"/>
        <w:ind w:leftChars="200" w:left="420"/>
        <w:jc w:val="both"/>
        <w:rPr>
          <w:sz w:val="21"/>
          <w:szCs w:val="21"/>
        </w:rPr>
      </w:pPr>
      <w:r w:rsidRPr="00EB049C">
        <w:rPr>
          <w:sz w:val="21"/>
          <w:szCs w:val="21"/>
        </w:rPr>
        <w:br w:type="page"/>
      </w:r>
      <w:r w:rsidRPr="00EB049C">
        <w:rPr>
          <w:rFonts w:hAnsi="宋体" w:hint="eastAsia"/>
          <w:sz w:val="21"/>
          <w:szCs w:val="21"/>
        </w:rPr>
        <w:lastRenderedPageBreak/>
        <w:t>应该详细说明评价时间点。评价常常按以下时间间隔进行：术前（手术前</w:t>
      </w:r>
      <w:r w:rsidRPr="00EB049C">
        <w:rPr>
          <w:sz w:val="21"/>
          <w:szCs w:val="21"/>
        </w:rPr>
        <w:t>2</w:t>
      </w:r>
      <w:r w:rsidRPr="00EB049C">
        <w:rPr>
          <w:rFonts w:hAnsi="宋体" w:hint="eastAsia"/>
          <w:sz w:val="21"/>
          <w:szCs w:val="21"/>
        </w:rPr>
        <w:t>个月）收集背景和人口统计信息以及临床和放射学基线数据；术中收集手术和安全性数据；术后出院收集安全性数据，且术后适当间隔（最长</w:t>
      </w:r>
      <w:r w:rsidRPr="00EB049C">
        <w:rPr>
          <w:sz w:val="21"/>
          <w:szCs w:val="21"/>
        </w:rPr>
        <w:t>2</w:t>
      </w:r>
      <w:r w:rsidRPr="00EB049C">
        <w:rPr>
          <w:rFonts w:hAnsi="宋体" w:hint="eastAsia"/>
          <w:sz w:val="21"/>
          <w:szCs w:val="21"/>
        </w:rPr>
        <w:t>年）时间收集临床、放射学和安全性数据。</w:t>
      </w:r>
      <w:r w:rsidRPr="00EB049C">
        <w:rPr>
          <w:sz w:val="21"/>
          <w:szCs w:val="21"/>
        </w:rPr>
        <w:t>FDA</w:t>
      </w:r>
      <w:r w:rsidRPr="00EB049C">
        <w:rPr>
          <w:rFonts w:hAnsi="宋体" w:hint="eastAsia"/>
          <w:sz w:val="21"/>
          <w:szCs w:val="21"/>
        </w:rPr>
        <w:t>还认为，应该每年一次对每一位患者进行随访，直至最后入组的患者完成他</w:t>
      </w:r>
      <w:r w:rsidRPr="00EB049C">
        <w:rPr>
          <w:sz w:val="21"/>
          <w:szCs w:val="21"/>
        </w:rPr>
        <w:t>/</w:t>
      </w:r>
      <w:r w:rsidRPr="00EB049C">
        <w:rPr>
          <w:rFonts w:hAnsi="宋体" w:hint="eastAsia"/>
          <w:sz w:val="21"/>
          <w:szCs w:val="21"/>
        </w:rPr>
        <w:t>她的</w:t>
      </w:r>
      <w:r w:rsidRPr="00EB049C">
        <w:rPr>
          <w:sz w:val="21"/>
          <w:szCs w:val="21"/>
        </w:rPr>
        <w:t>2</w:t>
      </w:r>
      <w:r w:rsidRPr="00EB049C">
        <w:rPr>
          <w:rFonts w:hAnsi="宋体" w:hint="eastAsia"/>
          <w:sz w:val="21"/>
          <w:szCs w:val="21"/>
        </w:rPr>
        <w:t>年期随访评价。此外，对于每个评价时间点，应该定义适当的时间窗口。</w:t>
      </w:r>
      <w:r w:rsidRPr="00EB049C">
        <w:rPr>
          <w:sz w:val="21"/>
          <w:szCs w:val="21"/>
        </w:rPr>
        <w:t>FDA</w:t>
      </w:r>
      <w:r w:rsidRPr="00EB049C">
        <w:rPr>
          <w:rFonts w:hAnsi="宋体" w:hint="eastAsia"/>
          <w:sz w:val="21"/>
          <w:szCs w:val="21"/>
        </w:rPr>
        <w:t>建议了以下评价时间表（如，基线，</w:t>
      </w:r>
      <w:r w:rsidRPr="00EB049C">
        <w:rPr>
          <w:sz w:val="21"/>
          <w:szCs w:val="21"/>
        </w:rPr>
        <w:t>6 +/- 2</w:t>
      </w:r>
      <w:r w:rsidRPr="00EB049C">
        <w:rPr>
          <w:rFonts w:hAnsi="宋体" w:hint="eastAsia"/>
          <w:sz w:val="21"/>
          <w:szCs w:val="21"/>
        </w:rPr>
        <w:t>周、</w:t>
      </w:r>
      <w:r w:rsidRPr="00EB049C">
        <w:rPr>
          <w:sz w:val="21"/>
          <w:szCs w:val="21"/>
        </w:rPr>
        <w:t>3</w:t>
      </w:r>
      <w:r w:rsidRPr="00EB049C">
        <w:rPr>
          <w:rFonts w:hAnsi="宋体" w:hint="eastAsia"/>
          <w:sz w:val="21"/>
          <w:szCs w:val="21"/>
        </w:rPr>
        <w:t>个月</w:t>
      </w:r>
      <w:r w:rsidRPr="00EB049C">
        <w:rPr>
          <w:sz w:val="21"/>
          <w:szCs w:val="21"/>
        </w:rPr>
        <w:t xml:space="preserve"> +/-2</w:t>
      </w:r>
      <w:r w:rsidRPr="00EB049C">
        <w:rPr>
          <w:rFonts w:hAnsi="宋体" w:hint="eastAsia"/>
          <w:sz w:val="21"/>
          <w:szCs w:val="21"/>
        </w:rPr>
        <w:t>周、</w:t>
      </w:r>
      <w:r w:rsidRPr="00EB049C">
        <w:rPr>
          <w:sz w:val="21"/>
          <w:szCs w:val="21"/>
        </w:rPr>
        <w:t>6 +/- 1</w:t>
      </w:r>
      <w:r w:rsidRPr="00EB049C">
        <w:rPr>
          <w:rFonts w:hAnsi="宋体" w:hint="eastAsia"/>
          <w:sz w:val="21"/>
          <w:szCs w:val="21"/>
        </w:rPr>
        <w:t>个月、</w:t>
      </w:r>
      <w:r w:rsidRPr="00EB049C">
        <w:rPr>
          <w:sz w:val="21"/>
          <w:szCs w:val="21"/>
        </w:rPr>
        <w:t>12 +/- 2</w:t>
      </w:r>
      <w:r w:rsidRPr="00EB049C">
        <w:rPr>
          <w:rFonts w:hAnsi="宋体" w:hint="eastAsia"/>
          <w:sz w:val="21"/>
          <w:szCs w:val="21"/>
        </w:rPr>
        <w:t>个月和</w:t>
      </w:r>
      <w:r w:rsidRPr="00EB049C">
        <w:rPr>
          <w:sz w:val="21"/>
          <w:szCs w:val="21"/>
        </w:rPr>
        <w:t>24 +/- 2</w:t>
      </w:r>
      <w:r w:rsidRPr="00EB049C">
        <w:rPr>
          <w:rFonts w:hAnsi="宋体" w:hint="eastAsia"/>
          <w:sz w:val="21"/>
          <w:szCs w:val="21"/>
        </w:rPr>
        <w:t>个月，然后每年一次）。其他评价时间点可能也需要，这要基于特定脊柱系统的设计和应用目的。</w:t>
      </w:r>
    </w:p>
    <w:p w:rsidR="008F17E4" w:rsidRPr="00EB049C" w:rsidRDefault="008F17E4" w:rsidP="003E190C">
      <w:pPr>
        <w:pStyle w:val="CM45"/>
        <w:snapToGrid w:val="0"/>
        <w:spacing w:beforeLines="50" w:after="0" w:line="276" w:lineRule="auto"/>
        <w:jc w:val="both"/>
        <w:outlineLvl w:val="1"/>
        <w:rPr>
          <w:sz w:val="21"/>
          <w:szCs w:val="21"/>
        </w:rPr>
      </w:pPr>
      <w:bookmarkStart w:id="27" w:name="_Toc480641594"/>
      <w:r w:rsidRPr="00EB049C">
        <w:rPr>
          <w:sz w:val="21"/>
          <w:szCs w:val="21"/>
        </w:rPr>
        <w:t>8.</w:t>
      </w:r>
      <w:r w:rsidRPr="00EB049C">
        <w:rPr>
          <w:sz w:val="21"/>
          <w:szCs w:val="21"/>
        </w:rPr>
        <w:tab/>
      </w:r>
      <w:r w:rsidRPr="00EB049C">
        <w:rPr>
          <w:rFonts w:hAnsi="宋体" w:hint="eastAsia"/>
          <w:sz w:val="21"/>
          <w:szCs w:val="21"/>
        </w:rPr>
        <w:t>有效性评价</w:t>
      </w:r>
      <w:bookmarkEnd w:id="27"/>
    </w:p>
    <w:p w:rsidR="008F17E4" w:rsidRPr="00EB049C" w:rsidRDefault="008F17E4" w:rsidP="003E190C">
      <w:pPr>
        <w:pStyle w:val="CM45"/>
        <w:snapToGrid w:val="0"/>
        <w:spacing w:beforeLines="50" w:after="0" w:line="276" w:lineRule="auto"/>
        <w:ind w:leftChars="200" w:left="420"/>
        <w:jc w:val="both"/>
        <w:rPr>
          <w:sz w:val="21"/>
          <w:szCs w:val="21"/>
        </w:rPr>
      </w:pPr>
      <w:r w:rsidRPr="00EB049C">
        <w:rPr>
          <w:rFonts w:hAnsi="宋体" w:hint="eastAsia"/>
          <w:sz w:val="21"/>
          <w:szCs w:val="21"/>
        </w:rPr>
        <w:t>对于所有的脊柱研究，每个时间点应该评测的评价参数有主要和次要之分。应该包含特定参数量表和解释方法（成功</w:t>
      </w:r>
      <w:r w:rsidRPr="00EB049C">
        <w:rPr>
          <w:sz w:val="21"/>
          <w:szCs w:val="21"/>
        </w:rPr>
        <w:t>/</w:t>
      </w:r>
      <w:r w:rsidRPr="00EB049C">
        <w:rPr>
          <w:rFonts w:hAnsi="宋体" w:hint="eastAsia"/>
          <w:sz w:val="21"/>
          <w:szCs w:val="21"/>
        </w:rPr>
        <w:t>失败标准）以及原理</w:t>
      </w:r>
      <w:r w:rsidRPr="00EB049C">
        <w:rPr>
          <w:sz w:val="21"/>
          <w:szCs w:val="21"/>
        </w:rPr>
        <w:t>/</w:t>
      </w:r>
      <w:r w:rsidRPr="00EB049C">
        <w:rPr>
          <w:rFonts w:hAnsi="宋体" w:hint="eastAsia"/>
          <w:sz w:val="21"/>
          <w:szCs w:val="21"/>
        </w:rPr>
        <w:t>验证。值得注意的是，神经功能评估在下面第</w:t>
      </w:r>
      <w:r w:rsidRPr="00EB049C">
        <w:rPr>
          <w:sz w:val="21"/>
          <w:szCs w:val="21"/>
        </w:rPr>
        <w:t>9</w:t>
      </w:r>
      <w:r w:rsidRPr="00EB049C">
        <w:rPr>
          <w:rFonts w:hAnsi="宋体" w:hint="eastAsia"/>
          <w:sz w:val="21"/>
          <w:szCs w:val="21"/>
        </w:rPr>
        <w:t>部分进行讨论。</w:t>
      </w:r>
    </w:p>
    <w:p w:rsidR="008F17E4" w:rsidRPr="00EB049C" w:rsidRDefault="008F17E4" w:rsidP="003E190C">
      <w:pPr>
        <w:pStyle w:val="CM45"/>
        <w:snapToGrid w:val="0"/>
        <w:spacing w:beforeLines="50" w:after="0" w:line="276" w:lineRule="auto"/>
        <w:ind w:leftChars="200" w:left="420"/>
        <w:jc w:val="both"/>
        <w:rPr>
          <w:sz w:val="21"/>
          <w:szCs w:val="21"/>
        </w:rPr>
      </w:pPr>
      <w:r w:rsidRPr="00EB049C">
        <w:rPr>
          <w:rFonts w:hAnsi="宋体" w:hint="eastAsia"/>
          <w:sz w:val="21"/>
          <w:szCs w:val="21"/>
        </w:rPr>
        <w:t>对于腰椎研究，主要评价参数应该包括：</w:t>
      </w:r>
      <w:r w:rsidRPr="00EB049C">
        <w:rPr>
          <w:rFonts w:hAnsi="宋体" w:hint="eastAsia"/>
          <w:i/>
          <w:sz w:val="21"/>
          <w:szCs w:val="21"/>
        </w:rPr>
        <w:t>放射学成功（融合或非融合，取决于脊柱系统类型）、背痛和腿痛以及腰椎功能</w:t>
      </w:r>
      <w:r w:rsidRPr="00EB049C">
        <w:rPr>
          <w:rFonts w:hAnsi="宋体" w:hint="eastAsia"/>
          <w:sz w:val="21"/>
          <w:szCs w:val="21"/>
        </w:rPr>
        <w:t>。次要评价参数应该包括：</w:t>
      </w:r>
      <w:r w:rsidRPr="00EB049C">
        <w:rPr>
          <w:rFonts w:hAnsi="宋体" w:hint="eastAsia"/>
          <w:i/>
          <w:sz w:val="21"/>
          <w:szCs w:val="21"/>
        </w:rPr>
        <w:t>供区部位痛、椎间盘高度评估和健康相关的生活质量</w:t>
      </w:r>
      <w:r w:rsidRPr="00EB049C">
        <w:rPr>
          <w:rFonts w:hAnsi="宋体" w:hint="eastAsia"/>
          <w:sz w:val="21"/>
          <w:szCs w:val="21"/>
        </w:rPr>
        <w:t>。值得注意的是，椎间盘高度评估不适用于椎体置换器械。相反，该评价参数为</w:t>
      </w:r>
      <w:r w:rsidRPr="00EB049C">
        <w:rPr>
          <w:rFonts w:hAnsi="宋体" w:hint="eastAsia"/>
          <w:i/>
          <w:sz w:val="21"/>
          <w:szCs w:val="21"/>
        </w:rPr>
        <w:t>椎体高度评估</w:t>
      </w:r>
      <w:r w:rsidRPr="00EB049C">
        <w:rPr>
          <w:rFonts w:hAnsi="宋体" w:hint="eastAsia"/>
          <w:sz w:val="21"/>
          <w:szCs w:val="21"/>
        </w:rPr>
        <w:t>。</w:t>
      </w:r>
    </w:p>
    <w:p w:rsidR="008F17E4" w:rsidRPr="00EB049C" w:rsidRDefault="008F17E4" w:rsidP="003E190C">
      <w:pPr>
        <w:pStyle w:val="CM45"/>
        <w:snapToGrid w:val="0"/>
        <w:spacing w:beforeLines="50" w:after="0" w:line="276" w:lineRule="auto"/>
        <w:ind w:leftChars="200" w:left="420"/>
        <w:jc w:val="both"/>
        <w:rPr>
          <w:sz w:val="21"/>
          <w:szCs w:val="21"/>
        </w:rPr>
      </w:pPr>
      <w:r w:rsidRPr="00EB049C">
        <w:rPr>
          <w:rFonts w:hAnsi="宋体" w:hint="eastAsia"/>
          <w:sz w:val="21"/>
          <w:szCs w:val="21"/>
        </w:rPr>
        <w:t>对于颈椎研究，主要评价参数应该包括：</w:t>
      </w:r>
      <w:r w:rsidRPr="00EB049C">
        <w:rPr>
          <w:rFonts w:hAnsi="宋体" w:hint="eastAsia"/>
          <w:i/>
          <w:sz w:val="21"/>
          <w:szCs w:val="21"/>
        </w:rPr>
        <w:t>放射学成功（融合或非融合，取决于脊柱系统类型）、颈部和手臂疼痛以及颈椎功能。</w:t>
      </w:r>
      <w:r w:rsidRPr="00EB049C">
        <w:rPr>
          <w:rFonts w:hAnsi="宋体" w:hint="eastAsia"/>
          <w:sz w:val="21"/>
          <w:szCs w:val="21"/>
        </w:rPr>
        <w:t>次要评价参数应该包括：</w:t>
      </w:r>
      <w:r w:rsidRPr="00EB049C">
        <w:rPr>
          <w:rFonts w:hAnsi="宋体" w:hint="eastAsia"/>
          <w:i/>
          <w:sz w:val="21"/>
          <w:szCs w:val="21"/>
        </w:rPr>
        <w:t>供区部位痛、椎间盘高度评估和健康相关的生活质量</w:t>
      </w:r>
      <w:r w:rsidRPr="00EB049C">
        <w:rPr>
          <w:rFonts w:hAnsi="宋体" w:hint="eastAsia"/>
          <w:sz w:val="21"/>
          <w:szCs w:val="21"/>
        </w:rPr>
        <w:t>。如上所述，椎间盘高度评估不适用于椎体置换器械。相反，该评价参数为</w:t>
      </w:r>
      <w:r w:rsidRPr="00EB049C">
        <w:rPr>
          <w:rFonts w:hAnsi="宋体" w:hint="eastAsia"/>
          <w:i/>
          <w:sz w:val="21"/>
          <w:szCs w:val="21"/>
        </w:rPr>
        <w:t>椎体高度评估</w:t>
      </w:r>
      <w:r w:rsidRPr="00EB049C">
        <w:rPr>
          <w:rFonts w:hAnsi="宋体" w:hint="eastAsia"/>
          <w:i/>
          <w:iCs/>
          <w:sz w:val="21"/>
          <w:szCs w:val="21"/>
        </w:rPr>
        <w:t>。</w:t>
      </w:r>
    </w:p>
    <w:p w:rsidR="008F17E4" w:rsidRPr="00EB049C" w:rsidRDefault="008F17E4" w:rsidP="003E190C">
      <w:pPr>
        <w:pStyle w:val="CM45"/>
        <w:snapToGrid w:val="0"/>
        <w:spacing w:beforeLines="50" w:after="0" w:line="276" w:lineRule="auto"/>
        <w:ind w:leftChars="200" w:left="420"/>
        <w:jc w:val="both"/>
        <w:rPr>
          <w:sz w:val="21"/>
          <w:szCs w:val="21"/>
        </w:rPr>
      </w:pPr>
      <w:r w:rsidRPr="00EB049C">
        <w:rPr>
          <w:rFonts w:hAnsi="宋体" w:hint="eastAsia"/>
          <w:sz w:val="21"/>
          <w:szCs w:val="21"/>
        </w:rPr>
        <w:t>每单个主要评价参数的成功标准将因系统设计、患者人群和治疗目标的不同而有所差异。</w:t>
      </w:r>
    </w:p>
    <w:p w:rsidR="008F17E4" w:rsidRPr="00EB049C" w:rsidRDefault="008F17E4" w:rsidP="003E190C">
      <w:pPr>
        <w:pStyle w:val="CM45"/>
        <w:snapToGrid w:val="0"/>
        <w:spacing w:beforeLines="50" w:after="0" w:line="276" w:lineRule="auto"/>
        <w:ind w:leftChars="200" w:left="420"/>
        <w:jc w:val="both"/>
        <w:outlineLvl w:val="2"/>
        <w:rPr>
          <w:sz w:val="21"/>
          <w:szCs w:val="21"/>
        </w:rPr>
      </w:pPr>
      <w:bookmarkStart w:id="28" w:name="_Toc480641595"/>
      <w:r w:rsidRPr="00EB049C">
        <w:rPr>
          <w:sz w:val="21"/>
          <w:szCs w:val="21"/>
        </w:rPr>
        <w:t>8.1</w:t>
      </w:r>
      <w:r w:rsidRPr="00EB049C">
        <w:rPr>
          <w:sz w:val="21"/>
          <w:szCs w:val="21"/>
        </w:rPr>
        <w:tab/>
      </w:r>
      <w:r w:rsidRPr="00EB049C">
        <w:rPr>
          <w:rFonts w:hAnsi="宋体" w:hint="eastAsia"/>
          <w:sz w:val="21"/>
          <w:szCs w:val="21"/>
        </w:rPr>
        <w:t>放射学成功</w:t>
      </w:r>
      <w:bookmarkEnd w:id="28"/>
    </w:p>
    <w:p w:rsidR="008F17E4" w:rsidRPr="00EB049C" w:rsidRDefault="008F17E4" w:rsidP="003E190C">
      <w:pPr>
        <w:pStyle w:val="CM45"/>
        <w:snapToGrid w:val="0"/>
        <w:spacing w:beforeLines="50" w:after="0" w:line="276" w:lineRule="auto"/>
        <w:ind w:leftChars="400" w:left="840"/>
        <w:jc w:val="both"/>
        <w:outlineLvl w:val="3"/>
        <w:rPr>
          <w:sz w:val="21"/>
          <w:szCs w:val="21"/>
        </w:rPr>
      </w:pPr>
      <w:r w:rsidRPr="00EB049C">
        <w:rPr>
          <w:sz w:val="21"/>
          <w:szCs w:val="21"/>
        </w:rPr>
        <w:t>8.1.1</w:t>
      </w:r>
      <w:r w:rsidRPr="00EB049C">
        <w:rPr>
          <w:sz w:val="21"/>
          <w:szCs w:val="21"/>
        </w:rPr>
        <w:tab/>
      </w:r>
      <w:r w:rsidRPr="00EB049C">
        <w:rPr>
          <w:rFonts w:hAnsi="宋体" w:hint="eastAsia"/>
          <w:sz w:val="21"/>
          <w:szCs w:val="21"/>
        </w:rPr>
        <w:t>融合状态</w:t>
      </w:r>
    </w:p>
    <w:p w:rsidR="008F17E4" w:rsidRPr="00EB049C" w:rsidRDefault="008F17E4" w:rsidP="003E190C">
      <w:pPr>
        <w:pStyle w:val="CM45"/>
        <w:snapToGrid w:val="0"/>
        <w:spacing w:beforeLines="50" w:after="0" w:line="276" w:lineRule="auto"/>
        <w:ind w:leftChars="600" w:left="1260"/>
        <w:jc w:val="both"/>
        <w:rPr>
          <w:sz w:val="21"/>
          <w:szCs w:val="21"/>
        </w:rPr>
      </w:pPr>
      <w:r w:rsidRPr="00EB049C">
        <w:rPr>
          <w:rFonts w:hAnsi="宋体" w:hint="eastAsia"/>
          <w:sz w:val="21"/>
          <w:szCs w:val="21"/>
        </w:rPr>
        <w:t>对于融合用途的系统（如，椎弓根螺钉系统、椎间体融合器械等），有多种放射学方法可用来评价其融合状态（如，</w:t>
      </w:r>
      <w:r w:rsidRPr="00EB049C">
        <w:rPr>
          <w:sz w:val="21"/>
          <w:szCs w:val="21"/>
        </w:rPr>
        <w:t>A/P</w:t>
      </w:r>
      <w:r w:rsidRPr="00EB049C">
        <w:rPr>
          <w:rFonts w:hAnsi="宋体" w:hint="eastAsia"/>
          <w:sz w:val="21"/>
          <w:szCs w:val="21"/>
        </w:rPr>
        <w:t>、外侧融合、屈伸运动等）。</w:t>
      </w:r>
    </w:p>
    <w:p w:rsidR="008F17E4" w:rsidRPr="00EB049C" w:rsidRDefault="008F17E4" w:rsidP="003E190C">
      <w:pPr>
        <w:pStyle w:val="CM45"/>
        <w:snapToGrid w:val="0"/>
        <w:spacing w:beforeLines="50" w:after="0" w:line="276" w:lineRule="auto"/>
        <w:ind w:leftChars="600" w:left="1260"/>
        <w:jc w:val="both"/>
        <w:rPr>
          <w:sz w:val="21"/>
          <w:szCs w:val="21"/>
        </w:rPr>
      </w:pPr>
      <w:r w:rsidRPr="00EB049C">
        <w:rPr>
          <w:rFonts w:hAnsi="宋体" w:hint="eastAsia"/>
          <w:sz w:val="21"/>
          <w:szCs w:val="21"/>
        </w:rPr>
        <w:t>这些放射学评价应该在基线和研究期间每一次评价时间（以三个月为间隔）的所有术后评价时进行。融合状态判定时使用的所有射线照片应该至少由两位放射科医师来读片。这两位放射科医师中至少有一位应该是研究无关医师，如果有可能，不能让他知晓研究目的，这样就可以消除观察者偏倚的潜在可能性。对于两位放射科医师意见不一致的射线照片，应该再请第三位研究无关且不了解情况（如果可能）的放射科医师来查看这些射线照片。第三次放射学读片结果应该为决定性评价（即，少数服从多数的原则）。需要牢记的是，在所有读片完成之前，不应该对该射线照片进行讨论。此外，如果有可能，应该对前两次放射学读片结果之间的不一致性进行统计性量化。</w:t>
      </w:r>
    </w:p>
    <w:p w:rsidR="008F17E4" w:rsidRPr="00EB049C" w:rsidRDefault="008F17E4" w:rsidP="003E190C">
      <w:pPr>
        <w:pStyle w:val="CM33"/>
        <w:snapToGrid w:val="0"/>
        <w:spacing w:beforeLines="50" w:line="276" w:lineRule="auto"/>
        <w:ind w:leftChars="600" w:left="1260"/>
        <w:jc w:val="both"/>
        <w:rPr>
          <w:sz w:val="21"/>
          <w:szCs w:val="21"/>
        </w:rPr>
      </w:pPr>
      <w:r w:rsidRPr="00EB049C">
        <w:rPr>
          <w:rFonts w:hAnsi="宋体" w:hint="eastAsia"/>
          <w:sz w:val="21"/>
          <w:szCs w:val="21"/>
        </w:rPr>
        <w:t>如果涉及两个节段，则应该对这两个节段进行融合，以考虑实现成功融合。若每个节段需要植入两个椎间体融合器械，则应该把这两个器械都进行融合，以考虑实现成功融合。如果使用的是组合系统（如，由椎间体融合器械和椎弓根螺钉系统构成的系统），则应该对患者的这两个部位都进行融合，以考虑实现成功融合。</w:t>
      </w:r>
    </w:p>
    <w:p w:rsidR="008F17E4" w:rsidRPr="00EB049C" w:rsidRDefault="008F17E4" w:rsidP="005627F4">
      <w:pPr>
        <w:pStyle w:val="Default"/>
        <w:snapToGrid w:val="0"/>
        <w:spacing w:line="360" w:lineRule="auto"/>
        <w:ind w:leftChars="200" w:left="420"/>
        <w:jc w:val="both"/>
        <w:rPr>
          <w:color w:val="auto"/>
          <w:sz w:val="21"/>
          <w:szCs w:val="21"/>
        </w:rPr>
      </w:pPr>
      <w:r w:rsidRPr="00EB049C">
        <w:rPr>
          <w:color w:val="auto"/>
          <w:sz w:val="21"/>
          <w:szCs w:val="21"/>
        </w:rPr>
        <w:br w:type="page"/>
      </w:r>
      <w:r w:rsidRPr="00EB049C">
        <w:rPr>
          <w:rFonts w:hAnsi="宋体" w:hint="eastAsia"/>
          <w:color w:val="auto"/>
          <w:sz w:val="21"/>
          <w:szCs w:val="21"/>
        </w:rPr>
        <w:lastRenderedPageBreak/>
        <w:t>对于腰椎系统，成功融合应该以</w:t>
      </w:r>
      <w:r w:rsidRPr="00EB049C">
        <w:rPr>
          <w:color w:val="auto"/>
          <w:sz w:val="21"/>
          <w:szCs w:val="21"/>
        </w:rPr>
        <w:t>X</w:t>
      </w:r>
      <w:r w:rsidRPr="00EB049C">
        <w:rPr>
          <w:rFonts w:hAnsi="宋体" w:hint="eastAsia"/>
          <w:color w:val="auto"/>
          <w:sz w:val="21"/>
          <w:szCs w:val="21"/>
        </w:rPr>
        <w:t>射线检查证实的下述所有放射学终点（</w:t>
      </w:r>
      <w:r w:rsidRPr="00EB049C">
        <w:rPr>
          <w:color w:val="auto"/>
          <w:sz w:val="21"/>
          <w:szCs w:val="21"/>
        </w:rPr>
        <w:t>A/P</w:t>
      </w:r>
      <w:r w:rsidRPr="00EB049C">
        <w:rPr>
          <w:rFonts w:hAnsi="宋体" w:hint="eastAsia"/>
          <w:color w:val="auto"/>
          <w:sz w:val="21"/>
          <w:szCs w:val="21"/>
        </w:rPr>
        <w:t>、外侧融合、屈伸运动）为基础：</w:t>
      </w:r>
    </w:p>
    <w:p w:rsidR="008F17E4" w:rsidRPr="00EB049C" w:rsidRDefault="008F17E4" w:rsidP="005627F4">
      <w:pPr>
        <w:pStyle w:val="Default"/>
        <w:numPr>
          <w:ilvl w:val="0"/>
          <w:numId w:val="11"/>
        </w:numPr>
        <w:snapToGrid w:val="0"/>
        <w:spacing w:line="360" w:lineRule="auto"/>
        <w:ind w:leftChars="200" w:left="840" w:hangingChars="200"/>
        <w:jc w:val="both"/>
        <w:rPr>
          <w:color w:val="auto"/>
          <w:sz w:val="21"/>
          <w:szCs w:val="21"/>
        </w:rPr>
      </w:pPr>
      <w:r w:rsidRPr="00EB049C">
        <w:rPr>
          <w:rFonts w:hAnsi="宋体" w:hint="eastAsia"/>
          <w:color w:val="auto"/>
          <w:sz w:val="21"/>
          <w:szCs w:val="21"/>
        </w:rPr>
        <w:t>所涉运动节段（如，椎间体置换器械所涉的椎体终板之间、椎弓根螺钉系统所涉的面关节、椎弓根和</w:t>
      </w:r>
      <w:r w:rsidRPr="00EB049C">
        <w:rPr>
          <w:color w:val="auto"/>
          <w:sz w:val="21"/>
          <w:szCs w:val="21"/>
        </w:rPr>
        <w:t>/</w:t>
      </w:r>
      <w:r w:rsidRPr="00EB049C">
        <w:rPr>
          <w:rFonts w:hAnsi="宋体" w:hint="eastAsia"/>
          <w:color w:val="auto"/>
          <w:sz w:val="21"/>
          <w:szCs w:val="21"/>
        </w:rPr>
        <w:t>或横突之间）之间骨小梁连接的证据；</w:t>
      </w:r>
    </w:p>
    <w:p w:rsidR="008F17E4" w:rsidRPr="00EB049C" w:rsidRDefault="008F17E4" w:rsidP="005627F4">
      <w:pPr>
        <w:pStyle w:val="Default"/>
        <w:numPr>
          <w:ilvl w:val="0"/>
          <w:numId w:val="11"/>
        </w:numPr>
        <w:snapToGrid w:val="0"/>
        <w:spacing w:line="360" w:lineRule="auto"/>
        <w:ind w:leftChars="200" w:left="840" w:hangingChars="200"/>
        <w:jc w:val="both"/>
        <w:rPr>
          <w:color w:val="auto"/>
          <w:sz w:val="21"/>
          <w:szCs w:val="21"/>
        </w:rPr>
      </w:pPr>
      <w:r w:rsidRPr="00EB049C">
        <w:rPr>
          <w:rFonts w:hAnsi="宋体" w:hint="eastAsia"/>
          <w:color w:val="auto"/>
          <w:sz w:val="21"/>
          <w:szCs w:val="21"/>
        </w:rPr>
        <w:t>平移运动</w:t>
      </w:r>
      <w:r w:rsidRPr="00EB049C">
        <w:rPr>
          <w:color w:val="auto"/>
          <w:sz w:val="21"/>
          <w:szCs w:val="21"/>
        </w:rPr>
        <w:t>&lt;3mm</w:t>
      </w:r>
      <w:r w:rsidRPr="00EB049C">
        <w:rPr>
          <w:rFonts w:hAnsi="宋体" w:hint="eastAsia"/>
          <w:color w:val="auto"/>
          <w:sz w:val="21"/>
          <w:szCs w:val="21"/>
        </w:rPr>
        <w:t>；和</w:t>
      </w:r>
    </w:p>
    <w:p w:rsidR="008F17E4" w:rsidRPr="00EB049C" w:rsidRDefault="008F17E4" w:rsidP="005627F4">
      <w:pPr>
        <w:pStyle w:val="Default"/>
        <w:numPr>
          <w:ilvl w:val="0"/>
          <w:numId w:val="11"/>
        </w:numPr>
        <w:snapToGrid w:val="0"/>
        <w:spacing w:line="360" w:lineRule="auto"/>
        <w:ind w:leftChars="200" w:left="840" w:hangingChars="200"/>
        <w:jc w:val="both"/>
        <w:rPr>
          <w:color w:val="auto"/>
          <w:sz w:val="21"/>
          <w:szCs w:val="21"/>
        </w:rPr>
      </w:pPr>
      <w:r w:rsidRPr="00EB049C">
        <w:rPr>
          <w:rFonts w:hAnsi="宋体" w:hint="eastAsia"/>
          <w:color w:val="auto"/>
          <w:sz w:val="21"/>
          <w:szCs w:val="21"/>
        </w:rPr>
        <w:t>角向运动</w:t>
      </w:r>
      <w:r w:rsidRPr="00EB049C">
        <w:rPr>
          <w:color w:val="auto"/>
          <w:sz w:val="21"/>
          <w:szCs w:val="21"/>
        </w:rPr>
        <w:t>&lt;5.</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透光线存在的公差可能取决于所用的脊柱系统类型。如果</w:t>
      </w:r>
      <w:r w:rsidR="0093559A" w:rsidRPr="00EB049C">
        <w:rPr>
          <w:rFonts w:hAnsi="宋体" w:hint="eastAsia"/>
          <w:sz w:val="21"/>
          <w:szCs w:val="21"/>
        </w:rPr>
        <w:t>申办方</w:t>
      </w:r>
      <w:r w:rsidRPr="00EB049C">
        <w:rPr>
          <w:rFonts w:hAnsi="宋体" w:hint="eastAsia"/>
          <w:sz w:val="21"/>
          <w:szCs w:val="21"/>
        </w:rPr>
        <w:t>选择合并射线可透性数据作为融合标准之一，则应该提供特定信息，以便更好地确保进行了充分的放射学评估，精确测量射线可透性是否存在。即使</w:t>
      </w:r>
      <w:r w:rsidR="0093559A" w:rsidRPr="00EB049C">
        <w:rPr>
          <w:rFonts w:hAnsi="宋体" w:hint="eastAsia"/>
          <w:sz w:val="21"/>
          <w:szCs w:val="21"/>
        </w:rPr>
        <w:t>申办方</w:t>
      </w:r>
      <w:r w:rsidRPr="00EB049C">
        <w:rPr>
          <w:rFonts w:hAnsi="宋体" w:hint="eastAsia"/>
          <w:sz w:val="21"/>
          <w:szCs w:val="21"/>
        </w:rPr>
        <w:t>不选择合并射线可透性数据作为融合标准之一，则应该收集这一数据作为确认信息。</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sz w:val="21"/>
          <w:szCs w:val="21"/>
        </w:rPr>
        <w:t xml:space="preserve">FDA </w:t>
      </w:r>
      <w:r w:rsidRPr="00EB049C">
        <w:rPr>
          <w:rFonts w:hAnsi="宋体" w:hint="eastAsia"/>
          <w:sz w:val="21"/>
          <w:szCs w:val="21"/>
        </w:rPr>
        <w:t>估量，严格硬件的存在，如椎弓根螺钉系统，可能会</w:t>
      </w:r>
      <w:r w:rsidR="0093559A" w:rsidRPr="00EB049C">
        <w:rPr>
          <w:rFonts w:hAnsi="宋体" w:hint="eastAsia"/>
          <w:sz w:val="21"/>
          <w:szCs w:val="21"/>
        </w:rPr>
        <w:t>混杂</w:t>
      </w:r>
      <w:r w:rsidRPr="00EB049C">
        <w:rPr>
          <w:rFonts w:hAnsi="宋体" w:hint="eastAsia"/>
          <w:sz w:val="21"/>
          <w:szCs w:val="21"/>
        </w:rPr>
        <w:t>屈</w:t>
      </w:r>
      <w:r w:rsidRPr="00EB049C">
        <w:rPr>
          <w:sz w:val="21"/>
          <w:szCs w:val="21"/>
        </w:rPr>
        <w:t>/</w:t>
      </w:r>
      <w:r w:rsidRPr="00EB049C">
        <w:rPr>
          <w:rFonts w:hAnsi="宋体" w:hint="eastAsia"/>
          <w:sz w:val="21"/>
          <w:szCs w:val="21"/>
        </w:rPr>
        <w:t>伸系列的结果。因此，融合的定义应该包含上述所列标准，以便采集运动信息和骨生长信息。</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对于颈椎系统，是否成功融合应该考虑</w:t>
      </w:r>
      <w:r w:rsidRPr="00EB049C">
        <w:rPr>
          <w:sz w:val="21"/>
          <w:szCs w:val="21"/>
        </w:rPr>
        <w:t>X</w:t>
      </w:r>
      <w:r w:rsidRPr="00EB049C">
        <w:rPr>
          <w:rFonts w:hAnsi="宋体" w:hint="eastAsia"/>
          <w:sz w:val="21"/>
          <w:szCs w:val="21"/>
        </w:rPr>
        <w:t>射线照相技术的类型和上述腰椎系统的建议标准。</w:t>
      </w:r>
      <w:r w:rsidR="0093559A" w:rsidRPr="00EB049C">
        <w:rPr>
          <w:rFonts w:hAnsi="宋体" w:hint="eastAsia"/>
          <w:sz w:val="21"/>
          <w:szCs w:val="21"/>
        </w:rPr>
        <w:t>申办方</w:t>
      </w:r>
      <w:r w:rsidRPr="00EB049C">
        <w:rPr>
          <w:rFonts w:hAnsi="宋体" w:hint="eastAsia"/>
          <w:sz w:val="21"/>
          <w:szCs w:val="21"/>
        </w:rPr>
        <w:t>应该提供任何拟定融合标准的基本依据，尤其是认为适合于颈椎的定量平移结果和角移结果。</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sz w:val="21"/>
          <w:szCs w:val="21"/>
        </w:rPr>
        <w:t xml:space="preserve">FDA </w:t>
      </w:r>
      <w:r w:rsidRPr="00EB049C">
        <w:rPr>
          <w:rFonts w:hAnsi="宋体" w:hint="eastAsia"/>
          <w:sz w:val="21"/>
          <w:szCs w:val="21"/>
        </w:rPr>
        <w:t>承认，很多新型脊柱系统的放射学评估都被不透光硬件的存在而</w:t>
      </w:r>
      <w:r w:rsidR="0093559A" w:rsidRPr="00EB049C">
        <w:rPr>
          <w:rFonts w:hAnsi="宋体" w:hint="eastAsia"/>
          <w:sz w:val="21"/>
          <w:szCs w:val="21"/>
        </w:rPr>
        <w:t>混杂</w:t>
      </w:r>
      <w:r w:rsidRPr="00EB049C">
        <w:rPr>
          <w:rFonts w:hAnsi="宋体" w:hint="eastAsia"/>
          <w:sz w:val="21"/>
          <w:szCs w:val="21"/>
        </w:rPr>
        <w:t>了。因此，让很多人感兴趣的是，转用其他成像模式来评估问题区域。关于使用其他射线照相模式证实融合（</w:t>
      </w:r>
      <w:r w:rsidRPr="00EB049C">
        <w:rPr>
          <w:sz w:val="21"/>
          <w:szCs w:val="21"/>
        </w:rPr>
        <w:t>CT</w:t>
      </w:r>
      <w:r w:rsidRPr="00EB049C">
        <w:rPr>
          <w:rFonts w:hAnsi="宋体" w:hint="eastAsia"/>
          <w:sz w:val="21"/>
          <w:szCs w:val="21"/>
        </w:rPr>
        <w:t>扫描、</w:t>
      </w:r>
      <w:r w:rsidRPr="00EB049C">
        <w:rPr>
          <w:sz w:val="21"/>
          <w:szCs w:val="21"/>
        </w:rPr>
        <w:t>MRI</w:t>
      </w:r>
      <w:r w:rsidRPr="00EB049C">
        <w:rPr>
          <w:rFonts w:hAnsi="宋体" w:hint="eastAsia"/>
          <w:sz w:val="21"/>
          <w:szCs w:val="21"/>
        </w:rPr>
        <w:t>等）的做法，</w:t>
      </w:r>
      <w:r w:rsidR="0093559A" w:rsidRPr="00EB049C">
        <w:rPr>
          <w:rFonts w:hAnsi="宋体" w:hint="eastAsia"/>
          <w:sz w:val="21"/>
          <w:szCs w:val="21"/>
        </w:rPr>
        <w:t>申办方</w:t>
      </w:r>
      <w:r w:rsidRPr="00EB049C">
        <w:rPr>
          <w:rFonts w:hAnsi="宋体" w:hint="eastAsia"/>
          <w:sz w:val="21"/>
          <w:szCs w:val="21"/>
        </w:rPr>
        <w:t>应该在使用这些测量作为主要研究终点之前先说明这些成像模式的有效性和可靠性。除了尚未经过验证的提议方法外，</w:t>
      </w:r>
      <w:r w:rsidRPr="00EB049C">
        <w:rPr>
          <w:sz w:val="21"/>
          <w:szCs w:val="21"/>
        </w:rPr>
        <w:t>FDA</w:t>
      </w:r>
      <w:r w:rsidRPr="00EB049C">
        <w:rPr>
          <w:rFonts w:hAnsi="宋体" w:hint="eastAsia"/>
          <w:sz w:val="21"/>
          <w:szCs w:val="21"/>
        </w:rPr>
        <w:t>通常期望</w:t>
      </w:r>
      <w:r w:rsidR="0093559A" w:rsidRPr="00EB049C">
        <w:rPr>
          <w:rFonts w:hAnsi="宋体" w:hint="eastAsia"/>
          <w:sz w:val="21"/>
          <w:szCs w:val="21"/>
        </w:rPr>
        <w:t>申办方</w:t>
      </w:r>
      <w:r w:rsidRPr="00EB049C">
        <w:rPr>
          <w:rFonts w:hAnsi="宋体" w:hint="eastAsia"/>
          <w:sz w:val="21"/>
          <w:szCs w:val="21"/>
        </w:rPr>
        <w:t>使用更加传统的方法来评估融合状态。</w:t>
      </w:r>
    </w:p>
    <w:p w:rsidR="008F17E4" w:rsidRPr="00EB049C" w:rsidRDefault="008F17E4" w:rsidP="003E190C">
      <w:pPr>
        <w:pStyle w:val="CM45"/>
        <w:snapToGrid w:val="0"/>
        <w:spacing w:beforeLines="50" w:after="0" w:line="360" w:lineRule="auto"/>
        <w:jc w:val="both"/>
        <w:outlineLvl w:val="3"/>
        <w:rPr>
          <w:sz w:val="21"/>
          <w:szCs w:val="21"/>
        </w:rPr>
      </w:pPr>
      <w:r w:rsidRPr="00EB049C">
        <w:rPr>
          <w:sz w:val="21"/>
          <w:szCs w:val="21"/>
        </w:rPr>
        <w:t>8.1.2</w:t>
      </w:r>
      <w:r w:rsidRPr="00EB049C">
        <w:rPr>
          <w:sz w:val="21"/>
          <w:szCs w:val="21"/>
        </w:rPr>
        <w:tab/>
      </w:r>
      <w:r w:rsidRPr="00EB049C">
        <w:rPr>
          <w:rFonts w:hAnsi="宋体" w:hint="eastAsia"/>
          <w:sz w:val="21"/>
          <w:szCs w:val="21"/>
        </w:rPr>
        <w:t>非融合系统的放射学成功</w:t>
      </w:r>
    </w:p>
    <w:p w:rsidR="008F17E4" w:rsidRPr="00EB049C" w:rsidRDefault="008F17E4" w:rsidP="003E190C">
      <w:pPr>
        <w:pStyle w:val="CM20"/>
        <w:snapToGrid w:val="0"/>
        <w:spacing w:beforeLines="50" w:line="360" w:lineRule="auto"/>
        <w:ind w:leftChars="200" w:left="420"/>
        <w:jc w:val="both"/>
        <w:rPr>
          <w:sz w:val="21"/>
          <w:szCs w:val="21"/>
        </w:rPr>
      </w:pPr>
      <w:r w:rsidRPr="00EB049C">
        <w:rPr>
          <w:rFonts w:hAnsi="宋体" w:hint="eastAsia"/>
          <w:sz w:val="21"/>
          <w:szCs w:val="21"/>
        </w:rPr>
        <w:t>对于旨在维持运动无需融合的脊柱系统，放射学终点应该证实</w:t>
      </w:r>
      <w:r w:rsidRPr="00EB049C">
        <w:rPr>
          <w:sz w:val="21"/>
          <w:szCs w:val="21"/>
        </w:rPr>
        <w:t>“</w:t>
      </w:r>
      <w:r w:rsidRPr="00EB049C">
        <w:rPr>
          <w:rFonts w:hAnsi="宋体" w:hint="eastAsia"/>
          <w:sz w:val="21"/>
          <w:szCs w:val="21"/>
        </w:rPr>
        <w:t>正常</w:t>
      </w:r>
      <w:r w:rsidRPr="00EB049C">
        <w:rPr>
          <w:sz w:val="21"/>
          <w:szCs w:val="21"/>
        </w:rPr>
        <w:t>”</w:t>
      </w:r>
      <w:r w:rsidRPr="00EB049C">
        <w:rPr>
          <w:rFonts w:hAnsi="宋体" w:hint="eastAsia"/>
          <w:sz w:val="21"/>
          <w:szCs w:val="21"/>
        </w:rPr>
        <w:t>类型的维持性和运动的范围。例如，可以考虑用以下终点来定义腰椎非融合系统的放射学成功：</w:t>
      </w:r>
    </w:p>
    <w:p w:rsidR="008F17E4" w:rsidRPr="00EB049C" w:rsidRDefault="008F17E4" w:rsidP="005627F4">
      <w:pPr>
        <w:pStyle w:val="Default"/>
        <w:numPr>
          <w:ilvl w:val="0"/>
          <w:numId w:val="12"/>
        </w:numPr>
        <w:snapToGrid w:val="0"/>
        <w:spacing w:line="360" w:lineRule="auto"/>
        <w:ind w:leftChars="200" w:firstLine="0"/>
        <w:jc w:val="both"/>
        <w:rPr>
          <w:color w:val="auto"/>
          <w:sz w:val="21"/>
          <w:szCs w:val="21"/>
        </w:rPr>
      </w:pPr>
      <w:r w:rsidRPr="00EB049C">
        <w:rPr>
          <w:rFonts w:hAnsi="宋体" w:hint="eastAsia"/>
          <w:color w:val="auto"/>
          <w:sz w:val="21"/>
          <w:szCs w:val="21"/>
        </w:rPr>
        <w:t>无骨小梁连接的证据；和</w:t>
      </w:r>
    </w:p>
    <w:p w:rsidR="008F17E4" w:rsidRPr="00EB049C" w:rsidRDefault="008F17E4" w:rsidP="005627F4">
      <w:pPr>
        <w:pStyle w:val="Default"/>
        <w:numPr>
          <w:ilvl w:val="0"/>
          <w:numId w:val="12"/>
        </w:numPr>
        <w:snapToGrid w:val="0"/>
        <w:spacing w:line="360" w:lineRule="auto"/>
        <w:ind w:leftChars="200" w:firstLine="0"/>
        <w:jc w:val="both"/>
        <w:rPr>
          <w:color w:val="auto"/>
          <w:sz w:val="21"/>
          <w:szCs w:val="21"/>
        </w:rPr>
      </w:pPr>
      <w:r w:rsidRPr="00EB049C">
        <w:rPr>
          <w:rFonts w:hAnsi="宋体" w:hint="eastAsia"/>
          <w:color w:val="auto"/>
          <w:sz w:val="21"/>
          <w:szCs w:val="21"/>
        </w:rPr>
        <w:t>适用于所涉节段的运动范围证据。应该规定运动量作为成功标准的一部分。</w:t>
      </w:r>
    </w:p>
    <w:p w:rsidR="008F17E4" w:rsidRPr="00EB049C" w:rsidRDefault="008F17E4" w:rsidP="003E190C">
      <w:pPr>
        <w:pStyle w:val="CM20"/>
        <w:snapToGrid w:val="0"/>
        <w:spacing w:beforeLines="50" w:line="360" w:lineRule="auto"/>
        <w:ind w:leftChars="200" w:left="420"/>
        <w:jc w:val="both"/>
        <w:rPr>
          <w:sz w:val="21"/>
          <w:szCs w:val="21"/>
        </w:rPr>
      </w:pPr>
      <w:r w:rsidRPr="00EB049C">
        <w:rPr>
          <w:rFonts w:hAnsi="宋体" w:hint="eastAsia"/>
          <w:sz w:val="21"/>
          <w:szCs w:val="21"/>
        </w:rPr>
        <w:t>正如上述融合系统的第</w:t>
      </w:r>
      <w:r w:rsidRPr="00EB049C">
        <w:rPr>
          <w:sz w:val="21"/>
          <w:szCs w:val="21"/>
        </w:rPr>
        <w:t xml:space="preserve">8.1.1 </w:t>
      </w:r>
      <w:r w:rsidRPr="00EB049C">
        <w:rPr>
          <w:rFonts w:hAnsi="宋体" w:hint="eastAsia"/>
          <w:sz w:val="21"/>
          <w:szCs w:val="21"/>
        </w:rPr>
        <w:t>部分所述，</w:t>
      </w:r>
      <w:r w:rsidR="0093559A" w:rsidRPr="00EB049C">
        <w:rPr>
          <w:rFonts w:hAnsi="宋体" w:hint="eastAsia"/>
          <w:sz w:val="21"/>
          <w:szCs w:val="21"/>
        </w:rPr>
        <w:t>申办方</w:t>
      </w:r>
      <w:r w:rsidRPr="00EB049C">
        <w:rPr>
          <w:rFonts w:hAnsi="宋体" w:hint="eastAsia"/>
          <w:sz w:val="21"/>
          <w:szCs w:val="21"/>
        </w:rPr>
        <w:t>应该考虑合并射线可透性数据作为融合标准的一部分或用它作为确认信息。</w:t>
      </w:r>
    </w:p>
    <w:p w:rsidR="008F17E4" w:rsidRPr="00EB049C" w:rsidRDefault="008F17E4" w:rsidP="00C40B70">
      <w:pPr>
        <w:pStyle w:val="CM45"/>
        <w:snapToGrid w:val="0"/>
        <w:spacing w:after="0" w:line="360" w:lineRule="auto"/>
        <w:jc w:val="both"/>
        <w:outlineLvl w:val="2"/>
        <w:rPr>
          <w:sz w:val="21"/>
          <w:szCs w:val="21"/>
        </w:rPr>
      </w:pPr>
      <w:r w:rsidRPr="00EB049C">
        <w:rPr>
          <w:sz w:val="21"/>
          <w:szCs w:val="21"/>
        </w:rPr>
        <w:br w:type="page"/>
      </w:r>
      <w:bookmarkStart w:id="29" w:name="_Toc480641596"/>
      <w:r w:rsidRPr="00EB049C">
        <w:rPr>
          <w:sz w:val="21"/>
          <w:szCs w:val="21"/>
        </w:rPr>
        <w:lastRenderedPageBreak/>
        <w:t>8.2</w:t>
      </w:r>
      <w:r w:rsidRPr="00EB049C">
        <w:rPr>
          <w:sz w:val="21"/>
          <w:szCs w:val="21"/>
        </w:rPr>
        <w:tab/>
      </w:r>
      <w:r w:rsidRPr="00EB049C">
        <w:rPr>
          <w:rFonts w:hAnsi="宋体" w:hint="eastAsia"/>
          <w:sz w:val="21"/>
          <w:szCs w:val="21"/>
        </w:rPr>
        <w:t>疼痛和功能</w:t>
      </w:r>
      <w:bookmarkEnd w:id="29"/>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虽然疼痛和功能是两个独立的终点，但二者在评估上有相当大的重叠。休息时疼痛可能不存在，但只有活动时存在，这就会导致患者非常不适，进而限制了患者的操作能力。患者可能有严重的运动不适，所以就尽量避免运动，这样就引起了功能限制。现在有一些评估工具能够成功捕捉疼痛对功能的影响作用。还有些评估能够独立地评测疼痛和功能。对于使用的所有评估工具，应该进行管理方法标识。</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对于单独的疼痛评估，测量结果应该显示出疼痛严重程度和频率。应该利用一项经过验证的疼痛评估工具来进行疼痛测量，如视觉模拟量表（</w:t>
      </w:r>
      <w:r w:rsidRPr="00EB049C">
        <w:rPr>
          <w:sz w:val="21"/>
          <w:szCs w:val="21"/>
        </w:rPr>
        <w:t>VAS</w:t>
      </w:r>
      <w:r w:rsidRPr="00EB049C">
        <w:rPr>
          <w:rFonts w:hAnsi="宋体" w:hint="eastAsia"/>
          <w:sz w:val="21"/>
          <w:szCs w:val="21"/>
        </w:rPr>
        <w:t>）、</w:t>
      </w:r>
      <w:r w:rsidRPr="00EB049C">
        <w:rPr>
          <w:sz w:val="21"/>
          <w:szCs w:val="21"/>
        </w:rPr>
        <w:t>5</w:t>
      </w:r>
      <w:r w:rsidRPr="00EB049C">
        <w:rPr>
          <w:rFonts w:hAnsi="宋体" w:hint="eastAsia"/>
          <w:sz w:val="21"/>
          <w:szCs w:val="21"/>
        </w:rPr>
        <w:t>点</w:t>
      </w:r>
      <w:r w:rsidRPr="00EB049C">
        <w:rPr>
          <w:sz w:val="21"/>
          <w:szCs w:val="21"/>
        </w:rPr>
        <w:t>-10</w:t>
      </w:r>
      <w:r w:rsidRPr="00EB049C">
        <w:rPr>
          <w:rFonts w:hAnsi="宋体" w:hint="eastAsia"/>
          <w:sz w:val="21"/>
          <w:szCs w:val="21"/>
        </w:rPr>
        <w:t>点量表或另一项适当工具。背和腿痛（坐骨神经痛）应该考虑为腰椎疾病，颈部和手臂痛（神经根痛）应该考虑颈椎疾病。对于接受自体移植手术的患者，还应该进行术后供区部位痛评价。这些疼痛方面应该在术前和术后特定随访时间时进行评估。</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对于单独的功能评估，给</w:t>
      </w:r>
      <w:r w:rsidR="0093559A" w:rsidRPr="00EB049C">
        <w:rPr>
          <w:rFonts w:hAnsi="宋体" w:hint="eastAsia"/>
          <w:sz w:val="21"/>
          <w:szCs w:val="21"/>
        </w:rPr>
        <w:t>申办方</w:t>
      </w:r>
      <w:r w:rsidRPr="00EB049C">
        <w:rPr>
          <w:rFonts w:hAnsi="宋体" w:hint="eastAsia"/>
          <w:sz w:val="21"/>
          <w:szCs w:val="21"/>
        </w:rPr>
        <w:t>的建议是，</w:t>
      </w:r>
      <w:r w:rsidRPr="00EB049C">
        <w:rPr>
          <w:sz w:val="21"/>
          <w:szCs w:val="21"/>
        </w:rPr>
        <w:t>VAS</w:t>
      </w:r>
      <w:r w:rsidRPr="00EB049C">
        <w:rPr>
          <w:rFonts w:hAnsi="宋体" w:hint="eastAsia"/>
          <w:sz w:val="21"/>
          <w:szCs w:val="21"/>
        </w:rPr>
        <w:t>、</w:t>
      </w:r>
      <w:r w:rsidRPr="00EB049C">
        <w:rPr>
          <w:sz w:val="21"/>
          <w:szCs w:val="21"/>
        </w:rPr>
        <w:t>X</w:t>
      </w:r>
      <w:r w:rsidRPr="00EB049C">
        <w:rPr>
          <w:rFonts w:hAnsi="宋体" w:hint="eastAsia"/>
          <w:sz w:val="21"/>
          <w:szCs w:val="21"/>
        </w:rPr>
        <w:t>点量表和所有这类一维评估工具都不能完全从整体上采集功能状态信息。特定活动功能问题能更全面地捕获这一终点，因此，不鼓励使用单一问题功能评估工具。</w:t>
      </w:r>
      <w:r w:rsidRPr="00EB049C">
        <w:rPr>
          <w:sz w:val="21"/>
          <w:szCs w:val="21"/>
        </w:rPr>
        <w:t>FDA</w:t>
      </w:r>
      <w:r w:rsidRPr="00EB049C">
        <w:rPr>
          <w:rFonts w:hAnsi="宋体" w:hint="eastAsia"/>
          <w:sz w:val="21"/>
          <w:szCs w:val="21"/>
        </w:rPr>
        <w:t>鼓励使用疼痛</w:t>
      </w:r>
      <w:r w:rsidRPr="00EB049C">
        <w:rPr>
          <w:sz w:val="21"/>
          <w:szCs w:val="21"/>
        </w:rPr>
        <w:t>/</w:t>
      </w:r>
      <w:r w:rsidRPr="00EB049C">
        <w:rPr>
          <w:rFonts w:hAnsi="宋体" w:hint="eastAsia"/>
          <w:sz w:val="21"/>
          <w:szCs w:val="21"/>
        </w:rPr>
        <w:t>功能特定评价工具。</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对于腰椎研究中捕获下背部疼痛和功能的评估，可选用各种工具，如</w:t>
      </w:r>
      <w:r w:rsidRPr="00EB049C">
        <w:rPr>
          <w:sz w:val="21"/>
          <w:szCs w:val="21"/>
        </w:rPr>
        <w:t>Oswestry</w:t>
      </w:r>
      <w:r w:rsidRPr="00EB049C">
        <w:rPr>
          <w:rFonts w:hAnsi="宋体" w:hint="eastAsia"/>
          <w:sz w:val="21"/>
          <w:szCs w:val="21"/>
        </w:rPr>
        <w:t>残疾调查表和</w:t>
      </w:r>
      <w:r w:rsidRPr="00EB049C">
        <w:rPr>
          <w:sz w:val="21"/>
          <w:szCs w:val="21"/>
        </w:rPr>
        <w:t xml:space="preserve">Roland-Morris </w:t>
      </w:r>
      <w:r w:rsidRPr="00EB049C">
        <w:rPr>
          <w:rFonts w:hAnsi="宋体" w:hint="eastAsia"/>
          <w:sz w:val="21"/>
          <w:szCs w:val="21"/>
        </w:rPr>
        <w:t>残疾量表（见</w:t>
      </w:r>
      <w:r w:rsidRPr="00EB049C">
        <w:rPr>
          <w:sz w:val="21"/>
          <w:szCs w:val="21"/>
        </w:rPr>
        <w:t>Fairbanks JC</w:t>
      </w:r>
      <w:r w:rsidRPr="00EB049C">
        <w:rPr>
          <w:rFonts w:hAnsi="宋体" w:hint="eastAsia"/>
          <w:sz w:val="21"/>
          <w:szCs w:val="21"/>
        </w:rPr>
        <w:t>等人，</w:t>
      </w:r>
      <w:r w:rsidRPr="00EB049C">
        <w:rPr>
          <w:sz w:val="21"/>
          <w:szCs w:val="21"/>
        </w:rPr>
        <w:t>“ Oswestry</w:t>
      </w:r>
      <w:r w:rsidRPr="00EB049C">
        <w:rPr>
          <w:rFonts w:hAnsi="宋体" w:hint="eastAsia"/>
          <w:sz w:val="21"/>
          <w:szCs w:val="21"/>
        </w:rPr>
        <w:t>下背痛残疾调查表</w:t>
      </w:r>
      <w:r w:rsidRPr="00EB049C">
        <w:rPr>
          <w:sz w:val="21"/>
          <w:szCs w:val="21"/>
        </w:rPr>
        <w:t xml:space="preserve">” </w:t>
      </w:r>
      <w:r w:rsidRPr="00EB049C">
        <w:rPr>
          <w:rFonts w:hAnsi="宋体" w:hint="eastAsia"/>
          <w:sz w:val="21"/>
          <w:szCs w:val="21"/>
        </w:rPr>
        <w:t>《理疗学》</w:t>
      </w:r>
      <w:r w:rsidRPr="00EB049C">
        <w:rPr>
          <w:sz w:val="21"/>
          <w:szCs w:val="21"/>
        </w:rPr>
        <w:t>. 1980</w:t>
      </w:r>
      <w:r w:rsidRPr="00EB049C">
        <w:rPr>
          <w:rFonts w:hAnsi="宋体" w:hint="eastAsia"/>
          <w:sz w:val="21"/>
          <w:szCs w:val="21"/>
        </w:rPr>
        <w:t>年</w:t>
      </w:r>
      <w:r w:rsidRPr="00EB049C">
        <w:rPr>
          <w:sz w:val="21"/>
          <w:szCs w:val="21"/>
        </w:rPr>
        <w:t>8</w:t>
      </w:r>
      <w:r w:rsidRPr="00EB049C">
        <w:rPr>
          <w:rFonts w:hAnsi="宋体" w:hint="eastAsia"/>
          <w:sz w:val="21"/>
          <w:szCs w:val="21"/>
        </w:rPr>
        <w:t>月</w:t>
      </w:r>
      <w:r w:rsidRPr="00EB049C">
        <w:rPr>
          <w:sz w:val="21"/>
          <w:szCs w:val="21"/>
        </w:rPr>
        <w:t>66(8): 271-271</w:t>
      </w:r>
      <w:r w:rsidRPr="00EB049C">
        <w:rPr>
          <w:rFonts w:hAnsi="宋体" w:hint="eastAsia"/>
          <w:sz w:val="21"/>
          <w:szCs w:val="21"/>
        </w:rPr>
        <w:t>）。其他背部相关功能量表有</w:t>
      </w:r>
      <w:r w:rsidRPr="00EB049C">
        <w:rPr>
          <w:sz w:val="21"/>
          <w:szCs w:val="21"/>
        </w:rPr>
        <w:t>Million</w:t>
      </w:r>
      <w:r w:rsidRPr="00EB049C">
        <w:rPr>
          <w:rFonts w:hAnsi="宋体" w:hint="eastAsia"/>
          <w:sz w:val="21"/>
          <w:szCs w:val="21"/>
        </w:rPr>
        <w:t>调查表、</w:t>
      </w:r>
      <w:r w:rsidRPr="00EB049C">
        <w:rPr>
          <w:sz w:val="21"/>
          <w:szCs w:val="21"/>
        </w:rPr>
        <w:t>Waddell</w:t>
      </w:r>
      <w:r w:rsidRPr="00EB049C">
        <w:rPr>
          <w:rFonts w:hAnsi="宋体" w:hint="eastAsia"/>
          <w:sz w:val="21"/>
          <w:szCs w:val="21"/>
        </w:rPr>
        <w:t>残疾调查表和</w:t>
      </w:r>
      <w:r w:rsidRPr="00EB049C">
        <w:rPr>
          <w:sz w:val="21"/>
          <w:szCs w:val="21"/>
        </w:rPr>
        <w:t xml:space="preserve"> Quebec </w:t>
      </w:r>
      <w:r w:rsidRPr="00EB049C">
        <w:rPr>
          <w:rFonts w:hAnsi="宋体" w:hint="eastAsia"/>
          <w:sz w:val="21"/>
          <w:szCs w:val="21"/>
        </w:rPr>
        <w:t>残疾调查表。</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对于颈椎研究中捕获颈痛和功能的评估，</w:t>
      </w:r>
      <w:r w:rsidRPr="00EB049C">
        <w:rPr>
          <w:sz w:val="21"/>
          <w:szCs w:val="21"/>
        </w:rPr>
        <w:t>FDA</w:t>
      </w:r>
      <w:r w:rsidRPr="00EB049C">
        <w:rPr>
          <w:rFonts w:hAnsi="宋体" w:hint="eastAsia"/>
          <w:sz w:val="21"/>
          <w:szCs w:val="21"/>
        </w:rPr>
        <w:t>建议</w:t>
      </w:r>
      <w:r w:rsidR="0093559A" w:rsidRPr="00EB049C">
        <w:rPr>
          <w:rFonts w:hAnsi="宋体" w:hint="eastAsia"/>
          <w:sz w:val="21"/>
          <w:szCs w:val="21"/>
        </w:rPr>
        <w:t>申办方</w:t>
      </w:r>
      <w:r w:rsidRPr="00EB049C">
        <w:rPr>
          <w:rFonts w:hAnsi="宋体" w:hint="eastAsia"/>
          <w:sz w:val="21"/>
          <w:szCs w:val="21"/>
        </w:rPr>
        <w:t>应该考虑颈部残疾指数和</w:t>
      </w:r>
      <w:r w:rsidRPr="00EB049C">
        <w:rPr>
          <w:sz w:val="21"/>
          <w:szCs w:val="21"/>
        </w:rPr>
        <w:t xml:space="preserve">Northwick Park </w:t>
      </w:r>
      <w:r w:rsidRPr="00EB049C">
        <w:rPr>
          <w:rFonts w:hAnsi="宋体" w:hint="eastAsia"/>
          <w:sz w:val="21"/>
          <w:szCs w:val="21"/>
        </w:rPr>
        <w:t>颈痛调查表，二者均以</w:t>
      </w:r>
      <w:r w:rsidRPr="00EB049C">
        <w:rPr>
          <w:sz w:val="21"/>
          <w:szCs w:val="21"/>
        </w:rPr>
        <w:t>Oswestry</w:t>
      </w:r>
      <w:r w:rsidRPr="00EB049C">
        <w:rPr>
          <w:rFonts w:hAnsi="宋体" w:hint="eastAsia"/>
          <w:sz w:val="21"/>
          <w:szCs w:val="21"/>
        </w:rPr>
        <w:t>调查表格式为基础（参见</w:t>
      </w:r>
      <w:r w:rsidRPr="00EB049C">
        <w:rPr>
          <w:sz w:val="21"/>
          <w:szCs w:val="21"/>
        </w:rPr>
        <w:t>Vernon H</w:t>
      </w:r>
      <w:r w:rsidRPr="00EB049C">
        <w:rPr>
          <w:rFonts w:hAnsi="宋体" w:hint="eastAsia"/>
          <w:sz w:val="21"/>
          <w:szCs w:val="21"/>
        </w:rPr>
        <w:t>等人，</w:t>
      </w:r>
      <w:r w:rsidRPr="00EB049C">
        <w:rPr>
          <w:sz w:val="21"/>
          <w:szCs w:val="21"/>
        </w:rPr>
        <w:t>“</w:t>
      </w:r>
      <w:r w:rsidRPr="00EB049C">
        <w:rPr>
          <w:rFonts w:hAnsi="宋体" w:hint="eastAsia"/>
          <w:sz w:val="21"/>
          <w:szCs w:val="21"/>
        </w:rPr>
        <w:t>颈部残疾指数：一项关于信度和效度的研究</w:t>
      </w:r>
      <w:r w:rsidRPr="00EB049C">
        <w:rPr>
          <w:sz w:val="21"/>
          <w:szCs w:val="21"/>
        </w:rPr>
        <w:t xml:space="preserve">” </w:t>
      </w:r>
      <w:r w:rsidRPr="00EB049C">
        <w:rPr>
          <w:rFonts w:hAnsi="宋体" w:hint="eastAsia"/>
          <w:sz w:val="21"/>
          <w:szCs w:val="21"/>
        </w:rPr>
        <w:t>《推拿理疗杂志》</w:t>
      </w:r>
      <w:r w:rsidRPr="00EB049C">
        <w:rPr>
          <w:i/>
          <w:iCs/>
          <w:sz w:val="21"/>
          <w:szCs w:val="21"/>
        </w:rPr>
        <w:t>.</w:t>
      </w:r>
      <w:r w:rsidRPr="00EB049C">
        <w:rPr>
          <w:sz w:val="21"/>
          <w:szCs w:val="21"/>
        </w:rPr>
        <w:t>1991; 14(7): 409-415</w:t>
      </w:r>
      <w:r w:rsidRPr="00EB049C">
        <w:rPr>
          <w:rFonts w:hAnsi="宋体" w:hint="eastAsia"/>
          <w:sz w:val="21"/>
          <w:szCs w:val="21"/>
        </w:rPr>
        <w:t>和</w:t>
      </w:r>
      <w:r w:rsidRPr="00EB049C">
        <w:rPr>
          <w:sz w:val="21"/>
          <w:szCs w:val="21"/>
        </w:rPr>
        <w:t>Leak A.M</w:t>
      </w:r>
      <w:r w:rsidRPr="00EB049C">
        <w:rPr>
          <w:rFonts w:hAnsi="宋体" w:hint="eastAsia"/>
          <w:sz w:val="21"/>
          <w:szCs w:val="21"/>
        </w:rPr>
        <w:t>等人，</w:t>
      </w:r>
      <w:r w:rsidRPr="00EB049C">
        <w:rPr>
          <w:sz w:val="21"/>
          <w:szCs w:val="21"/>
        </w:rPr>
        <w:t xml:space="preserve">“ Northwick Park </w:t>
      </w:r>
      <w:r w:rsidRPr="00EB049C">
        <w:rPr>
          <w:rFonts w:hAnsi="宋体" w:hint="eastAsia"/>
          <w:sz w:val="21"/>
          <w:szCs w:val="21"/>
        </w:rPr>
        <w:t>颈痛调查表，设计残留颈痛和残疾，《英国风湿病学杂志》</w:t>
      </w:r>
      <w:r w:rsidRPr="00EB049C">
        <w:rPr>
          <w:sz w:val="21"/>
          <w:szCs w:val="21"/>
        </w:rPr>
        <w:t>1994; 33:469-474</w:t>
      </w:r>
      <w:r w:rsidRPr="00EB049C">
        <w:rPr>
          <w:rFonts w:hAnsi="宋体" w:hint="eastAsia"/>
          <w:sz w:val="21"/>
          <w:szCs w:val="21"/>
        </w:rPr>
        <w:t>）。</w:t>
      </w:r>
    </w:p>
    <w:p w:rsidR="008F17E4" w:rsidRPr="00EB049C" w:rsidRDefault="0093559A" w:rsidP="005627F4">
      <w:pPr>
        <w:pStyle w:val="CM45"/>
        <w:snapToGrid w:val="0"/>
        <w:spacing w:after="0" w:line="360" w:lineRule="auto"/>
        <w:ind w:leftChars="200" w:left="420"/>
        <w:jc w:val="both"/>
        <w:rPr>
          <w:sz w:val="21"/>
          <w:szCs w:val="21"/>
        </w:rPr>
      </w:pPr>
      <w:r w:rsidRPr="00EB049C">
        <w:rPr>
          <w:rFonts w:hAnsi="宋体" w:hint="eastAsia"/>
          <w:sz w:val="21"/>
          <w:szCs w:val="21"/>
        </w:rPr>
        <w:t>申办方</w:t>
      </w:r>
      <w:r w:rsidR="008F17E4" w:rsidRPr="00EB049C">
        <w:rPr>
          <w:rFonts w:hAnsi="宋体" w:hint="eastAsia"/>
          <w:sz w:val="21"/>
          <w:szCs w:val="21"/>
        </w:rPr>
        <w:t>应该牢记，如果使用疼痛</w:t>
      </w:r>
      <w:r w:rsidR="008F17E4" w:rsidRPr="00EB049C">
        <w:rPr>
          <w:sz w:val="21"/>
          <w:szCs w:val="21"/>
        </w:rPr>
        <w:t>/</w:t>
      </w:r>
      <w:r w:rsidR="008F17E4" w:rsidRPr="00EB049C">
        <w:rPr>
          <w:rFonts w:hAnsi="宋体" w:hint="eastAsia"/>
          <w:sz w:val="21"/>
          <w:szCs w:val="21"/>
        </w:rPr>
        <w:t>功能评估工具作为研究的一部分，则方案中还应该包含腰椎研究中的腿痛和供区部位痛的单独评估以及颈椎研究中的手臂痛和供区部位痛的单独评估。</w:t>
      </w:r>
    </w:p>
    <w:p w:rsidR="008F17E4" w:rsidRPr="00EB049C" w:rsidRDefault="008F17E4" w:rsidP="005627F4">
      <w:pPr>
        <w:pStyle w:val="CM45"/>
        <w:snapToGrid w:val="0"/>
        <w:spacing w:after="0" w:line="360" w:lineRule="auto"/>
        <w:ind w:leftChars="200" w:left="420"/>
        <w:jc w:val="both"/>
        <w:rPr>
          <w:sz w:val="21"/>
          <w:szCs w:val="21"/>
        </w:rPr>
      </w:pPr>
      <w:r w:rsidRPr="00EB049C">
        <w:rPr>
          <w:rFonts w:hAnsi="宋体" w:hint="eastAsia"/>
          <w:sz w:val="21"/>
          <w:szCs w:val="21"/>
        </w:rPr>
        <w:t>应该明确定义主要疼痛参数（腰椎研究的背</w:t>
      </w:r>
      <w:r w:rsidRPr="00EB049C">
        <w:rPr>
          <w:sz w:val="21"/>
          <w:szCs w:val="21"/>
        </w:rPr>
        <w:t>/</w:t>
      </w:r>
      <w:r w:rsidRPr="00EB049C">
        <w:rPr>
          <w:rFonts w:hAnsi="宋体" w:hint="eastAsia"/>
          <w:sz w:val="21"/>
          <w:szCs w:val="21"/>
        </w:rPr>
        <w:t>腿痛，颈椎研究的颈</w:t>
      </w:r>
      <w:r w:rsidRPr="00EB049C">
        <w:rPr>
          <w:sz w:val="21"/>
          <w:szCs w:val="21"/>
        </w:rPr>
        <w:t>/</w:t>
      </w:r>
      <w:r w:rsidRPr="00EB049C">
        <w:rPr>
          <w:rFonts w:hAnsi="宋体" w:hint="eastAsia"/>
          <w:sz w:val="21"/>
          <w:szCs w:val="21"/>
        </w:rPr>
        <w:t>手臂痛）和功能的成功标准。疼痛和功能的成功标准取决于所用的量表、涉及的</w:t>
      </w:r>
      <w:r w:rsidR="00176745" w:rsidRPr="00EB049C">
        <w:rPr>
          <w:rFonts w:hAnsi="宋体" w:hint="eastAsia"/>
          <w:sz w:val="21"/>
          <w:szCs w:val="21"/>
        </w:rPr>
        <w:t>适应证</w:t>
      </w:r>
      <w:r w:rsidRPr="00EB049C">
        <w:rPr>
          <w:rFonts w:hAnsi="宋体" w:hint="eastAsia"/>
          <w:sz w:val="21"/>
          <w:szCs w:val="21"/>
        </w:rPr>
        <w:t>和治疗目标。就供区部位疼痛的继发性疼痛评估而言，</w:t>
      </w:r>
      <w:r w:rsidR="0093559A" w:rsidRPr="00EB049C">
        <w:rPr>
          <w:rFonts w:hAnsi="宋体" w:hint="eastAsia"/>
          <w:sz w:val="21"/>
          <w:szCs w:val="21"/>
        </w:rPr>
        <w:t>申办方</w:t>
      </w:r>
      <w:r w:rsidRPr="00EB049C">
        <w:rPr>
          <w:rFonts w:hAnsi="宋体" w:hint="eastAsia"/>
          <w:sz w:val="21"/>
          <w:szCs w:val="21"/>
        </w:rPr>
        <w:t>应该提供数据；然而，这一继发性疼痛参数的成功标准不需要。</w:t>
      </w:r>
    </w:p>
    <w:p w:rsidR="008F17E4" w:rsidRPr="00EB049C" w:rsidRDefault="008F17E4" w:rsidP="005627F4">
      <w:pPr>
        <w:pStyle w:val="CM45"/>
        <w:snapToGrid w:val="0"/>
        <w:spacing w:after="0" w:line="360" w:lineRule="auto"/>
        <w:ind w:leftChars="200" w:left="420"/>
        <w:jc w:val="both"/>
        <w:rPr>
          <w:sz w:val="21"/>
          <w:szCs w:val="21"/>
        </w:rPr>
      </w:pPr>
      <w:r w:rsidRPr="00EB049C">
        <w:rPr>
          <w:sz w:val="21"/>
          <w:szCs w:val="21"/>
        </w:rPr>
        <w:t>FDA</w:t>
      </w:r>
      <w:r w:rsidRPr="00EB049C">
        <w:rPr>
          <w:rFonts w:hAnsi="宋体" w:hint="eastAsia"/>
          <w:sz w:val="21"/>
          <w:szCs w:val="21"/>
        </w:rPr>
        <w:t>认为，不管使用的是疼痛</w:t>
      </w:r>
      <w:r w:rsidRPr="00EB049C">
        <w:rPr>
          <w:sz w:val="21"/>
          <w:szCs w:val="21"/>
        </w:rPr>
        <w:t>/</w:t>
      </w:r>
      <w:r w:rsidRPr="00EB049C">
        <w:rPr>
          <w:rFonts w:hAnsi="宋体" w:hint="eastAsia"/>
          <w:sz w:val="21"/>
          <w:szCs w:val="21"/>
        </w:rPr>
        <w:t>功能联合量表，还是使用的疼痛和功能的单独量表，每个患者的成功标准应该以临床上有意义的改善水平为基础。所以应该明确限定临床上有意义的改善水平（即，较基线得以改善的</w:t>
      </w:r>
      <w:r w:rsidRPr="00EB049C">
        <w:rPr>
          <w:sz w:val="21"/>
          <w:szCs w:val="21"/>
        </w:rPr>
        <w:t>X</w:t>
      </w:r>
      <w:r w:rsidRPr="00EB049C">
        <w:rPr>
          <w:rFonts w:hAnsi="宋体" w:hint="eastAsia"/>
          <w:sz w:val="21"/>
          <w:szCs w:val="21"/>
        </w:rPr>
        <w:t>患者数或</w:t>
      </w:r>
      <w:r w:rsidRPr="00EB049C">
        <w:rPr>
          <w:sz w:val="21"/>
          <w:szCs w:val="21"/>
        </w:rPr>
        <w:t>X%</w:t>
      </w:r>
      <w:r w:rsidRPr="00EB049C">
        <w:rPr>
          <w:rFonts w:hAnsi="宋体" w:hint="eastAsia"/>
          <w:sz w:val="21"/>
          <w:szCs w:val="21"/>
        </w:rPr>
        <w:t>）。</w:t>
      </w:r>
    </w:p>
    <w:p w:rsidR="008F17E4" w:rsidRPr="00EB049C" w:rsidRDefault="008F17E4" w:rsidP="003E190C">
      <w:pPr>
        <w:pStyle w:val="CM45"/>
        <w:snapToGrid w:val="0"/>
        <w:spacing w:beforeLines="50" w:after="0" w:line="312" w:lineRule="auto"/>
        <w:ind w:leftChars="200" w:left="420"/>
        <w:jc w:val="both"/>
        <w:outlineLvl w:val="2"/>
        <w:rPr>
          <w:sz w:val="21"/>
          <w:szCs w:val="21"/>
        </w:rPr>
      </w:pPr>
      <w:r w:rsidRPr="00EB049C">
        <w:rPr>
          <w:sz w:val="21"/>
          <w:szCs w:val="21"/>
        </w:rPr>
        <w:br w:type="page"/>
      </w:r>
      <w:bookmarkStart w:id="30" w:name="_Toc480641597"/>
      <w:r w:rsidRPr="00EB049C">
        <w:rPr>
          <w:sz w:val="21"/>
          <w:szCs w:val="21"/>
        </w:rPr>
        <w:lastRenderedPageBreak/>
        <w:t>8.3</w:t>
      </w:r>
      <w:r w:rsidRPr="00EB049C">
        <w:rPr>
          <w:sz w:val="21"/>
          <w:szCs w:val="21"/>
        </w:rPr>
        <w:tab/>
      </w:r>
      <w:r w:rsidRPr="00EB049C">
        <w:rPr>
          <w:rFonts w:hAnsi="宋体" w:hint="eastAsia"/>
          <w:sz w:val="21"/>
          <w:szCs w:val="21"/>
        </w:rPr>
        <w:t>椎间盘高度评估</w:t>
      </w:r>
      <w:bookmarkEnd w:id="30"/>
    </w:p>
    <w:p w:rsidR="008F17E4" w:rsidRPr="00EB049C" w:rsidRDefault="008F17E4" w:rsidP="003E190C">
      <w:pPr>
        <w:pStyle w:val="CM45"/>
        <w:snapToGrid w:val="0"/>
        <w:spacing w:beforeLines="50" w:after="0" w:line="312" w:lineRule="auto"/>
        <w:ind w:leftChars="400" w:left="840"/>
        <w:jc w:val="both"/>
        <w:outlineLvl w:val="3"/>
        <w:rPr>
          <w:sz w:val="21"/>
          <w:szCs w:val="21"/>
        </w:rPr>
      </w:pPr>
      <w:r w:rsidRPr="00EB049C">
        <w:rPr>
          <w:sz w:val="21"/>
          <w:szCs w:val="21"/>
        </w:rPr>
        <w:t>8.3.1</w:t>
      </w:r>
      <w:r w:rsidRPr="00EB049C">
        <w:rPr>
          <w:sz w:val="21"/>
          <w:szCs w:val="21"/>
        </w:rPr>
        <w:tab/>
      </w:r>
      <w:r w:rsidRPr="00EB049C">
        <w:rPr>
          <w:rFonts w:hAnsi="宋体" w:hint="eastAsia"/>
          <w:sz w:val="21"/>
          <w:szCs w:val="21"/>
        </w:rPr>
        <w:t>椎间盘高度评估</w:t>
      </w:r>
    </w:p>
    <w:p w:rsidR="008F17E4" w:rsidRPr="00EB049C" w:rsidRDefault="008F17E4" w:rsidP="003E190C">
      <w:pPr>
        <w:pStyle w:val="CM45"/>
        <w:snapToGrid w:val="0"/>
        <w:spacing w:beforeLines="50" w:after="0" w:line="312" w:lineRule="auto"/>
        <w:ind w:leftChars="600" w:left="1260"/>
        <w:jc w:val="both"/>
        <w:rPr>
          <w:sz w:val="21"/>
          <w:szCs w:val="21"/>
        </w:rPr>
      </w:pPr>
      <w:r w:rsidRPr="00EB049C">
        <w:rPr>
          <w:rFonts w:hAnsi="宋体" w:hint="eastAsia"/>
          <w:sz w:val="21"/>
          <w:szCs w:val="21"/>
        </w:rPr>
        <w:t>对于椎间盘高度降低的疾病，并且或许是疼痛</w:t>
      </w:r>
      <w:r w:rsidRPr="00EB049C">
        <w:rPr>
          <w:sz w:val="21"/>
          <w:szCs w:val="21"/>
        </w:rPr>
        <w:t>/</w:t>
      </w:r>
      <w:r w:rsidRPr="00EB049C">
        <w:rPr>
          <w:rFonts w:hAnsi="宋体" w:hint="eastAsia"/>
          <w:sz w:val="21"/>
          <w:szCs w:val="21"/>
        </w:rPr>
        <w:t>神经系统症状的原因，这一终点对于总体成功的确定具有重大意义。很多脊柱植入物，特别是椎间体融合器械，都试图恢复椎间盘高度。然而，测量椎间盘高度可能会有一定的困难，因为椎间盘的间隙被脊柱植入物遮蔽了。但是，如果完成这一测量，术后椎间盘高度应该得以长期维持。基线椎间盘高度测量结果可能在术后</w:t>
      </w:r>
      <w:r w:rsidRPr="00EB049C">
        <w:rPr>
          <w:sz w:val="21"/>
          <w:szCs w:val="21"/>
        </w:rPr>
        <w:t>6</w:t>
      </w:r>
      <w:r w:rsidRPr="00EB049C">
        <w:rPr>
          <w:rFonts w:hAnsi="宋体" w:hint="eastAsia"/>
          <w:sz w:val="21"/>
          <w:szCs w:val="21"/>
        </w:rPr>
        <w:t>周时获得，或者是根据邻近非病变椎间盘间隙的测量值推断得到。评价这一终点时，应该同时考虑椎间盘的前后高度。</w:t>
      </w:r>
    </w:p>
    <w:p w:rsidR="008F17E4" w:rsidRPr="00EB049C" w:rsidRDefault="008F17E4" w:rsidP="003E190C">
      <w:pPr>
        <w:pStyle w:val="CM45"/>
        <w:snapToGrid w:val="0"/>
        <w:spacing w:beforeLines="50" w:after="0" w:line="312" w:lineRule="auto"/>
        <w:ind w:leftChars="400" w:left="840"/>
        <w:jc w:val="both"/>
        <w:outlineLvl w:val="3"/>
        <w:rPr>
          <w:sz w:val="21"/>
          <w:szCs w:val="21"/>
        </w:rPr>
      </w:pPr>
      <w:r w:rsidRPr="00EB049C">
        <w:rPr>
          <w:sz w:val="21"/>
          <w:szCs w:val="21"/>
        </w:rPr>
        <w:t>8.3.2</w:t>
      </w:r>
      <w:r w:rsidRPr="00EB049C">
        <w:rPr>
          <w:sz w:val="21"/>
          <w:szCs w:val="21"/>
        </w:rPr>
        <w:tab/>
      </w:r>
      <w:r w:rsidRPr="00EB049C">
        <w:rPr>
          <w:rFonts w:hAnsi="宋体" w:hint="eastAsia"/>
          <w:sz w:val="21"/>
          <w:szCs w:val="21"/>
        </w:rPr>
        <w:t>椎体高度评估</w:t>
      </w:r>
    </w:p>
    <w:p w:rsidR="008F17E4" w:rsidRPr="00EB049C" w:rsidRDefault="008F17E4" w:rsidP="003E190C">
      <w:pPr>
        <w:pStyle w:val="CM45"/>
        <w:snapToGrid w:val="0"/>
        <w:spacing w:beforeLines="50" w:after="0" w:line="312" w:lineRule="auto"/>
        <w:ind w:leftChars="600" w:left="1260"/>
        <w:jc w:val="both"/>
        <w:rPr>
          <w:sz w:val="21"/>
          <w:szCs w:val="21"/>
        </w:rPr>
      </w:pPr>
      <w:r w:rsidRPr="00EB049C">
        <w:rPr>
          <w:rFonts w:hAnsi="宋体" w:hint="eastAsia"/>
          <w:sz w:val="21"/>
          <w:szCs w:val="21"/>
        </w:rPr>
        <w:t>对于椎体高度降低的疾病，并且或许是疼痛</w:t>
      </w:r>
      <w:r w:rsidRPr="00EB049C">
        <w:rPr>
          <w:sz w:val="21"/>
          <w:szCs w:val="21"/>
        </w:rPr>
        <w:t>/</w:t>
      </w:r>
      <w:r w:rsidRPr="00EB049C">
        <w:rPr>
          <w:rFonts w:hAnsi="宋体" w:hint="eastAsia"/>
          <w:sz w:val="21"/>
          <w:szCs w:val="21"/>
        </w:rPr>
        <w:t>神经系统症状的原因，这一终点对于总体成功的确定具有重大意义。很多脊柱植入物，特别是椎体置换器械，都试图恢复椎体高度。然而，鉴于脊柱植入物的遮蔽，测量椎体高度可能会有一定的困难。但是，如果完成测量，术后椎体高度应该得以长期维持。基线椎体高度测量结果可能在术后</w:t>
      </w:r>
      <w:r w:rsidRPr="00EB049C">
        <w:rPr>
          <w:sz w:val="21"/>
          <w:szCs w:val="21"/>
        </w:rPr>
        <w:t>6</w:t>
      </w:r>
      <w:r w:rsidRPr="00EB049C">
        <w:rPr>
          <w:rFonts w:hAnsi="宋体" w:hint="eastAsia"/>
          <w:sz w:val="21"/>
          <w:szCs w:val="21"/>
        </w:rPr>
        <w:t>周时获得，或者是根据邻近非病变椎体的测量值推断得到。</w:t>
      </w:r>
    </w:p>
    <w:p w:rsidR="008F17E4" w:rsidRPr="00EB049C" w:rsidRDefault="008F17E4" w:rsidP="003E190C">
      <w:pPr>
        <w:pStyle w:val="CM45"/>
        <w:snapToGrid w:val="0"/>
        <w:spacing w:beforeLines="50" w:after="0" w:line="312" w:lineRule="auto"/>
        <w:ind w:leftChars="200" w:left="420"/>
        <w:jc w:val="both"/>
        <w:outlineLvl w:val="2"/>
        <w:rPr>
          <w:sz w:val="21"/>
          <w:szCs w:val="21"/>
        </w:rPr>
      </w:pPr>
      <w:bookmarkStart w:id="31" w:name="_Toc480641598"/>
      <w:r w:rsidRPr="00EB049C">
        <w:rPr>
          <w:sz w:val="21"/>
          <w:szCs w:val="21"/>
        </w:rPr>
        <w:t>8.4</w:t>
      </w:r>
      <w:r w:rsidRPr="00EB049C">
        <w:rPr>
          <w:sz w:val="21"/>
          <w:szCs w:val="21"/>
        </w:rPr>
        <w:tab/>
      </w:r>
      <w:r w:rsidRPr="00EB049C">
        <w:rPr>
          <w:rFonts w:hAnsi="宋体" w:hint="eastAsia"/>
          <w:sz w:val="21"/>
          <w:szCs w:val="21"/>
        </w:rPr>
        <w:t>健康相关生活质量</w:t>
      </w:r>
      <w:bookmarkEnd w:id="31"/>
    </w:p>
    <w:p w:rsidR="008F17E4" w:rsidRPr="00EB049C" w:rsidRDefault="008F17E4" w:rsidP="003E190C">
      <w:pPr>
        <w:pStyle w:val="CM45"/>
        <w:snapToGrid w:val="0"/>
        <w:spacing w:beforeLines="50" w:after="0" w:line="312" w:lineRule="auto"/>
        <w:ind w:leftChars="400" w:left="840"/>
        <w:jc w:val="both"/>
        <w:rPr>
          <w:sz w:val="21"/>
          <w:szCs w:val="21"/>
        </w:rPr>
      </w:pPr>
      <w:r w:rsidRPr="00EB049C">
        <w:rPr>
          <w:rFonts w:hAnsi="宋体" w:hint="eastAsia"/>
          <w:sz w:val="21"/>
          <w:szCs w:val="21"/>
        </w:rPr>
        <w:t>由于绝大多数脊柱手术都是基于患者感知的活动限制和症状严重程度选择性实施的，且确认成功的重要方面之一是评测患者的总体幸福感和满意度，因此这也是开展一项研究应该考虑的方面。</w:t>
      </w:r>
    </w:p>
    <w:p w:rsidR="008F17E4" w:rsidRPr="00EB049C" w:rsidRDefault="008F17E4" w:rsidP="003E190C">
      <w:pPr>
        <w:pStyle w:val="CM45"/>
        <w:snapToGrid w:val="0"/>
        <w:spacing w:beforeLines="50" w:after="0" w:line="312" w:lineRule="auto"/>
        <w:ind w:leftChars="400" w:left="840"/>
        <w:jc w:val="both"/>
        <w:rPr>
          <w:sz w:val="21"/>
          <w:szCs w:val="21"/>
        </w:rPr>
      </w:pPr>
      <w:r w:rsidRPr="00EB049C">
        <w:rPr>
          <w:rFonts w:hAnsi="宋体" w:hint="eastAsia"/>
          <w:sz w:val="21"/>
          <w:szCs w:val="21"/>
        </w:rPr>
        <w:t>适用于这一目的的评估工具有很多（如，</w:t>
      </w:r>
      <w:r w:rsidRPr="00EB049C">
        <w:rPr>
          <w:sz w:val="21"/>
          <w:szCs w:val="21"/>
        </w:rPr>
        <w:t>SF-36</w:t>
      </w:r>
      <w:r w:rsidRPr="00EB049C">
        <w:rPr>
          <w:rFonts w:hAnsi="宋体" w:hint="eastAsia"/>
          <w:sz w:val="21"/>
          <w:szCs w:val="21"/>
        </w:rPr>
        <w:t>简明问卷）。此调查表简略但仍然经过验证的形式为</w:t>
      </w:r>
      <w:r w:rsidRPr="00EB049C">
        <w:rPr>
          <w:sz w:val="21"/>
          <w:szCs w:val="21"/>
        </w:rPr>
        <w:t>SF-12</w:t>
      </w:r>
      <w:r w:rsidRPr="00EB049C">
        <w:rPr>
          <w:rFonts w:hAnsi="宋体" w:hint="eastAsia"/>
          <w:sz w:val="21"/>
          <w:szCs w:val="21"/>
        </w:rPr>
        <w:t>。较少使用的</w:t>
      </w:r>
      <w:r w:rsidRPr="00EB049C">
        <w:rPr>
          <w:sz w:val="21"/>
          <w:szCs w:val="21"/>
        </w:rPr>
        <w:t xml:space="preserve">Nottingham </w:t>
      </w:r>
      <w:r w:rsidRPr="00EB049C">
        <w:rPr>
          <w:rFonts w:hAnsi="宋体" w:hint="eastAsia"/>
          <w:sz w:val="21"/>
          <w:szCs w:val="21"/>
        </w:rPr>
        <w:t>问卷和</w:t>
      </w:r>
      <w:r w:rsidRPr="00EB049C">
        <w:rPr>
          <w:sz w:val="21"/>
          <w:szCs w:val="21"/>
        </w:rPr>
        <w:t>EuroQol</w:t>
      </w:r>
      <w:r w:rsidRPr="00EB049C">
        <w:rPr>
          <w:rFonts w:hAnsi="宋体" w:hint="eastAsia"/>
          <w:sz w:val="21"/>
          <w:szCs w:val="21"/>
        </w:rPr>
        <w:t>也是可认可的调查表。因此，虽然</w:t>
      </w:r>
      <w:r w:rsidRPr="00EB049C">
        <w:rPr>
          <w:sz w:val="21"/>
          <w:szCs w:val="21"/>
        </w:rPr>
        <w:t>SF-36</w:t>
      </w:r>
      <w:r w:rsidRPr="00EB049C">
        <w:rPr>
          <w:rFonts w:hAnsi="宋体" w:hint="eastAsia"/>
          <w:sz w:val="21"/>
          <w:szCs w:val="21"/>
        </w:rPr>
        <w:t>由生理部分和心理部分构成，但生理部分缺少捕获背部功能变化的特异性。</w:t>
      </w:r>
      <w:r w:rsidRPr="00EB049C">
        <w:rPr>
          <w:sz w:val="21"/>
          <w:szCs w:val="21"/>
        </w:rPr>
        <w:t>SF-36</w:t>
      </w:r>
      <w:r w:rsidRPr="00EB049C">
        <w:rPr>
          <w:rFonts w:hAnsi="宋体" w:hint="eastAsia"/>
          <w:sz w:val="21"/>
          <w:szCs w:val="21"/>
        </w:rPr>
        <w:t>以及其他的测评工具都能深刻洞察患者的总体状态。</w:t>
      </w:r>
      <w:r w:rsidRPr="00EB049C">
        <w:rPr>
          <w:sz w:val="21"/>
          <w:szCs w:val="21"/>
        </w:rPr>
        <w:t xml:space="preserve">SF-36 </w:t>
      </w:r>
      <w:r w:rsidRPr="00EB049C">
        <w:rPr>
          <w:rFonts w:hAnsi="宋体" w:hint="eastAsia"/>
          <w:sz w:val="21"/>
          <w:szCs w:val="21"/>
        </w:rPr>
        <w:t>和</w:t>
      </w:r>
      <w:r w:rsidRPr="00EB049C">
        <w:rPr>
          <w:sz w:val="21"/>
          <w:szCs w:val="21"/>
        </w:rPr>
        <w:t>SF-12</w:t>
      </w:r>
      <w:r w:rsidRPr="00EB049C">
        <w:rPr>
          <w:rFonts w:hAnsi="宋体" w:hint="eastAsia"/>
          <w:sz w:val="21"/>
          <w:szCs w:val="21"/>
        </w:rPr>
        <w:t>把多个健康领域都合并到了躯体生理健康总评（</w:t>
      </w:r>
      <w:r w:rsidRPr="00EB049C">
        <w:rPr>
          <w:sz w:val="21"/>
          <w:szCs w:val="21"/>
        </w:rPr>
        <w:t>PCS</w:t>
      </w:r>
      <w:r w:rsidRPr="00EB049C">
        <w:rPr>
          <w:rFonts w:hAnsi="宋体" w:hint="eastAsia"/>
          <w:sz w:val="21"/>
          <w:szCs w:val="21"/>
        </w:rPr>
        <w:t>）和精神心理健康总评（</w:t>
      </w:r>
      <w:r w:rsidRPr="00EB049C">
        <w:rPr>
          <w:sz w:val="21"/>
          <w:szCs w:val="21"/>
        </w:rPr>
        <w:t>MCS</w:t>
      </w:r>
      <w:r w:rsidRPr="00EB049C">
        <w:rPr>
          <w:rFonts w:hAnsi="宋体" w:hint="eastAsia"/>
          <w:sz w:val="21"/>
          <w:szCs w:val="21"/>
        </w:rPr>
        <w:t>）中了。</w:t>
      </w:r>
    </w:p>
    <w:p w:rsidR="008F17E4" w:rsidRPr="00EB049C" w:rsidRDefault="008F17E4" w:rsidP="003E190C">
      <w:pPr>
        <w:pStyle w:val="CM45"/>
        <w:snapToGrid w:val="0"/>
        <w:spacing w:beforeLines="50" w:after="0" w:line="312" w:lineRule="auto"/>
        <w:jc w:val="both"/>
        <w:outlineLvl w:val="0"/>
        <w:rPr>
          <w:sz w:val="21"/>
          <w:szCs w:val="21"/>
        </w:rPr>
      </w:pPr>
      <w:bookmarkStart w:id="32" w:name="_Toc480641599"/>
      <w:r w:rsidRPr="00EB049C">
        <w:rPr>
          <w:sz w:val="21"/>
          <w:szCs w:val="21"/>
        </w:rPr>
        <w:t>9.</w:t>
      </w:r>
      <w:r w:rsidRPr="00EB049C">
        <w:rPr>
          <w:sz w:val="21"/>
          <w:szCs w:val="21"/>
        </w:rPr>
        <w:tab/>
      </w:r>
      <w:r w:rsidRPr="00EB049C">
        <w:rPr>
          <w:rFonts w:hAnsi="宋体" w:hint="eastAsia"/>
          <w:sz w:val="21"/>
          <w:szCs w:val="21"/>
        </w:rPr>
        <w:t>安全性评价</w:t>
      </w:r>
      <w:bookmarkEnd w:id="32"/>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安全性评价涉及并发症评估，包括后续手术干预和神经系统并发症信息。故应该提供关于所有后续手术干预、死亡和神经系统并发症方面的信息说明，其中包括它们的详细解决方案。</w:t>
      </w:r>
    </w:p>
    <w:p w:rsidR="008F17E4" w:rsidRPr="00EB049C" w:rsidRDefault="008F17E4" w:rsidP="003E190C">
      <w:pPr>
        <w:pStyle w:val="CM45"/>
        <w:snapToGrid w:val="0"/>
        <w:spacing w:beforeLines="50" w:after="0" w:line="312" w:lineRule="auto"/>
        <w:ind w:leftChars="200" w:left="420"/>
        <w:jc w:val="both"/>
        <w:rPr>
          <w:sz w:val="21"/>
          <w:szCs w:val="21"/>
        </w:rPr>
      </w:pPr>
      <w:r w:rsidRPr="00EB049C">
        <w:rPr>
          <w:rFonts w:hAnsi="宋体" w:hint="eastAsia"/>
          <w:sz w:val="21"/>
          <w:szCs w:val="21"/>
        </w:rPr>
        <w:t>应该记录下所有的术前、术中和术后并发性，不管是否是器械相关。这也包括</w:t>
      </w:r>
      <w:r w:rsidRPr="00EB049C">
        <w:rPr>
          <w:sz w:val="21"/>
          <w:szCs w:val="21"/>
        </w:rPr>
        <w:t>“</w:t>
      </w:r>
      <w:r w:rsidRPr="00EB049C">
        <w:rPr>
          <w:rFonts w:hAnsi="宋体" w:hint="eastAsia"/>
          <w:sz w:val="21"/>
          <w:szCs w:val="21"/>
        </w:rPr>
        <w:t>预期</w:t>
      </w:r>
      <w:r w:rsidRPr="00EB049C">
        <w:rPr>
          <w:sz w:val="21"/>
          <w:szCs w:val="21"/>
        </w:rPr>
        <w:t>”</w:t>
      </w:r>
      <w:r w:rsidRPr="00EB049C">
        <w:rPr>
          <w:rFonts w:hAnsi="宋体" w:hint="eastAsia"/>
          <w:sz w:val="21"/>
          <w:szCs w:val="21"/>
        </w:rPr>
        <w:t>并发症。若患者因这些症状导致计划外访视而投诉，或者与前一次访视相比患者出现新的疼痛或疼痛加剧、神经系统症状和</w:t>
      </w:r>
      <w:r w:rsidRPr="00EB049C">
        <w:rPr>
          <w:sz w:val="21"/>
          <w:szCs w:val="21"/>
        </w:rPr>
        <w:t>/</w:t>
      </w:r>
      <w:r w:rsidRPr="00EB049C">
        <w:rPr>
          <w:rFonts w:hAnsi="宋体" w:hint="eastAsia"/>
          <w:sz w:val="21"/>
          <w:szCs w:val="21"/>
        </w:rPr>
        <w:t>或功能症状，则应该考虑疼痛、神经系统症状和功能症状为并发症。</w:t>
      </w:r>
    </w:p>
    <w:p w:rsidR="008F17E4" w:rsidRPr="00EB049C" w:rsidRDefault="008F17E4" w:rsidP="003E190C">
      <w:pPr>
        <w:pStyle w:val="CM45"/>
        <w:snapToGrid w:val="0"/>
        <w:spacing w:beforeLines="50" w:after="0" w:line="312" w:lineRule="auto"/>
        <w:jc w:val="both"/>
        <w:outlineLvl w:val="2"/>
        <w:rPr>
          <w:sz w:val="21"/>
          <w:szCs w:val="21"/>
        </w:rPr>
      </w:pPr>
      <w:r w:rsidRPr="00EB049C">
        <w:rPr>
          <w:sz w:val="21"/>
          <w:szCs w:val="21"/>
        </w:rPr>
        <w:br w:type="page"/>
      </w:r>
      <w:bookmarkStart w:id="33" w:name="_Toc480641600"/>
      <w:r w:rsidRPr="00EB049C">
        <w:rPr>
          <w:sz w:val="21"/>
          <w:szCs w:val="21"/>
        </w:rPr>
        <w:lastRenderedPageBreak/>
        <w:t>9.1</w:t>
      </w:r>
      <w:r w:rsidRPr="00EB049C">
        <w:rPr>
          <w:sz w:val="21"/>
          <w:szCs w:val="21"/>
        </w:rPr>
        <w:tab/>
      </w:r>
      <w:r w:rsidRPr="00EB049C">
        <w:rPr>
          <w:rFonts w:hAnsi="宋体" w:hint="eastAsia"/>
          <w:sz w:val="21"/>
          <w:szCs w:val="21"/>
        </w:rPr>
        <w:t>后续手术干预</w:t>
      </w:r>
      <w:bookmarkEnd w:id="33"/>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一些并发症会导致进行后续手术干预。</w:t>
      </w:r>
      <w:r w:rsidRPr="00EB049C">
        <w:rPr>
          <w:sz w:val="21"/>
          <w:szCs w:val="21"/>
        </w:rPr>
        <w:t>FDA</w:t>
      </w:r>
      <w:r w:rsidRPr="00EB049C">
        <w:rPr>
          <w:rFonts w:hAnsi="宋体" w:hint="eastAsia"/>
          <w:sz w:val="21"/>
          <w:szCs w:val="21"/>
        </w:rPr>
        <w:t>把后续手术干预分成了以下几类：</w:t>
      </w:r>
    </w:p>
    <w:p w:rsidR="008F17E4" w:rsidRPr="00EB049C" w:rsidRDefault="008F17E4" w:rsidP="003E190C">
      <w:pPr>
        <w:pStyle w:val="Default"/>
        <w:numPr>
          <w:ilvl w:val="0"/>
          <w:numId w:val="13"/>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u w:val="single"/>
        </w:rPr>
        <w:t>翻修</w:t>
      </w:r>
      <w:r w:rsidRPr="00EB049C">
        <w:rPr>
          <w:rFonts w:hAnsi="宋体" w:hint="eastAsia"/>
          <w:color w:val="auto"/>
          <w:sz w:val="21"/>
          <w:szCs w:val="21"/>
        </w:rPr>
        <w:t>是一项调整或以任何改良或移除部分原有植入物配置为方式的手术，可能会置换某一组件，也可能不会。翻修可能也包括调整原有配置的位置。</w:t>
      </w:r>
      <w:r w:rsidRPr="00EB049C">
        <w:rPr>
          <w:color w:val="auto"/>
          <w:sz w:val="21"/>
          <w:szCs w:val="21"/>
        </w:rPr>
        <w:t>.</w:t>
      </w:r>
    </w:p>
    <w:p w:rsidR="008F17E4" w:rsidRPr="00EB049C" w:rsidRDefault="008F17E4" w:rsidP="003E190C">
      <w:pPr>
        <w:pStyle w:val="Default"/>
        <w:numPr>
          <w:ilvl w:val="0"/>
          <w:numId w:val="13"/>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u w:val="single"/>
        </w:rPr>
        <w:t>移除</w:t>
      </w:r>
      <w:r w:rsidRPr="00EB049C">
        <w:rPr>
          <w:rFonts w:hAnsi="宋体" w:hint="eastAsia"/>
          <w:color w:val="auto"/>
          <w:sz w:val="21"/>
          <w:szCs w:val="21"/>
        </w:rPr>
        <w:t>是一项取出所有原系统配置的手术，伴或不伴置换。</w:t>
      </w:r>
    </w:p>
    <w:p w:rsidR="008F17E4" w:rsidRPr="00EB049C" w:rsidRDefault="008F17E4" w:rsidP="003E190C">
      <w:pPr>
        <w:pStyle w:val="Default"/>
        <w:numPr>
          <w:ilvl w:val="0"/>
          <w:numId w:val="13"/>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u w:val="single"/>
        </w:rPr>
        <w:t>再手术</w:t>
      </w:r>
      <w:r w:rsidRPr="00EB049C">
        <w:rPr>
          <w:rFonts w:hAnsi="宋体" w:hint="eastAsia"/>
          <w:color w:val="auto"/>
          <w:sz w:val="21"/>
          <w:szCs w:val="21"/>
        </w:rPr>
        <w:t>是在不能移除、修改或添加任何组件至系统所涉及的节段上再次实施的任何手术。</w:t>
      </w:r>
    </w:p>
    <w:p w:rsidR="008F17E4" w:rsidRPr="00EB049C" w:rsidRDefault="008F17E4" w:rsidP="003E190C">
      <w:pPr>
        <w:pStyle w:val="Default"/>
        <w:numPr>
          <w:ilvl w:val="0"/>
          <w:numId w:val="13"/>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u w:val="single"/>
        </w:rPr>
        <w:t>补充固定</w:t>
      </w:r>
      <w:r w:rsidRPr="00EB049C">
        <w:rPr>
          <w:rFonts w:hAnsi="宋体" w:hint="eastAsia"/>
          <w:color w:val="auto"/>
          <w:sz w:val="21"/>
          <w:szCs w:val="21"/>
        </w:rPr>
        <w:t>是一项植入研究方案中未试验的其他器具的手术（如，钉棒</w:t>
      </w:r>
      <w:r w:rsidRPr="00EB049C">
        <w:rPr>
          <w:color w:val="auto"/>
          <w:sz w:val="21"/>
          <w:szCs w:val="21"/>
        </w:rPr>
        <w:t>/</w:t>
      </w:r>
      <w:r w:rsidRPr="00EB049C">
        <w:rPr>
          <w:rFonts w:hAnsi="宋体" w:hint="eastAsia"/>
          <w:color w:val="auto"/>
          <w:sz w:val="21"/>
          <w:szCs w:val="21"/>
        </w:rPr>
        <w:t>螺钉系统或钢板</w:t>
      </w:r>
      <w:r w:rsidRPr="00EB049C">
        <w:rPr>
          <w:color w:val="auto"/>
          <w:sz w:val="21"/>
          <w:szCs w:val="21"/>
        </w:rPr>
        <w:t>/</w:t>
      </w:r>
      <w:r w:rsidRPr="00EB049C">
        <w:rPr>
          <w:rFonts w:hAnsi="宋体" w:hint="eastAsia"/>
          <w:color w:val="auto"/>
          <w:sz w:val="21"/>
          <w:szCs w:val="21"/>
        </w:rPr>
        <w:t>螺钉系统）。</w:t>
      </w:r>
    </w:p>
    <w:p w:rsidR="008F17E4" w:rsidRPr="00EB049C" w:rsidRDefault="0093559A" w:rsidP="003E190C">
      <w:pPr>
        <w:pStyle w:val="CM44"/>
        <w:snapToGrid w:val="0"/>
        <w:spacing w:beforeLines="50" w:after="0" w:line="360" w:lineRule="auto"/>
        <w:ind w:leftChars="200" w:left="420"/>
        <w:jc w:val="both"/>
        <w:rPr>
          <w:sz w:val="21"/>
          <w:szCs w:val="21"/>
        </w:rPr>
      </w:pPr>
      <w:r w:rsidRPr="00EB049C">
        <w:rPr>
          <w:rFonts w:hAnsi="宋体" w:hint="eastAsia"/>
          <w:sz w:val="21"/>
          <w:szCs w:val="21"/>
        </w:rPr>
        <w:t>申办方</w:t>
      </w:r>
      <w:r w:rsidR="008F17E4" w:rsidRPr="00EB049C">
        <w:rPr>
          <w:rFonts w:hAnsi="宋体" w:hint="eastAsia"/>
          <w:sz w:val="21"/>
          <w:szCs w:val="21"/>
        </w:rPr>
        <w:t>应该把上述四项后续手术干预合并到研究方案中，作为潜在风险。最为重要的是，</w:t>
      </w:r>
      <w:r w:rsidRPr="00EB049C">
        <w:rPr>
          <w:rFonts w:hAnsi="宋体" w:hint="eastAsia"/>
          <w:sz w:val="21"/>
          <w:szCs w:val="21"/>
        </w:rPr>
        <w:t>申办方</w:t>
      </w:r>
      <w:r w:rsidR="008F17E4" w:rsidRPr="00EB049C">
        <w:rPr>
          <w:rFonts w:hAnsi="宋体" w:hint="eastAsia"/>
          <w:sz w:val="21"/>
          <w:szCs w:val="21"/>
        </w:rPr>
        <w:t>应该捕获每项后续手术干预的原因以及采取的措施（如，螺钉置换、额外骨移植材料的布置等等）。除了展示合并至上述四类中的后续手术干预的数据，还应该把每一个类别进一步分类。例如，翻修类数据展示可能被分层为转换护架翻修、螺钉移除等等，这取决于特定研究中标识的原因。另一个例子是，移除类数据可能被分层为融合后手术部位疼痛消除、假关节等等。</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sz w:val="21"/>
          <w:szCs w:val="21"/>
        </w:rPr>
        <w:t>FDA</w:t>
      </w:r>
      <w:r w:rsidRPr="00EB049C">
        <w:rPr>
          <w:rFonts w:hAnsi="宋体" w:hint="eastAsia"/>
          <w:sz w:val="21"/>
          <w:szCs w:val="21"/>
        </w:rPr>
        <w:t>认为，实施移除的一些原因可能会导致研究失败，但这也主要取决于器械的类型。</w:t>
      </w:r>
      <w:r w:rsidR="0093559A" w:rsidRPr="00EB049C">
        <w:rPr>
          <w:rFonts w:hAnsi="宋体" w:hint="eastAsia"/>
          <w:sz w:val="21"/>
          <w:szCs w:val="21"/>
        </w:rPr>
        <w:t>申办方</w:t>
      </w:r>
      <w:r w:rsidRPr="00EB049C">
        <w:rPr>
          <w:rFonts w:hAnsi="宋体" w:hint="eastAsia"/>
          <w:sz w:val="21"/>
          <w:szCs w:val="21"/>
        </w:rPr>
        <w:t>应该明确标识导致患者研究失败的移除原因有哪些，并说明基本依据例如，任何时候移除护架都应该会构成失败，但移除融合后的椎弓根螺钉系统则可能不会。如果方案中建议对指定脊柱系统进行移除手术，则</w:t>
      </w:r>
      <w:r w:rsidR="0093559A" w:rsidRPr="00EB049C">
        <w:rPr>
          <w:rFonts w:hAnsi="宋体" w:hint="eastAsia"/>
          <w:sz w:val="21"/>
          <w:szCs w:val="21"/>
        </w:rPr>
        <w:t>申办方</w:t>
      </w:r>
      <w:r w:rsidRPr="00EB049C">
        <w:rPr>
          <w:rFonts w:hAnsi="宋体" w:hint="eastAsia"/>
          <w:sz w:val="21"/>
          <w:szCs w:val="21"/>
        </w:rPr>
        <w:t>应该在其方案中明确指示出将如何从研究成功和失败的方面来解释这类移除术。此外，</w:t>
      </w:r>
      <w:r w:rsidR="0093559A" w:rsidRPr="00EB049C">
        <w:rPr>
          <w:rFonts w:hAnsi="宋体" w:hint="eastAsia"/>
          <w:sz w:val="21"/>
          <w:szCs w:val="21"/>
        </w:rPr>
        <w:t>申办方</w:t>
      </w:r>
      <w:r w:rsidRPr="00EB049C">
        <w:rPr>
          <w:rFonts w:hAnsi="宋体" w:hint="eastAsia"/>
          <w:sz w:val="21"/>
          <w:szCs w:val="21"/>
        </w:rPr>
        <w:t>还应该标识出构成患者失败的其他所有的后续手术干预。</w:t>
      </w:r>
    </w:p>
    <w:p w:rsidR="008F17E4" w:rsidRPr="00EB049C" w:rsidRDefault="008F17E4" w:rsidP="003E190C">
      <w:pPr>
        <w:pStyle w:val="CM45"/>
        <w:snapToGrid w:val="0"/>
        <w:spacing w:beforeLines="50" w:after="0" w:line="360" w:lineRule="auto"/>
        <w:jc w:val="both"/>
        <w:outlineLvl w:val="2"/>
        <w:rPr>
          <w:sz w:val="21"/>
          <w:szCs w:val="21"/>
        </w:rPr>
      </w:pPr>
      <w:bookmarkStart w:id="34" w:name="_Toc480641601"/>
      <w:r w:rsidRPr="00EB049C">
        <w:rPr>
          <w:sz w:val="21"/>
          <w:szCs w:val="21"/>
        </w:rPr>
        <w:t>9.2</w:t>
      </w:r>
      <w:r w:rsidRPr="00EB049C">
        <w:rPr>
          <w:sz w:val="21"/>
          <w:szCs w:val="21"/>
        </w:rPr>
        <w:tab/>
      </w:r>
      <w:r w:rsidRPr="00EB049C">
        <w:rPr>
          <w:rFonts w:hAnsi="宋体" w:hint="eastAsia"/>
          <w:sz w:val="21"/>
          <w:szCs w:val="21"/>
        </w:rPr>
        <w:t>神经功能状况</w:t>
      </w:r>
      <w:bookmarkEnd w:id="34"/>
    </w:p>
    <w:p w:rsidR="008F17E4" w:rsidRPr="00EB049C" w:rsidRDefault="008F17E4" w:rsidP="003E190C">
      <w:pPr>
        <w:pStyle w:val="CM23"/>
        <w:snapToGrid w:val="0"/>
        <w:spacing w:beforeLines="50" w:line="360" w:lineRule="auto"/>
        <w:ind w:leftChars="200" w:left="420"/>
        <w:jc w:val="both"/>
        <w:rPr>
          <w:sz w:val="21"/>
          <w:szCs w:val="21"/>
        </w:rPr>
      </w:pPr>
      <w:r w:rsidRPr="00EB049C">
        <w:rPr>
          <w:rFonts w:hAnsi="宋体" w:hint="eastAsia"/>
          <w:sz w:val="21"/>
          <w:szCs w:val="21"/>
        </w:rPr>
        <w:t>鉴于脊柱手术的潜在风险，特别是邻近脊髓和脊髓的脆弱性，应该执行全面的神经系统评价。虽然患者术前不大可能出现神经机能障碍，但脊柱手术可能会带来脊髓损伤和其他神经系统损伤的风险，故有必要进行全面评价。所以，评估应该包括运动、感觉和反射评价，并且对于腰椎研究，还要进行直腿抬高评价。</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sz w:val="21"/>
          <w:szCs w:val="21"/>
        </w:rPr>
        <w:br w:type="page"/>
      </w:r>
      <w:r w:rsidRPr="00EB049C">
        <w:rPr>
          <w:rFonts w:hAnsi="宋体" w:hint="eastAsia"/>
          <w:sz w:val="21"/>
          <w:szCs w:val="21"/>
        </w:rPr>
        <w:lastRenderedPageBreak/>
        <w:t>目前有很多不同的评估工具可以实施神经性结果评价。最重要的是选择一项能够敏感捕获研究中患者人群预期变化的工具。很多接受脊柱植入手术的患者并没有都遭受严重的神经系统损害，故并不是所有的脊柱损伤评估工具都能完全捕获这些变化。虽然</w:t>
      </w:r>
      <w:r w:rsidRPr="00EB049C">
        <w:rPr>
          <w:sz w:val="21"/>
          <w:szCs w:val="21"/>
        </w:rPr>
        <w:t>Frankel</w:t>
      </w:r>
      <w:r w:rsidRPr="00EB049C">
        <w:rPr>
          <w:rFonts w:hAnsi="宋体" w:hint="eastAsia"/>
          <w:sz w:val="21"/>
          <w:szCs w:val="21"/>
        </w:rPr>
        <w:t>量表能够区分脊髓损伤的严重程度，但并不适合作为神经系统相对完整的患者队列的评估工具。重要的是明白，被脊髓损伤评估工具归类为轻度的变化可能会给先前神经系统完整的患者带来毁灭性损害。因此，应该对这类工具进行仔细评价，谨慎使用。</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一项详细的神经系统评估应该能捕获运动、感觉和反射部分各个程度的变化。感觉评价应该按皮区水平进行。运动评价应该测量所涉节段远端主要肌肉群的强度。对于腰椎手术，应该进行直腿抬高试验，并按再现症状所要求的运动程度记录下各结果。</w:t>
      </w:r>
    </w:p>
    <w:p w:rsidR="008F17E4" w:rsidRPr="00EB049C" w:rsidRDefault="008F17E4" w:rsidP="003E190C">
      <w:pPr>
        <w:pStyle w:val="CM45"/>
        <w:snapToGrid w:val="0"/>
        <w:spacing w:beforeLines="50" w:after="0" w:line="336" w:lineRule="auto"/>
        <w:jc w:val="both"/>
        <w:outlineLvl w:val="1"/>
        <w:rPr>
          <w:sz w:val="21"/>
          <w:szCs w:val="21"/>
        </w:rPr>
      </w:pPr>
      <w:bookmarkStart w:id="35" w:name="_Toc480641602"/>
      <w:r w:rsidRPr="00EB049C">
        <w:rPr>
          <w:sz w:val="21"/>
          <w:szCs w:val="21"/>
        </w:rPr>
        <w:t>10.</w:t>
      </w:r>
      <w:r w:rsidRPr="00EB049C">
        <w:rPr>
          <w:sz w:val="21"/>
          <w:szCs w:val="21"/>
        </w:rPr>
        <w:tab/>
      </w:r>
      <w:r w:rsidRPr="00EB049C">
        <w:rPr>
          <w:rFonts w:hAnsi="宋体" w:hint="eastAsia"/>
          <w:sz w:val="21"/>
          <w:szCs w:val="21"/>
        </w:rPr>
        <w:t>患者</w:t>
      </w:r>
      <w:r w:rsidRPr="00EB049C">
        <w:rPr>
          <w:sz w:val="21"/>
          <w:szCs w:val="21"/>
        </w:rPr>
        <w:t>/</w:t>
      </w:r>
      <w:r w:rsidRPr="00EB049C">
        <w:rPr>
          <w:rFonts w:hAnsi="宋体" w:hint="eastAsia"/>
          <w:sz w:val="21"/>
          <w:szCs w:val="21"/>
        </w:rPr>
        <w:t>研究成功</w:t>
      </w:r>
      <w:bookmarkEnd w:id="35"/>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患者成功将用来评估研究组内单个患者的成功率。这一信息将作为标签的部分内容。研究成功将用于确定试验组和对照组之间的安全性和有效性。</w:t>
      </w:r>
    </w:p>
    <w:p w:rsidR="008F17E4" w:rsidRPr="00EB049C" w:rsidRDefault="008F17E4" w:rsidP="003E190C">
      <w:pPr>
        <w:pStyle w:val="CM45"/>
        <w:snapToGrid w:val="0"/>
        <w:spacing w:beforeLines="50" w:after="0" w:line="336" w:lineRule="auto"/>
        <w:ind w:leftChars="200" w:left="420"/>
        <w:jc w:val="both"/>
        <w:rPr>
          <w:sz w:val="21"/>
          <w:szCs w:val="21"/>
        </w:rPr>
      </w:pPr>
      <w:r w:rsidRPr="00EB049C">
        <w:rPr>
          <w:rFonts w:hAnsi="宋体" w:hint="eastAsia"/>
          <w:sz w:val="21"/>
          <w:szCs w:val="21"/>
        </w:rPr>
        <w:t>鉴于数据丢失或删失（不完整），研究结束时（如，</w:t>
      </w:r>
      <w:r w:rsidRPr="00EB049C">
        <w:rPr>
          <w:sz w:val="21"/>
          <w:szCs w:val="21"/>
        </w:rPr>
        <w:t>2</w:t>
      </w:r>
      <w:r w:rsidRPr="00EB049C">
        <w:rPr>
          <w:rFonts w:hAnsi="宋体" w:hint="eastAsia"/>
          <w:sz w:val="21"/>
          <w:szCs w:val="21"/>
        </w:rPr>
        <w:t>年）可能没有足够多的患者人数接受评价，因此</w:t>
      </w:r>
      <w:r w:rsidR="0093559A" w:rsidRPr="00EB049C">
        <w:rPr>
          <w:rFonts w:hAnsi="宋体" w:hint="eastAsia"/>
          <w:sz w:val="21"/>
          <w:szCs w:val="21"/>
        </w:rPr>
        <w:t>申办方</w:t>
      </w:r>
      <w:r w:rsidRPr="00EB049C">
        <w:rPr>
          <w:rFonts w:hAnsi="宋体" w:hint="eastAsia"/>
          <w:sz w:val="21"/>
          <w:szCs w:val="21"/>
        </w:rPr>
        <w:t>应该执行适当的统计分析，如第</w:t>
      </w:r>
      <w:r w:rsidRPr="00EB049C">
        <w:rPr>
          <w:sz w:val="21"/>
          <w:szCs w:val="21"/>
        </w:rPr>
        <w:t>11</w:t>
      </w:r>
      <w:r w:rsidRPr="00EB049C">
        <w:rPr>
          <w:rFonts w:hAnsi="宋体" w:hint="eastAsia"/>
          <w:sz w:val="21"/>
          <w:szCs w:val="21"/>
        </w:rPr>
        <w:t>部分所述。</w:t>
      </w:r>
    </w:p>
    <w:p w:rsidR="008F17E4" w:rsidRPr="00EB049C" w:rsidRDefault="008F17E4" w:rsidP="003E190C">
      <w:pPr>
        <w:pStyle w:val="CM45"/>
        <w:snapToGrid w:val="0"/>
        <w:spacing w:beforeLines="50" w:after="0" w:line="336" w:lineRule="auto"/>
        <w:ind w:leftChars="200" w:left="420"/>
        <w:jc w:val="both"/>
        <w:outlineLvl w:val="2"/>
        <w:rPr>
          <w:sz w:val="21"/>
          <w:szCs w:val="21"/>
        </w:rPr>
      </w:pPr>
      <w:bookmarkStart w:id="36" w:name="_Toc480641603"/>
      <w:r w:rsidRPr="00EB049C">
        <w:rPr>
          <w:sz w:val="21"/>
          <w:szCs w:val="21"/>
        </w:rPr>
        <w:t>10.1</w:t>
      </w:r>
      <w:r w:rsidRPr="00EB049C">
        <w:rPr>
          <w:sz w:val="21"/>
          <w:szCs w:val="21"/>
        </w:rPr>
        <w:tab/>
      </w:r>
      <w:r w:rsidRPr="00EB049C">
        <w:rPr>
          <w:rFonts w:hAnsi="宋体" w:hint="eastAsia"/>
          <w:sz w:val="21"/>
          <w:szCs w:val="21"/>
        </w:rPr>
        <w:t>患者成功</w:t>
      </w:r>
      <w:bookmarkEnd w:id="36"/>
    </w:p>
    <w:p w:rsidR="008F17E4" w:rsidRPr="00EB049C" w:rsidRDefault="008F17E4"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t>患者的成功应该最少基于融合（或非融合系统的放射学成功）、疼痛和功能以及无永久性神经功能缺损的主要评价参数的成功。根据拟定的患者人群、研究设计和研究目标，可能也会进行其他方面的评估。</w:t>
      </w:r>
    </w:p>
    <w:p w:rsidR="008F17E4" w:rsidRPr="00EB049C" w:rsidRDefault="008F17E4" w:rsidP="003E190C">
      <w:pPr>
        <w:pStyle w:val="CM20"/>
        <w:snapToGrid w:val="0"/>
        <w:spacing w:beforeLines="50" w:line="336" w:lineRule="auto"/>
        <w:ind w:leftChars="400" w:left="840"/>
        <w:jc w:val="both"/>
        <w:rPr>
          <w:sz w:val="21"/>
          <w:szCs w:val="21"/>
        </w:rPr>
      </w:pPr>
      <w:r w:rsidRPr="00EB049C">
        <w:rPr>
          <w:rFonts w:hAnsi="宋体" w:hint="eastAsia"/>
          <w:sz w:val="21"/>
          <w:szCs w:val="21"/>
        </w:rPr>
        <w:t>每个术后时间点时都应该提供单个患者成功率，但是要特别关注研究终点（如，</w:t>
      </w:r>
      <w:r w:rsidRPr="00EB049C">
        <w:rPr>
          <w:sz w:val="21"/>
          <w:szCs w:val="21"/>
        </w:rPr>
        <w:t>2</w:t>
      </w:r>
      <w:r w:rsidRPr="00EB049C">
        <w:rPr>
          <w:rFonts w:hAnsi="宋体" w:hint="eastAsia"/>
          <w:sz w:val="21"/>
          <w:szCs w:val="21"/>
        </w:rPr>
        <w:t>年）时的结果。</w:t>
      </w:r>
    </w:p>
    <w:p w:rsidR="008F17E4" w:rsidRPr="00EB049C" w:rsidRDefault="008F17E4" w:rsidP="003E190C">
      <w:pPr>
        <w:pStyle w:val="CM45"/>
        <w:snapToGrid w:val="0"/>
        <w:spacing w:beforeLines="50" w:after="0" w:line="336" w:lineRule="auto"/>
        <w:ind w:leftChars="200" w:left="420"/>
        <w:jc w:val="both"/>
        <w:outlineLvl w:val="2"/>
        <w:rPr>
          <w:sz w:val="21"/>
          <w:szCs w:val="21"/>
        </w:rPr>
      </w:pPr>
      <w:bookmarkStart w:id="37" w:name="_Toc480641604"/>
      <w:r w:rsidRPr="00EB049C">
        <w:rPr>
          <w:sz w:val="21"/>
          <w:szCs w:val="21"/>
        </w:rPr>
        <w:t>10.2</w:t>
      </w:r>
      <w:r w:rsidRPr="00EB049C">
        <w:rPr>
          <w:sz w:val="21"/>
          <w:szCs w:val="21"/>
        </w:rPr>
        <w:tab/>
      </w:r>
      <w:r w:rsidRPr="00EB049C">
        <w:rPr>
          <w:rFonts w:hAnsi="宋体" w:hint="eastAsia"/>
          <w:sz w:val="21"/>
          <w:szCs w:val="21"/>
        </w:rPr>
        <w:t>研究成功</w:t>
      </w:r>
      <w:bookmarkEnd w:id="37"/>
    </w:p>
    <w:p w:rsidR="008F17E4" w:rsidRPr="00EB049C" w:rsidRDefault="008F17E4"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t>研究成功将考虑治疗的目标和与对照组的比较，以及研究目标（如，</w:t>
      </w:r>
      <w:r w:rsidR="00CF193F" w:rsidRPr="00EB049C">
        <w:rPr>
          <w:rFonts w:hAnsi="宋体" w:hint="eastAsia"/>
          <w:sz w:val="21"/>
          <w:szCs w:val="21"/>
        </w:rPr>
        <w:t>优效性</w:t>
      </w:r>
      <w:r w:rsidRPr="00EB049C">
        <w:rPr>
          <w:rFonts w:hAnsi="宋体" w:hint="eastAsia"/>
          <w:sz w:val="21"/>
          <w:szCs w:val="21"/>
        </w:rPr>
        <w:t>或等效性）。最低程度上，所有的主要评价参数以及安全</w:t>
      </w:r>
      <w:r w:rsidR="00CF193F" w:rsidRPr="00EB049C">
        <w:rPr>
          <w:rFonts w:hAnsi="宋体" w:hint="eastAsia"/>
          <w:sz w:val="21"/>
          <w:szCs w:val="21"/>
        </w:rPr>
        <w:t>性</w:t>
      </w:r>
      <w:r w:rsidRPr="00EB049C">
        <w:rPr>
          <w:rFonts w:hAnsi="宋体" w:hint="eastAsia"/>
          <w:sz w:val="21"/>
          <w:szCs w:val="21"/>
        </w:rPr>
        <w:t>信息都应该在研究成功定义中占据一定的份额。</w:t>
      </w:r>
    </w:p>
    <w:p w:rsidR="008F17E4" w:rsidRPr="00EB049C" w:rsidRDefault="008F17E4" w:rsidP="003E190C">
      <w:pPr>
        <w:pStyle w:val="CM27"/>
        <w:snapToGrid w:val="0"/>
        <w:spacing w:beforeLines="50" w:line="336" w:lineRule="auto"/>
        <w:ind w:leftChars="400" w:left="840"/>
        <w:jc w:val="both"/>
        <w:rPr>
          <w:sz w:val="21"/>
          <w:szCs w:val="21"/>
        </w:rPr>
      </w:pPr>
      <w:r w:rsidRPr="00EB049C">
        <w:rPr>
          <w:rFonts w:hAnsi="宋体" w:hint="eastAsia"/>
          <w:sz w:val="21"/>
          <w:szCs w:val="21"/>
        </w:rPr>
        <w:t>以单个患者成功率比较为基础的腰椎等效性研究的研究成功标准实例之一如下所示：</w:t>
      </w:r>
    </w:p>
    <w:p w:rsidR="008F17E4" w:rsidRPr="00EB049C" w:rsidRDefault="008F17E4" w:rsidP="003E190C">
      <w:pPr>
        <w:pStyle w:val="Default"/>
        <w:numPr>
          <w:ilvl w:val="0"/>
          <w:numId w:val="14"/>
        </w:numPr>
        <w:snapToGrid w:val="0"/>
        <w:spacing w:beforeLines="50" w:line="336" w:lineRule="auto"/>
        <w:ind w:leftChars="400" w:left="840" w:firstLine="0"/>
        <w:jc w:val="both"/>
        <w:rPr>
          <w:color w:val="auto"/>
          <w:sz w:val="21"/>
          <w:szCs w:val="21"/>
        </w:rPr>
      </w:pPr>
      <w:r w:rsidRPr="00EB049C">
        <w:rPr>
          <w:rFonts w:hAnsi="宋体" w:hint="eastAsia"/>
          <w:i/>
          <w:iCs/>
          <w:color w:val="auto"/>
          <w:sz w:val="21"/>
          <w:szCs w:val="21"/>
        </w:rPr>
        <w:t>试验组的患者成功率不差于对照组患者；和</w:t>
      </w:r>
    </w:p>
    <w:p w:rsidR="008F17E4" w:rsidRPr="00EB049C" w:rsidRDefault="008F17E4" w:rsidP="003E190C">
      <w:pPr>
        <w:pStyle w:val="Default"/>
        <w:numPr>
          <w:ilvl w:val="0"/>
          <w:numId w:val="14"/>
        </w:numPr>
        <w:snapToGrid w:val="0"/>
        <w:spacing w:beforeLines="50" w:line="336" w:lineRule="auto"/>
        <w:ind w:leftChars="400" w:left="840" w:firstLine="0"/>
        <w:jc w:val="both"/>
        <w:rPr>
          <w:color w:val="auto"/>
          <w:sz w:val="21"/>
          <w:szCs w:val="21"/>
        </w:rPr>
      </w:pPr>
      <w:r w:rsidRPr="00EB049C">
        <w:rPr>
          <w:rFonts w:hAnsi="宋体" w:hint="eastAsia"/>
          <w:i/>
          <w:iCs/>
          <w:color w:val="auto"/>
          <w:sz w:val="21"/>
          <w:szCs w:val="21"/>
        </w:rPr>
        <w:t>试验组的并发症率（包括后续手术干预和神经系统并发症）不差于对照组。</w:t>
      </w:r>
      <w:r w:rsidRPr="00EB049C">
        <w:rPr>
          <w:i/>
          <w:iCs/>
          <w:color w:val="auto"/>
          <w:sz w:val="21"/>
          <w:szCs w:val="21"/>
        </w:rPr>
        <w:t>.</w:t>
      </w:r>
    </w:p>
    <w:p w:rsidR="008F17E4" w:rsidRPr="00EB049C" w:rsidRDefault="0093559A"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t>申办方</w:t>
      </w:r>
      <w:r w:rsidR="008F17E4" w:rsidRPr="00EB049C">
        <w:rPr>
          <w:rFonts w:hAnsi="宋体" w:hint="eastAsia"/>
          <w:sz w:val="21"/>
          <w:szCs w:val="21"/>
        </w:rPr>
        <w:t>应该明确标识和合理说明用来定义</w:t>
      </w:r>
      <w:r w:rsidR="008F17E4" w:rsidRPr="00EB049C">
        <w:rPr>
          <w:sz w:val="21"/>
          <w:szCs w:val="21"/>
        </w:rPr>
        <w:t>“</w:t>
      </w:r>
      <w:r w:rsidR="008F17E4" w:rsidRPr="00EB049C">
        <w:rPr>
          <w:rFonts w:hAnsi="宋体" w:hint="eastAsia"/>
          <w:sz w:val="21"/>
          <w:szCs w:val="21"/>
        </w:rPr>
        <w:t>不差于</w:t>
      </w:r>
      <w:r w:rsidR="008F17E4" w:rsidRPr="00EB049C">
        <w:rPr>
          <w:sz w:val="21"/>
          <w:szCs w:val="21"/>
        </w:rPr>
        <w:t>”</w:t>
      </w:r>
      <w:r w:rsidR="008F17E4" w:rsidRPr="00EB049C">
        <w:rPr>
          <w:rFonts w:hAnsi="宋体" w:hint="eastAsia"/>
          <w:sz w:val="21"/>
          <w:szCs w:val="21"/>
        </w:rPr>
        <w:t>的预定容许差（</w:t>
      </w:r>
      <w:r w:rsidR="008F17E4" w:rsidRPr="00EB049C">
        <w:rPr>
          <w:sz w:val="21"/>
          <w:szCs w:val="20"/>
        </w:rPr>
        <w:sym w:font="Symbol" w:char="F044"/>
      </w:r>
      <w:r w:rsidR="008F17E4" w:rsidRPr="00EB049C">
        <w:rPr>
          <w:rFonts w:hAnsi="宋体" w:hint="eastAsia"/>
          <w:sz w:val="21"/>
          <w:szCs w:val="21"/>
        </w:rPr>
        <w:t>）。</w:t>
      </w:r>
    </w:p>
    <w:p w:rsidR="008F17E4" w:rsidRPr="00EB049C" w:rsidRDefault="008F17E4"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t>根据</w:t>
      </w:r>
      <w:r w:rsidR="0093559A" w:rsidRPr="00EB049C">
        <w:rPr>
          <w:rFonts w:hAnsi="宋体" w:hint="eastAsia"/>
          <w:sz w:val="21"/>
          <w:szCs w:val="21"/>
        </w:rPr>
        <w:t>申办方</w:t>
      </w:r>
      <w:r w:rsidRPr="00EB049C">
        <w:rPr>
          <w:rFonts w:hAnsi="宋体" w:hint="eastAsia"/>
          <w:sz w:val="21"/>
          <w:szCs w:val="21"/>
        </w:rPr>
        <w:t>可能提出的声明（如，更快的融合时间、较早时间点时的疼痛减轻等），把纵向、趋势和存活分析（下文第</w:t>
      </w:r>
      <w:r w:rsidRPr="00EB049C">
        <w:rPr>
          <w:sz w:val="21"/>
          <w:szCs w:val="21"/>
        </w:rPr>
        <w:t>11.2</w:t>
      </w:r>
      <w:r w:rsidRPr="00EB049C">
        <w:rPr>
          <w:rFonts w:hAnsi="宋体" w:hint="eastAsia"/>
          <w:sz w:val="21"/>
          <w:szCs w:val="21"/>
        </w:rPr>
        <w:t>部分）合并作为研究成功标准的一部分，可能也比较适当。</w:t>
      </w:r>
    </w:p>
    <w:p w:rsidR="008F17E4" w:rsidRPr="00EB049C" w:rsidRDefault="008F17E4"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lastRenderedPageBreak/>
        <w:t>每个术后时间点时都应该提供研究成功率，但将特别关注研究终点（如，</w:t>
      </w:r>
      <w:r w:rsidRPr="00EB049C">
        <w:rPr>
          <w:sz w:val="21"/>
          <w:szCs w:val="21"/>
        </w:rPr>
        <w:t>2</w:t>
      </w:r>
      <w:r w:rsidRPr="00EB049C">
        <w:rPr>
          <w:rFonts w:hAnsi="宋体" w:hint="eastAsia"/>
          <w:sz w:val="21"/>
          <w:szCs w:val="21"/>
        </w:rPr>
        <w:t>年）时的结果。</w:t>
      </w:r>
    </w:p>
    <w:p w:rsidR="008F17E4" w:rsidRPr="00EB049C" w:rsidRDefault="008F17E4" w:rsidP="003E190C">
      <w:pPr>
        <w:pStyle w:val="CM45"/>
        <w:snapToGrid w:val="0"/>
        <w:spacing w:beforeLines="50" w:after="0" w:line="336" w:lineRule="auto"/>
        <w:jc w:val="both"/>
        <w:outlineLvl w:val="1"/>
        <w:rPr>
          <w:sz w:val="21"/>
          <w:szCs w:val="21"/>
        </w:rPr>
      </w:pPr>
      <w:bookmarkStart w:id="38" w:name="_Toc480641605"/>
      <w:r w:rsidRPr="00EB049C">
        <w:rPr>
          <w:sz w:val="21"/>
          <w:szCs w:val="21"/>
        </w:rPr>
        <w:t>11.</w:t>
      </w:r>
      <w:r w:rsidRPr="00EB049C">
        <w:rPr>
          <w:sz w:val="21"/>
          <w:szCs w:val="21"/>
        </w:rPr>
        <w:tab/>
      </w:r>
      <w:r w:rsidRPr="00EB049C">
        <w:rPr>
          <w:rFonts w:hAnsi="宋体" w:hint="eastAsia"/>
          <w:sz w:val="21"/>
          <w:szCs w:val="21"/>
        </w:rPr>
        <w:t>统计分析</w:t>
      </w:r>
      <w:r w:rsidRPr="00EB049C">
        <w:rPr>
          <w:sz w:val="21"/>
          <w:szCs w:val="21"/>
        </w:rPr>
        <w:t>/</w:t>
      </w:r>
      <w:r w:rsidRPr="00EB049C">
        <w:rPr>
          <w:rFonts w:hAnsi="宋体" w:hint="eastAsia"/>
          <w:sz w:val="21"/>
          <w:szCs w:val="21"/>
        </w:rPr>
        <w:t>数据表示</w:t>
      </w:r>
      <w:bookmarkEnd w:id="38"/>
    </w:p>
    <w:p w:rsidR="008F17E4" w:rsidRPr="00EB049C" w:rsidRDefault="008F17E4" w:rsidP="003E190C">
      <w:pPr>
        <w:pStyle w:val="CM45"/>
        <w:snapToGrid w:val="0"/>
        <w:spacing w:beforeLines="50" w:after="0" w:line="336" w:lineRule="auto"/>
        <w:ind w:leftChars="200" w:left="420"/>
        <w:jc w:val="both"/>
        <w:outlineLvl w:val="2"/>
        <w:rPr>
          <w:sz w:val="21"/>
          <w:szCs w:val="21"/>
        </w:rPr>
      </w:pPr>
      <w:bookmarkStart w:id="39" w:name="_Toc480641606"/>
      <w:r w:rsidRPr="00EB049C">
        <w:rPr>
          <w:sz w:val="21"/>
          <w:szCs w:val="21"/>
        </w:rPr>
        <w:t>11.1</w:t>
      </w:r>
      <w:r w:rsidRPr="00EB049C">
        <w:rPr>
          <w:sz w:val="21"/>
          <w:szCs w:val="21"/>
        </w:rPr>
        <w:tab/>
      </w:r>
      <w:r w:rsidRPr="00EB049C">
        <w:rPr>
          <w:rFonts w:hAnsi="宋体" w:hint="eastAsia"/>
          <w:sz w:val="21"/>
          <w:szCs w:val="21"/>
        </w:rPr>
        <w:t>统计分析</w:t>
      </w:r>
      <w:bookmarkEnd w:id="39"/>
    </w:p>
    <w:p w:rsidR="008F17E4" w:rsidRPr="00EB049C" w:rsidRDefault="008F17E4" w:rsidP="003E190C">
      <w:pPr>
        <w:pStyle w:val="CM45"/>
        <w:snapToGrid w:val="0"/>
        <w:spacing w:beforeLines="50" w:after="0" w:line="336" w:lineRule="auto"/>
        <w:ind w:leftChars="400" w:left="840"/>
        <w:jc w:val="both"/>
        <w:rPr>
          <w:sz w:val="21"/>
          <w:szCs w:val="21"/>
        </w:rPr>
      </w:pPr>
      <w:r w:rsidRPr="00EB049C">
        <w:rPr>
          <w:rFonts w:hAnsi="宋体" w:hint="eastAsia"/>
          <w:sz w:val="21"/>
          <w:szCs w:val="21"/>
        </w:rPr>
        <w:t>应该在</w:t>
      </w:r>
      <w:r w:rsidRPr="00EB049C">
        <w:rPr>
          <w:sz w:val="21"/>
          <w:szCs w:val="21"/>
        </w:rPr>
        <w:t>IDE</w:t>
      </w:r>
      <w:r w:rsidRPr="00EB049C">
        <w:rPr>
          <w:rFonts w:hAnsi="宋体" w:hint="eastAsia"/>
          <w:sz w:val="21"/>
          <w:szCs w:val="21"/>
        </w:rPr>
        <w:t>方案中提供完整的</w:t>
      </w:r>
      <w:r w:rsidR="00CF193F" w:rsidRPr="00EB049C">
        <w:rPr>
          <w:rFonts w:hAnsi="宋体" w:hint="eastAsia"/>
          <w:sz w:val="21"/>
          <w:szCs w:val="21"/>
        </w:rPr>
        <w:t>样本量</w:t>
      </w:r>
      <w:r w:rsidRPr="00EB049C">
        <w:rPr>
          <w:rFonts w:hAnsi="宋体" w:hint="eastAsia"/>
          <w:sz w:val="21"/>
          <w:szCs w:val="21"/>
        </w:rPr>
        <w:t>理由。</w:t>
      </w:r>
    </w:p>
    <w:p w:rsidR="008F17E4" w:rsidRPr="00EB049C" w:rsidRDefault="00CF193F" w:rsidP="003E190C">
      <w:pPr>
        <w:pStyle w:val="Default"/>
        <w:numPr>
          <w:ilvl w:val="0"/>
          <w:numId w:val="15"/>
        </w:numPr>
        <w:snapToGrid w:val="0"/>
        <w:spacing w:beforeLines="50" w:line="336" w:lineRule="auto"/>
        <w:ind w:leftChars="400" w:left="1262" w:hangingChars="200" w:hanging="422"/>
        <w:jc w:val="both"/>
        <w:rPr>
          <w:color w:val="auto"/>
          <w:sz w:val="21"/>
          <w:szCs w:val="21"/>
        </w:rPr>
      </w:pPr>
      <w:r w:rsidRPr="00EB049C">
        <w:rPr>
          <w:rFonts w:hAnsi="宋体" w:hint="eastAsia"/>
          <w:b/>
          <w:bCs/>
          <w:color w:val="auto"/>
          <w:sz w:val="21"/>
          <w:szCs w:val="21"/>
        </w:rPr>
        <w:t>样本量</w:t>
      </w:r>
      <w:r w:rsidR="008F17E4" w:rsidRPr="00EB049C">
        <w:rPr>
          <w:rFonts w:hAnsi="宋体" w:hint="eastAsia"/>
          <w:b/>
          <w:bCs/>
          <w:color w:val="auto"/>
          <w:sz w:val="21"/>
          <w:szCs w:val="21"/>
        </w:rPr>
        <w:t>理由</w:t>
      </w:r>
      <w:r w:rsidR="008F17E4" w:rsidRPr="00EB049C">
        <w:rPr>
          <w:color w:val="auto"/>
          <w:sz w:val="21"/>
          <w:szCs w:val="21"/>
        </w:rPr>
        <w:t xml:space="preserve"> – </w:t>
      </w:r>
      <w:r w:rsidR="008F17E4" w:rsidRPr="00EB049C">
        <w:rPr>
          <w:rFonts w:hAnsi="宋体" w:hint="eastAsia"/>
          <w:color w:val="auto"/>
          <w:sz w:val="21"/>
          <w:szCs w:val="21"/>
        </w:rPr>
        <w:t>对于即将入组研究的拟定患者人数，包括对照患者，应该提供统计依据。在指定功效、预设一类误差、结果预期变异性以及试验组与对照组的预期成功率和并发症率下，这一人数应该以检出试验组与对照组之间最小临床和统计性显著差异的能力为基础。此外，随时间的预期退出率</w:t>
      </w:r>
      <w:r w:rsidR="008F17E4" w:rsidRPr="00EB049C">
        <w:rPr>
          <w:color w:val="auto"/>
          <w:sz w:val="21"/>
          <w:szCs w:val="21"/>
        </w:rPr>
        <w:t>/</w:t>
      </w:r>
      <w:r w:rsidR="008F17E4" w:rsidRPr="00EB049C">
        <w:rPr>
          <w:rFonts w:hAnsi="宋体" w:hint="eastAsia"/>
          <w:color w:val="auto"/>
          <w:sz w:val="21"/>
          <w:szCs w:val="21"/>
        </w:rPr>
        <w:t>失访率也应该考虑，以调整</w:t>
      </w:r>
      <w:r w:rsidRPr="00EB049C">
        <w:rPr>
          <w:rFonts w:hAnsi="宋体" w:hint="eastAsia"/>
          <w:color w:val="auto"/>
          <w:sz w:val="21"/>
          <w:szCs w:val="21"/>
        </w:rPr>
        <w:t>样本量</w:t>
      </w:r>
      <w:r w:rsidR="008F17E4" w:rsidRPr="00EB049C">
        <w:rPr>
          <w:rFonts w:hAnsi="宋体" w:hint="eastAsia"/>
          <w:color w:val="auto"/>
          <w:sz w:val="21"/>
          <w:szCs w:val="21"/>
        </w:rPr>
        <w:t>。还应该考虑合并至研究设计内的变量数量（如，同种异体移植与自体移植用途、单节段与双节段或多节段脊柱融合等）。如果</w:t>
      </w:r>
      <w:r w:rsidR="008F17E4" w:rsidRPr="00EB049C">
        <w:rPr>
          <w:color w:val="auto"/>
          <w:sz w:val="21"/>
          <w:szCs w:val="21"/>
        </w:rPr>
        <w:t>PMA</w:t>
      </w:r>
      <w:r w:rsidR="008F17E4" w:rsidRPr="00EB049C">
        <w:rPr>
          <w:rFonts w:hAnsi="宋体" w:hint="eastAsia"/>
          <w:color w:val="auto"/>
          <w:sz w:val="21"/>
          <w:szCs w:val="21"/>
        </w:rPr>
        <w:t>或</w:t>
      </w:r>
      <w:r w:rsidR="008F17E4" w:rsidRPr="00EB049C">
        <w:rPr>
          <w:color w:val="auto"/>
          <w:sz w:val="21"/>
          <w:szCs w:val="21"/>
        </w:rPr>
        <w:t xml:space="preserve">510(k) </w:t>
      </w:r>
      <w:r w:rsidR="008F17E4" w:rsidRPr="00EB049C">
        <w:rPr>
          <w:rFonts w:hAnsi="宋体" w:hint="eastAsia"/>
          <w:color w:val="auto"/>
          <w:sz w:val="21"/>
          <w:szCs w:val="21"/>
        </w:rPr>
        <w:t>阶段时无法说明数据合并的合理性，则利用</w:t>
      </w:r>
      <w:r w:rsidR="008F17E4" w:rsidRPr="00EB049C">
        <w:rPr>
          <w:color w:val="auto"/>
          <w:sz w:val="21"/>
          <w:szCs w:val="21"/>
        </w:rPr>
        <w:t>IDE</w:t>
      </w:r>
      <w:r w:rsidR="008F17E4" w:rsidRPr="00EB049C">
        <w:rPr>
          <w:rFonts w:hAnsi="宋体" w:hint="eastAsia"/>
          <w:color w:val="auto"/>
          <w:sz w:val="21"/>
          <w:szCs w:val="21"/>
        </w:rPr>
        <w:t>方案中预设的亚组进行亚组分析可能有益。</w:t>
      </w:r>
    </w:p>
    <w:p w:rsidR="008F17E4" w:rsidRPr="00EB049C" w:rsidRDefault="008F17E4" w:rsidP="003E190C">
      <w:pPr>
        <w:pStyle w:val="Default"/>
        <w:snapToGrid w:val="0"/>
        <w:spacing w:beforeLines="50" w:line="336" w:lineRule="auto"/>
        <w:ind w:leftChars="400" w:left="840"/>
        <w:jc w:val="both"/>
        <w:rPr>
          <w:color w:val="auto"/>
          <w:sz w:val="21"/>
          <w:szCs w:val="21"/>
        </w:rPr>
      </w:pPr>
      <w:r w:rsidRPr="00EB049C">
        <w:rPr>
          <w:rFonts w:hAnsi="宋体" w:hint="eastAsia"/>
          <w:color w:val="auto"/>
          <w:sz w:val="21"/>
          <w:szCs w:val="21"/>
        </w:rPr>
        <w:t>此外，</w:t>
      </w:r>
      <w:r w:rsidRPr="00EB049C">
        <w:rPr>
          <w:color w:val="auto"/>
          <w:sz w:val="21"/>
          <w:szCs w:val="21"/>
        </w:rPr>
        <w:t>IDE</w:t>
      </w:r>
      <w:r w:rsidRPr="00EB049C">
        <w:rPr>
          <w:rFonts w:hAnsi="宋体" w:hint="eastAsia"/>
          <w:color w:val="auto"/>
          <w:sz w:val="21"/>
          <w:szCs w:val="21"/>
        </w:rPr>
        <w:t>方案应该包含关于针对</w:t>
      </w:r>
      <w:r w:rsidRPr="00EB049C">
        <w:rPr>
          <w:color w:val="auto"/>
          <w:sz w:val="21"/>
          <w:szCs w:val="21"/>
        </w:rPr>
        <w:t>PM</w:t>
      </w:r>
      <w:r w:rsidRPr="00EB049C">
        <w:rPr>
          <w:rFonts w:hAnsi="宋体" w:hint="eastAsia"/>
          <w:color w:val="auto"/>
          <w:sz w:val="21"/>
          <w:szCs w:val="21"/>
        </w:rPr>
        <w:t>或</w:t>
      </w:r>
      <w:r w:rsidRPr="00EB049C">
        <w:rPr>
          <w:color w:val="auto"/>
          <w:sz w:val="21"/>
          <w:szCs w:val="21"/>
        </w:rPr>
        <w:t>510(k)</w:t>
      </w:r>
      <w:r w:rsidRPr="00EB049C">
        <w:rPr>
          <w:rFonts w:hAnsi="宋体" w:hint="eastAsia"/>
          <w:color w:val="auto"/>
          <w:sz w:val="21"/>
          <w:szCs w:val="21"/>
        </w:rPr>
        <w:t>研究结果评估所执行的统计分析的类型说明。还应该提供治疗有效性评估中所利用的每一项统计分析的基本原理和说明。这包括在所有可比较随访时间下治疗组患者和对照组患者所有评价参数之间的适当统计比较。虽然器械有效性的统计证据非常重要，但单凭这一证据并不足以获得</w:t>
      </w:r>
      <w:r w:rsidRPr="00EB049C">
        <w:rPr>
          <w:color w:val="auto"/>
          <w:sz w:val="21"/>
          <w:szCs w:val="21"/>
        </w:rPr>
        <w:t xml:space="preserve">PDP </w:t>
      </w:r>
      <w:r w:rsidRPr="00EB049C">
        <w:rPr>
          <w:rFonts w:hAnsi="宋体" w:hint="eastAsia"/>
          <w:color w:val="auto"/>
          <w:sz w:val="21"/>
          <w:szCs w:val="21"/>
        </w:rPr>
        <w:t>或</w:t>
      </w:r>
      <w:r w:rsidRPr="00EB049C">
        <w:rPr>
          <w:color w:val="auto"/>
          <w:sz w:val="21"/>
          <w:szCs w:val="21"/>
        </w:rPr>
        <w:t>PMA</w:t>
      </w:r>
      <w:r w:rsidRPr="00EB049C">
        <w:rPr>
          <w:rFonts w:hAnsi="宋体" w:hint="eastAsia"/>
          <w:color w:val="auto"/>
          <w:sz w:val="21"/>
          <w:szCs w:val="21"/>
        </w:rPr>
        <w:t>批准或</w:t>
      </w:r>
      <w:r w:rsidRPr="00EB049C">
        <w:rPr>
          <w:color w:val="auto"/>
          <w:sz w:val="21"/>
          <w:szCs w:val="21"/>
        </w:rPr>
        <w:t>510(k)</w:t>
      </w:r>
      <w:r w:rsidRPr="00EB049C">
        <w:rPr>
          <w:rFonts w:hAnsi="宋体" w:hint="eastAsia"/>
          <w:color w:val="auto"/>
          <w:sz w:val="21"/>
          <w:szCs w:val="21"/>
        </w:rPr>
        <w:t>授权。</w:t>
      </w:r>
      <w:r w:rsidR="0093559A" w:rsidRPr="00EB049C">
        <w:rPr>
          <w:rFonts w:hAnsi="宋体" w:hint="eastAsia"/>
          <w:color w:val="auto"/>
          <w:sz w:val="21"/>
          <w:szCs w:val="21"/>
        </w:rPr>
        <w:t>申办方</w:t>
      </w:r>
      <w:r w:rsidRPr="00EB049C">
        <w:rPr>
          <w:rFonts w:hAnsi="宋体" w:hint="eastAsia"/>
          <w:color w:val="auto"/>
          <w:sz w:val="21"/>
          <w:szCs w:val="21"/>
        </w:rPr>
        <w:t>应该说明统计和临床显著性。</w:t>
      </w:r>
      <w:r w:rsidRPr="00EB049C">
        <w:rPr>
          <w:color w:val="auto"/>
          <w:sz w:val="21"/>
          <w:szCs w:val="21"/>
        </w:rPr>
        <w:t>FDA</w:t>
      </w:r>
      <w:r w:rsidRPr="00EB049C">
        <w:rPr>
          <w:rFonts w:hAnsi="宋体" w:hint="eastAsia"/>
          <w:color w:val="auto"/>
          <w:sz w:val="21"/>
          <w:szCs w:val="21"/>
        </w:rPr>
        <w:t>认为，应该针对</w:t>
      </w:r>
      <w:r w:rsidRPr="00EB049C">
        <w:rPr>
          <w:color w:val="auto"/>
          <w:sz w:val="21"/>
          <w:szCs w:val="21"/>
        </w:rPr>
        <w:t xml:space="preserve">PMA </w:t>
      </w:r>
      <w:r w:rsidRPr="00EB049C">
        <w:rPr>
          <w:rFonts w:hAnsi="宋体" w:hint="eastAsia"/>
          <w:color w:val="auto"/>
          <w:sz w:val="21"/>
          <w:szCs w:val="21"/>
        </w:rPr>
        <w:t>或</w:t>
      </w:r>
      <w:r w:rsidRPr="00EB049C">
        <w:rPr>
          <w:color w:val="auto"/>
          <w:sz w:val="21"/>
          <w:szCs w:val="21"/>
        </w:rPr>
        <w:t>510(k)</w:t>
      </w:r>
      <w:r w:rsidRPr="00EB049C">
        <w:rPr>
          <w:rFonts w:hAnsi="宋体" w:hint="eastAsia"/>
          <w:color w:val="auto"/>
          <w:sz w:val="21"/>
          <w:szCs w:val="21"/>
        </w:rPr>
        <w:t>批准进行以下分析，故也应该在</w:t>
      </w:r>
      <w:r w:rsidRPr="00EB049C">
        <w:rPr>
          <w:color w:val="auto"/>
          <w:sz w:val="21"/>
          <w:szCs w:val="21"/>
        </w:rPr>
        <w:t>IDE</w:t>
      </w:r>
      <w:r w:rsidRPr="00EB049C">
        <w:rPr>
          <w:rFonts w:hAnsi="宋体" w:hint="eastAsia"/>
          <w:color w:val="auto"/>
          <w:sz w:val="21"/>
          <w:szCs w:val="21"/>
        </w:rPr>
        <w:t>方案中加以说明：</w:t>
      </w:r>
    </w:p>
    <w:p w:rsidR="008F17E4" w:rsidRPr="00EB049C" w:rsidRDefault="008F17E4" w:rsidP="003E190C">
      <w:pPr>
        <w:pStyle w:val="Default"/>
        <w:numPr>
          <w:ilvl w:val="0"/>
          <w:numId w:val="16"/>
        </w:numPr>
        <w:snapToGrid w:val="0"/>
        <w:spacing w:beforeLines="50" w:line="336" w:lineRule="auto"/>
        <w:ind w:leftChars="400" w:left="1262" w:hangingChars="200" w:hanging="422"/>
        <w:jc w:val="both"/>
        <w:rPr>
          <w:color w:val="auto"/>
          <w:sz w:val="21"/>
          <w:szCs w:val="21"/>
        </w:rPr>
      </w:pPr>
      <w:r w:rsidRPr="00EB049C">
        <w:rPr>
          <w:rFonts w:hAnsi="宋体" w:hint="eastAsia"/>
          <w:b/>
          <w:bCs/>
          <w:color w:val="auto"/>
          <w:sz w:val="21"/>
          <w:szCs w:val="21"/>
        </w:rPr>
        <w:t>研究者和</w:t>
      </w:r>
      <w:r w:rsidR="00036E96" w:rsidRPr="00EB049C">
        <w:rPr>
          <w:rFonts w:hAnsi="宋体" w:hint="eastAsia"/>
          <w:b/>
          <w:bCs/>
          <w:color w:val="auto"/>
          <w:sz w:val="21"/>
          <w:szCs w:val="21"/>
        </w:rPr>
        <w:t>研究中心</w:t>
      </w:r>
      <w:r w:rsidRPr="00EB049C">
        <w:rPr>
          <w:rFonts w:hAnsi="宋体" w:hint="eastAsia"/>
          <w:b/>
          <w:bCs/>
          <w:color w:val="auto"/>
          <w:sz w:val="21"/>
          <w:szCs w:val="21"/>
        </w:rPr>
        <w:t>之间数据的可合并性</w:t>
      </w:r>
      <w:r w:rsidRPr="00EB049C">
        <w:rPr>
          <w:color w:val="auto"/>
          <w:sz w:val="21"/>
          <w:szCs w:val="21"/>
        </w:rPr>
        <w:t xml:space="preserve">– </w:t>
      </w:r>
      <w:r w:rsidRPr="00EB049C">
        <w:rPr>
          <w:rFonts w:hAnsi="宋体" w:hint="eastAsia"/>
          <w:color w:val="auto"/>
          <w:sz w:val="21"/>
          <w:szCs w:val="21"/>
        </w:rPr>
        <w:t>建议适当的统计和临床理由，如研究者和</w:t>
      </w:r>
      <w:r w:rsidR="00036E96" w:rsidRPr="00EB049C">
        <w:rPr>
          <w:rFonts w:hAnsi="宋体" w:hint="eastAsia"/>
          <w:color w:val="auto"/>
          <w:sz w:val="21"/>
          <w:szCs w:val="21"/>
        </w:rPr>
        <w:t>研究中心</w:t>
      </w:r>
      <w:r w:rsidRPr="00EB049C">
        <w:rPr>
          <w:rFonts w:hAnsi="宋体" w:hint="eastAsia"/>
          <w:color w:val="auto"/>
          <w:sz w:val="21"/>
          <w:szCs w:val="21"/>
        </w:rPr>
        <w:t>之间治疗结果的均一性。</w:t>
      </w:r>
    </w:p>
    <w:p w:rsidR="008F17E4" w:rsidRPr="00EB049C" w:rsidRDefault="008F17E4" w:rsidP="003E190C">
      <w:pPr>
        <w:pStyle w:val="Default"/>
        <w:numPr>
          <w:ilvl w:val="0"/>
          <w:numId w:val="16"/>
        </w:numPr>
        <w:snapToGrid w:val="0"/>
        <w:spacing w:beforeLines="50" w:line="336" w:lineRule="auto"/>
        <w:ind w:leftChars="400" w:left="1262" w:hangingChars="200" w:hanging="422"/>
        <w:jc w:val="both"/>
        <w:rPr>
          <w:color w:val="auto"/>
          <w:sz w:val="21"/>
          <w:szCs w:val="21"/>
        </w:rPr>
      </w:pPr>
      <w:r w:rsidRPr="00EB049C">
        <w:rPr>
          <w:rFonts w:hAnsi="宋体" w:hint="eastAsia"/>
          <w:b/>
          <w:bCs/>
          <w:color w:val="auto"/>
          <w:sz w:val="21"/>
          <w:szCs w:val="21"/>
        </w:rPr>
        <w:t>利用协变量的纵向数据分析</w:t>
      </w:r>
      <w:r w:rsidRPr="00EB049C">
        <w:rPr>
          <w:b/>
          <w:bCs/>
          <w:color w:val="auto"/>
          <w:sz w:val="21"/>
          <w:szCs w:val="21"/>
        </w:rPr>
        <w:t xml:space="preserve">– </w:t>
      </w:r>
      <w:r w:rsidRPr="00EB049C">
        <w:rPr>
          <w:rFonts w:hAnsi="宋体" w:hint="eastAsia"/>
          <w:bCs/>
          <w:color w:val="auto"/>
          <w:sz w:val="21"/>
          <w:szCs w:val="21"/>
        </w:rPr>
        <w:t>纵向数据分析</w:t>
      </w:r>
      <w:r w:rsidRPr="00EB049C">
        <w:rPr>
          <w:rFonts w:hAnsi="宋体" w:hint="eastAsia"/>
          <w:color w:val="auto"/>
          <w:sz w:val="21"/>
          <w:szCs w:val="21"/>
        </w:rPr>
        <w:t>应该针对各种数据类型执行，如连续数据、二进制数据、计数数据或有序（排序）数据。统计模型中应该考虑适当的统计建模方法，其中包括器械代码（如，</w:t>
      </w:r>
      <w:r w:rsidRPr="00EB049C">
        <w:rPr>
          <w:color w:val="auto"/>
          <w:sz w:val="21"/>
          <w:szCs w:val="21"/>
        </w:rPr>
        <w:t>0</w:t>
      </w:r>
      <w:r w:rsidRPr="00EB049C">
        <w:rPr>
          <w:rFonts w:hAnsi="宋体" w:hint="eastAsia"/>
          <w:color w:val="auto"/>
          <w:sz w:val="21"/>
          <w:szCs w:val="21"/>
        </w:rPr>
        <w:t>代表对照器械，</w:t>
      </w:r>
      <w:r w:rsidRPr="00EB049C">
        <w:rPr>
          <w:color w:val="auto"/>
          <w:sz w:val="21"/>
          <w:szCs w:val="21"/>
        </w:rPr>
        <w:t>1</w:t>
      </w:r>
      <w:r w:rsidRPr="00EB049C">
        <w:rPr>
          <w:rFonts w:hAnsi="宋体" w:hint="eastAsia"/>
          <w:color w:val="auto"/>
          <w:sz w:val="21"/>
          <w:szCs w:val="21"/>
        </w:rPr>
        <w:t>代表试验器械）、重要的患者协变量和人口统计特征，为的是评价真正的器械作用，针对对照器械组和试验器械组之间的重要患者协变量与人口统计特征分配的可能差异进行调整。可利用</w:t>
      </w:r>
      <w:r w:rsidRPr="00EB049C">
        <w:rPr>
          <w:color w:val="auto"/>
          <w:sz w:val="21"/>
          <w:szCs w:val="21"/>
        </w:rPr>
        <w:t>SAS</w:t>
      </w:r>
      <w:r w:rsidRPr="00EB049C">
        <w:rPr>
          <w:rFonts w:hAnsi="宋体" w:hint="eastAsia"/>
          <w:color w:val="auto"/>
          <w:sz w:val="21"/>
          <w:szCs w:val="21"/>
        </w:rPr>
        <w:t>、</w:t>
      </w:r>
      <w:r w:rsidRPr="00EB049C">
        <w:rPr>
          <w:color w:val="auto"/>
          <w:sz w:val="21"/>
          <w:szCs w:val="21"/>
        </w:rPr>
        <w:t>S-Plus</w:t>
      </w:r>
      <w:r w:rsidRPr="00EB049C">
        <w:rPr>
          <w:rFonts w:hAnsi="宋体" w:hint="eastAsia"/>
          <w:color w:val="auto"/>
          <w:sz w:val="21"/>
          <w:szCs w:val="21"/>
        </w:rPr>
        <w:t>或其他等计算机软件对这类重复测量数据进行分析。</w:t>
      </w:r>
      <w:r w:rsidRPr="00EB049C">
        <w:rPr>
          <w:color w:val="auto"/>
          <w:sz w:val="21"/>
          <w:szCs w:val="21"/>
        </w:rPr>
        <w:t>.</w:t>
      </w:r>
    </w:p>
    <w:p w:rsidR="008F17E4" w:rsidRPr="00EB049C" w:rsidRDefault="008F17E4" w:rsidP="003E190C">
      <w:pPr>
        <w:pStyle w:val="Default"/>
        <w:numPr>
          <w:ilvl w:val="0"/>
          <w:numId w:val="16"/>
        </w:numPr>
        <w:snapToGrid w:val="0"/>
        <w:spacing w:beforeLines="50" w:line="336" w:lineRule="auto"/>
        <w:ind w:leftChars="400" w:left="1262" w:hangingChars="200" w:hanging="422"/>
        <w:jc w:val="both"/>
        <w:rPr>
          <w:color w:val="auto"/>
          <w:sz w:val="21"/>
          <w:szCs w:val="21"/>
        </w:rPr>
      </w:pPr>
      <w:r w:rsidRPr="00EB049C">
        <w:rPr>
          <w:rFonts w:hAnsi="宋体" w:hint="eastAsia"/>
          <w:b/>
          <w:bCs/>
          <w:color w:val="auto"/>
          <w:sz w:val="21"/>
          <w:szCs w:val="21"/>
        </w:rPr>
        <w:t>趋势分析</w:t>
      </w:r>
      <w:r w:rsidRPr="00EB049C">
        <w:rPr>
          <w:color w:val="auto"/>
          <w:sz w:val="21"/>
          <w:szCs w:val="21"/>
        </w:rPr>
        <w:t xml:space="preserve"> – </w:t>
      </w:r>
      <w:r w:rsidRPr="00EB049C">
        <w:rPr>
          <w:rFonts w:hAnsi="宋体" w:hint="eastAsia"/>
          <w:color w:val="auto"/>
          <w:sz w:val="21"/>
          <w:szCs w:val="21"/>
        </w:rPr>
        <w:t>临床结果可能因时间</w:t>
      </w:r>
      <w:r w:rsidRPr="00EB049C">
        <w:rPr>
          <w:color w:val="auto"/>
          <w:sz w:val="21"/>
          <w:szCs w:val="21"/>
        </w:rPr>
        <w:t>-</w:t>
      </w:r>
      <w:r w:rsidRPr="00EB049C">
        <w:rPr>
          <w:rFonts w:hAnsi="宋体" w:hint="eastAsia"/>
          <w:color w:val="auto"/>
          <w:sz w:val="21"/>
          <w:szCs w:val="21"/>
        </w:rPr>
        <w:t>时间（时间趋势）、器械</w:t>
      </w:r>
      <w:r w:rsidRPr="00EB049C">
        <w:rPr>
          <w:color w:val="auto"/>
          <w:sz w:val="21"/>
          <w:szCs w:val="21"/>
        </w:rPr>
        <w:t>-</w:t>
      </w:r>
      <w:r w:rsidRPr="00EB049C">
        <w:rPr>
          <w:rFonts w:hAnsi="宋体" w:hint="eastAsia"/>
          <w:color w:val="auto"/>
          <w:sz w:val="21"/>
          <w:szCs w:val="21"/>
        </w:rPr>
        <w:t>器械（器械作用）和器械</w:t>
      </w:r>
      <w:r w:rsidRPr="00EB049C">
        <w:rPr>
          <w:color w:val="auto"/>
          <w:sz w:val="21"/>
          <w:szCs w:val="21"/>
        </w:rPr>
        <w:t>-</w:t>
      </w:r>
      <w:r w:rsidRPr="00EB049C">
        <w:rPr>
          <w:rFonts w:hAnsi="宋体" w:hint="eastAsia"/>
          <w:color w:val="auto"/>
          <w:sz w:val="21"/>
          <w:szCs w:val="21"/>
        </w:rPr>
        <w:t>时间之间交叉（器械</w:t>
      </w:r>
      <w:r w:rsidRPr="00EB049C">
        <w:rPr>
          <w:color w:val="auto"/>
          <w:sz w:val="21"/>
          <w:szCs w:val="21"/>
        </w:rPr>
        <w:t>-</w:t>
      </w:r>
      <w:r w:rsidRPr="00EB049C">
        <w:rPr>
          <w:rFonts w:hAnsi="宋体" w:hint="eastAsia"/>
          <w:color w:val="auto"/>
          <w:sz w:val="21"/>
          <w:szCs w:val="21"/>
        </w:rPr>
        <w:t>时间相互作用）而有所差异。任选两个时间点之间单一比较并不能揭示随时间演变的真正器械作用。因此，</w:t>
      </w:r>
      <w:r w:rsidRPr="00EB049C">
        <w:rPr>
          <w:color w:val="auto"/>
          <w:sz w:val="21"/>
          <w:szCs w:val="21"/>
        </w:rPr>
        <w:t>FDA</w:t>
      </w:r>
      <w:r w:rsidRPr="00EB049C">
        <w:rPr>
          <w:rFonts w:hAnsi="宋体" w:hint="eastAsia"/>
          <w:color w:val="auto"/>
          <w:sz w:val="21"/>
          <w:szCs w:val="21"/>
        </w:rPr>
        <w:t>建议，应该对连续或定量数据进行第</w:t>
      </w:r>
      <w:r w:rsidRPr="00EB049C">
        <w:rPr>
          <w:color w:val="auto"/>
          <w:sz w:val="21"/>
          <w:szCs w:val="21"/>
        </w:rPr>
        <w:t>21</w:t>
      </w:r>
      <w:r w:rsidRPr="00EB049C">
        <w:rPr>
          <w:rFonts w:hAnsi="宋体" w:hint="eastAsia"/>
          <w:color w:val="auto"/>
          <w:sz w:val="21"/>
          <w:szCs w:val="21"/>
        </w:rPr>
        <w:t>页的重复测量方差分析（</w:t>
      </w:r>
      <w:r w:rsidRPr="00EB049C">
        <w:rPr>
          <w:color w:val="auto"/>
          <w:sz w:val="21"/>
          <w:szCs w:val="21"/>
        </w:rPr>
        <w:t>RMANOVA</w:t>
      </w:r>
      <w:r w:rsidRPr="00EB049C">
        <w:rPr>
          <w:rFonts w:hAnsi="宋体" w:hint="eastAsia"/>
          <w:color w:val="auto"/>
          <w:sz w:val="21"/>
          <w:szCs w:val="21"/>
        </w:rPr>
        <w:t>）和纵向数据分析。</w:t>
      </w:r>
    </w:p>
    <w:p w:rsidR="008F17E4" w:rsidRPr="00EB049C" w:rsidRDefault="008F17E4" w:rsidP="003E190C">
      <w:pPr>
        <w:pStyle w:val="CM45"/>
        <w:numPr>
          <w:ilvl w:val="0"/>
          <w:numId w:val="16"/>
        </w:numPr>
        <w:snapToGrid w:val="0"/>
        <w:spacing w:beforeLines="50" w:after="0" w:line="360" w:lineRule="auto"/>
        <w:ind w:leftChars="200" w:left="842" w:hangingChars="200" w:hanging="422"/>
        <w:jc w:val="both"/>
        <w:rPr>
          <w:sz w:val="21"/>
          <w:szCs w:val="21"/>
        </w:rPr>
      </w:pPr>
      <w:r w:rsidRPr="00EB049C">
        <w:rPr>
          <w:b/>
          <w:bCs/>
          <w:sz w:val="21"/>
          <w:szCs w:val="21"/>
        </w:rPr>
        <w:br w:type="page"/>
      </w:r>
      <w:r w:rsidRPr="00EB049C">
        <w:rPr>
          <w:rFonts w:hAnsi="宋体" w:hint="eastAsia"/>
          <w:b/>
          <w:bCs/>
          <w:sz w:val="21"/>
          <w:szCs w:val="21"/>
        </w:rPr>
        <w:lastRenderedPageBreak/>
        <w:t>存活分析</w:t>
      </w:r>
      <w:r w:rsidRPr="00EB049C">
        <w:rPr>
          <w:b/>
          <w:bCs/>
          <w:sz w:val="21"/>
          <w:szCs w:val="21"/>
        </w:rPr>
        <w:t xml:space="preserve"> –</w:t>
      </w:r>
      <w:r w:rsidRPr="00EB049C">
        <w:rPr>
          <w:rFonts w:hAnsi="宋体" w:hint="eastAsia"/>
          <w:bCs/>
          <w:sz w:val="21"/>
          <w:szCs w:val="21"/>
        </w:rPr>
        <w:t>对于成功</w:t>
      </w:r>
      <w:r w:rsidRPr="00EB049C">
        <w:rPr>
          <w:bCs/>
          <w:sz w:val="21"/>
          <w:szCs w:val="21"/>
        </w:rPr>
        <w:t>/</w:t>
      </w:r>
      <w:r w:rsidRPr="00EB049C">
        <w:rPr>
          <w:rFonts w:hAnsi="宋体" w:hint="eastAsia"/>
          <w:bCs/>
          <w:sz w:val="21"/>
          <w:szCs w:val="21"/>
        </w:rPr>
        <w:t>失败（二进制数据）</w:t>
      </w:r>
      <w:r w:rsidRPr="00EB049C">
        <w:rPr>
          <w:rFonts w:hAnsi="宋体" w:hint="eastAsia"/>
          <w:sz w:val="21"/>
          <w:szCs w:val="21"/>
        </w:rPr>
        <w:t>，可能会利用多变量模型（如，</w:t>
      </w:r>
      <w:r w:rsidRPr="00EB049C">
        <w:rPr>
          <w:sz w:val="21"/>
          <w:szCs w:val="21"/>
        </w:rPr>
        <w:t>Cox</w:t>
      </w:r>
      <w:r w:rsidRPr="00EB049C">
        <w:rPr>
          <w:rFonts w:hAnsi="宋体" w:hint="eastAsia"/>
          <w:sz w:val="21"/>
          <w:szCs w:val="21"/>
        </w:rPr>
        <w:t>比例风险回归）的统计存活分析来估测特定时间的累积融合成功可能性和重要患者协变量对融合成功</w:t>
      </w:r>
      <w:r w:rsidRPr="00EB049C">
        <w:rPr>
          <w:sz w:val="21"/>
          <w:szCs w:val="21"/>
        </w:rPr>
        <w:t>/</w:t>
      </w:r>
      <w:r w:rsidRPr="00EB049C">
        <w:rPr>
          <w:rFonts w:hAnsi="宋体" w:hint="eastAsia"/>
          <w:sz w:val="21"/>
          <w:szCs w:val="21"/>
        </w:rPr>
        <w:t>失败的作用，同时解释患者退出或缺席研究（数据不完整）的原因。</w:t>
      </w:r>
    </w:p>
    <w:p w:rsidR="008F17E4" w:rsidRPr="00EB049C" w:rsidRDefault="0093559A" w:rsidP="003E190C">
      <w:pPr>
        <w:pStyle w:val="CM45"/>
        <w:snapToGrid w:val="0"/>
        <w:spacing w:beforeLines="50" w:after="0" w:line="360" w:lineRule="auto"/>
        <w:ind w:left="420" w:hangingChars="200" w:hanging="420"/>
        <w:jc w:val="both"/>
        <w:rPr>
          <w:sz w:val="21"/>
          <w:szCs w:val="21"/>
        </w:rPr>
      </w:pPr>
      <w:r w:rsidRPr="00EB049C">
        <w:rPr>
          <w:rFonts w:hAnsi="宋体" w:hint="eastAsia"/>
          <w:sz w:val="21"/>
          <w:szCs w:val="21"/>
        </w:rPr>
        <w:t>申办方</w:t>
      </w:r>
      <w:r w:rsidR="008F17E4" w:rsidRPr="00EB049C">
        <w:rPr>
          <w:rFonts w:hAnsi="宋体" w:hint="eastAsia"/>
          <w:sz w:val="21"/>
          <w:szCs w:val="21"/>
        </w:rPr>
        <w:t>应该考虑以下统计问题：</w:t>
      </w:r>
    </w:p>
    <w:p w:rsidR="008F17E4" w:rsidRPr="00EB049C" w:rsidRDefault="008F17E4" w:rsidP="003E190C">
      <w:pPr>
        <w:pStyle w:val="Default"/>
        <w:numPr>
          <w:ilvl w:val="0"/>
          <w:numId w:val="17"/>
        </w:numPr>
        <w:snapToGrid w:val="0"/>
        <w:spacing w:beforeLines="50" w:line="360" w:lineRule="auto"/>
        <w:ind w:hangingChars="200"/>
        <w:jc w:val="both"/>
        <w:rPr>
          <w:color w:val="auto"/>
          <w:sz w:val="21"/>
          <w:szCs w:val="21"/>
        </w:rPr>
      </w:pPr>
      <w:r w:rsidRPr="00EB049C">
        <w:rPr>
          <w:rFonts w:hAnsi="宋体" w:hint="eastAsia"/>
          <w:color w:val="auto"/>
          <w:sz w:val="21"/>
          <w:szCs w:val="21"/>
        </w:rPr>
        <w:t>鉴于丢失或删失数据（不完整数据），研究患者的人数很可能会随着时间减少。基于部分数据的统计分析对我们来说是一个挑战，因为我们无法确定退出或删失的患者如果完成了整个随访计划表将获得的临床结果是否与他们的部分临床结果是一样的。因此，</w:t>
      </w:r>
      <w:r w:rsidR="0093559A" w:rsidRPr="00EB049C">
        <w:rPr>
          <w:rFonts w:hAnsi="宋体" w:hint="eastAsia"/>
          <w:color w:val="auto"/>
          <w:sz w:val="21"/>
          <w:szCs w:val="21"/>
        </w:rPr>
        <w:t>申办方</w:t>
      </w:r>
      <w:r w:rsidRPr="00EB049C">
        <w:rPr>
          <w:rFonts w:hAnsi="宋体" w:hint="eastAsia"/>
          <w:color w:val="auto"/>
          <w:sz w:val="21"/>
          <w:szCs w:val="21"/>
        </w:rPr>
        <w:t>应该尽最大努力让所有入组研究的患者都完成随访。</w:t>
      </w:r>
    </w:p>
    <w:p w:rsidR="008F17E4" w:rsidRPr="00EB049C" w:rsidRDefault="008F17E4" w:rsidP="003E190C">
      <w:pPr>
        <w:pStyle w:val="Default"/>
        <w:numPr>
          <w:ilvl w:val="0"/>
          <w:numId w:val="17"/>
        </w:numPr>
        <w:snapToGrid w:val="0"/>
        <w:spacing w:beforeLines="50" w:line="360" w:lineRule="auto"/>
        <w:ind w:hangingChars="200"/>
        <w:jc w:val="both"/>
        <w:rPr>
          <w:color w:val="auto"/>
          <w:sz w:val="21"/>
          <w:szCs w:val="21"/>
        </w:rPr>
      </w:pPr>
      <w:r w:rsidRPr="00EB049C">
        <w:rPr>
          <w:rFonts w:hAnsi="宋体" w:hint="eastAsia"/>
          <w:color w:val="auto"/>
          <w:sz w:val="21"/>
          <w:szCs w:val="21"/>
        </w:rPr>
        <w:t>对于所有缺失的数据，不管是器械、协变量或临床结果相关，都应该清楚解释其理由。应该仔细评价对照器械组与主动器械组之间的缺失数据分布。</w:t>
      </w:r>
    </w:p>
    <w:p w:rsidR="008F17E4" w:rsidRPr="00EB049C" w:rsidRDefault="0093559A" w:rsidP="003E190C">
      <w:pPr>
        <w:pStyle w:val="Default"/>
        <w:numPr>
          <w:ilvl w:val="0"/>
          <w:numId w:val="17"/>
        </w:numPr>
        <w:snapToGrid w:val="0"/>
        <w:spacing w:beforeLines="50" w:line="360" w:lineRule="auto"/>
        <w:ind w:hangingChars="200"/>
        <w:jc w:val="both"/>
        <w:rPr>
          <w:color w:val="auto"/>
          <w:sz w:val="21"/>
          <w:szCs w:val="21"/>
        </w:rPr>
      </w:pPr>
      <w:r w:rsidRPr="00EB049C">
        <w:rPr>
          <w:rFonts w:hAnsi="宋体" w:hint="eastAsia"/>
          <w:color w:val="auto"/>
          <w:sz w:val="21"/>
          <w:szCs w:val="21"/>
        </w:rPr>
        <w:t>申办方</w:t>
      </w:r>
      <w:r w:rsidR="008F17E4" w:rsidRPr="00EB049C">
        <w:rPr>
          <w:rFonts w:hAnsi="宋体" w:hint="eastAsia"/>
          <w:color w:val="auto"/>
          <w:sz w:val="21"/>
          <w:szCs w:val="21"/>
        </w:rPr>
        <w:t>应该明确阐明临床结果的定义，再对两个治疗组进行比较。如果使用</w:t>
      </w:r>
      <w:r w:rsidR="008F17E4" w:rsidRPr="00EB049C">
        <w:rPr>
          <w:color w:val="auto"/>
          <w:sz w:val="21"/>
          <w:szCs w:val="21"/>
        </w:rPr>
        <w:t>“</w:t>
      </w:r>
      <w:r w:rsidR="008F17E4" w:rsidRPr="00EB049C">
        <w:rPr>
          <w:rFonts w:hAnsi="宋体" w:hint="eastAsia"/>
          <w:color w:val="auto"/>
          <w:sz w:val="21"/>
          <w:szCs w:val="21"/>
        </w:rPr>
        <w:t>较基线的变化</w:t>
      </w:r>
      <w:r w:rsidR="008F17E4" w:rsidRPr="00EB049C">
        <w:rPr>
          <w:color w:val="auto"/>
          <w:sz w:val="21"/>
          <w:szCs w:val="21"/>
        </w:rPr>
        <w:t>”</w:t>
      </w:r>
      <w:r w:rsidR="008F17E4" w:rsidRPr="00EB049C">
        <w:rPr>
          <w:rFonts w:hAnsi="宋体" w:hint="eastAsia"/>
          <w:color w:val="auto"/>
          <w:sz w:val="21"/>
          <w:szCs w:val="21"/>
        </w:rPr>
        <w:t>，则应该先证明对照器械组与主动器械组之间的基线临床结果和协变量具有可比较性，以便避免器械作用与基线测量值之间的混淆作用。请注意，简单的随机化并不能保证基线时试验组与对照组之间临床测量值和协变量的可比较性。如果两组的基线值差异巨大，则应该利用适当的统计分析方法，如把基线作为协变量。</w:t>
      </w:r>
    </w:p>
    <w:p w:rsidR="008F17E4" w:rsidRPr="00EB049C" w:rsidRDefault="008F17E4" w:rsidP="003E190C">
      <w:pPr>
        <w:pStyle w:val="CM45"/>
        <w:snapToGrid w:val="0"/>
        <w:spacing w:beforeLines="50" w:after="0" w:line="360" w:lineRule="auto"/>
        <w:jc w:val="both"/>
        <w:outlineLvl w:val="2"/>
        <w:rPr>
          <w:sz w:val="21"/>
          <w:szCs w:val="21"/>
        </w:rPr>
      </w:pPr>
      <w:bookmarkStart w:id="40" w:name="_Toc480641607"/>
      <w:r w:rsidRPr="00EB049C">
        <w:rPr>
          <w:sz w:val="21"/>
          <w:szCs w:val="21"/>
        </w:rPr>
        <w:t>11.2</w:t>
      </w:r>
      <w:r w:rsidRPr="00EB049C">
        <w:rPr>
          <w:sz w:val="21"/>
          <w:szCs w:val="21"/>
        </w:rPr>
        <w:tab/>
      </w:r>
      <w:r w:rsidRPr="00EB049C">
        <w:rPr>
          <w:rFonts w:hAnsi="宋体" w:hint="eastAsia"/>
          <w:sz w:val="21"/>
          <w:szCs w:val="21"/>
        </w:rPr>
        <w:t>数据显示</w:t>
      </w:r>
      <w:bookmarkEnd w:id="40"/>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制定方案时，就应该考虑数据显示的类型，以便更好地确保收集到充足的数据。虽然不一定需要提供这一信息作为</w:t>
      </w:r>
      <w:r w:rsidRPr="00EB049C">
        <w:rPr>
          <w:sz w:val="21"/>
          <w:szCs w:val="21"/>
        </w:rPr>
        <w:t>IDE</w:t>
      </w:r>
      <w:r w:rsidRPr="00EB049C">
        <w:rPr>
          <w:rFonts w:hAnsi="宋体" w:hint="eastAsia"/>
          <w:sz w:val="21"/>
          <w:szCs w:val="21"/>
        </w:rPr>
        <w:t>方案的一部分，但</w:t>
      </w:r>
      <w:r w:rsidRPr="00EB049C">
        <w:rPr>
          <w:sz w:val="21"/>
          <w:szCs w:val="21"/>
        </w:rPr>
        <w:t>FDA</w:t>
      </w:r>
      <w:r w:rsidRPr="00EB049C">
        <w:rPr>
          <w:rFonts w:hAnsi="宋体" w:hint="eastAsia"/>
          <w:sz w:val="21"/>
          <w:szCs w:val="21"/>
        </w:rPr>
        <w:t>认为，应该在</w:t>
      </w:r>
      <w:r w:rsidRPr="00EB049C">
        <w:rPr>
          <w:sz w:val="21"/>
          <w:szCs w:val="21"/>
        </w:rPr>
        <w:t>IDE</w:t>
      </w:r>
      <w:r w:rsidRPr="00EB049C">
        <w:rPr>
          <w:rFonts w:hAnsi="宋体" w:hint="eastAsia"/>
          <w:sz w:val="21"/>
          <w:szCs w:val="21"/>
        </w:rPr>
        <w:t>年度报告以及</w:t>
      </w:r>
      <w:r w:rsidRPr="00EB049C">
        <w:rPr>
          <w:sz w:val="21"/>
          <w:szCs w:val="21"/>
        </w:rPr>
        <w:t xml:space="preserve">PMA </w:t>
      </w:r>
      <w:r w:rsidRPr="00EB049C">
        <w:rPr>
          <w:rFonts w:hAnsi="宋体" w:hint="eastAsia"/>
          <w:sz w:val="21"/>
          <w:szCs w:val="21"/>
        </w:rPr>
        <w:t>或</w:t>
      </w:r>
      <w:r w:rsidRPr="00EB049C">
        <w:rPr>
          <w:sz w:val="21"/>
          <w:szCs w:val="21"/>
        </w:rPr>
        <w:t>510(k)</w:t>
      </w:r>
      <w:r w:rsidRPr="00EB049C">
        <w:rPr>
          <w:rFonts w:hAnsi="宋体" w:hint="eastAsia"/>
          <w:sz w:val="21"/>
          <w:szCs w:val="21"/>
        </w:rPr>
        <w:t>中提供按试验组和对照组分层的以下类型的数据显示：</w:t>
      </w:r>
    </w:p>
    <w:p w:rsidR="008F17E4" w:rsidRPr="00EB049C" w:rsidRDefault="008F17E4" w:rsidP="003E190C">
      <w:pPr>
        <w:pStyle w:val="Default"/>
        <w:numPr>
          <w:ilvl w:val="0"/>
          <w:numId w:val="18"/>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rPr>
        <w:t>患者占据的时间进程分配（如，理论终止、死亡、再手术、翻修、移除、补充固定、预期、实际随访人数和随访率）；</w:t>
      </w:r>
    </w:p>
    <w:p w:rsidR="008F17E4" w:rsidRPr="00EB049C" w:rsidRDefault="008F17E4" w:rsidP="003E190C">
      <w:pPr>
        <w:pStyle w:val="Default"/>
        <w:numPr>
          <w:ilvl w:val="0"/>
          <w:numId w:val="18"/>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rPr>
        <w:t>后续手术干预、死亡和神经系统并发症的书面说明，包括所有采取的措施、解决方案等；</w:t>
      </w:r>
    </w:p>
    <w:p w:rsidR="008F17E4" w:rsidRPr="00EB049C" w:rsidRDefault="008F17E4" w:rsidP="003E190C">
      <w:pPr>
        <w:pStyle w:val="Default"/>
        <w:numPr>
          <w:ilvl w:val="0"/>
          <w:numId w:val="18"/>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rPr>
        <w:t>跟踪个人参数的时间进程分布</w:t>
      </w:r>
      <w:r w:rsidRPr="00EB049C">
        <w:rPr>
          <w:color w:val="auto"/>
          <w:sz w:val="21"/>
          <w:szCs w:val="21"/>
        </w:rPr>
        <w:t xml:space="preserve"> – </w:t>
      </w:r>
      <w:r w:rsidRPr="00EB049C">
        <w:rPr>
          <w:rFonts w:hAnsi="宋体" w:hint="eastAsia"/>
          <w:color w:val="auto"/>
          <w:sz w:val="21"/>
          <w:szCs w:val="21"/>
        </w:rPr>
        <w:t>融合、背或颈痛、腿或手臂痛、功能（可能是与背或颈痛的组合参数）、椎体高度或椎间盘高度、健康相关生活质量、供区部位疼痛、运动强度、感觉、反射和直腿抬高（研究研究）。这些时间进程分配提供参与每个指定量表（如，疼痛量表、功能量表等）评测的不同水平的患者人数或负荷每一标准（如，融合标准）的患者人数。例如，对于融合而言，融合的时间进程分配将显示能够完成平移运动、角移运动以及骨小梁形成等的患者人数。还有另一个例子，腿痛的时间进程分配将显示节段</w:t>
      </w:r>
      <w:r w:rsidRPr="00EB049C">
        <w:rPr>
          <w:color w:val="auto"/>
          <w:sz w:val="21"/>
          <w:szCs w:val="21"/>
        </w:rPr>
        <w:t>1</w:t>
      </w:r>
      <w:r w:rsidRPr="00EB049C">
        <w:rPr>
          <w:rFonts w:hAnsi="宋体" w:hint="eastAsia"/>
          <w:color w:val="auto"/>
          <w:sz w:val="21"/>
          <w:szCs w:val="21"/>
        </w:rPr>
        <w:t>、</w:t>
      </w:r>
      <w:r w:rsidRPr="00EB049C">
        <w:rPr>
          <w:color w:val="auto"/>
          <w:sz w:val="21"/>
          <w:szCs w:val="21"/>
        </w:rPr>
        <w:t>2</w:t>
      </w:r>
      <w:r w:rsidRPr="00EB049C">
        <w:rPr>
          <w:rFonts w:hAnsi="宋体" w:hint="eastAsia"/>
          <w:color w:val="auto"/>
          <w:sz w:val="21"/>
          <w:szCs w:val="21"/>
        </w:rPr>
        <w:t>等疼痛的患者人数；</w:t>
      </w:r>
    </w:p>
    <w:p w:rsidR="008F17E4" w:rsidRPr="00EB049C" w:rsidRDefault="008F17E4" w:rsidP="003E190C">
      <w:pPr>
        <w:pStyle w:val="Default"/>
        <w:numPr>
          <w:ilvl w:val="0"/>
          <w:numId w:val="18"/>
        </w:numPr>
        <w:snapToGrid w:val="0"/>
        <w:spacing w:beforeLines="50" w:line="360" w:lineRule="auto"/>
        <w:ind w:leftChars="200" w:firstLine="0"/>
        <w:jc w:val="both"/>
        <w:rPr>
          <w:color w:val="auto"/>
          <w:sz w:val="21"/>
          <w:szCs w:val="21"/>
        </w:rPr>
      </w:pPr>
      <w:r w:rsidRPr="00EB049C">
        <w:rPr>
          <w:color w:val="auto"/>
          <w:sz w:val="21"/>
          <w:szCs w:val="21"/>
        </w:rPr>
        <w:br w:type="page"/>
      </w:r>
      <w:r w:rsidRPr="00EB049C">
        <w:rPr>
          <w:rFonts w:hAnsi="宋体" w:hint="eastAsia"/>
          <w:color w:val="auto"/>
          <w:sz w:val="21"/>
          <w:szCs w:val="21"/>
        </w:rPr>
        <w:lastRenderedPageBreak/>
        <w:t>虽有并发症的时间进程分配，包括所有患者的后续手术干预和神经系统并发症；和</w:t>
      </w:r>
    </w:p>
    <w:p w:rsidR="008F17E4" w:rsidRPr="00EB049C" w:rsidRDefault="008F17E4" w:rsidP="003E190C">
      <w:pPr>
        <w:pStyle w:val="Default"/>
        <w:numPr>
          <w:ilvl w:val="0"/>
          <w:numId w:val="18"/>
        </w:numPr>
        <w:snapToGrid w:val="0"/>
        <w:spacing w:beforeLines="50" w:line="360" w:lineRule="auto"/>
        <w:ind w:leftChars="200" w:firstLine="0"/>
        <w:jc w:val="both"/>
        <w:rPr>
          <w:color w:val="auto"/>
          <w:sz w:val="21"/>
          <w:szCs w:val="21"/>
        </w:rPr>
      </w:pPr>
      <w:r w:rsidRPr="00EB049C">
        <w:rPr>
          <w:rFonts w:hAnsi="宋体" w:hint="eastAsia"/>
          <w:color w:val="auto"/>
          <w:sz w:val="21"/>
          <w:szCs w:val="21"/>
        </w:rPr>
        <w:t>所有患者的单个患者成功率的时间进程分配。</w:t>
      </w:r>
      <w:r w:rsidRPr="00EB049C">
        <w:rPr>
          <w:color w:val="auto"/>
          <w:sz w:val="21"/>
          <w:szCs w:val="21"/>
        </w:rPr>
        <w:t>.</w:t>
      </w:r>
    </w:p>
    <w:p w:rsidR="008F17E4" w:rsidRPr="00EB049C" w:rsidRDefault="008F17E4" w:rsidP="003E190C">
      <w:pPr>
        <w:pStyle w:val="CM20"/>
        <w:snapToGrid w:val="0"/>
        <w:spacing w:beforeLines="50" w:line="360" w:lineRule="auto"/>
        <w:ind w:leftChars="200" w:left="420"/>
        <w:jc w:val="both"/>
        <w:rPr>
          <w:sz w:val="21"/>
          <w:szCs w:val="21"/>
        </w:rPr>
      </w:pPr>
      <w:r w:rsidRPr="00EB049C">
        <w:rPr>
          <w:rFonts w:hAnsi="宋体" w:hint="eastAsia"/>
          <w:sz w:val="21"/>
          <w:szCs w:val="21"/>
        </w:rPr>
        <w:t>为了正确评价这些数据，最重要的是，</w:t>
      </w:r>
      <w:r w:rsidR="0093559A" w:rsidRPr="00EB049C">
        <w:rPr>
          <w:rFonts w:hAnsi="宋体" w:hint="eastAsia"/>
          <w:sz w:val="21"/>
          <w:szCs w:val="21"/>
        </w:rPr>
        <w:t>申办方</w:t>
      </w:r>
      <w:r w:rsidRPr="00EB049C">
        <w:rPr>
          <w:rFonts w:hAnsi="宋体" w:hint="eastAsia"/>
          <w:sz w:val="21"/>
          <w:szCs w:val="21"/>
        </w:rPr>
        <w:t>应该在所有数据表示中明确标识出指定时间点时所涉及到的患者人数。</w:t>
      </w:r>
    </w:p>
    <w:p w:rsidR="008F17E4" w:rsidRPr="00EB049C" w:rsidRDefault="008F17E4" w:rsidP="003E190C">
      <w:pPr>
        <w:pStyle w:val="CM45"/>
        <w:snapToGrid w:val="0"/>
        <w:spacing w:beforeLines="50" w:after="0" w:line="360" w:lineRule="auto"/>
        <w:jc w:val="both"/>
        <w:outlineLvl w:val="1"/>
        <w:rPr>
          <w:sz w:val="21"/>
          <w:szCs w:val="21"/>
        </w:rPr>
      </w:pPr>
      <w:bookmarkStart w:id="41" w:name="_Toc480641608"/>
      <w:r w:rsidRPr="00EB049C">
        <w:rPr>
          <w:sz w:val="21"/>
          <w:szCs w:val="21"/>
        </w:rPr>
        <w:t>12.</w:t>
      </w:r>
      <w:r w:rsidRPr="00EB049C">
        <w:rPr>
          <w:sz w:val="21"/>
          <w:szCs w:val="21"/>
        </w:rPr>
        <w:tab/>
      </w:r>
      <w:r w:rsidRPr="00EB049C">
        <w:rPr>
          <w:rFonts w:hAnsi="宋体" w:hint="eastAsia"/>
          <w:sz w:val="21"/>
          <w:szCs w:val="21"/>
        </w:rPr>
        <w:t>患者报告表</w:t>
      </w:r>
      <w:bookmarkEnd w:id="41"/>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应该提供所有患者报告表的副本。该表格应该包含方案中所有相关的信息。以下是应该用于研究一部分的表格类型：</w:t>
      </w:r>
    </w:p>
    <w:p w:rsidR="008F17E4" w:rsidRPr="00EB049C" w:rsidRDefault="008F17E4" w:rsidP="003E190C">
      <w:pPr>
        <w:pStyle w:val="Default"/>
        <w:numPr>
          <w:ilvl w:val="0"/>
          <w:numId w:val="19"/>
        </w:numPr>
        <w:snapToGrid w:val="0"/>
        <w:spacing w:beforeLines="50" w:line="360" w:lineRule="auto"/>
        <w:ind w:leftChars="200" w:left="840" w:hangingChars="200"/>
        <w:jc w:val="both"/>
        <w:rPr>
          <w:color w:val="auto"/>
          <w:sz w:val="21"/>
          <w:szCs w:val="21"/>
        </w:rPr>
      </w:pPr>
      <w:r w:rsidRPr="00EB049C">
        <w:rPr>
          <w:rFonts w:hAnsi="宋体" w:hint="eastAsia"/>
          <w:color w:val="auto"/>
          <w:sz w:val="21"/>
          <w:szCs w:val="21"/>
        </w:rPr>
        <w:t>研究入组表或入选标准</w:t>
      </w:r>
      <w:r w:rsidRPr="00EB049C">
        <w:rPr>
          <w:color w:val="auto"/>
          <w:sz w:val="21"/>
          <w:szCs w:val="21"/>
        </w:rPr>
        <w:t>/</w:t>
      </w:r>
      <w:r w:rsidRPr="00EB049C">
        <w:rPr>
          <w:rFonts w:hAnsi="宋体" w:hint="eastAsia"/>
          <w:color w:val="auto"/>
          <w:sz w:val="21"/>
          <w:szCs w:val="21"/>
        </w:rPr>
        <w:t>排除标准表</w:t>
      </w:r>
      <w:r w:rsidRPr="00EB049C">
        <w:rPr>
          <w:color w:val="auto"/>
          <w:sz w:val="21"/>
          <w:szCs w:val="21"/>
        </w:rPr>
        <w:t>-</w:t>
      </w:r>
      <w:r w:rsidRPr="00EB049C">
        <w:rPr>
          <w:rFonts w:hAnsi="宋体" w:hint="eastAsia"/>
          <w:color w:val="auto"/>
          <w:sz w:val="21"/>
          <w:szCs w:val="21"/>
        </w:rPr>
        <w:t>标识出方案中的所有入选标准和排除标准</w:t>
      </w:r>
    </w:p>
    <w:p w:rsidR="008F17E4" w:rsidRPr="00EB049C" w:rsidRDefault="008F17E4" w:rsidP="005627F4">
      <w:pPr>
        <w:pStyle w:val="Default"/>
        <w:numPr>
          <w:ilvl w:val="0"/>
          <w:numId w:val="19"/>
        </w:numPr>
        <w:snapToGrid w:val="0"/>
        <w:spacing w:line="360" w:lineRule="auto"/>
        <w:ind w:leftChars="200" w:left="840" w:hangingChars="200"/>
        <w:jc w:val="both"/>
        <w:rPr>
          <w:color w:val="auto"/>
          <w:sz w:val="21"/>
          <w:szCs w:val="21"/>
        </w:rPr>
      </w:pPr>
      <w:r w:rsidRPr="00EB049C">
        <w:rPr>
          <w:rFonts w:hAnsi="宋体" w:hint="eastAsia"/>
          <w:color w:val="auto"/>
          <w:sz w:val="21"/>
          <w:szCs w:val="21"/>
        </w:rPr>
        <w:t>人口统计学评价和术前评价记录表</w:t>
      </w:r>
      <w:r w:rsidRPr="00EB049C">
        <w:rPr>
          <w:color w:val="auto"/>
          <w:sz w:val="21"/>
          <w:szCs w:val="21"/>
        </w:rPr>
        <w:t>-</w:t>
      </w:r>
      <w:r w:rsidRPr="00EB049C">
        <w:rPr>
          <w:rFonts w:hAnsi="宋体" w:hint="eastAsia"/>
          <w:color w:val="auto"/>
          <w:sz w:val="21"/>
          <w:szCs w:val="21"/>
        </w:rPr>
        <w:t>包括人口统计学信息和待测定的临床和放射学参数</w:t>
      </w:r>
    </w:p>
    <w:p w:rsidR="008F17E4" w:rsidRPr="00EB049C" w:rsidRDefault="008F17E4" w:rsidP="005627F4">
      <w:pPr>
        <w:pStyle w:val="Default"/>
        <w:numPr>
          <w:ilvl w:val="0"/>
          <w:numId w:val="19"/>
        </w:numPr>
        <w:snapToGrid w:val="0"/>
        <w:spacing w:line="360" w:lineRule="auto"/>
        <w:ind w:leftChars="200" w:left="840" w:hangingChars="200"/>
        <w:jc w:val="both"/>
        <w:rPr>
          <w:color w:val="auto"/>
          <w:sz w:val="21"/>
          <w:szCs w:val="21"/>
        </w:rPr>
      </w:pPr>
      <w:r w:rsidRPr="00EB049C">
        <w:rPr>
          <w:rFonts w:hAnsi="宋体" w:hint="eastAsia"/>
          <w:color w:val="auto"/>
          <w:sz w:val="21"/>
          <w:szCs w:val="21"/>
        </w:rPr>
        <w:t>手术数据记录表</w:t>
      </w:r>
    </w:p>
    <w:p w:rsidR="008F17E4" w:rsidRPr="00EB049C" w:rsidRDefault="008F17E4" w:rsidP="005627F4">
      <w:pPr>
        <w:pStyle w:val="Default"/>
        <w:numPr>
          <w:ilvl w:val="0"/>
          <w:numId w:val="19"/>
        </w:numPr>
        <w:snapToGrid w:val="0"/>
        <w:spacing w:line="360" w:lineRule="auto"/>
        <w:ind w:leftChars="200" w:left="840" w:hangingChars="200"/>
        <w:jc w:val="both"/>
        <w:rPr>
          <w:color w:val="auto"/>
          <w:sz w:val="21"/>
          <w:szCs w:val="21"/>
        </w:rPr>
      </w:pPr>
      <w:r w:rsidRPr="00EB049C">
        <w:rPr>
          <w:rFonts w:hAnsi="宋体" w:hint="eastAsia"/>
          <w:color w:val="auto"/>
          <w:sz w:val="21"/>
          <w:szCs w:val="21"/>
        </w:rPr>
        <w:t>出院记录表</w:t>
      </w:r>
    </w:p>
    <w:p w:rsidR="008F17E4" w:rsidRPr="00EB049C" w:rsidRDefault="008F17E4" w:rsidP="005627F4">
      <w:pPr>
        <w:pStyle w:val="Default"/>
        <w:numPr>
          <w:ilvl w:val="0"/>
          <w:numId w:val="19"/>
        </w:numPr>
        <w:snapToGrid w:val="0"/>
        <w:spacing w:line="360" w:lineRule="auto"/>
        <w:ind w:leftChars="200" w:left="840" w:hangingChars="200"/>
        <w:jc w:val="both"/>
        <w:rPr>
          <w:color w:val="auto"/>
          <w:sz w:val="21"/>
          <w:szCs w:val="21"/>
        </w:rPr>
      </w:pPr>
      <w:r w:rsidRPr="00EB049C">
        <w:rPr>
          <w:rFonts w:hAnsi="宋体" w:hint="eastAsia"/>
          <w:color w:val="auto"/>
          <w:sz w:val="21"/>
          <w:szCs w:val="21"/>
        </w:rPr>
        <w:t>术前评价记录表</w:t>
      </w:r>
      <w:r w:rsidRPr="00EB049C">
        <w:rPr>
          <w:color w:val="auto"/>
          <w:sz w:val="21"/>
          <w:szCs w:val="21"/>
        </w:rPr>
        <w:t xml:space="preserve">- </w:t>
      </w:r>
      <w:r w:rsidRPr="00EB049C">
        <w:rPr>
          <w:rFonts w:hAnsi="宋体" w:hint="eastAsia"/>
          <w:color w:val="auto"/>
          <w:sz w:val="21"/>
          <w:szCs w:val="21"/>
        </w:rPr>
        <w:t>包括待测定的临床和放射学参数</w:t>
      </w:r>
    </w:p>
    <w:p w:rsidR="008F17E4" w:rsidRPr="00EB049C" w:rsidRDefault="008F17E4" w:rsidP="005627F4">
      <w:pPr>
        <w:pStyle w:val="Default"/>
        <w:numPr>
          <w:ilvl w:val="0"/>
          <w:numId w:val="19"/>
        </w:numPr>
        <w:snapToGrid w:val="0"/>
        <w:spacing w:line="360" w:lineRule="auto"/>
        <w:ind w:leftChars="200" w:left="840" w:hangingChars="200"/>
        <w:jc w:val="both"/>
        <w:rPr>
          <w:color w:val="auto"/>
          <w:sz w:val="21"/>
          <w:szCs w:val="21"/>
        </w:rPr>
      </w:pPr>
      <w:r w:rsidRPr="00EB049C">
        <w:rPr>
          <w:rFonts w:hAnsi="宋体" w:hint="eastAsia"/>
          <w:color w:val="auto"/>
          <w:sz w:val="21"/>
          <w:szCs w:val="21"/>
        </w:rPr>
        <w:t>不良事件记录表</w:t>
      </w:r>
      <w:r w:rsidRPr="00EB049C">
        <w:rPr>
          <w:color w:val="auto"/>
          <w:sz w:val="21"/>
          <w:szCs w:val="21"/>
        </w:rPr>
        <w:t>-</w:t>
      </w:r>
      <w:r w:rsidRPr="00EB049C">
        <w:rPr>
          <w:rFonts w:hAnsi="宋体" w:hint="eastAsia"/>
          <w:color w:val="auto"/>
          <w:sz w:val="21"/>
          <w:szCs w:val="21"/>
        </w:rPr>
        <w:t>标识出方案中的所有潜在风险，提供其他不良事件报告</w:t>
      </w:r>
    </w:p>
    <w:p w:rsidR="008F17E4" w:rsidRPr="00EB049C" w:rsidRDefault="0093559A"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申办方</w:t>
      </w:r>
      <w:r w:rsidR="008F17E4" w:rsidRPr="00EB049C">
        <w:rPr>
          <w:rFonts w:hAnsi="宋体" w:hint="eastAsia"/>
          <w:sz w:val="21"/>
          <w:szCs w:val="21"/>
        </w:rPr>
        <w:t>还应该提供一份详细列出每位患者何时完成报告表的时间计划表。</w:t>
      </w:r>
    </w:p>
    <w:p w:rsidR="008F17E4" w:rsidRPr="00EB049C" w:rsidRDefault="008F17E4" w:rsidP="003E190C">
      <w:pPr>
        <w:pStyle w:val="CM45"/>
        <w:snapToGrid w:val="0"/>
        <w:spacing w:beforeLines="50" w:after="0" w:line="360" w:lineRule="auto"/>
        <w:jc w:val="both"/>
        <w:outlineLvl w:val="1"/>
        <w:rPr>
          <w:sz w:val="21"/>
          <w:szCs w:val="21"/>
        </w:rPr>
      </w:pPr>
      <w:bookmarkStart w:id="42" w:name="_Toc480641609"/>
      <w:r w:rsidRPr="00EB049C">
        <w:rPr>
          <w:sz w:val="21"/>
          <w:szCs w:val="21"/>
        </w:rPr>
        <w:t>13.</w:t>
      </w:r>
      <w:r w:rsidRPr="00EB049C">
        <w:rPr>
          <w:sz w:val="21"/>
          <w:szCs w:val="21"/>
        </w:rPr>
        <w:tab/>
      </w:r>
      <w:r w:rsidRPr="00EB049C">
        <w:rPr>
          <w:rFonts w:hAnsi="宋体" w:hint="eastAsia"/>
          <w:sz w:val="21"/>
          <w:szCs w:val="21"/>
        </w:rPr>
        <w:t>风险分析</w:t>
      </w:r>
      <w:bookmarkEnd w:id="42"/>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这一部分应该包含确定患者获得的效益和认识重于其面临风险的充分信息。这一信息包括：</w:t>
      </w:r>
    </w:p>
    <w:p w:rsidR="008F17E4" w:rsidRPr="00EB049C" w:rsidRDefault="008F17E4" w:rsidP="003E190C">
      <w:pPr>
        <w:pStyle w:val="Default"/>
        <w:numPr>
          <w:ilvl w:val="0"/>
          <w:numId w:val="20"/>
        </w:numPr>
        <w:snapToGrid w:val="0"/>
        <w:spacing w:beforeLines="50" w:line="360" w:lineRule="auto"/>
        <w:ind w:leftChars="200" w:firstLine="0"/>
        <w:jc w:val="both"/>
        <w:rPr>
          <w:color w:val="auto"/>
          <w:sz w:val="21"/>
          <w:szCs w:val="21"/>
        </w:rPr>
      </w:pPr>
      <w:r w:rsidRPr="00EB049C">
        <w:rPr>
          <w:rFonts w:hAnsi="宋体" w:hint="eastAsia"/>
          <w:color w:val="auto"/>
          <w:sz w:val="21"/>
          <w:szCs w:val="21"/>
        </w:rPr>
        <w:t>患者因参与试验而面临的所有潜在高风险的说明和分析；</w:t>
      </w:r>
    </w:p>
    <w:p w:rsidR="008F17E4" w:rsidRPr="00EB049C" w:rsidRDefault="008F17E4" w:rsidP="005627F4">
      <w:pPr>
        <w:pStyle w:val="Default"/>
        <w:numPr>
          <w:ilvl w:val="0"/>
          <w:numId w:val="20"/>
        </w:numPr>
        <w:snapToGrid w:val="0"/>
        <w:spacing w:line="360" w:lineRule="auto"/>
        <w:ind w:leftChars="200" w:firstLine="0"/>
        <w:jc w:val="both"/>
        <w:rPr>
          <w:color w:val="auto"/>
          <w:sz w:val="21"/>
          <w:szCs w:val="21"/>
        </w:rPr>
      </w:pPr>
      <w:r w:rsidRPr="00EB049C">
        <w:rPr>
          <w:rFonts w:hAnsi="宋体" w:hint="eastAsia"/>
          <w:color w:val="auto"/>
          <w:sz w:val="21"/>
          <w:szCs w:val="21"/>
        </w:rPr>
        <w:t>最大程度降低潜在风险的方式；和</w:t>
      </w:r>
    </w:p>
    <w:p w:rsidR="008F17E4" w:rsidRPr="00EB049C" w:rsidRDefault="008F17E4" w:rsidP="005627F4">
      <w:pPr>
        <w:pStyle w:val="Default"/>
        <w:numPr>
          <w:ilvl w:val="0"/>
          <w:numId w:val="20"/>
        </w:numPr>
        <w:snapToGrid w:val="0"/>
        <w:spacing w:line="360" w:lineRule="auto"/>
        <w:ind w:leftChars="200" w:firstLine="0"/>
        <w:jc w:val="both"/>
        <w:rPr>
          <w:color w:val="auto"/>
          <w:sz w:val="21"/>
          <w:szCs w:val="21"/>
        </w:rPr>
      </w:pPr>
      <w:r w:rsidRPr="00EB049C">
        <w:rPr>
          <w:rFonts w:hAnsi="宋体" w:hint="eastAsia"/>
          <w:color w:val="auto"/>
          <w:sz w:val="21"/>
          <w:szCs w:val="21"/>
        </w:rPr>
        <w:t>实施本试验的依据。</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罗列所有潜在风险时，应该把它们按脊柱手术一般风险和该系统特定风险进行分层。</w:t>
      </w:r>
      <w:r w:rsidR="0093559A" w:rsidRPr="00EB049C">
        <w:rPr>
          <w:rFonts w:hAnsi="宋体" w:hint="eastAsia"/>
          <w:sz w:val="21"/>
          <w:szCs w:val="21"/>
        </w:rPr>
        <w:t>申办方</w:t>
      </w:r>
      <w:r w:rsidRPr="00EB049C">
        <w:rPr>
          <w:rFonts w:hAnsi="宋体" w:hint="eastAsia"/>
          <w:sz w:val="21"/>
          <w:szCs w:val="21"/>
        </w:rPr>
        <w:t>还应该提供一份关于将报告和记录所有不良事件</w:t>
      </w:r>
      <w:r w:rsidRPr="00EB049C">
        <w:rPr>
          <w:sz w:val="21"/>
          <w:szCs w:val="21"/>
        </w:rPr>
        <w:t>/</w:t>
      </w:r>
      <w:r w:rsidRPr="00EB049C">
        <w:rPr>
          <w:rFonts w:hAnsi="宋体" w:hint="eastAsia"/>
          <w:sz w:val="21"/>
          <w:szCs w:val="21"/>
        </w:rPr>
        <w:t>并发症、器械相关或不相关信息的声明。</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该潜在风险的列表应该与风险分析部分、不良事件患者报告表、包装说明书和知情同意书中的风险列表一样。</w:t>
      </w:r>
    </w:p>
    <w:p w:rsidR="008F17E4" w:rsidRPr="00EB049C" w:rsidRDefault="008F17E4" w:rsidP="003E190C">
      <w:pPr>
        <w:pStyle w:val="Default"/>
        <w:snapToGrid w:val="0"/>
        <w:spacing w:beforeLines="50" w:line="360" w:lineRule="auto"/>
        <w:jc w:val="both"/>
        <w:outlineLvl w:val="1"/>
        <w:rPr>
          <w:color w:val="auto"/>
          <w:sz w:val="21"/>
          <w:szCs w:val="21"/>
        </w:rPr>
      </w:pPr>
      <w:bookmarkStart w:id="43" w:name="_Toc480641610"/>
      <w:r w:rsidRPr="00EB049C">
        <w:rPr>
          <w:color w:val="auto"/>
          <w:sz w:val="21"/>
          <w:szCs w:val="21"/>
        </w:rPr>
        <w:t>14.</w:t>
      </w:r>
      <w:r w:rsidRPr="00EB049C">
        <w:rPr>
          <w:color w:val="auto"/>
          <w:sz w:val="21"/>
          <w:szCs w:val="21"/>
        </w:rPr>
        <w:tab/>
      </w:r>
      <w:r w:rsidRPr="00EB049C">
        <w:rPr>
          <w:rFonts w:hAnsi="宋体" w:hint="eastAsia"/>
          <w:color w:val="auto"/>
          <w:sz w:val="21"/>
          <w:szCs w:val="21"/>
        </w:rPr>
        <w:t>术后方案</w:t>
      </w:r>
      <w:bookmarkEnd w:id="43"/>
    </w:p>
    <w:p w:rsidR="008F17E4" w:rsidRPr="00EB049C" w:rsidRDefault="008F17E4" w:rsidP="003E190C">
      <w:pPr>
        <w:pStyle w:val="CM26"/>
        <w:snapToGrid w:val="0"/>
        <w:spacing w:beforeLines="50" w:line="360" w:lineRule="auto"/>
        <w:ind w:leftChars="200" w:left="420"/>
        <w:jc w:val="both"/>
        <w:rPr>
          <w:sz w:val="21"/>
          <w:szCs w:val="21"/>
        </w:rPr>
      </w:pPr>
      <w:r w:rsidRPr="00EB049C">
        <w:rPr>
          <w:rFonts w:hAnsi="宋体" w:hint="eastAsia"/>
          <w:sz w:val="21"/>
          <w:szCs w:val="21"/>
        </w:rPr>
        <w:t>应该详细说明治疗期间利用的其他所有的护理方法（如，手术、康复、固定、承重等等）。</w:t>
      </w:r>
    </w:p>
    <w:p w:rsidR="008F17E4" w:rsidRPr="00EB049C" w:rsidRDefault="008F17E4" w:rsidP="003E190C">
      <w:pPr>
        <w:pStyle w:val="Default"/>
        <w:snapToGrid w:val="0"/>
        <w:spacing w:beforeLines="50" w:line="360" w:lineRule="auto"/>
        <w:jc w:val="both"/>
        <w:outlineLvl w:val="1"/>
        <w:rPr>
          <w:color w:val="auto"/>
          <w:sz w:val="21"/>
          <w:szCs w:val="21"/>
        </w:rPr>
      </w:pPr>
      <w:r w:rsidRPr="00EB049C">
        <w:rPr>
          <w:color w:val="auto"/>
          <w:sz w:val="21"/>
          <w:szCs w:val="21"/>
        </w:rPr>
        <w:br w:type="page"/>
      </w:r>
      <w:bookmarkStart w:id="44" w:name="_Toc480641611"/>
      <w:r w:rsidRPr="00EB049C">
        <w:rPr>
          <w:color w:val="auto"/>
          <w:sz w:val="21"/>
          <w:szCs w:val="21"/>
        </w:rPr>
        <w:lastRenderedPageBreak/>
        <w:t>15.</w:t>
      </w:r>
      <w:r w:rsidRPr="00EB049C">
        <w:rPr>
          <w:color w:val="auto"/>
          <w:sz w:val="21"/>
          <w:szCs w:val="21"/>
        </w:rPr>
        <w:tab/>
      </w:r>
      <w:bookmarkEnd w:id="44"/>
      <w:r w:rsidR="00C40118" w:rsidRPr="00EB049C">
        <w:rPr>
          <w:rFonts w:hAnsi="宋体" w:hint="eastAsia"/>
          <w:color w:val="auto"/>
          <w:sz w:val="21"/>
          <w:szCs w:val="21"/>
        </w:rPr>
        <w:t>检索研究</w:t>
      </w:r>
    </w:p>
    <w:p w:rsidR="008F17E4" w:rsidRPr="00EB049C" w:rsidRDefault="008F17E4" w:rsidP="003E190C">
      <w:pPr>
        <w:pStyle w:val="Default"/>
        <w:snapToGrid w:val="0"/>
        <w:spacing w:beforeLines="50" w:line="360" w:lineRule="auto"/>
        <w:ind w:leftChars="200" w:left="420"/>
        <w:jc w:val="both"/>
        <w:rPr>
          <w:color w:val="auto"/>
          <w:sz w:val="21"/>
          <w:szCs w:val="21"/>
        </w:rPr>
      </w:pPr>
      <w:r w:rsidRPr="00EB049C">
        <w:rPr>
          <w:rFonts w:hAnsi="宋体" w:hint="eastAsia"/>
          <w:color w:val="auto"/>
          <w:sz w:val="21"/>
          <w:szCs w:val="21"/>
        </w:rPr>
        <w:t>由于对一些类型的脊柱系统的长期器械性能不明确，尤其是所引起的骨融合特征，所以</w:t>
      </w:r>
      <w:r w:rsidR="0093559A" w:rsidRPr="00EB049C">
        <w:rPr>
          <w:rFonts w:hAnsi="宋体" w:hint="eastAsia"/>
          <w:color w:val="auto"/>
          <w:sz w:val="21"/>
          <w:szCs w:val="21"/>
        </w:rPr>
        <w:t>申办方</w:t>
      </w:r>
      <w:r w:rsidRPr="00EB049C">
        <w:rPr>
          <w:rFonts w:hAnsi="宋体" w:hint="eastAsia"/>
          <w:color w:val="auto"/>
          <w:sz w:val="21"/>
          <w:szCs w:val="21"/>
        </w:rPr>
        <w:t>应该包含一份关于已植入但之后又取出的脊柱系统的回收分析计划。</w:t>
      </w:r>
      <w:r w:rsidR="0093559A" w:rsidRPr="00EB049C">
        <w:rPr>
          <w:rFonts w:hAnsi="宋体" w:hint="eastAsia"/>
          <w:color w:val="auto"/>
          <w:sz w:val="21"/>
          <w:szCs w:val="21"/>
        </w:rPr>
        <w:t>申办方</w:t>
      </w:r>
      <w:r w:rsidRPr="00EB049C">
        <w:rPr>
          <w:rFonts w:hAnsi="宋体" w:hint="eastAsia"/>
          <w:color w:val="auto"/>
          <w:sz w:val="21"/>
          <w:szCs w:val="21"/>
        </w:rPr>
        <w:t>应该收集组织学信息（如，骨生长质量、骨量、对潜在磨屑的反应等等）和冶金学信息（如，金属磨损、变形、裂化、腐蚀等等），并在年度报告中报告。</w:t>
      </w:r>
    </w:p>
    <w:p w:rsidR="008F17E4" w:rsidRPr="00EB049C" w:rsidRDefault="008F17E4" w:rsidP="003E190C">
      <w:pPr>
        <w:pStyle w:val="Default"/>
        <w:snapToGrid w:val="0"/>
        <w:spacing w:beforeLines="50" w:line="360" w:lineRule="auto"/>
        <w:jc w:val="both"/>
        <w:outlineLvl w:val="1"/>
        <w:rPr>
          <w:color w:val="auto"/>
          <w:sz w:val="21"/>
          <w:szCs w:val="21"/>
        </w:rPr>
      </w:pPr>
      <w:bookmarkStart w:id="45" w:name="_Toc480641612"/>
      <w:r w:rsidRPr="00EB049C">
        <w:rPr>
          <w:color w:val="auto"/>
          <w:sz w:val="21"/>
          <w:szCs w:val="21"/>
        </w:rPr>
        <w:t>16.</w:t>
      </w:r>
      <w:r w:rsidRPr="00EB049C">
        <w:rPr>
          <w:color w:val="auto"/>
          <w:sz w:val="21"/>
          <w:szCs w:val="21"/>
        </w:rPr>
        <w:tab/>
      </w:r>
      <w:r w:rsidRPr="00EB049C">
        <w:rPr>
          <w:rFonts w:hAnsi="宋体" w:hint="eastAsia"/>
          <w:color w:val="auto"/>
          <w:sz w:val="21"/>
          <w:szCs w:val="21"/>
        </w:rPr>
        <w:t>脊柱肿瘤</w:t>
      </w:r>
      <w:bookmarkEnd w:id="45"/>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分析用于脊柱肿瘤治疗的椎体置换器械安全性和有效性的研究应该考虑几个把这一群体与一般脊柱疾病患者，特别是其他椎体置换患者区分开来的因素。这些因素包括患者的预期寿命、合格参与研究的总人数、该器械的特定目的、临床试验的持续时间以及适当的临床结果参数等。</w:t>
      </w:r>
    </w:p>
    <w:p w:rsidR="008F17E4" w:rsidRPr="00EB049C" w:rsidRDefault="008F17E4" w:rsidP="003E190C">
      <w:pPr>
        <w:pStyle w:val="CM45"/>
        <w:snapToGrid w:val="0"/>
        <w:spacing w:beforeLines="50" w:after="0" w:line="360" w:lineRule="auto"/>
        <w:ind w:leftChars="200" w:left="420"/>
        <w:jc w:val="both"/>
        <w:outlineLvl w:val="2"/>
        <w:rPr>
          <w:sz w:val="21"/>
          <w:szCs w:val="21"/>
        </w:rPr>
      </w:pPr>
      <w:bookmarkStart w:id="46" w:name="_Toc480641613"/>
      <w:r w:rsidRPr="00EB049C">
        <w:rPr>
          <w:sz w:val="21"/>
          <w:szCs w:val="21"/>
        </w:rPr>
        <w:t>16.1</w:t>
      </w:r>
      <w:r w:rsidRPr="00EB049C">
        <w:rPr>
          <w:sz w:val="21"/>
          <w:szCs w:val="21"/>
        </w:rPr>
        <w:tab/>
      </w:r>
      <w:r w:rsidRPr="00EB049C">
        <w:rPr>
          <w:rFonts w:hAnsi="宋体" w:hint="eastAsia"/>
          <w:sz w:val="21"/>
          <w:szCs w:val="21"/>
        </w:rPr>
        <w:t>入选标准</w:t>
      </w:r>
      <w:bookmarkEnd w:id="46"/>
    </w:p>
    <w:p w:rsidR="008F17E4" w:rsidRPr="00EB049C" w:rsidRDefault="008F17E4" w:rsidP="003E190C">
      <w:pPr>
        <w:pStyle w:val="CM45"/>
        <w:snapToGrid w:val="0"/>
        <w:spacing w:beforeLines="50" w:after="0" w:line="360" w:lineRule="auto"/>
        <w:ind w:leftChars="400" w:left="840"/>
        <w:jc w:val="both"/>
        <w:rPr>
          <w:sz w:val="21"/>
          <w:szCs w:val="21"/>
        </w:rPr>
      </w:pPr>
      <w:r w:rsidRPr="00EB049C">
        <w:rPr>
          <w:rFonts w:hAnsi="宋体" w:hint="eastAsia"/>
          <w:sz w:val="21"/>
          <w:szCs w:val="21"/>
        </w:rPr>
        <w:t>肿瘤研究入选时，</w:t>
      </w:r>
      <w:r w:rsidR="0093559A" w:rsidRPr="00EB049C">
        <w:rPr>
          <w:rFonts w:hAnsi="宋体" w:hint="eastAsia"/>
          <w:sz w:val="21"/>
          <w:szCs w:val="21"/>
        </w:rPr>
        <w:t>申办方</w:t>
      </w:r>
      <w:r w:rsidRPr="00EB049C">
        <w:rPr>
          <w:rFonts w:hAnsi="宋体" w:hint="eastAsia"/>
          <w:sz w:val="21"/>
          <w:szCs w:val="21"/>
        </w:rPr>
        <w:t>应该考虑既往治疗（如，辐照、化疗）、肿瘤类型（原发良性、原发侵袭性</w:t>
      </w:r>
      <w:r w:rsidRPr="00EB049C">
        <w:rPr>
          <w:sz w:val="21"/>
          <w:szCs w:val="21"/>
        </w:rPr>
        <w:t>/</w:t>
      </w:r>
      <w:r w:rsidRPr="00EB049C">
        <w:rPr>
          <w:rFonts w:hAnsi="宋体" w:hint="eastAsia"/>
          <w:sz w:val="21"/>
          <w:szCs w:val="21"/>
        </w:rPr>
        <w:t>恶性或转移性）以及治疗的目的。</w:t>
      </w:r>
      <w:r w:rsidRPr="00EB049C">
        <w:rPr>
          <w:sz w:val="21"/>
          <w:szCs w:val="21"/>
        </w:rPr>
        <w:t>FDA</w:t>
      </w:r>
      <w:r w:rsidRPr="00EB049C">
        <w:rPr>
          <w:rFonts w:hAnsi="宋体" w:hint="eastAsia"/>
          <w:sz w:val="21"/>
          <w:szCs w:val="21"/>
        </w:rPr>
        <w:t>认为，肿瘤研究可能涉及相当大范围的疾病实体和预期寿命。我们预期患者主要会抱怨疼痛、神经系统功能缺损和</w:t>
      </w:r>
      <w:r w:rsidRPr="00EB049C">
        <w:rPr>
          <w:sz w:val="21"/>
          <w:szCs w:val="21"/>
        </w:rPr>
        <w:t>/</w:t>
      </w:r>
      <w:r w:rsidRPr="00EB049C">
        <w:rPr>
          <w:rFonts w:hAnsi="宋体" w:hint="eastAsia"/>
          <w:sz w:val="21"/>
          <w:szCs w:val="21"/>
        </w:rPr>
        <w:t>或功能缺损或表达出预防病理性骨折的意图。</w:t>
      </w:r>
    </w:p>
    <w:p w:rsidR="008F17E4" w:rsidRPr="00EB049C" w:rsidRDefault="008F17E4" w:rsidP="003E190C">
      <w:pPr>
        <w:pStyle w:val="CM45"/>
        <w:snapToGrid w:val="0"/>
        <w:spacing w:beforeLines="50" w:after="0" w:line="360" w:lineRule="auto"/>
        <w:ind w:leftChars="200" w:left="420"/>
        <w:jc w:val="both"/>
        <w:outlineLvl w:val="2"/>
        <w:rPr>
          <w:sz w:val="21"/>
          <w:szCs w:val="21"/>
        </w:rPr>
      </w:pPr>
      <w:bookmarkStart w:id="47" w:name="_Toc480641614"/>
      <w:r w:rsidRPr="00EB049C">
        <w:rPr>
          <w:sz w:val="21"/>
          <w:szCs w:val="21"/>
        </w:rPr>
        <w:t>16.2</w:t>
      </w:r>
      <w:r w:rsidRPr="00EB049C">
        <w:rPr>
          <w:sz w:val="21"/>
          <w:szCs w:val="21"/>
        </w:rPr>
        <w:tab/>
      </w:r>
      <w:r w:rsidRPr="00EB049C">
        <w:rPr>
          <w:rFonts w:hAnsi="宋体" w:hint="eastAsia"/>
          <w:sz w:val="21"/>
          <w:szCs w:val="21"/>
        </w:rPr>
        <w:t>研究持续时间</w:t>
      </w:r>
      <w:r w:rsidRPr="00EB049C">
        <w:rPr>
          <w:sz w:val="21"/>
          <w:szCs w:val="21"/>
        </w:rPr>
        <w:t>/</w:t>
      </w:r>
      <w:r w:rsidRPr="00EB049C">
        <w:rPr>
          <w:rFonts w:hAnsi="宋体" w:hint="eastAsia"/>
          <w:sz w:val="21"/>
          <w:szCs w:val="21"/>
        </w:rPr>
        <w:t>随访计划表</w:t>
      </w:r>
      <w:bookmarkEnd w:id="47"/>
    </w:p>
    <w:p w:rsidR="008F17E4" w:rsidRPr="00EB049C" w:rsidRDefault="008F17E4" w:rsidP="003E190C">
      <w:pPr>
        <w:pStyle w:val="CM45"/>
        <w:snapToGrid w:val="0"/>
        <w:spacing w:beforeLines="50" w:after="0" w:line="360" w:lineRule="auto"/>
        <w:ind w:leftChars="400" w:left="840"/>
        <w:jc w:val="both"/>
        <w:rPr>
          <w:sz w:val="21"/>
          <w:szCs w:val="21"/>
        </w:rPr>
      </w:pPr>
      <w:r w:rsidRPr="00EB049C">
        <w:rPr>
          <w:rFonts w:hAnsi="宋体" w:hint="eastAsia"/>
          <w:sz w:val="21"/>
          <w:szCs w:val="21"/>
        </w:rPr>
        <w:t>我们预期，对于很多入组这类型器械试验的患者，研究者不太可能维持他们的长期随访，将有相当大数量的患者会被归类为失访。因此，从数据收集的角度来看，该试验的目的是收集尽可能多的数据。</w:t>
      </w:r>
      <w:r w:rsidR="0093559A" w:rsidRPr="00EB049C">
        <w:rPr>
          <w:rFonts w:hAnsi="宋体" w:hint="eastAsia"/>
          <w:sz w:val="21"/>
          <w:szCs w:val="21"/>
        </w:rPr>
        <w:t>申办方</w:t>
      </w:r>
      <w:r w:rsidRPr="00EB049C">
        <w:rPr>
          <w:rFonts w:hAnsi="宋体" w:hint="eastAsia"/>
          <w:sz w:val="21"/>
          <w:szCs w:val="21"/>
        </w:rPr>
        <w:t>应该根据掌握的患者人群和研究目的，说明随访计划表和研究的持续时间。应该对所有的患者都进行随访，直到最后一位入组的患者达到合理的研究终点或因死亡退出试验。</w:t>
      </w:r>
    </w:p>
    <w:p w:rsidR="008F17E4" w:rsidRPr="00EB049C" w:rsidRDefault="008F17E4" w:rsidP="003E190C">
      <w:pPr>
        <w:pStyle w:val="CM45"/>
        <w:snapToGrid w:val="0"/>
        <w:spacing w:beforeLines="50" w:after="0" w:line="360" w:lineRule="auto"/>
        <w:ind w:leftChars="200" w:left="420"/>
        <w:jc w:val="both"/>
        <w:outlineLvl w:val="2"/>
        <w:rPr>
          <w:sz w:val="21"/>
          <w:szCs w:val="21"/>
        </w:rPr>
      </w:pPr>
      <w:bookmarkStart w:id="48" w:name="_Toc480641615"/>
      <w:r w:rsidRPr="00EB049C">
        <w:rPr>
          <w:sz w:val="21"/>
          <w:szCs w:val="21"/>
        </w:rPr>
        <w:t>16.3</w:t>
      </w:r>
      <w:r w:rsidRPr="00EB049C">
        <w:rPr>
          <w:sz w:val="21"/>
          <w:szCs w:val="21"/>
        </w:rPr>
        <w:tab/>
      </w:r>
      <w:r w:rsidR="00CF193F" w:rsidRPr="00EB049C">
        <w:rPr>
          <w:rFonts w:hAnsi="宋体" w:hint="eastAsia"/>
          <w:sz w:val="21"/>
          <w:szCs w:val="21"/>
        </w:rPr>
        <w:t>样本量</w:t>
      </w:r>
      <w:r w:rsidRPr="00EB049C">
        <w:rPr>
          <w:sz w:val="21"/>
          <w:szCs w:val="21"/>
        </w:rPr>
        <w:t>/</w:t>
      </w:r>
      <w:r w:rsidR="00036E96" w:rsidRPr="00EB049C">
        <w:rPr>
          <w:rFonts w:hAnsi="宋体" w:hint="eastAsia"/>
          <w:sz w:val="21"/>
          <w:szCs w:val="21"/>
        </w:rPr>
        <w:t>研究中心</w:t>
      </w:r>
      <w:r w:rsidRPr="00EB049C">
        <w:rPr>
          <w:rFonts w:hAnsi="宋体" w:hint="eastAsia"/>
          <w:sz w:val="21"/>
          <w:szCs w:val="21"/>
        </w:rPr>
        <w:t>和研究者的数量</w:t>
      </w:r>
      <w:bookmarkEnd w:id="48"/>
    </w:p>
    <w:p w:rsidR="008F17E4" w:rsidRPr="00EB049C" w:rsidRDefault="008F17E4" w:rsidP="003E190C">
      <w:pPr>
        <w:pStyle w:val="CM45"/>
        <w:snapToGrid w:val="0"/>
        <w:spacing w:beforeLines="50" w:after="0" w:line="360" w:lineRule="auto"/>
        <w:ind w:leftChars="400" w:left="840"/>
        <w:jc w:val="both"/>
        <w:rPr>
          <w:sz w:val="21"/>
          <w:szCs w:val="21"/>
        </w:rPr>
      </w:pPr>
      <w:r w:rsidRPr="00EB049C">
        <w:rPr>
          <w:rFonts w:hAnsi="宋体" w:hint="eastAsia"/>
          <w:sz w:val="21"/>
          <w:szCs w:val="21"/>
        </w:rPr>
        <w:t>符合入选</w:t>
      </w:r>
      <w:r w:rsidRPr="00EB049C">
        <w:rPr>
          <w:sz w:val="21"/>
          <w:szCs w:val="21"/>
        </w:rPr>
        <w:t>/</w:t>
      </w:r>
      <w:r w:rsidRPr="00EB049C">
        <w:rPr>
          <w:rFonts w:hAnsi="宋体" w:hint="eastAsia"/>
          <w:sz w:val="21"/>
          <w:szCs w:val="21"/>
        </w:rPr>
        <w:t>排除标准的患者总人数相对较少，这些患者可入组的比率非常低。因此，将不会对可能针对这一特定临床试验登记注册的</w:t>
      </w:r>
      <w:r w:rsidR="00036E96" w:rsidRPr="00EB049C">
        <w:rPr>
          <w:rFonts w:hAnsi="宋体" w:hint="eastAsia"/>
          <w:sz w:val="21"/>
          <w:szCs w:val="21"/>
        </w:rPr>
        <w:t>研究中心</w:t>
      </w:r>
      <w:r w:rsidRPr="00EB049C">
        <w:rPr>
          <w:sz w:val="21"/>
          <w:szCs w:val="21"/>
        </w:rPr>
        <w:t>/</w:t>
      </w:r>
      <w:r w:rsidRPr="00EB049C">
        <w:rPr>
          <w:rFonts w:hAnsi="宋体" w:hint="eastAsia"/>
          <w:sz w:val="21"/>
          <w:szCs w:val="21"/>
        </w:rPr>
        <w:t>研究者数量进行控制。但每个注册的</w:t>
      </w:r>
      <w:r w:rsidR="00036E96" w:rsidRPr="00EB049C">
        <w:rPr>
          <w:rFonts w:hAnsi="宋体" w:hint="eastAsia"/>
          <w:sz w:val="21"/>
          <w:szCs w:val="21"/>
        </w:rPr>
        <w:t>研究中心</w:t>
      </w:r>
      <w:r w:rsidRPr="00EB049C">
        <w:rPr>
          <w:rFonts w:hAnsi="宋体" w:hint="eastAsia"/>
          <w:sz w:val="21"/>
          <w:szCs w:val="21"/>
        </w:rPr>
        <w:t>仍然需要获得</w:t>
      </w:r>
      <w:r w:rsidRPr="00EB049C">
        <w:rPr>
          <w:sz w:val="21"/>
          <w:szCs w:val="21"/>
        </w:rPr>
        <w:t>IRB</w:t>
      </w:r>
      <w:r w:rsidRPr="00EB049C">
        <w:rPr>
          <w:rFonts w:hAnsi="宋体" w:hint="eastAsia"/>
          <w:sz w:val="21"/>
          <w:szCs w:val="21"/>
        </w:rPr>
        <w:t>批准。此外，还需要根据</w:t>
      </w:r>
      <w:r w:rsidRPr="00EB049C">
        <w:rPr>
          <w:sz w:val="21"/>
          <w:szCs w:val="21"/>
        </w:rPr>
        <w:t>IDE</w:t>
      </w:r>
      <w:r w:rsidRPr="00EB049C">
        <w:rPr>
          <w:rFonts w:hAnsi="宋体" w:hint="eastAsia"/>
          <w:sz w:val="21"/>
          <w:szCs w:val="21"/>
        </w:rPr>
        <w:t>法规对它们进行监督。</w:t>
      </w:r>
    </w:p>
    <w:p w:rsidR="008F17E4" w:rsidRPr="00EB049C" w:rsidRDefault="008F17E4" w:rsidP="003E190C">
      <w:pPr>
        <w:pStyle w:val="CM45"/>
        <w:snapToGrid w:val="0"/>
        <w:spacing w:beforeLines="50" w:after="0" w:line="360" w:lineRule="auto"/>
        <w:ind w:leftChars="200" w:left="420"/>
        <w:jc w:val="both"/>
        <w:outlineLvl w:val="2"/>
        <w:rPr>
          <w:sz w:val="21"/>
          <w:szCs w:val="21"/>
        </w:rPr>
      </w:pPr>
      <w:bookmarkStart w:id="49" w:name="_Toc480641616"/>
      <w:r w:rsidRPr="00EB049C">
        <w:rPr>
          <w:sz w:val="21"/>
          <w:szCs w:val="21"/>
        </w:rPr>
        <w:t>16.4</w:t>
      </w:r>
      <w:r w:rsidRPr="00EB049C">
        <w:rPr>
          <w:sz w:val="21"/>
          <w:szCs w:val="21"/>
        </w:rPr>
        <w:tab/>
      </w:r>
      <w:r w:rsidRPr="00EB049C">
        <w:rPr>
          <w:rFonts w:hAnsi="宋体" w:hint="eastAsia"/>
          <w:sz w:val="21"/>
          <w:szCs w:val="21"/>
        </w:rPr>
        <w:t>对照组</w:t>
      </w:r>
      <w:bookmarkEnd w:id="49"/>
    </w:p>
    <w:p w:rsidR="008F17E4" w:rsidRPr="00EB049C" w:rsidRDefault="008F17E4" w:rsidP="003E190C">
      <w:pPr>
        <w:pStyle w:val="CM20"/>
        <w:snapToGrid w:val="0"/>
        <w:spacing w:beforeLines="50" w:line="360" w:lineRule="auto"/>
        <w:ind w:leftChars="400" w:left="840"/>
        <w:jc w:val="both"/>
        <w:rPr>
          <w:rFonts w:hAnsi="宋体"/>
          <w:sz w:val="21"/>
          <w:szCs w:val="21"/>
        </w:rPr>
      </w:pPr>
      <w:r w:rsidRPr="00EB049C">
        <w:rPr>
          <w:rFonts w:hAnsi="宋体" w:hint="eastAsia"/>
          <w:sz w:val="21"/>
          <w:szCs w:val="21"/>
        </w:rPr>
        <w:t>应该纳入对照组，最好是同期对照人群。单个</w:t>
      </w:r>
      <w:r w:rsidR="00036E96" w:rsidRPr="00EB049C">
        <w:rPr>
          <w:rFonts w:hAnsi="宋体" w:hint="eastAsia"/>
          <w:sz w:val="21"/>
          <w:szCs w:val="21"/>
        </w:rPr>
        <w:t>研究中心</w:t>
      </w:r>
      <w:r w:rsidRPr="00EB049C">
        <w:rPr>
          <w:rFonts w:hAnsi="宋体" w:hint="eastAsia"/>
          <w:sz w:val="21"/>
          <w:szCs w:val="21"/>
        </w:rPr>
        <w:t>可能采用同期对照，但试验患者将不会，并且可能涉及使用当前认可的所有脊柱肿瘤护理标准，如骨移植物的前板、</w:t>
      </w:r>
      <w:r w:rsidRPr="00EB049C">
        <w:rPr>
          <w:sz w:val="21"/>
          <w:szCs w:val="21"/>
        </w:rPr>
        <w:t>PMMA</w:t>
      </w:r>
      <w:r w:rsidRPr="00EB049C">
        <w:rPr>
          <w:rFonts w:hAnsi="宋体" w:hint="eastAsia"/>
          <w:sz w:val="21"/>
          <w:szCs w:val="21"/>
        </w:rPr>
        <w:t>等。</w:t>
      </w:r>
    </w:p>
    <w:p w:rsidR="008F17E4" w:rsidRPr="00EB049C" w:rsidRDefault="008F17E4" w:rsidP="003E190C">
      <w:pPr>
        <w:pStyle w:val="CM20"/>
        <w:snapToGrid w:val="0"/>
        <w:spacing w:beforeLines="50" w:line="348" w:lineRule="auto"/>
        <w:ind w:leftChars="200" w:left="420"/>
        <w:jc w:val="both"/>
        <w:rPr>
          <w:sz w:val="21"/>
          <w:szCs w:val="21"/>
        </w:rPr>
      </w:pPr>
      <w:r w:rsidRPr="00EB049C">
        <w:rPr>
          <w:sz w:val="21"/>
          <w:szCs w:val="21"/>
        </w:rPr>
        <w:br w:type="page"/>
      </w:r>
      <w:r w:rsidRPr="00EB049C">
        <w:rPr>
          <w:rFonts w:hAnsi="宋体" w:hint="eastAsia"/>
          <w:sz w:val="21"/>
          <w:szCs w:val="21"/>
        </w:rPr>
        <w:lastRenderedPageBreak/>
        <w:t>对照数据的其他可能来源都是来自参与研究者或文献的回顾性连续数据（病例系列）。由于治疗方法和被评价临床结果参数的变化性极大，故数据分析期间，这些可能的对照数据集会存在潜在困难。为了进行适当的比较，应该按相似的时间间隔收集这些人群相同的临床结果参数。</w:t>
      </w:r>
    </w:p>
    <w:p w:rsidR="008F17E4" w:rsidRPr="00EB049C" w:rsidRDefault="008F17E4" w:rsidP="005627F4">
      <w:pPr>
        <w:pStyle w:val="CM45"/>
        <w:snapToGrid w:val="0"/>
        <w:spacing w:after="0" w:line="348" w:lineRule="auto"/>
        <w:ind w:leftChars="200" w:left="420"/>
        <w:jc w:val="both"/>
        <w:rPr>
          <w:sz w:val="21"/>
          <w:szCs w:val="21"/>
        </w:rPr>
      </w:pPr>
      <w:r w:rsidRPr="00EB049C">
        <w:rPr>
          <w:rFonts w:hAnsi="宋体" w:hint="eastAsia"/>
          <w:sz w:val="21"/>
          <w:szCs w:val="21"/>
        </w:rPr>
        <w:t>因此，试验开始之前，应该与</w:t>
      </w:r>
      <w:r w:rsidRPr="00EB049C">
        <w:rPr>
          <w:sz w:val="21"/>
          <w:szCs w:val="21"/>
        </w:rPr>
        <w:t>FDA</w:t>
      </w:r>
      <w:r w:rsidRPr="00EB049C">
        <w:rPr>
          <w:rFonts w:hAnsi="宋体" w:hint="eastAsia"/>
          <w:sz w:val="21"/>
          <w:szCs w:val="21"/>
        </w:rPr>
        <w:t>仔细讨论一下这些对照数据的备用来源。</w:t>
      </w:r>
    </w:p>
    <w:p w:rsidR="008F17E4" w:rsidRPr="00EB049C" w:rsidRDefault="008F17E4" w:rsidP="003E190C">
      <w:pPr>
        <w:pStyle w:val="CM45"/>
        <w:snapToGrid w:val="0"/>
        <w:spacing w:beforeLines="50" w:after="0" w:line="348" w:lineRule="auto"/>
        <w:jc w:val="both"/>
        <w:outlineLvl w:val="2"/>
        <w:rPr>
          <w:sz w:val="21"/>
          <w:szCs w:val="21"/>
        </w:rPr>
      </w:pPr>
      <w:bookmarkStart w:id="50" w:name="_Toc480641617"/>
      <w:r w:rsidRPr="00EB049C">
        <w:rPr>
          <w:sz w:val="21"/>
          <w:szCs w:val="21"/>
        </w:rPr>
        <w:t>16.5</w:t>
      </w:r>
      <w:r w:rsidRPr="00EB049C">
        <w:rPr>
          <w:sz w:val="21"/>
          <w:szCs w:val="21"/>
        </w:rPr>
        <w:tab/>
      </w:r>
      <w:r w:rsidRPr="00EB049C">
        <w:rPr>
          <w:rFonts w:hAnsi="宋体" w:hint="eastAsia"/>
          <w:sz w:val="21"/>
          <w:szCs w:val="21"/>
        </w:rPr>
        <w:t>临床参数</w:t>
      </w:r>
      <w:bookmarkEnd w:id="50"/>
    </w:p>
    <w:p w:rsidR="008F17E4" w:rsidRPr="00EB049C" w:rsidRDefault="008F17E4" w:rsidP="003E190C">
      <w:pPr>
        <w:pStyle w:val="CM45"/>
        <w:snapToGrid w:val="0"/>
        <w:spacing w:beforeLines="50" w:after="0" w:line="348" w:lineRule="auto"/>
        <w:ind w:leftChars="200" w:left="420"/>
        <w:jc w:val="both"/>
        <w:rPr>
          <w:sz w:val="21"/>
          <w:szCs w:val="21"/>
        </w:rPr>
      </w:pPr>
      <w:r w:rsidRPr="00EB049C">
        <w:rPr>
          <w:rFonts w:hAnsi="宋体" w:hint="eastAsia"/>
          <w:sz w:val="21"/>
          <w:szCs w:val="21"/>
        </w:rPr>
        <w:t>应该从以下几方面对患者进行评价：</w:t>
      </w:r>
    </w:p>
    <w:p w:rsidR="008F17E4" w:rsidRPr="00EB049C" w:rsidRDefault="008F17E4" w:rsidP="003E190C">
      <w:pPr>
        <w:pStyle w:val="Default"/>
        <w:numPr>
          <w:ilvl w:val="0"/>
          <w:numId w:val="21"/>
        </w:numPr>
        <w:snapToGrid w:val="0"/>
        <w:spacing w:beforeLines="50" w:line="348" w:lineRule="auto"/>
        <w:ind w:leftChars="200" w:firstLine="0"/>
        <w:jc w:val="both"/>
        <w:rPr>
          <w:color w:val="auto"/>
          <w:sz w:val="21"/>
          <w:szCs w:val="21"/>
        </w:rPr>
      </w:pPr>
      <w:r w:rsidRPr="00EB049C">
        <w:rPr>
          <w:rFonts w:hAnsi="宋体" w:hint="eastAsia"/>
          <w:color w:val="auto"/>
          <w:sz w:val="21"/>
          <w:szCs w:val="21"/>
        </w:rPr>
        <w:t>疼痛（腿和</w:t>
      </w:r>
      <w:r w:rsidRPr="00EB049C">
        <w:rPr>
          <w:color w:val="auto"/>
          <w:sz w:val="21"/>
          <w:szCs w:val="21"/>
        </w:rPr>
        <w:t>/</w:t>
      </w:r>
      <w:r w:rsidRPr="00EB049C">
        <w:rPr>
          <w:rFonts w:hAnsi="宋体" w:hint="eastAsia"/>
          <w:color w:val="auto"/>
          <w:sz w:val="21"/>
          <w:szCs w:val="21"/>
        </w:rPr>
        <w:t>或背）</w:t>
      </w:r>
    </w:p>
    <w:p w:rsidR="008F17E4" w:rsidRPr="00EB049C" w:rsidRDefault="008F17E4" w:rsidP="005627F4">
      <w:pPr>
        <w:pStyle w:val="Default"/>
        <w:snapToGrid w:val="0"/>
        <w:spacing w:line="348" w:lineRule="auto"/>
        <w:ind w:leftChars="500" w:left="1050"/>
        <w:jc w:val="both"/>
        <w:rPr>
          <w:color w:val="auto"/>
          <w:sz w:val="21"/>
          <w:szCs w:val="21"/>
        </w:rPr>
      </w:pPr>
      <w:r w:rsidRPr="00EB049C">
        <w:rPr>
          <w:rFonts w:hAnsi="宋体" w:hint="eastAsia"/>
          <w:color w:val="auto"/>
          <w:sz w:val="21"/>
          <w:szCs w:val="21"/>
        </w:rPr>
        <w:t>需要尝试区别因脊柱问题引起的疼痛，如神经根压迫，与自身身体状况所致的一般疼痛。</w:t>
      </w:r>
    </w:p>
    <w:p w:rsidR="008F17E4" w:rsidRPr="00EB049C" w:rsidRDefault="008F17E4" w:rsidP="003E190C">
      <w:pPr>
        <w:pStyle w:val="Default"/>
        <w:numPr>
          <w:ilvl w:val="0"/>
          <w:numId w:val="21"/>
        </w:numPr>
        <w:snapToGrid w:val="0"/>
        <w:spacing w:beforeLines="50" w:line="348" w:lineRule="auto"/>
        <w:ind w:leftChars="200" w:firstLine="0"/>
        <w:jc w:val="both"/>
        <w:rPr>
          <w:color w:val="auto"/>
          <w:sz w:val="21"/>
          <w:szCs w:val="21"/>
        </w:rPr>
      </w:pPr>
      <w:r w:rsidRPr="00EB049C">
        <w:rPr>
          <w:rFonts w:hAnsi="宋体" w:hint="eastAsia"/>
          <w:color w:val="auto"/>
          <w:sz w:val="21"/>
          <w:szCs w:val="21"/>
        </w:rPr>
        <w:t>神经功能状态</w:t>
      </w:r>
    </w:p>
    <w:p w:rsidR="008F17E4" w:rsidRPr="00EB049C" w:rsidRDefault="008F17E4" w:rsidP="005627F4">
      <w:pPr>
        <w:pStyle w:val="Default"/>
        <w:snapToGrid w:val="0"/>
        <w:spacing w:line="348" w:lineRule="auto"/>
        <w:ind w:leftChars="500" w:left="1050"/>
        <w:jc w:val="both"/>
        <w:rPr>
          <w:color w:val="auto"/>
          <w:sz w:val="21"/>
          <w:szCs w:val="21"/>
        </w:rPr>
      </w:pPr>
      <w:r w:rsidRPr="00EB049C">
        <w:rPr>
          <w:rFonts w:hAnsi="宋体" w:hint="eastAsia"/>
          <w:color w:val="auto"/>
          <w:sz w:val="21"/>
          <w:szCs w:val="21"/>
        </w:rPr>
        <w:t>用来评价其他脊柱器械使用患者神经功能状态的评估同样适用于这类患者。</w:t>
      </w:r>
    </w:p>
    <w:p w:rsidR="008F17E4" w:rsidRPr="00EB049C" w:rsidRDefault="008F17E4" w:rsidP="003E190C">
      <w:pPr>
        <w:pStyle w:val="Default"/>
        <w:numPr>
          <w:ilvl w:val="0"/>
          <w:numId w:val="21"/>
        </w:numPr>
        <w:snapToGrid w:val="0"/>
        <w:spacing w:beforeLines="50" w:line="348" w:lineRule="auto"/>
        <w:ind w:leftChars="200" w:firstLine="0"/>
        <w:jc w:val="both"/>
        <w:rPr>
          <w:color w:val="auto"/>
          <w:sz w:val="21"/>
          <w:szCs w:val="21"/>
        </w:rPr>
      </w:pPr>
      <w:r w:rsidRPr="00EB049C">
        <w:rPr>
          <w:rFonts w:hAnsi="宋体" w:hint="eastAsia"/>
          <w:color w:val="auto"/>
          <w:sz w:val="21"/>
          <w:szCs w:val="21"/>
        </w:rPr>
        <w:t>患者功能（功能独立性）</w:t>
      </w:r>
    </w:p>
    <w:p w:rsidR="008F17E4" w:rsidRPr="00EB049C" w:rsidRDefault="008F17E4" w:rsidP="005627F4">
      <w:pPr>
        <w:pStyle w:val="Default"/>
        <w:snapToGrid w:val="0"/>
        <w:spacing w:line="348" w:lineRule="auto"/>
        <w:ind w:leftChars="500" w:left="1050"/>
        <w:jc w:val="both"/>
        <w:rPr>
          <w:color w:val="auto"/>
          <w:sz w:val="21"/>
          <w:szCs w:val="21"/>
        </w:rPr>
      </w:pPr>
      <w:r w:rsidRPr="00EB049C">
        <w:rPr>
          <w:rFonts w:hAnsi="宋体" w:hint="eastAsia"/>
          <w:color w:val="auto"/>
          <w:sz w:val="21"/>
          <w:szCs w:val="21"/>
        </w:rPr>
        <w:t>功能评价应该重点关注患者独立操作的能力，如与术前状态相比他们能否在家</w:t>
      </w:r>
      <w:r w:rsidRPr="00EB049C">
        <w:rPr>
          <w:color w:val="auto"/>
          <w:sz w:val="21"/>
          <w:szCs w:val="21"/>
        </w:rPr>
        <w:t>/</w:t>
      </w:r>
      <w:r w:rsidRPr="00EB049C">
        <w:rPr>
          <w:rFonts w:hAnsi="宋体" w:hint="eastAsia"/>
          <w:color w:val="auto"/>
          <w:sz w:val="21"/>
          <w:szCs w:val="21"/>
        </w:rPr>
        <w:t>社区附近运动、能否自己穿衣等等。</w:t>
      </w:r>
    </w:p>
    <w:p w:rsidR="008F17E4" w:rsidRPr="00EB049C" w:rsidRDefault="008F17E4" w:rsidP="003E190C">
      <w:pPr>
        <w:pStyle w:val="Default"/>
        <w:numPr>
          <w:ilvl w:val="0"/>
          <w:numId w:val="21"/>
        </w:numPr>
        <w:snapToGrid w:val="0"/>
        <w:spacing w:beforeLines="50" w:line="348" w:lineRule="auto"/>
        <w:ind w:leftChars="200" w:firstLine="0"/>
        <w:jc w:val="both"/>
        <w:rPr>
          <w:color w:val="auto"/>
          <w:sz w:val="21"/>
          <w:szCs w:val="21"/>
        </w:rPr>
      </w:pPr>
      <w:r w:rsidRPr="00EB049C">
        <w:rPr>
          <w:rFonts w:hAnsi="宋体" w:hint="eastAsia"/>
          <w:color w:val="auto"/>
          <w:sz w:val="21"/>
          <w:szCs w:val="21"/>
        </w:rPr>
        <w:t>放射学评估</w:t>
      </w:r>
    </w:p>
    <w:p w:rsidR="008F17E4" w:rsidRPr="00EB049C" w:rsidRDefault="008F17E4" w:rsidP="005627F4">
      <w:pPr>
        <w:pStyle w:val="Default"/>
        <w:snapToGrid w:val="0"/>
        <w:spacing w:line="348" w:lineRule="auto"/>
        <w:ind w:leftChars="500" w:left="1050"/>
        <w:jc w:val="both"/>
        <w:rPr>
          <w:color w:val="auto"/>
          <w:sz w:val="21"/>
          <w:szCs w:val="21"/>
        </w:rPr>
      </w:pPr>
      <w:r w:rsidRPr="00EB049C">
        <w:rPr>
          <w:rFonts w:hAnsi="宋体" w:hint="eastAsia"/>
          <w:color w:val="auto"/>
          <w:sz w:val="21"/>
          <w:szCs w:val="21"/>
        </w:rPr>
        <w:t>放射学评估取决于患者人群和研究目的。这些评估可能包括植入物的完整性、矫正维持、无移位和</w:t>
      </w:r>
      <w:r w:rsidRPr="00EB049C">
        <w:rPr>
          <w:color w:val="auto"/>
          <w:sz w:val="21"/>
          <w:szCs w:val="21"/>
        </w:rPr>
        <w:t>/</w:t>
      </w:r>
      <w:r w:rsidRPr="00EB049C">
        <w:rPr>
          <w:rFonts w:hAnsi="宋体" w:hint="eastAsia"/>
          <w:color w:val="auto"/>
          <w:sz w:val="21"/>
          <w:szCs w:val="21"/>
        </w:rPr>
        <w:t>或融合。</w:t>
      </w:r>
    </w:p>
    <w:p w:rsidR="008F17E4" w:rsidRPr="00EB049C" w:rsidRDefault="008F17E4" w:rsidP="003E190C">
      <w:pPr>
        <w:pStyle w:val="Default"/>
        <w:numPr>
          <w:ilvl w:val="0"/>
          <w:numId w:val="21"/>
        </w:numPr>
        <w:snapToGrid w:val="0"/>
        <w:spacing w:beforeLines="50" w:line="348" w:lineRule="auto"/>
        <w:ind w:leftChars="200" w:firstLine="0"/>
        <w:jc w:val="both"/>
        <w:rPr>
          <w:color w:val="auto"/>
          <w:sz w:val="21"/>
          <w:szCs w:val="21"/>
        </w:rPr>
      </w:pPr>
      <w:r w:rsidRPr="00EB049C">
        <w:rPr>
          <w:rFonts w:hAnsi="宋体" w:hint="eastAsia"/>
          <w:color w:val="auto"/>
          <w:sz w:val="21"/>
          <w:szCs w:val="21"/>
        </w:rPr>
        <w:t>健康相关生活质量</w:t>
      </w:r>
    </w:p>
    <w:p w:rsidR="008F17E4" w:rsidRPr="00EB049C" w:rsidRDefault="008F17E4" w:rsidP="005627F4">
      <w:pPr>
        <w:pStyle w:val="Default"/>
        <w:snapToGrid w:val="0"/>
        <w:spacing w:line="348" w:lineRule="auto"/>
        <w:ind w:leftChars="500" w:left="1050"/>
        <w:jc w:val="both"/>
        <w:rPr>
          <w:color w:val="auto"/>
          <w:sz w:val="21"/>
          <w:szCs w:val="21"/>
        </w:rPr>
      </w:pPr>
      <w:r w:rsidRPr="00EB049C">
        <w:rPr>
          <w:rFonts w:hAnsi="宋体" w:hint="eastAsia"/>
          <w:color w:val="auto"/>
          <w:sz w:val="21"/>
          <w:szCs w:val="21"/>
        </w:rPr>
        <w:t>可以预期，由于接受了植入物，患者的</w:t>
      </w:r>
      <w:r w:rsidRPr="00EB049C">
        <w:rPr>
          <w:color w:val="auto"/>
          <w:sz w:val="21"/>
          <w:szCs w:val="21"/>
        </w:rPr>
        <w:t>“</w:t>
      </w:r>
      <w:r w:rsidRPr="00EB049C">
        <w:rPr>
          <w:rFonts w:hAnsi="宋体" w:hint="eastAsia"/>
          <w:color w:val="auto"/>
          <w:sz w:val="21"/>
          <w:szCs w:val="21"/>
        </w:rPr>
        <w:t>生活质量</w:t>
      </w:r>
      <w:r w:rsidRPr="00EB049C">
        <w:rPr>
          <w:color w:val="auto"/>
          <w:sz w:val="21"/>
          <w:szCs w:val="21"/>
        </w:rPr>
        <w:t>”</w:t>
      </w:r>
      <w:r w:rsidRPr="00EB049C">
        <w:rPr>
          <w:rFonts w:hAnsi="宋体" w:hint="eastAsia"/>
          <w:color w:val="auto"/>
          <w:sz w:val="21"/>
          <w:szCs w:val="21"/>
        </w:rPr>
        <w:t>将会得以改善。因此，</w:t>
      </w:r>
      <w:r w:rsidR="0093559A" w:rsidRPr="00EB049C">
        <w:rPr>
          <w:rFonts w:hAnsi="宋体" w:hint="eastAsia"/>
          <w:color w:val="auto"/>
          <w:sz w:val="21"/>
          <w:szCs w:val="21"/>
        </w:rPr>
        <w:t>申办方</w:t>
      </w:r>
      <w:r w:rsidRPr="00EB049C">
        <w:rPr>
          <w:rFonts w:hAnsi="宋体" w:hint="eastAsia"/>
          <w:color w:val="auto"/>
          <w:sz w:val="21"/>
          <w:szCs w:val="21"/>
        </w:rPr>
        <w:t>应该确定一项能够适当充分捕获研究中该人群这一方面结果的评估工具。</w:t>
      </w:r>
    </w:p>
    <w:p w:rsidR="008F17E4" w:rsidRPr="00EB049C" w:rsidRDefault="008F17E4" w:rsidP="003E190C">
      <w:pPr>
        <w:pStyle w:val="CM45"/>
        <w:snapToGrid w:val="0"/>
        <w:spacing w:beforeLines="50" w:after="0" w:line="348" w:lineRule="auto"/>
        <w:jc w:val="both"/>
        <w:outlineLvl w:val="2"/>
        <w:rPr>
          <w:sz w:val="21"/>
          <w:szCs w:val="21"/>
        </w:rPr>
      </w:pPr>
      <w:bookmarkStart w:id="51" w:name="_Toc480641618"/>
      <w:r w:rsidRPr="00EB049C">
        <w:rPr>
          <w:sz w:val="21"/>
          <w:szCs w:val="21"/>
        </w:rPr>
        <w:t>16.6</w:t>
      </w:r>
      <w:r w:rsidRPr="00EB049C">
        <w:rPr>
          <w:sz w:val="21"/>
          <w:szCs w:val="21"/>
        </w:rPr>
        <w:tab/>
      </w:r>
      <w:r w:rsidRPr="00EB049C">
        <w:rPr>
          <w:rFonts w:hAnsi="宋体" w:hint="eastAsia"/>
          <w:sz w:val="21"/>
          <w:szCs w:val="21"/>
        </w:rPr>
        <w:t>安全性</w:t>
      </w:r>
      <w:bookmarkEnd w:id="51"/>
    </w:p>
    <w:p w:rsidR="008F17E4" w:rsidRPr="00EB049C" w:rsidRDefault="008F17E4" w:rsidP="003E190C">
      <w:pPr>
        <w:pStyle w:val="CM45"/>
        <w:snapToGrid w:val="0"/>
        <w:spacing w:beforeLines="50" w:after="0" w:line="348" w:lineRule="auto"/>
        <w:ind w:leftChars="200" w:left="420"/>
        <w:jc w:val="both"/>
        <w:rPr>
          <w:sz w:val="21"/>
          <w:szCs w:val="21"/>
        </w:rPr>
      </w:pPr>
      <w:r w:rsidRPr="00EB049C">
        <w:rPr>
          <w:rFonts w:hAnsi="宋体" w:hint="eastAsia"/>
          <w:sz w:val="21"/>
          <w:szCs w:val="21"/>
        </w:rPr>
        <w:t>安全性评价应该类似于上述第</w:t>
      </w:r>
      <w:r w:rsidRPr="00EB049C">
        <w:rPr>
          <w:sz w:val="21"/>
          <w:szCs w:val="21"/>
        </w:rPr>
        <w:t>9</w:t>
      </w:r>
      <w:r w:rsidRPr="00EB049C">
        <w:rPr>
          <w:rFonts w:hAnsi="宋体" w:hint="eastAsia"/>
          <w:sz w:val="21"/>
          <w:szCs w:val="21"/>
        </w:rPr>
        <w:t>部分中介绍的内容。</w:t>
      </w:r>
    </w:p>
    <w:p w:rsidR="008F17E4" w:rsidRPr="00EB049C" w:rsidRDefault="008F17E4" w:rsidP="003E190C">
      <w:pPr>
        <w:pStyle w:val="CM45"/>
        <w:snapToGrid w:val="0"/>
        <w:spacing w:beforeLines="50" w:after="0" w:line="348" w:lineRule="auto"/>
        <w:jc w:val="both"/>
        <w:outlineLvl w:val="2"/>
        <w:rPr>
          <w:sz w:val="21"/>
          <w:szCs w:val="21"/>
        </w:rPr>
      </w:pPr>
      <w:bookmarkStart w:id="52" w:name="_Toc480641619"/>
      <w:r w:rsidRPr="00EB049C">
        <w:rPr>
          <w:sz w:val="21"/>
          <w:szCs w:val="21"/>
        </w:rPr>
        <w:t>16.7</w:t>
      </w:r>
      <w:r w:rsidRPr="00EB049C">
        <w:rPr>
          <w:sz w:val="21"/>
          <w:szCs w:val="21"/>
        </w:rPr>
        <w:tab/>
      </w:r>
      <w:r w:rsidRPr="00EB049C">
        <w:rPr>
          <w:rFonts w:hAnsi="宋体" w:hint="eastAsia"/>
          <w:sz w:val="21"/>
          <w:szCs w:val="21"/>
        </w:rPr>
        <w:t>患者</w:t>
      </w:r>
      <w:r w:rsidRPr="00EB049C">
        <w:rPr>
          <w:sz w:val="21"/>
          <w:szCs w:val="21"/>
        </w:rPr>
        <w:t>/</w:t>
      </w:r>
      <w:r w:rsidRPr="00EB049C">
        <w:rPr>
          <w:rFonts w:hAnsi="宋体" w:hint="eastAsia"/>
          <w:sz w:val="21"/>
          <w:szCs w:val="21"/>
        </w:rPr>
        <w:t>研究成功</w:t>
      </w:r>
      <w:bookmarkEnd w:id="52"/>
    </w:p>
    <w:p w:rsidR="008F17E4" w:rsidRPr="00EB049C" w:rsidRDefault="008F17E4" w:rsidP="003E190C">
      <w:pPr>
        <w:pStyle w:val="CM23"/>
        <w:snapToGrid w:val="0"/>
        <w:spacing w:beforeLines="50" w:line="348" w:lineRule="auto"/>
        <w:ind w:leftChars="200" w:left="420"/>
        <w:jc w:val="both"/>
        <w:rPr>
          <w:sz w:val="21"/>
          <w:szCs w:val="21"/>
        </w:rPr>
      </w:pPr>
      <w:r w:rsidRPr="00EB049C">
        <w:rPr>
          <w:rFonts w:hAnsi="宋体" w:hint="eastAsia"/>
          <w:sz w:val="21"/>
          <w:szCs w:val="21"/>
        </w:rPr>
        <w:t>个人患者成功可能基于固定数量临床参数改善的临床意义水平。</w:t>
      </w:r>
      <w:r w:rsidR="0093559A" w:rsidRPr="00EB049C">
        <w:rPr>
          <w:rFonts w:hAnsi="宋体" w:hint="eastAsia"/>
          <w:sz w:val="21"/>
          <w:szCs w:val="21"/>
        </w:rPr>
        <w:t>申办方</w:t>
      </w:r>
      <w:r w:rsidRPr="00EB049C">
        <w:rPr>
          <w:rFonts w:hAnsi="宋体" w:hint="eastAsia"/>
          <w:sz w:val="21"/>
          <w:szCs w:val="21"/>
        </w:rPr>
        <w:t>还可能考虑把个人患者成功建立在患者主要抱怨改善的临床意义水平或手术原因（如，减轻疼痛、预防病理性骨折等等）的基础上。例如，如果一位主要抱怨疼痛的患者应该在疼痛问题上有所改善，直至达到认为这一参数成功的水平，但是只有神经功能状态和患者功能得以维持或改善才是认为这些参数成功的必要条件。存在多个抱怨的患者应该在每一项上都得到改善，这样才能认为成功。一项从机械</w:t>
      </w:r>
      <w:r w:rsidRPr="00EB049C">
        <w:rPr>
          <w:sz w:val="21"/>
          <w:szCs w:val="21"/>
        </w:rPr>
        <w:t>/</w:t>
      </w:r>
      <w:r w:rsidRPr="00EB049C">
        <w:rPr>
          <w:rFonts w:hAnsi="宋体" w:hint="eastAsia"/>
          <w:sz w:val="21"/>
          <w:szCs w:val="21"/>
        </w:rPr>
        <w:t>位置角度（器械功能）认为失败且患者需要经历二次矫正手术的器械将把该受试者归类为失败。</w:t>
      </w:r>
    </w:p>
    <w:p w:rsidR="008F17E4" w:rsidRPr="00EB049C" w:rsidRDefault="008F17E4" w:rsidP="003E190C">
      <w:pPr>
        <w:pStyle w:val="CM45"/>
        <w:snapToGrid w:val="0"/>
        <w:spacing w:beforeLines="50" w:after="0" w:line="360" w:lineRule="auto"/>
        <w:ind w:leftChars="400" w:left="840"/>
        <w:jc w:val="both"/>
        <w:rPr>
          <w:sz w:val="21"/>
          <w:szCs w:val="21"/>
        </w:rPr>
      </w:pPr>
      <w:r w:rsidRPr="00EB049C">
        <w:rPr>
          <w:sz w:val="21"/>
          <w:szCs w:val="21"/>
        </w:rPr>
        <w:br w:type="page"/>
      </w:r>
      <w:r w:rsidRPr="00EB049C">
        <w:rPr>
          <w:rFonts w:hAnsi="宋体" w:hint="eastAsia"/>
          <w:sz w:val="21"/>
          <w:szCs w:val="21"/>
        </w:rPr>
        <w:lastRenderedPageBreak/>
        <w:t>研究成功标准以试验组和对照组之间的个人患者成功率比较或两组之间个人参数比较为基础。</w:t>
      </w:r>
    </w:p>
    <w:p w:rsidR="008F17E4" w:rsidRPr="00EB049C" w:rsidRDefault="008F17E4" w:rsidP="003E190C">
      <w:pPr>
        <w:pStyle w:val="CM45"/>
        <w:snapToGrid w:val="0"/>
        <w:spacing w:beforeLines="50" w:after="0" w:line="360" w:lineRule="auto"/>
        <w:ind w:leftChars="200" w:left="420"/>
        <w:jc w:val="both"/>
        <w:outlineLvl w:val="2"/>
        <w:rPr>
          <w:sz w:val="21"/>
          <w:szCs w:val="21"/>
        </w:rPr>
      </w:pPr>
      <w:bookmarkStart w:id="53" w:name="_Toc480641620"/>
      <w:r w:rsidRPr="00EB049C">
        <w:rPr>
          <w:sz w:val="21"/>
          <w:szCs w:val="21"/>
        </w:rPr>
        <w:t>16.8</w:t>
      </w:r>
      <w:r w:rsidRPr="00EB049C">
        <w:rPr>
          <w:sz w:val="21"/>
          <w:szCs w:val="21"/>
        </w:rPr>
        <w:tab/>
      </w:r>
      <w:r w:rsidRPr="00EB049C">
        <w:rPr>
          <w:rFonts w:hAnsi="宋体" w:hint="eastAsia"/>
          <w:sz w:val="21"/>
          <w:szCs w:val="21"/>
        </w:rPr>
        <w:t>数据显示</w:t>
      </w:r>
      <w:r w:rsidRPr="00EB049C">
        <w:rPr>
          <w:sz w:val="21"/>
          <w:szCs w:val="21"/>
        </w:rPr>
        <w:t>/</w:t>
      </w:r>
      <w:r w:rsidRPr="00EB049C">
        <w:rPr>
          <w:rFonts w:hAnsi="宋体" w:hint="eastAsia"/>
          <w:sz w:val="21"/>
          <w:szCs w:val="21"/>
        </w:rPr>
        <w:t>统计分析</w:t>
      </w:r>
      <w:bookmarkEnd w:id="53"/>
    </w:p>
    <w:p w:rsidR="008F17E4" w:rsidRPr="00EB049C" w:rsidRDefault="008F17E4" w:rsidP="003E190C">
      <w:pPr>
        <w:pStyle w:val="CM44"/>
        <w:snapToGrid w:val="0"/>
        <w:spacing w:beforeLines="50" w:after="0" w:line="360" w:lineRule="auto"/>
        <w:ind w:leftChars="400" w:left="840"/>
        <w:jc w:val="both"/>
        <w:rPr>
          <w:sz w:val="21"/>
          <w:szCs w:val="21"/>
        </w:rPr>
      </w:pPr>
      <w:r w:rsidRPr="00EB049C">
        <w:rPr>
          <w:rFonts w:hAnsi="宋体" w:hint="eastAsia"/>
          <w:sz w:val="21"/>
          <w:szCs w:val="21"/>
        </w:rPr>
        <w:t>类似于第</w:t>
      </w:r>
      <w:r w:rsidRPr="00EB049C">
        <w:rPr>
          <w:sz w:val="21"/>
          <w:szCs w:val="21"/>
        </w:rPr>
        <w:t>11.2</w:t>
      </w:r>
      <w:r w:rsidRPr="00EB049C">
        <w:rPr>
          <w:rFonts w:hAnsi="宋体" w:hint="eastAsia"/>
          <w:sz w:val="21"/>
          <w:szCs w:val="21"/>
        </w:rPr>
        <w:t>部分中描述的数据表示适用，将表示出所有可用的数据。由于入组研究的患者的预期寿命各不相同，故有可能产生一个非常</w:t>
      </w:r>
      <w:r w:rsidRPr="00EB049C">
        <w:rPr>
          <w:sz w:val="21"/>
          <w:szCs w:val="21"/>
        </w:rPr>
        <w:t>“</w:t>
      </w:r>
      <w:r w:rsidRPr="00EB049C">
        <w:rPr>
          <w:rFonts w:hAnsi="宋体" w:hint="eastAsia"/>
          <w:sz w:val="21"/>
          <w:szCs w:val="21"/>
        </w:rPr>
        <w:t>不均匀</w:t>
      </w:r>
      <w:r w:rsidRPr="00EB049C">
        <w:rPr>
          <w:sz w:val="21"/>
          <w:szCs w:val="21"/>
        </w:rPr>
        <w:t>”</w:t>
      </w:r>
      <w:r w:rsidRPr="00EB049C">
        <w:rPr>
          <w:rFonts w:hAnsi="宋体" w:hint="eastAsia"/>
          <w:sz w:val="21"/>
          <w:szCs w:val="21"/>
        </w:rPr>
        <w:t>的数据集，且在后期各评价时间点评价时可能易于发生大规模信息丢失。因此，应该利用存活和纵向分析，按时间对患者的临床行为进行评估。这些分析将会显示出重要患者协变量对成功</w:t>
      </w:r>
      <w:r w:rsidRPr="00EB049C">
        <w:rPr>
          <w:sz w:val="21"/>
          <w:szCs w:val="21"/>
        </w:rPr>
        <w:t>/</w:t>
      </w:r>
      <w:r w:rsidRPr="00EB049C">
        <w:rPr>
          <w:rFonts w:hAnsi="宋体" w:hint="eastAsia"/>
          <w:sz w:val="21"/>
          <w:szCs w:val="21"/>
        </w:rPr>
        <w:t>失败的影响作用，同时说明患者退出或被删除（不完整）的原因。另外，这些分析应该涉及到所有可用的数据。</w:t>
      </w:r>
    </w:p>
    <w:p w:rsidR="008F17E4" w:rsidRPr="00EB049C" w:rsidRDefault="008F17E4" w:rsidP="003E190C">
      <w:pPr>
        <w:pStyle w:val="CM45"/>
        <w:snapToGrid w:val="0"/>
        <w:spacing w:beforeLines="100" w:after="0" w:line="360" w:lineRule="auto"/>
        <w:jc w:val="both"/>
        <w:outlineLvl w:val="0"/>
        <w:rPr>
          <w:sz w:val="21"/>
          <w:szCs w:val="21"/>
        </w:rPr>
      </w:pPr>
      <w:bookmarkStart w:id="54" w:name="_Toc480641621"/>
      <w:r w:rsidRPr="00EB049C">
        <w:rPr>
          <w:rFonts w:hAnsi="宋体" w:hint="eastAsia"/>
          <w:b/>
          <w:bCs/>
          <w:sz w:val="21"/>
          <w:szCs w:val="21"/>
          <w:u w:val="single"/>
        </w:rPr>
        <w:t>器械说明</w:t>
      </w:r>
      <w:bookmarkEnd w:id="54"/>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根据</w:t>
      </w:r>
      <w:r w:rsidRPr="00EB049C">
        <w:rPr>
          <w:sz w:val="21"/>
          <w:szCs w:val="21"/>
        </w:rPr>
        <w:t>812.25</w:t>
      </w:r>
      <w:r w:rsidRPr="00EB049C">
        <w:rPr>
          <w:rFonts w:hAnsi="宋体" w:hint="eastAsia"/>
          <w:sz w:val="21"/>
          <w:szCs w:val="21"/>
        </w:rPr>
        <w:t>，应该递交充分的器械说明信息。更具体地说，对所有脊柱系统都应该最少提供以下信息：</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一份包含各组件名称和相应零件号的表格；</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一份关于单个组件和任何组件如何相互连接的完整书面说明；</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一份完整的机械图纸，如果可以，可附带整个系统各个组件的所有尺寸和公差；</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(4)</w:t>
      </w:r>
      <w:r w:rsidRPr="00EB049C">
        <w:rPr>
          <w:color w:val="auto"/>
          <w:sz w:val="21"/>
          <w:szCs w:val="21"/>
        </w:rPr>
        <w:tab/>
      </w:r>
      <w:r w:rsidRPr="00EB049C">
        <w:rPr>
          <w:rFonts w:hAnsi="宋体" w:hint="eastAsia"/>
          <w:color w:val="auto"/>
          <w:sz w:val="21"/>
          <w:szCs w:val="21"/>
        </w:rPr>
        <w:t>主要互连机制的辅助性放大示意图或照片和整个系统连接于脊柱模型的放大示意图或照片；</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(5)</w:t>
      </w:r>
      <w:r w:rsidRPr="00EB049C">
        <w:rPr>
          <w:color w:val="auto"/>
          <w:sz w:val="21"/>
          <w:szCs w:val="21"/>
        </w:rPr>
        <w:tab/>
      </w:r>
      <w:r w:rsidRPr="00EB049C">
        <w:rPr>
          <w:rFonts w:hAnsi="宋体" w:hint="eastAsia"/>
          <w:color w:val="auto"/>
          <w:sz w:val="21"/>
          <w:szCs w:val="21"/>
        </w:rPr>
        <w:t>一份关于材料和材料所遵守的任何推荐性标准的说明。以材料而定，可能需要解决生物相容性问题。</w:t>
      </w:r>
      <w:r w:rsidRPr="00EB049C">
        <w:rPr>
          <w:color w:val="auto"/>
          <w:sz w:val="21"/>
          <w:szCs w:val="21"/>
        </w:rPr>
        <w:t>IDE</w:t>
      </w:r>
      <w:r w:rsidRPr="00EB049C">
        <w:rPr>
          <w:rFonts w:hAnsi="宋体" w:hint="eastAsia"/>
          <w:color w:val="auto"/>
          <w:sz w:val="21"/>
          <w:szCs w:val="21"/>
        </w:rPr>
        <w:t>的既往试验部分中应该包含生物相容性信息；</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(6)</w:t>
      </w:r>
      <w:r w:rsidRPr="00EB049C">
        <w:rPr>
          <w:color w:val="auto"/>
          <w:sz w:val="21"/>
          <w:szCs w:val="21"/>
        </w:rPr>
        <w:tab/>
      </w:r>
      <w:r w:rsidRPr="00EB049C">
        <w:rPr>
          <w:rFonts w:hAnsi="宋体" w:hint="eastAsia"/>
          <w:color w:val="auto"/>
          <w:sz w:val="21"/>
          <w:szCs w:val="21"/>
        </w:rPr>
        <w:t>一份关于该系统预期变化方面的说明；和</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(7)</w:t>
      </w:r>
      <w:r w:rsidRPr="00EB049C">
        <w:rPr>
          <w:color w:val="auto"/>
          <w:sz w:val="21"/>
          <w:szCs w:val="21"/>
        </w:rPr>
        <w:tab/>
      </w:r>
      <w:r w:rsidRPr="00EB049C">
        <w:rPr>
          <w:rFonts w:hAnsi="宋体" w:hint="eastAsia"/>
          <w:color w:val="auto"/>
          <w:sz w:val="21"/>
          <w:szCs w:val="21"/>
        </w:rPr>
        <w:t>一份关于试验系统植入所有独特工具、材料和材料所遵守的推荐性标准的列表以及它们的辅助性放大示意图或照片。</w:t>
      </w:r>
    </w:p>
    <w:p w:rsidR="008F17E4" w:rsidRPr="00EB049C" w:rsidRDefault="008F17E4" w:rsidP="003E190C">
      <w:pPr>
        <w:pStyle w:val="Default"/>
        <w:snapToGrid w:val="0"/>
        <w:spacing w:beforeLines="50" w:line="360" w:lineRule="auto"/>
        <w:jc w:val="both"/>
        <w:rPr>
          <w:color w:val="auto"/>
          <w:sz w:val="21"/>
          <w:szCs w:val="21"/>
        </w:rPr>
      </w:pPr>
      <w:r w:rsidRPr="00EB049C">
        <w:rPr>
          <w:rFonts w:hAnsi="宋体" w:hint="eastAsia"/>
          <w:color w:val="auto"/>
          <w:sz w:val="21"/>
          <w:szCs w:val="21"/>
        </w:rPr>
        <w:t>对于所有的同期对照系统，应该提供一份书面说明、所有可用的机械图纸和照片以及相关材料信息。</w:t>
      </w:r>
    </w:p>
    <w:p w:rsidR="008F17E4" w:rsidRPr="00EB049C" w:rsidRDefault="008F17E4" w:rsidP="003E190C">
      <w:pPr>
        <w:pStyle w:val="CM45"/>
        <w:snapToGrid w:val="0"/>
        <w:spacing w:beforeLines="50" w:after="0" w:line="360" w:lineRule="auto"/>
        <w:jc w:val="both"/>
        <w:outlineLvl w:val="0"/>
        <w:rPr>
          <w:sz w:val="21"/>
          <w:szCs w:val="21"/>
        </w:rPr>
      </w:pPr>
      <w:r w:rsidRPr="00EB049C">
        <w:rPr>
          <w:b/>
          <w:bCs/>
          <w:sz w:val="21"/>
          <w:szCs w:val="21"/>
          <w:u w:val="single"/>
        </w:rPr>
        <w:br w:type="page"/>
      </w:r>
      <w:bookmarkStart w:id="55" w:name="_Toc480641622"/>
      <w:r w:rsidRPr="00EB049C">
        <w:rPr>
          <w:rFonts w:hAnsi="宋体" w:hint="eastAsia"/>
          <w:b/>
          <w:bCs/>
          <w:sz w:val="21"/>
          <w:szCs w:val="21"/>
          <w:u w:val="single"/>
        </w:rPr>
        <w:lastRenderedPageBreak/>
        <w:t>制造</w:t>
      </w:r>
      <w:bookmarkEnd w:id="55"/>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按照</w:t>
      </w:r>
      <w:r w:rsidRPr="00EB049C">
        <w:rPr>
          <w:sz w:val="21"/>
          <w:szCs w:val="21"/>
        </w:rPr>
        <w:t>21 CFR 812.20(b)(3)</w:t>
      </w:r>
      <w:r w:rsidRPr="00EB049C">
        <w:rPr>
          <w:rFonts w:hAnsi="宋体" w:hint="eastAsia"/>
          <w:sz w:val="21"/>
          <w:szCs w:val="21"/>
        </w:rPr>
        <w:t>的规定，提供一份充分详细介绍该器械制造、加工、包装和储存所用方法、设施和控制的说明，该说明的详细程度应该使得一位通常熟悉</w:t>
      </w:r>
      <w:r w:rsidR="003762D9" w:rsidRPr="00EB049C">
        <w:rPr>
          <w:rFonts w:hAnsi="宋体" w:hint="eastAsia"/>
          <w:sz w:val="21"/>
          <w:szCs w:val="21"/>
        </w:rPr>
        <w:t>药品生产质量管理规范</w:t>
      </w:r>
      <w:r w:rsidRPr="00EB049C">
        <w:rPr>
          <w:rFonts w:hAnsi="宋体" w:hint="eastAsia"/>
          <w:sz w:val="21"/>
          <w:szCs w:val="21"/>
        </w:rPr>
        <w:t>的人能够对该器械制造中所采取的质量控制作出见识性判断。</w:t>
      </w:r>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对于所有脊柱系统，应该提供以下内容作为该信息的一部分：</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处理器械设计问题（如，涂层的应用、独特的材料加工、骨形态发生蛋白的处理等等）的基本制造信息；和</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灭菌信息</w:t>
      </w:r>
      <w:r w:rsidRPr="00EB049C">
        <w:rPr>
          <w:color w:val="auto"/>
          <w:sz w:val="21"/>
          <w:szCs w:val="21"/>
        </w:rPr>
        <w:t xml:space="preserve">. </w:t>
      </w:r>
      <w:r w:rsidRPr="00EB049C">
        <w:rPr>
          <w:rFonts w:hAnsi="宋体" w:hint="eastAsia"/>
          <w:color w:val="auto"/>
          <w:sz w:val="21"/>
          <w:szCs w:val="21"/>
        </w:rPr>
        <w:t>对于无菌系统，应该提供采用的灭菌方法、所有灭菌循环的参数、验证方法、所得的无菌保证水平（</w:t>
      </w:r>
      <w:r w:rsidRPr="00EB049C">
        <w:rPr>
          <w:color w:val="auto"/>
          <w:sz w:val="21"/>
          <w:szCs w:val="21"/>
        </w:rPr>
        <w:t>SAL</w:t>
      </w:r>
      <w:r w:rsidRPr="00EB049C">
        <w:rPr>
          <w:rFonts w:hAnsi="宋体" w:hint="eastAsia"/>
          <w:color w:val="auto"/>
          <w:sz w:val="21"/>
          <w:szCs w:val="21"/>
        </w:rPr>
        <w:t>）、包装说明和支持任何致热源性声明的数据。对于使用前必须灭菌或标示为重新灭菌的非灭菌系统，应该提供建议的灭菌方法、所有灭菌循环的参数、验证方法、所得的无菌保证水平和包装说明。</w:t>
      </w:r>
    </w:p>
    <w:p w:rsidR="008F17E4" w:rsidRPr="00EB049C" w:rsidRDefault="008F17E4" w:rsidP="003E190C">
      <w:pPr>
        <w:pStyle w:val="CM45"/>
        <w:snapToGrid w:val="0"/>
        <w:spacing w:beforeLines="50" w:after="0" w:line="360" w:lineRule="auto"/>
        <w:jc w:val="both"/>
        <w:outlineLvl w:val="0"/>
        <w:rPr>
          <w:sz w:val="21"/>
          <w:szCs w:val="21"/>
        </w:rPr>
      </w:pPr>
      <w:bookmarkStart w:id="56" w:name="_Toc480641623"/>
      <w:r w:rsidRPr="00EB049C">
        <w:rPr>
          <w:rFonts w:hAnsi="宋体" w:hint="eastAsia"/>
          <w:b/>
          <w:bCs/>
          <w:sz w:val="21"/>
          <w:szCs w:val="21"/>
          <w:u w:val="single"/>
        </w:rPr>
        <w:t>监测</w:t>
      </w:r>
      <w:bookmarkEnd w:id="56"/>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以下信息不是特定于脊柱</w:t>
      </w:r>
      <w:r w:rsidRPr="00EB049C">
        <w:rPr>
          <w:sz w:val="21"/>
          <w:szCs w:val="21"/>
        </w:rPr>
        <w:t>IDE</w:t>
      </w:r>
      <w:r w:rsidRPr="00EB049C">
        <w:rPr>
          <w:rFonts w:hAnsi="宋体" w:hint="eastAsia"/>
          <w:sz w:val="21"/>
          <w:szCs w:val="21"/>
        </w:rPr>
        <w:t>的信息，但却是完成</w:t>
      </w:r>
      <w:r w:rsidRPr="00EB049C">
        <w:rPr>
          <w:sz w:val="21"/>
          <w:szCs w:val="21"/>
        </w:rPr>
        <w:t>IDE</w:t>
      </w:r>
      <w:r w:rsidRPr="00EB049C">
        <w:rPr>
          <w:rFonts w:hAnsi="宋体" w:hint="eastAsia"/>
          <w:sz w:val="21"/>
          <w:szCs w:val="21"/>
        </w:rPr>
        <w:t>申请所必需的信息：</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一份监测试验进行的书面程序副本。这些程序应该符合</w:t>
      </w:r>
      <w:r w:rsidRPr="00EB049C">
        <w:rPr>
          <w:color w:val="auto"/>
          <w:sz w:val="21"/>
          <w:szCs w:val="21"/>
        </w:rPr>
        <w:t>21 CFR 812.46</w:t>
      </w:r>
      <w:r w:rsidRPr="00EB049C">
        <w:rPr>
          <w:rFonts w:hAnsi="宋体" w:hint="eastAsia"/>
          <w:color w:val="auto"/>
          <w:sz w:val="21"/>
          <w:szCs w:val="21"/>
        </w:rPr>
        <w:t>中规定的最低要求；和</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(2)</w:t>
      </w:r>
      <w:r w:rsidRPr="00EB049C">
        <w:rPr>
          <w:color w:val="auto"/>
          <w:sz w:val="21"/>
          <w:szCs w:val="21"/>
        </w:rPr>
        <w:tab/>
      </w:r>
      <w:r w:rsidR="003762D9" w:rsidRPr="00EB049C">
        <w:rPr>
          <w:rFonts w:hAnsi="宋体" w:hint="eastAsia"/>
          <w:color w:val="auto"/>
          <w:sz w:val="21"/>
          <w:szCs w:val="21"/>
        </w:rPr>
        <w:t>监查员</w:t>
      </w:r>
      <w:r w:rsidRPr="00EB049C">
        <w:rPr>
          <w:rFonts w:hAnsi="宋体" w:hint="eastAsia"/>
          <w:color w:val="auto"/>
          <w:sz w:val="21"/>
          <w:szCs w:val="21"/>
        </w:rPr>
        <w:t>的姓名和地址。</w:t>
      </w:r>
    </w:p>
    <w:p w:rsidR="008F17E4" w:rsidRPr="00EB049C" w:rsidRDefault="008F17E4" w:rsidP="003E190C">
      <w:pPr>
        <w:pStyle w:val="CM45"/>
        <w:snapToGrid w:val="0"/>
        <w:spacing w:beforeLines="50" w:after="0" w:line="360" w:lineRule="auto"/>
        <w:jc w:val="both"/>
        <w:outlineLvl w:val="0"/>
        <w:rPr>
          <w:sz w:val="21"/>
          <w:szCs w:val="21"/>
        </w:rPr>
      </w:pPr>
      <w:bookmarkStart w:id="57" w:name="_Toc480641624"/>
      <w:r w:rsidRPr="00EB049C">
        <w:rPr>
          <w:b/>
          <w:bCs/>
          <w:sz w:val="21"/>
          <w:szCs w:val="21"/>
          <w:u w:val="single"/>
        </w:rPr>
        <w:t xml:space="preserve">IRB </w:t>
      </w:r>
      <w:r w:rsidRPr="00EB049C">
        <w:rPr>
          <w:rFonts w:hAnsi="宋体" w:hint="eastAsia"/>
          <w:b/>
          <w:bCs/>
          <w:sz w:val="21"/>
          <w:szCs w:val="21"/>
          <w:u w:val="single"/>
        </w:rPr>
        <w:t>和研究者信息</w:t>
      </w:r>
      <w:bookmarkEnd w:id="57"/>
    </w:p>
    <w:p w:rsidR="008F17E4" w:rsidRPr="00EB049C" w:rsidRDefault="008F17E4" w:rsidP="003E190C">
      <w:pPr>
        <w:pStyle w:val="CM45"/>
        <w:snapToGrid w:val="0"/>
        <w:spacing w:beforeLines="50" w:after="0" w:line="360" w:lineRule="auto"/>
        <w:jc w:val="both"/>
        <w:rPr>
          <w:sz w:val="21"/>
          <w:szCs w:val="21"/>
        </w:rPr>
      </w:pPr>
      <w:r w:rsidRPr="00EB049C">
        <w:rPr>
          <w:rFonts w:hAnsi="宋体" w:hint="eastAsia"/>
          <w:sz w:val="21"/>
          <w:szCs w:val="21"/>
        </w:rPr>
        <w:t>以下信息不是特定于脊柱</w:t>
      </w:r>
      <w:r w:rsidRPr="00EB049C">
        <w:rPr>
          <w:sz w:val="21"/>
          <w:szCs w:val="21"/>
        </w:rPr>
        <w:t>IDE</w:t>
      </w:r>
      <w:r w:rsidRPr="00EB049C">
        <w:rPr>
          <w:rFonts w:hAnsi="宋体" w:hint="eastAsia"/>
          <w:sz w:val="21"/>
          <w:szCs w:val="21"/>
        </w:rPr>
        <w:t>的信息，但却是完成</w:t>
      </w:r>
      <w:r w:rsidRPr="00EB049C">
        <w:rPr>
          <w:sz w:val="21"/>
          <w:szCs w:val="21"/>
        </w:rPr>
        <w:t>IDE</w:t>
      </w:r>
      <w:r w:rsidRPr="00EB049C">
        <w:rPr>
          <w:rFonts w:hAnsi="宋体" w:hint="eastAsia"/>
          <w:sz w:val="21"/>
          <w:szCs w:val="21"/>
        </w:rPr>
        <w:t>申请所必需的信息：</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一份研究者协议的样本。该协议至少应该包含</w:t>
      </w:r>
      <w:r w:rsidRPr="00EB049C">
        <w:rPr>
          <w:color w:val="auto"/>
          <w:sz w:val="21"/>
          <w:szCs w:val="21"/>
        </w:rPr>
        <w:t>812.43(c)</w:t>
      </w:r>
      <w:r w:rsidRPr="00EB049C">
        <w:rPr>
          <w:rFonts w:hAnsi="宋体" w:hint="eastAsia"/>
          <w:color w:val="auto"/>
          <w:sz w:val="21"/>
          <w:szCs w:val="21"/>
        </w:rPr>
        <w:t>中所述的信息；</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所有参与试验的研究者将会签署研究者协议后才能进入研究的证明；</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已签署研究者协议的每位研究者的姓名和单位地址；和</w:t>
      </w:r>
    </w:p>
    <w:p w:rsidR="008F17E4" w:rsidRPr="00EB049C" w:rsidRDefault="008F17E4" w:rsidP="003E190C">
      <w:pPr>
        <w:pStyle w:val="Default"/>
        <w:snapToGrid w:val="0"/>
        <w:spacing w:beforeLines="50" w:line="360" w:lineRule="auto"/>
        <w:ind w:left="420" w:hangingChars="200" w:hanging="420"/>
        <w:jc w:val="both"/>
        <w:rPr>
          <w:color w:val="auto"/>
          <w:sz w:val="21"/>
          <w:szCs w:val="21"/>
        </w:rPr>
      </w:pPr>
      <w:r w:rsidRPr="00EB049C">
        <w:rPr>
          <w:color w:val="auto"/>
          <w:sz w:val="21"/>
          <w:szCs w:val="21"/>
        </w:rPr>
        <w:t>(4)</w:t>
      </w:r>
      <w:r w:rsidRPr="00EB049C">
        <w:rPr>
          <w:color w:val="auto"/>
          <w:sz w:val="21"/>
          <w:szCs w:val="21"/>
        </w:rPr>
        <w:tab/>
      </w:r>
      <w:r w:rsidRPr="00EB049C">
        <w:rPr>
          <w:rFonts w:hAnsi="宋体" w:hint="eastAsia"/>
          <w:color w:val="auto"/>
          <w:sz w:val="21"/>
          <w:szCs w:val="21"/>
        </w:rPr>
        <w:t>每家</w:t>
      </w:r>
      <w:r w:rsidRPr="00EB049C">
        <w:rPr>
          <w:color w:val="auto"/>
          <w:sz w:val="21"/>
          <w:szCs w:val="21"/>
        </w:rPr>
        <w:t>IRB</w:t>
      </w:r>
      <w:r w:rsidRPr="00EB049C">
        <w:rPr>
          <w:rFonts w:hAnsi="宋体" w:hint="eastAsia"/>
          <w:color w:val="auto"/>
          <w:sz w:val="21"/>
          <w:szCs w:val="21"/>
        </w:rPr>
        <w:t>的名称、地址和主席。此外，每家</w:t>
      </w:r>
      <w:r w:rsidRPr="00EB049C">
        <w:rPr>
          <w:color w:val="auto"/>
          <w:sz w:val="21"/>
          <w:szCs w:val="21"/>
        </w:rPr>
        <w:t>IRB</w:t>
      </w:r>
      <w:r w:rsidRPr="00EB049C">
        <w:rPr>
          <w:rFonts w:hAnsi="宋体" w:hint="eastAsia"/>
          <w:color w:val="auto"/>
          <w:sz w:val="21"/>
          <w:szCs w:val="21"/>
        </w:rPr>
        <w:t>采取的任何措施（如，批准）和当前有多少家</w:t>
      </w:r>
      <w:r w:rsidRPr="00EB049C">
        <w:rPr>
          <w:color w:val="auto"/>
          <w:sz w:val="21"/>
          <w:szCs w:val="21"/>
        </w:rPr>
        <w:t>IRB</w:t>
      </w:r>
      <w:r w:rsidRPr="00EB049C">
        <w:rPr>
          <w:rFonts w:hAnsi="宋体" w:hint="eastAsia"/>
          <w:color w:val="auto"/>
          <w:sz w:val="21"/>
          <w:szCs w:val="21"/>
        </w:rPr>
        <w:t>正在对该试验进行审查或将来有多少家</w:t>
      </w:r>
      <w:r w:rsidRPr="00EB049C">
        <w:rPr>
          <w:color w:val="auto"/>
          <w:sz w:val="21"/>
          <w:szCs w:val="21"/>
        </w:rPr>
        <w:t>IRB</w:t>
      </w:r>
      <w:r w:rsidRPr="00EB049C">
        <w:rPr>
          <w:rFonts w:hAnsi="宋体" w:hint="eastAsia"/>
          <w:color w:val="auto"/>
          <w:sz w:val="21"/>
          <w:szCs w:val="21"/>
        </w:rPr>
        <w:t>机构对它进行审查。</w:t>
      </w:r>
    </w:p>
    <w:p w:rsidR="008F17E4" w:rsidRPr="00EB049C" w:rsidRDefault="008F17E4" w:rsidP="003E190C">
      <w:pPr>
        <w:pStyle w:val="CM45"/>
        <w:snapToGrid w:val="0"/>
        <w:spacing w:beforeLines="50" w:after="0" w:line="360" w:lineRule="auto"/>
        <w:jc w:val="both"/>
        <w:outlineLvl w:val="0"/>
        <w:rPr>
          <w:sz w:val="21"/>
          <w:szCs w:val="21"/>
        </w:rPr>
      </w:pPr>
      <w:bookmarkStart w:id="58" w:name="_Toc480641625"/>
      <w:r w:rsidRPr="00EB049C">
        <w:rPr>
          <w:rFonts w:hAnsi="宋体" w:hint="eastAsia"/>
          <w:b/>
          <w:bCs/>
          <w:sz w:val="21"/>
          <w:szCs w:val="21"/>
          <w:u w:val="single"/>
        </w:rPr>
        <w:t>标签</w:t>
      </w:r>
      <w:bookmarkEnd w:id="58"/>
    </w:p>
    <w:p w:rsidR="008F17E4" w:rsidRPr="00EB049C" w:rsidRDefault="008F17E4" w:rsidP="003E190C">
      <w:pPr>
        <w:pStyle w:val="CM3"/>
        <w:snapToGrid w:val="0"/>
        <w:spacing w:beforeLines="50" w:line="360" w:lineRule="auto"/>
        <w:jc w:val="both"/>
        <w:rPr>
          <w:sz w:val="21"/>
          <w:szCs w:val="21"/>
        </w:rPr>
      </w:pPr>
      <w:r w:rsidRPr="00EB049C">
        <w:rPr>
          <w:rFonts w:hAnsi="宋体" w:hint="eastAsia"/>
          <w:sz w:val="21"/>
          <w:szCs w:val="21"/>
        </w:rPr>
        <w:t>根据</w:t>
      </w:r>
      <w:r w:rsidRPr="00EB049C">
        <w:rPr>
          <w:sz w:val="21"/>
          <w:szCs w:val="21"/>
        </w:rPr>
        <w:t>21 CFR 812.20(b)(10)</w:t>
      </w:r>
      <w:r w:rsidRPr="00EB049C">
        <w:rPr>
          <w:rFonts w:hAnsi="宋体" w:hint="eastAsia"/>
          <w:sz w:val="21"/>
          <w:szCs w:val="21"/>
        </w:rPr>
        <w:t>的规定，应该提供该系统的所有标签副本。该脊柱系统</w:t>
      </w:r>
      <w:r w:rsidRPr="00EB049C">
        <w:rPr>
          <w:sz w:val="21"/>
          <w:szCs w:val="21"/>
        </w:rPr>
        <w:t>IDE</w:t>
      </w:r>
      <w:r w:rsidRPr="00EB049C">
        <w:rPr>
          <w:rFonts w:hAnsi="宋体" w:hint="eastAsia"/>
          <w:sz w:val="21"/>
          <w:szCs w:val="21"/>
        </w:rPr>
        <w:t>的标签部分至少应该包括样本包装标签、</w:t>
      </w:r>
      <w:r w:rsidR="00176745" w:rsidRPr="00EB049C">
        <w:rPr>
          <w:rFonts w:hAnsi="宋体" w:hint="eastAsia"/>
          <w:sz w:val="21"/>
          <w:szCs w:val="21"/>
        </w:rPr>
        <w:t>包装说明书</w:t>
      </w:r>
      <w:r w:rsidRPr="00EB049C">
        <w:rPr>
          <w:rFonts w:hAnsi="宋体" w:hint="eastAsia"/>
          <w:sz w:val="21"/>
          <w:szCs w:val="21"/>
        </w:rPr>
        <w:t>和手术技术手册。虽然所有矫正器械的每一项要求信息都是通用的，但脊柱系统的要求信息往往要更详细（如，所有入选标准列表、植入方法、系统用法说明书等）。</w:t>
      </w:r>
    </w:p>
    <w:p w:rsidR="008F17E4" w:rsidRPr="00EB049C" w:rsidRDefault="008F17E4" w:rsidP="00C40B70">
      <w:pPr>
        <w:pStyle w:val="CM45"/>
        <w:snapToGrid w:val="0"/>
        <w:spacing w:after="0" w:line="360" w:lineRule="auto"/>
        <w:jc w:val="both"/>
        <w:outlineLvl w:val="1"/>
        <w:rPr>
          <w:sz w:val="21"/>
          <w:szCs w:val="21"/>
        </w:rPr>
      </w:pPr>
      <w:r w:rsidRPr="00EB049C">
        <w:rPr>
          <w:sz w:val="21"/>
          <w:szCs w:val="21"/>
        </w:rPr>
        <w:br w:type="page"/>
      </w:r>
      <w:bookmarkStart w:id="59" w:name="_Toc480641626"/>
      <w:r w:rsidRPr="00EB049C">
        <w:rPr>
          <w:sz w:val="21"/>
          <w:szCs w:val="21"/>
        </w:rPr>
        <w:lastRenderedPageBreak/>
        <w:t>1.</w:t>
      </w:r>
      <w:r w:rsidRPr="00EB049C">
        <w:rPr>
          <w:sz w:val="21"/>
          <w:szCs w:val="21"/>
        </w:rPr>
        <w:tab/>
      </w:r>
      <w:r w:rsidRPr="00EB049C">
        <w:rPr>
          <w:rFonts w:hAnsi="宋体" w:hint="eastAsia"/>
          <w:sz w:val="21"/>
          <w:szCs w:val="21"/>
        </w:rPr>
        <w:t>包装标签</w:t>
      </w:r>
      <w:bookmarkEnd w:id="59"/>
    </w:p>
    <w:p w:rsidR="008F17E4" w:rsidRPr="00EB049C" w:rsidRDefault="008F17E4" w:rsidP="005627F4">
      <w:pPr>
        <w:pStyle w:val="CM34"/>
        <w:snapToGrid w:val="0"/>
        <w:spacing w:line="360" w:lineRule="auto"/>
        <w:ind w:leftChars="200" w:left="840" w:hangingChars="200" w:hanging="420"/>
        <w:jc w:val="both"/>
        <w:rPr>
          <w:sz w:val="21"/>
          <w:szCs w:val="21"/>
        </w:rPr>
      </w:pPr>
      <w:r w:rsidRPr="00EB049C">
        <w:rPr>
          <w:rFonts w:hAnsi="宋体" w:hint="eastAsia"/>
          <w:sz w:val="21"/>
          <w:szCs w:val="21"/>
        </w:rPr>
        <w:t>包装标签草稿应该至少包含以下信息：</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系统和器械名称；</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数量；</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材料和推荐性材料标准；</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无菌或非无菌符号；</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制造商、包装商或经销商的名称和地址（按</w:t>
      </w:r>
      <w:r w:rsidRPr="00EB049C">
        <w:rPr>
          <w:color w:val="auto"/>
          <w:sz w:val="21"/>
          <w:szCs w:val="21"/>
        </w:rPr>
        <w:t>21 CFR 801.1</w:t>
      </w:r>
      <w:r w:rsidRPr="00EB049C">
        <w:rPr>
          <w:rFonts w:hAnsi="宋体" w:hint="eastAsia"/>
          <w:color w:val="auto"/>
          <w:sz w:val="21"/>
          <w:szCs w:val="21"/>
        </w:rPr>
        <w:t>中规定）；和</w:t>
      </w:r>
    </w:p>
    <w:p w:rsidR="008F17E4" w:rsidRPr="00EB049C" w:rsidRDefault="008F17E4" w:rsidP="005627F4">
      <w:pPr>
        <w:pStyle w:val="Default"/>
        <w:numPr>
          <w:ilvl w:val="0"/>
          <w:numId w:val="21"/>
        </w:numPr>
        <w:snapToGrid w:val="0"/>
        <w:spacing w:line="360" w:lineRule="auto"/>
        <w:ind w:leftChars="200" w:left="840" w:hangingChars="200"/>
        <w:jc w:val="both"/>
        <w:rPr>
          <w:color w:val="auto"/>
          <w:sz w:val="21"/>
          <w:szCs w:val="21"/>
        </w:rPr>
      </w:pPr>
      <w:r w:rsidRPr="00EB049C">
        <w:rPr>
          <w:rFonts w:hAnsi="宋体" w:hint="eastAsia"/>
          <w:color w:val="auto"/>
          <w:sz w:val="21"/>
          <w:szCs w:val="21"/>
        </w:rPr>
        <w:t>一份关于该器械用途正在进行拟定</w:t>
      </w:r>
      <w:r w:rsidR="00176745" w:rsidRPr="00EB049C">
        <w:rPr>
          <w:rFonts w:hAnsi="宋体" w:hint="eastAsia"/>
          <w:color w:val="auto"/>
          <w:sz w:val="21"/>
          <w:szCs w:val="21"/>
        </w:rPr>
        <w:t>适应证</w:t>
      </w:r>
      <w:r w:rsidRPr="00EB049C">
        <w:rPr>
          <w:rFonts w:hAnsi="宋体" w:hint="eastAsia"/>
          <w:color w:val="auto"/>
          <w:sz w:val="21"/>
          <w:szCs w:val="21"/>
        </w:rPr>
        <w:t>试验的声明，如下所示</w:t>
      </w:r>
      <w:r w:rsidRPr="00EB049C">
        <w:rPr>
          <w:color w:val="auto"/>
          <w:sz w:val="21"/>
          <w:szCs w:val="21"/>
        </w:rPr>
        <w:t>“</w:t>
      </w:r>
      <w:r w:rsidRPr="00EB049C">
        <w:rPr>
          <w:rFonts w:hAnsi="宋体" w:hint="eastAsia"/>
          <w:color w:val="auto"/>
          <w:sz w:val="21"/>
          <w:szCs w:val="21"/>
        </w:rPr>
        <w:t>小心</w:t>
      </w:r>
      <w:r w:rsidRPr="00EB049C">
        <w:rPr>
          <w:color w:val="auto"/>
          <w:sz w:val="21"/>
          <w:szCs w:val="21"/>
        </w:rPr>
        <w:t>-</w:t>
      </w:r>
      <w:r w:rsidRPr="00EB049C">
        <w:rPr>
          <w:rFonts w:hAnsi="宋体" w:hint="eastAsia"/>
          <w:color w:val="auto"/>
          <w:sz w:val="21"/>
          <w:szCs w:val="21"/>
        </w:rPr>
        <w:t>试验用器械。按联邦（或美国）法律规定仅限于试验使用</w:t>
      </w:r>
      <w:r w:rsidRPr="00EB049C">
        <w:rPr>
          <w:color w:val="auto"/>
          <w:sz w:val="21"/>
          <w:szCs w:val="21"/>
        </w:rPr>
        <w:t>”</w:t>
      </w:r>
      <w:r w:rsidRPr="00EB049C">
        <w:rPr>
          <w:rFonts w:hAnsi="宋体" w:hint="eastAsia"/>
          <w:color w:val="auto"/>
          <w:sz w:val="21"/>
          <w:szCs w:val="21"/>
        </w:rPr>
        <w:t>。</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如果该系统的组件为独立包装，请提供每一类型组件（如，螺钉、挂钩、钉棒、生物材料等）的包装标签草稿。</w:t>
      </w:r>
    </w:p>
    <w:p w:rsidR="008F17E4" w:rsidRPr="00EB049C" w:rsidRDefault="008F17E4" w:rsidP="003E190C">
      <w:pPr>
        <w:pStyle w:val="CM45"/>
        <w:snapToGrid w:val="0"/>
        <w:spacing w:beforeLines="50" w:after="0" w:line="360" w:lineRule="auto"/>
        <w:jc w:val="both"/>
        <w:outlineLvl w:val="1"/>
        <w:rPr>
          <w:sz w:val="21"/>
          <w:szCs w:val="21"/>
        </w:rPr>
      </w:pPr>
      <w:bookmarkStart w:id="60" w:name="_Toc480641627"/>
      <w:r w:rsidRPr="00EB049C">
        <w:rPr>
          <w:sz w:val="21"/>
          <w:szCs w:val="21"/>
        </w:rPr>
        <w:t>2.</w:t>
      </w:r>
      <w:r w:rsidRPr="00EB049C">
        <w:rPr>
          <w:sz w:val="21"/>
          <w:szCs w:val="21"/>
        </w:rPr>
        <w:tab/>
      </w:r>
      <w:bookmarkEnd w:id="60"/>
      <w:r w:rsidR="00176745" w:rsidRPr="00EB049C">
        <w:rPr>
          <w:rFonts w:hAnsi="宋体" w:hint="eastAsia"/>
          <w:sz w:val="21"/>
          <w:szCs w:val="21"/>
        </w:rPr>
        <w:t>包装说明书</w:t>
      </w:r>
    </w:p>
    <w:p w:rsidR="008F17E4" w:rsidRPr="00EB049C" w:rsidRDefault="00176745" w:rsidP="003E190C">
      <w:pPr>
        <w:pStyle w:val="CM16"/>
        <w:snapToGrid w:val="0"/>
        <w:spacing w:beforeLines="50" w:line="360" w:lineRule="auto"/>
        <w:ind w:leftChars="200" w:left="840" w:hangingChars="200" w:hanging="420"/>
        <w:jc w:val="both"/>
        <w:rPr>
          <w:sz w:val="21"/>
          <w:szCs w:val="21"/>
        </w:rPr>
      </w:pPr>
      <w:r w:rsidRPr="00EB049C">
        <w:rPr>
          <w:rFonts w:hAnsi="宋体" w:hint="eastAsia"/>
          <w:sz w:val="21"/>
          <w:szCs w:val="21"/>
        </w:rPr>
        <w:t>包装说明书</w:t>
      </w:r>
      <w:r w:rsidR="008F17E4" w:rsidRPr="00EB049C">
        <w:rPr>
          <w:rFonts w:hAnsi="宋体" w:hint="eastAsia"/>
          <w:sz w:val="21"/>
          <w:szCs w:val="21"/>
        </w:rPr>
        <w:t>草稿应该至少包含以下信息：</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系统名称；</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简要的器械说明，附带材料信息和所有系统用法说明；</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入选标准；</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所有相关</w:t>
      </w:r>
      <w:r w:rsidR="003762D9" w:rsidRPr="00EB049C">
        <w:rPr>
          <w:rFonts w:hAnsi="宋体" w:hint="eastAsia"/>
          <w:color w:val="auto"/>
          <w:sz w:val="21"/>
          <w:szCs w:val="21"/>
        </w:rPr>
        <w:t>禁忌证</w:t>
      </w:r>
      <w:r w:rsidRPr="00EB049C">
        <w:rPr>
          <w:rFonts w:hAnsi="宋体" w:hint="eastAsia"/>
          <w:color w:val="auto"/>
          <w:sz w:val="21"/>
          <w:szCs w:val="21"/>
        </w:rPr>
        <w:t>、警告和预防措施的列表；</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潜在不良事件</w:t>
      </w:r>
      <w:r w:rsidRPr="00EB049C">
        <w:rPr>
          <w:color w:val="auto"/>
          <w:sz w:val="21"/>
          <w:szCs w:val="21"/>
        </w:rPr>
        <w:t>/</w:t>
      </w:r>
      <w:r w:rsidRPr="00EB049C">
        <w:rPr>
          <w:rFonts w:hAnsi="宋体" w:hint="eastAsia"/>
          <w:color w:val="auto"/>
          <w:sz w:val="21"/>
          <w:szCs w:val="21"/>
        </w:rPr>
        <w:t>并发症的列表；</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无菌或非无菌符号；</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如果非无菌供应或允许再灭菌，则提供建议的灭菌参数；和</w:t>
      </w:r>
    </w:p>
    <w:p w:rsidR="008F17E4" w:rsidRPr="00EB049C" w:rsidRDefault="008F17E4" w:rsidP="005627F4">
      <w:pPr>
        <w:pStyle w:val="Default"/>
        <w:numPr>
          <w:ilvl w:val="0"/>
          <w:numId w:val="22"/>
        </w:numPr>
        <w:snapToGrid w:val="0"/>
        <w:spacing w:line="360" w:lineRule="auto"/>
        <w:ind w:leftChars="200" w:left="840" w:hangingChars="200"/>
        <w:jc w:val="both"/>
        <w:rPr>
          <w:color w:val="auto"/>
          <w:sz w:val="21"/>
          <w:szCs w:val="21"/>
        </w:rPr>
      </w:pPr>
      <w:r w:rsidRPr="00EB049C">
        <w:rPr>
          <w:rFonts w:hAnsi="宋体" w:hint="eastAsia"/>
          <w:color w:val="auto"/>
          <w:sz w:val="21"/>
          <w:szCs w:val="21"/>
        </w:rPr>
        <w:t>一份关于该器械用途正在进行拟定</w:t>
      </w:r>
      <w:r w:rsidR="00176745" w:rsidRPr="00EB049C">
        <w:rPr>
          <w:rFonts w:hAnsi="宋体" w:hint="eastAsia"/>
          <w:color w:val="auto"/>
          <w:sz w:val="21"/>
          <w:szCs w:val="21"/>
        </w:rPr>
        <w:t>适应证</w:t>
      </w:r>
      <w:r w:rsidRPr="00EB049C">
        <w:rPr>
          <w:rFonts w:hAnsi="宋体" w:hint="eastAsia"/>
          <w:color w:val="auto"/>
          <w:sz w:val="21"/>
          <w:szCs w:val="21"/>
        </w:rPr>
        <w:t>试验的声明，如下所示</w:t>
      </w:r>
      <w:r w:rsidRPr="00EB049C">
        <w:rPr>
          <w:color w:val="auto"/>
          <w:sz w:val="21"/>
          <w:szCs w:val="21"/>
        </w:rPr>
        <w:t>“</w:t>
      </w:r>
      <w:r w:rsidRPr="00EB049C">
        <w:rPr>
          <w:rFonts w:hAnsi="宋体" w:hint="eastAsia"/>
          <w:color w:val="auto"/>
          <w:sz w:val="21"/>
          <w:szCs w:val="21"/>
        </w:rPr>
        <w:t>小心</w:t>
      </w:r>
      <w:r w:rsidRPr="00EB049C">
        <w:rPr>
          <w:color w:val="auto"/>
          <w:sz w:val="21"/>
          <w:szCs w:val="21"/>
        </w:rPr>
        <w:t>-</w:t>
      </w:r>
      <w:r w:rsidRPr="00EB049C">
        <w:rPr>
          <w:rFonts w:hAnsi="宋体" w:hint="eastAsia"/>
          <w:color w:val="auto"/>
          <w:sz w:val="21"/>
          <w:szCs w:val="21"/>
        </w:rPr>
        <w:t>试验用器械。按联邦（或美国）法律规定仅限于试验使用</w:t>
      </w:r>
      <w:r w:rsidRPr="00EB049C">
        <w:rPr>
          <w:color w:val="auto"/>
          <w:sz w:val="21"/>
          <w:szCs w:val="21"/>
        </w:rPr>
        <w:t>”</w:t>
      </w:r>
      <w:r w:rsidRPr="00EB049C">
        <w:rPr>
          <w:rFonts w:hAnsi="宋体" w:hint="eastAsia"/>
          <w:color w:val="auto"/>
          <w:sz w:val="21"/>
          <w:szCs w:val="21"/>
        </w:rPr>
        <w:t>。</w:t>
      </w:r>
    </w:p>
    <w:p w:rsidR="008F17E4" w:rsidRPr="00EB049C" w:rsidRDefault="008F17E4" w:rsidP="003E190C">
      <w:pPr>
        <w:pStyle w:val="CM45"/>
        <w:snapToGrid w:val="0"/>
        <w:spacing w:beforeLines="50" w:after="0" w:line="360" w:lineRule="auto"/>
        <w:ind w:leftChars="200" w:left="420"/>
        <w:jc w:val="both"/>
        <w:rPr>
          <w:sz w:val="21"/>
          <w:szCs w:val="21"/>
        </w:rPr>
      </w:pPr>
      <w:r w:rsidRPr="00EB049C">
        <w:rPr>
          <w:rFonts w:hAnsi="宋体" w:hint="eastAsia"/>
          <w:sz w:val="21"/>
          <w:szCs w:val="21"/>
        </w:rPr>
        <w:t>该</w:t>
      </w:r>
      <w:r w:rsidR="00176745" w:rsidRPr="00EB049C">
        <w:rPr>
          <w:rFonts w:hAnsi="宋体" w:hint="eastAsia"/>
          <w:sz w:val="21"/>
          <w:szCs w:val="21"/>
        </w:rPr>
        <w:t>包装说明书</w:t>
      </w:r>
      <w:r w:rsidRPr="00EB049C">
        <w:rPr>
          <w:rFonts w:hAnsi="宋体" w:hint="eastAsia"/>
          <w:sz w:val="21"/>
          <w:szCs w:val="21"/>
        </w:rPr>
        <w:t>上的信息应该与该申请中其他地方提供的信息相一致，包括所有入选标准、潜在风险、器械说明信息等等。</w:t>
      </w:r>
    </w:p>
    <w:p w:rsidR="008F17E4" w:rsidRPr="00EB049C" w:rsidRDefault="008F17E4" w:rsidP="003E190C">
      <w:pPr>
        <w:pStyle w:val="CM45"/>
        <w:snapToGrid w:val="0"/>
        <w:spacing w:beforeLines="50" w:after="0" w:line="360" w:lineRule="auto"/>
        <w:jc w:val="both"/>
        <w:outlineLvl w:val="1"/>
        <w:rPr>
          <w:sz w:val="21"/>
          <w:szCs w:val="21"/>
        </w:rPr>
      </w:pPr>
      <w:bookmarkStart w:id="61" w:name="_Toc480641628"/>
      <w:r w:rsidRPr="00EB049C">
        <w:rPr>
          <w:sz w:val="21"/>
          <w:szCs w:val="21"/>
        </w:rPr>
        <w:t>3.</w:t>
      </w:r>
      <w:r w:rsidRPr="00EB049C">
        <w:rPr>
          <w:sz w:val="21"/>
          <w:szCs w:val="21"/>
        </w:rPr>
        <w:tab/>
      </w:r>
      <w:r w:rsidRPr="00EB049C">
        <w:rPr>
          <w:rFonts w:hAnsi="宋体" w:hint="eastAsia"/>
          <w:sz w:val="21"/>
          <w:szCs w:val="21"/>
        </w:rPr>
        <w:t>手术技术手册</w:t>
      </w:r>
      <w:bookmarkEnd w:id="61"/>
    </w:p>
    <w:p w:rsidR="008F17E4" w:rsidRPr="00EB049C" w:rsidRDefault="008F17E4" w:rsidP="003E190C">
      <w:pPr>
        <w:pStyle w:val="CM16"/>
        <w:snapToGrid w:val="0"/>
        <w:spacing w:beforeLines="50" w:line="360" w:lineRule="auto"/>
        <w:ind w:leftChars="200" w:left="420"/>
        <w:jc w:val="both"/>
        <w:rPr>
          <w:sz w:val="21"/>
          <w:szCs w:val="21"/>
        </w:rPr>
      </w:pPr>
      <w:r w:rsidRPr="00EB049C">
        <w:rPr>
          <w:rFonts w:hAnsi="宋体" w:hint="eastAsia"/>
          <w:sz w:val="21"/>
          <w:szCs w:val="21"/>
        </w:rPr>
        <w:t>手术技术手册草稿应该至少包含以下信息：</w:t>
      </w:r>
    </w:p>
    <w:p w:rsidR="008F17E4" w:rsidRPr="00EB049C" w:rsidRDefault="008F17E4" w:rsidP="005627F4">
      <w:pPr>
        <w:pStyle w:val="Default"/>
        <w:numPr>
          <w:ilvl w:val="0"/>
          <w:numId w:val="23"/>
        </w:numPr>
        <w:snapToGrid w:val="0"/>
        <w:spacing w:line="360" w:lineRule="auto"/>
        <w:ind w:leftChars="200" w:left="840" w:hangingChars="200"/>
        <w:jc w:val="both"/>
        <w:rPr>
          <w:color w:val="auto"/>
          <w:sz w:val="21"/>
          <w:szCs w:val="21"/>
        </w:rPr>
      </w:pPr>
      <w:r w:rsidRPr="00EB049C">
        <w:rPr>
          <w:rFonts w:hAnsi="宋体" w:hint="eastAsia"/>
          <w:color w:val="auto"/>
          <w:sz w:val="21"/>
          <w:szCs w:val="21"/>
        </w:rPr>
        <w:t>系统名称；</w:t>
      </w:r>
    </w:p>
    <w:p w:rsidR="008F17E4" w:rsidRPr="00EB049C" w:rsidRDefault="008F17E4" w:rsidP="005627F4">
      <w:pPr>
        <w:pStyle w:val="Default"/>
        <w:numPr>
          <w:ilvl w:val="0"/>
          <w:numId w:val="23"/>
        </w:numPr>
        <w:snapToGrid w:val="0"/>
        <w:spacing w:line="360" w:lineRule="auto"/>
        <w:ind w:leftChars="200" w:left="840" w:hangingChars="200"/>
        <w:jc w:val="both"/>
        <w:rPr>
          <w:color w:val="auto"/>
          <w:sz w:val="21"/>
          <w:szCs w:val="21"/>
        </w:rPr>
      </w:pPr>
      <w:r w:rsidRPr="00EB049C">
        <w:rPr>
          <w:rFonts w:hAnsi="宋体" w:hint="eastAsia"/>
          <w:color w:val="auto"/>
          <w:sz w:val="21"/>
          <w:szCs w:val="21"/>
        </w:rPr>
        <w:t>如何植入该试验系统的书面程序以及每一主要步骤的辅助性放大示意图或照片；和</w:t>
      </w:r>
    </w:p>
    <w:p w:rsidR="008F17E4" w:rsidRPr="00EB049C" w:rsidRDefault="008F17E4" w:rsidP="005627F4">
      <w:pPr>
        <w:pStyle w:val="Default"/>
        <w:numPr>
          <w:ilvl w:val="0"/>
          <w:numId w:val="23"/>
        </w:numPr>
        <w:snapToGrid w:val="0"/>
        <w:spacing w:line="360" w:lineRule="auto"/>
        <w:ind w:leftChars="200" w:left="840" w:hangingChars="200"/>
        <w:jc w:val="both"/>
        <w:rPr>
          <w:color w:val="auto"/>
          <w:sz w:val="21"/>
          <w:szCs w:val="21"/>
        </w:rPr>
      </w:pPr>
      <w:r w:rsidRPr="00EB049C">
        <w:rPr>
          <w:rFonts w:hAnsi="宋体" w:hint="eastAsia"/>
          <w:color w:val="auto"/>
          <w:sz w:val="21"/>
          <w:szCs w:val="21"/>
        </w:rPr>
        <w:t>一份关于该器械用途正在进行拟定</w:t>
      </w:r>
      <w:r w:rsidR="00176745" w:rsidRPr="00EB049C">
        <w:rPr>
          <w:rFonts w:hAnsi="宋体" w:hint="eastAsia"/>
          <w:color w:val="auto"/>
          <w:sz w:val="21"/>
          <w:szCs w:val="21"/>
        </w:rPr>
        <w:t>适应证</w:t>
      </w:r>
      <w:r w:rsidRPr="00EB049C">
        <w:rPr>
          <w:rFonts w:hAnsi="宋体" w:hint="eastAsia"/>
          <w:color w:val="auto"/>
          <w:sz w:val="21"/>
          <w:szCs w:val="21"/>
        </w:rPr>
        <w:t>试验的声明，如下所示</w:t>
      </w:r>
      <w:r w:rsidRPr="00EB049C">
        <w:rPr>
          <w:color w:val="auto"/>
          <w:sz w:val="21"/>
          <w:szCs w:val="21"/>
        </w:rPr>
        <w:t>“</w:t>
      </w:r>
      <w:r w:rsidRPr="00EB049C">
        <w:rPr>
          <w:rFonts w:hAnsi="宋体" w:hint="eastAsia"/>
          <w:color w:val="auto"/>
          <w:sz w:val="21"/>
          <w:szCs w:val="21"/>
        </w:rPr>
        <w:t>小心</w:t>
      </w:r>
      <w:r w:rsidRPr="00EB049C">
        <w:rPr>
          <w:color w:val="auto"/>
          <w:sz w:val="21"/>
          <w:szCs w:val="21"/>
        </w:rPr>
        <w:t>-</w:t>
      </w:r>
      <w:r w:rsidRPr="00EB049C">
        <w:rPr>
          <w:rFonts w:hAnsi="宋体" w:hint="eastAsia"/>
          <w:color w:val="auto"/>
          <w:sz w:val="21"/>
          <w:szCs w:val="21"/>
        </w:rPr>
        <w:t>试验用器械。按联邦（或美国）法律规定仅限于试验使用</w:t>
      </w:r>
      <w:r w:rsidRPr="00EB049C">
        <w:rPr>
          <w:color w:val="auto"/>
          <w:sz w:val="21"/>
          <w:szCs w:val="21"/>
        </w:rPr>
        <w:t>”</w:t>
      </w:r>
      <w:r w:rsidRPr="00EB049C">
        <w:rPr>
          <w:rFonts w:hAnsi="宋体" w:hint="eastAsia"/>
          <w:color w:val="auto"/>
          <w:sz w:val="21"/>
          <w:szCs w:val="21"/>
        </w:rPr>
        <w:t>。</w:t>
      </w:r>
    </w:p>
    <w:p w:rsidR="008F17E4" w:rsidRPr="00EB049C" w:rsidRDefault="008F17E4" w:rsidP="003E190C">
      <w:pPr>
        <w:pStyle w:val="Default"/>
        <w:snapToGrid w:val="0"/>
        <w:spacing w:beforeLines="50" w:line="360" w:lineRule="auto"/>
        <w:ind w:leftChars="200" w:left="420"/>
        <w:jc w:val="both"/>
        <w:rPr>
          <w:color w:val="auto"/>
          <w:sz w:val="21"/>
          <w:szCs w:val="21"/>
        </w:rPr>
      </w:pPr>
      <w:r w:rsidRPr="00EB049C">
        <w:rPr>
          <w:rFonts w:hAnsi="宋体" w:hint="eastAsia"/>
          <w:color w:val="auto"/>
          <w:sz w:val="21"/>
          <w:szCs w:val="21"/>
        </w:rPr>
        <w:t>如果该方案涉及同期对照系统，则该手术技术手册应该包含植入对照系统的详细说明，或者提供一份单独的对照系统手术技术手册。</w:t>
      </w:r>
    </w:p>
    <w:p w:rsidR="008F17E4" w:rsidRPr="00EB049C" w:rsidRDefault="008F17E4" w:rsidP="00C40B70">
      <w:pPr>
        <w:pStyle w:val="CM45"/>
        <w:snapToGrid w:val="0"/>
        <w:spacing w:after="0" w:line="336" w:lineRule="auto"/>
        <w:jc w:val="both"/>
        <w:outlineLvl w:val="0"/>
        <w:rPr>
          <w:sz w:val="21"/>
          <w:szCs w:val="21"/>
        </w:rPr>
      </w:pPr>
      <w:r w:rsidRPr="00EB049C">
        <w:rPr>
          <w:b/>
          <w:bCs/>
          <w:sz w:val="21"/>
          <w:szCs w:val="21"/>
          <w:u w:val="single"/>
        </w:rPr>
        <w:br w:type="page"/>
      </w:r>
      <w:bookmarkStart w:id="62" w:name="_Toc480641629"/>
      <w:r w:rsidRPr="00EB049C">
        <w:rPr>
          <w:rFonts w:hAnsi="宋体" w:hint="eastAsia"/>
          <w:b/>
          <w:bCs/>
          <w:sz w:val="21"/>
          <w:szCs w:val="21"/>
          <w:u w:val="single"/>
        </w:rPr>
        <w:lastRenderedPageBreak/>
        <w:t>知情同意书</w:t>
      </w:r>
      <w:bookmarkEnd w:id="62"/>
    </w:p>
    <w:p w:rsidR="008F17E4" w:rsidRPr="00EB049C" w:rsidRDefault="008F17E4" w:rsidP="003E190C">
      <w:pPr>
        <w:pStyle w:val="CM45"/>
        <w:snapToGrid w:val="0"/>
        <w:spacing w:beforeLines="50" w:after="0" w:line="336" w:lineRule="auto"/>
        <w:jc w:val="both"/>
        <w:rPr>
          <w:sz w:val="21"/>
          <w:szCs w:val="21"/>
        </w:rPr>
      </w:pPr>
      <w:r w:rsidRPr="00EB049C">
        <w:rPr>
          <w:rFonts w:hAnsi="宋体" w:hint="eastAsia"/>
          <w:sz w:val="21"/>
          <w:szCs w:val="21"/>
        </w:rPr>
        <w:t>根据</w:t>
      </w:r>
      <w:r w:rsidRPr="00EB049C">
        <w:rPr>
          <w:sz w:val="21"/>
          <w:szCs w:val="21"/>
        </w:rPr>
        <w:t>21 CFR 812.20(b)(11)</w:t>
      </w:r>
      <w:r w:rsidRPr="00EB049C">
        <w:rPr>
          <w:rFonts w:hAnsi="宋体" w:hint="eastAsia"/>
          <w:sz w:val="21"/>
          <w:szCs w:val="21"/>
        </w:rPr>
        <w:t>的规定，应该向受试者提供所有表格和信息材料的副本，以便获得他们的知情同意。此外，还应该提供一份关于受试者必须签署知情同意书才能进入研究的声明。</w:t>
      </w:r>
    </w:p>
    <w:p w:rsidR="008F17E4" w:rsidRPr="00EB049C" w:rsidRDefault="008F17E4" w:rsidP="003E190C">
      <w:pPr>
        <w:pStyle w:val="CM13"/>
        <w:snapToGrid w:val="0"/>
        <w:spacing w:beforeLines="50" w:line="336" w:lineRule="auto"/>
        <w:jc w:val="both"/>
        <w:rPr>
          <w:sz w:val="21"/>
          <w:szCs w:val="21"/>
        </w:rPr>
      </w:pPr>
      <w:r w:rsidRPr="00EB049C">
        <w:rPr>
          <w:rFonts w:hAnsi="宋体" w:hint="eastAsia"/>
          <w:sz w:val="21"/>
          <w:szCs w:val="21"/>
        </w:rPr>
        <w:t>此知情同意书将会符合</w:t>
      </w:r>
      <w:r w:rsidRPr="00EB049C">
        <w:rPr>
          <w:sz w:val="21"/>
          <w:szCs w:val="21"/>
        </w:rPr>
        <w:t>21 CFR 50.20</w:t>
      </w:r>
      <w:r w:rsidRPr="00EB049C">
        <w:rPr>
          <w:rFonts w:hAnsi="宋体" w:hint="eastAsia"/>
          <w:sz w:val="21"/>
          <w:szCs w:val="21"/>
        </w:rPr>
        <w:t>中规定的一般要求。此外，根据</w:t>
      </w:r>
      <w:r w:rsidRPr="00EB049C">
        <w:rPr>
          <w:sz w:val="21"/>
          <w:szCs w:val="21"/>
        </w:rPr>
        <w:t>21 CFR 50.25(a)</w:t>
      </w:r>
      <w:r w:rsidRPr="00EB049C">
        <w:rPr>
          <w:rFonts w:hAnsi="宋体" w:hint="eastAsia"/>
          <w:sz w:val="21"/>
          <w:szCs w:val="21"/>
        </w:rPr>
        <w:t>，该知情同意书应该包含以下几项：</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(1)</w:t>
      </w:r>
      <w:r w:rsidRPr="00EB049C">
        <w:rPr>
          <w:color w:val="auto"/>
          <w:sz w:val="21"/>
          <w:szCs w:val="21"/>
        </w:rPr>
        <w:tab/>
      </w:r>
      <w:r w:rsidRPr="00EB049C">
        <w:rPr>
          <w:rFonts w:hAnsi="宋体" w:hint="eastAsia"/>
          <w:color w:val="auto"/>
          <w:sz w:val="21"/>
          <w:szCs w:val="21"/>
        </w:rPr>
        <w:t>一项关于本研究涉及试验调查的声明；</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(2)</w:t>
      </w:r>
      <w:r w:rsidRPr="00EB049C">
        <w:rPr>
          <w:color w:val="auto"/>
          <w:sz w:val="21"/>
          <w:szCs w:val="21"/>
        </w:rPr>
        <w:tab/>
      </w:r>
      <w:r w:rsidRPr="00EB049C">
        <w:rPr>
          <w:rFonts w:hAnsi="宋体" w:hint="eastAsia"/>
          <w:color w:val="auto"/>
          <w:sz w:val="21"/>
          <w:szCs w:val="21"/>
        </w:rPr>
        <w:t>一项关于试验调查目的的解释；</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(3)</w:t>
      </w:r>
      <w:r w:rsidRPr="00EB049C">
        <w:rPr>
          <w:color w:val="auto"/>
          <w:sz w:val="21"/>
          <w:szCs w:val="21"/>
        </w:rPr>
        <w:tab/>
      </w:r>
      <w:r w:rsidRPr="00EB049C">
        <w:rPr>
          <w:rFonts w:hAnsi="宋体" w:hint="eastAsia"/>
          <w:color w:val="auto"/>
          <w:sz w:val="21"/>
          <w:szCs w:val="21"/>
        </w:rPr>
        <w:t>受试者参与研究的预期持续时间；</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(4)</w:t>
      </w:r>
      <w:r w:rsidRPr="00EB049C">
        <w:rPr>
          <w:color w:val="auto"/>
          <w:sz w:val="21"/>
          <w:szCs w:val="21"/>
        </w:rPr>
        <w:tab/>
      </w:r>
      <w:r w:rsidRPr="00EB049C">
        <w:rPr>
          <w:rFonts w:hAnsi="宋体" w:hint="eastAsia"/>
          <w:color w:val="auto"/>
          <w:sz w:val="21"/>
          <w:szCs w:val="21"/>
        </w:rPr>
        <w:t>一项将要遵循的程序说明（如，评价时间点、评价的一般类型、所有特定的术后方案等等）；</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(5)</w:t>
      </w:r>
      <w:r w:rsidRPr="00EB049C">
        <w:rPr>
          <w:color w:val="auto"/>
          <w:sz w:val="21"/>
          <w:szCs w:val="21"/>
        </w:rPr>
        <w:tab/>
      </w:r>
      <w:r w:rsidRPr="00EB049C">
        <w:rPr>
          <w:rFonts w:hAnsi="宋体" w:hint="eastAsia"/>
          <w:color w:val="auto"/>
          <w:sz w:val="21"/>
          <w:szCs w:val="21"/>
        </w:rPr>
        <w:t>所有实验程序的标识（即，明确标识研究的试验系统）；</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(6)</w:t>
      </w:r>
      <w:r w:rsidRPr="00EB049C">
        <w:rPr>
          <w:color w:val="auto"/>
          <w:sz w:val="21"/>
          <w:szCs w:val="21"/>
        </w:rPr>
        <w:tab/>
      </w:r>
      <w:r w:rsidRPr="00EB049C">
        <w:rPr>
          <w:rFonts w:hAnsi="宋体" w:hint="eastAsia"/>
          <w:color w:val="auto"/>
          <w:sz w:val="21"/>
          <w:szCs w:val="21"/>
        </w:rPr>
        <w:t>一项关于所有受试者面临的合理可预见性风险或不适的说明；</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(7)</w:t>
      </w:r>
      <w:r w:rsidRPr="00EB049C">
        <w:rPr>
          <w:color w:val="auto"/>
          <w:sz w:val="21"/>
          <w:szCs w:val="21"/>
        </w:rPr>
        <w:tab/>
      </w:r>
      <w:r w:rsidRPr="00EB049C">
        <w:rPr>
          <w:rFonts w:hAnsi="宋体" w:hint="eastAsia"/>
          <w:color w:val="auto"/>
          <w:sz w:val="21"/>
          <w:szCs w:val="21"/>
        </w:rPr>
        <w:t>一项关于受试者或其他人受益的说明；</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(8)</w:t>
      </w:r>
      <w:r w:rsidRPr="00EB049C">
        <w:rPr>
          <w:color w:val="auto"/>
          <w:sz w:val="21"/>
          <w:szCs w:val="21"/>
        </w:rPr>
        <w:tab/>
      </w:r>
      <w:r w:rsidRPr="00EB049C">
        <w:rPr>
          <w:rFonts w:hAnsi="宋体" w:hint="eastAsia"/>
          <w:color w:val="auto"/>
          <w:sz w:val="21"/>
          <w:szCs w:val="21"/>
        </w:rPr>
        <w:t>一项可能有益于受试者的适当可替代治疗方法或方案的披露；</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(9)</w:t>
      </w:r>
      <w:r w:rsidRPr="00EB049C">
        <w:rPr>
          <w:color w:val="auto"/>
          <w:sz w:val="21"/>
          <w:szCs w:val="21"/>
        </w:rPr>
        <w:tab/>
      </w:r>
      <w:r w:rsidRPr="00EB049C">
        <w:rPr>
          <w:rFonts w:hAnsi="宋体" w:hint="eastAsia"/>
          <w:color w:val="auto"/>
          <w:sz w:val="21"/>
          <w:szCs w:val="21"/>
        </w:rPr>
        <w:t>一项描述保持受试者记录机密性程度且提示</w:t>
      </w:r>
      <w:r w:rsidRPr="00EB049C">
        <w:rPr>
          <w:color w:val="auto"/>
          <w:sz w:val="21"/>
          <w:szCs w:val="21"/>
        </w:rPr>
        <w:t>FDA</w:t>
      </w:r>
      <w:r w:rsidRPr="00EB049C">
        <w:rPr>
          <w:rFonts w:hAnsi="宋体" w:hint="eastAsia"/>
          <w:color w:val="auto"/>
          <w:sz w:val="21"/>
          <w:szCs w:val="21"/>
        </w:rPr>
        <w:t>可能检查该记录的声明；</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 xml:space="preserve">(10) </w:t>
      </w:r>
      <w:r w:rsidRPr="00EB049C">
        <w:rPr>
          <w:rFonts w:hAnsi="宋体" w:hint="eastAsia"/>
          <w:color w:val="auto"/>
          <w:sz w:val="21"/>
          <w:szCs w:val="21"/>
        </w:rPr>
        <w:t>一项关于如果发生损伤是否能享受任何补偿和</w:t>
      </w:r>
      <w:r w:rsidRPr="00EB049C">
        <w:rPr>
          <w:color w:val="auto"/>
          <w:sz w:val="21"/>
          <w:szCs w:val="21"/>
        </w:rPr>
        <w:t>/</w:t>
      </w:r>
      <w:r w:rsidRPr="00EB049C">
        <w:rPr>
          <w:rFonts w:hAnsi="宋体" w:hint="eastAsia"/>
          <w:color w:val="auto"/>
          <w:sz w:val="21"/>
          <w:szCs w:val="21"/>
        </w:rPr>
        <w:t>或医学治疗的解释，以及如果享受，则它们包含哪些方面或进一步信息的来源；</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(11)</w:t>
      </w:r>
      <w:r w:rsidRPr="00EB049C">
        <w:rPr>
          <w:rFonts w:hAnsi="宋体" w:hint="eastAsia"/>
          <w:color w:val="auto"/>
          <w:sz w:val="21"/>
          <w:szCs w:val="21"/>
        </w:rPr>
        <w:t>一项</w:t>
      </w:r>
      <w:r w:rsidRPr="00EB049C">
        <w:rPr>
          <w:color w:val="auto"/>
          <w:sz w:val="21"/>
          <w:szCs w:val="21"/>
        </w:rPr>
        <w:tab/>
      </w:r>
      <w:r w:rsidRPr="00EB049C">
        <w:rPr>
          <w:rFonts w:hAnsi="宋体" w:hint="eastAsia"/>
          <w:color w:val="auto"/>
          <w:sz w:val="21"/>
          <w:szCs w:val="21"/>
        </w:rPr>
        <w:t>关于研究问题和受试者权利解答该联系谁以及发生试验相关损伤时该联系谁的解释；和</w:t>
      </w:r>
    </w:p>
    <w:p w:rsidR="008F17E4" w:rsidRPr="00EB049C" w:rsidRDefault="008F17E4" w:rsidP="005627F4">
      <w:pPr>
        <w:pStyle w:val="Default"/>
        <w:snapToGrid w:val="0"/>
        <w:spacing w:line="336" w:lineRule="auto"/>
        <w:ind w:left="420" w:hangingChars="200" w:hanging="420"/>
        <w:jc w:val="both"/>
        <w:rPr>
          <w:color w:val="auto"/>
          <w:sz w:val="21"/>
          <w:szCs w:val="21"/>
        </w:rPr>
      </w:pPr>
      <w:r w:rsidRPr="00EB049C">
        <w:rPr>
          <w:color w:val="auto"/>
          <w:sz w:val="21"/>
          <w:szCs w:val="21"/>
        </w:rPr>
        <w:t>(12)</w:t>
      </w:r>
      <w:r w:rsidRPr="00EB049C">
        <w:rPr>
          <w:color w:val="auto"/>
          <w:sz w:val="21"/>
          <w:szCs w:val="21"/>
        </w:rPr>
        <w:tab/>
      </w:r>
      <w:r w:rsidRPr="00EB049C">
        <w:rPr>
          <w:rFonts w:hAnsi="宋体" w:hint="eastAsia"/>
          <w:color w:val="auto"/>
          <w:sz w:val="21"/>
          <w:szCs w:val="21"/>
        </w:rPr>
        <w:t>一项关于参加研究属自愿行为，受试者可以随时拒绝参加或停止参加研究且不会遭受罚金或利益损失的声明。</w:t>
      </w:r>
    </w:p>
    <w:p w:rsidR="008F17E4" w:rsidRPr="00EB049C" w:rsidRDefault="008F17E4" w:rsidP="003E190C">
      <w:pPr>
        <w:pStyle w:val="CM44"/>
        <w:snapToGrid w:val="0"/>
        <w:spacing w:beforeLines="50" w:after="0" w:line="336" w:lineRule="auto"/>
        <w:jc w:val="both"/>
        <w:rPr>
          <w:sz w:val="21"/>
          <w:szCs w:val="21"/>
        </w:rPr>
      </w:pPr>
      <w:r w:rsidRPr="00EB049C">
        <w:rPr>
          <w:rFonts w:hAnsi="宋体" w:hint="eastAsia"/>
          <w:sz w:val="21"/>
          <w:szCs w:val="21"/>
        </w:rPr>
        <w:t>如果有必要，可能需要按照</w:t>
      </w:r>
      <w:r w:rsidRPr="00EB049C">
        <w:rPr>
          <w:sz w:val="21"/>
          <w:szCs w:val="21"/>
        </w:rPr>
        <w:t xml:space="preserve">21 CFR 50.25(b) </w:t>
      </w:r>
      <w:r w:rsidRPr="00EB049C">
        <w:rPr>
          <w:rFonts w:hAnsi="宋体" w:hint="eastAsia"/>
          <w:sz w:val="21"/>
          <w:szCs w:val="21"/>
        </w:rPr>
        <w:t>解读知情同意书的附加要素。</w:t>
      </w:r>
    </w:p>
    <w:p w:rsidR="008F17E4" w:rsidRPr="00EB049C" w:rsidRDefault="008F17E4" w:rsidP="003E190C">
      <w:pPr>
        <w:pStyle w:val="CM44"/>
        <w:snapToGrid w:val="0"/>
        <w:spacing w:beforeLines="50" w:after="0" w:line="336" w:lineRule="auto"/>
        <w:jc w:val="both"/>
        <w:rPr>
          <w:sz w:val="21"/>
          <w:szCs w:val="21"/>
        </w:rPr>
      </w:pPr>
      <w:r w:rsidRPr="00EB049C">
        <w:rPr>
          <w:rFonts w:hAnsi="宋体" w:hint="eastAsia"/>
          <w:sz w:val="21"/>
          <w:szCs w:val="21"/>
        </w:rPr>
        <w:t>虽然上述要求的信息不是专门针对脊柱</w:t>
      </w:r>
      <w:r w:rsidRPr="00EB049C">
        <w:rPr>
          <w:sz w:val="21"/>
          <w:szCs w:val="21"/>
        </w:rPr>
        <w:t>IDE</w:t>
      </w:r>
      <w:r w:rsidRPr="00EB049C">
        <w:rPr>
          <w:rFonts w:hAnsi="宋体" w:hint="eastAsia"/>
          <w:sz w:val="21"/>
          <w:szCs w:val="21"/>
        </w:rPr>
        <w:t>，但最为重要的是，该知情同意书应该与器械说明部分和试验计划部分中提供的信息相一致，其中包括拟定的患者人群、目的、持续时间、随访时间点、评价参数、潜在风险等等。这是因为脊柱</w:t>
      </w:r>
      <w:r w:rsidRPr="00EB049C">
        <w:rPr>
          <w:sz w:val="21"/>
          <w:szCs w:val="21"/>
        </w:rPr>
        <w:t>IDE</w:t>
      </w:r>
      <w:r w:rsidRPr="00EB049C">
        <w:rPr>
          <w:rFonts w:hAnsi="宋体" w:hint="eastAsia"/>
          <w:sz w:val="21"/>
          <w:szCs w:val="21"/>
        </w:rPr>
        <w:t>在设计、手术方法、患者治疗组和参数方面存在一些变化。</w:t>
      </w:r>
    </w:p>
    <w:p w:rsidR="008F17E4" w:rsidRPr="00EB049C" w:rsidRDefault="008F17E4" w:rsidP="003E190C">
      <w:pPr>
        <w:pStyle w:val="CM45"/>
        <w:snapToGrid w:val="0"/>
        <w:spacing w:beforeLines="50" w:after="0" w:line="336" w:lineRule="auto"/>
        <w:jc w:val="both"/>
        <w:outlineLvl w:val="0"/>
        <w:rPr>
          <w:sz w:val="21"/>
          <w:szCs w:val="21"/>
        </w:rPr>
      </w:pPr>
      <w:bookmarkStart w:id="63" w:name="_Toc480641630"/>
      <w:r w:rsidRPr="00EB049C">
        <w:rPr>
          <w:rFonts w:hAnsi="宋体" w:hint="eastAsia"/>
          <w:b/>
          <w:bCs/>
          <w:sz w:val="21"/>
          <w:szCs w:val="21"/>
          <w:u w:val="single"/>
        </w:rPr>
        <w:t>销售价格</w:t>
      </w:r>
      <w:bookmarkEnd w:id="63"/>
    </w:p>
    <w:p w:rsidR="008F17E4" w:rsidRPr="00EB049C" w:rsidRDefault="008F17E4" w:rsidP="00C40B70">
      <w:pPr>
        <w:pStyle w:val="CM5"/>
        <w:snapToGrid w:val="0"/>
        <w:spacing w:line="336" w:lineRule="auto"/>
        <w:jc w:val="both"/>
        <w:rPr>
          <w:sz w:val="21"/>
          <w:szCs w:val="21"/>
        </w:rPr>
      </w:pPr>
      <w:r w:rsidRPr="00EB049C">
        <w:rPr>
          <w:rFonts w:hAnsi="宋体" w:hint="eastAsia"/>
          <w:sz w:val="21"/>
          <w:szCs w:val="21"/>
        </w:rPr>
        <w:t>以下信息不是特定于脊柱</w:t>
      </w:r>
      <w:r w:rsidRPr="00EB049C">
        <w:rPr>
          <w:sz w:val="21"/>
          <w:szCs w:val="21"/>
        </w:rPr>
        <w:t>IDE</w:t>
      </w:r>
      <w:r w:rsidRPr="00EB049C">
        <w:rPr>
          <w:rFonts w:hAnsi="宋体" w:hint="eastAsia"/>
          <w:sz w:val="21"/>
          <w:szCs w:val="21"/>
        </w:rPr>
        <w:t>的信息，但却是完成</w:t>
      </w:r>
      <w:r w:rsidRPr="00EB049C">
        <w:rPr>
          <w:sz w:val="21"/>
          <w:szCs w:val="21"/>
        </w:rPr>
        <w:t>IDE</w:t>
      </w:r>
      <w:r w:rsidRPr="00EB049C">
        <w:rPr>
          <w:rFonts w:hAnsi="宋体" w:hint="eastAsia"/>
          <w:sz w:val="21"/>
          <w:szCs w:val="21"/>
        </w:rPr>
        <w:t>申请所必需的信息。</w:t>
      </w:r>
      <w:r w:rsidRPr="00EB049C">
        <w:rPr>
          <w:sz w:val="21"/>
          <w:szCs w:val="21"/>
        </w:rPr>
        <w:t>.</w:t>
      </w:r>
    </w:p>
    <w:p w:rsidR="008F17E4" w:rsidRPr="00EB049C" w:rsidRDefault="008F17E4" w:rsidP="00C40B70">
      <w:pPr>
        <w:pStyle w:val="CM44"/>
        <w:snapToGrid w:val="0"/>
        <w:spacing w:after="0" w:line="336" w:lineRule="auto"/>
        <w:jc w:val="both"/>
        <w:rPr>
          <w:sz w:val="21"/>
          <w:szCs w:val="21"/>
        </w:rPr>
      </w:pPr>
      <w:r w:rsidRPr="00EB049C">
        <w:rPr>
          <w:rFonts w:hAnsi="宋体" w:hint="eastAsia"/>
          <w:sz w:val="21"/>
          <w:szCs w:val="21"/>
        </w:rPr>
        <w:t>按照</w:t>
      </w:r>
      <w:r w:rsidRPr="00EB049C">
        <w:rPr>
          <w:sz w:val="21"/>
          <w:szCs w:val="21"/>
        </w:rPr>
        <w:t>812.20(b)(8)</w:t>
      </w:r>
      <w:r w:rsidRPr="00EB049C">
        <w:rPr>
          <w:rFonts w:hAnsi="宋体" w:hint="eastAsia"/>
          <w:sz w:val="21"/>
          <w:szCs w:val="21"/>
        </w:rPr>
        <w:t>的规定，如果销售该系统，则应该提供销售价格，并解释为什么此销售价格不会构成该系统的商品化。</w:t>
      </w:r>
    </w:p>
    <w:p w:rsidR="008F17E4" w:rsidRPr="00EB049C" w:rsidRDefault="008F17E4" w:rsidP="003E190C">
      <w:pPr>
        <w:pStyle w:val="CM45"/>
        <w:snapToGrid w:val="0"/>
        <w:spacing w:beforeLines="50" w:after="0" w:line="336" w:lineRule="auto"/>
        <w:jc w:val="both"/>
        <w:outlineLvl w:val="0"/>
        <w:rPr>
          <w:sz w:val="21"/>
          <w:szCs w:val="21"/>
        </w:rPr>
      </w:pPr>
      <w:bookmarkStart w:id="64" w:name="_Toc480641631"/>
      <w:r w:rsidRPr="00EB049C">
        <w:rPr>
          <w:rFonts w:hAnsi="宋体" w:hint="eastAsia"/>
          <w:b/>
          <w:bCs/>
          <w:sz w:val="21"/>
          <w:szCs w:val="21"/>
          <w:u w:val="single"/>
        </w:rPr>
        <w:t>环境影响评估</w:t>
      </w:r>
      <w:bookmarkEnd w:id="64"/>
    </w:p>
    <w:p w:rsidR="008F17E4" w:rsidRPr="00EB049C" w:rsidRDefault="008F17E4" w:rsidP="00C40B70">
      <w:pPr>
        <w:pStyle w:val="CM5"/>
        <w:snapToGrid w:val="0"/>
        <w:spacing w:line="336" w:lineRule="auto"/>
        <w:jc w:val="both"/>
        <w:rPr>
          <w:sz w:val="21"/>
          <w:szCs w:val="21"/>
        </w:rPr>
      </w:pPr>
      <w:r w:rsidRPr="00EB049C">
        <w:rPr>
          <w:rFonts w:hAnsi="宋体" w:hint="eastAsia"/>
          <w:sz w:val="21"/>
          <w:szCs w:val="21"/>
        </w:rPr>
        <w:t>以下信息不是特定于脊柱</w:t>
      </w:r>
      <w:r w:rsidRPr="00EB049C">
        <w:rPr>
          <w:sz w:val="21"/>
          <w:szCs w:val="21"/>
        </w:rPr>
        <w:t>IDE</w:t>
      </w:r>
      <w:r w:rsidRPr="00EB049C">
        <w:rPr>
          <w:rFonts w:hAnsi="宋体" w:hint="eastAsia"/>
          <w:sz w:val="21"/>
          <w:szCs w:val="21"/>
        </w:rPr>
        <w:t>的信息，但却是完成</w:t>
      </w:r>
      <w:r w:rsidRPr="00EB049C">
        <w:rPr>
          <w:sz w:val="21"/>
          <w:szCs w:val="21"/>
        </w:rPr>
        <w:t>IDE</w:t>
      </w:r>
      <w:r w:rsidRPr="00EB049C">
        <w:rPr>
          <w:rFonts w:hAnsi="宋体" w:hint="eastAsia"/>
          <w:sz w:val="21"/>
          <w:szCs w:val="21"/>
        </w:rPr>
        <w:t>申请所必需的信息。应该提供一份按</w:t>
      </w:r>
      <w:r w:rsidRPr="00EB049C">
        <w:rPr>
          <w:sz w:val="21"/>
          <w:szCs w:val="21"/>
        </w:rPr>
        <w:t>21 CFR 25.31(a)</w:t>
      </w:r>
      <w:r w:rsidRPr="00EB049C">
        <w:rPr>
          <w:rFonts w:hAnsi="宋体" w:hint="eastAsia"/>
          <w:sz w:val="21"/>
          <w:szCs w:val="21"/>
        </w:rPr>
        <w:t>规定的环境评估或按</w:t>
      </w:r>
      <w:r w:rsidRPr="00EB049C">
        <w:rPr>
          <w:sz w:val="21"/>
          <w:szCs w:val="21"/>
        </w:rPr>
        <w:t xml:space="preserve">21 CFR 25.24(e)(7) </w:t>
      </w:r>
      <w:r w:rsidRPr="00EB049C">
        <w:rPr>
          <w:rFonts w:hAnsi="宋体" w:hint="eastAsia"/>
          <w:sz w:val="21"/>
          <w:szCs w:val="21"/>
        </w:rPr>
        <w:t>规定绝对免除这一要求的声明。</w:t>
      </w:r>
    </w:p>
    <w:p w:rsidR="008F17E4" w:rsidRPr="00EB049C" w:rsidRDefault="008F17E4" w:rsidP="00C40B70">
      <w:pPr>
        <w:pStyle w:val="Default"/>
        <w:pBdr>
          <w:top w:val="single" w:sz="4" w:space="1" w:color="auto"/>
        </w:pBdr>
        <w:snapToGrid w:val="0"/>
        <w:spacing w:line="360" w:lineRule="auto"/>
        <w:jc w:val="both"/>
        <w:rPr>
          <w:color w:val="auto"/>
          <w:sz w:val="21"/>
          <w:szCs w:val="21"/>
        </w:rPr>
      </w:pPr>
      <w:r w:rsidRPr="00EB049C">
        <w:rPr>
          <w:b/>
          <w:bCs/>
          <w:i/>
          <w:iCs/>
          <w:color w:val="auto"/>
          <w:sz w:val="21"/>
          <w:szCs w:val="21"/>
        </w:rPr>
        <w:br w:type="page"/>
      </w:r>
      <w:r w:rsidRPr="00EB049C">
        <w:rPr>
          <w:rFonts w:hAnsi="宋体" w:hint="eastAsia"/>
          <w:b/>
          <w:bCs/>
          <w:i/>
          <w:iCs/>
          <w:color w:val="auto"/>
          <w:sz w:val="21"/>
          <w:szCs w:val="21"/>
        </w:rPr>
        <w:lastRenderedPageBreak/>
        <w:t>注意：</w:t>
      </w:r>
      <w:r w:rsidRPr="00EB049C">
        <w:rPr>
          <w:i/>
          <w:iCs/>
          <w:color w:val="auto"/>
          <w:sz w:val="21"/>
          <w:szCs w:val="21"/>
        </w:rPr>
        <w:t xml:space="preserve">FDA </w:t>
      </w:r>
      <w:r w:rsidRPr="00EB049C">
        <w:rPr>
          <w:rFonts w:hAnsi="宋体" w:hint="eastAsia"/>
          <w:i/>
          <w:iCs/>
          <w:color w:val="auto"/>
          <w:sz w:val="21"/>
          <w:szCs w:val="21"/>
        </w:rPr>
        <w:t>认为，对于</w:t>
      </w:r>
      <w:r w:rsidR="0093559A" w:rsidRPr="00EB049C">
        <w:rPr>
          <w:rFonts w:hAnsi="宋体" w:hint="eastAsia"/>
          <w:i/>
          <w:iCs/>
          <w:color w:val="auto"/>
          <w:sz w:val="21"/>
          <w:szCs w:val="21"/>
        </w:rPr>
        <w:t>申办方</w:t>
      </w:r>
      <w:r w:rsidRPr="00EB049C">
        <w:rPr>
          <w:rFonts w:hAnsi="宋体" w:hint="eastAsia"/>
          <w:i/>
          <w:iCs/>
          <w:color w:val="auto"/>
          <w:sz w:val="21"/>
          <w:szCs w:val="21"/>
        </w:rPr>
        <w:t>来说，脊柱区域可能被认为复杂难懂。</w:t>
      </w:r>
      <w:r w:rsidRPr="00EB049C">
        <w:rPr>
          <w:i/>
          <w:iCs/>
          <w:color w:val="auto"/>
          <w:sz w:val="21"/>
          <w:szCs w:val="21"/>
        </w:rPr>
        <w:t>ORDB</w:t>
      </w:r>
      <w:r w:rsidRPr="00EB049C">
        <w:rPr>
          <w:rFonts w:hAnsi="宋体" w:hint="eastAsia"/>
          <w:i/>
          <w:iCs/>
          <w:color w:val="auto"/>
          <w:sz w:val="21"/>
          <w:szCs w:val="21"/>
        </w:rPr>
        <w:t>热切希望在脊柱系统</w:t>
      </w:r>
      <w:r w:rsidRPr="00EB049C">
        <w:rPr>
          <w:i/>
          <w:iCs/>
          <w:color w:val="auto"/>
          <w:sz w:val="21"/>
          <w:szCs w:val="21"/>
        </w:rPr>
        <w:t>IDE</w:t>
      </w:r>
      <w:r w:rsidRPr="00EB049C">
        <w:rPr>
          <w:rFonts w:hAnsi="宋体" w:hint="eastAsia"/>
          <w:i/>
          <w:iCs/>
          <w:color w:val="auto"/>
          <w:sz w:val="21"/>
          <w:szCs w:val="21"/>
        </w:rPr>
        <w:t>编写以前或期间提供信息，尤其是以下几方面：</w:t>
      </w:r>
    </w:p>
    <w:p w:rsidR="008F17E4" w:rsidRPr="00EB049C" w:rsidRDefault="008F17E4" w:rsidP="009A6A54">
      <w:pPr>
        <w:pStyle w:val="Default"/>
        <w:numPr>
          <w:ilvl w:val="0"/>
          <w:numId w:val="24"/>
        </w:numPr>
        <w:snapToGrid w:val="0"/>
        <w:spacing w:line="360" w:lineRule="auto"/>
        <w:ind w:left="0" w:firstLine="0"/>
        <w:jc w:val="both"/>
        <w:rPr>
          <w:color w:val="auto"/>
          <w:sz w:val="21"/>
          <w:szCs w:val="21"/>
        </w:rPr>
      </w:pPr>
      <w:r w:rsidRPr="00EB049C">
        <w:rPr>
          <w:rFonts w:hAnsi="宋体" w:hint="eastAsia"/>
          <w:i/>
          <w:iCs/>
          <w:color w:val="auto"/>
          <w:sz w:val="21"/>
          <w:szCs w:val="21"/>
        </w:rPr>
        <w:t>特定系统设计的适当机械试验；</w:t>
      </w:r>
    </w:p>
    <w:p w:rsidR="008F17E4" w:rsidRPr="00EB049C" w:rsidRDefault="008F17E4" w:rsidP="009A6A54">
      <w:pPr>
        <w:pStyle w:val="Default"/>
        <w:numPr>
          <w:ilvl w:val="0"/>
          <w:numId w:val="24"/>
        </w:numPr>
        <w:snapToGrid w:val="0"/>
        <w:spacing w:line="360" w:lineRule="auto"/>
        <w:ind w:left="0" w:firstLine="0"/>
        <w:jc w:val="both"/>
        <w:rPr>
          <w:color w:val="auto"/>
          <w:sz w:val="21"/>
          <w:szCs w:val="21"/>
        </w:rPr>
      </w:pPr>
      <w:r w:rsidRPr="00EB049C">
        <w:rPr>
          <w:rFonts w:hAnsi="宋体" w:hint="eastAsia"/>
          <w:i/>
          <w:iCs/>
          <w:color w:val="auto"/>
          <w:sz w:val="21"/>
          <w:szCs w:val="21"/>
        </w:rPr>
        <w:t>适当的动物研究设计；</w:t>
      </w:r>
    </w:p>
    <w:p w:rsidR="008F17E4" w:rsidRPr="00EB049C" w:rsidRDefault="008F17E4" w:rsidP="009A6A54">
      <w:pPr>
        <w:pStyle w:val="Default"/>
        <w:numPr>
          <w:ilvl w:val="0"/>
          <w:numId w:val="24"/>
        </w:numPr>
        <w:snapToGrid w:val="0"/>
        <w:spacing w:line="360" w:lineRule="auto"/>
        <w:ind w:left="0" w:firstLine="0"/>
        <w:jc w:val="both"/>
        <w:rPr>
          <w:color w:val="auto"/>
          <w:sz w:val="21"/>
          <w:szCs w:val="21"/>
        </w:rPr>
      </w:pPr>
      <w:r w:rsidRPr="00EB049C">
        <w:rPr>
          <w:rFonts w:hAnsi="宋体" w:hint="eastAsia"/>
          <w:i/>
          <w:iCs/>
          <w:color w:val="auto"/>
          <w:sz w:val="21"/>
          <w:szCs w:val="21"/>
        </w:rPr>
        <w:t>现有临床数据的表示；和</w:t>
      </w:r>
    </w:p>
    <w:p w:rsidR="008F17E4" w:rsidRPr="00EB049C" w:rsidRDefault="008F17E4" w:rsidP="009A6A54">
      <w:pPr>
        <w:pStyle w:val="Default"/>
        <w:numPr>
          <w:ilvl w:val="0"/>
          <w:numId w:val="24"/>
        </w:numPr>
        <w:snapToGrid w:val="0"/>
        <w:spacing w:line="360" w:lineRule="auto"/>
        <w:ind w:left="0" w:firstLine="0"/>
        <w:jc w:val="both"/>
        <w:rPr>
          <w:color w:val="auto"/>
          <w:sz w:val="21"/>
          <w:szCs w:val="21"/>
        </w:rPr>
      </w:pPr>
      <w:r w:rsidRPr="00EB049C">
        <w:rPr>
          <w:rFonts w:hAnsi="宋体" w:hint="eastAsia"/>
          <w:i/>
          <w:iCs/>
          <w:color w:val="auto"/>
          <w:sz w:val="21"/>
          <w:szCs w:val="21"/>
        </w:rPr>
        <w:t>特定和一般性方案问题（入选标准、评价参数、成功标准、对照组等的适当性）。</w:t>
      </w:r>
    </w:p>
    <w:p w:rsidR="008F17E4" w:rsidRPr="005627F4" w:rsidRDefault="008F17E4" w:rsidP="009A6A54">
      <w:pPr>
        <w:adjustRightInd w:val="0"/>
        <w:snapToGrid w:val="0"/>
        <w:spacing w:line="360" w:lineRule="auto"/>
        <w:ind w:firstLine="0"/>
        <w:rPr>
          <w:rFonts w:ascii="Times New Roman" w:hAnsi="Times New Roman" w:cs="Times New Roman"/>
        </w:rPr>
      </w:pPr>
    </w:p>
    <w:sectPr w:rsidR="008F17E4" w:rsidRPr="005627F4" w:rsidSect="009A6A54">
      <w:footerReference w:type="default" r:id="rId13"/>
      <w:pgSz w:w="11907" w:h="16840" w:code="9"/>
      <w:pgMar w:top="1440" w:right="1797" w:bottom="1440" w:left="1797" w:header="720" w:footer="720" w:gutter="0"/>
      <w:pgNumType w:start="3"/>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4E" w:rsidRDefault="00CC154E" w:rsidP="00B73E8B">
      <w:r>
        <w:separator/>
      </w:r>
    </w:p>
  </w:endnote>
  <w:endnote w:type="continuationSeparator" w:id="1">
    <w:p w:rsidR="00CC154E" w:rsidRDefault="00CC154E" w:rsidP="00B73E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99" w:rsidRPr="005627F4" w:rsidRDefault="00171F99" w:rsidP="009A6A54">
    <w:pPr>
      <w:pStyle w:val="CM9"/>
      <w:pBdr>
        <w:top w:val="single" w:sz="4" w:space="1" w:color="auto"/>
      </w:pBdr>
      <w:snapToGrid w:val="0"/>
      <w:spacing w:line="360" w:lineRule="auto"/>
      <w:jc w:val="both"/>
      <w:rPr>
        <w:sz w:val="18"/>
        <w:szCs w:val="18"/>
      </w:rPr>
    </w:pPr>
    <w:r w:rsidRPr="005627F4">
      <w:rPr>
        <w:sz w:val="18"/>
        <w:szCs w:val="18"/>
        <w:vertAlign w:val="superscript"/>
      </w:rPr>
      <w:t>1</w:t>
    </w:r>
    <w:r w:rsidRPr="005627F4">
      <w:rPr>
        <w:rFonts w:hAnsi="宋体" w:hint="eastAsia"/>
        <w:sz w:val="18"/>
        <w:szCs w:val="18"/>
      </w:rPr>
      <w:t>本文件旨在提供指导，它代表了管理局对本主题的现有思考。它不会创造或赋予任何人任何权利，也不会约束</w:t>
    </w:r>
    <w:r w:rsidRPr="005627F4">
      <w:rPr>
        <w:sz w:val="18"/>
        <w:szCs w:val="18"/>
      </w:rPr>
      <w:t>FDA</w:t>
    </w:r>
    <w:r w:rsidRPr="005627F4">
      <w:rPr>
        <w:rFonts w:hAnsi="宋体" w:hint="eastAsia"/>
        <w:sz w:val="18"/>
        <w:szCs w:val="18"/>
      </w:rPr>
      <w:t>或公众。如果其他可选择的另一方法符合可适用法令、法规的要求，也可以使用。第</w:t>
    </w:r>
    <w:r w:rsidRPr="005627F4">
      <w:rPr>
        <w:sz w:val="18"/>
        <w:szCs w:val="18"/>
      </w:rPr>
      <w:t>1</w:t>
    </w:r>
    <w:r w:rsidRPr="005627F4">
      <w:rPr>
        <w:rFonts w:hAnsi="宋体" w:hint="eastAsia"/>
        <w:sz w:val="18"/>
        <w:szCs w:val="18"/>
      </w:rPr>
      <w:t>页。</w:t>
    </w:r>
  </w:p>
  <w:p w:rsidR="00171F99" w:rsidRPr="005627F4" w:rsidRDefault="00045AE8" w:rsidP="009A6A54">
    <w:pPr>
      <w:pStyle w:val="a5"/>
      <w:ind w:firstLine="0"/>
      <w:jc w:val="center"/>
      <w:rPr>
        <w:rFonts w:ascii="Times New Roman" w:hAnsi="Times New Roman" w:cs="Times New Roman"/>
      </w:rPr>
    </w:pPr>
    <w:r w:rsidRPr="005627F4">
      <w:rPr>
        <w:rStyle w:val="a6"/>
        <w:rFonts w:ascii="Times New Roman" w:hAnsi="Times New Roman"/>
      </w:rPr>
      <w:fldChar w:fldCharType="begin"/>
    </w:r>
    <w:r w:rsidR="00171F99" w:rsidRPr="005627F4">
      <w:rPr>
        <w:rStyle w:val="a6"/>
        <w:rFonts w:ascii="Times New Roman" w:hAnsi="Times New Roman"/>
      </w:rPr>
      <w:instrText xml:space="preserve"> PAGE </w:instrText>
    </w:r>
    <w:r w:rsidRPr="005627F4">
      <w:rPr>
        <w:rStyle w:val="a6"/>
        <w:rFonts w:ascii="Times New Roman" w:hAnsi="Times New Roman"/>
      </w:rPr>
      <w:fldChar w:fldCharType="separate"/>
    </w:r>
    <w:r w:rsidR="00EB049C">
      <w:rPr>
        <w:rStyle w:val="a6"/>
        <w:rFonts w:ascii="Times New Roman" w:hAnsi="Times New Roman"/>
        <w:noProof/>
      </w:rPr>
      <w:t>2</w:t>
    </w:r>
    <w:r w:rsidRPr="005627F4">
      <w:rPr>
        <w:rStyle w:val="a6"/>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99" w:rsidRPr="009A6A54" w:rsidRDefault="00045AE8" w:rsidP="009A6A54">
    <w:pPr>
      <w:pStyle w:val="a5"/>
      <w:ind w:firstLine="0"/>
      <w:jc w:val="center"/>
      <w:rPr>
        <w:rFonts w:ascii="Times New Roman" w:hAnsi="Times New Roman" w:cs="Times New Roman"/>
      </w:rPr>
    </w:pPr>
    <w:r w:rsidRPr="009A6A54">
      <w:rPr>
        <w:rStyle w:val="a6"/>
        <w:rFonts w:ascii="Times New Roman" w:hAnsi="Times New Roman"/>
      </w:rPr>
      <w:fldChar w:fldCharType="begin"/>
    </w:r>
    <w:r w:rsidR="00171F99" w:rsidRPr="009A6A54">
      <w:rPr>
        <w:rStyle w:val="a6"/>
        <w:rFonts w:ascii="Times New Roman" w:hAnsi="Times New Roman"/>
      </w:rPr>
      <w:instrText xml:space="preserve"> PAGE </w:instrText>
    </w:r>
    <w:r w:rsidRPr="009A6A54">
      <w:rPr>
        <w:rStyle w:val="a6"/>
        <w:rFonts w:ascii="Times New Roman" w:hAnsi="Times New Roman"/>
      </w:rPr>
      <w:fldChar w:fldCharType="separate"/>
    </w:r>
    <w:r w:rsidR="00EB049C">
      <w:rPr>
        <w:rStyle w:val="a6"/>
        <w:rFonts w:ascii="Times New Roman" w:hAnsi="Times New Roman"/>
        <w:noProof/>
      </w:rPr>
      <w:t>30</w:t>
    </w:r>
    <w:r w:rsidRPr="009A6A54">
      <w:rPr>
        <w:rStyle w:val="a6"/>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4E" w:rsidRDefault="00CC154E" w:rsidP="00B73E8B">
      <w:r>
        <w:separator/>
      </w:r>
    </w:p>
  </w:footnote>
  <w:footnote w:type="continuationSeparator" w:id="1">
    <w:p w:rsidR="00CC154E" w:rsidRDefault="00CC154E" w:rsidP="00B73E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F99" w:rsidRDefault="00171F99" w:rsidP="009926A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383"/>
    <w:multiLevelType w:val="hybridMultilevel"/>
    <w:tmpl w:val="D5E2D0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DA184C"/>
    <w:multiLevelType w:val="hybridMultilevel"/>
    <w:tmpl w:val="936883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20138F"/>
    <w:multiLevelType w:val="hybridMultilevel"/>
    <w:tmpl w:val="10E68F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F3178E"/>
    <w:multiLevelType w:val="hybridMultilevel"/>
    <w:tmpl w:val="B8B6A8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D4098D"/>
    <w:multiLevelType w:val="hybridMultilevel"/>
    <w:tmpl w:val="0010D5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034828"/>
    <w:multiLevelType w:val="hybridMultilevel"/>
    <w:tmpl w:val="F27882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AB10E5"/>
    <w:multiLevelType w:val="hybridMultilevel"/>
    <w:tmpl w:val="281E63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07B108A"/>
    <w:multiLevelType w:val="hybridMultilevel"/>
    <w:tmpl w:val="71F64A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46C3E68"/>
    <w:multiLevelType w:val="hybridMultilevel"/>
    <w:tmpl w:val="A88A3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5B80A06"/>
    <w:multiLevelType w:val="hybridMultilevel"/>
    <w:tmpl w:val="944C93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E9477D8"/>
    <w:multiLevelType w:val="hybridMultilevel"/>
    <w:tmpl w:val="D18C91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A724B4"/>
    <w:multiLevelType w:val="hybridMultilevel"/>
    <w:tmpl w:val="A01E3E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C26C23"/>
    <w:multiLevelType w:val="hybridMultilevel"/>
    <w:tmpl w:val="82849F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D1E34E4"/>
    <w:multiLevelType w:val="hybridMultilevel"/>
    <w:tmpl w:val="8B166F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E4159C0"/>
    <w:multiLevelType w:val="hybridMultilevel"/>
    <w:tmpl w:val="EA1CD6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C35940"/>
    <w:multiLevelType w:val="hybridMultilevel"/>
    <w:tmpl w:val="81BA39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326271C"/>
    <w:multiLevelType w:val="hybridMultilevel"/>
    <w:tmpl w:val="BD281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8D70C04"/>
    <w:multiLevelType w:val="hybridMultilevel"/>
    <w:tmpl w:val="5A12ED44"/>
    <w:lvl w:ilvl="0" w:tplc="04090001">
      <w:start w:val="1"/>
      <w:numFmt w:val="bullet"/>
      <w:lvlText w:val=""/>
      <w:lvlJc w:val="left"/>
      <w:pPr>
        <w:ind w:left="420" w:hanging="420"/>
      </w:pPr>
      <w:rPr>
        <w:rFonts w:ascii="Wingdings" w:hAnsi="Wingdings" w:hint="default"/>
      </w:rPr>
    </w:lvl>
    <w:lvl w:ilvl="1" w:tplc="38DCD000">
      <w:numFmt w:val="bullet"/>
      <w:lvlText w:val="•"/>
      <w:lvlJc w:val="left"/>
      <w:pPr>
        <w:ind w:left="1140" w:hanging="720"/>
      </w:pPr>
      <w:rPr>
        <w:rFonts w:ascii="Times New Roman" w:eastAsia="宋体" w:hAnsi="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99A2376"/>
    <w:multiLevelType w:val="hybridMultilevel"/>
    <w:tmpl w:val="29761C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B1C0929"/>
    <w:multiLevelType w:val="hybridMultilevel"/>
    <w:tmpl w:val="40A445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D3F0D86"/>
    <w:multiLevelType w:val="hybridMultilevel"/>
    <w:tmpl w:val="E6E69A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E937191"/>
    <w:multiLevelType w:val="hybridMultilevel"/>
    <w:tmpl w:val="4094E6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5AF4171"/>
    <w:multiLevelType w:val="hybridMultilevel"/>
    <w:tmpl w:val="1820EE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0B1CDF"/>
    <w:multiLevelType w:val="hybridMultilevel"/>
    <w:tmpl w:val="AB067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17269F8"/>
    <w:multiLevelType w:val="hybridMultilevel"/>
    <w:tmpl w:val="3A36B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4703540"/>
    <w:multiLevelType w:val="hybridMultilevel"/>
    <w:tmpl w:val="236EB9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8DB314C"/>
    <w:multiLevelType w:val="hybridMultilevel"/>
    <w:tmpl w:val="E88837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BCE61A5"/>
    <w:multiLevelType w:val="hybridMultilevel"/>
    <w:tmpl w:val="A6603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27"/>
  </w:num>
  <w:num w:numId="3">
    <w:abstractNumId w:val="25"/>
  </w:num>
  <w:num w:numId="4">
    <w:abstractNumId w:val="5"/>
  </w:num>
  <w:num w:numId="5">
    <w:abstractNumId w:val="6"/>
  </w:num>
  <w:num w:numId="6">
    <w:abstractNumId w:val="4"/>
  </w:num>
  <w:num w:numId="7">
    <w:abstractNumId w:val="1"/>
  </w:num>
  <w:num w:numId="8">
    <w:abstractNumId w:val="18"/>
  </w:num>
  <w:num w:numId="9">
    <w:abstractNumId w:val="12"/>
  </w:num>
  <w:num w:numId="10">
    <w:abstractNumId w:val="17"/>
  </w:num>
  <w:num w:numId="11">
    <w:abstractNumId w:val="11"/>
  </w:num>
  <w:num w:numId="12">
    <w:abstractNumId w:val="26"/>
  </w:num>
  <w:num w:numId="13">
    <w:abstractNumId w:val="14"/>
  </w:num>
  <w:num w:numId="14">
    <w:abstractNumId w:val="13"/>
  </w:num>
  <w:num w:numId="15">
    <w:abstractNumId w:val="16"/>
  </w:num>
  <w:num w:numId="16">
    <w:abstractNumId w:val="7"/>
  </w:num>
  <w:num w:numId="17">
    <w:abstractNumId w:val="9"/>
  </w:num>
  <w:num w:numId="18">
    <w:abstractNumId w:val="22"/>
  </w:num>
  <w:num w:numId="19">
    <w:abstractNumId w:val="24"/>
  </w:num>
  <w:num w:numId="20">
    <w:abstractNumId w:val="8"/>
  </w:num>
  <w:num w:numId="21">
    <w:abstractNumId w:val="23"/>
  </w:num>
  <w:num w:numId="22">
    <w:abstractNumId w:val="0"/>
  </w:num>
  <w:num w:numId="23">
    <w:abstractNumId w:val="3"/>
  </w:num>
  <w:num w:numId="24">
    <w:abstractNumId w:val="19"/>
  </w:num>
  <w:num w:numId="25">
    <w:abstractNumId w:val="10"/>
  </w:num>
  <w:num w:numId="26">
    <w:abstractNumId w:val="2"/>
  </w:num>
  <w:num w:numId="27">
    <w:abstractNumId w:val="2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9E8"/>
    <w:rsid w:val="0001346C"/>
    <w:rsid w:val="000236D9"/>
    <w:rsid w:val="00036E96"/>
    <w:rsid w:val="00042D0C"/>
    <w:rsid w:val="00045AE8"/>
    <w:rsid w:val="000862E6"/>
    <w:rsid w:val="00087BC4"/>
    <w:rsid w:val="00095100"/>
    <w:rsid w:val="0009785E"/>
    <w:rsid w:val="00097BF0"/>
    <w:rsid w:val="000A4A17"/>
    <w:rsid w:val="000A5AC8"/>
    <w:rsid w:val="000A68C3"/>
    <w:rsid w:val="000C5E99"/>
    <w:rsid w:val="000F33F0"/>
    <w:rsid w:val="000F791C"/>
    <w:rsid w:val="001032A4"/>
    <w:rsid w:val="00125EBF"/>
    <w:rsid w:val="0013412F"/>
    <w:rsid w:val="00157D70"/>
    <w:rsid w:val="001601A6"/>
    <w:rsid w:val="0016160E"/>
    <w:rsid w:val="00167D62"/>
    <w:rsid w:val="00170F1E"/>
    <w:rsid w:val="00171F99"/>
    <w:rsid w:val="00173411"/>
    <w:rsid w:val="00176745"/>
    <w:rsid w:val="00184E0D"/>
    <w:rsid w:val="00186BF2"/>
    <w:rsid w:val="001954AB"/>
    <w:rsid w:val="001A065A"/>
    <w:rsid w:val="001B1A44"/>
    <w:rsid w:val="001E7C9C"/>
    <w:rsid w:val="002205A6"/>
    <w:rsid w:val="002262F3"/>
    <w:rsid w:val="00233004"/>
    <w:rsid w:val="002447BC"/>
    <w:rsid w:val="00247D99"/>
    <w:rsid w:val="00263F2F"/>
    <w:rsid w:val="00294EC2"/>
    <w:rsid w:val="002F79AA"/>
    <w:rsid w:val="003079E8"/>
    <w:rsid w:val="003262E6"/>
    <w:rsid w:val="00335ED2"/>
    <w:rsid w:val="00351607"/>
    <w:rsid w:val="00373913"/>
    <w:rsid w:val="00375EA6"/>
    <w:rsid w:val="003762D9"/>
    <w:rsid w:val="00381EED"/>
    <w:rsid w:val="003848C3"/>
    <w:rsid w:val="003B4A6F"/>
    <w:rsid w:val="003C5273"/>
    <w:rsid w:val="003E190C"/>
    <w:rsid w:val="003E3CAA"/>
    <w:rsid w:val="003E4413"/>
    <w:rsid w:val="003E4AB8"/>
    <w:rsid w:val="003F079C"/>
    <w:rsid w:val="003F4A9F"/>
    <w:rsid w:val="0040334C"/>
    <w:rsid w:val="00404D21"/>
    <w:rsid w:val="00406178"/>
    <w:rsid w:val="004069A4"/>
    <w:rsid w:val="00410A4A"/>
    <w:rsid w:val="00424B47"/>
    <w:rsid w:val="00426D67"/>
    <w:rsid w:val="0043110F"/>
    <w:rsid w:val="00440CF3"/>
    <w:rsid w:val="00463F57"/>
    <w:rsid w:val="00464B0C"/>
    <w:rsid w:val="004715E8"/>
    <w:rsid w:val="00484A35"/>
    <w:rsid w:val="004A3F3E"/>
    <w:rsid w:val="004C6421"/>
    <w:rsid w:val="004C6DF2"/>
    <w:rsid w:val="004E0EDF"/>
    <w:rsid w:val="004F0AB2"/>
    <w:rsid w:val="0050124F"/>
    <w:rsid w:val="00510B21"/>
    <w:rsid w:val="00511CFE"/>
    <w:rsid w:val="005125FA"/>
    <w:rsid w:val="00513001"/>
    <w:rsid w:val="00514766"/>
    <w:rsid w:val="00517485"/>
    <w:rsid w:val="005258C9"/>
    <w:rsid w:val="00531D67"/>
    <w:rsid w:val="00535E36"/>
    <w:rsid w:val="005466EA"/>
    <w:rsid w:val="00547593"/>
    <w:rsid w:val="0055091F"/>
    <w:rsid w:val="005627F4"/>
    <w:rsid w:val="00570547"/>
    <w:rsid w:val="0058420E"/>
    <w:rsid w:val="005A3D95"/>
    <w:rsid w:val="005B18D5"/>
    <w:rsid w:val="005C21CD"/>
    <w:rsid w:val="005E57A9"/>
    <w:rsid w:val="005F1040"/>
    <w:rsid w:val="005F162D"/>
    <w:rsid w:val="00603F04"/>
    <w:rsid w:val="006067FE"/>
    <w:rsid w:val="00613BC7"/>
    <w:rsid w:val="00621E52"/>
    <w:rsid w:val="006243AC"/>
    <w:rsid w:val="00630E42"/>
    <w:rsid w:val="0063492D"/>
    <w:rsid w:val="00646E26"/>
    <w:rsid w:val="00647CC7"/>
    <w:rsid w:val="00652A4D"/>
    <w:rsid w:val="0067163F"/>
    <w:rsid w:val="00671D08"/>
    <w:rsid w:val="00685251"/>
    <w:rsid w:val="006870FA"/>
    <w:rsid w:val="006A11E0"/>
    <w:rsid w:val="006A4AE6"/>
    <w:rsid w:val="006B2334"/>
    <w:rsid w:val="006C3823"/>
    <w:rsid w:val="006C424E"/>
    <w:rsid w:val="006D294B"/>
    <w:rsid w:val="006D68D9"/>
    <w:rsid w:val="006E5651"/>
    <w:rsid w:val="007127EE"/>
    <w:rsid w:val="00721494"/>
    <w:rsid w:val="007327F9"/>
    <w:rsid w:val="007347A1"/>
    <w:rsid w:val="00741E93"/>
    <w:rsid w:val="0074694F"/>
    <w:rsid w:val="00752B6F"/>
    <w:rsid w:val="00762780"/>
    <w:rsid w:val="007722DE"/>
    <w:rsid w:val="00772998"/>
    <w:rsid w:val="00790CFF"/>
    <w:rsid w:val="007B1892"/>
    <w:rsid w:val="007B586D"/>
    <w:rsid w:val="007D1558"/>
    <w:rsid w:val="007D4843"/>
    <w:rsid w:val="007E4D0F"/>
    <w:rsid w:val="007E6D04"/>
    <w:rsid w:val="007F39D1"/>
    <w:rsid w:val="007F5A4A"/>
    <w:rsid w:val="00803120"/>
    <w:rsid w:val="00815D7D"/>
    <w:rsid w:val="00816977"/>
    <w:rsid w:val="008326DE"/>
    <w:rsid w:val="00832AE4"/>
    <w:rsid w:val="00836B94"/>
    <w:rsid w:val="008517AF"/>
    <w:rsid w:val="00856354"/>
    <w:rsid w:val="0085673C"/>
    <w:rsid w:val="00876B2D"/>
    <w:rsid w:val="00890A4B"/>
    <w:rsid w:val="00897778"/>
    <w:rsid w:val="008B294F"/>
    <w:rsid w:val="008C21B2"/>
    <w:rsid w:val="008C41C2"/>
    <w:rsid w:val="008C6B43"/>
    <w:rsid w:val="008D0D80"/>
    <w:rsid w:val="008E25B9"/>
    <w:rsid w:val="008E6FF0"/>
    <w:rsid w:val="008F17E4"/>
    <w:rsid w:val="0090165E"/>
    <w:rsid w:val="009067FA"/>
    <w:rsid w:val="00930441"/>
    <w:rsid w:val="0093559A"/>
    <w:rsid w:val="009513AB"/>
    <w:rsid w:val="009554AB"/>
    <w:rsid w:val="00971E17"/>
    <w:rsid w:val="009741A9"/>
    <w:rsid w:val="009926A6"/>
    <w:rsid w:val="009967D7"/>
    <w:rsid w:val="009A6A54"/>
    <w:rsid w:val="009A7394"/>
    <w:rsid w:val="009C4B7B"/>
    <w:rsid w:val="009C688F"/>
    <w:rsid w:val="009F19B5"/>
    <w:rsid w:val="009F6F37"/>
    <w:rsid w:val="00A21AF5"/>
    <w:rsid w:val="00A375BC"/>
    <w:rsid w:val="00A42F4A"/>
    <w:rsid w:val="00A4303E"/>
    <w:rsid w:val="00A52E7F"/>
    <w:rsid w:val="00A6431C"/>
    <w:rsid w:val="00A7730E"/>
    <w:rsid w:val="00A77866"/>
    <w:rsid w:val="00A821C0"/>
    <w:rsid w:val="00AA05FC"/>
    <w:rsid w:val="00AA2EA4"/>
    <w:rsid w:val="00AB7372"/>
    <w:rsid w:val="00AC36AC"/>
    <w:rsid w:val="00AC3CA0"/>
    <w:rsid w:val="00AC55F4"/>
    <w:rsid w:val="00AD7C31"/>
    <w:rsid w:val="00B53C33"/>
    <w:rsid w:val="00B5716F"/>
    <w:rsid w:val="00B73E8B"/>
    <w:rsid w:val="00B773F8"/>
    <w:rsid w:val="00B77432"/>
    <w:rsid w:val="00B958A5"/>
    <w:rsid w:val="00BA55C5"/>
    <w:rsid w:val="00BD0788"/>
    <w:rsid w:val="00BE2735"/>
    <w:rsid w:val="00BF76CB"/>
    <w:rsid w:val="00C01C8A"/>
    <w:rsid w:val="00C061CA"/>
    <w:rsid w:val="00C20BE5"/>
    <w:rsid w:val="00C213E9"/>
    <w:rsid w:val="00C2783E"/>
    <w:rsid w:val="00C40118"/>
    <w:rsid w:val="00C40B70"/>
    <w:rsid w:val="00C62156"/>
    <w:rsid w:val="00C64984"/>
    <w:rsid w:val="00C6698B"/>
    <w:rsid w:val="00C71391"/>
    <w:rsid w:val="00C75C0C"/>
    <w:rsid w:val="00C83969"/>
    <w:rsid w:val="00CA2D14"/>
    <w:rsid w:val="00CC154E"/>
    <w:rsid w:val="00CF193F"/>
    <w:rsid w:val="00D00551"/>
    <w:rsid w:val="00D045F2"/>
    <w:rsid w:val="00D11862"/>
    <w:rsid w:val="00D25098"/>
    <w:rsid w:val="00D43EE7"/>
    <w:rsid w:val="00DB0340"/>
    <w:rsid w:val="00DB4B55"/>
    <w:rsid w:val="00DC76D9"/>
    <w:rsid w:val="00DE2735"/>
    <w:rsid w:val="00DF1450"/>
    <w:rsid w:val="00E0407A"/>
    <w:rsid w:val="00E26629"/>
    <w:rsid w:val="00E329F6"/>
    <w:rsid w:val="00E36107"/>
    <w:rsid w:val="00E42889"/>
    <w:rsid w:val="00E52BB3"/>
    <w:rsid w:val="00E73EA8"/>
    <w:rsid w:val="00E74CC8"/>
    <w:rsid w:val="00E75507"/>
    <w:rsid w:val="00E82B4F"/>
    <w:rsid w:val="00E9401A"/>
    <w:rsid w:val="00EB049C"/>
    <w:rsid w:val="00ED7625"/>
    <w:rsid w:val="00EE56FD"/>
    <w:rsid w:val="00EF2459"/>
    <w:rsid w:val="00F0267B"/>
    <w:rsid w:val="00F02EEE"/>
    <w:rsid w:val="00F0683C"/>
    <w:rsid w:val="00F23183"/>
    <w:rsid w:val="00F32163"/>
    <w:rsid w:val="00F44996"/>
    <w:rsid w:val="00F47CDD"/>
    <w:rsid w:val="00F67EE5"/>
    <w:rsid w:val="00F845D6"/>
    <w:rsid w:val="00F93BCD"/>
    <w:rsid w:val="00FA6375"/>
    <w:rsid w:val="00FB7793"/>
    <w:rsid w:val="00FC37BD"/>
    <w:rsid w:val="00FD17A3"/>
    <w:rsid w:val="00FD62FE"/>
    <w:rsid w:val="00FE20B2"/>
    <w:rsid w:val="00FE71B1"/>
    <w:rsid w:val="00FF4422"/>
    <w:rsid w:val="00FF4A9B"/>
    <w:rsid w:val="00FF541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C7"/>
    <w:pPr>
      <w:widowControl w:val="0"/>
      <w:ind w:firstLine="641"/>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3079E8"/>
    <w:pPr>
      <w:widowControl w:val="0"/>
      <w:autoSpaceDE w:val="0"/>
      <w:autoSpaceDN w:val="0"/>
      <w:adjustRightInd w:val="0"/>
    </w:pPr>
    <w:rPr>
      <w:rFonts w:ascii="Times New Roman" w:hAnsi="Times New Roman"/>
      <w:color w:val="000000"/>
      <w:sz w:val="24"/>
      <w:szCs w:val="24"/>
    </w:rPr>
  </w:style>
  <w:style w:type="paragraph" w:customStyle="1" w:styleId="CM44">
    <w:name w:val="CM44"/>
    <w:basedOn w:val="Default"/>
    <w:next w:val="Default"/>
    <w:uiPriority w:val="99"/>
    <w:rsid w:val="003079E8"/>
    <w:pPr>
      <w:spacing w:after="510"/>
    </w:pPr>
    <w:rPr>
      <w:color w:val="auto"/>
    </w:rPr>
  </w:style>
  <w:style w:type="paragraph" w:customStyle="1" w:styleId="CM45">
    <w:name w:val="CM45"/>
    <w:basedOn w:val="Default"/>
    <w:next w:val="Default"/>
    <w:uiPriority w:val="99"/>
    <w:rsid w:val="003079E8"/>
    <w:pPr>
      <w:spacing w:after="258"/>
    </w:pPr>
    <w:rPr>
      <w:color w:val="auto"/>
    </w:rPr>
  </w:style>
  <w:style w:type="paragraph" w:customStyle="1" w:styleId="CM46">
    <w:name w:val="CM46"/>
    <w:basedOn w:val="Default"/>
    <w:next w:val="Default"/>
    <w:uiPriority w:val="99"/>
    <w:rsid w:val="003079E8"/>
    <w:pPr>
      <w:spacing w:after="363"/>
    </w:pPr>
    <w:rPr>
      <w:color w:val="auto"/>
    </w:rPr>
  </w:style>
  <w:style w:type="paragraph" w:customStyle="1" w:styleId="CM3">
    <w:name w:val="CM3"/>
    <w:basedOn w:val="Default"/>
    <w:next w:val="Default"/>
    <w:uiPriority w:val="99"/>
    <w:rsid w:val="003079E8"/>
    <w:pPr>
      <w:spacing w:line="258" w:lineRule="atLeast"/>
    </w:pPr>
    <w:rPr>
      <w:color w:val="auto"/>
    </w:rPr>
  </w:style>
  <w:style w:type="paragraph" w:customStyle="1" w:styleId="CM4">
    <w:name w:val="CM4"/>
    <w:basedOn w:val="Default"/>
    <w:next w:val="Default"/>
    <w:uiPriority w:val="99"/>
    <w:rsid w:val="003079E8"/>
    <w:pPr>
      <w:spacing w:line="263" w:lineRule="atLeast"/>
    </w:pPr>
    <w:rPr>
      <w:color w:val="auto"/>
    </w:rPr>
  </w:style>
  <w:style w:type="paragraph" w:customStyle="1" w:styleId="CM5">
    <w:name w:val="CM5"/>
    <w:basedOn w:val="Default"/>
    <w:next w:val="Default"/>
    <w:uiPriority w:val="99"/>
    <w:rsid w:val="003079E8"/>
    <w:pPr>
      <w:spacing w:line="256" w:lineRule="atLeast"/>
    </w:pPr>
    <w:rPr>
      <w:color w:val="auto"/>
    </w:rPr>
  </w:style>
  <w:style w:type="paragraph" w:customStyle="1" w:styleId="CM7">
    <w:name w:val="CM7"/>
    <w:basedOn w:val="Default"/>
    <w:next w:val="Default"/>
    <w:uiPriority w:val="99"/>
    <w:rsid w:val="003079E8"/>
    <w:rPr>
      <w:color w:val="auto"/>
    </w:rPr>
  </w:style>
  <w:style w:type="paragraph" w:customStyle="1" w:styleId="CM9">
    <w:name w:val="CM9"/>
    <w:basedOn w:val="Default"/>
    <w:next w:val="Default"/>
    <w:uiPriority w:val="99"/>
    <w:rsid w:val="003079E8"/>
    <w:pPr>
      <w:spacing w:line="231" w:lineRule="atLeast"/>
    </w:pPr>
    <w:rPr>
      <w:color w:val="auto"/>
    </w:rPr>
  </w:style>
  <w:style w:type="paragraph" w:customStyle="1" w:styleId="CM13">
    <w:name w:val="CM13"/>
    <w:basedOn w:val="Default"/>
    <w:next w:val="Default"/>
    <w:uiPriority w:val="99"/>
    <w:rsid w:val="003079E8"/>
    <w:pPr>
      <w:spacing w:line="256" w:lineRule="atLeast"/>
    </w:pPr>
    <w:rPr>
      <w:color w:val="auto"/>
    </w:rPr>
  </w:style>
  <w:style w:type="paragraph" w:customStyle="1" w:styleId="CM12">
    <w:name w:val="CM12"/>
    <w:basedOn w:val="Default"/>
    <w:next w:val="Default"/>
    <w:uiPriority w:val="99"/>
    <w:rsid w:val="003079E8"/>
    <w:pPr>
      <w:spacing w:line="256" w:lineRule="atLeast"/>
    </w:pPr>
    <w:rPr>
      <w:color w:val="auto"/>
    </w:rPr>
  </w:style>
  <w:style w:type="paragraph" w:customStyle="1" w:styleId="CM16">
    <w:name w:val="CM16"/>
    <w:basedOn w:val="Default"/>
    <w:next w:val="Default"/>
    <w:uiPriority w:val="99"/>
    <w:rsid w:val="003079E8"/>
    <w:pPr>
      <w:spacing w:line="256" w:lineRule="atLeast"/>
    </w:pPr>
    <w:rPr>
      <w:color w:val="auto"/>
    </w:rPr>
  </w:style>
  <w:style w:type="paragraph" w:customStyle="1" w:styleId="CM17">
    <w:name w:val="CM17"/>
    <w:basedOn w:val="Default"/>
    <w:next w:val="Default"/>
    <w:uiPriority w:val="99"/>
    <w:rsid w:val="003079E8"/>
    <w:pPr>
      <w:spacing w:line="256" w:lineRule="atLeast"/>
    </w:pPr>
    <w:rPr>
      <w:color w:val="auto"/>
    </w:rPr>
  </w:style>
  <w:style w:type="paragraph" w:customStyle="1" w:styleId="CM19">
    <w:name w:val="CM19"/>
    <w:basedOn w:val="Default"/>
    <w:next w:val="Default"/>
    <w:uiPriority w:val="99"/>
    <w:rsid w:val="003079E8"/>
    <w:pPr>
      <w:spacing w:line="256" w:lineRule="atLeast"/>
    </w:pPr>
    <w:rPr>
      <w:color w:val="auto"/>
    </w:rPr>
  </w:style>
  <w:style w:type="paragraph" w:customStyle="1" w:styleId="CM14">
    <w:name w:val="CM14"/>
    <w:basedOn w:val="Default"/>
    <w:next w:val="Default"/>
    <w:uiPriority w:val="99"/>
    <w:rsid w:val="003079E8"/>
    <w:pPr>
      <w:spacing w:line="256" w:lineRule="atLeast"/>
    </w:pPr>
    <w:rPr>
      <w:color w:val="auto"/>
    </w:rPr>
  </w:style>
  <w:style w:type="paragraph" w:customStyle="1" w:styleId="CM20">
    <w:name w:val="CM20"/>
    <w:basedOn w:val="Default"/>
    <w:next w:val="Default"/>
    <w:uiPriority w:val="99"/>
    <w:rsid w:val="003079E8"/>
    <w:pPr>
      <w:spacing w:line="256" w:lineRule="atLeast"/>
    </w:pPr>
    <w:rPr>
      <w:color w:val="auto"/>
    </w:rPr>
  </w:style>
  <w:style w:type="paragraph" w:customStyle="1" w:styleId="CM23">
    <w:name w:val="CM23"/>
    <w:basedOn w:val="Default"/>
    <w:next w:val="Default"/>
    <w:uiPriority w:val="99"/>
    <w:rsid w:val="003079E8"/>
    <w:pPr>
      <w:spacing w:line="256" w:lineRule="atLeast"/>
    </w:pPr>
    <w:rPr>
      <w:color w:val="auto"/>
    </w:rPr>
  </w:style>
  <w:style w:type="paragraph" w:customStyle="1" w:styleId="CM26">
    <w:name w:val="CM26"/>
    <w:basedOn w:val="Default"/>
    <w:next w:val="Default"/>
    <w:uiPriority w:val="99"/>
    <w:rsid w:val="003079E8"/>
    <w:pPr>
      <w:spacing w:line="256" w:lineRule="atLeast"/>
    </w:pPr>
    <w:rPr>
      <w:color w:val="auto"/>
    </w:rPr>
  </w:style>
  <w:style w:type="paragraph" w:customStyle="1" w:styleId="CM27">
    <w:name w:val="CM27"/>
    <w:basedOn w:val="Default"/>
    <w:next w:val="Default"/>
    <w:uiPriority w:val="99"/>
    <w:rsid w:val="003079E8"/>
    <w:pPr>
      <w:spacing w:line="256" w:lineRule="atLeast"/>
    </w:pPr>
    <w:rPr>
      <w:color w:val="auto"/>
    </w:rPr>
  </w:style>
  <w:style w:type="paragraph" w:customStyle="1" w:styleId="CM33">
    <w:name w:val="CM33"/>
    <w:basedOn w:val="Default"/>
    <w:next w:val="Default"/>
    <w:uiPriority w:val="99"/>
    <w:rsid w:val="003079E8"/>
    <w:pPr>
      <w:spacing w:line="256" w:lineRule="atLeast"/>
    </w:pPr>
    <w:rPr>
      <w:color w:val="auto"/>
    </w:rPr>
  </w:style>
  <w:style w:type="paragraph" w:customStyle="1" w:styleId="CM34">
    <w:name w:val="CM34"/>
    <w:basedOn w:val="Default"/>
    <w:next w:val="Default"/>
    <w:uiPriority w:val="99"/>
    <w:rsid w:val="003079E8"/>
    <w:rPr>
      <w:color w:val="auto"/>
    </w:rPr>
  </w:style>
  <w:style w:type="character" w:styleId="a3">
    <w:name w:val="Hyperlink"/>
    <w:uiPriority w:val="99"/>
    <w:rsid w:val="003079E8"/>
    <w:rPr>
      <w:rFonts w:cs="Times New Roman"/>
      <w:color w:val="0000FF"/>
      <w:u w:val="single"/>
    </w:rPr>
  </w:style>
  <w:style w:type="paragraph" w:styleId="a4">
    <w:name w:val="header"/>
    <w:basedOn w:val="a"/>
    <w:link w:val="Char"/>
    <w:uiPriority w:val="99"/>
    <w:semiHidden/>
    <w:rsid w:val="00B73E8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locked/>
    <w:rsid w:val="00B73E8B"/>
    <w:rPr>
      <w:rFonts w:cs="Times New Roman"/>
      <w:sz w:val="18"/>
      <w:szCs w:val="18"/>
    </w:rPr>
  </w:style>
  <w:style w:type="paragraph" w:styleId="a5">
    <w:name w:val="footer"/>
    <w:basedOn w:val="a"/>
    <w:link w:val="Char0"/>
    <w:uiPriority w:val="99"/>
    <w:semiHidden/>
    <w:rsid w:val="00B73E8B"/>
    <w:pPr>
      <w:tabs>
        <w:tab w:val="center" w:pos="4153"/>
        <w:tab w:val="right" w:pos="8306"/>
      </w:tabs>
      <w:snapToGrid w:val="0"/>
      <w:jc w:val="left"/>
    </w:pPr>
    <w:rPr>
      <w:sz w:val="18"/>
      <w:szCs w:val="18"/>
    </w:rPr>
  </w:style>
  <w:style w:type="character" w:customStyle="1" w:styleId="Char0">
    <w:name w:val="页脚 Char"/>
    <w:link w:val="a5"/>
    <w:uiPriority w:val="99"/>
    <w:semiHidden/>
    <w:locked/>
    <w:rsid w:val="00B73E8B"/>
    <w:rPr>
      <w:rFonts w:cs="Times New Roman"/>
      <w:sz w:val="18"/>
      <w:szCs w:val="18"/>
    </w:rPr>
  </w:style>
  <w:style w:type="character" w:styleId="a6">
    <w:name w:val="page number"/>
    <w:uiPriority w:val="99"/>
    <w:rsid w:val="009A6A54"/>
    <w:rPr>
      <w:rFonts w:cs="Times New Roman"/>
    </w:rPr>
  </w:style>
  <w:style w:type="paragraph" w:styleId="2">
    <w:name w:val="toc 2"/>
    <w:basedOn w:val="a"/>
    <w:next w:val="a"/>
    <w:autoRedefine/>
    <w:uiPriority w:val="99"/>
    <w:semiHidden/>
    <w:locked/>
    <w:rsid w:val="00C40B70"/>
    <w:pPr>
      <w:ind w:leftChars="200" w:left="420"/>
    </w:pPr>
  </w:style>
  <w:style w:type="paragraph" w:styleId="1">
    <w:name w:val="toc 1"/>
    <w:basedOn w:val="a"/>
    <w:next w:val="a"/>
    <w:autoRedefine/>
    <w:uiPriority w:val="99"/>
    <w:semiHidden/>
    <w:locked/>
    <w:rsid w:val="00C40B70"/>
    <w:rPr>
      <w:color w:val="0000FF"/>
    </w:rPr>
  </w:style>
  <w:style w:type="paragraph" w:styleId="3">
    <w:name w:val="toc 3"/>
    <w:basedOn w:val="a"/>
    <w:next w:val="a"/>
    <w:autoRedefine/>
    <w:uiPriority w:val="99"/>
    <w:semiHidden/>
    <w:locked/>
    <w:rsid w:val="00C40B70"/>
    <w:pPr>
      <w:ind w:leftChars="400" w:left="840"/>
    </w:pPr>
  </w:style>
  <w:style w:type="paragraph" w:styleId="a7">
    <w:name w:val="Balloon Text"/>
    <w:basedOn w:val="a"/>
    <w:link w:val="Char1"/>
    <w:uiPriority w:val="99"/>
    <w:semiHidden/>
    <w:unhideWhenUsed/>
    <w:rsid w:val="003E190C"/>
    <w:rPr>
      <w:sz w:val="18"/>
      <w:szCs w:val="18"/>
    </w:rPr>
  </w:style>
  <w:style w:type="character" w:customStyle="1" w:styleId="Char1">
    <w:name w:val="批注框文本 Char"/>
    <w:basedOn w:val="a0"/>
    <w:link w:val="a7"/>
    <w:uiPriority w:val="99"/>
    <w:semiHidden/>
    <w:rsid w:val="003E190C"/>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5110;&#21457;&#36865;&#37038;&#20214;&#33267;SXN@cdrh.fda.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fda.gov/cdrh/dsma/dsmamain.htm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cdrh/ode/115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987</TotalTime>
  <Pages>32</Pages>
  <Words>4511</Words>
  <Characters>25719</Characters>
  <Application>Microsoft Office Word</Application>
  <DocSecurity>0</DocSecurity>
  <Lines>214</Lines>
  <Paragraphs>60</Paragraphs>
  <ScaleCrop>false</ScaleCrop>
  <Company/>
  <LinksUpToDate>false</LinksUpToDate>
  <CharactersWithSpaces>30170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a</cp:lastModifiedBy>
  <cp:revision>214</cp:revision>
  <dcterms:created xsi:type="dcterms:W3CDTF">2017-04-09T10:04:00Z</dcterms:created>
  <dcterms:modified xsi:type="dcterms:W3CDTF">2017-04-25T10:16:00Z</dcterms:modified>
</cp:coreProperties>
</file>