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246" w:rsidRPr="00081246" w:rsidRDefault="00081246" w:rsidP="00081246">
      <w:pPr>
        <w:widowControl/>
        <w:ind w:firstLine="0"/>
        <w:jc w:val="left"/>
        <w:outlineLvl w:val="0"/>
        <w:rPr>
          <w:rFonts w:ascii="Helvetica" w:eastAsia="宋体" w:hAnsi="Helvetica" w:cs="Helvetica"/>
          <w:b/>
          <w:bCs/>
          <w:kern w:val="36"/>
          <w:sz w:val="32"/>
          <w:szCs w:val="32"/>
        </w:rPr>
      </w:pPr>
      <w:r w:rsidRPr="00081246">
        <w:rPr>
          <w:rFonts w:ascii="Helvetica" w:eastAsia="宋体" w:hAnsi="Helvetica" w:cs="Helvetica"/>
          <w:b/>
          <w:bCs/>
          <w:kern w:val="36"/>
          <w:sz w:val="32"/>
          <w:szCs w:val="32"/>
        </w:rPr>
        <w:t>Guidance for Industry and FDA Staff - Class II Special Controls Guidance Document: Dental Noble Metal Alloys</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b/>
          <w:bCs/>
          <w:color w:val="333333"/>
          <w:kern w:val="0"/>
          <w:sz w:val="15"/>
        </w:rPr>
        <w:t>Document issued on August 23, 2004</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b/>
          <w:bCs/>
          <w:color w:val="333333"/>
          <w:kern w:val="0"/>
          <w:sz w:val="15"/>
        </w:rPr>
        <w:t>The draft of this document was issued on December 1, 2003</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b/>
          <w:bCs/>
          <w:color w:val="333333"/>
          <w:kern w:val="0"/>
          <w:sz w:val="15"/>
        </w:rPr>
        <w:t>This guidance supersedes Guidance Document for the Preparation of Premarket Notifications [510(k)’s] for Dental Alloys, issued March 3, 1997.</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 xml:space="preserve">For questions regarding this document, contact Mr. Michael E. </w:t>
      </w:r>
      <w:proofErr w:type="spellStart"/>
      <w:r w:rsidRPr="00081246">
        <w:rPr>
          <w:rFonts w:ascii="Helvetica" w:eastAsia="宋体" w:hAnsi="Helvetica" w:cs="Helvetica"/>
          <w:color w:val="333333"/>
          <w:kern w:val="0"/>
          <w:sz w:val="15"/>
          <w:szCs w:val="15"/>
        </w:rPr>
        <w:t>Adjodha</w:t>
      </w:r>
      <w:proofErr w:type="spellEnd"/>
      <w:r w:rsidRPr="00081246">
        <w:rPr>
          <w:rFonts w:ascii="Helvetica" w:eastAsia="宋体" w:hAnsi="Helvetica" w:cs="Helvetica"/>
          <w:color w:val="333333"/>
          <w:kern w:val="0"/>
          <w:sz w:val="15"/>
          <w:szCs w:val="15"/>
        </w:rPr>
        <w:t xml:space="preserve"> at 301-796-6276 or via email at</w:t>
      </w:r>
      <w:hyperlink r:id="rId7" w:history="1">
        <w:r w:rsidRPr="00081246">
          <w:rPr>
            <w:rFonts w:ascii="Helvetica" w:eastAsia="宋体" w:hAnsi="Helvetica" w:cs="Helvetica"/>
            <w:color w:val="005F9F"/>
            <w:kern w:val="0"/>
            <w:sz w:val="15"/>
            <w:u w:val="single"/>
          </w:rPr>
          <w:t>michael.adjodha@fda.hhs.gov</w:t>
        </w:r>
      </w:hyperlink>
      <w:r w:rsidRPr="00081246">
        <w:rPr>
          <w:rFonts w:ascii="Helvetica" w:eastAsia="宋体" w:hAnsi="Helvetica" w:cs="Helvetica"/>
          <w:color w:val="333333"/>
          <w:kern w:val="0"/>
          <w:sz w:val="15"/>
          <w:szCs w:val="15"/>
        </w:rPr>
        <w:t>.</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Pr>
          <w:rFonts w:ascii="Helvetica" w:eastAsia="宋体" w:hAnsi="Helvetica" w:cs="Helvetica"/>
          <w:noProof/>
          <w:color w:val="333333"/>
          <w:kern w:val="0"/>
          <w:sz w:val="15"/>
          <w:szCs w:val="15"/>
        </w:rPr>
        <w:drawing>
          <wp:inline distT="0" distB="0" distL="0" distR="0">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8" cstate="print"/>
                    <a:srcRect/>
                    <a:stretch>
                      <a:fillRect/>
                    </a:stretch>
                  </pic:blipFill>
                  <pic:spPr bwMode="auto">
                    <a:xfrm>
                      <a:off x="0" y="0"/>
                      <a:ext cx="921385" cy="948690"/>
                    </a:xfrm>
                    <a:prstGeom prst="rect">
                      <a:avLst/>
                    </a:prstGeom>
                    <a:noFill/>
                    <a:ln w="9525">
                      <a:noFill/>
                      <a:miter lim="800000"/>
                      <a:headEnd/>
                      <a:tailEnd/>
                    </a:ln>
                  </pic:spPr>
                </pic:pic>
              </a:graphicData>
            </a:graphic>
          </wp:inline>
        </w:drawing>
      </w:r>
    </w:p>
    <w:p w:rsidR="00081246" w:rsidRPr="00081246" w:rsidRDefault="00081246" w:rsidP="00081246">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081246">
        <w:rPr>
          <w:rFonts w:ascii="Helvetica" w:eastAsia="宋体" w:hAnsi="Helvetica" w:cs="Helvetica"/>
          <w:b/>
          <w:bCs/>
          <w:color w:val="333333"/>
          <w:kern w:val="0"/>
          <w:sz w:val="15"/>
        </w:rPr>
        <w:t>U.S. Department of Health and Human Services</w:t>
      </w:r>
      <w:r w:rsidRPr="00081246">
        <w:rPr>
          <w:rFonts w:ascii="Helvetica" w:eastAsia="宋体" w:hAnsi="Helvetica" w:cs="Helvetica"/>
          <w:b/>
          <w:bCs/>
          <w:color w:val="333333"/>
          <w:kern w:val="0"/>
          <w:sz w:val="15"/>
          <w:szCs w:val="15"/>
        </w:rPr>
        <w:br/>
      </w:r>
      <w:r w:rsidRPr="00081246">
        <w:rPr>
          <w:rFonts w:ascii="Helvetica" w:eastAsia="宋体" w:hAnsi="Helvetica" w:cs="Helvetica"/>
          <w:b/>
          <w:bCs/>
          <w:color w:val="333333"/>
          <w:kern w:val="0"/>
          <w:sz w:val="15"/>
        </w:rPr>
        <w:t>Food and Drug Administration</w:t>
      </w:r>
      <w:r w:rsidRPr="00081246">
        <w:rPr>
          <w:rFonts w:ascii="Helvetica" w:eastAsia="宋体" w:hAnsi="Helvetica" w:cs="Helvetica"/>
          <w:b/>
          <w:bCs/>
          <w:color w:val="333333"/>
          <w:kern w:val="0"/>
          <w:sz w:val="15"/>
          <w:szCs w:val="15"/>
        </w:rPr>
        <w:br/>
      </w:r>
      <w:r w:rsidRPr="00081246">
        <w:rPr>
          <w:rFonts w:ascii="Helvetica" w:eastAsia="宋体" w:hAnsi="Helvetica" w:cs="Helvetica"/>
          <w:b/>
          <w:bCs/>
          <w:color w:val="333333"/>
          <w:kern w:val="0"/>
          <w:sz w:val="15"/>
        </w:rPr>
        <w:t>Center for Devices and Radiological Health</w:t>
      </w:r>
    </w:p>
    <w:p w:rsidR="00081246" w:rsidRPr="00081246" w:rsidRDefault="00081246" w:rsidP="00081246">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081246">
        <w:rPr>
          <w:rFonts w:ascii="Helvetica" w:eastAsia="宋体" w:hAnsi="Helvetica" w:cs="Helvetica"/>
          <w:b/>
          <w:bCs/>
          <w:color w:val="333333"/>
          <w:kern w:val="0"/>
          <w:sz w:val="15"/>
        </w:rPr>
        <w:t>Dental Devices Branch</w:t>
      </w:r>
      <w:r w:rsidRPr="00081246">
        <w:rPr>
          <w:rFonts w:ascii="Helvetica" w:eastAsia="宋体" w:hAnsi="Helvetica" w:cs="Helvetica"/>
          <w:b/>
          <w:bCs/>
          <w:color w:val="333333"/>
          <w:kern w:val="0"/>
          <w:sz w:val="15"/>
          <w:szCs w:val="15"/>
        </w:rPr>
        <w:br/>
      </w:r>
      <w:r w:rsidRPr="00081246">
        <w:rPr>
          <w:rFonts w:ascii="Helvetica" w:eastAsia="宋体" w:hAnsi="Helvetica" w:cs="Helvetica"/>
          <w:b/>
          <w:bCs/>
          <w:color w:val="333333"/>
          <w:kern w:val="0"/>
          <w:sz w:val="15"/>
        </w:rPr>
        <w:t>Division of Anesthesiology, General Hospital</w:t>
      </w:r>
      <w:proofErr w:type="gramStart"/>
      <w:r w:rsidRPr="00081246">
        <w:rPr>
          <w:rFonts w:ascii="Helvetica" w:eastAsia="宋体" w:hAnsi="Helvetica" w:cs="Helvetica"/>
          <w:b/>
          <w:bCs/>
          <w:color w:val="333333"/>
          <w:kern w:val="0"/>
          <w:sz w:val="15"/>
        </w:rPr>
        <w:t>,</w:t>
      </w:r>
      <w:proofErr w:type="gramEnd"/>
      <w:r w:rsidRPr="00081246">
        <w:rPr>
          <w:rFonts w:ascii="Helvetica" w:eastAsia="宋体" w:hAnsi="Helvetica" w:cs="Helvetica"/>
          <w:b/>
          <w:bCs/>
          <w:color w:val="333333"/>
          <w:kern w:val="0"/>
          <w:sz w:val="15"/>
          <w:szCs w:val="15"/>
        </w:rPr>
        <w:br/>
      </w:r>
      <w:r w:rsidRPr="00081246">
        <w:rPr>
          <w:rFonts w:ascii="Helvetica" w:eastAsia="宋体" w:hAnsi="Helvetica" w:cs="Helvetica"/>
          <w:b/>
          <w:bCs/>
          <w:color w:val="333333"/>
          <w:kern w:val="0"/>
          <w:sz w:val="15"/>
        </w:rPr>
        <w:t>Infection Control, and Dental Devices</w:t>
      </w:r>
      <w:r w:rsidRPr="00081246">
        <w:rPr>
          <w:rFonts w:ascii="Helvetica" w:eastAsia="宋体" w:hAnsi="Helvetica" w:cs="Helvetica"/>
          <w:b/>
          <w:bCs/>
          <w:color w:val="333333"/>
          <w:kern w:val="0"/>
          <w:sz w:val="15"/>
          <w:szCs w:val="15"/>
        </w:rPr>
        <w:br/>
      </w:r>
      <w:r w:rsidRPr="00081246">
        <w:rPr>
          <w:rFonts w:ascii="Helvetica" w:eastAsia="宋体" w:hAnsi="Helvetica" w:cs="Helvetica"/>
          <w:b/>
          <w:bCs/>
          <w:color w:val="333333"/>
          <w:kern w:val="0"/>
          <w:sz w:val="15"/>
        </w:rPr>
        <w:t>Office of Device Evaluation</w:t>
      </w:r>
    </w:p>
    <w:p w:rsidR="00081246" w:rsidRPr="00081246" w:rsidRDefault="00EE75D0" w:rsidP="00081246">
      <w:pPr>
        <w:widowControl/>
        <w:spacing w:before="330" w:after="330"/>
        <w:ind w:firstLine="0"/>
        <w:jc w:val="left"/>
        <w:rPr>
          <w:rFonts w:ascii="宋体" w:eastAsia="宋体" w:hAnsi="宋体" w:cs="宋体"/>
          <w:kern w:val="0"/>
          <w:sz w:val="24"/>
          <w:szCs w:val="24"/>
        </w:rPr>
      </w:pPr>
      <w:r w:rsidRPr="00EE75D0">
        <w:rPr>
          <w:rFonts w:ascii="宋体" w:eastAsia="宋体" w:hAnsi="宋体" w:cs="宋体"/>
          <w:kern w:val="0"/>
          <w:sz w:val="24"/>
          <w:szCs w:val="24"/>
        </w:rPr>
        <w:pict>
          <v:rect id="_x0000_i1025" style="width:0;height:0" o:hralign="center" o:hrstd="t" o:hrnoshade="t" o:hr="t" fillcolor="#333" stroked="f"/>
        </w:pict>
      </w:r>
    </w:p>
    <w:p w:rsidR="00081246" w:rsidRPr="00081246" w:rsidRDefault="00081246" w:rsidP="00081246">
      <w:pPr>
        <w:widowControl/>
        <w:shd w:val="clear" w:color="auto" w:fill="FFFFFF"/>
        <w:spacing w:after="118"/>
        <w:ind w:firstLine="0"/>
        <w:jc w:val="center"/>
        <w:outlineLvl w:val="2"/>
        <w:rPr>
          <w:rFonts w:ascii="Helvetica" w:eastAsia="宋体" w:hAnsi="Helvetica" w:cs="Helvetica"/>
          <w:b/>
          <w:bCs/>
          <w:color w:val="333333"/>
          <w:kern w:val="0"/>
          <w:sz w:val="23"/>
          <w:szCs w:val="23"/>
        </w:rPr>
      </w:pPr>
      <w:r w:rsidRPr="00081246">
        <w:rPr>
          <w:rFonts w:ascii="Helvetica" w:eastAsia="宋体" w:hAnsi="Helvetica" w:cs="Helvetica"/>
          <w:b/>
          <w:bCs/>
          <w:color w:val="333333"/>
          <w:kern w:val="0"/>
          <w:sz w:val="23"/>
          <w:szCs w:val="23"/>
        </w:rPr>
        <w:t>Preface</w:t>
      </w:r>
    </w:p>
    <w:p w:rsidR="00081246" w:rsidRPr="00081246" w:rsidRDefault="00081246" w:rsidP="00081246">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081246">
        <w:rPr>
          <w:rFonts w:ascii="Helvetica" w:eastAsia="宋体" w:hAnsi="Helvetica" w:cs="Helvetica"/>
          <w:b/>
          <w:bCs/>
          <w:color w:val="333333"/>
          <w:kern w:val="0"/>
          <w:sz w:val="19"/>
          <w:szCs w:val="19"/>
        </w:rPr>
        <w:t>Public Comment</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Written comments and suggestions may be submitted at any time for Agency consideration to the Division of Dockets Management, Food and Drug Administration, 5630 Fishers Lane, Room 1061, (HFA-305), Rockville, MD, 20852. Alternatively, electronic comments may be submitted to</w:t>
      </w:r>
      <w:r w:rsidRPr="00081246">
        <w:rPr>
          <w:rFonts w:ascii="Helvetica" w:eastAsia="宋体" w:hAnsi="Helvetica" w:cs="Helvetica"/>
          <w:color w:val="333333"/>
          <w:kern w:val="0"/>
          <w:sz w:val="15"/>
        </w:rPr>
        <w:t> </w:t>
      </w:r>
      <w:hyperlink r:id="rId9" w:tgtFrame="_blank" w:history="1">
        <w:r w:rsidRPr="00081246">
          <w:rPr>
            <w:rFonts w:ascii="Helvetica" w:eastAsia="宋体" w:hAnsi="Helvetica" w:cs="Helvetica"/>
            <w:color w:val="005F9F"/>
            <w:kern w:val="0"/>
            <w:sz w:val="15"/>
            <w:u w:val="single"/>
          </w:rPr>
          <w:t>Regulations.gov</w:t>
        </w:r>
      </w:hyperlink>
      <w:r w:rsidRPr="00081246">
        <w:rPr>
          <w:rFonts w:ascii="Helvetica" w:eastAsia="宋体" w:hAnsi="Helvetica" w:cs="Helvetica"/>
          <w:color w:val="333333"/>
          <w:kern w:val="0"/>
          <w:sz w:val="15"/>
          <w:szCs w:val="15"/>
        </w:rPr>
        <w:t xml:space="preserve">. </w:t>
      </w:r>
      <w:proofErr w:type="gramStart"/>
      <w:r w:rsidRPr="00081246">
        <w:rPr>
          <w:rFonts w:ascii="Helvetica" w:eastAsia="宋体" w:hAnsi="Helvetica" w:cs="Helvetica"/>
          <w:color w:val="333333"/>
          <w:kern w:val="0"/>
          <w:sz w:val="15"/>
          <w:szCs w:val="15"/>
        </w:rPr>
        <w:t>When submitting comments, please refer to Docket No. 2003D-0391.</w:t>
      </w:r>
      <w:proofErr w:type="gramEnd"/>
      <w:r w:rsidRPr="00081246">
        <w:rPr>
          <w:rFonts w:ascii="Helvetica" w:eastAsia="宋体" w:hAnsi="Helvetica" w:cs="Helvetica"/>
          <w:color w:val="333333"/>
          <w:kern w:val="0"/>
          <w:sz w:val="15"/>
          <w:szCs w:val="15"/>
        </w:rPr>
        <w:t xml:space="preserve"> Comments may not be acted upon by the Agency until the document is next revised or updated.</w:t>
      </w:r>
    </w:p>
    <w:p w:rsidR="00081246" w:rsidRPr="00081246" w:rsidRDefault="00081246" w:rsidP="00081246">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081246">
        <w:rPr>
          <w:rFonts w:ascii="Helvetica" w:eastAsia="宋体" w:hAnsi="Helvetica" w:cs="Helvetica"/>
          <w:b/>
          <w:bCs/>
          <w:color w:val="333333"/>
          <w:kern w:val="0"/>
          <w:sz w:val="19"/>
          <w:szCs w:val="19"/>
        </w:rPr>
        <w:t>Additional Copies</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Additional copies are available from the Internet. You may also send an e-mail request to</w:t>
      </w:r>
      <w:r w:rsidRPr="00081246">
        <w:rPr>
          <w:rFonts w:ascii="Helvetica" w:eastAsia="宋体" w:hAnsi="Helvetica" w:cs="Helvetica"/>
          <w:color w:val="333333"/>
          <w:kern w:val="0"/>
          <w:sz w:val="15"/>
        </w:rPr>
        <w:t> </w:t>
      </w:r>
      <w:hyperlink r:id="rId10" w:history="1">
        <w:r w:rsidRPr="00081246">
          <w:rPr>
            <w:rFonts w:ascii="Helvetica" w:eastAsia="宋体" w:hAnsi="Helvetica" w:cs="Helvetica"/>
            <w:color w:val="005F9F"/>
            <w:kern w:val="0"/>
            <w:sz w:val="15"/>
            <w:u w:val="single"/>
          </w:rPr>
          <w:t>CDRH-Guidance@fda.hhs.gov</w:t>
        </w:r>
      </w:hyperlink>
      <w:r w:rsidRPr="00081246">
        <w:rPr>
          <w:rFonts w:ascii="Helvetica" w:eastAsia="宋体" w:hAnsi="Helvetica" w:cs="Helvetica"/>
          <w:color w:val="333333"/>
          <w:kern w:val="0"/>
          <w:sz w:val="15"/>
        </w:rPr>
        <w:t> </w:t>
      </w:r>
      <w:r w:rsidRPr="00081246">
        <w:rPr>
          <w:rFonts w:ascii="Helvetica" w:eastAsia="宋体" w:hAnsi="Helvetica" w:cs="Helvetica"/>
          <w:color w:val="333333"/>
          <w:kern w:val="0"/>
          <w:sz w:val="15"/>
          <w:szCs w:val="15"/>
        </w:rPr>
        <w:t>to receive a copy of the guidance. Please use the document number 1415 to identify the guidance you are requesting.</w:t>
      </w:r>
    </w:p>
    <w:p w:rsidR="00081246" w:rsidRPr="00081246" w:rsidRDefault="00081246" w:rsidP="00081246">
      <w:pPr>
        <w:widowControl/>
        <w:shd w:val="clear" w:color="auto" w:fill="FFFFFF"/>
        <w:spacing w:before="236" w:after="118"/>
        <w:ind w:firstLine="0"/>
        <w:jc w:val="center"/>
        <w:outlineLvl w:val="2"/>
        <w:rPr>
          <w:rFonts w:ascii="Helvetica" w:eastAsia="宋体" w:hAnsi="Helvetica" w:cs="Helvetica"/>
          <w:b/>
          <w:bCs/>
          <w:color w:val="333333"/>
          <w:kern w:val="0"/>
          <w:sz w:val="23"/>
          <w:szCs w:val="23"/>
        </w:rPr>
      </w:pPr>
      <w:r w:rsidRPr="00081246">
        <w:rPr>
          <w:rFonts w:ascii="Helvetica" w:eastAsia="宋体" w:hAnsi="Helvetica" w:cs="Helvetica"/>
          <w:b/>
          <w:bCs/>
          <w:color w:val="333333"/>
          <w:kern w:val="0"/>
          <w:sz w:val="23"/>
          <w:szCs w:val="23"/>
        </w:rPr>
        <w:t>Table of Contents</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lastRenderedPageBreak/>
        <w:t>1.</w:t>
      </w:r>
      <w:r w:rsidRPr="00081246">
        <w:rPr>
          <w:rFonts w:ascii="Helvetica" w:eastAsia="宋体" w:hAnsi="Helvetica" w:cs="Helvetica"/>
          <w:color w:val="333333"/>
          <w:kern w:val="0"/>
          <w:sz w:val="15"/>
        </w:rPr>
        <w:t> </w:t>
      </w:r>
      <w:hyperlink r:id="rId11" w:anchor="1" w:history="1">
        <w:r w:rsidRPr="00081246">
          <w:rPr>
            <w:rFonts w:ascii="Helvetica" w:eastAsia="宋体" w:hAnsi="Helvetica" w:cs="Helvetica"/>
            <w:color w:val="005F9F"/>
            <w:kern w:val="0"/>
            <w:sz w:val="15"/>
            <w:u w:val="single"/>
          </w:rPr>
          <w:t>Background</w:t>
        </w:r>
      </w:hyperlink>
      <w:r w:rsidRPr="00081246">
        <w:rPr>
          <w:rFonts w:ascii="Helvetica" w:eastAsia="宋体" w:hAnsi="Helvetica" w:cs="Helvetica"/>
          <w:color w:val="333333"/>
          <w:kern w:val="0"/>
          <w:sz w:val="15"/>
          <w:szCs w:val="15"/>
        </w:rPr>
        <w:br/>
        <w:t>2.</w:t>
      </w:r>
      <w:r w:rsidRPr="00081246">
        <w:rPr>
          <w:rFonts w:ascii="Helvetica" w:eastAsia="宋体" w:hAnsi="Helvetica" w:cs="Helvetica"/>
          <w:color w:val="333333"/>
          <w:kern w:val="0"/>
          <w:sz w:val="15"/>
        </w:rPr>
        <w:t> </w:t>
      </w:r>
      <w:hyperlink r:id="rId12" w:anchor="2" w:history="1">
        <w:proofErr w:type="gramStart"/>
        <w:r w:rsidRPr="00081246">
          <w:rPr>
            <w:rFonts w:ascii="Helvetica" w:eastAsia="宋体" w:hAnsi="Helvetica" w:cs="Helvetica"/>
            <w:color w:val="005F9F"/>
            <w:kern w:val="0"/>
            <w:sz w:val="15"/>
            <w:u w:val="single"/>
          </w:rPr>
          <w:t>Scope</w:t>
        </w:r>
      </w:hyperlink>
      <w:r w:rsidRPr="00081246">
        <w:rPr>
          <w:rFonts w:ascii="Helvetica" w:eastAsia="宋体" w:hAnsi="Helvetica" w:cs="Helvetica"/>
          <w:color w:val="333333"/>
          <w:kern w:val="0"/>
          <w:sz w:val="15"/>
          <w:szCs w:val="15"/>
        </w:rPr>
        <w:br/>
        <w:t>3.</w:t>
      </w:r>
      <w:proofErr w:type="gramEnd"/>
      <w:r w:rsidRPr="00081246">
        <w:rPr>
          <w:rFonts w:ascii="Helvetica" w:eastAsia="宋体" w:hAnsi="Helvetica" w:cs="Helvetica"/>
          <w:color w:val="333333"/>
          <w:kern w:val="0"/>
          <w:sz w:val="15"/>
        </w:rPr>
        <w:t> </w:t>
      </w:r>
      <w:hyperlink r:id="rId13" w:anchor="3" w:history="1">
        <w:r w:rsidRPr="00081246">
          <w:rPr>
            <w:rFonts w:ascii="Helvetica" w:eastAsia="宋体" w:hAnsi="Helvetica" w:cs="Helvetica"/>
            <w:color w:val="005F9F"/>
            <w:kern w:val="0"/>
            <w:sz w:val="15"/>
            <w:u w:val="single"/>
          </w:rPr>
          <w:t xml:space="preserve">Risks </w:t>
        </w:r>
        <w:proofErr w:type="gramStart"/>
        <w:r w:rsidRPr="00081246">
          <w:rPr>
            <w:rFonts w:ascii="Helvetica" w:eastAsia="宋体" w:hAnsi="Helvetica" w:cs="Helvetica"/>
            <w:color w:val="005F9F"/>
            <w:kern w:val="0"/>
            <w:sz w:val="15"/>
            <w:u w:val="single"/>
          </w:rPr>
          <w:t>To</w:t>
        </w:r>
        <w:proofErr w:type="gramEnd"/>
        <w:r w:rsidRPr="00081246">
          <w:rPr>
            <w:rFonts w:ascii="Helvetica" w:eastAsia="宋体" w:hAnsi="Helvetica" w:cs="Helvetica"/>
            <w:color w:val="005F9F"/>
            <w:kern w:val="0"/>
            <w:sz w:val="15"/>
            <w:u w:val="single"/>
          </w:rPr>
          <w:t xml:space="preserve"> Health</w:t>
        </w:r>
      </w:hyperlink>
      <w:r w:rsidRPr="00081246">
        <w:rPr>
          <w:rFonts w:ascii="Helvetica" w:eastAsia="宋体" w:hAnsi="Helvetica" w:cs="Helvetica"/>
          <w:color w:val="333333"/>
          <w:kern w:val="0"/>
          <w:sz w:val="15"/>
          <w:szCs w:val="15"/>
        </w:rPr>
        <w:br/>
        <w:t>4.</w:t>
      </w:r>
      <w:r w:rsidRPr="00081246">
        <w:rPr>
          <w:rFonts w:ascii="Helvetica" w:eastAsia="宋体" w:hAnsi="Helvetica" w:cs="Helvetica"/>
          <w:color w:val="333333"/>
          <w:kern w:val="0"/>
          <w:sz w:val="15"/>
        </w:rPr>
        <w:t> </w:t>
      </w:r>
      <w:hyperlink r:id="rId14" w:anchor="4" w:history="1">
        <w:r w:rsidRPr="00081246">
          <w:rPr>
            <w:rFonts w:ascii="Helvetica" w:eastAsia="宋体" w:hAnsi="Helvetica" w:cs="Helvetica"/>
            <w:color w:val="005F9F"/>
            <w:kern w:val="0"/>
            <w:sz w:val="15"/>
            <w:u w:val="single"/>
          </w:rPr>
          <w:t xml:space="preserve">Mechanical Properties </w:t>
        </w:r>
        <w:proofErr w:type="gramStart"/>
        <w:r w:rsidRPr="00081246">
          <w:rPr>
            <w:rFonts w:ascii="Helvetica" w:eastAsia="宋体" w:hAnsi="Helvetica" w:cs="Helvetica"/>
            <w:color w:val="005F9F"/>
            <w:kern w:val="0"/>
            <w:sz w:val="15"/>
            <w:u w:val="single"/>
          </w:rPr>
          <w:t>For</w:t>
        </w:r>
        <w:proofErr w:type="gramEnd"/>
        <w:r w:rsidRPr="00081246">
          <w:rPr>
            <w:rFonts w:ascii="Helvetica" w:eastAsia="宋体" w:hAnsi="Helvetica" w:cs="Helvetica"/>
            <w:color w:val="005F9F"/>
            <w:kern w:val="0"/>
            <w:sz w:val="15"/>
            <w:u w:val="single"/>
          </w:rPr>
          <w:t xml:space="preserve"> Casting Alloys</w:t>
        </w:r>
      </w:hyperlink>
      <w:r w:rsidRPr="00081246">
        <w:rPr>
          <w:rFonts w:ascii="Helvetica" w:eastAsia="宋体" w:hAnsi="Helvetica" w:cs="Helvetica"/>
          <w:color w:val="333333"/>
          <w:kern w:val="0"/>
          <w:sz w:val="15"/>
          <w:szCs w:val="15"/>
        </w:rPr>
        <w:br/>
        <w:t>5.</w:t>
      </w:r>
      <w:r w:rsidRPr="00081246">
        <w:rPr>
          <w:rFonts w:ascii="Helvetica" w:eastAsia="宋体" w:hAnsi="Helvetica" w:cs="Helvetica"/>
          <w:color w:val="333333"/>
          <w:kern w:val="0"/>
          <w:sz w:val="15"/>
        </w:rPr>
        <w:t> </w:t>
      </w:r>
      <w:hyperlink r:id="rId15" w:anchor="5" w:history="1">
        <w:r w:rsidRPr="00081246">
          <w:rPr>
            <w:rFonts w:ascii="Helvetica" w:eastAsia="宋体" w:hAnsi="Helvetica" w:cs="Helvetica"/>
            <w:color w:val="005F9F"/>
            <w:kern w:val="0"/>
            <w:sz w:val="15"/>
            <w:u w:val="single"/>
          </w:rPr>
          <w:t xml:space="preserve">Mechanical Properties </w:t>
        </w:r>
        <w:proofErr w:type="gramStart"/>
        <w:r w:rsidRPr="00081246">
          <w:rPr>
            <w:rFonts w:ascii="Helvetica" w:eastAsia="宋体" w:hAnsi="Helvetica" w:cs="Helvetica"/>
            <w:color w:val="005F9F"/>
            <w:kern w:val="0"/>
            <w:sz w:val="15"/>
            <w:u w:val="single"/>
          </w:rPr>
          <w:t>For</w:t>
        </w:r>
        <w:proofErr w:type="gramEnd"/>
        <w:r w:rsidRPr="00081246">
          <w:rPr>
            <w:rFonts w:ascii="Helvetica" w:eastAsia="宋体" w:hAnsi="Helvetica" w:cs="Helvetica"/>
            <w:color w:val="005F9F"/>
            <w:kern w:val="0"/>
            <w:sz w:val="15"/>
            <w:u w:val="single"/>
          </w:rPr>
          <w:t xml:space="preserve"> PFM Alloys</w:t>
        </w:r>
      </w:hyperlink>
      <w:r w:rsidRPr="00081246">
        <w:rPr>
          <w:rFonts w:ascii="Helvetica" w:eastAsia="宋体" w:hAnsi="Helvetica" w:cs="Helvetica"/>
          <w:color w:val="333333"/>
          <w:kern w:val="0"/>
          <w:sz w:val="15"/>
          <w:szCs w:val="15"/>
        </w:rPr>
        <w:br/>
        <w:t>6.</w:t>
      </w:r>
      <w:r w:rsidRPr="00081246">
        <w:rPr>
          <w:rFonts w:ascii="Helvetica" w:eastAsia="宋体" w:hAnsi="Helvetica" w:cs="Helvetica"/>
          <w:color w:val="333333"/>
          <w:kern w:val="0"/>
          <w:sz w:val="15"/>
        </w:rPr>
        <w:t> </w:t>
      </w:r>
      <w:hyperlink r:id="rId16" w:anchor="6" w:history="1">
        <w:proofErr w:type="gramStart"/>
        <w:r w:rsidRPr="00081246">
          <w:rPr>
            <w:rFonts w:ascii="Helvetica" w:eastAsia="宋体" w:hAnsi="Helvetica" w:cs="Helvetica"/>
            <w:color w:val="005F9F"/>
            <w:kern w:val="0"/>
            <w:sz w:val="15"/>
            <w:u w:val="single"/>
          </w:rPr>
          <w:t>Biocompatibility</w:t>
        </w:r>
      </w:hyperlink>
      <w:r w:rsidRPr="00081246">
        <w:rPr>
          <w:rFonts w:ascii="Helvetica" w:eastAsia="宋体" w:hAnsi="Helvetica" w:cs="Helvetica"/>
          <w:color w:val="333333"/>
          <w:kern w:val="0"/>
          <w:sz w:val="15"/>
          <w:szCs w:val="15"/>
        </w:rPr>
        <w:br/>
        <w:t>7.</w:t>
      </w:r>
      <w:proofErr w:type="gramEnd"/>
      <w:r w:rsidRPr="00081246">
        <w:rPr>
          <w:rFonts w:ascii="Helvetica" w:eastAsia="宋体" w:hAnsi="Helvetica" w:cs="Helvetica"/>
          <w:color w:val="333333"/>
          <w:kern w:val="0"/>
          <w:sz w:val="15"/>
        </w:rPr>
        <w:t> </w:t>
      </w:r>
      <w:hyperlink r:id="rId17" w:anchor="7" w:history="1">
        <w:proofErr w:type="gramStart"/>
        <w:r w:rsidRPr="00081246">
          <w:rPr>
            <w:rFonts w:ascii="Helvetica" w:eastAsia="宋体" w:hAnsi="Helvetica" w:cs="Helvetica"/>
            <w:color w:val="005F9F"/>
            <w:kern w:val="0"/>
            <w:sz w:val="15"/>
            <w:u w:val="single"/>
          </w:rPr>
          <w:t>Labeling</w:t>
        </w:r>
      </w:hyperlink>
      <w:r w:rsidRPr="00081246">
        <w:rPr>
          <w:rFonts w:ascii="Helvetica" w:eastAsia="宋体" w:hAnsi="Helvetica" w:cs="Helvetica"/>
          <w:color w:val="333333"/>
          <w:kern w:val="0"/>
          <w:sz w:val="15"/>
          <w:szCs w:val="15"/>
        </w:rPr>
        <w:br/>
        <w:t>8.</w:t>
      </w:r>
      <w:proofErr w:type="gramEnd"/>
      <w:r w:rsidRPr="00081246">
        <w:rPr>
          <w:rFonts w:ascii="Helvetica" w:eastAsia="宋体" w:hAnsi="Helvetica" w:cs="Helvetica"/>
          <w:color w:val="333333"/>
          <w:kern w:val="0"/>
          <w:sz w:val="15"/>
        </w:rPr>
        <w:t> </w:t>
      </w:r>
      <w:hyperlink r:id="rId18" w:anchor="8" w:history="1">
        <w:r w:rsidRPr="00081246">
          <w:rPr>
            <w:rFonts w:ascii="Helvetica" w:eastAsia="宋体" w:hAnsi="Helvetica" w:cs="Helvetica"/>
            <w:color w:val="005F9F"/>
            <w:kern w:val="0"/>
            <w:sz w:val="15"/>
            <w:u w:val="single"/>
          </w:rPr>
          <w:t xml:space="preserve">Limitations </w:t>
        </w:r>
        <w:proofErr w:type="gramStart"/>
        <w:r w:rsidRPr="00081246">
          <w:rPr>
            <w:rFonts w:ascii="Helvetica" w:eastAsia="宋体" w:hAnsi="Helvetica" w:cs="Helvetica"/>
            <w:color w:val="005F9F"/>
            <w:kern w:val="0"/>
            <w:sz w:val="15"/>
            <w:u w:val="single"/>
          </w:rPr>
          <w:t>Of</w:t>
        </w:r>
        <w:proofErr w:type="gramEnd"/>
        <w:r w:rsidRPr="00081246">
          <w:rPr>
            <w:rFonts w:ascii="Helvetica" w:eastAsia="宋体" w:hAnsi="Helvetica" w:cs="Helvetica"/>
            <w:color w:val="005F9F"/>
            <w:kern w:val="0"/>
            <w:sz w:val="15"/>
            <w:u w:val="single"/>
          </w:rPr>
          <w:t xml:space="preserve"> Exemption From Premarket Notification</w:t>
        </w:r>
      </w:hyperlink>
    </w:p>
    <w:p w:rsidR="00081246" w:rsidRPr="00081246" w:rsidRDefault="00EE75D0" w:rsidP="00081246">
      <w:pPr>
        <w:widowControl/>
        <w:spacing w:before="330" w:after="330"/>
        <w:ind w:firstLine="0"/>
        <w:jc w:val="left"/>
        <w:rPr>
          <w:rFonts w:ascii="宋体" w:eastAsia="宋体" w:hAnsi="宋体" w:cs="宋体"/>
          <w:kern w:val="0"/>
          <w:sz w:val="24"/>
          <w:szCs w:val="24"/>
        </w:rPr>
      </w:pPr>
      <w:r w:rsidRPr="00EE75D0">
        <w:rPr>
          <w:rFonts w:ascii="宋体" w:eastAsia="宋体" w:hAnsi="宋体" w:cs="宋体"/>
          <w:kern w:val="0"/>
          <w:sz w:val="24"/>
          <w:szCs w:val="24"/>
        </w:rPr>
        <w:pict>
          <v:rect id="_x0000_i1026" style="width:0;height:0" o:hralign="center" o:hrstd="t" o:hrnoshade="t" o:hr="t" fillcolor="#333" stroked="f"/>
        </w:pict>
      </w:r>
    </w:p>
    <w:p w:rsidR="00081246" w:rsidRPr="00081246" w:rsidRDefault="00081246" w:rsidP="00081246">
      <w:pPr>
        <w:widowControl/>
        <w:shd w:val="clear" w:color="auto" w:fill="FFFFFF"/>
        <w:spacing w:after="118"/>
        <w:ind w:firstLine="0"/>
        <w:jc w:val="center"/>
        <w:outlineLvl w:val="1"/>
        <w:rPr>
          <w:rFonts w:ascii="Helvetica" w:eastAsia="宋体" w:hAnsi="Helvetica" w:cs="Helvetica"/>
          <w:b/>
          <w:bCs/>
          <w:color w:val="333333"/>
          <w:kern w:val="0"/>
          <w:sz w:val="27"/>
          <w:szCs w:val="27"/>
        </w:rPr>
      </w:pPr>
      <w:r w:rsidRPr="00081246">
        <w:rPr>
          <w:rFonts w:ascii="Helvetica" w:eastAsia="宋体" w:hAnsi="Helvetica" w:cs="Helvetica"/>
          <w:b/>
          <w:bCs/>
          <w:color w:val="333333"/>
          <w:kern w:val="0"/>
          <w:sz w:val="27"/>
          <w:szCs w:val="27"/>
        </w:rPr>
        <w:t>Guidance for Industry and FDA Staff</w:t>
      </w:r>
      <w:r w:rsidRPr="00081246">
        <w:rPr>
          <w:rFonts w:ascii="Helvetica" w:eastAsia="宋体" w:hAnsi="Helvetica" w:cs="Helvetica"/>
          <w:b/>
          <w:bCs/>
          <w:color w:val="333333"/>
          <w:kern w:val="0"/>
          <w:sz w:val="27"/>
          <w:szCs w:val="27"/>
        </w:rPr>
        <w:br/>
        <w:t>Class II Special Controls Guidance Document: Dental Noble Metal Alloys</w:t>
      </w:r>
    </w:p>
    <w:p w:rsidR="00081246" w:rsidRPr="00081246" w:rsidRDefault="00081246" w:rsidP="00081246">
      <w:pPr>
        <w:widowControl/>
        <w:shd w:val="clear" w:color="auto" w:fill="FFFFFF"/>
        <w:spacing w:before="236" w:after="118"/>
        <w:ind w:firstLine="0"/>
        <w:jc w:val="left"/>
        <w:outlineLvl w:val="2"/>
        <w:rPr>
          <w:rFonts w:ascii="Helvetica" w:eastAsia="宋体" w:hAnsi="Helvetica" w:cs="Helvetica"/>
          <w:b/>
          <w:bCs/>
          <w:color w:val="333333"/>
          <w:kern w:val="0"/>
          <w:sz w:val="23"/>
          <w:szCs w:val="23"/>
        </w:rPr>
      </w:pPr>
      <w:r w:rsidRPr="00081246">
        <w:rPr>
          <w:rFonts w:ascii="Helvetica" w:eastAsia="宋体" w:hAnsi="Helvetica" w:cs="Helvetica"/>
          <w:b/>
          <w:bCs/>
          <w:color w:val="333333"/>
          <w:kern w:val="0"/>
          <w:sz w:val="23"/>
          <w:szCs w:val="23"/>
        </w:rPr>
        <w:t>1. Background</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FDA is designating this guidance document as a special control to exempt gold-based alloys and precious metal alloys for clinical use from the premarket notification requirements of the Federal Food, Drug, and Cosmetic Act (the Act). For brevity and clarity, FDA refers to gold-based alloys and precious metal alloys for clinical use as dental noble metal alloys. FDA is issuing this guidance in conjunction with a Federal Register notice announcing the final rule.</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This guidance document describes a means by which dental noble metal alloy devices may comply with the requirement of Class II Special Controls. Designation of this guidance document as a special control means that manufacturers of dental noble metal alloy devices who follow the recommendations listed in this document, before introducing their device into commercial distribution in the United States, will be able to market their device without being subject to the premarket notification requirements of section 510(k) of the Act.</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Section 510(m) of the Act provides that FDA may exempt a class II device from the premarket notification requirements under section 510(k) of the act if FDA determines that premarket notification is not necessary to provide reasonable assurance of the safety and effectiveness of the device. FDA has determined premarket notification is not necessary to provide reasonable assurance of the safety and effectiveness of this generic type of device if the manufacturer follows the recommendations in this special controls guidance or equivalent measures to address the risks identified in this guidance. Thus, persons who intend to market a device of this type do not need to submit a premarket notification to FDA and receive agency clearance prior to marketing the device, but as a class II device, the device must comply with the general and special controls (Section 513(a)(1)(B)).</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Following the effective date of the final rule exempting the device, manufacturers of dental noble metal alloy devices will need to address the issues covered in this special control guidance. However, the manufacturer need only show that its device meets the recommendations of the guidance or in some other way provides equivalent assurances of safety and effectiveness</w:t>
      </w:r>
      <w:hyperlink r:id="rId19" w:anchor="f1" w:history="1">
        <w:r w:rsidRPr="00081246">
          <w:rPr>
            <w:rFonts w:ascii="Helvetica" w:eastAsia="宋体" w:hAnsi="Helvetica" w:cs="Helvetica"/>
            <w:color w:val="005F9F"/>
            <w:kern w:val="0"/>
            <w:sz w:val="13"/>
            <w:u w:val="single"/>
            <w:vertAlign w:val="superscript"/>
          </w:rPr>
          <w:t>1</w:t>
        </w:r>
      </w:hyperlink>
      <w:r w:rsidRPr="00081246">
        <w:rPr>
          <w:rFonts w:ascii="Helvetica" w:eastAsia="宋体" w:hAnsi="Helvetica" w:cs="Helvetica"/>
          <w:color w:val="333333"/>
          <w:kern w:val="0"/>
          <w:sz w:val="15"/>
          <w:szCs w:val="15"/>
        </w:rPr>
        <w:t>. If manufacturers cannot comply with these recommendations or equivalent measures, they will not be exempt from the requirements of premarket notification and will need to submit a premarket notification and receive clearance for their device prior to marketing.</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lastRenderedPageBreak/>
        <w:t>The firm must show that its device addresses the issues of safety and effectiveness identified in this guidance, either by meeting the recommendations of this guidance or by some other means that provides equivalent assurances of safety and effectiveness.</w:t>
      </w:r>
    </w:p>
    <w:p w:rsidR="00081246" w:rsidRPr="00081246" w:rsidRDefault="00081246" w:rsidP="00081246">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081246">
        <w:rPr>
          <w:rFonts w:ascii="Helvetica" w:eastAsia="宋体" w:hAnsi="Helvetica" w:cs="Helvetica"/>
          <w:b/>
          <w:bCs/>
          <w:color w:val="333333"/>
          <w:kern w:val="0"/>
          <w:sz w:val="19"/>
          <w:szCs w:val="19"/>
        </w:rPr>
        <w:t>The Least Burdensome Approach</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guidance,</w:t>
      </w:r>
      <w:r w:rsidRPr="00081246">
        <w:rPr>
          <w:rFonts w:ascii="Helvetica" w:eastAsia="宋体" w:hAnsi="Helvetica" w:cs="Helvetica"/>
          <w:color w:val="333333"/>
          <w:kern w:val="0"/>
          <w:sz w:val="15"/>
        </w:rPr>
        <w:t> </w:t>
      </w:r>
      <w:hyperlink r:id="rId20" w:history="1">
        <w:r w:rsidRPr="00081246">
          <w:rPr>
            <w:rFonts w:ascii="Helvetica" w:eastAsia="宋体" w:hAnsi="Helvetica" w:cs="Helvetica"/>
            <w:b/>
            <w:bCs/>
            <w:color w:val="005F9F"/>
            <w:kern w:val="0"/>
            <w:sz w:val="15"/>
          </w:rPr>
          <w:t>A Suggested Approach to Resolving Least Burdensome Issues</w:t>
        </w:r>
      </w:hyperlink>
    </w:p>
    <w:p w:rsidR="00081246" w:rsidRPr="00081246" w:rsidRDefault="00EE75D0"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1" w:anchor="top" w:history="1">
        <w:r w:rsidR="00081246" w:rsidRPr="00081246">
          <w:rPr>
            <w:rFonts w:ascii="Helvetica" w:eastAsia="宋体" w:hAnsi="Helvetica" w:cs="Helvetica"/>
            <w:color w:val="005F9F"/>
            <w:kern w:val="0"/>
            <w:sz w:val="15"/>
            <w:u w:val="single"/>
          </w:rPr>
          <w:t>Back to the top</w:t>
        </w:r>
      </w:hyperlink>
    </w:p>
    <w:p w:rsidR="00081246" w:rsidRPr="00081246" w:rsidRDefault="00EE75D0" w:rsidP="00081246">
      <w:pPr>
        <w:widowControl/>
        <w:spacing w:before="330" w:after="330"/>
        <w:ind w:firstLine="0"/>
        <w:jc w:val="left"/>
        <w:rPr>
          <w:rFonts w:ascii="宋体" w:eastAsia="宋体" w:hAnsi="宋体" w:cs="宋体"/>
          <w:kern w:val="0"/>
          <w:sz w:val="24"/>
          <w:szCs w:val="24"/>
        </w:rPr>
      </w:pPr>
      <w:r w:rsidRPr="00EE75D0">
        <w:rPr>
          <w:rFonts w:ascii="宋体" w:eastAsia="宋体" w:hAnsi="宋体" w:cs="宋体"/>
          <w:kern w:val="0"/>
          <w:sz w:val="24"/>
          <w:szCs w:val="24"/>
        </w:rPr>
        <w:pict>
          <v:rect id="_x0000_i1027" style="width:0;height:0" o:hralign="center" o:hrstd="t" o:hrnoshade="t" o:hr="t" fillcolor="#333" stroked="f"/>
        </w:pict>
      </w:r>
    </w:p>
    <w:p w:rsidR="00081246" w:rsidRPr="00081246" w:rsidRDefault="00081246" w:rsidP="00081246">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081246">
        <w:rPr>
          <w:rFonts w:ascii="Helvetica" w:eastAsia="宋体" w:hAnsi="Helvetica" w:cs="Helvetica"/>
          <w:b/>
          <w:bCs/>
          <w:color w:val="333333"/>
          <w:kern w:val="0"/>
          <w:sz w:val="23"/>
          <w:szCs w:val="23"/>
        </w:rPr>
        <w:t>2. Scope</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FDA identifies a dental noble metal alloy as a device, classified under</w:t>
      </w:r>
      <w:r w:rsidRPr="00081246">
        <w:rPr>
          <w:rFonts w:ascii="Helvetica" w:eastAsia="宋体" w:hAnsi="Helvetica" w:cs="Helvetica"/>
          <w:color w:val="333333"/>
          <w:kern w:val="0"/>
          <w:sz w:val="15"/>
        </w:rPr>
        <w:t> </w:t>
      </w:r>
      <w:hyperlink r:id="rId22" w:history="1">
        <w:r w:rsidRPr="00081246">
          <w:rPr>
            <w:rFonts w:ascii="Helvetica" w:eastAsia="宋体" w:hAnsi="Helvetica" w:cs="Helvetica"/>
            <w:color w:val="005F9F"/>
            <w:kern w:val="0"/>
            <w:sz w:val="15"/>
            <w:u w:val="single"/>
          </w:rPr>
          <w:t>21 CFR §872.3060</w:t>
        </w:r>
      </w:hyperlink>
      <w:r w:rsidRPr="00081246">
        <w:rPr>
          <w:rFonts w:ascii="Helvetica" w:eastAsia="宋体" w:hAnsi="Helvetica" w:cs="Helvetica"/>
          <w:color w:val="333333"/>
          <w:kern w:val="0"/>
          <w:sz w:val="15"/>
        </w:rPr>
        <w:t> </w:t>
      </w:r>
      <w:r w:rsidRPr="00081246">
        <w:rPr>
          <w:rFonts w:ascii="Helvetica" w:eastAsia="宋体" w:hAnsi="Helvetica" w:cs="Helvetica"/>
          <w:color w:val="333333"/>
          <w:kern w:val="0"/>
          <w:sz w:val="15"/>
          <w:szCs w:val="15"/>
        </w:rPr>
        <w:t>below:</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proofErr w:type="gramStart"/>
      <w:r w:rsidRPr="00081246">
        <w:rPr>
          <w:rFonts w:ascii="Helvetica" w:eastAsia="宋体" w:hAnsi="Helvetica" w:cs="Helvetica"/>
          <w:color w:val="333333"/>
          <w:kern w:val="0"/>
          <w:sz w:val="15"/>
          <w:szCs w:val="15"/>
        </w:rPr>
        <w:t>Sec. 872.3060 Noble metal alloy.</w:t>
      </w:r>
      <w:proofErr w:type="gramEnd"/>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 xml:space="preserve">(a) Identification. A noble metal alloy is a device composed primarily of noble metals, such as gold, palladium, platinum, or </w:t>
      </w:r>
      <w:proofErr w:type="gramStart"/>
      <w:r w:rsidRPr="00081246">
        <w:rPr>
          <w:rFonts w:ascii="Helvetica" w:eastAsia="宋体" w:hAnsi="Helvetica" w:cs="Helvetica"/>
          <w:color w:val="333333"/>
          <w:kern w:val="0"/>
          <w:sz w:val="15"/>
          <w:szCs w:val="15"/>
        </w:rPr>
        <w:t>silver, that</w:t>
      </w:r>
      <w:proofErr w:type="gramEnd"/>
      <w:r w:rsidRPr="00081246">
        <w:rPr>
          <w:rFonts w:ascii="Helvetica" w:eastAsia="宋体" w:hAnsi="Helvetica" w:cs="Helvetica"/>
          <w:color w:val="333333"/>
          <w:kern w:val="0"/>
          <w:sz w:val="15"/>
          <w:szCs w:val="15"/>
        </w:rPr>
        <w:t xml:space="preserve"> is intended for use in the fabrication of cast or porcelain-fused-to metal crown and bridge restorations.</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 xml:space="preserve">(b) Classification. </w:t>
      </w:r>
      <w:proofErr w:type="gramStart"/>
      <w:r w:rsidRPr="00081246">
        <w:rPr>
          <w:rFonts w:ascii="Helvetica" w:eastAsia="宋体" w:hAnsi="Helvetica" w:cs="Helvetica"/>
          <w:color w:val="333333"/>
          <w:kern w:val="0"/>
          <w:sz w:val="15"/>
          <w:szCs w:val="15"/>
        </w:rPr>
        <w:t>Class II (special controls).</w:t>
      </w:r>
      <w:proofErr w:type="gramEnd"/>
      <w:r w:rsidRPr="00081246">
        <w:rPr>
          <w:rFonts w:ascii="Helvetica" w:eastAsia="宋体" w:hAnsi="Helvetica" w:cs="Helvetica"/>
          <w:color w:val="333333"/>
          <w:kern w:val="0"/>
          <w:sz w:val="15"/>
          <w:szCs w:val="15"/>
        </w:rPr>
        <w:t xml:space="preserve"> The special control for this device is the FDA’s “Class II Special Controls Guidance Document: Dental Noble Metal Alloys; Guidance for Industry and FDA.” The device is exempt from the premarket notification procedures in</w:t>
      </w:r>
      <w:r w:rsidRPr="00081246">
        <w:rPr>
          <w:rFonts w:ascii="Helvetica" w:eastAsia="宋体" w:hAnsi="Helvetica" w:cs="Helvetica"/>
          <w:color w:val="333333"/>
          <w:kern w:val="0"/>
          <w:sz w:val="15"/>
        </w:rPr>
        <w:t> </w:t>
      </w:r>
      <w:hyperlink r:id="rId23" w:history="1">
        <w:r w:rsidRPr="00081246">
          <w:rPr>
            <w:rFonts w:ascii="Helvetica" w:eastAsia="宋体" w:hAnsi="Helvetica" w:cs="Helvetica"/>
            <w:color w:val="005F9F"/>
            <w:kern w:val="0"/>
            <w:sz w:val="15"/>
            <w:u w:val="single"/>
          </w:rPr>
          <w:t>subpart E of part 807</w:t>
        </w:r>
      </w:hyperlink>
      <w:r w:rsidRPr="00081246">
        <w:rPr>
          <w:rFonts w:ascii="Helvetica" w:eastAsia="宋体" w:hAnsi="Helvetica" w:cs="Helvetica"/>
          <w:color w:val="333333"/>
          <w:kern w:val="0"/>
          <w:sz w:val="15"/>
        </w:rPr>
        <w:t> </w:t>
      </w:r>
      <w:r w:rsidRPr="00081246">
        <w:rPr>
          <w:rFonts w:ascii="Helvetica" w:eastAsia="宋体" w:hAnsi="Helvetica" w:cs="Helvetica"/>
          <w:color w:val="333333"/>
          <w:kern w:val="0"/>
          <w:sz w:val="15"/>
          <w:szCs w:val="15"/>
        </w:rPr>
        <w:t>of this chapter subject to the limitations in</w:t>
      </w:r>
      <w:hyperlink r:id="rId24" w:history="1">
        <w:r w:rsidRPr="00081246">
          <w:rPr>
            <w:rFonts w:ascii="Helvetica" w:eastAsia="宋体" w:hAnsi="Helvetica" w:cs="Helvetica"/>
            <w:color w:val="005F9F"/>
            <w:kern w:val="0"/>
            <w:sz w:val="15"/>
            <w:u w:val="single"/>
          </w:rPr>
          <w:t>§872.9</w:t>
        </w:r>
      </w:hyperlink>
      <w:r w:rsidRPr="00081246">
        <w:rPr>
          <w:rFonts w:ascii="Helvetica" w:eastAsia="宋体" w:hAnsi="Helvetica" w:cs="Helvetica"/>
          <w:color w:val="333333"/>
          <w:kern w:val="0"/>
          <w:sz w:val="15"/>
          <w:szCs w:val="15"/>
        </w:rPr>
        <w:t>.</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A dental noble metal alloys may be primarily composed of gold, silver, platinum, or palladium, with lesser amounts of other elements such as copper and zinc. The device is intended to fabricate:</w:t>
      </w:r>
    </w:p>
    <w:p w:rsidR="00081246" w:rsidRPr="00081246" w:rsidRDefault="00081246" w:rsidP="00081246">
      <w:pPr>
        <w:widowControl/>
        <w:numPr>
          <w:ilvl w:val="0"/>
          <w:numId w:val="2"/>
        </w:numPr>
        <w:shd w:val="clear" w:color="auto" w:fill="FFFFFF"/>
        <w:spacing w:line="207" w:lineRule="atLeast"/>
        <w:ind w:left="30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all-metal (cast) dental appliances such as crowns and bridges; or</w:t>
      </w:r>
    </w:p>
    <w:p w:rsidR="00081246" w:rsidRPr="00081246" w:rsidRDefault="00081246" w:rsidP="00081246">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081246">
        <w:rPr>
          <w:rFonts w:ascii="Helvetica" w:eastAsia="宋体" w:hAnsi="Helvetica" w:cs="Helvetica"/>
          <w:color w:val="333333"/>
          <w:kern w:val="0"/>
          <w:sz w:val="15"/>
          <w:szCs w:val="15"/>
        </w:rPr>
        <w:t>the</w:t>
      </w:r>
      <w:proofErr w:type="gramEnd"/>
      <w:r w:rsidRPr="00081246">
        <w:rPr>
          <w:rFonts w:ascii="Helvetica" w:eastAsia="宋体" w:hAnsi="Helvetica" w:cs="Helvetica"/>
          <w:color w:val="333333"/>
          <w:kern w:val="0"/>
          <w:sz w:val="15"/>
          <w:szCs w:val="15"/>
        </w:rPr>
        <w:t xml:space="preserve"> coping or substrate to which is fused a ceramic coating for fabricating dental appliances such as crowns and bridges.</w:t>
      </w:r>
    </w:p>
    <w:p w:rsidR="00081246" w:rsidRPr="00081246" w:rsidRDefault="00081246" w:rsidP="00081246">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This classification includes cast and porcelain-fused-to-metal (PFM) noble alloys and solders. The product codes associated with this classification identification are:</w:t>
      </w:r>
    </w:p>
    <w:p w:rsidR="00081246" w:rsidRPr="00081246" w:rsidRDefault="00081246" w:rsidP="00081246">
      <w:pPr>
        <w:widowControl/>
        <w:numPr>
          <w:ilvl w:val="0"/>
          <w:numId w:val="3"/>
        </w:numPr>
        <w:shd w:val="clear" w:color="auto" w:fill="FFFFFF"/>
        <w:spacing w:line="207" w:lineRule="atLeast"/>
        <w:ind w:left="30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EJT Alloy, Gold Based, for Clinical Use</w:t>
      </w:r>
    </w:p>
    <w:p w:rsidR="00081246" w:rsidRPr="00081246" w:rsidRDefault="00081246" w:rsidP="00081246">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EJS Alloy, Precious Metal, for Clinical Use</w:t>
      </w:r>
    </w:p>
    <w:p w:rsidR="00081246" w:rsidRPr="00081246" w:rsidRDefault="00081246" w:rsidP="00081246">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The scope of this guidance does not include:</w:t>
      </w:r>
    </w:p>
    <w:p w:rsidR="00081246" w:rsidRPr="00081246" w:rsidRDefault="00081246" w:rsidP="00081246">
      <w:pPr>
        <w:widowControl/>
        <w:numPr>
          <w:ilvl w:val="0"/>
          <w:numId w:val="4"/>
        </w:numPr>
        <w:shd w:val="clear" w:color="auto" w:fill="FFFFFF"/>
        <w:spacing w:line="207" w:lineRule="atLeast"/>
        <w:ind w:left="30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alloys for dental implants, wrought alloys for orthodontic wires, and other alloys for dental instruments which are classified elsewhere under 2</w:t>
      </w:r>
      <w:hyperlink r:id="rId25" w:history="1">
        <w:r w:rsidRPr="00081246">
          <w:rPr>
            <w:rFonts w:ascii="Helvetica" w:eastAsia="宋体" w:hAnsi="Helvetica" w:cs="Helvetica"/>
            <w:color w:val="005F9F"/>
            <w:kern w:val="0"/>
            <w:sz w:val="15"/>
            <w:u w:val="single"/>
          </w:rPr>
          <w:t>1 CFR.872.3640</w:t>
        </w:r>
      </w:hyperlink>
      <w:r w:rsidRPr="00081246">
        <w:rPr>
          <w:rFonts w:ascii="Helvetica" w:eastAsia="宋体" w:hAnsi="Helvetica" w:cs="Helvetica"/>
          <w:color w:val="333333"/>
          <w:kern w:val="0"/>
          <w:sz w:val="15"/>
          <w:szCs w:val="15"/>
        </w:rPr>
        <w:t>,</w:t>
      </w:r>
      <w:r w:rsidRPr="00081246">
        <w:rPr>
          <w:rFonts w:ascii="Helvetica" w:eastAsia="宋体" w:hAnsi="Helvetica" w:cs="Helvetica"/>
          <w:color w:val="333333"/>
          <w:kern w:val="0"/>
          <w:sz w:val="15"/>
        </w:rPr>
        <w:t> </w:t>
      </w:r>
      <w:hyperlink r:id="rId26" w:history="1">
        <w:r w:rsidRPr="00081246">
          <w:rPr>
            <w:rFonts w:ascii="Helvetica" w:eastAsia="宋体" w:hAnsi="Helvetica" w:cs="Helvetica"/>
            <w:color w:val="005F9F"/>
            <w:kern w:val="0"/>
            <w:sz w:val="15"/>
            <w:u w:val="single"/>
          </w:rPr>
          <w:t>3980</w:t>
        </w:r>
      </w:hyperlink>
      <w:r w:rsidRPr="00081246">
        <w:rPr>
          <w:rFonts w:ascii="Helvetica" w:eastAsia="宋体" w:hAnsi="Helvetica" w:cs="Helvetica"/>
          <w:color w:val="333333"/>
          <w:kern w:val="0"/>
          <w:sz w:val="15"/>
          <w:szCs w:val="15"/>
        </w:rPr>
        <w:t>,</w:t>
      </w:r>
      <w:r w:rsidRPr="00081246">
        <w:rPr>
          <w:rFonts w:ascii="Helvetica" w:eastAsia="宋体" w:hAnsi="Helvetica" w:cs="Helvetica"/>
          <w:color w:val="333333"/>
          <w:kern w:val="0"/>
          <w:sz w:val="15"/>
        </w:rPr>
        <w:t> </w:t>
      </w:r>
      <w:hyperlink r:id="rId27" w:history="1">
        <w:r w:rsidRPr="00081246">
          <w:rPr>
            <w:rFonts w:ascii="Helvetica" w:eastAsia="宋体" w:hAnsi="Helvetica" w:cs="Helvetica"/>
            <w:color w:val="005F9F"/>
            <w:kern w:val="0"/>
            <w:sz w:val="15"/>
            <w:u w:val="single"/>
          </w:rPr>
          <w:t>5410</w:t>
        </w:r>
      </w:hyperlink>
      <w:r w:rsidRPr="00081246">
        <w:rPr>
          <w:rFonts w:ascii="Helvetica" w:eastAsia="宋体" w:hAnsi="Helvetica" w:cs="Helvetica"/>
          <w:color w:val="333333"/>
          <w:kern w:val="0"/>
          <w:sz w:val="15"/>
          <w:szCs w:val="15"/>
        </w:rPr>
        <w:t>, and</w:t>
      </w:r>
      <w:r w:rsidRPr="00081246">
        <w:rPr>
          <w:rFonts w:ascii="Helvetica" w:eastAsia="宋体" w:hAnsi="Helvetica" w:cs="Helvetica"/>
          <w:color w:val="333333"/>
          <w:kern w:val="0"/>
          <w:sz w:val="15"/>
        </w:rPr>
        <w:t> </w:t>
      </w:r>
      <w:hyperlink r:id="rId28" w:history="1">
        <w:r w:rsidRPr="00081246">
          <w:rPr>
            <w:rFonts w:ascii="Helvetica" w:eastAsia="宋体" w:hAnsi="Helvetica" w:cs="Helvetica"/>
            <w:color w:val="005F9F"/>
            <w:kern w:val="0"/>
            <w:sz w:val="15"/>
            <w:u w:val="single"/>
          </w:rPr>
          <w:t>4565</w:t>
        </w:r>
      </w:hyperlink>
    </w:p>
    <w:p w:rsidR="00081246" w:rsidRPr="00081246" w:rsidRDefault="00081246" w:rsidP="00081246">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base metal alloys, which is addressed in the guidance entitled,</w:t>
      </w:r>
      <w:r w:rsidRPr="00081246">
        <w:rPr>
          <w:rFonts w:ascii="Helvetica" w:eastAsia="宋体" w:hAnsi="Helvetica" w:cs="Helvetica"/>
          <w:color w:val="333333"/>
          <w:kern w:val="0"/>
          <w:sz w:val="15"/>
        </w:rPr>
        <w:t> </w:t>
      </w:r>
      <w:hyperlink r:id="rId29" w:history="1">
        <w:r w:rsidRPr="00081246">
          <w:rPr>
            <w:rFonts w:ascii="Helvetica" w:eastAsia="宋体" w:hAnsi="Helvetica" w:cs="Helvetica"/>
            <w:color w:val="005F9F"/>
            <w:kern w:val="0"/>
            <w:sz w:val="15"/>
            <w:u w:val="single"/>
          </w:rPr>
          <w:t>Class II Special Controls Guidance Document: Dental Base Metal Alloys</w:t>
        </w:r>
      </w:hyperlink>
    </w:p>
    <w:p w:rsidR="00081246" w:rsidRPr="00081246" w:rsidRDefault="00081246" w:rsidP="00081246">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081246">
        <w:rPr>
          <w:rFonts w:ascii="Helvetica" w:eastAsia="宋体" w:hAnsi="Helvetica" w:cs="Helvetica"/>
          <w:color w:val="333333"/>
          <w:kern w:val="0"/>
          <w:sz w:val="15"/>
          <w:szCs w:val="15"/>
        </w:rPr>
        <w:lastRenderedPageBreak/>
        <w:t>mercury</w:t>
      </w:r>
      <w:proofErr w:type="gramEnd"/>
      <w:r w:rsidRPr="00081246">
        <w:rPr>
          <w:rFonts w:ascii="Helvetica" w:eastAsia="宋体" w:hAnsi="Helvetica" w:cs="Helvetica"/>
          <w:color w:val="333333"/>
          <w:kern w:val="0"/>
          <w:sz w:val="15"/>
          <w:szCs w:val="15"/>
        </w:rPr>
        <w:t xml:space="preserve"> amalgam alloys or dental mercury which are classified elsewhere under 21 CFR 872.3050 and 3700, respectively.</w:t>
      </w:r>
    </w:p>
    <w:p w:rsidR="00081246" w:rsidRPr="00081246" w:rsidRDefault="00EE75D0" w:rsidP="00081246">
      <w:pPr>
        <w:widowControl/>
        <w:shd w:val="clear" w:color="auto" w:fill="FFFFFF"/>
        <w:spacing w:before="240" w:line="207" w:lineRule="atLeast"/>
        <w:ind w:firstLine="0"/>
        <w:jc w:val="left"/>
        <w:rPr>
          <w:rFonts w:ascii="Helvetica" w:eastAsia="宋体" w:hAnsi="Helvetica" w:cs="Helvetica"/>
          <w:color w:val="333333"/>
          <w:kern w:val="0"/>
          <w:sz w:val="15"/>
          <w:szCs w:val="15"/>
        </w:rPr>
      </w:pPr>
      <w:hyperlink r:id="rId30" w:anchor="top" w:history="1">
        <w:r w:rsidR="00081246" w:rsidRPr="00081246">
          <w:rPr>
            <w:rFonts w:ascii="Helvetica" w:eastAsia="宋体" w:hAnsi="Helvetica" w:cs="Helvetica"/>
            <w:color w:val="005F9F"/>
            <w:kern w:val="0"/>
            <w:sz w:val="15"/>
            <w:u w:val="single"/>
          </w:rPr>
          <w:t>Back to the top</w:t>
        </w:r>
      </w:hyperlink>
    </w:p>
    <w:p w:rsidR="00081246" w:rsidRPr="00081246" w:rsidRDefault="00EE75D0" w:rsidP="00081246">
      <w:pPr>
        <w:widowControl/>
        <w:spacing w:before="330" w:after="330"/>
        <w:ind w:firstLine="0"/>
        <w:jc w:val="left"/>
        <w:rPr>
          <w:rFonts w:ascii="宋体" w:eastAsia="宋体" w:hAnsi="宋体" w:cs="宋体"/>
          <w:kern w:val="0"/>
          <w:sz w:val="24"/>
          <w:szCs w:val="24"/>
        </w:rPr>
      </w:pPr>
      <w:r w:rsidRPr="00EE75D0">
        <w:rPr>
          <w:rFonts w:ascii="宋体" w:eastAsia="宋体" w:hAnsi="宋体" w:cs="宋体"/>
          <w:kern w:val="0"/>
          <w:sz w:val="24"/>
          <w:szCs w:val="24"/>
        </w:rPr>
        <w:pict>
          <v:rect id="_x0000_i1028" style="width:0;height:0" o:hralign="center" o:hrstd="t" o:hrnoshade="t" o:hr="t" fillcolor="#333" stroked="f"/>
        </w:pict>
      </w:r>
    </w:p>
    <w:p w:rsidR="00081246" w:rsidRPr="00081246" w:rsidRDefault="00081246" w:rsidP="00081246">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081246">
        <w:rPr>
          <w:rFonts w:ascii="Helvetica" w:eastAsia="宋体" w:hAnsi="Helvetica" w:cs="Helvetica"/>
          <w:b/>
          <w:bCs/>
          <w:color w:val="333333"/>
          <w:kern w:val="0"/>
          <w:sz w:val="23"/>
          <w:szCs w:val="23"/>
        </w:rPr>
        <w:t>3. Risks to Health</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FDA has identified the following risks to health associated with the use of the dental noble metal alloys in the tables below, depending on whether the device is a casting metal alloy or a PFM alloy. FDA recommends the following measures to mitigate the identified risks in this guidance, as shown in the tables below.</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b/>
          <w:bCs/>
          <w:color w:val="333333"/>
          <w:kern w:val="0"/>
          <w:sz w:val="15"/>
        </w:rPr>
        <w:t>Casting Alloys</w:t>
      </w:r>
    </w:p>
    <w:tbl>
      <w:tblPr>
        <w:tblW w:w="76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2423"/>
        <w:gridCol w:w="5228"/>
      </w:tblGrid>
      <w:tr w:rsidR="00081246" w:rsidRPr="00081246" w:rsidTr="003A536A">
        <w:trPr>
          <w:tblHeader/>
        </w:trPr>
        <w:tc>
          <w:tcPr>
            <w:tcW w:w="0" w:type="auto"/>
            <w:shd w:val="clear" w:color="auto" w:fill="CCCCCC"/>
            <w:tcMar>
              <w:top w:w="54" w:type="dxa"/>
              <w:left w:w="54" w:type="dxa"/>
              <w:bottom w:w="54" w:type="dxa"/>
              <w:right w:w="54" w:type="dxa"/>
            </w:tcMar>
            <w:vAlign w:val="bottom"/>
            <w:hideMark/>
          </w:tcPr>
          <w:p w:rsidR="00081246" w:rsidRPr="00081246" w:rsidRDefault="00081246" w:rsidP="00081246">
            <w:pPr>
              <w:widowControl/>
              <w:spacing w:before="285" w:after="285"/>
              <w:ind w:firstLine="0"/>
              <w:jc w:val="left"/>
              <w:rPr>
                <w:rFonts w:ascii="宋体" w:eastAsia="宋体" w:hAnsi="宋体" w:cs="宋体"/>
                <w:b/>
                <w:bCs/>
                <w:kern w:val="0"/>
                <w:szCs w:val="21"/>
              </w:rPr>
            </w:pPr>
          </w:p>
        </w:tc>
        <w:tc>
          <w:tcPr>
            <w:tcW w:w="0" w:type="auto"/>
            <w:shd w:val="clear" w:color="auto" w:fill="CCCCCC"/>
            <w:tcMar>
              <w:top w:w="54" w:type="dxa"/>
              <w:left w:w="54" w:type="dxa"/>
              <w:bottom w:w="54" w:type="dxa"/>
              <w:right w:w="54" w:type="dxa"/>
            </w:tcMar>
            <w:vAlign w:val="bottom"/>
            <w:hideMark/>
          </w:tcPr>
          <w:p w:rsidR="00081246" w:rsidRPr="00081246" w:rsidRDefault="00081246" w:rsidP="00081246">
            <w:pPr>
              <w:widowControl/>
              <w:spacing w:before="285" w:after="285"/>
              <w:ind w:firstLine="0"/>
              <w:jc w:val="left"/>
              <w:rPr>
                <w:rFonts w:ascii="宋体" w:eastAsia="宋体" w:hAnsi="宋体" w:cs="宋体"/>
                <w:b/>
                <w:bCs/>
                <w:kern w:val="0"/>
                <w:szCs w:val="21"/>
              </w:rPr>
            </w:pPr>
            <w:r w:rsidRPr="00081246">
              <w:rPr>
                <w:rFonts w:ascii="宋体" w:eastAsia="宋体" w:hAnsi="宋体" w:cs="宋体"/>
                <w:b/>
                <w:bCs/>
                <w:kern w:val="0"/>
                <w:szCs w:val="21"/>
              </w:rPr>
              <w:t>Recommended Mitigation Measures</w:t>
            </w:r>
          </w:p>
        </w:tc>
      </w:tr>
      <w:tr w:rsidR="00081246" w:rsidRPr="00081246" w:rsidTr="003A536A">
        <w:tc>
          <w:tcPr>
            <w:tcW w:w="0" w:type="auto"/>
            <w:shd w:val="clear" w:color="auto" w:fill="auto"/>
            <w:tcMar>
              <w:top w:w="54" w:type="dxa"/>
              <w:left w:w="54" w:type="dxa"/>
              <w:bottom w:w="54" w:type="dxa"/>
              <w:right w:w="54" w:type="dxa"/>
            </w:tcMar>
            <w:hideMark/>
          </w:tcPr>
          <w:p w:rsidR="00081246" w:rsidRPr="00081246" w:rsidRDefault="00081246" w:rsidP="00081246">
            <w:pPr>
              <w:widowControl/>
              <w:spacing w:before="285" w:after="285"/>
              <w:ind w:firstLine="0"/>
              <w:jc w:val="left"/>
              <w:rPr>
                <w:rFonts w:ascii="宋体" w:eastAsia="宋体" w:hAnsi="宋体" w:cs="宋体"/>
                <w:kern w:val="0"/>
                <w:szCs w:val="21"/>
              </w:rPr>
            </w:pPr>
            <w:r w:rsidRPr="00081246">
              <w:rPr>
                <w:rFonts w:ascii="宋体" w:eastAsia="宋体" w:hAnsi="宋体" w:cs="宋体"/>
                <w:kern w:val="0"/>
                <w:szCs w:val="21"/>
              </w:rPr>
              <w:t>Device failure</w:t>
            </w:r>
          </w:p>
        </w:tc>
        <w:tc>
          <w:tcPr>
            <w:tcW w:w="0" w:type="auto"/>
            <w:shd w:val="clear" w:color="auto" w:fill="auto"/>
            <w:tcMar>
              <w:top w:w="54" w:type="dxa"/>
              <w:left w:w="54" w:type="dxa"/>
              <w:bottom w:w="54" w:type="dxa"/>
              <w:right w:w="54" w:type="dxa"/>
            </w:tcMar>
            <w:hideMark/>
          </w:tcPr>
          <w:p w:rsidR="00081246" w:rsidRPr="00081246" w:rsidRDefault="00EE75D0" w:rsidP="00081246">
            <w:pPr>
              <w:widowControl/>
              <w:spacing w:before="285" w:after="285"/>
              <w:ind w:firstLine="0"/>
              <w:jc w:val="left"/>
              <w:rPr>
                <w:rFonts w:ascii="宋体" w:eastAsia="宋体" w:hAnsi="宋体" w:cs="宋体"/>
                <w:kern w:val="0"/>
                <w:szCs w:val="21"/>
              </w:rPr>
            </w:pPr>
            <w:hyperlink r:id="rId31" w:anchor="4" w:history="1">
              <w:r w:rsidR="00081246" w:rsidRPr="00081246">
                <w:rPr>
                  <w:rFonts w:ascii="宋体" w:eastAsia="宋体" w:hAnsi="宋体" w:cs="宋体"/>
                  <w:color w:val="005F9F"/>
                  <w:kern w:val="0"/>
                  <w:u w:val="single"/>
                </w:rPr>
                <w:t>Section 4</w:t>
              </w:r>
            </w:hyperlink>
            <w:r w:rsidR="00081246" w:rsidRPr="00081246">
              <w:rPr>
                <w:rFonts w:ascii="宋体" w:eastAsia="宋体" w:hAnsi="宋体" w:cs="宋体"/>
                <w:kern w:val="0"/>
                <w:szCs w:val="21"/>
              </w:rPr>
              <w:t>. Mechanical Properties for Casting Alloys</w:t>
            </w:r>
          </w:p>
        </w:tc>
      </w:tr>
      <w:tr w:rsidR="00081246" w:rsidRPr="00081246" w:rsidTr="003A536A">
        <w:tc>
          <w:tcPr>
            <w:tcW w:w="0" w:type="auto"/>
            <w:shd w:val="clear" w:color="auto" w:fill="auto"/>
            <w:tcMar>
              <w:top w:w="54" w:type="dxa"/>
              <w:left w:w="54" w:type="dxa"/>
              <w:bottom w:w="54" w:type="dxa"/>
              <w:right w:w="54" w:type="dxa"/>
            </w:tcMar>
            <w:hideMark/>
          </w:tcPr>
          <w:p w:rsidR="00081246" w:rsidRPr="00081246" w:rsidRDefault="00081246" w:rsidP="00081246">
            <w:pPr>
              <w:widowControl/>
              <w:spacing w:before="285" w:after="285"/>
              <w:ind w:firstLine="0"/>
              <w:jc w:val="left"/>
              <w:rPr>
                <w:rFonts w:ascii="宋体" w:eastAsia="宋体" w:hAnsi="宋体" w:cs="宋体"/>
                <w:kern w:val="0"/>
                <w:szCs w:val="21"/>
              </w:rPr>
            </w:pPr>
            <w:r w:rsidRPr="00081246">
              <w:rPr>
                <w:rFonts w:ascii="宋体" w:eastAsia="宋体" w:hAnsi="宋体" w:cs="宋体"/>
                <w:kern w:val="0"/>
                <w:szCs w:val="21"/>
              </w:rPr>
              <w:t>Adverse tissue reaction</w:t>
            </w:r>
          </w:p>
        </w:tc>
        <w:tc>
          <w:tcPr>
            <w:tcW w:w="0" w:type="auto"/>
            <w:shd w:val="clear" w:color="auto" w:fill="auto"/>
            <w:tcMar>
              <w:top w:w="54" w:type="dxa"/>
              <w:left w:w="54" w:type="dxa"/>
              <w:bottom w:w="54" w:type="dxa"/>
              <w:right w:w="54" w:type="dxa"/>
            </w:tcMar>
            <w:hideMark/>
          </w:tcPr>
          <w:p w:rsidR="00081246" w:rsidRPr="00081246" w:rsidRDefault="00EE75D0" w:rsidP="00081246">
            <w:pPr>
              <w:widowControl/>
              <w:spacing w:before="285" w:after="285"/>
              <w:ind w:firstLine="0"/>
              <w:jc w:val="left"/>
              <w:rPr>
                <w:rFonts w:ascii="宋体" w:eastAsia="宋体" w:hAnsi="宋体" w:cs="宋体"/>
                <w:kern w:val="0"/>
                <w:szCs w:val="21"/>
              </w:rPr>
            </w:pPr>
            <w:hyperlink r:id="rId32" w:anchor="6" w:history="1">
              <w:r w:rsidR="00081246" w:rsidRPr="00081246">
                <w:rPr>
                  <w:rFonts w:ascii="宋体" w:eastAsia="宋体" w:hAnsi="宋体" w:cs="宋体"/>
                  <w:color w:val="005F9F"/>
                  <w:kern w:val="0"/>
                  <w:u w:val="single"/>
                </w:rPr>
                <w:t>Section 6</w:t>
              </w:r>
            </w:hyperlink>
            <w:r w:rsidR="00081246" w:rsidRPr="00081246">
              <w:rPr>
                <w:rFonts w:ascii="宋体" w:eastAsia="宋体" w:hAnsi="宋体" w:cs="宋体"/>
                <w:kern w:val="0"/>
                <w:szCs w:val="21"/>
              </w:rPr>
              <w:t>. Biocompatibility</w:t>
            </w:r>
          </w:p>
        </w:tc>
      </w:tr>
      <w:tr w:rsidR="00081246" w:rsidRPr="00081246" w:rsidTr="003A536A">
        <w:tc>
          <w:tcPr>
            <w:tcW w:w="0" w:type="auto"/>
            <w:shd w:val="clear" w:color="auto" w:fill="auto"/>
            <w:tcMar>
              <w:top w:w="54" w:type="dxa"/>
              <w:left w:w="54" w:type="dxa"/>
              <w:bottom w:w="54" w:type="dxa"/>
              <w:right w:w="54" w:type="dxa"/>
            </w:tcMar>
            <w:hideMark/>
          </w:tcPr>
          <w:p w:rsidR="00081246" w:rsidRPr="00081246" w:rsidRDefault="00081246" w:rsidP="00081246">
            <w:pPr>
              <w:widowControl/>
              <w:spacing w:before="285" w:after="285"/>
              <w:ind w:firstLine="0"/>
              <w:jc w:val="left"/>
              <w:rPr>
                <w:rFonts w:ascii="宋体" w:eastAsia="宋体" w:hAnsi="宋体" w:cs="宋体"/>
                <w:kern w:val="0"/>
                <w:szCs w:val="21"/>
              </w:rPr>
            </w:pPr>
            <w:r w:rsidRPr="00081246">
              <w:rPr>
                <w:rFonts w:ascii="宋体" w:eastAsia="宋体" w:hAnsi="宋体" w:cs="宋体"/>
                <w:kern w:val="0"/>
                <w:szCs w:val="21"/>
              </w:rPr>
              <w:t>Improper use</w:t>
            </w:r>
          </w:p>
        </w:tc>
        <w:tc>
          <w:tcPr>
            <w:tcW w:w="0" w:type="auto"/>
            <w:shd w:val="clear" w:color="auto" w:fill="auto"/>
            <w:tcMar>
              <w:top w:w="54" w:type="dxa"/>
              <w:left w:w="54" w:type="dxa"/>
              <w:bottom w:w="54" w:type="dxa"/>
              <w:right w:w="54" w:type="dxa"/>
            </w:tcMar>
            <w:hideMark/>
          </w:tcPr>
          <w:p w:rsidR="00081246" w:rsidRPr="00081246" w:rsidRDefault="00EE75D0" w:rsidP="00081246">
            <w:pPr>
              <w:widowControl/>
              <w:spacing w:before="285" w:after="285"/>
              <w:ind w:firstLine="0"/>
              <w:jc w:val="left"/>
              <w:rPr>
                <w:rFonts w:ascii="宋体" w:eastAsia="宋体" w:hAnsi="宋体" w:cs="宋体"/>
                <w:kern w:val="0"/>
                <w:szCs w:val="21"/>
              </w:rPr>
            </w:pPr>
            <w:hyperlink r:id="rId33" w:anchor="7" w:history="1">
              <w:r w:rsidR="00081246" w:rsidRPr="00081246">
                <w:rPr>
                  <w:rFonts w:ascii="宋体" w:eastAsia="宋体" w:hAnsi="宋体" w:cs="宋体"/>
                  <w:color w:val="005F9F"/>
                  <w:kern w:val="0"/>
                  <w:u w:val="single"/>
                </w:rPr>
                <w:t>Section 7</w:t>
              </w:r>
            </w:hyperlink>
            <w:r w:rsidR="00081246" w:rsidRPr="00081246">
              <w:rPr>
                <w:rFonts w:ascii="宋体" w:eastAsia="宋体" w:hAnsi="宋体" w:cs="宋体"/>
                <w:kern w:val="0"/>
                <w:szCs w:val="21"/>
              </w:rPr>
              <w:t>. Labeling</w:t>
            </w:r>
          </w:p>
        </w:tc>
      </w:tr>
    </w:tbl>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b/>
          <w:bCs/>
          <w:color w:val="333333"/>
          <w:kern w:val="0"/>
          <w:sz w:val="15"/>
        </w:rPr>
        <w:t>PFM Alloys</w:t>
      </w:r>
    </w:p>
    <w:tbl>
      <w:tblPr>
        <w:tblW w:w="76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2551"/>
        <w:gridCol w:w="5100"/>
      </w:tblGrid>
      <w:tr w:rsidR="00081246" w:rsidRPr="00081246" w:rsidTr="003A536A">
        <w:trPr>
          <w:tblHeader/>
        </w:trPr>
        <w:tc>
          <w:tcPr>
            <w:tcW w:w="0" w:type="auto"/>
            <w:shd w:val="clear" w:color="auto" w:fill="CCCCCC"/>
            <w:tcMar>
              <w:top w:w="54" w:type="dxa"/>
              <w:left w:w="54" w:type="dxa"/>
              <w:bottom w:w="54" w:type="dxa"/>
              <w:right w:w="54" w:type="dxa"/>
            </w:tcMar>
            <w:vAlign w:val="bottom"/>
            <w:hideMark/>
          </w:tcPr>
          <w:p w:rsidR="00081246" w:rsidRPr="00081246" w:rsidRDefault="00081246" w:rsidP="00081246">
            <w:pPr>
              <w:widowControl/>
              <w:spacing w:before="285" w:after="285"/>
              <w:ind w:firstLine="0"/>
              <w:jc w:val="left"/>
              <w:rPr>
                <w:rFonts w:ascii="宋体" w:eastAsia="宋体" w:hAnsi="宋体" w:cs="宋体"/>
                <w:b/>
                <w:bCs/>
                <w:kern w:val="0"/>
                <w:szCs w:val="21"/>
              </w:rPr>
            </w:pPr>
            <w:r w:rsidRPr="00081246">
              <w:rPr>
                <w:rFonts w:ascii="宋体" w:eastAsia="宋体" w:hAnsi="宋体" w:cs="宋体"/>
                <w:b/>
                <w:bCs/>
                <w:kern w:val="0"/>
                <w:szCs w:val="21"/>
              </w:rPr>
              <w:t>Identified Risks</w:t>
            </w:r>
          </w:p>
        </w:tc>
        <w:tc>
          <w:tcPr>
            <w:tcW w:w="0" w:type="auto"/>
            <w:shd w:val="clear" w:color="auto" w:fill="CCCCCC"/>
            <w:tcMar>
              <w:top w:w="54" w:type="dxa"/>
              <w:left w:w="54" w:type="dxa"/>
              <w:bottom w:w="54" w:type="dxa"/>
              <w:right w:w="54" w:type="dxa"/>
            </w:tcMar>
            <w:vAlign w:val="bottom"/>
            <w:hideMark/>
          </w:tcPr>
          <w:p w:rsidR="00081246" w:rsidRPr="00081246" w:rsidRDefault="00081246" w:rsidP="00081246">
            <w:pPr>
              <w:widowControl/>
              <w:spacing w:before="285" w:after="285"/>
              <w:ind w:firstLine="0"/>
              <w:jc w:val="left"/>
              <w:rPr>
                <w:rFonts w:ascii="宋体" w:eastAsia="宋体" w:hAnsi="宋体" w:cs="宋体"/>
                <w:b/>
                <w:bCs/>
                <w:kern w:val="0"/>
                <w:szCs w:val="21"/>
              </w:rPr>
            </w:pPr>
            <w:r w:rsidRPr="00081246">
              <w:rPr>
                <w:rFonts w:ascii="宋体" w:eastAsia="宋体" w:hAnsi="宋体" w:cs="宋体"/>
                <w:b/>
                <w:bCs/>
                <w:kern w:val="0"/>
                <w:szCs w:val="21"/>
              </w:rPr>
              <w:t>Recommended Mitigation Measures</w:t>
            </w:r>
          </w:p>
        </w:tc>
      </w:tr>
      <w:tr w:rsidR="00081246" w:rsidRPr="00081246" w:rsidTr="003A536A">
        <w:tc>
          <w:tcPr>
            <w:tcW w:w="0" w:type="auto"/>
            <w:shd w:val="clear" w:color="auto" w:fill="auto"/>
            <w:tcMar>
              <w:top w:w="54" w:type="dxa"/>
              <w:left w:w="54" w:type="dxa"/>
              <w:bottom w:w="54" w:type="dxa"/>
              <w:right w:w="54" w:type="dxa"/>
            </w:tcMar>
            <w:hideMark/>
          </w:tcPr>
          <w:p w:rsidR="00081246" w:rsidRPr="00081246" w:rsidRDefault="00081246" w:rsidP="00081246">
            <w:pPr>
              <w:widowControl/>
              <w:spacing w:before="285" w:after="285"/>
              <w:ind w:firstLine="0"/>
              <w:jc w:val="left"/>
              <w:rPr>
                <w:rFonts w:ascii="宋体" w:eastAsia="宋体" w:hAnsi="宋体" w:cs="宋体"/>
                <w:kern w:val="0"/>
                <w:szCs w:val="21"/>
              </w:rPr>
            </w:pPr>
            <w:r w:rsidRPr="00081246">
              <w:rPr>
                <w:rFonts w:ascii="宋体" w:eastAsia="宋体" w:hAnsi="宋体" w:cs="宋体"/>
                <w:kern w:val="0"/>
                <w:szCs w:val="21"/>
              </w:rPr>
              <w:t>Device failure</w:t>
            </w:r>
          </w:p>
        </w:tc>
        <w:tc>
          <w:tcPr>
            <w:tcW w:w="0" w:type="auto"/>
            <w:shd w:val="clear" w:color="auto" w:fill="auto"/>
            <w:tcMar>
              <w:top w:w="54" w:type="dxa"/>
              <w:left w:w="54" w:type="dxa"/>
              <w:bottom w:w="54" w:type="dxa"/>
              <w:right w:w="54" w:type="dxa"/>
            </w:tcMar>
            <w:hideMark/>
          </w:tcPr>
          <w:p w:rsidR="00081246" w:rsidRPr="00081246" w:rsidRDefault="00EE75D0" w:rsidP="00081246">
            <w:pPr>
              <w:widowControl/>
              <w:spacing w:before="285" w:after="285"/>
              <w:ind w:firstLine="0"/>
              <w:jc w:val="left"/>
              <w:rPr>
                <w:rFonts w:ascii="宋体" w:eastAsia="宋体" w:hAnsi="宋体" w:cs="宋体"/>
                <w:kern w:val="0"/>
                <w:szCs w:val="21"/>
              </w:rPr>
            </w:pPr>
            <w:hyperlink r:id="rId34" w:anchor="5" w:history="1">
              <w:r w:rsidR="00081246" w:rsidRPr="00081246">
                <w:rPr>
                  <w:rFonts w:ascii="宋体" w:eastAsia="宋体" w:hAnsi="宋体" w:cs="宋体"/>
                  <w:color w:val="005F9F"/>
                  <w:kern w:val="0"/>
                  <w:u w:val="single"/>
                </w:rPr>
                <w:t>Section 5</w:t>
              </w:r>
            </w:hyperlink>
            <w:r w:rsidR="00081246" w:rsidRPr="00081246">
              <w:rPr>
                <w:rFonts w:ascii="宋体" w:eastAsia="宋体" w:hAnsi="宋体" w:cs="宋体"/>
                <w:kern w:val="0"/>
                <w:szCs w:val="21"/>
              </w:rPr>
              <w:t>. Mechanical Properties for PFM Alloys</w:t>
            </w:r>
          </w:p>
        </w:tc>
      </w:tr>
      <w:tr w:rsidR="00081246" w:rsidRPr="00081246" w:rsidTr="003A536A">
        <w:tc>
          <w:tcPr>
            <w:tcW w:w="0" w:type="auto"/>
            <w:shd w:val="clear" w:color="auto" w:fill="auto"/>
            <w:tcMar>
              <w:top w:w="54" w:type="dxa"/>
              <w:left w:w="54" w:type="dxa"/>
              <w:bottom w:w="54" w:type="dxa"/>
              <w:right w:w="54" w:type="dxa"/>
            </w:tcMar>
            <w:hideMark/>
          </w:tcPr>
          <w:p w:rsidR="00081246" w:rsidRPr="00081246" w:rsidRDefault="00081246" w:rsidP="00081246">
            <w:pPr>
              <w:widowControl/>
              <w:spacing w:before="285" w:after="285"/>
              <w:ind w:firstLine="0"/>
              <w:jc w:val="left"/>
              <w:rPr>
                <w:rFonts w:ascii="宋体" w:eastAsia="宋体" w:hAnsi="宋体" w:cs="宋体"/>
                <w:kern w:val="0"/>
                <w:szCs w:val="21"/>
              </w:rPr>
            </w:pPr>
            <w:r w:rsidRPr="00081246">
              <w:rPr>
                <w:rFonts w:ascii="宋体" w:eastAsia="宋体" w:hAnsi="宋体" w:cs="宋体"/>
                <w:kern w:val="0"/>
                <w:szCs w:val="21"/>
              </w:rPr>
              <w:t>Adverse tissue reaction</w:t>
            </w:r>
          </w:p>
        </w:tc>
        <w:tc>
          <w:tcPr>
            <w:tcW w:w="0" w:type="auto"/>
            <w:shd w:val="clear" w:color="auto" w:fill="auto"/>
            <w:tcMar>
              <w:top w:w="54" w:type="dxa"/>
              <w:left w:w="54" w:type="dxa"/>
              <w:bottom w:w="54" w:type="dxa"/>
              <w:right w:w="54" w:type="dxa"/>
            </w:tcMar>
            <w:hideMark/>
          </w:tcPr>
          <w:p w:rsidR="00081246" w:rsidRPr="00081246" w:rsidRDefault="00EE75D0" w:rsidP="00081246">
            <w:pPr>
              <w:widowControl/>
              <w:spacing w:before="285" w:after="285"/>
              <w:ind w:firstLine="0"/>
              <w:jc w:val="left"/>
              <w:rPr>
                <w:rFonts w:ascii="宋体" w:eastAsia="宋体" w:hAnsi="宋体" w:cs="宋体"/>
                <w:kern w:val="0"/>
                <w:szCs w:val="21"/>
              </w:rPr>
            </w:pPr>
            <w:hyperlink r:id="rId35" w:anchor="6" w:history="1">
              <w:r w:rsidR="00081246" w:rsidRPr="00081246">
                <w:rPr>
                  <w:rFonts w:ascii="宋体" w:eastAsia="宋体" w:hAnsi="宋体" w:cs="宋体"/>
                  <w:color w:val="005F9F"/>
                  <w:kern w:val="0"/>
                  <w:u w:val="single"/>
                </w:rPr>
                <w:t>Section 6</w:t>
              </w:r>
            </w:hyperlink>
            <w:r w:rsidR="00081246" w:rsidRPr="00081246">
              <w:rPr>
                <w:rFonts w:ascii="宋体" w:eastAsia="宋体" w:hAnsi="宋体" w:cs="宋体"/>
                <w:kern w:val="0"/>
                <w:szCs w:val="21"/>
              </w:rPr>
              <w:t>. Biocompatibility</w:t>
            </w:r>
          </w:p>
        </w:tc>
      </w:tr>
      <w:tr w:rsidR="00081246" w:rsidRPr="00081246" w:rsidTr="003A536A">
        <w:tc>
          <w:tcPr>
            <w:tcW w:w="0" w:type="auto"/>
            <w:shd w:val="clear" w:color="auto" w:fill="auto"/>
            <w:tcMar>
              <w:top w:w="54" w:type="dxa"/>
              <w:left w:w="54" w:type="dxa"/>
              <w:bottom w:w="54" w:type="dxa"/>
              <w:right w:w="54" w:type="dxa"/>
            </w:tcMar>
            <w:hideMark/>
          </w:tcPr>
          <w:p w:rsidR="00081246" w:rsidRPr="00081246" w:rsidRDefault="00081246" w:rsidP="00081246">
            <w:pPr>
              <w:widowControl/>
              <w:spacing w:before="285" w:after="285"/>
              <w:ind w:firstLine="0"/>
              <w:jc w:val="left"/>
              <w:rPr>
                <w:rFonts w:ascii="宋体" w:eastAsia="宋体" w:hAnsi="宋体" w:cs="宋体"/>
                <w:kern w:val="0"/>
                <w:szCs w:val="21"/>
              </w:rPr>
            </w:pPr>
            <w:r w:rsidRPr="00081246">
              <w:rPr>
                <w:rFonts w:ascii="宋体" w:eastAsia="宋体" w:hAnsi="宋体" w:cs="宋体"/>
                <w:kern w:val="0"/>
                <w:szCs w:val="21"/>
              </w:rPr>
              <w:t>Improper use</w:t>
            </w:r>
          </w:p>
        </w:tc>
        <w:tc>
          <w:tcPr>
            <w:tcW w:w="0" w:type="auto"/>
            <w:shd w:val="clear" w:color="auto" w:fill="auto"/>
            <w:tcMar>
              <w:top w:w="54" w:type="dxa"/>
              <w:left w:w="54" w:type="dxa"/>
              <w:bottom w:w="54" w:type="dxa"/>
              <w:right w:w="54" w:type="dxa"/>
            </w:tcMar>
            <w:hideMark/>
          </w:tcPr>
          <w:p w:rsidR="00081246" w:rsidRPr="00081246" w:rsidRDefault="00EE75D0" w:rsidP="00081246">
            <w:pPr>
              <w:widowControl/>
              <w:spacing w:before="285" w:after="285"/>
              <w:ind w:firstLine="0"/>
              <w:jc w:val="left"/>
              <w:rPr>
                <w:rFonts w:ascii="宋体" w:eastAsia="宋体" w:hAnsi="宋体" w:cs="宋体"/>
                <w:kern w:val="0"/>
                <w:szCs w:val="21"/>
              </w:rPr>
            </w:pPr>
            <w:hyperlink r:id="rId36" w:anchor="7" w:history="1">
              <w:r w:rsidR="00081246" w:rsidRPr="00081246">
                <w:rPr>
                  <w:rFonts w:ascii="宋体" w:eastAsia="宋体" w:hAnsi="宋体" w:cs="宋体"/>
                  <w:color w:val="005F9F"/>
                  <w:kern w:val="0"/>
                  <w:u w:val="single"/>
                </w:rPr>
                <w:t>Section 7</w:t>
              </w:r>
            </w:hyperlink>
            <w:r w:rsidR="00081246" w:rsidRPr="00081246">
              <w:rPr>
                <w:rFonts w:ascii="宋体" w:eastAsia="宋体" w:hAnsi="宋体" w:cs="宋体"/>
                <w:kern w:val="0"/>
                <w:szCs w:val="21"/>
              </w:rPr>
              <w:t>. Labeling</w:t>
            </w:r>
          </w:p>
        </w:tc>
      </w:tr>
    </w:tbl>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 xml:space="preserve">The mechanical properties of the device may be insufficient to support the required loads and lead to device failure. Porcelain may deform, crack, and </w:t>
      </w:r>
      <w:proofErr w:type="spellStart"/>
      <w:r w:rsidRPr="00081246">
        <w:rPr>
          <w:rFonts w:ascii="Helvetica" w:eastAsia="宋体" w:hAnsi="Helvetica" w:cs="Helvetica"/>
          <w:color w:val="333333"/>
          <w:kern w:val="0"/>
          <w:sz w:val="15"/>
          <w:szCs w:val="15"/>
        </w:rPr>
        <w:t>debond</w:t>
      </w:r>
      <w:proofErr w:type="spellEnd"/>
      <w:r w:rsidRPr="00081246">
        <w:rPr>
          <w:rFonts w:ascii="Helvetica" w:eastAsia="宋体" w:hAnsi="Helvetica" w:cs="Helvetica"/>
          <w:color w:val="333333"/>
          <w:kern w:val="0"/>
          <w:sz w:val="15"/>
          <w:szCs w:val="15"/>
        </w:rPr>
        <w:t xml:space="preserve"> from the metal because of incompatibilities. These device failures may result in ineffective treatment, revision, and possibly minor, temporary impairment for the patient.</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lastRenderedPageBreak/>
        <w:t>Some alloy compositions may not be biocompatible. Poor biocompatibility may result in adverse tissue reaction.</w:t>
      </w:r>
      <w:r w:rsidRPr="00081246">
        <w:rPr>
          <w:rFonts w:ascii="Helvetica" w:eastAsia="宋体" w:hAnsi="Helvetica" w:cs="Helvetica"/>
          <w:color w:val="333333"/>
          <w:kern w:val="0"/>
          <w:sz w:val="15"/>
          <w:szCs w:val="15"/>
        </w:rPr>
        <w:br/>
        <w:t>Inadequate labeling may result in improper use. Improper use may result in ineffective treatment and may cause minor, temporary impairment for the patient.</w:t>
      </w:r>
    </w:p>
    <w:p w:rsidR="00081246" w:rsidRPr="00081246" w:rsidRDefault="00EE75D0"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37" w:anchor="top" w:history="1">
        <w:r w:rsidR="00081246" w:rsidRPr="00081246">
          <w:rPr>
            <w:rFonts w:ascii="Helvetica" w:eastAsia="宋体" w:hAnsi="Helvetica" w:cs="Helvetica"/>
            <w:color w:val="005F9F"/>
            <w:kern w:val="0"/>
            <w:sz w:val="15"/>
            <w:u w:val="single"/>
          </w:rPr>
          <w:t>Back to the top</w:t>
        </w:r>
      </w:hyperlink>
    </w:p>
    <w:p w:rsidR="00081246" w:rsidRPr="00081246" w:rsidRDefault="00EE75D0" w:rsidP="00081246">
      <w:pPr>
        <w:widowControl/>
        <w:shd w:val="clear" w:color="auto" w:fill="FFFFFF"/>
        <w:spacing w:before="330" w:after="330" w:line="207" w:lineRule="atLeast"/>
        <w:ind w:firstLine="0"/>
        <w:jc w:val="left"/>
        <w:rPr>
          <w:rFonts w:ascii="Helvetica" w:eastAsia="宋体" w:hAnsi="Helvetica" w:cs="Helvetica"/>
          <w:color w:val="333333"/>
          <w:kern w:val="0"/>
          <w:sz w:val="15"/>
          <w:szCs w:val="15"/>
        </w:rPr>
      </w:pPr>
      <w:r w:rsidRPr="00EE75D0">
        <w:rPr>
          <w:rFonts w:ascii="Helvetica" w:eastAsia="宋体" w:hAnsi="Helvetica" w:cs="Helvetica"/>
          <w:color w:val="333333"/>
          <w:kern w:val="0"/>
          <w:sz w:val="15"/>
          <w:szCs w:val="15"/>
        </w:rPr>
        <w:pict>
          <v:rect id="_x0000_i1029" style="width:0;height:0" o:hralign="center" o:hrstd="t" o:hr="t" fillcolor="#a0a0a0" stroked="f"/>
        </w:pict>
      </w:r>
    </w:p>
    <w:p w:rsidR="00081246" w:rsidRPr="00081246" w:rsidRDefault="00081246" w:rsidP="00081246">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081246">
        <w:rPr>
          <w:rFonts w:ascii="Helvetica" w:eastAsia="宋体" w:hAnsi="Helvetica" w:cs="Helvetica"/>
          <w:b/>
          <w:bCs/>
          <w:color w:val="333333"/>
          <w:kern w:val="0"/>
          <w:sz w:val="23"/>
          <w:szCs w:val="23"/>
        </w:rPr>
        <w:t>4. Mechanical Properties for Casting Alloys</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We recommend that noble metal casting alloys conform to the FDA- recognized standard below.</w:t>
      </w:r>
    </w:p>
    <w:p w:rsidR="00081246" w:rsidRPr="00081246" w:rsidRDefault="00081246" w:rsidP="00081246">
      <w:pPr>
        <w:widowControl/>
        <w:numPr>
          <w:ilvl w:val="0"/>
          <w:numId w:val="5"/>
        </w:numPr>
        <w:shd w:val="clear" w:color="auto" w:fill="FFFFFF"/>
        <w:spacing w:line="207" w:lineRule="atLeast"/>
        <w:ind w:left="300"/>
        <w:jc w:val="left"/>
        <w:rPr>
          <w:rFonts w:ascii="Helvetica" w:eastAsia="宋体" w:hAnsi="Helvetica" w:cs="Helvetica"/>
          <w:color w:val="333333"/>
          <w:kern w:val="0"/>
          <w:sz w:val="15"/>
          <w:szCs w:val="15"/>
        </w:rPr>
      </w:pPr>
      <w:r w:rsidRPr="00081246">
        <w:rPr>
          <w:rFonts w:ascii="Helvetica" w:eastAsia="宋体" w:hAnsi="Helvetica" w:cs="Helvetica"/>
          <w:b/>
          <w:bCs/>
          <w:color w:val="333333"/>
          <w:kern w:val="0"/>
          <w:sz w:val="15"/>
        </w:rPr>
        <w:t>American National Standard/American Dental Association Specification No. 5-1997, "Dental Casting Alloys" </w:t>
      </w:r>
      <w:r w:rsidRPr="00081246">
        <w:rPr>
          <w:rFonts w:ascii="Helvetica" w:eastAsia="宋体" w:hAnsi="Helvetica" w:cs="Helvetica"/>
          <w:color w:val="333333"/>
          <w:kern w:val="0"/>
          <w:sz w:val="15"/>
          <w:szCs w:val="15"/>
        </w:rPr>
        <w:t>(ANSI/ADA Specification No. 5)</w:t>
      </w:r>
    </w:p>
    <w:p w:rsidR="00081246" w:rsidRPr="00081246" w:rsidRDefault="00081246" w:rsidP="00081246">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In particular, Table 5-1 of the ANSI/ADA Specification No. 5 specifies the minimum mechanical properties for casting alloys.</w:t>
      </w:r>
    </w:p>
    <w:p w:rsidR="00081246" w:rsidRPr="00081246" w:rsidRDefault="00081246"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For noble metal solders (brazing alloys), we recommend conformance to the FDA- recognized standard below.</w:t>
      </w:r>
    </w:p>
    <w:p w:rsidR="00081246" w:rsidRPr="00081246" w:rsidRDefault="00081246" w:rsidP="00081246">
      <w:pPr>
        <w:widowControl/>
        <w:numPr>
          <w:ilvl w:val="0"/>
          <w:numId w:val="6"/>
        </w:numPr>
        <w:shd w:val="clear" w:color="auto" w:fill="FFFFFF"/>
        <w:spacing w:line="207" w:lineRule="atLeast"/>
        <w:ind w:left="300"/>
        <w:jc w:val="left"/>
        <w:rPr>
          <w:rFonts w:ascii="Helvetica" w:eastAsia="宋体" w:hAnsi="Helvetica" w:cs="Helvetica"/>
          <w:color w:val="333333"/>
          <w:kern w:val="0"/>
          <w:sz w:val="15"/>
          <w:szCs w:val="15"/>
        </w:rPr>
      </w:pPr>
      <w:r w:rsidRPr="00081246">
        <w:rPr>
          <w:rFonts w:ascii="Helvetica" w:eastAsia="宋体" w:hAnsi="Helvetica" w:cs="Helvetica"/>
          <w:b/>
          <w:bCs/>
          <w:color w:val="333333"/>
          <w:kern w:val="0"/>
          <w:sz w:val="15"/>
        </w:rPr>
        <w:t>American National Standard/American Dental Association Specification No. 88-2000, "Dental Brazing Alloys" </w:t>
      </w:r>
      <w:r w:rsidRPr="00081246">
        <w:rPr>
          <w:rFonts w:ascii="Helvetica" w:eastAsia="宋体" w:hAnsi="Helvetica" w:cs="Helvetica"/>
          <w:color w:val="333333"/>
          <w:kern w:val="0"/>
          <w:sz w:val="15"/>
          <w:szCs w:val="15"/>
        </w:rPr>
        <w:t>(ANSI/ADA Specification No. 88)</w:t>
      </w:r>
    </w:p>
    <w:p w:rsidR="00081246" w:rsidRPr="00081246" w:rsidRDefault="00081246" w:rsidP="00081246">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In particular, Section 4.5 of ANSI/ADA Specification No. 88 specifies the minimum mechanical properties for solders.</w:t>
      </w:r>
    </w:p>
    <w:p w:rsidR="00081246" w:rsidRPr="00081246" w:rsidRDefault="00EE75D0"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38" w:anchor="top" w:history="1">
        <w:r w:rsidR="00081246" w:rsidRPr="00081246">
          <w:rPr>
            <w:rFonts w:ascii="Helvetica" w:eastAsia="宋体" w:hAnsi="Helvetica" w:cs="Helvetica"/>
            <w:color w:val="005F9F"/>
            <w:kern w:val="0"/>
            <w:sz w:val="15"/>
            <w:u w:val="single"/>
          </w:rPr>
          <w:t>Back to the top</w:t>
        </w:r>
      </w:hyperlink>
    </w:p>
    <w:p w:rsidR="00081246" w:rsidRPr="00081246" w:rsidRDefault="00EE75D0" w:rsidP="00081246">
      <w:pPr>
        <w:widowControl/>
        <w:shd w:val="clear" w:color="auto" w:fill="FFFFFF"/>
        <w:spacing w:before="330" w:after="330" w:line="207" w:lineRule="atLeast"/>
        <w:ind w:firstLine="0"/>
        <w:jc w:val="left"/>
        <w:rPr>
          <w:rFonts w:ascii="Helvetica" w:eastAsia="宋体" w:hAnsi="Helvetica" w:cs="Helvetica"/>
          <w:color w:val="333333"/>
          <w:kern w:val="0"/>
          <w:sz w:val="15"/>
          <w:szCs w:val="15"/>
        </w:rPr>
      </w:pPr>
      <w:r w:rsidRPr="00EE75D0">
        <w:rPr>
          <w:rFonts w:ascii="Helvetica" w:eastAsia="宋体" w:hAnsi="Helvetica" w:cs="Helvetica"/>
          <w:color w:val="333333"/>
          <w:kern w:val="0"/>
          <w:sz w:val="15"/>
          <w:szCs w:val="15"/>
        </w:rPr>
        <w:pict>
          <v:rect id="_x0000_i1030" style="width:0;height:0" o:hralign="center" o:hrstd="t" o:hr="t" fillcolor="#a0a0a0" stroked="f"/>
        </w:pict>
      </w:r>
    </w:p>
    <w:p w:rsidR="00081246" w:rsidRPr="00081246" w:rsidRDefault="00081246" w:rsidP="00081246">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081246">
        <w:rPr>
          <w:rFonts w:ascii="Helvetica" w:eastAsia="宋体" w:hAnsi="Helvetica" w:cs="Helvetica"/>
          <w:b/>
          <w:bCs/>
          <w:color w:val="333333"/>
          <w:kern w:val="0"/>
          <w:sz w:val="23"/>
          <w:szCs w:val="23"/>
        </w:rPr>
        <w:t>5. Mechanical Properties for PFM Alloys</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We recommend that noble metal casting alloys conform to the FDA- recognized standard below.</w:t>
      </w:r>
    </w:p>
    <w:p w:rsidR="00081246" w:rsidRPr="00081246" w:rsidRDefault="00081246" w:rsidP="00081246">
      <w:pPr>
        <w:widowControl/>
        <w:numPr>
          <w:ilvl w:val="0"/>
          <w:numId w:val="7"/>
        </w:numPr>
        <w:shd w:val="clear" w:color="auto" w:fill="FFFFFF"/>
        <w:spacing w:line="207" w:lineRule="atLeast"/>
        <w:ind w:left="300"/>
        <w:jc w:val="left"/>
        <w:rPr>
          <w:rFonts w:ascii="Helvetica" w:eastAsia="宋体" w:hAnsi="Helvetica" w:cs="Helvetica"/>
          <w:color w:val="333333"/>
          <w:kern w:val="0"/>
          <w:sz w:val="15"/>
          <w:szCs w:val="15"/>
        </w:rPr>
      </w:pPr>
      <w:r w:rsidRPr="00081246">
        <w:rPr>
          <w:rFonts w:ascii="Helvetica" w:eastAsia="宋体" w:hAnsi="Helvetica" w:cs="Helvetica"/>
          <w:b/>
          <w:bCs/>
          <w:color w:val="333333"/>
          <w:kern w:val="0"/>
          <w:sz w:val="15"/>
        </w:rPr>
        <w:t>American National Standard/American Dental Association Specification No. 38-2000, "Metal-Ceramic Dental Restorative Systems"</w:t>
      </w:r>
      <w:r w:rsidRPr="00081246">
        <w:rPr>
          <w:rFonts w:ascii="Helvetica" w:eastAsia="宋体" w:hAnsi="Helvetica" w:cs="Helvetica"/>
          <w:color w:val="333333"/>
          <w:kern w:val="0"/>
          <w:sz w:val="15"/>
        </w:rPr>
        <w:t> </w:t>
      </w:r>
      <w:r w:rsidRPr="00081246">
        <w:rPr>
          <w:rFonts w:ascii="Helvetica" w:eastAsia="宋体" w:hAnsi="Helvetica" w:cs="Helvetica"/>
          <w:color w:val="333333"/>
          <w:kern w:val="0"/>
          <w:sz w:val="15"/>
          <w:szCs w:val="15"/>
        </w:rPr>
        <w:t>(ANSI/ADA Specification No. 38)</w:t>
      </w:r>
    </w:p>
    <w:p w:rsidR="00081246" w:rsidRPr="00081246" w:rsidRDefault="00081246" w:rsidP="00081246">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In particular, Table 1 of the ANSI/ADA Specification No. 38 specifies the minimum mechanical properties of the metal. Table 2 of this standard specifies the minimum mechanical properties of the porcelain for these metals. Section 4.3.3 of this standard specifies the minimum bond compatibility index between the metal and porcelain.</w:t>
      </w:r>
    </w:p>
    <w:p w:rsidR="00081246" w:rsidRPr="00081246" w:rsidRDefault="00EE75D0"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39" w:anchor="top" w:history="1">
        <w:r w:rsidR="00081246" w:rsidRPr="00081246">
          <w:rPr>
            <w:rFonts w:ascii="Helvetica" w:eastAsia="宋体" w:hAnsi="Helvetica" w:cs="Helvetica"/>
            <w:color w:val="005F9F"/>
            <w:kern w:val="0"/>
            <w:sz w:val="15"/>
            <w:u w:val="single"/>
          </w:rPr>
          <w:t>Back to the top</w:t>
        </w:r>
      </w:hyperlink>
    </w:p>
    <w:p w:rsidR="00081246" w:rsidRPr="00081246" w:rsidRDefault="00EE75D0" w:rsidP="00081246">
      <w:pPr>
        <w:widowControl/>
        <w:shd w:val="clear" w:color="auto" w:fill="FFFFFF"/>
        <w:spacing w:before="330" w:after="330" w:line="207" w:lineRule="atLeast"/>
        <w:ind w:firstLine="0"/>
        <w:jc w:val="left"/>
        <w:rPr>
          <w:rFonts w:ascii="Helvetica" w:eastAsia="宋体" w:hAnsi="Helvetica" w:cs="Helvetica"/>
          <w:color w:val="333333"/>
          <w:kern w:val="0"/>
          <w:sz w:val="15"/>
          <w:szCs w:val="15"/>
        </w:rPr>
      </w:pPr>
      <w:r w:rsidRPr="00EE75D0">
        <w:rPr>
          <w:rFonts w:ascii="Helvetica" w:eastAsia="宋体" w:hAnsi="Helvetica" w:cs="Helvetica"/>
          <w:color w:val="333333"/>
          <w:kern w:val="0"/>
          <w:sz w:val="15"/>
          <w:szCs w:val="15"/>
        </w:rPr>
        <w:pict>
          <v:rect id="_x0000_i1031" style="width:0;height:0" o:hralign="center" o:hrstd="t" o:hr="t" fillcolor="#a0a0a0" stroked="f"/>
        </w:pict>
      </w:r>
    </w:p>
    <w:p w:rsidR="00081246" w:rsidRPr="00081246" w:rsidRDefault="00081246" w:rsidP="00081246">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081246">
        <w:rPr>
          <w:rFonts w:ascii="Helvetica" w:eastAsia="宋体" w:hAnsi="Helvetica" w:cs="Helvetica"/>
          <w:b/>
          <w:bCs/>
          <w:color w:val="333333"/>
          <w:kern w:val="0"/>
          <w:sz w:val="23"/>
          <w:szCs w:val="23"/>
        </w:rPr>
        <w:t>6. Biocompatibility</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We recommend that you insure the biocompatibility of your device by complying with the tests in the following standard for a permanent contact, external communicating device on tissue, bone, or dentin in accordance with the applicable requirements of ISO-10993 (instead of ANSI/ADA Specification No. 41, which is incorporated by reference in ANSI/ADA Specification No. 5). See Blue Book Memorandum #G95-1, entitled "</w:t>
      </w:r>
      <w:hyperlink r:id="rId40" w:history="1">
        <w:r w:rsidRPr="00081246">
          <w:rPr>
            <w:rFonts w:ascii="Helvetica" w:eastAsia="宋体" w:hAnsi="Helvetica" w:cs="Helvetica"/>
            <w:color w:val="005F9F"/>
            <w:kern w:val="0"/>
            <w:sz w:val="15"/>
            <w:u w:val="single"/>
          </w:rPr>
          <w:t>Use of International Standard ISO-10993, Biological Evaluation of Medical Devices Part 1: Evaluation and Testing</w:t>
        </w:r>
      </w:hyperlink>
      <w:r w:rsidRPr="00081246">
        <w:rPr>
          <w:rFonts w:ascii="Helvetica" w:eastAsia="宋体" w:hAnsi="Helvetica" w:cs="Helvetica"/>
          <w:color w:val="333333"/>
          <w:kern w:val="0"/>
          <w:sz w:val="15"/>
          <w:szCs w:val="15"/>
        </w:rPr>
        <w:t>", for additional guidance on the use of ISO-10993.</w:t>
      </w:r>
    </w:p>
    <w:p w:rsidR="00081246" w:rsidRPr="00081246" w:rsidRDefault="00EE75D0"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41" w:anchor="top" w:history="1">
        <w:r w:rsidR="00081246" w:rsidRPr="00081246">
          <w:rPr>
            <w:rFonts w:ascii="Helvetica" w:eastAsia="宋体" w:hAnsi="Helvetica" w:cs="Helvetica"/>
            <w:color w:val="005F9F"/>
            <w:kern w:val="0"/>
            <w:sz w:val="15"/>
            <w:u w:val="single"/>
          </w:rPr>
          <w:t>Back to the top</w:t>
        </w:r>
      </w:hyperlink>
    </w:p>
    <w:p w:rsidR="00081246" w:rsidRPr="00081246" w:rsidRDefault="00EE75D0" w:rsidP="00081246">
      <w:pPr>
        <w:widowControl/>
        <w:shd w:val="clear" w:color="auto" w:fill="FFFFFF"/>
        <w:spacing w:before="330" w:after="330" w:line="207" w:lineRule="atLeast"/>
        <w:ind w:firstLine="0"/>
        <w:jc w:val="left"/>
        <w:rPr>
          <w:rFonts w:ascii="Helvetica" w:eastAsia="宋体" w:hAnsi="Helvetica" w:cs="Helvetica"/>
          <w:color w:val="333333"/>
          <w:kern w:val="0"/>
          <w:sz w:val="15"/>
          <w:szCs w:val="15"/>
        </w:rPr>
      </w:pPr>
      <w:r w:rsidRPr="00EE75D0">
        <w:rPr>
          <w:rFonts w:ascii="Helvetica" w:eastAsia="宋体" w:hAnsi="Helvetica" w:cs="Helvetica"/>
          <w:color w:val="333333"/>
          <w:kern w:val="0"/>
          <w:sz w:val="15"/>
          <w:szCs w:val="15"/>
        </w:rPr>
        <w:pict>
          <v:rect id="_x0000_i1032" style="width:0;height:0" o:hralign="center" o:hrstd="t" o:hr="t" fillcolor="#a0a0a0" stroked="f"/>
        </w:pict>
      </w:r>
    </w:p>
    <w:p w:rsidR="00081246" w:rsidRPr="00081246" w:rsidRDefault="00081246" w:rsidP="00081246">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081246">
        <w:rPr>
          <w:rFonts w:ascii="Helvetica" w:eastAsia="宋体" w:hAnsi="Helvetica" w:cs="Helvetica"/>
          <w:b/>
          <w:bCs/>
          <w:color w:val="333333"/>
          <w:kern w:val="0"/>
          <w:sz w:val="23"/>
          <w:szCs w:val="23"/>
        </w:rPr>
        <w:t>7. Labeling</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 xml:space="preserve">As a prescription device, </w:t>
      </w:r>
      <w:proofErr w:type="gramStart"/>
      <w:r w:rsidRPr="00081246">
        <w:rPr>
          <w:rFonts w:ascii="Helvetica" w:eastAsia="宋体" w:hAnsi="Helvetica" w:cs="Helvetica"/>
          <w:color w:val="333333"/>
          <w:kern w:val="0"/>
          <w:sz w:val="15"/>
          <w:szCs w:val="15"/>
        </w:rPr>
        <w:t>under</w:t>
      </w:r>
      <w:proofErr w:type="gramEnd"/>
      <w:r w:rsidRPr="00081246">
        <w:rPr>
          <w:rFonts w:ascii="Helvetica" w:eastAsia="宋体" w:hAnsi="Helvetica" w:cs="Helvetica"/>
          <w:color w:val="333333"/>
          <w:kern w:val="0"/>
          <w:sz w:val="15"/>
        </w:rPr>
        <w:t> </w:t>
      </w:r>
      <w:hyperlink r:id="rId42" w:history="1">
        <w:r w:rsidRPr="00081246">
          <w:rPr>
            <w:rFonts w:ascii="Helvetica" w:eastAsia="宋体" w:hAnsi="Helvetica" w:cs="Helvetica"/>
            <w:color w:val="005F9F"/>
            <w:kern w:val="0"/>
            <w:sz w:val="15"/>
            <w:u w:val="single"/>
          </w:rPr>
          <w:t>21 CFR 801.109</w:t>
        </w:r>
      </w:hyperlink>
      <w:r w:rsidRPr="00081246">
        <w:rPr>
          <w:rFonts w:ascii="Helvetica" w:eastAsia="宋体" w:hAnsi="Helvetica" w:cs="Helvetica"/>
          <w:color w:val="333333"/>
          <w:kern w:val="0"/>
          <w:sz w:val="15"/>
          <w:szCs w:val="15"/>
        </w:rPr>
        <w:t>, the device is exempt from having adequate directions for lay use.</w:t>
      </w:r>
      <w:hyperlink r:id="rId43" w:anchor="f2" w:history="1">
        <w:r w:rsidRPr="00081246">
          <w:rPr>
            <w:rFonts w:ascii="Helvetica" w:eastAsia="宋体" w:hAnsi="Helvetica" w:cs="Helvetica"/>
            <w:color w:val="005F9F"/>
            <w:kern w:val="0"/>
            <w:sz w:val="13"/>
            <w:u w:val="single"/>
            <w:vertAlign w:val="superscript"/>
          </w:rPr>
          <w:t>2</w:t>
        </w:r>
      </w:hyperlink>
    </w:p>
    <w:p w:rsidR="00081246" w:rsidRPr="00081246" w:rsidRDefault="00EE75D0"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44" w:anchor="top" w:history="1">
        <w:r w:rsidR="00081246" w:rsidRPr="00081246">
          <w:rPr>
            <w:rFonts w:ascii="Helvetica" w:eastAsia="宋体" w:hAnsi="Helvetica" w:cs="Helvetica"/>
            <w:color w:val="005F9F"/>
            <w:kern w:val="0"/>
            <w:sz w:val="15"/>
            <w:u w:val="single"/>
          </w:rPr>
          <w:t>Back to the top</w:t>
        </w:r>
      </w:hyperlink>
    </w:p>
    <w:p w:rsidR="00081246" w:rsidRPr="00081246" w:rsidRDefault="00EE75D0" w:rsidP="00081246">
      <w:pPr>
        <w:widowControl/>
        <w:shd w:val="clear" w:color="auto" w:fill="FFFFFF"/>
        <w:spacing w:before="330" w:after="330" w:line="207" w:lineRule="atLeast"/>
        <w:ind w:firstLine="0"/>
        <w:jc w:val="left"/>
        <w:rPr>
          <w:rFonts w:ascii="Helvetica" w:eastAsia="宋体" w:hAnsi="Helvetica" w:cs="Helvetica"/>
          <w:color w:val="333333"/>
          <w:kern w:val="0"/>
          <w:sz w:val="15"/>
          <w:szCs w:val="15"/>
        </w:rPr>
      </w:pPr>
      <w:r w:rsidRPr="00EE75D0">
        <w:rPr>
          <w:rFonts w:ascii="Helvetica" w:eastAsia="宋体" w:hAnsi="Helvetica" w:cs="Helvetica"/>
          <w:color w:val="333333"/>
          <w:kern w:val="0"/>
          <w:sz w:val="15"/>
          <w:szCs w:val="15"/>
        </w:rPr>
        <w:pict>
          <v:rect id="_x0000_i1033" style="width:0;height:0" o:hralign="center" o:hrstd="t" o:hr="t" fillcolor="#a0a0a0" stroked="f"/>
        </w:pict>
      </w:r>
    </w:p>
    <w:p w:rsidR="00081246" w:rsidRPr="00081246" w:rsidRDefault="00081246" w:rsidP="00081246">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081246">
        <w:rPr>
          <w:rFonts w:ascii="Helvetica" w:eastAsia="宋体" w:hAnsi="Helvetica" w:cs="Helvetica"/>
          <w:b/>
          <w:bCs/>
          <w:color w:val="333333"/>
          <w:kern w:val="0"/>
          <w:sz w:val="23"/>
          <w:szCs w:val="23"/>
        </w:rPr>
        <w:t>8. Limitations of Exemption from Premarket Notification</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FDA's decision to exempt a Class II device from the requirement of 510(k) is based on the existing and reasonably foreseeable characteristics of devices within that generic type that currently are, or have been, in commercial distribution.</w:t>
      </w:r>
      <w:r w:rsidRPr="00081246">
        <w:rPr>
          <w:rFonts w:ascii="Helvetica" w:eastAsia="宋体" w:hAnsi="Helvetica" w:cs="Helvetica"/>
          <w:color w:val="333333"/>
          <w:kern w:val="0"/>
          <w:sz w:val="15"/>
        </w:rPr>
        <w:t> </w:t>
      </w:r>
      <w:hyperlink r:id="rId45" w:history="1">
        <w:r w:rsidRPr="00081246">
          <w:rPr>
            <w:rFonts w:ascii="Helvetica" w:eastAsia="宋体" w:hAnsi="Helvetica" w:cs="Helvetica"/>
            <w:color w:val="005F9F"/>
            <w:kern w:val="0"/>
            <w:sz w:val="15"/>
            <w:u w:val="single"/>
          </w:rPr>
          <w:t>Section 21 CFR 872.9</w:t>
        </w:r>
      </w:hyperlink>
      <w:r w:rsidRPr="00081246">
        <w:rPr>
          <w:rFonts w:ascii="Helvetica" w:eastAsia="宋体" w:hAnsi="Helvetica" w:cs="Helvetica"/>
          <w:color w:val="333333"/>
          <w:kern w:val="0"/>
          <w:sz w:val="15"/>
        </w:rPr>
        <w:t> </w:t>
      </w:r>
      <w:r w:rsidRPr="00081246">
        <w:rPr>
          <w:rFonts w:ascii="Helvetica" w:eastAsia="宋体" w:hAnsi="Helvetica" w:cs="Helvetica"/>
          <w:color w:val="333333"/>
          <w:kern w:val="0"/>
          <w:sz w:val="15"/>
          <w:szCs w:val="15"/>
        </w:rPr>
        <w:t>specifies the limitations to exemption. A device classified as exempt from 510(k) requirements is not exempt, if the device:</w:t>
      </w:r>
    </w:p>
    <w:p w:rsidR="00081246" w:rsidRPr="00081246" w:rsidRDefault="00081246" w:rsidP="00081246">
      <w:pPr>
        <w:widowControl/>
        <w:numPr>
          <w:ilvl w:val="0"/>
          <w:numId w:val="8"/>
        </w:numPr>
        <w:shd w:val="clear" w:color="auto" w:fill="FFFFFF"/>
        <w:spacing w:line="207" w:lineRule="atLeast"/>
        <w:ind w:left="30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is for an intended use that is different from the intended use of a legally marketed device in that generic type</w:t>
      </w:r>
    </w:p>
    <w:p w:rsidR="00081246" w:rsidRPr="00081246" w:rsidRDefault="00081246" w:rsidP="00081246">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081246">
        <w:rPr>
          <w:rFonts w:ascii="Helvetica" w:eastAsia="宋体" w:hAnsi="Helvetica" w:cs="Helvetica"/>
          <w:color w:val="333333"/>
          <w:kern w:val="0"/>
          <w:sz w:val="15"/>
          <w:szCs w:val="15"/>
        </w:rPr>
        <w:t>operates</w:t>
      </w:r>
      <w:proofErr w:type="gramEnd"/>
      <w:r w:rsidRPr="00081246">
        <w:rPr>
          <w:rFonts w:ascii="Helvetica" w:eastAsia="宋体" w:hAnsi="Helvetica" w:cs="Helvetica"/>
          <w:color w:val="333333"/>
          <w:kern w:val="0"/>
          <w:sz w:val="15"/>
          <w:szCs w:val="15"/>
        </w:rPr>
        <w:t xml:space="preserve"> using a different fundamental scientific technology than that used by a legally marketed device in that generic type.</w:t>
      </w:r>
    </w:p>
    <w:p w:rsidR="00081246" w:rsidRPr="00081246" w:rsidRDefault="00081246" w:rsidP="00081246">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If any of these limitations apply, your device is not exempt and you must submit a 510(k).</w:t>
      </w:r>
    </w:p>
    <w:p w:rsidR="00081246" w:rsidRPr="00081246" w:rsidRDefault="00EE75D0" w:rsidP="00081246">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46" w:anchor="top" w:history="1">
        <w:r w:rsidR="00081246" w:rsidRPr="00081246">
          <w:rPr>
            <w:rFonts w:ascii="Helvetica" w:eastAsia="宋体" w:hAnsi="Helvetica" w:cs="Helvetica"/>
            <w:color w:val="005F9F"/>
            <w:kern w:val="0"/>
            <w:sz w:val="15"/>
            <w:u w:val="single"/>
          </w:rPr>
          <w:t>Back to the top</w:t>
        </w:r>
      </w:hyperlink>
    </w:p>
    <w:p w:rsidR="00081246" w:rsidRPr="00081246" w:rsidRDefault="00EE75D0" w:rsidP="00081246">
      <w:pPr>
        <w:widowControl/>
        <w:shd w:val="clear" w:color="auto" w:fill="FFFFFF"/>
        <w:spacing w:before="330" w:after="330" w:line="207" w:lineRule="atLeast"/>
        <w:ind w:firstLine="0"/>
        <w:jc w:val="left"/>
        <w:rPr>
          <w:rFonts w:ascii="Helvetica" w:eastAsia="宋体" w:hAnsi="Helvetica" w:cs="Helvetica"/>
          <w:color w:val="333333"/>
          <w:kern w:val="0"/>
          <w:sz w:val="15"/>
          <w:szCs w:val="15"/>
        </w:rPr>
      </w:pPr>
      <w:r w:rsidRPr="00EE75D0">
        <w:rPr>
          <w:rFonts w:ascii="Helvetica" w:eastAsia="宋体" w:hAnsi="Helvetica" w:cs="Helvetica"/>
          <w:color w:val="333333"/>
          <w:kern w:val="0"/>
          <w:sz w:val="15"/>
          <w:szCs w:val="15"/>
        </w:rPr>
        <w:pict>
          <v:rect id="_x0000_i1034" style="width:0;height:0" o:hralign="center" o:hrstd="t" o:hr="t" fillcolor="#a0a0a0" stroked="f"/>
        </w:pic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3"/>
          <w:szCs w:val="13"/>
          <w:vertAlign w:val="superscript"/>
        </w:rPr>
        <w:t>1</w:t>
      </w:r>
      <w:r w:rsidRPr="00081246">
        <w:rPr>
          <w:rFonts w:ascii="Helvetica" w:eastAsia="宋体" w:hAnsi="Helvetica" w:cs="Helvetica"/>
          <w:color w:val="333333"/>
          <w:kern w:val="0"/>
          <w:sz w:val="15"/>
        </w:rPr>
        <w:t> </w:t>
      </w:r>
      <w:r w:rsidRPr="00081246">
        <w:rPr>
          <w:rFonts w:ascii="Helvetica" w:eastAsia="宋体" w:hAnsi="Helvetica" w:cs="Helvetica"/>
          <w:color w:val="333333"/>
          <w:kern w:val="0"/>
          <w:sz w:val="15"/>
          <w:szCs w:val="15"/>
        </w:rPr>
        <w:t>We recommend that you document how you have addressed the recommendations in your design history file. Manufacturers must maintain design controls, including a design history file, in accordance with</w:t>
      </w:r>
      <w:r w:rsidRPr="00081246">
        <w:rPr>
          <w:rFonts w:ascii="Helvetica" w:eastAsia="宋体" w:hAnsi="Helvetica" w:cs="Helvetica"/>
          <w:color w:val="333333"/>
          <w:kern w:val="0"/>
          <w:sz w:val="15"/>
        </w:rPr>
        <w:t> </w:t>
      </w:r>
      <w:hyperlink r:id="rId47" w:history="1">
        <w:r w:rsidRPr="00081246">
          <w:rPr>
            <w:rFonts w:ascii="Helvetica" w:eastAsia="宋体" w:hAnsi="Helvetica" w:cs="Helvetica"/>
            <w:color w:val="005F9F"/>
            <w:kern w:val="0"/>
            <w:sz w:val="15"/>
            <w:u w:val="single"/>
          </w:rPr>
          <w:t>21 CFR 820.30</w:t>
        </w:r>
      </w:hyperlink>
      <w:r w:rsidRPr="00081246">
        <w:rPr>
          <w:rFonts w:ascii="Helvetica" w:eastAsia="宋体" w:hAnsi="Helvetica" w:cs="Helvetica"/>
          <w:color w:val="333333"/>
          <w:kern w:val="0"/>
          <w:sz w:val="15"/>
          <w:szCs w:val="15"/>
        </w:rPr>
        <w:t>.</w:t>
      </w:r>
    </w:p>
    <w:p w:rsidR="00081246" w:rsidRPr="00081246" w:rsidRDefault="00081246" w:rsidP="00081246">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3"/>
          <w:szCs w:val="13"/>
          <w:vertAlign w:val="superscript"/>
        </w:rPr>
        <w:t>2</w:t>
      </w:r>
      <w:r w:rsidRPr="00081246">
        <w:rPr>
          <w:rFonts w:ascii="Helvetica" w:eastAsia="宋体" w:hAnsi="Helvetica" w:cs="Helvetica"/>
          <w:color w:val="333333"/>
          <w:kern w:val="0"/>
          <w:sz w:val="15"/>
        </w:rPr>
        <w:t> </w:t>
      </w:r>
      <w:r w:rsidRPr="00081246">
        <w:rPr>
          <w:rFonts w:ascii="Helvetica" w:eastAsia="宋体" w:hAnsi="Helvetica" w:cs="Helvetica"/>
          <w:color w:val="333333"/>
          <w:kern w:val="0"/>
          <w:sz w:val="15"/>
          <w:szCs w:val="15"/>
        </w:rPr>
        <w:t>Final labeling must comply with the requirements of</w:t>
      </w:r>
      <w:hyperlink r:id="rId48" w:history="1">
        <w:r w:rsidRPr="00081246">
          <w:rPr>
            <w:rFonts w:ascii="Helvetica" w:eastAsia="宋体" w:hAnsi="Helvetica" w:cs="Helvetica"/>
            <w:color w:val="005F9F"/>
            <w:kern w:val="0"/>
            <w:sz w:val="15"/>
          </w:rPr>
          <w:t> </w:t>
        </w:r>
        <w:r w:rsidRPr="00081246">
          <w:rPr>
            <w:rFonts w:ascii="Helvetica" w:eastAsia="宋体" w:hAnsi="Helvetica" w:cs="Helvetica"/>
            <w:color w:val="005F9F"/>
            <w:kern w:val="0"/>
            <w:sz w:val="15"/>
            <w:u w:val="single"/>
          </w:rPr>
          <w:t>21 CFR 801</w:t>
        </w:r>
      </w:hyperlink>
      <w:r w:rsidRPr="00081246">
        <w:rPr>
          <w:rFonts w:ascii="Helvetica" w:eastAsia="宋体" w:hAnsi="Helvetica" w:cs="Helvetica"/>
          <w:color w:val="333333"/>
          <w:kern w:val="0"/>
          <w:sz w:val="15"/>
        </w:rPr>
        <w:t> </w:t>
      </w:r>
      <w:r w:rsidRPr="00081246">
        <w:rPr>
          <w:rFonts w:ascii="Helvetica" w:eastAsia="宋体" w:hAnsi="Helvetica" w:cs="Helvetica"/>
          <w:color w:val="333333"/>
          <w:kern w:val="0"/>
          <w:sz w:val="15"/>
          <w:szCs w:val="15"/>
        </w:rPr>
        <w:t>before a medical device is introduced into interstate commerce.</w:t>
      </w:r>
    </w:p>
    <w:p w:rsidR="00081246" w:rsidRPr="00081246" w:rsidRDefault="00081246" w:rsidP="00081246">
      <w:pPr>
        <w:widowControl/>
        <w:shd w:val="clear" w:color="auto" w:fill="FFFFFF"/>
        <w:spacing w:line="207" w:lineRule="atLeast"/>
        <w:ind w:firstLine="0"/>
        <w:jc w:val="left"/>
        <w:rPr>
          <w:rFonts w:ascii="Helvetica" w:eastAsia="宋体" w:hAnsi="Helvetica" w:cs="Helvetica"/>
          <w:color w:val="333333"/>
          <w:kern w:val="0"/>
          <w:sz w:val="15"/>
          <w:szCs w:val="15"/>
        </w:rPr>
      </w:pPr>
      <w:r w:rsidRPr="00081246">
        <w:rPr>
          <w:rFonts w:ascii="Helvetica" w:eastAsia="宋体" w:hAnsi="Helvetica" w:cs="Helvetica"/>
          <w:color w:val="333333"/>
          <w:kern w:val="0"/>
          <w:sz w:val="15"/>
          <w:szCs w:val="15"/>
        </w:rPr>
        <w:t> </w:t>
      </w:r>
    </w:p>
    <w:p w:rsidR="00E619E0" w:rsidRPr="00081246" w:rsidRDefault="00E619E0" w:rsidP="00081246">
      <w:pPr>
        <w:ind w:firstLine="0"/>
      </w:pPr>
    </w:p>
    <w:sectPr w:rsidR="00E619E0" w:rsidRPr="00081246" w:rsidSect="00E619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B67" w:rsidRDefault="00AB5B67" w:rsidP="00081246">
      <w:r>
        <w:separator/>
      </w:r>
    </w:p>
  </w:endnote>
  <w:endnote w:type="continuationSeparator" w:id="0">
    <w:p w:rsidR="00AB5B67" w:rsidRDefault="00AB5B67" w:rsidP="000812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B67" w:rsidRDefault="00AB5B67" w:rsidP="00081246">
      <w:r>
        <w:separator/>
      </w:r>
    </w:p>
  </w:footnote>
  <w:footnote w:type="continuationSeparator" w:id="0">
    <w:p w:rsidR="00AB5B67" w:rsidRDefault="00AB5B67" w:rsidP="000812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97E33"/>
    <w:multiLevelType w:val="multilevel"/>
    <w:tmpl w:val="607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3297D"/>
    <w:multiLevelType w:val="multilevel"/>
    <w:tmpl w:val="BF4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175E9"/>
    <w:multiLevelType w:val="multilevel"/>
    <w:tmpl w:val="6CE8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B0627D"/>
    <w:multiLevelType w:val="multilevel"/>
    <w:tmpl w:val="4ECA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1F313E"/>
    <w:multiLevelType w:val="multilevel"/>
    <w:tmpl w:val="8F40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C34FE"/>
    <w:multiLevelType w:val="multilevel"/>
    <w:tmpl w:val="6B9C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146B66"/>
    <w:multiLevelType w:val="multilevel"/>
    <w:tmpl w:val="05C4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236C28"/>
    <w:multiLevelType w:val="multilevel"/>
    <w:tmpl w:val="335A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1246"/>
    <w:rsid w:val="00081246"/>
    <w:rsid w:val="003A536A"/>
    <w:rsid w:val="003D300F"/>
    <w:rsid w:val="005D3390"/>
    <w:rsid w:val="009C5653"/>
    <w:rsid w:val="00AB5B67"/>
    <w:rsid w:val="00E619E0"/>
    <w:rsid w:val="00EE7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6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pPr>
  </w:style>
  <w:style w:type="paragraph" w:styleId="1">
    <w:name w:val="heading 1"/>
    <w:basedOn w:val="a"/>
    <w:link w:val="1Char"/>
    <w:uiPriority w:val="9"/>
    <w:qFormat/>
    <w:rsid w:val="00081246"/>
    <w:pPr>
      <w:widowControl/>
      <w:spacing w:before="100" w:beforeAutospacing="1" w:after="100" w:afterAutospacing="1"/>
      <w:ind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81246"/>
    <w:pPr>
      <w:widowControl/>
      <w:spacing w:before="100" w:beforeAutospacing="1" w:after="100" w:afterAutospacing="1"/>
      <w:ind w:firstLine="0"/>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081246"/>
    <w:pPr>
      <w:widowControl/>
      <w:spacing w:before="100" w:beforeAutospacing="1" w:after="100" w:afterAutospacing="1"/>
      <w:ind w:firstLine="0"/>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081246"/>
    <w:pPr>
      <w:widowControl/>
      <w:spacing w:before="100" w:beforeAutospacing="1" w:after="100" w:afterAutospacing="1"/>
      <w:ind w:firstLine="0"/>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12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1246"/>
    <w:rPr>
      <w:sz w:val="18"/>
      <w:szCs w:val="18"/>
    </w:rPr>
  </w:style>
  <w:style w:type="paragraph" w:styleId="a4">
    <w:name w:val="footer"/>
    <w:basedOn w:val="a"/>
    <w:link w:val="Char0"/>
    <w:uiPriority w:val="99"/>
    <w:semiHidden/>
    <w:unhideWhenUsed/>
    <w:rsid w:val="000812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1246"/>
    <w:rPr>
      <w:sz w:val="18"/>
      <w:szCs w:val="18"/>
    </w:rPr>
  </w:style>
  <w:style w:type="character" w:customStyle="1" w:styleId="1Char">
    <w:name w:val="标题 1 Char"/>
    <w:basedOn w:val="a0"/>
    <w:link w:val="1"/>
    <w:uiPriority w:val="9"/>
    <w:rsid w:val="00081246"/>
    <w:rPr>
      <w:rFonts w:ascii="宋体" w:eastAsia="宋体" w:hAnsi="宋体" w:cs="宋体"/>
      <w:b/>
      <w:bCs/>
      <w:kern w:val="36"/>
      <w:sz w:val="48"/>
      <w:szCs w:val="48"/>
    </w:rPr>
  </w:style>
  <w:style w:type="character" w:customStyle="1" w:styleId="2Char">
    <w:name w:val="标题 2 Char"/>
    <w:basedOn w:val="a0"/>
    <w:link w:val="2"/>
    <w:uiPriority w:val="9"/>
    <w:rsid w:val="00081246"/>
    <w:rPr>
      <w:rFonts w:ascii="宋体" w:eastAsia="宋体" w:hAnsi="宋体" w:cs="宋体"/>
      <w:b/>
      <w:bCs/>
      <w:kern w:val="0"/>
      <w:sz w:val="36"/>
      <w:szCs w:val="36"/>
    </w:rPr>
  </w:style>
  <w:style w:type="character" w:customStyle="1" w:styleId="3Char">
    <w:name w:val="标题 3 Char"/>
    <w:basedOn w:val="a0"/>
    <w:link w:val="3"/>
    <w:uiPriority w:val="9"/>
    <w:rsid w:val="00081246"/>
    <w:rPr>
      <w:rFonts w:ascii="宋体" w:eastAsia="宋体" w:hAnsi="宋体" w:cs="宋体"/>
      <w:b/>
      <w:bCs/>
      <w:kern w:val="0"/>
      <w:sz w:val="27"/>
      <w:szCs w:val="27"/>
    </w:rPr>
  </w:style>
  <w:style w:type="character" w:customStyle="1" w:styleId="4Char">
    <w:name w:val="标题 4 Char"/>
    <w:basedOn w:val="a0"/>
    <w:link w:val="4"/>
    <w:uiPriority w:val="9"/>
    <w:rsid w:val="00081246"/>
    <w:rPr>
      <w:rFonts w:ascii="宋体" w:eastAsia="宋体" w:hAnsi="宋体" w:cs="宋体"/>
      <w:b/>
      <w:bCs/>
      <w:kern w:val="0"/>
      <w:sz w:val="24"/>
      <w:szCs w:val="24"/>
    </w:rPr>
  </w:style>
  <w:style w:type="character" w:styleId="a5">
    <w:name w:val="Hyperlink"/>
    <w:basedOn w:val="a0"/>
    <w:uiPriority w:val="99"/>
    <w:semiHidden/>
    <w:unhideWhenUsed/>
    <w:rsid w:val="00081246"/>
    <w:rPr>
      <w:color w:val="0000FF"/>
      <w:u w:val="single"/>
    </w:rPr>
  </w:style>
  <w:style w:type="paragraph" w:styleId="a6">
    <w:name w:val="Normal (Web)"/>
    <w:basedOn w:val="a"/>
    <w:uiPriority w:val="99"/>
    <w:semiHidden/>
    <w:unhideWhenUsed/>
    <w:rsid w:val="00081246"/>
    <w:pPr>
      <w:widowControl/>
      <w:spacing w:before="100" w:beforeAutospacing="1" w:after="100" w:afterAutospacing="1"/>
      <w:ind w:firstLine="0"/>
      <w:jc w:val="left"/>
    </w:pPr>
    <w:rPr>
      <w:rFonts w:ascii="宋体" w:eastAsia="宋体" w:hAnsi="宋体" w:cs="宋体"/>
      <w:kern w:val="0"/>
      <w:sz w:val="24"/>
      <w:szCs w:val="24"/>
    </w:rPr>
  </w:style>
  <w:style w:type="character" w:styleId="a7">
    <w:name w:val="Strong"/>
    <w:basedOn w:val="a0"/>
    <w:uiPriority w:val="22"/>
    <w:qFormat/>
    <w:rsid w:val="00081246"/>
    <w:rPr>
      <w:b/>
      <w:bCs/>
    </w:rPr>
  </w:style>
  <w:style w:type="paragraph" w:customStyle="1" w:styleId="text-right">
    <w:name w:val="text-right"/>
    <w:basedOn w:val="a"/>
    <w:rsid w:val="00081246"/>
    <w:pPr>
      <w:widowControl/>
      <w:spacing w:before="100" w:beforeAutospacing="1" w:after="100" w:afterAutospacing="1"/>
      <w:ind w:firstLine="0"/>
      <w:jc w:val="left"/>
    </w:pPr>
    <w:rPr>
      <w:rFonts w:ascii="宋体" w:eastAsia="宋体" w:hAnsi="宋体" w:cs="宋体"/>
      <w:kern w:val="0"/>
      <w:sz w:val="24"/>
      <w:szCs w:val="24"/>
    </w:rPr>
  </w:style>
  <w:style w:type="character" w:customStyle="1" w:styleId="apple-converted-space">
    <w:name w:val="apple-converted-space"/>
    <w:basedOn w:val="a0"/>
    <w:rsid w:val="00081246"/>
  </w:style>
  <w:style w:type="paragraph" w:styleId="a8">
    <w:name w:val="Balloon Text"/>
    <w:basedOn w:val="a"/>
    <w:link w:val="Char1"/>
    <w:uiPriority w:val="99"/>
    <w:semiHidden/>
    <w:unhideWhenUsed/>
    <w:rsid w:val="00081246"/>
    <w:rPr>
      <w:sz w:val="18"/>
      <w:szCs w:val="18"/>
    </w:rPr>
  </w:style>
  <w:style w:type="character" w:customStyle="1" w:styleId="Char1">
    <w:name w:val="批注框文本 Char"/>
    <w:basedOn w:val="a0"/>
    <w:link w:val="a8"/>
    <w:uiPriority w:val="99"/>
    <w:semiHidden/>
    <w:rsid w:val="00081246"/>
    <w:rPr>
      <w:sz w:val="18"/>
      <w:szCs w:val="18"/>
    </w:rPr>
  </w:style>
</w:styles>
</file>

<file path=word/webSettings.xml><?xml version="1.0" encoding="utf-8"?>
<w:webSettings xmlns:r="http://schemas.openxmlformats.org/officeDocument/2006/relationships" xmlns:w="http://schemas.openxmlformats.org/wordprocessingml/2006/main">
  <w:divs>
    <w:div w:id="1257208352">
      <w:bodyDiv w:val="1"/>
      <w:marLeft w:val="0"/>
      <w:marRight w:val="0"/>
      <w:marTop w:val="0"/>
      <w:marBottom w:val="0"/>
      <w:divBdr>
        <w:top w:val="none" w:sz="0" w:space="0" w:color="auto"/>
        <w:left w:val="none" w:sz="0" w:space="0" w:color="auto"/>
        <w:bottom w:val="none" w:sz="0" w:space="0" w:color="auto"/>
        <w:right w:val="none" w:sz="0" w:space="0" w:color="auto"/>
      </w:divBdr>
      <w:divsChild>
        <w:div w:id="682098917">
          <w:marLeft w:val="0"/>
          <w:marRight w:val="0"/>
          <w:marTop w:val="0"/>
          <w:marBottom w:val="0"/>
          <w:divBdr>
            <w:top w:val="none" w:sz="0" w:space="0" w:color="auto"/>
            <w:left w:val="none" w:sz="0" w:space="0" w:color="auto"/>
            <w:bottom w:val="none" w:sz="0" w:space="0" w:color="auto"/>
            <w:right w:val="none" w:sz="0" w:space="0" w:color="auto"/>
          </w:divBdr>
          <w:divsChild>
            <w:div w:id="875043606">
              <w:marLeft w:val="-161"/>
              <w:marRight w:val="-161"/>
              <w:marTop w:val="0"/>
              <w:marBottom w:val="0"/>
              <w:divBdr>
                <w:top w:val="none" w:sz="0" w:space="0" w:color="auto"/>
                <w:left w:val="none" w:sz="0" w:space="0" w:color="auto"/>
                <w:bottom w:val="none" w:sz="0" w:space="0" w:color="auto"/>
                <w:right w:val="none" w:sz="0" w:space="0" w:color="auto"/>
              </w:divBdr>
              <w:divsChild>
                <w:div w:id="8823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6589">
          <w:marLeft w:val="0"/>
          <w:marRight w:val="0"/>
          <w:marTop w:val="240"/>
          <w:marBottom w:val="240"/>
          <w:divBdr>
            <w:top w:val="none" w:sz="0" w:space="0" w:color="auto"/>
            <w:left w:val="none" w:sz="0" w:space="0" w:color="auto"/>
            <w:bottom w:val="none" w:sz="0" w:space="0" w:color="auto"/>
            <w:right w:val="none" w:sz="0" w:space="0" w:color="auto"/>
          </w:divBdr>
        </w:div>
        <w:div w:id="139292358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da.gov/medicaldevices/deviceregulationandguidance/guidancedocuments/ucm072344.htm" TargetMode="External"/><Relationship Id="rId18" Type="http://schemas.openxmlformats.org/officeDocument/2006/relationships/hyperlink" Target="https://www.fda.gov/medicaldevices/deviceregulationandguidance/guidancedocuments/ucm072344.htm" TargetMode="External"/><Relationship Id="rId26" Type="http://schemas.openxmlformats.org/officeDocument/2006/relationships/hyperlink" Target="http://www.accessdata.fda.gov/scripts/cdrh/cfdocs/cfcfr/CFRSearch.cfm?fr=872.3980" TargetMode="External"/><Relationship Id="rId39" Type="http://schemas.openxmlformats.org/officeDocument/2006/relationships/hyperlink" Target="https://www.fda.gov/medicaldevices/deviceregulationandguidance/guidancedocuments/ucm072344.htm" TargetMode="External"/><Relationship Id="rId3" Type="http://schemas.openxmlformats.org/officeDocument/2006/relationships/settings" Target="settings.xml"/><Relationship Id="rId21" Type="http://schemas.openxmlformats.org/officeDocument/2006/relationships/hyperlink" Target="https://www.fda.gov/medicaldevices/deviceregulationandguidance/guidancedocuments/ucm072344.htm" TargetMode="External"/><Relationship Id="rId34" Type="http://schemas.openxmlformats.org/officeDocument/2006/relationships/hyperlink" Target="https://www.fda.gov/medicaldevices/deviceregulationandguidance/guidancedocuments/ucm072344.htm" TargetMode="External"/><Relationship Id="rId42" Type="http://schemas.openxmlformats.org/officeDocument/2006/relationships/hyperlink" Target="http://www.accessdata.fda.gov/scripts/cdrh/cfdocs/cfcfr/CFRSearch.cfm?FR=801.109" TargetMode="External"/><Relationship Id="rId47" Type="http://schemas.openxmlformats.org/officeDocument/2006/relationships/hyperlink" Target="http://www.accessdata.fda.gov/scripts/cdrh/cfdocs/cfcfr/CFRSearch.cfm?FR=820.30" TargetMode="External"/><Relationship Id="rId50" Type="http://schemas.openxmlformats.org/officeDocument/2006/relationships/theme" Target="theme/theme1.xml"/><Relationship Id="rId7" Type="http://schemas.openxmlformats.org/officeDocument/2006/relationships/hyperlink" Target="mailto:michael.adjodha@fda.hhs.gov" TargetMode="External"/><Relationship Id="rId12" Type="http://schemas.openxmlformats.org/officeDocument/2006/relationships/hyperlink" Target="https://www.fda.gov/medicaldevices/deviceregulationandguidance/guidancedocuments/ucm072344.htm" TargetMode="External"/><Relationship Id="rId17" Type="http://schemas.openxmlformats.org/officeDocument/2006/relationships/hyperlink" Target="https://www.fda.gov/medicaldevices/deviceregulationandguidance/guidancedocuments/ucm072344.htm" TargetMode="External"/><Relationship Id="rId25" Type="http://schemas.openxmlformats.org/officeDocument/2006/relationships/hyperlink" Target="http://www.accessdata.fda.gov/scripts/cdrh/cfdocs/cfcfr/CFRSearch.cfm?fr=872.3640" TargetMode="External"/><Relationship Id="rId33" Type="http://schemas.openxmlformats.org/officeDocument/2006/relationships/hyperlink" Target="https://www.fda.gov/medicaldevices/deviceregulationandguidance/guidancedocuments/ucm072344.htm" TargetMode="External"/><Relationship Id="rId38" Type="http://schemas.openxmlformats.org/officeDocument/2006/relationships/hyperlink" Target="https://www.fda.gov/medicaldevices/deviceregulationandguidance/guidancedocuments/ucm072344.htm" TargetMode="External"/><Relationship Id="rId46" Type="http://schemas.openxmlformats.org/officeDocument/2006/relationships/hyperlink" Target="https://www.fda.gov/medicaldevices/deviceregulationandguidance/guidancedocuments/ucm072344.htm" TargetMode="External"/><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2344.htm" TargetMode="External"/><Relationship Id="rId20" Type="http://schemas.openxmlformats.org/officeDocument/2006/relationships/hyperlink" Target="https://www.fda.gov/MedicalDevices/DeviceRegulationandGuidance/Overview/MedicalDeviceProvisionsofFDAModernizationAct/ucm136685.htm" TargetMode="External"/><Relationship Id="rId29" Type="http://schemas.openxmlformats.org/officeDocument/2006/relationships/hyperlink" Target="https://www.fda.gov/downloads/MedicalDevices/DeviceRegulationandGuidance/GuidanceDocuments/UCM072417.pdf" TargetMode="External"/><Relationship Id="rId41" Type="http://schemas.openxmlformats.org/officeDocument/2006/relationships/hyperlink" Target="https://www.fda.gov/medicaldevices/deviceregulationandguidance/guidancedocuments/ucm07234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72344.htm" TargetMode="External"/><Relationship Id="rId24" Type="http://schemas.openxmlformats.org/officeDocument/2006/relationships/hyperlink" Target="http://www.accessdata.fda.gov/scripts/cdrh/cfdocs/cfcfr/CFRSearch.cfm?fr=872.9" TargetMode="External"/><Relationship Id="rId32" Type="http://schemas.openxmlformats.org/officeDocument/2006/relationships/hyperlink" Target="https://www.fda.gov/medicaldevices/deviceregulationandguidance/guidancedocuments/ucm072344.htm" TargetMode="External"/><Relationship Id="rId37" Type="http://schemas.openxmlformats.org/officeDocument/2006/relationships/hyperlink" Target="https://www.fda.gov/medicaldevices/deviceregulationandguidance/guidancedocuments/ucm072344.htm" TargetMode="External"/><Relationship Id="rId40" Type="http://schemas.openxmlformats.org/officeDocument/2006/relationships/hyperlink" Target="https://www.fda.gov/medicaldevices/deviceregulationandguidance/guidancedocuments/ssLINK/ucm080735.htm" TargetMode="External"/><Relationship Id="rId45" Type="http://schemas.openxmlformats.org/officeDocument/2006/relationships/hyperlink" Target="http://www.accessdata.fda.gov/scripts/cdrh/cfdocs/cfcfr/CFRSearch.cfm?fr=872.9" TargetMode="External"/><Relationship Id="rId5" Type="http://schemas.openxmlformats.org/officeDocument/2006/relationships/footnotes" Target="footnotes.xml"/><Relationship Id="rId15" Type="http://schemas.openxmlformats.org/officeDocument/2006/relationships/hyperlink" Target="https://www.fda.gov/medicaldevices/deviceregulationandguidance/guidancedocuments/ucm072344.htm" TargetMode="External"/><Relationship Id="rId23" Type="http://schemas.openxmlformats.org/officeDocument/2006/relationships/hyperlink" Target="http://www.accessdata.fda.gov/scripts/cdrh/cfdocs/cfcfr/CFRSearch.cfm?CFRPart=807&amp;showFR=1" TargetMode="External"/><Relationship Id="rId28" Type="http://schemas.openxmlformats.org/officeDocument/2006/relationships/hyperlink" Target="http://www.accessdata.fda.gov/scripts/cdrh/cfdocs/cfcfr/CFRSearch.cfm?fr=872.4565" TargetMode="External"/><Relationship Id="rId36" Type="http://schemas.openxmlformats.org/officeDocument/2006/relationships/hyperlink" Target="https://www.fda.gov/medicaldevices/deviceregulationandguidance/guidancedocuments/ucm072344.htm" TargetMode="External"/><Relationship Id="rId49" Type="http://schemas.openxmlformats.org/officeDocument/2006/relationships/fontTable" Target="fontTable.xml"/><Relationship Id="rId10" Type="http://schemas.openxmlformats.org/officeDocument/2006/relationships/hyperlink" Target="mailto:CDRH-Guidance@fda.hhs.gov" TargetMode="External"/><Relationship Id="rId19" Type="http://schemas.openxmlformats.org/officeDocument/2006/relationships/hyperlink" Target="https://www.fda.gov/medicaldevices/deviceregulationandguidance/guidancedocuments/ucm072344.htm" TargetMode="External"/><Relationship Id="rId31" Type="http://schemas.openxmlformats.org/officeDocument/2006/relationships/hyperlink" Target="https://www.fda.gov/medicaldevices/deviceregulationandguidance/guidancedocuments/ucm072344.htm" TargetMode="External"/><Relationship Id="rId44" Type="http://schemas.openxmlformats.org/officeDocument/2006/relationships/hyperlink" Target="https://www.fda.gov/medicaldevices/deviceregulationandguidance/guidancedocuments/ucm072344.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s://www.fda.gov/medicaldevices/deviceregulationandguidance/guidancedocuments/ucm072344.htm" TargetMode="External"/><Relationship Id="rId22" Type="http://schemas.openxmlformats.org/officeDocument/2006/relationships/hyperlink" Target="http://www.accessdata.fda.gov/scripts/cdrh/cfdocs/cfcfr/CFRSearch.cfm?fr=872.3060" TargetMode="External"/><Relationship Id="rId27" Type="http://schemas.openxmlformats.org/officeDocument/2006/relationships/hyperlink" Target="http://www.accessdata.fda.gov/scripts/cdrh/cfdocs/cfcfr/CFRSearch.cfm?fr=872.5410" TargetMode="External"/><Relationship Id="rId30" Type="http://schemas.openxmlformats.org/officeDocument/2006/relationships/hyperlink" Target="https://www.fda.gov/medicaldevices/deviceregulationandguidance/guidancedocuments/ucm072344.htm" TargetMode="External"/><Relationship Id="rId35" Type="http://schemas.openxmlformats.org/officeDocument/2006/relationships/hyperlink" Target="https://www.fda.gov/medicaldevices/deviceregulationandguidance/guidancedocuments/ucm072344.htm" TargetMode="External"/><Relationship Id="rId43" Type="http://schemas.openxmlformats.org/officeDocument/2006/relationships/hyperlink" Target="https://www.fda.gov/medicaldevices/deviceregulationandguidance/guidancedocuments/ucm072344.htm" TargetMode="External"/><Relationship Id="rId48" Type="http://schemas.openxmlformats.org/officeDocument/2006/relationships/hyperlink" Target="http://www.accessdata.fda.gov/scripts/cdrh/cfdocs/cfcfr/CFRSearch.cfm?CFRPart=801&amp;showFR=1" TargetMode="External"/><Relationship Id="rId8"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2430</Words>
  <Characters>13852</Characters>
  <Application>Microsoft Office Word</Application>
  <DocSecurity>0</DocSecurity>
  <Lines>115</Lines>
  <Paragraphs>32</Paragraphs>
  <ScaleCrop>false</ScaleCrop>
  <Company/>
  <LinksUpToDate>false</LinksUpToDate>
  <CharactersWithSpaces>16250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2017-03-24T09:06:00Z</dcterms:created>
  <dcterms:modified xsi:type="dcterms:W3CDTF">2017-03-27T01:08:00Z</dcterms:modified>
</cp:coreProperties>
</file>