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F41" w:rsidRPr="006F2F41" w:rsidRDefault="006F2F41" w:rsidP="006F2F41">
      <w:pPr>
        <w:widowControl/>
        <w:spacing w:before="330" w:after="165"/>
        <w:jc w:val="left"/>
        <w:outlineLvl w:val="0"/>
        <w:rPr>
          <w:rFonts w:ascii="Helvetica" w:eastAsia="宋体" w:hAnsi="Helvetica" w:cs="Helvetica"/>
          <w:b/>
          <w:bCs/>
          <w:color w:val="333333"/>
          <w:kern w:val="36"/>
          <w:sz w:val="45"/>
          <w:szCs w:val="45"/>
          <w:lang w:val="en"/>
        </w:rPr>
      </w:pPr>
      <w:r w:rsidRPr="006F2F41">
        <w:rPr>
          <w:rFonts w:ascii="Helvetica" w:eastAsia="宋体" w:hAnsi="Helvetica" w:cs="Helvetica"/>
          <w:b/>
          <w:bCs/>
          <w:color w:val="333333"/>
          <w:kern w:val="36"/>
          <w:sz w:val="45"/>
          <w:szCs w:val="45"/>
          <w:lang w:val="en"/>
        </w:rPr>
        <w:t>Guidance for the Content of Premarket Notifications for Biopsy Devices Used in Gastroenterology and Urology (Text Only)</w:t>
      </w:r>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8" w:tgtFrame="_blank" w:history="1">
        <w:r w:rsidRPr="006F2F41">
          <w:rPr>
            <w:rFonts w:ascii="宋体" w:eastAsia="宋体" w:hAnsi="宋体" w:cs="宋体"/>
            <w:caps/>
            <w:color w:val="FFFFFF"/>
            <w:kern w:val="0"/>
            <w:sz w:val="17"/>
            <w:szCs w:val="17"/>
            <w:lang w:val="en"/>
          </w:rPr>
          <w:t>Share</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9" w:tgtFrame="_blank" w:history="1">
        <w:r w:rsidRPr="006F2F41">
          <w:rPr>
            <w:rFonts w:ascii="宋体" w:eastAsia="宋体" w:hAnsi="宋体" w:cs="宋体"/>
            <w:caps/>
            <w:color w:val="FFFFFF"/>
            <w:kern w:val="0"/>
            <w:sz w:val="17"/>
            <w:szCs w:val="17"/>
            <w:lang w:val="en"/>
          </w:rPr>
          <w:t>Tweet</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10" w:tgtFrame="_blank" w:history="1">
        <w:r w:rsidRPr="006F2F41">
          <w:rPr>
            <w:rFonts w:ascii="宋体" w:eastAsia="宋体" w:hAnsi="宋体" w:cs="宋体"/>
            <w:caps/>
            <w:color w:val="FFFFFF"/>
            <w:kern w:val="0"/>
            <w:sz w:val="17"/>
            <w:szCs w:val="17"/>
            <w:lang w:val="en"/>
          </w:rPr>
          <w:t>Linkedin</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11" w:tgtFrame="_blank" w:history="1">
        <w:r w:rsidRPr="006F2F41">
          <w:rPr>
            <w:rFonts w:ascii="宋体" w:eastAsia="宋体" w:hAnsi="宋体" w:cs="宋体"/>
            <w:caps/>
            <w:color w:val="FFFFFF"/>
            <w:kern w:val="0"/>
            <w:sz w:val="17"/>
            <w:szCs w:val="17"/>
            <w:lang w:val="en"/>
          </w:rPr>
          <w:t>Pin it</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12" w:anchor="more-shares" w:history="1">
        <w:r w:rsidRPr="006F2F41">
          <w:rPr>
            <w:rFonts w:ascii="Helvetica" w:eastAsia="宋体" w:hAnsi="Helvetica" w:cs="Helvetica"/>
            <w:caps/>
            <w:color w:val="000000"/>
            <w:kern w:val="0"/>
            <w:sz w:val="17"/>
            <w:szCs w:val="17"/>
            <w:bdr w:val="none" w:sz="0" w:space="0" w:color="auto" w:frame="1"/>
            <w:lang w:val="en"/>
          </w:rPr>
          <w:t>More sharing options</w:t>
        </w:r>
      </w:hyperlink>
      <w:r w:rsidRPr="006F2F41">
        <w:rPr>
          <w:rFonts w:ascii="Helvetica" w:eastAsia="宋体" w:hAnsi="Helvetica" w:cs="Helvetica"/>
          <w:color w:val="333333"/>
          <w:kern w:val="0"/>
          <w:sz w:val="24"/>
          <w:szCs w:val="24"/>
          <w:lang w:val="en"/>
        </w:rPr>
        <w:t xml:space="preserve"> </w:t>
      </w:r>
    </w:p>
    <w:p w:rsidR="006F2F41" w:rsidRPr="006F2F41" w:rsidRDefault="006F2F41" w:rsidP="006F2F41">
      <w:pPr>
        <w:widowControl/>
        <w:numPr>
          <w:ilvl w:val="1"/>
          <w:numId w:val="1"/>
        </w:numPr>
        <w:ind w:left="-450"/>
        <w:jc w:val="left"/>
        <w:rPr>
          <w:rFonts w:ascii="Helvetica" w:eastAsia="宋体" w:hAnsi="Helvetica" w:cs="Helvetica"/>
          <w:color w:val="333333"/>
          <w:kern w:val="0"/>
          <w:sz w:val="24"/>
          <w:szCs w:val="24"/>
          <w:lang w:val="en"/>
        </w:rPr>
      </w:pPr>
      <w:hyperlink r:id="rId13" w:tgtFrame="_blank" w:history="1">
        <w:r w:rsidRPr="006F2F41">
          <w:rPr>
            <w:rFonts w:ascii="Helvetica" w:eastAsia="宋体" w:hAnsi="Helvetica" w:cs="Helvetica"/>
            <w:caps/>
            <w:color w:val="000000"/>
            <w:kern w:val="0"/>
            <w:sz w:val="17"/>
            <w:szCs w:val="17"/>
            <w:bdr w:val="none" w:sz="0" w:space="0" w:color="auto" w:frame="1"/>
            <w:lang w:val="en"/>
          </w:rPr>
          <w:t>Linkedin</w:t>
        </w:r>
      </w:hyperlink>
    </w:p>
    <w:p w:rsidR="006F2F41" w:rsidRPr="006F2F41" w:rsidRDefault="006F2F41" w:rsidP="006F2F41">
      <w:pPr>
        <w:widowControl/>
        <w:numPr>
          <w:ilvl w:val="1"/>
          <w:numId w:val="1"/>
        </w:numPr>
        <w:ind w:left="-450"/>
        <w:jc w:val="left"/>
        <w:rPr>
          <w:rFonts w:ascii="Helvetica" w:eastAsia="宋体" w:hAnsi="Helvetica" w:cs="Helvetica"/>
          <w:color w:val="333333"/>
          <w:kern w:val="0"/>
          <w:sz w:val="24"/>
          <w:szCs w:val="24"/>
          <w:lang w:val="en"/>
        </w:rPr>
      </w:pPr>
      <w:hyperlink r:id="rId14" w:tgtFrame="_blank" w:history="1">
        <w:r w:rsidRPr="006F2F41">
          <w:rPr>
            <w:rFonts w:ascii="Helvetica" w:eastAsia="宋体" w:hAnsi="Helvetica" w:cs="Helvetica"/>
            <w:caps/>
            <w:color w:val="000000"/>
            <w:kern w:val="0"/>
            <w:sz w:val="17"/>
            <w:szCs w:val="17"/>
            <w:bdr w:val="none" w:sz="0" w:space="0" w:color="auto" w:frame="1"/>
            <w:lang w:val="en"/>
          </w:rPr>
          <w:t>Pin it</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15" w:history="1">
        <w:r w:rsidRPr="006F2F41">
          <w:rPr>
            <w:rFonts w:ascii="宋体" w:eastAsia="宋体" w:hAnsi="宋体" w:cs="宋体"/>
            <w:caps/>
            <w:color w:val="FFFFFF"/>
            <w:kern w:val="0"/>
            <w:sz w:val="17"/>
            <w:szCs w:val="17"/>
            <w:lang w:val="en"/>
          </w:rPr>
          <w:t>Email</w:t>
        </w:r>
      </w:hyperlink>
    </w:p>
    <w:p w:rsidR="006F2F41" w:rsidRPr="006F2F41" w:rsidRDefault="006F2F41" w:rsidP="006F2F41">
      <w:pPr>
        <w:widowControl/>
        <w:numPr>
          <w:ilvl w:val="0"/>
          <w:numId w:val="1"/>
        </w:numPr>
        <w:ind w:left="-450"/>
        <w:jc w:val="left"/>
        <w:rPr>
          <w:rFonts w:ascii="Helvetica" w:eastAsia="宋体" w:hAnsi="Helvetica" w:cs="Helvetica"/>
          <w:color w:val="333333"/>
          <w:kern w:val="0"/>
          <w:sz w:val="24"/>
          <w:szCs w:val="24"/>
          <w:lang w:val="en"/>
        </w:rPr>
      </w:pPr>
      <w:hyperlink r:id="rId16" w:tooltip="Print this page" w:history="1">
        <w:r w:rsidRPr="006F2F41">
          <w:rPr>
            <w:rFonts w:ascii="Helvetica" w:eastAsia="宋体" w:hAnsi="Helvetica" w:cs="Helvetica"/>
            <w:caps/>
            <w:color w:val="FFFFFF"/>
            <w:kern w:val="0"/>
            <w:sz w:val="17"/>
            <w:szCs w:val="17"/>
            <w:lang w:val="en"/>
          </w:rPr>
          <w:t>Print</w:t>
        </w:r>
      </w:hyperlink>
    </w:p>
    <w:p w:rsidR="006F2F41" w:rsidRPr="006F2F41" w:rsidRDefault="006F2F41" w:rsidP="006F2F41">
      <w:pPr>
        <w:widowControl/>
        <w:jc w:val="left"/>
        <w:rPr>
          <w:rFonts w:ascii="Helvetica" w:eastAsia="宋体" w:hAnsi="Helvetica" w:cs="Helvetica"/>
          <w:color w:val="333333"/>
          <w:kern w:val="0"/>
          <w:sz w:val="24"/>
          <w:szCs w:val="24"/>
          <w:lang w:val="en"/>
        </w:rPr>
      </w:pPr>
      <w:r w:rsidRPr="006F2F41">
        <w:rPr>
          <w:rFonts w:ascii="Helvetica" w:eastAsia="宋体" w:hAnsi="Helvetica" w:cs="Helvetica"/>
          <w:color w:val="333333"/>
          <w:kern w:val="0"/>
          <w:sz w:val="24"/>
          <w:szCs w:val="24"/>
          <w:lang w:val="en"/>
        </w:rPr>
        <w:t>This guidance was written prior to the February 27, 1997 implementation of FDA’s Good Guidance Practices, GGP’s. It does not create or confer rights for or on any person and does not operate to bind FDA or the public. An alternative approach may be used if such approach satisfies the requirements of the applicable statute, regulations, or both. This guidance will be updated in the next revision to include the standard elements of GGP’s.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Biopsy devices for gastroenterology and urology are described in the FDA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regulations</w:t>
      </w:r>
      <w:proofErr w:type="gramEnd"/>
      <w:r w:rsidRPr="006F2F41">
        <w:rPr>
          <w:rFonts w:ascii="Courier New" w:eastAsia="宋体" w:hAnsi="Courier New" w:cs="Courier New"/>
          <w:color w:val="333333"/>
          <w:kern w:val="0"/>
          <w:sz w:val="24"/>
          <w:szCs w:val="24"/>
          <w:lang w:val="en"/>
        </w:rPr>
        <w:t xml:space="preserve"> under three classifications.  These classifications are 21 CFR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876.1075 (a) Gastroenterology-Urology Biopsy Instruments, 21 CFR 876.1500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(a) Endoscopes and Accessories, and 21 CFR 876.4300 (a) Endoscopic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Electrosurgical Unit and Accessories.</w:t>
      </w:r>
      <w:proofErr w:type="gramEnd"/>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classification 876.1075 (a), Gastroenterology-Urology Biopsy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Instruments, includes devices that are "used to remove, by cutting 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aspiration</w:t>
      </w:r>
      <w:proofErr w:type="gramEnd"/>
      <w:r w:rsidRPr="006F2F41">
        <w:rPr>
          <w:rFonts w:ascii="Courier New" w:eastAsia="宋体" w:hAnsi="Courier New" w:cs="Courier New"/>
          <w:color w:val="333333"/>
          <w:kern w:val="0"/>
          <w:sz w:val="24"/>
          <w:szCs w:val="24"/>
          <w:lang w:val="en"/>
        </w:rPr>
        <w:t xml:space="preserve">, a specimen of tissue for microscopic examination.  This generic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type</w:t>
      </w:r>
      <w:proofErr w:type="gramEnd"/>
      <w:r w:rsidRPr="006F2F41">
        <w:rPr>
          <w:rFonts w:ascii="Courier New" w:eastAsia="宋体" w:hAnsi="Courier New" w:cs="Courier New"/>
          <w:color w:val="333333"/>
          <w:kern w:val="0"/>
          <w:sz w:val="24"/>
          <w:szCs w:val="24"/>
          <w:lang w:val="en"/>
        </w:rPr>
        <w:t xml:space="preserve"> of device includes the biopsy punch, gastrointestinal mechanical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xml:space="preserve"> instrument, suction biopsy instrument, gastro-urology biopsy needle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and</w:t>
      </w:r>
      <w:proofErr w:type="gramEnd"/>
      <w:r w:rsidRPr="006F2F41">
        <w:rPr>
          <w:rFonts w:ascii="Courier New" w:eastAsia="宋体" w:hAnsi="Courier New" w:cs="Courier New"/>
          <w:color w:val="333333"/>
          <w:kern w:val="0"/>
          <w:sz w:val="24"/>
          <w:szCs w:val="24"/>
          <w:lang w:val="en"/>
        </w:rPr>
        <w:t xml:space="preserve"> needle set, and nonelectric biopsy forceps.  This section does not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apply</w:t>
      </w:r>
      <w:proofErr w:type="gramEnd"/>
      <w:r w:rsidRPr="006F2F41">
        <w:rPr>
          <w:rFonts w:ascii="Courier New" w:eastAsia="宋体" w:hAnsi="Courier New" w:cs="Courier New"/>
          <w:color w:val="333333"/>
          <w:kern w:val="0"/>
          <w:sz w:val="24"/>
          <w:szCs w:val="24"/>
          <w:lang w:val="en"/>
        </w:rPr>
        <w:t xml:space="preserve"> to biopsy instruments covered by classification regulations in other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parts</w:t>
      </w:r>
      <w:proofErr w:type="gramEnd"/>
      <w:r w:rsidRPr="006F2F41">
        <w:rPr>
          <w:rFonts w:ascii="Courier New" w:eastAsia="宋体" w:hAnsi="Courier New" w:cs="Courier New"/>
          <w:color w:val="333333"/>
          <w:kern w:val="0"/>
          <w:sz w:val="24"/>
          <w:szCs w:val="24"/>
          <w:lang w:val="en"/>
        </w:rPr>
        <w:t xml:space="preserve"> of the device classification regulations."  These are Class II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devices</w:t>
      </w:r>
      <w:proofErr w:type="gramEnd"/>
      <w:r w:rsidRPr="006F2F41">
        <w:rPr>
          <w:rFonts w:ascii="Courier New" w:eastAsia="宋体" w:hAnsi="Courier New" w:cs="Courier New"/>
          <w:color w:val="333333"/>
          <w:kern w:val="0"/>
          <w:sz w:val="24"/>
          <w:szCs w:val="24"/>
          <w:lang w:val="en"/>
        </w:rPr>
        <w:t xml:space="preserve"> as stated in 21 CFR 876.1075 (b) and their </w:t>
      </w:r>
      <w:proofErr w:type="spellStart"/>
      <w:r w:rsidRPr="006F2F41">
        <w:rPr>
          <w:rFonts w:ascii="Courier New" w:eastAsia="宋体" w:hAnsi="Courier New" w:cs="Courier New"/>
          <w:color w:val="333333"/>
          <w:kern w:val="0"/>
          <w:sz w:val="24"/>
          <w:szCs w:val="24"/>
          <w:lang w:val="en"/>
        </w:rPr>
        <w:t>procodes</w:t>
      </w:r>
      <w:proofErr w:type="spellEnd"/>
      <w:r w:rsidRPr="006F2F41">
        <w:rPr>
          <w:rFonts w:ascii="Courier New" w:eastAsia="宋体" w:hAnsi="Courier New" w:cs="Courier New"/>
          <w:color w:val="333333"/>
          <w:kern w:val="0"/>
          <w:sz w:val="24"/>
          <w:szCs w:val="24"/>
          <w:lang w:val="en"/>
        </w:rPr>
        <w:t xml:space="preserve"> are:  78 FFF -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cover</w:t>
      </w:r>
      <w:proofErr w:type="gramEnd"/>
      <w:r w:rsidRPr="006F2F41">
        <w:rPr>
          <w:rFonts w:ascii="Courier New" w:eastAsia="宋体" w:hAnsi="Courier New" w:cs="Courier New"/>
          <w:color w:val="333333"/>
          <w:kern w:val="0"/>
          <w:sz w:val="24"/>
          <w:szCs w:val="24"/>
          <w:lang w:val="en"/>
        </w:rPr>
        <w:t xml:space="preserve">, biopsy forceps; 78 FCL - forceps, biopsy, non-electric; 78 KNW -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instrument</w:t>
      </w:r>
      <w:proofErr w:type="gramEnd"/>
      <w:r w:rsidRPr="006F2F41">
        <w:rPr>
          <w:rFonts w:ascii="Courier New" w:eastAsia="宋体" w:hAnsi="Courier New" w:cs="Courier New"/>
          <w:color w:val="333333"/>
          <w:kern w:val="0"/>
          <w:sz w:val="24"/>
          <w:szCs w:val="24"/>
          <w:lang w:val="en"/>
        </w:rPr>
        <w:t xml:space="preserve">, biopsy; 78 FCF - instrument, biopsy, mechanical,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gastrointestinal</w:t>
      </w:r>
      <w:proofErr w:type="gramEnd"/>
      <w:r w:rsidRPr="006F2F41">
        <w:rPr>
          <w:rFonts w:ascii="Courier New" w:eastAsia="宋体" w:hAnsi="Courier New" w:cs="Courier New"/>
          <w:color w:val="333333"/>
          <w:kern w:val="0"/>
          <w:sz w:val="24"/>
          <w:szCs w:val="24"/>
          <w:lang w:val="en"/>
        </w:rPr>
        <w:t xml:space="preserve">; 78 FCK - instrument, biopsy, suction; 78 FCI - punch,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and 78 FCG - set, biopsy needle and needle, gastro-urology.</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classification 876.1500 (a), Endoscopes and Accessories, includes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w:t>
      </w: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 to allow observation and manipulation of body cavities, hollow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organs</w:t>
      </w:r>
      <w:proofErr w:type="gramEnd"/>
      <w:r w:rsidRPr="006F2F41">
        <w:rPr>
          <w:rFonts w:ascii="Courier New" w:eastAsia="宋体" w:hAnsi="Courier New" w:cs="Courier New"/>
          <w:color w:val="333333"/>
          <w:kern w:val="0"/>
          <w:sz w:val="24"/>
          <w:szCs w:val="24"/>
          <w:lang w:val="en"/>
        </w:rPr>
        <w:t xml:space="preserve">, and canals."  Cytology brushes, as endoscopic accessories, are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covered</w:t>
      </w:r>
      <w:proofErr w:type="gramEnd"/>
      <w:r w:rsidRPr="006F2F41">
        <w:rPr>
          <w:rFonts w:ascii="Courier New" w:eastAsia="宋体" w:hAnsi="Courier New" w:cs="Courier New"/>
          <w:color w:val="333333"/>
          <w:kern w:val="0"/>
          <w:sz w:val="24"/>
          <w:szCs w:val="24"/>
          <w:lang w:val="en"/>
        </w:rPr>
        <w:t xml:space="preserve"> under this classification, are Class II devices as stated in 21 CFR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876.1500 (b), and have the </w:t>
      </w:r>
      <w:proofErr w:type="spellStart"/>
      <w:r w:rsidRPr="006F2F41">
        <w:rPr>
          <w:rFonts w:ascii="Courier New" w:eastAsia="宋体" w:hAnsi="Courier New" w:cs="Courier New"/>
          <w:color w:val="333333"/>
          <w:kern w:val="0"/>
          <w:sz w:val="24"/>
          <w:szCs w:val="24"/>
          <w:lang w:val="en"/>
        </w:rPr>
        <w:t>procode</w:t>
      </w:r>
      <w:proofErr w:type="spellEnd"/>
      <w:r w:rsidRPr="006F2F41">
        <w:rPr>
          <w:rFonts w:ascii="Courier New" w:eastAsia="宋体" w:hAnsi="Courier New" w:cs="Courier New"/>
          <w:color w:val="333333"/>
          <w:kern w:val="0"/>
          <w:sz w:val="24"/>
          <w:szCs w:val="24"/>
          <w:lang w:val="en"/>
        </w:rPr>
        <w:t xml:space="preserve"> 78 FDX - brush, cytology, for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endoscopes</w:t>
      </w:r>
      <w:proofErr w:type="gramEnd"/>
      <w:r w:rsidRPr="006F2F41">
        <w:rPr>
          <w:rFonts w:ascii="Courier New" w:eastAsia="宋体" w:hAnsi="Courier New" w:cs="Courier New"/>
          <w:color w:val="333333"/>
          <w:kern w:val="0"/>
          <w:sz w:val="24"/>
          <w:szCs w:val="24"/>
          <w:lang w:val="en"/>
        </w:rPr>
        <w: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classification 876.4300, Endoscopic Electrosurgical Unit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Accessories, includes a "device used to perform electrosurgical procedures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through</w:t>
      </w:r>
      <w:proofErr w:type="gramEnd"/>
      <w:r w:rsidRPr="006F2F41">
        <w:rPr>
          <w:rFonts w:ascii="Courier New" w:eastAsia="宋体" w:hAnsi="Courier New" w:cs="Courier New"/>
          <w:color w:val="333333"/>
          <w:kern w:val="0"/>
          <w:sz w:val="24"/>
          <w:szCs w:val="24"/>
          <w:lang w:val="en"/>
        </w:rPr>
        <w:t xml:space="preserve"> an endoscope.  This generic type of device includes ... electric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xml:space="preserve"> forceps, ... flexible snare, ... self-opening rigid snare, ... "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These are Class II devices as stated in 21 CFR 876.4300 (b) and their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proofErr w:type="gramStart"/>
      <w:r w:rsidRPr="006F2F41">
        <w:rPr>
          <w:rFonts w:ascii="Courier New" w:eastAsia="宋体" w:hAnsi="Courier New" w:cs="Courier New"/>
          <w:color w:val="333333"/>
          <w:kern w:val="0"/>
          <w:sz w:val="24"/>
          <w:szCs w:val="24"/>
          <w:lang w:val="en"/>
        </w:rPr>
        <w:t>procodes</w:t>
      </w:r>
      <w:proofErr w:type="spellEnd"/>
      <w:proofErr w:type="gramEnd"/>
      <w:r w:rsidRPr="006F2F41">
        <w:rPr>
          <w:rFonts w:ascii="Courier New" w:eastAsia="宋体" w:hAnsi="Courier New" w:cs="Courier New"/>
          <w:color w:val="333333"/>
          <w:kern w:val="0"/>
          <w:sz w:val="24"/>
          <w:szCs w:val="24"/>
          <w:lang w:val="en"/>
        </w:rPr>
        <w:t xml:space="preserve"> are 78 KGE - forceps, biopsy, electric; 78 FDI - snare, flexible;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78 FDJ - snare, rigid self-opening.</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primary reference for the information required to be in a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notification</w:t>
      </w:r>
      <w:proofErr w:type="gramEnd"/>
      <w:r w:rsidRPr="006F2F41">
        <w:rPr>
          <w:rFonts w:ascii="Courier New" w:eastAsia="宋体" w:hAnsi="Courier New" w:cs="Courier New"/>
          <w:color w:val="333333"/>
          <w:kern w:val="0"/>
          <w:sz w:val="24"/>
          <w:szCs w:val="24"/>
          <w:lang w:val="en"/>
        </w:rPr>
        <w:t xml:space="preserve"> (510(k)) for a medical device is set forth in 21 CFR 807.87.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purpose of this regulation is to provide adequate documented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information</w:t>
      </w:r>
      <w:proofErr w:type="gramEnd"/>
      <w:r w:rsidRPr="006F2F41">
        <w:rPr>
          <w:rFonts w:ascii="Courier New" w:eastAsia="宋体" w:hAnsi="Courier New" w:cs="Courier New"/>
          <w:color w:val="333333"/>
          <w:kern w:val="0"/>
          <w:sz w:val="24"/>
          <w:szCs w:val="24"/>
          <w:lang w:val="en"/>
        </w:rPr>
        <w:t xml:space="preserve"> to determine substantial equivalence to a device in commercial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distribution</w:t>
      </w:r>
      <w:proofErr w:type="gramEnd"/>
      <w:r w:rsidRPr="006F2F41">
        <w:rPr>
          <w:rFonts w:ascii="Courier New" w:eastAsia="宋体" w:hAnsi="Courier New" w:cs="Courier New"/>
          <w:color w:val="333333"/>
          <w:kern w:val="0"/>
          <w:sz w:val="24"/>
          <w:szCs w:val="24"/>
          <w:lang w:val="en"/>
        </w:rPr>
        <w:t xml:space="preserve">.  Substantial equivalence is to be established with respect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to</w:t>
      </w:r>
      <w:proofErr w:type="gramEnd"/>
      <w:r w:rsidRPr="006F2F41">
        <w:rPr>
          <w:rFonts w:ascii="Courier New" w:eastAsia="宋体" w:hAnsi="Courier New" w:cs="Courier New"/>
          <w:color w:val="333333"/>
          <w:kern w:val="0"/>
          <w:sz w:val="24"/>
          <w:szCs w:val="24"/>
          <w:lang w:val="en"/>
        </w:rPr>
        <w:t xml:space="preserve">, but not limited to, intended use, design, energy used/delivered,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materials</w:t>
      </w:r>
      <w:proofErr w:type="gramEnd"/>
      <w:r w:rsidRPr="006F2F41">
        <w:rPr>
          <w:rFonts w:ascii="Courier New" w:eastAsia="宋体" w:hAnsi="Courier New" w:cs="Courier New"/>
          <w:color w:val="333333"/>
          <w:kern w:val="0"/>
          <w:sz w:val="24"/>
          <w:szCs w:val="24"/>
          <w:lang w:val="en"/>
        </w:rPr>
        <w:t xml:space="preserve">, performance, safety, effectiveness, labeling, and other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applicable</w:t>
      </w:r>
      <w:proofErr w:type="gramEnd"/>
      <w:r w:rsidRPr="006F2F41">
        <w:rPr>
          <w:rFonts w:ascii="Courier New" w:eastAsia="宋体" w:hAnsi="Courier New" w:cs="Courier New"/>
          <w:color w:val="333333"/>
          <w:kern w:val="0"/>
          <w:sz w:val="24"/>
          <w:szCs w:val="24"/>
          <w:lang w:val="en"/>
        </w:rPr>
        <w:t xml:space="preserve"> characteristics.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FDA recommends that each premarket notification for a biopsy device include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following information in order to ensure that the submission is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complete</w:t>
      </w:r>
      <w:proofErr w:type="gramEnd"/>
      <w:r w:rsidRPr="006F2F41">
        <w:rPr>
          <w:rFonts w:ascii="Courier New" w:eastAsia="宋体" w:hAnsi="Courier New" w:cs="Courier New"/>
          <w:color w:val="333333"/>
          <w:kern w:val="0"/>
          <w:sz w:val="24"/>
          <w:szCs w:val="24"/>
          <w:lang w:val="en"/>
        </w:rPr>
        <w:t xml:space="preserve"> and will permit a determination of substantial equivalence: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I.  The device name, including both the trade or proprietary name and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classification</w:t>
      </w:r>
      <w:proofErr w:type="gramEnd"/>
      <w:r w:rsidRPr="006F2F41">
        <w:rPr>
          <w:rFonts w:ascii="Courier New" w:eastAsia="宋体" w:hAnsi="Courier New" w:cs="Courier New"/>
          <w:color w:val="333333"/>
          <w:kern w:val="0"/>
          <w:sz w:val="24"/>
          <w:szCs w:val="24"/>
          <w:lang w:val="en"/>
        </w:rPr>
        <w:t xml:space="preserve"> name (Gastroenterology-Urology Biopsy Instrument,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Endoscopes and Accessories for cytology brushes, or Endoscopic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Electrosurgical Unit and Accessories for electric biopsy forceps) of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device as described in 21 CFR 807.87 (a).</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II. The establishment registration number, if applicable, of the owner 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operator</w:t>
      </w:r>
      <w:proofErr w:type="gramEnd"/>
      <w:r w:rsidRPr="006F2F41">
        <w:rPr>
          <w:rFonts w:ascii="Courier New" w:eastAsia="宋体" w:hAnsi="Courier New" w:cs="Courier New"/>
          <w:color w:val="333333"/>
          <w:kern w:val="0"/>
          <w:sz w:val="24"/>
          <w:szCs w:val="24"/>
          <w:lang w:val="en"/>
        </w:rPr>
        <w:t xml:space="preserve"> submitting the premarket notification as described in 21 CFR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807.87 (b).</w:t>
      </w:r>
      <w:proofErr w:type="gramEnd"/>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spellStart"/>
      <w:r w:rsidRPr="006F2F41">
        <w:rPr>
          <w:rFonts w:ascii="Courier New" w:eastAsia="宋体" w:hAnsi="Courier New" w:cs="Courier New"/>
          <w:color w:val="333333"/>
          <w:kern w:val="0"/>
          <w:sz w:val="24"/>
          <w:szCs w:val="24"/>
          <w:lang w:val="en"/>
        </w:rPr>
        <w:t>III.The</w:t>
      </w:r>
      <w:proofErr w:type="spellEnd"/>
      <w:r w:rsidRPr="006F2F41">
        <w:rPr>
          <w:rFonts w:ascii="Courier New" w:eastAsia="宋体" w:hAnsi="Courier New" w:cs="Courier New"/>
          <w:color w:val="333333"/>
          <w:kern w:val="0"/>
          <w:sz w:val="24"/>
          <w:szCs w:val="24"/>
          <w:lang w:val="en"/>
        </w:rPr>
        <w:t xml:space="preserve"> class (Class II) in which the device has been placed under section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513 of the act and the appropriate panel (78 Gastroenterology/Urology)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as</w:t>
      </w:r>
      <w:proofErr w:type="gramEnd"/>
      <w:r w:rsidRPr="006F2F41">
        <w:rPr>
          <w:rFonts w:ascii="Courier New" w:eastAsia="宋体" w:hAnsi="Courier New" w:cs="Courier New"/>
          <w:color w:val="333333"/>
          <w:kern w:val="0"/>
          <w:sz w:val="24"/>
          <w:szCs w:val="24"/>
          <w:lang w:val="en"/>
        </w:rPr>
        <w:t xml:space="preserve"> described in 21 CFR 807.87 (c).</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IV. Action taken by the person required to register to comply with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requirements</w:t>
      </w:r>
      <w:proofErr w:type="gramEnd"/>
      <w:r w:rsidRPr="006F2F41">
        <w:rPr>
          <w:rFonts w:ascii="Courier New" w:eastAsia="宋体" w:hAnsi="Courier New" w:cs="Courier New"/>
          <w:color w:val="333333"/>
          <w:kern w:val="0"/>
          <w:sz w:val="24"/>
          <w:szCs w:val="24"/>
          <w:lang w:val="en"/>
        </w:rPr>
        <w:t xml:space="preserve"> of the act under section 513 for Special Controls.  Note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that</w:t>
      </w:r>
      <w:proofErr w:type="gramEnd"/>
      <w:r w:rsidRPr="006F2F41">
        <w:rPr>
          <w:rFonts w:ascii="Courier New" w:eastAsia="宋体" w:hAnsi="Courier New" w:cs="Courier New"/>
          <w:color w:val="333333"/>
          <w:kern w:val="0"/>
          <w:sz w:val="24"/>
          <w:szCs w:val="24"/>
          <w:lang w:val="en"/>
        </w:rPr>
        <w:t xml:space="preserve"> Special Controls are not currently required for biopsy devices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under</w:t>
      </w:r>
      <w:proofErr w:type="gramEnd"/>
      <w:r w:rsidRPr="006F2F41">
        <w:rPr>
          <w:rFonts w:ascii="Courier New" w:eastAsia="宋体" w:hAnsi="Courier New" w:cs="Courier New"/>
          <w:color w:val="333333"/>
          <w:kern w:val="0"/>
          <w:sz w:val="24"/>
          <w:szCs w:val="24"/>
          <w:lang w:val="en"/>
        </w:rPr>
        <w:t xml:space="preserve"> section 513 of the act.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V.  The Safe Medical Devices Act of 1990 (SMDA) requires all persons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submitting</w:t>
      </w:r>
      <w:proofErr w:type="gramEnd"/>
      <w:r w:rsidRPr="006F2F41">
        <w:rPr>
          <w:rFonts w:ascii="Courier New" w:eastAsia="宋体" w:hAnsi="Courier New" w:cs="Courier New"/>
          <w:color w:val="333333"/>
          <w:kern w:val="0"/>
          <w:sz w:val="24"/>
          <w:szCs w:val="24"/>
          <w:lang w:val="en"/>
        </w:rPr>
        <w:t xml:space="preserve"> a premarket notification submission to include either (1)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summary</w:t>
      </w:r>
      <w:proofErr w:type="gramEnd"/>
      <w:r w:rsidRPr="006F2F41">
        <w:rPr>
          <w:rFonts w:ascii="Courier New" w:eastAsia="宋体" w:hAnsi="Courier New" w:cs="Courier New"/>
          <w:color w:val="333333"/>
          <w:kern w:val="0"/>
          <w:sz w:val="24"/>
          <w:szCs w:val="24"/>
          <w:lang w:val="en"/>
        </w:rPr>
        <w:t xml:space="preserve"> of the safety and effectiveness information in the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notification</w:t>
      </w:r>
      <w:proofErr w:type="gramEnd"/>
      <w:r w:rsidRPr="006F2F41">
        <w:rPr>
          <w:rFonts w:ascii="Courier New" w:eastAsia="宋体" w:hAnsi="Courier New" w:cs="Courier New"/>
          <w:color w:val="333333"/>
          <w:kern w:val="0"/>
          <w:sz w:val="24"/>
          <w:szCs w:val="24"/>
          <w:lang w:val="en"/>
        </w:rPr>
        <w:t xml:space="preserve"> submission upon which an equivalence determination could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be</w:t>
      </w:r>
      <w:proofErr w:type="gramEnd"/>
      <w:r w:rsidRPr="006F2F41">
        <w:rPr>
          <w:rFonts w:ascii="Courier New" w:eastAsia="宋体" w:hAnsi="Courier New" w:cs="Courier New"/>
          <w:color w:val="333333"/>
          <w:kern w:val="0"/>
          <w:sz w:val="24"/>
          <w:szCs w:val="24"/>
          <w:lang w:val="en"/>
        </w:rPr>
        <w:t xml:space="preserve"> based (510(k) summary), OR (2) a statement that safety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effectiveness</w:t>
      </w:r>
      <w:proofErr w:type="gramEnd"/>
      <w:r w:rsidRPr="006F2F41">
        <w:rPr>
          <w:rFonts w:ascii="Courier New" w:eastAsia="宋体" w:hAnsi="Courier New" w:cs="Courier New"/>
          <w:color w:val="333333"/>
          <w:kern w:val="0"/>
          <w:sz w:val="24"/>
          <w:szCs w:val="24"/>
          <w:lang w:val="en"/>
        </w:rPr>
        <w:t xml:space="preserve"> information will be made available to interested persons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upon</w:t>
      </w:r>
      <w:proofErr w:type="gramEnd"/>
      <w:r w:rsidRPr="006F2F41">
        <w:rPr>
          <w:rFonts w:ascii="Courier New" w:eastAsia="宋体" w:hAnsi="Courier New" w:cs="Courier New"/>
          <w:color w:val="333333"/>
          <w:kern w:val="0"/>
          <w:sz w:val="24"/>
          <w:szCs w:val="24"/>
          <w:lang w:val="en"/>
        </w:rPr>
        <w:t xml:space="preserve"> request (510(k) statement).  Safety and effectiveness information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refers</w:t>
      </w:r>
      <w:proofErr w:type="gramEnd"/>
      <w:r w:rsidRPr="006F2F41">
        <w:rPr>
          <w:rFonts w:ascii="Courier New" w:eastAsia="宋体" w:hAnsi="Courier New" w:cs="Courier New"/>
          <w:color w:val="333333"/>
          <w:kern w:val="0"/>
          <w:sz w:val="24"/>
          <w:szCs w:val="24"/>
          <w:lang w:val="en"/>
        </w:rPr>
        <w:t xml:space="preserve"> to information in the premarket notification submission,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including</w:t>
      </w:r>
      <w:proofErr w:type="gramEnd"/>
      <w:r w:rsidRPr="006F2F41">
        <w:rPr>
          <w:rFonts w:ascii="Courier New" w:eastAsia="宋体" w:hAnsi="Courier New" w:cs="Courier New"/>
          <w:color w:val="333333"/>
          <w:kern w:val="0"/>
          <w:sz w:val="24"/>
          <w:szCs w:val="24"/>
          <w:lang w:val="en"/>
        </w:rPr>
        <w:t xml:space="preserve"> adverse safety and effectiveness information, that is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relevant</w:t>
      </w:r>
      <w:proofErr w:type="gramEnd"/>
      <w:r w:rsidRPr="006F2F41">
        <w:rPr>
          <w:rFonts w:ascii="Courier New" w:eastAsia="宋体" w:hAnsi="Courier New" w:cs="Courier New"/>
          <w:color w:val="333333"/>
          <w:kern w:val="0"/>
          <w:sz w:val="24"/>
          <w:szCs w:val="24"/>
          <w:lang w:val="en"/>
        </w:rPr>
        <w:t xml:space="preserve"> to an assessment of substantial equivalence.  The information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could</w:t>
      </w:r>
      <w:proofErr w:type="gramEnd"/>
      <w:r w:rsidRPr="006F2F41">
        <w:rPr>
          <w:rFonts w:ascii="Courier New" w:eastAsia="宋体" w:hAnsi="Courier New" w:cs="Courier New"/>
          <w:color w:val="333333"/>
          <w:kern w:val="0"/>
          <w:sz w:val="24"/>
          <w:szCs w:val="24"/>
          <w:lang w:val="en"/>
        </w:rPr>
        <w:t xml:space="preserve"> be descriptive information about the new and predicate device(s),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or</w:t>
      </w:r>
      <w:proofErr w:type="gramEnd"/>
      <w:r w:rsidRPr="006F2F41">
        <w:rPr>
          <w:rFonts w:ascii="Courier New" w:eastAsia="宋体" w:hAnsi="Courier New" w:cs="Courier New"/>
          <w:color w:val="333333"/>
          <w:kern w:val="0"/>
          <w:sz w:val="24"/>
          <w:szCs w:val="24"/>
          <w:lang w:val="en"/>
        </w:rPr>
        <w:t xml:space="preserve"> performance or clinical testing information.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VI. Proposed labels, labeling, and advertisements sufficient to describe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biopsy device, its intended use, and the directions for use should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be</w:t>
      </w:r>
      <w:proofErr w:type="gramEnd"/>
      <w:r w:rsidRPr="006F2F41">
        <w:rPr>
          <w:rFonts w:ascii="Courier New" w:eastAsia="宋体" w:hAnsi="Courier New" w:cs="Courier New"/>
          <w:color w:val="333333"/>
          <w:kern w:val="0"/>
          <w:sz w:val="24"/>
          <w:szCs w:val="24"/>
          <w:lang w:val="en"/>
        </w:rPr>
        <w:t xml:space="preserve"> provided with a specific intended use statement and any warnings,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contraindications</w:t>
      </w:r>
      <w:proofErr w:type="gramEnd"/>
      <w:r w:rsidRPr="006F2F41">
        <w:rPr>
          <w:rFonts w:ascii="Courier New" w:eastAsia="宋体" w:hAnsi="Courier New" w:cs="Courier New"/>
          <w:color w:val="333333"/>
          <w:kern w:val="0"/>
          <w:sz w:val="24"/>
          <w:szCs w:val="24"/>
          <w:lang w:val="en"/>
        </w:rPr>
        <w:t xml:space="preserve">, or limitations clearly displayed as described in 21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CFR 807.87 (e).</w:t>
      </w:r>
      <w:proofErr w:type="gramEnd"/>
      <w:r w:rsidRPr="006F2F41">
        <w:rPr>
          <w:rFonts w:ascii="Courier New" w:eastAsia="宋体" w:hAnsi="Courier New" w:cs="Courier New"/>
          <w:color w:val="333333"/>
          <w:kern w:val="0"/>
          <w:sz w:val="24"/>
          <w:szCs w:val="24"/>
          <w:lang w:val="en"/>
        </w:rPr>
        <w:t xml:space="preserve">  The label of the device must bear the caution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statement</w:t>
      </w:r>
      <w:proofErr w:type="gramEnd"/>
      <w:r w:rsidRPr="006F2F41">
        <w:rPr>
          <w:rFonts w:ascii="Courier New" w:eastAsia="宋体" w:hAnsi="Courier New" w:cs="Courier New"/>
          <w:color w:val="333333"/>
          <w:kern w:val="0"/>
          <w:sz w:val="24"/>
          <w:szCs w:val="24"/>
          <w:lang w:val="en"/>
        </w:rPr>
        <w:t xml:space="preserve"> as outlined in 21 CFR 801.109 (b) (1):  "CAUTION:  Federal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    </w:t>
      </w:r>
      <w:proofErr w:type="gramStart"/>
      <w:r w:rsidRPr="006F2F41">
        <w:rPr>
          <w:rFonts w:ascii="Courier New" w:eastAsia="宋体" w:hAnsi="Courier New" w:cs="Courier New"/>
          <w:color w:val="333333"/>
          <w:kern w:val="0"/>
          <w:sz w:val="24"/>
          <w:szCs w:val="24"/>
          <w:lang w:val="en"/>
        </w:rPr>
        <w:t>law</w:t>
      </w:r>
      <w:proofErr w:type="gramEnd"/>
      <w:r w:rsidRPr="006F2F41">
        <w:rPr>
          <w:rFonts w:ascii="Courier New" w:eastAsia="宋体" w:hAnsi="Courier New" w:cs="Courier New"/>
          <w:color w:val="333333"/>
          <w:kern w:val="0"/>
          <w:sz w:val="24"/>
          <w:szCs w:val="24"/>
          <w:lang w:val="en"/>
        </w:rPr>
        <w:t xml:space="preserve"> restricts this device to sale by or on the order of a physician."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A.  A label includes any identification on the biopsy device and 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package in which it is stored and shipped.  </w:t>
      </w:r>
      <w:proofErr w:type="gramStart"/>
      <w:r w:rsidRPr="006F2F41">
        <w:rPr>
          <w:rFonts w:ascii="Courier New" w:eastAsia="宋体" w:hAnsi="Courier New" w:cs="Courier New"/>
          <w:color w:val="333333"/>
          <w:kern w:val="0"/>
          <w:sz w:val="24"/>
          <w:szCs w:val="24"/>
          <w:lang w:val="en"/>
        </w:rPr>
        <w:t>The  package</w:t>
      </w:r>
      <w:proofErr w:type="gramEnd"/>
      <w:r w:rsidRPr="006F2F41">
        <w:rPr>
          <w:rFonts w:ascii="Courier New" w:eastAsia="宋体" w:hAnsi="Courier New" w:cs="Courier New"/>
          <w:color w:val="333333"/>
          <w:kern w:val="0"/>
          <w:sz w:val="24"/>
          <w:szCs w:val="24"/>
          <w:lang w:val="en"/>
        </w:rPr>
        <w:t xml:space="preserv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label should include the device name, U.S. point of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contact</w:t>
      </w:r>
      <w:proofErr w:type="gramEnd"/>
      <w:r w:rsidRPr="006F2F41">
        <w:rPr>
          <w:rFonts w:ascii="Courier New" w:eastAsia="宋体" w:hAnsi="Courier New" w:cs="Courier New"/>
          <w:color w:val="333333"/>
          <w:kern w:val="0"/>
          <w:sz w:val="24"/>
          <w:szCs w:val="24"/>
          <w:lang w:val="en"/>
        </w:rPr>
        <w:t xml:space="preserve">, corporation name, address, and phone number.  The package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label</w:t>
      </w:r>
      <w:proofErr w:type="gramEnd"/>
      <w:r w:rsidRPr="006F2F41">
        <w:rPr>
          <w:rFonts w:ascii="Courier New" w:eastAsia="宋体" w:hAnsi="Courier New" w:cs="Courier New"/>
          <w:color w:val="333333"/>
          <w:kern w:val="0"/>
          <w:sz w:val="24"/>
          <w:szCs w:val="24"/>
          <w:lang w:val="en"/>
        </w:rPr>
        <w:t xml:space="preserve"> should also include all of the above, as well as sterility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status</w:t>
      </w:r>
      <w:proofErr w:type="gramEnd"/>
      <w:r w:rsidRPr="006F2F41">
        <w:rPr>
          <w:rFonts w:ascii="Courier New" w:eastAsia="宋体" w:hAnsi="Courier New" w:cs="Courier New"/>
          <w:color w:val="333333"/>
          <w:kern w:val="0"/>
          <w:sz w:val="24"/>
          <w:szCs w:val="24"/>
          <w:lang w:val="en"/>
        </w:rPr>
        <w:t xml:space="preserve">, expiration date, disposable/single use, quantity enclosed,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size</w:t>
      </w:r>
      <w:proofErr w:type="gramEnd"/>
      <w:r w:rsidRPr="006F2F41">
        <w:rPr>
          <w:rFonts w:ascii="Courier New" w:eastAsia="宋体" w:hAnsi="Courier New" w:cs="Courier New"/>
          <w:color w:val="333333"/>
          <w:kern w:val="0"/>
          <w:sz w:val="24"/>
          <w:szCs w:val="24"/>
          <w:lang w:val="en"/>
        </w:rPr>
        <w:t xml:space="preserve"> (diameter and length), energy used/delivered, etc.</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B.  Device labeling for the biopsy device includes the intended use,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description</w:t>
      </w:r>
      <w:proofErr w:type="gramEnd"/>
      <w:r w:rsidRPr="006F2F41">
        <w:rPr>
          <w:rFonts w:ascii="Courier New" w:eastAsia="宋体" w:hAnsi="Courier New" w:cs="Courier New"/>
          <w:color w:val="333333"/>
          <w:kern w:val="0"/>
          <w:sz w:val="24"/>
          <w:szCs w:val="24"/>
          <w:lang w:val="en"/>
        </w:rPr>
        <w:t xml:space="preserve"> of the device, and directions for use.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1.  The intended use statement should include specific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indications</w:t>
      </w:r>
      <w:proofErr w:type="gramEnd"/>
      <w:r w:rsidRPr="006F2F41">
        <w:rPr>
          <w:rFonts w:ascii="Courier New" w:eastAsia="宋体" w:hAnsi="Courier New" w:cs="Courier New"/>
          <w:color w:val="333333"/>
          <w:kern w:val="0"/>
          <w:sz w:val="24"/>
          <w:szCs w:val="24"/>
          <w:lang w:val="en"/>
        </w:rPr>
        <w:t xml:space="preserve">.  The anatomical sites, i.e. target organs, and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target</w:t>
      </w:r>
      <w:proofErr w:type="gramEnd"/>
      <w:r w:rsidRPr="006F2F41">
        <w:rPr>
          <w:rFonts w:ascii="Courier New" w:eastAsia="宋体" w:hAnsi="Courier New" w:cs="Courier New"/>
          <w:color w:val="333333"/>
          <w:kern w:val="0"/>
          <w:sz w:val="24"/>
          <w:szCs w:val="24"/>
          <w:lang w:val="en"/>
        </w:rPr>
        <w:t xml:space="preserve"> population should be defined.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2.  The directions for use should contain comprehensive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instructions</w:t>
      </w:r>
      <w:proofErr w:type="gramEnd"/>
      <w:r w:rsidRPr="006F2F41">
        <w:rPr>
          <w:rFonts w:ascii="Courier New" w:eastAsia="宋体" w:hAnsi="Courier New" w:cs="Courier New"/>
          <w:color w:val="333333"/>
          <w:kern w:val="0"/>
          <w:sz w:val="24"/>
          <w:szCs w:val="24"/>
          <w:lang w:val="en"/>
        </w:rPr>
        <w:t xml:space="preserve"> to include, but not necessarily be limited to, how to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prepare</w:t>
      </w:r>
      <w:proofErr w:type="gramEnd"/>
      <w:r w:rsidRPr="006F2F41">
        <w:rPr>
          <w:rFonts w:ascii="Courier New" w:eastAsia="宋体" w:hAnsi="Courier New" w:cs="Courier New"/>
          <w:color w:val="333333"/>
          <w:kern w:val="0"/>
          <w:sz w:val="24"/>
          <w:szCs w:val="24"/>
          <w:lang w:val="en"/>
        </w:rPr>
        <w:t xml:space="preserve"> the biopsy device for use, how to operate the biopsy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how to stop operation and retrieve the sample, any special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instructions</w:t>
      </w:r>
      <w:proofErr w:type="gramEnd"/>
      <w:r w:rsidRPr="006F2F41">
        <w:rPr>
          <w:rFonts w:ascii="Courier New" w:eastAsia="宋体" w:hAnsi="Courier New" w:cs="Courier New"/>
          <w:color w:val="333333"/>
          <w:kern w:val="0"/>
          <w:sz w:val="24"/>
          <w:szCs w:val="24"/>
          <w:lang w:val="en"/>
        </w:rPr>
        <w:t xml:space="preserve"> for specimen processing, a description of which parts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are</w:t>
      </w:r>
      <w:proofErr w:type="gramEnd"/>
      <w:r w:rsidRPr="006F2F41">
        <w:rPr>
          <w:rFonts w:ascii="Courier New" w:eastAsia="宋体" w:hAnsi="Courier New" w:cs="Courier New"/>
          <w:color w:val="333333"/>
          <w:kern w:val="0"/>
          <w:sz w:val="24"/>
          <w:szCs w:val="24"/>
          <w:lang w:val="en"/>
        </w:rPr>
        <w:t xml:space="preserve"> single use/disposable or reusable, and a description of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functional</w:t>
      </w:r>
      <w:proofErr w:type="gramEnd"/>
      <w:r w:rsidRPr="006F2F41">
        <w:rPr>
          <w:rFonts w:ascii="Courier New" w:eastAsia="宋体" w:hAnsi="Courier New" w:cs="Courier New"/>
          <w:color w:val="333333"/>
          <w:kern w:val="0"/>
          <w:sz w:val="24"/>
          <w:szCs w:val="24"/>
          <w:lang w:val="en"/>
        </w:rPr>
        <w:t xml:space="preserve"> test procedures which should be performed for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xml:space="preserve"> device prior to use.  Maintenance and troubleshooting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         </w:t>
      </w:r>
      <w:proofErr w:type="gramStart"/>
      <w:r w:rsidRPr="006F2F41">
        <w:rPr>
          <w:rFonts w:ascii="Courier New" w:eastAsia="宋体" w:hAnsi="Courier New" w:cs="Courier New"/>
          <w:color w:val="333333"/>
          <w:kern w:val="0"/>
          <w:sz w:val="24"/>
          <w:szCs w:val="24"/>
          <w:lang w:val="en"/>
        </w:rPr>
        <w:t>procedures</w:t>
      </w:r>
      <w:proofErr w:type="gramEnd"/>
      <w:r w:rsidRPr="006F2F41">
        <w:rPr>
          <w:rFonts w:ascii="Courier New" w:eastAsia="宋体" w:hAnsi="Courier New" w:cs="Courier New"/>
          <w:color w:val="333333"/>
          <w:kern w:val="0"/>
          <w:sz w:val="24"/>
          <w:szCs w:val="24"/>
          <w:lang w:val="en"/>
        </w:rPr>
        <w:t xml:space="preserve"> should be outlined with instructions on how to perform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maintenance, the frequency of the maintenance, and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corporation</w:t>
      </w:r>
      <w:proofErr w:type="gramEnd"/>
      <w:r w:rsidRPr="006F2F41">
        <w:rPr>
          <w:rFonts w:ascii="Courier New" w:eastAsia="宋体" w:hAnsi="Courier New" w:cs="Courier New"/>
          <w:color w:val="333333"/>
          <w:kern w:val="0"/>
          <w:sz w:val="24"/>
          <w:szCs w:val="24"/>
          <w:lang w:val="en"/>
        </w:rPr>
        <w:t xml:space="preserve"> contact point if troubleshooting procedures fail.</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3.  Contraindications (e.g. excluded population), precautions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e.g</w:t>
      </w:r>
      <w:proofErr w:type="gramEnd"/>
      <w:r w:rsidRPr="006F2F41">
        <w:rPr>
          <w:rFonts w:ascii="Courier New" w:eastAsia="宋体" w:hAnsi="Courier New" w:cs="Courier New"/>
          <w:color w:val="333333"/>
          <w:kern w:val="0"/>
          <w:sz w:val="24"/>
          <w:szCs w:val="24"/>
          <w:lang w:val="en"/>
        </w:rPr>
        <w:t xml:space="preserve">. needle advancement/penetration depth), and warnings should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be</w:t>
      </w:r>
      <w:proofErr w:type="gramEnd"/>
      <w:r w:rsidRPr="006F2F41">
        <w:rPr>
          <w:rFonts w:ascii="Courier New" w:eastAsia="宋体" w:hAnsi="Courier New" w:cs="Courier New"/>
          <w:color w:val="333333"/>
          <w:kern w:val="0"/>
          <w:sz w:val="24"/>
          <w:szCs w:val="24"/>
          <w:lang w:val="en"/>
        </w:rPr>
        <w:t xml:space="preserve"> included in the labeling of the device.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C.  Advertisements or promotional literature for the biopsy device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that</w:t>
      </w:r>
      <w:proofErr w:type="gramEnd"/>
      <w:r w:rsidRPr="006F2F41">
        <w:rPr>
          <w:rFonts w:ascii="Courier New" w:eastAsia="宋体" w:hAnsi="Courier New" w:cs="Courier New"/>
          <w:color w:val="333333"/>
          <w:kern w:val="0"/>
          <w:sz w:val="24"/>
          <w:szCs w:val="24"/>
          <w:lang w:val="en"/>
        </w:rPr>
        <w:t xml:space="preserve"> will accompany the device should be provided.  Literature 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labeling</w:t>
      </w:r>
      <w:proofErr w:type="gramEnd"/>
      <w:r w:rsidRPr="006F2F41">
        <w:rPr>
          <w:rFonts w:ascii="Courier New" w:eastAsia="宋体" w:hAnsi="Courier New" w:cs="Courier New"/>
          <w:color w:val="333333"/>
          <w:kern w:val="0"/>
          <w:sz w:val="24"/>
          <w:szCs w:val="24"/>
          <w:lang w:val="en"/>
        </w:rPr>
        <w:t xml:space="preserve"> may not imply approval by FDA in any manner.  Guidance 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labeling</w:t>
      </w:r>
      <w:proofErr w:type="gramEnd"/>
      <w:r w:rsidRPr="006F2F41">
        <w:rPr>
          <w:rFonts w:ascii="Courier New" w:eastAsia="宋体" w:hAnsi="Courier New" w:cs="Courier New"/>
          <w:color w:val="333333"/>
          <w:kern w:val="0"/>
          <w:sz w:val="24"/>
          <w:szCs w:val="24"/>
          <w:lang w:val="en"/>
        </w:rPr>
        <w:t xml:space="preserve"> issues is described in Bluebook Memo G91-1 "Device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Labeling Guidance (3/8/91)" and a copy may be obtained from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Center for Devices and Radiological Health's Division of Small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Manufacturers Assistance at (800) 638-3041 or (301) 443-6597.</w:t>
      </w:r>
      <w:proofErr w:type="gramEnd"/>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VII. A Summary of Equivalence comparing similar devices legally in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commercial</w:t>
      </w:r>
      <w:proofErr w:type="gramEnd"/>
      <w:r w:rsidRPr="006F2F41">
        <w:rPr>
          <w:rFonts w:ascii="Courier New" w:eastAsia="宋体" w:hAnsi="Courier New" w:cs="Courier New"/>
          <w:color w:val="333333"/>
          <w:kern w:val="0"/>
          <w:sz w:val="24"/>
          <w:szCs w:val="24"/>
          <w:lang w:val="en"/>
        </w:rPr>
        <w:t xml:space="preserve"> distribution in the United States must be provided.  This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includes</w:t>
      </w:r>
      <w:proofErr w:type="gramEnd"/>
      <w:r w:rsidRPr="006F2F41">
        <w:rPr>
          <w:rFonts w:ascii="Courier New" w:eastAsia="宋体" w:hAnsi="Courier New" w:cs="Courier New"/>
          <w:color w:val="333333"/>
          <w:kern w:val="0"/>
          <w:sz w:val="24"/>
          <w:szCs w:val="24"/>
          <w:lang w:val="en"/>
        </w:rPr>
        <w:t xml:space="preserve"> devices in commercial distribution prior to May 28, 1976,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enactment</w:t>
      </w:r>
      <w:proofErr w:type="gramEnd"/>
      <w:r w:rsidRPr="006F2F41">
        <w:rPr>
          <w:rFonts w:ascii="Courier New" w:eastAsia="宋体" w:hAnsi="Courier New" w:cs="Courier New"/>
          <w:color w:val="333333"/>
          <w:kern w:val="0"/>
          <w:sz w:val="24"/>
          <w:szCs w:val="24"/>
          <w:lang w:val="en"/>
        </w:rPr>
        <w:t xml:space="preserve"> date of the Medical Devices Amendments, and any new devices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introduced</w:t>
      </w:r>
      <w:proofErr w:type="gramEnd"/>
      <w:r w:rsidRPr="006F2F41">
        <w:rPr>
          <w:rFonts w:ascii="Courier New" w:eastAsia="宋体" w:hAnsi="Courier New" w:cs="Courier New"/>
          <w:color w:val="333333"/>
          <w:kern w:val="0"/>
          <w:sz w:val="24"/>
          <w:szCs w:val="24"/>
          <w:lang w:val="en"/>
        </w:rPr>
        <w:t xml:space="preserve"> subsequently.  A Summary of Equivalence includes similarities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differences between the device and the device to which it is compared.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biopsy device should be compared with a legally marketed biopsy device,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including</w:t>
      </w:r>
      <w:proofErr w:type="gramEnd"/>
      <w:r w:rsidRPr="006F2F41">
        <w:rPr>
          <w:rFonts w:ascii="Courier New" w:eastAsia="宋体" w:hAnsi="Courier New" w:cs="Courier New"/>
          <w:color w:val="333333"/>
          <w:kern w:val="0"/>
          <w:sz w:val="24"/>
          <w:szCs w:val="24"/>
          <w:lang w:val="en"/>
        </w:rPr>
        <w:t>, but not limited to, the following:</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       </w:t>
      </w:r>
      <w:proofErr w:type="gramStart"/>
      <w:r w:rsidRPr="006F2F41">
        <w:rPr>
          <w:rFonts w:ascii="Courier New" w:eastAsia="宋体" w:hAnsi="Courier New" w:cs="Courier New"/>
          <w:color w:val="333333"/>
          <w:kern w:val="0"/>
          <w:sz w:val="24"/>
          <w:szCs w:val="24"/>
          <w:lang w:val="en"/>
        </w:rPr>
        <w:t>intended</w:t>
      </w:r>
      <w:proofErr w:type="gramEnd"/>
      <w:r w:rsidRPr="006F2F41">
        <w:rPr>
          <w:rFonts w:ascii="Courier New" w:eastAsia="宋体" w:hAnsi="Courier New" w:cs="Courier New"/>
          <w:color w:val="333333"/>
          <w:kern w:val="0"/>
          <w:sz w:val="24"/>
          <w:szCs w:val="24"/>
          <w:lang w:val="en"/>
        </w:rPr>
        <w:t xml:space="preserve"> use including specific target organs;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design</w:t>
      </w:r>
      <w:proofErr w:type="gramEnd"/>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needle</w:t>
      </w:r>
      <w:proofErr w:type="gramEnd"/>
      <w:r w:rsidRPr="006F2F41">
        <w:rPr>
          <w:rFonts w:ascii="Courier New" w:eastAsia="宋体" w:hAnsi="Courier New" w:cs="Courier New"/>
          <w:color w:val="333333"/>
          <w:kern w:val="0"/>
          <w:sz w:val="24"/>
          <w:szCs w:val="24"/>
          <w:lang w:val="en"/>
        </w:rPr>
        <w:t>, cannula(s), and stylet size:  diameter and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gauge</w:t>
      </w:r>
      <w:proofErr w:type="gramEnd"/>
      <w:r w:rsidRPr="006F2F41">
        <w:rPr>
          <w:rFonts w:ascii="Courier New" w:eastAsia="宋体" w:hAnsi="Courier New" w:cs="Courier New"/>
          <w:color w:val="333333"/>
          <w:kern w:val="0"/>
          <w:sz w:val="24"/>
          <w:szCs w:val="24"/>
          <w:lang w:val="en"/>
        </w:rPr>
        <w: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needle</w:t>
      </w:r>
      <w:proofErr w:type="gramEnd"/>
      <w:r w:rsidRPr="006F2F41">
        <w:rPr>
          <w:rFonts w:ascii="Courier New" w:eastAsia="宋体" w:hAnsi="Courier New" w:cs="Courier New"/>
          <w:color w:val="333333"/>
          <w:kern w:val="0"/>
          <w:sz w:val="24"/>
          <w:szCs w:val="24"/>
          <w:lang w:val="en"/>
        </w:rPr>
        <w:t xml:space="preserve"> advancement/penetration depth;</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sample</w:t>
      </w:r>
      <w:proofErr w:type="gramEnd"/>
      <w:r w:rsidRPr="006F2F41">
        <w:rPr>
          <w:rFonts w:ascii="Courier New" w:eastAsia="宋体" w:hAnsi="Courier New" w:cs="Courier New"/>
          <w:color w:val="333333"/>
          <w:kern w:val="0"/>
          <w:sz w:val="24"/>
          <w:szCs w:val="24"/>
          <w:lang w:val="en"/>
        </w:rPr>
        <w:t xml:space="preserve"> notch size;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number</w:t>
      </w:r>
      <w:proofErr w:type="gramEnd"/>
      <w:r w:rsidRPr="006F2F41">
        <w:rPr>
          <w:rFonts w:ascii="Courier New" w:eastAsia="宋体" w:hAnsi="Courier New" w:cs="Courier New"/>
          <w:color w:val="333333"/>
          <w:kern w:val="0"/>
          <w:sz w:val="24"/>
          <w:szCs w:val="24"/>
          <w:lang w:val="en"/>
        </w:rPr>
        <w:t xml:space="preserve"> of samples;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jaw</w:t>
      </w:r>
      <w:proofErr w:type="gramEnd"/>
      <w:r w:rsidRPr="006F2F41">
        <w:rPr>
          <w:rFonts w:ascii="Courier New" w:eastAsia="宋体" w:hAnsi="Courier New" w:cs="Courier New"/>
          <w:color w:val="333333"/>
          <w:kern w:val="0"/>
          <w:sz w:val="24"/>
          <w:szCs w:val="24"/>
          <w:lang w:val="en"/>
        </w:rPr>
        <w:t xml:space="preserve"> size;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brush</w:t>
      </w:r>
      <w:proofErr w:type="gramEnd"/>
      <w:r w:rsidRPr="006F2F41">
        <w:rPr>
          <w:rFonts w:ascii="Courier New" w:eastAsia="宋体" w:hAnsi="Courier New" w:cs="Courier New"/>
          <w:color w:val="333333"/>
          <w:kern w:val="0"/>
          <w:sz w:val="24"/>
          <w:szCs w:val="24"/>
          <w:lang w:val="en"/>
        </w:rPr>
        <w:t xml:space="preserve"> size: diameter and length;</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mechanics</w:t>
      </w:r>
      <w:proofErr w:type="gramEnd"/>
      <w:r w:rsidRPr="006F2F41">
        <w:rPr>
          <w:rFonts w:ascii="Courier New" w:eastAsia="宋体" w:hAnsi="Courier New" w:cs="Courier New"/>
          <w:color w:val="333333"/>
          <w:kern w:val="0"/>
          <w:sz w:val="24"/>
          <w:szCs w:val="24"/>
          <w:lang w:val="en"/>
        </w:rPr>
        <w:t xml:space="preserve"> of action (automatic, manual, spring</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operated</w:t>
      </w:r>
      <w:proofErr w:type="gramEnd"/>
      <w:r w:rsidRPr="006F2F41">
        <w:rPr>
          <w:rFonts w:ascii="Courier New" w:eastAsia="宋体" w:hAnsi="Courier New" w:cs="Courier New"/>
          <w:color w:val="333333"/>
          <w:kern w:val="0"/>
          <w:sz w:val="24"/>
          <w:szCs w:val="24"/>
          <w:lang w:val="en"/>
        </w:rPr>
        <w:t>, electrically operated, etc.);</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mode</w:t>
      </w:r>
      <w:proofErr w:type="gramEnd"/>
      <w:r w:rsidRPr="006F2F41">
        <w:rPr>
          <w:rFonts w:ascii="Courier New" w:eastAsia="宋体" w:hAnsi="Courier New" w:cs="Courier New"/>
          <w:color w:val="333333"/>
          <w:kern w:val="0"/>
          <w:sz w:val="24"/>
          <w:szCs w:val="24"/>
          <w:lang w:val="en"/>
        </w:rPr>
        <w:t xml:space="preserve"> of action (single puncture and sample, single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puncture</w:t>
      </w:r>
      <w:proofErr w:type="gramEnd"/>
      <w:r w:rsidRPr="006F2F41">
        <w:rPr>
          <w:rFonts w:ascii="Courier New" w:eastAsia="宋体" w:hAnsi="Courier New" w:cs="Courier New"/>
          <w:color w:val="333333"/>
          <w:kern w:val="0"/>
          <w:sz w:val="24"/>
          <w:szCs w:val="24"/>
          <w:lang w:val="en"/>
        </w:rPr>
        <w:t xml:space="preserve"> and multiple samples, brush rotation,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suction</w:t>
      </w:r>
      <w:proofErr w:type="gramEnd"/>
      <w:r w:rsidRPr="006F2F41">
        <w:rPr>
          <w:rFonts w:ascii="Courier New" w:eastAsia="宋体" w:hAnsi="Courier New" w:cs="Courier New"/>
          <w:color w:val="333333"/>
          <w:kern w:val="0"/>
          <w:sz w:val="24"/>
          <w:szCs w:val="24"/>
          <w:lang w:val="en"/>
        </w:rPr>
        <w:t>, scraping: side-to-side or up-and-down,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etc</w:t>
      </w:r>
      <w:proofErr w:type="gramEnd"/>
      <w:r w:rsidRPr="006F2F41">
        <w:rPr>
          <w:rFonts w:ascii="Courier New" w:eastAsia="宋体" w:hAnsi="Courier New" w:cs="Courier New"/>
          <w:color w:val="333333"/>
          <w:kern w:val="0"/>
          <w:sz w:val="24"/>
          <w:szCs w:val="24"/>
          <w:lang w:val="en"/>
        </w:rPr>
        <w: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electrical</w:t>
      </w:r>
      <w:proofErr w:type="gramEnd"/>
      <w:r w:rsidRPr="006F2F41">
        <w:rPr>
          <w:rFonts w:ascii="Courier New" w:eastAsia="宋体" w:hAnsi="Courier New" w:cs="Courier New"/>
          <w:color w:val="333333"/>
          <w:kern w:val="0"/>
          <w:sz w:val="24"/>
          <w:szCs w:val="24"/>
          <w:lang w:val="en"/>
        </w:rPr>
        <w:t xml:space="preserve"> compatibility;</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safety</w:t>
      </w:r>
      <w:proofErr w:type="gramEnd"/>
      <w:r w:rsidRPr="006F2F41">
        <w:rPr>
          <w:rFonts w:ascii="Courier New" w:eastAsia="宋体" w:hAnsi="Courier New" w:cs="Courier New"/>
          <w:color w:val="333333"/>
          <w:kern w:val="0"/>
          <w:sz w:val="24"/>
          <w:szCs w:val="24"/>
          <w:lang w:val="en"/>
        </w:rPr>
        <w:t xml:space="preserve"> features; and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w:t>
      </w:r>
      <w:proofErr w:type="gramStart"/>
      <w:r w:rsidRPr="006F2F41">
        <w:rPr>
          <w:rFonts w:ascii="Courier New" w:eastAsia="宋体" w:hAnsi="Courier New" w:cs="Courier New"/>
          <w:color w:val="333333"/>
          <w:kern w:val="0"/>
          <w:sz w:val="24"/>
          <w:szCs w:val="24"/>
          <w:lang w:val="en"/>
        </w:rPr>
        <w:t>other</w:t>
      </w:r>
      <w:proofErr w:type="gramEnd"/>
      <w:r w:rsidRPr="006F2F41">
        <w:rPr>
          <w:rFonts w:ascii="Courier New" w:eastAsia="宋体" w:hAnsi="Courier New" w:cs="Courier New"/>
          <w:color w:val="333333"/>
          <w:kern w:val="0"/>
          <w:sz w:val="24"/>
          <w:szCs w:val="24"/>
          <w:lang w:val="en"/>
        </w:rPr>
        <w:t xml:space="preserve"> applicable specifications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energy</w:t>
      </w:r>
      <w:proofErr w:type="gramEnd"/>
      <w:r w:rsidRPr="006F2F41">
        <w:rPr>
          <w:rFonts w:ascii="Courier New" w:eastAsia="宋体" w:hAnsi="Courier New" w:cs="Courier New"/>
          <w:color w:val="333333"/>
          <w:kern w:val="0"/>
          <w:sz w:val="24"/>
          <w:szCs w:val="24"/>
          <w:lang w:val="en"/>
        </w:rPr>
        <w:t xml:space="preserve"> used/delivered for electric biopsy forceps and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xml:space="preserve"> guns;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materials</w:t>
      </w:r>
      <w:proofErr w:type="gramEnd"/>
      <w:r w:rsidRPr="006F2F41">
        <w:rPr>
          <w:rFonts w:ascii="Courier New" w:eastAsia="宋体" w:hAnsi="Courier New" w:cs="Courier New"/>
          <w:color w:val="333333"/>
          <w:kern w:val="0"/>
          <w:sz w:val="24"/>
          <w:szCs w:val="24"/>
          <w:lang w:val="en"/>
        </w:rPr>
        <w:t xml:space="preserve"> of all components identifying those that come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into</w:t>
      </w:r>
      <w:proofErr w:type="gramEnd"/>
      <w:r w:rsidRPr="006F2F41">
        <w:rPr>
          <w:rFonts w:ascii="Courier New" w:eastAsia="宋体" w:hAnsi="Courier New" w:cs="Courier New"/>
          <w:color w:val="333333"/>
          <w:kern w:val="0"/>
          <w:sz w:val="24"/>
          <w:szCs w:val="24"/>
          <w:lang w:val="en"/>
        </w:rPr>
        <w:t xml:space="preserve"> patient contact;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performance</w:t>
      </w:r>
      <w:proofErr w:type="gramEnd"/>
      <w:r w:rsidRPr="006F2F41">
        <w:rPr>
          <w:rFonts w:ascii="Courier New" w:eastAsia="宋体" w:hAnsi="Courier New" w:cs="Courier New"/>
          <w:color w:val="333333"/>
          <w:kern w:val="0"/>
          <w:sz w:val="24"/>
          <w:szCs w:val="24"/>
          <w:lang w:val="en"/>
        </w:rPr>
        <w: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anatomical</w:t>
      </w:r>
      <w:proofErr w:type="gramEnd"/>
      <w:r w:rsidRPr="006F2F41">
        <w:rPr>
          <w:rFonts w:ascii="Courier New" w:eastAsia="宋体" w:hAnsi="Courier New" w:cs="Courier New"/>
          <w:color w:val="333333"/>
          <w:kern w:val="0"/>
          <w:sz w:val="24"/>
          <w:szCs w:val="24"/>
          <w:lang w:val="en"/>
        </w:rPr>
        <w:t xml:space="preserve"> sites (i.e. target organs);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target</w:t>
      </w:r>
      <w:proofErr w:type="gramEnd"/>
      <w:r w:rsidRPr="006F2F41">
        <w:rPr>
          <w:rFonts w:ascii="Courier New" w:eastAsia="宋体" w:hAnsi="Courier New" w:cs="Courier New"/>
          <w:color w:val="333333"/>
          <w:kern w:val="0"/>
          <w:sz w:val="24"/>
          <w:szCs w:val="24"/>
          <w:lang w:val="en"/>
        </w:rPr>
        <w:t xml:space="preserve"> population justifying any new population cited;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visualization</w:t>
      </w:r>
      <w:proofErr w:type="gramEnd"/>
      <w:r w:rsidRPr="006F2F41">
        <w:rPr>
          <w:rFonts w:ascii="Courier New" w:eastAsia="宋体" w:hAnsi="Courier New" w:cs="Courier New"/>
          <w:color w:val="333333"/>
          <w:kern w:val="0"/>
          <w:sz w:val="24"/>
          <w:szCs w:val="24"/>
          <w:lang w:val="en"/>
        </w:rPr>
        <w:t xml:space="preserve"> techniques;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method</w:t>
      </w:r>
      <w:proofErr w:type="gramEnd"/>
      <w:r w:rsidRPr="006F2F41">
        <w:rPr>
          <w:rFonts w:ascii="Courier New" w:eastAsia="宋体" w:hAnsi="Courier New" w:cs="Courier New"/>
          <w:color w:val="333333"/>
          <w:kern w:val="0"/>
          <w:sz w:val="24"/>
          <w:szCs w:val="24"/>
          <w:lang w:val="en"/>
        </w:rPr>
        <w:t xml:space="preserve"> of placement; and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other</w:t>
      </w:r>
      <w:proofErr w:type="gramEnd"/>
      <w:r w:rsidRPr="006F2F41">
        <w:rPr>
          <w:rFonts w:ascii="Courier New" w:eastAsia="宋体" w:hAnsi="Courier New" w:cs="Courier New"/>
          <w:color w:val="333333"/>
          <w:kern w:val="0"/>
          <w:sz w:val="24"/>
          <w:szCs w:val="24"/>
          <w:lang w:val="en"/>
        </w:rPr>
        <w:t xml:space="preserve"> related information.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State whether the substantially equivalent device is a pre-amendment device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or</w:t>
      </w:r>
      <w:proofErr w:type="gramEnd"/>
      <w:r w:rsidRPr="006F2F41">
        <w:rPr>
          <w:rFonts w:ascii="Courier New" w:eastAsia="宋体" w:hAnsi="Courier New" w:cs="Courier New"/>
          <w:color w:val="333333"/>
          <w:kern w:val="0"/>
          <w:sz w:val="24"/>
          <w:szCs w:val="24"/>
          <w:lang w:val="en"/>
        </w:rPr>
        <w:t xml:space="preserve"> a device which has been through the 510(k) process, providing the 510(k)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document</w:t>
      </w:r>
      <w:proofErr w:type="gramEnd"/>
      <w:r w:rsidRPr="006F2F41">
        <w:rPr>
          <w:rFonts w:ascii="Courier New" w:eastAsia="宋体" w:hAnsi="Courier New" w:cs="Courier New"/>
          <w:color w:val="333333"/>
          <w:kern w:val="0"/>
          <w:sz w:val="24"/>
          <w:szCs w:val="24"/>
          <w:lang w:val="en"/>
        </w:rPr>
        <w:t xml:space="preserve"> control number if known.  The summary of equivalence information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should</w:t>
      </w:r>
      <w:proofErr w:type="gramEnd"/>
      <w:r w:rsidRPr="006F2F41">
        <w:rPr>
          <w:rFonts w:ascii="Courier New" w:eastAsia="宋体" w:hAnsi="Courier New" w:cs="Courier New"/>
          <w:color w:val="333333"/>
          <w:kern w:val="0"/>
          <w:sz w:val="24"/>
          <w:szCs w:val="24"/>
          <w:lang w:val="en"/>
        </w:rPr>
        <w:t xml:space="preserve"> be provided in a manner that is clear and comprehensible, e.g.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tabular</w:t>
      </w:r>
      <w:proofErr w:type="gramEnd"/>
      <w:r w:rsidRPr="006F2F41">
        <w:rPr>
          <w:rFonts w:ascii="Courier New" w:eastAsia="宋体" w:hAnsi="Courier New" w:cs="Courier New"/>
          <w:color w:val="333333"/>
          <w:kern w:val="0"/>
          <w:sz w:val="24"/>
          <w:szCs w:val="24"/>
          <w:lang w:val="en"/>
        </w:rPr>
        <w:t xml:space="preserve"> form.</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VIII. For a device that has undergone a change or modification that could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significantly</w:t>
      </w:r>
      <w:proofErr w:type="gramEnd"/>
      <w:r w:rsidRPr="006F2F41">
        <w:rPr>
          <w:rFonts w:ascii="Courier New" w:eastAsia="宋体" w:hAnsi="Courier New" w:cs="Courier New"/>
          <w:color w:val="333333"/>
          <w:kern w:val="0"/>
          <w:sz w:val="24"/>
          <w:szCs w:val="24"/>
          <w:lang w:val="en"/>
        </w:rPr>
        <w:t xml:space="preserve"> affect the safety or effectiveness of the device, 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is to be marketed for a new or different indication for use,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510(k) must include appropriate supporting data to show that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manufacturer</w:t>
      </w:r>
      <w:proofErr w:type="gramEnd"/>
      <w:r w:rsidRPr="006F2F41">
        <w:rPr>
          <w:rFonts w:ascii="Courier New" w:eastAsia="宋体" w:hAnsi="Courier New" w:cs="Courier New"/>
          <w:color w:val="333333"/>
          <w:kern w:val="0"/>
          <w:sz w:val="24"/>
          <w:szCs w:val="24"/>
          <w:lang w:val="en"/>
        </w:rPr>
        <w:t xml:space="preserve"> has considered what consequences and effects the change 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modification</w:t>
      </w:r>
      <w:proofErr w:type="gramEnd"/>
      <w:r w:rsidRPr="006F2F41">
        <w:rPr>
          <w:rFonts w:ascii="Courier New" w:eastAsia="宋体" w:hAnsi="Courier New" w:cs="Courier New"/>
          <w:color w:val="333333"/>
          <w:kern w:val="0"/>
          <w:sz w:val="24"/>
          <w:szCs w:val="24"/>
          <w:lang w:val="en"/>
        </w:rPr>
        <w:t xml:space="preserve"> or new use might have on the safety and effectiveness of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as described in 21 CFR 807.87 (g).</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Significant modifications should be supported by a rationale for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modification</w:t>
      </w:r>
      <w:proofErr w:type="gramEnd"/>
      <w:r w:rsidRPr="006F2F41">
        <w:rPr>
          <w:rFonts w:ascii="Courier New" w:eastAsia="宋体" w:hAnsi="Courier New" w:cs="Courier New"/>
          <w:color w:val="333333"/>
          <w:kern w:val="0"/>
          <w:sz w:val="24"/>
          <w:szCs w:val="24"/>
          <w:lang w:val="en"/>
        </w:rPr>
        <w:t xml:space="preserve"> with supporting documentation, including clinical or other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valid</w:t>
      </w:r>
      <w:proofErr w:type="gramEnd"/>
      <w:r w:rsidRPr="006F2F41">
        <w:rPr>
          <w:rFonts w:ascii="Courier New" w:eastAsia="宋体" w:hAnsi="Courier New" w:cs="Courier New"/>
          <w:color w:val="333333"/>
          <w:kern w:val="0"/>
          <w:sz w:val="24"/>
          <w:szCs w:val="24"/>
          <w:lang w:val="en"/>
        </w:rPr>
        <w:t xml:space="preserve"> scientific studies which demonstrate that these differences do not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affect</w:t>
      </w:r>
      <w:proofErr w:type="gramEnd"/>
      <w:r w:rsidRPr="006F2F41">
        <w:rPr>
          <w:rFonts w:ascii="Courier New" w:eastAsia="宋体" w:hAnsi="Courier New" w:cs="Courier New"/>
          <w:color w:val="333333"/>
          <w:kern w:val="0"/>
          <w:sz w:val="24"/>
          <w:szCs w:val="24"/>
          <w:lang w:val="en"/>
        </w:rPr>
        <w:t xml:space="preserve"> safety and effectiveness, as described in 21 CFR 807.87 (f).</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description of all biopsy devices should include any significant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changes</w:t>
      </w:r>
      <w:proofErr w:type="gramEnd"/>
      <w:r w:rsidRPr="006F2F41">
        <w:rPr>
          <w:rFonts w:ascii="Courier New" w:eastAsia="宋体" w:hAnsi="Courier New" w:cs="Courier New"/>
          <w:color w:val="333333"/>
          <w:kern w:val="0"/>
          <w:sz w:val="24"/>
          <w:szCs w:val="24"/>
          <w:lang w:val="en"/>
        </w:rPr>
        <w:t xml:space="preserve"> or modifications from the predicate device that could affect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safety</w:t>
      </w:r>
      <w:proofErr w:type="gramEnd"/>
      <w:r w:rsidRPr="006F2F41">
        <w:rPr>
          <w:rFonts w:ascii="Courier New" w:eastAsia="宋体" w:hAnsi="Courier New" w:cs="Courier New"/>
          <w:color w:val="333333"/>
          <w:kern w:val="0"/>
          <w:sz w:val="24"/>
          <w:szCs w:val="24"/>
          <w:lang w:val="en"/>
        </w:rPr>
        <w:t xml:space="preserve">, effectiveness, or intended use.  Provide any bench, animal,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clinical</w:t>
      </w:r>
      <w:proofErr w:type="gramEnd"/>
      <w:r w:rsidRPr="006F2F41">
        <w:rPr>
          <w:rFonts w:ascii="Courier New" w:eastAsia="宋体" w:hAnsi="Courier New" w:cs="Courier New"/>
          <w:color w:val="333333"/>
          <w:kern w:val="0"/>
          <w:sz w:val="24"/>
          <w:szCs w:val="24"/>
          <w:lang w:val="en"/>
        </w:rPr>
        <w:t xml:space="preserve">, functional, in vitro, and/or any other testing data to support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your</w:t>
      </w:r>
      <w:proofErr w:type="gramEnd"/>
      <w:r w:rsidRPr="006F2F41">
        <w:rPr>
          <w:rFonts w:ascii="Courier New" w:eastAsia="宋体" w:hAnsi="Courier New" w:cs="Courier New"/>
          <w:color w:val="333333"/>
          <w:kern w:val="0"/>
          <w:sz w:val="24"/>
          <w:szCs w:val="24"/>
          <w:lang w:val="en"/>
        </w:rPr>
        <w:t xml:space="preserve"> claims.  Provide certification regarding any compliance with voluntary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standards</w:t>
      </w:r>
      <w:proofErr w:type="gramEnd"/>
      <w:r w:rsidRPr="006F2F41">
        <w:rPr>
          <w:rFonts w:ascii="Courier New" w:eastAsia="宋体" w:hAnsi="Courier New" w:cs="Courier New"/>
          <w:color w:val="333333"/>
          <w:kern w:val="0"/>
          <w:sz w:val="24"/>
          <w:szCs w:val="24"/>
          <w:lang w:val="en"/>
        </w:rPr>
        <w:t>, if applicable.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IX</w:t>
      </w:r>
      <w:proofErr w:type="gramStart"/>
      <w:r w:rsidRPr="006F2F41">
        <w:rPr>
          <w:rFonts w:ascii="Courier New" w:eastAsia="宋体" w:hAnsi="Courier New" w:cs="Courier New"/>
          <w:color w:val="333333"/>
          <w:kern w:val="0"/>
          <w:sz w:val="24"/>
          <w:szCs w:val="24"/>
          <w:lang w:val="en"/>
        </w:rPr>
        <w:t>.  The</w:t>
      </w:r>
      <w:proofErr w:type="gramEnd"/>
      <w:r w:rsidRPr="006F2F41">
        <w:rPr>
          <w:rFonts w:ascii="Courier New" w:eastAsia="宋体" w:hAnsi="Courier New" w:cs="Courier New"/>
          <w:color w:val="333333"/>
          <w:kern w:val="0"/>
          <w:sz w:val="24"/>
          <w:szCs w:val="24"/>
          <w:lang w:val="en"/>
        </w:rPr>
        <w:t xml:space="preserve"> physical description of each biopsy device to be marketed should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be</w:t>
      </w:r>
      <w:proofErr w:type="gramEnd"/>
      <w:r w:rsidRPr="006F2F41">
        <w:rPr>
          <w:rFonts w:ascii="Courier New" w:eastAsia="宋体" w:hAnsi="Courier New" w:cs="Courier New"/>
          <w:color w:val="333333"/>
          <w:kern w:val="0"/>
          <w:sz w:val="24"/>
          <w:szCs w:val="24"/>
          <w:lang w:val="en"/>
        </w:rPr>
        <w:t xml:space="preserve"> provided in the form of a labeled diagram, photograph/picture,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schematic</w:t>
      </w:r>
      <w:proofErr w:type="gramEnd"/>
      <w:r w:rsidRPr="006F2F41">
        <w:rPr>
          <w:rFonts w:ascii="Courier New" w:eastAsia="宋体" w:hAnsi="Courier New" w:cs="Courier New"/>
          <w:color w:val="333333"/>
          <w:kern w:val="0"/>
          <w:sz w:val="24"/>
          <w:szCs w:val="24"/>
          <w:lang w:val="en"/>
        </w:rPr>
        <w:t xml:space="preserve">, etc., which includes all internal/external,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assembled/unassembled</w:t>
      </w:r>
      <w:proofErr w:type="gramEnd"/>
      <w:r w:rsidRPr="006F2F41">
        <w:rPr>
          <w:rFonts w:ascii="Courier New" w:eastAsia="宋体" w:hAnsi="Courier New" w:cs="Courier New"/>
          <w:color w:val="333333"/>
          <w:kern w:val="0"/>
          <w:sz w:val="24"/>
          <w:szCs w:val="24"/>
          <w:lang w:val="en"/>
        </w:rPr>
        <w:t xml:space="preserve">, etc. parts of the biopsy device.  The physical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description</w:t>
      </w:r>
      <w:proofErr w:type="gramEnd"/>
      <w:r w:rsidRPr="006F2F41">
        <w:rPr>
          <w:rFonts w:ascii="Courier New" w:eastAsia="宋体" w:hAnsi="Courier New" w:cs="Courier New"/>
          <w:color w:val="333333"/>
          <w:kern w:val="0"/>
          <w:sz w:val="24"/>
          <w:szCs w:val="24"/>
          <w:lang w:val="en"/>
        </w:rPr>
        <w:t xml:space="preserve"> should include the specifications (length, width, height,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diameter</w:t>
      </w:r>
      <w:proofErr w:type="gramEnd"/>
      <w:r w:rsidRPr="006F2F41">
        <w:rPr>
          <w:rFonts w:ascii="Courier New" w:eastAsia="宋体" w:hAnsi="Courier New" w:cs="Courier New"/>
          <w:color w:val="333333"/>
          <w:kern w:val="0"/>
          <w:sz w:val="24"/>
          <w:szCs w:val="24"/>
          <w:lang w:val="en"/>
        </w:rPr>
        <w:t xml:space="preserve">, power requirements, other applicable information) of the biopsy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The description should also identify any parts which are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disposable</w:t>
      </w:r>
      <w:proofErr w:type="gramEnd"/>
      <w:r w:rsidRPr="006F2F41">
        <w:rPr>
          <w:rFonts w:ascii="Courier New" w:eastAsia="宋体" w:hAnsi="Courier New" w:cs="Courier New"/>
          <w:color w:val="333333"/>
          <w:kern w:val="0"/>
          <w:sz w:val="24"/>
          <w:szCs w:val="24"/>
          <w:lang w:val="en"/>
        </w:rPr>
        <w:t xml:space="preserve"> (i.e., needles, sheath, cannula, etc.).  The labeled diagram,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photograph/picture</w:t>
      </w:r>
      <w:proofErr w:type="gramEnd"/>
      <w:r w:rsidRPr="006F2F41">
        <w:rPr>
          <w:rFonts w:ascii="Courier New" w:eastAsia="宋体" w:hAnsi="Courier New" w:cs="Courier New"/>
          <w:color w:val="333333"/>
          <w:kern w:val="0"/>
          <w:sz w:val="24"/>
          <w:szCs w:val="24"/>
          <w:lang w:val="en"/>
        </w:rPr>
        <w:t xml:space="preserve">, schematic, etc., should address the name and function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of</w:t>
      </w:r>
      <w:proofErr w:type="gramEnd"/>
      <w:r w:rsidRPr="006F2F41">
        <w:rPr>
          <w:rFonts w:ascii="Courier New" w:eastAsia="宋体" w:hAnsi="Courier New" w:cs="Courier New"/>
          <w:color w:val="333333"/>
          <w:kern w:val="0"/>
          <w:sz w:val="24"/>
          <w:szCs w:val="24"/>
          <w:lang w:val="en"/>
        </w:rPr>
        <w:t xml:space="preserve"> all parts of the biopsy device.  This is especially important for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automated</w:t>
      </w:r>
      <w:proofErr w:type="gramEnd"/>
      <w:r w:rsidRPr="006F2F41">
        <w:rPr>
          <w:rFonts w:ascii="Courier New" w:eastAsia="宋体" w:hAnsi="Courier New" w:cs="Courier New"/>
          <w:color w:val="333333"/>
          <w:kern w:val="0"/>
          <w:sz w:val="24"/>
          <w:szCs w:val="24"/>
          <w:lang w:val="en"/>
        </w:rPr>
        <w:t xml:space="preserve"> biopsy guns and electric biopsy forceps where part of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mechanics</w:t>
      </w:r>
      <w:proofErr w:type="gramEnd"/>
      <w:r w:rsidRPr="006F2F41">
        <w:rPr>
          <w:rFonts w:ascii="Courier New" w:eastAsia="宋体" w:hAnsi="Courier New" w:cs="Courier New"/>
          <w:color w:val="333333"/>
          <w:kern w:val="0"/>
          <w:sz w:val="24"/>
          <w:szCs w:val="24"/>
          <w:lang w:val="en"/>
        </w:rPr>
        <w:t xml:space="preserve"> of action is performed without operator intervention.</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If the biopsy device is sold in a set that includes accessories, these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accessories</w:t>
      </w:r>
      <w:proofErr w:type="gramEnd"/>
      <w:r w:rsidRPr="006F2F41">
        <w:rPr>
          <w:rFonts w:ascii="Courier New" w:eastAsia="宋体" w:hAnsi="Courier New" w:cs="Courier New"/>
          <w:color w:val="333333"/>
          <w:kern w:val="0"/>
          <w:sz w:val="24"/>
          <w:szCs w:val="24"/>
          <w:lang w:val="en"/>
        </w:rPr>
        <w:t xml:space="preserve"> need to be identified and reviewed along with the biopsy device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require the same types of information as stated above.  These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accessories</w:t>
      </w:r>
      <w:proofErr w:type="gramEnd"/>
      <w:r w:rsidRPr="006F2F41">
        <w:rPr>
          <w:rFonts w:ascii="Courier New" w:eastAsia="宋体" w:hAnsi="Courier New" w:cs="Courier New"/>
          <w:color w:val="333333"/>
          <w:kern w:val="0"/>
          <w:sz w:val="24"/>
          <w:szCs w:val="24"/>
          <w:lang w:val="en"/>
        </w:rPr>
        <w:t xml:space="preserve"> might include cannulas, handles/holders, introducer, spacers,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stylets</w:t>
      </w:r>
      <w:proofErr w:type="gramEnd"/>
      <w:r w:rsidRPr="006F2F41">
        <w:rPr>
          <w:rFonts w:ascii="Courier New" w:eastAsia="宋体" w:hAnsi="Courier New" w:cs="Courier New"/>
          <w:color w:val="333333"/>
          <w:kern w:val="0"/>
          <w:sz w:val="24"/>
          <w:szCs w:val="24"/>
          <w:lang w:val="en"/>
        </w:rPr>
        <w:t xml:space="preserve">, syringes, trocar, etc.  Labeling must state whether the accessory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is</w:t>
      </w:r>
      <w:proofErr w:type="gramEnd"/>
      <w:r w:rsidRPr="006F2F41">
        <w:rPr>
          <w:rFonts w:ascii="Courier New" w:eastAsia="宋体" w:hAnsi="Courier New" w:cs="Courier New"/>
          <w:color w:val="333333"/>
          <w:kern w:val="0"/>
          <w:sz w:val="24"/>
          <w:szCs w:val="24"/>
          <w:lang w:val="en"/>
        </w:rPr>
        <w:t xml:space="preserve"> intended for single use and whether it is reusable or disposable.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X.   An exact identification of all materials used to fabricate the biopsy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should be provided and a statement regarding any material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differences</w:t>
      </w:r>
      <w:proofErr w:type="gramEnd"/>
      <w:r w:rsidRPr="006F2F41">
        <w:rPr>
          <w:rFonts w:ascii="Courier New" w:eastAsia="宋体" w:hAnsi="Courier New" w:cs="Courier New"/>
          <w:color w:val="333333"/>
          <w:kern w:val="0"/>
          <w:sz w:val="24"/>
          <w:szCs w:val="24"/>
          <w:lang w:val="en"/>
        </w:rPr>
        <w:t xml:space="preserve"> from the pre-amendment or substantially equivalent biopsy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should be explicitly stated.  If the materials are identical to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pre-amendment</w:t>
      </w:r>
      <w:proofErr w:type="gramEnd"/>
      <w:r w:rsidRPr="006F2F41">
        <w:rPr>
          <w:rFonts w:ascii="Courier New" w:eastAsia="宋体" w:hAnsi="Courier New" w:cs="Courier New"/>
          <w:color w:val="333333"/>
          <w:kern w:val="0"/>
          <w:sz w:val="24"/>
          <w:szCs w:val="24"/>
          <w:lang w:val="en"/>
        </w:rPr>
        <w:t xml:space="preserve"> or substantially equivalent device and are identically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processed</w:t>
      </w:r>
      <w:proofErr w:type="gramEnd"/>
      <w:r w:rsidRPr="006F2F41">
        <w:rPr>
          <w:rFonts w:ascii="Courier New" w:eastAsia="宋体" w:hAnsi="Courier New" w:cs="Courier New"/>
          <w:color w:val="333333"/>
          <w:kern w:val="0"/>
          <w:sz w:val="24"/>
          <w:szCs w:val="24"/>
          <w:lang w:val="en"/>
        </w:rPr>
        <w:t xml:space="preserve"> and sterilized, then this should be explicitly stated.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sponsor</w:t>
      </w:r>
      <w:proofErr w:type="gramEnd"/>
      <w:r w:rsidRPr="006F2F41">
        <w:rPr>
          <w:rFonts w:ascii="Courier New" w:eastAsia="宋体" w:hAnsi="Courier New" w:cs="Courier New"/>
          <w:color w:val="333333"/>
          <w:kern w:val="0"/>
          <w:sz w:val="24"/>
          <w:szCs w:val="24"/>
          <w:lang w:val="en"/>
        </w:rPr>
        <w:t xml:space="preserve"> will need to provide biocompatibility testing data on any material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changes</w:t>
      </w:r>
      <w:proofErr w:type="gramEnd"/>
      <w:r w:rsidRPr="006F2F41">
        <w:rPr>
          <w:rFonts w:ascii="Courier New" w:eastAsia="宋体" w:hAnsi="Courier New" w:cs="Courier New"/>
          <w:color w:val="333333"/>
          <w:kern w:val="0"/>
          <w:sz w:val="24"/>
          <w:szCs w:val="24"/>
          <w:lang w:val="en"/>
        </w:rPr>
        <w:t xml:space="preserve"> that have been implemented or justify why this data is not needed,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i.e</w:t>
      </w:r>
      <w:proofErr w:type="gramEnd"/>
      <w:r w:rsidRPr="006F2F41">
        <w:rPr>
          <w:rFonts w:ascii="Courier New" w:eastAsia="宋体" w:hAnsi="Courier New" w:cs="Courier New"/>
          <w:color w:val="333333"/>
          <w:kern w:val="0"/>
          <w:sz w:val="24"/>
          <w:szCs w:val="24"/>
          <w:lang w:val="en"/>
        </w:rPr>
        <w:t xml:space="preserve">. the material does not come into patient contact.  Biopsy devices are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considered</w:t>
      </w:r>
      <w:proofErr w:type="gramEnd"/>
      <w:r w:rsidRPr="006F2F41">
        <w:rPr>
          <w:rFonts w:ascii="Courier New" w:eastAsia="宋体" w:hAnsi="Courier New" w:cs="Courier New"/>
          <w:color w:val="333333"/>
          <w:kern w:val="0"/>
          <w:sz w:val="24"/>
          <w:szCs w:val="24"/>
          <w:lang w:val="en"/>
        </w:rPr>
        <w:t xml:space="preserve"> to be a short-term implants, with the type of tissue it comes in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contact</w:t>
      </w:r>
      <w:proofErr w:type="gramEnd"/>
      <w:r w:rsidRPr="006F2F41">
        <w:rPr>
          <w:rFonts w:ascii="Courier New" w:eastAsia="宋体" w:hAnsi="Courier New" w:cs="Courier New"/>
          <w:color w:val="333333"/>
          <w:kern w:val="0"/>
          <w:sz w:val="24"/>
          <w:szCs w:val="24"/>
          <w:lang w:val="en"/>
        </w:rPr>
        <w:t xml:space="preserve"> dependent on the indications for use.  At a minimum,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biocompatibility</w:t>
      </w:r>
      <w:proofErr w:type="gramEnd"/>
      <w:r w:rsidRPr="006F2F41">
        <w:rPr>
          <w:rFonts w:ascii="Courier New" w:eastAsia="宋体" w:hAnsi="Courier New" w:cs="Courier New"/>
          <w:color w:val="333333"/>
          <w:kern w:val="0"/>
          <w:sz w:val="24"/>
          <w:szCs w:val="24"/>
          <w:lang w:val="en"/>
        </w:rPr>
        <w:t xml:space="preserve"> data should be provided for the following tests: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irritation</w:t>
      </w:r>
      <w:proofErr w:type="gramEnd"/>
      <w:r w:rsidRPr="006F2F41">
        <w:rPr>
          <w:rFonts w:ascii="Courier New" w:eastAsia="宋体" w:hAnsi="Courier New" w:cs="Courier New"/>
          <w:color w:val="333333"/>
          <w:kern w:val="0"/>
          <w:sz w:val="24"/>
          <w:szCs w:val="24"/>
          <w:lang w:val="en"/>
        </w:rPr>
        <w:t xml:space="preserve">, sensitization, cytotoxicity, acute systemic toxicity,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implantation</w:t>
      </w:r>
      <w:proofErr w:type="gramEnd"/>
      <w:r w:rsidRPr="006F2F41">
        <w:rPr>
          <w:rFonts w:ascii="Courier New" w:eastAsia="宋体" w:hAnsi="Courier New" w:cs="Courier New"/>
          <w:color w:val="333333"/>
          <w:kern w:val="0"/>
          <w:sz w:val="24"/>
          <w:szCs w:val="24"/>
          <w:lang w:val="en"/>
        </w:rPr>
        <w:t xml:space="preserve">.  Guidance for the testing is provided in the document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entitled</w:t>
      </w:r>
      <w:proofErr w:type="gramEnd"/>
      <w:r w:rsidRPr="006F2F41">
        <w:rPr>
          <w:rFonts w:ascii="Courier New" w:eastAsia="宋体" w:hAnsi="Courier New" w:cs="Courier New"/>
          <w:color w:val="333333"/>
          <w:kern w:val="0"/>
          <w:sz w:val="24"/>
          <w:szCs w:val="24"/>
          <w:lang w:val="en"/>
        </w:rPr>
        <w:t xml:space="preserve"> "Tripartite Biocompatibility Guidance for Medical Devices" and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copy</w:t>
      </w:r>
      <w:proofErr w:type="gramEnd"/>
      <w:r w:rsidRPr="006F2F41">
        <w:rPr>
          <w:rFonts w:ascii="Courier New" w:eastAsia="宋体" w:hAnsi="Courier New" w:cs="Courier New"/>
          <w:color w:val="333333"/>
          <w:kern w:val="0"/>
          <w:sz w:val="24"/>
          <w:szCs w:val="24"/>
          <w:lang w:val="en"/>
        </w:rPr>
        <w:t xml:space="preserve"> may be obtained from the Center for Devices and Radiological Health's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Division of Small Manufacturers Assistance at (800) 638-2041 or (301)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443-6597.</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An exact identification of all colors (ink, dyes, </w:t>
      </w:r>
      <w:proofErr w:type="gramStart"/>
      <w:r w:rsidRPr="006F2F41">
        <w:rPr>
          <w:rFonts w:ascii="Courier New" w:eastAsia="宋体" w:hAnsi="Courier New" w:cs="Courier New"/>
          <w:color w:val="333333"/>
          <w:kern w:val="0"/>
          <w:sz w:val="24"/>
          <w:szCs w:val="24"/>
          <w:lang w:val="en"/>
        </w:rPr>
        <w:t>markings</w:t>
      </w:r>
      <w:proofErr w:type="gramEnd"/>
      <w:r w:rsidRPr="006F2F41">
        <w:rPr>
          <w:rFonts w:ascii="Courier New" w:eastAsia="宋体" w:hAnsi="Courier New" w:cs="Courier New"/>
          <w:color w:val="333333"/>
          <w:kern w:val="0"/>
          <w:sz w:val="24"/>
          <w:szCs w:val="24"/>
          <w:lang w:val="en"/>
        </w:rPr>
        <w:t xml:space="preserve">, radiopaque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material</w:t>
      </w:r>
      <w:proofErr w:type="gramEnd"/>
      <w:r w:rsidRPr="006F2F41">
        <w:rPr>
          <w:rFonts w:ascii="Courier New" w:eastAsia="宋体" w:hAnsi="Courier New" w:cs="Courier New"/>
          <w:color w:val="333333"/>
          <w:kern w:val="0"/>
          <w:sz w:val="24"/>
          <w:szCs w:val="24"/>
          <w:lang w:val="en"/>
        </w:rPr>
        <w:t xml:space="preserve">, etc.) </w:t>
      </w:r>
      <w:proofErr w:type="gramStart"/>
      <w:r w:rsidRPr="006F2F41">
        <w:rPr>
          <w:rFonts w:ascii="Courier New" w:eastAsia="宋体" w:hAnsi="Courier New" w:cs="Courier New"/>
          <w:color w:val="333333"/>
          <w:kern w:val="0"/>
          <w:sz w:val="24"/>
          <w:szCs w:val="24"/>
          <w:lang w:val="en"/>
        </w:rPr>
        <w:t>used</w:t>
      </w:r>
      <w:proofErr w:type="gramEnd"/>
      <w:r w:rsidRPr="006F2F41">
        <w:rPr>
          <w:rFonts w:ascii="Courier New" w:eastAsia="宋体" w:hAnsi="Courier New" w:cs="Courier New"/>
          <w:color w:val="333333"/>
          <w:kern w:val="0"/>
          <w:sz w:val="24"/>
          <w:szCs w:val="24"/>
          <w:lang w:val="en"/>
        </w:rPr>
        <w:t xml:space="preserve"> to fabricate the biopsy device should be provided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w:t>
      </w:r>
      <w:proofErr w:type="gramEnd"/>
      <w:r w:rsidRPr="006F2F41">
        <w:rPr>
          <w:rFonts w:ascii="Courier New" w:eastAsia="宋体" w:hAnsi="Courier New" w:cs="Courier New"/>
          <w:color w:val="333333"/>
          <w:kern w:val="0"/>
          <w:sz w:val="24"/>
          <w:szCs w:val="24"/>
          <w:lang w:val="en"/>
        </w:rPr>
        <w:t xml:space="preserve"> statement regarding any colorant changes from the pre-amendment 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substantially</w:t>
      </w:r>
      <w:proofErr w:type="gramEnd"/>
      <w:r w:rsidRPr="006F2F41">
        <w:rPr>
          <w:rFonts w:ascii="Courier New" w:eastAsia="宋体" w:hAnsi="Courier New" w:cs="Courier New"/>
          <w:color w:val="333333"/>
          <w:kern w:val="0"/>
          <w:sz w:val="24"/>
          <w:szCs w:val="24"/>
          <w:lang w:val="en"/>
        </w:rPr>
        <w:t xml:space="preserve"> equivalent biopsy device should be included.  If the colors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are</w:t>
      </w:r>
      <w:proofErr w:type="gramEnd"/>
      <w:r w:rsidRPr="006F2F41">
        <w:rPr>
          <w:rFonts w:ascii="Courier New" w:eastAsia="宋体" w:hAnsi="Courier New" w:cs="Courier New"/>
          <w:color w:val="333333"/>
          <w:kern w:val="0"/>
          <w:sz w:val="24"/>
          <w:szCs w:val="24"/>
          <w:lang w:val="en"/>
        </w:rPr>
        <w:t xml:space="preserve"> identical to the pre-amendment or substantially equivalent device then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this</w:t>
      </w:r>
      <w:proofErr w:type="gramEnd"/>
      <w:r w:rsidRPr="006F2F41">
        <w:rPr>
          <w:rFonts w:ascii="Courier New" w:eastAsia="宋体" w:hAnsi="Courier New" w:cs="Courier New"/>
          <w:color w:val="333333"/>
          <w:kern w:val="0"/>
          <w:sz w:val="24"/>
          <w:szCs w:val="24"/>
          <w:lang w:val="en"/>
        </w:rPr>
        <w:t xml:space="preserve"> should be explicitly stated.  The sponsor will need to provide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biocompatibility</w:t>
      </w:r>
      <w:proofErr w:type="gramEnd"/>
      <w:r w:rsidRPr="006F2F41">
        <w:rPr>
          <w:rFonts w:ascii="Courier New" w:eastAsia="宋体" w:hAnsi="Courier New" w:cs="Courier New"/>
          <w:color w:val="333333"/>
          <w:kern w:val="0"/>
          <w:sz w:val="24"/>
          <w:szCs w:val="24"/>
          <w:lang w:val="en"/>
        </w:rPr>
        <w:t xml:space="preserve"> testing data on any colorant changes that have been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implemented</w:t>
      </w:r>
      <w:proofErr w:type="gramEnd"/>
      <w:r w:rsidRPr="006F2F41">
        <w:rPr>
          <w:rFonts w:ascii="Courier New" w:eastAsia="宋体" w:hAnsi="Courier New" w:cs="Courier New"/>
          <w:color w:val="333333"/>
          <w:kern w:val="0"/>
          <w:sz w:val="24"/>
          <w:szCs w:val="24"/>
          <w:lang w:val="en"/>
        </w:rPr>
        <w:t xml:space="preserve">; state how the markings are processed (etched, bands, in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material</w:t>
      </w:r>
      <w:proofErr w:type="gramEnd"/>
      <w:r w:rsidRPr="006F2F41">
        <w:rPr>
          <w:rFonts w:ascii="Courier New" w:eastAsia="宋体" w:hAnsi="Courier New" w:cs="Courier New"/>
          <w:color w:val="333333"/>
          <w:kern w:val="0"/>
          <w:sz w:val="24"/>
          <w:szCs w:val="24"/>
          <w:lang w:val="en"/>
        </w:rPr>
        <w:t xml:space="preserve">, etc.) </w:t>
      </w: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whether the color contacts skin, mucosa, etc.</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XI</w:t>
      </w:r>
      <w:proofErr w:type="gramStart"/>
      <w:r w:rsidRPr="006F2F41">
        <w:rPr>
          <w:rFonts w:ascii="Courier New" w:eastAsia="宋体" w:hAnsi="Courier New" w:cs="Courier New"/>
          <w:color w:val="333333"/>
          <w:kern w:val="0"/>
          <w:sz w:val="24"/>
          <w:szCs w:val="24"/>
          <w:lang w:val="en"/>
        </w:rPr>
        <w:t>.  The</w:t>
      </w:r>
      <w:proofErr w:type="gramEnd"/>
      <w:r w:rsidRPr="006F2F41">
        <w:rPr>
          <w:rFonts w:ascii="Courier New" w:eastAsia="宋体" w:hAnsi="Courier New" w:cs="Courier New"/>
          <w:color w:val="333333"/>
          <w:kern w:val="0"/>
          <w:sz w:val="24"/>
          <w:szCs w:val="24"/>
          <w:lang w:val="en"/>
        </w:rPr>
        <w:t xml:space="preserve"> following data should be provided to demonstrate substantial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equivalence</w:t>
      </w:r>
      <w:proofErr w:type="gramEnd"/>
      <w:r w:rsidRPr="006F2F41">
        <w:rPr>
          <w:rFonts w:ascii="Courier New" w:eastAsia="宋体" w:hAnsi="Courier New" w:cs="Courier New"/>
          <w:color w:val="333333"/>
          <w:kern w:val="0"/>
          <w:sz w:val="24"/>
          <w:szCs w:val="24"/>
          <w:lang w:val="en"/>
        </w:rPr>
        <w:t xml:space="preserve"> of your biopsy device with respect to functional performance.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These tests should be conducted in a manner as similar as possible to how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biopsy device will be used in a medical procedure.  A statistically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valid</w:t>
      </w:r>
      <w:proofErr w:type="gramEnd"/>
      <w:r w:rsidRPr="006F2F41">
        <w:rPr>
          <w:rFonts w:ascii="Courier New" w:eastAsia="宋体" w:hAnsi="Courier New" w:cs="Courier New"/>
          <w:color w:val="333333"/>
          <w:kern w:val="0"/>
          <w:sz w:val="24"/>
          <w:szCs w:val="24"/>
          <w:lang w:val="en"/>
        </w:rPr>
        <w:t xml:space="preserve"> number of biopsy devices should be tested to establish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performance</w:t>
      </w:r>
      <w:proofErr w:type="gramEnd"/>
      <w:r w:rsidRPr="006F2F41">
        <w:rPr>
          <w:rFonts w:ascii="Courier New" w:eastAsia="宋体" w:hAnsi="Courier New" w:cs="Courier New"/>
          <w:color w:val="333333"/>
          <w:kern w:val="0"/>
          <w:sz w:val="24"/>
          <w:szCs w:val="24"/>
          <w:lang w:val="en"/>
        </w:rPr>
        <w:t xml:space="preserve"> of each size.  A sampling of biopsy devices representative of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product line, e.g. largest, smallest, longest, and shortest, should be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tested</w:t>
      </w:r>
      <w:proofErr w:type="gramEnd"/>
      <w:r w:rsidRPr="006F2F41">
        <w:rPr>
          <w:rFonts w:ascii="Courier New" w:eastAsia="宋体" w:hAnsi="Courier New" w:cs="Courier New"/>
          <w:color w:val="333333"/>
          <w:kern w:val="0"/>
          <w:sz w:val="24"/>
          <w:szCs w:val="24"/>
          <w:lang w:val="en"/>
        </w:rPr>
        <w:t xml:space="preserve">.  Testing should be conducted in accordance with accepted industry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standards</w:t>
      </w:r>
      <w:proofErr w:type="gramEnd"/>
      <w:r w:rsidRPr="006F2F41">
        <w:rPr>
          <w:rFonts w:ascii="Courier New" w:eastAsia="宋体" w:hAnsi="Courier New" w:cs="Courier New"/>
          <w:color w:val="333333"/>
          <w:kern w:val="0"/>
          <w:sz w:val="24"/>
          <w:szCs w:val="24"/>
          <w:lang w:val="en"/>
        </w:rPr>
        <w:t xml:space="preserve"> and explicitly stated as such, or a description and analysis of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test procedures used should be provided justifying their validity.  If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applicant believes that functional testing is not appropriate for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type</w:t>
      </w:r>
      <w:proofErr w:type="gramEnd"/>
      <w:r w:rsidRPr="006F2F41">
        <w:rPr>
          <w:rFonts w:ascii="Courier New" w:eastAsia="宋体" w:hAnsi="Courier New" w:cs="Courier New"/>
          <w:color w:val="333333"/>
          <w:kern w:val="0"/>
          <w:sz w:val="24"/>
          <w:szCs w:val="24"/>
          <w:lang w:val="en"/>
        </w:rPr>
        <w:t xml:space="preserve"> of biopsy device to be marketed, justification should be provided.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Functional data for a cytology brush (manual or electric) must include, if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applicable</w:t>
      </w:r>
      <w:proofErr w:type="gramEnd"/>
      <w:r w:rsidRPr="006F2F41">
        <w:rPr>
          <w:rFonts w:ascii="Courier New" w:eastAsia="宋体" w:hAnsi="Courier New" w:cs="Courier New"/>
          <w:color w:val="333333"/>
          <w:kern w:val="0"/>
          <w:sz w:val="24"/>
          <w:szCs w:val="24"/>
          <w:lang w:val="en"/>
        </w:rPr>
        <w:t xml:space="preserve">, testing demonstrating electrical compatibility with other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gastroenterology-urology</w:t>
      </w:r>
      <w:proofErr w:type="gramEnd"/>
      <w:r w:rsidRPr="006F2F41">
        <w:rPr>
          <w:rFonts w:ascii="Courier New" w:eastAsia="宋体" w:hAnsi="Courier New" w:cs="Courier New"/>
          <w:color w:val="333333"/>
          <w:kern w:val="0"/>
          <w:sz w:val="24"/>
          <w:szCs w:val="24"/>
          <w:lang w:val="en"/>
        </w:rPr>
        <w:t xml:space="preserve"> electrical devices; animal, bench, or other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testing</w:t>
      </w:r>
      <w:proofErr w:type="gramEnd"/>
      <w:r w:rsidRPr="006F2F41">
        <w:rPr>
          <w:rFonts w:ascii="Courier New" w:eastAsia="宋体" w:hAnsi="Courier New" w:cs="Courier New"/>
          <w:color w:val="333333"/>
          <w:kern w:val="0"/>
          <w:sz w:val="24"/>
          <w:szCs w:val="24"/>
          <w:lang w:val="en"/>
        </w:rPr>
        <w:t xml:space="preserve"> that defines the appropriate specifications for motor speeds, brush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rotation</w:t>
      </w:r>
      <w:proofErr w:type="gramEnd"/>
      <w:r w:rsidRPr="006F2F41">
        <w:rPr>
          <w:rFonts w:ascii="Courier New" w:eastAsia="宋体" w:hAnsi="Courier New" w:cs="Courier New"/>
          <w:color w:val="333333"/>
          <w:kern w:val="0"/>
          <w:sz w:val="24"/>
          <w:szCs w:val="24"/>
          <w:lang w:val="en"/>
        </w:rPr>
        <w:t xml:space="preserve">, suction pressures, timing, possible electrical hazards to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patient</w:t>
      </w:r>
      <w:proofErr w:type="gramEnd"/>
      <w:r w:rsidRPr="006F2F41">
        <w:rPr>
          <w:rFonts w:ascii="Courier New" w:eastAsia="宋体" w:hAnsi="Courier New" w:cs="Courier New"/>
          <w:color w:val="333333"/>
          <w:kern w:val="0"/>
          <w:sz w:val="24"/>
          <w:szCs w:val="24"/>
          <w:lang w:val="en"/>
        </w:rPr>
        <w:t xml:space="preserve">, etc.; how the tip, if applicable, is attached to the rod and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force</w:t>
      </w:r>
      <w:proofErr w:type="gramEnd"/>
      <w:r w:rsidRPr="006F2F41">
        <w:rPr>
          <w:rFonts w:ascii="Courier New" w:eastAsia="宋体" w:hAnsi="Courier New" w:cs="Courier New"/>
          <w:color w:val="333333"/>
          <w:kern w:val="0"/>
          <w:sz w:val="24"/>
          <w:szCs w:val="24"/>
          <w:lang w:val="en"/>
        </w:rPr>
        <w:t xml:space="preserve"> needed to detach the tip, and brush/bristle attachment and strength.</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Functional data for automatic biopsy devices, needles and needle sets must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include</w:t>
      </w:r>
      <w:proofErr w:type="gramEnd"/>
      <w:r w:rsidRPr="006F2F41">
        <w:rPr>
          <w:rFonts w:ascii="Courier New" w:eastAsia="宋体" w:hAnsi="Courier New" w:cs="Courier New"/>
          <w:color w:val="333333"/>
          <w:kern w:val="0"/>
          <w:sz w:val="24"/>
          <w:szCs w:val="24"/>
          <w:lang w:val="en"/>
        </w:rPr>
        <w:t xml:space="preserve"> testing demonstrating needle advancement and penetration.  Accurate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needle</w:t>
      </w:r>
      <w:proofErr w:type="gramEnd"/>
      <w:r w:rsidRPr="006F2F41">
        <w:rPr>
          <w:rFonts w:ascii="Courier New" w:eastAsia="宋体" w:hAnsi="Courier New" w:cs="Courier New"/>
          <w:color w:val="333333"/>
          <w:kern w:val="0"/>
          <w:sz w:val="24"/>
          <w:szCs w:val="24"/>
          <w:lang w:val="en"/>
        </w:rPr>
        <w:t xml:space="preserve"> advancement is important to ensure the sample is obtained from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intended</w:t>
      </w:r>
      <w:proofErr w:type="gramEnd"/>
      <w:r w:rsidRPr="006F2F41">
        <w:rPr>
          <w:rFonts w:ascii="Courier New" w:eastAsia="宋体" w:hAnsi="Courier New" w:cs="Courier New"/>
          <w:color w:val="333333"/>
          <w:kern w:val="0"/>
          <w:sz w:val="24"/>
          <w:szCs w:val="24"/>
          <w:lang w:val="en"/>
        </w:rPr>
        <w:t xml:space="preserve"> tissue site with minimal trauma to that site and the surrounding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tissue</w:t>
      </w:r>
      <w:proofErr w:type="gramEnd"/>
      <w:r w:rsidRPr="006F2F41">
        <w:rPr>
          <w:rFonts w:ascii="Courier New" w:eastAsia="宋体" w:hAnsi="Courier New" w:cs="Courier New"/>
          <w:color w:val="333333"/>
          <w:kern w:val="0"/>
          <w:sz w:val="24"/>
          <w:szCs w:val="24"/>
          <w:lang w:val="en"/>
        </w:rPr>
        <w:t xml:space="preserve"> sites.  If claiming that the device will take multiple samples at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one</w:t>
      </w:r>
      <w:proofErr w:type="gramEnd"/>
      <w:r w:rsidRPr="006F2F41">
        <w:rPr>
          <w:rFonts w:ascii="Courier New" w:eastAsia="宋体" w:hAnsi="Courier New" w:cs="Courier New"/>
          <w:color w:val="333333"/>
          <w:kern w:val="0"/>
          <w:sz w:val="24"/>
          <w:szCs w:val="24"/>
          <w:lang w:val="en"/>
        </w:rPr>
        <w:t xml:space="preserve"> site, bench testing data must be presented demonstrating that the gun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needle assembly of the biopsy device are capable of being fired and are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able</w:t>
      </w:r>
      <w:proofErr w:type="gramEnd"/>
      <w:r w:rsidRPr="006F2F41">
        <w:rPr>
          <w:rFonts w:ascii="Courier New" w:eastAsia="宋体" w:hAnsi="Courier New" w:cs="Courier New"/>
          <w:color w:val="333333"/>
          <w:kern w:val="0"/>
          <w:sz w:val="24"/>
          <w:szCs w:val="24"/>
          <w:lang w:val="en"/>
        </w:rPr>
        <w:t xml:space="preserve"> to obtain the claimed amount of samples without damage to the interior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mechanisms</w:t>
      </w:r>
      <w:proofErr w:type="gramEnd"/>
      <w:r w:rsidRPr="006F2F41">
        <w:rPr>
          <w:rFonts w:ascii="Courier New" w:eastAsia="宋体" w:hAnsi="Courier New" w:cs="Courier New"/>
          <w:color w:val="333333"/>
          <w:kern w:val="0"/>
          <w:sz w:val="24"/>
          <w:szCs w:val="24"/>
          <w:lang w:val="en"/>
        </w:rPr>
        <w:t xml:space="preserve">, and that the quality and size of the biopsy sample taken with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later shots are equivalent for the types of tissues and/or tumors for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which</w:t>
      </w:r>
      <w:proofErr w:type="gramEnd"/>
      <w:r w:rsidRPr="006F2F41">
        <w:rPr>
          <w:rFonts w:ascii="Courier New" w:eastAsia="宋体" w:hAnsi="Courier New" w:cs="Courier New"/>
          <w:color w:val="333333"/>
          <w:kern w:val="0"/>
          <w:sz w:val="24"/>
          <w:szCs w:val="24"/>
          <w:lang w:val="en"/>
        </w:rPr>
        <w:t xml:space="preserve"> the device is indicated.  If the biopsy device uses electricity,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electrical</w:t>
      </w:r>
      <w:proofErr w:type="gramEnd"/>
      <w:r w:rsidRPr="006F2F41">
        <w:rPr>
          <w:rFonts w:ascii="Courier New" w:eastAsia="宋体" w:hAnsi="Courier New" w:cs="Courier New"/>
          <w:color w:val="333333"/>
          <w:kern w:val="0"/>
          <w:sz w:val="24"/>
          <w:szCs w:val="24"/>
          <w:lang w:val="en"/>
        </w:rPr>
        <w:t xml:space="preserve"> safety (isolation) must be demonstrated.</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Functional data for electric biopsy forceps must include testing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demonstrating</w:t>
      </w:r>
      <w:proofErr w:type="gramEnd"/>
      <w:r w:rsidRPr="006F2F41">
        <w:rPr>
          <w:rFonts w:ascii="Courier New" w:eastAsia="宋体" w:hAnsi="Courier New" w:cs="Courier New"/>
          <w:color w:val="333333"/>
          <w:kern w:val="0"/>
          <w:sz w:val="24"/>
          <w:szCs w:val="24"/>
          <w:lang w:val="en"/>
        </w:rPr>
        <w:t xml:space="preserve"> electrical compatibility with the gastroenterology-urology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electrosurgical</w:t>
      </w:r>
      <w:proofErr w:type="gramEnd"/>
      <w:r w:rsidRPr="006F2F41">
        <w:rPr>
          <w:rFonts w:ascii="Courier New" w:eastAsia="宋体" w:hAnsi="Courier New" w:cs="Courier New"/>
          <w:color w:val="333333"/>
          <w:kern w:val="0"/>
          <w:sz w:val="24"/>
          <w:szCs w:val="24"/>
          <w:lang w:val="en"/>
        </w:rPr>
        <w:t xml:space="preserve"> devices recommended in the labeling, electrical safety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w:t>
      </w:r>
      <w:proofErr w:type="gramStart"/>
      <w:r w:rsidRPr="006F2F41">
        <w:rPr>
          <w:rFonts w:ascii="Courier New" w:eastAsia="宋体" w:hAnsi="Courier New" w:cs="Courier New"/>
          <w:color w:val="333333"/>
          <w:kern w:val="0"/>
          <w:sz w:val="24"/>
          <w:szCs w:val="24"/>
          <w:lang w:val="en"/>
        </w:rPr>
        <w:t>isolation</w:t>
      </w:r>
      <w:proofErr w:type="gramEnd"/>
      <w:r w:rsidRPr="006F2F41">
        <w:rPr>
          <w:rFonts w:ascii="Courier New" w:eastAsia="宋体" w:hAnsi="Courier New" w:cs="Courier New"/>
          <w:color w:val="333333"/>
          <w:kern w:val="0"/>
          <w:sz w:val="24"/>
          <w:szCs w:val="24"/>
          <w:lang w:val="en"/>
        </w:rPr>
        <w:t xml:space="preserve">), and that the device can withstand the maximum currents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generated</w:t>
      </w:r>
      <w:proofErr w:type="gramEnd"/>
      <w:r w:rsidRPr="006F2F41">
        <w:rPr>
          <w:rFonts w:ascii="Courier New" w:eastAsia="宋体" w:hAnsi="Courier New" w:cs="Courier New"/>
          <w:color w:val="333333"/>
          <w:kern w:val="0"/>
          <w:sz w:val="24"/>
          <w:szCs w:val="24"/>
          <w:lang w:val="en"/>
        </w:rPr>
        <w:t xml:space="preserve"> without device damage or patient and user (operator) injury.</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XII. Complete information regarding biopsy devices that are sold sterile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must</w:t>
      </w:r>
      <w:proofErr w:type="gramEnd"/>
      <w:r w:rsidRPr="006F2F41">
        <w:rPr>
          <w:rFonts w:ascii="Courier New" w:eastAsia="宋体" w:hAnsi="Courier New" w:cs="Courier New"/>
          <w:color w:val="333333"/>
          <w:kern w:val="0"/>
          <w:sz w:val="24"/>
          <w:szCs w:val="24"/>
          <w:lang w:val="en"/>
        </w:rPr>
        <w:t xml:space="preserve"> be provided and must include sterilization method; validation method;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packaging</w:t>
      </w:r>
      <w:proofErr w:type="gramEnd"/>
      <w:r w:rsidRPr="006F2F41">
        <w:rPr>
          <w:rFonts w:ascii="Courier New" w:eastAsia="宋体" w:hAnsi="Courier New" w:cs="Courier New"/>
          <w:color w:val="333333"/>
          <w:kern w:val="0"/>
          <w:sz w:val="24"/>
          <w:szCs w:val="24"/>
          <w:lang w:val="en"/>
        </w:rPr>
        <w:t xml:space="preserve"> materials and a description of the packaging to ensure sterility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is</w:t>
      </w:r>
      <w:proofErr w:type="gramEnd"/>
      <w:r w:rsidRPr="006F2F41">
        <w:rPr>
          <w:rFonts w:ascii="Courier New" w:eastAsia="宋体" w:hAnsi="Courier New" w:cs="Courier New"/>
          <w:color w:val="333333"/>
          <w:kern w:val="0"/>
          <w:sz w:val="24"/>
          <w:szCs w:val="24"/>
          <w:lang w:val="en"/>
        </w:rPr>
        <w:t xml:space="preserve"> maintained; sterility assurance level (SAL), and radiation dose 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lastRenderedPageBreak/>
        <w:t>maximum</w:t>
      </w:r>
      <w:proofErr w:type="gramEnd"/>
      <w:r w:rsidRPr="006F2F41">
        <w:rPr>
          <w:rFonts w:ascii="Courier New" w:eastAsia="宋体" w:hAnsi="Courier New" w:cs="Courier New"/>
          <w:color w:val="333333"/>
          <w:kern w:val="0"/>
          <w:sz w:val="24"/>
          <w:szCs w:val="24"/>
          <w:lang w:val="en"/>
        </w:rPr>
        <w:t xml:space="preserve"> levels of residuals of ethylene oxide, ethylene chlorohydrin,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ethylene</w:t>
      </w:r>
      <w:proofErr w:type="gramEnd"/>
      <w:r w:rsidRPr="006F2F41">
        <w:rPr>
          <w:rFonts w:ascii="Courier New" w:eastAsia="宋体" w:hAnsi="Courier New" w:cs="Courier New"/>
          <w:color w:val="333333"/>
          <w:kern w:val="0"/>
          <w:sz w:val="24"/>
          <w:szCs w:val="24"/>
          <w:lang w:val="en"/>
        </w:rPr>
        <w:t xml:space="preserve"> glycol which remain on the device, whichever applicable.  If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device</w:t>
      </w:r>
      <w:proofErr w:type="gramEnd"/>
      <w:r w:rsidRPr="006F2F41">
        <w:rPr>
          <w:rFonts w:ascii="Courier New" w:eastAsia="宋体" w:hAnsi="Courier New" w:cs="Courier New"/>
          <w:color w:val="333333"/>
          <w:kern w:val="0"/>
          <w:sz w:val="24"/>
          <w:szCs w:val="24"/>
          <w:lang w:val="en"/>
        </w:rPr>
        <w:t xml:space="preserve"> will be labeled as pyrogen free, or non-pyrogenic, provide a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description</w:t>
      </w:r>
      <w:proofErr w:type="gramEnd"/>
      <w:r w:rsidRPr="006F2F41">
        <w:rPr>
          <w:rFonts w:ascii="Courier New" w:eastAsia="宋体" w:hAnsi="Courier New" w:cs="Courier New"/>
          <w:color w:val="333333"/>
          <w:kern w:val="0"/>
          <w:sz w:val="24"/>
          <w:szCs w:val="24"/>
          <w:lang w:val="en"/>
        </w:rPr>
        <w:t xml:space="preserve"> of the method used to make that determination (LAL or Rabbit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test</w:t>
      </w:r>
      <w:proofErr w:type="gramEnd"/>
      <w:r w:rsidRPr="006F2F41">
        <w:rPr>
          <w:rFonts w:ascii="Courier New" w:eastAsia="宋体" w:hAnsi="Courier New" w:cs="Courier New"/>
          <w:color w:val="333333"/>
          <w:kern w:val="0"/>
          <w:sz w:val="24"/>
          <w:szCs w:val="24"/>
          <w:lang w:val="en"/>
        </w:rPr>
        <w:t xml:space="preserve">).  If the entire biopsy device is not sold sterile, labeling must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clearly</w:t>
      </w:r>
      <w:proofErr w:type="gramEnd"/>
      <w:r w:rsidRPr="006F2F41">
        <w:rPr>
          <w:rFonts w:ascii="Courier New" w:eastAsia="宋体" w:hAnsi="Courier New" w:cs="Courier New"/>
          <w:color w:val="333333"/>
          <w:kern w:val="0"/>
          <w:sz w:val="24"/>
          <w:szCs w:val="24"/>
          <w:lang w:val="en"/>
        </w:rPr>
        <w:t xml:space="preserve"> identify which parts are sterile and non-pyrogenic.  Guidance 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sterility</w:t>
      </w:r>
      <w:proofErr w:type="gramEnd"/>
      <w:r w:rsidRPr="006F2F41">
        <w:rPr>
          <w:rFonts w:ascii="Courier New" w:eastAsia="宋体" w:hAnsi="Courier New" w:cs="Courier New"/>
          <w:color w:val="333333"/>
          <w:kern w:val="0"/>
          <w:sz w:val="24"/>
          <w:szCs w:val="24"/>
          <w:lang w:val="en"/>
        </w:rPr>
        <w:t xml:space="preserve"> issues is described in ODE Bluebook Memo K90-1 510(k) "Sterility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Review Guidance (2/12/90)" and a copy may be obtained from the Center for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Devices and Radiological Health's Division of Small Manufacturers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Assistance at (800) 638-2041 or (301) 443-6597.</w:t>
      </w:r>
      <w:proofErr w:type="gramEnd"/>
      <w:r w:rsidRPr="006F2F41">
        <w:rPr>
          <w:rFonts w:ascii="Courier New" w:eastAsia="宋体" w:hAnsi="Courier New" w:cs="Courier New"/>
          <w:color w:val="333333"/>
          <w:kern w:val="0"/>
          <w:sz w:val="24"/>
          <w:szCs w:val="24"/>
          <w:lang w:val="en"/>
        </w:rPr>
        <w:t xml:space="preserv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If the biopsy device is sold and labeled nonsterile or can be reprocessed,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instructions</w:t>
      </w:r>
      <w:proofErr w:type="gramEnd"/>
      <w:r w:rsidRPr="006F2F41">
        <w:rPr>
          <w:rFonts w:ascii="Courier New" w:eastAsia="宋体" w:hAnsi="Courier New" w:cs="Courier New"/>
          <w:color w:val="333333"/>
          <w:kern w:val="0"/>
          <w:sz w:val="24"/>
          <w:szCs w:val="24"/>
          <w:lang w:val="en"/>
        </w:rPr>
        <w:t xml:space="preserve"> on disassembly, cleaning, disinfection, and/or sterilization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should</w:t>
      </w:r>
      <w:proofErr w:type="gramEnd"/>
      <w:r w:rsidRPr="006F2F41">
        <w:rPr>
          <w:rFonts w:ascii="Courier New" w:eastAsia="宋体" w:hAnsi="Courier New" w:cs="Courier New"/>
          <w:color w:val="333333"/>
          <w:kern w:val="0"/>
          <w:sz w:val="24"/>
          <w:szCs w:val="24"/>
          <w:lang w:val="en"/>
        </w:rPr>
        <w:t xml:space="preserve"> be provided, if applicable.  If appropriate, a statement that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biopsy</w:t>
      </w:r>
      <w:proofErr w:type="gramEnd"/>
      <w:r w:rsidRPr="006F2F41">
        <w:rPr>
          <w:rFonts w:ascii="Courier New" w:eastAsia="宋体" w:hAnsi="Courier New" w:cs="Courier New"/>
          <w:color w:val="333333"/>
          <w:kern w:val="0"/>
          <w:sz w:val="24"/>
          <w:szCs w:val="24"/>
          <w:lang w:val="en"/>
        </w:rPr>
        <w:t xml:space="preserve"> device requires high level disinfection should be provided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compatible</w:t>
      </w:r>
      <w:proofErr w:type="gramEnd"/>
      <w:r w:rsidRPr="006F2F41">
        <w:rPr>
          <w:rFonts w:ascii="Courier New" w:eastAsia="宋体" w:hAnsi="Courier New" w:cs="Courier New"/>
          <w:color w:val="333333"/>
          <w:kern w:val="0"/>
          <w:sz w:val="24"/>
          <w:szCs w:val="24"/>
          <w:lang w:val="en"/>
        </w:rPr>
        <w:t xml:space="preserve"> solutions and/or procedures for high level disinfection and/or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sterilization</w:t>
      </w:r>
      <w:proofErr w:type="gramEnd"/>
      <w:r w:rsidRPr="006F2F41">
        <w:rPr>
          <w:rFonts w:ascii="Courier New" w:eastAsia="宋体" w:hAnsi="Courier New" w:cs="Courier New"/>
          <w:color w:val="333333"/>
          <w:kern w:val="0"/>
          <w:sz w:val="24"/>
          <w:szCs w:val="24"/>
          <w:lang w:val="en"/>
        </w:rPr>
        <w:t xml:space="preserve"> need to be identified.  Accessories that are disposable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should</w:t>
      </w:r>
      <w:proofErr w:type="gramEnd"/>
      <w:r w:rsidRPr="006F2F41">
        <w:rPr>
          <w:rFonts w:ascii="Courier New" w:eastAsia="宋体" w:hAnsi="Courier New" w:cs="Courier New"/>
          <w:color w:val="333333"/>
          <w:kern w:val="0"/>
          <w:sz w:val="24"/>
          <w:szCs w:val="24"/>
          <w:lang w:val="en"/>
        </w:rPr>
        <w:t xml:space="preserve"> be labeled as single use.</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The Association for Practitioners in Infection Control (APIC) and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Center for Disease Control (CDC) have established definitions and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guidelines</w:t>
      </w:r>
      <w:proofErr w:type="gramEnd"/>
      <w:r w:rsidRPr="006F2F41">
        <w:rPr>
          <w:rFonts w:ascii="Courier New" w:eastAsia="宋体" w:hAnsi="Courier New" w:cs="Courier New"/>
          <w:color w:val="333333"/>
          <w:kern w:val="0"/>
          <w:sz w:val="24"/>
          <w:szCs w:val="24"/>
          <w:lang w:val="en"/>
        </w:rPr>
        <w:t xml:space="preserve"> for the selection and use of disinfectants, which depend on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site(s)</w:t>
      </w:r>
      <w:proofErr w:type="gramEnd"/>
      <w:r w:rsidRPr="006F2F41">
        <w:rPr>
          <w:rFonts w:ascii="Courier New" w:eastAsia="宋体" w:hAnsi="Courier New" w:cs="Courier New"/>
          <w:color w:val="333333"/>
          <w:kern w:val="0"/>
          <w:sz w:val="24"/>
          <w:szCs w:val="24"/>
          <w:lang w:val="en"/>
        </w:rPr>
        <w:t xml:space="preserve"> of device contact.  The applicant's recommendations must be based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on</w:t>
      </w:r>
      <w:proofErr w:type="gramEnd"/>
      <w:r w:rsidRPr="006F2F41">
        <w:rPr>
          <w:rFonts w:ascii="Courier New" w:eastAsia="宋体" w:hAnsi="Courier New" w:cs="Courier New"/>
          <w:color w:val="333333"/>
          <w:kern w:val="0"/>
          <w:sz w:val="24"/>
          <w:szCs w:val="24"/>
          <w:lang w:val="en"/>
        </w:rPr>
        <w:t xml:space="preserve"> the target organs stated in their labeling.</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XIII. If this device is to be marketed as a kit, identify all components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roofErr w:type="gramStart"/>
      <w:r w:rsidRPr="006F2F41">
        <w:rPr>
          <w:rFonts w:ascii="Courier New" w:eastAsia="宋体" w:hAnsi="Courier New" w:cs="Courier New"/>
          <w:color w:val="333333"/>
          <w:kern w:val="0"/>
          <w:sz w:val="24"/>
          <w:szCs w:val="24"/>
          <w:lang w:val="en"/>
        </w:rPr>
        <w:t>and</w:t>
      </w:r>
      <w:proofErr w:type="gramEnd"/>
      <w:r w:rsidRPr="006F2F41">
        <w:rPr>
          <w:rFonts w:ascii="Courier New" w:eastAsia="宋体" w:hAnsi="Courier New" w:cs="Courier New"/>
          <w:color w:val="333333"/>
          <w:kern w:val="0"/>
          <w:sz w:val="24"/>
          <w:szCs w:val="24"/>
          <w:lang w:val="en"/>
        </w:rPr>
        <w:t xml:space="preserve"> provide the certification stated below:</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I certify that the following components of my kit are either (1)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legally</w:t>
      </w:r>
      <w:proofErr w:type="gramEnd"/>
      <w:r w:rsidRPr="006F2F41">
        <w:rPr>
          <w:rFonts w:ascii="Courier New" w:eastAsia="宋体" w:hAnsi="Courier New" w:cs="Courier New"/>
          <w:color w:val="333333"/>
          <w:kern w:val="0"/>
          <w:sz w:val="24"/>
          <w:szCs w:val="24"/>
          <w:lang w:val="en"/>
        </w:rPr>
        <w:t xml:space="preserve"> marketed pre-amendments devices, (2) exempt from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notification</w:t>
      </w:r>
      <w:proofErr w:type="gramEnd"/>
      <w:r w:rsidRPr="006F2F41">
        <w:rPr>
          <w:rFonts w:ascii="Courier New" w:eastAsia="宋体" w:hAnsi="Courier New" w:cs="Courier New"/>
          <w:color w:val="333333"/>
          <w:kern w:val="0"/>
          <w:sz w:val="24"/>
          <w:szCs w:val="24"/>
          <w:lang w:val="en"/>
        </w:rPr>
        <w:t xml:space="preserve"> (consistent with the exemption criteria described in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classification regulation(s) and the limitations of exemptions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from</w:t>
      </w:r>
      <w:proofErr w:type="gramEnd"/>
      <w:r w:rsidRPr="006F2F41">
        <w:rPr>
          <w:rFonts w:ascii="Courier New" w:eastAsia="宋体" w:hAnsi="Courier New" w:cs="Courier New"/>
          <w:color w:val="333333"/>
          <w:kern w:val="0"/>
          <w:sz w:val="24"/>
          <w:szCs w:val="24"/>
          <w:lang w:val="en"/>
        </w:rPr>
        <w:t xml:space="preserve"> Section 510(k) of the act (e.g., 862.9), or (3) have been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found</w:t>
      </w:r>
      <w:proofErr w:type="gramEnd"/>
      <w:r w:rsidRPr="006F2F41">
        <w:rPr>
          <w:rFonts w:ascii="Courier New" w:eastAsia="宋体" w:hAnsi="Courier New" w:cs="Courier New"/>
          <w:color w:val="333333"/>
          <w:kern w:val="0"/>
          <w:sz w:val="24"/>
          <w:szCs w:val="24"/>
          <w:lang w:val="en"/>
        </w:rPr>
        <w:t xml:space="preserve"> to be substantially equivalent through the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notification</w:t>
      </w:r>
      <w:proofErr w:type="gramEnd"/>
      <w:r w:rsidRPr="006F2F41">
        <w:rPr>
          <w:rFonts w:ascii="Courier New" w:eastAsia="宋体" w:hAnsi="Courier New" w:cs="Courier New"/>
          <w:color w:val="333333"/>
          <w:kern w:val="0"/>
          <w:sz w:val="24"/>
          <w:szCs w:val="24"/>
          <w:lang w:val="en"/>
        </w:rPr>
        <w:t xml:space="preserve"> process for the use(s) for which the kit is to be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intended</w:t>
      </w:r>
      <w:proofErr w:type="gramEnd"/>
      <w:r w:rsidRPr="006F2F41">
        <w:rPr>
          <w:rFonts w:ascii="Courier New" w:eastAsia="宋体" w:hAnsi="Courier New" w:cs="Courier New"/>
          <w:color w:val="333333"/>
          <w:kern w:val="0"/>
          <w:sz w:val="24"/>
          <w:szCs w:val="24"/>
          <w:lang w:val="en"/>
        </w:rPr>
        <w:t xml:space="preserve"> (i.e., I am not claiming or causing a new use for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component(s))</w:t>
      </w:r>
      <w:proofErr w:type="gramEnd"/>
      <w:r w:rsidRPr="006F2F41">
        <w:rPr>
          <w:rFonts w:ascii="Courier New" w:eastAsia="宋体" w:hAnsi="Courier New" w:cs="Courier New"/>
          <w:color w:val="333333"/>
          <w:kern w:val="0"/>
          <w:sz w:val="24"/>
          <w:szCs w:val="24"/>
          <w:lang w:val="en"/>
        </w:rPr>
        <w:t xml:space="preserv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I further certify that these components are not purchased in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bulk</w:t>
      </w:r>
      <w:proofErr w:type="gramEnd"/>
      <w:r w:rsidRPr="006F2F41">
        <w:rPr>
          <w:rFonts w:ascii="Courier New" w:eastAsia="宋体" w:hAnsi="Courier New" w:cs="Courier New"/>
          <w:color w:val="333333"/>
          <w:kern w:val="0"/>
          <w:sz w:val="24"/>
          <w:szCs w:val="24"/>
          <w:lang w:val="en"/>
        </w:rPr>
        <w:t xml:space="preserve">", but are purchased in finished form, i.e., they are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packaged</w:t>
      </w:r>
      <w:proofErr w:type="gramEnd"/>
      <w:r w:rsidRPr="006F2F41">
        <w:rPr>
          <w:rFonts w:ascii="Courier New" w:eastAsia="宋体" w:hAnsi="Courier New" w:cs="Courier New"/>
          <w:color w:val="333333"/>
          <w:kern w:val="0"/>
          <w:sz w:val="24"/>
          <w:szCs w:val="24"/>
          <w:lang w:val="en"/>
        </w:rPr>
        <w:t xml:space="preserve">, labeled, etc., consistent with their pre-amendments,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exemption</w:t>
      </w:r>
      <w:proofErr w:type="gramEnd"/>
      <w:r w:rsidRPr="006F2F41">
        <w:rPr>
          <w:rFonts w:ascii="Courier New" w:eastAsia="宋体" w:hAnsi="Courier New" w:cs="Courier New"/>
          <w:color w:val="333333"/>
          <w:kern w:val="0"/>
          <w:sz w:val="24"/>
          <w:szCs w:val="24"/>
          <w:lang w:val="en"/>
        </w:rPr>
        <w:t>, or premarket notification criteria and status.</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If you cannot make the above referenced certification statement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first</w:t>
      </w:r>
      <w:proofErr w:type="gramEnd"/>
      <w:r w:rsidRPr="006F2F41">
        <w:rPr>
          <w:rFonts w:ascii="Courier New" w:eastAsia="宋体" w:hAnsi="Courier New" w:cs="Courier New"/>
          <w:color w:val="333333"/>
          <w:kern w:val="0"/>
          <w:sz w:val="24"/>
          <w:szCs w:val="24"/>
          <w:lang w:val="en"/>
        </w:rPr>
        <w:t xml:space="preserve"> paragraph) for each component of your kit, you must itemize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the</w:t>
      </w:r>
      <w:proofErr w:type="gramEnd"/>
      <w:r w:rsidRPr="006F2F41">
        <w:rPr>
          <w:rFonts w:ascii="Courier New" w:eastAsia="宋体" w:hAnsi="Courier New" w:cs="Courier New"/>
          <w:color w:val="333333"/>
          <w:kern w:val="0"/>
          <w:sz w:val="24"/>
          <w:szCs w:val="24"/>
          <w:lang w:val="en"/>
        </w:rPr>
        <w:t xml:space="preserve"> components without a pre-amendments, exemption, or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notification</w:t>
      </w:r>
      <w:proofErr w:type="gramEnd"/>
      <w:r w:rsidRPr="006F2F41">
        <w:rPr>
          <w:rFonts w:ascii="Courier New" w:eastAsia="宋体" w:hAnsi="Courier New" w:cs="Courier New"/>
          <w:color w:val="333333"/>
          <w:kern w:val="0"/>
          <w:sz w:val="24"/>
          <w:szCs w:val="24"/>
          <w:lang w:val="en"/>
        </w:rPr>
        <w:t xml:space="preserve"> status.  In this case we will continue our premarket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notification</w:t>
      </w:r>
      <w:proofErr w:type="gramEnd"/>
      <w:r w:rsidRPr="006F2F41">
        <w:rPr>
          <w:rFonts w:ascii="Courier New" w:eastAsia="宋体" w:hAnsi="Courier New" w:cs="Courier New"/>
          <w:color w:val="333333"/>
          <w:kern w:val="0"/>
          <w:sz w:val="24"/>
          <w:szCs w:val="24"/>
          <w:lang w:val="en"/>
        </w:rPr>
        <w:t xml:space="preserve"> review of these components of your kit.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If you cannot make the above referenced certification statement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lastRenderedPageBreak/>
        <w:t xml:space="preserve">         (</w:t>
      </w:r>
      <w:proofErr w:type="gramStart"/>
      <w:r w:rsidRPr="006F2F41">
        <w:rPr>
          <w:rFonts w:ascii="Courier New" w:eastAsia="宋体" w:hAnsi="Courier New" w:cs="Courier New"/>
          <w:color w:val="333333"/>
          <w:kern w:val="0"/>
          <w:sz w:val="24"/>
          <w:szCs w:val="24"/>
          <w:lang w:val="en"/>
        </w:rPr>
        <w:t>second</w:t>
      </w:r>
      <w:proofErr w:type="gramEnd"/>
      <w:r w:rsidRPr="006F2F41">
        <w:rPr>
          <w:rFonts w:ascii="Courier New" w:eastAsia="宋体" w:hAnsi="Courier New" w:cs="Courier New"/>
          <w:color w:val="333333"/>
          <w:kern w:val="0"/>
          <w:sz w:val="24"/>
          <w:szCs w:val="24"/>
          <w:lang w:val="en"/>
        </w:rPr>
        <w:t xml:space="preserve"> paragraph) for each component of your kit, you must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itemize</w:t>
      </w:r>
      <w:proofErr w:type="gramEnd"/>
      <w:r w:rsidRPr="006F2F41">
        <w:rPr>
          <w:rFonts w:ascii="Courier New" w:eastAsia="宋体" w:hAnsi="Courier New" w:cs="Courier New"/>
          <w:color w:val="333333"/>
          <w:kern w:val="0"/>
          <w:sz w:val="24"/>
          <w:szCs w:val="24"/>
          <w:lang w:val="en"/>
        </w:rPr>
        <w:t xml:space="preserve"> these components, state whether they are pre-amendments,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exempt</w:t>
      </w:r>
      <w:proofErr w:type="gramEnd"/>
      <w:r w:rsidRPr="006F2F41">
        <w:rPr>
          <w:rFonts w:ascii="Courier New" w:eastAsia="宋体" w:hAnsi="Courier New" w:cs="Courier New"/>
          <w:color w:val="333333"/>
          <w:kern w:val="0"/>
          <w:sz w:val="24"/>
          <w:szCs w:val="24"/>
          <w:lang w:val="en"/>
        </w:rPr>
        <w:t xml:space="preserve">, or have been found substantially equivalent through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premarket</w:t>
      </w:r>
      <w:proofErr w:type="gramEnd"/>
      <w:r w:rsidRPr="006F2F41">
        <w:rPr>
          <w:rFonts w:ascii="Courier New" w:eastAsia="宋体" w:hAnsi="Courier New" w:cs="Courier New"/>
          <w:color w:val="333333"/>
          <w:kern w:val="0"/>
          <w:sz w:val="24"/>
          <w:szCs w:val="24"/>
          <w:lang w:val="en"/>
        </w:rPr>
        <w:t xml:space="preserve"> notification process, and describe how you further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process</w:t>
      </w:r>
      <w:proofErr w:type="gramEnd"/>
      <w:r w:rsidRPr="006F2F41">
        <w:rPr>
          <w:rFonts w:ascii="Courier New" w:eastAsia="宋体" w:hAnsi="Courier New" w:cs="Courier New"/>
          <w:color w:val="333333"/>
          <w:kern w:val="0"/>
          <w:sz w:val="24"/>
          <w:szCs w:val="24"/>
          <w:lang w:val="en"/>
        </w:rPr>
        <w:t xml:space="preserve"> them (e.g., sterile, package/repackage, label/relabel,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etc</w:t>
      </w:r>
      <w:proofErr w:type="gramEnd"/>
      <w:r w:rsidRPr="006F2F41">
        <w:rPr>
          <w:rFonts w:ascii="Courier New" w:eastAsia="宋体" w:hAnsi="Courier New" w:cs="Courier New"/>
          <w:color w:val="333333"/>
          <w:kern w:val="0"/>
          <w:sz w:val="24"/>
          <w:szCs w:val="24"/>
          <w:lang w:val="en"/>
        </w:rPr>
        <w:t>.).</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r w:rsidRPr="006F2F41">
        <w:rPr>
          <w:rFonts w:ascii="Courier New" w:eastAsia="宋体" w:hAnsi="Courier New" w:cs="Courier New"/>
          <w:color w:val="333333"/>
          <w:kern w:val="0"/>
          <w:sz w:val="24"/>
          <w:szCs w:val="24"/>
          <w:lang w:val="en"/>
        </w:rPr>
        <w:tab/>
        <w:t xml:space="preserve"> If the device kit contains components which are subject to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regulation</w:t>
      </w:r>
      <w:proofErr w:type="gramEnd"/>
      <w:r w:rsidRPr="006F2F41">
        <w:rPr>
          <w:rFonts w:ascii="Courier New" w:eastAsia="宋体" w:hAnsi="Courier New" w:cs="Courier New"/>
          <w:color w:val="333333"/>
          <w:kern w:val="0"/>
          <w:sz w:val="24"/>
          <w:szCs w:val="24"/>
          <w:lang w:val="en"/>
        </w:rPr>
        <w:t xml:space="preserve"> as drugs, a substantially equivalent determination will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not</w:t>
      </w:r>
      <w:proofErr w:type="gramEnd"/>
      <w:r w:rsidRPr="006F2F41">
        <w:rPr>
          <w:rFonts w:ascii="Courier New" w:eastAsia="宋体" w:hAnsi="Courier New" w:cs="Courier New"/>
          <w:color w:val="333333"/>
          <w:kern w:val="0"/>
          <w:sz w:val="24"/>
          <w:szCs w:val="24"/>
          <w:lang w:val="en"/>
        </w:rPr>
        <w:t xml:space="preserve"> apply to the drug component(s) of the device.  For information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on</w:t>
      </w:r>
      <w:proofErr w:type="gramEnd"/>
      <w:r w:rsidRPr="006F2F41">
        <w:rPr>
          <w:rFonts w:ascii="Courier New" w:eastAsia="宋体" w:hAnsi="Courier New" w:cs="Courier New"/>
          <w:color w:val="333333"/>
          <w:kern w:val="0"/>
          <w:sz w:val="24"/>
          <w:szCs w:val="24"/>
          <w:lang w:val="en"/>
        </w:rPr>
        <w:t xml:space="preserve"> applicable Agency requirements for marketing the drug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component(s)</w:t>
      </w:r>
      <w:proofErr w:type="gramEnd"/>
      <w:r w:rsidRPr="006F2F41">
        <w:rPr>
          <w:rFonts w:ascii="Courier New" w:eastAsia="宋体" w:hAnsi="Courier New" w:cs="Courier New"/>
          <w:color w:val="333333"/>
          <w:kern w:val="0"/>
          <w:sz w:val="24"/>
          <w:szCs w:val="24"/>
          <w:lang w:val="en"/>
        </w:rPr>
        <w:t xml:space="preserve"> in the kit, it is suggested that you contact the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Center for Drug evaluation and Research's Division of Drug </w:t>
      </w:r>
    </w:p>
    <w:p w:rsidR="006F2F41" w:rsidRPr="006F2F41" w:rsidRDefault="006F2F41" w:rsidP="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宋体" w:hAnsi="Courier New" w:cs="Courier New"/>
          <w:color w:val="333333"/>
          <w:kern w:val="0"/>
          <w:sz w:val="24"/>
          <w:szCs w:val="24"/>
          <w:lang w:val="en"/>
        </w:rPr>
      </w:pPr>
      <w:r w:rsidRPr="006F2F41">
        <w:rPr>
          <w:rFonts w:ascii="Courier New" w:eastAsia="宋体" w:hAnsi="Courier New" w:cs="Courier New"/>
          <w:color w:val="333333"/>
          <w:kern w:val="0"/>
          <w:sz w:val="24"/>
          <w:szCs w:val="24"/>
          <w:lang w:val="en"/>
        </w:rPr>
        <w:t xml:space="preserve">         </w:t>
      </w:r>
      <w:proofErr w:type="gramStart"/>
      <w:r w:rsidRPr="006F2F41">
        <w:rPr>
          <w:rFonts w:ascii="Courier New" w:eastAsia="宋体" w:hAnsi="Courier New" w:cs="Courier New"/>
          <w:color w:val="333333"/>
          <w:kern w:val="0"/>
          <w:sz w:val="24"/>
          <w:szCs w:val="24"/>
          <w:lang w:val="en"/>
        </w:rPr>
        <w:t>Labeling Compliance at (301) 295-8063.</w:t>
      </w:r>
      <w:proofErr w:type="gramEnd"/>
    </w:p>
    <w:p w:rsidR="00D07A6B" w:rsidRDefault="00D07A6B">
      <w:pPr>
        <w:rPr>
          <w:rFonts w:hint="eastAsia"/>
        </w:rPr>
      </w:pPr>
    </w:p>
    <w:p w:rsidR="006F2F41" w:rsidRDefault="006F2F41">
      <w:r w:rsidRPr="006F2F41">
        <w:t>https://www.fda.gov/MedicalDevices/DeviceRegulationandGuidance/GuidanceDocuments/ucm081347.htm</w:t>
      </w:r>
      <w:bookmarkStart w:id="0" w:name="_GoBack"/>
      <w:bookmarkEnd w:id="0"/>
    </w:p>
    <w:sectPr w:rsidR="006F2F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D4" w:rsidRDefault="000A34D4" w:rsidP="006F2F41">
      <w:r>
        <w:separator/>
      </w:r>
    </w:p>
  </w:endnote>
  <w:endnote w:type="continuationSeparator" w:id="0">
    <w:p w:rsidR="000A34D4" w:rsidRDefault="000A34D4" w:rsidP="006F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D4" w:rsidRDefault="000A34D4" w:rsidP="006F2F41">
      <w:r>
        <w:separator/>
      </w:r>
    </w:p>
  </w:footnote>
  <w:footnote w:type="continuationSeparator" w:id="0">
    <w:p w:rsidR="000A34D4" w:rsidRDefault="000A34D4" w:rsidP="006F2F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1E6AA6"/>
    <w:multiLevelType w:val="multilevel"/>
    <w:tmpl w:val="7D606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43C"/>
    <w:rsid w:val="000A34D4"/>
    <w:rsid w:val="0016643C"/>
    <w:rsid w:val="006F2F41"/>
    <w:rsid w:val="00D07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F2F41"/>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F41"/>
    <w:rPr>
      <w:sz w:val="18"/>
      <w:szCs w:val="18"/>
    </w:rPr>
  </w:style>
  <w:style w:type="paragraph" w:styleId="a4">
    <w:name w:val="footer"/>
    <w:basedOn w:val="a"/>
    <w:link w:val="Char0"/>
    <w:uiPriority w:val="99"/>
    <w:unhideWhenUsed/>
    <w:rsid w:val="006F2F41"/>
    <w:pPr>
      <w:tabs>
        <w:tab w:val="center" w:pos="4153"/>
        <w:tab w:val="right" w:pos="8306"/>
      </w:tabs>
      <w:snapToGrid w:val="0"/>
      <w:jc w:val="left"/>
    </w:pPr>
    <w:rPr>
      <w:sz w:val="18"/>
      <w:szCs w:val="18"/>
    </w:rPr>
  </w:style>
  <w:style w:type="character" w:customStyle="1" w:styleId="Char0">
    <w:name w:val="页脚 Char"/>
    <w:basedOn w:val="a0"/>
    <w:link w:val="a4"/>
    <w:uiPriority w:val="99"/>
    <w:rsid w:val="006F2F41"/>
    <w:rPr>
      <w:sz w:val="18"/>
      <w:szCs w:val="18"/>
    </w:rPr>
  </w:style>
  <w:style w:type="character" w:customStyle="1" w:styleId="1Char">
    <w:name w:val="标题 1 Char"/>
    <w:basedOn w:val="a0"/>
    <w:link w:val="1"/>
    <w:uiPriority w:val="9"/>
    <w:rsid w:val="006F2F41"/>
    <w:rPr>
      <w:rFonts w:ascii="Helvetica" w:eastAsia="宋体" w:hAnsi="Helvetica" w:cs="Helvetica"/>
      <w:b/>
      <w:bCs/>
      <w:kern w:val="36"/>
      <w:sz w:val="45"/>
      <w:szCs w:val="45"/>
    </w:rPr>
  </w:style>
  <w:style w:type="character" w:styleId="a5">
    <w:name w:val="Hyperlink"/>
    <w:basedOn w:val="a0"/>
    <w:uiPriority w:val="99"/>
    <w:semiHidden/>
    <w:unhideWhenUsed/>
    <w:rsid w:val="006F2F41"/>
    <w:rPr>
      <w:strike w:val="0"/>
      <w:dstrike w:val="0"/>
      <w:color w:val="005F9F"/>
      <w:u w:val="none"/>
      <w:effect w:val="none"/>
    </w:rPr>
  </w:style>
  <w:style w:type="paragraph" w:styleId="HTML">
    <w:name w:val="HTML Preformatted"/>
    <w:basedOn w:val="a"/>
    <w:link w:val="HTMLChar"/>
    <w:uiPriority w:val="99"/>
    <w:semiHidden/>
    <w:unhideWhenUsed/>
    <w:rsid w:val="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6F2F41"/>
    <w:rPr>
      <w:rFonts w:ascii="Courier New" w:eastAsia="宋体" w:hAnsi="Courier New" w:cs="Courier New"/>
      <w:kern w:val="0"/>
      <w:sz w:val="24"/>
      <w:szCs w:val="24"/>
    </w:rPr>
  </w:style>
  <w:style w:type="paragraph" w:styleId="a6">
    <w:name w:val="Normal (Web)"/>
    <w:basedOn w:val="a"/>
    <w:uiPriority w:val="99"/>
    <w:semiHidden/>
    <w:unhideWhenUsed/>
    <w:rsid w:val="006F2F41"/>
    <w:pPr>
      <w:widowControl/>
      <w:jc w:val="left"/>
    </w:pPr>
    <w:rPr>
      <w:rFonts w:ascii="宋体" w:eastAsia="宋体" w:hAnsi="宋体" w:cs="宋体"/>
      <w:kern w:val="0"/>
      <w:sz w:val="24"/>
      <w:szCs w:val="24"/>
    </w:rPr>
  </w:style>
  <w:style w:type="character" w:customStyle="1" w:styleId="sr-only1">
    <w:name w:val="sr-only1"/>
    <w:basedOn w:val="a0"/>
    <w:rsid w:val="006F2F41"/>
    <w:rPr>
      <w:color w:val="000000"/>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6F2F41"/>
    <w:pPr>
      <w:widowControl/>
      <w:spacing w:before="330" w:after="165"/>
      <w:jc w:val="left"/>
      <w:outlineLvl w:val="0"/>
    </w:pPr>
    <w:rPr>
      <w:rFonts w:ascii="Helvetica" w:eastAsia="宋体" w:hAnsi="Helvetica" w:cs="Helvetica"/>
      <w:b/>
      <w:bCs/>
      <w:kern w:val="36"/>
      <w:sz w:val="45"/>
      <w:szCs w:val="4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F2F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F2F41"/>
    <w:rPr>
      <w:sz w:val="18"/>
      <w:szCs w:val="18"/>
    </w:rPr>
  </w:style>
  <w:style w:type="paragraph" w:styleId="a4">
    <w:name w:val="footer"/>
    <w:basedOn w:val="a"/>
    <w:link w:val="Char0"/>
    <w:uiPriority w:val="99"/>
    <w:unhideWhenUsed/>
    <w:rsid w:val="006F2F41"/>
    <w:pPr>
      <w:tabs>
        <w:tab w:val="center" w:pos="4153"/>
        <w:tab w:val="right" w:pos="8306"/>
      </w:tabs>
      <w:snapToGrid w:val="0"/>
      <w:jc w:val="left"/>
    </w:pPr>
    <w:rPr>
      <w:sz w:val="18"/>
      <w:szCs w:val="18"/>
    </w:rPr>
  </w:style>
  <w:style w:type="character" w:customStyle="1" w:styleId="Char0">
    <w:name w:val="页脚 Char"/>
    <w:basedOn w:val="a0"/>
    <w:link w:val="a4"/>
    <w:uiPriority w:val="99"/>
    <w:rsid w:val="006F2F41"/>
    <w:rPr>
      <w:sz w:val="18"/>
      <w:szCs w:val="18"/>
    </w:rPr>
  </w:style>
  <w:style w:type="character" w:customStyle="1" w:styleId="1Char">
    <w:name w:val="标题 1 Char"/>
    <w:basedOn w:val="a0"/>
    <w:link w:val="1"/>
    <w:uiPriority w:val="9"/>
    <w:rsid w:val="006F2F41"/>
    <w:rPr>
      <w:rFonts w:ascii="Helvetica" w:eastAsia="宋体" w:hAnsi="Helvetica" w:cs="Helvetica"/>
      <w:b/>
      <w:bCs/>
      <w:kern w:val="36"/>
      <w:sz w:val="45"/>
      <w:szCs w:val="45"/>
    </w:rPr>
  </w:style>
  <w:style w:type="character" w:styleId="a5">
    <w:name w:val="Hyperlink"/>
    <w:basedOn w:val="a0"/>
    <w:uiPriority w:val="99"/>
    <w:semiHidden/>
    <w:unhideWhenUsed/>
    <w:rsid w:val="006F2F41"/>
    <w:rPr>
      <w:strike w:val="0"/>
      <w:dstrike w:val="0"/>
      <w:color w:val="005F9F"/>
      <w:u w:val="none"/>
      <w:effect w:val="none"/>
    </w:rPr>
  </w:style>
  <w:style w:type="paragraph" w:styleId="HTML">
    <w:name w:val="HTML Preformatted"/>
    <w:basedOn w:val="a"/>
    <w:link w:val="HTMLChar"/>
    <w:uiPriority w:val="99"/>
    <w:semiHidden/>
    <w:unhideWhenUsed/>
    <w:rsid w:val="006F2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宋体" w:hAnsi="Courier New" w:cs="Courier New"/>
      <w:kern w:val="0"/>
      <w:sz w:val="24"/>
      <w:szCs w:val="24"/>
    </w:rPr>
  </w:style>
  <w:style w:type="character" w:customStyle="1" w:styleId="HTMLChar">
    <w:name w:val="HTML 预设格式 Char"/>
    <w:basedOn w:val="a0"/>
    <w:link w:val="HTML"/>
    <w:uiPriority w:val="99"/>
    <w:semiHidden/>
    <w:rsid w:val="006F2F41"/>
    <w:rPr>
      <w:rFonts w:ascii="Courier New" w:eastAsia="宋体" w:hAnsi="Courier New" w:cs="Courier New"/>
      <w:kern w:val="0"/>
      <w:sz w:val="24"/>
      <w:szCs w:val="24"/>
    </w:rPr>
  </w:style>
  <w:style w:type="paragraph" w:styleId="a6">
    <w:name w:val="Normal (Web)"/>
    <w:basedOn w:val="a"/>
    <w:uiPriority w:val="99"/>
    <w:semiHidden/>
    <w:unhideWhenUsed/>
    <w:rsid w:val="006F2F41"/>
    <w:pPr>
      <w:widowControl/>
      <w:jc w:val="left"/>
    </w:pPr>
    <w:rPr>
      <w:rFonts w:ascii="宋体" w:eastAsia="宋体" w:hAnsi="宋体" w:cs="宋体"/>
      <w:kern w:val="0"/>
      <w:sz w:val="24"/>
      <w:szCs w:val="24"/>
    </w:rPr>
  </w:style>
  <w:style w:type="character" w:customStyle="1" w:styleId="sr-only1">
    <w:name w:val="sr-only1"/>
    <w:basedOn w:val="a0"/>
    <w:rsid w:val="006F2F41"/>
    <w:rPr>
      <w:color w:val="000000"/>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324250">
      <w:bodyDiv w:val="1"/>
      <w:marLeft w:val="0"/>
      <w:marRight w:val="0"/>
      <w:marTop w:val="0"/>
      <w:marBottom w:val="0"/>
      <w:divBdr>
        <w:top w:val="none" w:sz="0" w:space="0" w:color="auto"/>
        <w:left w:val="none" w:sz="0" w:space="0" w:color="auto"/>
        <w:bottom w:val="none" w:sz="0" w:space="0" w:color="auto"/>
        <w:right w:val="none" w:sz="0" w:space="0" w:color="auto"/>
      </w:divBdr>
      <w:divsChild>
        <w:div w:id="885604201">
          <w:marLeft w:val="0"/>
          <w:marRight w:val="0"/>
          <w:marTop w:val="0"/>
          <w:marBottom w:val="0"/>
          <w:divBdr>
            <w:top w:val="none" w:sz="0" w:space="0" w:color="auto"/>
            <w:left w:val="none" w:sz="0" w:space="0" w:color="auto"/>
            <w:bottom w:val="none" w:sz="0" w:space="0" w:color="auto"/>
            <w:right w:val="none" w:sz="0" w:space="0" w:color="auto"/>
          </w:divBdr>
          <w:divsChild>
            <w:div w:id="1185097378">
              <w:marLeft w:val="0"/>
              <w:marRight w:val="0"/>
              <w:marTop w:val="0"/>
              <w:marBottom w:val="0"/>
              <w:divBdr>
                <w:top w:val="none" w:sz="0" w:space="0" w:color="auto"/>
                <w:left w:val="none" w:sz="0" w:space="0" w:color="auto"/>
                <w:bottom w:val="none" w:sz="0" w:space="0" w:color="auto"/>
                <w:right w:val="none" w:sz="0" w:space="0" w:color="auto"/>
              </w:divBdr>
              <w:divsChild>
                <w:div w:id="1470049111">
                  <w:marLeft w:val="0"/>
                  <w:marRight w:val="0"/>
                  <w:marTop w:val="0"/>
                  <w:marBottom w:val="0"/>
                  <w:divBdr>
                    <w:top w:val="none" w:sz="0" w:space="0" w:color="auto"/>
                    <w:left w:val="none" w:sz="0" w:space="0" w:color="auto"/>
                    <w:bottom w:val="none" w:sz="0" w:space="0" w:color="auto"/>
                    <w:right w:val="none" w:sz="0" w:space="0" w:color="auto"/>
                  </w:divBdr>
                  <w:divsChild>
                    <w:div w:id="465006425">
                      <w:marLeft w:val="0"/>
                      <w:marRight w:val="0"/>
                      <w:marTop w:val="0"/>
                      <w:marBottom w:val="0"/>
                      <w:divBdr>
                        <w:top w:val="none" w:sz="0" w:space="0" w:color="auto"/>
                        <w:left w:val="none" w:sz="0" w:space="0" w:color="auto"/>
                        <w:bottom w:val="none" w:sz="0" w:space="0" w:color="auto"/>
                        <w:right w:val="none" w:sz="0" w:space="0" w:color="auto"/>
                      </w:divBdr>
                      <w:divsChild>
                        <w:div w:id="1058743806">
                          <w:marLeft w:val="0"/>
                          <w:marRight w:val="0"/>
                          <w:marTop w:val="0"/>
                          <w:marBottom w:val="0"/>
                          <w:divBdr>
                            <w:top w:val="none" w:sz="0" w:space="0" w:color="auto"/>
                            <w:left w:val="none" w:sz="0" w:space="0" w:color="auto"/>
                            <w:bottom w:val="none" w:sz="0" w:space="0" w:color="auto"/>
                            <w:right w:val="none" w:sz="0" w:space="0" w:color="auto"/>
                          </w:divBdr>
                          <w:divsChild>
                            <w:div w:id="400104778">
                              <w:marLeft w:val="0"/>
                              <w:marRight w:val="0"/>
                              <w:marTop w:val="0"/>
                              <w:marBottom w:val="0"/>
                              <w:divBdr>
                                <w:top w:val="none" w:sz="0" w:space="0" w:color="auto"/>
                                <w:left w:val="none" w:sz="0" w:space="0" w:color="auto"/>
                                <w:bottom w:val="none" w:sz="0" w:space="0" w:color="auto"/>
                                <w:right w:val="none" w:sz="0" w:space="0" w:color="auto"/>
                              </w:divBdr>
                              <w:divsChild>
                                <w:div w:id="1213276223">
                                  <w:marLeft w:val="-225"/>
                                  <w:marRight w:val="-225"/>
                                  <w:marTop w:val="0"/>
                                  <w:marBottom w:val="0"/>
                                  <w:divBdr>
                                    <w:top w:val="none" w:sz="0" w:space="0" w:color="auto"/>
                                    <w:left w:val="none" w:sz="0" w:space="0" w:color="auto"/>
                                    <w:bottom w:val="none" w:sz="0" w:space="0" w:color="auto"/>
                                    <w:right w:val="none" w:sz="0" w:space="0" w:color="auto"/>
                                  </w:divBdr>
                                  <w:divsChild>
                                    <w:div w:id="844054277">
                                      <w:marLeft w:val="0"/>
                                      <w:marRight w:val="0"/>
                                      <w:marTop w:val="0"/>
                                      <w:marBottom w:val="0"/>
                                      <w:divBdr>
                                        <w:top w:val="none" w:sz="0" w:space="0" w:color="auto"/>
                                        <w:left w:val="none" w:sz="0" w:space="0" w:color="auto"/>
                                        <w:bottom w:val="none" w:sz="0" w:space="0" w:color="auto"/>
                                        <w:right w:val="none" w:sz="0" w:space="0" w:color="auto"/>
                                      </w:divBdr>
                                      <w:divsChild>
                                        <w:div w:id="145320365">
                                          <w:marLeft w:val="0"/>
                                          <w:marRight w:val="0"/>
                                          <w:marTop w:val="0"/>
                                          <w:marBottom w:val="0"/>
                                          <w:divBdr>
                                            <w:top w:val="none" w:sz="0" w:space="0" w:color="auto"/>
                                            <w:left w:val="none" w:sz="0" w:space="0" w:color="auto"/>
                                            <w:bottom w:val="none" w:sz="0" w:space="0" w:color="auto"/>
                                            <w:right w:val="none" w:sz="0" w:space="0" w:color="auto"/>
                                          </w:divBdr>
                                          <w:divsChild>
                                            <w:div w:id="1440374931">
                                              <w:marLeft w:val="-225"/>
                                              <w:marRight w:val="-225"/>
                                              <w:marTop w:val="0"/>
                                              <w:marBottom w:val="0"/>
                                              <w:divBdr>
                                                <w:top w:val="none" w:sz="0" w:space="0" w:color="auto"/>
                                                <w:left w:val="none" w:sz="0" w:space="0" w:color="auto"/>
                                                <w:bottom w:val="none" w:sz="0" w:space="0" w:color="auto"/>
                                                <w:right w:val="none" w:sz="0" w:space="0" w:color="auto"/>
                                              </w:divBdr>
                                              <w:divsChild>
                                                <w:div w:id="17888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harer/sharer.php?u=https%3a%2f%2fwww.fda.gov%3a80%2fFDAgov%2fMedicalDevices%2fDeviceRegulationandGuidance%2fGuidanceDocuments%2fucm081347.htm" TargetMode="External"/><Relationship Id="rId13" Type="http://schemas.openxmlformats.org/officeDocument/2006/relationships/hyperlink" Target="https://www.linkedin.com/shareArticle?mini=true&amp;url=https%3a%2f%2fwww.fda.gov%3a80%2fFDAgov%2fMedicalDevices%2fDeviceRegulationandGuidance%2fGuidanceDocuments%2fucm081347.htm&amp;title=Guidance%20for%20the%20Content%20of%20Premarket%20Notifications%20for%20Biopsy%20Devices%20Used%20in%20Gastroenterology%20and%20Urology%20%28Text%20Only%29&amp;summary=482&amp;source=F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347.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window.prin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interest.com/pin/create/button/?url=https%3a%2f%2fwww.fda.gov%3a80%2fFDAgov%2fMedicalDevices%2fDeviceRegulationandGuidance%2fGuidanceDocuments%2fucm081347.htm&amp;description=Guidance%20for%20the%20Content%20of%20Premarket%20Notifications%20for%20Biopsy%20Devices%20Used%20in%20Gastroenterology%20and%20Urology%20%28Text%20Only%29" TargetMode="External"/><Relationship Id="rId5" Type="http://schemas.openxmlformats.org/officeDocument/2006/relationships/webSettings" Target="webSettings.xml"/><Relationship Id="rId15" Type="http://schemas.openxmlformats.org/officeDocument/2006/relationships/hyperlink" Target="mailto:?subject=Guidance%20for%20the%20Content%20of%20Premarket%20Notifications%20for%20Biopsy%20Devices%20Used%20in%20Gastroenterology%20and%20Urology%20%28Text%20Only%29&amp;body=https%3a%2f%2fwww.fda.gov%3a80%2fFDAgov%2fMedicalDevices%2fDeviceRegulationandGuidance%2fGuidanceDocuments%2fucm081347.htm" TargetMode="External"/><Relationship Id="rId10" Type="http://schemas.openxmlformats.org/officeDocument/2006/relationships/hyperlink" Target="https://www.linkedin.com/shareArticle?mini=true&amp;url=https%3a%2f%2fwww.fda.gov%3a80%2fFDAgov%2fMedicalDevices%2fDeviceRegulationandGuidance%2fGuidanceDocuments%2fucm081347.htm&amp;title=Guidance%20for%20the%20Content%20of%20Premarket%20Notifications%20for%20Biopsy%20Devices%20Used%20in%20Gastroenterology%20and%20Urology%20%28Text%20Only%29&amp;summary=482&amp;source=FDA" TargetMode="External"/><Relationship Id="rId4" Type="http://schemas.openxmlformats.org/officeDocument/2006/relationships/settings" Target="settings.xml"/><Relationship Id="rId9" Type="http://schemas.openxmlformats.org/officeDocument/2006/relationships/hyperlink" Target="https://twitter.com/intent/tweet/?text=Guidance%20for%20the%20Content%20of%20Premarket%20Notifications%20for%20Biopsy%20Devices%20Used%20in%20Gastroenterology%20and%20Urology%20%28Text%20Only%29&amp;url=https%3a%2f%2fwww.fda.gov%3a80%2fFDAgov%2fMedicalDevices%2fDeviceRegulationandGuidance%2fGuidanceDocuments%2fucm081347.htm" TargetMode="External"/><Relationship Id="rId14" Type="http://schemas.openxmlformats.org/officeDocument/2006/relationships/hyperlink" Target="https://www.pinterest.com/pin/create/button/?url=https%3a%2f%2fwww.fda.gov%3a80%2fFDAgov%2fMedicalDevices%2fDeviceRegulationandGuidance%2fGuidanceDocuments%2fucm081347.htm&amp;description=Guidance%20for%20the%20Content%20of%20Premarket%20Notifications%20for%20Biopsy%20Devices%20Used%20in%20Gastroenterology%20and%20Urology%20%28Text%20Only%2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3566</Words>
  <Characters>20329</Characters>
  <Application>Microsoft Office Word</Application>
  <DocSecurity>0</DocSecurity>
  <Lines>169</Lines>
  <Paragraphs>47</Paragraphs>
  <ScaleCrop>false</ScaleCrop>
  <Company/>
  <LinksUpToDate>false</LinksUpToDate>
  <CharactersWithSpaces>23848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buaawzh</dc:creator>
  <cp:keywords/>
  <dc:description/>
  <cp:lastModifiedBy>buaawzh</cp:lastModifiedBy>
  <cp:revision>2</cp:revision>
  <dcterms:created xsi:type="dcterms:W3CDTF">2017-02-22T09:00:00Z</dcterms:created>
  <dcterms:modified xsi:type="dcterms:W3CDTF">2017-02-22T09:00:00Z</dcterms:modified>
</cp:coreProperties>
</file>