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EC3" w:rsidRPr="004B2EC3" w:rsidRDefault="004B2EC3" w:rsidP="004B2EC3">
      <w:pPr>
        <w:widowControl/>
        <w:spacing w:before="330" w:after="165"/>
        <w:jc w:val="left"/>
        <w:outlineLvl w:val="0"/>
        <w:rPr>
          <w:rFonts w:ascii="Helvetica" w:eastAsia="宋体" w:hAnsi="Helvetica" w:cs="Helvetica"/>
          <w:b/>
          <w:bCs/>
          <w:color w:val="333333"/>
          <w:kern w:val="36"/>
          <w:sz w:val="45"/>
          <w:szCs w:val="45"/>
          <w:lang w:val="en"/>
        </w:rPr>
      </w:pPr>
      <w:r w:rsidRPr="004B2EC3">
        <w:rPr>
          <w:rFonts w:ascii="Helvetica" w:eastAsia="宋体" w:hAnsi="Helvetica" w:cs="Helvetica"/>
          <w:b/>
          <w:bCs/>
          <w:color w:val="333333"/>
          <w:kern w:val="36"/>
          <w:sz w:val="45"/>
          <w:szCs w:val="45"/>
          <w:lang w:val="en"/>
        </w:rPr>
        <w:t>Class II Special Controls Guidance Document: Ingestible Telemetric Gastrointestinal Capsule Imaging System; Final Guidance for Industry and FDA</w:t>
      </w:r>
    </w:p>
    <w:p w:rsidR="004B2EC3" w:rsidRPr="004B2EC3" w:rsidRDefault="004B2EC3" w:rsidP="004B2EC3">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4B2EC3">
          <w:rPr>
            <w:rFonts w:ascii="宋体" w:eastAsia="宋体" w:hAnsi="宋体" w:cs="宋体"/>
            <w:caps/>
            <w:color w:val="FFFFFF"/>
            <w:kern w:val="0"/>
            <w:sz w:val="17"/>
            <w:szCs w:val="17"/>
            <w:lang w:val="en"/>
          </w:rPr>
          <w:t>Share</w:t>
        </w:r>
      </w:hyperlink>
    </w:p>
    <w:p w:rsidR="004B2EC3" w:rsidRPr="004B2EC3" w:rsidRDefault="004B2EC3" w:rsidP="004B2EC3">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4B2EC3">
          <w:rPr>
            <w:rFonts w:ascii="宋体" w:eastAsia="宋体" w:hAnsi="宋体" w:cs="宋体"/>
            <w:caps/>
            <w:color w:val="FFFFFF"/>
            <w:kern w:val="0"/>
            <w:sz w:val="17"/>
            <w:szCs w:val="17"/>
            <w:lang w:val="en"/>
          </w:rPr>
          <w:t>Tweet</w:t>
        </w:r>
      </w:hyperlink>
    </w:p>
    <w:p w:rsidR="004B2EC3" w:rsidRPr="004B2EC3" w:rsidRDefault="004B2EC3" w:rsidP="004B2EC3">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4B2EC3">
          <w:rPr>
            <w:rFonts w:ascii="宋体" w:eastAsia="宋体" w:hAnsi="宋体" w:cs="宋体"/>
            <w:caps/>
            <w:color w:val="FFFFFF"/>
            <w:kern w:val="0"/>
            <w:sz w:val="17"/>
            <w:szCs w:val="17"/>
            <w:lang w:val="en"/>
          </w:rPr>
          <w:t>Linkedin</w:t>
        </w:r>
      </w:hyperlink>
    </w:p>
    <w:p w:rsidR="004B2EC3" w:rsidRPr="004B2EC3" w:rsidRDefault="004B2EC3" w:rsidP="004B2EC3">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4B2EC3">
          <w:rPr>
            <w:rFonts w:ascii="宋体" w:eastAsia="宋体" w:hAnsi="宋体" w:cs="宋体"/>
            <w:caps/>
            <w:color w:val="FFFFFF"/>
            <w:kern w:val="0"/>
            <w:sz w:val="17"/>
            <w:szCs w:val="17"/>
            <w:lang w:val="en"/>
          </w:rPr>
          <w:t>Pin it</w:t>
        </w:r>
      </w:hyperlink>
    </w:p>
    <w:p w:rsidR="004B2EC3" w:rsidRPr="004B2EC3" w:rsidRDefault="004B2EC3" w:rsidP="004B2EC3">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4B2EC3">
          <w:rPr>
            <w:rFonts w:ascii="Helvetica" w:eastAsia="宋体" w:hAnsi="Helvetica" w:cs="Helvetica"/>
            <w:caps/>
            <w:color w:val="000000"/>
            <w:kern w:val="0"/>
            <w:sz w:val="17"/>
            <w:szCs w:val="17"/>
            <w:bdr w:val="none" w:sz="0" w:space="0" w:color="auto" w:frame="1"/>
            <w:lang w:val="en"/>
          </w:rPr>
          <w:t>More sharing options</w:t>
        </w:r>
      </w:hyperlink>
      <w:r w:rsidRPr="004B2EC3">
        <w:rPr>
          <w:rFonts w:ascii="Helvetica" w:eastAsia="宋体" w:hAnsi="Helvetica" w:cs="Helvetica"/>
          <w:color w:val="333333"/>
          <w:kern w:val="0"/>
          <w:sz w:val="24"/>
          <w:szCs w:val="24"/>
          <w:lang w:val="en"/>
        </w:rPr>
        <w:t xml:space="preserve"> </w:t>
      </w:r>
    </w:p>
    <w:p w:rsidR="004B2EC3" w:rsidRPr="004B2EC3" w:rsidRDefault="004B2EC3" w:rsidP="004B2EC3">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4B2EC3">
          <w:rPr>
            <w:rFonts w:ascii="Helvetica" w:eastAsia="宋体" w:hAnsi="Helvetica" w:cs="Helvetica"/>
            <w:caps/>
            <w:color w:val="000000"/>
            <w:kern w:val="0"/>
            <w:sz w:val="17"/>
            <w:szCs w:val="17"/>
            <w:bdr w:val="none" w:sz="0" w:space="0" w:color="auto" w:frame="1"/>
            <w:lang w:val="en"/>
          </w:rPr>
          <w:t>Linkedin</w:t>
        </w:r>
      </w:hyperlink>
    </w:p>
    <w:p w:rsidR="004B2EC3" w:rsidRPr="004B2EC3" w:rsidRDefault="004B2EC3" w:rsidP="004B2EC3">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4B2EC3">
          <w:rPr>
            <w:rFonts w:ascii="Helvetica" w:eastAsia="宋体" w:hAnsi="Helvetica" w:cs="Helvetica"/>
            <w:caps/>
            <w:color w:val="000000"/>
            <w:kern w:val="0"/>
            <w:sz w:val="17"/>
            <w:szCs w:val="17"/>
            <w:bdr w:val="none" w:sz="0" w:space="0" w:color="auto" w:frame="1"/>
            <w:lang w:val="en"/>
          </w:rPr>
          <w:t>Pin it</w:t>
        </w:r>
      </w:hyperlink>
    </w:p>
    <w:p w:rsidR="004B2EC3" w:rsidRPr="004B2EC3" w:rsidRDefault="004B2EC3" w:rsidP="004B2EC3">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4B2EC3">
          <w:rPr>
            <w:rFonts w:ascii="宋体" w:eastAsia="宋体" w:hAnsi="宋体" w:cs="宋体"/>
            <w:caps/>
            <w:color w:val="FFFFFF"/>
            <w:kern w:val="0"/>
            <w:sz w:val="17"/>
            <w:szCs w:val="17"/>
            <w:lang w:val="en"/>
          </w:rPr>
          <w:t>Email</w:t>
        </w:r>
      </w:hyperlink>
    </w:p>
    <w:p w:rsidR="004B2EC3" w:rsidRPr="004B2EC3" w:rsidRDefault="004B2EC3" w:rsidP="004B2EC3">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4B2EC3">
          <w:rPr>
            <w:rFonts w:ascii="Helvetica" w:eastAsia="宋体" w:hAnsi="Helvetica" w:cs="Helvetica"/>
            <w:caps/>
            <w:color w:val="FFFFFF"/>
            <w:kern w:val="0"/>
            <w:sz w:val="17"/>
            <w:szCs w:val="17"/>
            <w:lang w:val="en"/>
          </w:rPr>
          <w:t>Print</w:t>
        </w:r>
      </w:hyperlink>
    </w:p>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b/>
          <w:bCs/>
          <w:color w:val="333333"/>
          <w:kern w:val="0"/>
          <w:sz w:val="24"/>
          <w:szCs w:val="24"/>
          <w:lang w:val="en"/>
        </w:rPr>
        <w:t>Document issued on: November 28, 2001</w:t>
      </w:r>
    </w:p>
    <w:p w:rsidR="004B2EC3" w:rsidRPr="004B2EC3" w:rsidRDefault="004B2EC3" w:rsidP="004B2EC3">
      <w:pPr>
        <w:widowControl/>
        <w:jc w:val="left"/>
        <w:rPr>
          <w:rFonts w:ascii="Helvetica" w:eastAsia="宋体" w:hAnsi="Helvetica" w:cs="Helvetica"/>
          <w:color w:val="333333"/>
          <w:kern w:val="0"/>
          <w:sz w:val="24"/>
          <w:szCs w:val="24"/>
          <w:lang w:val="en"/>
        </w:rPr>
      </w:pPr>
      <w:r>
        <w:rPr>
          <w:rFonts w:ascii="Helvetica" w:eastAsia="宋体" w:hAnsi="Helvetica" w:cs="Helvetica"/>
          <w:noProof/>
          <w:color w:val="333333"/>
          <w:kern w:val="0"/>
          <w:sz w:val="24"/>
          <w:szCs w:val="24"/>
        </w:rPr>
        <w:drawing>
          <wp:inline distT="0" distB="0" distL="0" distR="0">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CDRH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1385" cy="948690"/>
                    </a:xfrm>
                    <a:prstGeom prst="rect">
                      <a:avLst/>
                    </a:prstGeom>
                    <a:noFill/>
                    <a:ln>
                      <a:noFill/>
                    </a:ln>
                  </pic:spPr>
                </pic:pic>
              </a:graphicData>
            </a:graphic>
          </wp:inline>
        </w:drawing>
      </w:r>
    </w:p>
    <w:p w:rsidR="004B2EC3" w:rsidRPr="004B2EC3" w:rsidRDefault="004B2EC3" w:rsidP="004B2EC3">
      <w:pPr>
        <w:widowControl/>
        <w:jc w:val="right"/>
        <w:rPr>
          <w:rFonts w:ascii="Helvetica" w:eastAsia="宋体" w:hAnsi="Helvetica" w:cs="Helvetica"/>
          <w:color w:val="333333"/>
          <w:kern w:val="0"/>
          <w:sz w:val="24"/>
          <w:szCs w:val="24"/>
          <w:lang w:val="en"/>
        </w:rPr>
      </w:pPr>
      <w:r w:rsidRPr="004B2EC3">
        <w:rPr>
          <w:rFonts w:ascii="Helvetica" w:eastAsia="宋体" w:hAnsi="Helvetica" w:cs="Helvetica"/>
          <w:b/>
          <w:bCs/>
          <w:color w:val="333333"/>
          <w:kern w:val="0"/>
          <w:sz w:val="24"/>
          <w:szCs w:val="24"/>
          <w:lang w:val="en"/>
        </w:rPr>
        <w:t>U.S. Department of Health and Human Services</w:t>
      </w:r>
      <w:r w:rsidRPr="004B2EC3">
        <w:rPr>
          <w:rFonts w:ascii="Helvetica" w:eastAsia="宋体" w:hAnsi="Helvetica" w:cs="Helvetica"/>
          <w:b/>
          <w:bCs/>
          <w:color w:val="333333"/>
          <w:kern w:val="0"/>
          <w:sz w:val="24"/>
          <w:szCs w:val="24"/>
          <w:lang w:val="en"/>
        </w:rPr>
        <w:br/>
        <w:t>Food and Drug Administration</w:t>
      </w:r>
      <w:r w:rsidRPr="004B2EC3">
        <w:rPr>
          <w:rFonts w:ascii="Helvetica" w:eastAsia="宋体" w:hAnsi="Helvetica" w:cs="Helvetica"/>
          <w:b/>
          <w:bCs/>
          <w:color w:val="333333"/>
          <w:kern w:val="0"/>
          <w:sz w:val="24"/>
          <w:szCs w:val="24"/>
          <w:lang w:val="en"/>
        </w:rPr>
        <w:br/>
        <w:t>Center for Devices and Radiological Health</w:t>
      </w:r>
    </w:p>
    <w:p w:rsidR="004B2EC3" w:rsidRPr="004B2EC3" w:rsidRDefault="004B2EC3" w:rsidP="004B2EC3">
      <w:pPr>
        <w:widowControl/>
        <w:jc w:val="right"/>
        <w:rPr>
          <w:rFonts w:ascii="Helvetica" w:eastAsia="宋体" w:hAnsi="Helvetica" w:cs="Helvetica"/>
          <w:color w:val="333333"/>
          <w:kern w:val="0"/>
          <w:sz w:val="24"/>
          <w:szCs w:val="24"/>
          <w:lang w:val="en"/>
        </w:rPr>
      </w:pPr>
      <w:r w:rsidRPr="004B2EC3">
        <w:rPr>
          <w:rFonts w:ascii="Helvetica" w:eastAsia="宋体" w:hAnsi="Helvetica" w:cs="Helvetica"/>
          <w:b/>
          <w:bCs/>
          <w:color w:val="333333"/>
          <w:kern w:val="0"/>
          <w:sz w:val="24"/>
          <w:szCs w:val="24"/>
          <w:lang w:val="en"/>
        </w:rPr>
        <w:t>Gastroenterology and Renal Devices Branch</w:t>
      </w:r>
      <w:r w:rsidRPr="004B2EC3">
        <w:rPr>
          <w:rFonts w:ascii="Helvetica" w:eastAsia="宋体" w:hAnsi="Helvetica" w:cs="Helvetica"/>
          <w:b/>
          <w:bCs/>
          <w:color w:val="333333"/>
          <w:kern w:val="0"/>
          <w:sz w:val="24"/>
          <w:szCs w:val="24"/>
          <w:lang w:val="en"/>
        </w:rPr>
        <w:br/>
        <w:t>Division of Reproductive, Abdominal and Radiological Devices</w:t>
      </w:r>
      <w:r w:rsidRPr="004B2EC3">
        <w:rPr>
          <w:rFonts w:ascii="Helvetica" w:eastAsia="宋体" w:hAnsi="Helvetica" w:cs="Helvetica"/>
          <w:b/>
          <w:bCs/>
          <w:color w:val="333333"/>
          <w:kern w:val="0"/>
          <w:sz w:val="24"/>
          <w:szCs w:val="24"/>
          <w:lang w:val="en"/>
        </w:rPr>
        <w:br/>
        <w:t>Office of Device Evaluation</w:t>
      </w:r>
    </w:p>
    <w:p w:rsidR="004B2EC3" w:rsidRPr="004B2EC3" w:rsidRDefault="004B2EC3" w:rsidP="004B2EC3">
      <w:pPr>
        <w:widowControl/>
        <w:spacing w:before="330" w:after="330"/>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pict>
          <v:rect id="_x0000_i1025" style="width:0;height:0" o:hralign="center" o:hrstd="t" o:hr="t" fillcolor="#a0a0a0" stroked="f"/>
        </w:pict>
      </w:r>
    </w:p>
    <w:p w:rsidR="004B2EC3" w:rsidRPr="004B2EC3" w:rsidRDefault="004B2EC3" w:rsidP="004B2EC3">
      <w:pPr>
        <w:widowControl/>
        <w:spacing w:before="330" w:after="165"/>
        <w:jc w:val="center"/>
        <w:outlineLvl w:val="2"/>
        <w:rPr>
          <w:rFonts w:ascii="Helvetica" w:eastAsia="宋体" w:hAnsi="Helvetica" w:cs="Helvetica"/>
          <w:b/>
          <w:bCs/>
          <w:color w:val="333333"/>
          <w:kern w:val="0"/>
          <w:sz w:val="32"/>
          <w:szCs w:val="32"/>
          <w:lang w:val="en"/>
        </w:rPr>
      </w:pPr>
      <w:r w:rsidRPr="004B2EC3">
        <w:rPr>
          <w:rFonts w:ascii="Helvetica" w:eastAsia="宋体" w:hAnsi="Helvetica" w:cs="Helvetica"/>
          <w:b/>
          <w:bCs/>
          <w:color w:val="333333"/>
          <w:kern w:val="0"/>
          <w:sz w:val="32"/>
          <w:szCs w:val="32"/>
          <w:lang w:val="en"/>
        </w:rPr>
        <w:t>Preface</w:t>
      </w:r>
    </w:p>
    <w:p w:rsidR="004B2EC3" w:rsidRPr="004B2EC3" w:rsidRDefault="004B2EC3" w:rsidP="004B2EC3">
      <w:pPr>
        <w:widowControl/>
        <w:spacing w:before="330" w:after="165"/>
        <w:jc w:val="left"/>
        <w:outlineLvl w:val="3"/>
        <w:rPr>
          <w:rFonts w:ascii="Helvetica" w:eastAsia="宋体" w:hAnsi="Helvetica" w:cs="Helvetica"/>
          <w:b/>
          <w:bCs/>
          <w:color w:val="333333"/>
          <w:kern w:val="0"/>
          <w:sz w:val="27"/>
          <w:szCs w:val="27"/>
          <w:lang w:val="en"/>
        </w:rPr>
      </w:pPr>
      <w:r w:rsidRPr="004B2EC3">
        <w:rPr>
          <w:rFonts w:ascii="Helvetica" w:eastAsia="宋体" w:hAnsi="Helvetica" w:cs="Helvetica"/>
          <w:b/>
          <w:bCs/>
          <w:color w:val="333333"/>
          <w:kern w:val="0"/>
          <w:sz w:val="27"/>
          <w:szCs w:val="27"/>
          <w:lang w:val="en"/>
        </w:rPr>
        <w:t>Public Comment</w:t>
      </w:r>
    </w:p>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 xml:space="preserve">Comments and suggestions may be submitted at any time for Agency consideration to Dockets Management Branch, Division of Management Systems and Policy, Office of Human Resources and Management Services, Food and Drug Administration, 5630 Fishers Lane, Room 1061, (HFA-305), </w:t>
      </w:r>
      <w:r w:rsidRPr="004B2EC3">
        <w:rPr>
          <w:rFonts w:ascii="Helvetica" w:eastAsia="宋体" w:hAnsi="Helvetica" w:cs="Helvetica"/>
          <w:color w:val="333333"/>
          <w:kern w:val="0"/>
          <w:sz w:val="24"/>
          <w:szCs w:val="24"/>
          <w:lang w:val="en"/>
        </w:rPr>
        <w:lastRenderedPageBreak/>
        <w:t xml:space="preserve">Rockville, MD, 20852. </w:t>
      </w:r>
      <w:proofErr w:type="gramStart"/>
      <w:r w:rsidRPr="004B2EC3">
        <w:rPr>
          <w:rFonts w:ascii="Helvetica" w:eastAsia="宋体" w:hAnsi="Helvetica" w:cs="Helvetica"/>
          <w:color w:val="333333"/>
          <w:kern w:val="0"/>
          <w:sz w:val="24"/>
          <w:szCs w:val="24"/>
          <w:lang w:val="en"/>
        </w:rPr>
        <w:t>When submitting comments, please refer to the exact title of this guidance document.</w:t>
      </w:r>
      <w:proofErr w:type="gramEnd"/>
      <w:r w:rsidRPr="004B2EC3">
        <w:rPr>
          <w:rFonts w:ascii="Helvetica" w:eastAsia="宋体" w:hAnsi="Helvetica" w:cs="Helvetica"/>
          <w:color w:val="333333"/>
          <w:kern w:val="0"/>
          <w:sz w:val="24"/>
          <w:szCs w:val="24"/>
          <w:lang w:val="en"/>
        </w:rPr>
        <w:t xml:space="preserve"> Comments may not be acted upon by the Agency until the document is next revised or updated.</w:t>
      </w:r>
    </w:p>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 xml:space="preserve">For questions regarding the use or interpretation of this guidance contact Jeffrey Cooper at 301-796-6517 or by email </w:t>
      </w:r>
      <w:hyperlink r:id="rId18" w:history="1">
        <w:r w:rsidRPr="004B2EC3">
          <w:rPr>
            <w:rFonts w:ascii="宋体" w:eastAsia="宋体" w:hAnsi="宋体" w:cs="宋体"/>
            <w:color w:val="005F9F"/>
            <w:kern w:val="0"/>
            <w:sz w:val="24"/>
            <w:szCs w:val="24"/>
            <w:lang w:val="en"/>
          </w:rPr>
          <w:t>jeffrey.cooper@fda.hhs.gov</w:t>
        </w:r>
      </w:hyperlink>
      <w:r w:rsidRPr="004B2EC3">
        <w:rPr>
          <w:rFonts w:ascii="Helvetica" w:eastAsia="宋体" w:hAnsi="Helvetica" w:cs="Helvetica"/>
          <w:color w:val="333333"/>
          <w:kern w:val="0"/>
          <w:sz w:val="24"/>
          <w:szCs w:val="24"/>
          <w:lang w:val="en"/>
        </w:rPr>
        <w:t>.</w:t>
      </w:r>
    </w:p>
    <w:p w:rsidR="004B2EC3" w:rsidRPr="004B2EC3" w:rsidRDefault="004B2EC3" w:rsidP="004B2EC3">
      <w:pPr>
        <w:widowControl/>
        <w:spacing w:before="330" w:after="165"/>
        <w:jc w:val="left"/>
        <w:outlineLvl w:val="3"/>
        <w:rPr>
          <w:rFonts w:ascii="Helvetica" w:eastAsia="宋体" w:hAnsi="Helvetica" w:cs="Helvetica"/>
          <w:b/>
          <w:bCs/>
          <w:color w:val="333333"/>
          <w:kern w:val="0"/>
          <w:sz w:val="27"/>
          <w:szCs w:val="27"/>
          <w:lang w:val="en"/>
        </w:rPr>
      </w:pPr>
      <w:r w:rsidRPr="004B2EC3">
        <w:rPr>
          <w:rFonts w:ascii="Helvetica" w:eastAsia="宋体" w:hAnsi="Helvetica" w:cs="Helvetica"/>
          <w:b/>
          <w:bCs/>
          <w:color w:val="333333"/>
          <w:kern w:val="0"/>
          <w:sz w:val="27"/>
          <w:szCs w:val="27"/>
          <w:lang w:val="en"/>
        </w:rPr>
        <w:t>Additional Copies</w:t>
      </w:r>
    </w:p>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 xml:space="preserve">Additional copies are available from the Internet. You may also send an e-mail request to </w:t>
      </w:r>
      <w:hyperlink r:id="rId19" w:history="1">
        <w:r w:rsidRPr="004B2EC3">
          <w:rPr>
            <w:rFonts w:ascii="宋体" w:eastAsia="宋体" w:hAnsi="宋体" w:cs="宋体"/>
            <w:color w:val="005F9F"/>
            <w:kern w:val="0"/>
            <w:sz w:val="24"/>
            <w:szCs w:val="24"/>
            <w:lang w:val="en"/>
          </w:rPr>
          <w:t>CDRH-Guidance@fda.hhs.gov</w:t>
        </w:r>
      </w:hyperlink>
      <w:r w:rsidRPr="004B2EC3">
        <w:rPr>
          <w:rFonts w:ascii="Helvetica" w:eastAsia="宋体" w:hAnsi="Helvetica" w:cs="Helvetica"/>
          <w:color w:val="333333"/>
          <w:kern w:val="0"/>
          <w:sz w:val="24"/>
          <w:szCs w:val="24"/>
          <w:lang w:val="en"/>
        </w:rPr>
        <w:t xml:space="preserve"> to receive a copy of the guidance. Please use the document number 1385 to identify the guidance you are requesting.</w:t>
      </w:r>
    </w:p>
    <w:p w:rsidR="004B2EC3" w:rsidRPr="004B2EC3" w:rsidRDefault="004B2EC3" w:rsidP="004B2EC3">
      <w:pPr>
        <w:widowControl/>
        <w:spacing w:before="330" w:after="330"/>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pict>
          <v:rect id="_x0000_i1026" style="width:0;height:0" o:hralign="center" o:hrstd="t" o:hr="t" fillcolor="#a0a0a0" stroked="f"/>
        </w:pict>
      </w:r>
    </w:p>
    <w:p w:rsidR="004B2EC3" w:rsidRPr="004B2EC3" w:rsidRDefault="004B2EC3" w:rsidP="004B2EC3">
      <w:pPr>
        <w:widowControl/>
        <w:spacing w:before="330" w:after="165"/>
        <w:jc w:val="center"/>
        <w:outlineLvl w:val="1"/>
        <w:rPr>
          <w:rFonts w:ascii="Helvetica" w:eastAsia="宋体" w:hAnsi="Helvetica" w:cs="Helvetica"/>
          <w:b/>
          <w:bCs/>
          <w:color w:val="333333"/>
          <w:kern w:val="0"/>
          <w:sz w:val="38"/>
          <w:szCs w:val="38"/>
          <w:lang w:val="en"/>
        </w:rPr>
      </w:pPr>
      <w:r w:rsidRPr="004B2EC3">
        <w:rPr>
          <w:rFonts w:ascii="Helvetica" w:eastAsia="宋体" w:hAnsi="Helvetica" w:cs="Helvetica"/>
          <w:b/>
          <w:bCs/>
          <w:color w:val="333333"/>
          <w:kern w:val="0"/>
          <w:sz w:val="38"/>
          <w:szCs w:val="38"/>
          <w:lang w:val="en"/>
        </w:rPr>
        <w:t>Class II Special Controls Guidance Document: Ingestible Telemetric Gastrointestinal Capsule Imaging System</w:t>
      </w:r>
      <w:proofErr w:type="gramStart"/>
      <w:r w:rsidRPr="004B2EC3">
        <w:rPr>
          <w:rFonts w:ascii="Helvetica" w:eastAsia="宋体" w:hAnsi="Helvetica" w:cs="Helvetica"/>
          <w:b/>
          <w:bCs/>
          <w:color w:val="333333"/>
          <w:kern w:val="0"/>
          <w:sz w:val="38"/>
          <w:szCs w:val="38"/>
          <w:lang w:val="en"/>
        </w:rPr>
        <w:t>;</w:t>
      </w:r>
      <w:proofErr w:type="gramEnd"/>
      <w:r w:rsidRPr="004B2EC3">
        <w:rPr>
          <w:rFonts w:ascii="Helvetica" w:eastAsia="宋体" w:hAnsi="Helvetica" w:cs="Helvetica"/>
          <w:b/>
          <w:bCs/>
          <w:color w:val="333333"/>
          <w:kern w:val="0"/>
          <w:sz w:val="38"/>
          <w:szCs w:val="38"/>
          <w:lang w:val="en"/>
        </w:rPr>
        <w:br/>
        <w:t>Final Guidance for Industry and FDA</w:t>
      </w:r>
    </w:p>
    <w:p w:rsidR="004B2EC3" w:rsidRPr="004B2EC3" w:rsidRDefault="004B2EC3" w:rsidP="004B2EC3">
      <w:pPr>
        <w:widowControl/>
        <w:spacing w:before="330" w:after="165"/>
        <w:jc w:val="left"/>
        <w:outlineLvl w:val="2"/>
        <w:rPr>
          <w:rFonts w:ascii="Helvetica" w:eastAsia="宋体" w:hAnsi="Helvetica" w:cs="Helvetica"/>
          <w:b/>
          <w:bCs/>
          <w:color w:val="333333"/>
          <w:kern w:val="0"/>
          <w:sz w:val="32"/>
          <w:szCs w:val="32"/>
          <w:lang w:val="en"/>
        </w:rPr>
      </w:pPr>
      <w:r w:rsidRPr="004B2EC3">
        <w:rPr>
          <w:rFonts w:ascii="Helvetica" w:eastAsia="宋体" w:hAnsi="Helvetica" w:cs="Helvetica"/>
          <w:b/>
          <w:bCs/>
          <w:color w:val="333333"/>
          <w:kern w:val="0"/>
          <w:sz w:val="32"/>
          <w:szCs w:val="32"/>
          <w:lang w:val="en"/>
        </w:rPr>
        <w:t>Background</w:t>
      </w:r>
    </w:p>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On August 1, 2001, FDA reclassified ingestible capsule wireless gastrointestinal imaging system from Class III designation to Class II. This guidance document describes a means by which ingestible capsule wireless gastrointestinal imaging system devices may comply with the requirements of class II special controls. Designation of this guidance document as a special control means that manufacturers of an ingestible telemetric gastrointestinal capsule imaging system, who follow the recommendations listed in this document before introducing their device into commercial distribution in the United States, will be able to market their device after they have submitted a premarket notification submission, referred to as a 510(k), and received a finding of "substantial equivalence" for their device. The firm must show that its device addresses the issues of safety and effectiveness identified in this guidance, either by meeting the recommendations of this guidance or by some other means that provides equivalent assurances of safety and effectiveness.</w:t>
      </w:r>
    </w:p>
    <w:p w:rsidR="004B2EC3" w:rsidRPr="004B2EC3" w:rsidRDefault="004B2EC3" w:rsidP="004B2EC3">
      <w:pPr>
        <w:widowControl/>
        <w:spacing w:before="330" w:after="165"/>
        <w:jc w:val="left"/>
        <w:outlineLvl w:val="2"/>
        <w:rPr>
          <w:rFonts w:ascii="Helvetica" w:eastAsia="宋体" w:hAnsi="Helvetica" w:cs="Helvetica"/>
          <w:b/>
          <w:bCs/>
          <w:color w:val="333333"/>
          <w:kern w:val="0"/>
          <w:sz w:val="32"/>
          <w:szCs w:val="32"/>
          <w:lang w:val="en"/>
        </w:rPr>
      </w:pPr>
      <w:r w:rsidRPr="004B2EC3">
        <w:rPr>
          <w:rFonts w:ascii="Helvetica" w:eastAsia="宋体" w:hAnsi="Helvetica" w:cs="Helvetica"/>
          <w:b/>
          <w:bCs/>
          <w:color w:val="333333"/>
          <w:kern w:val="0"/>
          <w:sz w:val="32"/>
          <w:szCs w:val="32"/>
          <w:lang w:val="en"/>
        </w:rPr>
        <w:t>The Least Burdensome Approach</w:t>
      </w:r>
    </w:p>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lastRenderedPageBreak/>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comply with the guidance and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w:t>
      </w:r>
      <w:hyperlink r:id="rId20" w:history="1">
        <w:r w:rsidRPr="004B2EC3">
          <w:rPr>
            <w:rFonts w:ascii="宋体" w:eastAsia="宋体" w:hAnsi="宋体" w:cs="宋体"/>
            <w:color w:val="005F9F"/>
            <w:kern w:val="0"/>
            <w:sz w:val="24"/>
            <w:szCs w:val="24"/>
            <w:lang w:val="en"/>
          </w:rPr>
          <w:t>A Suggested Approach to Resolving Least Burdensome Issues</w:t>
        </w:r>
      </w:hyperlink>
      <w:r w:rsidRPr="004B2EC3">
        <w:rPr>
          <w:rFonts w:ascii="Helvetica" w:eastAsia="宋体" w:hAnsi="Helvetica" w:cs="Helvetica"/>
          <w:color w:val="333333"/>
          <w:kern w:val="0"/>
          <w:sz w:val="24"/>
          <w:szCs w:val="24"/>
          <w:lang w:val="en"/>
        </w:rPr>
        <w:t>" document.</w:t>
      </w:r>
    </w:p>
    <w:p w:rsidR="004B2EC3" w:rsidRPr="004B2EC3" w:rsidRDefault="004B2EC3" w:rsidP="004B2EC3">
      <w:pPr>
        <w:widowControl/>
        <w:spacing w:before="330" w:after="165"/>
        <w:jc w:val="left"/>
        <w:outlineLvl w:val="2"/>
        <w:rPr>
          <w:rFonts w:ascii="Helvetica" w:eastAsia="宋体" w:hAnsi="Helvetica" w:cs="Helvetica"/>
          <w:b/>
          <w:bCs/>
          <w:color w:val="333333"/>
          <w:kern w:val="0"/>
          <w:sz w:val="32"/>
          <w:szCs w:val="32"/>
          <w:lang w:val="en"/>
        </w:rPr>
      </w:pPr>
      <w:r w:rsidRPr="004B2EC3">
        <w:rPr>
          <w:rFonts w:ascii="Helvetica" w:eastAsia="宋体" w:hAnsi="Helvetica" w:cs="Helvetica"/>
          <w:b/>
          <w:bCs/>
          <w:color w:val="333333"/>
          <w:kern w:val="0"/>
          <w:sz w:val="32"/>
          <w:szCs w:val="32"/>
          <w:lang w:val="en"/>
        </w:rPr>
        <w:t>Scope</w:t>
      </w:r>
    </w:p>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 xml:space="preserve">FDA identifies this generic type of device as </w:t>
      </w:r>
      <w:proofErr w:type="gramStart"/>
      <w:r w:rsidRPr="004B2EC3">
        <w:rPr>
          <w:rFonts w:ascii="Helvetica" w:eastAsia="宋体" w:hAnsi="Helvetica" w:cs="Helvetica"/>
          <w:color w:val="333333"/>
          <w:kern w:val="0"/>
          <w:sz w:val="24"/>
          <w:szCs w:val="24"/>
          <w:lang w:val="en"/>
        </w:rPr>
        <w:t>an</w:t>
      </w:r>
      <w:proofErr w:type="gramEnd"/>
      <w:r w:rsidRPr="004B2EC3">
        <w:rPr>
          <w:rFonts w:ascii="Helvetica" w:eastAsia="宋体" w:hAnsi="Helvetica" w:cs="Helvetica"/>
          <w:color w:val="333333"/>
          <w:kern w:val="0"/>
          <w:sz w:val="24"/>
          <w:szCs w:val="24"/>
          <w:lang w:val="en"/>
        </w:rPr>
        <w:t xml:space="preserve"> gastroenterology and renal device under 21CFR §876.1300, product code NEZ. This generic type of device, an Ingestible Telemetric Gastrointestinal Capsule Imaging System, is used for visualization of the small bowel mucosa as an adjunctive tool in the detection of abnormalities of the small bowel.</w:t>
      </w:r>
    </w:p>
    <w:p w:rsidR="004B2EC3" w:rsidRPr="004B2EC3" w:rsidRDefault="004B2EC3" w:rsidP="004B2EC3">
      <w:pPr>
        <w:widowControl/>
        <w:spacing w:before="330" w:after="165"/>
        <w:jc w:val="left"/>
        <w:outlineLvl w:val="2"/>
        <w:rPr>
          <w:rFonts w:ascii="Helvetica" w:eastAsia="宋体" w:hAnsi="Helvetica" w:cs="Helvetica"/>
          <w:b/>
          <w:bCs/>
          <w:color w:val="333333"/>
          <w:kern w:val="0"/>
          <w:sz w:val="32"/>
          <w:szCs w:val="32"/>
          <w:lang w:val="en"/>
        </w:rPr>
      </w:pPr>
      <w:r w:rsidRPr="004B2EC3">
        <w:rPr>
          <w:rFonts w:ascii="Helvetica" w:eastAsia="宋体" w:hAnsi="Helvetica" w:cs="Helvetica"/>
          <w:b/>
          <w:bCs/>
          <w:color w:val="333333"/>
          <w:kern w:val="0"/>
          <w:sz w:val="32"/>
          <w:szCs w:val="32"/>
          <w:lang w:val="en"/>
        </w:rPr>
        <w:t>Risks to Health</w:t>
      </w:r>
    </w:p>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FDA has identified risks to health associated with this type of device. These risks involve:</w:t>
      </w:r>
    </w:p>
    <w:p w:rsidR="004B2EC3" w:rsidRPr="004B2EC3" w:rsidRDefault="004B2EC3" w:rsidP="004B2EC3">
      <w:pPr>
        <w:widowControl/>
        <w:numPr>
          <w:ilvl w:val="0"/>
          <w:numId w:val="2"/>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Biocompatibility;</w:t>
      </w:r>
    </w:p>
    <w:p w:rsidR="004B2EC3" w:rsidRPr="004B2EC3" w:rsidRDefault="004B2EC3" w:rsidP="004B2EC3">
      <w:pPr>
        <w:widowControl/>
        <w:numPr>
          <w:ilvl w:val="0"/>
          <w:numId w:val="2"/>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Electrical and mechanical safety;</w:t>
      </w:r>
    </w:p>
    <w:p w:rsidR="004B2EC3" w:rsidRPr="004B2EC3" w:rsidRDefault="004B2EC3" w:rsidP="004B2EC3">
      <w:pPr>
        <w:widowControl/>
        <w:numPr>
          <w:ilvl w:val="0"/>
          <w:numId w:val="2"/>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Radio-frequency (RF) radiated power and electromagnetic compatibility (EMC), including interference with other medical devices and with this device (e.g., interference with image acquisition);</w:t>
      </w:r>
    </w:p>
    <w:p w:rsidR="004B2EC3" w:rsidRPr="004B2EC3" w:rsidRDefault="004B2EC3" w:rsidP="004B2EC3">
      <w:pPr>
        <w:widowControl/>
        <w:numPr>
          <w:ilvl w:val="0"/>
          <w:numId w:val="2"/>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Functional reliability, including structural integrity and image acquisition</w:t>
      </w:r>
    </w:p>
    <w:p w:rsidR="004B2EC3" w:rsidRPr="004B2EC3" w:rsidRDefault="004B2EC3" w:rsidP="004B2EC3">
      <w:pPr>
        <w:widowControl/>
        <w:numPr>
          <w:ilvl w:val="0"/>
          <w:numId w:val="2"/>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Intestinal obstruction or injury; and</w:t>
      </w:r>
    </w:p>
    <w:p w:rsidR="004B2EC3" w:rsidRPr="004B2EC3" w:rsidRDefault="004B2EC3" w:rsidP="004B2EC3">
      <w:pPr>
        <w:widowControl/>
        <w:numPr>
          <w:ilvl w:val="0"/>
          <w:numId w:val="2"/>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Misinterpretation of the captured images.</w:t>
      </w:r>
    </w:p>
    <w:p w:rsidR="004B2EC3" w:rsidRPr="004B2EC3" w:rsidRDefault="004B2EC3" w:rsidP="004B2EC3">
      <w:pPr>
        <w:widowControl/>
        <w:spacing w:before="330" w:after="165"/>
        <w:jc w:val="left"/>
        <w:outlineLvl w:val="2"/>
        <w:rPr>
          <w:rFonts w:ascii="Helvetica" w:eastAsia="宋体" w:hAnsi="Helvetica" w:cs="Helvetica"/>
          <w:b/>
          <w:bCs/>
          <w:color w:val="333333"/>
          <w:kern w:val="0"/>
          <w:sz w:val="32"/>
          <w:szCs w:val="32"/>
          <w:lang w:val="en"/>
        </w:rPr>
      </w:pPr>
      <w:r w:rsidRPr="004B2EC3">
        <w:rPr>
          <w:rFonts w:ascii="Helvetica" w:eastAsia="宋体" w:hAnsi="Helvetica" w:cs="Helvetica"/>
          <w:b/>
          <w:bCs/>
          <w:color w:val="333333"/>
          <w:kern w:val="0"/>
          <w:sz w:val="32"/>
          <w:szCs w:val="32"/>
          <w:lang w:val="en"/>
        </w:rPr>
        <w:t>Controls</w:t>
      </w:r>
    </w:p>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FDA believes the following controls, when combined with the general controls of the act, will provide reasonable assurance of the safety and effectiveness of this type device:</w:t>
      </w:r>
    </w:p>
    <w:p w:rsidR="004B2EC3" w:rsidRPr="004B2EC3" w:rsidRDefault="004B2EC3" w:rsidP="004B2EC3">
      <w:pPr>
        <w:widowControl/>
        <w:numPr>
          <w:ilvl w:val="0"/>
          <w:numId w:val="3"/>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The premarket notification must include labeling in sufficient detail to satisfy the requirements of 21 CFR 807.87(e). These devices are prescription medical devices, and according to 21 CFR 801.109 must bear the following caution statement: "Caution: Federal law restricts this device to sale by or on the order of a physician."</w:t>
      </w:r>
    </w:p>
    <w:p w:rsidR="004B2EC3" w:rsidRPr="004B2EC3" w:rsidRDefault="004B2EC3" w:rsidP="004B2EC3">
      <w:pPr>
        <w:widowControl/>
        <w:numPr>
          <w:ilvl w:val="0"/>
          <w:numId w:val="4"/>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lastRenderedPageBreak/>
        <w:t>Patient labeling should conform to the "</w:t>
      </w:r>
      <w:hyperlink r:id="rId21" w:history="1">
        <w:r w:rsidRPr="004B2EC3">
          <w:rPr>
            <w:rFonts w:ascii="宋体" w:eastAsia="宋体" w:hAnsi="宋体" w:cs="宋体"/>
            <w:color w:val="005F9F"/>
            <w:kern w:val="0"/>
            <w:sz w:val="24"/>
            <w:szCs w:val="24"/>
            <w:lang w:val="en"/>
          </w:rPr>
          <w:t>Guidance on Medical Device Patient Labeling; Final Guidance for Industry and FDA Reviewers</w:t>
        </w:r>
      </w:hyperlink>
      <w:r w:rsidRPr="004B2EC3">
        <w:rPr>
          <w:rFonts w:ascii="Helvetica" w:eastAsia="宋体" w:hAnsi="Helvetica" w:cs="Helvetica"/>
          <w:color w:val="333333"/>
          <w:kern w:val="0"/>
          <w:sz w:val="24"/>
          <w:szCs w:val="24"/>
          <w:lang w:val="en"/>
        </w:rPr>
        <w:t>" with instructions that:</w:t>
      </w:r>
    </w:p>
    <w:p w:rsidR="004B2EC3" w:rsidRPr="004B2EC3" w:rsidRDefault="004B2EC3" w:rsidP="004B2EC3">
      <w:pPr>
        <w:widowControl/>
        <w:numPr>
          <w:ilvl w:val="0"/>
          <w:numId w:val="5"/>
        </w:numPr>
        <w:ind w:left="73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describe proper use of the device;</w:t>
      </w:r>
    </w:p>
    <w:p w:rsidR="004B2EC3" w:rsidRPr="004B2EC3" w:rsidRDefault="004B2EC3" w:rsidP="004B2EC3">
      <w:pPr>
        <w:widowControl/>
        <w:numPr>
          <w:ilvl w:val="0"/>
          <w:numId w:val="5"/>
        </w:numPr>
        <w:ind w:left="735"/>
        <w:jc w:val="left"/>
        <w:rPr>
          <w:rFonts w:ascii="Helvetica" w:eastAsia="宋体" w:hAnsi="Helvetica" w:cs="Helvetica"/>
          <w:color w:val="333333"/>
          <w:kern w:val="0"/>
          <w:sz w:val="24"/>
          <w:szCs w:val="24"/>
          <w:lang w:val="en"/>
        </w:rPr>
      </w:pPr>
      <w:proofErr w:type="gramStart"/>
      <w:r w:rsidRPr="004B2EC3">
        <w:rPr>
          <w:rFonts w:ascii="Helvetica" w:eastAsia="宋体" w:hAnsi="Helvetica" w:cs="Helvetica"/>
          <w:color w:val="333333"/>
          <w:kern w:val="0"/>
          <w:sz w:val="24"/>
          <w:szCs w:val="24"/>
          <w:lang w:val="en"/>
        </w:rPr>
        <w:t>clearly</w:t>
      </w:r>
      <w:proofErr w:type="gramEnd"/>
      <w:r w:rsidRPr="004B2EC3">
        <w:rPr>
          <w:rFonts w:ascii="Helvetica" w:eastAsia="宋体" w:hAnsi="Helvetica" w:cs="Helvetica"/>
          <w:color w:val="333333"/>
          <w:kern w:val="0"/>
          <w:sz w:val="24"/>
          <w:szCs w:val="24"/>
          <w:lang w:val="en"/>
        </w:rPr>
        <w:t xml:space="preserve"> describe dietary instructions before and during the use of the device;.</w:t>
      </w:r>
    </w:p>
    <w:p w:rsidR="004B2EC3" w:rsidRPr="004B2EC3" w:rsidRDefault="004B2EC3" w:rsidP="004B2EC3">
      <w:pPr>
        <w:widowControl/>
        <w:numPr>
          <w:ilvl w:val="0"/>
          <w:numId w:val="5"/>
        </w:numPr>
        <w:ind w:left="73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clearly identify any limitations in physical activity during the use of the device;</w:t>
      </w:r>
    </w:p>
    <w:p w:rsidR="004B2EC3" w:rsidRPr="004B2EC3" w:rsidRDefault="004B2EC3" w:rsidP="004B2EC3">
      <w:pPr>
        <w:widowControl/>
        <w:numPr>
          <w:ilvl w:val="0"/>
          <w:numId w:val="5"/>
        </w:numPr>
        <w:ind w:left="73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clearly identify all device safety features and limits to its use;</w:t>
      </w:r>
    </w:p>
    <w:p w:rsidR="004B2EC3" w:rsidRPr="004B2EC3" w:rsidRDefault="004B2EC3" w:rsidP="004B2EC3">
      <w:pPr>
        <w:widowControl/>
        <w:numPr>
          <w:ilvl w:val="0"/>
          <w:numId w:val="5"/>
        </w:numPr>
        <w:ind w:left="73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describe all relevant warnings, precautions, contraindications, and risks of the device;</w:t>
      </w:r>
    </w:p>
    <w:p w:rsidR="004B2EC3" w:rsidRPr="004B2EC3" w:rsidRDefault="004B2EC3" w:rsidP="004B2EC3">
      <w:pPr>
        <w:widowControl/>
        <w:numPr>
          <w:ilvl w:val="0"/>
          <w:numId w:val="5"/>
        </w:numPr>
        <w:ind w:left="73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explain that the patient's physician should be consulted for any symptoms of abdominal pain, nausea, or vomiting</w:t>
      </w:r>
    </w:p>
    <w:p w:rsidR="004B2EC3" w:rsidRPr="004B2EC3" w:rsidRDefault="004B2EC3" w:rsidP="004B2EC3">
      <w:pPr>
        <w:widowControl/>
        <w:numPr>
          <w:ilvl w:val="0"/>
          <w:numId w:val="5"/>
        </w:numPr>
        <w:ind w:left="73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address the issue of electromagnetic interference (EMI) which may cause loss of images (e.g., from Magnetic Resonance Imaging (MRI), other in-band RF transmitters such as amateur radio); and</w:t>
      </w:r>
    </w:p>
    <w:p w:rsidR="004B2EC3" w:rsidRPr="004B2EC3" w:rsidRDefault="004B2EC3" w:rsidP="004B2EC3">
      <w:pPr>
        <w:widowControl/>
        <w:numPr>
          <w:ilvl w:val="0"/>
          <w:numId w:val="5"/>
        </w:numPr>
        <w:ind w:left="735"/>
        <w:jc w:val="left"/>
        <w:rPr>
          <w:rFonts w:ascii="Helvetica" w:eastAsia="宋体" w:hAnsi="Helvetica" w:cs="Helvetica"/>
          <w:color w:val="333333"/>
          <w:kern w:val="0"/>
          <w:sz w:val="24"/>
          <w:szCs w:val="24"/>
          <w:lang w:val="en"/>
        </w:rPr>
      </w:pPr>
      <w:proofErr w:type="gramStart"/>
      <w:r w:rsidRPr="004B2EC3">
        <w:rPr>
          <w:rFonts w:ascii="Helvetica" w:eastAsia="宋体" w:hAnsi="Helvetica" w:cs="Helvetica"/>
          <w:color w:val="333333"/>
          <w:kern w:val="0"/>
          <w:sz w:val="24"/>
          <w:szCs w:val="24"/>
          <w:lang w:val="en"/>
        </w:rPr>
        <w:t>clearly</w:t>
      </w:r>
      <w:proofErr w:type="gramEnd"/>
      <w:r w:rsidRPr="004B2EC3">
        <w:rPr>
          <w:rFonts w:ascii="Helvetica" w:eastAsia="宋体" w:hAnsi="Helvetica" w:cs="Helvetica"/>
          <w:color w:val="333333"/>
          <w:kern w:val="0"/>
          <w:sz w:val="24"/>
          <w:szCs w:val="24"/>
          <w:lang w:val="en"/>
        </w:rPr>
        <w:t xml:space="preserve"> describe sources of electromagnetic energy the patient should avoid proximity to during the use of the device (e.g., MRI, airport security devices).</w:t>
      </w:r>
    </w:p>
    <w:p w:rsidR="004B2EC3" w:rsidRPr="004B2EC3" w:rsidRDefault="004B2EC3" w:rsidP="004B2EC3">
      <w:pPr>
        <w:widowControl/>
        <w:numPr>
          <w:ilvl w:val="0"/>
          <w:numId w:val="6"/>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Physician labeling should include instructions that:</w:t>
      </w:r>
    </w:p>
    <w:p w:rsidR="004B2EC3" w:rsidRPr="004B2EC3" w:rsidRDefault="004B2EC3" w:rsidP="004B2EC3">
      <w:pPr>
        <w:widowControl/>
        <w:numPr>
          <w:ilvl w:val="0"/>
          <w:numId w:val="7"/>
        </w:numPr>
        <w:ind w:left="73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describe proper use of the device including correct placement of the antenna array;</w:t>
      </w:r>
    </w:p>
    <w:p w:rsidR="004B2EC3" w:rsidRPr="004B2EC3" w:rsidRDefault="004B2EC3" w:rsidP="004B2EC3">
      <w:pPr>
        <w:widowControl/>
        <w:numPr>
          <w:ilvl w:val="0"/>
          <w:numId w:val="7"/>
        </w:numPr>
        <w:ind w:left="73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identify all device safety features and limits to its use;</w:t>
      </w:r>
    </w:p>
    <w:p w:rsidR="004B2EC3" w:rsidRPr="004B2EC3" w:rsidRDefault="004B2EC3" w:rsidP="004B2EC3">
      <w:pPr>
        <w:widowControl/>
        <w:numPr>
          <w:ilvl w:val="0"/>
          <w:numId w:val="7"/>
        </w:numPr>
        <w:ind w:left="73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document all contraindications which may include:</w:t>
      </w:r>
    </w:p>
    <w:p w:rsidR="004B2EC3" w:rsidRPr="004B2EC3" w:rsidRDefault="004B2EC3" w:rsidP="004B2EC3">
      <w:pPr>
        <w:widowControl/>
        <w:ind w:left="735"/>
        <w:jc w:val="left"/>
        <w:rPr>
          <w:rFonts w:ascii="Helvetica" w:eastAsia="宋体" w:hAnsi="Helvetica" w:cs="Helvetica"/>
          <w:color w:val="333333"/>
          <w:kern w:val="0"/>
          <w:sz w:val="24"/>
          <w:szCs w:val="24"/>
          <w:lang w:val="en"/>
        </w:rPr>
      </w:pPr>
      <w:proofErr w:type="spellStart"/>
      <w:proofErr w:type="gramStart"/>
      <w:r w:rsidRPr="004B2EC3">
        <w:rPr>
          <w:rFonts w:ascii="Helvetica" w:eastAsia="宋体" w:hAnsi="Helvetica" w:cs="Helvetica"/>
          <w:color w:val="333333"/>
          <w:kern w:val="0"/>
          <w:sz w:val="24"/>
          <w:szCs w:val="24"/>
          <w:lang w:val="en"/>
        </w:rPr>
        <w:t>i</w:t>
      </w:r>
      <w:proofErr w:type="spellEnd"/>
      <w:proofErr w:type="gramEnd"/>
      <w:r w:rsidRPr="004B2EC3">
        <w:rPr>
          <w:rFonts w:ascii="Helvetica" w:eastAsia="宋体" w:hAnsi="Helvetica" w:cs="Helvetica"/>
          <w:color w:val="333333"/>
          <w:kern w:val="0"/>
          <w:sz w:val="24"/>
          <w:szCs w:val="24"/>
          <w:lang w:val="en"/>
        </w:rPr>
        <w:t>. patients with cardiac pacemakers or other implanted electronic devices;</w:t>
      </w:r>
      <w:r w:rsidRPr="004B2EC3">
        <w:rPr>
          <w:rFonts w:ascii="Helvetica" w:eastAsia="宋体" w:hAnsi="Helvetica" w:cs="Helvetica"/>
          <w:color w:val="333333"/>
          <w:kern w:val="0"/>
          <w:sz w:val="24"/>
          <w:szCs w:val="24"/>
          <w:lang w:val="en"/>
        </w:rPr>
        <w:br/>
        <w:t xml:space="preserve">ii. </w:t>
      </w:r>
      <w:proofErr w:type="gramStart"/>
      <w:r w:rsidRPr="004B2EC3">
        <w:rPr>
          <w:rFonts w:ascii="Helvetica" w:eastAsia="宋体" w:hAnsi="Helvetica" w:cs="Helvetica"/>
          <w:color w:val="333333"/>
          <w:kern w:val="0"/>
          <w:sz w:val="24"/>
          <w:szCs w:val="24"/>
          <w:lang w:val="en"/>
        </w:rPr>
        <w:t>patients</w:t>
      </w:r>
      <w:proofErr w:type="gramEnd"/>
      <w:r w:rsidRPr="004B2EC3">
        <w:rPr>
          <w:rFonts w:ascii="Helvetica" w:eastAsia="宋体" w:hAnsi="Helvetica" w:cs="Helvetica"/>
          <w:color w:val="333333"/>
          <w:kern w:val="0"/>
          <w:sz w:val="24"/>
          <w:szCs w:val="24"/>
          <w:lang w:val="en"/>
        </w:rPr>
        <w:t xml:space="preserve"> with known intestinal obstruction or significant intestinal strictures;</w:t>
      </w:r>
    </w:p>
    <w:p w:rsidR="004B2EC3" w:rsidRPr="004B2EC3" w:rsidRDefault="004B2EC3" w:rsidP="004B2EC3">
      <w:pPr>
        <w:widowControl/>
        <w:numPr>
          <w:ilvl w:val="0"/>
          <w:numId w:val="8"/>
        </w:numPr>
        <w:ind w:left="73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describe all relevant warnings, precautions, and risks of the device, which may include the following;</w:t>
      </w:r>
    </w:p>
    <w:p w:rsidR="004B2EC3" w:rsidRPr="004B2EC3" w:rsidRDefault="004B2EC3" w:rsidP="004B2EC3">
      <w:pPr>
        <w:widowControl/>
        <w:ind w:left="735"/>
        <w:jc w:val="left"/>
        <w:rPr>
          <w:rFonts w:ascii="Helvetica" w:eastAsia="宋体" w:hAnsi="Helvetica" w:cs="Helvetica"/>
          <w:color w:val="333333"/>
          <w:kern w:val="0"/>
          <w:sz w:val="24"/>
          <w:szCs w:val="24"/>
          <w:lang w:val="en"/>
        </w:rPr>
      </w:pPr>
      <w:proofErr w:type="spellStart"/>
      <w:r w:rsidRPr="004B2EC3">
        <w:rPr>
          <w:rFonts w:ascii="Helvetica" w:eastAsia="宋体" w:hAnsi="Helvetica" w:cs="Helvetica"/>
          <w:color w:val="333333"/>
          <w:kern w:val="0"/>
          <w:sz w:val="24"/>
          <w:szCs w:val="24"/>
          <w:lang w:val="en"/>
        </w:rPr>
        <w:t>i</w:t>
      </w:r>
      <w:proofErr w:type="spellEnd"/>
      <w:r w:rsidRPr="004B2EC3">
        <w:rPr>
          <w:rFonts w:ascii="Helvetica" w:eastAsia="宋体" w:hAnsi="Helvetica" w:cs="Helvetica"/>
          <w:color w:val="333333"/>
          <w:kern w:val="0"/>
          <w:sz w:val="24"/>
          <w:szCs w:val="24"/>
          <w:lang w:val="en"/>
        </w:rPr>
        <w:t>. The physician should consider performing a contrasted x-ray series in patients with suspected strictures or fistulas prior to using this device;</w:t>
      </w:r>
    </w:p>
    <w:p w:rsidR="004B2EC3" w:rsidRPr="004B2EC3" w:rsidRDefault="004B2EC3" w:rsidP="004B2EC3">
      <w:pPr>
        <w:widowControl/>
        <w:ind w:left="73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ii. Variations in individual patient GI motility may decrease the length of the small bowel that is imaged;</w:t>
      </w:r>
    </w:p>
    <w:p w:rsidR="004B2EC3" w:rsidRPr="004B2EC3" w:rsidRDefault="004B2EC3" w:rsidP="004B2EC3">
      <w:pPr>
        <w:widowControl/>
        <w:numPr>
          <w:ilvl w:val="0"/>
          <w:numId w:val="9"/>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describe correct storage for the device prior to being used;</w:t>
      </w:r>
    </w:p>
    <w:p w:rsidR="004B2EC3" w:rsidRPr="004B2EC3" w:rsidRDefault="004B2EC3" w:rsidP="004B2EC3">
      <w:pPr>
        <w:widowControl/>
        <w:numPr>
          <w:ilvl w:val="0"/>
          <w:numId w:val="9"/>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address the issue of electromagnetic interference which may cause loss of images (e.g., from MRI, other in-band RF transmitters such as amateur radio);</w:t>
      </w:r>
    </w:p>
    <w:p w:rsidR="004B2EC3" w:rsidRPr="004B2EC3" w:rsidRDefault="004B2EC3" w:rsidP="004B2EC3">
      <w:pPr>
        <w:widowControl/>
        <w:numPr>
          <w:ilvl w:val="0"/>
          <w:numId w:val="9"/>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address the experience needed by the physician to correctly interpret the acquired images;</w:t>
      </w:r>
    </w:p>
    <w:p w:rsidR="004B2EC3" w:rsidRPr="004B2EC3" w:rsidRDefault="004B2EC3" w:rsidP="004B2EC3">
      <w:pPr>
        <w:widowControl/>
        <w:numPr>
          <w:ilvl w:val="0"/>
          <w:numId w:val="9"/>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address any ancillary diagnostic tests or examinations that should be performed prior to or in conjunction with this device;</w:t>
      </w:r>
    </w:p>
    <w:p w:rsidR="004B2EC3" w:rsidRPr="004B2EC3" w:rsidRDefault="004B2EC3" w:rsidP="004B2EC3">
      <w:pPr>
        <w:widowControl/>
        <w:numPr>
          <w:ilvl w:val="0"/>
          <w:numId w:val="9"/>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address the limits of the technology based on clinical studies and bench testing; and</w:t>
      </w:r>
    </w:p>
    <w:p w:rsidR="004B2EC3" w:rsidRPr="004B2EC3" w:rsidRDefault="004B2EC3" w:rsidP="004B2EC3">
      <w:pPr>
        <w:widowControl/>
        <w:numPr>
          <w:ilvl w:val="0"/>
          <w:numId w:val="9"/>
        </w:numPr>
        <w:ind w:left="255"/>
        <w:jc w:val="left"/>
        <w:rPr>
          <w:rFonts w:ascii="Helvetica" w:eastAsia="宋体" w:hAnsi="Helvetica" w:cs="Helvetica"/>
          <w:color w:val="333333"/>
          <w:kern w:val="0"/>
          <w:sz w:val="24"/>
          <w:szCs w:val="24"/>
          <w:lang w:val="en"/>
        </w:rPr>
      </w:pPr>
      <w:proofErr w:type="gramStart"/>
      <w:r w:rsidRPr="004B2EC3">
        <w:rPr>
          <w:rFonts w:ascii="Helvetica" w:eastAsia="宋体" w:hAnsi="Helvetica" w:cs="Helvetica"/>
          <w:color w:val="333333"/>
          <w:kern w:val="0"/>
          <w:sz w:val="24"/>
          <w:szCs w:val="24"/>
          <w:lang w:val="en"/>
        </w:rPr>
        <w:lastRenderedPageBreak/>
        <w:t>summarize</w:t>
      </w:r>
      <w:proofErr w:type="gramEnd"/>
      <w:r w:rsidRPr="004B2EC3">
        <w:rPr>
          <w:rFonts w:ascii="Helvetica" w:eastAsia="宋体" w:hAnsi="Helvetica" w:cs="Helvetica"/>
          <w:color w:val="333333"/>
          <w:kern w:val="0"/>
          <w:sz w:val="24"/>
          <w:szCs w:val="24"/>
          <w:lang w:val="en"/>
        </w:rPr>
        <w:t xml:space="preserve"> the results of clinical studies.</w:t>
      </w:r>
    </w:p>
    <w:p w:rsidR="004B2EC3" w:rsidRPr="004B2EC3" w:rsidRDefault="004B2EC3" w:rsidP="004B2EC3">
      <w:pPr>
        <w:widowControl/>
        <w:numPr>
          <w:ilvl w:val="0"/>
          <w:numId w:val="10"/>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Biocompatibility testing should be performed as outlined in the FDA-modified "</w:t>
      </w:r>
      <w:hyperlink r:id="rId22" w:history="1">
        <w:r w:rsidRPr="004B2EC3">
          <w:rPr>
            <w:rFonts w:ascii="宋体" w:eastAsia="宋体" w:hAnsi="宋体" w:cs="宋体"/>
            <w:color w:val="005F9F"/>
            <w:kern w:val="0"/>
            <w:sz w:val="24"/>
            <w:szCs w:val="24"/>
            <w:lang w:val="en"/>
          </w:rPr>
          <w:t>Use of International Standard ISO-10993, Biological Evaluation of Medical Devices Part-1: Evaluation and Testing</w:t>
        </w:r>
      </w:hyperlink>
      <w:r w:rsidRPr="004B2EC3">
        <w:rPr>
          <w:rFonts w:ascii="Helvetica" w:eastAsia="宋体" w:hAnsi="Helvetica" w:cs="Helvetica"/>
          <w:color w:val="333333"/>
          <w:kern w:val="0"/>
          <w:sz w:val="24"/>
          <w:szCs w:val="24"/>
          <w:lang w:val="en"/>
        </w:rPr>
        <w:t>" for a surface device that contacts breached or compromised surfaces for prolonged contact.</w:t>
      </w:r>
    </w:p>
    <w:p w:rsidR="004B2EC3" w:rsidRPr="004B2EC3" w:rsidRDefault="004B2EC3" w:rsidP="004B2EC3">
      <w:pPr>
        <w:widowControl/>
        <w:numPr>
          <w:ilvl w:val="0"/>
          <w:numId w:val="11"/>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Bench testing should include the following:</w:t>
      </w:r>
    </w:p>
    <w:p w:rsidR="004B2EC3" w:rsidRPr="004B2EC3" w:rsidRDefault="004B2EC3" w:rsidP="004B2EC3">
      <w:pPr>
        <w:widowControl/>
        <w:numPr>
          <w:ilvl w:val="0"/>
          <w:numId w:val="12"/>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Evidence should be submitted to evaluate the mechanical and structural integrity of the device system when subjected to clinical use conditions. This testing should include the following:</w:t>
      </w:r>
    </w:p>
    <w:p w:rsidR="004B2EC3" w:rsidRPr="004B2EC3" w:rsidRDefault="004B2EC3" w:rsidP="004B2EC3">
      <w:pPr>
        <w:widowControl/>
        <w:ind w:left="255"/>
        <w:jc w:val="left"/>
        <w:rPr>
          <w:rFonts w:ascii="Helvetica" w:eastAsia="宋体" w:hAnsi="Helvetica" w:cs="Helvetica"/>
          <w:color w:val="333333"/>
          <w:kern w:val="0"/>
          <w:sz w:val="24"/>
          <w:szCs w:val="24"/>
          <w:lang w:val="en"/>
        </w:rPr>
      </w:pPr>
      <w:proofErr w:type="spellStart"/>
      <w:proofErr w:type="gramStart"/>
      <w:r w:rsidRPr="004B2EC3">
        <w:rPr>
          <w:rFonts w:ascii="Helvetica" w:eastAsia="宋体" w:hAnsi="Helvetica" w:cs="Helvetica"/>
          <w:color w:val="333333"/>
          <w:kern w:val="0"/>
          <w:sz w:val="24"/>
          <w:szCs w:val="24"/>
          <w:lang w:val="en"/>
        </w:rPr>
        <w:t>i</w:t>
      </w:r>
      <w:proofErr w:type="spellEnd"/>
      <w:proofErr w:type="gramEnd"/>
      <w:r w:rsidRPr="004B2EC3">
        <w:rPr>
          <w:rFonts w:ascii="Helvetica" w:eastAsia="宋体" w:hAnsi="Helvetica" w:cs="Helvetica"/>
          <w:color w:val="333333"/>
          <w:kern w:val="0"/>
          <w:sz w:val="24"/>
          <w:szCs w:val="24"/>
          <w:lang w:val="en"/>
        </w:rPr>
        <w:t>. evaluation of the device system when exposed to a range of pH levels for the period of time that the device will be used;</w:t>
      </w:r>
    </w:p>
    <w:p w:rsidR="004B2EC3" w:rsidRPr="004B2EC3" w:rsidRDefault="004B2EC3" w:rsidP="004B2EC3">
      <w:pPr>
        <w:widowControl/>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 xml:space="preserve">ii. </w:t>
      </w:r>
      <w:proofErr w:type="gramStart"/>
      <w:r w:rsidRPr="004B2EC3">
        <w:rPr>
          <w:rFonts w:ascii="Helvetica" w:eastAsia="宋体" w:hAnsi="Helvetica" w:cs="Helvetica"/>
          <w:color w:val="333333"/>
          <w:kern w:val="0"/>
          <w:sz w:val="24"/>
          <w:szCs w:val="24"/>
          <w:lang w:val="en"/>
        </w:rPr>
        <w:t>mechanical</w:t>
      </w:r>
      <w:proofErr w:type="gramEnd"/>
      <w:r w:rsidRPr="004B2EC3">
        <w:rPr>
          <w:rFonts w:ascii="Helvetica" w:eastAsia="宋体" w:hAnsi="Helvetica" w:cs="Helvetica"/>
          <w:color w:val="333333"/>
          <w:kern w:val="0"/>
          <w:sz w:val="24"/>
          <w:szCs w:val="24"/>
          <w:lang w:val="en"/>
        </w:rPr>
        <w:t xml:space="preserve"> integrity test, as needed, to evaluate the strength of the device system when subjected to mechanical forces that may be expected during clinical usage;</w:t>
      </w:r>
    </w:p>
    <w:p w:rsidR="004B2EC3" w:rsidRPr="004B2EC3" w:rsidRDefault="004B2EC3" w:rsidP="004B2EC3">
      <w:pPr>
        <w:widowControl/>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 xml:space="preserve">iii. </w:t>
      </w:r>
      <w:proofErr w:type="gramStart"/>
      <w:r w:rsidRPr="004B2EC3">
        <w:rPr>
          <w:rFonts w:ascii="Helvetica" w:eastAsia="宋体" w:hAnsi="Helvetica" w:cs="Helvetica"/>
          <w:color w:val="333333"/>
          <w:kern w:val="0"/>
          <w:sz w:val="24"/>
          <w:szCs w:val="24"/>
          <w:lang w:val="en"/>
        </w:rPr>
        <w:t>battery</w:t>
      </w:r>
      <w:proofErr w:type="gramEnd"/>
      <w:r w:rsidRPr="004B2EC3">
        <w:rPr>
          <w:rFonts w:ascii="Helvetica" w:eastAsia="宋体" w:hAnsi="Helvetica" w:cs="Helvetica"/>
          <w:color w:val="333333"/>
          <w:kern w:val="0"/>
          <w:sz w:val="24"/>
          <w:szCs w:val="24"/>
          <w:lang w:val="en"/>
        </w:rPr>
        <w:t xml:space="preserve"> life; and</w:t>
      </w:r>
    </w:p>
    <w:p w:rsidR="004B2EC3" w:rsidRPr="004B2EC3" w:rsidRDefault="004B2EC3" w:rsidP="004B2EC3">
      <w:pPr>
        <w:widowControl/>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 xml:space="preserve">iv. </w:t>
      </w:r>
      <w:proofErr w:type="gramStart"/>
      <w:r w:rsidRPr="004B2EC3">
        <w:rPr>
          <w:rFonts w:ascii="Helvetica" w:eastAsia="宋体" w:hAnsi="Helvetica" w:cs="Helvetica"/>
          <w:color w:val="333333"/>
          <w:kern w:val="0"/>
          <w:sz w:val="24"/>
          <w:szCs w:val="24"/>
          <w:lang w:val="en"/>
        </w:rPr>
        <w:t>field</w:t>
      </w:r>
      <w:proofErr w:type="gramEnd"/>
      <w:r w:rsidRPr="004B2EC3">
        <w:rPr>
          <w:rFonts w:ascii="Helvetica" w:eastAsia="宋体" w:hAnsi="Helvetica" w:cs="Helvetica"/>
          <w:color w:val="333333"/>
          <w:kern w:val="0"/>
          <w:sz w:val="24"/>
          <w:szCs w:val="24"/>
          <w:lang w:val="en"/>
        </w:rPr>
        <w:t xml:space="preserve"> of view and depth of focus.</w:t>
      </w:r>
    </w:p>
    <w:p w:rsidR="004B2EC3" w:rsidRPr="004B2EC3" w:rsidRDefault="004B2EC3" w:rsidP="004B2EC3">
      <w:pPr>
        <w:widowControl/>
        <w:numPr>
          <w:ilvl w:val="0"/>
          <w:numId w:val="13"/>
        </w:numPr>
        <w:ind w:left="73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Evidence should be submitted to evaluate the electrical and mechanical safety, RF radiated power, and EMC of the device system. EMC testing should specifically consider the environment in which the device system may be used. Standards such as IEC 60601-1 and IEC 60601-1-2 should be used to guide test selection. Radio transmitters and receivers should also be in compliance with national radio regulations.</w:t>
      </w:r>
    </w:p>
    <w:p w:rsidR="004B2EC3" w:rsidRPr="004B2EC3" w:rsidRDefault="004B2EC3" w:rsidP="004B2EC3">
      <w:pPr>
        <w:widowControl/>
        <w:numPr>
          <w:ilvl w:val="0"/>
          <w:numId w:val="14"/>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Software testing should be included to show the device performs correctly.</w:t>
      </w:r>
    </w:p>
    <w:p w:rsidR="004B2EC3" w:rsidRPr="004B2EC3" w:rsidRDefault="004B2EC3" w:rsidP="004B2EC3">
      <w:pPr>
        <w:widowControl/>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Sufficient evidence of performance is needed for software-controlled medical devices. The degree of evidence needed is determined by the "level of concern" described in the FDA guidance document titled "</w:t>
      </w:r>
      <w:hyperlink r:id="rId23" w:history="1">
        <w:r w:rsidRPr="004B2EC3">
          <w:rPr>
            <w:rFonts w:ascii="宋体" w:eastAsia="宋体" w:hAnsi="宋体" w:cs="宋体"/>
            <w:color w:val="005F9F"/>
            <w:kern w:val="0"/>
            <w:sz w:val="24"/>
            <w:szCs w:val="24"/>
            <w:lang w:val="en"/>
          </w:rPr>
          <w:t>Guidance for the Content of Premarket Submissions for Software Contained in Medical Devices</w:t>
        </w:r>
      </w:hyperlink>
      <w:r w:rsidRPr="004B2EC3">
        <w:rPr>
          <w:rFonts w:ascii="Helvetica" w:eastAsia="宋体" w:hAnsi="Helvetica" w:cs="Helvetica"/>
          <w:color w:val="333333"/>
          <w:kern w:val="0"/>
          <w:sz w:val="24"/>
          <w:szCs w:val="24"/>
          <w:lang w:val="en"/>
        </w:rPr>
        <w:t>". The "level of concern" is related to the outcome of software failure and may be minor, moderate, or major. The software for this device is generally considered a "minor level of concern" as defined in the Software guidance.</w:t>
      </w:r>
    </w:p>
    <w:p w:rsidR="004B2EC3" w:rsidRPr="004B2EC3" w:rsidRDefault="004B2EC3" w:rsidP="004B2EC3">
      <w:pPr>
        <w:widowControl/>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Overall, the documentation related to the software contained in the medical device should provide sufficient evidence to describe the role of the software included in the device, and performance testing to demonstrate that the software functions as designed.</w:t>
      </w:r>
    </w:p>
    <w:p w:rsidR="004B2EC3" w:rsidRPr="004B2EC3" w:rsidRDefault="004B2EC3" w:rsidP="004B2EC3">
      <w:pPr>
        <w:widowControl/>
        <w:numPr>
          <w:ilvl w:val="0"/>
          <w:numId w:val="15"/>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Performance information should address safety and effectiveness issues related to device design. This should include, if appropriate, safety data from animal studies. Clinical information about safety and effectiveness should be included. The information should address:</w:t>
      </w:r>
    </w:p>
    <w:p w:rsidR="004B2EC3" w:rsidRPr="004B2EC3" w:rsidRDefault="004B2EC3" w:rsidP="004B2EC3">
      <w:pPr>
        <w:widowControl/>
        <w:numPr>
          <w:ilvl w:val="0"/>
          <w:numId w:val="16"/>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ease of device ingestion;</w:t>
      </w:r>
    </w:p>
    <w:p w:rsidR="004B2EC3" w:rsidRPr="004B2EC3" w:rsidRDefault="004B2EC3" w:rsidP="004B2EC3">
      <w:pPr>
        <w:widowControl/>
        <w:numPr>
          <w:ilvl w:val="0"/>
          <w:numId w:val="16"/>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intestinal transit time (time between ingestion and excretion);</w:t>
      </w:r>
    </w:p>
    <w:p w:rsidR="004B2EC3" w:rsidRPr="004B2EC3" w:rsidRDefault="004B2EC3" w:rsidP="004B2EC3">
      <w:pPr>
        <w:widowControl/>
        <w:numPr>
          <w:ilvl w:val="0"/>
          <w:numId w:val="16"/>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documentation of excretion/recovery;</w:t>
      </w:r>
    </w:p>
    <w:p w:rsidR="004B2EC3" w:rsidRPr="004B2EC3" w:rsidRDefault="004B2EC3" w:rsidP="004B2EC3">
      <w:pPr>
        <w:widowControl/>
        <w:numPr>
          <w:ilvl w:val="0"/>
          <w:numId w:val="16"/>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lastRenderedPageBreak/>
        <w:t xml:space="preserve">diagnostic yield when compared to other standard mucosal imaging procedures (upper endoscopy, </w:t>
      </w:r>
      <w:proofErr w:type="spellStart"/>
      <w:r w:rsidRPr="004B2EC3">
        <w:rPr>
          <w:rFonts w:ascii="Helvetica" w:eastAsia="宋体" w:hAnsi="Helvetica" w:cs="Helvetica"/>
          <w:color w:val="333333"/>
          <w:kern w:val="0"/>
          <w:sz w:val="24"/>
          <w:szCs w:val="24"/>
          <w:lang w:val="en"/>
        </w:rPr>
        <w:t>enteroscopy</w:t>
      </w:r>
      <w:proofErr w:type="spellEnd"/>
      <w:r w:rsidRPr="004B2EC3">
        <w:rPr>
          <w:rFonts w:ascii="Helvetica" w:eastAsia="宋体" w:hAnsi="Helvetica" w:cs="Helvetica"/>
          <w:color w:val="333333"/>
          <w:kern w:val="0"/>
          <w:sz w:val="24"/>
          <w:szCs w:val="24"/>
          <w:lang w:val="en"/>
        </w:rPr>
        <w:t>, colonoscopy);</w:t>
      </w:r>
    </w:p>
    <w:p w:rsidR="004B2EC3" w:rsidRPr="004B2EC3" w:rsidRDefault="004B2EC3" w:rsidP="004B2EC3">
      <w:pPr>
        <w:widowControl/>
        <w:numPr>
          <w:ilvl w:val="0"/>
          <w:numId w:val="16"/>
        </w:numPr>
        <w:ind w:left="25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adverse events during and following the use of the device; and</w:t>
      </w:r>
    </w:p>
    <w:p w:rsidR="004B2EC3" w:rsidRPr="004B2EC3" w:rsidRDefault="004B2EC3" w:rsidP="004B2EC3">
      <w:pPr>
        <w:widowControl/>
        <w:numPr>
          <w:ilvl w:val="0"/>
          <w:numId w:val="16"/>
        </w:numPr>
        <w:ind w:left="255"/>
        <w:jc w:val="left"/>
        <w:rPr>
          <w:rFonts w:ascii="Helvetica" w:eastAsia="宋体" w:hAnsi="Helvetica" w:cs="Helvetica"/>
          <w:color w:val="333333"/>
          <w:kern w:val="0"/>
          <w:sz w:val="24"/>
          <w:szCs w:val="24"/>
          <w:lang w:val="en"/>
        </w:rPr>
      </w:pPr>
      <w:proofErr w:type="gramStart"/>
      <w:r w:rsidRPr="004B2EC3">
        <w:rPr>
          <w:rFonts w:ascii="Helvetica" w:eastAsia="宋体" w:hAnsi="Helvetica" w:cs="Helvetica"/>
          <w:color w:val="333333"/>
          <w:kern w:val="0"/>
          <w:sz w:val="24"/>
          <w:szCs w:val="24"/>
          <w:lang w:val="en"/>
        </w:rPr>
        <w:t>agreement</w:t>
      </w:r>
      <w:proofErr w:type="gramEnd"/>
      <w:r w:rsidRPr="004B2EC3">
        <w:rPr>
          <w:rFonts w:ascii="Helvetica" w:eastAsia="宋体" w:hAnsi="Helvetica" w:cs="Helvetica"/>
          <w:color w:val="333333"/>
          <w:kern w:val="0"/>
          <w:sz w:val="24"/>
          <w:szCs w:val="24"/>
          <w:lang w:val="en"/>
        </w:rPr>
        <w:t xml:space="preserve"> between two or more reviewers with respect to interpretation of the images obtained.</w:t>
      </w:r>
    </w:p>
    <w:p w:rsidR="004B2EC3" w:rsidRPr="004B2EC3" w:rsidRDefault="004B2EC3" w:rsidP="004B2EC3">
      <w:pPr>
        <w:widowControl/>
        <w:spacing w:before="330" w:after="165"/>
        <w:jc w:val="left"/>
        <w:outlineLvl w:val="2"/>
        <w:rPr>
          <w:rFonts w:ascii="Helvetica" w:eastAsia="宋体" w:hAnsi="Helvetica" w:cs="Helvetica"/>
          <w:b/>
          <w:bCs/>
          <w:color w:val="333333"/>
          <w:kern w:val="0"/>
          <w:sz w:val="32"/>
          <w:szCs w:val="32"/>
          <w:lang w:val="en"/>
        </w:rPr>
      </w:pPr>
      <w:r w:rsidRPr="004B2EC3">
        <w:rPr>
          <w:rFonts w:ascii="Helvetica" w:eastAsia="宋体" w:hAnsi="Helvetica" w:cs="Helvetica"/>
          <w:b/>
          <w:bCs/>
          <w:color w:val="333333"/>
          <w:kern w:val="0"/>
          <w:sz w:val="32"/>
          <w:szCs w:val="32"/>
          <w:lang w:val="en"/>
        </w:rPr>
        <w:t>Premarket Notification Requirements</w:t>
      </w:r>
    </w:p>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FDA has determined that premarket notification is necessary to provide reasonable assurance of the safety and effectiveness of this generic type of device, and therefore, the device type is not exempt from the premarket notification requirements of the Federal Food, Drug, and Cosmetic Act. Thus, persons who intend to market a device of this type need to submit a premarket notification to FDA and receive agency clearance prior to marketing the device.</w:t>
      </w:r>
    </w:p>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An Abbreviated 510(k) that relies on a Class II Special Controls Guidance Document should contain the following.</w:t>
      </w:r>
    </w:p>
    <w:p w:rsidR="004B2EC3" w:rsidRPr="004B2EC3" w:rsidRDefault="004B2EC3" w:rsidP="004B2EC3">
      <w:pPr>
        <w:widowControl/>
        <w:numPr>
          <w:ilvl w:val="0"/>
          <w:numId w:val="17"/>
        </w:numPr>
        <w:ind w:left="-22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a coversheet prominently identifying the submission as an Abbreviated 510(k) and citing the title of this Guidance Document;</w:t>
      </w:r>
    </w:p>
    <w:p w:rsidR="004B2EC3" w:rsidRPr="004B2EC3" w:rsidRDefault="004B2EC3" w:rsidP="004B2EC3">
      <w:pPr>
        <w:widowControl/>
        <w:numPr>
          <w:ilvl w:val="0"/>
          <w:numId w:val="18"/>
        </w:numPr>
        <w:ind w:left="-225"/>
        <w:jc w:val="left"/>
        <w:rPr>
          <w:rFonts w:ascii="Helvetica" w:eastAsia="宋体" w:hAnsi="Helvetica" w:cs="Helvetica"/>
          <w:color w:val="333333"/>
          <w:kern w:val="0"/>
          <w:sz w:val="24"/>
          <w:szCs w:val="24"/>
          <w:lang w:val="en"/>
        </w:rPr>
      </w:pPr>
      <w:proofErr w:type="gramStart"/>
      <w:r w:rsidRPr="004B2EC3">
        <w:rPr>
          <w:rFonts w:ascii="Helvetica" w:eastAsia="宋体" w:hAnsi="Helvetica" w:cs="Helvetica"/>
          <w:color w:val="333333"/>
          <w:kern w:val="0"/>
          <w:sz w:val="24"/>
          <w:szCs w:val="24"/>
          <w:lang w:val="en"/>
        </w:rPr>
        <w:t>items</w:t>
      </w:r>
      <w:proofErr w:type="gramEnd"/>
      <w:r w:rsidRPr="004B2EC3">
        <w:rPr>
          <w:rFonts w:ascii="Helvetica" w:eastAsia="宋体" w:hAnsi="Helvetica" w:cs="Helvetica"/>
          <w:color w:val="333333"/>
          <w:kern w:val="0"/>
          <w:sz w:val="24"/>
          <w:szCs w:val="24"/>
          <w:lang w:val="en"/>
        </w:rPr>
        <w:t xml:space="preserve"> required under 21 CFR 807.87, including a description of the device (including detailed, labeled drawings and a compete discussion of the performance specifications), the intended use of the device, and the proposed labeling for the device.</w:t>
      </w:r>
    </w:p>
    <w:p w:rsidR="004B2EC3" w:rsidRPr="004B2EC3" w:rsidRDefault="004B2EC3" w:rsidP="004B2EC3">
      <w:pPr>
        <w:widowControl/>
        <w:numPr>
          <w:ilvl w:val="0"/>
          <w:numId w:val="19"/>
        </w:numPr>
        <w:ind w:left="-225"/>
        <w:jc w:val="left"/>
        <w:rPr>
          <w:rFonts w:ascii="Helvetica" w:eastAsia="宋体" w:hAnsi="Helvetica" w:cs="Helvetica"/>
          <w:color w:val="333333"/>
          <w:kern w:val="0"/>
          <w:sz w:val="24"/>
          <w:szCs w:val="24"/>
          <w:lang w:val="en"/>
        </w:rPr>
      </w:pPr>
      <w:proofErr w:type="gramStart"/>
      <w:r w:rsidRPr="004B2EC3">
        <w:rPr>
          <w:rFonts w:ascii="Helvetica" w:eastAsia="宋体" w:hAnsi="Helvetica" w:cs="Helvetica"/>
          <w:color w:val="333333"/>
          <w:kern w:val="0"/>
          <w:sz w:val="24"/>
          <w:szCs w:val="24"/>
          <w:lang w:val="en"/>
        </w:rPr>
        <w:t>a</w:t>
      </w:r>
      <w:proofErr w:type="gramEnd"/>
      <w:r w:rsidRPr="004B2EC3">
        <w:rPr>
          <w:rFonts w:ascii="Helvetica" w:eastAsia="宋体" w:hAnsi="Helvetica" w:cs="Helvetica"/>
          <w:color w:val="333333"/>
          <w:kern w:val="0"/>
          <w:sz w:val="24"/>
          <w:szCs w:val="24"/>
          <w:lang w:val="en"/>
        </w:rPr>
        <w:t xml:space="preserve"> summary report that describes how this Class II Special Controls Guidance Document was used to address the risks associated with this particular device type. You should describe your device performance requirements and discuss the hardware and software functions provided to address the risks identified in this guidance document, as well as any additional risks identified in your risk analysis. For each performance aspect identified in sections 5 through 7 of this Special Controls Guidance document, the summary report should briefly discuss each test method used, the acceptance criteria applied, and the test results achieved. If a manufacturer elects to use an alternative approach to address a particular risk, sufficient detail should be provided to justify the alternative approach. If any part of the device design or testing relies on a recognized standard, the summary report should include: (1) a statement that testing will be conducted and meet specified acceptance criteria before the product is marketed, or (2) a declaration of conformity to the standard. </w:t>
      </w:r>
      <w:r w:rsidRPr="004B2EC3">
        <w:rPr>
          <w:rFonts w:ascii="Helvetica" w:eastAsia="宋体" w:hAnsi="Helvetica" w:cs="Helvetica"/>
          <w:b/>
          <w:bCs/>
          <w:color w:val="333333"/>
          <w:kern w:val="0"/>
          <w:sz w:val="24"/>
          <w:szCs w:val="24"/>
          <w:lang w:val="en"/>
        </w:rPr>
        <w:t>[Note: Testing must be completed before submitting a declaration of conformity to a recognized standard.]</w:t>
      </w:r>
    </w:p>
    <w:p w:rsidR="004B2EC3" w:rsidRPr="004B2EC3" w:rsidRDefault="004B2EC3" w:rsidP="004B2EC3">
      <w:pPr>
        <w:widowControl/>
        <w:numPr>
          <w:ilvl w:val="0"/>
          <w:numId w:val="20"/>
        </w:numPr>
        <w:ind w:left="-225"/>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Indications for Use enclosure.</w:t>
      </w:r>
    </w:p>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b/>
          <w:bCs/>
          <w:color w:val="333333"/>
          <w:kern w:val="0"/>
          <w:sz w:val="24"/>
          <w:szCs w:val="24"/>
          <w:lang w:val="en"/>
        </w:rPr>
        <w:t>The following is a table of the controls that address the identified risks to health:</w:t>
      </w:r>
    </w:p>
    <w:tbl>
      <w:tblPr>
        <w:tblW w:w="5000" w:type="pct"/>
        <w:tblCellMar>
          <w:top w:w="15" w:type="dxa"/>
          <w:left w:w="15" w:type="dxa"/>
          <w:bottom w:w="15" w:type="dxa"/>
          <w:right w:w="15" w:type="dxa"/>
        </w:tblCellMar>
        <w:tblLook w:val="04A0" w:firstRow="1" w:lastRow="0" w:firstColumn="1" w:lastColumn="0" w:noHBand="0" w:noVBand="1"/>
        <w:tblDescription w:val="Controls that address the identified risks to health"/>
      </w:tblPr>
      <w:tblGrid>
        <w:gridCol w:w="6042"/>
        <w:gridCol w:w="2294"/>
      </w:tblGrid>
      <w:tr w:rsidR="004B2EC3" w:rsidRPr="004B2EC3" w:rsidTr="004B2EC3">
        <w:trPr>
          <w:tblHeader/>
        </w:trPr>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b/>
                <w:bCs/>
                <w:color w:val="333333"/>
                <w:kern w:val="0"/>
                <w:szCs w:val="21"/>
              </w:rPr>
            </w:pPr>
            <w:r w:rsidRPr="004B2EC3">
              <w:rPr>
                <w:rFonts w:ascii="Helvetica" w:eastAsia="宋体" w:hAnsi="Helvetica" w:cs="Helvetica"/>
                <w:b/>
                <w:bCs/>
                <w:color w:val="333333"/>
                <w:kern w:val="0"/>
                <w:szCs w:val="21"/>
              </w:rPr>
              <w:lastRenderedPageBreak/>
              <w:t>Risk</w:t>
            </w:r>
          </w:p>
        </w:tc>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b/>
                <w:bCs/>
                <w:color w:val="333333"/>
                <w:kern w:val="0"/>
                <w:szCs w:val="21"/>
              </w:rPr>
            </w:pPr>
            <w:r w:rsidRPr="004B2EC3">
              <w:rPr>
                <w:rFonts w:ascii="Helvetica" w:eastAsia="宋体" w:hAnsi="Helvetica" w:cs="Helvetica"/>
                <w:b/>
                <w:bCs/>
                <w:color w:val="333333"/>
                <w:kern w:val="0"/>
                <w:szCs w:val="21"/>
              </w:rPr>
              <w:t>Reference to Controls in This Document</w:t>
            </w:r>
          </w:p>
        </w:tc>
      </w:tr>
      <w:tr w:rsidR="004B2EC3" w:rsidRPr="004B2EC3" w:rsidTr="004B2EC3">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color w:val="333333"/>
                <w:kern w:val="0"/>
                <w:szCs w:val="21"/>
              </w:rPr>
            </w:pPr>
            <w:r w:rsidRPr="004B2EC3">
              <w:rPr>
                <w:rFonts w:ascii="Helvetica" w:eastAsia="宋体" w:hAnsi="Helvetica" w:cs="Helvetica"/>
                <w:color w:val="333333"/>
                <w:kern w:val="0"/>
                <w:szCs w:val="21"/>
              </w:rPr>
              <w:t>(1) Biocompatibility;</w:t>
            </w:r>
          </w:p>
        </w:tc>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color w:val="333333"/>
                <w:kern w:val="0"/>
                <w:szCs w:val="21"/>
              </w:rPr>
            </w:pPr>
            <w:r w:rsidRPr="004B2EC3">
              <w:rPr>
                <w:rFonts w:ascii="Helvetica" w:eastAsia="宋体" w:hAnsi="Helvetica" w:cs="Helvetica"/>
                <w:color w:val="333333"/>
                <w:kern w:val="0"/>
                <w:szCs w:val="21"/>
              </w:rPr>
              <w:t>4.</w:t>
            </w:r>
          </w:p>
        </w:tc>
      </w:tr>
      <w:tr w:rsidR="004B2EC3" w:rsidRPr="004B2EC3" w:rsidTr="004B2EC3">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color w:val="333333"/>
                <w:kern w:val="0"/>
                <w:szCs w:val="21"/>
              </w:rPr>
            </w:pPr>
            <w:r w:rsidRPr="004B2EC3">
              <w:rPr>
                <w:rFonts w:ascii="Helvetica" w:eastAsia="宋体" w:hAnsi="Helvetica" w:cs="Helvetica"/>
                <w:color w:val="333333"/>
                <w:kern w:val="0"/>
                <w:szCs w:val="21"/>
              </w:rPr>
              <w:t>(2) Electrical and mechanical safety;</w:t>
            </w:r>
          </w:p>
        </w:tc>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color w:val="333333"/>
                <w:kern w:val="0"/>
                <w:szCs w:val="21"/>
              </w:rPr>
            </w:pPr>
            <w:r w:rsidRPr="004B2EC3">
              <w:rPr>
                <w:rFonts w:ascii="Helvetica" w:eastAsia="宋体" w:hAnsi="Helvetica" w:cs="Helvetica"/>
                <w:color w:val="333333"/>
                <w:kern w:val="0"/>
                <w:szCs w:val="21"/>
              </w:rPr>
              <w:t>5.a., b.</w:t>
            </w:r>
          </w:p>
        </w:tc>
      </w:tr>
      <w:tr w:rsidR="004B2EC3" w:rsidRPr="004B2EC3" w:rsidTr="004B2EC3">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color w:val="333333"/>
                <w:kern w:val="0"/>
                <w:szCs w:val="21"/>
              </w:rPr>
            </w:pPr>
            <w:r w:rsidRPr="004B2EC3">
              <w:rPr>
                <w:rFonts w:ascii="Helvetica" w:eastAsia="宋体" w:hAnsi="Helvetica" w:cs="Helvetica"/>
                <w:color w:val="333333"/>
                <w:kern w:val="0"/>
                <w:szCs w:val="21"/>
              </w:rPr>
              <w:t>(3) RF radiated power and EMC, including interference with other medical devices and with this device (e.g., interference with image acquisition);</w:t>
            </w:r>
          </w:p>
        </w:tc>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color w:val="333333"/>
                <w:kern w:val="0"/>
                <w:szCs w:val="21"/>
              </w:rPr>
            </w:pPr>
            <w:r w:rsidRPr="004B2EC3">
              <w:rPr>
                <w:rFonts w:ascii="Helvetica" w:eastAsia="宋体" w:hAnsi="Helvetica" w:cs="Helvetica"/>
                <w:color w:val="333333"/>
                <w:kern w:val="0"/>
                <w:szCs w:val="21"/>
              </w:rPr>
              <w:t>2.g., 2.h., 3.f., 5.b.</w:t>
            </w:r>
          </w:p>
        </w:tc>
      </w:tr>
      <w:tr w:rsidR="004B2EC3" w:rsidRPr="004B2EC3" w:rsidTr="004B2EC3">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color w:val="333333"/>
                <w:kern w:val="0"/>
                <w:szCs w:val="21"/>
              </w:rPr>
            </w:pPr>
            <w:r w:rsidRPr="004B2EC3">
              <w:rPr>
                <w:rFonts w:ascii="Helvetica" w:eastAsia="宋体" w:hAnsi="Helvetica" w:cs="Helvetica"/>
                <w:color w:val="333333"/>
                <w:kern w:val="0"/>
                <w:szCs w:val="21"/>
              </w:rPr>
              <w:t>(4) Functional reliability,</w:t>
            </w:r>
          </w:p>
        </w:tc>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color w:val="333333"/>
                <w:kern w:val="0"/>
                <w:szCs w:val="21"/>
              </w:rPr>
            </w:pPr>
            <w:proofErr w:type="gramStart"/>
            <w:r w:rsidRPr="004B2EC3">
              <w:rPr>
                <w:rFonts w:ascii="Helvetica" w:eastAsia="宋体" w:hAnsi="Helvetica" w:cs="Helvetica"/>
                <w:color w:val="333333"/>
                <w:kern w:val="0"/>
                <w:szCs w:val="21"/>
              </w:rPr>
              <w:t>3.a.b.c.d.e</w:t>
            </w:r>
            <w:proofErr w:type="gramEnd"/>
            <w:r w:rsidRPr="004B2EC3">
              <w:rPr>
                <w:rFonts w:ascii="Helvetica" w:eastAsia="宋体" w:hAnsi="Helvetica" w:cs="Helvetica"/>
                <w:color w:val="333333"/>
                <w:kern w:val="0"/>
                <w:szCs w:val="21"/>
              </w:rPr>
              <w:t>., 5.a.b., 6.</w:t>
            </w:r>
          </w:p>
        </w:tc>
      </w:tr>
      <w:tr w:rsidR="004B2EC3" w:rsidRPr="004B2EC3" w:rsidTr="004B2EC3">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color w:val="333333"/>
                <w:kern w:val="0"/>
                <w:szCs w:val="21"/>
              </w:rPr>
            </w:pPr>
            <w:r w:rsidRPr="004B2EC3">
              <w:rPr>
                <w:rFonts w:ascii="Helvetica" w:eastAsia="宋体" w:hAnsi="Helvetica" w:cs="Helvetica"/>
                <w:color w:val="333333"/>
                <w:kern w:val="0"/>
                <w:szCs w:val="21"/>
              </w:rPr>
              <w:t>(5) Intestinal obstruction or injury; and</w:t>
            </w:r>
          </w:p>
        </w:tc>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color w:val="333333"/>
                <w:kern w:val="0"/>
                <w:szCs w:val="21"/>
              </w:rPr>
            </w:pPr>
            <w:r w:rsidRPr="004B2EC3">
              <w:rPr>
                <w:rFonts w:ascii="Helvetica" w:eastAsia="宋体" w:hAnsi="Helvetica" w:cs="Helvetica"/>
                <w:color w:val="333333"/>
                <w:kern w:val="0"/>
                <w:szCs w:val="21"/>
              </w:rPr>
              <w:t>1., 2.a.b.c.d.e.f., 3.h., 7.a.b.c.d.e.</w:t>
            </w:r>
          </w:p>
        </w:tc>
      </w:tr>
      <w:tr w:rsidR="004B2EC3" w:rsidRPr="004B2EC3" w:rsidTr="004B2EC3">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color w:val="333333"/>
                <w:kern w:val="0"/>
                <w:szCs w:val="21"/>
              </w:rPr>
            </w:pPr>
            <w:r w:rsidRPr="004B2EC3">
              <w:rPr>
                <w:rFonts w:ascii="Helvetica" w:eastAsia="宋体" w:hAnsi="Helvetica" w:cs="Helvetica"/>
                <w:color w:val="333333"/>
                <w:kern w:val="0"/>
                <w:szCs w:val="21"/>
              </w:rPr>
              <w:t>(6) Misinterpretation of the captured images.</w:t>
            </w:r>
          </w:p>
        </w:tc>
        <w:tc>
          <w:tcPr>
            <w:tcW w:w="0" w:type="auto"/>
            <w:shd w:val="clear" w:color="auto" w:fill="auto"/>
            <w:vAlign w:val="center"/>
            <w:hideMark/>
          </w:tcPr>
          <w:p w:rsidR="004B2EC3" w:rsidRPr="004B2EC3" w:rsidRDefault="004B2EC3" w:rsidP="004B2EC3">
            <w:pPr>
              <w:widowControl/>
              <w:spacing w:before="285" w:after="285"/>
              <w:jc w:val="left"/>
              <w:rPr>
                <w:rFonts w:ascii="Helvetica" w:eastAsia="宋体" w:hAnsi="Helvetica" w:cs="Helvetica"/>
                <w:color w:val="333333"/>
                <w:kern w:val="0"/>
                <w:szCs w:val="21"/>
              </w:rPr>
            </w:pPr>
            <w:r w:rsidRPr="004B2EC3">
              <w:rPr>
                <w:rFonts w:ascii="Helvetica" w:eastAsia="宋体" w:hAnsi="Helvetica" w:cs="Helvetica"/>
                <w:color w:val="333333"/>
                <w:kern w:val="0"/>
                <w:szCs w:val="21"/>
              </w:rPr>
              <w:t>3.g.i.j., 7.f.</w:t>
            </w:r>
          </w:p>
        </w:tc>
      </w:tr>
    </w:tbl>
    <w:p w:rsidR="004B2EC3" w:rsidRPr="004B2EC3" w:rsidRDefault="004B2EC3" w:rsidP="004B2EC3">
      <w:pPr>
        <w:widowControl/>
        <w:jc w:val="left"/>
        <w:rPr>
          <w:rFonts w:ascii="Helvetica" w:eastAsia="宋体" w:hAnsi="Helvetica" w:cs="Helvetica"/>
          <w:color w:val="333333"/>
          <w:kern w:val="0"/>
          <w:sz w:val="24"/>
          <w:szCs w:val="24"/>
          <w:lang w:val="en"/>
        </w:rPr>
      </w:pPr>
      <w:r w:rsidRPr="004B2EC3">
        <w:rPr>
          <w:rFonts w:ascii="Helvetica" w:eastAsia="宋体" w:hAnsi="Helvetica" w:cs="Helvetica"/>
          <w:color w:val="333333"/>
          <w:kern w:val="0"/>
          <w:sz w:val="24"/>
          <w:szCs w:val="24"/>
          <w:lang w:val="en"/>
        </w:rPr>
        <w:t> </w:t>
      </w:r>
    </w:p>
    <w:p w:rsidR="00D07A6B" w:rsidRDefault="004B2EC3">
      <w:r w:rsidRPr="004B2EC3">
        <w:t>https://www.fda.gov/MedicalDevices/DeviceRegulationandGuidance/GuidanceDocuments/ucm073393.htm</w:t>
      </w:r>
      <w:bookmarkStart w:id="0" w:name="_GoBack"/>
      <w:bookmarkEnd w:id="0"/>
    </w:p>
    <w:sectPr w:rsidR="00D07A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C12" w:rsidRDefault="004B6C12" w:rsidP="004B2EC3">
      <w:r>
        <w:separator/>
      </w:r>
    </w:p>
  </w:endnote>
  <w:endnote w:type="continuationSeparator" w:id="0">
    <w:p w:rsidR="004B6C12" w:rsidRDefault="004B6C12" w:rsidP="004B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C12" w:rsidRDefault="004B6C12" w:rsidP="004B2EC3">
      <w:r>
        <w:separator/>
      </w:r>
    </w:p>
  </w:footnote>
  <w:footnote w:type="continuationSeparator" w:id="0">
    <w:p w:rsidR="004B6C12" w:rsidRDefault="004B6C12" w:rsidP="004B2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24A"/>
    <w:multiLevelType w:val="multilevel"/>
    <w:tmpl w:val="976ED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962324"/>
    <w:multiLevelType w:val="multilevel"/>
    <w:tmpl w:val="BD224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077FBF"/>
    <w:multiLevelType w:val="multilevel"/>
    <w:tmpl w:val="4FE8D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91C0DC6"/>
    <w:multiLevelType w:val="multilevel"/>
    <w:tmpl w:val="1E368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BB9336D"/>
    <w:multiLevelType w:val="multilevel"/>
    <w:tmpl w:val="3446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1A3D34"/>
    <w:multiLevelType w:val="multilevel"/>
    <w:tmpl w:val="7660D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2E43DE"/>
    <w:multiLevelType w:val="multilevel"/>
    <w:tmpl w:val="9806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4169BC"/>
    <w:multiLevelType w:val="multilevel"/>
    <w:tmpl w:val="284433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CAC05D1"/>
    <w:multiLevelType w:val="multilevel"/>
    <w:tmpl w:val="B1E8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06371D"/>
    <w:multiLevelType w:val="multilevel"/>
    <w:tmpl w:val="13B4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7695B"/>
    <w:multiLevelType w:val="multilevel"/>
    <w:tmpl w:val="3A9A8E5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1AB2457"/>
    <w:multiLevelType w:val="multilevel"/>
    <w:tmpl w:val="C9A419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283523"/>
    <w:multiLevelType w:val="multilevel"/>
    <w:tmpl w:val="75D4BE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207261"/>
    <w:multiLevelType w:val="multilevel"/>
    <w:tmpl w:val="7C7058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3E616E"/>
    <w:multiLevelType w:val="multilevel"/>
    <w:tmpl w:val="E55A3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B06164"/>
    <w:multiLevelType w:val="multilevel"/>
    <w:tmpl w:val="EAB855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68137E83"/>
    <w:multiLevelType w:val="multilevel"/>
    <w:tmpl w:val="8160E6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6CB23EB2"/>
    <w:multiLevelType w:val="multilevel"/>
    <w:tmpl w:val="017EA5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7C0399"/>
    <w:multiLevelType w:val="multilevel"/>
    <w:tmpl w:val="6C92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E05501"/>
    <w:multiLevelType w:val="multilevel"/>
    <w:tmpl w:val="9A6209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4"/>
  </w:num>
  <w:num w:numId="3">
    <w:abstractNumId w:val="0"/>
  </w:num>
  <w:num w:numId="4">
    <w:abstractNumId w:val="19"/>
  </w:num>
  <w:num w:numId="5">
    <w:abstractNumId w:val="2"/>
  </w:num>
  <w:num w:numId="6">
    <w:abstractNumId w:val="5"/>
  </w:num>
  <w:num w:numId="7">
    <w:abstractNumId w:val="15"/>
  </w:num>
  <w:num w:numId="8">
    <w:abstractNumId w:val="7"/>
  </w:num>
  <w:num w:numId="9">
    <w:abstractNumId w:val="10"/>
  </w:num>
  <w:num w:numId="10">
    <w:abstractNumId w:val="13"/>
  </w:num>
  <w:num w:numId="11">
    <w:abstractNumId w:val="12"/>
  </w:num>
  <w:num w:numId="12">
    <w:abstractNumId w:val="1"/>
  </w:num>
  <w:num w:numId="13">
    <w:abstractNumId w:val="3"/>
  </w:num>
  <w:num w:numId="14">
    <w:abstractNumId w:val="11"/>
  </w:num>
  <w:num w:numId="15">
    <w:abstractNumId w:val="14"/>
  </w:num>
  <w:num w:numId="16">
    <w:abstractNumId w:val="16"/>
  </w:num>
  <w:num w:numId="17">
    <w:abstractNumId w:val="6"/>
  </w:num>
  <w:num w:numId="18">
    <w:abstractNumId w:val="18"/>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7D4"/>
    <w:rsid w:val="004507D4"/>
    <w:rsid w:val="004B2EC3"/>
    <w:rsid w:val="004B6C12"/>
    <w:rsid w:val="00D0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B2EC3"/>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4B2EC3"/>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4B2EC3"/>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4B2EC3"/>
    <w:pPr>
      <w:widowControl/>
      <w:spacing w:before="330" w:after="165"/>
      <w:jc w:val="left"/>
      <w:outlineLvl w:val="3"/>
    </w:pPr>
    <w:rPr>
      <w:rFonts w:ascii="Helvetica" w:eastAsia="宋体" w:hAnsi="Helvetica" w:cs="Helvetic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2E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2EC3"/>
    <w:rPr>
      <w:sz w:val="18"/>
      <w:szCs w:val="18"/>
    </w:rPr>
  </w:style>
  <w:style w:type="paragraph" w:styleId="a4">
    <w:name w:val="footer"/>
    <w:basedOn w:val="a"/>
    <w:link w:val="Char0"/>
    <w:uiPriority w:val="99"/>
    <w:unhideWhenUsed/>
    <w:rsid w:val="004B2EC3"/>
    <w:pPr>
      <w:tabs>
        <w:tab w:val="center" w:pos="4153"/>
        <w:tab w:val="right" w:pos="8306"/>
      </w:tabs>
      <w:snapToGrid w:val="0"/>
      <w:jc w:val="left"/>
    </w:pPr>
    <w:rPr>
      <w:sz w:val="18"/>
      <w:szCs w:val="18"/>
    </w:rPr>
  </w:style>
  <w:style w:type="character" w:customStyle="1" w:styleId="Char0">
    <w:name w:val="页脚 Char"/>
    <w:basedOn w:val="a0"/>
    <w:link w:val="a4"/>
    <w:uiPriority w:val="99"/>
    <w:rsid w:val="004B2EC3"/>
    <w:rPr>
      <w:sz w:val="18"/>
      <w:szCs w:val="18"/>
    </w:rPr>
  </w:style>
  <w:style w:type="character" w:customStyle="1" w:styleId="1Char">
    <w:name w:val="标题 1 Char"/>
    <w:basedOn w:val="a0"/>
    <w:link w:val="1"/>
    <w:uiPriority w:val="9"/>
    <w:rsid w:val="004B2EC3"/>
    <w:rPr>
      <w:rFonts w:ascii="Helvetica" w:eastAsia="宋体" w:hAnsi="Helvetica" w:cs="Helvetica"/>
      <w:b/>
      <w:bCs/>
      <w:kern w:val="36"/>
      <w:sz w:val="45"/>
      <w:szCs w:val="45"/>
    </w:rPr>
  </w:style>
  <w:style w:type="character" w:customStyle="1" w:styleId="2Char">
    <w:name w:val="标题 2 Char"/>
    <w:basedOn w:val="a0"/>
    <w:link w:val="2"/>
    <w:uiPriority w:val="9"/>
    <w:rsid w:val="004B2EC3"/>
    <w:rPr>
      <w:rFonts w:ascii="Helvetica" w:eastAsia="宋体" w:hAnsi="Helvetica" w:cs="Helvetica"/>
      <w:b/>
      <w:bCs/>
      <w:kern w:val="0"/>
      <w:sz w:val="38"/>
      <w:szCs w:val="38"/>
    </w:rPr>
  </w:style>
  <w:style w:type="character" w:customStyle="1" w:styleId="3Char">
    <w:name w:val="标题 3 Char"/>
    <w:basedOn w:val="a0"/>
    <w:link w:val="3"/>
    <w:uiPriority w:val="9"/>
    <w:rsid w:val="004B2EC3"/>
    <w:rPr>
      <w:rFonts w:ascii="Helvetica" w:eastAsia="宋体" w:hAnsi="Helvetica" w:cs="Helvetica"/>
      <w:b/>
      <w:bCs/>
      <w:kern w:val="0"/>
      <w:sz w:val="32"/>
      <w:szCs w:val="32"/>
    </w:rPr>
  </w:style>
  <w:style w:type="character" w:customStyle="1" w:styleId="4Char">
    <w:name w:val="标题 4 Char"/>
    <w:basedOn w:val="a0"/>
    <w:link w:val="4"/>
    <w:uiPriority w:val="9"/>
    <w:rsid w:val="004B2EC3"/>
    <w:rPr>
      <w:rFonts w:ascii="Helvetica" w:eastAsia="宋体" w:hAnsi="Helvetica" w:cs="Helvetica"/>
      <w:b/>
      <w:bCs/>
      <w:kern w:val="0"/>
      <w:sz w:val="27"/>
      <w:szCs w:val="27"/>
    </w:rPr>
  </w:style>
  <w:style w:type="character" w:styleId="a5">
    <w:name w:val="Hyperlink"/>
    <w:basedOn w:val="a0"/>
    <w:uiPriority w:val="99"/>
    <w:semiHidden/>
    <w:unhideWhenUsed/>
    <w:rsid w:val="004B2EC3"/>
    <w:rPr>
      <w:strike w:val="0"/>
      <w:dstrike w:val="0"/>
      <w:color w:val="005F9F"/>
      <w:u w:val="none"/>
      <w:effect w:val="none"/>
    </w:rPr>
  </w:style>
  <w:style w:type="character" w:styleId="a6">
    <w:name w:val="Strong"/>
    <w:basedOn w:val="a0"/>
    <w:uiPriority w:val="22"/>
    <w:qFormat/>
    <w:rsid w:val="004B2EC3"/>
    <w:rPr>
      <w:b/>
      <w:bCs/>
    </w:rPr>
  </w:style>
  <w:style w:type="paragraph" w:styleId="a7">
    <w:name w:val="Normal (Web)"/>
    <w:basedOn w:val="a"/>
    <w:uiPriority w:val="99"/>
    <w:semiHidden/>
    <w:unhideWhenUsed/>
    <w:rsid w:val="004B2EC3"/>
    <w:pPr>
      <w:widowControl/>
      <w:jc w:val="left"/>
    </w:pPr>
    <w:rPr>
      <w:rFonts w:ascii="宋体" w:eastAsia="宋体" w:hAnsi="宋体" w:cs="宋体"/>
      <w:kern w:val="0"/>
      <w:sz w:val="24"/>
      <w:szCs w:val="24"/>
    </w:rPr>
  </w:style>
  <w:style w:type="paragraph" w:customStyle="1" w:styleId="text-right">
    <w:name w:val="text-right"/>
    <w:basedOn w:val="a"/>
    <w:rsid w:val="004B2EC3"/>
    <w:pPr>
      <w:widowControl/>
      <w:jc w:val="right"/>
    </w:pPr>
    <w:rPr>
      <w:rFonts w:ascii="宋体" w:eastAsia="宋体" w:hAnsi="宋体" w:cs="宋体"/>
      <w:kern w:val="0"/>
      <w:sz w:val="24"/>
      <w:szCs w:val="24"/>
    </w:rPr>
  </w:style>
  <w:style w:type="character" w:customStyle="1" w:styleId="sr-only1">
    <w:name w:val="sr-only1"/>
    <w:basedOn w:val="a0"/>
    <w:rsid w:val="004B2EC3"/>
    <w:rPr>
      <w:color w:val="000000"/>
      <w:bdr w:val="none" w:sz="0" w:space="0" w:color="auto" w:frame="1"/>
    </w:rPr>
  </w:style>
  <w:style w:type="paragraph" w:styleId="a8">
    <w:name w:val="Balloon Text"/>
    <w:basedOn w:val="a"/>
    <w:link w:val="Char1"/>
    <w:uiPriority w:val="99"/>
    <w:semiHidden/>
    <w:unhideWhenUsed/>
    <w:rsid w:val="004B2EC3"/>
    <w:rPr>
      <w:sz w:val="18"/>
      <w:szCs w:val="18"/>
    </w:rPr>
  </w:style>
  <w:style w:type="character" w:customStyle="1" w:styleId="Char1">
    <w:name w:val="批注框文本 Char"/>
    <w:basedOn w:val="a0"/>
    <w:link w:val="a8"/>
    <w:uiPriority w:val="99"/>
    <w:semiHidden/>
    <w:rsid w:val="004B2E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B2EC3"/>
    <w:pPr>
      <w:widowControl/>
      <w:spacing w:before="330" w:after="165"/>
      <w:jc w:val="left"/>
      <w:outlineLvl w:val="0"/>
    </w:pPr>
    <w:rPr>
      <w:rFonts w:ascii="Helvetica" w:eastAsia="宋体" w:hAnsi="Helvetica" w:cs="Helvetica"/>
      <w:b/>
      <w:bCs/>
      <w:kern w:val="36"/>
      <w:sz w:val="45"/>
      <w:szCs w:val="45"/>
    </w:rPr>
  </w:style>
  <w:style w:type="paragraph" w:styleId="2">
    <w:name w:val="heading 2"/>
    <w:basedOn w:val="a"/>
    <w:link w:val="2Char"/>
    <w:uiPriority w:val="9"/>
    <w:qFormat/>
    <w:rsid w:val="004B2EC3"/>
    <w:pPr>
      <w:widowControl/>
      <w:spacing w:before="330" w:after="165"/>
      <w:jc w:val="left"/>
      <w:outlineLvl w:val="1"/>
    </w:pPr>
    <w:rPr>
      <w:rFonts w:ascii="Helvetica" w:eastAsia="宋体" w:hAnsi="Helvetica" w:cs="Helvetica"/>
      <w:b/>
      <w:bCs/>
      <w:kern w:val="0"/>
      <w:sz w:val="38"/>
      <w:szCs w:val="38"/>
    </w:rPr>
  </w:style>
  <w:style w:type="paragraph" w:styleId="3">
    <w:name w:val="heading 3"/>
    <w:basedOn w:val="a"/>
    <w:link w:val="3Char"/>
    <w:uiPriority w:val="9"/>
    <w:qFormat/>
    <w:rsid w:val="004B2EC3"/>
    <w:pPr>
      <w:widowControl/>
      <w:spacing w:before="330" w:after="165"/>
      <w:jc w:val="left"/>
      <w:outlineLvl w:val="2"/>
    </w:pPr>
    <w:rPr>
      <w:rFonts w:ascii="Helvetica" w:eastAsia="宋体" w:hAnsi="Helvetica" w:cs="Helvetica"/>
      <w:b/>
      <w:bCs/>
      <w:kern w:val="0"/>
      <w:sz w:val="32"/>
      <w:szCs w:val="32"/>
    </w:rPr>
  </w:style>
  <w:style w:type="paragraph" w:styleId="4">
    <w:name w:val="heading 4"/>
    <w:basedOn w:val="a"/>
    <w:link w:val="4Char"/>
    <w:uiPriority w:val="9"/>
    <w:qFormat/>
    <w:rsid w:val="004B2EC3"/>
    <w:pPr>
      <w:widowControl/>
      <w:spacing w:before="330" w:after="165"/>
      <w:jc w:val="left"/>
      <w:outlineLvl w:val="3"/>
    </w:pPr>
    <w:rPr>
      <w:rFonts w:ascii="Helvetica" w:eastAsia="宋体" w:hAnsi="Helvetica" w:cs="Helvetic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B2E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B2EC3"/>
    <w:rPr>
      <w:sz w:val="18"/>
      <w:szCs w:val="18"/>
    </w:rPr>
  </w:style>
  <w:style w:type="paragraph" w:styleId="a4">
    <w:name w:val="footer"/>
    <w:basedOn w:val="a"/>
    <w:link w:val="Char0"/>
    <w:uiPriority w:val="99"/>
    <w:unhideWhenUsed/>
    <w:rsid w:val="004B2EC3"/>
    <w:pPr>
      <w:tabs>
        <w:tab w:val="center" w:pos="4153"/>
        <w:tab w:val="right" w:pos="8306"/>
      </w:tabs>
      <w:snapToGrid w:val="0"/>
      <w:jc w:val="left"/>
    </w:pPr>
    <w:rPr>
      <w:sz w:val="18"/>
      <w:szCs w:val="18"/>
    </w:rPr>
  </w:style>
  <w:style w:type="character" w:customStyle="1" w:styleId="Char0">
    <w:name w:val="页脚 Char"/>
    <w:basedOn w:val="a0"/>
    <w:link w:val="a4"/>
    <w:uiPriority w:val="99"/>
    <w:rsid w:val="004B2EC3"/>
    <w:rPr>
      <w:sz w:val="18"/>
      <w:szCs w:val="18"/>
    </w:rPr>
  </w:style>
  <w:style w:type="character" w:customStyle="1" w:styleId="1Char">
    <w:name w:val="标题 1 Char"/>
    <w:basedOn w:val="a0"/>
    <w:link w:val="1"/>
    <w:uiPriority w:val="9"/>
    <w:rsid w:val="004B2EC3"/>
    <w:rPr>
      <w:rFonts w:ascii="Helvetica" w:eastAsia="宋体" w:hAnsi="Helvetica" w:cs="Helvetica"/>
      <w:b/>
      <w:bCs/>
      <w:kern w:val="36"/>
      <w:sz w:val="45"/>
      <w:szCs w:val="45"/>
    </w:rPr>
  </w:style>
  <w:style w:type="character" w:customStyle="1" w:styleId="2Char">
    <w:name w:val="标题 2 Char"/>
    <w:basedOn w:val="a0"/>
    <w:link w:val="2"/>
    <w:uiPriority w:val="9"/>
    <w:rsid w:val="004B2EC3"/>
    <w:rPr>
      <w:rFonts w:ascii="Helvetica" w:eastAsia="宋体" w:hAnsi="Helvetica" w:cs="Helvetica"/>
      <w:b/>
      <w:bCs/>
      <w:kern w:val="0"/>
      <w:sz w:val="38"/>
      <w:szCs w:val="38"/>
    </w:rPr>
  </w:style>
  <w:style w:type="character" w:customStyle="1" w:styleId="3Char">
    <w:name w:val="标题 3 Char"/>
    <w:basedOn w:val="a0"/>
    <w:link w:val="3"/>
    <w:uiPriority w:val="9"/>
    <w:rsid w:val="004B2EC3"/>
    <w:rPr>
      <w:rFonts w:ascii="Helvetica" w:eastAsia="宋体" w:hAnsi="Helvetica" w:cs="Helvetica"/>
      <w:b/>
      <w:bCs/>
      <w:kern w:val="0"/>
      <w:sz w:val="32"/>
      <w:szCs w:val="32"/>
    </w:rPr>
  </w:style>
  <w:style w:type="character" w:customStyle="1" w:styleId="4Char">
    <w:name w:val="标题 4 Char"/>
    <w:basedOn w:val="a0"/>
    <w:link w:val="4"/>
    <w:uiPriority w:val="9"/>
    <w:rsid w:val="004B2EC3"/>
    <w:rPr>
      <w:rFonts w:ascii="Helvetica" w:eastAsia="宋体" w:hAnsi="Helvetica" w:cs="Helvetica"/>
      <w:b/>
      <w:bCs/>
      <w:kern w:val="0"/>
      <w:sz w:val="27"/>
      <w:szCs w:val="27"/>
    </w:rPr>
  </w:style>
  <w:style w:type="character" w:styleId="a5">
    <w:name w:val="Hyperlink"/>
    <w:basedOn w:val="a0"/>
    <w:uiPriority w:val="99"/>
    <w:semiHidden/>
    <w:unhideWhenUsed/>
    <w:rsid w:val="004B2EC3"/>
    <w:rPr>
      <w:strike w:val="0"/>
      <w:dstrike w:val="0"/>
      <w:color w:val="005F9F"/>
      <w:u w:val="none"/>
      <w:effect w:val="none"/>
    </w:rPr>
  </w:style>
  <w:style w:type="character" w:styleId="a6">
    <w:name w:val="Strong"/>
    <w:basedOn w:val="a0"/>
    <w:uiPriority w:val="22"/>
    <w:qFormat/>
    <w:rsid w:val="004B2EC3"/>
    <w:rPr>
      <w:b/>
      <w:bCs/>
    </w:rPr>
  </w:style>
  <w:style w:type="paragraph" w:styleId="a7">
    <w:name w:val="Normal (Web)"/>
    <w:basedOn w:val="a"/>
    <w:uiPriority w:val="99"/>
    <w:semiHidden/>
    <w:unhideWhenUsed/>
    <w:rsid w:val="004B2EC3"/>
    <w:pPr>
      <w:widowControl/>
      <w:jc w:val="left"/>
    </w:pPr>
    <w:rPr>
      <w:rFonts w:ascii="宋体" w:eastAsia="宋体" w:hAnsi="宋体" w:cs="宋体"/>
      <w:kern w:val="0"/>
      <w:sz w:val="24"/>
      <w:szCs w:val="24"/>
    </w:rPr>
  </w:style>
  <w:style w:type="paragraph" w:customStyle="1" w:styleId="text-right">
    <w:name w:val="text-right"/>
    <w:basedOn w:val="a"/>
    <w:rsid w:val="004B2EC3"/>
    <w:pPr>
      <w:widowControl/>
      <w:jc w:val="right"/>
    </w:pPr>
    <w:rPr>
      <w:rFonts w:ascii="宋体" w:eastAsia="宋体" w:hAnsi="宋体" w:cs="宋体"/>
      <w:kern w:val="0"/>
      <w:sz w:val="24"/>
      <w:szCs w:val="24"/>
    </w:rPr>
  </w:style>
  <w:style w:type="character" w:customStyle="1" w:styleId="sr-only1">
    <w:name w:val="sr-only1"/>
    <w:basedOn w:val="a0"/>
    <w:rsid w:val="004B2EC3"/>
    <w:rPr>
      <w:color w:val="000000"/>
      <w:bdr w:val="none" w:sz="0" w:space="0" w:color="auto" w:frame="1"/>
    </w:rPr>
  </w:style>
  <w:style w:type="paragraph" w:styleId="a8">
    <w:name w:val="Balloon Text"/>
    <w:basedOn w:val="a"/>
    <w:link w:val="Char1"/>
    <w:uiPriority w:val="99"/>
    <w:semiHidden/>
    <w:unhideWhenUsed/>
    <w:rsid w:val="004B2EC3"/>
    <w:rPr>
      <w:sz w:val="18"/>
      <w:szCs w:val="18"/>
    </w:rPr>
  </w:style>
  <w:style w:type="character" w:customStyle="1" w:styleId="Char1">
    <w:name w:val="批注框文本 Char"/>
    <w:basedOn w:val="a0"/>
    <w:link w:val="a8"/>
    <w:uiPriority w:val="99"/>
    <w:semiHidden/>
    <w:rsid w:val="004B2E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480948">
      <w:bodyDiv w:val="1"/>
      <w:marLeft w:val="0"/>
      <w:marRight w:val="0"/>
      <w:marTop w:val="0"/>
      <w:marBottom w:val="0"/>
      <w:divBdr>
        <w:top w:val="none" w:sz="0" w:space="0" w:color="auto"/>
        <w:left w:val="none" w:sz="0" w:space="0" w:color="auto"/>
        <w:bottom w:val="none" w:sz="0" w:space="0" w:color="auto"/>
        <w:right w:val="none" w:sz="0" w:space="0" w:color="auto"/>
      </w:divBdr>
      <w:divsChild>
        <w:div w:id="278612199">
          <w:marLeft w:val="0"/>
          <w:marRight w:val="0"/>
          <w:marTop w:val="0"/>
          <w:marBottom w:val="0"/>
          <w:divBdr>
            <w:top w:val="none" w:sz="0" w:space="0" w:color="auto"/>
            <w:left w:val="none" w:sz="0" w:space="0" w:color="auto"/>
            <w:bottom w:val="none" w:sz="0" w:space="0" w:color="auto"/>
            <w:right w:val="none" w:sz="0" w:space="0" w:color="auto"/>
          </w:divBdr>
          <w:divsChild>
            <w:div w:id="1292395247">
              <w:marLeft w:val="0"/>
              <w:marRight w:val="0"/>
              <w:marTop w:val="0"/>
              <w:marBottom w:val="0"/>
              <w:divBdr>
                <w:top w:val="none" w:sz="0" w:space="0" w:color="auto"/>
                <w:left w:val="none" w:sz="0" w:space="0" w:color="auto"/>
                <w:bottom w:val="none" w:sz="0" w:space="0" w:color="auto"/>
                <w:right w:val="none" w:sz="0" w:space="0" w:color="auto"/>
              </w:divBdr>
              <w:divsChild>
                <w:div w:id="136071055">
                  <w:marLeft w:val="0"/>
                  <w:marRight w:val="0"/>
                  <w:marTop w:val="0"/>
                  <w:marBottom w:val="0"/>
                  <w:divBdr>
                    <w:top w:val="none" w:sz="0" w:space="0" w:color="auto"/>
                    <w:left w:val="none" w:sz="0" w:space="0" w:color="auto"/>
                    <w:bottom w:val="none" w:sz="0" w:space="0" w:color="auto"/>
                    <w:right w:val="none" w:sz="0" w:space="0" w:color="auto"/>
                  </w:divBdr>
                  <w:divsChild>
                    <w:div w:id="1749812515">
                      <w:marLeft w:val="0"/>
                      <w:marRight w:val="0"/>
                      <w:marTop w:val="0"/>
                      <w:marBottom w:val="0"/>
                      <w:divBdr>
                        <w:top w:val="none" w:sz="0" w:space="0" w:color="auto"/>
                        <w:left w:val="none" w:sz="0" w:space="0" w:color="auto"/>
                        <w:bottom w:val="none" w:sz="0" w:space="0" w:color="auto"/>
                        <w:right w:val="none" w:sz="0" w:space="0" w:color="auto"/>
                      </w:divBdr>
                      <w:divsChild>
                        <w:div w:id="478619153">
                          <w:marLeft w:val="0"/>
                          <w:marRight w:val="0"/>
                          <w:marTop w:val="0"/>
                          <w:marBottom w:val="0"/>
                          <w:divBdr>
                            <w:top w:val="none" w:sz="0" w:space="0" w:color="auto"/>
                            <w:left w:val="none" w:sz="0" w:space="0" w:color="auto"/>
                            <w:bottom w:val="none" w:sz="0" w:space="0" w:color="auto"/>
                            <w:right w:val="none" w:sz="0" w:space="0" w:color="auto"/>
                          </w:divBdr>
                          <w:divsChild>
                            <w:div w:id="1448699201">
                              <w:marLeft w:val="0"/>
                              <w:marRight w:val="0"/>
                              <w:marTop w:val="0"/>
                              <w:marBottom w:val="0"/>
                              <w:divBdr>
                                <w:top w:val="none" w:sz="0" w:space="0" w:color="auto"/>
                                <w:left w:val="none" w:sz="0" w:space="0" w:color="auto"/>
                                <w:bottom w:val="none" w:sz="0" w:space="0" w:color="auto"/>
                                <w:right w:val="none" w:sz="0" w:space="0" w:color="auto"/>
                              </w:divBdr>
                              <w:divsChild>
                                <w:div w:id="1814714370">
                                  <w:marLeft w:val="-225"/>
                                  <w:marRight w:val="-225"/>
                                  <w:marTop w:val="0"/>
                                  <w:marBottom w:val="0"/>
                                  <w:divBdr>
                                    <w:top w:val="none" w:sz="0" w:space="0" w:color="auto"/>
                                    <w:left w:val="none" w:sz="0" w:space="0" w:color="auto"/>
                                    <w:bottom w:val="none" w:sz="0" w:space="0" w:color="auto"/>
                                    <w:right w:val="none" w:sz="0" w:space="0" w:color="auto"/>
                                  </w:divBdr>
                                  <w:divsChild>
                                    <w:div w:id="135224886">
                                      <w:marLeft w:val="0"/>
                                      <w:marRight w:val="0"/>
                                      <w:marTop w:val="0"/>
                                      <w:marBottom w:val="0"/>
                                      <w:divBdr>
                                        <w:top w:val="none" w:sz="0" w:space="0" w:color="auto"/>
                                        <w:left w:val="none" w:sz="0" w:space="0" w:color="auto"/>
                                        <w:bottom w:val="none" w:sz="0" w:space="0" w:color="auto"/>
                                        <w:right w:val="none" w:sz="0" w:space="0" w:color="auto"/>
                                      </w:divBdr>
                                      <w:divsChild>
                                        <w:div w:id="991104959">
                                          <w:marLeft w:val="0"/>
                                          <w:marRight w:val="0"/>
                                          <w:marTop w:val="0"/>
                                          <w:marBottom w:val="0"/>
                                          <w:divBdr>
                                            <w:top w:val="none" w:sz="0" w:space="0" w:color="auto"/>
                                            <w:left w:val="none" w:sz="0" w:space="0" w:color="auto"/>
                                            <w:bottom w:val="none" w:sz="0" w:space="0" w:color="auto"/>
                                            <w:right w:val="none" w:sz="0" w:space="0" w:color="auto"/>
                                          </w:divBdr>
                                          <w:divsChild>
                                            <w:div w:id="1239054092">
                                              <w:marLeft w:val="-225"/>
                                              <w:marRight w:val="-225"/>
                                              <w:marTop w:val="0"/>
                                              <w:marBottom w:val="0"/>
                                              <w:divBdr>
                                                <w:top w:val="none" w:sz="0" w:space="0" w:color="auto"/>
                                                <w:left w:val="none" w:sz="0" w:space="0" w:color="auto"/>
                                                <w:bottom w:val="none" w:sz="0" w:space="0" w:color="auto"/>
                                                <w:right w:val="none" w:sz="0" w:space="0" w:color="auto"/>
                                              </w:divBdr>
                                              <w:divsChild>
                                                <w:div w:id="11341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1739">
                                          <w:marLeft w:val="480"/>
                                          <w:marRight w:val="0"/>
                                          <w:marTop w:val="0"/>
                                          <w:marBottom w:val="0"/>
                                          <w:divBdr>
                                            <w:top w:val="none" w:sz="0" w:space="0" w:color="auto"/>
                                            <w:left w:val="none" w:sz="0" w:space="0" w:color="auto"/>
                                            <w:bottom w:val="none" w:sz="0" w:space="0" w:color="auto"/>
                                            <w:right w:val="none" w:sz="0" w:space="0" w:color="auto"/>
                                          </w:divBdr>
                                        </w:div>
                                        <w:div w:id="1050111759">
                                          <w:marLeft w:val="480"/>
                                          <w:marRight w:val="0"/>
                                          <w:marTop w:val="0"/>
                                          <w:marBottom w:val="0"/>
                                          <w:divBdr>
                                            <w:top w:val="none" w:sz="0" w:space="0" w:color="auto"/>
                                            <w:left w:val="none" w:sz="0" w:space="0" w:color="auto"/>
                                            <w:bottom w:val="none" w:sz="0" w:space="0" w:color="auto"/>
                                            <w:right w:val="none" w:sz="0" w:space="0" w:color="auto"/>
                                          </w:divBdr>
                                        </w:div>
                                        <w:div w:id="1889952623">
                                          <w:marLeft w:val="480"/>
                                          <w:marRight w:val="0"/>
                                          <w:marTop w:val="0"/>
                                          <w:marBottom w:val="0"/>
                                          <w:divBdr>
                                            <w:top w:val="none" w:sz="0" w:space="0" w:color="auto"/>
                                            <w:left w:val="none" w:sz="0" w:space="0" w:color="auto"/>
                                            <w:bottom w:val="none" w:sz="0" w:space="0" w:color="auto"/>
                                            <w:right w:val="none" w:sz="0" w:space="0" w:color="auto"/>
                                          </w:divBdr>
                                        </w:div>
                                        <w:div w:id="1515683623">
                                          <w:marLeft w:val="480"/>
                                          <w:marRight w:val="0"/>
                                          <w:marTop w:val="0"/>
                                          <w:marBottom w:val="0"/>
                                          <w:divBdr>
                                            <w:top w:val="none" w:sz="0" w:space="0" w:color="auto"/>
                                            <w:left w:val="none" w:sz="0" w:space="0" w:color="auto"/>
                                            <w:bottom w:val="none" w:sz="0" w:space="0" w:color="auto"/>
                                            <w:right w:val="none" w:sz="0" w:space="0" w:color="auto"/>
                                          </w:divBdr>
                                        </w:div>
                                        <w:div w:id="153276752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73393.htm" TargetMode="External"/><Relationship Id="rId13" Type="http://schemas.openxmlformats.org/officeDocument/2006/relationships/hyperlink" Target="https://www.linkedin.com/shareArticle?mini=true&amp;url=https%3a%2f%2fwww.fda.gov%3a80%2fFDAgov%2fMedicalDevices%2fDeviceRegulationandGuidance%2fGuidanceDocuments%2fucm073393.htm&amp;title=Class%20II%20Special%20Controls%20Guidance%20Document%3a%20Ingestible%20Telemetric%20Gastrointestinal%20Capsule%20Imaging%20System%3b%20Final%20Guidance%20for%20Industry%20and%20FDA&amp;summary=1385&amp;source=FDA" TargetMode="External"/><Relationship Id="rId18" Type="http://schemas.openxmlformats.org/officeDocument/2006/relationships/hyperlink" Target="mailto:jeffrey.cooper@fda.hhs.gov" TargetMode="External"/><Relationship Id="rId3" Type="http://schemas.microsoft.com/office/2007/relationships/stylesWithEffects" Target="stylesWithEffects.xml"/><Relationship Id="rId21" Type="http://schemas.openxmlformats.org/officeDocument/2006/relationships/hyperlink" Target="https://www.fda.gov/MedicalDevices/DeviceRegulationandGuidance/GuidanceDocuments/ucm070782.htm" TargetMode="Externa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73393.htm" TargetMode="External"/><Relationship Id="rId17" Type="http://schemas.openxmlformats.org/officeDocument/2006/relationships/image" Target="media/image1.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window.print();" TargetMode="External"/><Relationship Id="rId20" Type="http://schemas.openxmlformats.org/officeDocument/2006/relationships/hyperlink" Target="https://www.fda.gov/MedicalDevices/DeviceRegulationandGuidance/Overview/MedicalDeviceProvisionsofFDAModernizationAct/ucm136685.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73393.htm&amp;description=Class%20II%20Special%20Controls%20Guidance%20Document%3a%20Ingestible%20Telemetric%20Gastrointestinal%20Capsule%20Imaging%20System%3b%20Final%20Guidance%20for%20Industry%20and%20FD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ubject=Class%20II%20Special%20Controls%20Guidance%20Document%3a%20Ingestible%20Telemetric%20Gastrointestinal%20Capsule%20Imaging%20System%3b%20Final%20Guidance%20for%20Industry%20and%20FDA&amp;body=https%3a%2f%2fwww.fda.gov%3a80%2fFDAgov%2fMedicalDevices%2fDeviceRegulationandGuidance%2fGuidanceDocuments%2fucm073393.htm" TargetMode="External"/><Relationship Id="rId23" Type="http://schemas.openxmlformats.org/officeDocument/2006/relationships/hyperlink" Target="https://www.fda.gov/MedicalDevices/DeviceRegulationandGuidance/GuidanceDocuments/ucm089543.htm" TargetMode="External"/><Relationship Id="rId10" Type="http://schemas.openxmlformats.org/officeDocument/2006/relationships/hyperlink" Target="https://www.linkedin.com/shareArticle?mini=true&amp;url=https%3a%2f%2fwww.fda.gov%3a80%2fFDAgov%2fMedicalDevices%2fDeviceRegulationandGuidance%2fGuidanceDocuments%2fucm073393.htm&amp;title=Class%20II%20Special%20Controls%20Guidance%20Document%3a%20Ingestible%20Telemetric%20Gastrointestinal%20Capsule%20Imaging%20System%3b%20Final%20Guidance%20for%20Industry%20and%20FDA&amp;summary=1385&amp;source=FDA" TargetMode="External"/><Relationship Id="rId19" Type="http://schemas.openxmlformats.org/officeDocument/2006/relationships/hyperlink" Target="mailto:CDRH-Guidance@fda.hhs.gov" TargetMode="External"/><Relationship Id="rId4" Type="http://schemas.openxmlformats.org/officeDocument/2006/relationships/settings" Target="settings.xml"/><Relationship Id="rId9" Type="http://schemas.openxmlformats.org/officeDocument/2006/relationships/hyperlink" Target="https://twitter.com/intent/tweet/?text=Class%20II%20Special%20Controls%20Guidance%20Document%3a%20Ingestible%20Telemetric%20Gastrointestinal%20Capsule%20Imaging%20System%3b%20Final%20Guidance%20for%20Industry%20and%20FDA&amp;url=https%3a%2f%2fwww.fda.gov%3a80%2fFDAgov%2fMedicalDevices%2fDeviceRegulationandGuidance%2fGuidanceDocuments%2fucm073393.htm" TargetMode="External"/><Relationship Id="rId14" Type="http://schemas.openxmlformats.org/officeDocument/2006/relationships/hyperlink" Target="https://www.pinterest.com/pin/create/button/?url=https%3a%2f%2fwww.fda.gov%3a80%2fFDAgov%2fMedicalDevices%2fDeviceRegulationandGuidance%2fGuidanceDocuments%2fucm073393.htm&amp;description=Class%20II%20Special%20Controls%20Guidance%20Document%3a%20Ingestible%20Telemetric%20Gastrointestinal%20Capsule%20Imaging%20System%3b%20Final%20Guidance%20for%20Industry%20and%20FDA" TargetMode="External"/><Relationship Id="rId22" Type="http://schemas.openxmlformats.org/officeDocument/2006/relationships/hyperlink" Target="https://www.fda.gov/MedicalDevices/DeviceRegulationandGuidance/GuidanceDocuments/ssLINK/ucm08073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2390</Words>
  <Characters>13628</Characters>
  <Application>Microsoft Office Word</Application>
  <DocSecurity>0</DocSecurity>
  <Lines>113</Lines>
  <Paragraphs>31</Paragraphs>
  <ScaleCrop>false</ScaleCrop>
  <Company/>
  <LinksUpToDate>false</LinksUpToDate>
  <CharactersWithSpaces>15987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2017-02-22T09:55:00Z</dcterms:created>
  <dcterms:modified xsi:type="dcterms:W3CDTF">2017-02-22T09:55:00Z</dcterms:modified>
</cp:coreProperties>
</file>