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360AD" w14:textId="128919B6" w:rsidR="00DC536B" w:rsidRPr="00DC536B" w:rsidRDefault="004F06FE" w:rsidP="00DC536B">
      <w:pPr>
        <w:pBdr>
          <w:bottom w:val="single" w:sz="4" w:space="1" w:color="auto"/>
        </w:pBdr>
        <w:adjustRightInd w:val="0"/>
        <w:snapToGrid w:val="0"/>
        <w:spacing w:beforeLines="50" w:before="120" w:line="300" w:lineRule="auto"/>
        <w:jc w:val="center"/>
        <w:rPr>
          <w:b/>
          <w:sz w:val="52"/>
          <w:szCs w:val="21"/>
          <w:lang w:eastAsia="zh-CN"/>
        </w:rPr>
      </w:pPr>
      <w:r w:rsidRPr="003277D0">
        <w:rPr>
          <w:rFonts w:eastAsia="宋体" w:cs="宋体"/>
          <w:b/>
          <w:sz w:val="52"/>
          <w:lang w:eastAsia="zh-CN"/>
        </w:rPr>
        <w:t>含镍钛合金医疗器械非临床评估的技术</w:t>
      </w:r>
      <w:r w:rsidR="009C40FF">
        <w:rPr>
          <w:rFonts w:eastAsia="宋体" w:cs="宋体" w:hint="eastAsia"/>
          <w:b/>
          <w:sz w:val="52"/>
          <w:lang w:eastAsia="zh-CN"/>
        </w:rPr>
        <w:t>考虑</w:t>
      </w:r>
    </w:p>
    <w:p w14:paraId="7EF09EF7" w14:textId="26B33682" w:rsidR="00D020CF" w:rsidRPr="00DC536B" w:rsidRDefault="004F06FE" w:rsidP="00303236">
      <w:pPr>
        <w:adjustRightInd w:val="0"/>
        <w:snapToGrid w:val="0"/>
        <w:spacing w:beforeLines="50" w:before="120" w:line="300" w:lineRule="auto"/>
        <w:ind w:rightChars="128" w:right="282"/>
        <w:jc w:val="center"/>
        <w:rPr>
          <w:b/>
          <w:sz w:val="52"/>
          <w:szCs w:val="21"/>
          <w:lang w:eastAsia="zh-CN"/>
        </w:rPr>
      </w:pPr>
      <w:r w:rsidRPr="003277D0">
        <w:rPr>
          <w:rFonts w:eastAsia="宋体" w:cs="宋体"/>
          <w:b/>
          <w:sz w:val="52"/>
          <w:lang w:eastAsia="zh-CN"/>
        </w:rPr>
        <w:t>行业</w:t>
      </w:r>
      <w:r w:rsidR="005542C8">
        <w:rPr>
          <w:rFonts w:eastAsia="宋体" w:cs="宋体" w:hint="eastAsia"/>
          <w:b/>
          <w:sz w:val="52"/>
          <w:lang w:eastAsia="zh-CN"/>
        </w:rPr>
        <w:t>及</w:t>
      </w:r>
      <w:r w:rsidR="005A061B">
        <w:rPr>
          <w:rFonts w:eastAsia="宋体" w:cs="宋体"/>
          <w:b/>
          <w:sz w:val="52"/>
          <w:lang w:eastAsia="zh-CN"/>
        </w:rPr>
        <w:t>美国食品药品监督管理局</w:t>
      </w:r>
      <w:r w:rsidRPr="003277D0">
        <w:rPr>
          <w:rFonts w:eastAsia="宋体" w:cs="宋体"/>
          <w:b/>
          <w:sz w:val="52"/>
          <w:lang w:eastAsia="zh-CN"/>
        </w:rPr>
        <w:t>工作人员指南</w:t>
      </w:r>
    </w:p>
    <w:p w14:paraId="700F6CED" w14:textId="28CEAD54" w:rsidR="002914F0" w:rsidRPr="00DC536B" w:rsidRDefault="004F06FE" w:rsidP="00DC536B">
      <w:pPr>
        <w:adjustRightInd w:val="0"/>
        <w:snapToGrid w:val="0"/>
        <w:spacing w:beforeLines="50" w:before="120" w:line="300" w:lineRule="auto"/>
        <w:jc w:val="center"/>
        <w:rPr>
          <w:b/>
          <w:sz w:val="24"/>
          <w:szCs w:val="24"/>
          <w:lang w:eastAsia="zh-CN"/>
        </w:rPr>
      </w:pPr>
      <w:r w:rsidRPr="003277D0">
        <w:rPr>
          <w:rFonts w:eastAsia="宋体" w:cs="宋体"/>
          <w:b/>
          <w:sz w:val="24"/>
          <w:lang w:eastAsia="zh-CN"/>
        </w:rPr>
        <w:t>文件发布日期：</w:t>
      </w:r>
      <w:r w:rsidRPr="003277D0">
        <w:rPr>
          <w:rFonts w:eastAsia="宋体" w:cs="宋体"/>
          <w:b/>
          <w:sz w:val="24"/>
          <w:lang w:eastAsia="zh-CN"/>
        </w:rPr>
        <w:t>2020</w:t>
      </w:r>
      <w:r w:rsidRPr="003277D0">
        <w:rPr>
          <w:rFonts w:eastAsia="宋体" w:cs="宋体"/>
          <w:b/>
          <w:sz w:val="24"/>
          <w:lang w:eastAsia="zh-CN"/>
        </w:rPr>
        <w:t>年</w:t>
      </w:r>
      <w:r w:rsidRPr="003277D0">
        <w:rPr>
          <w:rFonts w:eastAsia="宋体" w:cs="宋体"/>
          <w:b/>
          <w:sz w:val="24"/>
          <w:lang w:eastAsia="zh-CN"/>
        </w:rPr>
        <w:t>10</w:t>
      </w:r>
      <w:r w:rsidRPr="003277D0">
        <w:rPr>
          <w:rFonts w:eastAsia="宋体" w:cs="宋体"/>
          <w:b/>
          <w:sz w:val="24"/>
          <w:lang w:eastAsia="zh-CN"/>
        </w:rPr>
        <w:t>月</w:t>
      </w:r>
      <w:r w:rsidRPr="003277D0">
        <w:rPr>
          <w:rFonts w:eastAsia="宋体" w:cs="宋体"/>
          <w:b/>
          <w:sz w:val="24"/>
          <w:lang w:eastAsia="zh-CN"/>
        </w:rPr>
        <w:t>15</w:t>
      </w:r>
      <w:r w:rsidR="007975EF">
        <w:rPr>
          <w:rFonts w:eastAsia="宋体" w:cs="宋体"/>
          <w:b/>
          <w:sz w:val="24"/>
          <w:lang w:eastAsia="zh-CN"/>
        </w:rPr>
        <w:t>日</w:t>
      </w:r>
    </w:p>
    <w:p w14:paraId="1AD2C267" w14:textId="62FD96AF" w:rsidR="002914F0" w:rsidRDefault="009A7C34" w:rsidP="00DC536B">
      <w:pPr>
        <w:adjustRightInd w:val="0"/>
        <w:snapToGrid w:val="0"/>
        <w:spacing w:beforeLines="50" w:before="120" w:line="300" w:lineRule="auto"/>
        <w:jc w:val="center"/>
        <w:rPr>
          <w:rFonts w:eastAsiaTheme="minorEastAsia"/>
          <w:b/>
          <w:sz w:val="24"/>
          <w:szCs w:val="24"/>
          <w:lang w:eastAsia="zh-CN"/>
        </w:rPr>
      </w:pPr>
      <w:r>
        <w:rPr>
          <w:rFonts w:eastAsia="宋体" w:cs="宋体"/>
          <w:b/>
          <w:sz w:val="24"/>
          <w:lang w:eastAsia="zh-CN"/>
        </w:rPr>
        <w:t>本</w:t>
      </w:r>
      <w:r w:rsidR="004F06FE" w:rsidRPr="003277D0">
        <w:rPr>
          <w:rFonts w:eastAsia="宋体" w:cs="宋体"/>
          <w:b/>
          <w:sz w:val="24"/>
          <w:lang w:eastAsia="zh-CN"/>
        </w:rPr>
        <w:t>文件草案发布日期：</w:t>
      </w:r>
      <w:r w:rsidR="004F06FE" w:rsidRPr="003277D0">
        <w:rPr>
          <w:rFonts w:eastAsia="宋体" w:cs="宋体"/>
          <w:b/>
          <w:sz w:val="24"/>
          <w:lang w:eastAsia="zh-CN"/>
        </w:rPr>
        <w:t>2019</w:t>
      </w:r>
      <w:r w:rsidR="004F06FE" w:rsidRPr="003277D0">
        <w:rPr>
          <w:rFonts w:eastAsia="宋体" w:cs="宋体"/>
          <w:b/>
          <w:sz w:val="24"/>
          <w:lang w:eastAsia="zh-CN"/>
        </w:rPr>
        <w:t>年</w:t>
      </w:r>
      <w:r w:rsidR="004F06FE" w:rsidRPr="003277D0">
        <w:rPr>
          <w:rFonts w:eastAsia="宋体" w:cs="宋体"/>
          <w:b/>
          <w:sz w:val="24"/>
          <w:lang w:eastAsia="zh-CN"/>
        </w:rPr>
        <w:t>4</w:t>
      </w:r>
      <w:r w:rsidR="004F06FE" w:rsidRPr="003277D0">
        <w:rPr>
          <w:rFonts w:eastAsia="宋体" w:cs="宋体"/>
          <w:b/>
          <w:sz w:val="24"/>
          <w:lang w:eastAsia="zh-CN"/>
        </w:rPr>
        <w:t>月</w:t>
      </w:r>
      <w:r w:rsidR="004F06FE" w:rsidRPr="003277D0">
        <w:rPr>
          <w:rFonts w:eastAsia="宋体" w:cs="宋体"/>
          <w:b/>
          <w:sz w:val="24"/>
          <w:lang w:eastAsia="zh-CN"/>
        </w:rPr>
        <w:t>19</w:t>
      </w:r>
      <w:r w:rsidR="004F06FE" w:rsidRPr="003277D0">
        <w:rPr>
          <w:rFonts w:eastAsia="宋体" w:cs="宋体"/>
          <w:b/>
          <w:sz w:val="24"/>
          <w:lang w:eastAsia="zh-CN"/>
        </w:rPr>
        <w:t>日</w:t>
      </w:r>
    </w:p>
    <w:p w14:paraId="2278981A" w14:textId="77777777" w:rsidR="00DC536B" w:rsidRPr="00DC536B" w:rsidRDefault="00DC536B" w:rsidP="00DC536B">
      <w:pPr>
        <w:adjustRightInd w:val="0"/>
        <w:snapToGrid w:val="0"/>
        <w:spacing w:beforeLines="50" w:before="120" w:line="300" w:lineRule="auto"/>
        <w:jc w:val="center"/>
        <w:rPr>
          <w:rFonts w:eastAsiaTheme="minorEastAsia"/>
          <w:b/>
          <w:sz w:val="24"/>
          <w:szCs w:val="24"/>
          <w:lang w:eastAsia="zh-CN"/>
        </w:rPr>
      </w:pPr>
    </w:p>
    <w:p w14:paraId="076FD725" w14:textId="144E2A17" w:rsidR="002914F0" w:rsidRPr="005542C8" w:rsidRDefault="004F06FE" w:rsidP="002914F0">
      <w:pPr>
        <w:pStyle w:val="a3"/>
        <w:adjustRightInd w:val="0"/>
        <w:snapToGrid w:val="0"/>
        <w:spacing w:beforeLines="50" w:before="120" w:line="300" w:lineRule="auto"/>
        <w:jc w:val="both"/>
        <w:rPr>
          <w:rFonts w:eastAsiaTheme="minorEastAsia"/>
          <w:sz w:val="21"/>
          <w:szCs w:val="21"/>
          <w:lang w:val="it-IT" w:eastAsia="zh-CN"/>
        </w:rPr>
      </w:pPr>
      <w:r w:rsidRPr="003277D0">
        <w:rPr>
          <w:rFonts w:eastAsia="宋体" w:cs="宋体"/>
          <w:sz w:val="21"/>
          <w:lang w:eastAsia="zh-CN"/>
        </w:rPr>
        <w:t>如对本文件有任何疑问</w:t>
      </w:r>
      <w:r w:rsidRPr="005542C8">
        <w:rPr>
          <w:rFonts w:eastAsia="宋体" w:cs="宋体"/>
          <w:sz w:val="21"/>
          <w:lang w:val="it-IT" w:eastAsia="zh-CN"/>
        </w:rPr>
        <w:t>，</w:t>
      </w:r>
      <w:r w:rsidRPr="003277D0">
        <w:rPr>
          <w:rFonts w:eastAsia="宋体" w:cs="宋体"/>
          <w:sz w:val="21"/>
          <w:lang w:eastAsia="zh-CN"/>
        </w:rPr>
        <w:t>请致电</w:t>
      </w:r>
      <w:r w:rsidR="00772E17" w:rsidRPr="005542C8">
        <w:rPr>
          <w:rFonts w:eastAsia="宋体" w:cs="宋体" w:hint="eastAsia"/>
          <w:sz w:val="21"/>
          <w:lang w:val="it-IT" w:eastAsia="zh-CN"/>
        </w:rPr>
        <w:t>（</w:t>
      </w:r>
      <w:r w:rsidR="00772E17" w:rsidRPr="005542C8">
        <w:rPr>
          <w:rFonts w:eastAsia="宋体" w:cs="宋体" w:hint="eastAsia"/>
          <w:sz w:val="21"/>
          <w:lang w:val="it-IT" w:eastAsia="zh-CN"/>
        </w:rPr>
        <w:t>3</w:t>
      </w:r>
      <w:r w:rsidR="00772E17" w:rsidRPr="005542C8">
        <w:rPr>
          <w:rFonts w:eastAsia="宋体" w:cs="宋体"/>
          <w:sz w:val="21"/>
          <w:lang w:val="it-IT" w:eastAsia="zh-CN"/>
        </w:rPr>
        <w:t>01</w:t>
      </w:r>
      <w:r w:rsidR="00772E17" w:rsidRPr="005542C8">
        <w:rPr>
          <w:rFonts w:eastAsia="宋体" w:cs="宋体" w:hint="eastAsia"/>
          <w:sz w:val="21"/>
          <w:lang w:val="it-IT" w:eastAsia="zh-CN"/>
        </w:rPr>
        <w:t>）</w:t>
      </w:r>
      <w:r w:rsidRPr="005542C8">
        <w:rPr>
          <w:rFonts w:eastAsia="宋体" w:cs="宋体"/>
          <w:sz w:val="21"/>
          <w:lang w:val="it-IT" w:eastAsia="zh-CN"/>
        </w:rPr>
        <w:t>796-2501</w:t>
      </w:r>
      <w:r w:rsidRPr="003277D0">
        <w:rPr>
          <w:rFonts w:eastAsia="宋体" w:cs="宋体"/>
          <w:sz w:val="21"/>
          <w:lang w:eastAsia="zh-CN"/>
        </w:rPr>
        <w:t>联系应用力学分部或致电</w:t>
      </w:r>
      <w:r w:rsidR="00772E17" w:rsidRPr="005542C8">
        <w:rPr>
          <w:rFonts w:eastAsia="宋体" w:cs="宋体" w:hint="eastAsia"/>
          <w:sz w:val="21"/>
          <w:lang w:val="it-IT" w:eastAsia="zh-CN"/>
        </w:rPr>
        <w:t>（</w:t>
      </w:r>
      <w:r w:rsidR="00772E17" w:rsidRPr="005542C8">
        <w:rPr>
          <w:rFonts w:eastAsia="宋体" w:cs="宋体" w:hint="eastAsia"/>
          <w:sz w:val="21"/>
          <w:lang w:val="it-IT" w:eastAsia="zh-CN"/>
        </w:rPr>
        <w:t>3</w:t>
      </w:r>
      <w:r w:rsidR="00772E17" w:rsidRPr="005542C8">
        <w:rPr>
          <w:rFonts w:eastAsia="宋体" w:cs="宋体"/>
          <w:sz w:val="21"/>
          <w:lang w:val="it-IT" w:eastAsia="zh-CN"/>
        </w:rPr>
        <w:t>01</w:t>
      </w:r>
      <w:r w:rsidR="00772E17" w:rsidRPr="005542C8">
        <w:rPr>
          <w:rFonts w:eastAsia="宋体" w:cs="宋体" w:hint="eastAsia"/>
          <w:sz w:val="21"/>
          <w:lang w:val="it-IT" w:eastAsia="zh-CN"/>
        </w:rPr>
        <w:t>）</w:t>
      </w:r>
      <w:r w:rsidRPr="005542C8">
        <w:rPr>
          <w:rFonts w:eastAsia="宋体" w:cs="宋体"/>
          <w:sz w:val="21"/>
          <w:lang w:val="it-IT" w:eastAsia="zh-CN"/>
        </w:rPr>
        <w:t>796-2507</w:t>
      </w:r>
      <w:r w:rsidRPr="003277D0">
        <w:rPr>
          <w:rFonts w:eastAsia="宋体" w:cs="宋体"/>
          <w:sz w:val="21"/>
          <w:lang w:eastAsia="zh-CN"/>
        </w:rPr>
        <w:t>或发送电子邮件至</w:t>
      </w:r>
      <w:r w:rsidR="000963D0">
        <w:fldChar w:fldCharType="begin"/>
      </w:r>
      <w:r w:rsidR="000963D0" w:rsidRPr="00460B95">
        <w:rPr>
          <w:lang w:val="it-IT"/>
        </w:rPr>
        <w:instrText xml:space="preserve"> HYPERLINK "mailto:matthew.diprima@fda.hhs.gov" </w:instrText>
      </w:r>
      <w:r w:rsidR="000963D0">
        <w:fldChar w:fldCharType="separate"/>
      </w:r>
      <w:r w:rsidRPr="005542C8">
        <w:rPr>
          <w:rStyle w:val="a8"/>
          <w:rFonts w:eastAsia="宋体" w:cs="宋体"/>
          <w:sz w:val="21"/>
          <w:szCs w:val="21"/>
          <w:lang w:val="it-IT" w:eastAsia="zh-CN"/>
        </w:rPr>
        <w:t>matthew.diprima@fda.hhs.gov</w:t>
      </w:r>
      <w:r w:rsidR="000963D0">
        <w:rPr>
          <w:rStyle w:val="a8"/>
          <w:rFonts w:eastAsia="宋体" w:cs="宋体"/>
          <w:sz w:val="21"/>
          <w:szCs w:val="21"/>
          <w:lang w:val="it-IT" w:eastAsia="zh-CN"/>
        </w:rPr>
        <w:fldChar w:fldCharType="end"/>
      </w:r>
      <w:r w:rsidRPr="003277D0">
        <w:rPr>
          <w:rFonts w:eastAsia="宋体" w:cs="宋体"/>
          <w:sz w:val="21"/>
          <w:lang w:eastAsia="zh-CN"/>
        </w:rPr>
        <w:t>联系</w:t>
      </w:r>
      <w:r w:rsidRPr="005542C8">
        <w:rPr>
          <w:rFonts w:eastAsia="宋体" w:cs="宋体"/>
          <w:sz w:val="21"/>
          <w:lang w:val="it-IT" w:eastAsia="zh-CN"/>
        </w:rPr>
        <w:t>Matthew Di Prima, Ph.D</w:t>
      </w:r>
      <w:r w:rsidRPr="003277D0">
        <w:rPr>
          <w:rFonts w:eastAsia="宋体" w:cs="宋体"/>
          <w:sz w:val="21"/>
          <w:lang w:eastAsia="zh-CN"/>
        </w:rPr>
        <w:t>。</w:t>
      </w:r>
    </w:p>
    <w:p w14:paraId="689D54AC" w14:textId="77777777" w:rsidR="00DC536B" w:rsidRPr="005542C8" w:rsidRDefault="00DC536B" w:rsidP="00DC536B">
      <w:pPr>
        <w:pStyle w:val="a3"/>
        <w:adjustRightInd w:val="0"/>
        <w:snapToGrid w:val="0"/>
        <w:spacing w:beforeLines="2000" w:before="4800" w:line="300" w:lineRule="auto"/>
        <w:jc w:val="both"/>
        <w:rPr>
          <w:rFonts w:eastAsiaTheme="minorEastAsia"/>
          <w:sz w:val="21"/>
          <w:szCs w:val="21"/>
          <w:lang w:val="it-IT" w:eastAsia="zh-CN"/>
        </w:rPr>
      </w:pPr>
    </w:p>
    <w:tbl>
      <w:tblPr>
        <w:tblStyle w:val="TableNormal"/>
        <w:tblW w:w="5000" w:type="pct"/>
        <w:tblCellMar>
          <w:left w:w="113" w:type="dxa"/>
          <w:right w:w="113" w:type="dxa"/>
        </w:tblCellMar>
        <w:tblLook w:val="01E0" w:firstRow="1" w:lastRow="1" w:firstColumn="1" w:lastColumn="1" w:noHBand="0" w:noVBand="0"/>
      </w:tblPr>
      <w:tblGrid>
        <w:gridCol w:w="4648"/>
        <w:gridCol w:w="4649"/>
      </w:tblGrid>
      <w:tr w:rsidR="00DC536B" w:rsidRPr="0016490B" w14:paraId="301AE601" w14:textId="77777777" w:rsidTr="005B5FBF">
        <w:trPr>
          <w:trHeight w:val="293"/>
        </w:trPr>
        <w:tc>
          <w:tcPr>
            <w:tcW w:w="2500" w:type="pct"/>
          </w:tcPr>
          <w:p w14:paraId="76C62718" w14:textId="77777777" w:rsidR="00DC536B" w:rsidRPr="0016490B" w:rsidRDefault="00DC536B" w:rsidP="005B5FBF">
            <w:pPr>
              <w:pStyle w:val="TableParagraph"/>
              <w:adjustRightInd w:val="0"/>
              <w:snapToGrid w:val="0"/>
              <w:spacing w:beforeLines="15" w:before="36" w:line="276" w:lineRule="auto"/>
              <w:jc w:val="both"/>
              <w:rPr>
                <w:sz w:val="21"/>
                <w:szCs w:val="21"/>
              </w:rPr>
            </w:pPr>
            <w:r w:rsidRPr="003277D0">
              <w:rPr>
                <w:rFonts w:eastAsia="宋体" w:cs="宋体"/>
                <w:noProof/>
                <w:sz w:val="21"/>
                <w:lang w:eastAsia="zh-CN" w:bidi="ar-SA"/>
              </w:rPr>
              <w:drawing>
                <wp:inline distT="0" distB="0" distL="0" distR="0" wp14:anchorId="7E6D7E9E" wp14:editId="499F6B6F">
                  <wp:extent cx="2449195" cy="659130"/>
                  <wp:effectExtent l="0" t="0" r="8255" b="7620"/>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2AD6B10A" w14:textId="649668F4" w:rsidR="00DC536B" w:rsidRPr="004A4854" w:rsidRDefault="002C2FE9" w:rsidP="005B5FBF">
            <w:pPr>
              <w:pStyle w:val="a3"/>
              <w:adjustRightInd w:val="0"/>
              <w:snapToGrid w:val="0"/>
              <w:spacing w:beforeLines="15" w:before="36" w:line="276" w:lineRule="auto"/>
              <w:jc w:val="right"/>
              <w:rPr>
                <w:b/>
                <w:sz w:val="21"/>
                <w:szCs w:val="21"/>
                <w:lang w:eastAsia="zh-CN"/>
              </w:rPr>
            </w:pPr>
            <w:r w:rsidRPr="003277D0">
              <w:rPr>
                <w:rFonts w:eastAsia="宋体" w:cs="宋体"/>
                <w:b/>
                <w:sz w:val="21"/>
                <w:lang w:eastAsia="zh-CN"/>
              </w:rPr>
              <w:t>美国卫生与公共服务部</w:t>
            </w:r>
          </w:p>
          <w:p w14:paraId="0952A713" w14:textId="27B78A40" w:rsidR="00DC536B" w:rsidRPr="004A4854" w:rsidRDefault="005A061B" w:rsidP="005B5FBF">
            <w:pPr>
              <w:pStyle w:val="a3"/>
              <w:adjustRightInd w:val="0"/>
              <w:snapToGrid w:val="0"/>
              <w:spacing w:beforeLines="15" w:before="36" w:line="276" w:lineRule="auto"/>
              <w:jc w:val="right"/>
              <w:rPr>
                <w:b/>
                <w:sz w:val="21"/>
                <w:szCs w:val="21"/>
                <w:lang w:eastAsia="zh-CN"/>
              </w:rPr>
            </w:pPr>
            <w:r>
              <w:rPr>
                <w:rFonts w:eastAsia="宋体" w:cs="宋体"/>
                <w:b/>
                <w:sz w:val="21"/>
                <w:lang w:eastAsia="zh-CN"/>
              </w:rPr>
              <w:t>美国食品药品监督管理局</w:t>
            </w:r>
          </w:p>
          <w:p w14:paraId="42E04098" w14:textId="473F7B1D" w:rsidR="00DC536B" w:rsidRPr="004A4854" w:rsidRDefault="00837B9B" w:rsidP="005B5FBF">
            <w:pPr>
              <w:pStyle w:val="a3"/>
              <w:adjustRightInd w:val="0"/>
              <w:snapToGrid w:val="0"/>
              <w:spacing w:beforeLines="15" w:before="36" w:line="276" w:lineRule="auto"/>
              <w:jc w:val="right"/>
              <w:rPr>
                <w:b/>
                <w:sz w:val="21"/>
                <w:szCs w:val="21"/>
                <w:lang w:eastAsia="zh-CN"/>
              </w:rPr>
            </w:pPr>
            <w:r>
              <w:rPr>
                <w:rFonts w:eastAsia="宋体" w:cs="宋体" w:hint="eastAsia"/>
                <w:b/>
                <w:sz w:val="21"/>
                <w:lang w:eastAsia="zh-CN"/>
              </w:rPr>
              <w:t>医疗</w:t>
            </w:r>
            <w:r w:rsidR="007975EF">
              <w:rPr>
                <w:rFonts w:eastAsia="宋体" w:cs="宋体"/>
                <w:b/>
                <w:sz w:val="21"/>
                <w:lang w:eastAsia="zh-CN"/>
              </w:rPr>
              <w:t>器械和</w:t>
            </w:r>
            <w:r w:rsidR="005A061B">
              <w:rPr>
                <w:rFonts w:eastAsia="宋体" w:cs="宋体" w:hint="eastAsia"/>
                <w:b/>
                <w:sz w:val="21"/>
                <w:lang w:eastAsia="zh-CN"/>
              </w:rPr>
              <w:t>辐射</w:t>
            </w:r>
            <w:r w:rsidR="005A061B">
              <w:rPr>
                <w:rFonts w:eastAsia="宋体" w:cs="宋体"/>
                <w:b/>
                <w:sz w:val="21"/>
                <w:lang w:eastAsia="zh-CN"/>
              </w:rPr>
              <w:t>健康</w:t>
            </w:r>
            <w:r w:rsidR="007975EF">
              <w:rPr>
                <w:rFonts w:eastAsia="宋体" w:cs="宋体"/>
                <w:b/>
                <w:sz w:val="21"/>
                <w:lang w:eastAsia="zh-CN"/>
              </w:rPr>
              <w:t>中心</w:t>
            </w:r>
          </w:p>
        </w:tc>
      </w:tr>
    </w:tbl>
    <w:p w14:paraId="12F68597" w14:textId="77777777" w:rsidR="002914F0" w:rsidRDefault="002914F0" w:rsidP="002914F0">
      <w:pPr>
        <w:adjustRightInd w:val="0"/>
        <w:snapToGrid w:val="0"/>
        <w:spacing w:beforeLines="50" w:before="120" w:line="300" w:lineRule="auto"/>
        <w:jc w:val="both"/>
        <w:rPr>
          <w:sz w:val="21"/>
          <w:szCs w:val="21"/>
          <w:lang w:eastAsia="zh-CN"/>
        </w:rPr>
      </w:pPr>
      <w:r w:rsidRPr="003277D0">
        <w:rPr>
          <w:rFonts w:eastAsia="宋体" w:cs="宋体"/>
          <w:sz w:val="21"/>
          <w:lang w:eastAsia="zh-CN"/>
        </w:rPr>
        <w:br w:type="page"/>
      </w:r>
    </w:p>
    <w:p w14:paraId="166FA170" w14:textId="77777777" w:rsidR="00DC536B" w:rsidRPr="00DC536B" w:rsidRDefault="00DC536B" w:rsidP="00DC536B">
      <w:pPr>
        <w:adjustRightInd w:val="0"/>
        <w:snapToGrid w:val="0"/>
        <w:spacing w:beforeLines="50" w:before="120" w:line="300" w:lineRule="auto"/>
        <w:jc w:val="center"/>
        <w:rPr>
          <w:b/>
          <w:sz w:val="44"/>
          <w:szCs w:val="44"/>
        </w:rPr>
      </w:pPr>
      <w:proofErr w:type="spellStart"/>
      <w:r w:rsidRPr="003277D0">
        <w:rPr>
          <w:rFonts w:eastAsia="宋体" w:cs="宋体"/>
          <w:b/>
          <w:sz w:val="44"/>
        </w:rPr>
        <w:lastRenderedPageBreak/>
        <w:t>前言</w:t>
      </w:r>
      <w:proofErr w:type="spellEnd"/>
    </w:p>
    <w:p w14:paraId="53910646" w14:textId="77777777" w:rsidR="00D020CF" w:rsidRPr="00DC536B" w:rsidRDefault="004F06FE" w:rsidP="002914F0">
      <w:pPr>
        <w:adjustRightInd w:val="0"/>
        <w:snapToGrid w:val="0"/>
        <w:spacing w:beforeLines="50" w:before="120" w:line="300" w:lineRule="auto"/>
        <w:jc w:val="both"/>
        <w:rPr>
          <w:b/>
          <w:sz w:val="28"/>
          <w:szCs w:val="28"/>
        </w:rPr>
      </w:pPr>
      <w:proofErr w:type="spellStart"/>
      <w:r w:rsidRPr="003277D0">
        <w:rPr>
          <w:rFonts w:eastAsia="宋体" w:cs="宋体"/>
          <w:b/>
          <w:sz w:val="28"/>
        </w:rPr>
        <w:t>公众意见</w:t>
      </w:r>
      <w:proofErr w:type="spellEnd"/>
    </w:p>
    <w:p w14:paraId="7DAA9B4B" w14:textId="30AC1723" w:rsidR="002914F0" w:rsidRDefault="00EB694F" w:rsidP="002914F0">
      <w:pPr>
        <w:pStyle w:val="a3"/>
        <w:adjustRightInd w:val="0"/>
        <w:snapToGrid w:val="0"/>
        <w:spacing w:beforeLines="50" w:before="120" w:line="300" w:lineRule="auto"/>
        <w:jc w:val="both"/>
        <w:rPr>
          <w:sz w:val="21"/>
          <w:szCs w:val="21"/>
          <w:lang w:eastAsia="zh-CN"/>
        </w:rPr>
      </w:pPr>
      <w:proofErr w:type="spellStart"/>
      <w:r w:rsidRPr="00EB694F">
        <w:rPr>
          <w:rFonts w:eastAsia="宋体" w:cs="宋体" w:hint="eastAsia"/>
          <w:sz w:val="21"/>
        </w:rPr>
        <w:t>电子版意见和建议</w:t>
      </w:r>
      <w:r w:rsidR="004F06FE" w:rsidRPr="003277D0">
        <w:rPr>
          <w:rFonts w:eastAsia="宋体" w:cs="宋体"/>
          <w:sz w:val="21"/>
        </w:rPr>
        <w:t>可随时</w:t>
      </w:r>
      <w:proofErr w:type="spellEnd"/>
      <w:r w:rsidR="00FE6D2B">
        <w:rPr>
          <w:rFonts w:eastAsia="宋体" w:cs="宋体" w:hint="eastAsia"/>
          <w:sz w:val="21"/>
          <w:lang w:eastAsia="zh-CN"/>
        </w:rPr>
        <w:t>发送</w:t>
      </w:r>
      <w:proofErr w:type="spellStart"/>
      <w:r w:rsidR="004F06FE" w:rsidRPr="003277D0">
        <w:rPr>
          <w:rFonts w:eastAsia="宋体" w:cs="宋体"/>
          <w:sz w:val="21"/>
        </w:rPr>
        <w:t>至</w:t>
      </w:r>
      <w:r w:rsidR="004F06FE" w:rsidRPr="003277D0">
        <w:rPr>
          <w:rFonts w:eastAsia="宋体" w:cs="宋体"/>
          <w:color w:val="0000FF"/>
          <w:sz w:val="21"/>
          <w:u w:val="single"/>
        </w:rPr>
        <w:t>http</w:t>
      </w:r>
      <w:proofErr w:type="spellEnd"/>
      <w:r w:rsidR="004F06FE" w:rsidRPr="003277D0">
        <w:rPr>
          <w:rFonts w:eastAsia="宋体" w:cs="宋体"/>
          <w:color w:val="0000FF"/>
          <w:sz w:val="21"/>
          <w:u w:val="single"/>
        </w:rPr>
        <w:t>://</w:t>
      </w:r>
      <w:proofErr w:type="spellStart"/>
      <w:r w:rsidR="004F06FE" w:rsidRPr="003277D0">
        <w:rPr>
          <w:rFonts w:eastAsia="宋体" w:cs="宋体"/>
          <w:color w:val="0000FF"/>
          <w:sz w:val="21"/>
          <w:u w:val="single"/>
        </w:rPr>
        <w:t>www.regulations.gov</w:t>
      </w:r>
      <w:r w:rsidR="004F06FE" w:rsidRPr="003277D0">
        <w:rPr>
          <w:rFonts w:eastAsia="宋体" w:cs="宋体"/>
          <w:sz w:val="21"/>
        </w:rPr>
        <w:t>，供</w:t>
      </w:r>
      <w:r w:rsidR="00772E17">
        <w:rPr>
          <w:rFonts w:eastAsia="宋体" w:cs="宋体" w:hint="eastAsia"/>
          <w:sz w:val="21"/>
          <w:lang w:eastAsia="zh-CN"/>
        </w:rPr>
        <w:t>FD</w:t>
      </w:r>
      <w:r w:rsidR="00772E17">
        <w:rPr>
          <w:rFonts w:eastAsia="宋体" w:cs="宋体"/>
          <w:sz w:val="21"/>
        </w:rPr>
        <w:t>A</w:t>
      </w:r>
      <w:proofErr w:type="spellEnd"/>
      <w:r w:rsidR="00772E17">
        <w:rPr>
          <w:rFonts w:eastAsia="宋体" w:cs="宋体" w:hint="eastAsia"/>
          <w:sz w:val="21"/>
          <w:lang w:eastAsia="zh-CN"/>
        </w:rPr>
        <w:t>审议</w:t>
      </w:r>
      <w:r w:rsidR="004F06FE" w:rsidRPr="003277D0">
        <w:rPr>
          <w:rFonts w:eastAsia="宋体" w:cs="宋体"/>
          <w:sz w:val="21"/>
        </w:rPr>
        <w:t>。</w:t>
      </w:r>
      <w:r w:rsidR="004F06FE" w:rsidRPr="003277D0">
        <w:rPr>
          <w:rFonts w:eastAsia="宋体" w:cs="宋体"/>
          <w:sz w:val="21"/>
          <w:lang w:eastAsia="zh-CN"/>
        </w:rPr>
        <w:t>亦可将</w:t>
      </w:r>
      <w:r w:rsidR="00266E7E">
        <w:rPr>
          <w:rFonts w:eastAsia="宋体" w:cs="宋体" w:hint="eastAsia"/>
          <w:sz w:val="21"/>
          <w:lang w:eastAsia="zh-CN"/>
        </w:rPr>
        <w:t>纸质</w:t>
      </w:r>
      <w:proofErr w:type="gramStart"/>
      <w:r w:rsidR="00266E7E">
        <w:rPr>
          <w:rFonts w:eastAsia="宋体" w:cs="宋体" w:hint="eastAsia"/>
          <w:sz w:val="21"/>
          <w:lang w:eastAsia="zh-CN"/>
        </w:rPr>
        <w:t>版</w:t>
      </w:r>
      <w:r w:rsidR="004F06FE" w:rsidRPr="003277D0">
        <w:rPr>
          <w:rFonts w:eastAsia="宋体" w:cs="宋体"/>
          <w:sz w:val="21"/>
          <w:lang w:eastAsia="zh-CN"/>
        </w:rPr>
        <w:t>意见</w:t>
      </w:r>
      <w:proofErr w:type="gramEnd"/>
      <w:r w:rsidR="00B04EEF">
        <w:rPr>
          <w:rFonts w:eastAsia="宋体" w:cs="宋体" w:hint="eastAsia"/>
          <w:sz w:val="21"/>
          <w:lang w:eastAsia="zh-CN"/>
        </w:rPr>
        <w:t>发送</w:t>
      </w:r>
      <w:r w:rsidR="004F06FE" w:rsidRPr="003277D0">
        <w:rPr>
          <w:rFonts w:eastAsia="宋体" w:cs="宋体"/>
          <w:sz w:val="21"/>
          <w:lang w:eastAsia="zh-CN"/>
        </w:rPr>
        <w:t>至：</w:t>
      </w:r>
      <w:r w:rsidR="005A061B">
        <w:rPr>
          <w:rFonts w:eastAsia="宋体" w:cs="宋体"/>
          <w:sz w:val="21"/>
          <w:lang w:eastAsia="zh-CN"/>
        </w:rPr>
        <w:t>美国食品药品监督管理局</w:t>
      </w:r>
      <w:r w:rsidR="004F06FE" w:rsidRPr="003277D0">
        <w:rPr>
          <w:rFonts w:eastAsia="宋体" w:cs="宋体"/>
          <w:sz w:val="21"/>
          <w:lang w:eastAsia="zh-CN"/>
        </w:rPr>
        <w:t>备案文件管理部</w:t>
      </w:r>
      <w:r w:rsidR="004F06FE" w:rsidRPr="003277D0">
        <w:rPr>
          <w:rFonts w:eastAsia="宋体" w:cs="宋体"/>
          <w:sz w:val="21"/>
          <w:lang w:eastAsia="zh-CN"/>
        </w:rPr>
        <w:t xml:space="preserve">, </w:t>
      </w:r>
      <w:r w:rsidR="00731860" w:rsidRPr="00B16D43">
        <w:rPr>
          <w:rFonts w:eastAsia="宋体" w:cs="宋体" w:hint="eastAsia"/>
          <w:sz w:val="21"/>
          <w:lang w:eastAsia="zh-CN"/>
        </w:rPr>
        <w:t>地址为</w:t>
      </w:r>
      <w:r w:rsidR="00731860" w:rsidRPr="00B16D43">
        <w:rPr>
          <w:rFonts w:eastAsia="宋体" w:cs="宋体"/>
          <w:sz w:val="21"/>
          <w:lang w:eastAsia="zh-CN"/>
        </w:rPr>
        <w:t>5630 Fishers Lane, Room 1061, (HFA-305), Rockville, MD 20852</w:t>
      </w:r>
      <w:r w:rsidR="00731860">
        <w:rPr>
          <w:rFonts w:eastAsia="宋体" w:cs="宋体" w:hint="eastAsia"/>
          <w:sz w:val="21"/>
          <w:lang w:eastAsia="zh-CN"/>
        </w:rPr>
        <w:t>。</w:t>
      </w:r>
      <w:r w:rsidR="004F06FE" w:rsidRPr="003277D0">
        <w:rPr>
          <w:rFonts w:eastAsia="宋体" w:cs="宋体"/>
          <w:sz w:val="21"/>
          <w:lang w:eastAsia="zh-CN"/>
        </w:rPr>
        <w:t>所有</w:t>
      </w:r>
      <w:r w:rsidR="001D0BBF">
        <w:rPr>
          <w:rFonts w:eastAsia="宋体" w:cs="宋体" w:hint="eastAsia"/>
          <w:sz w:val="21"/>
          <w:lang w:eastAsia="zh-CN"/>
        </w:rPr>
        <w:t>建议</w:t>
      </w:r>
      <w:r w:rsidR="004F06FE" w:rsidRPr="003277D0">
        <w:rPr>
          <w:rFonts w:eastAsia="宋体" w:cs="宋体"/>
          <w:sz w:val="21"/>
          <w:lang w:eastAsia="zh-CN"/>
        </w:rPr>
        <w:t>均</w:t>
      </w:r>
      <w:r w:rsidR="001D0BBF">
        <w:rPr>
          <w:rFonts w:eastAsia="宋体" w:cs="宋体" w:hint="eastAsia"/>
          <w:sz w:val="21"/>
          <w:lang w:eastAsia="zh-CN"/>
        </w:rPr>
        <w:t>需</w:t>
      </w:r>
      <w:r w:rsidR="004F06FE" w:rsidRPr="003277D0">
        <w:rPr>
          <w:rFonts w:eastAsia="宋体" w:cs="宋体"/>
          <w:sz w:val="21"/>
          <w:lang w:eastAsia="zh-CN"/>
        </w:rPr>
        <w:t>注明编号</w:t>
      </w:r>
      <w:r w:rsidR="001D0BBF">
        <w:rPr>
          <w:rFonts w:eastAsia="宋体" w:cs="宋体" w:hint="eastAsia"/>
          <w:sz w:val="21"/>
          <w:lang w:eastAsia="zh-CN"/>
        </w:rPr>
        <w:t>：</w:t>
      </w:r>
      <w:r w:rsidR="004F06FE" w:rsidRPr="003277D0">
        <w:rPr>
          <w:rFonts w:eastAsia="宋体" w:cs="宋体"/>
          <w:sz w:val="21"/>
          <w:lang w:eastAsia="zh-CN"/>
        </w:rPr>
        <w:t>FDA-2019-D-1261</w:t>
      </w:r>
      <w:r w:rsidR="004F06FE" w:rsidRPr="003277D0">
        <w:rPr>
          <w:rFonts w:eastAsia="宋体" w:cs="宋体"/>
          <w:sz w:val="21"/>
          <w:lang w:eastAsia="zh-CN"/>
        </w:rPr>
        <w:t>。在下次修订或更新本文件时，</w:t>
      </w:r>
      <w:r w:rsidR="004F06FE" w:rsidRPr="003277D0">
        <w:rPr>
          <w:rFonts w:eastAsia="宋体" w:cs="宋体"/>
          <w:sz w:val="21"/>
          <w:lang w:eastAsia="zh-CN"/>
        </w:rPr>
        <w:t>FDA</w:t>
      </w:r>
      <w:r w:rsidR="004F06FE" w:rsidRPr="003277D0">
        <w:rPr>
          <w:rFonts w:eastAsia="宋体" w:cs="宋体"/>
          <w:sz w:val="21"/>
          <w:lang w:eastAsia="zh-CN"/>
        </w:rPr>
        <w:t>将考虑实施该意见。</w:t>
      </w:r>
    </w:p>
    <w:p w14:paraId="151493B8" w14:textId="77777777" w:rsidR="00D020CF" w:rsidRPr="00DC536B" w:rsidRDefault="004F06FE" w:rsidP="002914F0">
      <w:pPr>
        <w:adjustRightInd w:val="0"/>
        <w:snapToGrid w:val="0"/>
        <w:spacing w:beforeLines="50" w:before="120" w:line="300" w:lineRule="auto"/>
        <w:jc w:val="both"/>
        <w:rPr>
          <w:b/>
          <w:sz w:val="28"/>
          <w:szCs w:val="28"/>
          <w:lang w:eastAsia="zh-CN"/>
        </w:rPr>
      </w:pPr>
      <w:r w:rsidRPr="003277D0">
        <w:rPr>
          <w:rFonts w:eastAsia="宋体" w:cs="宋体"/>
          <w:b/>
          <w:sz w:val="28"/>
          <w:lang w:eastAsia="zh-CN"/>
        </w:rPr>
        <w:t>更多副本</w:t>
      </w:r>
    </w:p>
    <w:p w14:paraId="5173BCE7" w14:textId="7E86A2A0" w:rsidR="00D020CF" w:rsidRPr="002914F0" w:rsidRDefault="00E43FF8" w:rsidP="002914F0">
      <w:pPr>
        <w:pStyle w:val="a3"/>
        <w:adjustRightInd w:val="0"/>
        <w:snapToGrid w:val="0"/>
        <w:spacing w:beforeLines="50" w:before="120" w:line="300" w:lineRule="auto"/>
        <w:jc w:val="both"/>
        <w:rPr>
          <w:sz w:val="21"/>
          <w:szCs w:val="21"/>
          <w:lang w:eastAsia="zh-CN"/>
        </w:rPr>
      </w:pPr>
      <w:r>
        <w:rPr>
          <w:rFonts w:eastAsia="宋体" w:cs="宋体"/>
          <w:sz w:val="21"/>
          <w:lang w:eastAsia="zh-CN"/>
        </w:rPr>
        <w:t>更多</w:t>
      </w:r>
      <w:r w:rsidR="004F06FE" w:rsidRPr="003277D0">
        <w:rPr>
          <w:rFonts w:eastAsia="宋体" w:cs="宋体"/>
          <w:sz w:val="21"/>
          <w:lang w:eastAsia="zh-CN"/>
        </w:rPr>
        <w:t>副本可通过互联网获得。也可以通过</w:t>
      </w:r>
      <w:r w:rsidR="00055D4D" w:rsidRPr="003277D0">
        <w:rPr>
          <w:rFonts w:eastAsia="宋体" w:cs="宋体"/>
          <w:sz w:val="21"/>
          <w:lang w:eastAsia="zh-CN"/>
        </w:rPr>
        <w:t>发送</w:t>
      </w:r>
      <w:r w:rsidR="004F06FE" w:rsidRPr="003277D0">
        <w:rPr>
          <w:rFonts w:eastAsia="宋体" w:cs="宋体"/>
          <w:sz w:val="21"/>
          <w:lang w:eastAsia="zh-CN"/>
        </w:rPr>
        <w:t>电子邮件至</w:t>
      </w:r>
      <w:r w:rsidR="004F06FE" w:rsidRPr="003277D0">
        <w:rPr>
          <w:rFonts w:eastAsia="宋体" w:cs="宋体"/>
          <w:color w:val="0000FF"/>
          <w:sz w:val="21"/>
          <w:u w:val="single"/>
          <w:lang w:eastAsia="zh-CN"/>
        </w:rPr>
        <w:t>CDRH-Guidance@fda.hhs.gov</w:t>
      </w:r>
      <w:r w:rsidR="004F06FE" w:rsidRPr="003277D0">
        <w:rPr>
          <w:rFonts w:eastAsia="宋体" w:cs="宋体"/>
          <w:sz w:val="21"/>
          <w:lang w:eastAsia="zh-CN"/>
        </w:rPr>
        <w:t>获取本指南的副本。请在请求中注明文件编号</w:t>
      </w:r>
      <w:r w:rsidR="004F06FE" w:rsidRPr="003277D0">
        <w:rPr>
          <w:rFonts w:eastAsia="宋体" w:cs="宋体"/>
          <w:sz w:val="21"/>
          <w:lang w:eastAsia="zh-CN"/>
        </w:rPr>
        <w:t>17013</w:t>
      </w:r>
      <w:r w:rsidR="004F06FE" w:rsidRPr="003277D0">
        <w:rPr>
          <w:rFonts w:eastAsia="宋体" w:cs="宋体"/>
          <w:sz w:val="21"/>
          <w:lang w:eastAsia="zh-CN"/>
        </w:rPr>
        <w:t>和</w:t>
      </w:r>
      <w:r w:rsidR="00843A77">
        <w:rPr>
          <w:rFonts w:eastAsia="宋体" w:cs="宋体" w:hint="eastAsia"/>
          <w:sz w:val="21"/>
          <w:lang w:eastAsia="zh-CN"/>
        </w:rPr>
        <w:t>该</w:t>
      </w:r>
      <w:r w:rsidR="004F06FE" w:rsidRPr="003277D0">
        <w:rPr>
          <w:rFonts w:eastAsia="宋体" w:cs="宋体"/>
          <w:sz w:val="21"/>
          <w:lang w:eastAsia="zh-CN"/>
        </w:rPr>
        <w:t>指南的完整标题。</w:t>
      </w:r>
    </w:p>
    <w:p w14:paraId="6022D98F" w14:textId="77777777" w:rsidR="002914F0" w:rsidRPr="002914F0" w:rsidRDefault="002914F0" w:rsidP="002914F0">
      <w:pPr>
        <w:adjustRightInd w:val="0"/>
        <w:snapToGrid w:val="0"/>
        <w:spacing w:beforeLines="50" w:before="120" w:line="300" w:lineRule="auto"/>
        <w:jc w:val="both"/>
        <w:rPr>
          <w:sz w:val="21"/>
          <w:szCs w:val="21"/>
          <w:lang w:eastAsia="zh-CN"/>
        </w:rPr>
      </w:pPr>
      <w:r w:rsidRPr="003277D0">
        <w:rPr>
          <w:rFonts w:eastAsia="宋体" w:cs="宋体"/>
          <w:sz w:val="21"/>
          <w:lang w:eastAsia="zh-CN"/>
        </w:rPr>
        <w:br w:type="page"/>
      </w:r>
    </w:p>
    <w:p w14:paraId="34013584" w14:textId="77777777" w:rsidR="00D020CF" w:rsidRPr="00DC536B" w:rsidRDefault="004F06FE" w:rsidP="00DC536B">
      <w:pPr>
        <w:adjustRightInd w:val="0"/>
        <w:snapToGrid w:val="0"/>
        <w:spacing w:beforeLines="50" w:before="120" w:line="300" w:lineRule="auto"/>
        <w:jc w:val="center"/>
        <w:rPr>
          <w:b/>
          <w:sz w:val="44"/>
          <w:szCs w:val="44"/>
        </w:rPr>
      </w:pPr>
      <w:proofErr w:type="spellStart"/>
      <w:r w:rsidRPr="003277D0">
        <w:rPr>
          <w:rFonts w:eastAsia="宋体" w:cs="宋体"/>
          <w:b/>
          <w:sz w:val="44"/>
        </w:rPr>
        <w:lastRenderedPageBreak/>
        <w:t>目录</w:t>
      </w:r>
      <w:proofErr w:type="spellEnd"/>
    </w:p>
    <w:p w14:paraId="3D9C121B" w14:textId="77777777" w:rsidR="00853F4C" w:rsidRPr="00853F4C" w:rsidRDefault="00155A6B" w:rsidP="00853F4C">
      <w:pPr>
        <w:pStyle w:val="10"/>
        <w:tabs>
          <w:tab w:val="right" w:leader="dot" w:pos="9061"/>
        </w:tabs>
        <w:spacing w:beforeLines="50" w:before="120"/>
        <w:ind w:left="420" w:hangingChars="200" w:hanging="420"/>
        <w:rPr>
          <w:rFonts w:eastAsiaTheme="minorEastAsia"/>
          <w:noProof/>
          <w:kern w:val="2"/>
          <w:sz w:val="21"/>
          <w:szCs w:val="21"/>
          <w:lang w:eastAsia="zh-CN" w:bidi="ar-SA"/>
        </w:rPr>
      </w:pPr>
      <w:r>
        <w:rPr>
          <w:rFonts w:eastAsiaTheme="minorEastAsia"/>
          <w:sz w:val="21"/>
          <w:szCs w:val="21"/>
          <w:lang w:eastAsia="zh-CN"/>
        </w:rPr>
        <w:fldChar w:fldCharType="begin"/>
      </w:r>
      <w:r>
        <w:rPr>
          <w:rFonts w:eastAsiaTheme="minorEastAsia"/>
          <w:sz w:val="21"/>
          <w:szCs w:val="21"/>
          <w:lang w:eastAsia="zh-CN"/>
        </w:rPr>
        <w:instrText xml:space="preserve"> TOC \o "1-3" \h \z \u </w:instrText>
      </w:r>
      <w:r>
        <w:rPr>
          <w:rFonts w:eastAsiaTheme="minorEastAsia"/>
          <w:sz w:val="21"/>
          <w:szCs w:val="21"/>
          <w:lang w:eastAsia="zh-CN"/>
        </w:rPr>
        <w:fldChar w:fldCharType="separate"/>
      </w:r>
      <w:hyperlink w:anchor="_Toc91866306" w:history="1">
        <w:r w:rsidR="00853F4C" w:rsidRPr="00853F4C">
          <w:rPr>
            <w:rStyle w:val="a8"/>
            <w:rFonts w:eastAsia="宋体"/>
            <w:noProof/>
            <w:sz w:val="21"/>
            <w:szCs w:val="21"/>
            <w:lang w:eastAsia="zh-CN"/>
          </w:rPr>
          <w:t>I.</w:t>
        </w:r>
        <w:r w:rsidR="00853F4C" w:rsidRPr="00853F4C">
          <w:rPr>
            <w:rFonts w:eastAsiaTheme="minorEastAsia"/>
            <w:noProof/>
            <w:kern w:val="2"/>
            <w:sz w:val="21"/>
            <w:szCs w:val="21"/>
            <w:lang w:eastAsia="zh-CN" w:bidi="ar-SA"/>
          </w:rPr>
          <w:tab/>
        </w:r>
        <w:r w:rsidR="00853F4C" w:rsidRPr="00853F4C">
          <w:rPr>
            <w:rStyle w:val="a8"/>
            <w:rFonts w:eastAsia="宋体"/>
            <w:noProof/>
            <w:sz w:val="21"/>
            <w:szCs w:val="21"/>
            <w:lang w:eastAsia="zh-CN"/>
          </w:rPr>
          <w:t>引言和范围</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_Toc91866306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1</w:t>
        </w:r>
        <w:r w:rsidR="00853F4C" w:rsidRPr="00853F4C">
          <w:rPr>
            <w:noProof/>
            <w:webHidden/>
            <w:sz w:val="21"/>
            <w:szCs w:val="21"/>
          </w:rPr>
          <w:fldChar w:fldCharType="end"/>
        </w:r>
      </w:hyperlink>
    </w:p>
    <w:p w14:paraId="276F6B4E" w14:textId="77777777" w:rsidR="00853F4C" w:rsidRPr="00853F4C" w:rsidRDefault="0016325C" w:rsidP="00853F4C">
      <w:pPr>
        <w:pStyle w:val="10"/>
        <w:tabs>
          <w:tab w:val="right" w:leader="dot" w:pos="9061"/>
        </w:tabs>
        <w:spacing w:beforeLines="50" w:before="120"/>
        <w:ind w:left="480" w:hangingChars="200" w:hanging="480"/>
        <w:rPr>
          <w:rFonts w:eastAsiaTheme="minorEastAsia"/>
          <w:noProof/>
          <w:kern w:val="2"/>
          <w:sz w:val="21"/>
          <w:szCs w:val="21"/>
          <w:lang w:eastAsia="zh-CN" w:bidi="ar-SA"/>
        </w:rPr>
      </w:pPr>
      <w:hyperlink w:anchor="_Toc91866307" w:history="1">
        <w:r w:rsidR="00853F4C" w:rsidRPr="00853F4C">
          <w:rPr>
            <w:rStyle w:val="a8"/>
            <w:rFonts w:eastAsia="宋体"/>
            <w:noProof/>
            <w:sz w:val="21"/>
            <w:szCs w:val="21"/>
            <w:lang w:eastAsia="zh-CN"/>
          </w:rPr>
          <w:t>II.</w:t>
        </w:r>
        <w:r w:rsidR="00853F4C" w:rsidRPr="00853F4C">
          <w:rPr>
            <w:rFonts w:eastAsiaTheme="minorEastAsia"/>
            <w:noProof/>
            <w:kern w:val="2"/>
            <w:sz w:val="21"/>
            <w:szCs w:val="21"/>
            <w:lang w:eastAsia="zh-CN" w:bidi="ar-SA"/>
          </w:rPr>
          <w:tab/>
        </w:r>
        <w:r w:rsidR="00853F4C" w:rsidRPr="00853F4C">
          <w:rPr>
            <w:rStyle w:val="a8"/>
            <w:rFonts w:eastAsia="宋体"/>
            <w:noProof/>
            <w:sz w:val="21"/>
            <w:szCs w:val="21"/>
            <w:lang w:eastAsia="zh-CN"/>
          </w:rPr>
          <w:t>背景</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_Toc91866307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2</w:t>
        </w:r>
        <w:r w:rsidR="00853F4C" w:rsidRPr="00853F4C">
          <w:rPr>
            <w:noProof/>
            <w:webHidden/>
            <w:sz w:val="21"/>
            <w:szCs w:val="21"/>
          </w:rPr>
          <w:fldChar w:fldCharType="end"/>
        </w:r>
      </w:hyperlink>
    </w:p>
    <w:p w14:paraId="78744C79" w14:textId="77777777" w:rsidR="00853F4C" w:rsidRPr="00853F4C" w:rsidRDefault="0016325C" w:rsidP="00853F4C">
      <w:pPr>
        <w:pStyle w:val="10"/>
        <w:tabs>
          <w:tab w:val="right" w:leader="dot" w:pos="9061"/>
        </w:tabs>
        <w:spacing w:beforeLines="50" w:before="120"/>
        <w:ind w:left="480" w:hangingChars="200" w:hanging="480"/>
        <w:rPr>
          <w:rFonts w:eastAsiaTheme="minorEastAsia"/>
          <w:noProof/>
          <w:kern w:val="2"/>
          <w:sz w:val="21"/>
          <w:szCs w:val="21"/>
          <w:lang w:eastAsia="zh-CN" w:bidi="ar-SA"/>
        </w:rPr>
      </w:pPr>
      <w:hyperlink w:anchor="_Toc91866308" w:history="1">
        <w:r w:rsidR="00853F4C" w:rsidRPr="00853F4C">
          <w:rPr>
            <w:rStyle w:val="a8"/>
            <w:rFonts w:eastAsia="宋体"/>
            <w:noProof/>
            <w:sz w:val="21"/>
            <w:szCs w:val="21"/>
            <w:lang w:eastAsia="zh-CN"/>
          </w:rPr>
          <w:t>III.</w:t>
        </w:r>
        <w:r w:rsidR="00853F4C" w:rsidRPr="00853F4C">
          <w:rPr>
            <w:rFonts w:eastAsiaTheme="minorEastAsia"/>
            <w:noProof/>
            <w:kern w:val="2"/>
            <w:sz w:val="21"/>
            <w:szCs w:val="21"/>
            <w:lang w:eastAsia="zh-CN" w:bidi="ar-SA"/>
          </w:rPr>
          <w:tab/>
        </w:r>
        <w:r w:rsidR="00853F4C" w:rsidRPr="00853F4C">
          <w:rPr>
            <w:rStyle w:val="a8"/>
            <w:rFonts w:eastAsia="宋体"/>
            <w:noProof/>
            <w:sz w:val="21"/>
            <w:szCs w:val="21"/>
            <w:lang w:eastAsia="zh-CN"/>
          </w:rPr>
          <w:t>定义</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_Toc91866308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3</w:t>
        </w:r>
        <w:r w:rsidR="00853F4C" w:rsidRPr="00853F4C">
          <w:rPr>
            <w:noProof/>
            <w:webHidden/>
            <w:sz w:val="21"/>
            <w:szCs w:val="21"/>
          </w:rPr>
          <w:fldChar w:fldCharType="end"/>
        </w:r>
      </w:hyperlink>
    </w:p>
    <w:p w14:paraId="20A6C68E" w14:textId="77777777" w:rsidR="00853F4C" w:rsidRPr="00853F4C" w:rsidRDefault="0016325C" w:rsidP="00853F4C">
      <w:pPr>
        <w:pStyle w:val="10"/>
        <w:tabs>
          <w:tab w:val="right" w:leader="dot" w:pos="9061"/>
        </w:tabs>
        <w:spacing w:beforeLines="50" w:before="120"/>
        <w:ind w:left="480" w:hangingChars="200" w:hanging="480"/>
        <w:rPr>
          <w:rFonts w:eastAsiaTheme="minorEastAsia"/>
          <w:noProof/>
          <w:kern w:val="2"/>
          <w:sz w:val="21"/>
          <w:szCs w:val="21"/>
          <w:lang w:eastAsia="zh-CN" w:bidi="ar-SA"/>
        </w:rPr>
      </w:pPr>
      <w:hyperlink w:anchor="_Toc91866309" w:history="1">
        <w:r w:rsidR="00853F4C" w:rsidRPr="00853F4C">
          <w:rPr>
            <w:rStyle w:val="a8"/>
            <w:rFonts w:eastAsia="宋体"/>
            <w:noProof/>
            <w:sz w:val="21"/>
            <w:szCs w:val="21"/>
            <w:lang w:eastAsia="zh-CN"/>
          </w:rPr>
          <w:t>IV.</w:t>
        </w:r>
        <w:r w:rsidR="00853F4C" w:rsidRPr="00853F4C">
          <w:rPr>
            <w:rFonts w:eastAsiaTheme="minorEastAsia"/>
            <w:noProof/>
            <w:kern w:val="2"/>
            <w:sz w:val="21"/>
            <w:szCs w:val="21"/>
            <w:lang w:eastAsia="zh-CN" w:bidi="ar-SA"/>
          </w:rPr>
          <w:tab/>
        </w:r>
        <w:r w:rsidR="00853F4C" w:rsidRPr="00853F4C">
          <w:rPr>
            <w:rStyle w:val="a8"/>
            <w:rFonts w:eastAsia="宋体"/>
            <w:noProof/>
            <w:sz w:val="21"/>
            <w:szCs w:val="21"/>
            <w:lang w:eastAsia="zh-CN"/>
          </w:rPr>
          <w:t>技术建议</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_Toc91866309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4</w:t>
        </w:r>
        <w:r w:rsidR="00853F4C" w:rsidRPr="00853F4C">
          <w:rPr>
            <w:noProof/>
            <w:webHidden/>
            <w:sz w:val="21"/>
            <w:szCs w:val="21"/>
          </w:rPr>
          <w:fldChar w:fldCharType="end"/>
        </w:r>
      </w:hyperlink>
    </w:p>
    <w:p w14:paraId="391BEE28" w14:textId="77777777" w:rsidR="00853F4C" w:rsidRPr="00853F4C" w:rsidRDefault="0016325C" w:rsidP="00853F4C">
      <w:pPr>
        <w:pStyle w:val="20"/>
        <w:tabs>
          <w:tab w:val="left" w:pos="960"/>
          <w:tab w:val="right" w:leader="dot" w:pos="9061"/>
        </w:tabs>
        <w:spacing w:beforeLines="50"/>
        <w:ind w:leftChars="200" w:left="920" w:hangingChars="200"/>
        <w:rPr>
          <w:rFonts w:eastAsiaTheme="minorEastAsia"/>
          <w:noProof/>
          <w:kern w:val="2"/>
          <w:sz w:val="21"/>
          <w:szCs w:val="21"/>
          <w:lang w:eastAsia="zh-CN" w:bidi="ar-SA"/>
        </w:rPr>
      </w:pPr>
      <w:hyperlink w:anchor="_Toc91866310" w:history="1">
        <w:r w:rsidR="00853F4C" w:rsidRPr="00853F4C">
          <w:rPr>
            <w:rStyle w:val="a8"/>
            <w:rFonts w:eastAsia="宋体"/>
            <w:noProof/>
            <w:sz w:val="21"/>
            <w:szCs w:val="21"/>
            <w:lang w:eastAsia="zh-CN"/>
          </w:rPr>
          <w:t>A.</w:t>
        </w:r>
        <w:r w:rsidR="00853F4C" w:rsidRPr="00853F4C">
          <w:rPr>
            <w:rFonts w:eastAsiaTheme="minorEastAsia"/>
            <w:noProof/>
            <w:kern w:val="2"/>
            <w:sz w:val="21"/>
            <w:szCs w:val="21"/>
            <w:lang w:eastAsia="zh-CN" w:bidi="ar-SA"/>
          </w:rPr>
          <w:tab/>
        </w:r>
        <w:r w:rsidR="00853F4C" w:rsidRPr="00853F4C">
          <w:rPr>
            <w:rStyle w:val="a8"/>
            <w:rFonts w:eastAsia="宋体"/>
            <w:noProof/>
            <w:sz w:val="21"/>
            <w:szCs w:val="21"/>
            <w:lang w:eastAsia="zh-CN"/>
          </w:rPr>
          <w:t>一般信息</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_Toc91866310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5</w:t>
        </w:r>
        <w:r w:rsidR="00853F4C" w:rsidRPr="00853F4C">
          <w:rPr>
            <w:noProof/>
            <w:webHidden/>
            <w:sz w:val="21"/>
            <w:szCs w:val="21"/>
          </w:rPr>
          <w:fldChar w:fldCharType="end"/>
        </w:r>
      </w:hyperlink>
    </w:p>
    <w:p w14:paraId="7F8C53B0" w14:textId="77777777" w:rsidR="00853F4C" w:rsidRPr="00853F4C" w:rsidRDefault="0016325C" w:rsidP="00853F4C">
      <w:pPr>
        <w:pStyle w:val="20"/>
        <w:tabs>
          <w:tab w:val="left" w:pos="960"/>
          <w:tab w:val="right" w:leader="dot" w:pos="9061"/>
        </w:tabs>
        <w:spacing w:beforeLines="50"/>
        <w:ind w:leftChars="200" w:left="920" w:hangingChars="200"/>
        <w:rPr>
          <w:rFonts w:eastAsiaTheme="minorEastAsia"/>
          <w:noProof/>
          <w:kern w:val="2"/>
          <w:sz w:val="21"/>
          <w:szCs w:val="21"/>
          <w:lang w:eastAsia="zh-CN" w:bidi="ar-SA"/>
        </w:rPr>
      </w:pPr>
      <w:hyperlink w:anchor="_Toc91866311" w:history="1">
        <w:r w:rsidR="00853F4C" w:rsidRPr="00853F4C">
          <w:rPr>
            <w:rStyle w:val="a8"/>
            <w:rFonts w:eastAsia="宋体"/>
            <w:noProof/>
            <w:sz w:val="21"/>
            <w:szCs w:val="21"/>
            <w:lang w:eastAsia="zh-CN"/>
          </w:rPr>
          <w:t>B.</w:t>
        </w:r>
        <w:r w:rsidR="00853F4C" w:rsidRPr="00853F4C">
          <w:rPr>
            <w:rFonts w:eastAsiaTheme="minorEastAsia"/>
            <w:noProof/>
            <w:kern w:val="2"/>
            <w:sz w:val="21"/>
            <w:szCs w:val="21"/>
            <w:lang w:eastAsia="zh-CN" w:bidi="ar-SA"/>
          </w:rPr>
          <w:tab/>
        </w:r>
        <w:r w:rsidR="00853F4C" w:rsidRPr="00853F4C">
          <w:rPr>
            <w:rStyle w:val="a8"/>
            <w:rFonts w:eastAsia="宋体"/>
            <w:noProof/>
            <w:sz w:val="21"/>
            <w:szCs w:val="21"/>
            <w:lang w:eastAsia="zh-CN"/>
          </w:rPr>
          <w:t>机械试验</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_Toc91866311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7</w:t>
        </w:r>
        <w:r w:rsidR="00853F4C" w:rsidRPr="00853F4C">
          <w:rPr>
            <w:noProof/>
            <w:webHidden/>
            <w:sz w:val="21"/>
            <w:szCs w:val="21"/>
          </w:rPr>
          <w:fldChar w:fldCharType="end"/>
        </w:r>
      </w:hyperlink>
    </w:p>
    <w:p w14:paraId="45737B00" w14:textId="77777777" w:rsidR="00853F4C" w:rsidRPr="00853F4C" w:rsidRDefault="0016325C" w:rsidP="00853F4C">
      <w:pPr>
        <w:pStyle w:val="20"/>
        <w:tabs>
          <w:tab w:val="left" w:pos="960"/>
          <w:tab w:val="right" w:leader="dot" w:pos="9061"/>
        </w:tabs>
        <w:spacing w:beforeLines="50"/>
        <w:ind w:leftChars="200" w:left="920" w:hangingChars="200"/>
        <w:rPr>
          <w:rFonts w:eastAsiaTheme="minorEastAsia"/>
          <w:noProof/>
          <w:kern w:val="2"/>
          <w:sz w:val="21"/>
          <w:szCs w:val="21"/>
          <w:lang w:eastAsia="zh-CN" w:bidi="ar-SA"/>
        </w:rPr>
      </w:pPr>
      <w:hyperlink w:anchor="_Toc91866312" w:history="1">
        <w:r w:rsidR="00853F4C" w:rsidRPr="00853F4C">
          <w:rPr>
            <w:rStyle w:val="a8"/>
            <w:rFonts w:eastAsia="宋体"/>
            <w:noProof/>
            <w:sz w:val="21"/>
            <w:szCs w:val="21"/>
            <w:lang w:eastAsia="zh-CN"/>
          </w:rPr>
          <w:t>C.</w:t>
        </w:r>
        <w:r w:rsidR="00853F4C" w:rsidRPr="00853F4C">
          <w:rPr>
            <w:rFonts w:eastAsiaTheme="minorEastAsia"/>
            <w:noProof/>
            <w:kern w:val="2"/>
            <w:sz w:val="21"/>
            <w:szCs w:val="21"/>
            <w:lang w:eastAsia="zh-CN" w:bidi="ar-SA"/>
          </w:rPr>
          <w:tab/>
        </w:r>
        <w:r w:rsidR="00853F4C" w:rsidRPr="00853F4C">
          <w:rPr>
            <w:rStyle w:val="a8"/>
            <w:rFonts w:eastAsia="宋体"/>
            <w:noProof/>
            <w:sz w:val="21"/>
            <w:szCs w:val="21"/>
            <w:lang w:eastAsia="zh-CN"/>
          </w:rPr>
          <w:t>腐蚀试验</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_Toc91866312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10</w:t>
        </w:r>
        <w:r w:rsidR="00853F4C" w:rsidRPr="00853F4C">
          <w:rPr>
            <w:noProof/>
            <w:webHidden/>
            <w:sz w:val="21"/>
            <w:szCs w:val="21"/>
          </w:rPr>
          <w:fldChar w:fldCharType="end"/>
        </w:r>
      </w:hyperlink>
    </w:p>
    <w:p w14:paraId="7A4296C6" w14:textId="77777777" w:rsidR="00853F4C" w:rsidRPr="00853F4C" w:rsidRDefault="0016325C" w:rsidP="00853F4C">
      <w:pPr>
        <w:pStyle w:val="20"/>
        <w:tabs>
          <w:tab w:val="left" w:pos="960"/>
          <w:tab w:val="right" w:leader="dot" w:pos="9061"/>
        </w:tabs>
        <w:spacing w:beforeLines="50"/>
        <w:ind w:leftChars="200" w:left="920" w:hangingChars="200"/>
        <w:rPr>
          <w:rFonts w:eastAsiaTheme="minorEastAsia"/>
          <w:noProof/>
          <w:kern w:val="2"/>
          <w:sz w:val="21"/>
          <w:szCs w:val="21"/>
          <w:lang w:eastAsia="zh-CN" w:bidi="ar-SA"/>
        </w:rPr>
      </w:pPr>
      <w:hyperlink w:anchor="_Toc91866313" w:history="1">
        <w:r w:rsidR="00853F4C" w:rsidRPr="00853F4C">
          <w:rPr>
            <w:rStyle w:val="a8"/>
            <w:rFonts w:eastAsia="宋体"/>
            <w:noProof/>
            <w:sz w:val="21"/>
            <w:szCs w:val="21"/>
            <w:lang w:eastAsia="zh-CN"/>
          </w:rPr>
          <w:t>2.</w:t>
        </w:r>
        <w:r w:rsidR="00853F4C" w:rsidRPr="00853F4C">
          <w:rPr>
            <w:rFonts w:eastAsiaTheme="minorEastAsia"/>
            <w:noProof/>
            <w:kern w:val="2"/>
            <w:sz w:val="21"/>
            <w:szCs w:val="21"/>
            <w:lang w:eastAsia="zh-CN" w:bidi="ar-SA"/>
          </w:rPr>
          <w:tab/>
        </w:r>
        <w:r w:rsidR="00853F4C" w:rsidRPr="00853F4C">
          <w:rPr>
            <w:rStyle w:val="a8"/>
            <w:rFonts w:eastAsia="宋体"/>
            <w:noProof/>
            <w:sz w:val="21"/>
            <w:szCs w:val="21"/>
            <w:lang w:eastAsia="zh-CN"/>
          </w:rPr>
          <w:t>镍离子释放</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_Toc91866313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13</w:t>
        </w:r>
        <w:r w:rsidR="00853F4C" w:rsidRPr="00853F4C">
          <w:rPr>
            <w:noProof/>
            <w:webHidden/>
            <w:sz w:val="21"/>
            <w:szCs w:val="21"/>
          </w:rPr>
          <w:fldChar w:fldCharType="end"/>
        </w:r>
      </w:hyperlink>
    </w:p>
    <w:p w14:paraId="679F19B8" w14:textId="55006025" w:rsidR="00853F4C" w:rsidRPr="00853F4C" w:rsidRDefault="000B6BA1" w:rsidP="00853F4C">
      <w:pPr>
        <w:pStyle w:val="20"/>
        <w:tabs>
          <w:tab w:val="left" w:pos="960"/>
          <w:tab w:val="right" w:leader="dot" w:pos="9061"/>
        </w:tabs>
        <w:spacing w:beforeLines="50"/>
        <w:ind w:leftChars="200" w:left="920" w:hangingChars="200"/>
        <w:rPr>
          <w:rFonts w:eastAsiaTheme="minorEastAsia"/>
          <w:noProof/>
          <w:kern w:val="2"/>
          <w:sz w:val="21"/>
          <w:szCs w:val="21"/>
          <w:lang w:eastAsia="zh-CN" w:bidi="ar-SA"/>
        </w:rPr>
      </w:pPr>
      <w:hyperlink w:anchor="_Toc91866314" w:history="1">
        <w:r w:rsidR="00853F4C" w:rsidRPr="00853F4C">
          <w:rPr>
            <w:rStyle w:val="a8"/>
            <w:rFonts w:eastAsia="宋体"/>
            <w:noProof/>
            <w:sz w:val="21"/>
            <w:szCs w:val="21"/>
            <w:lang w:eastAsia="zh-CN"/>
          </w:rPr>
          <w:t>3.</w:t>
        </w:r>
        <w:r w:rsidR="00853F4C" w:rsidRPr="00853F4C">
          <w:rPr>
            <w:rFonts w:eastAsiaTheme="minorEastAsia"/>
            <w:noProof/>
            <w:kern w:val="2"/>
            <w:sz w:val="21"/>
            <w:szCs w:val="21"/>
            <w:lang w:eastAsia="zh-CN" w:bidi="ar-SA"/>
          </w:rPr>
          <w:tab/>
        </w:r>
        <w:r w:rsidR="00605A6C">
          <w:rPr>
            <w:rStyle w:val="a8"/>
            <w:rFonts w:eastAsia="宋体" w:hint="eastAsia"/>
            <w:noProof/>
            <w:sz w:val="21"/>
            <w:szCs w:val="21"/>
            <w:lang w:eastAsia="zh-CN"/>
          </w:rPr>
          <w:t>电偶</w:t>
        </w:r>
        <w:r w:rsidR="00853F4C" w:rsidRPr="00853F4C">
          <w:rPr>
            <w:rStyle w:val="a8"/>
            <w:rFonts w:eastAsia="宋体"/>
            <w:noProof/>
            <w:sz w:val="21"/>
            <w:szCs w:val="21"/>
            <w:lang w:eastAsia="zh-CN"/>
          </w:rPr>
          <w:t>腐蚀</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_Toc91866314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14</w:t>
        </w:r>
        <w:r w:rsidR="00853F4C" w:rsidRPr="00853F4C">
          <w:rPr>
            <w:noProof/>
            <w:webHidden/>
            <w:sz w:val="21"/>
            <w:szCs w:val="21"/>
          </w:rPr>
          <w:fldChar w:fldCharType="end"/>
        </w:r>
      </w:hyperlink>
    </w:p>
    <w:p w14:paraId="5DAAA858" w14:textId="77777777" w:rsidR="00853F4C" w:rsidRPr="00853F4C" w:rsidRDefault="0016325C" w:rsidP="00853F4C">
      <w:pPr>
        <w:pStyle w:val="20"/>
        <w:tabs>
          <w:tab w:val="left" w:pos="960"/>
          <w:tab w:val="right" w:leader="dot" w:pos="9061"/>
        </w:tabs>
        <w:spacing w:beforeLines="50"/>
        <w:ind w:leftChars="200" w:left="920" w:hangingChars="200"/>
        <w:rPr>
          <w:rFonts w:eastAsiaTheme="minorEastAsia"/>
          <w:noProof/>
          <w:kern w:val="2"/>
          <w:sz w:val="21"/>
          <w:szCs w:val="21"/>
          <w:lang w:eastAsia="zh-CN" w:bidi="ar-SA"/>
        </w:rPr>
      </w:pPr>
      <w:hyperlink w:anchor="_Toc91866315" w:history="1">
        <w:r w:rsidR="00853F4C" w:rsidRPr="00853F4C">
          <w:rPr>
            <w:rStyle w:val="a8"/>
            <w:rFonts w:eastAsia="宋体"/>
            <w:noProof/>
            <w:sz w:val="21"/>
            <w:szCs w:val="21"/>
            <w:lang w:eastAsia="zh-CN"/>
          </w:rPr>
          <w:t>D.</w:t>
        </w:r>
        <w:r w:rsidR="00853F4C" w:rsidRPr="00853F4C">
          <w:rPr>
            <w:rFonts w:eastAsiaTheme="minorEastAsia"/>
            <w:noProof/>
            <w:kern w:val="2"/>
            <w:sz w:val="21"/>
            <w:szCs w:val="21"/>
            <w:lang w:eastAsia="zh-CN" w:bidi="ar-SA"/>
          </w:rPr>
          <w:tab/>
        </w:r>
        <w:r w:rsidR="00853F4C" w:rsidRPr="00853F4C">
          <w:rPr>
            <w:rStyle w:val="a8"/>
            <w:rFonts w:eastAsia="宋体"/>
            <w:noProof/>
            <w:sz w:val="21"/>
            <w:szCs w:val="21"/>
            <w:lang w:eastAsia="zh-CN"/>
          </w:rPr>
          <w:t>生物相容性</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_Toc91866315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14</w:t>
        </w:r>
        <w:r w:rsidR="00853F4C" w:rsidRPr="00853F4C">
          <w:rPr>
            <w:noProof/>
            <w:webHidden/>
            <w:sz w:val="21"/>
            <w:szCs w:val="21"/>
          </w:rPr>
          <w:fldChar w:fldCharType="end"/>
        </w:r>
      </w:hyperlink>
    </w:p>
    <w:p w14:paraId="77092583" w14:textId="77777777" w:rsidR="00853F4C" w:rsidRPr="00853F4C" w:rsidRDefault="0016325C" w:rsidP="00853F4C">
      <w:pPr>
        <w:pStyle w:val="20"/>
        <w:tabs>
          <w:tab w:val="left" w:pos="960"/>
          <w:tab w:val="right" w:leader="dot" w:pos="9061"/>
        </w:tabs>
        <w:spacing w:beforeLines="50"/>
        <w:ind w:leftChars="200" w:left="920" w:hangingChars="200"/>
        <w:rPr>
          <w:rFonts w:eastAsiaTheme="minorEastAsia"/>
          <w:noProof/>
          <w:kern w:val="2"/>
          <w:sz w:val="21"/>
          <w:szCs w:val="21"/>
          <w:lang w:eastAsia="zh-CN" w:bidi="ar-SA"/>
        </w:rPr>
      </w:pPr>
      <w:hyperlink w:anchor="_Toc91866316" w:history="1">
        <w:r w:rsidR="00853F4C" w:rsidRPr="00853F4C">
          <w:rPr>
            <w:rStyle w:val="a8"/>
            <w:rFonts w:eastAsia="宋体"/>
            <w:noProof/>
            <w:sz w:val="21"/>
            <w:szCs w:val="21"/>
            <w:lang w:eastAsia="zh-CN"/>
          </w:rPr>
          <w:t>E.</w:t>
        </w:r>
        <w:r w:rsidR="00853F4C" w:rsidRPr="00853F4C">
          <w:rPr>
            <w:rFonts w:eastAsiaTheme="minorEastAsia"/>
            <w:noProof/>
            <w:kern w:val="2"/>
            <w:sz w:val="21"/>
            <w:szCs w:val="21"/>
            <w:lang w:eastAsia="zh-CN" w:bidi="ar-SA"/>
          </w:rPr>
          <w:tab/>
        </w:r>
        <w:r w:rsidR="00853F4C" w:rsidRPr="00853F4C">
          <w:rPr>
            <w:rStyle w:val="a8"/>
            <w:rFonts w:eastAsia="宋体"/>
            <w:noProof/>
            <w:sz w:val="21"/>
            <w:szCs w:val="21"/>
            <w:lang w:eastAsia="zh-CN"/>
          </w:rPr>
          <w:t>标签</w:t>
        </w:r>
        <w:r w:rsidR="00853F4C" w:rsidRPr="00853F4C">
          <w:rPr>
            <w:rStyle w:val="a8"/>
            <w:rFonts w:eastAsia="宋体"/>
            <w:noProof/>
            <w:sz w:val="21"/>
            <w:szCs w:val="21"/>
            <w:lang w:eastAsia="zh-CN"/>
          </w:rPr>
          <w:t>-</w:t>
        </w:r>
        <w:r w:rsidR="00853F4C" w:rsidRPr="00853F4C">
          <w:rPr>
            <w:rStyle w:val="a8"/>
            <w:rFonts w:eastAsia="宋体"/>
            <w:noProof/>
            <w:sz w:val="21"/>
            <w:szCs w:val="21"/>
            <w:lang w:eastAsia="zh-CN"/>
          </w:rPr>
          <w:t>警告</w:t>
        </w:r>
        <w:r w:rsidR="00853F4C" w:rsidRPr="00853F4C">
          <w:rPr>
            <w:noProof/>
            <w:webHidden/>
            <w:sz w:val="21"/>
            <w:szCs w:val="21"/>
          </w:rPr>
          <w:tab/>
        </w:r>
        <w:r w:rsidR="00853F4C" w:rsidRPr="00853F4C">
          <w:rPr>
            <w:noProof/>
            <w:webHidden/>
            <w:sz w:val="21"/>
            <w:szCs w:val="21"/>
          </w:rPr>
          <w:fldChar w:fldCharType="begin"/>
        </w:r>
        <w:r w:rsidR="00853F4C" w:rsidRPr="00853F4C">
          <w:rPr>
            <w:noProof/>
            <w:webHidden/>
            <w:sz w:val="21"/>
            <w:szCs w:val="21"/>
          </w:rPr>
          <w:instrText xml:space="preserve"> PAGEREF _Toc91866316 \h </w:instrText>
        </w:r>
        <w:r w:rsidR="00853F4C" w:rsidRPr="00853F4C">
          <w:rPr>
            <w:noProof/>
            <w:webHidden/>
            <w:sz w:val="21"/>
            <w:szCs w:val="21"/>
          </w:rPr>
        </w:r>
        <w:r w:rsidR="00853F4C" w:rsidRPr="00853F4C">
          <w:rPr>
            <w:noProof/>
            <w:webHidden/>
            <w:sz w:val="21"/>
            <w:szCs w:val="21"/>
          </w:rPr>
          <w:fldChar w:fldCharType="separate"/>
        </w:r>
        <w:r w:rsidR="00224D91">
          <w:rPr>
            <w:noProof/>
            <w:webHidden/>
            <w:sz w:val="21"/>
            <w:szCs w:val="21"/>
          </w:rPr>
          <w:t>15</w:t>
        </w:r>
        <w:r w:rsidR="00853F4C" w:rsidRPr="00853F4C">
          <w:rPr>
            <w:noProof/>
            <w:webHidden/>
            <w:sz w:val="21"/>
            <w:szCs w:val="21"/>
          </w:rPr>
          <w:fldChar w:fldCharType="end"/>
        </w:r>
      </w:hyperlink>
    </w:p>
    <w:p w14:paraId="4D224C3D" w14:textId="77777777" w:rsidR="00016046" w:rsidRDefault="00155A6B" w:rsidP="002914F0">
      <w:pPr>
        <w:adjustRightInd w:val="0"/>
        <w:snapToGrid w:val="0"/>
        <w:spacing w:beforeLines="50" w:before="120" w:line="300" w:lineRule="auto"/>
        <w:jc w:val="both"/>
        <w:rPr>
          <w:rFonts w:eastAsiaTheme="minorEastAsia"/>
          <w:sz w:val="21"/>
          <w:szCs w:val="21"/>
          <w:lang w:eastAsia="zh-CN"/>
        </w:rPr>
      </w:pPr>
      <w:r>
        <w:rPr>
          <w:rFonts w:eastAsiaTheme="minorEastAsia"/>
          <w:sz w:val="21"/>
          <w:szCs w:val="21"/>
          <w:lang w:eastAsia="zh-CN"/>
        </w:rPr>
        <w:fldChar w:fldCharType="end"/>
      </w:r>
    </w:p>
    <w:p w14:paraId="4B723DD5" w14:textId="77777777" w:rsidR="00016046" w:rsidRDefault="00016046" w:rsidP="002914F0">
      <w:pPr>
        <w:adjustRightInd w:val="0"/>
        <w:snapToGrid w:val="0"/>
        <w:spacing w:beforeLines="50" w:before="120" w:line="300" w:lineRule="auto"/>
        <w:jc w:val="both"/>
        <w:rPr>
          <w:sz w:val="21"/>
          <w:szCs w:val="21"/>
        </w:rPr>
        <w:sectPr w:rsidR="00016046" w:rsidSect="002914F0">
          <w:headerReference w:type="default" r:id="rId10"/>
          <w:pgSz w:w="11907" w:h="16840" w:code="9"/>
          <w:pgMar w:top="1418" w:right="1418" w:bottom="1418" w:left="1418" w:header="720" w:footer="720" w:gutter="0"/>
          <w:cols w:space="720"/>
        </w:sectPr>
      </w:pPr>
    </w:p>
    <w:p w14:paraId="4C74734F" w14:textId="5433FBAF" w:rsidR="001C7982" w:rsidRDefault="00DC536B" w:rsidP="00515046">
      <w:pPr>
        <w:adjustRightInd w:val="0"/>
        <w:snapToGrid w:val="0"/>
        <w:spacing w:beforeLines="50" w:before="120" w:line="300" w:lineRule="auto"/>
        <w:jc w:val="center"/>
        <w:rPr>
          <w:rFonts w:eastAsia="宋体" w:cs="宋体"/>
          <w:b/>
          <w:sz w:val="52"/>
          <w:lang w:eastAsia="zh-CN"/>
        </w:rPr>
      </w:pPr>
      <w:r w:rsidRPr="003277D0">
        <w:rPr>
          <w:rFonts w:eastAsia="宋体" w:cs="宋体"/>
          <w:b/>
          <w:sz w:val="52"/>
          <w:lang w:eastAsia="zh-CN"/>
        </w:rPr>
        <w:lastRenderedPageBreak/>
        <w:t>含镍钛合金医疗器械非临床评估的技术</w:t>
      </w:r>
      <w:r w:rsidR="009C40FF">
        <w:rPr>
          <w:rFonts w:eastAsia="宋体" w:cs="宋体" w:hint="eastAsia"/>
          <w:b/>
          <w:sz w:val="52"/>
          <w:lang w:eastAsia="zh-CN"/>
        </w:rPr>
        <w:t>考虑</w:t>
      </w:r>
    </w:p>
    <w:p w14:paraId="661F9DF3" w14:textId="2A787A89" w:rsidR="00515046" w:rsidRPr="00515046" w:rsidRDefault="00DC536B" w:rsidP="00515046">
      <w:pPr>
        <w:adjustRightInd w:val="0"/>
        <w:snapToGrid w:val="0"/>
        <w:spacing w:beforeLines="50" w:before="120" w:line="300" w:lineRule="auto"/>
        <w:jc w:val="center"/>
        <w:rPr>
          <w:b/>
          <w:sz w:val="52"/>
          <w:szCs w:val="21"/>
          <w:lang w:eastAsia="zh-CN"/>
        </w:rPr>
      </w:pPr>
      <w:r w:rsidRPr="003277D0">
        <w:rPr>
          <w:rFonts w:eastAsia="宋体" w:cs="宋体"/>
          <w:b/>
          <w:sz w:val="52"/>
          <w:lang w:eastAsia="zh-CN"/>
        </w:rPr>
        <w:t>行业</w:t>
      </w:r>
      <w:r w:rsidR="00515046">
        <w:rPr>
          <w:rFonts w:eastAsia="宋体" w:cs="宋体" w:hint="eastAsia"/>
          <w:b/>
          <w:sz w:val="52"/>
          <w:lang w:eastAsia="zh-CN"/>
        </w:rPr>
        <w:t>及</w:t>
      </w:r>
      <w:r w:rsidR="005A061B">
        <w:rPr>
          <w:rFonts w:eastAsia="宋体" w:cs="宋体"/>
          <w:b/>
          <w:sz w:val="52"/>
          <w:lang w:eastAsia="zh-CN"/>
        </w:rPr>
        <w:t>美国食品药品监督管理局</w:t>
      </w:r>
      <w:r w:rsidRPr="003277D0">
        <w:rPr>
          <w:rFonts w:eastAsia="宋体" w:cs="宋体"/>
          <w:b/>
          <w:sz w:val="52"/>
          <w:lang w:eastAsia="zh-CN"/>
        </w:rPr>
        <w:t>工作人员指南</w:t>
      </w:r>
    </w:p>
    <w:tbl>
      <w:tblPr>
        <w:tblStyle w:val="TableNormal"/>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DC536B" w:rsidRPr="00DC536B" w14:paraId="02A63324" w14:textId="77777777" w:rsidTr="00DC536B">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auto"/>
          </w:tcPr>
          <w:p w14:paraId="0167B562" w14:textId="0836E310" w:rsidR="00DC536B" w:rsidRPr="00447D9B" w:rsidRDefault="00303236" w:rsidP="001C7982">
            <w:pPr>
              <w:pStyle w:val="a3"/>
              <w:adjustRightInd w:val="0"/>
              <w:snapToGrid w:val="0"/>
              <w:spacing w:beforeLines="50" w:before="120" w:line="300" w:lineRule="auto"/>
              <w:jc w:val="both"/>
              <w:rPr>
                <w:b/>
                <w:i/>
                <w:sz w:val="21"/>
                <w:szCs w:val="21"/>
                <w:lang w:eastAsia="zh-CN"/>
              </w:rPr>
            </w:pPr>
            <w:r>
              <w:rPr>
                <w:rFonts w:eastAsia="宋体" w:cs="宋体" w:hint="eastAsia"/>
                <w:b/>
                <w:i/>
                <w:sz w:val="21"/>
                <w:lang w:eastAsia="zh-CN"/>
              </w:rPr>
              <w:t>本指南</w:t>
            </w:r>
            <w:r w:rsidR="00D11C20" w:rsidRPr="00D11C20">
              <w:rPr>
                <w:rFonts w:eastAsia="宋体" w:cs="宋体" w:hint="eastAsia"/>
                <w:b/>
                <w:i/>
                <w:sz w:val="21"/>
                <w:lang w:eastAsia="zh-CN"/>
              </w:rPr>
              <w:t>代表食品药品管理局（</w:t>
            </w:r>
            <w:r w:rsidR="00D11C20" w:rsidRPr="00D11C20">
              <w:rPr>
                <w:rFonts w:eastAsia="宋体" w:cs="宋体"/>
                <w:b/>
                <w:i/>
                <w:sz w:val="21"/>
                <w:lang w:eastAsia="zh-CN"/>
              </w:rPr>
              <w:t>FDA</w:t>
            </w:r>
            <w:r w:rsidR="00FF4B63">
              <w:rPr>
                <w:rFonts w:eastAsia="宋体" w:cs="宋体" w:hint="eastAsia"/>
                <w:b/>
                <w:i/>
                <w:sz w:val="21"/>
                <w:lang w:eastAsia="zh-CN"/>
              </w:rPr>
              <w:t>或</w:t>
            </w:r>
            <w:r w:rsidR="001C7982">
              <w:rPr>
                <w:rFonts w:eastAsia="宋体" w:cs="宋体" w:hint="eastAsia"/>
                <w:b/>
                <w:i/>
                <w:sz w:val="21"/>
                <w:lang w:eastAsia="zh-CN"/>
              </w:rPr>
              <w:t>本</w:t>
            </w:r>
            <w:r w:rsidR="00FF4B63">
              <w:rPr>
                <w:rFonts w:eastAsia="宋体" w:cs="宋体" w:hint="eastAsia"/>
                <w:b/>
                <w:i/>
                <w:sz w:val="21"/>
                <w:lang w:eastAsia="zh-CN"/>
              </w:rPr>
              <w:t>机构</w:t>
            </w:r>
            <w:r w:rsidR="00D11C20" w:rsidRPr="00D11C20">
              <w:rPr>
                <w:rFonts w:eastAsia="宋体" w:cs="宋体" w:hint="eastAsia"/>
                <w:b/>
                <w:i/>
                <w:sz w:val="21"/>
                <w:lang w:eastAsia="zh-CN"/>
              </w:rPr>
              <w:t>）目前关于该主题的思考。其不会为任何人创造或赋予任何权利，也不会对</w:t>
            </w:r>
            <w:r w:rsidR="00D11C20" w:rsidRPr="00D11C20">
              <w:rPr>
                <w:rFonts w:eastAsia="宋体" w:cs="宋体"/>
                <w:b/>
                <w:i/>
                <w:sz w:val="21"/>
                <w:lang w:eastAsia="zh-CN"/>
              </w:rPr>
              <w:t>FDA</w:t>
            </w:r>
            <w:r w:rsidR="00D11C20" w:rsidRPr="00D11C20">
              <w:rPr>
                <w:rFonts w:eastAsia="宋体" w:cs="宋体" w:hint="eastAsia"/>
                <w:b/>
                <w:i/>
                <w:sz w:val="21"/>
                <w:lang w:eastAsia="zh-CN"/>
              </w:rPr>
              <w:t>或公众产生约束。如果</w:t>
            </w:r>
            <w:r w:rsidR="00441085">
              <w:rPr>
                <w:rFonts w:eastAsia="宋体" w:cs="宋体" w:hint="eastAsia"/>
                <w:b/>
                <w:i/>
                <w:sz w:val="21"/>
                <w:lang w:eastAsia="zh-CN"/>
              </w:rPr>
              <w:t>可</w:t>
            </w:r>
            <w:r w:rsidR="00D11C20" w:rsidRPr="00D11C20">
              <w:rPr>
                <w:rFonts w:eastAsia="宋体" w:cs="宋体" w:hint="eastAsia"/>
                <w:b/>
                <w:i/>
                <w:sz w:val="21"/>
                <w:lang w:eastAsia="zh-CN"/>
              </w:rPr>
              <w:t>替代方法满足适用的法律法规的要求，则可以使用该方法。如需讨论替代方法，请联系</w:t>
            </w:r>
            <w:r w:rsidR="001419FA">
              <w:rPr>
                <w:rFonts w:eastAsia="宋体" w:cs="宋体" w:hint="eastAsia"/>
                <w:b/>
                <w:i/>
                <w:sz w:val="21"/>
                <w:lang w:eastAsia="zh-CN"/>
              </w:rPr>
              <w:t>标题</w:t>
            </w:r>
            <w:r w:rsidR="00D11C20" w:rsidRPr="00D11C20">
              <w:rPr>
                <w:rFonts w:eastAsia="宋体" w:cs="宋体" w:hint="eastAsia"/>
                <w:b/>
                <w:i/>
                <w:sz w:val="21"/>
                <w:lang w:eastAsia="zh-CN"/>
              </w:rPr>
              <w:t>页负责实施本指南文件的</w:t>
            </w:r>
            <w:r w:rsidR="00D11C20" w:rsidRPr="00D11C20">
              <w:rPr>
                <w:rFonts w:eastAsia="宋体" w:cs="宋体"/>
                <w:b/>
                <w:i/>
                <w:sz w:val="21"/>
                <w:lang w:eastAsia="zh-CN"/>
              </w:rPr>
              <w:t>FDA</w:t>
            </w:r>
            <w:r w:rsidR="00D11C20" w:rsidRPr="00D11C20">
              <w:rPr>
                <w:rFonts w:eastAsia="宋体" w:cs="宋体" w:hint="eastAsia"/>
                <w:b/>
                <w:i/>
                <w:sz w:val="21"/>
                <w:lang w:eastAsia="zh-CN"/>
              </w:rPr>
              <w:t>工作人员或办公室。</w:t>
            </w:r>
          </w:p>
        </w:tc>
      </w:tr>
    </w:tbl>
    <w:p w14:paraId="3D04AAF2" w14:textId="77777777" w:rsidR="00D020CF" w:rsidRPr="00DC536B" w:rsidRDefault="002914F0" w:rsidP="00DC536B">
      <w:pPr>
        <w:pStyle w:val="a3"/>
        <w:adjustRightInd w:val="0"/>
        <w:snapToGrid w:val="0"/>
        <w:spacing w:beforeLines="50" w:before="120" w:line="300" w:lineRule="auto"/>
        <w:ind w:left="843" w:hangingChars="300" w:hanging="843"/>
        <w:jc w:val="both"/>
        <w:outlineLvl w:val="0"/>
        <w:rPr>
          <w:b/>
          <w:sz w:val="28"/>
          <w:szCs w:val="21"/>
          <w:lang w:eastAsia="zh-CN"/>
        </w:rPr>
      </w:pPr>
      <w:bookmarkStart w:id="0" w:name="_Toc91866306"/>
      <w:r w:rsidRPr="003277D0">
        <w:rPr>
          <w:rFonts w:eastAsia="宋体" w:cs="宋体"/>
          <w:b/>
          <w:sz w:val="28"/>
          <w:lang w:eastAsia="zh-CN"/>
        </w:rPr>
        <w:t>I.</w:t>
      </w:r>
      <w:r w:rsidRPr="003277D0">
        <w:rPr>
          <w:rFonts w:eastAsia="宋体" w:cs="宋体"/>
          <w:b/>
          <w:lang w:eastAsia="zh-CN"/>
        </w:rPr>
        <w:tab/>
      </w:r>
      <w:r w:rsidRPr="003277D0">
        <w:rPr>
          <w:rFonts w:eastAsia="宋体" w:cs="宋体"/>
          <w:b/>
          <w:sz w:val="28"/>
          <w:lang w:eastAsia="zh-CN"/>
        </w:rPr>
        <w:t>引言和范围</w:t>
      </w:r>
      <w:bookmarkEnd w:id="0"/>
    </w:p>
    <w:p w14:paraId="771ED419" w14:textId="3CB186B3" w:rsidR="002914F0" w:rsidRDefault="004F06FE" w:rsidP="002914F0">
      <w:pPr>
        <w:pStyle w:val="a3"/>
        <w:adjustRightInd w:val="0"/>
        <w:snapToGrid w:val="0"/>
        <w:spacing w:beforeLines="50" w:before="120" w:line="300" w:lineRule="auto"/>
        <w:jc w:val="both"/>
        <w:rPr>
          <w:sz w:val="21"/>
          <w:szCs w:val="21"/>
          <w:lang w:eastAsia="zh-CN"/>
        </w:rPr>
      </w:pPr>
      <w:r w:rsidRPr="003277D0">
        <w:rPr>
          <w:rFonts w:eastAsia="宋体" w:cs="宋体"/>
          <w:sz w:val="21"/>
          <w:lang w:eastAsia="zh-CN"/>
        </w:rPr>
        <w:t>镍钛合金是一种由几乎等原子量的镍和钛组成的合金，是医疗器械行业中常用的材料。器械制造商利用镍钛合金的独特性能（例如伪弹性和形状记忆特性）设计了传统材料无法实现的创新医疗器械。镍钛合金已广泛应用于支架、心脏瓣膜、导丝和腔静脉滤器等心血管医疗器械。镍钛合金在其他器械领域的应用与日俱增，预期用于微创手术的产品尤为突出。</w:t>
      </w:r>
      <w:r w:rsidRPr="003277D0">
        <w:rPr>
          <w:rFonts w:eastAsia="宋体" w:cs="宋体"/>
          <w:sz w:val="21"/>
          <w:vertAlign w:val="superscript"/>
          <w:lang w:eastAsia="zh-CN"/>
        </w:rPr>
        <w:t>1</w:t>
      </w:r>
      <w:r w:rsidRPr="003277D0">
        <w:rPr>
          <w:rFonts w:eastAsia="宋体" w:cs="宋体"/>
          <w:sz w:val="21"/>
          <w:lang w:eastAsia="zh-CN"/>
        </w:rPr>
        <w:t>与不锈钢、钛或钴铬合金等传统金属相比，镍钛合金的热力学特性和加工敏感性</w:t>
      </w:r>
      <w:r w:rsidR="00615CC4">
        <w:rPr>
          <w:rFonts w:eastAsia="宋体" w:cs="宋体" w:hint="eastAsia"/>
          <w:sz w:val="21"/>
          <w:lang w:eastAsia="zh-CN"/>
        </w:rPr>
        <w:t>需</w:t>
      </w:r>
      <w:r w:rsidRPr="003277D0">
        <w:rPr>
          <w:rFonts w:eastAsia="宋体" w:cs="宋体"/>
          <w:sz w:val="21"/>
          <w:lang w:eastAsia="zh-CN"/>
        </w:rPr>
        <w:t>特殊考虑。鉴于镍钛合金的独特性能，</w:t>
      </w:r>
      <w:r w:rsidRPr="003277D0">
        <w:rPr>
          <w:rFonts w:eastAsia="宋体" w:cs="宋体"/>
          <w:sz w:val="21"/>
          <w:lang w:eastAsia="zh-CN"/>
        </w:rPr>
        <w:t>FDA</w:t>
      </w:r>
      <w:r w:rsidRPr="003277D0">
        <w:rPr>
          <w:rFonts w:eastAsia="宋体" w:cs="宋体"/>
          <w:sz w:val="21"/>
          <w:lang w:eastAsia="zh-CN"/>
        </w:rPr>
        <w:t>编制了本指南，旨在提供</w:t>
      </w:r>
      <w:r w:rsidRPr="003277D0">
        <w:rPr>
          <w:rFonts w:eastAsia="宋体" w:cs="宋体"/>
          <w:sz w:val="21"/>
          <w:lang w:eastAsia="zh-CN"/>
        </w:rPr>
        <w:t>FDA</w:t>
      </w:r>
      <w:r w:rsidRPr="003277D0">
        <w:rPr>
          <w:rFonts w:eastAsia="宋体" w:cs="宋体"/>
          <w:sz w:val="21"/>
          <w:lang w:eastAsia="zh-CN"/>
        </w:rPr>
        <w:t>目前对使用镍钛合金的器械</w:t>
      </w:r>
      <w:r w:rsidR="00D142A6">
        <w:rPr>
          <w:rFonts w:eastAsia="宋体" w:cs="宋体" w:hint="eastAsia"/>
          <w:sz w:val="21"/>
          <w:lang w:eastAsia="zh-CN"/>
        </w:rPr>
        <w:t>因</w:t>
      </w:r>
      <w:r w:rsidRPr="003277D0">
        <w:rPr>
          <w:rFonts w:eastAsia="宋体" w:cs="宋体"/>
          <w:sz w:val="21"/>
          <w:lang w:eastAsia="zh-CN"/>
        </w:rPr>
        <w:t>特定技术</w:t>
      </w:r>
      <w:r w:rsidR="00F176F1">
        <w:rPr>
          <w:rFonts w:eastAsia="宋体" w:cs="宋体" w:hint="eastAsia"/>
          <w:sz w:val="21"/>
          <w:lang w:eastAsia="zh-CN"/>
        </w:rPr>
        <w:t>需</w:t>
      </w:r>
      <w:r w:rsidRPr="003277D0">
        <w:rPr>
          <w:rFonts w:eastAsia="宋体" w:cs="宋体"/>
          <w:sz w:val="21"/>
          <w:lang w:eastAsia="zh-CN"/>
        </w:rPr>
        <w:t>考虑</w:t>
      </w:r>
      <w:r w:rsidR="00F176F1">
        <w:rPr>
          <w:rFonts w:eastAsia="宋体" w:cs="宋体" w:hint="eastAsia"/>
          <w:sz w:val="21"/>
          <w:lang w:eastAsia="zh-CN"/>
        </w:rPr>
        <w:t>的</w:t>
      </w:r>
      <w:r w:rsidRPr="003277D0">
        <w:rPr>
          <w:rFonts w:eastAsia="宋体" w:cs="宋体"/>
          <w:sz w:val="21"/>
          <w:lang w:eastAsia="zh-CN"/>
        </w:rPr>
        <w:t>因素。应结合器械的预期用途和技术特征以及任何相关器械特定指南对本文件中的建议进行评价。本指南的目的是概述至少有</w:t>
      </w:r>
      <w:proofErr w:type="gramStart"/>
      <w:r w:rsidRPr="003277D0">
        <w:rPr>
          <w:rFonts w:eastAsia="宋体" w:cs="宋体"/>
          <w:sz w:val="21"/>
          <w:lang w:eastAsia="zh-CN"/>
        </w:rPr>
        <w:t>一个由镍钛合金</w:t>
      </w:r>
      <w:proofErr w:type="gramEnd"/>
      <w:r w:rsidR="00993FA3">
        <w:rPr>
          <w:rFonts w:eastAsia="宋体" w:cs="宋体" w:hint="eastAsia"/>
          <w:sz w:val="21"/>
          <w:lang w:eastAsia="zh-CN"/>
        </w:rPr>
        <w:t>部件</w:t>
      </w:r>
      <w:r w:rsidRPr="003277D0">
        <w:rPr>
          <w:rFonts w:eastAsia="宋体" w:cs="宋体"/>
          <w:sz w:val="21"/>
          <w:lang w:eastAsia="zh-CN"/>
        </w:rPr>
        <w:t>组成</w:t>
      </w:r>
      <w:r w:rsidR="00286253">
        <w:rPr>
          <w:rFonts w:eastAsia="宋体" w:cs="宋体" w:hint="eastAsia"/>
          <w:sz w:val="21"/>
          <w:lang w:eastAsia="zh-CN"/>
        </w:rPr>
        <w:t>且与</w:t>
      </w:r>
      <w:r w:rsidRPr="003277D0">
        <w:rPr>
          <w:rFonts w:eastAsia="宋体" w:cs="宋体"/>
          <w:sz w:val="21"/>
          <w:lang w:eastAsia="zh-CN"/>
        </w:rPr>
        <w:t>患者接触的医疗器械</w:t>
      </w:r>
      <w:r w:rsidR="00F96834">
        <w:rPr>
          <w:rFonts w:eastAsia="宋体" w:cs="宋体" w:hint="eastAsia"/>
          <w:sz w:val="21"/>
          <w:lang w:eastAsia="zh-CN"/>
        </w:rPr>
        <w:t>的</w:t>
      </w:r>
      <w:r w:rsidRPr="003277D0">
        <w:rPr>
          <w:rFonts w:eastAsia="宋体" w:cs="宋体"/>
          <w:sz w:val="21"/>
          <w:lang w:eastAsia="zh-CN"/>
        </w:rPr>
        <w:t>相关技术</w:t>
      </w:r>
      <w:r w:rsidR="009C40FF">
        <w:rPr>
          <w:rFonts w:eastAsia="宋体" w:cs="宋体" w:hint="eastAsia"/>
          <w:sz w:val="21"/>
          <w:lang w:eastAsia="zh-CN"/>
        </w:rPr>
        <w:t>考虑</w:t>
      </w:r>
      <w:r w:rsidR="000D5545">
        <w:rPr>
          <w:rFonts w:eastAsia="宋体" w:cs="宋体" w:hint="eastAsia"/>
          <w:sz w:val="21"/>
          <w:lang w:eastAsia="zh-CN"/>
        </w:rPr>
        <w:t>因素</w:t>
      </w:r>
      <w:r w:rsidRPr="003277D0">
        <w:rPr>
          <w:rFonts w:eastAsia="宋体" w:cs="宋体"/>
          <w:sz w:val="21"/>
          <w:lang w:eastAsia="zh-CN"/>
        </w:rPr>
        <w:t>。</w:t>
      </w:r>
    </w:p>
    <w:p w14:paraId="2BCF64DA" w14:textId="590DB650" w:rsidR="00C31DF8" w:rsidRDefault="004F06FE" w:rsidP="00C31DF8">
      <w:pPr>
        <w:pStyle w:val="a3"/>
        <w:adjustRightInd w:val="0"/>
        <w:snapToGrid w:val="0"/>
        <w:spacing w:beforeLines="50" w:before="120" w:line="300" w:lineRule="auto"/>
        <w:jc w:val="both"/>
        <w:rPr>
          <w:sz w:val="21"/>
          <w:szCs w:val="21"/>
        </w:rPr>
      </w:pPr>
      <w:r w:rsidRPr="003277D0">
        <w:rPr>
          <w:rFonts w:eastAsia="宋体" w:cs="宋体"/>
          <w:sz w:val="21"/>
          <w:lang w:eastAsia="zh-CN"/>
        </w:rPr>
        <w:t>如需了解本文件中引用的</w:t>
      </w:r>
      <w:r w:rsidRPr="003277D0">
        <w:rPr>
          <w:rFonts w:eastAsia="宋体" w:cs="宋体"/>
          <w:sz w:val="21"/>
          <w:lang w:eastAsia="zh-CN"/>
        </w:rPr>
        <w:t>FDA</w:t>
      </w:r>
      <w:r w:rsidRPr="003277D0">
        <w:rPr>
          <w:rFonts w:eastAsia="宋体" w:cs="宋体"/>
          <w:sz w:val="21"/>
          <w:lang w:eastAsia="zh-CN"/>
        </w:rPr>
        <w:t>认可标准的现行版本，请参见</w:t>
      </w:r>
      <w:r w:rsidRPr="003277D0">
        <w:rPr>
          <w:rFonts w:eastAsia="宋体" w:cs="宋体"/>
          <w:color w:val="0000FF"/>
          <w:sz w:val="21"/>
          <w:u w:val="single"/>
          <w:lang w:eastAsia="zh-CN"/>
        </w:rPr>
        <w:t>FDA</w:t>
      </w:r>
      <w:r w:rsidRPr="003277D0">
        <w:rPr>
          <w:rFonts w:eastAsia="宋体" w:cs="宋体"/>
          <w:color w:val="0000FF"/>
          <w:sz w:val="21"/>
          <w:u w:val="single"/>
          <w:lang w:eastAsia="zh-CN"/>
        </w:rPr>
        <w:t>认可的共识标准数据库</w:t>
      </w:r>
      <w:r w:rsidRPr="003277D0">
        <w:rPr>
          <w:rFonts w:eastAsia="宋体" w:cs="宋体"/>
          <w:sz w:val="21"/>
          <w:lang w:eastAsia="zh-CN"/>
        </w:rPr>
        <w:t>。</w:t>
      </w:r>
      <w:r w:rsidRPr="003277D0">
        <w:rPr>
          <w:rFonts w:eastAsia="宋体" w:cs="宋体"/>
          <w:sz w:val="21"/>
          <w:vertAlign w:val="superscript"/>
          <w:lang w:eastAsia="zh-CN"/>
        </w:rPr>
        <w:t>2</w:t>
      </w:r>
      <w:r w:rsidRPr="003277D0">
        <w:rPr>
          <w:rFonts w:eastAsia="宋体" w:cs="宋体"/>
          <w:sz w:val="21"/>
          <w:lang w:eastAsia="zh-CN"/>
        </w:rPr>
        <w:t>有关共识标准在医疗器械上市前申请的准备和评价中的合理使用的更多信息，请参见《</w:t>
      </w:r>
      <w:r w:rsidRPr="003277D0">
        <w:rPr>
          <w:rFonts w:eastAsia="宋体" w:cs="宋体"/>
          <w:color w:val="0000FF"/>
          <w:sz w:val="21"/>
          <w:u w:val="single"/>
          <w:lang w:eastAsia="zh-CN"/>
        </w:rPr>
        <w:t>自愿共识标准在医疗器械上市前申请中的合理使用</w:t>
      </w:r>
      <w:r w:rsidRPr="003277D0">
        <w:rPr>
          <w:rFonts w:eastAsia="宋体" w:cs="宋体"/>
          <w:sz w:val="21"/>
          <w:lang w:eastAsia="zh-CN"/>
        </w:rPr>
        <w:t>》指南。</w:t>
      </w:r>
      <w:r w:rsidRPr="003277D0">
        <w:rPr>
          <w:rFonts w:eastAsia="宋体" w:cs="宋体"/>
          <w:sz w:val="21"/>
          <w:vertAlign w:val="superscript"/>
        </w:rPr>
        <w:t>3</w:t>
      </w:r>
    </w:p>
    <w:p w14:paraId="0A1D66E5" w14:textId="7DED62C1" w:rsidR="00AF2411" w:rsidRPr="00AF2411" w:rsidRDefault="00AF2411" w:rsidP="00853F4C">
      <w:pPr>
        <w:adjustRightInd w:val="0"/>
        <w:snapToGrid w:val="0"/>
        <w:spacing w:beforeLines="1200" w:before="2880" w:line="300" w:lineRule="auto"/>
        <w:jc w:val="both"/>
        <w:rPr>
          <w:rFonts w:eastAsiaTheme="minorEastAsia"/>
          <w:sz w:val="21"/>
          <w:szCs w:val="21"/>
          <w:lang w:eastAsia="zh-CN"/>
        </w:rPr>
      </w:pPr>
      <w:r w:rsidRPr="003277D0">
        <w:rPr>
          <w:rFonts w:eastAsia="宋体" w:cs="宋体"/>
          <w:sz w:val="21"/>
        </w:rPr>
        <w:t>______________________________</w:t>
      </w:r>
    </w:p>
    <w:p w14:paraId="7886A32A" w14:textId="4269A7BD" w:rsidR="00D020CF" w:rsidRPr="00AF2411" w:rsidRDefault="004F06FE" w:rsidP="00AF2411">
      <w:pPr>
        <w:adjustRightInd w:val="0"/>
        <w:snapToGrid w:val="0"/>
        <w:spacing w:beforeLines="15" w:before="36" w:line="276" w:lineRule="auto"/>
        <w:jc w:val="both"/>
        <w:rPr>
          <w:sz w:val="18"/>
          <w:szCs w:val="18"/>
        </w:rPr>
      </w:pPr>
      <w:r w:rsidRPr="003277D0">
        <w:rPr>
          <w:rFonts w:eastAsia="宋体" w:cs="宋体"/>
          <w:sz w:val="18"/>
          <w:vertAlign w:val="superscript"/>
        </w:rPr>
        <w:t>1</w:t>
      </w:r>
      <w:r w:rsidRPr="003277D0">
        <w:rPr>
          <w:rFonts w:eastAsia="宋体" w:cs="宋体"/>
          <w:sz w:val="18"/>
        </w:rPr>
        <w:t xml:space="preserve"> </w:t>
      </w:r>
      <w:proofErr w:type="spellStart"/>
      <w:r w:rsidRPr="003277D0">
        <w:rPr>
          <w:rFonts w:eastAsia="宋体" w:cs="宋体"/>
          <w:sz w:val="18"/>
        </w:rPr>
        <w:t>Duerig</w:t>
      </w:r>
      <w:proofErr w:type="spellEnd"/>
      <w:r w:rsidRPr="003277D0">
        <w:rPr>
          <w:rFonts w:eastAsia="宋体" w:cs="宋体"/>
          <w:sz w:val="18"/>
        </w:rPr>
        <w:t xml:space="preserve"> T, Pelton A, </w:t>
      </w:r>
      <w:proofErr w:type="spellStart"/>
      <w:r w:rsidRPr="003277D0">
        <w:rPr>
          <w:rFonts w:eastAsia="宋体" w:cs="宋体"/>
          <w:sz w:val="18"/>
        </w:rPr>
        <w:t>Stöckel</w:t>
      </w:r>
      <w:proofErr w:type="spellEnd"/>
      <w:r w:rsidRPr="003277D0">
        <w:rPr>
          <w:rFonts w:eastAsia="宋体" w:cs="宋体"/>
          <w:sz w:val="18"/>
        </w:rPr>
        <w:t xml:space="preserve"> D.</w:t>
      </w:r>
      <w:r w:rsidR="00EB694F">
        <w:rPr>
          <w:rFonts w:eastAsia="宋体" w:cs="宋体"/>
          <w:sz w:val="18"/>
        </w:rPr>
        <w:t xml:space="preserve"> </w:t>
      </w:r>
      <w:r w:rsidRPr="003277D0">
        <w:rPr>
          <w:rFonts w:eastAsia="宋体" w:cs="宋体"/>
          <w:sz w:val="18"/>
        </w:rPr>
        <w:t>An overview of nitinol medical applications.</w:t>
      </w:r>
      <w:r w:rsidR="00EB694F">
        <w:rPr>
          <w:rFonts w:eastAsia="宋体" w:cs="宋体"/>
          <w:sz w:val="18"/>
        </w:rPr>
        <w:t xml:space="preserve"> </w:t>
      </w:r>
      <w:r w:rsidRPr="003277D0">
        <w:rPr>
          <w:rFonts w:eastAsia="宋体" w:cs="宋体"/>
          <w:sz w:val="18"/>
        </w:rPr>
        <w:t>Materials Science and Engineering: A. 1999;273:149-60</w:t>
      </w:r>
    </w:p>
    <w:p w14:paraId="72A06293" w14:textId="62861232" w:rsidR="002914F0" w:rsidRPr="002914F0" w:rsidRDefault="004F06FE" w:rsidP="00016046">
      <w:pPr>
        <w:adjustRightInd w:val="0"/>
        <w:snapToGrid w:val="0"/>
        <w:spacing w:beforeLines="15" w:before="36" w:line="276" w:lineRule="auto"/>
        <w:jc w:val="both"/>
        <w:rPr>
          <w:sz w:val="21"/>
          <w:szCs w:val="21"/>
        </w:rPr>
      </w:pPr>
      <w:r w:rsidRPr="003277D0">
        <w:rPr>
          <w:rFonts w:eastAsia="宋体" w:cs="宋体"/>
          <w:sz w:val="18"/>
          <w:vertAlign w:val="superscript"/>
        </w:rPr>
        <w:t>2</w:t>
      </w:r>
      <w:r w:rsidRPr="003277D0">
        <w:rPr>
          <w:rFonts w:eastAsia="宋体" w:cs="宋体"/>
          <w:sz w:val="18"/>
        </w:rPr>
        <w:t xml:space="preserve"> </w:t>
      </w:r>
      <w:r w:rsidRPr="003277D0">
        <w:rPr>
          <w:rFonts w:eastAsia="宋体" w:cs="宋体"/>
          <w:sz w:val="18"/>
        </w:rPr>
        <w:t>可参见</w:t>
      </w:r>
      <w:r w:rsidRPr="003277D0">
        <w:rPr>
          <w:rFonts w:eastAsia="宋体" w:cs="宋体"/>
          <w:color w:val="0000FF"/>
          <w:sz w:val="18"/>
          <w:u w:val="single"/>
        </w:rPr>
        <w:t>https://www.accessdata.fda.gov/scripts/cdrh/cfdocs/cfStandards/search.cfm</w:t>
      </w:r>
      <w:r w:rsidRPr="003277D0">
        <w:rPr>
          <w:rFonts w:eastAsia="宋体" w:cs="宋体"/>
        </w:rPr>
        <w:br w:type="page"/>
      </w:r>
    </w:p>
    <w:p w14:paraId="2FA1AF78" w14:textId="0189491D" w:rsidR="002914F0" w:rsidRDefault="00D11C20" w:rsidP="002914F0">
      <w:pPr>
        <w:pStyle w:val="a3"/>
        <w:adjustRightInd w:val="0"/>
        <w:snapToGrid w:val="0"/>
        <w:spacing w:beforeLines="50" w:before="120" w:line="300" w:lineRule="auto"/>
        <w:jc w:val="both"/>
        <w:rPr>
          <w:sz w:val="21"/>
          <w:szCs w:val="21"/>
          <w:lang w:eastAsia="zh-CN"/>
        </w:rPr>
      </w:pPr>
      <w:r w:rsidRPr="00D11C20">
        <w:rPr>
          <w:rFonts w:eastAsia="宋体" w:cs="宋体"/>
          <w:sz w:val="21"/>
          <w:lang w:eastAsia="zh-CN"/>
        </w:rPr>
        <w:lastRenderedPageBreak/>
        <w:t>FDA</w:t>
      </w:r>
      <w:r w:rsidRPr="00D11C20">
        <w:rPr>
          <w:rFonts w:eastAsia="宋体" w:cs="宋体" w:hint="eastAsia"/>
          <w:sz w:val="21"/>
          <w:lang w:eastAsia="zh-CN"/>
        </w:rPr>
        <w:t>指导性文件，包括本指南在内，不具有法律强制责任。相反，指南表明了</w:t>
      </w:r>
      <w:r w:rsidR="00E114E1">
        <w:rPr>
          <w:rFonts w:eastAsia="宋体" w:cs="宋体" w:hint="eastAsia"/>
          <w:sz w:val="21"/>
          <w:lang w:eastAsia="zh-CN"/>
        </w:rPr>
        <w:t>本</w:t>
      </w:r>
      <w:r w:rsidRPr="00D11C20">
        <w:rPr>
          <w:rFonts w:eastAsia="宋体" w:cs="宋体" w:hint="eastAsia"/>
          <w:sz w:val="21"/>
          <w:lang w:eastAsia="zh-CN"/>
        </w:rPr>
        <w:t>机构目前</w:t>
      </w:r>
      <w:r w:rsidR="00D4748A">
        <w:rPr>
          <w:rFonts w:eastAsia="宋体" w:cs="宋体" w:hint="eastAsia"/>
          <w:sz w:val="21"/>
          <w:lang w:eastAsia="zh-CN"/>
        </w:rPr>
        <w:t>对于</w:t>
      </w:r>
      <w:r w:rsidRPr="00D11C20">
        <w:rPr>
          <w:rFonts w:eastAsia="宋体" w:cs="宋体" w:hint="eastAsia"/>
          <w:sz w:val="21"/>
          <w:lang w:eastAsia="zh-CN"/>
        </w:rPr>
        <w:t>该主题的思考，除非引用具体的法规或法律要求，否则只应视为建议。在本机</w:t>
      </w:r>
      <w:r>
        <w:rPr>
          <w:rFonts w:eastAsia="宋体" w:cs="宋体" w:hint="eastAsia"/>
          <w:sz w:val="21"/>
          <w:lang w:eastAsia="zh-CN"/>
        </w:rPr>
        <w:t>构指南中使用词语“应”是指建议或推荐进行某一事项，并非强制要求</w:t>
      </w:r>
      <w:r w:rsidR="004F06FE" w:rsidRPr="003277D0">
        <w:rPr>
          <w:rFonts w:eastAsia="宋体" w:cs="宋体"/>
          <w:sz w:val="21"/>
          <w:lang w:eastAsia="zh-CN"/>
        </w:rPr>
        <w:t>。</w:t>
      </w:r>
    </w:p>
    <w:p w14:paraId="68D559AB" w14:textId="77777777" w:rsidR="00D020CF" w:rsidRPr="00DC536B" w:rsidRDefault="002914F0" w:rsidP="00DC536B">
      <w:pPr>
        <w:pStyle w:val="a3"/>
        <w:adjustRightInd w:val="0"/>
        <w:snapToGrid w:val="0"/>
        <w:spacing w:beforeLines="50" w:before="120" w:line="300" w:lineRule="auto"/>
        <w:ind w:left="843" w:hangingChars="300" w:hanging="843"/>
        <w:jc w:val="both"/>
        <w:outlineLvl w:val="0"/>
        <w:rPr>
          <w:b/>
          <w:sz w:val="28"/>
          <w:szCs w:val="21"/>
          <w:lang w:eastAsia="zh-CN"/>
        </w:rPr>
      </w:pPr>
      <w:bookmarkStart w:id="1" w:name="_Toc91866307"/>
      <w:r w:rsidRPr="003277D0">
        <w:rPr>
          <w:rFonts w:eastAsia="宋体" w:cs="宋体"/>
          <w:b/>
          <w:sz w:val="28"/>
          <w:lang w:eastAsia="zh-CN"/>
        </w:rPr>
        <w:t>II.</w:t>
      </w:r>
      <w:r w:rsidRPr="003277D0">
        <w:rPr>
          <w:rFonts w:eastAsia="宋体" w:cs="宋体"/>
          <w:b/>
          <w:lang w:eastAsia="zh-CN"/>
        </w:rPr>
        <w:tab/>
      </w:r>
      <w:r w:rsidRPr="003277D0">
        <w:rPr>
          <w:rFonts w:eastAsia="宋体" w:cs="宋体"/>
          <w:b/>
          <w:sz w:val="28"/>
          <w:lang w:eastAsia="zh-CN"/>
        </w:rPr>
        <w:t>背景</w:t>
      </w:r>
      <w:bookmarkEnd w:id="1"/>
    </w:p>
    <w:p w14:paraId="5BDDF579" w14:textId="7FD28E6A" w:rsidR="002914F0" w:rsidRDefault="004F06FE" w:rsidP="002914F0">
      <w:pPr>
        <w:pStyle w:val="a3"/>
        <w:adjustRightInd w:val="0"/>
        <w:snapToGrid w:val="0"/>
        <w:spacing w:beforeLines="50" w:before="120" w:line="300" w:lineRule="auto"/>
        <w:jc w:val="both"/>
        <w:rPr>
          <w:sz w:val="21"/>
          <w:szCs w:val="21"/>
          <w:lang w:eastAsia="zh-CN"/>
        </w:rPr>
      </w:pPr>
      <w:r w:rsidRPr="003277D0">
        <w:rPr>
          <w:rFonts w:eastAsia="宋体" w:cs="宋体"/>
          <w:sz w:val="21"/>
          <w:lang w:eastAsia="zh-CN"/>
        </w:rPr>
        <w:t>镍钛合金是由几乎等原子量的镍和钛组成的金属合金。</w:t>
      </w:r>
      <w:r w:rsidRPr="003277D0">
        <w:rPr>
          <w:rFonts w:eastAsia="宋体" w:cs="宋体"/>
          <w:sz w:val="21"/>
          <w:vertAlign w:val="superscript"/>
          <w:lang w:eastAsia="zh-CN"/>
        </w:rPr>
        <w:t>4,5</w:t>
      </w:r>
      <w:r w:rsidRPr="003277D0">
        <w:rPr>
          <w:rFonts w:eastAsia="宋体" w:cs="宋体"/>
          <w:sz w:val="21"/>
          <w:lang w:eastAsia="zh-CN"/>
        </w:rPr>
        <w:t>镍钛合金独特的热力学特性使其成为医疗器械中常用的材料。镍钛合金在医疗器械中的应用始于</w:t>
      </w:r>
      <w:r w:rsidRPr="003277D0">
        <w:rPr>
          <w:rFonts w:eastAsia="宋体" w:cs="宋体"/>
          <w:sz w:val="21"/>
          <w:lang w:eastAsia="zh-CN"/>
        </w:rPr>
        <w:t>30</w:t>
      </w:r>
      <w:r w:rsidRPr="003277D0">
        <w:rPr>
          <w:rFonts w:eastAsia="宋体" w:cs="宋体"/>
          <w:sz w:val="21"/>
          <w:lang w:eastAsia="zh-CN"/>
        </w:rPr>
        <w:t>多年前，应用的产品领域包括</w:t>
      </w:r>
      <w:r w:rsidR="002C1552">
        <w:rPr>
          <w:rFonts w:eastAsia="宋体" w:cs="宋体" w:hint="eastAsia"/>
          <w:sz w:val="21"/>
          <w:lang w:eastAsia="zh-CN"/>
        </w:rPr>
        <w:t>矫正</w:t>
      </w:r>
      <w:r w:rsidRPr="003277D0">
        <w:rPr>
          <w:rFonts w:eastAsia="宋体" w:cs="宋体"/>
          <w:sz w:val="21"/>
          <w:lang w:eastAsia="zh-CN"/>
        </w:rPr>
        <w:t>弓丝、心血管导丝和手术器械。在过去</w:t>
      </w:r>
      <w:r w:rsidRPr="003277D0">
        <w:rPr>
          <w:rFonts w:eastAsia="宋体" w:cs="宋体"/>
          <w:sz w:val="21"/>
          <w:lang w:eastAsia="zh-CN"/>
        </w:rPr>
        <w:t>20</w:t>
      </w:r>
      <w:r w:rsidRPr="003277D0">
        <w:rPr>
          <w:rFonts w:eastAsia="宋体" w:cs="宋体"/>
          <w:sz w:val="21"/>
          <w:lang w:eastAsia="zh-CN"/>
        </w:rPr>
        <w:t>年中，镍钛合金在不同器械领域的应用与日俱增，如骨科骨折固定、支架和经导管心脏瓣膜。随着采用微创手术治疗患者的趋势日益增加，镍钛合金因其在受力变形后或加热后能够恢复原始形状而成为一种流行的材料。这些性能是由于奥氏体和马氏体</w:t>
      </w:r>
      <w:proofErr w:type="gramStart"/>
      <w:r w:rsidRPr="003277D0">
        <w:rPr>
          <w:rFonts w:eastAsia="宋体" w:cs="宋体"/>
          <w:sz w:val="21"/>
          <w:lang w:eastAsia="zh-CN"/>
        </w:rPr>
        <w:t>相之间</w:t>
      </w:r>
      <w:proofErr w:type="gramEnd"/>
      <w:r w:rsidR="003B3F89">
        <w:rPr>
          <w:rFonts w:eastAsia="宋体" w:cs="宋体" w:hint="eastAsia"/>
          <w:sz w:val="21"/>
          <w:lang w:eastAsia="zh-CN"/>
        </w:rPr>
        <w:t>的</w:t>
      </w:r>
      <w:r w:rsidRPr="003277D0">
        <w:rPr>
          <w:rFonts w:eastAsia="宋体" w:cs="宋体"/>
          <w:sz w:val="21"/>
          <w:lang w:eastAsia="zh-CN"/>
        </w:rPr>
        <w:t>可逆转变，可以通过温度诱导（形状记忆性能），也可以通过应力诱导（伪弹性）。因此，与不锈钢、钛或钴铬合金等传统金属合金相比，镍钛合金能够承受更大程度的可逆变形而不会发生塑性变形。</w:t>
      </w:r>
      <w:r w:rsidRPr="003277D0">
        <w:rPr>
          <w:rFonts w:eastAsia="宋体" w:cs="宋体"/>
          <w:sz w:val="21"/>
          <w:vertAlign w:val="superscript"/>
          <w:lang w:eastAsia="zh-CN"/>
        </w:rPr>
        <w:t>6</w:t>
      </w:r>
    </w:p>
    <w:p w14:paraId="6D1F0290" w14:textId="7F3FD0F3" w:rsidR="002914F0" w:rsidRDefault="004F06FE" w:rsidP="002914F0">
      <w:pPr>
        <w:pStyle w:val="a3"/>
        <w:adjustRightInd w:val="0"/>
        <w:snapToGrid w:val="0"/>
        <w:spacing w:beforeLines="50" w:before="120" w:line="300" w:lineRule="auto"/>
        <w:jc w:val="both"/>
        <w:rPr>
          <w:sz w:val="21"/>
          <w:szCs w:val="21"/>
          <w:lang w:eastAsia="zh-CN"/>
        </w:rPr>
      </w:pPr>
      <w:r w:rsidRPr="003277D0">
        <w:rPr>
          <w:rFonts w:eastAsia="宋体" w:cs="宋体"/>
          <w:sz w:val="21"/>
          <w:lang w:eastAsia="zh-CN"/>
        </w:rPr>
        <w:t>鉴于镍钛合金的复杂性能，对其安全</w:t>
      </w:r>
      <w:r w:rsidRPr="008A1695">
        <w:rPr>
          <w:rFonts w:eastAsia="宋体" w:cs="宋体"/>
          <w:sz w:val="21"/>
          <w:lang w:eastAsia="zh-CN"/>
        </w:rPr>
        <w:t>性和有效性进行评估时，需要特别考虑对镍钛合金器械的热力学特性进行表征。既往文献描述了制造</w:t>
      </w:r>
      <w:r w:rsidR="008A1695">
        <w:rPr>
          <w:rFonts w:eastAsia="宋体" w:cs="宋体" w:hint="eastAsia"/>
          <w:sz w:val="21"/>
          <w:lang w:eastAsia="zh-CN"/>
        </w:rPr>
        <w:t>过程</w:t>
      </w:r>
      <w:r w:rsidRPr="008A1695">
        <w:rPr>
          <w:rFonts w:eastAsia="宋体" w:cs="宋体"/>
          <w:sz w:val="21"/>
          <w:lang w:eastAsia="zh-CN"/>
        </w:rPr>
        <w:t>对</w:t>
      </w:r>
      <w:r w:rsidRPr="003277D0">
        <w:rPr>
          <w:rFonts w:eastAsia="宋体" w:cs="宋体"/>
          <w:sz w:val="21"/>
          <w:lang w:eastAsia="zh-CN"/>
        </w:rPr>
        <w:t>镍钛合金器械相变温度和</w:t>
      </w:r>
      <w:r w:rsidR="007B2706">
        <w:rPr>
          <w:rFonts w:eastAsia="宋体" w:cs="宋体" w:hint="eastAsia"/>
          <w:sz w:val="21"/>
          <w:lang w:eastAsia="zh-CN"/>
        </w:rPr>
        <w:t>机械</w:t>
      </w:r>
      <w:r w:rsidRPr="003277D0">
        <w:rPr>
          <w:rFonts w:eastAsia="宋体" w:cs="宋体"/>
          <w:sz w:val="21"/>
          <w:lang w:eastAsia="zh-CN"/>
        </w:rPr>
        <w:t>性能的影响。</w:t>
      </w:r>
      <w:r w:rsidRPr="003277D0">
        <w:rPr>
          <w:rFonts w:eastAsia="宋体" w:cs="宋体"/>
          <w:sz w:val="21"/>
          <w:vertAlign w:val="superscript"/>
          <w:lang w:eastAsia="zh-CN"/>
        </w:rPr>
        <w:t>7</w:t>
      </w:r>
      <w:r w:rsidRPr="003277D0">
        <w:rPr>
          <w:rFonts w:eastAsia="宋体" w:cs="宋体"/>
          <w:sz w:val="21"/>
          <w:lang w:eastAsia="zh-CN"/>
        </w:rPr>
        <w:t>此外，美国材料与试验协会（</w:t>
      </w:r>
      <w:r w:rsidRPr="003277D0">
        <w:rPr>
          <w:rFonts w:eastAsia="宋体" w:cs="宋体"/>
          <w:sz w:val="21"/>
          <w:lang w:eastAsia="zh-CN"/>
        </w:rPr>
        <w:t>ASTM</w:t>
      </w:r>
      <w:r w:rsidRPr="003277D0">
        <w:rPr>
          <w:rFonts w:eastAsia="宋体" w:cs="宋体"/>
          <w:sz w:val="21"/>
          <w:lang w:eastAsia="zh-CN"/>
        </w:rPr>
        <w:t>）等标准制定组织已制定帮助医疗器械行业对镍钛合金进行表征的相关共识标准。这些共识标准定义</w:t>
      </w:r>
      <w:proofErr w:type="gramStart"/>
      <w:r w:rsidRPr="003277D0">
        <w:rPr>
          <w:rFonts w:eastAsia="宋体" w:cs="宋体"/>
          <w:sz w:val="21"/>
          <w:lang w:eastAsia="zh-CN"/>
        </w:rPr>
        <w:t>了与镍钛合金</w:t>
      </w:r>
      <w:proofErr w:type="gramEnd"/>
      <w:r w:rsidRPr="003277D0">
        <w:rPr>
          <w:rFonts w:eastAsia="宋体" w:cs="宋体"/>
          <w:sz w:val="21"/>
          <w:lang w:eastAsia="zh-CN"/>
        </w:rPr>
        <w:t>材料相关的术语，包括化学、物理、热力学和冶金性能的规范，以及对镍钛合金相变温度和</w:t>
      </w:r>
      <w:r w:rsidR="00686E5A">
        <w:rPr>
          <w:rFonts w:eastAsia="宋体" w:cs="宋体" w:hint="eastAsia"/>
          <w:sz w:val="21"/>
          <w:lang w:eastAsia="zh-CN"/>
        </w:rPr>
        <w:t>机械</w:t>
      </w:r>
      <w:r w:rsidRPr="003277D0">
        <w:rPr>
          <w:rFonts w:eastAsia="宋体" w:cs="宋体"/>
          <w:sz w:val="21"/>
          <w:lang w:eastAsia="zh-CN"/>
        </w:rPr>
        <w:t>性能进行表征的试验方法。</w:t>
      </w:r>
    </w:p>
    <w:p w14:paraId="0D2492C4" w14:textId="77777777" w:rsidR="00016046" w:rsidRPr="00AF2411" w:rsidRDefault="00016046" w:rsidP="00853F4C">
      <w:pPr>
        <w:adjustRightInd w:val="0"/>
        <w:snapToGrid w:val="0"/>
        <w:spacing w:beforeLines="2300" w:before="5520" w:line="300" w:lineRule="auto"/>
        <w:jc w:val="both"/>
        <w:rPr>
          <w:rFonts w:eastAsiaTheme="minorEastAsia"/>
          <w:sz w:val="21"/>
          <w:szCs w:val="21"/>
          <w:lang w:eastAsia="zh-CN"/>
        </w:rPr>
      </w:pPr>
      <w:r w:rsidRPr="003277D0">
        <w:rPr>
          <w:rFonts w:eastAsia="宋体" w:cs="宋体"/>
          <w:sz w:val="21"/>
        </w:rPr>
        <w:t>______________________________</w:t>
      </w:r>
    </w:p>
    <w:p w14:paraId="272D7EB4" w14:textId="4C75055E"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3</w:t>
      </w:r>
      <w:r w:rsidRPr="003277D0">
        <w:rPr>
          <w:rFonts w:eastAsia="宋体" w:cs="宋体"/>
          <w:sz w:val="18"/>
        </w:rPr>
        <w:t xml:space="preserve"> </w:t>
      </w:r>
      <w:r w:rsidRPr="003277D0">
        <w:rPr>
          <w:rFonts w:eastAsia="宋体" w:cs="宋体"/>
          <w:sz w:val="18"/>
        </w:rPr>
        <w:t>可登录以下网址获取：</w:t>
      </w:r>
      <w:r w:rsidRPr="003277D0">
        <w:rPr>
          <w:rFonts w:eastAsia="宋体" w:cs="宋体"/>
          <w:color w:val="0000FF"/>
          <w:sz w:val="18"/>
          <w:u w:val="single"/>
        </w:rPr>
        <w:t>https://www.fda.gov/regulatory-information/search-fda-guidance-documents/appropriate-use-</w:t>
      </w:r>
      <w:r w:rsidRPr="003277D0">
        <w:rPr>
          <w:rFonts w:eastAsia="宋体" w:cs="宋体"/>
          <w:color w:val="0000FF"/>
          <w:sz w:val="18"/>
        </w:rPr>
        <w:t xml:space="preserve"> </w:t>
      </w:r>
      <w:r w:rsidRPr="003277D0">
        <w:rPr>
          <w:rFonts w:eastAsia="宋体" w:cs="宋体"/>
          <w:color w:val="0000FF"/>
          <w:sz w:val="18"/>
          <w:u w:val="single"/>
        </w:rPr>
        <w:t>voluntary-consensus-standards-premarket-submissions-medical-devices</w:t>
      </w:r>
    </w:p>
    <w:p w14:paraId="17628B12" w14:textId="405BD4FE" w:rsidR="00D020CF" w:rsidRPr="00016046" w:rsidRDefault="004F06FE" w:rsidP="00016046">
      <w:pPr>
        <w:adjustRightInd w:val="0"/>
        <w:snapToGrid w:val="0"/>
        <w:spacing w:beforeLines="15" w:before="36" w:line="276" w:lineRule="auto"/>
        <w:jc w:val="both"/>
        <w:rPr>
          <w:sz w:val="18"/>
          <w:szCs w:val="21"/>
          <w:lang w:eastAsia="zh-CN"/>
        </w:rPr>
      </w:pPr>
      <w:r w:rsidRPr="003277D0">
        <w:rPr>
          <w:rFonts w:eastAsia="宋体" w:cs="宋体"/>
          <w:sz w:val="18"/>
          <w:vertAlign w:val="superscript"/>
          <w:lang w:eastAsia="zh-CN"/>
        </w:rPr>
        <w:t>4</w:t>
      </w:r>
      <w:r w:rsidRPr="003277D0">
        <w:rPr>
          <w:rFonts w:eastAsia="宋体" w:cs="宋体"/>
          <w:sz w:val="18"/>
          <w:lang w:eastAsia="zh-CN"/>
        </w:rPr>
        <w:t xml:space="preserve"> ASTM F2005</w:t>
      </w:r>
      <w:r w:rsidRPr="003277D0">
        <w:rPr>
          <w:rFonts w:eastAsia="宋体" w:cs="宋体"/>
          <w:sz w:val="18"/>
          <w:lang w:eastAsia="zh-CN"/>
        </w:rPr>
        <w:t>：镍钛形状记忆合金的标准术语</w:t>
      </w:r>
    </w:p>
    <w:p w14:paraId="3A7DF68C" w14:textId="1E06F90E" w:rsidR="00D020CF" w:rsidRPr="00016046" w:rsidRDefault="004F06FE" w:rsidP="00016046">
      <w:pPr>
        <w:adjustRightInd w:val="0"/>
        <w:snapToGrid w:val="0"/>
        <w:spacing w:beforeLines="15" w:before="36" w:line="276" w:lineRule="auto"/>
        <w:jc w:val="both"/>
        <w:rPr>
          <w:sz w:val="18"/>
          <w:szCs w:val="21"/>
          <w:lang w:eastAsia="zh-CN"/>
        </w:rPr>
      </w:pPr>
      <w:r w:rsidRPr="003277D0">
        <w:rPr>
          <w:rFonts w:eastAsia="宋体" w:cs="宋体"/>
          <w:sz w:val="18"/>
          <w:vertAlign w:val="superscript"/>
          <w:lang w:eastAsia="zh-CN"/>
        </w:rPr>
        <w:t>5</w:t>
      </w:r>
      <w:r w:rsidRPr="003277D0">
        <w:rPr>
          <w:rFonts w:eastAsia="宋体" w:cs="宋体"/>
          <w:sz w:val="18"/>
          <w:lang w:eastAsia="zh-CN"/>
        </w:rPr>
        <w:t xml:space="preserve"> ASTM F2063</w:t>
      </w:r>
      <w:r w:rsidRPr="003277D0">
        <w:rPr>
          <w:rFonts w:eastAsia="宋体" w:cs="宋体"/>
          <w:sz w:val="18"/>
          <w:lang w:eastAsia="zh-CN"/>
        </w:rPr>
        <w:t>：医疗器械和外科植入物用锻造镍钛形状记忆合金标准规范</w:t>
      </w:r>
    </w:p>
    <w:p w14:paraId="0D683DDE" w14:textId="0B9EDF06"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6</w:t>
      </w:r>
      <w:r w:rsidRPr="003277D0">
        <w:rPr>
          <w:rFonts w:eastAsia="宋体" w:cs="宋体"/>
          <w:sz w:val="18"/>
        </w:rPr>
        <w:t xml:space="preserve"> </w:t>
      </w:r>
      <w:proofErr w:type="spellStart"/>
      <w:r w:rsidRPr="003277D0">
        <w:rPr>
          <w:rFonts w:eastAsia="宋体" w:cs="宋体"/>
          <w:sz w:val="18"/>
        </w:rPr>
        <w:t>Stoeckel</w:t>
      </w:r>
      <w:proofErr w:type="spellEnd"/>
      <w:r w:rsidRPr="003277D0">
        <w:rPr>
          <w:rFonts w:eastAsia="宋体" w:cs="宋体"/>
          <w:sz w:val="18"/>
        </w:rPr>
        <w:t xml:space="preserve"> D. Nitinol medical devices and implants.</w:t>
      </w:r>
      <w:r w:rsidR="00EB694F">
        <w:rPr>
          <w:rFonts w:eastAsia="宋体" w:cs="宋体"/>
          <w:sz w:val="18"/>
        </w:rPr>
        <w:t xml:space="preserve"> </w:t>
      </w:r>
      <w:r w:rsidRPr="003277D0">
        <w:rPr>
          <w:rFonts w:eastAsia="宋体" w:cs="宋体"/>
          <w:sz w:val="18"/>
        </w:rPr>
        <w:t>Minimally Invasive Therapy &amp; Allied Technologies.2000;9(2):81-88</w:t>
      </w:r>
    </w:p>
    <w:p w14:paraId="4B9B2420" w14:textId="4919C508" w:rsidR="002914F0" w:rsidRPr="002914F0" w:rsidRDefault="004F06FE" w:rsidP="00016046">
      <w:pPr>
        <w:adjustRightInd w:val="0"/>
        <w:snapToGrid w:val="0"/>
        <w:spacing w:beforeLines="15" w:before="36" w:line="276" w:lineRule="auto"/>
        <w:jc w:val="both"/>
        <w:rPr>
          <w:sz w:val="21"/>
          <w:szCs w:val="21"/>
        </w:rPr>
      </w:pPr>
      <w:r w:rsidRPr="003277D0">
        <w:rPr>
          <w:rFonts w:eastAsia="宋体" w:cs="宋体"/>
          <w:sz w:val="18"/>
          <w:vertAlign w:val="superscript"/>
        </w:rPr>
        <w:t>7</w:t>
      </w:r>
      <w:r w:rsidRPr="003277D0">
        <w:rPr>
          <w:rFonts w:eastAsia="宋体" w:cs="宋体"/>
          <w:sz w:val="18"/>
        </w:rPr>
        <w:t xml:space="preserve"> Pelton AR, </w:t>
      </w:r>
      <w:proofErr w:type="spellStart"/>
      <w:r w:rsidRPr="003277D0">
        <w:rPr>
          <w:rFonts w:eastAsia="宋体" w:cs="宋体"/>
          <w:sz w:val="18"/>
        </w:rPr>
        <w:t>Dicello</w:t>
      </w:r>
      <w:proofErr w:type="spellEnd"/>
      <w:r w:rsidRPr="003277D0">
        <w:rPr>
          <w:rFonts w:eastAsia="宋体" w:cs="宋体"/>
          <w:sz w:val="18"/>
        </w:rPr>
        <w:t xml:space="preserve"> J, Miyazaki S.</w:t>
      </w:r>
      <w:r w:rsidR="00EB694F">
        <w:rPr>
          <w:rFonts w:eastAsia="宋体" w:cs="宋体"/>
          <w:sz w:val="18"/>
        </w:rPr>
        <w:t xml:space="preserve"> </w:t>
      </w:r>
      <w:proofErr w:type="spellStart"/>
      <w:r w:rsidRPr="003277D0">
        <w:rPr>
          <w:rFonts w:eastAsia="宋体" w:cs="宋体"/>
          <w:sz w:val="18"/>
        </w:rPr>
        <w:t>Optimisation</w:t>
      </w:r>
      <w:proofErr w:type="spellEnd"/>
      <w:r w:rsidRPr="003277D0">
        <w:rPr>
          <w:rFonts w:eastAsia="宋体" w:cs="宋体"/>
          <w:sz w:val="18"/>
        </w:rPr>
        <w:t xml:space="preserve"> of processing and properties of medical grade Nitinol wire.</w:t>
      </w:r>
      <w:r w:rsidR="00EB694F">
        <w:rPr>
          <w:rFonts w:eastAsia="宋体" w:cs="宋体"/>
          <w:sz w:val="18"/>
        </w:rPr>
        <w:t xml:space="preserve"> </w:t>
      </w:r>
      <w:r w:rsidRPr="003277D0">
        <w:rPr>
          <w:rFonts w:eastAsia="宋体" w:cs="宋体"/>
          <w:sz w:val="18"/>
        </w:rPr>
        <w:t>Minimally Invasive Therapy &amp; Allied Technologies.2000;9(2):107-118</w:t>
      </w:r>
      <w:r w:rsidRPr="003277D0">
        <w:rPr>
          <w:rFonts w:eastAsia="宋体" w:cs="宋体"/>
          <w:sz w:val="18"/>
        </w:rPr>
        <w:br w:type="page"/>
      </w:r>
    </w:p>
    <w:p w14:paraId="19C5BF76" w14:textId="626E82F6" w:rsidR="002914F0" w:rsidRDefault="004F06FE" w:rsidP="002914F0">
      <w:pPr>
        <w:pStyle w:val="a3"/>
        <w:adjustRightInd w:val="0"/>
        <w:snapToGrid w:val="0"/>
        <w:spacing w:beforeLines="50" w:before="120" w:line="300" w:lineRule="auto"/>
        <w:jc w:val="both"/>
        <w:rPr>
          <w:sz w:val="21"/>
          <w:szCs w:val="21"/>
          <w:lang w:eastAsia="zh-CN"/>
        </w:rPr>
      </w:pPr>
      <w:r w:rsidRPr="003277D0">
        <w:rPr>
          <w:rFonts w:eastAsia="宋体" w:cs="宋体"/>
          <w:sz w:val="21"/>
          <w:lang w:eastAsia="zh-CN"/>
        </w:rPr>
        <w:lastRenderedPageBreak/>
        <w:t>既往文献表明，镍钛合金的耐腐蚀性高度取决于表面处理。</w:t>
      </w:r>
      <w:r w:rsidRPr="003277D0">
        <w:rPr>
          <w:rFonts w:eastAsia="宋体" w:cs="宋体"/>
          <w:sz w:val="21"/>
          <w:vertAlign w:val="superscript"/>
          <w:lang w:eastAsia="zh-CN"/>
        </w:rPr>
        <w:t>8,9</w:t>
      </w:r>
      <w:r w:rsidRPr="003277D0">
        <w:rPr>
          <w:rFonts w:eastAsia="宋体" w:cs="宋体"/>
          <w:sz w:val="21"/>
          <w:lang w:eastAsia="zh-CN"/>
        </w:rPr>
        <w:t>镍钛合金的体内腐蚀可能会对热</w:t>
      </w:r>
      <w:r w:rsidR="00A80081">
        <w:rPr>
          <w:rFonts w:eastAsia="宋体" w:cs="宋体" w:hint="eastAsia"/>
          <w:sz w:val="21"/>
          <w:lang w:eastAsia="zh-CN"/>
        </w:rPr>
        <w:t>机械</w:t>
      </w:r>
      <w:r w:rsidRPr="003277D0">
        <w:rPr>
          <w:rFonts w:eastAsia="宋体" w:cs="宋体"/>
          <w:sz w:val="21"/>
          <w:lang w:eastAsia="zh-CN"/>
        </w:rPr>
        <w:t>性能和</w:t>
      </w:r>
      <w:r w:rsidRPr="003277D0">
        <w:rPr>
          <w:rFonts w:eastAsia="宋体" w:cs="宋体"/>
          <w:sz w:val="21"/>
          <w:lang w:eastAsia="zh-CN"/>
        </w:rPr>
        <w:t>/</w:t>
      </w:r>
      <w:r w:rsidRPr="003277D0">
        <w:rPr>
          <w:rFonts w:eastAsia="宋体" w:cs="宋体"/>
          <w:sz w:val="21"/>
          <w:lang w:eastAsia="zh-CN"/>
        </w:rPr>
        <w:t>或生物相容性产生不利影响，从而降低器械的安全性或性能。为了获得利益相关方关于腐蚀试验最佳实践以及腐蚀对金属（包括镍钛合金）的性能和安全性的影响的意见，</w:t>
      </w:r>
      <w:r w:rsidRPr="003277D0">
        <w:rPr>
          <w:rFonts w:eastAsia="宋体" w:cs="宋体"/>
          <w:sz w:val="21"/>
          <w:lang w:eastAsia="zh-CN"/>
        </w:rPr>
        <w:t>FDA</w:t>
      </w:r>
      <w:r w:rsidRPr="003277D0">
        <w:rPr>
          <w:rFonts w:eastAsia="宋体" w:cs="宋体"/>
          <w:sz w:val="21"/>
          <w:lang w:eastAsia="zh-CN"/>
        </w:rPr>
        <w:t>举办了一个标题为</w:t>
      </w:r>
      <w:r w:rsidRPr="003277D0">
        <w:rPr>
          <w:rFonts w:eastAsia="宋体" w:cs="宋体"/>
          <w:sz w:val="21"/>
          <w:lang w:eastAsia="zh-CN"/>
        </w:rPr>
        <w:t>“</w:t>
      </w:r>
      <w:r w:rsidRPr="003277D0">
        <w:rPr>
          <w:rFonts w:eastAsia="宋体" w:cs="宋体"/>
          <w:sz w:val="21"/>
          <w:lang w:eastAsia="zh-CN"/>
        </w:rPr>
        <w:t>心血管金属植入物：腐蚀、表面表征和镍浸出</w:t>
      </w:r>
      <w:r w:rsidRPr="003277D0">
        <w:rPr>
          <w:rFonts w:eastAsia="宋体" w:cs="宋体"/>
          <w:sz w:val="21"/>
          <w:lang w:eastAsia="zh-CN"/>
        </w:rPr>
        <w:t>”</w:t>
      </w:r>
      <w:r w:rsidRPr="003277D0">
        <w:rPr>
          <w:rFonts w:eastAsia="宋体" w:cs="宋体"/>
          <w:sz w:val="21"/>
          <w:lang w:eastAsia="zh-CN"/>
        </w:rPr>
        <w:t>的公开研讨会（</w:t>
      </w:r>
      <w:r w:rsidRPr="003277D0">
        <w:rPr>
          <w:rFonts w:eastAsia="宋体" w:cs="宋体"/>
          <w:sz w:val="21"/>
          <w:lang w:eastAsia="zh-CN"/>
        </w:rPr>
        <w:t>2012</w:t>
      </w:r>
      <w:r w:rsidRPr="003277D0">
        <w:rPr>
          <w:rFonts w:eastAsia="宋体" w:cs="宋体"/>
          <w:sz w:val="21"/>
          <w:lang w:eastAsia="zh-CN"/>
        </w:rPr>
        <w:t>年</w:t>
      </w:r>
      <w:r w:rsidRPr="003277D0">
        <w:rPr>
          <w:rFonts w:eastAsia="宋体" w:cs="宋体"/>
          <w:sz w:val="21"/>
          <w:lang w:eastAsia="zh-CN"/>
        </w:rPr>
        <w:t>3</w:t>
      </w:r>
      <w:r w:rsidRPr="003277D0">
        <w:rPr>
          <w:rFonts w:eastAsia="宋体" w:cs="宋体"/>
          <w:sz w:val="21"/>
          <w:lang w:eastAsia="zh-CN"/>
        </w:rPr>
        <w:t>月</w:t>
      </w:r>
      <w:r w:rsidRPr="003277D0">
        <w:rPr>
          <w:rFonts w:eastAsia="宋体" w:cs="宋体"/>
          <w:sz w:val="21"/>
          <w:lang w:eastAsia="zh-CN"/>
        </w:rPr>
        <w:t>8-9</w:t>
      </w:r>
      <w:r w:rsidRPr="003277D0">
        <w:rPr>
          <w:rFonts w:eastAsia="宋体" w:cs="宋体"/>
          <w:sz w:val="21"/>
          <w:lang w:eastAsia="zh-CN"/>
        </w:rPr>
        <w:t>日）。</w:t>
      </w:r>
      <w:r w:rsidRPr="003277D0">
        <w:rPr>
          <w:rFonts w:eastAsia="宋体" w:cs="宋体"/>
          <w:sz w:val="21"/>
          <w:vertAlign w:val="superscript"/>
          <w:lang w:eastAsia="zh-CN"/>
        </w:rPr>
        <w:t>10</w:t>
      </w:r>
      <w:r w:rsidRPr="003277D0">
        <w:rPr>
          <w:rFonts w:eastAsia="宋体" w:cs="宋体"/>
          <w:sz w:val="21"/>
          <w:lang w:eastAsia="zh-CN"/>
        </w:rPr>
        <w:t>该研讨会收集的信息已发布</w:t>
      </w:r>
      <w:r w:rsidRPr="003277D0">
        <w:rPr>
          <w:rFonts w:eastAsia="宋体" w:cs="宋体"/>
          <w:sz w:val="21"/>
          <w:vertAlign w:val="superscript"/>
          <w:lang w:eastAsia="zh-CN"/>
        </w:rPr>
        <w:t>11</w:t>
      </w:r>
      <w:r w:rsidRPr="003277D0">
        <w:rPr>
          <w:rFonts w:eastAsia="宋体" w:cs="宋体"/>
          <w:sz w:val="21"/>
          <w:lang w:eastAsia="zh-CN"/>
        </w:rPr>
        <w:t>，并更新</w:t>
      </w:r>
      <w:r w:rsidR="00641DB3">
        <w:rPr>
          <w:rFonts w:eastAsia="宋体" w:cs="宋体" w:hint="eastAsia"/>
          <w:sz w:val="21"/>
          <w:lang w:eastAsia="zh-CN"/>
        </w:rPr>
        <w:t>在</w:t>
      </w:r>
      <w:r w:rsidRPr="003277D0">
        <w:rPr>
          <w:rFonts w:eastAsia="宋体" w:cs="宋体"/>
          <w:sz w:val="21"/>
          <w:lang w:eastAsia="zh-CN"/>
        </w:rPr>
        <w:t>FDA</w:t>
      </w:r>
      <w:r w:rsidRPr="003277D0">
        <w:rPr>
          <w:rFonts w:eastAsia="宋体" w:cs="宋体"/>
          <w:sz w:val="21"/>
          <w:lang w:eastAsia="zh-CN"/>
        </w:rPr>
        <w:t>发布的关于</w:t>
      </w:r>
      <w:r w:rsidRPr="003277D0">
        <w:rPr>
          <w:rFonts w:eastAsia="宋体" w:cs="宋体"/>
          <w:sz w:val="21"/>
          <w:lang w:eastAsia="zh-CN"/>
        </w:rPr>
        <w:t>“</w:t>
      </w:r>
      <w:r w:rsidRPr="00F02D73">
        <w:rPr>
          <w:rFonts w:eastAsia="宋体" w:cs="宋体" w:hint="eastAsia"/>
          <w:color w:val="0000FF"/>
          <w:sz w:val="21"/>
          <w:u w:val="single"/>
          <w:lang w:eastAsia="zh-CN"/>
        </w:rPr>
        <w:t>血管内支架和相关输送系统的非临床工程试验和推荐标签</w:t>
      </w:r>
      <w:r w:rsidRPr="003277D0">
        <w:rPr>
          <w:rFonts w:eastAsia="宋体" w:cs="宋体"/>
          <w:sz w:val="21"/>
          <w:lang w:eastAsia="zh-CN"/>
        </w:rPr>
        <w:t>”</w:t>
      </w:r>
      <w:r w:rsidRPr="003277D0">
        <w:rPr>
          <w:rFonts w:eastAsia="宋体" w:cs="宋体"/>
          <w:sz w:val="21"/>
          <w:lang w:eastAsia="zh-CN"/>
        </w:rPr>
        <w:t>的指南文件。</w:t>
      </w:r>
      <w:r w:rsidRPr="003277D0">
        <w:rPr>
          <w:rFonts w:eastAsia="宋体" w:cs="宋体"/>
          <w:sz w:val="21"/>
          <w:vertAlign w:val="superscript"/>
          <w:lang w:eastAsia="zh-CN"/>
        </w:rPr>
        <w:t>12</w:t>
      </w:r>
      <w:r w:rsidRPr="003277D0">
        <w:rPr>
          <w:rFonts w:eastAsia="宋体" w:cs="宋体"/>
          <w:sz w:val="21"/>
          <w:lang w:eastAsia="zh-CN"/>
        </w:rPr>
        <w:t xml:space="preserve"> </w:t>
      </w:r>
      <w:r w:rsidRPr="003277D0">
        <w:rPr>
          <w:rFonts w:eastAsia="宋体" w:cs="宋体"/>
          <w:sz w:val="21"/>
          <w:lang w:eastAsia="zh-CN"/>
        </w:rPr>
        <w:t>但是，该指南文件中的建议是针对血管内支架和输送系统提出的。随着镍钛合金在其他产品领域的推广应用，</w:t>
      </w:r>
      <w:r w:rsidRPr="003277D0">
        <w:rPr>
          <w:rFonts w:eastAsia="宋体" w:cs="宋体"/>
          <w:sz w:val="21"/>
          <w:lang w:eastAsia="zh-CN"/>
        </w:rPr>
        <w:t>FDA</w:t>
      </w:r>
      <w:r w:rsidRPr="003277D0">
        <w:rPr>
          <w:rFonts w:eastAsia="宋体" w:cs="宋体"/>
          <w:sz w:val="21"/>
          <w:lang w:eastAsia="zh-CN"/>
        </w:rPr>
        <w:t>发布了本一般性指南文件，概述了在医疗器械中使用镍钛合金时的技术考虑因素。</w:t>
      </w:r>
    </w:p>
    <w:p w14:paraId="524ED18E" w14:textId="77777777" w:rsidR="00D020CF" w:rsidRPr="00DC536B" w:rsidRDefault="002914F0" w:rsidP="00DC536B">
      <w:pPr>
        <w:pStyle w:val="a3"/>
        <w:adjustRightInd w:val="0"/>
        <w:snapToGrid w:val="0"/>
        <w:spacing w:beforeLines="50" w:before="120" w:line="300" w:lineRule="auto"/>
        <w:ind w:left="843" w:hangingChars="300" w:hanging="843"/>
        <w:jc w:val="both"/>
        <w:outlineLvl w:val="0"/>
        <w:rPr>
          <w:b/>
          <w:sz w:val="28"/>
          <w:szCs w:val="21"/>
          <w:lang w:eastAsia="zh-CN"/>
        </w:rPr>
      </w:pPr>
      <w:bookmarkStart w:id="2" w:name="_Toc91866308"/>
      <w:r w:rsidRPr="003277D0">
        <w:rPr>
          <w:rFonts w:eastAsia="宋体" w:cs="宋体"/>
          <w:b/>
          <w:sz w:val="28"/>
          <w:lang w:eastAsia="zh-CN"/>
        </w:rPr>
        <w:t>III.</w:t>
      </w:r>
      <w:r w:rsidRPr="003277D0">
        <w:rPr>
          <w:rFonts w:eastAsia="宋体" w:cs="宋体"/>
          <w:b/>
          <w:lang w:eastAsia="zh-CN"/>
        </w:rPr>
        <w:tab/>
      </w:r>
      <w:r w:rsidRPr="003277D0">
        <w:rPr>
          <w:rFonts w:eastAsia="宋体" w:cs="宋体"/>
          <w:b/>
          <w:sz w:val="28"/>
          <w:lang w:eastAsia="zh-CN"/>
        </w:rPr>
        <w:t>定义</w:t>
      </w:r>
      <w:bookmarkEnd w:id="2"/>
    </w:p>
    <w:p w14:paraId="34CA1D90" w14:textId="77777777" w:rsidR="002914F0" w:rsidRPr="00B57249" w:rsidRDefault="004F06FE" w:rsidP="002914F0">
      <w:pPr>
        <w:pStyle w:val="a3"/>
        <w:adjustRightInd w:val="0"/>
        <w:snapToGrid w:val="0"/>
        <w:spacing w:beforeLines="50" w:before="120" w:line="300" w:lineRule="auto"/>
        <w:jc w:val="both"/>
        <w:rPr>
          <w:sz w:val="21"/>
          <w:szCs w:val="21"/>
          <w:lang w:eastAsia="zh-CN"/>
        </w:rPr>
      </w:pPr>
      <w:r w:rsidRPr="00586606">
        <w:rPr>
          <w:rFonts w:eastAsia="宋体" w:cs="宋体"/>
          <w:b/>
          <w:sz w:val="21"/>
          <w:lang w:eastAsia="zh-CN"/>
        </w:rPr>
        <w:t>奥氏体相变开始温度（</w:t>
      </w:r>
      <w:r w:rsidRPr="001D51D0">
        <w:rPr>
          <w:rFonts w:eastAsia="宋体" w:cs="宋体"/>
          <w:b/>
          <w:sz w:val="21"/>
          <w:lang w:eastAsia="zh-CN"/>
        </w:rPr>
        <w:t>As</w:t>
      </w:r>
      <w:r w:rsidRPr="001D51D0">
        <w:rPr>
          <w:rFonts w:eastAsia="宋体" w:cs="宋体"/>
          <w:b/>
          <w:sz w:val="21"/>
          <w:lang w:eastAsia="zh-CN"/>
        </w:rPr>
        <w:t>）</w:t>
      </w:r>
      <w:r w:rsidRPr="001D51D0">
        <w:rPr>
          <w:rFonts w:eastAsia="宋体" w:cs="宋体"/>
          <w:b/>
          <w:sz w:val="21"/>
          <w:lang w:eastAsia="zh-CN"/>
        </w:rPr>
        <w:t xml:space="preserve"> </w:t>
      </w:r>
      <w:r w:rsidRPr="001D51D0">
        <w:rPr>
          <w:rFonts w:eastAsia="宋体" w:cs="宋体"/>
          <w:sz w:val="21"/>
          <w:lang w:eastAsia="zh-CN"/>
        </w:rPr>
        <w:t>- “</w:t>
      </w:r>
      <w:r w:rsidRPr="001D51D0">
        <w:rPr>
          <w:rFonts w:eastAsia="宋体" w:cs="宋体"/>
          <w:sz w:val="21"/>
          <w:lang w:eastAsia="zh-CN"/>
        </w:rPr>
        <w:t>合金在单步相变加热过程中，从马氏体相向奥氏体相转变的开始温度，合金在两步相变加热过程中，从</w:t>
      </w:r>
      <w:r w:rsidRPr="00B57249">
        <w:rPr>
          <w:rFonts w:eastAsia="宋体" w:cs="宋体"/>
          <w:sz w:val="21"/>
          <w:lang w:eastAsia="zh-CN"/>
        </w:rPr>
        <w:t>R</w:t>
      </w:r>
      <w:r w:rsidRPr="00B57249">
        <w:rPr>
          <w:rFonts w:eastAsia="宋体" w:cs="宋体"/>
          <w:sz w:val="21"/>
          <w:lang w:eastAsia="zh-CN"/>
        </w:rPr>
        <w:t>相向奥氏体相转变的开始温度。</w:t>
      </w:r>
      <w:r w:rsidRPr="00B57249">
        <w:rPr>
          <w:rFonts w:eastAsia="宋体" w:cs="宋体"/>
          <w:sz w:val="21"/>
          <w:lang w:eastAsia="zh-CN"/>
        </w:rPr>
        <w:t>”</w:t>
      </w:r>
      <w:r w:rsidRPr="00B57249">
        <w:rPr>
          <w:rFonts w:eastAsia="宋体" w:cs="宋体"/>
          <w:sz w:val="21"/>
          <w:vertAlign w:val="superscript"/>
          <w:lang w:eastAsia="zh-CN"/>
        </w:rPr>
        <w:t>13</w:t>
      </w:r>
    </w:p>
    <w:p w14:paraId="48DCE325" w14:textId="77777777" w:rsidR="002914F0" w:rsidRPr="00586606" w:rsidRDefault="004F06FE" w:rsidP="002914F0">
      <w:pPr>
        <w:pStyle w:val="a3"/>
        <w:adjustRightInd w:val="0"/>
        <w:snapToGrid w:val="0"/>
        <w:spacing w:beforeLines="50" w:before="120" w:line="300" w:lineRule="auto"/>
        <w:jc w:val="both"/>
        <w:rPr>
          <w:sz w:val="21"/>
          <w:szCs w:val="21"/>
          <w:lang w:eastAsia="zh-CN"/>
        </w:rPr>
      </w:pPr>
      <w:r w:rsidRPr="00586606">
        <w:rPr>
          <w:rFonts w:eastAsia="宋体" w:cs="宋体" w:hint="eastAsia"/>
          <w:b/>
          <w:sz w:val="21"/>
          <w:lang w:eastAsia="zh-CN"/>
        </w:rPr>
        <w:t>奥氏体相变终了温度（</w:t>
      </w:r>
      <w:proofErr w:type="spellStart"/>
      <w:r w:rsidRPr="00586606">
        <w:rPr>
          <w:rFonts w:eastAsia="宋体" w:cs="宋体"/>
          <w:b/>
          <w:sz w:val="21"/>
          <w:lang w:eastAsia="zh-CN"/>
        </w:rPr>
        <w:t>Af</w:t>
      </w:r>
      <w:proofErr w:type="spellEnd"/>
      <w:r w:rsidRPr="00586606">
        <w:rPr>
          <w:rFonts w:eastAsia="宋体" w:cs="宋体" w:hint="eastAsia"/>
          <w:b/>
          <w:sz w:val="21"/>
          <w:lang w:eastAsia="zh-CN"/>
        </w:rPr>
        <w:t>）</w:t>
      </w:r>
      <w:r w:rsidRPr="00586606">
        <w:rPr>
          <w:rFonts w:eastAsia="宋体" w:cs="宋体"/>
          <w:b/>
          <w:sz w:val="21"/>
          <w:lang w:eastAsia="zh-CN"/>
        </w:rPr>
        <w:t xml:space="preserve"> </w:t>
      </w:r>
      <w:r w:rsidRPr="00586606">
        <w:rPr>
          <w:rFonts w:eastAsia="宋体" w:cs="宋体"/>
          <w:sz w:val="21"/>
          <w:lang w:eastAsia="zh-CN"/>
        </w:rPr>
        <w:t>- “</w:t>
      </w:r>
      <w:r w:rsidRPr="00586606">
        <w:rPr>
          <w:rFonts w:eastAsia="宋体" w:cs="宋体" w:hint="eastAsia"/>
          <w:sz w:val="21"/>
          <w:lang w:eastAsia="zh-CN"/>
        </w:rPr>
        <w:t>合金在单步相变加热过程中，完成马氏体相向奥氏体相转变时的终了温度，合金在两步相变加热过程中，完成</w:t>
      </w:r>
      <w:r w:rsidRPr="00586606">
        <w:rPr>
          <w:rFonts w:eastAsia="宋体" w:cs="宋体"/>
          <w:sz w:val="21"/>
          <w:lang w:eastAsia="zh-CN"/>
        </w:rPr>
        <w:t>R</w:t>
      </w:r>
      <w:r w:rsidRPr="00586606">
        <w:rPr>
          <w:rFonts w:eastAsia="宋体" w:cs="宋体" w:hint="eastAsia"/>
          <w:sz w:val="21"/>
          <w:lang w:eastAsia="zh-CN"/>
        </w:rPr>
        <w:t>相向奥氏体相转变时的终了温度。</w:t>
      </w:r>
      <w:r w:rsidRPr="00586606">
        <w:rPr>
          <w:rFonts w:eastAsia="宋体" w:cs="宋体"/>
          <w:sz w:val="21"/>
          <w:lang w:eastAsia="zh-CN"/>
        </w:rPr>
        <w:t>”</w:t>
      </w:r>
      <w:r w:rsidRPr="00586606">
        <w:rPr>
          <w:rFonts w:eastAsia="宋体" w:cs="宋体"/>
          <w:sz w:val="21"/>
          <w:vertAlign w:val="superscript"/>
          <w:lang w:eastAsia="zh-CN"/>
        </w:rPr>
        <w:t>14</w:t>
      </w:r>
    </w:p>
    <w:p w14:paraId="5D02E75E" w14:textId="77777777" w:rsidR="002914F0" w:rsidRPr="00586606" w:rsidRDefault="004F06FE" w:rsidP="002914F0">
      <w:pPr>
        <w:pStyle w:val="a3"/>
        <w:adjustRightInd w:val="0"/>
        <w:snapToGrid w:val="0"/>
        <w:spacing w:beforeLines="50" w:before="120" w:line="300" w:lineRule="auto"/>
        <w:jc w:val="both"/>
        <w:rPr>
          <w:sz w:val="21"/>
          <w:szCs w:val="21"/>
          <w:lang w:eastAsia="zh-CN"/>
        </w:rPr>
      </w:pPr>
      <w:r w:rsidRPr="00586606">
        <w:rPr>
          <w:rFonts w:eastAsia="宋体" w:cs="宋体" w:hint="eastAsia"/>
          <w:b/>
          <w:sz w:val="21"/>
          <w:lang w:eastAsia="zh-CN"/>
        </w:rPr>
        <w:t>最终成品形式</w:t>
      </w:r>
      <w:r w:rsidRPr="00586606">
        <w:rPr>
          <w:rFonts w:eastAsia="宋体" w:cs="宋体"/>
          <w:sz w:val="21"/>
          <w:lang w:eastAsia="zh-CN"/>
        </w:rPr>
        <w:t>-</w:t>
      </w:r>
      <w:r w:rsidRPr="00586606">
        <w:rPr>
          <w:rFonts w:eastAsia="宋体" w:cs="宋体" w:hint="eastAsia"/>
          <w:sz w:val="21"/>
          <w:lang w:eastAsia="zh-CN"/>
        </w:rPr>
        <w:t>适用于经历所有为</w:t>
      </w:r>
      <w:r w:rsidRPr="00586606">
        <w:rPr>
          <w:rFonts w:eastAsia="宋体" w:cs="宋体"/>
          <w:sz w:val="21"/>
          <w:lang w:eastAsia="zh-CN"/>
        </w:rPr>
        <w:t>“</w:t>
      </w:r>
      <w:r w:rsidRPr="00586606">
        <w:rPr>
          <w:rFonts w:eastAsia="宋体" w:cs="宋体" w:hint="eastAsia"/>
          <w:sz w:val="21"/>
          <w:lang w:eastAsia="zh-CN"/>
        </w:rPr>
        <w:t>待销售</w:t>
      </w:r>
      <w:r w:rsidRPr="00586606">
        <w:rPr>
          <w:rFonts w:eastAsia="宋体" w:cs="宋体"/>
          <w:sz w:val="21"/>
          <w:lang w:eastAsia="zh-CN"/>
        </w:rPr>
        <w:t>”</w:t>
      </w:r>
      <w:r w:rsidRPr="00586606">
        <w:rPr>
          <w:rFonts w:eastAsia="宋体" w:cs="宋体" w:hint="eastAsia"/>
          <w:sz w:val="21"/>
          <w:lang w:eastAsia="zh-CN"/>
        </w:rPr>
        <w:t>器械进行的制造工艺的器械或器械组件，包括包装和灭菌（如适用）。</w:t>
      </w:r>
    </w:p>
    <w:p w14:paraId="56E0FC96" w14:textId="1046FD7B" w:rsidR="00016046" w:rsidRDefault="004F06FE" w:rsidP="00016046">
      <w:pPr>
        <w:pStyle w:val="a3"/>
        <w:adjustRightInd w:val="0"/>
        <w:snapToGrid w:val="0"/>
        <w:spacing w:beforeLines="50" w:before="120" w:line="300" w:lineRule="auto"/>
        <w:jc w:val="both"/>
        <w:rPr>
          <w:sz w:val="21"/>
          <w:szCs w:val="21"/>
        </w:rPr>
      </w:pPr>
      <w:r w:rsidRPr="00586606">
        <w:rPr>
          <w:rFonts w:eastAsia="宋体" w:cs="宋体" w:hint="eastAsia"/>
          <w:b/>
          <w:sz w:val="21"/>
          <w:lang w:eastAsia="zh-CN"/>
        </w:rPr>
        <w:t>马氏体相变开始温度（</w:t>
      </w:r>
      <w:proofErr w:type="spellStart"/>
      <w:r w:rsidRPr="00586606">
        <w:rPr>
          <w:rFonts w:eastAsia="宋体" w:cs="宋体"/>
          <w:b/>
          <w:sz w:val="21"/>
          <w:lang w:eastAsia="zh-CN"/>
        </w:rPr>
        <w:t>Ms</w:t>
      </w:r>
      <w:proofErr w:type="spellEnd"/>
      <w:r w:rsidRPr="00586606">
        <w:rPr>
          <w:rFonts w:eastAsia="宋体" w:cs="宋体" w:hint="eastAsia"/>
          <w:b/>
          <w:sz w:val="21"/>
          <w:lang w:eastAsia="zh-CN"/>
        </w:rPr>
        <w:t>）</w:t>
      </w:r>
      <w:r w:rsidRPr="00586606">
        <w:rPr>
          <w:rFonts w:eastAsia="宋体" w:cs="宋体"/>
          <w:sz w:val="21"/>
          <w:lang w:eastAsia="zh-CN"/>
        </w:rPr>
        <w:t xml:space="preserve"> - “</w:t>
      </w:r>
      <w:r w:rsidRPr="00586606">
        <w:rPr>
          <w:rFonts w:eastAsia="宋体" w:cs="宋体" w:hint="eastAsia"/>
          <w:sz w:val="21"/>
          <w:lang w:eastAsia="zh-CN"/>
        </w:rPr>
        <w:t>合金在单步相变冷却过程中，从奥氏体相向马氏体相转变的开始温度，合金在两步相变冷却过程中，从</w:t>
      </w:r>
      <w:r w:rsidRPr="00586606">
        <w:rPr>
          <w:rFonts w:eastAsia="宋体" w:cs="宋体"/>
          <w:sz w:val="21"/>
          <w:lang w:eastAsia="zh-CN"/>
        </w:rPr>
        <w:t>R</w:t>
      </w:r>
      <w:r w:rsidRPr="00586606">
        <w:rPr>
          <w:rFonts w:eastAsia="宋体" w:cs="宋体" w:hint="eastAsia"/>
          <w:sz w:val="21"/>
          <w:lang w:eastAsia="zh-CN"/>
        </w:rPr>
        <w:t>相向马氏体相转变的开始温度。</w:t>
      </w:r>
      <w:r w:rsidRPr="00586606">
        <w:rPr>
          <w:rFonts w:eastAsia="宋体" w:cs="宋体"/>
          <w:sz w:val="21"/>
        </w:rPr>
        <w:t>”</w:t>
      </w:r>
      <w:r w:rsidRPr="00586606">
        <w:rPr>
          <w:rFonts w:eastAsia="宋体" w:cs="宋体"/>
          <w:sz w:val="21"/>
          <w:vertAlign w:val="superscript"/>
        </w:rPr>
        <w:t>15</w:t>
      </w:r>
    </w:p>
    <w:p w14:paraId="47BAEC5A" w14:textId="77777777" w:rsidR="00016046" w:rsidRPr="00AF2411" w:rsidRDefault="00016046" w:rsidP="00853F4C">
      <w:pPr>
        <w:adjustRightInd w:val="0"/>
        <w:snapToGrid w:val="0"/>
        <w:spacing w:beforeLines="1350" w:before="3240" w:line="300" w:lineRule="auto"/>
        <w:jc w:val="both"/>
        <w:rPr>
          <w:rFonts w:eastAsiaTheme="minorEastAsia"/>
          <w:sz w:val="21"/>
          <w:szCs w:val="21"/>
          <w:lang w:eastAsia="zh-CN"/>
        </w:rPr>
      </w:pPr>
      <w:r w:rsidRPr="003277D0">
        <w:rPr>
          <w:rFonts w:eastAsia="宋体" w:cs="宋体"/>
          <w:sz w:val="21"/>
        </w:rPr>
        <w:t>______________________________</w:t>
      </w:r>
    </w:p>
    <w:p w14:paraId="3ACA2704" w14:textId="7DFFAF84"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8</w:t>
      </w:r>
      <w:r w:rsidRPr="003277D0">
        <w:rPr>
          <w:rFonts w:eastAsia="宋体" w:cs="宋体"/>
          <w:sz w:val="18"/>
        </w:rPr>
        <w:t xml:space="preserve"> Zhu L, Trepanier C, Pelton A, </w:t>
      </w:r>
      <w:proofErr w:type="spellStart"/>
      <w:r w:rsidRPr="003277D0">
        <w:rPr>
          <w:rFonts w:eastAsia="宋体" w:cs="宋体"/>
          <w:sz w:val="18"/>
        </w:rPr>
        <w:t>Fino</w:t>
      </w:r>
      <w:proofErr w:type="spellEnd"/>
      <w:r w:rsidRPr="003277D0">
        <w:rPr>
          <w:rFonts w:eastAsia="宋体" w:cs="宋体"/>
          <w:sz w:val="18"/>
        </w:rPr>
        <w:t xml:space="preserve"> JM.</w:t>
      </w:r>
      <w:r w:rsidR="00EB694F">
        <w:rPr>
          <w:rFonts w:eastAsia="宋体" w:cs="宋体"/>
          <w:sz w:val="18"/>
        </w:rPr>
        <w:t xml:space="preserve"> </w:t>
      </w:r>
      <w:r w:rsidRPr="003277D0">
        <w:rPr>
          <w:rFonts w:eastAsia="宋体" w:cs="宋体"/>
          <w:sz w:val="18"/>
        </w:rPr>
        <w:t>Oxidation of Nitinol and its Effect on Corrosion Resistance.ASM Materials and Processes for Medical Devices 2003</w:t>
      </w:r>
    </w:p>
    <w:p w14:paraId="7847A016" w14:textId="0A4625D6"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9</w:t>
      </w:r>
      <w:r w:rsidRPr="003277D0">
        <w:rPr>
          <w:rFonts w:eastAsia="宋体" w:cs="宋体"/>
          <w:sz w:val="18"/>
        </w:rPr>
        <w:t xml:space="preserve"> Sullivan SJ, Dreher ML, Zheng J, Chen L, </w:t>
      </w:r>
      <w:proofErr w:type="spellStart"/>
      <w:r w:rsidRPr="003277D0">
        <w:rPr>
          <w:rFonts w:eastAsia="宋体" w:cs="宋体"/>
          <w:sz w:val="18"/>
        </w:rPr>
        <w:t>Madamba</w:t>
      </w:r>
      <w:proofErr w:type="spellEnd"/>
      <w:r w:rsidRPr="003277D0">
        <w:rPr>
          <w:rFonts w:eastAsia="宋体" w:cs="宋体"/>
          <w:sz w:val="18"/>
        </w:rPr>
        <w:t xml:space="preserve"> D, Miyashiro K, et al.</w:t>
      </w:r>
      <w:r w:rsidR="00EB694F">
        <w:rPr>
          <w:rFonts w:eastAsia="宋体" w:cs="宋体"/>
          <w:sz w:val="18"/>
        </w:rPr>
        <w:t xml:space="preserve"> </w:t>
      </w:r>
      <w:r w:rsidRPr="003277D0">
        <w:rPr>
          <w:rFonts w:eastAsia="宋体" w:cs="宋体"/>
          <w:sz w:val="18"/>
        </w:rPr>
        <w:t>Effects of Oxide Layer Composition and Radial Compression on Nickel Release in Nitinol Stents. Shape Memory and Superelasticity.2015;1(3):319-27.</w:t>
      </w:r>
    </w:p>
    <w:p w14:paraId="0D7C224A" w14:textId="5995684E" w:rsidR="00D020CF" w:rsidRPr="003277D0" w:rsidRDefault="004F06FE" w:rsidP="00016046">
      <w:pPr>
        <w:adjustRightInd w:val="0"/>
        <w:snapToGrid w:val="0"/>
        <w:spacing w:beforeLines="15" w:before="36" w:line="276" w:lineRule="auto"/>
        <w:jc w:val="both"/>
        <w:rPr>
          <w:sz w:val="18"/>
          <w:szCs w:val="21"/>
        </w:rPr>
      </w:pPr>
      <w:bookmarkStart w:id="3" w:name="_bookmark12"/>
      <w:bookmarkEnd w:id="3"/>
      <w:r w:rsidRPr="003277D0">
        <w:rPr>
          <w:sz w:val="18"/>
          <w:szCs w:val="21"/>
          <w:vertAlign w:val="superscript"/>
        </w:rPr>
        <w:t>10</w:t>
      </w:r>
      <w:r w:rsidRPr="003277D0">
        <w:rPr>
          <w:color w:val="0000FF"/>
          <w:sz w:val="18"/>
          <w:szCs w:val="21"/>
          <w:u w:val="single" w:color="0000FF"/>
        </w:rPr>
        <w:t>http://web.archive.org/web/20130203225843/http://www.fda.gov/MedicalDevices/NewsEvents/WorkshopsConferences/ucm287535.htm</w:t>
      </w:r>
    </w:p>
    <w:p w14:paraId="6E3C2FBF" w14:textId="31EDB49F"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11</w:t>
      </w:r>
      <w:r w:rsidRPr="003277D0">
        <w:rPr>
          <w:rFonts w:eastAsia="宋体" w:cs="宋体"/>
          <w:sz w:val="18"/>
        </w:rPr>
        <w:t xml:space="preserve"> </w:t>
      </w:r>
      <w:proofErr w:type="spellStart"/>
      <w:r w:rsidRPr="003277D0">
        <w:rPr>
          <w:rFonts w:eastAsia="宋体" w:cs="宋体"/>
          <w:sz w:val="18"/>
        </w:rPr>
        <w:t>Nagaraja</w:t>
      </w:r>
      <w:proofErr w:type="spellEnd"/>
      <w:r w:rsidRPr="003277D0">
        <w:rPr>
          <w:rFonts w:eastAsia="宋体" w:cs="宋体"/>
          <w:sz w:val="18"/>
        </w:rPr>
        <w:t xml:space="preserve"> S, Di Prima M, Saylor D, </w:t>
      </w:r>
      <w:proofErr w:type="spellStart"/>
      <w:r w:rsidRPr="003277D0">
        <w:rPr>
          <w:rFonts w:eastAsia="宋体" w:cs="宋体"/>
          <w:sz w:val="18"/>
        </w:rPr>
        <w:t>Takai</w:t>
      </w:r>
      <w:proofErr w:type="spellEnd"/>
      <w:r w:rsidRPr="003277D0">
        <w:rPr>
          <w:rFonts w:eastAsia="宋体" w:cs="宋体"/>
          <w:sz w:val="18"/>
        </w:rPr>
        <w:t xml:space="preserve"> E. Current practices in corrosion, surface characterization, and nickel leach testing of cardiovascular metallic implants.</w:t>
      </w:r>
      <w:r w:rsidR="00EB694F">
        <w:rPr>
          <w:rFonts w:eastAsia="宋体" w:cs="宋体"/>
          <w:sz w:val="18"/>
        </w:rPr>
        <w:t xml:space="preserve"> </w:t>
      </w:r>
      <w:r w:rsidRPr="003277D0">
        <w:rPr>
          <w:rFonts w:eastAsia="宋体" w:cs="宋体"/>
          <w:sz w:val="18"/>
        </w:rPr>
        <w:t>Journal of Biomedical Materials Research Part B: Applied Biomaterials.2016;105(6):1330-1341</w:t>
      </w:r>
    </w:p>
    <w:p w14:paraId="16009B70" w14:textId="3EDE6FA1"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12</w:t>
      </w:r>
      <w:r w:rsidRPr="003277D0">
        <w:rPr>
          <w:rFonts w:eastAsia="宋体" w:cs="宋体"/>
          <w:sz w:val="18"/>
        </w:rPr>
        <w:t xml:space="preserve"> </w:t>
      </w:r>
      <w:r w:rsidRPr="003277D0">
        <w:rPr>
          <w:rFonts w:eastAsia="宋体" w:cs="宋体"/>
          <w:color w:val="1C1C1C"/>
          <w:sz w:val="18"/>
        </w:rPr>
        <w:t>可登录以下网址获取：</w:t>
      </w:r>
      <w:r w:rsidRPr="003277D0">
        <w:rPr>
          <w:rFonts w:eastAsia="宋体" w:cs="宋体"/>
          <w:color w:val="0000FF"/>
          <w:sz w:val="18"/>
          <w:u w:val="single"/>
        </w:rPr>
        <w:t>https://www.fda.gov/regulatory-information/search-fda-guidance-documents/select-updates-non-</w:t>
      </w:r>
      <w:r w:rsidRPr="003277D0">
        <w:rPr>
          <w:rFonts w:eastAsia="宋体" w:cs="宋体"/>
          <w:color w:val="0000FF"/>
          <w:sz w:val="18"/>
        </w:rPr>
        <w:t xml:space="preserve"> </w:t>
      </w:r>
      <w:r w:rsidRPr="003277D0">
        <w:rPr>
          <w:rFonts w:eastAsia="宋体" w:cs="宋体"/>
          <w:color w:val="0000FF"/>
          <w:sz w:val="18"/>
          <w:u w:val="single"/>
        </w:rPr>
        <w:t>clinical-engineering-tests-and-recommended-labeling-intravascular-stents-and</w:t>
      </w:r>
    </w:p>
    <w:p w14:paraId="3057E4A4" w14:textId="7EC59C8D" w:rsidR="00D020CF" w:rsidRPr="00016046" w:rsidRDefault="004F06FE" w:rsidP="00016046">
      <w:pPr>
        <w:adjustRightInd w:val="0"/>
        <w:snapToGrid w:val="0"/>
        <w:spacing w:beforeLines="15" w:before="36" w:line="276" w:lineRule="auto"/>
        <w:jc w:val="both"/>
        <w:rPr>
          <w:sz w:val="18"/>
          <w:szCs w:val="21"/>
          <w:lang w:eastAsia="zh-CN"/>
        </w:rPr>
      </w:pPr>
      <w:r w:rsidRPr="003277D0">
        <w:rPr>
          <w:rFonts w:eastAsia="宋体" w:cs="宋体"/>
          <w:sz w:val="18"/>
          <w:vertAlign w:val="superscript"/>
        </w:rPr>
        <w:t>13</w:t>
      </w:r>
      <w:r w:rsidRPr="003277D0">
        <w:rPr>
          <w:rFonts w:eastAsia="宋体" w:cs="宋体"/>
          <w:sz w:val="18"/>
        </w:rPr>
        <w:t>Reprinted, with permission, from ASTM F2005−05 (Reapproved 2015) Standard Terminology for Nickel- Titanium Shape Memory Alloys, copyright ASTM International, 100 Barr Harbor Drive, West Conshohocken, PA 19428</w:t>
      </w:r>
      <w:r w:rsidR="00772E17">
        <w:rPr>
          <w:rFonts w:eastAsia="宋体" w:cs="宋体" w:hint="eastAsia"/>
          <w:sz w:val="18"/>
          <w:lang w:eastAsia="zh-CN"/>
        </w:rPr>
        <w:t>。</w:t>
      </w:r>
      <w:r w:rsidRPr="003277D0">
        <w:rPr>
          <w:rFonts w:eastAsia="宋体" w:cs="宋体"/>
          <w:sz w:val="18"/>
          <w:lang w:eastAsia="zh-CN"/>
        </w:rPr>
        <w:t>可登录</w:t>
      </w:r>
      <w:r w:rsidRPr="003277D0">
        <w:rPr>
          <w:rFonts w:eastAsia="宋体" w:cs="宋体"/>
          <w:sz w:val="18"/>
          <w:lang w:eastAsia="zh-CN"/>
        </w:rPr>
        <w:t>ASTM</w:t>
      </w:r>
      <w:r w:rsidRPr="003277D0">
        <w:rPr>
          <w:rFonts w:eastAsia="宋体" w:cs="宋体"/>
          <w:sz w:val="18"/>
          <w:lang w:eastAsia="zh-CN"/>
        </w:rPr>
        <w:t>网站（</w:t>
      </w:r>
      <w:r w:rsidRPr="003277D0">
        <w:rPr>
          <w:rFonts w:eastAsia="宋体" w:cs="宋体"/>
          <w:color w:val="0000FF"/>
          <w:sz w:val="18"/>
          <w:u w:val="single"/>
          <w:lang w:eastAsia="zh-CN"/>
        </w:rPr>
        <w:t>www.astm.org</w:t>
      </w:r>
      <w:r w:rsidRPr="003277D0">
        <w:rPr>
          <w:rFonts w:eastAsia="宋体" w:cs="宋体"/>
          <w:sz w:val="18"/>
          <w:lang w:eastAsia="zh-CN"/>
        </w:rPr>
        <w:t>）获得完整的标准副本。</w:t>
      </w:r>
    </w:p>
    <w:p w14:paraId="779BB5AC" w14:textId="5DF4F1C0" w:rsidR="002914F0" w:rsidRPr="003277D0" w:rsidRDefault="004F06FE" w:rsidP="00016046">
      <w:pPr>
        <w:adjustRightInd w:val="0"/>
        <w:snapToGrid w:val="0"/>
        <w:spacing w:beforeLines="15" w:before="36" w:line="276" w:lineRule="auto"/>
        <w:jc w:val="both"/>
        <w:rPr>
          <w:sz w:val="21"/>
          <w:szCs w:val="21"/>
          <w:lang w:eastAsia="zh-CN"/>
        </w:rPr>
      </w:pPr>
      <w:bookmarkStart w:id="4" w:name="_bookmark16"/>
      <w:bookmarkEnd w:id="4"/>
      <w:r w:rsidRPr="003277D0">
        <w:rPr>
          <w:sz w:val="18"/>
          <w:szCs w:val="21"/>
          <w:vertAlign w:val="superscript"/>
          <w:lang w:eastAsia="zh-CN"/>
        </w:rPr>
        <w:t>14</w:t>
      </w:r>
      <w:r w:rsidRPr="003277D0">
        <w:rPr>
          <w:sz w:val="18"/>
          <w:szCs w:val="21"/>
          <w:lang w:eastAsia="zh-CN"/>
        </w:rPr>
        <w:t xml:space="preserve"> ibid</w:t>
      </w:r>
      <w:r w:rsidR="002914F0" w:rsidRPr="003277D0">
        <w:rPr>
          <w:sz w:val="21"/>
          <w:szCs w:val="21"/>
          <w:lang w:eastAsia="zh-CN"/>
        </w:rPr>
        <w:br w:type="page"/>
      </w:r>
    </w:p>
    <w:p w14:paraId="229D1B73" w14:textId="77777777" w:rsidR="002914F0" w:rsidRDefault="004F06FE" w:rsidP="002914F0">
      <w:pPr>
        <w:pStyle w:val="a3"/>
        <w:adjustRightInd w:val="0"/>
        <w:snapToGrid w:val="0"/>
        <w:spacing w:beforeLines="50" w:before="120" w:line="300" w:lineRule="auto"/>
        <w:jc w:val="both"/>
        <w:rPr>
          <w:sz w:val="21"/>
          <w:szCs w:val="21"/>
          <w:lang w:eastAsia="zh-CN"/>
        </w:rPr>
      </w:pPr>
      <w:r w:rsidRPr="003277D0">
        <w:rPr>
          <w:rFonts w:eastAsia="宋体" w:cs="宋体"/>
          <w:b/>
          <w:sz w:val="21"/>
          <w:lang w:eastAsia="zh-CN"/>
        </w:rPr>
        <w:lastRenderedPageBreak/>
        <w:t>马氏体相变终了温度（</w:t>
      </w:r>
      <w:r w:rsidRPr="003277D0">
        <w:rPr>
          <w:rFonts w:eastAsia="宋体" w:cs="宋体"/>
          <w:b/>
          <w:sz w:val="21"/>
          <w:lang w:eastAsia="zh-CN"/>
        </w:rPr>
        <w:t>Mf</w:t>
      </w:r>
      <w:r w:rsidRPr="003277D0">
        <w:rPr>
          <w:rFonts w:eastAsia="宋体" w:cs="宋体"/>
          <w:b/>
          <w:sz w:val="21"/>
          <w:lang w:eastAsia="zh-CN"/>
        </w:rPr>
        <w:t>）</w:t>
      </w:r>
      <w:r w:rsidRPr="003277D0">
        <w:rPr>
          <w:rFonts w:eastAsia="宋体" w:cs="宋体"/>
          <w:sz w:val="21"/>
          <w:lang w:eastAsia="zh-CN"/>
        </w:rPr>
        <w:t xml:space="preserve"> - “</w:t>
      </w:r>
      <w:r w:rsidRPr="003277D0">
        <w:rPr>
          <w:rFonts w:eastAsia="宋体" w:cs="宋体"/>
          <w:sz w:val="21"/>
          <w:lang w:eastAsia="zh-CN"/>
        </w:rPr>
        <w:t>合金在单步相变冷却过程中，完成奥氏体相向马氏体相转变时的终了温度，合金在两步相变冷却过程中，完成</w:t>
      </w:r>
      <w:r w:rsidRPr="003277D0">
        <w:rPr>
          <w:rFonts w:eastAsia="宋体" w:cs="宋体"/>
          <w:sz w:val="21"/>
          <w:lang w:eastAsia="zh-CN"/>
        </w:rPr>
        <w:t>R</w:t>
      </w:r>
      <w:r w:rsidRPr="003277D0">
        <w:rPr>
          <w:rFonts w:eastAsia="宋体" w:cs="宋体"/>
          <w:sz w:val="21"/>
          <w:lang w:eastAsia="zh-CN"/>
        </w:rPr>
        <w:t>相向马氏体相转变时的终了温度。</w:t>
      </w:r>
      <w:r w:rsidRPr="003277D0">
        <w:rPr>
          <w:rFonts w:eastAsia="宋体" w:cs="宋体"/>
          <w:sz w:val="21"/>
          <w:lang w:eastAsia="zh-CN"/>
        </w:rPr>
        <w:t>”</w:t>
      </w:r>
      <w:r w:rsidRPr="003277D0">
        <w:rPr>
          <w:rFonts w:eastAsia="宋体" w:cs="宋体"/>
          <w:sz w:val="21"/>
          <w:vertAlign w:val="superscript"/>
          <w:lang w:eastAsia="zh-CN"/>
        </w:rPr>
        <w:t>16</w:t>
      </w:r>
    </w:p>
    <w:p w14:paraId="0032BF15" w14:textId="77777777" w:rsidR="002914F0" w:rsidRDefault="004F06FE" w:rsidP="002914F0">
      <w:pPr>
        <w:pStyle w:val="a3"/>
        <w:adjustRightInd w:val="0"/>
        <w:snapToGrid w:val="0"/>
        <w:spacing w:beforeLines="50" w:before="120" w:line="300" w:lineRule="auto"/>
        <w:jc w:val="both"/>
        <w:rPr>
          <w:sz w:val="21"/>
          <w:szCs w:val="21"/>
          <w:lang w:eastAsia="zh-CN"/>
        </w:rPr>
      </w:pPr>
      <w:r w:rsidRPr="003277D0">
        <w:rPr>
          <w:rFonts w:eastAsia="宋体" w:cs="宋体"/>
          <w:b/>
          <w:sz w:val="21"/>
          <w:lang w:eastAsia="zh-CN"/>
        </w:rPr>
        <w:t>R</w:t>
      </w:r>
      <w:r w:rsidRPr="003277D0">
        <w:rPr>
          <w:rFonts w:eastAsia="宋体" w:cs="宋体"/>
          <w:b/>
          <w:sz w:val="21"/>
          <w:lang w:eastAsia="zh-CN"/>
        </w:rPr>
        <w:t>相</w:t>
      </w:r>
      <w:r w:rsidRPr="003277D0">
        <w:rPr>
          <w:rFonts w:eastAsia="宋体" w:cs="宋体"/>
          <w:sz w:val="21"/>
          <w:lang w:eastAsia="zh-CN"/>
        </w:rPr>
        <w:t>-“</w:t>
      </w:r>
      <w:r w:rsidRPr="003277D0">
        <w:rPr>
          <w:rFonts w:eastAsia="宋体" w:cs="宋体"/>
          <w:sz w:val="21"/>
          <w:lang w:eastAsia="zh-CN"/>
        </w:rPr>
        <w:t>形成的介于奥氏体和马氏体之间的过渡相。</w:t>
      </w:r>
      <w:r w:rsidRPr="003277D0">
        <w:rPr>
          <w:rFonts w:eastAsia="宋体" w:cs="宋体"/>
          <w:sz w:val="21"/>
          <w:lang w:eastAsia="zh-CN"/>
        </w:rPr>
        <w:t>”</w:t>
      </w:r>
      <w:r w:rsidRPr="003277D0">
        <w:rPr>
          <w:rFonts w:eastAsia="宋体" w:cs="宋体"/>
          <w:sz w:val="21"/>
          <w:vertAlign w:val="superscript"/>
          <w:lang w:eastAsia="zh-CN"/>
        </w:rPr>
        <w:t>17</w:t>
      </w:r>
    </w:p>
    <w:p w14:paraId="35D933DD" w14:textId="77777777" w:rsidR="002914F0" w:rsidRDefault="004F06FE" w:rsidP="002914F0">
      <w:pPr>
        <w:adjustRightInd w:val="0"/>
        <w:snapToGrid w:val="0"/>
        <w:spacing w:beforeLines="50" w:before="120" w:line="300" w:lineRule="auto"/>
        <w:jc w:val="both"/>
        <w:rPr>
          <w:sz w:val="21"/>
          <w:szCs w:val="21"/>
          <w:lang w:eastAsia="zh-CN"/>
        </w:rPr>
      </w:pPr>
      <w:r w:rsidRPr="003277D0">
        <w:rPr>
          <w:rFonts w:eastAsia="宋体" w:cs="宋体"/>
          <w:b/>
          <w:sz w:val="21"/>
          <w:lang w:eastAsia="zh-CN"/>
        </w:rPr>
        <w:t>R'</w:t>
      </w:r>
      <w:r w:rsidRPr="003277D0">
        <w:rPr>
          <w:rFonts w:eastAsia="宋体" w:cs="宋体"/>
          <w:b/>
          <w:sz w:val="21"/>
          <w:lang w:eastAsia="zh-CN"/>
        </w:rPr>
        <w:t>相相变开始温度（</w:t>
      </w:r>
      <w:r w:rsidRPr="003277D0">
        <w:rPr>
          <w:rFonts w:eastAsia="宋体" w:cs="宋体"/>
          <w:b/>
          <w:sz w:val="21"/>
          <w:lang w:eastAsia="zh-CN"/>
        </w:rPr>
        <w:t>R's</w:t>
      </w:r>
      <w:r w:rsidRPr="003277D0">
        <w:rPr>
          <w:rFonts w:eastAsia="宋体" w:cs="宋体"/>
          <w:b/>
          <w:sz w:val="21"/>
          <w:lang w:eastAsia="zh-CN"/>
        </w:rPr>
        <w:t>）</w:t>
      </w:r>
      <w:r w:rsidRPr="003277D0">
        <w:rPr>
          <w:rFonts w:eastAsia="宋体" w:cs="宋体"/>
          <w:b/>
          <w:sz w:val="21"/>
          <w:lang w:eastAsia="zh-CN"/>
        </w:rPr>
        <w:t xml:space="preserve"> </w:t>
      </w:r>
      <w:r w:rsidRPr="003277D0">
        <w:rPr>
          <w:rFonts w:eastAsia="宋体" w:cs="宋体"/>
          <w:sz w:val="21"/>
          <w:lang w:eastAsia="zh-CN"/>
        </w:rPr>
        <w:t xml:space="preserve">- </w:t>
      </w:r>
      <w:r w:rsidRPr="003277D0">
        <w:rPr>
          <w:rFonts w:eastAsia="宋体" w:cs="宋体"/>
          <w:sz w:val="21"/>
          <w:lang w:eastAsia="zh-CN"/>
        </w:rPr>
        <w:t>合金在两步相变加热过程中，从马氏体相向</w:t>
      </w:r>
      <w:r w:rsidRPr="003277D0">
        <w:rPr>
          <w:rFonts w:eastAsia="宋体" w:cs="宋体"/>
          <w:sz w:val="21"/>
          <w:lang w:eastAsia="zh-CN"/>
        </w:rPr>
        <w:t>R</w:t>
      </w:r>
      <w:r w:rsidRPr="003277D0">
        <w:rPr>
          <w:rFonts w:eastAsia="宋体" w:cs="宋体"/>
          <w:sz w:val="21"/>
          <w:lang w:eastAsia="zh-CN"/>
        </w:rPr>
        <w:t>相转变的开始温度。</w:t>
      </w:r>
      <w:r w:rsidRPr="003277D0">
        <w:rPr>
          <w:rFonts w:eastAsia="宋体" w:cs="宋体"/>
          <w:sz w:val="21"/>
          <w:vertAlign w:val="superscript"/>
          <w:lang w:eastAsia="zh-CN"/>
        </w:rPr>
        <w:t>18</w:t>
      </w:r>
    </w:p>
    <w:p w14:paraId="68A777B5" w14:textId="77777777" w:rsidR="002914F0" w:rsidRDefault="004F06FE" w:rsidP="002914F0">
      <w:pPr>
        <w:adjustRightInd w:val="0"/>
        <w:snapToGrid w:val="0"/>
        <w:spacing w:beforeLines="50" w:before="120" w:line="300" w:lineRule="auto"/>
        <w:jc w:val="both"/>
        <w:rPr>
          <w:sz w:val="21"/>
          <w:szCs w:val="21"/>
          <w:lang w:eastAsia="zh-CN"/>
        </w:rPr>
      </w:pPr>
      <w:r w:rsidRPr="003277D0">
        <w:rPr>
          <w:rFonts w:eastAsia="宋体" w:cs="宋体"/>
          <w:b/>
          <w:sz w:val="21"/>
          <w:lang w:eastAsia="zh-CN"/>
        </w:rPr>
        <w:t>R'</w:t>
      </w:r>
      <w:r w:rsidRPr="003277D0">
        <w:rPr>
          <w:rFonts w:eastAsia="宋体" w:cs="宋体"/>
          <w:b/>
          <w:sz w:val="21"/>
          <w:lang w:eastAsia="zh-CN"/>
        </w:rPr>
        <w:t>相相变终了温度（</w:t>
      </w:r>
      <w:proofErr w:type="spellStart"/>
      <w:r w:rsidRPr="003277D0">
        <w:rPr>
          <w:rFonts w:eastAsia="宋体" w:cs="宋体"/>
          <w:b/>
          <w:sz w:val="21"/>
          <w:lang w:eastAsia="zh-CN"/>
        </w:rPr>
        <w:t>R'f</w:t>
      </w:r>
      <w:proofErr w:type="spellEnd"/>
      <w:r w:rsidRPr="003277D0">
        <w:rPr>
          <w:rFonts w:eastAsia="宋体" w:cs="宋体"/>
          <w:b/>
          <w:sz w:val="21"/>
          <w:lang w:eastAsia="zh-CN"/>
        </w:rPr>
        <w:t>）</w:t>
      </w:r>
      <w:r w:rsidRPr="003277D0">
        <w:rPr>
          <w:rFonts w:eastAsia="宋体" w:cs="宋体"/>
          <w:b/>
          <w:sz w:val="21"/>
          <w:lang w:eastAsia="zh-CN"/>
        </w:rPr>
        <w:t xml:space="preserve"> </w:t>
      </w:r>
      <w:r w:rsidRPr="003277D0">
        <w:rPr>
          <w:rFonts w:eastAsia="宋体" w:cs="宋体"/>
          <w:sz w:val="21"/>
          <w:lang w:eastAsia="zh-CN"/>
        </w:rPr>
        <w:t xml:space="preserve">- </w:t>
      </w:r>
      <w:r w:rsidRPr="003277D0">
        <w:rPr>
          <w:rFonts w:eastAsia="宋体" w:cs="宋体"/>
          <w:sz w:val="21"/>
          <w:lang w:eastAsia="zh-CN"/>
        </w:rPr>
        <w:t>合金在两步相变加热过程中，完成马氏体相向</w:t>
      </w:r>
      <w:r w:rsidRPr="003277D0">
        <w:rPr>
          <w:rFonts w:eastAsia="宋体" w:cs="宋体"/>
          <w:sz w:val="21"/>
          <w:lang w:eastAsia="zh-CN"/>
        </w:rPr>
        <w:t>R</w:t>
      </w:r>
      <w:r w:rsidRPr="003277D0">
        <w:rPr>
          <w:rFonts w:eastAsia="宋体" w:cs="宋体"/>
          <w:sz w:val="21"/>
          <w:lang w:eastAsia="zh-CN"/>
        </w:rPr>
        <w:t>相转变时的终了温度。</w:t>
      </w:r>
      <w:r w:rsidRPr="003277D0">
        <w:rPr>
          <w:rFonts w:eastAsia="宋体" w:cs="宋体"/>
          <w:sz w:val="21"/>
          <w:vertAlign w:val="superscript"/>
          <w:lang w:eastAsia="zh-CN"/>
        </w:rPr>
        <w:t>19</w:t>
      </w:r>
    </w:p>
    <w:p w14:paraId="7BA83B7C" w14:textId="58B5C3E7" w:rsidR="002914F0" w:rsidRDefault="004F06FE" w:rsidP="002914F0">
      <w:pPr>
        <w:pStyle w:val="a3"/>
        <w:adjustRightInd w:val="0"/>
        <w:snapToGrid w:val="0"/>
        <w:spacing w:beforeLines="50" w:before="120" w:line="300" w:lineRule="auto"/>
        <w:jc w:val="both"/>
        <w:rPr>
          <w:sz w:val="21"/>
          <w:szCs w:val="21"/>
          <w:lang w:eastAsia="zh-CN"/>
        </w:rPr>
      </w:pPr>
      <w:r w:rsidRPr="003277D0">
        <w:rPr>
          <w:rFonts w:eastAsia="宋体" w:cs="宋体"/>
          <w:b/>
          <w:sz w:val="21"/>
          <w:lang w:eastAsia="zh-CN"/>
        </w:rPr>
        <w:t>形状记忆合金</w:t>
      </w:r>
      <w:r w:rsidRPr="003277D0">
        <w:rPr>
          <w:rFonts w:eastAsia="宋体" w:cs="宋体"/>
          <w:sz w:val="21"/>
          <w:lang w:eastAsia="zh-CN"/>
        </w:rPr>
        <w:t xml:space="preserve"> - “</w:t>
      </w:r>
      <w:r w:rsidRPr="003277D0">
        <w:rPr>
          <w:rFonts w:eastAsia="宋体" w:cs="宋体"/>
          <w:sz w:val="21"/>
          <w:lang w:eastAsia="zh-CN"/>
        </w:rPr>
        <w:t>在马氏体相发生明显塑性形变后，加热到其相变温度范围时，晶体结构发生热弹性变化，从而使形变恢复的金属。</w:t>
      </w:r>
      <w:r w:rsidRPr="003277D0">
        <w:rPr>
          <w:rFonts w:eastAsia="宋体" w:cs="宋体"/>
          <w:sz w:val="21"/>
          <w:lang w:eastAsia="zh-CN"/>
        </w:rPr>
        <w:t>”</w:t>
      </w:r>
      <w:r w:rsidRPr="003277D0">
        <w:rPr>
          <w:rFonts w:eastAsia="宋体" w:cs="宋体"/>
          <w:sz w:val="21"/>
          <w:vertAlign w:val="superscript"/>
          <w:lang w:eastAsia="zh-CN"/>
        </w:rPr>
        <w:t>20</w:t>
      </w:r>
    </w:p>
    <w:p w14:paraId="7FFEF0FD" w14:textId="77777777" w:rsidR="002914F0" w:rsidRDefault="004F06FE" w:rsidP="002914F0">
      <w:pPr>
        <w:adjustRightInd w:val="0"/>
        <w:snapToGrid w:val="0"/>
        <w:spacing w:beforeLines="50" w:before="120" w:line="300" w:lineRule="auto"/>
        <w:jc w:val="both"/>
        <w:rPr>
          <w:sz w:val="21"/>
          <w:szCs w:val="21"/>
          <w:lang w:eastAsia="zh-CN"/>
        </w:rPr>
      </w:pPr>
      <w:r w:rsidRPr="003277D0">
        <w:rPr>
          <w:rFonts w:eastAsia="宋体" w:cs="宋体"/>
          <w:b/>
          <w:sz w:val="21"/>
          <w:lang w:eastAsia="zh-CN"/>
        </w:rPr>
        <w:t>预调节处理（模拟使用）</w:t>
      </w:r>
      <w:r w:rsidRPr="003277D0">
        <w:rPr>
          <w:rFonts w:eastAsia="宋体" w:cs="宋体"/>
          <w:sz w:val="21"/>
          <w:lang w:eastAsia="zh-CN"/>
        </w:rPr>
        <w:t>-</w:t>
      </w:r>
      <w:r w:rsidRPr="003277D0">
        <w:rPr>
          <w:rFonts w:eastAsia="宋体" w:cs="宋体"/>
          <w:sz w:val="21"/>
          <w:lang w:eastAsia="zh-CN"/>
        </w:rPr>
        <w:t>试验器械的装载、跟踪和</w:t>
      </w:r>
      <w:r w:rsidRPr="003277D0">
        <w:rPr>
          <w:rFonts w:eastAsia="宋体" w:cs="宋体"/>
          <w:sz w:val="21"/>
          <w:lang w:eastAsia="zh-CN"/>
        </w:rPr>
        <w:t>/</w:t>
      </w:r>
      <w:r w:rsidRPr="003277D0">
        <w:rPr>
          <w:rFonts w:eastAsia="宋体" w:cs="宋体"/>
          <w:sz w:val="21"/>
          <w:lang w:eastAsia="zh-CN"/>
        </w:rPr>
        <w:t>或展开，与临床使用中的调节处理相同。</w:t>
      </w:r>
    </w:p>
    <w:p w14:paraId="72701E4E" w14:textId="77777777" w:rsidR="00D020CF" w:rsidRPr="002914F0" w:rsidRDefault="004F06FE" w:rsidP="002914F0">
      <w:pPr>
        <w:adjustRightInd w:val="0"/>
        <w:snapToGrid w:val="0"/>
        <w:spacing w:beforeLines="50" w:before="120" w:line="300" w:lineRule="auto"/>
        <w:jc w:val="both"/>
        <w:rPr>
          <w:sz w:val="21"/>
          <w:szCs w:val="21"/>
          <w:lang w:eastAsia="zh-CN"/>
        </w:rPr>
      </w:pPr>
      <w:r w:rsidRPr="003277D0">
        <w:rPr>
          <w:rFonts w:eastAsia="宋体" w:cs="宋体"/>
          <w:b/>
          <w:sz w:val="21"/>
          <w:lang w:eastAsia="zh-CN"/>
        </w:rPr>
        <w:t>伪弹性（超弹性）</w:t>
      </w:r>
      <w:r w:rsidRPr="003277D0">
        <w:rPr>
          <w:rFonts w:eastAsia="宋体" w:cs="宋体"/>
          <w:b/>
          <w:sz w:val="21"/>
          <w:lang w:eastAsia="zh-CN"/>
        </w:rPr>
        <w:t xml:space="preserve"> </w:t>
      </w:r>
      <w:r w:rsidRPr="003277D0">
        <w:rPr>
          <w:rFonts w:eastAsia="宋体" w:cs="宋体"/>
          <w:sz w:val="21"/>
          <w:lang w:eastAsia="zh-CN"/>
        </w:rPr>
        <w:t>- “</w:t>
      </w:r>
      <w:r w:rsidRPr="003277D0">
        <w:rPr>
          <w:rFonts w:eastAsia="宋体" w:cs="宋体"/>
          <w:sz w:val="21"/>
          <w:lang w:eastAsia="zh-CN"/>
        </w:rPr>
        <w:t>镍钛形状记忆合金发生在温度高于奥氏体相变终了温度（</w:t>
      </w:r>
      <w:proofErr w:type="spellStart"/>
      <w:r w:rsidRPr="003277D0">
        <w:rPr>
          <w:rFonts w:eastAsia="宋体" w:cs="宋体"/>
          <w:sz w:val="21"/>
          <w:lang w:eastAsia="zh-CN"/>
        </w:rPr>
        <w:t>Af</w:t>
      </w:r>
      <w:proofErr w:type="spellEnd"/>
      <w:r w:rsidRPr="003277D0">
        <w:rPr>
          <w:rFonts w:eastAsia="宋体" w:cs="宋体"/>
          <w:sz w:val="21"/>
          <w:lang w:eastAsia="zh-CN"/>
        </w:rPr>
        <w:t>）时的非线性形变恢复特性。</w:t>
      </w:r>
      <w:r w:rsidRPr="003277D0">
        <w:rPr>
          <w:rFonts w:eastAsia="宋体" w:cs="宋体"/>
          <w:sz w:val="21"/>
          <w:lang w:eastAsia="zh-CN"/>
        </w:rPr>
        <w:t>”</w:t>
      </w:r>
      <w:r w:rsidRPr="003277D0">
        <w:rPr>
          <w:rFonts w:eastAsia="宋体" w:cs="宋体"/>
          <w:sz w:val="21"/>
          <w:vertAlign w:val="superscript"/>
          <w:lang w:eastAsia="zh-CN"/>
        </w:rPr>
        <w:t>21</w:t>
      </w:r>
    </w:p>
    <w:p w14:paraId="5247950A" w14:textId="77777777" w:rsidR="00D020CF" w:rsidRPr="00DC536B" w:rsidRDefault="002914F0" w:rsidP="00DC536B">
      <w:pPr>
        <w:pStyle w:val="a3"/>
        <w:adjustRightInd w:val="0"/>
        <w:snapToGrid w:val="0"/>
        <w:spacing w:beforeLines="50" w:before="120" w:line="300" w:lineRule="auto"/>
        <w:ind w:left="843" w:hangingChars="300" w:hanging="843"/>
        <w:jc w:val="both"/>
        <w:outlineLvl w:val="0"/>
        <w:rPr>
          <w:b/>
          <w:sz w:val="28"/>
          <w:szCs w:val="21"/>
          <w:lang w:eastAsia="zh-CN"/>
        </w:rPr>
      </w:pPr>
      <w:bookmarkStart w:id="5" w:name="_Toc91866309"/>
      <w:r w:rsidRPr="003277D0">
        <w:rPr>
          <w:rFonts w:eastAsia="宋体" w:cs="宋体"/>
          <w:b/>
          <w:sz w:val="28"/>
          <w:lang w:eastAsia="zh-CN"/>
        </w:rPr>
        <w:t>IV.</w:t>
      </w:r>
      <w:r w:rsidRPr="003277D0">
        <w:rPr>
          <w:rFonts w:eastAsia="宋体" w:cs="宋体"/>
          <w:b/>
          <w:lang w:eastAsia="zh-CN"/>
        </w:rPr>
        <w:tab/>
      </w:r>
      <w:r w:rsidRPr="003277D0">
        <w:rPr>
          <w:rFonts w:eastAsia="宋体" w:cs="宋体"/>
          <w:b/>
          <w:sz w:val="28"/>
          <w:lang w:eastAsia="zh-CN"/>
        </w:rPr>
        <w:t>技术建议</w:t>
      </w:r>
      <w:bookmarkEnd w:id="5"/>
    </w:p>
    <w:p w14:paraId="70D376FD" w14:textId="1E98A9C0" w:rsidR="00016046" w:rsidRPr="00F02D73" w:rsidRDefault="004F06FE" w:rsidP="00F02D73">
      <w:pPr>
        <w:rPr>
          <w:rFonts w:eastAsia="宋体" w:cs="宋体"/>
          <w:color w:val="0000FF"/>
          <w:sz w:val="21"/>
          <w:u w:val="single"/>
          <w:lang w:eastAsia="zh-CN"/>
        </w:rPr>
      </w:pPr>
      <w:r w:rsidRPr="003277D0">
        <w:rPr>
          <w:rFonts w:eastAsia="宋体" w:cs="宋体"/>
          <w:sz w:val="21"/>
          <w:lang w:eastAsia="zh-CN"/>
        </w:rPr>
        <w:t>以下章节描述了建议纳入由镍钛合金制成的器械的上市前申请中的信息类型。适合镍钛合金器械的上市前申请类型取决于器械的监管分类。支持监管申请所需的数据类型和数据量将根据器械设计、预期用途和器械类型分类而有所不同。对于使用多种类型的镍钛合金制造的器械（例如具有不同表面光洁度的组件），建议提供适用于每种类型镍钛合金的建议信息。在可用的情况下，器械特定指南文件可纳入应考虑的其他技术建议。</w:t>
      </w:r>
      <w:r w:rsidRPr="003277D0">
        <w:rPr>
          <w:rFonts w:eastAsia="宋体" w:cs="宋体"/>
          <w:sz w:val="21"/>
          <w:lang w:eastAsia="zh-CN"/>
        </w:rPr>
        <w:t>FDA</w:t>
      </w:r>
      <w:r w:rsidRPr="003277D0">
        <w:rPr>
          <w:rFonts w:eastAsia="宋体" w:cs="宋体"/>
          <w:sz w:val="21"/>
          <w:lang w:eastAsia="zh-CN"/>
        </w:rPr>
        <w:t>鼓励制造商通过</w:t>
      </w:r>
      <w:r w:rsidRPr="003277D0">
        <w:rPr>
          <w:rFonts w:eastAsia="宋体" w:cs="宋体"/>
          <w:sz w:val="21"/>
          <w:lang w:eastAsia="zh-CN"/>
        </w:rPr>
        <w:t>Q-</w:t>
      </w:r>
      <w:r w:rsidRPr="003277D0">
        <w:rPr>
          <w:rFonts w:eastAsia="宋体" w:cs="宋体"/>
          <w:sz w:val="21"/>
          <w:lang w:eastAsia="zh-CN"/>
        </w:rPr>
        <w:t>申请流程与</w:t>
      </w:r>
      <w:r w:rsidR="007975EF">
        <w:rPr>
          <w:rFonts w:eastAsia="宋体" w:cs="宋体"/>
          <w:sz w:val="21"/>
          <w:lang w:eastAsia="zh-CN"/>
        </w:rPr>
        <w:t>器械和放射卫生中心</w:t>
      </w:r>
      <w:r w:rsidRPr="003277D0">
        <w:rPr>
          <w:rFonts w:eastAsia="宋体" w:cs="宋体"/>
          <w:sz w:val="21"/>
          <w:lang w:eastAsia="zh-CN"/>
        </w:rPr>
        <w:t>（</w:t>
      </w:r>
      <w:r w:rsidRPr="003277D0">
        <w:rPr>
          <w:rFonts w:eastAsia="宋体" w:cs="宋体"/>
          <w:sz w:val="21"/>
          <w:lang w:eastAsia="zh-CN"/>
        </w:rPr>
        <w:t>CDRH</w:t>
      </w:r>
      <w:r w:rsidRPr="003277D0">
        <w:rPr>
          <w:rFonts w:eastAsia="宋体" w:cs="宋体"/>
          <w:sz w:val="21"/>
          <w:lang w:eastAsia="zh-CN"/>
        </w:rPr>
        <w:t>）接洽，以获得更详细的问题反馈。有关</w:t>
      </w:r>
      <w:r w:rsidR="00772E17">
        <w:rPr>
          <w:rFonts w:eastAsia="宋体" w:cs="宋体"/>
          <w:sz w:val="21"/>
          <w:lang w:eastAsia="zh-CN"/>
        </w:rPr>
        <w:t>Q-</w:t>
      </w:r>
      <w:r w:rsidR="00772E17">
        <w:rPr>
          <w:rFonts w:eastAsia="宋体" w:cs="宋体"/>
          <w:sz w:val="21"/>
          <w:lang w:eastAsia="zh-CN"/>
        </w:rPr>
        <w:t>申请计划</w:t>
      </w:r>
      <w:r w:rsidRPr="003277D0">
        <w:rPr>
          <w:rFonts w:eastAsia="宋体" w:cs="宋体"/>
          <w:sz w:val="21"/>
          <w:lang w:eastAsia="zh-CN"/>
        </w:rPr>
        <w:t>的更多信息，请参见《</w:t>
      </w:r>
      <w:r w:rsidRPr="003277D0">
        <w:rPr>
          <w:rFonts w:eastAsia="宋体" w:cs="宋体"/>
          <w:color w:val="0000FF"/>
          <w:sz w:val="21"/>
          <w:u w:val="single"/>
          <w:lang w:eastAsia="zh-CN"/>
        </w:rPr>
        <w:t>医疗器械申请的反馈和会议请求：</w:t>
      </w:r>
      <w:r w:rsidR="00772E17">
        <w:rPr>
          <w:rFonts w:eastAsia="宋体" w:cs="宋体" w:hint="eastAsia"/>
          <w:color w:val="0000FF"/>
          <w:sz w:val="21"/>
          <w:u w:val="single"/>
          <w:lang w:eastAsia="zh-CN"/>
        </w:rPr>
        <w:t>Q-</w:t>
      </w:r>
      <w:r w:rsidR="00772E17">
        <w:rPr>
          <w:rFonts w:eastAsia="宋体" w:cs="宋体"/>
          <w:color w:val="0000FF"/>
          <w:sz w:val="21"/>
          <w:u w:val="single"/>
          <w:lang w:eastAsia="zh-CN"/>
        </w:rPr>
        <w:t>申请计划</w:t>
      </w:r>
      <w:r w:rsidRPr="003277D0">
        <w:rPr>
          <w:rFonts w:eastAsia="宋体" w:cs="宋体"/>
          <w:color w:val="0000FF"/>
          <w:sz w:val="21"/>
          <w:u w:val="single"/>
          <w:lang w:eastAsia="zh-CN"/>
        </w:rPr>
        <w:t>-</w:t>
      </w:r>
      <w:r w:rsidRPr="003277D0">
        <w:rPr>
          <w:rFonts w:eastAsia="宋体" w:cs="宋体"/>
          <w:color w:val="0000FF"/>
          <w:sz w:val="21"/>
          <w:u w:val="single"/>
          <w:lang w:eastAsia="zh-CN"/>
        </w:rPr>
        <w:t>行业和</w:t>
      </w:r>
      <w:r w:rsidR="005A061B">
        <w:rPr>
          <w:rFonts w:eastAsia="宋体" w:cs="宋体"/>
          <w:color w:val="0000FF"/>
          <w:sz w:val="21"/>
          <w:u w:val="single"/>
          <w:lang w:eastAsia="zh-CN"/>
        </w:rPr>
        <w:t>美国食品药品监督管理局</w:t>
      </w:r>
      <w:r w:rsidRPr="003277D0">
        <w:rPr>
          <w:rFonts w:eastAsia="宋体" w:cs="宋体"/>
          <w:color w:val="0000FF"/>
          <w:sz w:val="21"/>
          <w:u w:val="single"/>
          <w:lang w:eastAsia="zh-CN"/>
        </w:rPr>
        <w:t>工作人员指南</w:t>
      </w:r>
      <w:r w:rsidRPr="003277D0">
        <w:rPr>
          <w:rFonts w:eastAsia="宋体" w:cs="宋体"/>
          <w:sz w:val="21"/>
          <w:lang w:eastAsia="zh-CN"/>
        </w:rPr>
        <w:t>》。</w:t>
      </w:r>
      <w:r w:rsidRPr="003277D0">
        <w:rPr>
          <w:rFonts w:eastAsia="宋体" w:cs="宋体"/>
          <w:sz w:val="21"/>
          <w:vertAlign w:val="superscript"/>
          <w:lang w:eastAsia="zh-CN"/>
        </w:rPr>
        <w:t>22</w:t>
      </w:r>
      <w:r w:rsidRPr="003277D0">
        <w:rPr>
          <w:rFonts w:eastAsia="宋体" w:cs="宋体"/>
          <w:sz w:val="21"/>
          <w:lang w:eastAsia="zh-CN"/>
        </w:rPr>
        <w:t xml:space="preserve"> </w:t>
      </w:r>
      <w:r w:rsidRPr="003277D0">
        <w:rPr>
          <w:rFonts w:eastAsia="宋体" w:cs="宋体"/>
          <w:sz w:val="21"/>
          <w:lang w:eastAsia="zh-CN"/>
        </w:rPr>
        <w:t>有关器械变更或改良何时需要提交新的</w:t>
      </w:r>
      <w:r w:rsidRPr="003277D0">
        <w:rPr>
          <w:rFonts w:eastAsia="宋体" w:cs="宋体"/>
          <w:sz w:val="21"/>
          <w:lang w:eastAsia="zh-CN"/>
        </w:rPr>
        <w:t>510</w:t>
      </w:r>
      <w:r w:rsidR="00772E17">
        <w:rPr>
          <w:rFonts w:eastAsia="宋体" w:cs="宋体"/>
          <w:sz w:val="21"/>
          <w:lang w:eastAsia="zh-CN"/>
        </w:rPr>
        <w:t>(k)</w:t>
      </w:r>
      <w:r w:rsidRPr="003277D0">
        <w:rPr>
          <w:rFonts w:eastAsia="宋体" w:cs="宋体"/>
          <w:sz w:val="21"/>
          <w:lang w:eastAsia="zh-CN"/>
        </w:rPr>
        <w:t>申请的更多信息，请参见</w:t>
      </w:r>
      <w:r w:rsidRPr="003277D0">
        <w:rPr>
          <w:rFonts w:eastAsia="宋体" w:cs="宋体"/>
          <w:sz w:val="21"/>
          <w:lang w:eastAsia="zh-CN"/>
        </w:rPr>
        <w:t>FDA</w:t>
      </w:r>
      <w:r w:rsidRPr="003277D0">
        <w:rPr>
          <w:rFonts w:eastAsia="宋体" w:cs="宋体"/>
          <w:sz w:val="21"/>
          <w:lang w:eastAsia="zh-CN"/>
        </w:rPr>
        <w:t>指南《</w:t>
      </w:r>
      <w:r w:rsidR="0021754A" w:rsidRPr="00C57D82">
        <w:rPr>
          <w:rFonts w:eastAsia="宋体" w:cs="宋体"/>
          <w:color w:val="0000FF"/>
          <w:sz w:val="21"/>
          <w:u w:val="single"/>
          <w:lang w:eastAsia="zh-CN"/>
        </w:rPr>
        <w:t>何时针对现有器械变更提交</w:t>
      </w:r>
      <w:r w:rsidR="0021754A" w:rsidRPr="00C57D82">
        <w:rPr>
          <w:rFonts w:eastAsia="宋体" w:cs="宋体"/>
          <w:color w:val="0000FF"/>
          <w:sz w:val="21"/>
          <w:u w:val="single"/>
          <w:lang w:eastAsia="zh-CN"/>
        </w:rPr>
        <w:t>510</w:t>
      </w:r>
      <w:r w:rsidR="0021754A">
        <w:rPr>
          <w:rFonts w:eastAsia="宋体" w:cs="宋体"/>
          <w:color w:val="0000FF"/>
          <w:sz w:val="21"/>
          <w:u w:val="single"/>
          <w:lang w:eastAsia="zh-CN"/>
        </w:rPr>
        <w:t>(k)</w:t>
      </w:r>
      <w:r w:rsidR="0021754A" w:rsidRPr="00C57D82">
        <w:rPr>
          <w:rFonts w:eastAsia="宋体" w:cs="宋体"/>
          <w:color w:val="0000FF"/>
          <w:sz w:val="21"/>
          <w:u w:val="single"/>
          <w:lang w:eastAsia="zh-CN"/>
        </w:rPr>
        <w:t>的决定</w:t>
      </w:r>
      <w:r w:rsidRPr="003277D0">
        <w:rPr>
          <w:rFonts w:eastAsia="宋体" w:cs="宋体"/>
          <w:sz w:val="21"/>
          <w:lang w:eastAsia="zh-CN"/>
        </w:rPr>
        <w:t>》。</w:t>
      </w:r>
      <w:r w:rsidRPr="003277D0">
        <w:rPr>
          <w:rFonts w:eastAsia="宋体" w:cs="宋体"/>
          <w:sz w:val="21"/>
          <w:vertAlign w:val="superscript"/>
        </w:rPr>
        <w:t>23</w:t>
      </w:r>
    </w:p>
    <w:p w14:paraId="0DE1BA4E" w14:textId="77777777" w:rsidR="00016046" w:rsidRPr="00AF2411" w:rsidRDefault="00016046" w:rsidP="00853F4C">
      <w:pPr>
        <w:adjustRightInd w:val="0"/>
        <w:snapToGrid w:val="0"/>
        <w:spacing w:beforeLines="1250" w:before="3000" w:line="300" w:lineRule="auto"/>
        <w:jc w:val="both"/>
        <w:rPr>
          <w:rFonts w:eastAsiaTheme="minorEastAsia"/>
          <w:sz w:val="21"/>
          <w:szCs w:val="21"/>
          <w:lang w:eastAsia="zh-CN"/>
        </w:rPr>
      </w:pPr>
      <w:r w:rsidRPr="003277D0">
        <w:rPr>
          <w:rFonts w:eastAsia="宋体" w:cs="宋体"/>
          <w:sz w:val="21"/>
        </w:rPr>
        <w:t>______________________________</w:t>
      </w:r>
    </w:p>
    <w:p w14:paraId="173D2222" w14:textId="7A047F7B" w:rsidR="00D020CF" w:rsidRPr="00016046" w:rsidRDefault="004F06FE" w:rsidP="00016046">
      <w:pPr>
        <w:adjustRightInd w:val="0"/>
        <w:snapToGrid w:val="0"/>
        <w:spacing w:beforeLines="15" w:before="36" w:line="276" w:lineRule="auto"/>
        <w:jc w:val="both"/>
        <w:rPr>
          <w:sz w:val="18"/>
          <w:szCs w:val="21"/>
          <w:lang w:eastAsia="zh-CN"/>
        </w:rPr>
      </w:pPr>
      <w:r w:rsidRPr="003277D0">
        <w:rPr>
          <w:rFonts w:eastAsia="宋体" w:cs="宋体"/>
          <w:sz w:val="18"/>
          <w:vertAlign w:val="superscript"/>
        </w:rPr>
        <w:t>15</w:t>
      </w:r>
      <w:r w:rsidRPr="003277D0">
        <w:rPr>
          <w:rFonts w:eastAsia="宋体" w:cs="宋体"/>
          <w:sz w:val="18"/>
        </w:rPr>
        <w:t xml:space="preserve"> Reprinted, with permission, from ASTM F2005−05 (Reapproved 2015) Standard Terminology for Nickel- Titanium Shape Memory Alloys, copyright ASTM International, 100 Barr Harbor Drive, West Conshohocken, PA 19428</w:t>
      </w:r>
      <w:r w:rsidR="00772E17">
        <w:rPr>
          <w:rFonts w:eastAsia="宋体" w:cs="宋体" w:hint="eastAsia"/>
          <w:sz w:val="18"/>
          <w:lang w:eastAsia="zh-CN"/>
        </w:rPr>
        <w:t>。</w:t>
      </w:r>
      <w:r w:rsidRPr="003277D0">
        <w:rPr>
          <w:rFonts w:eastAsia="宋体" w:cs="宋体"/>
          <w:sz w:val="18"/>
          <w:lang w:eastAsia="zh-CN"/>
        </w:rPr>
        <w:t>可登录</w:t>
      </w:r>
      <w:r w:rsidRPr="003277D0">
        <w:rPr>
          <w:rFonts w:eastAsia="宋体" w:cs="宋体"/>
          <w:sz w:val="18"/>
          <w:lang w:eastAsia="zh-CN"/>
        </w:rPr>
        <w:t>ASTM</w:t>
      </w:r>
      <w:r w:rsidRPr="003277D0">
        <w:rPr>
          <w:rFonts w:eastAsia="宋体" w:cs="宋体"/>
          <w:sz w:val="18"/>
          <w:lang w:eastAsia="zh-CN"/>
        </w:rPr>
        <w:t>网站（</w:t>
      </w:r>
      <w:r w:rsidRPr="003277D0">
        <w:rPr>
          <w:rFonts w:eastAsia="宋体" w:cs="宋体"/>
          <w:color w:val="0000FF"/>
          <w:sz w:val="18"/>
          <w:u w:val="single"/>
          <w:lang w:eastAsia="zh-CN"/>
        </w:rPr>
        <w:t>www.astm.org</w:t>
      </w:r>
      <w:r w:rsidRPr="003277D0">
        <w:rPr>
          <w:rFonts w:eastAsia="宋体" w:cs="宋体"/>
          <w:sz w:val="18"/>
          <w:lang w:eastAsia="zh-CN"/>
        </w:rPr>
        <w:t>）获得完整的标准副本。</w:t>
      </w:r>
    </w:p>
    <w:p w14:paraId="1F533830" w14:textId="77777777" w:rsidR="00D020CF" w:rsidRPr="003277D0" w:rsidRDefault="004F06FE" w:rsidP="00016046">
      <w:pPr>
        <w:adjustRightInd w:val="0"/>
        <w:snapToGrid w:val="0"/>
        <w:spacing w:beforeLines="15" w:before="36" w:line="276" w:lineRule="auto"/>
        <w:jc w:val="both"/>
        <w:rPr>
          <w:sz w:val="18"/>
          <w:szCs w:val="21"/>
        </w:rPr>
      </w:pPr>
      <w:r w:rsidRPr="003277D0">
        <w:rPr>
          <w:sz w:val="18"/>
          <w:szCs w:val="21"/>
          <w:vertAlign w:val="superscript"/>
        </w:rPr>
        <w:t>16</w:t>
      </w:r>
      <w:r w:rsidRPr="003277D0">
        <w:rPr>
          <w:sz w:val="18"/>
          <w:szCs w:val="21"/>
        </w:rPr>
        <w:t xml:space="preserve"> ibid</w:t>
      </w:r>
    </w:p>
    <w:p w14:paraId="569F4800" w14:textId="77777777" w:rsidR="00D020CF" w:rsidRPr="003277D0" w:rsidRDefault="004F06FE" w:rsidP="00016046">
      <w:pPr>
        <w:adjustRightInd w:val="0"/>
        <w:snapToGrid w:val="0"/>
        <w:spacing w:beforeLines="15" w:before="36" w:line="276" w:lineRule="auto"/>
        <w:jc w:val="both"/>
        <w:rPr>
          <w:sz w:val="18"/>
          <w:szCs w:val="21"/>
        </w:rPr>
      </w:pPr>
      <w:bookmarkStart w:id="6" w:name="_bookmark20"/>
      <w:bookmarkEnd w:id="6"/>
      <w:r w:rsidRPr="003277D0">
        <w:rPr>
          <w:sz w:val="18"/>
          <w:szCs w:val="21"/>
          <w:vertAlign w:val="superscript"/>
        </w:rPr>
        <w:t>17</w:t>
      </w:r>
      <w:r w:rsidRPr="003277D0">
        <w:rPr>
          <w:sz w:val="18"/>
          <w:szCs w:val="21"/>
        </w:rPr>
        <w:t xml:space="preserve"> </w:t>
      </w:r>
      <w:bookmarkStart w:id="7" w:name="_bookmark21"/>
      <w:bookmarkEnd w:id="7"/>
      <w:r w:rsidRPr="003277D0">
        <w:rPr>
          <w:sz w:val="18"/>
          <w:szCs w:val="21"/>
        </w:rPr>
        <w:t>ibid</w:t>
      </w:r>
    </w:p>
    <w:p w14:paraId="379A1B8A" w14:textId="77777777" w:rsidR="00D020CF" w:rsidRPr="003277D0" w:rsidRDefault="004F06FE" w:rsidP="00016046">
      <w:pPr>
        <w:adjustRightInd w:val="0"/>
        <w:snapToGrid w:val="0"/>
        <w:spacing w:beforeLines="15" w:before="36" w:line="276" w:lineRule="auto"/>
        <w:jc w:val="both"/>
        <w:rPr>
          <w:sz w:val="18"/>
          <w:szCs w:val="21"/>
        </w:rPr>
      </w:pPr>
      <w:r w:rsidRPr="003277D0">
        <w:rPr>
          <w:sz w:val="18"/>
          <w:szCs w:val="21"/>
          <w:vertAlign w:val="superscript"/>
        </w:rPr>
        <w:t>18</w:t>
      </w:r>
      <w:r w:rsidRPr="003277D0">
        <w:rPr>
          <w:sz w:val="18"/>
          <w:szCs w:val="21"/>
        </w:rPr>
        <w:t xml:space="preserve"> ibid</w:t>
      </w:r>
    </w:p>
    <w:p w14:paraId="2E1F5A6C" w14:textId="77777777" w:rsidR="00D020CF" w:rsidRPr="003277D0" w:rsidRDefault="004F06FE" w:rsidP="00016046">
      <w:pPr>
        <w:adjustRightInd w:val="0"/>
        <w:snapToGrid w:val="0"/>
        <w:spacing w:beforeLines="15" w:before="36" w:line="276" w:lineRule="auto"/>
        <w:jc w:val="both"/>
        <w:rPr>
          <w:sz w:val="18"/>
          <w:szCs w:val="21"/>
        </w:rPr>
      </w:pPr>
      <w:bookmarkStart w:id="8" w:name="_bookmark22"/>
      <w:bookmarkEnd w:id="8"/>
      <w:r w:rsidRPr="003277D0">
        <w:rPr>
          <w:sz w:val="18"/>
          <w:szCs w:val="21"/>
          <w:vertAlign w:val="superscript"/>
        </w:rPr>
        <w:t>19</w:t>
      </w:r>
      <w:r w:rsidRPr="003277D0">
        <w:rPr>
          <w:sz w:val="18"/>
          <w:szCs w:val="21"/>
        </w:rPr>
        <w:t xml:space="preserve"> ibid</w:t>
      </w:r>
    </w:p>
    <w:p w14:paraId="03DC9A2F" w14:textId="77777777" w:rsidR="00D020CF" w:rsidRPr="003277D0" w:rsidRDefault="004F06FE" w:rsidP="00016046">
      <w:pPr>
        <w:adjustRightInd w:val="0"/>
        <w:snapToGrid w:val="0"/>
        <w:spacing w:beforeLines="15" w:before="36" w:line="276" w:lineRule="auto"/>
        <w:jc w:val="both"/>
        <w:rPr>
          <w:sz w:val="18"/>
          <w:szCs w:val="21"/>
        </w:rPr>
      </w:pPr>
      <w:bookmarkStart w:id="9" w:name="_bookmark23"/>
      <w:bookmarkEnd w:id="9"/>
      <w:r w:rsidRPr="003277D0">
        <w:rPr>
          <w:sz w:val="18"/>
          <w:szCs w:val="21"/>
          <w:vertAlign w:val="superscript"/>
        </w:rPr>
        <w:t>20</w:t>
      </w:r>
      <w:r w:rsidRPr="003277D0">
        <w:rPr>
          <w:sz w:val="18"/>
          <w:szCs w:val="21"/>
        </w:rPr>
        <w:t xml:space="preserve"> ibid</w:t>
      </w:r>
    </w:p>
    <w:p w14:paraId="2BADDFCB" w14:textId="45A07E41" w:rsidR="002914F0" w:rsidRPr="002914F0" w:rsidRDefault="004F06FE" w:rsidP="00016046">
      <w:pPr>
        <w:adjustRightInd w:val="0"/>
        <w:snapToGrid w:val="0"/>
        <w:spacing w:beforeLines="15" w:before="36" w:line="276" w:lineRule="auto"/>
        <w:jc w:val="both"/>
        <w:rPr>
          <w:sz w:val="21"/>
          <w:szCs w:val="21"/>
        </w:rPr>
      </w:pPr>
      <w:r w:rsidRPr="00853F4C">
        <w:rPr>
          <w:rFonts w:eastAsia="宋体" w:cs="宋体"/>
          <w:sz w:val="18"/>
          <w:vertAlign w:val="superscript"/>
        </w:rPr>
        <w:t>21</w:t>
      </w:r>
      <w:r w:rsidRPr="003277D0">
        <w:rPr>
          <w:sz w:val="18"/>
        </w:rPr>
        <w:t xml:space="preserve"> ibid</w:t>
      </w:r>
      <w:r>
        <w:rPr>
          <w:sz w:val="18"/>
        </w:rPr>
        <w:br w:type="page"/>
      </w:r>
    </w:p>
    <w:p w14:paraId="6CDC5B38" w14:textId="77777777" w:rsidR="002914F0" w:rsidRDefault="004F06FE" w:rsidP="002914F0">
      <w:pPr>
        <w:adjustRightInd w:val="0"/>
        <w:snapToGrid w:val="0"/>
        <w:spacing w:beforeLines="50" w:before="120" w:line="300" w:lineRule="auto"/>
        <w:jc w:val="both"/>
        <w:rPr>
          <w:sz w:val="21"/>
          <w:szCs w:val="21"/>
          <w:lang w:eastAsia="zh-CN"/>
        </w:rPr>
      </w:pPr>
      <w:r w:rsidRPr="003277D0">
        <w:rPr>
          <w:rFonts w:eastAsia="宋体" w:cs="宋体"/>
          <w:sz w:val="21"/>
          <w:lang w:eastAsia="zh-CN"/>
        </w:rPr>
        <w:lastRenderedPageBreak/>
        <w:t>镍钛合金用于多种医疗器械，接触时间各不相同。本指南文件中的建议根据预期接触时间而有所不同。本指南文件中的预期接触时间遵循</w:t>
      </w:r>
      <w:r w:rsidRPr="003277D0">
        <w:rPr>
          <w:rFonts w:eastAsia="宋体" w:cs="宋体"/>
          <w:sz w:val="21"/>
          <w:lang w:eastAsia="zh-CN"/>
        </w:rPr>
        <w:t>ISO 10993-1 2009</w:t>
      </w:r>
      <w:r w:rsidRPr="003277D0">
        <w:rPr>
          <w:rFonts w:eastAsia="宋体" w:cs="宋体"/>
          <w:sz w:val="21"/>
          <w:lang w:eastAsia="zh-CN"/>
        </w:rPr>
        <w:t>《医疗器械生物学评价</w:t>
      </w:r>
      <w:r w:rsidRPr="003277D0">
        <w:rPr>
          <w:rFonts w:eastAsia="宋体" w:cs="宋体"/>
          <w:sz w:val="21"/>
          <w:lang w:eastAsia="zh-CN"/>
        </w:rPr>
        <w:t xml:space="preserve"> - </w:t>
      </w:r>
      <w:r w:rsidRPr="003277D0">
        <w:rPr>
          <w:rFonts w:eastAsia="宋体" w:cs="宋体"/>
          <w:sz w:val="21"/>
          <w:lang w:eastAsia="zh-CN"/>
        </w:rPr>
        <w:t>第</w:t>
      </w:r>
      <w:r w:rsidRPr="003277D0">
        <w:rPr>
          <w:rFonts w:eastAsia="宋体" w:cs="宋体"/>
          <w:sz w:val="21"/>
          <w:lang w:eastAsia="zh-CN"/>
        </w:rPr>
        <w:t>1</w:t>
      </w:r>
      <w:r w:rsidRPr="003277D0">
        <w:rPr>
          <w:rFonts w:eastAsia="宋体" w:cs="宋体"/>
          <w:sz w:val="21"/>
          <w:lang w:eastAsia="zh-CN"/>
        </w:rPr>
        <w:t>部分：风险管理过程中的评价与试验》</w:t>
      </w:r>
      <w:r w:rsidRPr="003277D0">
        <w:rPr>
          <w:rFonts w:eastAsia="宋体" w:cs="宋体"/>
          <w:sz w:val="21"/>
          <w:lang w:eastAsia="zh-CN"/>
        </w:rPr>
        <w:t xml:space="preserve"> </w:t>
      </w:r>
      <w:r w:rsidRPr="003277D0">
        <w:rPr>
          <w:rFonts w:eastAsia="宋体" w:cs="宋体"/>
          <w:sz w:val="21"/>
          <w:lang w:eastAsia="zh-CN"/>
        </w:rPr>
        <w:t>第</w:t>
      </w:r>
      <w:r w:rsidRPr="003277D0">
        <w:rPr>
          <w:rFonts w:eastAsia="宋体" w:cs="宋体"/>
          <w:sz w:val="21"/>
          <w:lang w:eastAsia="zh-CN"/>
        </w:rPr>
        <w:t>5.3</w:t>
      </w:r>
      <w:r w:rsidRPr="003277D0">
        <w:rPr>
          <w:rFonts w:eastAsia="宋体" w:cs="宋体"/>
          <w:sz w:val="21"/>
          <w:lang w:eastAsia="zh-CN"/>
        </w:rPr>
        <w:t>节，</w:t>
      </w:r>
      <w:r w:rsidRPr="003277D0">
        <w:rPr>
          <w:rFonts w:eastAsia="宋体" w:cs="宋体"/>
          <w:sz w:val="21"/>
          <w:vertAlign w:val="superscript"/>
          <w:lang w:eastAsia="zh-CN"/>
        </w:rPr>
        <w:t xml:space="preserve">24 </w:t>
      </w:r>
      <w:r w:rsidRPr="003277D0">
        <w:rPr>
          <w:rFonts w:eastAsia="宋体" w:cs="宋体"/>
          <w:sz w:val="21"/>
          <w:lang w:eastAsia="zh-CN"/>
        </w:rPr>
        <w:t>定义如下。</w:t>
      </w:r>
    </w:p>
    <w:p w14:paraId="5CA45DAA" w14:textId="77777777" w:rsidR="00D020CF" w:rsidRPr="002914F0" w:rsidRDefault="002914F0" w:rsidP="003277D0">
      <w:pPr>
        <w:adjustRightInd w:val="0"/>
        <w:snapToGrid w:val="0"/>
        <w:spacing w:beforeLines="50" w:before="120" w:line="300" w:lineRule="auto"/>
        <w:ind w:leftChars="200" w:left="860" w:hangingChars="200" w:hanging="420"/>
        <w:jc w:val="both"/>
        <w:rPr>
          <w:sz w:val="21"/>
          <w:szCs w:val="21"/>
          <w:lang w:eastAsia="zh-CN"/>
        </w:rPr>
      </w:pPr>
      <w:r w:rsidRPr="003277D0">
        <w:rPr>
          <w:rFonts w:eastAsia="宋体" w:cs="宋体"/>
          <w:sz w:val="21"/>
          <w:lang w:eastAsia="zh-CN"/>
        </w:rPr>
        <w:t>a</w:t>
      </w:r>
      <w:r w:rsidRPr="003277D0">
        <w:rPr>
          <w:rFonts w:eastAsia="宋体" w:cs="宋体"/>
          <w:sz w:val="21"/>
          <w:lang w:eastAsia="zh-CN"/>
        </w:rPr>
        <w:t>）</w:t>
      </w:r>
      <w:r w:rsidRPr="003277D0">
        <w:rPr>
          <w:rFonts w:eastAsia="宋体" w:cs="宋体"/>
          <w:sz w:val="21"/>
          <w:lang w:eastAsia="zh-CN"/>
        </w:rPr>
        <w:tab/>
      </w:r>
      <w:r w:rsidRPr="003277D0">
        <w:rPr>
          <w:rFonts w:eastAsia="宋体" w:cs="宋体"/>
          <w:sz w:val="21"/>
          <w:lang w:eastAsia="zh-CN"/>
        </w:rPr>
        <w:t>短期接触</w:t>
      </w:r>
      <w:r w:rsidRPr="003277D0">
        <w:rPr>
          <w:rFonts w:eastAsia="宋体" w:cs="宋体"/>
          <w:sz w:val="21"/>
          <w:lang w:eastAsia="zh-CN"/>
        </w:rPr>
        <w:t xml:space="preserve"> – </w:t>
      </w:r>
      <w:r w:rsidRPr="003277D0">
        <w:rPr>
          <w:rFonts w:eastAsia="宋体" w:cs="宋体"/>
          <w:sz w:val="21"/>
          <w:lang w:eastAsia="zh-CN"/>
        </w:rPr>
        <w:t>在</w:t>
      </w:r>
      <w:r w:rsidRPr="003277D0">
        <w:rPr>
          <w:rFonts w:eastAsia="宋体" w:cs="宋体"/>
          <w:sz w:val="21"/>
          <w:lang w:eastAsia="zh-CN"/>
        </w:rPr>
        <w:t>24</w:t>
      </w:r>
      <w:r w:rsidRPr="003277D0">
        <w:rPr>
          <w:rFonts w:eastAsia="宋体" w:cs="宋体"/>
          <w:sz w:val="21"/>
          <w:lang w:eastAsia="zh-CN"/>
        </w:rPr>
        <w:t>小时以内一次、多次或重复使用或接触的器械。</w:t>
      </w:r>
    </w:p>
    <w:p w14:paraId="28AA395F" w14:textId="7707EF59" w:rsidR="00D020CF" w:rsidRPr="002914F0" w:rsidRDefault="002914F0" w:rsidP="003277D0">
      <w:pPr>
        <w:adjustRightInd w:val="0"/>
        <w:snapToGrid w:val="0"/>
        <w:spacing w:beforeLines="50" w:before="120" w:line="300" w:lineRule="auto"/>
        <w:ind w:leftChars="200" w:left="860" w:hangingChars="200" w:hanging="420"/>
        <w:jc w:val="both"/>
        <w:rPr>
          <w:sz w:val="21"/>
          <w:szCs w:val="21"/>
          <w:lang w:eastAsia="zh-CN"/>
        </w:rPr>
      </w:pPr>
      <w:r w:rsidRPr="003277D0">
        <w:rPr>
          <w:rFonts w:eastAsia="宋体" w:cs="宋体"/>
          <w:sz w:val="21"/>
          <w:lang w:eastAsia="zh-CN"/>
        </w:rPr>
        <w:t>b</w:t>
      </w:r>
      <w:r w:rsidRPr="003277D0">
        <w:rPr>
          <w:rFonts w:eastAsia="宋体" w:cs="宋体"/>
          <w:sz w:val="21"/>
          <w:lang w:eastAsia="zh-CN"/>
        </w:rPr>
        <w:t>）</w:t>
      </w:r>
      <w:r w:rsidRPr="003277D0">
        <w:rPr>
          <w:rFonts w:eastAsia="宋体" w:cs="宋体"/>
          <w:sz w:val="21"/>
          <w:lang w:eastAsia="zh-CN"/>
        </w:rPr>
        <w:tab/>
      </w:r>
      <w:r w:rsidRPr="003277D0">
        <w:rPr>
          <w:rFonts w:eastAsia="宋体" w:cs="宋体"/>
          <w:sz w:val="21"/>
          <w:lang w:eastAsia="zh-CN"/>
        </w:rPr>
        <w:t>长期</w:t>
      </w:r>
      <w:r w:rsidR="00EB694F" w:rsidRPr="00EB694F">
        <w:rPr>
          <w:rFonts w:eastAsia="宋体" w:cs="宋体" w:hint="eastAsia"/>
          <w:sz w:val="21"/>
          <w:lang w:eastAsia="zh-CN"/>
        </w:rPr>
        <w:t>接触</w:t>
      </w:r>
      <w:r w:rsidRPr="003277D0">
        <w:rPr>
          <w:rFonts w:eastAsia="宋体" w:cs="宋体"/>
          <w:sz w:val="21"/>
          <w:lang w:eastAsia="zh-CN"/>
        </w:rPr>
        <w:t xml:space="preserve"> – </w:t>
      </w:r>
      <w:r w:rsidRPr="003277D0">
        <w:rPr>
          <w:rFonts w:eastAsia="宋体" w:cs="宋体"/>
          <w:sz w:val="21"/>
          <w:lang w:eastAsia="zh-CN"/>
        </w:rPr>
        <w:t>累积单次、多次或重复长期使用或接触时间很可能超过</w:t>
      </w:r>
      <w:r w:rsidRPr="003277D0">
        <w:rPr>
          <w:rFonts w:eastAsia="宋体" w:cs="宋体"/>
          <w:sz w:val="21"/>
          <w:lang w:eastAsia="zh-CN"/>
        </w:rPr>
        <w:t>24</w:t>
      </w:r>
      <w:r w:rsidRPr="003277D0">
        <w:rPr>
          <w:rFonts w:eastAsia="宋体" w:cs="宋体"/>
          <w:sz w:val="21"/>
          <w:lang w:eastAsia="zh-CN"/>
        </w:rPr>
        <w:t>小时但不超过</w:t>
      </w:r>
      <w:r w:rsidRPr="003277D0">
        <w:rPr>
          <w:rFonts w:eastAsia="宋体" w:cs="宋体"/>
          <w:sz w:val="21"/>
          <w:lang w:eastAsia="zh-CN"/>
        </w:rPr>
        <w:t>30</w:t>
      </w:r>
      <w:r w:rsidRPr="003277D0">
        <w:rPr>
          <w:rFonts w:eastAsia="宋体" w:cs="宋体"/>
          <w:sz w:val="21"/>
          <w:lang w:eastAsia="zh-CN"/>
        </w:rPr>
        <w:t>天的器械。</w:t>
      </w:r>
    </w:p>
    <w:p w14:paraId="2567B998" w14:textId="77777777" w:rsidR="002914F0" w:rsidRDefault="002914F0" w:rsidP="003277D0">
      <w:pPr>
        <w:adjustRightInd w:val="0"/>
        <w:snapToGrid w:val="0"/>
        <w:spacing w:beforeLines="50" w:before="120" w:line="300" w:lineRule="auto"/>
        <w:ind w:leftChars="200" w:left="860" w:hangingChars="200" w:hanging="420"/>
        <w:jc w:val="both"/>
        <w:rPr>
          <w:sz w:val="21"/>
          <w:szCs w:val="21"/>
          <w:lang w:eastAsia="zh-CN"/>
        </w:rPr>
      </w:pPr>
      <w:r w:rsidRPr="003277D0">
        <w:rPr>
          <w:rFonts w:eastAsia="宋体" w:cs="宋体"/>
          <w:sz w:val="21"/>
          <w:lang w:eastAsia="zh-CN"/>
        </w:rPr>
        <w:t>c</w:t>
      </w:r>
      <w:r w:rsidRPr="003277D0">
        <w:rPr>
          <w:rFonts w:eastAsia="宋体" w:cs="宋体"/>
          <w:sz w:val="21"/>
          <w:lang w:eastAsia="zh-CN"/>
        </w:rPr>
        <w:t>）</w:t>
      </w:r>
      <w:r w:rsidRPr="003277D0">
        <w:rPr>
          <w:rFonts w:eastAsia="宋体" w:cs="宋体"/>
          <w:sz w:val="21"/>
          <w:lang w:eastAsia="zh-CN"/>
        </w:rPr>
        <w:tab/>
      </w:r>
      <w:r w:rsidRPr="003277D0">
        <w:rPr>
          <w:rFonts w:eastAsia="宋体" w:cs="宋体"/>
          <w:sz w:val="21"/>
          <w:lang w:eastAsia="zh-CN"/>
        </w:rPr>
        <w:t>持久接触：超过</w:t>
      </w:r>
      <w:r w:rsidRPr="003277D0">
        <w:rPr>
          <w:rFonts w:eastAsia="宋体" w:cs="宋体"/>
          <w:sz w:val="21"/>
          <w:lang w:eastAsia="zh-CN"/>
        </w:rPr>
        <w:t>30</w:t>
      </w:r>
      <w:r w:rsidRPr="003277D0">
        <w:rPr>
          <w:rFonts w:eastAsia="宋体" w:cs="宋体"/>
          <w:sz w:val="21"/>
          <w:lang w:eastAsia="zh-CN"/>
        </w:rPr>
        <w:t>天以上一次、多次或重复长期使用或接触的器械。</w:t>
      </w:r>
    </w:p>
    <w:p w14:paraId="1747CC05" w14:textId="77777777" w:rsidR="00D020CF" w:rsidRPr="00DC536B" w:rsidRDefault="002914F0" w:rsidP="00DC536B">
      <w:pPr>
        <w:pStyle w:val="a3"/>
        <w:adjustRightInd w:val="0"/>
        <w:snapToGrid w:val="0"/>
        <w:spacing w:beforeLines="50" w:before="120" w:line="300" w:lineRule="auto"/>
        <w:ind w:leftChars="400" w:left="1362" w:hangingChars="200" w:hanging="482"/>
        <w:jc w:val="both"/>
        <w:outlineLvl w:val="1"/>
        <w:rPr>
          <w:b/>
          <w:szCs w:val="21"/>
          <w:lang w:eastAsia="zh-CN"/>
        </w:rPr>
      </w:pPr>
      <w:bookmarkStart w:id="10" w:name="_Toc91866310"/>
      <w:r w:rsidRPr="003277D0">
        <w:rPr>
          <w:rFonts w:eastAsia="宋体" w:cs="宋体"/>
          <w:b/>
          <w:lang w:eastAsia="zh-CN"/>
        </w:rPr>
        <w:t>A.</w:t>
      </w:r>
      <w:r w:rsidRPr="003277D0">
        <w:rPr>
          <w:rFonts w:eastAsia="宋体" w:cs="宋体"/>
          <w:b/>
          <w:lang w:eastAsia="zh-CN"/>
        </w:rPr>
        <w:tab/>
      </w:r>
      <w:r w:rsidRPr="003277D0">
        <w:rPr>
          <w:rFonts w:eastAsia="宋体" w:cs="宋体"/>
          <w:b/>
          <w:lang w:eastAsia="zh-CN"/>
        </w:rPr>
        <w:t>一般信息</w:t>
      </w:r>
      <w:bookmarkEnd w:id="10"/>
    </w:p>
    <w:p w14:paraId="15145E3C" w14:textId="35932544" w:rsidR="00016046" w:rsidRDefault="004F06FE" w:rsidP="00016046">
      <w:pPr>
        <w:pStyle w:val="a3"/>
        <w:adjustRightInd w:val="0"/>
        <w:snapToGrid w:val="0"/>
        <w:spacing w:beforeLines="50" w:before="120" w:line="300" w:lineRule="auto"/>
        <w:ind w:leftChars="400" w:left="880"/>
        <w:jc w:val="both"/>
        <w:rPr>
          <w:sz w:val="21"/>
          <w:szCs w:val="21"/>
          <w:lang w:eastAsia="zh-CN"/>
        </w:rPr>
      </w:pPr>
      <w:r w:rsidRPr="003277D0">
        <w:rPr>
          <w:rFonts w:eastAsia="宋体" w:cs="宋体"/>
          <w:sz w:val="21"/>
          <w:lang w:eastAsia="zh-CN"/>
        </w:rPr>
        <w:t>镍钛合金的性能和特性取决于多种因素，包括合金组成、热力学历史、表面处理和预调节处理。根据含镍钛合金器械的器械设计和预期用途，</w:t>
      </w:r>
      <w:r w:rsidR="001D51D0">
        <w:rPr>
          <w:rFonts w:eastAsia="宋体" w:cs="宋体" w:hint="eastAsia"/>
          <w:sz w:val="21"/>
          <w:lang w:eastAsia="zh-CN"/>
        </w:rPr>
        <w:t>选取</w:t>
      </w:r>
      <w:r w:rsidRPr="003277D0">
        <w:rPr>
          <w:rFonts w:eastAsia="宋体" w:cs="宋体"/>
          <w:sz w:val="21"/>
          <w:lang w:eastAsia="zh-CN"/>
        </w:rPr>
        <w:t>不同特性或性能</w:t>
      </w:r>
      <w:r w:rsidR="00C345CD">
        <w:rPr>
          <w:rFonts w:eastAsia="宋体" w:cs="宋体" w:hint="eastAsia"/>
          <w:sz w:val="21"/>
          <w:lang w:eastAsia="zh-CN"/>
        </w:rPr>
        <w:t>的</w:t>
      </w:r>
      <w:r w:rsidR="00D0194E" w:rsidRPr="003277D0">
        <w:rPr>
          <w:rFonts w:eastAsia="宋体" w:cs="宋体"/>
          <w:sz w:val="21"/>
          <w:lang w:eastAsia="zh-CN"/>
        </w:rPr>
        <w:t>材料</w:t>
      </w:r>
      <w:r w:rsidRPr="003277D0">
        <w:rPr>
          <w:rFonts w:eastAsia="宋体" w:cs="宋体"/>
          <w:sz w:val="21"/>
          <w:lang w:eastAsia="zh-CN"/>
        </w:rPr>
        <w:t>。建议提供以下有关长期接触和持久接触</w:t>
      </w:r>
      <w:r w:rsidR="00B91CF8">
        <w:rPr>
          <w:rFonts w:eastAsia="宋体" w:cs="宋体" w:hint="eastAsia"/>
          <w:sz w:val="21"/>
          <w:lang w:eastAsia="zh-CN"/>
        </w:rPr>
        <w:t>的</w:t>
      </w:r>
      <w:r w:rsidRPr="003277D0">
        <w:rPr>
          <w:rFonts w:eastAsia="宋体" w:cs="宋体"/>
          <w:sz w:val="21"/>
          <w:lang w:eastAsia="zh-CN"/>
        </w:rPr>
        <w:t>镍钛合金器械的基本信息。对于短期接触器械，根据器械设计和预期用途，其中</w:t>
      </w:r>
      <w:r w:rsidR="004F309A">
        <w:rPr>
          <w:rFonts w:eastAsia="宋体" w:cs="宋体" w:hint="eastAsia"/>
          <w:sz w:val="21"/>
          <w:lang w:eastAsia="zh-CN"/>
        </w:rPr>
        <w:t>部分</w:t>
      </w:r>
      <w:r w:rsidRPr="003277D0">
        <w:rPr>
          <w:rFonts w:eastAsia="宋体" w:cs="宋体"/>
          <w:sz w:val="21"/>
          <w:lang w:eastAsia="zh-CN"/>
        </w:rPr>
        <w:t>信息可能是不</w:t>
      </w:r>
      <w:r w:rsidR="00DC0789">
        <w:rPr>
          <w:rFonts w:eastAsia="宋体" w:cs="宋体" w:hint="eastAsia"/>
          <w:sz w:val="21"/>
          <w:lang w:eastAsia="zh-CN"/>
        </w:rPr>
        <w:t>需</w:t>
      </w:r>
      <w:r w:rsidRPr="003277D0">
        <w:rPr>
          <w:rFonts w:eastAsia="宋体" w:cs="宋体"/>
          <w:sz w:val="21"/>
          <w:lang w:eastAsia="zh-CN"/>
        </w:rPr>
        <w:t>要的。例如，对无源心脏导丝进行的功能试验足以代替提供的下列信息。如果器械特定指南可用，这些指南可能有助于</w:t>
      </w:r>
      <w:r w:rsidR="00103D20">
        <w:rPr>
          <w:rFonts w:eastAsia="宋体" w:cs="宋体" w:hint="eastAsia"/>
          <w:sz w:val="21"/>
          <w:lang w:eastAsia="zh-CN"/>
        </w:rPr>
        <w:t>帮</w:t>
      </w:r>
      <w:r w:rsidR="00E72BE9">
        <w:rPr>
          <w:rFonts w:eastAsia="宋体" w:cs="宋体" w:hint="eastAsia"/>
          <w:sz w:val="21"/>
          <w:lang w:eastAsia="zh-CN"/>
        </w:rPr>
        <w:t>助</w:t>
      </w:r>
      <w:r w:rsidRPr="003277D0">
        <w:rPr>
          <w:rFonts w:eastAsia="宋体" w:cs="宋体"/>
          <w:sz w:val="21"/>
          <w:lang w:eastAsia="zh-CN"/>
        </w:rPr>
        <w:t>确定所需的信息类型。另外，</w:t>
      </w:r>
      <w:r w:rsidR="00772E17">
        <w:rPr>
          <w:rFonts w:eastAsia="宋体" w:cs="宋体"/>
          <w:sz w:val="21"/>
          <w:lang w:eastAsia="zh-CN"/>
        </w:rPr>
        <w:t>申请方</w:t>
      </w:r>
      <w:r w:rsidRPr="003277D0">
        <w:rPr>
          <w:rFonts w:eastAsia="宋体" w:cs="宋体"/>
          <w:sz w:val="21"/>
          <w:lang w:eastAsia="zh-CN"/>
        </w:rPr>
        <w:t>可能希望在器械研发的早期阶段，与</w:t>
      </w:r>
      <w:r w:rsidRPr="003277D0">
        <w:rPr>
          <w:rFonts w:eastAsia="宋体" w:cs="宋体"/>
          <w:sz w:val="21"/>
          <w:lang w:eastAsia="zh-CN"/>
        </w:rPr>
        <w:t>FDA</w:t>
      </w:r>
      <w:r w:rsidRPr="003277D0">
        <w:rPr>
          <w:rFonts w:eastAsia="宋体" w:cs="宋体"/>
          <w:sz w:val="21"/>
          <w:lang w:eastAsia="zh-CN"/>
        </w:rPr>
        <w:t>就采用的功能试验进行讨论。</w:t>
      </w:r>
      <w:r w:rsidRPr="003277D0">
        <w:rPr>
          <w:rFonts w:eastAsia="宋体" w:cs="宋体"/>
          <w:sz w:val="21"/>
          <w:lang w:eastAsia="zh-CN"/>
        </w:rPr>
        <w:t>FDA</w:t>
      </w:r>
      <w:r w:rsidRPr="003277D0">
        <w:rPr>
          <w:rFonts w:eastAsia="宋体" w:cs="宋体"/>
          <w:sz w:val="21"/>
          <w:lang w:eastAsia="zh-CN"/>
        </w:rPr>
        <w:t>建议</w:t>
      </w:r>
      <w:r w:rsidR="00772E17">
        <w:rPr>
          <w:rFonts w:eastAsia="宋体" w:cs="宋体"/>
          <w:sz w:val="21"/>
          <w:lang w:eastAsia="zh-CN"/>
        </w:rPr>
        <w:t>申请方</w:t>
      </w:r>
      <w:r w:rsidRPr="003277D0">
        <w:rPr>
          <w:rFonts w:eastAsia="宋体" w:cs="宋体"/>
          <w:sz w:val="21"/>
          <w:lang w:eastAsia="zh-CN"/>
        </w:rPr>
        <w:t>采用</w:t>
      </w:r>
      <w:r w:rsidRPr="003277D0">
        <w:rPr>
          <w:rFonts w:eastAsia="宋体" w:cs="宋体"/>
          <w:sz w:val="21"/>
          <w:lang w:eastAsia="zh-CN"/>
        </w:rPr>
        <w:t>Q-</w:t>
      </w:r>
      <w:r w:rsidRPr="003277D0">
        <w:rPr>
          <w:rFonts w:eastAsia="宋体" w:cs="宋体"/>
          <w:sz w:val="21"/>
          <w:lang w:eastAsia="zh-CN"/>
        </w:rPr>
        <w:t>申请流程，以促进这方面的讨论。</w:t>
      </w:r>
      <w:r w:rsidRPr="003277D0">
        <w:rPr>
          <w:rFonts w:eastAsia="宋体" w:cs="宋体"/>
          <w:sz w:val="21"/>
          <w:vertAlign w:val="superscript"/>
        </w:rPr>
        <w:t>25</w:t>
      </w:r>
    </w:p>
    <w:p w14:paraId="61C7F3EE" w14:textId="69096E6D" w:rsidR="00016046" w:rsidRPr="00AF2411" w:rsidRDefault="00016046" w:rsidP="00853F4C">
      <w:pPr>
        <w:adjustRightInd w:val="0"/>
        <w:snapToGrid w:val="0"/>
        <w:spacing w:beforeLines="2450" w:before="5880" w:line="300" w:lineRule="auto"/>
        <w:jc w:val="both"/>
        <w:rPr>
          <w:rFonts w:eastAsiaTheme="minorEastAsia"/>
          <w:sz w:val="21"/>
          <w:szCs w:val="21"/>
          <w:lang w:eastAsia="zh-CN"/>
        </w:rPr>
      </w:pPr>
      <w:r w:rsidRPr="003277D0">
        <w:rPr>
          <w:rFonts w:eastAsia="宋体" w:cs="宋体"/>
          <w:sz w:val="21"/>
        </w:rPr>
        <w:t>_____________________________</w:t>
      </w:r>
    </w:p>
    <w:p w14:paraId="42495EA6" w14:textId="2E3B6E52"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22</w:t>
      </w:r>
      <w:r w:rsidRPr="003277D0">
        <w:rPr>
          <w:rFonts w:eastAsia="宋体" w:cs="宋体"/>
          <w:sz w:val="18"/>
        </w:rPr>
        <w:t xml:space="preserve"> </w:t>
      </w:r>
      <w:r w:rsidRPr="003277D0">
        <w:rPr>
          <w:rFonts w:eastAsia="宋体" w:cs="宋体"/>
          <w:sz w:val="18"/>
        </w:rPr>
        <w:t>可登录以下网址获取：</w:t>
      </w:r>
      <w:r w:rsidRPr="003277D0">
        <w:rPr>
          <w:rFonts w:eastAsia="宋体" w:cs="宋体"/>
          <w:color w:val="0000FF"/>
          <w:sz w:val="18"/>
          <w:u w:val="single"/>
        </w:rPr>
        <w:t>https://www.fda.gov/regulatory-information/search-fda-guidance-documents/requests-feedback-and-</w:t>
      </w:r>
      <w:r w:rsidRPr="003277D0">
        <w:rPr>
          <w:rFonts w:eastAsia="宋体" w:cs="宋体"/>
          <w:color w:val="0000FF"/>
          <w:sz w:val="18"/>
        </w:rPr>
        <w:t xml:space="preserve"> </w:t>
      </w:r>
      <w:r w:rsidRPr="003277D0">
        <w:rPr>
          <w:rFonts w:eastAsia="宋体" w:cs="宋体"/>
          <w:color w:val="0000FF"/>
          <w:sz w:val="18"/>
          <w:u w:val="single"/>
        </w:rPr>
        <w:t>meetings-medical-device-submissions-q-submission-program</w:t>
      </w:r>
    </w:p>
    <w:p w14:paraId="13C0DF2C" w14:textId="7A054DE7"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23</w:t>
      </w:r>
      <w:r w:rsidRPr="003277D0">
        <w:rPr>
          <w:rFonts w:eastAsia="宋体" w:cs="宋体"/>
          <w:sz w:val="18"/>
        </w:rPr>
        <w:t xml:space="preserve"> </w:t>
      </w:r>
      <w:r w:rsidRPr="003277D0">
        <w:rPr>
          <w:rFonts w:eastAsia="宋体" w:cs="宋体"/>
          <w:sz w:val="18"/>
        </w:rPr>
        <w:t>可登录以下网址获取：</w:t>
      </w:r>
      <w:r w:rsidRPr="003277D0">
        <w:rPr>
          <w:rFonts w:eastAsia="宋体" w:cs="宋体"/>
          <w:color w:val="0000FF"/>
          <w:sz w:val="18"/>
          <w:u w:val="single"/>
        </w:rPr>
        <w:t>https://www.fda.gov/regulatory-information/search-fda-guidance-documents/deciding-when-submit-510k-change-existing-device</w:t>
      </w:r>
    </w:p>
    <w:p w14:paraId="18C77A59" w14:textId="388A8091" w:rsidR="002914F0" w:rsidRPr="002914F0" w:rsidRDefault="004F06FE" w:rsidP="00016046">
      <w:pPr>
        <w:adjustRightInd w:val="0"/>
        <w:snapToGrid w:val="0"/>
        <w:spacing w:beforeLines="15" w:before="36" w:line="276" w:lineRule="auto"/>
        <w:jc w:val="both"/>
        <w:rPr>
          <w:sz w:val="21"/>
          <w:szCs w:val="21"/>
        </w:rPr>
      </w:pPr>
      <w:r w:rsidRPr="003277D0">
        <w:rPr>
          <w:rFonts w:eastAsia="宋体" w:cs="宋体"/>
          <w:sz w:val="18"/>
          <w:vertAlign w:val="superscript"/>
        </w:rPr>
        <w:t>24</w:t>
      </w:r>
      <w:r w:rsidRPr="003277D0">
        <w:rPr>
          <w:rFonts w:eastAsia="宋体" w:cs="宋体"/>
          <w:sz w:val="18"/>
        </w:rPr>
        <w:t>有关本标准使用的说明和更新信息，请参见</w:t>
      </w:r>
      <w:r w:rsidRPr="003277D0">
        <w:rPr>
          <w:rFonts w:eastAsia="宋体" w:cs="宋体"/>
          <w:sz w:val="18"/>
        </w:rPr>
        <w:t>2016</w:t>
      </w:r>
      <w:r w:rsidRPr="003277D0">
        <w:rPr>
          <w:rFonts w:eastAsia="宋体" w:cs="宋体"/>
          <w:sz w:val="18"/>
        </w:rPr>
        <w:t>年指南《国际标准</w:t>
      </w:r>
      <w:r w:rsidRPr="003277D0">
        <w:rPr>
          <w:rFonts w:eastAsia="宋体" w:cs="宋体"/>
          <w:sz w:val="18"/>
        </w:rPr>
        <w:t>ISO 10993-1</w:t>
      </w:r>
      <w:r w:rsidRPr="003277D0">
        <w:rPr>
          <w:rFonts w:eastAsia="宋体" w:cs="宋体"/>
          <w:sz w:val="18"/>
        </w:rPr>
        <w:t>的使用，</w:t>
      </w:r>
      <w:r w:rsidRPr="003277D0">
        <w:rPr>
          <w:rFonts w:eastAsia="宋体" w:cs="宋体"/>
          <w:sz w:val="18"/>
        </w:rPr>
        <w:t>&lt;</w:t>
      </w:r>
      <w:proofErr w:type="spellStart"/>
      <w:r w:rsidRPr="003277D0">
        <w:rPr>
          <w:rFonts w:eastAsia="宋体" w:cs="宋体"/>
          <w:sz w:val="18"/>
        </w:rPr>
        <w:t>医疗器械生物学评价</w:t>
      </w:r>
      <w:proofErr w:type="spellEnd"/>
      <w:r w:rsidRPr="003277D0">
        <w:rPr>
          <w:rFonts w:eastAsia="宋体" w:cs="宋体"/>
          <w:sz w:val="18"/>
        </w:rPr>
        <w:t xml:space="preserve"> - </w:t>
      </w:r>
      <w:r w:rsidRPr="003277D0">
        <w:rPr>
          <w:rFonts w:eastAsia="宋体" w:cs="宋体"/>
          <w:sz w:val="18"/>
        </w:rPr>
        <w:t>第</w:t>
      </w:r>
      <w:r w:rsidRPr="003277D0">
        <w:rPr>
          <w:rFonts w:eastAsia="宋体" w:cs="宋体"/>
          <w:sz w:val="18"/>
        </w:rPr>
        <w:t>1</w:t>
      </w:r>
      <w:r w:rsidRPr="003277D0">
        <w:rPr>
          <w:rFonts w:eastAsia="宋体" w:cs="宋体"/>
          <w:sz w:val="18"/>
        </w:rPr>
        <w:t>部分：风险管理过程中的评价与试验</w:t>
      </w:r>
      <w:r w:rsidRPr="003277D0">
        <w:rPr>
          <w:rFonts w:eastAsia="宋体" w:cs="宋体"/>
          <w:sz w:val="18"/>
        </w:rPr>
        <w:t>&gt;</w:t>
      </w:r>
      <w:r w:rsidRPr="003277D0">
        <w:rPr>
          <w:rFonts w:eastAsia="宋体" w:cs="宋体"/>
          <w:sz w:val="18"/>
        </w:rPr>
        <w:t>》（</w:t>
      </w:r>
      <w:r w:rsidRPr="003277D0">
        <w:rPr>
          <w:rFonts w:eastAsia="宋体" w:cs="宋体"/>
          <w:color w:val="0000FF"/>
          <w:sz w:val="18"/>
          <w:u w:val="single"/>
        </w:rPr>
        <w:t>https://www.fda.gov/regulatory-information/search-fda-guidance-documents/use-international-standard-iso-10993-1-biological-evaluation-medical- devices-part-1-evaluation-and</w:t>
      </w:r>
      <w:r w:rsidRPr="003277D0">
        <w:rPr>
          <w:rFonts w:eastAsia="宋体" w:cs="宋体"/>
          <w:sz w:val="18"/>
        </w:rPr>
        <w:t>）。</w:t>
      </w:r>
      <w:r w:rsidRPr="003277D0">
        <w:rPr>
          <w:rFonts w:eastAsia="宋体" w:cs="宋体"/>
          <w:sz w:val="18"/>
        </w:rPr>
        <w:br w:type="page"/>
      </w:r>
    </w:p>
    <w:p w14:paraId="13EF401C" w14:textId="77777777" w:rsidR="00D020CF" w:rsidRPr="00016046" w:rsidRDefault="002914F0" w:rsidP="00016046">
      <w:pPr>
        <w:pStyle w:val="a3"/>
        <w:adjustRightInd w:val="0"/>
        <w:snapToGrid w:val="0"/>
        <w:spacing w:beforeLines="50" w:before="120" w:line="300" w:lineRule="auto"/>
        <w:ind w:leftChars="600" w:left="1802" w:hangingChars="200" w:hanging="482"/>
        <w:jc w:val="both"/>
        <w:rPr>
          <w:b/>
          <w:szCs w:val="21"/>
          <w:lang w:eastAsia="zh-CN"/>
        </w:rPr>
      </w:pPr>
      <w:r w:rsidRPr="003277D0">
        <w:rPr>
          <w:rFonts w:eastAsia="宋体" w:cs="宋体"/>
          <w:b/>
          <w:lang w:eastAsia="zh-CN"/>
        </w:rPr>
        <w:lastRenderedPageBreak/>
        <w:t>1.</w:t>
      </w:r>
      <w:r w:rsidRPr="003277D0">
        <w:rPr>
          <w:rFonts w:eastAsia="宋体" w:cs="宋体"/>
          <w:lang w:eastAsia="zh-CN"/>
        </w:rPr>
        <w:tab/>
      </w:r>
      <w:r w:rsidRPr="003277D0">
        <w:rPr>
          <w:rFonts w:eastAsia="宋体" w:cs="宋体"/>
          <w:b/>
          <w:lang w:eastAsia="zh-CN"/>
        </w:rPr>
        <w:t>材料组成</w:t>
      </w:r>
    </w:p>
    <w:p w14:paraId="5C7B3D79" w14:textId="61B4F9CC" w:rsidR="002914F0" w:rsidRDefault="004F06FE" w:rsidP="00016046">
      <w:pPr>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镍钛合金的成分</w:t>
      </w:r>
      <w:r w:rsidR="00B33B8B" w:rsidRPr="003277D0">
        <w:rPr>
          <w:rFonts w:eastAsia="宋体" w:cs="宋体"/>
          <w:sz w:val="21"/>
          <w:lang w:eastAsia="zh-CN"/>
        </w:rPr>
        <w:t>可</w:t>
      </w:r>
      <w:r w:rsidR="00B33B8B" w:rsidRPr="003277D0">
        <w:rPr>
          <w:rFonts w:eastAsia="宋体" w:cs="宋体"/>
          <w:sz w:val="21"/>
          <w:lang w:eastAsia="zh-CN"/>
        </w:rPr>
        <w:t>“</w:t>
      </w:r>
      <w:r w:rsidR="00B33B8B" w:rsidRPr="003277D0">
        <w:rPr>
          <w:rFonts w:eastAsia="宋体" w:cs="宋体"/>
          <w:sz w:val="21"/>
          <w:lang w:eastAsia="zh-CN"/>
        </w:rPr>
        <w:t>调整</w:t>
      </w:r>
      <w:r w:rsidR="00B33B8B" w:rsidRPr="003277D0">
        <w:rPr>
          <w:rFonts w:eastAsia="宋体" w:cs="宋体"/>
          <w:sz w:val="21"/>
          <w:lang w:eastAsia="zh-CN"/>
        </w:rPr>
        <w:t>”</w:t>
      </w:r>
      <w:r w:rsidRPr="003277D0">
        <w:rPr>
          <w:rFonts w:eastAsia="宋体" w:cs="宋体"/>
          <w:sz w:val="21"/>
          <w:lang w:eastAsia="zh-CN"/>
        </w:rPr>
        <w:t>，以优化特定预期用途的性能。如果镍钛合金符合公认的共识标准，则应将该信息纳入申请（例如</w:t>
      </w:r>
      <w:r w:rsidRPr="003277D0">
        <w:rPr>
          <w:rFonts w:eastAsia="宋体" w:cs="宋体"/>
          <w:sz w:val="21"/>
          <w:lang w:eastAsia="zh-CN"/>
        </w:rPr>
        <w:t>ASTM F2063</w:t>
      </w:r>
      <w:r w:rsidRPr="003277D0">
        <w:rPr>
          <w:rFonts w:eastAsia="宋体" w:cs="宋体"/>
          <w:sz w:val="21"/>
          <w:lang w:eastAsia="zh-CN"/>
        </w:rPr>
        <w:t>《医疗器械和外科植入物用镍钛形状记忆合金</w:t>
      </w:r>
      <w:r w:rsidR="005C1D12">
        <w:rPr>
          <w:rFonts w:eastAsia="宋体" w:cs="宋体" w:hint="eastAsia"/>
          <w:sz w:val="21"/>
          <w:lang w:eastAsia="zh-CN"/>
        </w:rPr>
        <w:t>加工材</w:t>
      </w:r>
      <w:r w:rsidRPr="003277D0">
        <w:rPr>
          <w:rFonts w:eastAsia="宋体" w:cs="宋体"/>
          <w:sz w:val="21"/>
          <w:lang w:eastAsia="zh-CN"/>
        </w:rPr>
        <w:t>》）中。如果镍钛合金不符合公认的共识标准，建议提供镍钛合金的成分及其特定性能的描述。</w:t>
      </w:r>
    </w:p>
    <w:p w14:paraId="7EF239D9" w14:textId="77777777" w:rsidR="00D020CF" w:rsidRPr="00016046" w:rsidRDefault="002914F0" w:rsidP="00016046">
      <w:pPr>
        <w:pStyle w:val="a3"/>
        <w:adjustRightInd w:val="0"/>
        <w:snapToGrid w:val="0"/>
        <w:spacing w:beforeLines="50" w:before="120" w:line="300" w:lineRule="auto"/>
        <w:ind w:leftChars="600" w:left="1802" w:hangingChars="200" w:hanging="482"/>
        <w:jc w:val="both"/>
        <w:rPr>
          <w:b/>
          <w:szCs w:val="21"/>
          <w:lang w:eastAsia="zh-CN"/>
        </w:rPr>
      </w:pPr>
      <w:r w:rsidRPr="003277D0">
        <w:rPr>
          <w:rFonts w:eastAsia="宋体" w:cs="宋体"/>
          <w:b/>
          <w:lang w:eastAsia="zh-CN"/>
        </w:rPr>
        <w:t>2.</w:t>
      </w:r>
      <w:r w:rsidRPr="003277D0">
        <w:rPr>
          <w:rFonts w:eastAsia="宋体" w:cs="宋体"/>
          <w:lang w:eastAsia="zh-CN"/>
        </w:rPr>
        <w:tab/>
      </w:r>
      <w:r w:rsidRPr="003277D0">
        <w:rPr>
          <w:rFonts w:eastAsia="宋体" w:cs="宋体"/>
          <w:b/>
          <w:lang w:eastAsia="zh-CN"/>
        </w:rPr>
        <w:t>制造</w:t>
      </w:r>
    </w:p>
    <w:p w14:paraId="00923C70" w14:textId="67CD8FB3" w:rsidR="002914F0" w:rsidRDefault="004F06FE" w:rsidP="00016046">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包括热处理和表面处理在内的制造方法和参数可改变镍钛合金器械的特性和性能。因此，建议提供一个</w:t>
      </w:r>
      <w:r w:rsidR="00544FB5">
        <w:rPr>
          <w:rFonts w:eastAsia="宋体" w:cs="宋体" w:hint="eastAsia"/>
          <w:sz w:val="21"/>
          <w:lang w:eastAsia="zh-CN"/>
        </w:rPr>
        <w:t>高级流程图</w:t>
      </w:r>
      <w:r w:rsidRPr="003277D0">
        <w:rPr>
          <w:rFonts w:eastAsia="宋体" w:cs="宋体"/>
          <w:sz w:val="21"/>
          <w:lang w:eastAsia="zh-CN"/>
        </w:rPr>
        <w:t>用于</w:t>
      </w:r>
      <w:r w:rsidR="00544FB5">
        <w:rPr>
          <w:rFonts w:eastAsia="宋体" w:cs="宋体" w:hint="eastAsia"/>
          <w:sz w:val="21"/>
          <w:lang w:eastAsia="zh-CN"/>
        </w:rPr>
        <w:t>识别</w:t>
      </w:r>
      <w:r w:rsidRPr="003277D0">
        <w:rPr>
          <w:rFonts w:eastAsia="宋体" w:cs="宋体"/>
          <w:sz w:val="21"/>
          <w:lang w:eastAsia="zh-CN"/>
        </w:rPr>
        <w:t>从原材料到最终器械灭菌（如</w:t>
      </w:r>
      <w:r w:rsidR="00AE2A2B">
        <w:rPr>
          <w:rFonts w:eastAsia="宋体" w:cs="宋体" w:hint="eastAsia"/>
          <w:sz w:val="21"/>
          <w:lang w:eastAsia="zh-CN"/>
        </w:rPr>
        <w:t>适用</w:t>
      </w:r>
      <w:r w:rsidRPr="003277D0">
        <w:rPr>
          <w:rFonts w:eastAsia="宋体" w:cs="宋体"/>
          <w:sz w:val="21"/>
          <w:lang w:eastAsia="zh-CN"/>
        </w:rPr>
        <w:t>）的制造过程。特别需要关注的是热加工工艺（例如激光切割、退火、热定型）。此外，表面处理会对镍钛合金的腐蚀</w:t>
      </w:r>
      <w:r w:rsidRPr="003277D0">
        <w:rPr>
          <w:rFonts w:eastAsia="宋体" w:cs="宋体"/>
          <w:sz w:val="21"/>
          <w:lang w:eastAsia="zh-CN"/>
        </w:rPr>
        <w:t>/</w:t>
      </w:r>
      <w:r w:rsidRPr="003277D0">
        <w:rPr>
          <w:rFonts w:eastAsia="宋体" w:cs="宋体"/>
          <w:sz w:val="21"/>
          <w:lang w:eastAsia="zh-CN"/>
        </w:rPr>
        <w:t>镍浸出性能</w:t>
      </w:r>
      <w:r w:rsidR="0040535A">
        <w:rPr>
          <w:rFonts w:eastAsia="宋体" w:cs="宋体" w:hint="eastAsia"/>
          <w:sz w:val="21"/>
          <w:lang w:eastAsia="zh-CN"/>
        </w:rPr>
        <w:t>有</w:t>
      </w:r>
      <w:r w:rsidRPr="003277D0">
        <w:rPr>
          <w:rFonts w:eastAsia="宋体" w:cs="宋体"/>
          <w:sz w:val="21"/>
          <w:lang w:eastAsia="zh-CN"/>
        </w:rPr>
        <w:t>显著影响。因此，建议提供所有表面处理步骤（例如</w:t>
      </w:r>
      <w:proofErr w:type="gramStart"/>
      <w:r w:rsidRPr="003277D0">
        <w:rPr>
          <w:rFonts w:eastAsia="宋体" w:cs="宋体"/>
          <w:sz w:val="21"/>
          <w:lang w:eastAsia="zh-CN"/>
        </w:rPr>
        <w:t>珩</w:t>
      </w:r>
      <w:proofErr w:type="gramEnd"/>
      <w:r w:rsidRPr="003277D0">
        <w:rPr>
          <w:rFonts w:eastAsia="宋体" w:cs="宋体"/>
          <w:sz w:val="21"/>
          <w:lang w:eastAsia="zh-CN"/>
        </w:rPr>
        <w:t>磨、微喷砂、酸洗、抛光、钝化）的详细描述，以</w:t>
      </w:r>
      <w:r w:rsidR="00B52CC1">
        <w:rPr>
          <w:rFonts w:eastAsia="宋体" w:cs="宋体" w:hint="eastAsia"/>
          <w:sz w:val="21"/>
          <w:lang w:eastAsia="zh-CN"/>
        </w:rPr>
        <w:t>评估</w:t>
      </w:r>
      <w:r w:rsidRPr="003277D0">
        <w:rPr>
          <w:rFonts w:eastAsia="宋体" w:cs="宋体"/>
          <w:sz w:val="21"/>
          <w:lang w:eastAsia="zh-CN"/>
        </w:rPr>
        <w:t>腐蚀和</w:t>
      </w:r>
      <w:proofErr w:type="gramStart"/>
      <w:r w:rsidRPr="003277D0">
        <w:rPr>
          <w:rFonts w:eastAsia="宋体" w:cs="宋体"/>
          <w:sz w:val="21"/>
          <w:lang w:eastAsia="zh-CN"/>
        </w:rPr>
        <w:t>镍释放</w:t>
      </w:r>
      <w:proofErr w:type="gramEnd"/>
      <w:r w:rsidRPr="003277D0">
        <w:rPr>
          <w:rFonts w:eastAsia="宋体" w:cs="宋体"/>
          <w:sz w:val="21"/>
          <w:lang w:eastAsia="zh-CN"/>
        </w:rPr>
        <w:t>的风险。此外，应描述任何最终后处理清</w:t>
      </w:r>
      <w:r w:rsidR="007A0609">
        <w:rPr>
          <w:rFonts w:eastAsia="宋体" w:cs="宋体" w:hint="eastAsia"/>
          <w:sz w:val="21"/>
          <w:lang w:eastAsia="zh-CN"/>
        </w:rPr>
        <w:t>洗</w:t>
      </w:r>
      <w:r w:rsidRPr="003277D0">
        <w:rPr>
          <w:rFonts w:eastAsia="宋体" w:cs="宋体"/>
          <w:sz w:val="21"/>
          <w:lang w:eastAsia="zh-CN"/>
        </w:rPr>
        <w:t>步骤，并</w:t>
      </w:r>
      <w:r w:rsidR="001E1893">
        <w:rPr>
          <w:rFonts w:eastAsia="宋体" w:cs="宋体" w:hint="eastAsia"/>
          <w:sz w:val="21"/>
          <w:lang w:eastAsia="zh-CN"/>
        </w:rPr>
        <w:t>讨论</w:t>
      </w:r>
      <w:bookmarkStart w:id="11" w:name="_Hlk95485174"/>
      <w:r w:rsidRPr="003277D0">
        <w:rPr>
          <w:rFonts w:eastAsia="宋体" w:cs="宋体"/>
          <w:sz w:val="21"/>
          <w:lang w:eastAsia="zh-CN"/>
        </w:rPr>
        <w:t>这些步骤</w:t>
      </w:r>
      <w:r w:rsidR="008A1577">
        <w:rPr>
          <w:rFonts w:eastAsia="宋体" w:cs="宋体" w:hint="eastAsia"/>
          <w:sz w:val="21"/>
          <w:lang w:eastAsia="zh-CN"/>
        </w:rPr>
        <w:t>的设计</w:t>
      </w:r>
      <w:bookmarkEnd w:id="11"/>
      <w:r w:rsidR="001E1893" w:rsidRPr="001E1893">
        <w:rPr>
          <w:rFonts w:eastAsia="宋体" w:cs="宋体" w:hint="eastAsia"/>
          <w:sz w:val="21"/>
          <w:lang w:eastAsia="zh-CN"/>
        </w:rPr>
        <w:t>原理</w:t>
      </w:r>
      <w:r w:rsidRPr="003277D0">
        <w:rPr>
          <w:rFonts w:eastAsia="宋体" w:cs="宋体"/>
          <w:sz w:val="21"/>
          <w:lang w:eastAsia="zh-CN"/>
        </w:rPr>
        <w:t>，以去除</w:t>
      </w:r>
      <w:r w:rsidR="008652BA">
        <w:rPr>
          <w:rFonts w:eastAsia="宋体" w:cs="宋体" w:hint="eastAsia"/>
          <w:sz w:val="21"/>
          <w:lang w:eastAsia="zh-CN"/>
        </w:rPr>
        <w:t>任何</w:t>
      </w:r>
      <w:r w:rsidRPr="003277D0">
        <w:rPr>
          <w:rFonts w:eastAsia="宋体" w:cs="宋体"/>
          <w:sz w:val="21"/>
          <w:lang w:eastAsia="zh-CN"/>
        </w:rPr>
        <w:t>可能影响生物相容性的表面残留物。</w:t>
      </w:r>
    </w:p>
    <w:p w14:paraId="05253DD4" w14:textId="77777777" w:rsidR="00D020CF" w:rsidRPr="00016046" w:rsidRDefault="002914F0" w:rsidP="00016046">
      <w:pPr>
        <w:pStyle w:val="a3"/>
        <w:adjustRightInd w:val="0"/>
        <w:snapToGrid w:val="0"/>
        <w:spacing w:beforeLines="50" w:before="120" w:line="300" w:lineRule="auto"/>
        <w:ind w:leftChars="600" w:left="1802" w:hangingChars="200" w:hanging="482"/>
        <w:jc w:val="both"/>
        <w:rPr>
          <w:b/>
          <w:szCs w:val="21"/>
          <w:lang w:eastAsia="zh-CN"/>
        </w:rPr>
      </w:pPr>
      <w:r w:rsidRPr="003277D0">
        <w:rPr>
          <w:rFonts w:eastAsia="宋体" w:cs="宋体"/>
          <w:b/>
          <w:lang w:eastAsia="zh-CN"/>
        </w:rPr>
        <w:t>3.</w:t>
      </w:r>
      <w:r w:rsidRPr="003277D0">
        <w:rPr>
          <w:rFonts w:eastAsia="宋体" w:cs="宋体"/>
          <w:lang w:eastAsia="zh-CN"/>
        </w:rPr>
        <w:tab/>
      </w:r>
      <w:r w:rsidRPr="003277D0">
        <w:rPr>
          <w:rFonts w:eastAsia="宋体" w:cs="宋体"/>
          <w:b/>
          <w:lang w:eastAsia="zh-CN"/>
        </w:rPr>
        <w:t>伪弹性</w:t>
      </w:r>
      <w:r w:rsidRPr="003277D0">
        <w:rPr>
          <w:rFonts w:eastAsia="宋体" w:cs="宋体"/>
          <w:b/>
          <w:lang w:eastAsia="zh-CN"/>
        </w:rPr>
        <w:t>/</w:t>
      </w:r>
      <w:r w:rsidRPr="003277D0">
        <w:rPr>
          <w:rFonts w:eastAsia="宋体" w:cs="宋体"/>
          <w:b/>
          <w:lang w:eastAsia="zh-CN"/>
        </w:rPr>
        <w:t>形状记忆特性</w:t>
      </w:r>
    </w:p>
    <w:p w14:paraId="00C196C8" w14:textId="3E8D9620" w:rsidR="002914F0" w:rsidRDefault="004F06FE" w:rsidP="00016046">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可通过成分和热处理对镍钛合金进行</w:t>
      </w:r>
      <w:r w:rsidRPr="003277D0">
        <w:rPr>
          <w:rFonts w:eastAsia="宋体" w:cs="宋体"/>
          <w:sz w:val="21"/>
          <w:lang w:eastAsia="zh-CN"/>
        </w:rPr>
        <w:t>“</w:t>
      </w:r>
      <w:r w:rsidRPr="003277D0">
        <w:rPr>
          <w:rFonts w:eastAsia="宋体" w:cs="宋体"/>
          <w:sz w:val="21"/>
          <w:lang w:eastAsia="zh-CN"/>
        </w:rPr>
        <w:t>调整</w:t>
      </w:r>
      <w:r w:rsidRPr="003277D0">
        <w:rPr>
          <w:rFonts w:eastAsia="宋体" w:cs="宋体"/>
          <w:sz w:val="21"/>
          <w:lang w:eastAsia="zh-CN"/>
        </w:rPr>
        <w:t>”</w:t>
      </w:r>
      <w:r w:rsidRPr="003277D0">
        <w:rPr>
          <w:rFonts w:eastAsia="宋体" w:cs="宋体"/>
          <w:sz w:val="21"/>
          <w:lang w:eastAsia="zh-CN"/>
        </w:rPr>
        <w:t>，使其在所需的工作温度下具有伪弹性（超弹性）或形状记忆特性。由于这两种特性不同，应在申请中说明</w:t>
      </w:r>
      <w:r w:rsidR="00DF2FD7">
        <w:rPr>
          <w:rFonts w:eastAsia="宋体" w:cs="宋体" w:hint="eastAsia"/>
          <w:sz w:val="21"/>
          <w:lang w:eastAsia="zh-CN"/>
        </w:rPr>
        <w:t>所</w:t>
      </w:r>
      <w:r w:rsidRPr="003277D0">
        <w:rPr>
          <w:rFonts w:eastAsia="宋体" w:cs="宋体"/>
          <w:sz w:val="21"/>
          <w:lang w:eastAsia="zh-CN"/>
        </w:rPr>
        <w:t>使用的</w:t>
      </w:r>
      <w:r w:rsidR="00DF2FD7" w:rsidRPr="00DF2FD7">
        <w:rPr>
          <w:rFonts w:eastAsia="宋体" w:cs="宋体" w:hint="eastAsia"/>
          <w:sz w:val="21"/>
          <w:lang w:eastAsia="zh-CN"/>
        </w:rPr>
        <w:t>特性</w:t>
      </w:r>
      <w:r w:rsidRPr="003277D0">
        <w:rPr>
          <w:rFonts w:eastAsia="宋体" w:cs="宋体"/>
          <w:sz w:val="21"/>
          <w:lang w:eastAsia="zh-CN"/>
        </w:rPr>
        <w:t>。如果两种特性均未采用，也应予以说明。</w:t>
      </w:r>
    </w:p>
    <w:p w14:paraId="1DC22E70" w14:textId="77777777" w:rsidR="00D020CF" w:rsidRPr="00016046" w:rsidRDefault="002914F0" w:rsidP="00016046">
      <w:pPr>
        <w:pStyle w:val="a3"/>
        <w:adjustRightInd w:val="0"/>
        <w:snapToGrid w:val="0"/>
        <w:spacing w:beforeLines="50" w:before="120" w:line="300" w:lineRule="auto"/>
        <w:ind w:leftChars="600" w:left="1802" w:hangingChars="200" w:hanging="482"/>
        <w:jc w:val="both"/>
        <w:rPr>
          <w:b/>
          <w:szCs w:val="21"/>
          <w:lang w:eastAsia="zh-CN"/>
        </w:rPr>
      </w:pPr>
      <w:r w:rsidRPr="003277D0">
        <w:rPr>
          <w:rFonts w:eastAsia="宋体" w:cs="宋体"/>
          <w:b/>
          <w:lang w:eastAsia="zh-CN"/>
        </w:rPr>
        <w:t>4.</w:t>
      </w:r>
      <w:r w:rsidRPr="003277D0">
        <w:rPr>
          <w:rFonts w:eastAsia="宋体" w:cs="宋体"/>
          <w:lang w:eastAsia="zh-CN"/>
        </w:rPr>
        <w:tab/>
      </w:r>
      <w:r w:rsidRPr="003277D0">
        <w:rPr>
          <w:rFonts w:eastAsia="宋体" w:cs="宋体"/>
          <w:b/>
          <w:lang w:eastAsia="zh-CN"/>
        </w:rPr>
        <w:t>相变温度</w:t>
      </w:r>
    </w:p>
    <w:p w14:paraId="2F6918EE" w14:textId="657E1F4F" w:rsidR="00F7480B" w:rsidRPr="00F02D73" w:rsidRDefault="004F06FE" w:rsidP="00F02D73">
      <w:pPr>
        <w:pStyle w:val="a3"/>
        <w:adjustRightInd w:val="0"/>
        <w:snapToGrid w:val="0"/>
        <w:spacing w:beforeLines="50" w:before="120" w:line="300" w:lineRule="auto"/>
        <w:ind w:leftChars="600" w:left="1320"/>
        <w:jc w:val="both"/>
        <w:rPr>
          <w:rFonts w:eastAsia="宋体" w:cs="宋体"/>
          <w:sz w:val="21"/>
          <w:lang w:eastAsia="zh-CN"/>
        </w:rPr>
      </w:pPr>
      <w:r w:rsidRPr="003277D0">
        <w:rPr>
          <w:rFonts w:eastAsia="宋体" w:cs="宋体"/>
          <w:sz w:val="21"/>
          <w:lang w:eastAsia="zh-CN"/>
        </w:rPr>
        <w:t>如前所述，经证明，镍钛合金相变温度的变化会影响力学性能。因此，建议提供最终成品的相变温度（即，如</w:t>
      </w:r>
      <w:r w:rsidR="006F518E">
        <w:rPr>
          <w:rFonts w:eastAsia="宋体" w:cs="宋体" w:hint="eastAsia"/>
          <w:sz w:val="21"/>
          <w:lang w:eastAsia="zh-CN"/>
        </w:rPr>
        <w:t>适用</w:t>
      </w:r>
      <w:r w:rsidRPr="003277D0">
        <w:rPr>
          <w:rFonts w:eastAsia="宋体" w:cs="宋体"/>
          <w:sz w:val="21"/>
          <w:lang w:eastAsia="zh-CN"/>
        </w:rPr>
        <w:t>，包括灭菌在内的所有制造过程）。在可能的情况下，应使用至少</w:t>
      </w:r>
      <w:r w:rsidRPr="003277D0">
        <w:rPr>
          <w:rFonts w:eastAsia="宋体" w:cs="宋体"/>
          <w:sz w:val="21"/>
          <w:lang w:eastAsia="zh-CN"/>
        </w:rPr>
        <w:t>3</w:t>
      </w:r>
      <w:r w:rsidRPr="003277D0">
        <w:rPr>
          <w:rFonts w:eastAsia="宋体" w:cs="宋体"/>
          <w:sz w:val="21"/>
          <w:lang w:eastAsia="zh-CN"/>
        </w:rPr>
        <w:t>个生产批次</w:t>
      </w:r>
      <w:r w:rsidRPr="00F02D73">
        <w:rPr>
          <w:rFonts w:eastAsia="宋体" w:cs="宋体"/>
          <w:sz w:val="21"/>
          <w:lang w:eastAsia="zh-CN"/>
        </w:rPr>
        <w:t>26</w:t>
      </w:r>
      <w:r w:rsidRPr="003277D0">
        <w:rPr>
          <w:rFonts w:eastAsia="宋体" w:cs="宋体"/>
          <w:sz w:val="21"/>
          <w:lang w:eastAsia="zh-CN"/>
        </w:rPr>
        <w:t>的样品，因为镍钛合金转变温度对制造过程中的微小变化（如温度或加热时间）很敏感。如果要利用伪弹性性能</w:t>
      </w:r>
      <w:r w:rsidR="002F1773">
        <w:rPr>
          <w:rFonts w:eastAsia="宋体" w:cs="宋体" w:hint="eastAsia"/>
          <w:sz w:val="21"/>
          <w:lang w:eastAsia="zh-CN"/>
        </w:rPr>
        <w:t>来</w:t>
      </w:r>
      <w:r w:rsidRPr="003277D0">
        <w:rPr>
          <w:rFonts w:eastAsia="宋体" w:cs="宋体"/>
          <w:sz w:val="21"/>
          <w:lang w:eastAsia="zh-CN"/>
        </w:rPr>
        <w:t>实现预期器械性能，建议提供奥氏体相变终了（</w:t>
      </w:r>
      <w:proofErr w:type="spellStart"/>
      <w:r w:rsidRPr="003277D0">
        <w:rPr>
          <w:rFonts w:eastAsia="宋体" w:cs="宋体"/>
          <w:sz w:val="21"/>
          <w:lang w:eastAsia="zh-CN"/>
        </w:rPr>
        <w:t>Af</w:t>
      </w:r>
      <w:proofErr w:type="spellEnd"/>
      <w:r w:rsidRPr="003277D0">
        <w:rPr>
          <w:rFonts w:eastAsia="宋体" w:cs="宋体"/>
          <w:sz w:val="21"/>
          <w:lang w:eastAsia="zh-CN"/>
        </w:rPr>
        <w:t>）温度、</w:t>
      </w:r>
      <w:r w:rsidRPr="003277D0">
        <w:rPr>
          <w:rFonts w:eastAsia="宋体" w:cs="宋体"/>
          <w:sz w:val="21"/>
          <w:lang w:eastAsia="zh-CN"/>
        </w:rPr>
        <w:t>R</w:t>
      </w:r>
      <w:r w:rsidRPr="003277D0">
        <w:rPr>
          <w:rFonts w:eastAsia="宋体" w:cs="宋体"/>
          <w:sz w:val="21"/>
          <w:lang w:eastAsia="zh-CN"/>
        </w:rPr>
        <w:t>相相变终了温度（</w:t>
      </w:r>
      <w:proofErr w:type="spellStart"/>
      <w:r w:rsidRPr="003277D0">
        <w:rPr>
          <w:rFonts w:eastAsia="宋体" w:cs="宋体"/>
          <w:sz w:val="21"/>
          <w:lang w:eastAsia="zh-CN"/>
        </w:rPr>
        <w:t>R</w:t>
      </w:r>
      <w:proofErr w:type="gramStart"/>
      <w:r w:rsidRPr="003277D0">
        <w:rPr>
          <w:rFonts w:eastAsia="宋体" w:cs="宋体"/>
          <w:sz w:val="21"/>
          <w:lang w:eastAsia="zh-CN"/>
        </w:rPr>
        <w:t>’</w:t>
      </w:r>
      <w:proofErr w:type="gramEnd"/>
      <w:r w:rsidRPr="003277D0">
        <w:rPr>
          <w:rFonts w:eastAsia="宋体" w:cs="宋体"/>
          <w:sz w:val="21"/>
          <w:lang w:eastAsia="zh-CN"/>
        </w:rPr>
        <w:t>f</w:t>
      </w:r>
      <w:proofErr w:type="spellEnd"/>
      <w:r w:rsidRPr="003277D0">
        <w:rPr>
          <w:rFonts w:eastAsia="宋体" w:cs="宋体"/>
          <w:sz w:val="21"/>
          <w:lang w:eastAsia="zh-CN"/>
        </w:rPr>
        <w:t>）（如果存在</w:t>
      </w:r>
      <w:r w:rsidRPr="003277D0">
        <w:rPr>
          <w:rFonts w:eastAsia="宋体" w:cs="宋体"/>
          <w:sz w:val="21"/>
          <w:lang w:eastAsia="zh-CN"/>
        </w:rPr>
        <w:t>R</w:t>
      </w:r>
      <w:r w:rsidRPr="003277D0">
        <w:rPr>
          <w:rFonts w:eastAsia="宋体" w:cs="宋体"/>
          <w:sz w:val="21"/>
          <w:lang w:eastAsia="zh-CN"/>
        </w:rPr>
        <w:t>相），</w:t>
      </w:r>
      <w:r w:rsidRPr="00F02D73">
        <w:rPr>
          <w:rFonts w:eastAsia="宋体" w:cs="宋体"/>
          <w:sz w:val="21"/>
          <w:lang w:eastAsia="zh-CN"/>
        </w:rPr>
        <w:t xml:space="preserve">27 </w:t>
      </w:r>
      <w:r w:rsidRPr="003277D0">
        <w:rPr>
          <w:rFonts w:eastAsia="宋体" w:cs="宋体"/>
          <w:sz w:val="21"/>
          <w:lang w:eastAsia="zh-CN"/>
        </w:rPr>
        <w:t>或体温力学试验数据。如果要用形状记忆性能，还应提供奥氏体相变开始（</w:t>
      </w:r>
      <w:r w:rsidRPr="003277D0">
        <w:rPr>
          <w:rFonts w:eastAsia="宋体" w:cs="宋体"/>
          <w:sz w:val="21"/>
          <w:lang w:eastAsia="zh-CN"/>
        </w:rPr>
        <w:t>As</w:t>
      </w:r>
      <w:r w:rsidRPr="003277D0">
        <w:rPr>
          <w:rFonts w:eastAsia="宋体" w:cs="宋体"/>
          <w:sz w:val="21"/>
          <w:lang w:eastAsia="zh-CN"/>
        </w:rPr>
        <w:t>）、马氏体相变开始（</w:t>
      </w:r>
      <w:proofErr w:type="spellStart"/>
      <w:r w:rsidRPr="003277D0">
        <w:rPr>
          <w:rFonts w:eastAsia="宋体" w:cs="宋体"/>
          <w:sz w:val="21"/>
          <w:lang w:eastAsia="zh-CN"/>
        </w:rPr>
        <w:t>Ms</w:t>
      </w:r>
      <w:proofErr w:type="spellEnd"/>
      <w:r w:rsidRPr="003277D0">
        <w:rPr>
          <w:rFonts w:eastAsia="宋体" w:cs="宋体"/>
          <w:sz w:val="21"/>
          <w:lang w:eastAsia="zh-CN"/>
        </w:rPr>
        <w:t>）和马氏体相变终了（</w:t>
      </w:r>
      <w:r w:rsidRPr="003277D0">
        <w:rPr>
          <w:rFonts w:eastAsia="宋体" w:cs="宋体"/>
          <w:sz w:val="21"/>
          <w:lang w:eastAsia="zh-CN"/>
        </w:rPr>
        <w:t>Mf</w:t>
      </w:r>
      <w:r w:rsidRPr="003277D0">
        <w:rPr>
          <w:rFonts w:eastAsia="宋体" w:cs="宋体"/>
          <w:sz w:val="21"/>
          <w:lang w:eastAsia="zh-CN"/>
        </w:rPr>
        <w:t>）温度，因为这些温度可控制形状记忆特性。建议采用</w:t>
      </w:r>
      <w:r w:rsidRPr="003277D0">
        <w:rPr>
          <w:rFonts w:eastAsia="宋体" w:cs="宋体"/>
          <w:sz w:val="21"/>
          <w:lang w:eastAsia="zh-CN"/>
        </w:rPr>
        <w:t>ASTM F2004</w:t>
      </w:r>
      <w:r w:rsidRPr="003277D0">
        <w:rPr>
          <w:rFonts w:eastAsia="宋体" w:cs="宋体"/>
          <w:sz w:val="21"/>
          <w:lang w:eastAsia="zh-CN"/>
        </w:rPr>
        <w:t>《用热分析法测定镍钛合金转变温度的标准试验方法》、</w:t>
      </w:r>
      <w:r w:rsidRPr="003277D0">
        <w:rPr>
          <w:rFonts w:eastAsia="宋体" w:cs="宋体"/>
          <w:sz w:val="21"/>
          <w:lang w:eastAsia="zh-CN"/>
        </w:rPr>
        <w:t>ASTM F2082</w:t>
      </w:r>
      <w:r w:rsidRPr="003277D0">
        <w:rPr>
          <w:rFonts w:eastAsia="宋体" w:cs="宋体"/>
          <w:sz w:val="21"/>
          <w:lang w:eastAsia="zh-CN"/>
        </w:rPr>
        <w:t>《通过弯曲和自由恢复试验测定镍钛形状记忆合金转变温度的标准试验方法》中所述的方法或等效方法。应当注意的是，对于</w:t>
      </w:r>
      <w:r w:rsidR="00DA0D7A">
        <w:rPr>
          <w:rFonts w:eastAsia="宋体" w:cs="宋体" w:hint="eastAsia"/>
          <w:sz w:val="21"/>
          <w:lang w:eastAsia="zh-CN"/>
        </w:rPr>
        <w:t>指</w:t>
      </w:r>
      <w:r w:rsidRPr="003277D0">
        <w:rPr>
          <w:rFonts w:eastAsia="宋体" w:cs="宋体"/>
          <w:sz w:val="21"/>
          <w:lang w:eastAsia="zh-CN"/>
        </w:rPr>
        <w:t>定材料或器械，这些试验</w:t>
      </w:r>
      <w:r w:rsidR="00016019" w:rsidRPr="003277D0">
        <w:rPr>
          <w:rFonts w:eastAsia="宋体" w:cs="宋体"/>
          <w:sz w:val="21"/>
          <w:lang w:eastAsia="zh-CN"/>
        </w:rPr>
        <w:t>采用</w:t>
      </w:r>
      <w:r w:rsidR="00016019">
        <w:rPr>
          <w:rFonts w:eastAsia="宋体" w:cs="宋体" w:hint="eastAsia"/>
          <w:sz w:val="21"/>
          <w:lang w:eastAsia="zh-CN"/>
        </w:rPr>
        <w:t>的</w:t>
      </w:r>
      <w:r w:rsidR="00F0159C" w:rsidRPr="003277D0">
        <w:rPr>
          <w:rFonts w:eastAsia="宋体" w:cs="宋体"/>
          <w:sz w:val="21"/>
          <w:lang w:eastAsia="zh-CN"/>
        </w:rPr>
        <w:t>测量</w:t>
      </w:r>
      <w:r w:rsidRPr="003277D0">
        <w:rPr>
          <w:rFonts w:eastAsia="宋体" w:cs="宋体"/>
          <w:sz w:val="21"/>
          <w:lang w:eastAsia="zh-CN"/>
        </w:rPr>
        <w:t>方法</w:t>
      </w:r>
      <w:r w:rsidR="00016019">
        <w:rPr>
          <w:rFonts w:eastAsia="宋体" w:cs="宋体" w:hint="eastAsia"/>
          <w:sz w:val="21"/>
          <w:lang w:eastAsia="zh-CN"/>
        </w:rPr>
        <w:t>与</w:t>
      </w:r>
      <w:proofErr w:type="spellStart"/>
      <w:r w:rsidRPr="003277D0">
        <w:rPr>
          <w:rFonts w:eastAsia="宋体" w:cs="宋体"/>
          <w:sz w:val="21"/>
          <w:lang w:eastAsia="zh-CN"/>
        </w:rPr>
        <w:t>Af</w:t>
      </w:r>
      <w:proofErr w:type="spellEnd"/>
      <w:r w:rsidRPr="003277D0">
        <w:rPr>
          <w:rFonts w:eastAsia="宋体" w:cs="宋体"/>
          <w:sz w:val="21"/>
          <w:lang w:eastAsia="zh-CN"/>
        </w:rPr>
        <w:t>温度不一定相同。</w:t>
      </w:r>
      <w:r w:rsidRPr="00F02D73">
        <w:rPr>
          <w:rFonts w:eastAsia="宋体" w:cs="宋体"/>
          <w:sz w:val="21"/>
          <w:lang w:eastAsia="zh-CN"/>
        </w:rPr>
        <w:t>28,29</w:t>
      </w:r>
      <w:r w:rsidRPr="003277D0">
        <w:rPr>
          <w:rFonts w:eastAsia="宋体" w:cs="宋体"/>
          <w:sz w:val="21"/>
          <w:lang w:eastAsia="zh-CN"/>
        </w:rPr>
        <w:t>对于预期承重的器械，建议采用</w:t>
      </w:r>
      <w:r w:rsidRPr="003277D0">
        <w:rPr>
          <w:rFonts w:eastAsia="宋体" w:cs="宋体"/>
          <w:sz w:val="21"/>
          <w:lang w:eastAsia="zh-CN"/>
        </w:rPr>
        <w:t>ASTM F2082</w:t>
      </w:r>
      <w:r w:rsidRPr="003277D0">
        <w:rPr>
          <w:rFonts w:eastAsia="宋体" w:cs="宋体"/>
          <w:sz w:val="21"/>
          <w:lang w:eastAsia="zh-CN"/>
        </w:rPr>
        <w:t>，因为其中纳入了形变调节处理相关信息，对其进行修订，以评估器械在其最终成品形式（例如支架预置或骨板预变形）中预计承受的应变。</w:t>
      </w:r>
      <w:r w:rsidR="008A1577">
        <w:rPr>
          <w:rFonts w:eastAsia="宋体" w:cs="宋体" w:hint="eastAsia"/>
          <w:sz w:val="21"/>
          <w:lang w:eastAsia="zh-CN"/>
        </w:rPr>
        <w:t>如使用</w:t>
      </w:r>
      <w:r w:rsidRPr="003277D0">
        <w:rPr>
          <w:rFonts w:eastAsia="宋体" w:cs="宋体"/>
          <w:sz w:val="21"/>
          <w:lang w:eastAsia="zh-CN"/>
        </w:rPr>
        <w:t>评估相变温度的替代方法</w:t>
      </w:r>
      <w:r w:rsidR="008A1577">
        <w:rPr>
          <w:rFonts w:eastAsia="宋体" w:cs="宋体" w:hint="eastAsia"/>
          <w:sz w:val="21"/>
          <w:lang w:eastAsia="zh-CN"/>
        </w:rPr>
        <w:t>，则需提供</w:t>
      </w:r>
      <w:r w:rsidRPr="003277D0">
        <w:rPr>
          <w:rFonts w:eastAsia="宋体" w:cs="宋体"/>
          <w:sz w:val="21"/>
          <w:lang w:eastAsia="zh-CN"/>
        </w:rPr>
        <w:t>详细的试验方案以及相变温度的</w:t>
      </w:r>
      <w:r w:rsidR="008A1577">
        <w:rPr>
          <w:rFonts w:eastAsia="宋体" w:cs="宋体" w:hint="eastAsia"/>
          <w:sz w:val="21"/>
          <w:lang w:eastAsia="zh-CN"/>
        </w:rPr>
        <w:t>确定方法</w:t>
      </w:r>
      <w:r w:rsidRPr="003277D0">
        <w:rPr>
          <w:rFonts w:eastAsia="宋体" w:cs="宋体"/>
          <w:sz w:val="21"/>
          <w:lang w:eastAsia="zh-CN"/>
        </w:rPr>
        <w:t>。建议提供体温、力学性能或相变温度范围相关规范，</w:t>
      </w:r>
      <w:r w:rsidR="00F7480B" w:rsidRPr="00F02D73">
        <w:rPr>
          <w:rFonts w:eastAsia="宋体" w:cs="宋体" w:hint="eastAsia"/>
          <w:sz w:val="21"/>
          <w:lang w:eastAsia="zh-CN"/>
        </w:rPr>
        <w:t>以确保采用</w:t>
      </w:r>
      <w:r w:rsidR="00F7480B" w:rsidRPr="00F8360B">
        <w:rPr>
          <w:rFonts w:eastAsia="宋体" w:cs="宋体"/>
          <w:sz w:val="21"/>
          <w:lang w:eastAsia="zh-CN"/>
        </w:rPr>
        <w:t>伪弹性或形状记忆材料</w:t>
      </w:r>
      <w:r w:rsidR="00F7480B" w:rsidRPr="00F02D73">
        <w:rPr>
          <w:rFonts w:eastAsia="宋体" w:cs="宋体" w:hint="eastAsia"/>
          <w:sz w:val="21"/>
          <w:lang w:eastAsia="zh-CN"/>
        </w:rPr>
        <w:t>制成的器械可正常运行</w:t>
      </w:r>
    </w:p>
    <w:p w14:paraId="11576120" w14:textId="2BD42D6D" w:rsidR="00016046" w:rsidRPr="00F02D73" w:rsidRDefault="004F06FE" w:rsidP="00016046">
      <w:pPr>
        <w:pStyle w:val="a3"/>
        <w:adjustRightInd w:val="0"/>
        <w:snapToGrid w:val="0"/>
        <w:spacing w:beforeLines="50" w:before="120" w:line="300" w:lineRule="auto"/>
        <w:ind w:leftChars="600" w:left="1320"/>
        <w:jc w:val="both"/>
        <w:rPr>
          <w:rFonts w:eastAsia="宋体" w:cs="宋体"/>
          <w:sz w:val="21"/>
          <w:lang w:eastAsia="zh-CN"/>
        </w:rPr>
      </w:pPr>
      <w:r w:rsidRPr="003277D0">
        <w:rPr>
          <w:rFonts w:eastAsia="宋体" w:cs="宋体"/>
          <w:sz w:val="21"/>
          <w:lang w:eastAsia="zh-CN"/>
        </w:rPr>
        <w:t>。</w:t>
      </w:r>
    </w:p>
    <w:p w14:paraId="08C30004" w14:textId="77777777" w:rsidR="00016046" w:rsidRPr="00AF2411" w:rsidRDefault="00016046" w:rsidP="00853F4C">
      <w:pPr>
        <w:adjustRightInd w:val="0"/>
        <w:snapToGrid w:val="0"/>
        <w:spacing w:beforeLines="50" w:before="120" w:line="300" w:lineRule="auto"/>
        <w:jc w:val="both"/>
        <w:rPr>
          <w:rFonts w:eastAsiaTheme="minorEastAsia"/>
          <w:sz w:val="21"/>
          <w:szCs w:val="21"/>
          <w:lang w:eastAsia="zh-CN"/>
        </w:rPr>
      </w:pPr>
      <w:r w:rsidRPr="003277D0">
        <w:rPr>
          <w:rFonts w:eastAsia="宋体" w:cs="宋体"/>
          <w:sz w:val="21"/>
        </w:rPr>
        <w:t>______________________________</w:t>
      </w:r>
    </w:p>
    <w:p w14:paraId="02DE299E" w14:textId="05DF89B7" w:rsidR="002914F0" w:rsidRPr="002914F0" w:rsidRDefault="004F06FE" w:rsidP="00853F4C">
      <w:pPr>
        <w:adjustRightInd w:val="0"/>
        <w:snapToGrid w:val="0"/>
        <w:spacing w:beforeLines="15" w:before="36" w:line="276" w:lineRule="auto"/>
        <w:jc w:val="both"/>
        <w:rPr>
          <w:sz w:val="21"/>
          <w:szCs w:val="21"/>
        </w:rPr>
      </w:pPr>
      <w:r w:rsidRPr="003277D0">
        <w:rPr>
          <w:rFonts w:eastAsia="宋体" w:cs="宋体"/>
          <w:sz w:val="18"/>
          <w:vertAlign w:val="superscript"/>
        </w:rPr>
        <w:t>25</w:t>
      </w:r>
      <w:r w:rsidRPr="003277D0">
        <w:rPr>
          <w:rFonts w:eastAsia="宋体" w:cs="宋体"/>
          <w:sz w:val="18"/>
        </w:rPr>
        <w:t xml:space="preserve"> </w:t>
      </w:r>
      <w:proofErr w:type="spellStart"/>
      <w:r w:rsidRPr="003277D0">
        <w:rPr>
          <w:rFonts w:eastAsia="宋体" w:cs="宋体"/>
          <w:sz w:val="18"/>
        </w:rPr>
        <w:t>更多信息，请参见《医疗器械申请的反馈请求：预申请</w:t>
      </w:r>
      <w:proofErr w:type="spellEnd"/>
      <w:r w:rsidR="00E750FB">
        <w:rPr>
          <w:rFonts w:eastAsia="宋体" w:cs="宋体" w:hint="eastAsia"/>
          <w:sz w:val="18"/>
          <w:lang w:eastAsia="zh-CN"/>
        </w:rPr>
        <w:t>计划</w:t>
      </w:r>
      <w:r w:rsidRPr="003277D0">
        <w:rPr>
          <w:rFonts w:eastAsia="宋体" w:cs="宋体"/>
          <w:sz w:val="18"/>
        </w:rPr>
        <w:t>和与</w:t>
      </w:r>
      <w:r w:rsidR="005A061B">
        <w:rPr>
          <w:rFonts w:eastAsia="宋体" w:cs="宋体"/>
          <w:sz w:val="18"/>
        </w:rPr>
        <w:t>美国食品药品监督管理局</w:t>
      </w:r>
      <w:r w:rsidRPr="003277D0">
        <w:rPr>
          <w:rFonts w:eastAsia="宋体" w:cs="宋体"/>
          <w:sz w:val="18"/>
        </w:rPr>
        <w:t>工作人员召开会议》，</w:t>
      </w:r>
      <w:r w:rsidRPr="003277D0">
        <w:rPr>
          <w:rFonts w:eastAsia="宋体" w:cs="宋体"/>
          <w:sz w:val="18"/>
        </w:rPr>
        <w:lastRenderedPageBreak/>
        <w:t>可登录以下网址获取：</w:t>
      </w:r>
      <w:r w:rsidRPr="003277D0">
        <w:rPr>
          <w:rFonts w:eastAsia="宋体" w:cs="宋体"/>
          <w:color w:val="0000FF"/>
          <w:sz w:val="18"/>
          <w:u w:val="single"/>
        </w:rPr>
        <w:t>https://www.fda.gov/regulatory-information/search-fda-guidance-documents/requests-feedback-and-meetings-medical-device-submissions-q-submission-program</w:t>
      </w:r>
      <w:r w:rsidR="002914F0" w:rsidRPr="003277D0">
        <w:rPr>
          <w:rFonts w:eastAsia="宋体" w:cs="宋体"/>
          <w:sz w:val="21"/>
        </w:rPr>
        <w:br w:type="page"/>
      </w:r>
    </w:p>
    <w:p w14:paraId="52B9AA1B" w14:textId="77777777" w:rsidR="00D020CF" w:rsidRPr="00DC536B" w:rsidRDefault="002914F0" w:rsidP="00DC536B">
      <w:pPr>
        <w:pStyle w:val="a3"/>
        <w:adjustRightInd w:val="0"/>
        <w:snapToGrid w:val="0"/>
        <w:spacing w:beforeLines="50" w:before="120" w:line="300" w:lineRule="auto"/>
        <w:ind w:leftChars="400" w:left="1362" w:hangingChars="200" w:hanging="482"/>
        <w:jc w:val="both"/>
        <w:outlineLvl w:val="1"/>
        <w:rPr>
          <w:b/>
          <w:szCs w:val="21"/>
          <w:lang w:eastAsia="zh-CN"/>
        </w:rPr>
      </w:pPr>
      <w:bookmarkStart w:id="12" w:name="_Toc91866311"/>
      <w:r w:rsidRPr="003277D0">
        <w:rPr>
          <w:rFonts w:eastAsia="宋体" w:cs="宋体"/>
          <w:b/>
          <w:lang w:eastAsia="zh-CN"/>
        </w:rPr>
        <w:lastRenderedPageBreak/>
        <w:t>B.</w:t>
      </w:r>
      <w:r w:rsidRPr="003277D0">
        <w:rPr>
          <w:rFonts w:eastAsia="宋体" w:cs="宋体"/>
          <w:b/>
          <w:lang w:eastAsia="zh-CN"/>
        </w:rPr>
        <w:tab/>
      </w:r>
      <w:r w:rsidRPr="003277D0">
        <w:rPr>
          <w:rFonts w:eastAsia="宋体" w:cs="宋体"/>
          <w:b/>
          <w:lang w:eastAsia="zh-CN"/>
        </w:rPr>
        <w:t>机械试验</w:t>
      </w:r>
      <w:bookmarkEnd w:id="12"/>
    </w:p>
    <w:p w14:paraId="37BF9D62" w14:textId="7904E106" w:rsidR="002914F0" w:rsidRDefault="004F06FE" w:rsidP="00016046">
      <w:pPr>
        <w:pStyle w:val="a3"/>
        <w:adjustRightInd w:val="0"/>
        <w:snapToGrid w:val="0"/>
        <w:spacing w:beforeLines="50" w:before="120" w:line="300" w:lineRule="auto"/>
        <w:ind w:leftChars="400" w:left="880"/>
        <w:jc w:val="both"/>
        <w:rPr>
          <w:sz w:val="21"/>
          <w:szCs w:val="21"/>
          <w:lang w:eastAsia="zh-CN"/>
        </w:rPr>
      </w:pPr>
      <w:r w:rsidRPr="003277D0">
        <w:rPr>
          <w:rFonts w:eastAsia="宋体" w:cs="宋体"/>
          <w:sz w:val="21"/>
          <w:lang w:eastAsia="zh-CN"/>
        </w:rPr>
        <w:t>镍钛合金具有独特的热力学特性。在</w:t>
      </w:r>
      <w:r w:rsidR="00931D95">
        <w:rPr>
          <w:rFonts w:eastAsia="宋体" w:cs="宋体" w:hint="eastAsia"/>
          <w:sz w:val="21"/>
          <w:lang w:eastAsia="zh-CN"/>
        </w:rPr>
        <w:t>适用</w:t>
      </w:r>
      <w:r w:rsidRPr="003277D0">
        <w:rPr>
          <w:rFonts w:eastAsia="宋体" w:cs="宋体"/>
          <w:sz w:val="21"/>
          <w:lang w:eastAsia="zh-CN"/>
        </w:rPr>
        <w:t>的情况下，应利用</w:t>
      </w:r>
      <w:r w:rsidR="009E31DC" w:rsidRPr="003277D0">
        <w:rPr>
          <w:rFonts w:eastAsia="宋体" w:cs="宋体"/>
          <w:sz w:val="21"/>
          <w:lang w:eastAsia="zh-CN"/>
        </w:rPr>
        <w:t>特定</w:t>
      </w:r>
      <w:r w:rsidRPr="003277D0">
        <w:rPr>
          <w:rFonts w:eastAsia="宋体" w:cs="宋体"/>
          <w:sz w:val="21"/>
          <w:lang w:eastAsia="zh-CN"/>
        </w:rPr>
        <w:t>器械指南或标准对器械的力学性能进行评估。如果力学试验将作为非临床试验计划的一部分进行，根据器械设计和</w:t>
      </w:r>
      <w:r w:rsidRPr="003277D0">
        <w:rPr>
          <w:rFonts w:eastAsia="宋体" w:cs="宋体"/>
          <w:sz w:val="21"/>
          <w:lang w:eastAsia="zh-CN"/>
        </w:rPr>
        <w:t>/</w:t>
      </w:r>
      <w:r w:rsidRPr="003277D0">
        <w:rPr>
          <w:rFonts w:eastAsia="宋体" w:cs="宋体"/>
          <w:sz w:val="21"/>
          <w:lang w:eastAsia="zh-CN"/>
        </w:rPr>
        <w:t>或预期用途，可能需要考虑以下特定因素。</w:t>
      </w:r>
    </w:p>
    <w:p w14:paraId="4D058EB2" w14:textId="77777777" w:rsidR="00D020CF" w:rsidRPr="00016046" w:rsidRDefault="002914F0" w:rsidP="00016046">
      <w:pPr>
        <w:pStyle w:val="a3"/>
        <w:adjustRightInd w:val="0"/>
        <w:snapToGrid w:val="0"/>
        <w:spacing w:beforeLines="50" w:before="120" w:line="300" w:lineRule="auto"/>
        <w:ind w:leftChars="600" w:left="1802" w:hangingChars="200" w:hanging="482"/>
        <w:jc w:val="both"/>
        <w:rPr>
          <w:b/>
          <w:szCs w:val="21"/>
          <w:lang w:eastAsia="zh-CN"/>
        </w:rPr>
      </w:pPr>
      <w:r w:rsidRPr="003277D0">
        <w:rPr>
          <w:rFonts w:eastAsia="宋体" w:cs="宋体"/>
          <w:b/>
          <w:lang w:eastAsia="zh-CN"/>
        </w:rPr>
        <w:t>1.</w:t>
      </w:r>
      <w:r w:rsidRPr="003277D0">
        <w:rPr>
          <w:rFonts w:eastAsia="宋体" w:cs="宋体"/>
          <w:lang w:eastAsia="zh-CN"/>
        </w:rPr>
        <w:tab/>
      </w:r>
      <w:r w:rsidRPr="003277D0">
        <w:rPr>
          <w:rFonts w:eastAsia="宋体" w:cs="宋体"/>
          <w:b/>
          <w:lang w:eastAsia="zh-CN"/>
        </w:rPr>
        <w:t>实验测试考虑因素</w:t>
      </w:r>
    </w:p>
    <w:p w14:paraId="71C9D9FA" w14:textId="67BC329F" w:rsidR="00016046" w:rsidRPr="002914F0" w:rsidRDefault="002914F0" w:rsidP="003277D0">
      <w:pPr>
        <w:adjustRightInd w:val="0"/>
        <w:snapToGrid w:val="0"/>
        <w:spacing w:beforeLines="50" w:before="120" w:line="300" w:lineRule="auto"/>
        <w:ind w:leftChars="800" w:left="2180" w:hangingChars="200" w:hanging="420"/>
        <w:jc w:val="both"/>
        <w:rPr>
          <w:sz w:val="21"/>
          <w:szCs w:val="21"/>
          <w:lang w:eastAsia="zh-CN"/>
        </w:rPr>
      </w:pPr>
      <w:r w:rsidRPr="003277D0">
        <w:rPr>
          <w:rFonts w:eastAsia="宋体" w:cs="宋体"/>
          <w:sz w:val="21"/>
          <w:lang w:eastAsia="zh-CN"/>
        </w:rPr>
        <w:t>a.</w:t>
      </w:r>
      <w:r w:rsidRPr="003277D0">
        <w:rPr>
          <w:rFonts w:eastAsia="宋体" w:cs="宋体"/>
          <w:sz w:val="21"/>
          <w:lang w:eastAsia="zh-CN"/>
        </w:rPr>
        <w:tab/>
      </w:r>
      <w:r w:rsidRPr="003277D0">
        <w:rPr>
          <w:rFonts w:eastAsia="宋体" w:cs="宋体"/>
          <w:sz w:val="21"/>
          <w:lang w:eastAsia="zh-CN"/>
        </w:rPr>
        <w:t>镍钛合金的伪弹性特性导致在一系列应变范围内存在一个接近恒定应力的区域，因此，力学试验通常在位移控制下进行，但其他控制模式也可能适用（例如，根据</w:t>
      </w:r>
      <w:r w:rsidRPr="003277D0">
        <w:rPr>
          <w:rFonts w:eastAsia="宋体" w:cs="宋体"/>
          <w:sz w:val="21"/>
          <w:lang w:eastAsia="zh-CN"/>
        </w:rPr>
        <w:t>ASTM F2477</w:t>
      </w:r>
      <w:r w:rsidRPr="003277D0">
        <w:rPr>
          <w:rFonts w:eastAsia="宋体" w:cs="宋体"/>
          <w:sz w:val="21"/>
          <w:lang w:eastAsia="zh-CN"/>
        </w:rPr>
        <w:t>《血管支架体外脉动耐久性试验的标准试验方法》对血管支架径向脉动疲劳试验进行压力控制和位移监测）。鉴于镍钛合金具有独特的热力学特性，建议提供力学试验所用控制模式的基本原理。</w:t>
      </w:r>
    </w:p>
    <w:p w14:paraId="2436A8C8" w14:textId="77777777" w:rsidR="00016046" w:rsidRPr="00AF2411" w:rsidRDefault="00016046" w:rsidP="00853F4C">
      <w:pPr>
        <w:adjustRightInd w:val="0"/>
        <w:snapToGrid w:val="0"/>
        <w:spacing w:beforeLines="3300" w:before="7920" w:line="300" w:lineRule="auto"/>
        <w:jc w:val="both"/>
        <w:rPr>
          <w:rFonts w:eastAsiaTheme="minorEastAsia"/>
          <w:sz w:val="21"/>
          <w:szCs w:val="21"/>
          <w:lang w:eastAsia="zh-CN"/>
        </w:rPr>
      </w:pPr>
      <w:r w:rsidRPr="003277D0">
        <w:rPr>
          <w:rFonts w:eastAsia="宋体" w:cs="宋体"/>
          <w:sz w:val="21"/>
        </w:rPr>
        <w:t>______________________________</w:t>
      </w:r>
    </w:p>
    <w:p w14:paraId="0BECB5AC" w14:textId="77777777" w:rsidR="00D020CF" w:rsidRPr="003277D0" w:rsidRDefault="004F06FE" w:rsidP="00016046">
      <w:pPr>
        <w:adjustRightInd w:val="0"/>
        <w:snapToGrid w:val="0"/>
        <w:spacing w:beforeLines="15" w:before="36" w:line="276" w:lineRule="auto"/>
        <w:jc w:val="both"/>
        <w:rPr>
          <w:sz w:val="18"/>
          <w:szCs w:val="21"/>
        </w:rPr>
      </w:pPr>
      <w:r w:rsidRPr="003277D0">
        <w:rPr>
          <w:sz w:val="18"/>
          <w:szCs w:val="21"/>
          <w:vertAlign w:val="superscript"/>
        </w:rPr>
        <w:t>26</w:t>
      </w:r>
      <w:r w:rsidRPr="003277D0">
        <w:rPr>
          <w:sz w:val="18"/>
          <w:szCs w:val="21"/>
        </w:rPr>
        <w:t xml:space="preserve"> 21 CFR 820.3(m)</w:t>
      </w:r>
    </w:p>
    <w:p w14:paraId="13024381" w14:textId="66F31F59"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27</w:t>
      </w:r>
      <w:r w:rsidRPr="003277D0">
        <w:rPr>
          <w:rFonts w:eastAsia="宋体" w:cs="宋体"/>
          <w:sz w:val="18"/>
        </w:rPr>
        <w:t xml:space="preserve"> </w:t>
      </w:r>
      <w:proofErr w:type="spellStart"/>
      <w:r w:rsidRPr="003277D0">
        <w:rPr>
          <w:rFonts w:eastAsia="宋体" w:cs="宋体"/>
          <w:sz w:val="18"/>
        </w:rPr>
        <w:t>Duerig</w:t>
      </w:r>
      <w:proofErr w:type="spellEnd"/>
      <w:r w:rsidRPr="003277D0">
        <w:rPr>
          <w:rFonts w:eastAsia="宋体" w:cs="宋体"/>
          <w:sz w:val="18"/>
        </w:rPr>
        <w:t xml:space="preserve"> TW, Bhattacharya K The influence of the R-phase on the </w:t>
      </w:r>
      <w:proofErr w:type="spellStart"/>
      <w:r w:rsidRPr="003277D0">
        <w:rPr>
          <w:rFonts w:eastAsia="宋体" w:cs="宋体"/>
          <w:sz w:val="18"/>
        </w:rPr>
        <w:t>superelastic</w:t>
      </w:r>
      <w:proofErr w:type="spellEnd"/>
      <w:r w:rsidRPr="003277D0">
        <w:rPr>
          <w:rFonts w:eastAsia="宋体" w:cs="宋体"/>
          <w:sz w:val="18"/>
        </w:rPr>
        <w:t xml:space="preserve"> behavior of </w:t>
      </w:r>
      <w:proofErr w:type="spellStart"/>
      <w:r w:rsidRPr="003277D0">
        <w:rPr>
          <w:rFonts w:eastAsia="宋体" w:cs="宋体"/>
          <w:sz w:val="18"/>
        </w:rPr>
        <w:t>NiTi</w:t>
      </w:r>
      <w:proofErr w:type="spellEnd"/>
      <w:r w:rsidRPr="003277D0">
        <w:rPr>
          <w:rFonts w:eastAsia="宋体" w:cs="宋体"/>
          <w:sz w:val="18"/>
        </w:rPr>
        <w:t>.</w:t>
      </w:r>
      <w:r w:rsidR="00DF2FD7">
        <w:rPr>
          <w:rFonts w:eastAsia="宋体" w:cs="宋体"/>
          <w:sz w:val="18"/>
        </w:rPr>
        <w:t xml:space="preserve"> </w:t>
      </w:r>
      <w:r w:rsidRPr="003277D0">
        <w:rPr>
          <w:rFonts w:eastAsia="宋体" w:cs="宋体"/>
          <w:sz w:val="18"/>
        </w:rPr>
        <w:t xml:space="preserve">Shape Mem </w:t>
      </w:r>
      <w:proofErr w:type="spellStart"/>
      <w:r w:rsidRPr="003277D0">
        <w:rPr>
          <w:rFonts w:eastAsia="宋体" w:cs="宋体"/>
          <w:sz w:val="18"/>
        </w:rPr>
        <w:t>Superelasticity</w:t>
      </w:r>
      <w:proofErr w:type="spellEnd"/>
      <w:r w:rsidRPr="003277D0">
        <w:rPr>
          <w:rFonts w:eastAsia="宋体" w:cs="宋体"/>
          <w:sz w:val="18"/>
        </w:rPr>
        <w:t xml:space="preserve"> 2005</w:t>
      </w:r>
    </w:p>
    <w:p w14:paraId="58E4724B" w14:textId="575EE7F9"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28</w:t>
      </w:r>
      <w:r w:rsidRPr="003277D0">
        <w:rPr>
          <w:rFonts w:eastAsia="宋体" w:cs="宋体"/>
          <w:sz w:val="18"/>
        </w:rPr>
        <w:t xml:space="preserve"> </w:t>
      </w:r>
      <w:proofErr w:type="spellStart"/>
      <w:r w:rsidRPr="003277D0">
        <w:rPr>
          <w:rFonts w:eastAsia="宋体" w:cs="宋体"/>
          <w:sz w:val="18"/>
        </w:rPr>
        <w:t>Cadelli</w:t>
      </w:r>
      <w:proofErr w:type="spellEnd"/>
      <w:r w:rsidRPr="003277D0">
        <w:rPr>
          <w:rFonts w:eastAsia="宋体" w:cs="宋体"/>
          <w:sz w:val="18"/>
        </w:rPr>
        <w:t xml:space="preserve"> A, </w:t>
      </w:r>
      <w:proofErr w:type="spellStart"/>
      <w:r w:rsidRPr="003277D0">
        <w:rPr>
          <w:rFonts w:eastAsia="宋体" w:cs="宋体"/>
          <w:sz w:val="18"/>
        </w:rPr>
        <w:t>Manjeri</w:t>
      </w:r>
      <w:proofErr w:type="spellEnd"/>
      <w:r w:rsidRPr="003277D0">
        <w:rPr>
          <w:rFonts w:eastAsia="宋体" w:cs="宋体"/>
          <w:sz w:val="18"/>
        </w:rPr>
        <w:t xml:space="preserve"> RM, </w:t>
      </w:r>
      <w:proofErr w:type="spellStart"/>
      <w:r w:rsidRPr="003277D0">
        <w:rPr>
          <w:rFonts w:eastAsia="宋体" w:cs="宋体"/>
          <w:sz w:val="18"/>
        </w:rPr>
        <w:t>Sczerzenie</w:t>
      </w:r>
      <w:proofErr w:type="spellEnd"/>
      <w:r w:rsidRPr="003277D0">
        <w:rPr>
          <w:rFonts w:eastAsia="宋体" w:cs="宋体"/>
          <w:sz w:val="18"/>
        </w:rPr>
        <w:t xml:space="preserve"> F, Coda A. Uniaxial Pre-strain and Free Recovery (UPFR) as a Flexible Technique for Nitinol Characterization. Shape Memory and Superelasticity.2016 Mar 1;2(1):86-94.</w:t>
      </w:r>
    </w:p>
    <w:p w14:paraId="0C064986" w14:textId="73A9DE9D" w:rsidR="002914F0" w:rsidRPr="002914F0" w:rsidRDefault="004F06FE" w:rsidP="00853F4C">
      <w:pPr>
        <w:adjustRightInd w:val="0"/>
        <w:snapToGrid w:val="0"/>
        <w:spacing w:beforeLines="15" w:before="36" w:line="276" w:lineRule="auto"/>
        <w:jc w:val="both"/>
        <w:rPr>
          <w:sz w:val="21"/>
          <w:szCs w:val="21"/>
          <w:lang w:eastAsia="zh-CN"/>
        </w:rPr>
      </w:pPr>
      <w:r w:rsidRPr="003277D0">
        <w:rPr>
          <w:rFonts w:eastAsia="宋体" w:cs="宋体"/>
          <w:sz w:val="18"/>
          <w:vertAlign w:val="superscript"/>
        </w:rPr>
        <w:t>29</w:t>
      </w:r>
      <w:r w:rsidRPr="003277D0">
        <w:rPr>
          <w:rFonts w:eastAsia="宋体" w:cs="宋体"/>
          <w:sz w:val="18"/>
        </w:rPr>
        <w:t xml:space="preserve"> </w:t>
      </w:r>
      <w:proofErr w:type="spellStart"/>
      <w:r w:rsidRPr="003277D0">
        <w:rPr>
          <w:rFonts w:eastAsia="宋体" w:cs="宋体"/>
          <w:sz w:val="18"/>
        </w:rPr>
        <w:t>Duerig</w:t>
      </w:r>
      <w:proofErr w:type="spellEnd"/>
      <w:r w:rsidRPr="003277D0">
        <w:rPr>
          <w:rFonts w:eastAsia="宋体" w:cs="宋体"/>
          <w:sz w:val="18"/>
        </w:rPr>
        <w:t xml:space="preserve"> TW, Bhattacharya K. The influence of the R-phase on the </w:t>
      </w:r>
      <w:proofErr w:type="spellStart"/>
      <w:r w:rsidRPr="003277D0">
        <w:rPr>
          <w:rFonts w:eastAsia="宋体" w:cs="宋体"/>
          <w:sz w:val="18"/>
        </w:rPr>
        <w:t>superelastic</w:t>
      </w:r>
      <w:proofErr w:type="spellEnd"/>
      <w:r w:rsidRPr="003277D0">
        <w:rPr>
          <w:rFonts w:eastAsia="宋体" w:cs="宋体"/>
          <w:sz w:val="18"/>
        </w:rPr>
        <w:t xml:space="preserve"> behavior of </w:t>
      </w:r>
      <w:proofErr w:type="spellStart"/>
      <w:r w:rsidRPr="003277D0">
        <w:rPr>
          <w:rFonts w:eastAsia="宋体" w:cs="宋体"/>
          <w:sz w:val="18"/>
        </w:rPr>
        <w:t>NiTi</w:t>
      </w:r>
      <w:proofErr w:type="spellEnd"/>
      <w:r w:rsidRPr="003277D0">
        <w:rPr>
          <w:rFonts w:eastAsia="宋体" w:cs="宋体"/>
          <w:sz w:val="18"/>
        </w:rPr>
        <w:t xml:space="preserve">. </w:t>
      </w:r>
      <w:r w:rsidRPr="003277D0">
        <w:rPr>
          <w:rFonts w:eastAsia="宋体" w:cs="宋体"/>
          <w:sz w:val="18"/>
          <w:lang w:eastAsia="zh-CN"/>
        </w:rPr>
        <w:t>Shape Memory and Superelasticity.2015 Jun 1;1(2):153-61.</w:t>
      </w:r>
      <w:r w:rsidR="002914F0" w:rsidRPr="003277D0">
        <w:rPr>
          <w:rFonts w:eastAsia="宋体" w:cs="宋体"/>
          <w:sz w:val="21"/>
          <w:lang w:eastAsia="zh-CN"/>
        </w:rPr>
        <w:br w:type="page"/>
      </w:r>
    </w:p>
    <w:p w14:paraId="6076FE14" w14:textId="7D4657E2" w:rsidR="00D020CF" w:rsidRPr="002914F0" w:rsidRDefault="002914F0" w:rsidP="003277D0">
      <w:pPr>
        <w:adjustRightInd w:val="0"/>
        <w:snapToGrid w:val="0"/>
        <w:spacing w:beforeLines="50" w:before="120" w:line="300" w:lineRule="auto"/>
        <w:ind w:leftChars="800" w:left="2180" w:hangingChars="200" w:hanging="420"/>
        <w:jc w:val="both"/>
        <w:rPr>
          <w:sz w:val="21"/>
          <w:szCs w:val="21"/>
          <w:lang w:eastAsia="zh-CN"/>
        </w:rPr>
      </w:pPr>
      <w:proofErr w:type="gramStart"/>
      <w:r w:rsidRPr="003277D0">
        <w:rPr>
          <w:rFonts w:eastAsia="宋体" w:cs="宋体"/>
          <w:sz w:val="21"/>
          <w:lang w:eastAsia="zh-CN"/>
        </w:rPr>
        <w:lastRenderedPageBreak/>
        <w:t>b</w:t>
      </w:r>
      <w:proofErr w:type="gramEnd"/>
      <w:r w:rsidRPr="003277D0">
        <w:rPr>
          <w:rFonts w:eastAsia="宋体" w:cs="宋体"/>
          <w:sz w:val="21"/>
          <w:lang w:eastAsia="zh-CN"/>
        </w:rPr>
        <w:t>.</w:t>
      </w:r>
      <w:r w:rsidRPr="003277D0">
        <w:rPr>
          <w:rFonts w:eastAsia="宋体" w:cs="宋体"/>
          <w:sz w:val="21"/>
          <w:lang w:eastAsia="zh-CN"/>
        </w:rPr>
        <w:tab/>
      </w:r>
      <w:r w:rsidRPr="003277D0">
        <w:rPr>
          <w:rFonts w:eastAsia="宋体" w:cs="宋体"/>
          <w:sz w:val="21"/>
          <w:lang w:eastAsia="zh-CN"/>
        </w:rPr>
        <w:t>一些器械的设计使其在植入前和</w:t>
      </w:r>
      <w:r w:rsidRPr="003277D0">
        <w:rPr>
          <w:rFonts w:eastAsia="宋体" w:cs="宋体"/>
          <w:sz w:val="21"/>
          <w:lang w:eastAsia="zh-CN"/>
        </w:rPr>
        <w:t>/</w:t>
      </w:r>
      <w:r w:rsidRPr="003277D0">
        <w:rPr>
          <w:rFonts w:eastAsia="宋体" w:cs="宋体"/>
          <w:sz w:val="21"/>
          <w:lang w:eastAsia="zh-CN"/>
        </w:rPr>
        <w:t>或植入过程中可能暴露于应</w:t>
      </w:r>
      <w:r w:rsidR="00235AB3">
        <w:rPr>
          <w:rFonts w:eastAsia="宋体" w:cs="宋体" w:hint="eastAsia"/>
          <w:sz w:val="21"/>
          <w:lang w:eastAsia="zh-CN"/>
        </w:rPr>
        <w:t>力下</w:t>
      </w:r>
      <w:r w:rsidRPr="003277D0">
        <w:rPr>
          <w:rFonts w:eastAsia="宋体" w:cs="宋体"/>
          <w:sz w:val="21"/>
          <w:lang w:eastAsia="zh-CN"/>
        </w:rPr>
        <w:t>。例如，心血管支架被压缩为较小直径装载在输送系统上，并在展开之前通过血管系统进行跟踪。此外，植入前延长矫形钉。因此，在</w:t>
      </w:r>
      <w:r w:rsidR="0030768B">
        <w:rPr>
          <w:rFonts w:eastAsia="宋体" w:cs="宋体" w:hint="eastAsia"/>
          <w:sz w:val="21"/>
          <w:lang w:eastAsia="zh-CN"/>
        </w:rPr>
        <w:t>适用的</w:t>
      </w:r>
      <w:r w:rsidRPr="003277D0">
        <w:rPr>
          <w:rFonts w:eastAsia="宋体" w:cs="宋体"/>
          <w:sz w:val="21"/>
          <w:lang w:eastAsia="zh-CN"/>
        </w:rPr>
        <w:t>情况下，建议在对器械进行力学试验之前，将任何临床变形</w:t>
      </w:r>
      <w:r w:rsidRPr="003277D0">
        <w:rPr>
          <w:rFonts w:eastAsia="宋体" w:cs="宋体"/>
          <w:sz w:val="21"/>
          <w:lang w:eastAsia="zh-CN"/>
        </w:rPr>
        <w:t>/</w:t>
      </w:r>
      <w:r w:rsidRPr="003277D0">
        <w:rPr>
          <w:rFonts w:eastAsia="宋体" w:cs="宋体"/>
          <w:sz w:val="21"/>
          <w:lang w:eastAsia="zh-CN"/>
        </w:rPr>
        <w:t>力和温度偏移（例如灭菌）作为预调</w:t>
      </w:r>
      <w:proofErr w:type="gramStart"/>
      <w:r w:rsidRPr="003277D0">
        <w:rPr>
          <w:rFonts w:eastAsia="宋体" w:cs="宋体"/>
          <w:sz w:val="21"/>
          <w:lang w:eastAsia="zh-CN"/>
        </w:rPr>
        <w:t>节处理</w:t>
      </w:r>
      <w:proofErr w:type="gramEnd"/>
      <w:r w:rsidRPr="003277D0">
        <w:rPr>
          <w:rFonts w:eastAsia="宋体" w:cs="宋体"/>
          <w:sz w:val="21"/>
          <w:lang w:eastAsia="zh-CN"/>
        </w:rPr>
        <w:t>步骤予以阐述。</w:t>
      </w:r>
    </w:p>
    <w:p w14:paraId="4FFE3BE0" w14:textId="0EA66C7F" w:rsidR="002914F0" w:rsidRDefault="002914F0" w:rsidP="003277D0">
      <w:pPr>
        <w:adjustRightInd w:val="0"/>
        <w:snapToGrid w:val="0"/>
        <w:spacing w:beforeLines="50" w:before="120" w:line="300" w:lineRule="auto"/>
        <w:ind w:leftChars="800" w:left="2180" w:hangingChars="200" w:hanging="420"/>
        <w:jc w:val="both"/>
        <w:rPr>
          <w:sz w:val="21"/>
          <w:szCs w:val="21"/>
          <w:lang w:eastAsia="zh-CN"/>
        </w:rPr>
      </w:pPr>
      <w:r w:rsidRPr="003277D0">
        <w:rPr>
          <w:rFonts w:eastAsia="宋体" w:cs="宋体"/>
          <w:sz w:val="21"/>
          <w:lang w:eastAsia="zh-CN"/>
        </w:rPr>
        <w:t>c.</w:t>
      </w:r>
      <w:r w:rsidRPr="003277D0">
        <w:rPr>
          <w:rFonts w:eastAsia="宋体" w:cs="宋体"/>
          <w:sz w:val="21"/>
          <w:lang w:eastAsia="zh-CN"/>
        </w:rPr>
        <w:tab/>
      </w:r>
      <w:r w:rsidRPr="003277D0">
        <w:rPr>
          <w:rFonts w:eastAsia="宋体" w:cs="宋体"/>
          <w:sz w:val="21"/>
          <w:lang w:eastAsia="zh-CN"/>
        </w:rPr>
        <w:t>由于镍钛合金的热力学响应，除非有合理性说明，否则应在临床相关温度下进行力学试验。</w:t>
      </w:r>
    </w:p>
    <w:p w14:paraId="674BEED1" w14:textId="77777777" w:rsidR="00D020CF" w:rsidRPr="002914F0" w:rsidRDefault="002914F0" w:rsidP="003277D0">
      <w:pPr>
        <w:adjustRightInd w:val="0"/>
        <w:snapToGrid w:val="0"/>
        <w:spacing w:beforeLines="50" w:before="120" w:line="300" w:lineRule="auto"/>
        <w:ind w:leftChars="800" w:left="2180" w:hangingChars="200" w:hanging="420"/>
        <w:jc w:val="both"/>
        <w:rPr>
          <w:sz w:val="21"/>
          <w:szCs w:val="21"/>
          <w:lang w:eastAsia="zh-CN"/>
        </w:rPr>
      </w:pPr>
      <w:r w:rsidRPr="003277D0">
        <w:rPr>
          <w:rFonts w:eastAsia="宋体" w:cs="宋体"/>
          <w:sz w:val="21"/>
          <w:lang w:eastAsia="zh-CN"/>
        </w:rPr>
        <w:t>d.</w:t>
      </w:r>
      <w:r w:rsidRPr="003277D0">
        <w:rPr>
          <w:rFonts w:eastAsia="宋体" w:cs="宋体"/>
          <w:sz w:val="21"/>
          <w:lang w:eastAsia="zh-CN"/>
        </w:rPr>
        <w:tab/>
      </w:r>
      <w:r w:rsidRPr="003277D0">
        <w:rPr>
          <w:rFonts w:eastAsia="宋体" w:cs="宋体"/>
          <w:sz w:val="21"/>
          <w:lang w:eastAsia="zh-CN"/>
        </w:rPr>
        <w:t>一些器械在使用过程中暴露在循环载荷条件（即疲劳载荷）下。如果进行疲劳试验，建议使用临床相关液体试验溶液（例如磷酸盐缓冲生理盐水（</w:t>
      </w:r>
      <w:r w:rsidRPr="003277D0">
        <w:rPr>
          <w:rFonts w:eastAsia="宋体" w:cs="宋体"/>
          <w:sz w:val="21"/>
          <w:lang w:eastAsia="zh-CN"/>
        </w:rPr>
        <w:t>PBS</w:t>
      </w:r>
      <w:r w:rsidRPr="003277D0">
        <w:rPr>
          <w:rFonts w:eastAsia="宋体" w:cs="宋体"/>
          <w:sz w:val="21"/>
          <w:lang w:eastAsia="zh-CN"/>
        </w:rPr>
        <w:t>））。经证明，由于热效应，在空气中进行的镍钛合金疲劳试验对试验频率很敏感，</w:t>
      </w:r>
      <w:r w:rsidRPr="003277D0">
        <w:rPr>
          <w:rFonts w:eastAsia="宋体" w:cs="宋体"/>
          <w:sz w:val="21"/>
          <w:vertAlign w:val="superscript"/>
          <w:lang w:eastAsia="zh-CN"/>
        </w:rPr>
        <w:t>30</w:t>
      </w:r>
      <w:r w:rsidRPr="003277D0">
        <w:rPr>
          <w:rFonts w:eastAsia="宋体" w:cs="宋体"/>
          <w:sz w:val="21"/>
          <w:lang w:eastAsia="zh-CN"/>
        </w:rPr>
        <w:t xml:space="preserve"> </w:t>
      </w:r>
      <w:r w:rsidRPr="003277D0">
        <w:rPr>
          <w:rFonts w:eastAsia="宋体" w:cs="宋体"/>
          <w:sz w:val="21"/>
          <w:lang w:eastAsia="zh-CN"/>
        </w:rPr>
        <w:t>因此不建议在空气中进行镍钛合金疲劳试验。如果在空气中对镍钛合金进行疲劳试验，建议提供有关所用试验环境的科学依据。</w:t>
      </w:r>
    </w:p>
    <w:p w14:paraId="6715BE16" w14:textId="219CED20" w:rsidR="002914F0" w:rsidRDefault="002914F0" w:rsidP="00853F4C">
      <w:pPr>
        <w:overflowPunct w:val="0"/>
        <w:adjustRightInd w:val="0"/>
        <w:snapToGrid w:val="0"/>
        <w:spacing w:beforeLines="50" w:before="120" w:line="300" w:lineRule="auto"/>
        <w:ind w:leftChars="800" w:left="2180" w:hangingChars="200" w:hanging="420"/>
        <w:jc w:val="both"/>
        <w:rPr>
          <w:sz w:val="21"/>
          <w:szCs w:val="21"/>
          <w:lang w:eastAsia="zh-CN"/>
        </w:rPr>
      </w:pPr>
      <w:r w:rsidRPr="003277D0">
        <w:rPr>
          <w:rFonts w:eastAsia="宋体" w:cs="宋体"/>
          <w:sz w:val="21"/>
          <w:lang w:eastAsia="zh-CN"/>
        </w:rPr>
        <w:t>e.</w:t>
      </w:r>
      <w:r w:rsidRPr="003277D0">
        <w:rPr>
          <w:rFonts w:eastAsia="宋体" w:cs="宋体"/>
          <w:sz w:val="21"/>
          <w:lang w:eastAsia="zh-CN"/>
        </w:rPr>
        <w:tab/>
      </w:r>
      <w:r w:rsidRPr="003277D0">
        <w:rPr>
          <w:rFonts w:eastAsia="宋体" w:cs="宋体"/>
          <w:sz w:val="21"/>
          <w:lang w:eastAsia="zh-CN"/>
        </w:rPr>
        <w:t>对于预期</w:t>
      </w:r>
      <w:r w:rsidR="00663AE8">
        <w:rPr>
          <w:rFonts w:eastAsia="宋体" w:cs="宋体" w:hint="eastAsia"/>
          <w:sz w:val="21"/>
          <w:lang w:eastAsia="zh-CN"/>
        </w:rPr>
        <w:t>使</w:t>
      </w:r>
      <w:r w:rsidRPr="003277D0">
        <w:rPr>
          <w:rFonts w:eastAsia="宋体" w:cs="宋体"/>
          <w:sz w:val="21"/>
          <w:lang w:eastAsia="zh-CN"/>
        </w:rPr>
        <w:t>用镍钛合金形状记忆性能（例如热循环过程中的循环形状改变）的器械，建议在临床相关温度范围内和循环次数下进行循环形状记忆试验。该试验应对功能性能和器械完整性进行评估。</w:t>
      </w:r>
    </w:p>
    <w:p w14:paraId="482A3CFD" w14:textId="77777777" w:rsidR="00D020CF" w:rsidRPr="00016046" w:rsidRDefault="002914F0" w:rsidP="00016046">
      <w:pPr>
        <w:pStyle w:val="a3"/>
        <w:adjustRightInd w:val="0"/>
        <w:snapToGrid w:val="0"/>
        <w:spacing w:beforeLines="50" w:before="120" w:line="300" w:lineRule="auto"/>
        <w:ind w:leftChars="600" w:left="1802" w:hangingChars="200" w:hanging="482"/>
        <w:jc w:val="both"/>
        <w:rPr>
          <w:b/>
          <w:szCs w:val="21"/>
          <w:lang w:eastAsia="zh-CN"/>
        </w:rPr>
      </w:pPr>
      <w:r w:rsidRPr="003277D0">
        <w:rPr>
          <w:rFonts w:eastAsia="宋体" w:cs="宋体"/>
          <w:b/>
          <w:lang w:eastAsia="zh-CN"/>
        </w:rPr>
        <w:t>2.</w:t>
      </w:r>
      <w:r w:rsidRPr="003277D0">
        <w:rPr>
          <w:rFonts w:eastAsia="宋体" w:cs="宋体"/>
          <w:lang w:eastAsia="zh-CN"/>
        </w:rPr>
        <w:tab/>
      </w:r>
      <w:r w:rsidRPr="003277D0">
        <w:rPr>
          <w:rFonts w:eastAsia="宋体" w:cs="宋体"/>
          <w:b/>
          <w:lang w:eastAsia="zh-CN"/>
        </w:rPr>
        <w:t>计算应力</w:t>
      </w:r>
      <w:r w:rsidRPr="003277D0">
        <w:rPr>
          <w:rFonts w:eastAsia="宋体" w:cs="宋体"/>
          <w:b/>
          <w:lang w:eastAsia="zh-CN"/>
        </w:rPr>
        <w:t>/</w:t>
      </w:r>
      <w:r w:rsidRPr="003277D0">
        <w:rPr>
          <w:rFonts w:eastAsia="宋体" w:cs="宋体"/>
          <w:b/>
          <w:lang w:eastAsia="zh-CN"/>
        </w:rPr>
        <w:t>应变分析</w:t>
      </w:r>
    </w:p>
    <w:p w14:paraId="17729E70" w14:textId="1D82F774" w:rsidR="002914F0" w:rsidRDefault="004F06FE" w:rsidP="00016046">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如果计划进行计算分析，</w:t>
      </w:r>
      <w:r w:rsidRPr="003277D0">
        <w:rPr>
          <w:rFonts w:eastAsia="宋体" w:cs="宋体"/>
          <w:sz w:val="21"/>
          <w:vertAlign w:val="superscript"/>
          <w:lang w:eastAsia="zh-CN"/>
        </w:rPr>
        <w:t>31</w:t>
      </w:r>
      <w:r w:rsidRPr="003277D0">
        <w:rPr>
          <w:rFonts w:eastAsia="宋体" w:cs="宋体"/>
          <w:sz w:val="21"/>
          <w:lang w:eastAsia="zh-CN"/>
        </w:rPr>
        <w:t>建议执行以下操作，以确保正确</w:t>
      </w:r>
      <w:r w:rsidR="001929C6">
        <w:rPr>
          <w:rFonts w:eastAsia="宋体" w:cs="宋体" w:hint="eastAsia"/>
          <w:sz w:val="21"/>
          <w:lang w:eastAsia="zh-CN"/>
        </w:rPr>
        <w:t>采用</w:t>
      </w:r>
      <w:r w:rsidRPr="003277D0">
        <w:rPr>
          <w:rFonts w:eastAsia="宋体" w:cs="宋体"/>
          <w:sz w:val="21"/>
          <w:lang w:eastAsia="zh-CN"/>
        </w:rPr>
        <w:t>镍钛合金的独特热</w:t>
      </w:r>
      <w:r w:rsidR="002E7960">
        <w:rPr>
          <w:rFonts w:eastAsia="宋体" w:cs="宋体" w:hint="eastAsia"/>
          <w:sz w:val="21"/>
          <w:lang w:eastAsia="zh-CN"/>
        </w:rPr>
        <w:t>机械</w:t>
      </w:r>
      <w:r w:rsidRPr="003277D0">
        <w:rPr>
          <w:rFonts w:eastAsia="宋体" w:cs="宋体"/>
          <w:sz w:val="21"/>
          <w:lang w:eastAsia="zh-CN"/>
        </w:rPr>
        <w:t>性能：</w:t>
      </w:r>
    </w:p>
    <w:p w14:paraId="3216BC08" w14:textId="77777777" w:rsidR="00016046" w:rsidRPr="00AF2411" w:rsidRDefault="00016046" w:rsidP="00853F4C">
      <w:pPr>
        <w:adjustRightInd w:val="0"/>
        <w:snapToGrid w:val="0"/>
        <w:spacing w:beforeLines="2400" w:before="5760" w:line="300" w:lineRule="auto"/>
        <w:jc w:val="both"/>
        <w:rPr>
          <w:rFonts w:eastAsiaTheme="minorEastAsia"/>
          <w:sz w:val="21"/>
          <w:szCs w:val="21"/>
          <w:lang w:eastAsia="zh-CN"/>
        </w:rPr>
      </w:pPr>
      <w:r w:rsidRPr="003277D0">
        <w:rPr>
          <w:rFonts w:eastAsia="宋体" w:cs="宋体"/>
          <w:sz w:val="21"/>
        </w:rPr>
        <w:t>______________________________</w:t>
      </w:r>
    </w:p>
    <w:p w14:paraId="41113D32" w14:textId="5F657A0C"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30</w:t>
      </w:r>
      <w:r w:rsidRPr="003277D0">
        <w:rPr>
          <w:rFonts w:eastAsia="宋体" w:cs="宋体"/>
          <w:sz w:val="18"/>
        </w:rPr>
        <w:t xml:space="preserve"> </w:t>
      </w:r>
      <w:r w:rsidRPr="003277D0">
        <w:rPr>
          <w:rFonts w:eastAsia="宋体" w:cs="宋体"/>
          <w:color w:val="1C1C1C"/>
          <w:sz w:val="18"/>
        </w:rPr>
        <w:t xml:space="preserve">Wagner et al (2004). “Structural fatigue of </w:t>
      </w:r>
      <w:proofErr w:type="spellStart"/>
      <w:r w:rsidRPr="003277D0">
        <w:rPr>
          <w:rFonts w:eastAsia="宋体" w:cs="宋体"/>
          <w:color w:val="1C1C1C"/>
          <w:sz w:val="18"/>
        </w:rPr>
        <w:t>pseudoelastic</w:t>
      </w:r>
      <w:proofErr w:type="spellEnd"/>
      <w:r w:rsidRPr="003277D0">
        <w:rPr>
          <w:rFonts w:eastAsia="宋体" w:cs="宋体"/>
          <w:color w:val="1C1C1C"/>
          <w:sz w:val="18"/>
        </w:rPr>
        <w:t xml:space="preserve"> </w:t>
      </w:r>
      <w:proofErr w:type="spellStart"/>
      <w:r w:rsidRPr="003277D0">
        <w:rPr>
          <w:rFonts w:eastAsia="宋体" w:cs="宋体"/>
          <w:color w:val="1C1C1C"/>
          <w:sz w:val="18"/>
        </w:rPr>
        <w:t>NiTi</w:t>
      </w:r>
      <w:proofErr w:type="spellEnd"/>
      <w:r w:rsidRPr="003277D0">
        <w:rPr>
          <w:rFonts w:eastAsia="宋体" w:cs="宋体"/>
          <w:color w:val="1C1C1C"/>
          <w:sz w:val="18"/>
        </w:rPr>
        <w:t xml:space="preserve"> shape memory wires.”</w:t>
      </w:r>
      <w:r w:rsidR="00DF2FD7">
        <w:rPr>
          <w:rFonts w:eastAsia="宋体" w:cs="宋体"/>
          <w:color w:val="1C1C1C"/>
          <w:sz w:val="18"/>
        </w:rPr>
        <w:t xml:space="preserve"> </w:t>
      </w:r>
      <w:r w:rsidRPr="003277D0">
        <w:rPr>
          <w:rFonts w:eastAsia="宋体" w:cs="宋体"/>
          <w:color w:val="1C1C1C"/>
          <w:sz w:val="18"/>
        </w:rPr>
        <w:t>Materials Science and Engineering A. Vol 378 pp 105-109.</w:t>
      </w:r>
    </w:p>
    <w:p w14:paraId="47D6CEC5" w14:textId="1242C5C7" w:rsidR="002914F0" w:rsidRPr="002914F0" w:rsidRDefault="004F06FE" w:rsidP="00016046">
      <w:pPr>
        <w:adjustRightInd w:val="0"/>
        <w:snapToGrid w:val="0"/>
        <w:spacing w:beforeLines="15" w:before="36" w:line="276" w:lineRule="auto"/>
        <w:jc w:val="both"/>
        <w:rPr>
          <w:sz w:val="21"/>
          <w:szCs w:val="21"/>
        </w:rPr>
      </w:pPr>
      <w:r w:rsidRPr="003277D0">
        <w:rPr>
          <w:rFonts w:eastAsia="宋体" w:cs="宋体"/>
          <w:sz w:val="18"/>
          <w:vertAlign w:val="superscript"/>
        </w:rPr>
        <w:t>31</w:t>
      </w:r>
      <w:r w:rsidRPr="003277D0">
        <w:rPr>
          <w:rFonts w:eastAsia="宋体" w:cs="宋体"/>
          <w:sz w:val="18"/>
        </w:rPr>
        <w:t xml:space="preserve"> </w:t>
      </w:r>
      <w:r w:rsidRPr="003277D0">
        <w:rPr>
          <w:rFonts w:eastAsia="宋体" w:cs="宋体"/>
          <w:sz w:val="18"/>
        </w:rPr>
        <w:t>可登录以下网址获取：</w:t>
      </w:r>
      <w:r w:rsidRPr="003277D0">
        <w:rPr>
          <w:rFonts w:eastAsia="宋体" w:cs="宋体"/>
          <w:color w:val="0000FF"/>
          <w:sz w:val="18"/>
          <w:u w:val="single"/>
        </w:rPr>
        <w:t>https://www.fda.gov/regulatory-information/search-fda-guidance-documents/reporting-computational-modeling-studies-medical-device-submissions</w:t>
      </w:r>
      <w:r w:rsidRPr="003277D0">
        <w:rPr>
          <w:rFonts w:eastAsia="宋体" w:cs="宋体"/>
        </w:rPr>
        <w:br w:type="page"/>
      </w:r>
    </w:p>
    <w:p w14:paraId="16C7436B" w14:textId="77777777" w:rsidR="00D020CF" w:rsidRPr="002914F0" w:rsidRDefault="002914F0" w:rsidP="003277D0">
      <w:pPr>
        <w:adjustRightInd w:val="0"/>
        <w:snapToGrid w:val="0"/>
        <w:spacing w:beforeLines="50" w:before="120" w:line="300" w:lineRule="auto"/>
        <w:ind w:leftChars="800" w:left="2180" w:hangingChars="200" w:hanging="420"/>
        <w:jc w:val="both"/>
        <w:rPr>
          <w:sz w:val="21"/>
          <w:szCs w:val="21"/>
          <w:lang w:eastAsia="zh-CN"/>
        </w:rPr>
      </w:pPr>
      <w:r w:rsidRPr="003277D0">
        <w:rPr>
          <w:rFonts w:eastAsia="宋体" w:cs="宋体"/>
          <w:sz w:val="21"/>
          <w:lang w:eastAsia="zh-CN"/>
        </w:rPr>
        <w:lastRenderedPageBreak/>
        <w:t>a.</w:t>
      </w:r>
      <w:r w:rsidRPr="003277D0">
        <w:rPr>
          <w:rFonts w:eastAsia="宋体" w:cs="宋体"/>
          <w:sz w:val="21"/>
          <w:lang w:eastAsia="zh-CN"/>
        </w:rPr>
        <w:tab/>
      </w:r>
      <w:r w:rsidRPr="003277D0">
        <w:rPr>
          <w:rFonts w:eastAsia="宋体" w:cs="宋体"/>
          <w:sz w:val="21"/>
          <w:lang w:eastAsia="zh-CN"/>
        </w:rPr>
        <w:t>适用于镍钛合金的本构关系与传统金属有很大不同。</w:t>
      </w:r>
      <w:r w:rsidRPr="003277D0">
        <w:rPr>
          <w:rFonts w:eastAsia="宋体" w:cs="宋体"/>
          <w:sz w:val="21"/>
          <w:vertAlign w:val="superscript"/>
          <w:lang w:eastAsia="zh-CN"/>
        </w:rPr>
        <w:t>32,33</w:t>
      </w:r>
      <w:r w:rsidRPr="003277D0">
        <w:rPr>
          <w:rFonts w:eastAsia="宋体" w:cs="宋体"/>
          <w:sz w:val="21"/>
          <w:lang w:eastAsia="zh-CN"/>
        </w:rPr>
        <w:t>因此，应使用合适的材料模型模拟镍钛合金材料。应记录材料模型中使用的参数并说明其合理性。</w:t>
      </w:r>
    </w:p>
    <w:p w14:paraId="75723044" w14:textId="4219E7EC" w:rsidR="00D020CF" w:rsidRPr="002914F0" w:rsidRDefault="002914F0" w:rsidP="003277D0">
      <w:pPr>
        <w:adjustRightInd w:val="0"/>
        <w:snapToGrid w:val="0"/>
        <w:spacing w:beforeLines="50" w:before="120" w:line="300" w:lineRule="auto"/>
        <w:ind w:leftChars="800" w:left="2180" w:hangingChars="200" w:hanging="420"/>
        <w:jc w:val="both"/>
        <w:rPr>
          <w:sz w:val="21"/>
          <w:szCs w:val="21"/>
          <w:lang w:eastAsia="zh-CN"/>
        </w:rPr>
      </w:pPr>
      <w:r w:rsidRPr="003277D0">
        <w:rPr>
          <w:rFonts w:eastAsia="宋体" w:cs="宋体"/>
          <w:sz w:val="21"/>
          <w:lang w:eastAsia="zh-CN"/>
        </w:rPr>
        <w:t>b.</w:t>
      </w:r>
      <w:r w:rsidRPr="003277D0">
        <w:rPr>
          <w:rFonts w:eastAsia="宋体" w:cs="宋体"/>
          <w:sz w:val="21"/>
          <w:lang w:eastAsia="zh-CN"/>
        </w:rPr>
        <w:tab/>
      </w:r>
      <w:r w:rsidRPr="003277D0">
        <w:rPr>
          <w:rFonts w:eastAsia="宋体" w:cs="宋体"/>
          <w:sz w:val="21"/>
          <w:lang w:eastAsia="zh-CN"/>
        </w:rPr>
        <w:t>可通过</w:t>
      </w:r>
      <w:r w:rsidRPr="003277D0">
        <w:rPr>
          <w:rFonts w:eastAsia="宋体" w:cs="宋体"/>
          <w:sz w:val="21"/>
          <w:lang w:eastAsia="zh-CN"/>
        </w:rPr>
        <w:t>ASTM F2516</w:t>
      </w:r>
      <w:r w:rsidRPr="003277D0">
        <w:rPr>
          <w:rFonts w:eastAsia="宋体" w:cs="宋体"/>
          <w:sz w:val="21"/>
          <w:lang w:eastAsia="zh-CN"/>
        </w:rPr>
        <w:t>《镍钛超弹性材料拉伸试验的标准试验方法》获取材料模型参数。试样应</w:t>
      </w:r>
      <w:r w:rsidR="003542F5">
        <w:rPr>
          <w:rFonts w:eastAsia="宋体" w:cs="宋体" w:hint="eastAsia"/>
          <w:sz w:val="21"/>
          <w:lang w:eastAsia="zh-CN"/>
        </w:rPr>
        <w:t>能</w:t>
      </w:r>
      <w:r w:rsidRPr="003277D0">
        <w:rPr>
          <w:rFonts w:eastAsia="宋体" w:cs="宋体"/>
          <w:sz w:val="21"/>
          <w:lang w:eastAsia="zh-CN"/>
        </w:rPr>
        <w:t>代表最终制造的器械（例如，包括热处理和表面处理步骤）。试验应在</w:t>
      </w:r>
      <w:r w:rsidR="00684D06">
        <w:rPr>
          <w:rFonts w:eastAsia="宋体" w:cs="宋体" w:hint="eastAsia"/>
          <w:sz w:val="21"/>
          <w:lang w:eastAsia="zh-CN"/>
        </w:rPr>
        <w:t>可</w:t>
      </w:r>
      <w:r w:rsidRPr="003277D0">
        <w:rPr>
          <w:rFonts w:eastAsia="宋体" w:cs="宋体"/>
          <w:sz w:val="21"/>
          <w:lang w:eastAsia="zh-CN"/>
        </w:rPr>
        <w:t>代表临床使用环境的温度下进行（例如，植入式器械为</w:t>
      </w:r>
      <w:r w:rsidRPr="003277D0">
        <w:rPr>
          <w:rFonts w:eastAsia="宋体" w:cs="宋体"/>
          <w:sz w:val="21"/>
          <w:lang w:eastAsia="zh-CN"/>
        </w:rPr>
        <w:t>37℃</w:t>
      </w:r>
      <w:r w:rsidRPr="003277D0">
        <w:rPr>
          <w:rFonts w:eastAsia="宋体" w:cs="宋体"/>
          <w:sz w:val="21"/>
          <w:lang w:eastAsia="zh-CN"/>
        </w:rPr>
        <w:t>）。</w:t>
      </w:r>
    </w:p>
    <w:p w14:paraId="38B29D16" w14:textId="1344D938" w:rsidR="00D020CF" w:rsidRPr="002914F0" w:rsidRDefault="002914F0" w:rsidP="003277D0">
      <w:pPr>
        <w:adjustRightInd w:val="0"/>
        <w:snapToGrid w:val="0"/>
        <w:spacing w:beforeLines="50" w:before="120" w:line="300" w:lineRule="auto"/>
        <w:ind w:leftChars="800" w:left="2180" w:hangingChars="200" w:hanging="420"/>
        <w:jc w:val="both"/>
        <w:rPr>
          <w:sz w:val="21"/>
          <w:szCs w:val="21"/>
          <w:lang w:eastAsia="zh-CN"/>
        </w:rPr>
      </w:pPr>
      <w:r w:rsidRPr="003277D0">
        <w:rPr>
          <w:rFonts w:eastAsia="宋体" w:cs="宋体"/>
          <w:sz w:val="21"/>
          <w:lang w:eastAsia="zh-CN"/>
        </w:rPr>
        <w:t>c.</w:t>
      </w:r>
      <w:r w:rsidRPr="003277D0">
        <w:rPr>
          <w:rFonts w:eastAsia="宋体" w:cs="宋体"/>
          <w:sz w:val="21"/>
          <w:lang w:eastAsia="zh-CN"/>
        </w:rPr>
        <w:tab/>
      </w:r>
      <w:r w:rsidRPr="003277D0">
        <w:rPr>
          <w:rFonts w:eastAsia="宋体" w:cs="宋体"/>
          <w:sz w:val="21"/>
          <w:lang w:eastAsia="zh-CN"/>
        </w:rPr>
        <w:t>计算分析应包括制造过程中定型步骤的</w:t>
      </w:r>
      <w:r w:rsidR="00104146" w:rsidRPr="003277D0">
        <w:rPr>
          <w:rFonts w:eastAsia="宋体" w:cs="宋体"/>
          <w:sz w:val="21"/>
          <w:lang w:eastAsia="zh-CN"/>
        </w:rPr>
        <w:t>任何</w:t>
      </w:r>
      <w:r w:rsidRPr="003277D0">
        <w:rPr>
          <w:rFonts w:eastAsia="宋体" w:cs="宋体"/>
          <w:sz w:val="21"/>
          <w:lang w:eastAsia="zh-CN"/>
        </w:rPr>
        <w:t>影响，因为这些步骤可</w:t>
      </w:r>
      <w:r w:rsidR="007F3FA9">
        <w:rPr>
          <w:rFonts w:eastAsia="宋体" w:cs="宋体" w:hint="eastAsia"/>
          <w:sz w:val="21"/>
          <w:lang w:eastAsia="zh-CN"/>
        </w:rPr>
        <w:t>降低</w:t>
      </w:r>
      <w:r w:rsidRPr="003277D0">
        <w:rPr>
          <w:rFonts w:eastAsia="宋体" w:cs="宋体"/>
          <w:sz w:val="21"/>
          <w:lang w:eastAsia="zh-CN"/>
        </w:rPr>
        <w:t>预先存在的应力。</w:t>
      </w:r>
    </w:p>
    <w:p w14:paraId="37411C8D" w14:textId="48764A77" w:rsidR="002914F0" w:rsidRDefault="002914F0" w:rsidP="003277D0">
      <w:pPr>
        <w:adjustRightInd w:val="0"/>
        <w:snapToGrid w:val="0"/>
        <w:spacing w:beforeLines="50" w:before="120" w:line="300" w:lineRule="auto"/>
        <w:ind w:leftChars="800" w:left="2180" w:hangingChars="200" w:hanging="420"/>
        <w:jc w:val="both"/>
        <w:rPr>
          <w:sz w:val="21"/>
          <w:szCs w:val="21"/>
        </w:rPr>
      </w:pPr>
      <w:r w:rsidRPr="003277D0">
        <w:rPr>
          <w:rFonts w:eastAsia="宋体" w:cs="宋体"/>
          <w:sz w:val="21"/>
          <w:lang w:eastAsia="zh-CN"/>
        </w:rPr>
        <w:t>d.</w:t>
      </w:r>
      <w:r w:rsidRPr="003277D0">
        <w:rPr>
          <w:rFonts w:eastAsia="宋体" w:cs="宋体"/>
          <w:sz w:val="21"/>
          <w:lang w:eastAsia="zh-CN"/>
        </w:rPr>
        <w:tab/>
      </w:r>
      <w:r w:rsidRPr="003277D0">
        <w:rPr>
          <w:rFonts w:eastAsia="宋体" w:cs="宋体"/>
          <w:sz w:val="21"/>
          <w:lang w:eastAsia="zh-CN"/>
        </w:rPr>
        <w:t>如果器械在使用过程中暴露在循环载荷条件下，建议利用恒定寿命曲线计算疲劳安全系数。与采用基于应力的疲劳寿命估</w:t>
      </w:r>
      <w:r w:rsidR="0086664B">
        <w:rPr>
          <w:rFonts w:eastAsia="宋体" w:cs="宋体" w:hint="eastAsia"/>
          <w:sz w:val="21"/>
          <w:lang w:eastAsia="zh-CN"/>
        </w:rPr>
        <w:t>算</w:t>
      </w:r>
      <w:r w:rsidRPr="003277D0">
        <w:rPr>
          <w:rFonts w:eastAsia="宋体" w:cs="宋体"/>
          <w:sz w:val="21"/>
          <w:lang w:eastAsia="zh-CN"/>
        </w:rPr>
        <w:t>（例如</w:t>
      </w:r>
      <w:r w:rsidRPr="003277D0">
        <w:rPr>
          <w:rFonts w:eastAsia="宋体" w:cs="宋体"/>
          <w:sz w:val="21"/>
          <w:lang w:eastAsia="zh-CN"/>
        </w:rPr>
        <w:t>Goodman</w:t>
      </w:r>
      <w:r w:rsidRPr="003277D0">
        <w:rPr>
          <w:rFonts w:eastAsia="宋体" w:cs="宋体"/>
          <w:sz w:val="21"/>
          <w:lang w:eastAsia="zh-CN"/>
        </w:rPr>
        <w:t>图、</w:t>
      </w:r>
      <w:r w:rsidRPr="003277D0">
        <w:rPr>
          <w:rFonts w:eastAsia="宋体" w:cs="宋体"/>
          <w:sz w:val="21"/>
          <w:lang w:eastAsia="zh-CN"/>
        </w:rPr>
        <w:t>Soderberg</w:t>
      </w:r>
      <w:r w:rsidRPr="003277D0">
        <w:rPr>
          <w:rFonts w:eastAsia="宋体" w:cs="宋体"/>
          <w:sz w:val="21"/>
          <w:lang w:eastAsia="zh-CN"/>
        </w:rPr>
        <w:t>图）的传统金属不同，经证实，利用恒定寿命平均值与交替应变图可为镍钛合金的疲劳寿命预测提供良好模型。</w:t>
      </w:r>
      <w:r w:rsidRPr="003277D0">
        <w:rPr>
          <w:rFonts w:eastAsia="宋体" w:cs="宋体"/>
          <w:sz w:val="21"/>
          <w:vertAlign w:val="superscript"/>
          <w:lang w:eastAsia="zh-CN"/>
        </w:rPr>
        <w:t>34</w:t>
      </w:r>
      <w:r w:rsidRPr="003277D0">
        <w:rPr>
          <w:rFonts w:eastAsia="宋体" w:cs="宋体"/>
          <w:sz w:val="21"/>
          <w:lang w:eastAsia="zh-CN"/>
        </w:rPr>
        <w:t>镍钛合金的疲劳寿命对成分和处理工艺敏感。因此，建议</w:t>
      </w:r>
      <w:r w:rsidR="00DB5079">
        <w:rPr>
          <w:rFonts w:eastAsia="宋体" w:cs="宋体" w:hint="eastAsia"/>
          <w:sz w:val="21"/>
          <w:lang w:eastAsia="zh-CN"/>
        </w:rPr>
        <w:t>使用能</w:t>
      </w:r>
      <w:r w:rsidRPr="003277D0">
        <w:rPr>
          <w:rFonts w:eastAsia="宋体" w:cs="宋体"/>
          <w:sz w:val="21"/>
          <w:lang w:eastAsia="zh-CN"/>
        </w:rPr>
        <w:t>代表最终制造器械的镍钛合金样品进行实验测试（例如，包括热处理和表面处理），而不是沿用并非</w:t>
      </w:r>
      <w:r w:rsidR="005E2C67">
        <w:rPr>
          <w:rFonts w:eastAsia="宋体" w:cs="宋体" w:hint="eastAsia"/>
          <w:sz w:val="21"/>
          <w:lang w:eastAsia="zh-CN"/>
        </w:rPr>
        <w:t>该</w:t>
      </w:r>
      <w:r w:rsidRPr="003277D0">
        <w:rPr>
          <w:rFonts w:eastAsia="宋体" w:cs="宋体"/>
          <w:sz w:val="21"/>
          <w:lang w:eastAsia="zh-CN"/>
        </w:rPr>
        <w:t>器械特有的数据，生成器械特定的恒定寿命曲线。由于预应变（例如，将支架预置在输送导管上）可对疲劳寿命产生不利或有利影响，</w:t>
      </w:r>
      <w:r w:rsidRPr="003277D0">
        <w:rPr>
          <w:rFonts w:eastAsia="宋体" w:cs="宋体"/>
          <w:sz w:val="21"/>
          <w:vertAlign w:val="superscript"/>
          <w:lang w:eastAsia="zh-CN"/>
        </w:rPr>
        <w:t>35,36</w:t>
      </w:r>
      <w:r w:rsidRPr="003277D0">
        <w:rPr>
          <w:rFonts w:eastAsia="宋体" w:cs="宋体"/>
          <w:sz w:val="21"/>
          <w:lang w:eastAsia="zh-CN"/>
        </w:rPr>
        <w:t>因此建议将预应变的影响考虑在内并予以讨论。建议阐述并论证用于计算疲劳安全系数（例如标量或张量）的平均应变和交替应变的方法。</w:t>
      </w:r>
      <w:r w:rsidRPr="003277D0">
        <w:rPr>
          <w:rFonts w:eastAsia="宋体" w:cs="宋体"/>
          <w:sz w:val="21"/>
          <w:vertAlign w:val="superscript"/>
        </w:rPr>
        <w:t>37</w:t>
      </w:r>
    </w:p>
    <w:p w14:paraId="6491BB1E" w14:textId="77777777" w:rsidR="00016046" w:rsidRPr="00AF2411" w:rsidRDefault="00016046" w:rsidP="00853F4C">
      <w:pPr>
        <w:adjustRightInd w:val="0"/>
        <w:snapToGrid w:val="0"/>
        <w:spacing w:beforeLines="1500" w:before="3600" w:line="300" w:lineRule="auto"/>
        <w:jc w:val="both"/>
        <w:rPr>
          <w:rFonts w:eastAsiaTheme="minorEastAsia"/>
          <w:sz w:val="21"/>
          <w:szCs w:val="21"/>
          <w:lang w:eastAsia="zh-CN"/>
        </w:rPr>
      </w:pPr>
      <w:r w:rsidRPr="003277D0">
        <w:rPr>
          <w:rFonts w:eastAsia="宋体" w:cs="宋体"/>
          <w:sz w:val="21"/>
        </w:rPr>
        <w:t>______________________________</w:t>
      </w:r>
    </w:p>
    <w:p w14:paraId="5663A5CA" w14:textId="552B8D87"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32</w:t>
      </w:r>
      <w:r w:rsidRPr="003277D0">
        <w:rPr>
          <w:rFonts w:eastAsia="宋体" w:cs="宋体"/>
          <w:sz w:val="18"/>
        </w:rPr>
        <w:t xml:space="preserve"> </w:t>
      </w:r>
      <w:r w:rsidRPr="003277D0">
        <w:rPr>
          <w:rFonts w:eastAsia="宋体" w:cs="宋体"/>
          <w:color w:val="1C1C1C"/>
          <w:sz w:val="18"/>
        </w:rPr>
        <w:t>Ford DS, and White SR. Thermomechanical behavior of 55Ni45Ti nitinol.</w:t>
      </w:r>
      <w:r w:rsidR="00DF2FD7">
        <w:rPr>
          <w:rFonts w:eastAsia="宋体" w:cs="宋体"/>
          <w:color w:val="1C1C1C"/>
          <w:sz w:val="18"/>
        </w:rPr>
        <w:t xml:space="preserve"> </w:t>
      </w:r>
      <w:proofErr w:type="spellStart"/>
      <w:r w:rsidRPr="003277D0">
        <w:rPr>
          <w:rFonts w:eastAsia="宋体" w:cs="宋体"/>
          <w:color w:val="1C1C1C"/>
          <w:sz w:val="18"/>
        </w:rPr>
        <w:t>Acta</w:t>
      </w:r>
      <w:proofErr w:type="spellEnd"/>
      <w:r w:rsidRPr="003277D0">
        <w:rPr>
          <w:rFonts w:eastAsia="宋体" w:cs="宋体"/>
          <w:color w:val="1C1C1C"/>
          <w:sz w:val="18"/>
        </w:rPr>
        <w:t xml:space="preserve"> </w:t>
      </w:r>
      <w:proofErr w:type="spellStart"/>
      <w:r w:rsidRPr="003277D0">
        <w:rPr>
          <w:rFonts w:eastAsia="宋体" w:cs="宋体"/>
          <w:color w:val="1C1C1C"/>
          <w:sz w:val="18"/>
        </w:rPr>
        <w:t>Materialia</w:t>
      </w:r>
      <w:proofErr w:type="spellEnd"/>
      <w:r w:rsidRPr="003277D0">
        <w:rPr>
          <w:rFonts w:eastAsia="宋体" w:cs="宋体"/>
          <w:color w:val="1C1C1C"/>
          <w:sz w:val="18"/>
        </w:rPr>
        <w:t xml:space="preserve"> 1996;44(6):2295-2307. </w:t>
      </w:r>
      <w:r w:rsidRPr="003277D0">
        <w:rPr>
          <w:rFonts w:eastAsia="宋体" w:cs="宋体"/>
          <w:sz w:val="18"/>
          <w:vertAlign w:val="superscript"/>
        </w:rPr>
        <w:t>33</w:t>
      </w:r>
      <w:r w:rsidRPr="003277D0">
        <w:rPr>
          <w:rFonts w:eastAsia="宋体" w:cs="宋体"/>
          <w:sz w:val="18"/>
        </w:rPr>
        <w:t xml:space="preserve"> Tension, compression, and bending of </w:t>
      </w:r>
      <w:proofErr w:type="spellStart"/>
      <w:r w:rsidRPr="003277D0">
        <w:rPr>
          <w:rFonts w:eastAsia="宋体" w:cs="宋体"/>
          <w:sz w:val="18"/>
        </w:rPr>
        <w:t>superelastic</w:t>
      </w:r>
      <w:proofErr w:type="spellEnd"/>
      <w:r w:rsidRPr="003277D0">
        <w:rPr>
          <w:rFonts w:eastAsia="宋体" w:cs="宋体"/>
          <w:sz w:val="18"/>
        </w:rPr>
        <w:t xml:space="preserve"> shape memory alloy tubes, Benjamin </w:t>
      </w:r>
      <w:proofErr w:type="spellStart"/>
      <w:r w:rsidRPr="003277D0">
        <w:rPr>
          <w:rFonts w:eastAsia="宋体" w:cs="宋体"/>
          <w:sz w:val="18"/>
        </w:rPr>
        <w:t>Reedlunn</w:t>
      </w:r>
      <w:proofErr w:type="spellEnd"/>
      <w:r w:rsidRPr="003277D0">
        <w:rPr>
          <w:rFonts w:eastAsia="宋体" w:cs="宋体"/>
          <w:sz w:val="18"/>
        </w:rPr>
        <w:t>, Christopher B.</w:t>
      </w:r>
      <w:r w:rsidR="00DF2FD7">
        <w:rPr>
          <w:rFonts w:eastAsia="宋体" w:cs="宋体"/>
          <w:sz w:val="18"/>
        </w:rPr>
        <w:t xml:space="preserve"> </w:t>
      </w:r>
      <w:r w:rsidRPr="003277D0">
        <w:rPr>
          <w:rFonts w:eastAsia="宋体" w:cs="宋体"/>
          <w:sz w:val="18"/>
        </w:rPr>
        <w:t>Churchill, Emily E.</w:t>
      </w:r>
      <w:r w:rsidR="00DF2FD7">
        <w:rPr>
          <w:rFonts w:eastAsia="宋体" w:cs="宋体"/>
          <w:sz w:val="18"/>
        </w:rPr>
        <w:t xml:space="preserve"> </w:t>
      </w:r>
      <w:r w:rsidRPr="003277D0">
        <w:rPr>
          <w:rFonts w:eastAsia="宋体" w:cs="宋体"/>
          <w:sz w:val="18"/>
        </w:rPr>
        <w:t>Nelson, John A.</w:t>
      </w:r>
      <w:r w:rsidR="00DF2FD7">
        <w:rPr>
          <w:rFonts w:eastAsia="宋体" w:cs="宋体"/>
          <w:sz w:val="18"/>
        </w:rPr>
        <w:t xml:space="preserve"> </w:t>
      </w:r>
      <w:r w:rsidRPr="003277D0">
        <w:rPr>
          <w:rFonts w:eastAsia="宋体" w:cs="宋体"/>
          <w:sz w:val="18"/>
        </w:rPr>
        <w:t>Shaw, Samantha H.</w:t>
      </w:r>
      <w:r w:rsidR="00DF2FD7">
        <w:rPr>
          <w:rFonts w:eastAsia="宋体" w:cs="宋体"/>
          <w:sz w:val="18"/>
        </w:rPr>
        <w:t xml:space="preserve"> </w:t>
      </w:r>
      <w:r w:rsidRPr="003277D0">
        <w:rPr>
          <w:rFonts w:eastAsia="宋体" w:cs="宋体"/>
          <w:sz w:val="18"/>
        </w:rPr>
        <w:t>Daly, Journal of the Mechanics and Physics of Solids Volume 63, February 2014, Pages 506-537</w:t>
      </w:r>
    </w:p>
    <w:p w14:paraId="47DC1C49" w14:textId="307372DD"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34</w:t>
      </w:r>
      <w:r w:rsidRPr="003277D0">
        <w:rPr>
          <w:rFonts w:eastAsia="宋体" w:cs="宋体"/>
          <w:sz w:val="18"/>
        </w:rPr>
        <w:t xml:space="preserve"> Nitinol Fatigue: A Review of Microstructures and Mechanisms, Alan Pelton, Journal of Materials Engineering and Performance, 2010</w:t>
      </w:r>
    </w:p>
    <w:p w14:paraId="6235F78E" w14:textId="580A5DDA"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35</w:t>
      </w:r>
      <w:r w:rsidRPr="003277D0">
        <w:rPr>
          <w:rFonts w:eastAsia="宋体" w:cs="宋体"/>
          <w:sz w:val="18"/>
        </w:rPr>
        <w:t>Gupta et al (2016). High compressive pre-strains reduce the bending fatigue life of nitinol wire. J Mechanical Behavior Biomedical Materials</w:t>
      </w:r>
    </w:p>
    <w:p w14:paraId="4B66F706" w14:textId="7DB2EE20"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36</w:t>
      </w:r>
      <w:r w:rsidRPr="003277D0">
        <w:rPr>
          <w:rFonts w:eastAsia="宋体" w:cs="宋体"/>
          <w:sz w:val="18"/>
        </w:rPr>
        <w:t xml:space="preserve"> </w:t>
      </w:r>
      <w:proofErr w:type="spellStart"/>
      <w:r w:rsidRPr="003277D0">
        <w:rPr>
          <w:rFonts w:eastAsia="宋体" w:cs="宋体"/>
          <w:sz w:val="18"/>
        </w:rPr>
        <w:t>Senthilnathan</w:t>
      </w:r>
      <w:proofErr w:type="spellEnd"/>
      <w:r w:rsidRPr="003277D0">
        <w:rPr>
          <w:rFonts w:eastAsia="宋体" w:cs="宋体"/>
          <w:sz w:val="18"/>
        </w:rPr>
        <w:t xml:space="preserve"> et al (2019). Effect of </w:t>
      </w:r>
      <w:proofErr w:type="spellStart"/>
      <w:r w:rsidRPr="003277D0">
        <w:rPr>
          <w:rFonts w:eastAsia="宋体" w:cs="宋体"/>
          <w:sz w:val="18"/>
        </w:rPr>
        <w:t>Prestrain</w:t>
      </w:r>
      <w:proofErr w:type="spellEnd"/>
      <w:r w:rsidRPr="003277D0">
        <w:rPr>
          <w:rFonts w:eastAsia="宋体" w:cs="宋体"/>
          <w:sz w:val="18"/>
        </w:rPr>
        <w:t xml:space="preserve"> on the Fatigue Life of </w:t>
      </w:r>
      <w:proofErr w:type="spellStart"/>
      <w:r w:rsidRPr="003277D0">
        <w:rPr>
          <w:rFonts w:eastAsia="宋体" w:cs="宋体"/>
          <w:sz w:val="18"/>
        </w:rPr>
        <w:t>Superelastic</w:t>
      </w:r>
      <w:proofErr w:type="spellEnd"/>
      <w:r w:rsidRPr="003277D0">
        <w:rPr>
          <w:rFonts w:eastAsia="宋体" w:cs="宋体"/>
          <w:sz w:val="18"/>
        </w:rPr>
        <w:t xml:space="preserve"> Nitinol.</w:t>
      </w:r>
      <w:r w:rsidR="00DF2FD7">
        <w:rPr>
          <w:rFonts w:eastAsia="宋体" w:cs="宋体"/>
          <w:sz w:val="18"/>
        </w:rPr>
        <w:t xml:space="preserve"> </w:t>
      </w:r>
      <w:r w:rsidRPr="003277D0">
        <w:rPr>
          <w:rFonts w:eastAsia="宋体" w:cs="宋体"/>
          <w:sz w:val="18"/>
        </w:rPr>
        <w:t>J Materials Engineering and Performance</w:t>
      </w:r>
    </w:p>
    <w:p w14:paraId="7C4BEEA3" w14:textId="4F6C4AAB" w:rsidR="002914F0" w:rsidRPr="002914F0" w:rsidRDefault="004F06FE" w:rsidP="00853F4C">
      <w:pPr>
        <w:adjustRightInd w:val="0"/>
        <w:snapToGrid w:val="0"/>
        <w:spacing w:beforeLines="15" w:before="36" w:line="276" w:lineRule="auto"/>
        <w:jc w:val="both"/>
        <w:rPr>
          <w:sz w:val="21"/>
          <w:szCs w:val="21"/>
        </w:rPr>
      </w:pPr>
      <w:r w:rsidRPr="003277D0">
        <w:rPr>
          <w:rFonts w:eastAsia="宋体" w:cs="宋体"/>
          <w:sz w:val="18"/>
          <w:vertAlign w:val="superscript"/>
        </w:rPr>
        <w:t>37</w:t>
      </w:r>
      <w:r w:rsidRPr="003277D0">
        <w:rPr>
          <w:rFonts w:eastAsia="宋体" w:cs="宋体"/>
          <w:sz w:val="18"/>
        </w:rPr>
        <w:t xml:space="preserve"> </w:t>
      </w:r>
      <w:proofErr w:type="spellStart"/>
      <w:r w:rsidRPr="003277D0">
        <w:rPr>
          <w:rFonts w:eastAsia="宋体" w:cs="宋体"/>
          <w:sz w:val="18"/>
        </w:rPr>
        <w:t>Marrey</w:t>
      </w:r>
      <w:proofErr w:type="spellEnd"/>
      <w:r w:rsidRPr="003277D0">
        <w:rPr>
          <w:rFonts w:eastAsia="宋体" w:cs="宋体"/>
          <w:sz w:val="18"/>
        </w:rPr>
        <w:t xml:space="preserve"> et al (2018). Validating Fatigue Safety Factor Calculation Methods for Cardiovascular Stents. Journal of Biomechanical Engineering.140 (6)</w:t>
      </w:r>
      <w:r w:rsidR="002914F0" w:rsidRPr="003277D0">
        <w:rPr>
          <w:rFonts w:eastAsia="宋体" w:cs="宋体"/>
          <w:sz w:val="21"/>
        </w:rPr>
        <w:br w:type="page"/>
      </w:r>
    </w:p>
    <w:p w14:paraId="080EE9B7" w14:textId="1D98BCDF" w:rsidR="002914F0" w:rsidRDefault="002914F0" w:rsidP="003277D0">
      <w:pPr>
        <w:adjustRightInd w:val="0"/>
        <w:snapToGrid w:val="0"/>
        <w:spacing w:beforeLines="50" w:before="120" w:line="300" w:lineRule="auto"/>
        <w:ind w:leftChars="800" w:left="2180" w:hangingChars="200" w:hanging="420"/>
        <w:jc w:val="both"/>
        <w:rPr>
          <w:sz w:val="21"/>
          <w:szCs w:val="21"/>
          <w:lang w:eastAsia="zh-CN"/>
        </w:rPr>
      </w:pPr>
      <w:r w:rsidRPr="003277D0">
        <w:rPr>
          <w:rFonts w:eastAsia="宋体" w:cs="宋体"/>
          <w:sz w:val="21"/>
          <w:lang w:eastAsia="zh-CN"/>
        </w:rPr>
        <w:lastRenderedPageBreak/>
        <w:t>e.</w:t>
      </w:r>
      <w:r w:rsidRPr="003277D0">
        <w:rPr>
          <w:rFonts w:eastAsia="宋体" w:cs="宋体"/>
          <w:sz w:val="21"/>
          <w:lang w:eastAsia="zh-CN"/>
        </w:rPr>
        <w:tab/>
      </w:r>
      <w:r w:rsidRPr="003277D0">
        <w:rPr>
          <w:rFonts w:eastAsia="宋体" w:cs="宋体"/>
          <w:sz w:val="21"/>
          <w:lang w:eastAsia="zh-CN"/>
        </w:rPr>
        <w:t>应对用于分析镍钛合金器械的计算模型进行确认，并根据计算模型的使用情境（</w:t>
      </w:r>
      <w:r w:rsidRPr="003277D0">
        <w:rPr>
          <w:rFonts w:eastAsia="宋体" w:cs="宋体"/>
          <w:sz w:val="21"/>
          <w:lang w:eastAsia="zh-CN"/>
        </w:rPr>
        <w:t>COU</w:t>
      </w:r>
      <w:r w:rsidRPr="003277D0">
        <w:rPr>
          <w:rFonts w:eastAsia="宋体" w:cs="宋体"/>
          <w:sz w:val="21"/>
          <w:lang w:eastAsia="zh-CN"/>
        </w:rPr>
        <w:t>）、计算模型在决策中的风险和作用，</w:t>
      </w:r>
      <w:r w:rsidRPr="003277D0">
        <w:rPr>
          <w:rFonts w:eastAsia="宋体" w:cs="宋体"/>
          <w:sz w:val="21"/>
          <w:vertAlign w:val="superscript"/>
          <w:lang w:eastAsia="zh-CN"/>
        </w:rPr>
        <w:t>38</w:t>
      </w:r>
      <w:r w:rsidRPr="003277D0">
        <w:rPr>
          <w:rFonts w:eastAsia="宋体" w:cs="宋体"/>
          <w:sz w:val="21"/>
          <w:lang w:eastAsia="zh-CN"/>
        </w:rPr>
        <w:t>以及相对于</w:t>
      </w:r>
      <w:r w:rsidRPr="003277D0">
        <w:rPr>
          <w:rFonts w:eastAsia="宋体" w:cs="宋体"/>
          <w:sz w:val="21"/>
          <w:lang w:eastAsia="zh-CN"/>
        </w:rPr>
        <w:t>COU</w:t>
      </w:r>
      <w:r w:rsidRPr="003277D0">
        <w:rPr>
          <w:rFonts w:eastAsia="宋体" w:cs="宋体"/>
          <w:sz w:val="21"/>
          <w:lang w:eastAsia="zh-CN"/>
        </w:rPr>
        <w:t>中评估的条件范围来证明确认活动的合理性。同时建议在确认活动中证明所选测量参数（例如力、应变）和加载路径的合理性。</w:t>
      </w:r>
    </w:p>
    <w:p w14:paraId="3F28C6C1" w14:textId="5AB2A5A2" w:rsidR="00D020CF" w:rsidRPr="002914F0" w:rsidRDefault="004F06FE" w:rsidP="00016046">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建议按照《</w:t>
      </w:r>
      <w:r w:rsidRPr="003277D0">
        <w:rPr>
          <w:rFonts w:eastAsia="宋体" w:cs="宋体"/>
          <w:color w:val="0000FF"/>
          <w:sz w:val="21"/>
          <w:u w:val="single"/>
          <w:lang w:eastAsia="zh-CN"/>
        </w:rPr>
        <w:t>医疗器械申请中的计算建模研究报告</w:t>
      </w:r>
      <w:r w:rsidRPr="003277D0">
        <w:rPr>
          <w:rFonts w:eastAsia="宋体" w:cs="宋体"/>
          <w:sz w:val="21"/>
          <w:lang w:eastAsia="zh-CN"/>
        </w:rPr>
        <w:t>》指南提交计算应力</w:t>
      </w:r>
      <w:r w:rsidRPr="003277D0">
        <w:rPr>
          <w:rFonts w:eastAsia="宋体" w:cs="宋体"/>
          <w:sz w:val="21"/>
          <w:lang w:eastAsia="zh-CN"/>
        </w:rPr>
        <w:t>/</w:t>
      </w:r>
      <w:r w:rsidRPr="003277D0">
        <w:rPr>
          <w:rFonts w:eastAsia="宋体" w:cs="宋体"/>
          <w:sz w:val="21"/>
          <w:lang w:eastAsia="zh-CN"/>
        </w:rPr>
        <w:t>应变分析报告。</w:t>
      </w:r>
      <w:r w:rsidRPr="003277D0">
        <w:rPr>
          <w:rFonts w:eastAsia="宋体" w:cs="宋体"/>
          <w:sz w:val="21"/>
          <w:vertAlign w:val="superscript"/>
          <w:lang w:eastAsia="zh-CN"/>
        </w:rPr>
        <w:t>39</w:t>
      </w:r>
    </w:p>
    <w:p w14:paraId="1A5DB993" w14:textId="77777777" w:rsidR="00D020CF" w:rsidRPr="00DC536B" w:rsidRDefault="002914F0" w:rsidP="00DC536B">
      <w:pPr>
        <w:pStyle w:val="a3"/>
        <w:adjustRightInd w:val="0"/>
        <w:snapToGrid w:val="0"/>
        <w:spacing w:beforeLines="50" w:before="120" w:line="300" w:lineRule="auto"/>
        <w:ind w:leftChars="400" w:left="1362" w:hangingChars="200" w:hanging="482"/>
        <w:jc w:val="both"/>
        <w:outlineLvl w:val="1"/>
        <w:rPr>
          <w:b/>
          <w:szCs w:val="21"/>
          <w:lang w:eastAsia="zh-CN"/>
        </w:rPr>
      </w:pPr>
      <w:bookmarkStart w:id="13" w:name="_Toc91866312"/>
      <w:r w:rsidRPr="003277D0">
        <w:rPr>
          <w:rFonts w:eastAsia="宋体" w:cs="宋体"/>
          <w:b/>
          <w:lang w:eastAsia="zh-CN"/>
        </w:rPr>
        <w:t>C.</w:t>
      </w:r>
      <w:r w:rsidRPr="003277D0">
        <w:rPr>
          <w:rFonts w:eastAsia="宋体" w:cs="宋体"/>
          <w:b/>
          <w:lang w:eastAsia="zh-CN"/>
        </w:rPr>
        <w:tab/>
      </w:r>
      <w:r w:rsidRPr="003277D0">
        <w:rPr>
          <w:rFonts w:eastAsia="宋体" w:cs="宋体"/>
          <w:b/>
          <w:lang w:eastAsia="zh-CN"/>
        </w:rPr>
        <w:t>腐蚀试验</w:t>
      </w:r>
      <w:bookmarkStart w:id="14" w:name="_GoBack"/>
      <w:bookmarkEnd w:id="13"/>
      <w:bookmarkEnd w:id="14"/>
    </w:p>
    <w:p w14:paraId="18A4FF9E" w14:textId="32C20DD2" w:rsidR="002914F0" w:rsidRDefault="004F06FE" w:rsidP="006B2AF9">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镍钛合金的腐蚀敏感性取决于</w:t>
      </w:r>
      <w:r w:rsidR="005F7527">
        <w:rPr>
          <w:rFonts w:eastAsia="宋体" w:cs="宋体" w:hint="eastAsia"/>
          <w:sz w:val="21"/>
          <w:lang w:eastAsia="zh-CN"/>
        </w:rPr>
        <w:t>最终</w:t>
      </w:r>
      <w:r w:rsidR="006B2AF9">
        <w:rPr>
          <w:rFonts w:eastAsia="宋体" w:cs="宋体" w:hint="eastAsia"/>
          <w:sz w:val="21"/>
          <w:lang w:eastAsia="zh-CN"/>
        </w:rPr>
        <w:t>成品的最终制造</w:t>
      </w:r>
      <w:r w:rsidR="005B443C">
        <w:rPr>
          <w:rFonts w:eastAsia="宋体" w:cs="宋体" w:hint="eastAsia"/>
          <w:sz w:val="21"/>
          <w:lang w:eastAsia="zh-CN"/>
        </w:rPr>
        <w:t>过程</w:t>
      </w:r>
      <w:r w:rsidR="004F4343">
        <w:rPr>
          <w:rFonts w:eastAsia="宋体" w:cs="宋体" w:hint="eastAsia"/>
          <w:sz w:val="21"/>
          <w:lang w:eastAsia="zh-CN"/>
        </w:rPr>
        <w:t>和表面处理</w:t>
      </w:r>
      <w:r w:rsidR="006D48F7">
        <w:rPr>
          <w:rFonts w:eastAsia="宋体" w:cs="宋体" w:hint="eastAsia"/>
          <w:sz w:val="21"/>
          <w:lang w:eastAsia="zh-CN"/>
        </w:rPr>
        <w:t>工艺</w:t>
      </w:r>
      <w:r w:rsidRPr="009D09E1">
        <w:rPr>
          <w:rFonts w:eastAsia="宋体" w:cs="宋体"/>
          <w:sz w:val="21"/>
          <w:vertAlign w:val="superscript"/>
          <w:lang w:eastAsia="zh-CN"/>
        </w:rPr>
        <w:t>40</w:t>
      </w:r>
      <w:r w:rsidRPr="009D09E1">
        <w:rPr>
          <w:rFonts w:eastAsia="宋体" w:cs="宋体" w:hint="eastAsia"/>
          <w:sz w:val="21"/>
          <w:lang w:eastAsia="zh-CN"/>
        </w:rPr>
        <w:t>，也可能取决于最终成品的几何形状。由于腐蚀可能导致镍离子释放，</w:t>
      </w:r>
      <w:r w:rsidRPr="003277D0">
        <w:rPr>
          <w:rFonts w:eastAsia="宋体" w:cs="宋体"/>
          <w:sz w:val="21"/>
          <w:lang w:eastAsia="zh-CN"/>
        </w:rPr>
        <w:t>甚至损害器械的力学完整性，因此建议对长期接触和持久接触镍钛合金器械进行点蚀试验（具体建议见下文）。如果点蚀试验结果符合预先规定的验收标准（有关验收标准的详细信息，请</w:t>
      </w:r>
      <w:proofErr w:type="gramStart"/>
      <w:r w:rsidRPr="003277D0">
        <w:rPr>
          <w:rFonts w:eastAsia="宋体" w:cs="宋体"/>
          <w:sz w:val="21"/>
          <w:lang w:eastAsia="zh-CN"/>
        </w:rPr>
        <w:t>参见第</w:t>
      </w:r>
      <w:proofErr w:type="gramEnd"/>
      <w:r w:rsidRPr="003277D0">
        <w:rPr>
          <w:rFonts w:eastAsia="宋体" w:cs="宋体"/>
          <w:sz w:val="21"/>
          <w:lang w:eastAsia="zh-CN"/>
        </w:rPr>
        <w:t>C.1</w:t>
      </w:r>
      <w:r w:rsidRPr="003277D0">
        <w:rPr>
          <w:rFonts w:eastAsia="宋体" w:cs="宋体"/>
          <w:sz w:val="21"/>
          <w:lang w:eastAsia="zh-CN"/>
        </w:rPr>
        <w:t>节：腐蚀试验</w:t>
      </w:r>
      <w:r w:rsidRPr="003277D0">
        <w:rPr>
          <w:rFonts w:eastAsia="宋体" w:cs="宋体"/>
          <w:sz w:val="21"/>
          <w:lang w:eastAsia="zh-CN"/>
        </w:rPr>
        <w:t>-</w:t>
      </w:r>
      <w:r w:rsidRPr="003277D0">
        <w:rPr>
          <w:rFonts w:eastAsia="宋体" w:cs="宋体"/>
          <w:sz w:val="21"/>
          <w:lang w:eastAsia="zh-CN"/>
        </w:rPr>
        <w:t>点蚀），如果器械采用</w:t>
      </w:r>
      <w:r w:rsidR="00A345A8">
        <w:rPr>
          <w:rFonts w:eastAsia="宋体" w:cs="宋体" w:hint="eastAsia"/>
          <w:sz w:val="21"/>
          <w:lang w:eastAsia="zh-CN"/>
        </w:rPr>
        <w:t>与已上市且</w:t>
      </w:r>
      <w:r w:rsidRPr="003277D0">
        <w:rPr>
          <w:rFonts w:eastAsia="宋体" w:cs="宋体"/>
          <w:sz w:val="21"/>
          <w:lang w:eastAsia="zh-CN"/>
        </w:rPr>
        <w:t>具有良好临床使用历史（即，无与腐蚀或镍离子释放相关的不良事件历史记录）的器械的表面</w:t>
      </w:r>
      <w:r w:rsidR="009A3BAD">
        <w:rPr>
          <w:rFonts w:eastAsia="宋体" w:cs="宋体" w:hint="eastAsia"/>
          <w:sz w:val="21"/>
          <w:lang w:eastAsia="zh-CN"/>
        </w:rPr>
        <w:t>处理</w:t>
      </w:r>
      <w:r w:rsidRPr="003277D0">
        <w:rPr>
          <w:rFonts w:eastAsia="宋体" w:cs="宋体"/>
          <w:sz w:val="21"/>
          <w:lang w:eastAsia="zh-CN"/>
        </w:rPr>
        <w:t>工艺（如电抛光、化学蚀刻或机械抛光）则无需进行进一步试验。考虑制造过程（例如热处理）对表面光洁度的影响，将表面表征结果（例如化学成分与深度）与已确立的表面光洁度进行比较，可深入了解保护性氧化层的质量。如果在腐蚀试验期间确定了表面可变性，由于表面表征的斑点尺寸限制，该方法可能不适合评估受整个表面影响的现象（例如镍离子浸出）。</w:t>
      </w:r>
    </w:p>
    <w:p w14:paraId="0CEF0141" w14:textId="5998F639" w:rsidR="002914F0" w:rsidRDefault="004F06FE" w:rsidP="00016046">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如果试验结果不符合预先规定的验收标准，或器械不是采用具有良好临床使用历史的既定表面</w:t>
      </w:r>
      <w:r w:rsidR="001C6ABA">
        <w:rPr>
          <w:rFonts w:eastAsia="宋体" w:cs="宋体" w:hint="eastAsia"/>
          <w:sz w:val="21"/>
          <w:lang w:eastAsia="zh-CN"/>
        </w:rPr>
        <w:t>处理</w:t>
      </w:r>
      <w:r w:rsidRPr="003277D0">
        <w:rPr>
          <w:rFonts w:eastAsia="宋体" w:cs="宋体"/>
          <w:sz w:val="21"/>
          <w:lang w:eastAsia="zh-CN"/>
        </w:rPr>
        <w:t>工艺制造的，则建议对镍离子释放的程度进行表征。提供的流程图（图</w:t>
      </w:r>
      <w:r w:rsidRPr="003277D0">
        <w:rPr>
          <w:rFonts w:eastAsia="宋体" w:cs="宋体"/>
          <w:sz w:val="21"/>
          <w:lang w:eastAsia="zh-CN"/>
        </w:rPr>
        <w:t>1</w:t>
      </w:r>
      <w:r w:rsidRPr="003277D0">
        <w:rPr>
          <w:rFonts w:eastAsia="宋体" w:cs="宋体"/>
          <w:sz w:val="21"/>
          <w:lang w:eastAsia="zh-CN"/>
        </w:rPr>
        <w:t>）说明了腐蚀和镍离子释放敏感性的推荐试验范例。</w:t>
      </w:r>
    </w:p>
    <w:p w14:paraId="0C79F5B7" w14:textId="77777777" w:rsidR="00016046" w:rsidRPr="00AF2411" w:rsidRDefault="00016046" w:rsidP="00853F4C">
      <w:pPr>
        <w:adjustRightInd w:val="0"/>
        <w:snapToGrid w:val="0"/>
        <w:spacing w:beforeLines="1850" w:before="4440" w:line="300" w:lineRule="auto"/>
        <w:jc w:val="both"/>
        <w:rPr>
          <w:rFonts w:eastAsiaTheme="minorEastAsia"/>
          <w:sz w:val="21"/>
          <w:szCs w:val="21"/>
          <w:lang w:eastAsia="zh-CN"/>
        </w:rPr>
      </w:pPr>
      <w:r w:rsidRPr="003277D0">
        <w:rPr>
          <w:rFonts w:eastAsia="宋体" w:cs="宋体"/>
          <w:sz w:val="21"/>
        </w:rPr>
        <w:t>______________________________</w:t>
      </w:r>
    </w:p>
    <w:p w14:paraId="23DA7D94" w14:textId="087956CB"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38</w:t>
      </w:r>
      <w:r w:rsidRPr="003277D0">
        <w:rPr>
          <w:rFonts w:eastAsia="宋体" w:cs="宋体"/>
          <w:sz w:val="18"/>
        </w:rPr>
        <w:t xml:space="preserve"> ASME V&amp;V 40.Assessing Credibility of Computational Modeling through Verification and Validation: Application to Medical Devices</w:t>
      </w:r>
    </w:p>
    <w:p w14:paraId="101057E2" w14:textId="26AA1BB7" w:rsidR="00D020CF" w:rsidRPr="00016046" w:rsidRDefault="004F06FE" w:rsidP="00016046">
      <w:pPr>
        <w:adjustRightInd w:val="0"/>
        <w:snapToGrid w:val="0"/>
        <w:spacing w:beforeLines="15" w:before="36" w:line="276" w:lineRule="auto"/>
        <w:jc w:val="both"/>
        <w:rPr>
          <w:sz w:val="18"/>
          <w:szCs w:val="21"/>
        </w:rPr>
      </w:pPr>
      <w:r w:rsidRPr="003277D0">
        <w:rPr>
          <w:rFonts w:eastAsia="宋体" w:cs="宋体"/>
          <w:sz w:val="18"/>
          <w:vertAlign w:val="superscript"/>
        </w:rPr>
        <w:t>39</w:t>
      </w:r>
      <w:r w:rsidRPr="003277D0">
        <w:rPr>
          <w:rFonts w:eastAsia="宋体" w:cs="宋体"/>
          <w:sz w:val="18"/>
        </w:rPr>
        <w:t xml:space="preserve"> </w:t>
      </w:r>
      <w:r w:rsidRPr="003277D0">
        <w:rPr>
          <w:rFonts w:eastAsia="宋体" w:cs="宋体"/>
          <w:sz w:val="18"/>
        </w:rPr>
        <w:t>可登录以下网址获取：</w:t>
      </w:r>
      <w:r w:rsidRPr="003277D0">
        <w:rPr>
          <w:rFonts w:eastAsia="宋体" w:cs="宋体"/>
          <w:color w:val="0000FF"/>
          <w:sz w:val="18"/>
          <w:u w:val="single"/>
        </w:rPr>
        <w:t>https://www.fda.gov/regulatory-information/search-fda-guidance-documents/reporting-computational-modeling-studies-medical-device-submissions</w:t>
      </w:r>
    </w:p>
    <w:p w14:paraId="79BFE5A7" w14:textId="13488B7E" w:rsidR="002914F0" w:rsidRPr="002914F0" w:rsidRDefault="004F06FE" w:rsidP="00853F4C">
      <w:pPr>
        <w:adjustRightInd w:val="0"/>
        <w:snapToGrid w:val="0"/>
        <w:spacing w:beforeLines="15" w:before="36" w:line="276" w:lineRule="auto"/>
        <w:jc w:val="both"/>
        <w:rPr>
          <w:sz w:val="21"/>
          <w:szCs w:val="21"/>
          <w:lang w:eastAsia="zh-CN"/>
        </w:rPr>
      </w:pPr>
      <w:r w:rsidRPr="003277D0">
        <w:rPr>
          <w:rFonts w:eastAsia="宋体" w:cs="宋体"/>
          <w:sz w:val="18"/>
          <w:vertAlign w:val="superscript"/>
        </w:rPr>
        <w:t>40</w:t>
      </w:r>
      <w:r w:rsidRPr="003277D0">
        <w:rPr>
          <w:rFonts w:eastAsia="宋体" w:cs="宋体"/>
          <w:sz w:val="18"/>
        </w:rPr>
        <w:t xml:space="preserve"> </w:t>
      </w:r>
      <w:r w:rsidRPr="003277D0">
        <w:rPr>
          <w:rFonts w:eastAsia="宋体" w:cs="宋体"/>
          <w:color w:val="1C1C1C"/>
          <w:sz w:val="18"/>
        </w:rPr>
        <w:t>Sullivan et al (2017).</w:t>
      </w:r>
      <w:r w:rsidR="00DF2FD7">
        <w:rPr>
          <w:rFonts w:eastAsia="宋体" w:cs="宋体"/>
          <w:color w:val="1C1C1C"/>
          <w:sz w:val="18"/>
        </w:rPr>
        <w:t xml:space="preserve"> </w:t>
      </w:r>
      <w:r w:rsidRPr="003277D0">
        <w:rPr>
          <w:rFonts w:eastAsia="宋体" w:cs="宋体"/>
          <w:color w:val="1C1C1C"/>
          <w:sz w:val="18"/>
        </w:rPr>
        <w:t>The effect of surface processing on in-vivo corrosion of Nitinol stents in a porcine model.</w:t>
      </w:r>
      <w:r w:rsidR="00DF2FD7">
        <w:rPr>
          <w:rFonts w:eastAsia="宋体" w:cs="宋体"/>
          <w:color w:val="1C1C1C"/>
          <w:sz w:val="18"/>
        </w:rPr>
        <w:t xml:space="preserve"> </w:t>
      </w:r>
      <w:proofErr w:type="spellStart"/>
      <w:r w:rsidRPr="003277D0">
        <w:rPr>
          <w:rFonts w:eastAsia="宋体" w:cs="宋体"/>
          <w:color w:val="1C1C1C"/>
          <w:sz w:val="18"/>
          <w:lang w:eastAsia="zh-CN"/>
        </w:rPr>
        <w:t>Acta</w:t>
      </w:r>
      <w:proofErr w:type="spellEnd"/>
      <w:r w:rsidRPr="003277D0">
        <w:rPr>
          <w:rFonts w:eastAsia="宋体" w:cs="宋体"/>
          <w:color w:val="1C1C1C"/>
          <w:sz w:val="18"/>
          <w:lang w:eastAsia="zh-CN"/>
        </w:rPr>
        <w:t xml:space="preserve"> </w:t>
      </w:r>
      <w:proofErr w:type="spellStart"/>
      <w:r w:rsidRPr="003277D0">
        <w:rPr>
          <w:rFonts w:eastAsia="宋体" w:cs="宋体"/>
          <w:color w:val="1C1C1C"/>
          <w:sz w:val="18"/>
          <w:lang w:eastAsia="zh-CN"/>
        </w:rPr>
        <w:t>Biomaterialia</w:t>
      </w:r>
      <w:proofErr w:type="spellEnd"/>
      <w:r w:rsidRPr="003277D0">
        <w:rPr>
          <w:rFonts w:eastAsia="宋体" w:cs="宋体"/>
          <w:color w:val="1C1C1C"/>
          <w:sz w:val="18"/>
          <w:lang w:eastAsia="zh-CN"/>
        </w:rPr>
        <w:t>.</w:t>
      </w:r>
      <w:r w:rsidR="00DF2FD7">
        <w:rPr>
          <w:rFonts w:eastAsia="宋体" w:cs="宋体"/>
          <w:color w:val="1C1C1C"/>
          <w:sz w:val="18"/>
          <w:lang w:eastAsia="zh-CN"/>
        </w:rPr>
        <w:t xml:space="preserve"> </w:t>
      </w:r>
      <w:r w:rsidRPr="003277D0">
        <w:rPr>
          <w:rFonts w:eastAsia="宋体" w:cs="宋体"/>
          <w:color w:val="1C1C1C"/>
          <w:sz w:val="18"/>
          <w:lang w:eastAsia="zh-CN"/>
        </w:rPr>
        <w:t>Vol. 16 pp 385 -396</w:t>
      </w:r>
      <w:r w:rsidR="002914F0" w:rsidRPr="003277D0">
        <w:rPr>
          <w:rFonts w:eastAsia="宋体" w:cs="宋体"/>
          <w:sz w:val="21"/>
          <w:lang w:eastAsia="zh-CN"/>
        </w:rPr>
        <w:br w:type="page"/>
      </w:r>
    </w:p>
    <w:p w14:paraId="51DA23B7" w14:textId="6BB2E029" w:rsidR="00D020CF" w:rsidRPr="002914F0" w:rsidRDefault="004F06FE" w:rsidP="00016046">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lastRenderedPageBreak/>
        <w:t>通常不需要对短期接触器械进行腐蚀试验；但是，在器械含有电活性组分、异种金属偶件或可降解金属</w:t>
      </w:r>
      <w:r w:rsidRPr="003277D0">
        <w:rPr>
          <w:rFonts w:eastAsia="宋体" w:cs="宋体"/>
          <w:sz w:val="21"/>
          <w:lang w:eastAsia="zh-CN"/>
        </w:rPr>
        <w:t>/</w:t>
      </w:r>
      <w:r w:rsidRPr="003277D0">
        <w:rPr>
          <w:rFonts w:eastAsia="宋体" w:cs="宋体"/>
          <w:sz w:val="21"/>
          <w:lang w:eastAsia="zh-CN"/>
        </w:rPr>
        <w:t>聚合物组分的情况下（这些特征可能会加速镍钛合金腐蚀），可能需要进行腐蚀试验。在这些情况下，建议根据指南《</w:t>
      </w:r>
      <w:r w:rsidRPr="003277D0">
        <w:rPr>
          <w:rFonts w:eastAsia="宋体" w:cs="宋体"/>
          <w:color w:val="0000FF"/>
          <w:sz w:val="21"/>
          <w:u w:val="single"/>
          <w:lang w:eastAsia="zh-CN"/>
        </w:rPr>
        <w:t>医疗器械申请的反馈请求：预申请</w:t>
      </w:r>
      <w:r w:rsidR="00E750FB">
        <w:rPr>
          <w:rFonts w:eastAsia="宋体" w:cs="宋体" w:hint="eastAsia"/>
          <w:color w:val="0000FF"/>
          <w:sz w:val="21"/>
          <w:u w:val="single"/>
          <w:lang w:eastAsia="zh-CN"/>
        </w:rPr>
        <w:t>计划</w:t>
      </w:r>
      <w:r w:rsidRPr="003277D0">
        <w:rPr>
          <w:rFonts w:eastAsia="宋体" w:cs="宋体"/>
          <w:color w:val="0000FF"/>
          <w:sz w:val="21"/>
          <w:u w:val="single"/>
          <w:lang w:eastAsia="zh-CN"/>
        </w:rPr>
        <w:t>和与</w:t>
      </w:r>
      <w:r w:rsidR="005A061B">
        <w:rPr>
          <w:rFonts w:eastAsia="宋体" w:cs="宋体"/>
          <w:color w:val="0000FF"/>
          <w:sz w:val="21"/>
          <w:u w:val="single"/>
          <w:lang w:eastAsia="zh-CN"/>
        </w:rPr>
        <w:t>美国食品药品监督管理局</w:t>
      </w:r>
      <w:r w:rsidRPr="003277D0">
        <w:rPr>
          <w:rFonts w:eastAsia="宋体" w:cs="宋体"/>
          <w:color w:val="0000FF"/>
          <w:sz w:val="21"/>
          <w:u w:val="single"/>
          <w:lang w:eastAsia="zh-CN"/>
        </w:rPr>
        <w:t>工作人员召开会议</w:t>
      </w:r>
      <w:r w:rsidRPr="003277D0">
        <w:rPr>
          <w:rFonts w:eastAsia="宋体" w:cs="宋体"/>
          <w:sz w:val="21"/>
          <w:lang w:eastAsia="zh-CN"/>
        </w:rPr>
        <w:t>》通过</w:t>
      </w:r>
      <w:r w:rsidRPr="003277D0">
        <w:rPr>
          <w:rFonts w:eastAsia="宋体" w:cs="宋体"/>
          <w:sz w:val="21"/>
          <w:lang w:eastAsia="zh-CN"/>
        </w:rPr>
        <w:t>Q-</w:t>
      </w:r>
      <w:r w:rsidRPr="003277D0">
        <w:rPr>
          <w:rFonts w:eastAsia="宋体" w:cs="宋体"/>
          <w:sz w:val="21"/>
          <w:lang w:eastAsia="zh-CN"/>
        </w:rPr>
        <w:t>申请流程寻求更详细的反馈。</w:t>
      </w:r>
      <w:r w:rsidRPr="003277D0">
        <w:rPr>
          <w:rFonts w:eastAsia="宋体" w:cs="宋体"/>
          <w:sz w:val="21"/>
          <w:vertAlign w:val="superscript"/>
          <w:lang w:eastAsia="zh-CN"/>
        </w:rPr>
        <w:t>41</w:t>
      </w:r>
    </w:p>
    <w:p w14:paraId="3898FA9F" w14:textId="3DB04718" w:rsidR="00D020CF" w:rsidRPr="002914F0" w:rsidRDefault="00F50E42" w:rsidP="00016046">
      <w:pPr>
        <w:pStyle w:val="a3"/>
        <w:adjustRightInd w:val="0"/>
        <w:snapToGrid w:val="0"/>
        <w:spacing w:beforeLines="50" w:before="120" w:line="300" w:lineRule="auto"/>
        <w:jc w:val="center"/>
        <w:rPr>
          <w:sz w:val="21"/>
          <w:szCs w:val="21"/>
        </w:rPr>
      </w:pPr>
      <w:r>
        <w:rPr>
          <w:noProof/>
          <w:sz w:val="21"/>
          <w:szCs w:val="21"/>
          <w:lang w:eastAsia="zh-CN" w:bidi="ar-SA"/>
        </w:rPr>
        <mc:AlternateContent>
          <mc:Choice Requires="wpg">
            <w:drawing>
              <wp:anchor distT="0" distB="0" distL="114300" distR="114300" simplePos="0" relativeHeight="251678720" behindDoc="0" locked="0" layoutInCell="1" allowOverlap="1" wp14:anchorId="4B6AADBA" wp14:editId="1A35AB11">
                <wp:simplePos x="0" y="0"/>
                <wp:positionH relativeFrom="column">
                  <wp:posOffset>1158958</wp:posOffset>
                </wp:positionH>
                <wp:positionV relativeFrom="paragraph">
                  <wp:posOffset>356483</wp:posOffset>
                </wp:positionV>
                <wp:extent cx="3401090" cy="2162754"/>
                <wp:effectExtent l="0" t="0" r="8890" b="9525"/>
                <wp:wrapNone/>
                <wp:docPr id="8" name="组合 8"/>
                <wp:cNvGraphicFramePr/>
                <a:graphic xmlns:a="http://schemas.openxmlformats.org/drawingml/2006/main">
                  <a:graphicData uri="http://schemas.microsoft.com/office/word/2010/wordprocessingGroup">
                    <wpg:wgp>
                      <wpg:cNvGrpSpPr/>
                      <wpg:grpSpPr>
                        <a:xfrm>
                          <a:off x="0" y="0"/>
                          <a:ext cx="3401090" cy="2162754"/>
                          <a:chOff x="-146304" y="-321869"/>
                          <a:chExt cx="3401223" cy="2163623"/>
                        </a:xfrm>
                      </wpg:grpSpPr>
                      <wps:wsp>
                        <wps:cNvPr id="9" name="文本框 2"/>
                        <wps:cNvSpPr txBox="1">
                          <a:spLocks noChangeArrowheads="1"/>
                        </wps:cNvSpPr>
                        <wps:spPr bwMode="auto">
                          <a:xfrm>
                            <a:off x="1054748" y="-321869"/>
                            <a:ext cx="872523" cy="280349"/>
                          </a:xfrm>
                          <a:prstGeom prst="rect">
                            <a:avLst/>
                          </a:prstGeom>
                          <a:solidFill>
                            <a:srgbClr val="FFFFFF"/>
                          </a:solidFill>
                          <a:ln w="9525">
                            <a:noFill/>
                            <a:miter lim="800000"/>
                            <a:headEnd/>
                            <a:tailEnd/>
                          </a:ln>
                        </wps:spPr>
                        <wps:txbx>
                          <w:txbxContent>
                            <w:p w14:paraId="0F7098C4" w14:textId="77777777" w:rsidR="00F50E42" w:rsidRPr="00624DCC" w:rsidRDefault="00F50E42" w:rsidP="00F50E42">
                              <w:pPr>
                                <w:jc w:val="center"/>
                                <w:rPr>
                                  <w:sz w:val="18"/>
                                  <w:szCs w:val="18"/>
                                </w:rPr>
                              </w:pPr>
                              <w:proofErr w:type="spellStart"/>
                              <w:r w:rsidRPr="003277D0">
                                <w:rPr>
                                  <w:rFonts w:eastAsia="宋体" w:cs="宋体"/>
                                  <w:sz w:val="18"/>
                                </w:rPr>
                                <w:t>符合验收标准</w:t>
                              </w:r>
                              <w:proofErr w:type="spellEnd"/>
                            </w:p>
                          </w:txbxContent>
                        </wps:txbx>
                        <wps:bodyPr rot="0" vert="horz" wrap="square" lIns="0" tIns="0" rIns="0" bIns="0" anchor="ctr" anchorCtr="0">
                          <a:noAutofit/>
                        </wps:bodyPr>
                      </wps:wsp>
                      <wps:wsp>
                        <wps:cNvPr id="10" name="文本框 2"/>
                        <wps:cNvSpPr txBox="1">
                          <a:spLocks noChangeArrowheads="1"/>
                        </wps:cNvSpPr>
                        <wps:spPr bwMode="auto">
                          <a:xfrm>
                            <a:off x="1083975" y="607215"/>
                            <a:ext cx="872523" cy="306192"/>
                          </a:xfrm>
                          <a:prstGeom prst="rect">
                            <a:avLst/>
                          </a:prstGeom>
                          <a:solidFill>
                            <a:srgbClr val="FFFFFF"/>
                          </a:solidFill>
                          <a:ln w="9525">
                            <a:noFill/>
                            <a:miter lim="800000"/>
                            <a:headEnd/>
                            <a:tailEnd/>
                          </a:ln>
                        </wps:spPr>
                        <wps:txbx>
                          <w:txbxContent>
                            <w:p w14:paraId="6294E608" w14:textId="77777777" w:rsidR="00F50E42" w:rsidRPr="00624DCC" w:rsidRDefault="00F50E42" w:rsidP="00F50E42">
                              <w:pPr>
                                <w:jc w:val="center"/>
                                <w:rPr>
                                  <w:sz w:val="18"/>
                                  <w:szCs w:val="18"/>
                                </w:rPr>
                              </w:pPr>
                              <w:proofErr w:type="spellStart"/>
                              <w:r w:rsidRPr="003277D0">
                                <w:rPr>
                                  <w:rFonts w:eastAsia="宋体" w:cs="宋体"/>
                                  <w:sz w:val="18"/>
                                </w:rPr>
                                <w:t>是否确定表面光洁度</w:t>
                              </w:r>
                              <w:proofErr w:type="spellEnd"/>
                              <w:r w:rsidRPr="003277D0">
                                <w:rPr>
                                  <w:rFonts w:eastAsia="宋体" w:cs="宋体"/>
                                  <w:sz w:val="18"/>
                                </w:rPr>
                                <w:t>？</w:t>
                              </w:r>
                            </w:p>
                          </w:txbxContent>
                        </wps:txbx>
                        <wps:bodyPr rot="0" vert="horz" wrap="square" lIns="0" tIns="0" rIns="0" bIns="0" anchor="ctr" anchorCtr="0">
                          <a:spAutoFit/>
                        </wps:bodyPr>
                      </wps:wsp>
                      <wps:wsp>
                        <wps:cNvPr id="11" name="文本框 11"/>
                        <wps:cNvSpPr txBox="1">
                          <a:spLocks noChangeArrowheads="1"/>
                        </wps:cNvSpPr>
                        <wps:spPr bwMode="auto">
                          <a:xfrm>
                            <a:off x="2375087" y="614203"/>
                            <a:ext cx="872523" cy="298873"/>
                          </a:xfrm>
                          <a:prstGeom prst="rect">
                            <a:avLst/>
                          </a:prstGeom>
                          <a:solidFill>
                            <a:srgbClr val="FFFFFF"/>
                          </a:solidFill>
                          <a:ln w="9525">
                            <a:noFill/>
                            <a:miter lim="800000"/>
                            <a:headEnd/>
                            <a:tailEnd/>
                          </a:ln>
                        </wps:spPr>
                        <wps:txbx>
                          <w:txbxContent>
                            <w:p w14:paraId="77CD3480" w14:textId="77777777" w:rsidR="00F50E42" w:rsidRPr="00624DCC" w:rsidRDefault="00F50E42" w:rsidP="00F50E42">
                              <w:pPr>
                                <w:jc w:val="center"/>
                                <w:rPr>
                                  <w:sz w:val="18"/>
                                  <w:szCs w:val="18"/>
                                </w:rPr>
                              </w:pPr>
                              <w:proofErr w:type="spellStart"/>
                              <w:r w:rsidRPr="003277D0">
                                <w:rPr>
                                  <w:rFonts w:eastAsia="宋体" w:cs="宋体"/>
                                  <w:sz w:val="18"/>
                                </w:rPr>
                                <w:t>体外镍离子释放</w:t>
                              </w:r>
                              <w:proofErr w:type="spellEnd"/>
                            </w:p>
                          </w:txbxContent>
                        </wps:txbx>
                        <wps:bodyPr rot="0" vert="horz" wrap="square" lIns="0" tIns="0" rIns="0" bIns="0" anchor="ctr" anchorCtr="0">
                          <a:noAutofit/>
                        </wps:bodyPr>
                      </wps:wsp>
                      <wps:wsp>
                        <wps:cNvPr id="12" name="文本框 12"/>
                        <wps:cNvSpPr txBox="1">
                          <a:spLocks noChangeArrowheads="1"/>
                        </wps:cNvSpPr>
                        <wps:spPr bwMode="auto">
                          <a:xfrm>
                            <a:off x="1084138" y="1543255"/>
                            <a:ext cx="872523" cy="298499"/>
                          </a:xfrm>
                          <a:prstGeom prst="rect">
                            <a:avLst/>
                          </a:prstGeom>
                          <a:solidFill>
                            <a:srgbClr val="FFFFFF"/>
                          </a:solidFill>
                          <a:ln w="9525">
                            <a:noFill/>
                            <a:miter lim="800000"/>
                            <a:headEnd/>
                            <a:tailEnd/>
                          </a:ln>
                        </wps:spPr>
                        <wps:txbx>
                          <w:txbxContent>
                            <w:p w14:paraId="14404268" w14:textId="77777777" w:rsidR="00F50E42" w:rsidRPr="00624DCC" w:rsidRDefault="00F50E42" w:rsidP="00F50E42">
                              <w:pPr>
                                <w:jc w:val="center"/>
                                <w:rPr>
                                  <w:sz w:val="18"/>
                                  <w:szCs w:val="18"/>
                                </w:rPr>
                              </w:pPr>
                              <w:proofErr w:type="spellStart"/>
                              <w:r w:rsidRPr="003277D0">
                                <w:rPr>
                                  <w:rFonts w:eastAsia="宋体" w:cs="宋体"/>
                                  <w:sz w:val="18"/>
                                </w:rPr>
                                <w:t>无需进一步试验</w:t>
                              </w:r>
                              <w:proofErr w:type="spellEnd"/>
                            </w:p>
                          </w:txbxContent>
                        </wps:txbx>
                        <wps:bodyPr rot="0" vert="horz" wrap="square" lIns="0" tIns="0" rIns="0" bIns="0" anchor="ctr" anchorCtr="0">
                          <a:noAutofit/>
                        </wps:bodyPr>
                      </wps:wsp>
                      <wps:wsp>
                        <wps:cNvPr id="13" name="文本框 13"/>
                        <wps:cNvSpPr txBox="1">
                          <a:spLocks noChangeArrowheads="1"/>
                        </wps:cNvSpPr>
                        <wps:spPr bwMode="auto">
                          <a:xfrm>
                            <a:off x="2382396" y="1531429"/>
                            <a:ext cx="872523" cy="214872"/>
                          </a:xfrm>
                          <a:prstGeom prst="rect">
                            <a:avLst/>
                          </a:prstGeom>
                          <a:solidFill>
                            <a:srgbClr val="FFFFFF"/>
                          </a:solidFill>
                          <a:ln w="9525">
                            <a:noFill/>
                            <a:miter lim="800000"/>
                            <a:headEnd/>
                            <a:tailEnd/>
                          </a:ln>
                        </wps:spPr>
                        <wps:txbx>
                          <w:txbxContent>
                            <w:p w14:paraId="3B0AFC0A" w14:textId="77777777" w:rsidR="00F50E42" w:rsidRPr="00624DCC" w:rsidRDefault="00F50E42" w:rsidP="00F50E42">
                              <w:pPr>
                                <w:jc w:val="center"/>
                                <w:rPr>
                                  <w:sz w:val="18"/>
                                  <w:szCs w:val="18"/>
                                </w:rPr>
                              </w:pPr>
                              <w:proofErr w:type="spellStart"/>
                              <w:r w:rsidRPr="003277D0">
                                <w:rPr>
                                  <w:rFonts w:eastAsia="宋体" w:cs="宋体"/>
                                  <w:sz w:val="18"/>
                                </w:rPr>
                                <w:t>风险评定</w:t>
                              </w:r>
                              <w:proofErr w:type="spellEnd"/>
                            </w:p>
                          </w:txbxContent>
                        </wps:txbx>
                        <wps:bodyPr rot="0" vert="horz" wrap="square" lIns="0" tIns="0" rIns="0" bIns="0" anchor="ctr" anchorCtr="0">
                          <a:noAutofit/>
                        </wps:bodyPr>
                      </wps:wsp>
                      <wps:wsp>
                        <wps:cNvPr id="14" name="文本框 14"/>
                        <wps:cNvSpPr txBox="1">
                          <a:spLocks noChangeArrowheads="1"/>
                        </wps:cNvSpPr>
                        <wps:spPr bwMode="auto">
                          <a:xfrm>
                            <a:off x="1223132" y="1153701"/>
                            <a:ext cx="255279" cy="157542"/>
                          </a:xfrm>
                          <a:prstGeom prst="rect">
                            <a:avLst/>
                          </a:prstGeom>
                          <a:solidFill>
                            <a:srgbClr val="FFFFFF"/>
                          </a:solidFill>
                          <a:ln w="9525">
                            <a:noFill/>
                            <a:miter lim="800000"/>
                            <a:headEnd/>
                            <a:tailEnd/>
                          </a:ln>
                        </wps:spPr>
                        <wps:txbx>
                          <w:txbxContent>
                            <w:p w14:paraId="0AE6E226" w14:textId="77777777" w:rsidR="00F50E42" w:rsidRPr="00624DCC" w:rsidRDefault="00F50E42" w:rsidP="00F50E42">
                              <w:pPr>
                                <w:jc w:val="center"/>
                                <w:rPr>
                                  <w:sz w:val="18"/>
                                  <w:szCs w:val="18"/>
                                </w:rPr>
                              </w:pPr>
                              <w:r w:rsidRPr="003277D0">
                                <w:rPr>
                                  <w:rFonts w:eastAsia="宋体" w:cs="宋体"/>
                                  <w:sz w:val="18"/>
                                </w:rPr>
                                <w:t>是</w:t>
                              </w:r>
                            </w:p>
                          </w:txbxContent>
                        </wps:txbx>
                        <wps:bodyPr rot="0" vert="horz" wrap="square" lIns="0" tIns="0" rIns="0" bIns="0" anchor="ctr" anchorCtr="0">
                          <a:spAutoFit/>
                        </wps:bodyPr>
                      </wps:wsp>
                      <wps:wsp>
                        <wps:cNvPr id="15" name="文本框 15"/>
                        <wps:cNvSpPr txBox="1">
                          <a:spLocks noChangeArrowheads="1"/>
                        </wps:cNvSpPr>
                        <wps:spPr bwMode="auto">
                          <a:xfrm>
                            <a:off x="1223133" y="209165"/>
                            <a:ext cx="255279" cy="157542"/>
                          </a:xfrm>
                          <a:prstGeom prst="rect">
                            <a:avLst/>
                          </a:prstGeom>
                          <a:solidFill>
                            <a:srgbClr val="FFFFFF"/>
                          </a:solidFill>
                          <a:ln w="9525">
                            <a:noFill/>
                            <a:miter lim="800000"/>
                            <a:headEnd/>
                            <a:tailEnd/>
                          </a:ln>
                        </wps:spPr>
                        <wps:txbx>
                          <w:txbxContent>
                            <w:p w14:paraId="5061023F" w14:textId="77777777" w:rsidR="00F50E42" w:rsidRPr="00624DCC" w:rsidRDefault="00F50E42" w:rsidP="00F50E42">
                              <w:pPr>
                                <w:jc w:val="center"/>
                                <w:rPr>
                                  <w:sz w:val="18"/>
                                  <w:szCs w:val="18"/>
                                </w:rPr>
                              </w:pPr>
                              <w:r w:rsidRPr="003277D0">
                                <w:rPr>
                                  <w:rFonts w:eastAsia="宋体" w:cs="宋体"/>
                                  <w:sz w:val="18"/>
                                </w:rPr>
                                <w:t>是</w:t>
                              </w:r>
                            </w:p>
                          </w:txbxContent>
                        </wps:txbx>
                        <wps:bodyPr rot="0" vert="horz" wrap="square" lIns="0" tIns="0" rIns="0" bIns="0" anchor="ctr" anchorCtr="0">
                          <a:spAutoFit/>
                        </wps:bodyPr>
                      </wps:wsp>
                      <wps:wsp>
                        <wps:cNvPr id="16" name="文本框 16"/>
                        <wps:cNvSpPr txBox="1">
                          <a:spLocks noChangeArrowheads="1"/>
                        </wps:cNvSpPr>
                        <wps:spPr bwMode="auto">
                          <a:xfrm>
                            <a:off x="2022241" y="584583"/>
                            <a:ext cx="255279" cy="157542"/>
                          </a:xfrm>
                          <a:prstGeom prst="rect">
                            <a:avLst/>
                          </a:prstGeom>
                          <a:solidFill>
                            <a:srgbClr val="FFFFFF"/>
                          </a:solidFill>
                          <a:ln w="9525">
                            <a:noFill/>
                            <a:miter lim="800000"/>
                            <a:headEnd/>
                            <a:tailEnd/>
                          </a:ln>
                        </wps:spPr>
                        <wps:txbx>
                          <w:txbxContent>
                            <w:p w14:paraId="7B4F34D1" w14:textId="77777777" w:rsidR="00F50E42" w:rsidRPr="00624DCC" w:rsidRDefault="00F50E42" w:rsidP="00F50E42">
                              <w:pPr>
                                <w:jc w:val="center"/>
                                <w:rPr>
                                  <w:sz w:val="18"/>
                                  <w:szCs w:val="18"/>
                                </w:rPr>
                              </w:pPr>
                              <w:r w:rsidRPr="003277D0">
                                <w:rPr>
                                  <w:rFonts w:eastAsia="宋体" w:cs="宋体"/>
                                  <w:sz w:val="18"/>
                                </w:rPr>
                                <w:t>否</w:t>
                              </w:r>
                            </w:p>
                          </w:txbxContent>
                        </wps:txbx>
                        <wps:bodyPr rot="0" vert="horz" wrap="square" lIns="0" tIns="0" rIns="0" bIns="0" anchor="ctr" anchorCtr="0">
                          <a:spAutoFit/>
                        </wps:bodyPr>
                      </wps:wsp>
                      <wps:wsp>
                        <wps:cNvPr id="17" name="文本框 17"/>
                        <wps:cNvSpPr txBox="1">
                          <a:spLocks noChangeArrowheads="1"/>
                        </wps:cNvSpPr>
                        <wps:spPr bwMode="auto">
                          <a:xfrm>
                            <a:off x="2375307" y="-41445"/>
                            <a:ext cx="255279" cy="157542"/>
                          </a:xfrm>
                          <a:prstGeom prst="rect">
                            <a:avLst/>
                          </a:prstGeom>
                          <a:solidFill>
                            <a:srgbClr val="FFFFFF"/>
                          </a:solidFill>
                          <a:ln w="9525">
                            <a:noFill/>
                            <a:miter lim="800000"/>
                            <a:headEnd/>
                            <a:tailEnd/>
                          </a:ln>
                        </wps:spPr>
                        <wps:txbx>
                          <w:txbxContent>
                            <w:p w14:paraId="21286CFD" w14:textId="77777777" w:rsidR="00F50E42" w:rsidRPr="00624DCC" w:rsidRDefault="00F50E42" w:rsidP="00F50E42">
                              <w:pPr>
                                <w:jc w:val="center"/>
                                <w:rPr>
                                  <w:sz w:val="18"/>
                                  <w:szCs w:val="18"/>
                                </w:rPr>
                              </w:pPr>
                              <w:r w:rsidRPr="003277D0">
                                <w:rPr>
                                  <w:rFonts w:eastAsia="宋体" w:cs="宋体"/>
                                  <w:sz w:val="18"/>
                                </w:rPr>
                                <w:t>否</w:t>
                              </w:r>
                            </w:p>
                          </w:txbxContent>
                        </wps:txbx>
                        <wps:bodyPr rot="0" vert="horz" wrap="square" lIns="0" tIns="0" rIns="0" bIns="0" anchor="ctr" anchorCtr="0">
                          <a:spAutoFit/>
                        </wps:bodyPr>
                      </wps:wsp>
                      <wps:wsp>
                        <wps:cNvPr id="18" name="文本框 2"/>
                        <wps:cNvSpPr txBox="1">
                          <a:spLocks noChangeArrowheads="1"/>
                        </wps:cNvSpPr>
                        <wps:spPr bwMode="auto">
                          <a:xfrm>
                            <a:off x="-146304" y="-321869"/>
                            <a:ext cx="873158" cy="289040"/>
                          </a:xfrm>
                          <a:prstGeom prst="rect">
                            <a:avLst/>
                          </a:prstGeom>
                          <a:solidFill>
                            <a:srgbClr val="FFFFFF"/>
                          </a:solidFill>
                          <a:ln w="9525">
                            <a:noFill/>
                            <a:miter lim="800000"/>
                            <a:headEnd/>
                            <a:tailEnd/>
                          </a:ln>
                        </wps:spPr>
                        <wps:txbx>
                          <w:txbxContent>
                            <w:p w14:paraId="74201E51" w14:textId="77777777" w:rsidR="00F50E42" w:rsidRPr="00624DCC" w:rsidRDefault="00F50E42" w:rsidP="00F50E42">
                              <w:pPr>
                                <w:jc w:val="center"/>
                                <w:rPr>
                                  <w:sz w:val="18"/>
                                  <w:szCs w:val="18"/>
                                </w:rPr>
                              </w:pPr>
                              <w:proofErr w:type="spellStart"/>
                              <w:r w:rsidRPr="003277D0">
                                <w:rPr>
                                  <w:rFonts w:eastAsia="宋体" w:cs="宋体"/>
                                  <w:sz w:val="18"/>
                                </w:rPr>
                                <w:t>根据</w:t>
                              </w:r>
                              <w:r w:rsidRPr="003277D0">
                                <w:rPr>
                                  <w:rFonts w:eastAsia="宋体" w:cs="宋体"/>
                                  <w:sz w:val="18"/>
                                </w:rPr>
                                <w:t>ASTM</w:t>
                              </w:r>
                              <w:proofErr w:type="spellEnd"/>
                              <w:r w:rsidRPr="003277D0">
                                <w:rPr>
                                  <w:rFonts w:eastAsia="宋体" w:cs="宋体"/>
                                  <w:sz w:val="18"/>
                                </w:rPr>
                                <w:t xml:space="preserve"> F2129</w:t>
                              </w:r>
                            </w:p>
                          </w:txbxContent>
                        </wps:txbx>
                        <wps:bodyPr rot="0" vert="horz" wrap="square" lIns="0" tIns="0" rIns="0" bIns="0" anchor="ctr" anchorCtr="0">
                          <a:spAutoFit/>
                        </wps:bodyPr>
                      </wps:wsp>
                    </wpg:wgp>
                  </a:graphicData>
                </a:graphic>
                <wp14:sizeRelH relativeFrom="margin">
                  <wp14:pctWidth>0</wp14:pctWidth>
                </wp14:sizeRelH>
                <wp14:sizeRelV relativeFrom="margin">
                  <wp14:pctHeight>0</wp14:pctHeight>
                </wp14:sizeRelV>
              </wp:anchor>
            </w:drawing>
          </mc:Choice>
          <mc:Fallback>
            <w:pict>
              <v:group id="组合 8" o:spid="_x0000_s1026" style="position:absolute;left:0;text-align:left;margin-left:91.25pt;margin-top:28.05pt;width:267.8pt;height:170.3pt;z-index:251678720;mso-width-relative:margin;mso-height-relative:margin" coordorigin="-1463,-3218" coordsize="34012,2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">
                <v:shapetype id="_x0000_t202" coordsize="21600,21600" o:spt="202" path="m,l,21600r21600,l21600,xe">
                  <v:stroke joinstyle="miter"/>
                  <v:path gradientshapeok="t" o:connecttype="rect"/>
                </v:shapetype>
                <v:shape id="文本框 2" o:spid="_x0000_s1027" type="#_x0000_t202" style="position:absolute;left:10547;top:-3218;width:8725;height:2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Co8IA&#10;AADaAAAADwAAAGRycy9kb3ducmV2LnhtbESPQYvCMBSE7wv+h/AEb2uqgq7VKCIq62EPq/6AZ/Oa&#10;FpuX0kSt++uNIOxxmJlvmPmytZW4UeNLxwoG/QQEceZ0yUbB6bj9/ALhA7LGyjEpeJCH5aLzMcdU&#10;uzv/0u0QjIgQ9ikqKEKoUyl9VpBF33c1cfRy11gMUTZG6gbvEW4rOUySsbRYclwosKZ1QdnlcLUK&#10;1n85muRc/+zG2cjsA002ZT5RqtdtVzMQgdrwH363v7WCKbyux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UKjwgAAANoAAAAPAAAAAAAAAAAAAAAAAJgCAABkcnMvZG93&#10;bnJldi54bWxQSwUGAAAAAAQABAD1AAAAhwMAAAAA&#10;" stroked="f">
                  <v:textbox inset="0,0,0,0">
                    <w:txbxContent>
                      <w:p w14:paraId="0F7098C4" w14:textId="77777777" w:rsidR="00F50E42" w:rsidRPr="00624DCC" w:rsidRDefault="00F50E42" w:rsidP="00F50E42">
                        <w:pPr>
                          <w:jc w:val="center"/>
                          <w:rPr>
                            <w:sz w:val="18"/>
                            <w:szCs w:val="18"/>
                          </w:rPr>
                        </w:pPr>
                        <w:proofErr w:type="spellStart"/>
                        <w:r w:rsidRPr="003277D0">
                          <w:rPr>
                            <w:rFonts w:eastAsia="宋体" w:cs="宋体"/>
                            <w:sz w:val="18"/>
                          </w:rPr>
                          <w:t>符合验收标准</w:t>
                        </w:r>
                        <w:proofErr w:type="spellEnd"/>
                      </w:p>
                    </w:txbxContent>
                  </v:textbox>
                </v:shape>
                <v:shape id="文本框 2" o:spid="_x0000_s1028" type="#_x0000_t202" style="position:absolute;left:10839;top:6072;width:8725;height:30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1rsMA&#10;AADbAAAADwAAAGRycy9kb3ducmV2LnhtbESPzYrCQBCE74LvMPTC3nSiKyJZR1l/FnIS/x6gybRJ&#10;2ExPyIya9entg+Ctm6qu+nq+7FytbtSGyrOB0TABRZx7W3Fh4Hz6HcxAhYhssfZMBv4pwHLR780x&#10;tf7OB7odY6EkhEOKBsoYm1TrkJfkMAx9QyzaxbcOo6xtoW2Ldwl3tR4nyVQ7rFgaSmxoXVL+d7w6&#10;A1+TPRbn1a7erOIp05PsMbpsH8Z8fnQ/36AidfFtfl1nVvCFXn6RAf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r1rsMAAADbAAAADwAAAAAAAAAAAAAAAACYAgAAZHJzL2Rv&#10;d25yZXYueG1sUEsFBgAAAAAEAAQA9QAAAIgDAAAAAA==&#10;" stroked="f">
                  <v:textbox style="mso-fit-shape-to-text:t" inset="0,0,0,0">
                    <w:txbxContent>
                      <w:p w14:paraId="6294E608" w14:textId="77777777" w:rsidR="00F50E42" w:rsidRPr="00624DCC" w:rsidRDefault="00F50E42" w:rsidP="00F50E42">
                        <w:pPr>
                          <w:jc w:val="center"/>
                          <w:rPr>
                            <w:sz w:val="18"/>
                            <w:szCs w:val="18"/>
                          </w:rPr>
                        </w:pPr>
                        <w:proofErr w:type="spellStart"/>
                        <w:r w:rsidRPr="003277D0">
                          <w:rPr>
                            <w:rFonts w:eastAsia="宋体" w:cs="宋体"/>
                            <w:sz w:val="18"/>
                          </w:rPr>
                          <w:t>是否确定表面光洁度</w:t>
                        </w:r>
                        <w:proofErr w:type="spellEnd"/>
                        <w:r w:rsidRPr="003277D0">
                          <w:rPr>
                            <w:rFonts w:eastAsia="宋体" w:cs="宋体"/>
                            <w:sz w:val="18"/>
                          </w:rPr>
                          <w:t>？</w:t>
                        </w:r>
                      </w:p>
                    </w:txbxContent>
                  </v:textbox>
                </v:shape>
                <v:shape id="文本框 11" o:spid="_x0000_s1029" type="#_x0000_t202" style="position:absolute;left:23750;top:6142;width:8726;height:2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7E8AA&#10;AADbAAAADwAAAGRycy9kb3ducmV2LnhtbERPzYrCMBC+C75DGGFvmuqCSjWKiMp68LDVBxibaVps&#10;JqWJ2t2n3wjC3ubj+53lurO1eFDrK8cKxqMEBHHudMVGweW8H85B+ICssXZMCn7Iw3rV7y0x1e7J&#10;3/TIghExhH2KCsoQmlRKn5dk0Y9cQxy5wrUWQ4StkbrFZwy3tZwkyVRarDg2lNjQtqT8lt2tgu1v&#10;gSa5NqfDNP80x0CzXVXMlPoYdJsFiEBd+Be/3V86zh/D65d4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Q7E8AAAADbAAAADwAAAAAAAAAAAAAAAACYAgAAZHJzL2Rvd25y&#10;ZXYueG1sUEsFBgAAAAAEAAQA9QAAAIUDAAAAAA==&#10;" stroked="f">
                  <v:textbox inset="0,0,0,0">
                    <w:txbxContent>
                      <w:p w14:paraId="77CD3480" w14:textId="77777777" w:rsidR="00F50E42" w:rsidRPr="00624DCC" w:rsidRDefault="00F50E42" w:rsidP="00F50E42">
                        <w:pPr>
                          <w:jc w:val="center"/>
                          <w:rPr>
                            <w:sz w:val="18"/>
                            <w:szCs w:val="18"/>
                          </w:rPr>
                        </w:pPr>
                        <w:proofErr w:type="spellStart"/>
                        <w:r w:rsidRPr="003277D0">
                          <w:rPr>
                            <w:rFonts w:eastAsia="宋体" w:cs="宋体"/>
                            <w:sz w:val="18"/>
                          </w:rPr>
                          <w:t>体外镍离子释放</w:t>
                        </w:r>
                        <w:proofErr w:type="spellEnd"/>
                      </w:p>
                    </w:txbxContent>
                  </v:textbox>
                </v:shape>
                <v:shape id="文本框 12" o:spid="_x0000_s1030" type="#_x0000_t202" style="position:absolute;left:10841;top:15432;width:8725;height: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lZMEA&#10;AADbAAAADwAAAGRycy9kb3ducmV2LnhtbERPzWrCQBC+C77DMoI33VQhKdFVilSpBw+1fYBpdrIJ&#10;ZmdDdpukffquIPQ2H9/vbPejbURPna8dK3haJiCIC6drNgo+P46LZxA+IGtsHJOCH/Kw300nW8y1&#10;G/id+mswIoawz1FBFUKbS+mLiiz6pWuJI1e6zmKIsDNSdzjEcNvIVZKk0mLNsaHClg4VFbfrt1Vw&#10;+C3RJF/t5ZQWa3MOlL3WZabUfDa+bEAEGsO/+OF+03H+Cu6/x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mpWTBAAAA2wAAAA8AAAAAAAAAAAAAAAAAmAIAAGRycy9kb3du&#10;cmV2LnhtbFBLBQYAAAAABAAEAPUAAACGAwAAAAA=&#10;" stroked="f">
                  <v:textbox inset="0,0,0,0">
                    <w:txbxContent>
                      <w:p w14:paraId="14404268" w14:textId="77777777" w:rsidR="00F50E42" w:rsidRPr="00624DCC" w:rsidRDefault="00F50E42" w:rsidP="00F50E42">
                        <w:pPr>
                          <w:jc w:val="center"/>
                          <w:rPr>
                            <w:sz w:val="18"/>
                            <w:szCs w:val="18"/>
                          </w:rPr>
                        </w:pPr>
                        <w:proofErr w:type="spellStart"/>
                        <w:r w:rsidRPr="003277D0">
                          <w:rPr>
                            <w:rFonts w:eastAsia="宋体" w:cs="宋体"/>
                            <w:sz w:val="18"/>
                          </w:rPr>
                          <w:t>无需进一步试验</w:t>
                        </w:r>
                        <w:proofErr w:type="spellEnd"/>
                      </w:p>
                    </w:txbxContent>
                  </v:textbox>
                </v:shape>
                <v:shape id="文本框 13" o:spid="_x0000_s1031" type="#_x0000_t202" style="position:absolute;left:23823;top:15314;width:8726;height:2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oA/8AA&#10;AADbAAAADwAAAGRycy9kb3ducmV2LnhtbERPzYrCMBC+L/gOYQRva6qCSjWKiMruYQ9WH2Bspmmx&#10;mZQmatenNwsL3ubj+53lurO1uFPrK8cKRsMEBHHudMVGwfm0/5yD8AFZY+2YFPySh/Wq97HEVLsH&#10;H+meBSNiCPsUFZQhNKmUPi/Joh+6hjhyhWsthghbI3WLjxhuazlOkqm0WHFsKLGhbUn5NbtZBdtn&#10;gSa5ND+HaT4x34Fmu6qYKTXod5sFiEBdeIv/3V86zp/A3y/x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6oA/8AAAADbAAAADwAAAAAAAAAAAAAAAACYAgAAZHJzL2Rvd25y&#10;ZXYueG1sUEsFBgAAAAAEAAQA9QAAAIUDAAAAAA==&#10;" stroked="f">
                  <v:textbox inset="0,0,0,0">
                    <w:txbxContent>
                      <w:p w14:paraId="3B0AFC0A" w14:textId="77777777" w:rsidR="00F50E42" w:rsidRPr="00624DCC" w:rsidRDefault="00F50E42" w:rsidP="00F50E42">
                        <w:pPr>
                          <w:jc w:val="center"/>
                          <w:rPr>
                            <w:sz w:val="18"/>
                            <w:szCs w:val="18"/>
                          </w:rPr>
                        </w:pPr>
                        <w:proofErr w:type="spellStart"/>
                        <w:r w:rsidRPr="003277D0">
                          <w:rPr>
                            <w:rFonts w:eastAsia="宋体" w:cs="宋体"/>
                            <w:sz w:val="18"/>
                          </w:rPr>
                          <w:t>风险评定</w:t>
                        </w:r>
                        <w:proofErr w:type="spellEnd"/>
                      </w:p>
                    </w:txbxContent>
                  </v:textbox>
                </v:shape>
                <v:shape id="文本框 14" o:spid="_x0000_s1032" type="#_x0000_t202" style="position:absolute;left:12231;top:11537;width:2553;height:1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zrcAA&#10;AADbAAAADwAAAGRycy9kb3ducmV2LnhtbERP24rCMBB9F/yHMIJvmqplkdoo6ir0aVkvHzA00ws2&#10;k9Jktfr1ZmFh3+ZwrpNuetOIO3WutqxgNo1AEOdW11wquF6OkyUI55E1NpZJwZMcbNbDQYqJtg8+&#10;0f3sSxFC2CWooPK+TaR0eUUG3dS2xIErbGfQB9iVUnf4COGmkfMo+pAGaw4NFba0ryi/nX+MgkX8&#10;jeV199V87vwlk3H2mhWHl1LjUb9dgfDU+3/xnzvTYX4Mv7+EA+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HzrcAAAADbAAAADwAAAAAAAAAAAAAAAACYAgAAZHJzL2Rvd25y&#10;ZXYueG1sUEsFBgAAAAAEAAQA9QAAAIUDAAAAAA==&#10;" stroked="f">
                  <v:textbox style="mso-fit-shape-to-text:t" inset="0,0,0,0">
                    <w:txbxContent>
                      <w:p w14:paraId="0AE6E226" w14:textId="77777777" w:rsidR="00F50E42" w:rsidRPr="00624DCC" w:rsidRDefault="00F50E42" w:rsidP="00F50E42">
                        <w:pPr>
                          <w:jc w:val="center"/>
                          <w:rPr>
                            <w:sz w:val="18"/>
                            <w:szCs w:val="18"/>
                          </w:rPr>
                        </w:pPr>
                        <w:r w:rsidRPr="003277D0">
                          <w:rPr>
                            <w:rFonts w:eastAsia="宋体" w:cs="宋体"/>
                            <w:sz w:val="18"/>
                          </w:rPr>
                          <w:t>是</w:t>
                        </w:r>
                      </w:p>
                    </w:txbxContent>
                  </v:textbox>
                </v:shape>
                <v:shape id="文本框 15" o:spid="_x0000_s1033" type="#_x0000_t202" style="position:absolute;left:12231;top:2091;width:2553;height:1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1WNsIA&#10;AADbAAAADwAAAGRycy9kb3ducmV2LnhtbERP22rCQBB9F/oPyxR8041VS0mzSq0KeSpt4gcM2cmF&#10;ZmdDdptEv75bKPg2h3OdZD+ZVgzUu8aygtUyAkFcWN1wpeCSnxcvIJxH1thaJgVXcrDfPcwSjLUd&#10;+YuGzFcihLCLUUHtfRdL6YqaDLql7YgDV9reoA+wr6TucQzhppVPUfQsDTYcGmrs6L2m4jv7MQrW&#10;m0+sLoeP9njweSo36W1Vnm5KzR+nt1cQniZ/F/+7Ux3mb+Hvl3C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PVY2wgAAANsAAAAPAAAAAAAAAAAAAAAAAJgCAABkcnMvZG93&#10;bnJldi54bWxQSwUGAAAAAAQABAD1AAAAhwMAAAAA&#10;" stroked="f">
                  <v:textbox style="mso-fit-shape-to-text:t" inset="0,0,0,0">
                    <w:txbxContent>
                      <w:p w14:paraId="5061023F" w14:textId="77777777" w:rsidR="00F50E42" w:rsidRPr="00624DCC" w:rsidRDefault="00F50E42" w:rsidP="00F50E42">
                        <w:pPr>
                          <w:jc w:val="center"/>
                          <w:rPr>
                            <w:sz w:val="18"/>
                            <w:szCs w:val="18"/>
                          </w:rPr>
                        </w:pPr>
                        <w:r w:rsidRPr="003277D0">
                          <w:rPr>
                            <w:rFonts w:eastAsia="宋体" w:cs="宋体"/>
                            <w:sz w:val="18"/>
                          </w:rPr>
                          <w:t>是</w:t>
                        </w:r>
                      </w:p>
                    </w:txbxContent>
                  </v:textbox>
                </v:shape>
                <v:shape id="文本框 16" o:spid="_x0000_s1034" type="#_x0000_t202" style="position:absolute;left:20222;top:5845;width:2553;height:1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QcIA&#10;AADbAAAADwAAAGRycy9kb3ducmV2LnhtbERP22rCQBB9L/QflhH61my0IpK6iqkKeSr18gFDdkxC&#10;s7MhuyYxX+8Khb7N4VxntRlMLTpqXWVZwTSKQRDnVldcKLicD+9LEM4ja6wtk4I7OdisX19WmGjb&#10;85G6ky9ECGGXoILS+yaR0uUlGXSRbYgDd7WtQR9gW0jdYh/CTS1ncbyQBisODSU29FVS/nu6GQUf&#10;8x8sLul3vUv9OZPzbJxe96NSb5Nh+wnC0+D/xX/uTIf5C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78hBwgAAANsAAAAPAAAAAAAAAAAAAAAAAJgCAABkcnMvZG93&#10;bnJldi54bWxQSwUGAAAAAAQABAD1AAAAhwMAAAAA&#10;" stroked="f">
                  <v:textbox style="mso-fit-shape-to-text:t" inset="0,0,0,0">
                    <w:txbxContent>
                      <w:p w14:paraId="7B4F34D1" w14:textId="77777777" w:rsidR="00F50E42" w:rsidRPr="00624DCC" w:rsidRDefault="00F50E42" w:rsidP="00F50E42">
                        <w:pPr>
                          <w:jc w:val="center"/>
                          <w:rPr>
                            <w:sz w:val="18"/>
                            <w:szCs w:val="18"/>
                          </w:rPr>
                        </w:pPr>
                        <w:r w:rsidRPr="003277D0">
                          <w:rPr>
                            <w:rFonts w:eastAsia="宋体" w:cs="宋体"/>
                            <w:sz w:val="18"/>
                          </w:rPr>
                          <w:t>否</w:t>
                        </w:r>
                      </w:p>
                    </w:txbxContent>
                  </v:textbox>
                </v:shape>
                <v:shape id="文本框 17" o:spid="_x0000_s1035" type="#_x0000_t202" style="position:absolute;left:23753;top:-414;width:2552;height:1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Nt2sIA&#10;AADbAAAADwAAAGRycy9kb3ducmV2LnhtbERP22rCQBB9F/oPyxR8041VbEmzSq0KeSpt4gcM2cmF&#10;ZmdDdptEv75bKPg2h3OdZD+ZVgzUu8aygtUyAkFcWN1wpeCSnxcvIJxH1thaJgVXcrDfPcwSjLUd&#10;+YuGzFcihLCLUUHtfRdL6YqaDLql7YgDV9reoA+wr6TucQzhppVPUbSVBhsODTV29F5T8Z39GAXr&#10;zSdWl8NHezz4PJWb9LYqTzel5o/T2ysIT5O/i//dqQ7zn+Hvl3C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o23awgAAANsAAAAPAAAAAAAAAAAAAAAAAJgCAABkcnMvZG93&#10;bnJldi54bWxQSwUGAAAAAAQABAD1AAAAhwMAAAAA&#10;" stroked="f">
                  <v:textbox style="mso-fit-shape-to-text:t" inset="0,0,0,0">
                    <w:txbxContent>
                      <w:p w14:paraId="21286CFD" w14:textId="77777777" w:rsidR="00F50E42" w:rsidRPr="00624DCC" w:rsidRDefault="00F50E42" w:rsidP="00F50E42">
                        <w:pPr>
                          <w:jc w:val="center"/>
                          <w:rPr>
                            <w:sz w:val="18"/>
                            <w:szCs w:val="18"/>
                          </w:rPr>
                        </w:pPr>
                        <w:r w:rsidRPr="003277D0">
                          <w:rPr>
                            <w:rFonts w:eastAsia="宋体" w:cs="宋体"/>
                            <w:sz w:val="18"/>
                          </w:rPr>
                          <w:t>否</w:t>
                        </w:r>
                      </w:p>
                    </w:txbxContent>
                  </v:textbox>
                </v:shape>
                <v:shape id="文本框 2" o:spid="_x0000_s1036" type="#_x0000_t202" style="position:absolute;left:-1463;top:-3218;width:8731;height:2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5qMMA&#10;AADbAAAADwAAAGRycy9kb3ducmV2LnhtbESPzYrCQBCE74LvMPTC3nSiKyJZR1l/FnIS/x6gybRJ&#10;2ExPyIya9entg+Ctm6qu+nq+7FytbtSGyrOB0TABRZx7W3Fh4Hz6HcxAhYhssfZMBv4pwHLR780x&#10;tf7OB7odY6EkhEOKBsoYm1TrkJfkMAx9QyzaxbcOo6xtoW2Ldwl3tR4nyVQ7rFgaSmxoXVL+d7w6&#10;A1+TPRbn1a7erOIp05PsMbpsH8Z8fnQ/36AidfFtfl1nVvAFVn6RAf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z5qMMAAADbAAAADwAAAAAAAAAAAAAAAACYAgAAZHJzL2Rv&#10;d25yZXYueG1sUEsFBgAAAAAEAAQA9QAAAIgDAAAAAA==&#10;" stroked="f">
                  <v:textbox style="mso-fit-shape-to-text:t" inset="0,0,0,0">
                    <w:txbxContent>
                      <w:p w14:paraId="74201E51" w14:textId="77777777" w:rsidR="00F50E42" w:rsidRPr="00624DCC" w:rsidRDefault="00F50E42" w:rsidP="00F50E42">
                        <w:pPr>
                          <w:jc w:val="center"/>
                          <w:rPr>
                            <w:sz w:val="18"/>
                            <w:szCs w:val="18"/>
                          </w:rPr>
                        </w:pPr>
                        <w:proofErr w:type="spellStart"/>
                        <w:r w:rsidRPr="003277D0">
                          <w:rPr>
                            <w:rFonts w:eastAsia="宋体" w:cs="宋体"/>
                            <w:sz w:val="18"/>
                          </w:rPr>
                          <w:t>根据</w:t>
                        </w:r>
                        <w:r w:rsidRPr="003277D0">
                          <w:rPr>
                            <w:rFonts w:eastAsia="宋体" w:cs="宋体"/>
                            <w:sz w:val="18"/>
                          </w:rPr>
                          <w:t>ASTM</w:t>
                        </w:r>
                        <w:proofErr w:type="spellEnd"/>
                        <w:r w:rsidRPr="003277D0">
                          <w:rPr>
                            <w:rFonts w:eastAsia="宋体" w:cs="宋体"/>
                            <w:sz w:val="18"/>
                          </w:rPr>
                          <w:t xml:space="preserve"> F2129</w:t>
                        </w:r>
                      </w:p>
                    </w:txbxContent>
                  </v:textbox>
                </v:shape>
              </v:group>
            </w:pict>
          </mc:Fallback>
        </mc:AlternateContent>
      </w:r>
      <w:r w:rsidRPr="003277D0">
        <w:rPr>
          <w:rFonts w:eastAsia="宋体" w:cs="宋体"/>
          <w:noProof/>
          <w:sz w:val="21"/>
          <w:lang w:eastAsia="zh-CN" w:bidi="ar-SA"/>
        </w:rPr>
        <w:drawing>
          <wp:inline distT="0" distB="0" distL="0" distR="0" wp14:anchorId="5A125765" wp14:editId="34D36794">
            <wp:extent cx="3657740" cy="2706624"/>
            <wp:effectExtent l="0" t="0" r="0" b="0"/>
            <wp:docPr id="3" name="image2.jpeg" descr="This flowchart is a visual representation of tests to consider (i.e., in vitro nickel ion release testing) described in the paragraphs immediately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657740" cy="2706624"/>
                    </a:xfrm>
                    <a:prstGeom prst="rect">
                      <a:avLst/>
                    </a:prstGeom>
                  </pic:spPr>
                </pic:pic>
              </a:graphicData>
            </a:graphic>
          </wp:inline>
        </w:drawing>
      </w:r>
    </w:p>
    <w:p w14:paraId="5FD3891D" w14:textId="77777777" w:rsidR="002914F0" w:rsidRDefault="004F06FE" w:rsidP="00016046">
      <w:pPr>
        <w:pStyle w:val="a3"/>
        <w:adjustRightInd w:val="0"/>
        <w:snapToGrid w:val="0"/>
        <w:spacing w:beforeLines="50" w:before="120" w:line="300" w:lineRule="auto"/>
        <w:jc w:val="center"/>
        <w:rPr>
          <w:sz w:val="21"/>
          <w:szCs w:val="21"/>
          <w:lang w:eastAsia="zh-CN"/>
        </w:rPr>
      </w:pPr>
      <w:r w:rsidRPr="003277D0">
        <w:rPr>
          <w:rFonts w:eastAsia="宋体" w:cs="宋体"/>
          <w:sz w:val="21"/>
          <w:lang w:eastAsia="zh-CN"/>
        </w:rPr>
        <w:t>图</w:t>
      </w:r>
      <w:r w:rsidRPr="003277D0">
        <w:rPr>
          <w:rFonts w:eastAsia="宋体" w:cs="宋体"/>
          <w:sz w:val="21"/>
          <w:lang w:eastAsia="zh-CN"/>
        </w:rPr>
        <w:t>1.</w:t>
      </w:r>
      <w:r w:rsidRPr="003277D0">
        <w:rPr>
          <w:rFonts w:eastAsia="宋体" w:cs="宋体"/>
          <w:sz w:val="21"/>
          <w:lang w:eastAsia="zh-CN"/>
        </w:rPr>
        <w:t>腐蚀试验范例流程图</w:t>
      </w:r>
    </w:p>
    <w:p w14:paraId="51401831" w14:textId="09368FB7" w:rsidR="00D020CF" w:rsidRPr="00016046" w:rsidRDefault="002914F0" w:rsidP="00016046">
      <w:pPr>
        <w:pStyle w:val="a3"/>
        <w:adjustRightInd w:val="0"/>
        <w:snapToGrid w:val="0"/>
        <w:spacing w:beforeLines="50" w:before="120" w:line="300" w:lineRule="auto"/>
        <w:ind w:leftChars="600" w:left="1802" w:hangingChars="200" w:hanging="482"/>
        <w:jc w:val="both"/>
        <w:rPr>
          <w:b/>
          <w:szCs w:val="21"/>
          <w:lang w:eastAsia="zh-CN"/>
        </w:rPr>
      </w:pPr>
      <w:r w:rsidRPr="003277D0">
        <w:rPr>
          <w:rFonts w:eastAsia="宋体" w:cs="宋体"/>
          <w:b/>
          <w:lang w:eastAsia="zh-CN"/>
        </w:rPr>
        <w:t>1.</w:t>
      </w:r>
      <w:r w:rsidRPr="003277D0">
        <w:rPr>
          <w:rFonts w:eastAsia="宋体" w:cs="宋体"/>
          <w:lang w:eastAsia="zh-CN"/>
        </w:rPr>
        <w:tab/>
      </w:r>
      <w:r w:rsidRPr="003277D0">
        <w:rPr>
          <w:rFonts w:eastAsia="宋体" w:cs="宋体"/>
          <w:b/>
          <w:lang w:eastAsia="zh-CN"/>
        </w:rPr>
        <w:t>点蚀</w:t>
      </w:r>
    </w:p>
    <w:p w14:paraId="22ECF6E7" w14:textId="77777777" w:rsidR="002914F0" w:rsidRDefault="004F06FE" w:rsidP="00016046">
      <w:pPr>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建议根据</w:t>
      </w:r>
      <w:r w:rsidRPr="003277D0">
        <w:rPr>
          <w:rFonts w:eastAsia="宋体" w:cs="宋体"/>
          <w:sz w:val="21"/>
          <w:lang w:eastAsia="zh-CN"/>
        </w:rPr>
        <w:t>ASTM F2129</w:t>
      </w:r>
      <w:r w:rsidRPr="003277D0">
        <w:rPr>
          <w:rFonts w:eastAsia="宋体" w:cs="宋体"/>
          <w:sz w:val="21"/>
          <w:lang w:eastAsia="zh-CN"/>
        </w:rPr>
        <w:t>《进行循环动电位极化测量以测定小型植入装置腐蚀敏感性的标准试验方法》进行点蚀试验。</w:t>
      </w:r>
    </w:p>
    <w:p w14:paraId="1A1EB8FF" w14:textId="56B2CDAF" w:rsidR="00016046" w:rsidRDefault="004F06FE" w:rsidP="00016046">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点蚀试验应在对器械进行模拟组装和植入后进行，包括通过模拟体内解剖条件（例如血管尺寸、迂曲度）的体外</w:t>
      </w:r>
      <w:r w:rsidR="008663DD">
        <w:rPr>
          <w:rFonts w:eastAsia="宋体" w:cs="宋体" w:hint="eastAsia"/>
          <w:sz w:val="21"/>
          <w:lang w:eastAsia="zh-CN"/>
        </w:rPr>
        <w:t>固定</w:t>
      </w:r>
      <w:r w:rsidR="00F3597C">
        <w:rPr>
          <w:rFonts w:eastAsia="宋体" w:cs="宋体" w:hint="eastAsia"/>
          <w:sz w:val="21"/>
          <w:lang w:eastAsia="zh-CN"/>
        </w:rPr>
        <w:t>装置</w:t>
      </w:r>
      <w:r w:rsidRPr="003277D0">
        <w:rPr>
          <w:rFonts w:eastAsia="宋体" w:cs="宋体"/>
          <w:sz w:val="21"/>
          <w:lang w:eastAsia="zh-CN"/>
        </w:rPr>
        <w:t>对器械进行加压</w:t>
      </w:r>
      <w:r w:rsidRPr="003277D0">
        <w:rPr>
          <w:rFonts w:eastAsia="宋体" w:cs="宋体"/>
          <w:sz w:val="21"/>
          <w:lang w:eastAsia="zh-CN"/>
        </w:rPr>
        <w:t>/</w:t>
      </w:r>
      <w:r w:rsidRPr="003277D0">
        <w:rPr>
          <w:rFonts w:eastAsia="宋体" w:cs="宋体"/>
          <w:sz w:val="21"/>
          <w:lang w:eastAsia="zh-CN"/>
        </w:rPr>
        <w:t>装载和展开。或者，在不使用体外夹具的情况下，可对器械施加模拟使用过程中预期的应力</w:t>
      </w:r>
      <w:r w:rsidRPr="003277D0">
        <w:rPr>
          <w:rFonts w:eastAsia="宋体" w:cs="宋体"/>
          <w:sz w:val="21"/>
          <w:lang w:eastAsia="zh-CN"/>
        </w:rPr>
        <w:t>/</w:t>
      </w:r>
      <w:r w:rsidRPr="003277D0">
        <w:rPr>
          <w:rFonts w:eastAsia="宋体" w:cs="宋体"/>
          <w:sz w:val="21"/>
          <w:lang w:eastAsia="zh-CN"/>
        </w:rPr>
        <w:t>应变，并提供合理性说明。该器械调节处理旨在模拟植入时器械的临床条件。应根据表面积、尺寸和</w:t>
      </w:r>
      <w:r w:rsidRPr="003277D0">
        <w:rPr>
          <w:rFonts w:eastAsia="宋体" w:cs="宋体"/>
          <w:sz w:val="21"/>
          <w:lang w:eastAsia="zh-CN"/>
        </w:rPr>
        <w:t>/</w:t>
      </w:r>
      <w:r w:rsidRPr="003277D0">
        <w:rPr>
          <w:rFonts w:eastAsia="宋体" w:cs="宋体"/>
          <w:sz w:val="21"/>
          <w:lang w:eastAsia="zh-CN"/>
        </w:rPr>
        <w:t>或几何形状对腐蚀敏感性最坏情况的器械尺寸进行试验。应考虑可能影响表面精加工（如高曲率区域是否充分抛光）的几何形状或尺寸等因素。试验器械应代表最终成品，并且选择的器械应</w:t>
      </w:r>
      <w:r w:rsidR="00E5498D">
        <w:rPr>
          <w:rFonts w:eastAsia="宋体" w:cs="宋体" w:hint="eastAsia"/>
          <w:sz w:val="21"/>
          <w:lang w:eastAsia="zh-CN"/>
        </w:rPr>
        <w:t>包含</w:t>
      </w:r>
      <w:r w:rsidR="005E10FC">
        <w:rPr>
          <w:rFonts w:eastAsia="宋体" w:cs="宋体" w:hint="eastAsia"/>
          <w:sz w:val="21"/>
          <w:lang w:eastAsia="zh-CN"/>
        </w:rPr>
        <w:t>因</w:t>
      </w:r>
      <w:r w:rsidRPr="003277D0">
        <w:rPr>
          <w:rFonts w:eastAsia="宋体" w:cs="宋体"/>
          <w:sz w:val="21"/>
          <w:lang w:eastAsia="zh-CN"/>
        </w:rPr>
        <w:t>制造过程引起的潜在变化（例如从多个批次中选取样品）。如果镍钛合金组件涂有非导电材料（例如聚合物），建议制造</w:t>
      </w:r>
      <w:r w:rsidR="001971FB">
        <w:rPr>
          <w:rFonts w:eastAsia="宋体" w:cs="宋体" w:hint="eastAsia"/>
          <w:sz w:val="21"/>
          <w:lang w:eastAsia="zh-CN"/>
        </w:rPr>
        <w:t>选取</w:t>
      </w:r>
      <w:r w:rsidRPr="003277D0">
        <w:rPr>
          <w:rFonts w:eastAsia="宋体" w:cs="宋体"/>
          <w:sz w:val="21"/>
          <w:lang w:eastAsia="zh-CN"/>
        </w:rPr>
        <w:t>与最终成品器械相同的热处理的无涂层版本，作为点蚀的最坏情况样品。如果未对试验器械进行灭菌，应提供灭菌过程不会影响腐蚀性能的合理性说明。此外，对试验样品的数量和采样方案进行合理性说明时应将结果的可变性考虑在内。根据腐蚀性能的已知可变性，可能需要至少</w:t>
      </w:r>
      <w:r w:rsidRPr="003277D0">
        <w:rPr>
          <w:rFonts w:eastAsia="宋体" w:cs="宋体"/>
          <w:sz w:val="21"/>
          <w:lang w:eastAsia="zh-CN"/>
        </w:rPr>
        <w:t>6</w:t>
      </w:r>
      <w:r w:rsidRPr="003277D0">
        <w:rPr>
          <w:rFonts w:eastAsia="宋体" w:cs="宋体"/>
          <w:sz w:val="21"/>
          <w:lang w:eastAsia="zh-CN"/>
        </w:rPr>
        <w:t>个样品，</w:t>
      </w:r>
      <w:r w:rsidRPr="003277D0">
        <w:rPr>
          <w:rFonts w:eastAsia="宋体" w:cs="宋体"/>
          <w:sz w:val="21"/>
          <w:vertAlign w:val="superscript"/>
          <w:lang w:eastAsia="zh-CN"/>
        </w:rPr>
        <w:t>42</w:t>
      </w:r>
      <w:r w:rsidRPr="003277D0">
        <w:rPr>
          <w:rFonts w:eastAsia="宋体" w:cs="宋体"/>
          <w:sz w:val="21"/>
          <w:lang w:eastAsia="zh-CN"/>
        </w:rPr>
        <w:t>根据器械性能和验收标准，</w:t>
      </w:r>
      <w:r w:rsidR="004A25A8">
        <w:rPr>
          <w:rFonts w:eastAsia="宋体" w:cs="宋体" w:hint="eastAsia"/>
          <w:sz w:val="21"/>
          <w:lang w:eastAsia="zh-CN"/>
        </w:rPr>
        <w:t>也</w:t>
      </w:r>
      <w:r w:rsidRPr="003277D0">
        <w:rPr>
          <w:rFonts w:eastAsia="宋体" w:cs="宋体"/>
          <w:sz w:val="21"/>
          <w:lang w:eastAsia="zh-CN"/>
        </w:rPr>
        <w:t>可能需要更多样品。</w:t>
      </w:r>
      <w:r w:rsidRPr="003277D0">
        <w:rPr>
          <w:rFonts w:eastAsia="宋体" w:cs="宋体"/>
          <w:sz w:val="21"/>
          <w:vertAlign w:val="superscript"/>
          <w:lang w:eastAsia="zh-CN"/>
        </w:rPr>
        <w:t>43</w:t>
      </w:r>
      <w:r w:rsidRPr="003277D0">
        <w:rPr>
          <w:rFonts w:eastAsia="宋体" w:cs="宋体"/>
          <w:sz w:val="21"/>
          <w:lang w:eastAsia="zh-CN"/>
        </w:rPr>
        <w:t>如果最坏情况器械尺寸无法</w:t>
      </w:r>
      <w:r w:rsidR="00A4248F">
        <w:rPr>
          <w:rFonts w:eastAsia="宋体" w:cs="宋体" w:hint="eastAsia"/>
          <w:sz w:val="21"/>
          <w:lang w:eastAsia="zh-CN"/>
        </w:rPr>
        <w:t>放</w:t>
      </w:r>
      <w:r w:rsidRPr="003277D0">
        <w:rPr>
          <w:rFonts w:eastAsia="宋体" w:cs="宋体"/>
          <w:sz w:val="21"/>
          <w:lang w:eastAsia="zh-CN"/>
        </w:rPr>
        <w:t>在试验夹具中，则</w:t>
      </w:r>
      <w:r w:rsidR="00A4248F">
        <w:rPr>
          <w:rFonts w:eastAsia="宋体" w:cs="宋体" w:hint="eastAsia"/>
          <w:sz w:val="21"/>
          <w:lang w:eastAsia="zh-CN"/>
        </w:rPr>
        <w:t>可</w:t>
      </w:r>
      <w:r w:rsidRPr="003277D0">
        <w:rPr>
          <w:rFonts w:eastAsia="宋体" w:cs="宋体"/>
          <w:sz w:val="21"/>
          <w:lang w:eastAsia="zh-CN"/>
        </w:rPr>
        <w:t>在提供科学依据的情况下可使用</w:t>
      </w:r>
      <w:r w:rsidR="00AF18EE">
        <w:rPr>
          <w:rFonts w:eastAsia="宋体" w:cs="宋体" w:hint="eastAsia"/>
          <w:sz w:val="21"/>
          <w:lang w:eastAsia="zh-CN"/>
        </w:rPr>
        <w:t>改变</w:t>
      </w:r>
      <w:r w:rsidR="00AF18EE" w:rsidRPr="003277D0">
        <w:rPr>
          <w:rFonts w:eastAsia="宋体" w:cs="宋体"/>
          <w:sz w:val="21"/>
          <w:lang w:eastAsia="zh-CN"/>
        </w:rPr>
        <w:t>尺寸</w:t>
      </w:r>
      <w:r w:rsidR="00EB5131">
        <w:rPr>
          <w:rFonts w:eastAsia="宋体" w:cs="宋体" w:hint="eastAsia"/>
          <w:sz w:val="21"/>
          <w:lang w:eastAsia="zh-CN"/>
        </w:rPr>
        <w:t>的</w:t>
      </w:r>
      <w:r w:rsidRPr="003277D0">
        <w:rPr>
          <w:rFonts w:eastAsia="宋体" w:cs="宋体"/>
          <w:sz w:val="21"/>
          <w:lang w:eastAsia="zh-CN"/>
        </w:rPr>
        <w:t>替代器械或缩短的样品。</w:t>
      </w:r>
    </w:p>
    <w:p w14:paraId="05B827E3" w14:textId="77777777" w:rsidR="00016046" w:rsidRPr="00AF2411" w:rsidRDefault="00016046" w:rsidP="00853F4C">
      <w:pPr>
        <w:adjustRightInd w:val="0"/>
        <w:snapToGrid w:val="0"/>
        <w:spacing w:beforeLines="100" w:before="240" w:line="300" w:lineRule="auto"/>
        <w:jc w:val="both"/>
        <w:rPr>
          <w:rFonts w:eastAsiaTheme="minorEastAsia"/>
          <w:sz w:val="21"/>
          <w:szCs w:val="21"/>
          <w:lang w:eastAsia="zh-CN"/>
        </w:rPr>
      </w:pPr>
      <w:r w:rsidRPr="003277D0">
        <w:rPr>
          <w:rFonts w:eastAsia="宋体" w:cs="宋体"/>
          <w:sz w:val="21"/>
        </w:rPr>
        <w:t>______________________________</w:t>
      </w:r>
    </w:p>
    <w:p w14:paraId="717AB1B7" w14:textId="37414B77" w:rsidR="002914F0" w:rsidRPr="002914F0" w:rsidRDefault="004F06FE" w:rsidP="00853F4C">
      <w:pPr>
        <w:adjustRightInd w:val="0"/>
        <w:snapToGrid w:val="0"/>
        <w:spacing w:beforeLines="15" w:before="36" w:line="276" w:lineRule="auto"/>
        <w:jc w:val="both"/>
        <w:rPr>
          <w:sz w:val="21"/>
          <w:szCs w:val="21"/>
        </w:rPr>
      </w:pPr>
      <w:r w:rsidRPr="003277D0">
        <w:rPr>
          <w:sz w:val="18"/>
          <w:szCs w:val="21"/>
          <w:vertAlign w:val="superscript"/>
        </w:rPr>
        <w:t>41</w:t>
      </w:r>
      <w:r w:rsidR="00B27069" w:rsidRPr="003277D0">
        <w:rPr>
          <w:rFonts w:eastAsia="宋体" w:cs="宋体"/>
          <w:sz w:val="18"/>
        </w:rPr>
        <w:t>可登录以下网址获取</w:t>
      </w:r>
      <w:r w:rsidR="00B27069">
        <w:rPr>
          <w:rFonts w:eastAsia="宋体" w:cs="宋体" w:hint="eastAsia"/>
          <w:sz w:val="18"/>
          <w:lang w:eastAsia="zh-CN"/>
        </w:rPr>
        <w:t>：</w:t>
      </w:r>
      <w:r w:rsidRPr="003277D0">
        <w:rPr>
          <w:color w:val="0000FF"/>
          <w:sz w:val="18"/>
          <w:szCs w:val="21"/>
          <w:u w:val="single" w:color="0000FF"/>
        </w:rPr>
        <w:t>https://www.fda.gov/regulatory-information/search-fda-guidance-documents/requests-feedback-and-</w:t>
      </w:r>
      <w:r w:rsidRPr="003277D0">
        <w:rPr>
          <w:color w:val="0000FF"/>
          <w:sz w:val="18"/>
          <w:szCs w:val="21"/>
        </w:rPr>
        <w:t xml:space="preserve"> </w:t>
      </w:r>
      <w:r w:rsidRPr="003277D0">
        <w:rPr>
          <w:color w:val="0000FF"/>
          <w:sz w:val="18"/>
          <w:szCs w:val="21"/>
          <w:u w:val="single" w:color="0000FF"/>
        </w:rPr>
        <w:t>meetings-medical-device-submissions-q-submission-program</w:t>
      </w:r>
      <w:r w:rsidR="002914F0" w:rsidRPr="003277D0">
        <w:rPr>
          <w:rFonts w:eastAsia="宋体" w:cs="宋体"/>
          <w:sz w:val="21"/>
        </w:rPr>
        <w:br w:type="page"/>
      </w:r>
    </w:p>
    <w:p w14:paraId="5FE341EE" w14:textId="753CF079" w:rsidR="002914F0" w:rsidRDefault="004F06FE" w:rsidP="003D396A">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lastRenderedPageBreak/>
        <w:t>试验报告应包括腐蚀</w:t>
      </w:r>
      <w:r w:rsidRPr="003277D0">
        <w:rPr>
          <w:rFonts w:eastAsia="宋体" w:cs="宋体"/>
          <w:sz w:val="21"/>
          <w:lang w:eastAsia="zh-CN"/>
        </w:rPr>
        <w:t>/</w:t>
      </w:r>
      <w:r w:rsidRPr="003277D0">
        <w:rPr>
          <w:rFonts w:eastAsia="宋体" w:cs="宋体"/>
          <w:sz w:val="21"/>
          <w:lang w:eastAsia="zh-CN"/>
        </w:rPr>
        <w:t>静息电位、击穿电位以及极化曲线。在</w:t>
      </w:r>
      <w:r w:rsidR="006B75BD">
        <w:rPr>
          <w:rFonts w:eastAsia="宋体" w:cs="宋体" w:hint="eastAsia"/>
          <w:sz w:val="21"/>
          <w:lang w:eastAsia="zh-CN"/>
        </w:rPr>
        <w:t>适用</w:t>
      </w:r>
      <w:r w:rsidRPr="003277D0">
        <w:rPr>
          <w:rFonts w:eastAsia="宋体" w:cs="宋体"/>
          <w:sz w:val="21"/>
          <w:lang w:eastAsia="zh-CN"/>
        </w:rPr>
        <w:t>情况下，建议在一个图中绘制所有极化曲线。应就与</w:t>
      </w:r>
      <w:r w:rsidRPr="003277D0">
        <w:rPr>
          <w:rFonts w:eastAsia="宋体" w:cs="宋体"/>
          <w:sz w:val="21"/>
          <w:lang w:eastAsia="zh-CN"/>
        </w:rPr>
        <w:t>ASTM F2129</w:t>
      </w:r>
      <w:r w:rsidRPr="003277D0">
        <w:rPr>
          <w:rFonts w:eastAsia="宋体" w:cs="宋体"/>
          <w:sz w:val="21"/>
          <w:lang w:eastAsia="zh-CN"/>
        </w:rPr>
        <w:t>标准的任何偏离进行讨论（例如，试验设置不符合</w:t>
      </w:r>
      <w:r w:rsidRPr="003277D0">
        <w:rPr>
          <w:rFonts w:eastAsia="宋体" w:cs="宋体"/>
          <w:sz w:val="21"/>
          <w:lang w:eastAsia="zh-CN"/>
        </w:rPr>
        <w:t>ASTM G5</w:t>
      </w:r>
      <w:r w:rsidRPr="003277D0">
        <w:rPr>
          <w:rFonts w:eastAsia="宋体" w:cs="宋体"/>
          <w:sz w:val="21"/>
          <w:lang w:eastAsia="zh-CN"/>
        </w:rPr>
        <w:t>《进行动电位阳极极化测量的标准参考试验方法》中概述的标准）。根据验收标准，对结果进行评估。</w:t>
      </w:r>
      <w:r w:rsidRPr="003277D0">
        <w:rPr>
          <w:rFonts w:eastAsia="宋体" w:cs="宋体"/>
          <w:sz w:val="21"/>
          <w:lang w:eastAsia="zh-CN"/>
        </w:rPr>
        <w:t>ASTM F2129</w:t>
      </w:r>
      <w:r w:rsidRPr="003277D0">
        <w:rPr>
          <w:rFonts w:eastAsia="宋体" w:cs="宋体"/>
          <w:sz w:val="21"/>
          <w:lang w:eastAsia="zh-CN"/>
        </w:rPr>
        <w:t>中未纳入验收标准。因此，点蚀试验的验收标准应通过与美国合法上市销售的具有良好临床使用历史（即，无腐蚀相关断裂</w:t>
      </w:r>
      <w:proofErr w:type="gramStart"/>
      <w:r w:rsidRPr="003277D0">
        <w:rPr>
          <w:rFonts w:eastAsia="宋体" w:cs="宋体"/>
          <w:sz w:val="21"/>
          <w:lang w:eastAsia="zh-CN"/>
        </w:rPr>
        <w:t>或与镍释放</w:t>
      </w:r>
      <w:proofErr w:type="gramEnd"/>
      <w:r w:rsidRPr="003277D0">
        <w:rPr>
          <w:rFonts w:eastAsia="宋体" w:cs="宋体"/>
          <w:sz w:val="21"/>
          <w:lang w:eastAsia="zh-CN"/>
        </w:rPr>
        <w:t>相关的不良事件历史记录）的</w:t>
      </w:r>
      <w:r w:rsidR="00E80F9F">
        <w:rPr>
          <w:rFonts w:eastAsia="宋体" w:cs="宋体" w:hint="eastAsia"/>
          <w:sz w:val="21"/>
          <w:lang w:eastAsia="zh-CN"/>
        </w:rPr>
        <w:t>可比</w:t>
      </w:r>
      <w:r w:rsidRPr="003277D0">
        <w:rPr>
          <w:rFonts w:eastAsia="宋体" w:cs="宋体"/>
          <w:sz w:val="21"/>
          <w:lang w:eastAsia="zh-CN"/>
        </w:rPr>
        <w:t>器械进行比较来确定。另外，尽管将体外腐蚀试验与体内腐蚀结果直接相关联的数据有限，但已发表的研究</w:t>
      </w:r>
      <w:r w:rsidRPr="003277D0">
        <w:rPr>
          <w:rFonts w:eastAsia="宋体" w:cs="宋体"/>
          <w:sz w:val="21"/>
          <w:vertAlign w:val="superscript"/>
          <w:lang w:eastAsia="zh-CN"/>
        </w:rPr>
        <w:t>44,45,46,47,48</w:t>
      </w:r>
      <w:r w:rsidRPr="003277D0">
        <w:rPr>
          <w:rFonts w:eastAsia="宋体" w:cs="宋体"/>
          <w:sz w:val="21"/>
          <w:lang w:eastAsia="zh-CN"/>
        </w:rPr>
        <w:t>可在</w:t>
      </w:r>
      <w:r w:rsidR="00E80F9F">
        <w:rPr>
          <w:rFonts w:eastAsia="宋体" w:cs="宋体" w:hint="eastAsia"/>
          <w:sz w:val="21"/>
          <w:lang w:eastAsia="zh-CN"/>
        </w:rPr>
        <w:t>可比</w:t>
      </w:r>
      <w:r w:rsidRPr="003277D0">
        <w:rPr>
          <w:rFonts w:eastAsia="宋体" w:cs="宋体"/>
          <w:sz w:val="21"/>
          <w:lang w:eastAsia="zh-CN"/>
        </w:rPr>
        <w:t>器械</w:t>
      </w:r>
      <w:proofErr w:type="gramStart"/>
      <w:r w:rsidRPr="003277D0">
        <w:rPr>
          <w:rFonts w:eastAsia="宋体" w:cs="宋体"/>
          <w:sz w:val="21"/>
          <w:lang w:eastAsia="zh-CN"/>
        </w:rPr>
        <w:t>不</w:t>
      </w:r>
      <w:proofErr w:type="gramEnd"/>
      <w:r w:rsidRPr="003277D0">
        <w:rPr>
          <w:rFonts w:eastAsia="宋体" w:cs="宋体"/>
          <w:sz w:val="21"/>
          <w:lang w:eastAsia="zh-CN"/>
        </w:rPr>
        <w:t>可用的情况下</w:t>
      </w:r>
      <w:r w:rsidR="00E80F9F">
        <w:rPr>
          <w:rFonts w:eastAsia="宋体" w:cs="宋体" w:hint="eastAsia"/>
          <w:sz w:val="21"/>
          <w:lang w:eastAsia="zh-CN"/>
        </w:rPr>
        <w:t>作为</w:t>
      </w:r>
      <w:r w:rsidRPr="003277D0">
        <w:rPr>
          <w:rFonts w:eastAsia="宋体" w:cs="宋体"/>
          <w:sz w:val="21"/>
          <w:lang w:eastAsia="zh-CN"/>
        </w:rPr>
        <w:t>验收标准。应根据器械的点蚀和缝隙腐蚀性能以及镍浸出风险来证明该标准的合理性。如果发生击穿，应纳入试验前后对器械进行目视检查的结果，以评估点蚀迹象和点蚀位置。应提供放大倍数足够大的图像，以支持进行的评估。</w:t>
      </w:r>
    </w:p>
    <w:p w14:paraId="262669F7" w14:textId="77777777" w:rsidR="003D396A" w:rsidRPr="00AF2411" w:rsidRDefault="003D396A" w:rsidP="00853F4C">
      <w:pPr>
        <w:adjustRightInd w:val="0"/>
        <w:snapToGrid w:val="0"/>
        <w:spacing w:beforeLines="2400" w:before="5760" w:line="300" w:lineRule="auto"/>
        <w:jc w:val="both"/>
        <w:rPr>
          <w:rFonts w:eastAsiaTheme="minorEastAsia"/>
          <w:sz w:val="21"/>
          <w:szCs w:val="21"/>
          <w:lang w:eastAsia="zh-CN"/>
        </w:rPr>
      </w:pPr>
      <w:r w:rsidRPr="003277D0">
        <w:rPr>
          <w:rFonts w:eastAsia="宋体" w:cs="宋体"/>
          <w:sz w:val="21"/>
        </w:rPr>
        <w:t>______________________________</w:t>
      </w:r>
    </w:p>
    <w:p w14:paraId="3FB28D86" w14:textId="17EDDDC4" w:rsidR="00D020CF" w:rsidRPr="003D396A" w:rsidRDefault="004F06FE" w:rsidP="003D396A">
      <w:pPr>
        <w:adjustRightInd w:val="0"/>
        <w:snapToGrid w:val="0"/>
        <w:spacing w:beforeLines="15" w:before="36" w:line="276" w:lineRule="auto"/>
        <w:jc w:val="both"/>
        <w:rPr>
          <w:sz w:val="18"/>
          <w:szCs w:val="18"/>
        </w:rPr>
      </w:pPr>
      <w:r w:rsidRPr="003277D0">
        <w:rPr>
          <w:rFonts w:eastAsia="宋体" w:cs="宋体"/>
          <w:sz w:val="18"/>
          <w:vertAlign w:val="superscript"/>
        </w:rPr>
        <w:t>42</w:t>
      </w:r>
      <w:r w:rsidRPr="003277D0">
        <w:rPr>
          <w:rFonts w:eastAsia="宋体" w:cs="宋体"/>
          <w:sz w:val="18"/>
        </w:rPr>
        <w:t xml:space="preserve"> Rosenbloom, SN. An assessment of ASTM F2129 Electrochemical Testing of Small Medical Implants – Lessons Learned.</w:t>
      </w:r>
      <w:r w:rsidR="00DF2FD7">
        <w:rPr>
          <w:rFonts w:eastAsia="宋体" w:cs="宋体"/>
          <w:sz w:val="18"/>
        </w:rPr>
        <w:t xml:space="preserve"> </w:t>
      </w:r>
      <w:r w:rsidRPr="003277D0">
        <w:rPr>
          <w:rFonts w:eastAsia="宋体" w:cs="宋体"/>
          <w:sz w:val="18"/>
        </w:rPr>
        <w:t>Proceedings of NACE 2007</w:t>
      </w:r>
    </w:p>
    <w:p w14:paraId="1AA84896" w14:textId="7EBDD52F" w:rsidR="003D396A" w:rsidRDefault="004F06FE" w:rsidP="003D396A">
      <w:pPr>
        <w:adjustRightInd w:val="0"/>
        <w:snapToGrid w:val="0"/>
        <w:spacing w:beforeLines="15" w:before="36" w:line="276" w:lineRule="auto"/>
        <w:jc w:val="both"/>
        <w:rPr>
          <w:rFonts w:eastAsiaTheme="minorEastAsia"/>
          <w:sz w:val="18"/>
          <w:szCs w:val="18"/>
          <w:lang w:eastAsia="zh-CN"/>
        </w:rPr>
      </w:pPr>
      <w:r w:rsidRPr="003277D0">
        <w:rPr>
          <w:rFonts w:eastAsia="宋体" w:cs="宋体"/>
          <w:sz w:val="18"/>
          <w:vertAlign w:val="superscript"/>
        </w:rPr>
        <w:t>43</w:t>
      </w:r>
      <w:r w:rsidRPr="003277D0">
        <w:rPr>
          <w:rFonts w:eastAsia="宋体" w:cs="宋体"/>
          <w:sz w:val="18"/>
        </w:rPr>
        <w:t>Eiselstein, L.E.et al. Acceptance Criteria for Corrosion Resistance of Medical Devices: Statistical Analysis of Nitinol Pitting in In Vivo Environments. Journal of Materials Engineering and Performance 18, 768-780 (2009).</w:t>
      </w:r>
    </w:p>
    <w:p w14:paraId="3FEC1DEE" w14:textId="0C1B05F2" w:rsidR="00D020CF" w:rsidRPr="003D396A" w:rsidRDefault="004F06FE" w:rsidP="003D396A">
      <w:pPr>
        <w:adjustRightInd w:val="0"/>
        <w:snapToGrid w:val="0"/>
        <w:spacing w:beforeLines="15" w:before="36" w:line="276" w:lineRule="auto"/>
        <w:jc w:val="both"/>
        <w:rPr>
          <w:sz w:val="18"/>
          <w:szCs w:val="18"/>
        </w:rPr>
      </w:pPr>
      <w:r w:rsidRPr="003277D0">
        <w:rPr>
          <w:rFonts w:eastAsia="宋体" w:cs="宋体"/>
          <w:sz w:val="18"/>
          <w:vertAlign w:val="superscript"/>
        </w:rPr>
        <w:t>44</w:t>
      </w:r>
      <w:r w:rsidRPr="003277D0">
        <w:rPr>
          <w:rFonts w:eastAsia="宋体" w:cs="宋体"/>
          <w:sz w:val="18"/>
        </w:rPr>
        <w:t>Corbett RA. Laboratory corrosion testing of medical implants.</w:t>
      </w:r>
      <w:r w:rsidR="00DF2FD7">
        <w:rPr>
          <w:rFonts w:eastAsia="宋体" w:cs="宋体"/>
          <w:sz w:val="18"/>
        </w:rPr>
        <w:t xml:space="preserve"> </w:t>
      </w:r>
      <w:r w:rsidRPr="003277D0">
        <w:rPr>
          <w:rFonts w:eastAsia="宋体" w:cs="宋体"/>
          <w:sz w:val="18"/>
        </w:rPr>
        <w:t>Proceedings of Materials and Processes for Medical Devices Conference; 2004: ASM International, Materials Park, OH</w:t>
      </w:r>
    </w:p>
    <w:p w14:paraId="6044FB8A" w14:textId="7DE481D5" w:rsidR="00D020CF" w:rsidRPr="003D396A" w:rsidRDefault="004F06FE" w:rsidP="003D396A">
      <w:pPr>
        <w:adjustRightInd w:val="0"/>
        <w:snapToGrid w:val="0"/>
        <w:spacing w:beforeLines="15" w:before="36" w:line="276" w:lineRule="auto"/>
        <w:jc w:val="both"/>
        <w:rPr>
          <w:sz w:val="18"/>
          <w:szCs w:val="18"/>
        </w:rPr>
      </w:pPr>
      <w:r w:rsidRPr="00460B95">
        <w:rPr>
          <w:rFonts w:eastAsia="宋体" w:cs="宋体"/>
          <w:sz w:val="18"/>
          <w:vertAlign w:val="superscript"/>
          <w:lang w:val="de-DE"/>
        </w:rPr>
        <w:t>45</w:t>
      </w:r>
      <w:r w:rsidRPr="00460B95">
        <w:rPr>
          <w:rFonts w:eastAsia="宋体" w:cs="宋体"/>
          <w:sz w:val="18"/>
          <w:lang w:val="de-DE"/>
        </w:rPr>
        <w:t xml:space="preserve">Eiselstein, L.E.et al. </w:t>
      </w:r>
      <w:r w:rsidRPr="003277D0">
        <w:rPr>
          <w:rFonts w:eastAsia="宋体" w:cs="宋体"/>
          <w:sz w:val="18"/>
        </w:rPr>
        <w:t>Acceptance Criteria for Corrosion Resistance of Medical Devices: Statistical Analysis of Nitinol Pitting in In Vivo Environments. Journal of Materials Engineering and Performance 18, 768-780 (2009)</w:t>
      </w:r>
    </w:p>
    <w:p w14:paraId="5172D34B" w14:textId="4255BD44" w:rsidR="00D020CF" w:rsidRPr="003D396A" w:rsidRDefault="004F06FE" w:rsidP="003D396A">
      <w:pPr>
        <w:adjustRightInd w:val="0"/>
        <w:snapToGrid w:val="0"/>
        <w:spacing w:beforeLines="15" w:before="36" w:line="276" w:lineRule="auto"/>
        <w:jc w:val="both"/>
        <w:rPr>
          <w:sz w:val="18"/>
          <w:szCs w:val="18"/>
        </w:rPr>
      </w:pPr>
      <w:r w:rsidRPr="003277D0">
        <w:rPr>
          <w:rFonts w:eastAsia="宋体" w:cs="宋体"/>
          <w:sz w:val="18"/>
          <w:vertAlign w:val="superscript"/>
        </w:rPr>
        <w:t>46</w:t>
      </w:r>
      <w:r w:rsidRPr="003277D0">
        <w:rPr>
          <w:rFonts w:eastAsia="宋体" w:cs="宋体"/>
          <w:sz w:val="18"/>
        </w:rPr>
        <w:t xml:space="preserve">Lonn, M.K., Metcalf, J.M.&amp; </w:t>
      </w:r>
      <w:proofErr w:type="spellStart"/>
      <w:r w:rsidRPr="003277D0">
        <w:rPr>
          <w:rFonts w:eastAsia="宋体" w:cs="宋体"/>
          <w:sz w:val="18"/>
        </w:rPr>
        <w:t>Choules</w:t>
      </w:r>
      <w:proofErr w:type="spellEnd"/>
      <w:r w:rsidRPr="003277D0">
        <w:rPr>
          <w:rFonts w:eastAsia="宋体" w:cs="宋体"/>
          <w:sz w:val="18"/>
        </w:rPr>
        <w:t xml:space="preserve">, B.D. In Vivo and In Vitro Nitinol Corrosion Properties. Shape Memory and </w:t>
      </w:r>
      <w:proofErr w:type="spellStart"/>
      <w:r w:rsidRPr="003277D0">
        <w:rPr>
          <w:rFonts w:eastAsia="宋体" w:cs="宋体"/>
          <w:sz w:val="18"/>
        </w:rPr>
        <w:t>Superelasticity</w:t>
      </w:r>
      <w:proofErr w:type="spellEnd"/>
      <w:r w:rsidRPr="003277D0">
        <w:rPr>
          <w:rFonts w:eastAsia="宋体" w:cs="宋体"/>
          <w:sz w:val="18"/>
        </w:rPr>
        <w:t xml:space="preserve"> 1, 328-338 (2015)</w:t>
      </w:r>
    </w:p>
    <w:p w14:paraId="2EBB660D" w14:textId="7D2CEC34" w:rsidR="00D020CF" w:rsidRPr="003D396A" w:rsidRDefault="004F06FE" w:rsidP="003D396A">
      <w:pPr>
        <w:adjustRightInd w:val="0"/>
        <w:snapToGrid w:val="0"/>
        <w:spacing w:beforeLines="15" w:before="36" w:line="276" w:lineRule="auto"/>
        <w:jc w:val="both"/>
        <w:rPr>
          <w:sz w:val="18"/>
          <w:szCs w:val="18"/>
        </w:rPr>
      </w:pPr>
      <w:r w:rsidRPr="003277D0">
        <w:rPr>
          <w:rFonts w:eastAsia="宋体" w:cs="宋体"/>
          <w:sz w:val="18"/>
          <w:vertAlign w:val="superscript"/>
        </w:rPr>
        <w:t>47</w:t>
      </w:r>
      <w:r w:rsidRPr="003277D0">
        <w:rPr>
          <w:rFonts w:eastAsia="宋体" w:cs="宋体"/>
          <w:sz w:val="18"/>
        </w:rPr>
        <w:t xml:space="preserve"> </w:t>
      </w:r>
      <w:proofErr w:type="spellStart"/>
      <w:r w:rsidRPr="003277D0">
        <w:rPr>
          <w:rFonts w:eastAsia="宋体" w:cs="宋体"/>
          <w:sz w:val="18"/>
        </w:rPr>
        <w:t>Pértile</w:t>
      </w:r>
      <w:proofErr w:type="spellEnd"/>
      <w:r w:rsidRPr="003277D0">
        <w:rPr>
          <w:rFonts w:eastAsia="宋体" w:cs="宋体"/>
          <w:sz w:val="18"/>
        </w:rPr>
        <w:t xml:space="preserve">, L.B., Silva, P.M., </w:t>
      </w:r>
      <w:proofErr w:type="spellStart"/>
      <w:r w:rsidRPr="003277D0">
        <w:rPr>
          <w:rFonts w:eastAsia="宋体" w:cs="宋体"/>
          <w:sz w:val="18"/>
        </w:rPr>
        <w:t>Peccin</w:t>
      </w:r>
      <w:proofErr w:type="spellEnd"/>
      <w:r w:rsidRPr="003277D0">
        <w:rPr>
          <w:rFonts w:eastAsia="宋体" w:cs="宋体"/>
          <w:sz w:val="18"/>
        </w:rPr>
        <w:t xml:space="preserve">, V.B., Peres, R., </w:t>
      </w:r>
      <w:proofErr w:type="spellStart"/>
      <w:r w:rsidRPr="003277D0">
        <w:rPr>
          <w:rFonts w:eastAsia="宋体" w:cs="宋体"/>
          <w:sz w:val="18"/>
        </w:rPr>
        <w:t>Silveira</w:t>
      </w:r>
      <w:proofErr w:type="spellEnd"/>
      <w:r w:rsidRPr="003277D0">
        <w:rPr>
          <w:rFonts w:eastAsia="宋体" w:cs="宋体"/>
          <w:sz w:val="18"/>
        </w:rPr>
        <w:t xml:space="preserve">, P.G., </w:t>
      </w:r>
      <w:proofErr w:type="spellStart"/>
      <w:r w:rsidRPr="003277D0">
        <w:rPr>
          <w:rFonts w:eastAsia="宋体" w:cs="宋体"/>
          <w:sz w:val="18"/>
        </w:rPr>
        <w:t>Giacomelli</w:t>
      </w:r>
      <w:proofErr w:type="spellEnd"/>
      <w:r w:rsidRPr="003277D0">
        <w:rPr>
          <w:rFonts w:eastAsia="宋体" w:cs="宋体"/>
          <w:sz w:val="18"/>
        </w:rPr>
        <w:t xml:space="preserve">, C., </w:t>
      </w:r>
      <w:proofErr w:type="spellStart"/>
      <w:r w:rsidRPr="003277D0">
        <w:rPr>
          <w:rFonts w:eastAsia="宋体" w:cs="宋体"/>
          <w:sz w:val="18"/>
        </w:rPr>
        <w:t>Giacomelli</w:t>
      </w:r>
      <w:proofErr w:type="spellEnd"/>
      <w:r w:rsidRPr="003277D0">
        <w:rPr>
          <w:rFonts w:eastAsia="宋体" w:cs="宋体"/>
          <w:sz w:val="18"/>
        </w:rPr>
        <w:t xml:space="preserve">, F.C., </w:t>
      </w:r>
      <w:proofErr w:type="spellStart"/>
      <w:r w:rsidRPr="003277D0">
        <w:rPr>
          <w:rFonts w:eastAsia="宋体" w:cs="宋体"/>
          <w:sz w:val="18"/>
        </w:rPr>
        <w:t>Fredel</w:t>
      </w:r>
      <w:proofErr w:type="spellEnd"/>
      <w:r w:rsidRPr="003277D0">
        <w:rPr>
          <w:rFonts w:eastAsia="宋体" w:cs="宋体"/>
          <w:sz w:val="18"/>
        </w:rPr>
        <w:t>, M.C.</w:t>
      </w:r>
      <w:r w:rsidR="00DF2FD7">
        <w:rPr>
          <w:rFonts w:eastAsia="宋体" w:cs="宋体"/>
          <w:sz w:val="18"/>
        </w:rPr>
        <w:t xml:space="preserve"> </w:t>
      </w:r>
      <w:r w:rsidRPr="003277D0">
        <w:rPr>
          <w:rFonts w:eastAsia="宋体" w:cs="宋体"/>
          <w:sz w:val="18"/>
        </w:rPr>
        <w:t xml:space="preserve">and Spinelli, A. (In vivo human electrochemical properties of a </w:t>
      </w:r>
      <w:proofErr w:type="spellStart"/>
      <w:r w:rsidRPr="003277D0">
        <w:rPr>
          <w:rFonts w:eastAsia="宋体" w:cs="宋体"/>
          <w:sz w:val="18"/>
        </w:rPr>
        <w:t>NiTi</w:t>
      </w:r>
      <w:proofErr w:type="spellEnd"/>
      <w:r w:rsidRPr="003277D0">
        <w:rPr>
          <w:rFonts w:eastAsia="宋体" w:cs="宋体"/>
          <w:sz w:val="18"/>
        </w:rPr>
        <w:t xml:space="preserve"> </w:t>
      </w:r>
      <w:proofErr w:type="spellStart"/>
      <w:r w:rsidRPr="003277D0">
        <w:rPr>
          <w:rFonts w:eastAsia="宋体" w:cs="宋体"/>
          <w:sz w:val="18"/>
        </w:rPr>
        <w:t>Dbased</w:t>
      </w:r>
      <w:proofErr w:type="spellEnd"/>
      <w:r w:rsidRPr="003277D0">
        <w:rPr>
          <w:rFonts w:eastAsia="宋体" w:cs="宋体"/>
          <w:sz w:val="18"/>
        </w:rPr>
        <w:t xml:space="preserve"> alloy (Nitinol) used for minimally invasive implants.</w:t>
      </w:r>
      <w:r w:rsidR="00DF2FD7">
        <w:rPr>
          <w:rFonts w:eastAsia="宋体" w:cs="宋体"/>
          <w:sz w:val="18"/>
        </w:rPr>
        <w:t xml:space="preserve"> </w:t>
      </w:r>
      <w:r w:rsidRPr="003277D0">
        <w:rPr>
          <w:rFonts w:eastAsia="宋体" w:cs="宋体"/>
          <w:sz w:val="18"/>
        </w:rPr>
        <w:t>Journal of Biomedical Materials Research Part A, 89A, 1072-1078 (2009)</w:t>
      </w:r>
    </w:p>
    <w:p w14:paraId="43B7E077" w14:textId="3DC4D633" w:rsidR="002914F0" w:rsidRPr="002914F0" w:rsidRDefault="004F06FE" w:rsidP="00853F4C">
      <w:pPr>
        <w:adjustRightInd w:val="0"/>
        <w:snapToGrid w:val="0"/>
        <w:spacing w:beforeLines="15" w:before="36" w:line="276" w:lineRule="auto"/>
        <w:jc w:val="both"/>
        <w:rPr>
          <w:sz w:val="21"/>
          <w:szCs w:val="21"/>
          <w:lang w:eastAsia="zh-CN"/>
        </w:rPr>
      </w:pPr>
      <w:r w:rsidRPr="003277D0">
        <w:rPr>
          <w:rFonts w:eastAsia="宋体" w:cs="宋体"/>
          <w:sz w:val="18"/>
          <w:vertAlign w:val="superscript"/>
        </w:rPr>
        <w:t>48</w:t>
      </w:r>
      <w:r w:rsidRPr="003277D0">
        <w:rPr>
          <w:rFonts w:eastAsia="宋体" w:cs="宋体"/>
          <w:sz w:val="18"/>
        </w:rPr>
        <w:t>Stacey J.L.</w:t>
      </w:r>
      <w:r w:rsidR="00DF2FD7">
        <w:rPr>
          <w:rFonts w:eastAsia="宋体" w:cs="宋体"/>
          <w:sz w:val="18"/>
        </w:rPr>
        <w:t xml:space="preserve"> </w:t>
      </w:r>
      <w:r w:rsidRPr="003277D0">
        <w:rPr>
          <w:rFonts w:eastAsia="宋体" w:cs="宋体"/>
          <w:sz w:val="18"/>
        </w:rPr>
        <w:t xml:space="preserve">Sullivan, Daniel </w:t>
      </w:r>
      <w:proofErr w:type="spellStart"/>
      <w:r w:rsidRPr="003277D0">
        <w:rPr>
          <w:rFonts w:eastAsia="宋体" w:cs="宋体"/>
          <w:sz w:val="18"/>
        </w:rPr>
        <w:t>Madamba</w:t>
      </w:r>
      <w:proofErr w:type="spellEnd"/>
      <w:r w:rsidRPr="003277D0">
        <w:rPr>
          <w:rFonts w:eastAsia="宋体" w:cs="宋体"/>
          <w:sz w:val="18"/>
        </w:rPr>
        <w:t xml:space="preserve">, </w:t>
      </w:r>
      <w:proofErr w:type="spellStart"/>
      <w:r w:rsidRPr="003277D0">
        <w:rPr>
          <w:rFonts w:eastAsia="宋体" w:cs="宋体"/>
          <w:sz w:val="18"/>
        </w:rPr>
        <w:t>Shiril</w:t>
      </w:r>
      <w:proofErr w:type="spellEnd"/>
      <w:r w:rsidRPr="003277D0">
        <w:rPr>
          <w:rFonts w:eastAsia="宋体" w:cs="宋体"/>
          <w:sz w:val="18"/>
        </w:rPr>
        <w:t xml:space="preserve"> Sivan, Katie Miyashiro, Maureen L.</w:t>
      </w:r>
      <w:r w:rsidR="00DF2FD7">
        <w:rPr>
          <w:rFonts w:eastAsia="宋体" w:cs="宋体"/>
          <w:sz w:val="18"/>
        </w:rPr>
        <w:t xml:space="preserve"> </w:t>
      </w:r>
      <w:proofErr w:type="spellStart"/>
      <w:r w:rsidRPr="003277D0">
        <w:rPr>
          <w:rFonts w:eastAsia="宋体" w:cs="宋体"/>
          <w:sz w:val="18"/>
        </w:rPr>
        <w:t>Dreher</w:t>
      </w:r>
      <w:proofErr w:type="spellEnd"/>
      <w:r w:rsidRPr="003277D0">
        <w:rPr>
          <w:rFonts w:eastAsia="宋体" w:cs="宋体"/>
          <w:sz w:val="18"/>
        </w:rPr>
        <w:t xml:space="preserve">, Christine </w:t>
      </w:r>
      <w:proofErr w:type="spellStart"/>
      <w:r w:rsidRPr="003277D0">
        <w:rPr>
          <w:rFonts w:eastAsia="宋体" w:cs="宋体"/>
          <w:sz w:val="18"/>
        </w:rPr>
        <w:t>Trépanier</w:t>
      </w:r>
      <w:proofErr w:type="spellEnd"/>
      <w:r w:rsidRPr="003277D0">
        <w:rPr>
          <w:rFonts w:eastAsia="宋体" w:cs="宋体"/>
          <w:sz w:val="18"/>
        </w:rPr>
        <w:t xml:space="preserve">, </w:t>
      </w:r>
      <w:proofErr w:type="spellStart"/>
      <w:r w:rsidRPr="003277D0">
        <w:rPr>
          <w:rFonts w:eastAsia="宋体" w:cs="宋体"/>
          <w:sz w:val="18"/>
        </w:rPr>
        <w:t>Srinidhi</w:t>
      </w:r>
      <w:proofErr w:type="spellEnd"/>
      <w:r w:rsidRPr="003277D0">
        <w:rPr>
          <w:rFonts w:eastAsia="宋体" w:cs="宋体"/>
          <w:sz w:val="18"/>
        </w:rPr>
        <w:t xml:space="preserve"> </w:t>
      </w:r>
      <w:proofErr w:type="spellStart"/>
      <w:r w:rsidRPr="003277D0">
        <w:rPr>
          <w:rFonts w:eastAsia="宋体" w:cs="宋体"/>
          <w:sz w:val="18"/>
        </w:rPr>
        <w:t>Nagaraja</w:t>
      </w:r>
      <w:proofErr w:type="spellEnd"/>
      <w:r w:rsidRPr="003277D0">
        <w:rPr>
          <w:rFonts w:eastAsia="宋体" w:cs="宋体"/>
          <w:sz w:val="18"/>
        </w:rPr>
        <w:t xml:space="preserve">. The effects of surface processing on </w:t>
      </w:r>
      <w:proofErr w:type="spellStart"/>
      <w:r w:rsidRPr="003277D0">
        <w:rPr>
          <w:rFonts w:eastAsia="宋体" w:cs="宋体"/>
          <w:sz w:val="18"/>
        </w:rPr>
        <w:t>invivo</w:t>
      </w:r>
      <w:proofErr w:type="spellEnd"/>
      <w:r w:rsidRPr="003277D0">
        <w:rPr>
          <w:rFonts w:eastAsia="宋体" w:cs="宋体"/>
          <w:sz w:val="18"/>
        </w:rPr>
        <w:t xml:space="preserve"> corrosion of Nitinol stents in a porcine model.</w:t>
      </w:r>
      <w:r w:rsidR="00DF2FD7">
        <w:rPr>
          <w:rFonts w:eastAsia="宋体" w:cs="宋体"/>
          <w:sz w:val="18"/>
        </w:rPr>
        <w:t xml:space="preserve"> </w:t>
      </w:r>
      <w:proofErr w:type="spellStart"/>
      <w:r w:rsidRPr="003277D0">
        <w:rPr>
          <w:rFonts w:eastAsia="宋体" w:cs="宋体"/>
          <w:sz w:val="18"/>
          <w:lang w:eastAsia="zh-CN"/>
        </w:rPr>
        <w:t>Acta</w:t>
      </w:r>
      <w:proofErr w:type="spellEnd"/>
      <w:r w:rsidRPr="003277D0">
        <w:rPr>
          <w:rFonts w:eastAsia="宋体" w:cs="宋体"/>
          <w:sz w:val="18"/>
          <w:lang w:eastAsia="zh-CN"/>
        </w:rPr>
        <w:t xml:space="preserve"> </w:t>
      </w:r>
      <w:proofErr w:type="spellStart"/>
      <w:r w:rsidRPr="003277D0">
        <w:rPr>
          <w:rFonts w:eastAsia="宋体" w:cs="宋体"/>
          <w:sz w:val="18"/>
          <w:lang w:eastAsia="zh-CN"/>
        </w:rPr>
        <w:t>Biornaterialia</w:t>
      </w:r>
      <w:proofErr w:type="spellEnd"/>
      <w:r w:rsidRPr="003277D0">
        <w:rPr>
          <w:rFonts w:eastAsia="宋体" w:cs="宋体"/>
          <w:sz w:val="18"/>
          <w:lang w:eastAsia="zh-CN"/>
        </w:rPr>
        <w:t xml:space="preserve"> 16, 385-396 (2017)</w:t>
      </w:r>
      <w:r w:rsidR="002914F0" w:rsidRPr="003277D0">
        <w:rPr>
          <w:rFonts w:eastAsia="宋体" w:cs="宋体"/>
          <w:sz w:val="21"/>
          <w:lang w:eastAsia="zh-CN"/>
        </w:rPr>
        <w:br w:type="page"/>
      </w:r>
    </w:p>
    <w:p w14:paraId="002B002A" w14:textId="77777777" w:rsidR="00D020CF" w:rsidRPr="003D396A" w:rsidRDefault="002914F0" w:rsidP="00C057D3">
      <w:pPr>
        <w:pStyle w:val="a3"/>
        <w:adjustRightInd w:val="0"/>
        <w:snapToGrid w:val="0"/>
        <w:spacing w:beforeLines="50" w:before="120" w:line="300" w:lineRule="auto"/>
        <w:ind w:leftChars="600" w:left="1802" w:hangingChars="200" w:hanging="482"/>
        <w:jc w:val="both"/>
        <w:outlineLvl w:val="1"/>
        <w:rPr>
          <w:b/>
          <w:szCs w:val="21"/>
          <w:lang w:eastAsia="zh-CN"/>
        </w:rPr>
      </w:pPr>
      <w:bookmarkStart w:id="15" w:name="_Toc91866313"/>
      <w:r w:rsidRPr="003277D0">
        <w:rPr>
          <w:rFonts w:eastAsia="宋体" w:cs="宋体"/>
          <w:b/>
          <w:lang w:eastAsia="zh-CN"/>
        </w:rPr>
        <w:lastRenderedPageBreak/>
        <w:t>2.</w:t>
      </w:r>
      <w:r w:rsidRPr="003277D0">
        <w:rPr>
          <w:rFonts w:eastAsia="宋体" w:cs="宋体"/>
          <w:lang w:eastAsia="zh-CN"/>
        </w:rPr>
        <w:tab/>
      </w:r>
      <w:r w:rsidRPr="003277D0">
        <w:rPr>
          <w:rFonts w:eastAsia="宋体" w:cs="宋体"/>
          <w:b/>
          <w:lang w:eastAsia="zh-CN"/>
        </w:rPr>
        <w:t>镍离子释放</w:t>
      </w:r>
      <w:bookmarkEnd w:id="15"/>
    </w:p>
    <w:p w14:paraId="21755BC5" w14:textId="401A632D" w:rsidR="002914F0" w:rsidRDefault="004F06FE" w:rsidP="003D396A">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如果镍钛合金器械不符合预先规定的耐腐蚀性验收标准，或未采用既定的表面</w:t>
      </w:r>
      <w:r w:rsidR="002F08E6" w:rsidRPr="00497DC5">
        <w:rPr>
          <w:rFonts w:eastAsia="宋体" w:cs="宋体" w:hint="eastAsia"/>
          <w:sz w:val="21"/>
          <w:lang w:eastAsia="zh-CN"/>
        </w:rPr>
        <w:t>处理</w:t>
      </w:r>
      <w:r w:rsidRPr="00497DC5">
        <w:rPr>
          <w:rFonts w:eastAsia="宋体" w:cs="宋体" w:hint="eastAsia"/>
          <w:sz w:val="21"/>
          <w:lang w:eastAsia="zh-CN"/>
        </w:rPr>
        <w:t>工艺</w:t>
      </w:r>
      <w:r w:rsidRPr="003277D0">
        <w:rPr>
          <w:rFonts w:eastAsia="宋体" w:cs="宋体"/>
          <w:sz w:val="21"/>
          <w:lang w:eastAsia="zh-CN"/>
        </w:rPr>
        <w:t>，则建议根据</w:t>
      </w:r>
      <w:r w:rsidRPr="003277D0">
        <w:rPr>
          <w:rFonts w:eastAsia="宋体" w:cs="宋体"/>
          <w:sz w:val="21"/>
          <w:lang w:eastAsia="zh-CN"/>
        </w:rPr>
        <w:t>ASTM F3306</w:t>
      </w:r>
      <w:r w:rsidRPr="003277D0">
        <w:rPr>
          <w:rFonts w:eastAsia="宋体" w:cs="宋体"/>
          <w:sz w:val="21"/>
          <w:lang w:eastAsia="zh-CN"/>
        </w:rPr>
        <w:t>《评价医用植入物离子释放的标准试验方法》进行镍离子释放试验。该试验应通过测量在生理温度和</w:t>
      </w:r>
      <w:r w:rsidRPr="003277D0">
        <w:rPr>
          <w:rFonts w:eastAsia="宋体" w:cs="宋体"/>
          <w:sz w:val="21"/>
          <w:lang w:eastAsia="zh-CN"/>
        </w:rPr>
        <w:t>pH</w:t>
      </w:r>
      <w:r w:rsidRPr="003277D0">
        <w:rPr>
          <w:rFonts w:eastAsia="宋体" w:cs="宋体"/>
          <w:sz w:val="21"/>
          <w:lang w:eastAsia="zh-CN"/>
        </w:rPr>
        <w:t>值下从器械释放到体液中的镍浓度来量化镍含量随时间推移的变化。为避免</w:t>
      </w:r>
      <w:r w:rsidRPr="003277D0">
        <w:rPr>
          <w:rFonts w:eastAsia="宋体" w:cs="宋体"/>
          <w:sz w:val="21"/>
          <w:lang w:eastAsia="zh-CN"/>
        </w:rPr>
        <w:t>pH</w:t>
      </w:r>
      <w:r w:rsidRPr="003277D0">
        <w:rPr>
          <w:rFonts w:eastAsia="宋体" w:cs="宋体"/>
          <w:sz w:val="21"/>
          <w:lang w:eastAsia="zh-CN"/>
        </w:rPr>
        <w:t>值偏移，建议使用缓冲溶液，如</w:t>
      </w:r>
      <w:r w:rsidRPr="003277D0">
        <w:rPr>
          <w:rFonts w:eastAsia="宋体" w:cs="宋体"/>
          <w:sz w:val="21"/>
          <w:lang w:eastAsia="zh-CN"/>
        </w:rPr>
        <w:t>PBS</w:t>
      </w:r>
      <w:r w:rsidRPr="003277D0">
        <w:rPr>
          <w:rFonts w:eastAsia="宋体" w:cs="宋体"/>
          <w:sz w:val="21"/>
          <w:lang w:eastAsia="zh-CN"/>
        </w:rPr>
        <w:t>。对于长期接触，应在整个预期接触时间内进行浸没试验。对于永久性植入物，建议进行为期</w:t>
      </w:r>
      <w:r w:rsidRPr="003277D0">
        <w:rPr>
          <w:rFonts w:eastAsia="宋体" w:cs="宋体"/>
          <w:sz w:val="21"/>
          <w:lang w:eastAsia="zh-CN"/>
        </w:rPr>
        <w:t>60</w:t>
      </w:r>
      <w:r w:rsidRPr="003277D0">
        <w:rPr>
          <w:rFonts w:eastAsia="宋体" w:cs="宋体"/>
          <w:sz w:val="21"/>
          <w:lang w:eastAsia="zh-CN"/>
        </w:rPr>
        <w:t>天的试验。</w:t>
      </w:r>
      <w:r w:rsidR="002033CB">
        <w:rPr>
          <w:rFonts w:eastAsia="宋体" w:cs="宋体" w:hint="eastAsia"/>
          <w:sz w:val="21"/>
          <w:lang w:eastAsia="zh-CN"/>
        </w:rPr>
        <w:t>或者</w:t>
      </w:r>
      <w:r w:rsidRPr="003277D0">
        <w:rPr>
          <w:rFonts w:eastAsia="宋体" w:cs="宋体"/>
          <w:sz w:val="21"/>
          <w:lang w:eastAsia="zh-CN"/>
        </w:rPr>
        <w:t>，如果试验表明镍钛合金组件表面具有稳定性，即正在接近平衡，则</w:t>
      </w:r>
      <w:r w:rsidR="002033CB">
        <w:rPr>
          <w:rFonts w:eastAsia="宋体" w:cs="宋体" w:hint="eastAsia"/>
          <w:sz w:val="21"/>
          <w:lang w:eastAsia="zh-CN"/>
        </w:rPr>
        <w:t>也</w:t>
      </w:r>
      <w:r w:rsidRPr="003277D0">
        <w:rPr>
          <w:rFonts w:eastAsia="宋体" w:cs="宋体"/>
          <w:sz w:val="21"/>
          <w:lang w:eastAsia="zh-CN"/>
        </w:rPr>
        <w:t>可提前结束试验，最短试验持续时间为</w:t>
      </w:r>
      <w:r w:rsidRPr="003277D0">
        <w:rPr>
          <w:rFonts w:eastAsia="宋体" w:cs="宋体"/>
          <w:sz w:val="21"/>
          <w:lang w:eastAsia="zh-CN"/>
        </w:rPr>
        <w:t>30</w:t>
      </w:r>
      <w:r w:rsidRPr="003277D0">
        <w:rPr>
          <w:rFonts w:eastAsia="宋体" w:cs="宋体"/>
          <w:sz w:val="21"/>
          <w:lang w:eastAsia="zh-CN"/>
        </w:rPr>
        <w:t>天。表面稳定性的论证可纳入释放速率随时间单调衰减的证据，试验结束时的变化可忽略不计。应以适当的间隔对溶液进行采样，以表征器械的体外镍释放曲线。应使用能够充分捕获任何镍离子初始大剂量释放的采样方案。例如，永久性植入物的采样间隔在累积接触时间的第一个月中可能至少包括第</w:t>
      </w:r>
      <w:r w:rsidRPr="003277D0">
        <w:rPr>
          <w:rFonts w:eastAsia="宋体" w:cs="宋体"/>
          <w:sz w:val="21"/>
          <w:lang w:eastAsia="zh-CN"/>
        </w:rPr>
        <w:t>1</w:t>
      </w:r>
      <w:r w:rsidRPr="003277D0">
        <w:rPr>
          <w:rFonts w:eastAsia="宋体" w:cs="宋体"/>
          <w:sz w:val="21"/>
          <w:lang w:eastAsia="zh-CN"/>
        </w:rPr>
        <w:t>、</w:t>
      </w:r>
      <w:r w:rsidRPr="003277D0">
        <w:rPr>
          <w:rFonts w:eastAsia="宋体" w:cs="宋体"/>
          <w:sz w:val="21"/>
          <w:lang w:eastAsia="zh-CN"/>
        </w:rPr>
        <w:t>2</w:t>
      </w:r>
      <w:r w:rsidRPr="003277D0">
        <w:rPr>
          <w:rFonts w:eastAsia="宋体" w:cs="宋体"/>
          <w:sz w:val="21"/>
          <w:lang w:eastAsia="zh-CN"/>
        </w:rPr>
        <w:t>、</w:t>
      </w:r>
      <w:r w:rsidRPr="003277D0">
        <w:rPr>
          <w:rFonts w:eastAsia="宋体" w:cs="宋体"/>
          <w:sz w:val="21"/>
          <w:lang w:eastAsia="zh-CN"/>
        </w:rPr>
        <w:t>4</w:t>
      </w:r>
      <w:r w:rsidRPr="003277D0">
        <w:rPr>
          <w:rFonts w:eastAsia="宋体" w:cs="宋体"/>
          <w:sz w:val="21"/>
          <w:lang w:eastAsia="zh-CN"/>
        </w:rPr>
        <w:t>、</w:t>
      </w:r>
      <w:r w:rsidRPr="003277D0">
        <w:rPr>
          <w:rFonts w:eastAsia="宋体" w:cs="宋体"/>
          <w:sz w:val="21"/>
          <w:lang w:eastAsia="zh-CN"/>
        </w:rPr>
        <w:t>7</w:t>
      </w:r>
      <w:r w:rsidRPr="003277D0">
        <w:rPr>
          <w:rFonts w:eastAsia="宋体" w:cs="宋体"/>
          <w:sz w:val="21"/>
          <w:lang w:eastAsia="zh-CN"/>
        </w:rPr>
        <w:t>、</w:t>
      </w:r>
      <w:r w:rsidRPr="003277D0">
        <w:rPr>
          <w:rFonts w:eastAsia="宋体" w:cs="宋体"/>
          <w:sz w:val="21"/>
          <w:lang w:eastAsia="zh-CN"/>
        </w:rPr>
        <w:t>14</w:t>
      </w:r>
      <w:r w:rsidRPr="003277D0">
        <w:rPr>
          <w:rFonts w:eastAsia="宋体" w:cs="宋体"/>
          <w:sz w:val="21"/>
          <w:lang w:eastAsia="zh-CN"/>
        </w:rPr>
        <w:t>、</w:t>
      </w:r>
      <w:r w:rsidRPr="003277D0">
        <w:rPr>
          <w:rFonts w:eastAsia="宋体" w:cs="宋体"/>
          <w:sz w:val="21"/>
          <w:lang w:eastAsia="zh-CN"/>
        </w:rPr>
        <w:t>21</w:t>
      </w:r>
      <w:r w:rsidRPr="003277D0">
        <w:rPr>
          <w:rFonts w:eastAsia="宋体" w:cs="宋体"/>
          <w:sz w:val="21"/>
          <w:lang w:eastAsia="zh-CN"/>
        </w:rPr>
        <w:t>和</w:t>
      </w:r>
      <w:r w:rsidRPr="003277D0">
        <w:rPr>
          <w:rFonts w:eastAsia="宋体" w:cs="宋体"/>
          <w:sz w:val="21"/>
          <w:lang w:eastAsia="zh-CN"/>
        </w:rPr>
        <w:t>28</w:t>
      </w:r>
      <w:r w:rsidRPr="003277D0">
        <w:rPr>
          <w:rFonts w:eastAsia="宋体" w:cs="宋体"/>
          <w:sz w:val="21"/>
          <w:lang w:eastAsia="zh-CN"/>
        </w:rPr>
        <w:t>天，此后至少每两周</w:t>
      </w:r>
      <w:r w:rsidR="00C96D04">
        <w:rPr>
          <w:rFonts w:eastAsia="宋体" w:cs="宋体" w:hint="eastAsia"/>
          <w:sz w:val="21"/>
          <w:lang w:eastAsia="zh-CN"/>
        </w:rPr>
        <w:t>采样</w:t>
      </w:r>
      <w:r w:rsidRPr="003277D0">
        <w:rPr>
          <w:rFonts w:eastAsia="宋体" w:cs="宋体"/>
          <w:sz w:val="21"/>
          <w:lang w:eastAsia="zh-CN"/>
        </w:rPr>
        <w:t>一次，以捕获镍钛合金的初始大剂量释放以及随后的缓慢释放特性。在提供科学依据的情况下可使用替代采样频率。</w:t>
      </w:r>
    </w:p>
    <w:p w14:paraId="2E4E4CFB" w14:textId="4A30A348" w:rsidR="002914F0" w:rsidRDefault="004F06FE" w:rsidP="003D396A">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应在对器械进行模拟器械植入的预调节处理（例如跟踪和展开）后，对最终成品器械进行试验。选择的试验器械应确保可对制造过程引起的潜在变化进行评估（例如从多个批次中选取样品），并对试验器械的数量和尺寸进行合理性说明。在有多种尺寸或不同几何形状可供选择的情况下，应选择</w:t>
      </w:r>
      <w:r w:rsidR="00B57249">
        <w:rPr>
          <w:rFonts w:eastAsia="宋体" w:cs="宋体" w:hint="eastAsia"/>
          <w:sz w:val="21"/>
          <w:lang w:eastAsia="zh-CN"/>
        </w:rPr>
        <w:t>最能</w:t>
      </w:r>
      <w:r w:rsidRPr="003277D0">
        <w:rPr>
          <w:rFonts w:eastAsia="宋体" w:cs="宋体"/>
          <w:sz w:val="21"/>
          <w:lang w:eastAsia="zh-CN"/>
        </w:rPr>
        <w:t>代表镍离子释放最坏情况（例如表面积最大、对表面光洁度最具挑战性和</w:t>
      </w:r>
      <w:r w:rsidRPr="003277D0">
        <w:rPr>
          <w:rFonts w:eastAsia="宋体" w:cs="宋体"/>
          <w:sz w:val="21"/>
          <w:lang w:eastAsia="zh-CN"/>
        </w:rPr>
        <w:t>/</w:t>
      </w:r>
      <w:r w:rsidRPr="003277D0">
        <w:rPr>
          <w:rFonts w:eastAsia="宋体" w:cs="宋体"/>
          <w:sz w:val="21"/>
          <w:lang w:eastAsia="zh-CN"/>
        </w:rPr>
        <w:t>或局部应变最高）的器械，并进行合理性说明。</w:t>
      </w:r>
    </w:p>
    <w:p w14:paraId="0CEBFB29" w14:textId="4F5B9B2D" w:rsidR="00D020CF" w:rsidRPr="002914F0" w:rsidRDefault="004F06FE" w:rsidP="003D396A">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应进行确认试验并在试验报告中进行汇总。该确认试验应包括对分析仪器的确认</w:t>
      </w:r>
      <w:r w:rsidR="00C16914">
        <w:rPr>
          <w:rFonts w:eastAsia="宋体" w:cs="宋体" w:hint="eastAsia"/>
          <w:sz w:val="21"/>
          <w:lang w:eastAsia="zh-CN"/>
        </w:rPr>
        <w:t>，</w:t>
      </w:r>
      <w:r w:rsidR="004B1235">
        <w:rPr>
          <w:rFonts w:eastAsia="宋体" w:cs="宋体" w:hint="eastAsia"/>
          <w:sz w:val="21"/>
          <w:lang w:eastAsia="zh-CN"/>
        </w:rPr>
        <w:t>浸没</w:t>
      </w:r>
      <w:r w:rsidRPr="003277D0">
        <w:rPr>
          <w:rFonts w:eastAsia="宋体" w:cs="宋体"/>
          <w:sz w:val="21"/>
          <w:lang w:eastAsia="zh-CN"/>
        </w:rPr>
        <w:t>以及回收试验，旨在</w:t>
      </w:r>
      <w:proofErr w:type="gramStart"/>
      <w:r w:rsidRPr="003277D0">
        <w:rPr>
          <w:rFonts w:eastAsia="宋体" w:cs="宋体"/>
          <w:sz w:val="21"/>
          <w:lang w:eastAsia="zh-CN"/>
        </w:rPr>
        <w:t>证明镍在试验</w:t>
      </w:r>
      <w:proofErr w:type="gramEnd"/>
      <w:r w:rsidRPr="003277D0">
        <w:rPr>
          <w:rFonts w:eastAsia="宋体" w:cs="宋体"/>
          <w:sz w:val="21"/>
          <w:lang w:eastAsia="zh-CN"/>
        </w:rPr>
        <w:t>过程中不会从溶液中流失（例如，由于吸附在浸提容器上）。持续时间应至少等于浸没试验期间的最长间隔。应提供浸提比，或试验器械表面积与试验溶液体积之比，并提供选择该比例的科学依据。选择依据应同时将分析仪器的检出限和镍在试验溶液中的溶解度考虑在内。例如，如果释放的镍未接近镍在试验溶液中的溶解度极限并且远高于检出限，则</w:t>
      </w:r>
      <w:r w:rsidRPr="003277D0">
        <w:rPr>
          <w:rFonts w:eastAsia="宋体" w:cs="宋体"/>
          <w:sz w:val="21"/>
          <w:lang w:eastAsia="zh-CN"/>
        </w:rPr>
        <w:t>0.1-1 cm</w:t>
      </w:r>
      <w:r w:rsidRPr="003277D0">
        <w:rPr>
          <w:rFonts w:eastAsia="宋体" w:cs="宋体"/>
          <w:sz w:val="21"/>
          <w:vertAlign w:val="superscript"/>
          <w:lang w:eastAsia="zh-CN"/>
        </w:rPr>
        <w:t>2</w:t>
      </w:r>
      <w:r w:rsidRPr="003277D0">
        <w:rPr>
          <w:rFonts w:eastAsia="宋体" w:cs="宋体"/>
          <w:sz w:val="21"/>
          <w:lang w:eastAsia="zh-CN"/>
        </w:rPr>
        <w:t>/mL</w:t>
      </w:r>
      <w:r w:rsidRPr="003277D0">
        <w:rPr>
          <w:rFonts w:eastAsia="宋体" w:cs="宋体"/>
          <w:sz w:val="21"/>
          <w:lang w:eastAsia="zh-CN"/>
        </w:rPr>
        <w:t>的表面积</w:t>
      </w:r>
      <w:r w:rsidRPr="003277D0">
        <w:rPr>
          <w:rFonts w:eastAsia="宋体" w:cs="宋体"/>
          <w:sz w:val="21"/>
          <w:lang w:eastAsia="zh-CN"/>
        </w:rPr>
        <w:t>/</w:t>
      </w:r>
      <w:r w:rsidRPr="003277D0">
        <w:rPr>
          <w:rFonts w:eastAsia="宋体" w:cs="宋体"/>
          <w:sz w:val="21"/>
          <w:lang w:eastAsia="zh-CN"/>
        </w:rPr>
        <w:t>体积比可能是合适的。建议在每个采样时间点用新鲜溶液更换全部试验溶液。</w:t>
      </w:r>
    </w:p>
    <w:p w14:paraId="540F180A" w14:textId="77777777" w:rsidR="002914F0" w:rsidRDefault="002914F0" w:rsidP="002914F0">
      <w:pPr>
        <w:adjustRightInd w:val="0"/>
        <w:snapToGrid w:val="0"/>
        <w:spacing w:beforeLines="50" w:before="120" w:line="300" w:lineRule="auto"/>
        <w:jc w:val="both"/>
        <w:rPr>
          <w:sz w:val="21"/>
          <w:szCs w:val="21"/>
          <w:lang w:eastAsia="zh-CN"/>
        </w:rPr>
      </w:pPr>
      <w:r w:rsidRPr="003277D0">
        <w:rPr>
          <w:rFonts w:eastAsia="宋体" w:cs="宋体"/>
          <w:sz w:val="21"/>
          <w:lang w:eastAsia="zh-CN"/>
        </w:rPr>
        <w:br w:type="page"/>
      </w:r>
    </w:p>
    <w:p w14:paraId="621A2C68" w14:textId="77777777" w:rsidR="002914F0" w:rsidRDefault="004F06FE" w:rsidP="003D396A">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lastRenderedPageBreak/>
        <w:t>试验结果应报告为每件器械的总累积释放量（</w:t>
      </w:r>
      <w:proofErr w:type="spellStart"/>
      <w:r w:rsidRPr="003277D0">
        <w:rPr>
          <w:rFonts w:eastAsia="宋体" w:cs="宋体"/>
          <w:sz w:val="21"/>
        </w:rPr>
        <w:t>μ</w:t>
      </w:r>
      <w:r w:rsidRPr="003277D0">
        <w:rPr>
          <w:rFonts w:eastAsia="宋体" w:cs="宋体"/>
          <w:sz w:val="21"/>
          <w:lang w:eastAsia="zh-CN"/>
        </w:rPr>
        <w:t>g</w:t>
      </w:r>
      <w:proofErr w:type="spellEnd"/>
      <w:r w:rsidRPr="003277D0">
        <w:rPr>
          <w:rFonts w:eastAsia="宋体" w:cs="宋体"/>
          <w:sz w:val="21"/>
          <w:lang w:eastAsia="zh-CN"/>
        </w:rPr>
        <w:t>）以及每日释放量（</w:t>
      </w:r>
      <w:proofErr w:type="spellStart"/>
      <w:r w:rsidRPr="003277D0">
        <w:rPr>
          <w:rFonts w:eastAsia="宋体" w:cs="宋体"/>
          <w:sz w:val="21"/>
        </w:rPr>
        <w:t>μ</w:t>
      </w:r>
      <w:r w:rsidRPr="003277D0">
        <w:rPr>
          <w:rFonts w:eastAsia="宋体" w:cs="宋体"/>
          <w:sz w:val="21"/>
          <w:lang w:eastAsia="zh-CN"/>
        </w:rPr>
        <w:t>g</w:t>
      </w:r>
      <w:proofErr w:type="spellEnd"/>
      <w:r w:rsidRPr="003277D0">
        <w:rPr>
          <w:rFonts w:eastAsia="宋体" w:cs="宋体"/>
          <w:sz w:val="21"/>
          <w:lang w:eastAsia="zh-CN"/>
        </w:rPr>
        <w:t>/</w:t>
      </w:r>
      <w:r w:rsidRPr="003277D0">
        <w:rPr>
          <w:rFonts w:eastAsia="宋体" w:cs="宋体"/>
          <w:sz w:val="21"/>
          <w:lang w:eastAsia="zh-CN"/>
        </w:rPr>
        <w:t>天）。此外，如果在不同几何形状的器械或样品之间比较结果，结果也应按照器械表面积进行标准化；如</w:t>
      </w:r>
      <w:r w:rsidRPr="003277D0">
        <w:rPr>
          <w:rFonts w:eastAsia="宋体" w:cs="宋体"/>
          <w:sz w:val="21"/>
          <w:lang w:eastAsia="zh-CN"/>
        </w:rPr>
        <w:t>D</w:t>
      </w:r>
      <w:r w:rsidRPr="003277D0">
        <w:rPr>
          <w:rFonts w:eastAsia="宋体" w:cs="宋体"/>
          <w:sz w:val="21"/>
          <w:lang w:eastAsia="zh-CN"/>
        </w:rPr>
        <w:t>节</w:t>
      </w:r>
      <w:r w:rsidRPr="003277D0">
        <w:rPr>
          <w:rFonts w:eastAsia="宋体" w:cs="宋体"/>
          <w:sz w:val="21"/>
          <w:lang w:eastAsia="zh-CN"/>
        </w:rPr>
        <w:t>“</w:t>
      </w:r>
      <w:r w:rsidRPr="003277D0">
        <w:rPr>
          <w:rFonts w:eastAsia="宋体" w:cs="宋体"/>
          <w:sz w:val="21"/>
          <w:lang w:eastAsia="zh-CN"/>
        </w:rPr>
        <w:t>生物相容性</w:t>
      </w:r>
      <w:r w:rsidRPr="003277D0">
        <w:rPr>
          <w:rFonts w:eastAsia="宋体" w:cs="宋体"/>
          <w:sz w:val="21"/>
          <w:lang w:eastAsia="zh-CN"/>
        </w:rPr>
        <w:t>”</w:t>
      </w:r>
      <w:r w:rsidRPr="003277D0">
        <w:rPr>
          <w:rFonts w:eastAsia="宋体" w:cs="宋体"/>
          <w:sz w:val="21"/>
          <w:lang w:eastAsia="zh-CN"/>
        </w:rPr>
        <w:t>所述，这些结果应作为风险评定的一部分。</w:t>
      </w:r>
    </w:p>
    <w:p w14:paraId="2126822D" w14:textId="0283B963" w:rsidR="00D020CF" w:rsidRPr="003D396A" w:rsidRDefault="002914F0" w:rsidP="00C057D3">
      <w:pPr>
        <w:pStyle w:val="a3"/>
        <w:adjustRightInd w:val="0"/>
        <w:snapToGrid w:val="0"/>
        <w:spacing w:beforeLines="50" w:before="120" w:line="300" w:lineRule="auto"/>
        <w:ind w:leftChars="600" w:left="1802" w:hangingChars="200" w:hanging="482"/>
        <w:jc w:val="both"/>
        <w:outlineLvl w:val="1"/>
        <w:rPr>
          <w:b/>
          <w:szCs w:val="21"/>
          <w:lang w:eastAsia="zh-CN"/>
        </w:rPr>
      </w:pPr>
      <w:bookmarkStart w:id="16" w:name="_Toc91866314"/>
      <w:r w:rsidRPr="003277D0">
        <w:rPr>
          <w:rFonts w:eastAsia="宋体" w:cs="宋体"/>
          <w:b/>
          <w:lang w:eastAsia="zh-CN"/>
        </w:rPr>
        <w:t>3.</w:t>
      </w:r>
      <w:r w:rsidRPr="003277D0">
        <w:rPr>
          <w:rFonts w:eastAsia="宋体" w:cs="宋体"/>
          <w:lang w:eastAsia="zh-CN"/>
        </w:rPr>
        <w:tab/>
      </w:r>
      <w:r w:rsidR="00605A6C">
        <w:rPr>
          <w:rFonts w:eastAsia="宋体" w:cs="宋体" w:hint="eastAsia"/>
          <w:b/>
          <w:lang w:eastAsia="zh-CN"/>
        </w:rPr>
        <w:t>电偶</w:t>
      </w:r>
      <w:r w:rsidRPr="003277D0">
        <w:rPr>
          <w:rFonts w:eastAsia="宋体" w:cs="宋体"/>
          <w:b/>
          <w:lang w:eastAsia="zh-CN"/>
        </w:rPr>
        <w:t>腐蚀</w:t>
      </w:r>
      <w:bookmarkEnd w:id="16"/>
    </w:p>
    <w:p w14:paraId="5D5CBD81" w14:textId="3F16A7FB" w:rsidR="002914F0" w:rsidRDefault="004F06FE" w:rsidP="003D396A">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与点蚀类似，电偶腐蚀可能导致镍离子释放速率高于预期</w:t>
      </w:r>
      <w:r w:rsidR="00171292">
        <w:rPr>
          <w:rFonts w:eastAsia="宋体" w:cs="宋体" w:hint="eastAsia"/>
          <w:sz w:val="21"/>
          <w:lang w:eastAsia="zh-CN"/>
        </w:rPr>
        <w:t>，</w:t>
      </w:r>
      <w:r w:rsidRPr="003277D0">
        <w:rPr>
          <w:rFonts w:eastAsia="宋体" w:cs="宋体"/>
          <w:sz w:val="21"/>
          <w:lang w:eastAsia="zh-CN"/>
        </w:rPr>
        <w:t>或</w:t>
      </w:r>
      <w:r w:rsidR="00171292">
        <w:rPr>
          <w:rFonts w:eastAsia="宋体" w:cs="宋体" w:hint="eastAsia"/>
          <w:sz w:val="21"/>
          <w:lang w:eastAsia="zh-CN"/>
        </w:rPr>
        <w:t>破坏</w:t>
      </w:r>
      <w:r w:rsidRPr="003277D0">
        <w:rPr>
          <w:rFonts w:eastAsia="宋体" w:cs="宋体"/>
          <w:sz w:val="21"/>
          <w:lang w:eastAsia="zh-CN"/>
        </w:rPr>
        <w:t>力学完整性。如果镍钛合金与</w:t>
      </w:r>
      <w:r w:rsidR="00CA588C">
        <w:rPr>
          <w:rFonts w:eastAsia="宋体" w:cs="宋体" w:hint="eastAsia"/>
          <w:sz w:val="21"/>
          <w:lang w:eastAsia="zh-CN"/>
        </w:rPr>
        <w:t>不同的</w:t>
      </w:r>
      <w:r w:rsidRPr="003277D0">
        <w:rPr>
          <w:rFonts w:eastAsia="宋体" w:cs="宋体"/>
          <w:sz w:val="21"/>
          <w:lang w:eastAsia="zh-CN"/>
        </w:rPr>
        <w:t>金属接触，应考虑进行电偶腐蚀试验。建议采用</w:t>
      </w:r>
      <w:r w:rsidRPr="003277D0">
        <w:rPr>
          <w:rFonts w:eastAsia="宋体" w:cs="宋体"/>
          <w:sz w:val="21"/>
          <w:lang w:eastAsia="zh-CN"/>
        </w:rPr>
        <w:t>ASTM F3044</w:t>
      </w:r>
      <w:r w:rsidRPr="003277D0">
        <w:rPr>
          <w:rFonts w:eastAsia="宋体" w:cs="宋体"/>
          <w:sz w:val="21"/>
          <w:lang w:eastAsia="zh-CN"/>
        </w:rPr>
        <w:t>《评价医用植入物潜在电偶腐蚀的标准试验方法》中所述的方法。作为使用器械进行电偶腐蚀试验的替代方法，可使用</w:t>
      </w:r>
      <w:r w:rsidR="004F59B5">
        <w:rPr>
          <w:rFonts w:eastAsia="宋体" w:cs="宋体" w:hint="eastAsia"/>
          <w:sz w:val="21"/>
          <w:lang w:eastAsia="zh-CN"/>
        </w:rPr>
        <w:t>代表</w:t>
      </w:r>
      <w:r w:rsidRPr="003277D0">
        <w:rPr>
          <w:rFonts w:eastAsia="宋体" w:cs="宋体"/>
          <w:sz w:val="21"/>
          <w:lang w:eastAsia="zh-CN"/>
        </w:rPr>
        <w:t>预期最坏情况电流耦合且经过相同的制造过程的试样。此外，如果电流耦合引起的预期最坏情况电位偏移较小，并且阴极与阳极材料的相对表面比较低（例如标记带与支架表面比），则可提供科学依据代替试验。</w:t>
      </w:r>
    </w:p>
    <w:p w14:paraId="49DEF0CE" w14:textId="77777777" w:rsidR="00D020CF" w:rsidRPr="00DC536B" w:rsidRDefault="002914F0" w:rsidP="00DC536B">
      <w:pPr>
        <w:pStyle w:val="a3"/>
        <w:adjustRightInd w:val="0"/>
        <w:snapToGrid w:val="0"/>
        <w:spacing w:beforeLines="50" w:before="120" w:line="300" w:lineRule="auto"/>
        <w:ind w:leftChars="400" w:left="1362" w:hangingChars="200" w:hanging="482"/>
        <w:jc w:val="both"/>
        <w:outlineLvl w:val="1"/>
        <w:rPr>
          <w:b/>
          <w:szCs w:val="21"/>
          <w:lang w:eastAsia="zh-CN"/>
        </w:rPr>
      </w:pPr>
      <w:bookmarkStart w:id="17" w:name="_Toc91866315"/>
      <w:r w:rsidRPr="003277D0">
        <w:rPr>
          <w:rFonts w:eastAsia="宋体" w:cs="宋体"/>
          <w:b/>
          <w:lang w:eastAsia="zh-CN"/>
        </w:rPr>
        <w:t>D.</w:t>
      </w:r>
      <w:r w:rsidRPr="003277D0">
        <w:rPr>
          <w:rFonts w:eastAsia="宋体" w:cs="宋体"/>
          <w:b/>
          <w:lang w:eastAsia="zh-CN"/>
        </w:rPr>
        <w:tab/>
      </w:r>
      <w:r w:rsidRPr="003277D0">
        <w:rPr>
          <w:rFonts w:eastAsia="宋体" w:cs="宋体"/>
          <w:b/>
          <w:lang w:eastAsia="zh-CN"/>
        </w:rPr>
        <w:t>生物相容性</w:t>
      </w:r>
      <w:bookmarkEnd w:id="17"/>
    </w:p>
    <w:p w14:paraId="08C8DABE" w14:textId="30A1DBAE" w:rsidR="002914F0" w:rsidRDefault="004F06FE" w:rsidP="003D396A">
      <w:pPr>
        <w:pStyle w:val="a3"/>
        <w:adjustRightInd w:val="0"/>
        <w:snapToGrid w:val="0"/>
        <w:spacing w:beforeLines="50" w:before="120" w:line="300" w:lineRule="auto"/>
        <w:ind w:leftChars="400" w:left="880"/>
        <w:jc w:val="both"/>
        <w:rPr>
          <w:sz w:val="21"/>
          <w:szCs w:val="21"/>
          <w:lang w:eastAsia="zh-CN"/>
        </w:rPr>
      </w:pPr>
      <w:r w:rsidRPr="003277D0">
        <w:rPr>
          <w:rFonts w:eastAsia="宋体" w:cs="宋体"/>
          <w:sz w:val="21"/>
          <w:lang w:eastAsia="zh-CN"/>
        </w:rPr>
        <w:t>为了评估镍钛合金器械的生物相容性，建议遵循指南《</w:t>
      </w:r>
      <w:bookmarkStart w:id="18" w:name="_Hlk95485388"/>
      <w:r w:rsidRPr="003277D0">
        <w:rPr>
          <w:rFonts w:eastAsia="宋体" w:cs="宋体"/>
          <w:color w:val="0000FF"/>
          <w:sz w:val="21"/>
          <w:u w:val="single"/>
          <w:lang w:eastAsia="zh-CN"/>
        </w:rPr>
        <w:t>国际标准</w:t>
      </w:r>
      <w:r w:rsidRPr="003277D0">
        <w:rPr>
          <w:rFonts w:eastAsia="宋体" w:cs="宋体"/>
          <w:color w:val="0000FF"/>
          <w:sz w:val="21"/>
          <w:u w:val="single"/>
          <w:lang w:eastAsia="zh-CN"/>
        </w:rPr>
        <w:t>ISO 10993-1</w:t>
      </w:r>
      <w:r w:rsidRPr="003277D0">
        <w:rPr>
          <w:rFonts w:eastAsia="宋体" w:cs="宋体"/>
          <w:color w:val="0000FF"/>
          <w:sz w:val="21"/>
          <w:u w:val="single"/>
          <w:lang w:eastAsia="zh-CN"/>
        </w:rPr>
        <w:t>的使用，</w:t>
      </w:r>
      <w:r w:rsidRPr="003277D0">
        <w:rPr>
          <w:rFonts w:eastAsia="宋体" w:cs="宋体"/>
          <w:color w:val="0000FF"/>
          <w:sz w:val="21"/>
          <w:u w:val="single"/>
          <w:lang w:eastAsia="zh-CN"/>
        </w:rPr>
        <w:t>&lt;</w:t>
      </w:r>
      <w:r w:rsidRPr="003277D0">
        <w:rPr>
          <w:rFonts w:eastAsia="宋体" w:cs="宋体"/>
          <w:color w:val="0000FF"/>
          <w:sz w:val="21"/>
          <w:u w:val="single"/>
          <w:lang w:eastAsia="zh-CN"/>
        </w:rPr>
        <w:t>医疗器械生物学评价</w:t>
      </w:r>
      <w:r w:rsidRPr="003277D0">
        <w:rPr>
          <w:rFonts w:eastAsia="宋体" w:cs="宋体"/>
          <w:color w:val="0000FF"/>
          <w:sz w:val="21"/>
          <w:u w:val="single"/>
          <w:lang w:eastAsia="zh-CN"/>
        </w:rPr>
        <w:t xml:space="preserve"> - </w:t>
      </w:r>
      <w:r w:rsidRPr="003277D0">
        <w:rPr>
          <w:rFonts w:eastAsia="宋体" w:cs="宋体"/>
          <w:color w:val="0000FF"/>
          <w:sz w:val="21"/>
          <w:u w:val="single"/>
          <w:lang w:eastAsia="zh-CN"/>
        </w:rPr>
        <w:t>第</w:t>
      </w:r>
      <w:r w:rsidRPr="003277D0">
        <w:rPr>
          <w:rFonts w:eastAsia="宋体" w:cs="宋体"/>
          <w:color w:val="0000FF"/>
          <w:sz w:val="21"/>
          <w:u w:val="single"/>
          <w:lang w:eastAsia="zh-CN"/>
        </w:rPr>
        <w:t>1</w:t>
      </w:r>
      <w:r w:rsidRPr="003277D0">
        <w:rPr>
          <w:rFonts w:eastAsia="宋体" w:cs="宋体"/>
          <w:color w:val="0000FF"/>
          <w:sz w:val="21"/>
          <w:u w:val="single"/>
          <w:lang w:eastAsia="zh-CN"/>
        </w:rPr>
        <w:t>部分：风险管理过程中的评价与试验</w:t>
      </w:r>
      <w:bookmarkEnd w:id="18"/>
      <w:r w:rsidRPr="003277D0">
        <w:rPr>
          <w:rFonts w:eastAsia="宋体" w:cs="宋体"/>
          <w:color w:val="0000FF"/>
          <w:sz w:val="21"/>
          <w:u w:val="single"/>
          <w:lang w:eastAsia="zh-CN"/>
        </w:rPr>
        <w:t>&gt;</w:t>
      </w:r>
      <w:r w:rsidRPr="003277D0">
        <w:rPr>
          <w:rFonts w:eastAsia="宋体" w:cs="宋体"/>
          <w:sz w:val="21"/>
          <w:lang w:eastAsia="zh-CN"/>
        </w:rPr>
        <w:t>》。</w:t>
      </w:r>
      <w:r w:rsidRPr="003277D0">
        <w:rPr>
          <w:rFonts w:eastAsia="宋体" w:cs="宋体"/>
          <w:sz w:val="21"/>
          <w:vertAlign w:val="superscript"/>
          <w:lang w:eastAsia="zh-CN"/>
        </w:rPr>
        <w:t>49</w:t>
      </w:r>
      <w:r w:rsidRPr="003277D0">
        <w:rPr>
          <w:rFonts w:eastAsia="宋体" w:cs="宋体"/>
          <w:sz w:val="21"/>
          <w:lang w:eastAsia="zh-CN"/>
        </w:rPr>
        <w:t>本指南确定了应考虑的生物相容性评估类型以及</w:t>
      </w:r>
      <w:bookmarkStart w:id="19" w:name="_Hlk95485402"/>
      <w:r w:rsidR="008A1577">
        <w:rPr>
          <w:rFonts w:eastAsia="宋体" w:cs="宋体" w:hint="eastAsia"/>
          <w:sz w:val="21"/>
          <w:lang w:eastAsia="zh-CN"/>
        </w:rPr>
        <w:t>对于</w:t>
      </w:r>
      <w:r w:rsidRPr="003277D0">
        <w:rPr>
          <w:rFonts w:eastAsia="宋体" w:cs="宋体"/>
          <w:sz w:val="21"/>
          <w:lang w:eastAsia="zh-CN"/>
        </w:rPr>
        <w:t>相关试验</w:t>
      </w:r>
      <w:r w:rsidR="008A1577">
        <w:rPr>
          <w:rFonts w:eastAsia="宋体" w:cs="宋体" w:hint="eastAsia"/>
          <w:sz w:val="21"/>
          <w:lang w:eastAsia="zh-CN"/>
        </w:rPr>
        <w:t>程序</w:t>
      </w:r>
      <w:bookmarkEnd w:id="19"/>
      <w:r w:rsidRPr="003277D0">
        <w:rPr>
          <w:rFonts w:eastAsia="宋体" w:cs="宋体"/>
          <w:sz w:val="21"/>
          <w:lang w:eastAsia="zh-CN"/>
        </w:rPr>
        <w:t>的建议。</w:t>
      </w:r>
    </w:p>
    <w:p w14:paraId="1C7C5E94" w14:textId="77777777" w:rsidR="00D020CF" w:rsidRPr="002914F0" w:rsidRDefault="004F06FE" w:rsidP="003D396A">
      <w:pPr>
        <w:adjustRightInd w:val="0"/>
        <w:snapToGrid w:val="0"/>
        <w:spacing w:beforeLines="50" w:before="120" w:line="300" w:lineRule="auto"/>
        <w:ind w:leftChars="400" w:left="880"/>
        <w:jc w:val="both"/>
        <w:rPr>
          <w:sz w:val="21"/>
          <w:szCs w:val="21"/>
          <w:lang w:eastAsia="zh-CN"/>
        </w:rPr>
      </w:pPr>
      <w:r w:rsidRPr="003277D0">
        <w:rPr>
          <w:rFonts w:eastAsia="宋体" w:cs="宋体"/>
          <w:sz w:val="21"/>
          <w:lang w:eastAsia="zh-CN"/>
        </w:rPr>
        <w:t>此外，如果要进行体外镍释放试验（见图</w:t>
      </w:r>
      <w:r w:rsidRPr="003277D0">
        <w:rPr>
          <w:rFonts w:eastAsia="宋体" w:cs="宋体"/>
          <w:sz w:val="21"/>
          <w:lang w:eastAsia="zh-CN"/>
        </w:rPr>
        <w:t>1</w:t>
      </w:r>
      <w:r w:rsidRPr="003277D0">
        <w:rPr>
          <w:rFonts w:eastAsia="宋体" w:cs="宋体"/>
          <w:sz w:val="21"/>
          <w:lang w:eastAsia="zh-CN"/>
        </w:rPr>
        <w:t>），则应进行风险评定，以将器械的镍释放</w:t>
      </w:r>
      <w:proofErr w:type="gramStart"/>
      <w:r w:rsidRPr="003277D0">
        <w:rPr>
          <w:rFonts w:eastAsia="宋体" w:cs="宋体"/>
          <w:sz w:val="21"/>
          <w:lang w:eastAsia="zh-CN"/>
        </w:rPr>
        <w:t>量与镍的</w:t>
      </w:r>
      <w:proofErr w:type="gramEnd"/>
      <w:r w:rsidRPr="003277D0">
        <w:rPr>
          <w:rFonts w:eastAsia="宋体" w:cs="宋体"/>
          <w:sz w:val="21"/>
          <w:lang w:eastAsia="zh-CN"/>
        </w:rPr>
        <w:t>可耐受摄入量（</w:t>
      </w:r>
      <w:r w:rsidRPr="003277D0">
        <w:rPr>
          <w:rFonts w:eastAsia="宋体" w:cs="宋体"/>
          <w:sz w:val="21"/>
          <w:lang w:eastAsia="zh-CN"/>
        </w:rPr>
        <w:t>TI</w:t>
      </w:r>
      <w:r w:rsidRPr="003277D0">
        <w:rPr>
          <w:rFonts w:eastAsia="宋体" w:cs="宋体"/>
          <w:sz w:val="21"/>
          <w:lang w:eastAsia="zh-CN"/>
        </w:rPr>
        <w:t>）值进行比较。</w:t>
      </w:r>
      <w:r w:rsidRPr="003277D0">
        <w:rPr>
          <w:rFonts w:eastAsia="宋体" w:cs="宋体"/>
          <w:sz w:val="21"/>
          <w:lang w:eastAsia="zh-CN"/>
        </w:rPr>
        <w:t>TI</w:t>
      </w:r>
      <w:r w:rsidRPr="003277D0">
        <w:rPr>
          <w:rFonts w:eastAsia="宋体" w:cs="宋体"/>
          <w:sz w:val="21"/>
          <w:lang w:eastAsia="zh-CN"/>
        </w:rPr>
        <w:t>值在</w:t>
      </w:r>
      <w:r w:rsidRPr="003277D0">
        <w:rPr>
          <w:rFonts w:eastAsia="宋体" w:cs="宋体"/>
          <w:sz w:val="21"/>
          <w:lang w:eastAsia="zh-CN"/>
        </w:rPr>
        <w:t>ISO 10993-17:2002/(R)2012</w:t>
      </w:r>
      <w:r w:rsidRPr="003277D0">
        <w:rPr>
          <w:rFonts w:eastAsia="宋体" w:cs="宋体"/>
          <w:sz w:val="21"/>
          <w:lang w:eastAsia="zh-CN"/>
        </w:rPr>
        <w:t>标准《医疗器械生物学评价</w:t>
      </w:r>
      <w:r w:rsidRPr="003277D0">
        <w:rPr>
          <w:rFonts w:eastAsia="宋体" w:cs="宋体"/>
          <w:sz w:val="21"/>
          <w:lang w:eastAsia="zh-CN"/>
        </w:rPr>
        <w:t xml:space="preserve"> - </w:t>
      </w:r>
      <w:r w:rsidRPr="003277D0">
        <w:rPr>
          <w:rFonts w:eastAsia="宋体" w:cs="宋体"/>
          <w:sz w:val="21"/>
          <w:lang w:eastAsia="zh-CN"/>
        </w:rPr>
        <w:t>第</w:t>
      </w:r>
      <w:r w:rsidRPr="003277D0">
        <w:rPr>
          <w:rFonts w:eastAsia="宋体" w:cs="宋体"/>
          <w:sz w:val="21"/>
          <w:lang w:eastAsia="zh-CN"/>
        </w:rPr>
        <w:t>17</w:t>
      </w:r>
      <w:r w:rsidRPr="003277D0">
        <w:rPr>
          <w:rFonts w:eastAsia="宋体" w:cs="宋体"/>
          <w:sz w:val="21"/>
          <w:lang w:eastAsia="zh-CN"/>
        </w:rPr>
        <w:t>部分：可沥滤物允许限量的建立》中定义为</w:t>
      </w:r>
      <w:r w:rsidRPr="003277D0">
        <w:rPr>
          <w:rFonts w:eastAsia="宋体" w:cs="宋体"/>
          <w:sz w:val="21"/>
          <w:lang w:eastAsia="zh-CN"/>
        </w:rPr>
        <w:t>“</w:t>
      </w:r>
      <w:r w:rsidRPr="003277D0">
        <w:rPr>
          <w:rFonts w:eastAsia="宋体" w:cs="宋体"/>
          <w:sz w:val="21"/>
          <w:lang w:eastAsia="zh-CN"/>
        </w:rPr>
        <w:t>在一定时期内，根据体重估算的某物质的平均每日摄入量，该物质被认为对健康没有明显危害</w:t>
      </w:r>
      <w:r w:rsidRPr="003277D0">
        <w:rPr>
          <w:rFonts w:eastAsia="宋体" w:cs="宋体"/>
          <w:sz w:val="21"/>
          <w:lang w:eastAsia="zh-CN"/>
        </w:rPr>
        <w:t>”</w:t>
      </w:r>
      <w:r w:rsidRPr="003277D0">
        <w:rPr>
          <w:rFonts w:eastAsia="宋体" w:cs="宋体"/>
          <w:sz w:val="21"/>
          <w:lang w:eastAsia="zh-CN"/>
        </w:rPr>
        <w:t>。</w:t>
      </w:r>
    </w:p>
    <w:p w14:paraId="5AC00547" w14:textId="54D09579" w:rsidR="003D396A" w:rsidRPr="00AF2411" w:rsidRDefault="004F06FE" w:rsidP="00F02D73">
      <w:pPr>
        <w:pStyle w:val="a3"/>
        <w:adjustRightInd w:val="0"/>
        <w:snapToGrid w:val="0"/>
        <w:spacing w:beforeLines="50" w:before="120" w:line="300" w:lineRule="auto"/>
        <w:ind w:leftChars="400" w:left="880"/>
        <w:rPr>
          <w:rFonts w:eastAsiaTheme="minorEastAsia"/>
          <w:sz w:val="21"/>
          <w:szCs w:val="21"/>
          <w:lang w:eastAsia="zh-CN"/>
        </w:rPr>
      </w:pPr>
      <w:r w:rsidRPr="003277D0">
        <w:rPr>
          <w:rFonts w:eastAsia="宋体" w:cs="宋体"/>
          <w:sz w:val="21"/>
          <w:lang w:eastAsia="zh-CN"/>
        </w:rPr>
        <w:t>对于患者长期或持久接触含镍器械释放的镍后可能发生的全身不良反应（超敏反应除外），</w:t>
      </w:r>
      <w:r w:rsidRPr="003277D0">
        <w:rPr>
          <w:rFonts w:eastAsia="宋体" w:cs="宋体"/>
          <w:sz w:val="21"/>
          <w:lang w:eastAsia="zh-CN"/>
        </w:rPr>
        <w:t>CDRH</w:t>
      </w:r>
      <w:r w:rsidRPr="003277D0">
        <w:rPr>
          <w:rFonts w:eastAsia="宋体" w:cs="宋体"/>
          <w:sz w:val="21"/>
          <w:lang w:eastAsia="zh-CN"/>
        </w:rPr>
        <w:t>建议肠外（非口服）接触镍的</w:t>
      </w:r>
      <w:r w:rsidRPr="003277D0">
        <w:rPr>
          <w:rFonts w:eastAsia="宋体" w:cs="宋体"/>
          <w:sz w:val="21"/>
          <w:lang w:eastAsia="zh-CN"/>
        </w:rPr>
        <w:t>TI</w:t>
      </w:r>
      <w:r w:rsidRPr="003277D0">
        <w:rPr>
          <w:rFonts w:eastAsia="宋体" w:cs="宋体"/>
          <w:sz w:val="21"/>
          <w:lang w:eastAsia="zh-CN"/>
        </w:rPr>
        <w:t>值为</w:t>
      </w:r>
      <w:r w:rsidRPr="003277D0">
        <w:rPr>
          <w:rFonts w:eastAsia="宋体" w:cs="宋体"/>
          <w:sz w:val="21"/>
          <w:lang w:eastAsia="zh-CN"/>
        </w:rPr>
        <w:t xml:space="preserve">0.5 </w:t>
      </w:r>
      <w:proofErr w:type="spellStart"/>
      <w:r w:rsidRPr="003277D0">
        <w:rPr>
          <w:rFonts w:eastAsia="宋体" w:cs="宋体"/>
          <w:sz w:val="21"/>
        </w:rPr>
        <w:t>μ</w:t>
      </w:r>
      <w:r w:rsidRPr="003277D0">
        <w:rPr>
          <w:rFonts w:eastAsia="宋体" w:cs="宋体"/>
          <w:sz w:val="21"/>
          <w:lang w:eastAsia="zh-CN"/>
        </w:rPr>
        <w:t>g</w:t>
      </w:r>
      <w:proofErr w:type="spellEnd"/>
      <w:r w:rsidRPr="003277D0">
        <w:rPr>
          <w:rFonts w:eastAsia="宋体" w:cs="宋体"/>
          <w:sz w:val="21"/>
          <w:lang w:eastAsia="zh-CN"/>
        </w:rPr>
        <w:t>/kg/</w:t>
      </w:r>
      <w:r w:rsidRPr="003277D0">
        <w:rPr>
          <w:rFonts w:eastAsia="宋体" w:cs="宋体"/>
          <w:sz w:val="21"/>
          <w:lang w:eastAsia="zh-CN"/>
        </w:rPr>
        <w:t>天（例如</w:t>
      </w:r>
      <w:r w:rsidRPr="003277D0">
        <w:rPr>
          <w:rFonts w:eastAsia="宋体" w:cs="宋体"/>
          <w:sz w:val="21"/>
          <w:lang w:eastAsia="zh-CN"/>
        </w:rPr>
        <w:t>70 kg</w:t>
      </w:r>
      <w:r w:rsidRPr="003277D0">
        <w:rPr>
          <w:rFonts w:eastAsia="宋体" w:cs="宋体"/>
          <w:sz w:val="21"/>
          <w:lang w:eastAsia="zh-CN"/>
        </w:rPr>
        <w:t>成人为</w:t>
      </w:r>
      <w:r w:rsidRPr="003277D0">
        <w:rPr>
          <w:rFonts w:eastAsia="宋体" w:cs="宋体"/>
          <w:sz w:val="21"/>
          <w:lang w:eastAsia="zh-CN"/>
        </w:rPr>
        <w:t xml:space="preserve">35 </w:t>
      </w:r>
      <w:proofErr w:type="spellStart"/>
      <w:r w:rsidRPr="003277D0">
        <w:rPr>
          <w:rFonts w:eastAsia="宋体" w:cs="宋体"/>
          <w:sz w:val="21"/>
        </w:rPr>
        <w:t>μ</w:t>
      </w:r>
      <w:r w:rsidRPr="003277D0">
        <w:rPr>
          <w:rFonts w:eastAsia="宋体" w:cs="宋体"/>
          <w:sz w:val="21"/>
          <w:lang w:eastAsia="zh-CN"/>
        </w:rPr>
        <w:t>g</w:t>
      </w:r>
      <w:proofErr w:type="spellEnd"/>
      <w:r w:rsidRPr="003277D0">
        <w:rPr>
          <w:rFonts w:eastAsia="宋体" w:cs="宋体"/>
          <w:sz w:val="21"/>
          <w:lang w:eastAsia="zh-CN"/>
        </w:rPr>
        <w:t>/</w:t>
      </w:r>
      <w:r w:rsidRPr="003277D0">
        <w:rPr>
          <w:rFonts w:eastAsia="宋体" w:cs="宋体"/>
          <w:sz w:val="21"/>
          <w:lang w:eastAsia="zh-CN"/>
        </w:rPr>
        <w:t>天）。</w:t>
      </w:r>
      <w:r w:rsidRPr="003277D0">
        <w:rPr>
          <w:rFonts w:eastAsia="宋体" w:cs="宋体"/>
          <w:sz w:val="21"/>
          <w:vertAlign w:val="superscript"/>
          <w:lang w:eastAsia="zh-CN"/>
        </w:rPr>
        <w:t>50</w:t>
      </w:r>
      <w:r w:rsidRPr="003277D0">
        <w:rPr>
          <w:rFonts w:eastAsia="宋体" w:cs="宋体"/>
          <w:sz w:val="21"/>
          <w:lang w:eastAsia="zh-CN"/>
        </w:rPr>
        <w:t>该值基于实验动物通过肠外接触途径（例如静脉注射、腹腔注射）</w:t>
      </w:r>
      <w:proofErr w:type="gramStart"/>
      <w:r w:rsidR="000216D7">
        <w:rPr>
          <w:rFonts w:eastAsia="宋体" w:cs="宋体" w:hint="eastAsia"/>
          <w:sz w:val="21"/>
          <w:lang w:eastAsia="zh-CN"/>
        </w:rPr>
        <w:t>使用</w:t>
      </w:r>
      <w:r w:rsidRPr="003277D0">
        <w:rPr>
          <w:rFonts w:eastAsia="宋体" w:cs="宋体"/>
          <w:sz w:val="21"/>
          <w:lang w:eastAsia="zh-CN"/>
        </w:rPr>
        <w:t>镍盐后</w:t>
      </w:r>
      <w:proofErr w:type="gramEnd"/>
      <w:r w:rsidRPr="003277D0">
        <w:rPr>
          <w:rFonts w:eastAsia="宋体" w:cs="宋体"/>
          <w:sz w:val="21"/>
          <w:lang w:eastAsia="zh-CN"/>
        </w:rPr>
        <w:t>的全身毒性数据，采用</w:t>
      </w:r>
      <w:r w:rsidRPr="003277D0">
        <w:rPr>
          <w:rFonts w:eastAsia="宋体" w:cs="宋体"/>
          <w:sz w:val="21"/>
          <w:lang w:eastAsia="zh-CN"/>
        </w:rPr>
        <w:t>ISO 10993-17</w:t>
      </w:r>
      <w:r w:rsidRPr="003277D0">
        <w:rPr>
          <w:rFonts w:eastAsia="宋体" w:cs="宋体"/>
          <w:sz w:val="21"/>
          <w:lang w:eastAsia="zh-CN"/>
        </w:rPr>
        <w:t>标准中概述的方法进行推导。</w:t>
      </w:r>
      <w:r w:rsidRPr="003277D0">
        <w:rPr>
          <w:rFonts w:eastAsia="宋体" w:cs="宋体"/>
          <w:sz w:val="21"/>
          <w:lang w:eastAsia="zh-CN"/>
        </w:rPr>
        <w:t>FDA</w:t>
      </w:r>
      <w:r w:rsidRPr="003277D0">
        <w:rPr>
          <w:rFonts w:eastAsia="宋体" w:cs="宋体"/>
          <w:sz w:val="21"/>
          <w:lang w:eastAsia="zh-CN"/>
        </w:rPr>
        <w:t>尚未确立镍的口服</w:t>
      </w:r>
      <w:r w:rsidRPr="003277D0">
        <w:rPr>
          <w:rFonts w:eastAsia="宋体" w:cs="宋体"/>
          <w:sz w:val="21"/>
          <w:lang w:eastAsia="zh-CN"/>
        </w:rPr>
        <w:t>TI</w:t>
      </w:r>
      <w:r w:rsidRPr="003277D0">
        <w:rPr>
          <w:rFonts w:eastAsia="宋体" w:cs="宋体"/>
          <w:sz w:val="21"/>
          <w:lang w:eastAsia="zh-CN"/>
        </w:rPr>
        <w:t>值；但是，美国环境保护署已确立</w:t>
      </w:r>
      <w:r w:rsidRPr="003277D0">
        <w:rPr>
          <w:rFonts w:eastAsia="宋体" w:cs="宋体"/>
          <w:sz w:val="21"/>
          <w:lang w:eastAsia="zh-CN"/>
        </w:rPr>
        <w:t xml:space="preserve">20 </w:t>
      </w:r>
      <w:proofErr w:type="spellStart"/>
      <w:r w:rsidRPr="003277D0">
        <w:rPr>
          <w:rFonts w:eastAsia="宋体" w:cs="宋体"/>
          <w:sz w:val="21"/>
        </w:rPr>
        <w:t>μ</w:t>
      </w:r>
      <w:r w:rsidRPr="003277D0">
        <w:rPr>
          <w:rFonts w:eastAsia="宋体" w:cs="宋体"/>
          <w:sz w:val="21"/>
          <w:lang w:eastAsia="zh-CN"/>
        </w:rPr>
        <w:t>g</w:t>
      </w:r>
      <w:proofErr w:type="spellEnd"/>
      <w:r w:rsidRPr="003277D0">
        <w:rPr>
          <w:rFonts w:eastAsia="宋体" w:cs="宋体"/>
          <w:sz w:val="21"/>
          <w:lang w:eastAsia="zh-CN"/>
        </w:rPr>
        <w:t>/kg/</w:t>
      </w:r>
      <w:r w:rsidRPr="003277D0">
        <w:rPr>
          <w:rFonts w:eastAsia="宋体" w:cs="宋体"/>
          <w:sz w:val="21"/>
          <w:lang w:eastAsia="zh-CN"/>
        </w:rPr>
        <w:t>天的参考剂量（</w:t>
      </w:r>
      <w:proofErr w:type="spellStart"/>
      <w:r w:rsidRPr="003277D0">
        <w:rPr>
          <w:rFonts w:eastAsia="宋体" w:cs="宋体"/>
          <w:sz w:val="21"/>
          <w:lang w:eastAsia="zh-CN"/>
        </w:rPr>
        <w:t>RfD</w:t>
      </w:r>
      <w:proofErr w:type="spellEnd"/>
      <w:r w:rsidRPr="003277D0">
        <w:rPr>
          <w:rFonts w:eastAsia="宋体" w:cs="宋体"/>
          <w:sz w:val="21"/>
          <w:lang w:eastAsia="zh-CN"/>
        </w:rPr>
        <w:t>）（例如</w:t>
      </w:r>
      <w:r w:rsidRPr="003277D0">
        <w:rPr>
          <w:rFonts w:eastAsia="宋体" w:cs="宋体"/>
          <w:sz w:val="21"/>
          <w:lang w:eastAsia="zh-CN"/>
        </w:rPr>
        <w:t>70 kg</w:t>
      </w:r>
      <w:r w:rsidRPr="003277D0">
        <w:rPr>
          <w:rFonts w:eastAsia="宋体" w:cs="宋体"/>
          <w:sz w:val="21"/>
          <w:lang w:eastAsia="zh-CN"/>
        </w:rPr>
        <w:t>成人为</w:t>
      </w:r>
      <w:r w:rsidRPr="003277D0">
        <w:rPr>
          <w:rFonts w:eastAsia="宋体" w:cs="宋体"/>
          <w:sz w:val="21"/>
          <w:lang w:eastAsia="zh-CN"/>
        </w:rPr>
        <w:t xml:space="preserve">1400 </w:t>
      </w:r>
      <w:proofErr w:type="spellStart"/>
      <w:r w:rsidRPr="003277D0">
        <w:rPr>
          <w:rFonts w:eastAsia="宋体" w:cs="宋体"/>
          <w:sz w:val="21"/>
        </w:rPr>
        <w:t>μ</w:t>
      </w:r>
      <w:r w:rsidRPr="003277D0">
        <w:rPr>
          <w:rFonts w:eastAsia="宋体" w:cs="宋体"/>
          <w:sz w:val="21"/>
          <w:lang w:eastAsia="zh-CN"/>
        </w:rPr>
        <w:t>g</w:t>
      </w:r>
      <w:proofErr w:type="spellEnd"/>
      <w:r w:rsidRPr="003277D0">
        <w:rPr>
          <w:rFonts w:eastAsia="宋体" w:cs="宋体"/>
          <w:sz w:val="21"/>
          <w:lang w:eastAsia="zh-CN"/>
        </w:rPr>
        <w:t>/</w:t>
      </w:r>
      <w:r w:rsidRPr="003277D0">
        <w:rPr>
          <w:rFonts w:eastAsia="宋体" w:cs="宋体"/>
          <w:sz w:val="21"/>
          <w:lang w:eastAsia="zh-CN"/>
        </w:rPr>
        <w:t>天），旨在为终生口服镍暴露提供保护。值得注意的是，</w:t>
      </w:r>
      <w:r w:rsidRPr="003277D0">
        <w:rPr>
          <w:rFonts w:eastAsia="宋体" w:cs="宋体"/>
          <w:sz w:val="21"/>
          <w:lang w:eastAsia="zh-CN"/>
        </w:rPr>
        <w:t>TI</w:t>
      </w:r>
      <w:r w:rsidRPr="003277D0">
        <w:rPr>
          <w:rFonts w:eastAsia="宋体" w:cs="宋体"/>
          <w:sz w:val="21"/>
          <w:lang w:eastAsia="zh-CN"/>
        </w:rPr>
        <w:t>值并非旨在防止出现可能因植入物向植入物周围组织释放镍而导致的局部效应（例如坏死、炎症、刺激）。就致癌性而言，在妥善执行的生物测定中，长期口服或吸入可溶性镍化物后，未观察到大鼠或小鼠的肿瘤发病率增加；</w:t>
      </w:r>
      <w:r w:rsidRPr="003277D0">
        <w:rPr>
          <w:rFonts w:eastAsia="宋体" w:cs="宋体"/>
          <w:sz w:val="21"/>
          <w:vertAlign w:val="superscript"/>
          <w:lang w:eastAsia="zh-CN"/>
        </w:rPr>
        <w:t>51</w:t>
      </w:r>
      <w:r w:rsidRPr="003277D0">
        <w:rPr>
          <w:rFonts w:eastAsia="宋体" w:cs="宋体"/>
          <w:sz w:val="21"/>
          <w:lang w:eastAsia="zh-CN"/>
        </w:rPr>
        <w:t>因此，镍钛合金释放的镍离子</w:t>
      </w:r>
      <w:r w:rsidRPr="003277D0">
        <w:rPr>
          <w:rFonts w:eastAsia="宋体" w:cs="宋体"/>
          <w:sz w:val="21"/>
          <w:lang w:eastAsia="zh-CN"/>
        </w:rPr>
        <w:t>TI</w:t>
      </w:r>
      <w:r w:rsidRPr="003277D0">
        <w:rPr>
          <w:rFonts w:eastAsia="宋体" w:cs="宋体"/>
          <w:sz w:val="21"/>
          <w:lang w:eastAsia="zh-CN"/>
        </w:rPr>
        <w:t>对致癌性具有充分的保护作用。如果器械存在任何体内镍暴露数据，也应将这些值纳入风险评定中。</w:t>
      </w:r>
      <w:r w:rsidR="003D396A" w:rsidRPr="003277D0">
        <w:rPr>
          <w:rFonts w:eastAsia="宋体" w:cs="宋体"/>
          <w:sz w:val="21"/>
        </w:rPr>
        <w:t>______________________________</w:t>
      </w:r>
    </w:p>
    <w:p w14:paraId="753B644D" w14:textId="3851FAA0" w:rsidR="00D020CF" w:rsidRPr="003D396A" w:rsidRDefault="004F06FE" w:rsidP="003D396A">
      <w:pPr>
        <w:adjustRightInd w:val="0"/>
        <w:snapToGrid w:val="0"/>
        <w:spacing w:beforeLines="15" w:before="36" w:line="276" w:lineRule="auto"/>
        <w:jc w:val="both"/>
        <w:rPr>
          <w:sz w:val="18"/>
          <w:szCs w:val="21"/>
        </w:rPr>
      </w:pPr>
      <w:r w:rsidRPr="003277D0">
        <w:rPr>
          <w:rFonts w:eastAsia="宋体" w:cs="宋体"/>
          <w:sz w:val="18"/>
          <w:vertAlign w:val="superscript"/>
        </w:rPr>
        <w:t>49</w:t>
      </w:r>
      <w:r w:rsidRPr="003277D0">
        <w:rPr>
          <w:rFonts w:eastAsia="宋体" w:cs="宋体"/>
          <w:sz w:val="18"/>
        </w:rPr>
        <w:t xml:space="preserve"> </w:t>
      </w:r>
      <w:r w:rsidRPr="003277D0">
        <w:rPr>
          <w:rFonts w:eastAsia="宋体" w:cs="宋体"/>
          <w:sz w:val="18"/>
        </w:rPr>
        <w:t>可登录以下网址获取：</w:t>
      </w:r>
      <w:r w:rsidRPr="003277D0">
        <w:rPr>
          <w:rFonts w:eastAsia="宋体" w:cs="宋体"/>
          <w:color w:val="0000FF"/>
          <w:sz w:val="18"/>
          <w:u w:val="single"/>
        </w:rPr>
        <w:t>https://www.fda.gov/regulatory-information/search-fda-guidance-documents/use-international-</w:t>
      </w:r>
      <w:r w:rsidRPr="003277D0">
        <w:rPr>
          <w:rFonts w:eastAsia="宋体" w:cs="宋体"/>
          <w:color w:val="0000FF"/>
          <w:sz w:val="18"/>
        </w:rPr>
        <w:t xml:space="preserve"> </w:t>
      </w:r>
      <w:r w:rsidRPr="003277D0">
        <w:rPr>
          <w:rFonts w:eastAsia="宋体" w:cs="宋体"/>
          <w:color w:val="0000FF"/>
          <w:sz w:val="18"/>
          <w:u w:val="single"/>
        </w:rPr>
        <w:t>standard-iso-10993-1-biological-evaluation-medical-devices-part-1-evaluation-and</w:t>
      </w:r>
    </w:p>
    <w:p w14:paraId="029E4CAB" w14:textId="3C089C13" w:rsidR="002914F0" w:rsidRPr="00460B95" w:rsidRDefault="004F06FE" w:rsidP="00853F4C">
      <w:pPr>
        <w:adjustRightInd w:val="0"/>
        <w:snapToGrid w:val="0"/>
        <w:spacing w:beforeLines="15" w:before="36" w:line="276" w:lineRule="auto"/>
        <w:jc w:val="both"/>
        <w:rPr>
          <w:sz w:val="21"/>
          <w:szCs w:val="21"/>
          <w:lang w:val="fr-FR"/>
        </w:rPr>
      </w:pPr>
      <w:r w:rsidRPr="00460B95">
        <w:rPr>
          <w:sz w:val="18"/>
          <w:szCs w:val="21"/>
          <w:vertAlign w:val="superscript"/>
          <w:lang w:val="fr-FR"/>
        </w:rPr>
        <w:t>50</w:t>
      </w:r>
      <w:r w:rsidRPr="00460B95">
        <w:rPr>
          <w:color w:val="0000FF"/>
          <w:sz w:val="18"/>
          <w:szCs w:val="21"/>
          <w:u w:val="single" w:color="0000FF"/>
          <w:lang w:val="fr-FR"/>
        </w:rPr>
        <w:t>http://web.archive.org/web/20130203225843/http://www.fda.gov/MedicalDevices/NewsEvents/WorkshopsConfer</w:t>
      </w:r>
      <w:r w:rsidR="003D396A" w:rsidRPr="00460B95">
        <w:rPr>
          <w:rFonts w:eastAsiaTheme="minorEastAsia"/>
          <w:color w:val="0000FF"/>
          <w:sz w:val="18"/>
          <w:szCs w:val="21"/>
          <w:u w:val="single" w:color="0000FF"/>
          <w:lang w:val="fr-FR" w:eastAsia="zh-CN"/>
        </w:rPr>
        <w:t xml:space="preserve"> </w:t>
      </w:r>
      <w:r w:rsidRPr="00460B95">
        <w:rPr>
          <w:color w:val="0000FF"/>
          <w:sz w:val="18"/>
          <w:szCs w:val="21"/>
          <w:u w:val="single" w:color="0000FF"/>
          <w:lang w:val="fr-FR"/>
        </w:rPr>
        <w:t>ences/ucm287535.htm</w:t>
      </w:r>
      <w:r w:rsidR="002914F0" w:rsidRPr="00460B95">
        <w:rPr>
          <w:rFonts w:eastAsia="宋体" w:cs="宋体"/>
          <w:sz w:val="21"/>
          <w:lang w:val="fr-FR"/>
        </w:rPr>
        <w:br w:type="page"/>
      </w:r>
    </w:p>
    <w:p w14:paraId="0FC8735E" w14:textId="77777777" w:rsidR="002914F0" w:rsidRDefault="004F06FE" w:rsidP="003D396A">
      <w:pPr>
        <w:pStyle w:val="a3"/>
        <w:adjustRightInd w:val="0"/>
        <w:snapToGrid w:val="0"/>
        <w:spacing w:beforeLines="50" w:before="120" w:line="300" w:lineRule="auto"/>
        <w:ind w:leftChars="400" w:left="880"/>
        <w:jc w:val="both"/>
        <w:rPr>
          <w:sz w:val="21"/>
          <w:szCs w:val="21"/>
          <w:lang w:eastAsia="zh-CN"/>
        </w:rPr>
      </w:pPr>
      <w:r w:rsidRPr="003277D0">
        <w:rPr>
          <w:rFonts w:eastAsia="宋体" w:cs="宋体"/>
          <w:sz w:val="21"/>
          <w:lang w:eastAsia="zh-CN"/>
        </w:rPr>
        <w:lastRenderedPageBreak/>
        <w:t>由于可引起某些患者出现过敏反应的镍暴露水平尚无已知下限，因此无法推导出镍钛合金所释放镍的超敏</w:t>
      </w:r>
      <w:r w:rsidRPr="003277D0">
        <w:rPr>
          <w:rFonts w:eastAsia="宋体" w:cs="宋体"/>
          <w:sz w:val="21"/>
          <w:lang w:eastAsia="zh-CN"/>
        </w:rPr>
        <w:t>TI</w:t>
      </w:r>
      <w:r w:rsidRPr="003277D0">
        <w:rPr>
          <w:rFonts w:eastAsia="宋体" w:cs="宋体"/>
          <w:sz w:val="21"/>
          <w:lang w:eastAsia="zh-CN"/>
        </w:rPr>
        <w:t>值。因此，建议使用适当的标签（参见</w:t>
      </w:r>
      <w:r w:rsidRPr="003277D0">
        <w:rPr>
          <w:rFonts w:eastAsia="宋体" w:cs="宋体"/>
          <w:sz w:val="21"/>
          <w:lang w:eastAsia="zh-CN"/>
        </w:rPr>
        <w:t>E</w:t>
      </w:r>
      <w:r w:rsidRPr="003277D0">
        <w:rPr>
          <w:rFonts w:eastAsia="宋体" w:cs="宋体"/>
          <w:sz w:val="21"/>
          <w:lang w:eastAsia="zh-CN"/>
        </w:rPr>
        <w:t>节：标签）。</w:t>
      </w:r>
    </w:p>
    <w:p w14:paraId="17FE8FF4" w14:textId="4F6ED00A" w:rsidR="002914F0" w:rsidRDefault="004F06FE" w:rsidP="003D396A">
      <w:pPr>
        <w:pStyle w:val="a3"/>
        <w:adjustRightInd w:val="0"/>
        <w:snapToGrid w:val="0"/>
        <w:spacing w:beforeLines="50" w:before="120" w:line="300" w:lineRule="auto"/>
        <w:ind w:leftChars="400" w:left="880"/>
        <w:jc w:val="both"/>
        <w:rPr>
          <w:sz w:val="21"/>
          <w:szCs w:val="21"/>
          <w:lang w:eastAsia="zh-CN"/>
        </w:rPr>
      </w:pPr>
      <w:r w:rsidRPr="00D060BD">
        <w:rPr>
          <w:rFonts w:eastAsia="宋体" w:cs="宋体"/>
          <w:sz w:val="21"/>
          <w:lang w:eastAsia="zh-CN"/>
        </w:rPr>
        <w:t>如果镍暴露</w:t>
      </w:r>
      <w:r w:rsidRPr="00E62B5A">
        <w:rPr>
          <w:rFonts w:eastAsia="宋体" w:cs="宋体"/>
          <w:sz w:val="21"/>
          <w:lang w:eastAsia="zh-CN"/>
        </w:rPr>
        <w:t>估计值超</w:t>
      </w:r>
      <w:r w:rsidRPr="003277D0">
        <w:rPr>
          <w:rFonts w:eastAsia="宋体" w:cs="宋体"/>
          <w:sz w:val="21"/>
          <w:lang w:eastAsia="zh-CN"/>
        </w:rPr>
        <w:t>过推荐</w:t>
      </w:r>
      <w:r w:rsidRPr="003277D0">
        <w:rPr>
          <w:rFonts w:eastAsia="宋体" w:cs="宋体"/>
          <w:sz w:val="21"/>
          <w:lang w:eastAsia="zh-CN"/>
        </w:rPr>
        <w:t>TI</w:t>
      </w:r>
      <w:r w:rsidRPr="003277D0">
        <w:rPr>
          <w:rFonts w:eastAsia="宋体" w:cs="宋体"/>
          <w:sz w:val="21"/>
          <w:lang w:eastAsia="zh-CN"/>
        </w:rPr>
        <w:t>（即</w:t>
      </w:r>
      <w:r w:rsidRPr="003277D0">
        <w:rPr>
          <w:rFonts w:eastAsia="宋体" w:cs="宋体"/>
          <w:sz w:val="21"/>
          <w:lang w:eastAsia="zh-CN"/>
        </w:rPr>
        <w:t xml:space="preserve">0.5 </w:t>
      </w:r>
      <w:proofErr w:type="spellStart"/>
      <w:r w:rsidRPr="003277D0">
        <w:rPr>
          <w:rFonts w:eastAsia="宋体" w:cs="宋体"/>
          <w:sz w:val="21"/>
        </w:rPr>
        <w:t>μ</w:t>
      </w:r>
      <w:r w:rsidRPr="003277D0">
        <w:rPr>
          <w:rFonts w:eastAsia="宋体" w:cs="宋体"/>
          <w:sz w:val="21"/>
          <w:lang w:eastAsia="zh-CN"/>
        </w:rPr>
        <w:t>g</w:t>
      </w:r>
      <w:proofErr w:type="spellEnd"/>
      <w:r w:rsidRPr="003277D0">
        <w:rPr>
          <w:rFonts w:eastAsia="宋体" w:cs="宋体"/>
          <w:sz w:val="21"/>
          <w:lang w:eastAsia="zh-CN"/>
        </w:rPr>
        <w:t>/kg/</w:t>
      </w:r>
      <w:r w:rsidRPr="003277D0">
        <w:rPr>
          <w:rFonts w:eastAsia="宋体" w:cs="宋体"/>
          <w:sz w:val="21"/>
          <w:lang w:eastAsia="zh-CN"/>
        </w:rPr>
        <w:t>天），在某些情况（例如暴露时间显著缩短或存在其他暴露途径（如吸入））下，可推导替代</w:t>
      </w:r>
      <w:r w:rsidRPr="003277D0">
        <w:rPr>
          <w:rFonts w:eastAsia="宋体" w:cs="宋体"/>
          <w:sz w:val="21"/>
          <w:lang w:eastAsia="zh-CN"/>
        </w:rPr>
        <w:t>TI</w:t>
      </w:r>
      <w:r w:rsidRPr="003277D0">
        <w:rPr>
          <w:rFonts w:eastAsia="宋体" w:cs="宋体"/>
          <w:sz w:val="21"/>
          <w:lang w:eastAsia="zh-CN"/>
        </w:rPr>
        <w:t>。为支持替代</w:t>
      </w:r>
      <w:r w:rsidRPr="003277D0">
        <w:rPr>
          <w:rFonts w:eastAsia="宋体" w:cs="宋体"/>
          <w:sz w:val="21"/>
          <w:lang w:eastAsia="zh-CN"/>
        </w:rPr>
        <w:t>TI</w:t>
      </w:r>
      <w:r w:rsidRPr="003277D0">
        <w:rPr>
          <w:rFonts w:eastAsia="宋体" w:cs="宋体"/>
          <w:sz w:val="21"/>
          <w:lang w:eastAsia="zh-CN"/>
        </w:rPr>
        <w:t>，应提供证据（例如文献）证明潜在毒理学风险将得到充分缓解，或</w:t>
      </w:r>
      <w:r w:rsidR="001E1893">
        <w:rPr>
          <w:rFonts w:eastAsia="宋体" w:cs="宋体" w:hint="eastAsia"/>
          <w:sz w:val="21"/>
          <w:lang w:eastAsia="zh-CN"/>
        </w:rPr>
        <w:t>讨论</w:t>
      </w:r>
      <w:r w:rsidRPr="003277D0">
        <w:rPr>
          <w:rFonts w:eastAsia="宋体" w:cs="宋体"/>
          <w:sz w:val="21"/>
          <w:lang w:eastAsia="zh-CN"/>
        </w:rPr>
        <w:t>使用该器械对健康的可能受益超过使用器械造成的任何可能的损伤或疾病风险</w:t>
      </w:r>
      <w:r w:rsidR="001E1893" w:rsidRPr="001E1893">
        <w:rPr>
          <w:rFonts w:eastAsia="宋体" w:cs="宋体" w:hint="eastAsia"/>
          <w:sz w:val="21"/>
          <w:lang w:eastAsia="zh-CN"/>
        </w:rPr>
        <w:t>的依据</w:t>
      </w:r>
      <w:r w:rsidRPr="003277D0">
        <w:rPr>
          <w:rFonts w:eastAsia="宋体" w:cs="宋体"/>
          <w:sz w:val="21"/>
          <w:lang w:eastAsia="zh-CN"/>
        </w:rPr>
        <w:t>。有关受益</w:t>
      </w:r>
      <w:r w:rsidRPr="003277D0">
        <w:rPr>
          <w:rFonts w:eastAsia="宋体" w:cs="宋体"/>
          <w:sz w:val="21"/>
          <w:lang w:eastAsia="zh-CN"/>
        </w:rPr>
        <w:t>-</w:t>
      </w:r>
      <w:r w:rsidRPr="003277D0">
        <w:rPr>
          <w:rFonts w:eastAsia="宋体" w:cs="宋体"/>
          <w:sz w:val="21"/>
          <w:lang w:eastAsia="zh-CN"/>
        </w:rPr>
        <w:t>风险评估的附加信息，可参见《</w:t>
      </w:r>
      <w:r w:rsidRPr="003277D0">
        <w:rPr>
          <w:rFonts w:eastAsia="宋体" w:cs="宋体"/>
          <w:color w:val="0000FF"/>
          <w:sz w:val="21"/>
          <w:u w:val="single"/>
          <w:lang w:eastAsia="zh-CN"/>
        </w:rPr>
        <w:t>医疗器械研究器械豁免中判定受益</w:t>
      </w:r>
      <w:r w:rsidRPr="003277D0">
        <w:rPr>
          <w:rFonts w:eastAsia="宋体" w:cs="宋体"/>
          <w:color w:val="0000FF"/>
          <w:sz w:val="21"/>
          <w:u w:val="single"/>
          <w:lang w:eastAsia="zh-CN"/>
        </w:rPr>
        <w:t>-</w:t>
      </w:r>
      <w:r w:rsidRPr="003277D0">
        <w:rPr>
          <w:rFonts w:eastAsia="宋体" w:cs="宋体"/>
          <w:color w:val="0000FF"/>
          <w:sz w:val="21"/>
          <w:u w:val="single"/>
          <w:lang w:eastAsia="zh-CN"/>
        </w:rPr>
        <w:t>风险时应考虑的因素</w:t>
      </w:r>
      <w:r w:rsidRPr="003277D0">
        <w:rPr>
          <w:rFonts w:eastAsia="宋体" w:cs="宋体"/>
          <w:color w:val="0000FF"/>
          <w:sz w:val="21"/>
          <w:u w:val="single"/>
          <w:lang w:eastAsia="zh-CN"/>
        </w:rPr>
        <w:t>-</w:t>
      </w:r>
      <w:r w:rsidRPr="003277D0">
        <w:rPr>
          <w:rFonts w:eastAsia="宋体" w:cs="宋体"/>
          <w:color w:val="0000FF"/>
          <w:sz w:val="21"/>
          <w:u w:val="single"/>
          <w:lang w:eastAsia="zh-CN"/>
        </w:rPr>
        <w:t>面向研究器械豁免</w:t>
      </w:r>
      <w:r w:rsidR="00772E17">
        <w:rPr>
          <w:rFonts w:eastAsia="宋体" w:cs="宋体"/>
          <w:color w:val="0000FF"/>
          <w:sz w:val="21"/>
          <w:u w:val="single"/>
          <w:lang w:eastAsia="zh-CN"/>
        </w:rPr>
        <w:t>申请方</w:t>
      </w:r>
      <w:r w:rsidRPr="003277D0">
        <w:rPr>
          <w:rFonts w:eastAsia="宋体" w:cs="宋体"/>
          <w:color w:val="0000FF"/>
          <w:sz w:val="21"/>
          <w:u w:val="single"/>
          <w:lang w:eastAsia="zh-CN"/>
        </w:rPr>
        <w:t>、</w:t>
      </w:r>
      <w:r w:rsidR="00772E17">
        <w:rPr>
          <w:rFonts w:eastAsia="宋体" w:cs="宋体"/>
          <w:color w:val="0000FF"/>
          <w:sz w:val="21"/>
          <w:u w:val="single"/>
          <w:lang w:eastAsia="zh-CN"/>
        </w:rPr>
        <w:t>申请方</w:t>
      </w:r>
      <w:r w:rsidRPr="003277D0">
        <w:rPr>
          <w:rFonts w:eastAsia="宋体" w:cs="宋体"/>
          <w:color w:val="0000FF"/>
          <w:sz w:val="21"/>
          <w:u w:val="single"/>
          <w:lang w:eastAsia="zh-CN"/>
        </w:rPr>
        <w:t>研究者和</w:t>
      </w:r>
      <w:r w:rsidR="005A061B">
        <w:rPr>
          <w:rFonts w:eastAsia="宋体" w:cs="宋体"/>
          <w:color w:val="0000FF"/>
          <w:sz w:val="21"/>
          <w:u w:val="single"/>
          <w:lang w:eastAsia="zh-CN"/>
        </w:rPr>
        <w:t>美国食品药品监督管理局</w:t>
      </w:r>
      <w:r w:rsidRPr="003277D0">
        <w:rPr>
          <w:rFonts w:eastAsia="宋体" w:cs="宋体"/>
          <w:color w:val="0000FF"/>
          <w:sz w:val="21"/>
          <w:u w:val="single"/>
          <w:lang w:eastAsia="zh-CN"/>
        </w:rPr>
        <w:t>工作人员的指南</w:t>
      </w:r>
      <w:r w:rsidRPr="003277D0">
        <w:rPr>
          <w:rFonts w:eastAsia="宋体" w:cs="宋体"/>
          <w:sz w:val="21"/>
          <w:lang w:eastAsia="zh-CN"/>
        </w:rPr>
        <w:t>》</w:t>
      </w:r>
      <w:r w:rsidRPr="003277D0">
        <w:rPr>
          <w:rFonts w:eastAsia="宋体" w:cs="宋体"/>
          <w:sz w:val="21"/>
          <w:vertAlign w:val="superscript"/>
          <w:lang w:eastAsia="zh-CN"/>
        </w:rPr>
        <w:t>52</w:t>
      </w:r>
      <w:r w:rsidRPr="003277D0">
        <w:rPr>
          <w:rFonts w:eastAsia="宋体" w:cs="宋体"/>
          <w:sz w:val="21"/>
          <w:lang w:eastAsia="zh-CN"/>
        </w:rPr>
        <w:t>和《</w:t>
      </w:r>
      <w:r w:rsidRPr="003277D0">
        <w:rPr>
          <w:rFonts w:eastAsia="宋体" w:cs="宋体"/>
          <w:color w:val="0000FF"/>
          <w:sz w:val="21"/>
          <w:u w:val="single"/>
          <w:lang w:eastAsia="zh-CN"/>
        </w:rPr>
        <w:t>医疗器械上市前批准（</w:t>
      </w:r>
      <w:r w:rsidRPr="003277D0">
        <w:rPr>
          <w:rFonts w:eastAsia="宋体" w:cs="宋体"/>
          <w:color w:val="0000FF"/>
          <w:sz w:val="21"/>
          <w:u w:val="single"/>
          <w:lang w:eastAsia="zh-CN"/>
        </w:rPr>
        <w:t>PMA</w:t>
      </w:r>
      <w:r w:rsidRPr="003277D0">
        <w:rPr>
          <w:rFonts w:eastAsia="宋体" w:cs="宋体"/>
          <w:color w:val="0000FF"/>
          <w:sz w:val="21"/>
          <w:u w:val="single"/>
          <w:lang w:eastAsia="zh-CN"/>
        </w:rPr>
        <w:t>）和重新分类中判定受益</w:t>
      </w:r>
      <w:r w:rsidRPr="003277D0">
        <w:rPr>
          <w:rFonts w:eastAsia="宋体" w:cs="宋体"/>
          <w:color w:val="0000FF"/>
          <w:sz w:val="21"/>
          <w:u w:val="single"/>
          <w:lang w:eastAsia="zh-CN"/>
        </w:rPr>
        <w:t>-</w:t>
      </w:r>
      <w:r w:rsidRPr="003277D0">
        <w:rPr>
          <w:rFonts w:eastAsia="宋体" w:cs="宋体"/>
          <w:color w:val="0000FF"/>
          <w:sz w:val="21"/>
          <w:u w:val="single"/>
          <w:lang w:eastAsia="zh-CN"/>
        </w:rPr>
        <w:t>风险时应考虑的因素</w:t>
      </w:r>
      <w:r w:rsidRPr="003277D0">
        <w:rPr>
          <w:rFonts w:eastAsia="宋体" w:cs="宋体"/>
          <w:color w:val="0000FF"/>
          <w:sz w:val="21"/>
          <w:u w:val="single"/>
          <w:lang w:eastAsia="zh-CN"/>
        </w:rPr>
        <w:t>-</w:t>
      </w:r>
      <w:r w:rsidRPr="003277D0">
        <w:rPr>
          <w:rFonts w:eastAsia="宋体" w:cs="宋体"/>
          <w:color w:val="0000FF"/>
          <w:sz w:val="21"/>
          <w:u w:val="single"/>
          <w:lang w:eastAsia="zh-CN"/>
        </w:rPr>
        <w:t>行业和</w:t>
      </w:r>
      <w:r w:rsidR="005A061B">
        <w:rPr>
          <w:rFonts w:eastAsia="宋体" w:cs="宋体"/>
          <w:color w:val="0000FF"/>
          <w:sz w:val="21"/>
          <w:u w:val="single"/>
          <w:lang w:eastAsia="zh-CN"/>
        </w:rPr>
        <w:t>美国食品药品监督管理局</w:t>
      </w:r>
      <w:r w:rsidRPr="003277D0">
        <w:rPr>
          <w:rFonts w:eastAsia="宋体" w:cs="宋体"/>
          <w:color w:val="0000FF"/>
          <w:sz w:val="21"/>
          <w:u w:val="single"/>
          <w:lang w:eastAsia="zh-CN"/>
        </w:rPr>
        <w:t>工作人员指南</w:t>
      </w:r>
      <w:r w:rsidRPr="003277D0">
        <w:rPr>
          <w:rFonts w:eastAsia="宋体" w:cs="宋体"/>
          <w:sz w:val="21"/>
          <w:lang w:eastAsia="zh-CN"/>
        </w:rPr>
        <w:t>》。</w:t>
      </w:r>
      <w:r w:rsidRPr="003277D0">
        <w:rPr>
          <w:rFonts w:eastAsia="宋体" w:cs="宋体"/>
          <w:sz w:val="21"/>
          <w:vertAlign w:val="superscript"/>
          <w:lang w:eastAsia="zh-CN"/>
        </w:rPr>
        <w:t>53</w:t>
      </w:r>
      <w:r w:rsidRPr="003277D0">
        <w:rPr>
          <w:rFonts w:eastAsia="宋体" w:cs="宋体"/>
          <w:sz w:val="21"/>
          <w:lang w:eastAsia="zh-CN"/>
        </w:rPr>
        <w:t>如果镍释放量超过推荐或替</w:t>
      </w:r>
      <w:r w:rsidRPr="003277D0">
        <w:rPr>
          <w:rFonts w:eastAsia="宋体" w:cs="宋体"/>
          <w:sz w:val="21"/>
          <w:lang w:eastAsia="zh-CN"/>
        </w:rPr>
        <w:t>TI</w:t>
      </w:r>
      <w:r w:rsidRPr="003277D0">
        <w:rPr>
          <w:rFonts w:eastAsia="宋体" w:cs="宋体"/>
          <w:sz w:val="21"/>
          <w:lang w:eastAsia="zh-CN"/>
        </w:rPr>
        <w:t>值，并且无法证明其合理性，则可能有必要对器械进行改良（例如表面优化），以缓解风险。</w:t>
      </w:r>
    </w:p>
    <w:p w14:paraId="1BE53CF7" w14:textId="77777777" w:rsidR="00D020CF" w:rsidRPr="00DC536B" w:rsidRDefault="002914F0" w:rsidP="00DC536B">
      <w:pPr>
        <w:pStyle w:val="a3"/>
        <w:adjustRightInd w:val="0"/>
        <w:snapToGrid w:val="0"/>
        <w:spacing w:beforeLines="50" w:before="120" w:line="300" w:lineRule="auto"/>
        <w:ind w:leftChars="400" w:left="1362" w:hangingChars="200" w:hanging="482"/>
        <w:jc w:val="both"/>
        <w:outlineLvl w:val="1"/>
        <w:rPr>
          <w:b/>
          <w:szCs w:val="21"/>
          <w:lang w:eastAsia="zh-CN"/>
        </w:rPr>
      </w:pPr>
      <w:bookmarkStart w:id="20" w:name="_Toc91866316"/>
      <w:r w:rsidRPr="003277D0">
        <w:rPr>
          <w:rFonts w:eastAsia="宋体" w:cs="宋体"/>
          <w:b/>
          <w:lang w:eastAsia="zh-CN"/>
        </w:rPr>
        <w:t>E.</w:t>
      </w:r>
      <w:r w:rsidRPr="003277D0">
        <w:rPr>
          <w:rFonts w:eastAsia="宋体" w:cs="宋体"/>
          <w:b/>
          <w:lang w:eastAsia="zh-CN"/>
        </w:rPr>
        <w:tab/>
      </w:r>
      <w:r w:rsidRPr="003277D0">
        <w:rPr>
          <w:rFonts w:eastAsia="宋体" w:cs="宋体"/>
          <w:b/>
          <w:lang w:eastAsia="zh-CN"/>
        </w:rPr>
        <w:t>标签</w:t>
      </w:r>
      <w:r w:rsidRPr="003277D0">
        <w:rPr>
          <w:rFonts w:eastAsia="宋体" w:cs="宋体"/>
          <w:b/>
          <w:lang w:eastAsia="zh-CN"/>
        </w:rPr>
        <w:t>-</w:t>
      </w:r>
      <w:r w:rsidRPr="003277D0">
        <w:rPr>
          <w:rFonts w:eastAsia="宋体" w:cs="宋体"/>
          <w:b/>
          <w:lang w:eastAsia="zh-CN"/>
        </w:rPr>
        <w:t>警告</w:t>
      </w:r>
      <w:bookmarkEnd w:id="20"/>
    </w:p>
    <w:p w14:paraId="4A023C79" w14:textId="692FF143" w:rsidR="003D396A" w:rsidRDefault="004F06FE" w:rsidP="003D396A">
      <w:pPr>
        <w:pStyle w:val="a3"/>
        <w:adjustRightInd w:val="0"/>
        <w:snapToGrid w:val="0"/>
        <w:spacing w:beforeLines="50" w:before="120" w:line="300" w:lineRule="auto"/>
        <w:ind w:leftChars="400" w:left="880"/>
        <w:jc w:val="both"/>
        <w:rPr>
          <w:sz w:val="21"/>
          <w:szCs w:val="21"/>
          <w:lang w:eastAsia="zh-CN"/>
        </w:rPr>
      </w:pPr>
      <w:r w:rsidRPr="003277D0">
        <w:rPr>
          <w:rFonts w:eastAsia="宋体" w:cs="宋体"/>
          <w:sz w:val="21"/>
          <w:lang w:eastAsia="zh-CN"/>
        </w:rPr>
        <w:t>由于可引起某些患者出现过敏反应的镍含量尚无已知下限，因此建议通过对含镍钛合金的器械进行贴标来</w:t>
      </w:r>
      <w:r w:rsidR="00E62B5A">
        <w:rPr>
          <w:rFonts w:eastAsia="宋体" w:cs="宋体" w:hint="eastAsia"/>
          <w:sz w:val="21"/>
          <w:lang w:eastAsia="zh-CN"/>
        </w:rPr>
        <w:t>降低</w:t>
      </w:r>
      <w:r w:rsidRPr="003277D0">
        <w:rPr>
          <w:rFonts w:eastAsia="宋体" w:cs="宋体"/>
          <w:sz w:val="21"/>
          <w:lang w:eastAsia="zh-CN"/>
        </w:rPr>
        <w:t>对镍潜在过敏反应的风险。具体而言，建议在标签（例如使用说明）上载明对长期和持久接触器械的警告。请注意，当使用镍钛合金器械的风险明显超过任何可能的受益时，则应禁用此类器械。</w:t>
      </w:r>
    </w:p>
    <w:p w14:paraId="13F83794" w14:textId="77777777" w:rsidR="003D396A" w:rsidRPr="00AF2411" w:rsidRDefault="003D396A" w:rsidP="00853F4C">
      <w:pPr>
        <w:adjustRightInd w:val="0"/>
        <w:snapToGrid w:val="0"/>
        <w:spacing w:beforeLines="2550" w:before="6120" w:line="300" w:lineRule="auto"/>
        <w:jc w:val="both"/>
        <w:rPr>
          <w:rFonts w:eastAsiaTheme="minorEastAsia"/>
          <w:sz w:val="21"/>
          <w:szCs w:val="21"/>
          <w:lang w:eastAsia="zh-CN"/>
        </w:rPr>
      </w:pPr>
      <w:r w:rsidRPr="003277D0">
        <w:rPr>
          <w:rFonts w:eastAsia="宋体" w:cs="宋体"/>
          <w:sz w:val="21"/>
        </w:rPr>
        <w:t>______________________________</w:t>
      </w:r>
    </w:p>
    <w:p w14:paraId="4BB12F00" w14:textId="31585779" w:rsidR="00D020CF" w:rsidRPr="003D396A" w:rsidRDefault="004F06FE" w:rsidP="003D396A">
      <w:pPr>
        <w:adjustRightInd w:val="0"/>
        <w:snapToGrid w:val="0"/>
        <w:spacing w:beforeLines="15" w:before="36" w:line="276" w:lineRule="auto"/>
        <w:jc w:val="both"/>
        <w:rPr>
          <w:sz w:val="18"/>
          <w:szCs w:val="21"/>
        </w:rPr>
      </w:pPr>
      <w:r w:rsidRPr="003277D0">
        <w:rPr>
          <w:rFonts w:eastAsia="宋体" w:cs="宋体"/>
          <w:sz w:val="18"/>
          <w:vertAlign w:val="superscript"/>
        </w:rPr>
        <w:t>51</w:t>
      </w:r>
      <w:r w:rsidRPr="003277D0">
        <w:rPr>
          <w:rFonts w:eastAsia="宋体" w:cs="宋体"/>
          <w:sz w:val="18"/>
        </w:rPr>
        <w:t xml:space="preserve"> Heim KE, Bates HK, Rush RE, </w:t>
      </w:r>
      <w:proofErr w:type="spellStart"/>
      <w:r w:rsidRPr="003277D0">
        <w:rPr>
          <w:rFonts w:eastAsia="宋体" w:cs="宋体"/>
          <w:sz w:val="18"/>
        </w:rPr>
        <w:t>Oller</w:t>
      </w:r>
      <w:proofErr w:type="spellEnd"/>
      <w:r w:rsidRPr="003277D0">
        <w:rPr>
          <w:rFonts w:eastAsia="宋体" w:cs="宋体"/>
          <w:sz w:val="18"/>
        </w:rPr>
        <w:t xml:space="preserve"> AR. (2007) Oral carcinogenicity study with nickel sulfate hexahydrate in Fischer 344 </w:t>
      </w:r>
      <w:proofErr w:type="spellStart"/>
      <w:r w:rsidRPr="003277D0">
        <w:rPr>
          <w:rFonts w:eastAsia="宋体" w:cs="宋体"/>
          <w:sz w:val="18"/>
        </w:rPr>
        <w:t>rats.Toxicology</w:t>
      </w:r>
      <w:proofErr w:type="spellEnd"/>
      <w:r w:rsidRPr="003277D0">
        <w:rPr>
          <w:rFonts w:eastAsia="宋体" w:cs="宋体"/>
          <w:sz w:val="18"/>
        </w:rPr>
        <w:t xml:space="preserve"> Applied Pharmacology</w:t>
      </w:r>
      <w:r w:rsidRPr="003277D0">
        <w:rPr>
          <w:rFonts w:eastAsia="宋体" w:cs="宋体"/>
          <w:i/>
          <w:sz w:val="18"/>
        </w:rPr>
        <w:t xml:space="preserve">. </w:t>
      </w:r>
      <w:r w:rsidRPr="003277D0">
        <w:rPr>
          <w:rFonts w:eastAsia="宋体" w:cs="宋体"/>
          <w:sz w:val="18"/>
        </w:rPr>
        <w:t>224(2):126-37.</w:t>
      </w:r>
    </w:p>
    <w:p w14:paraId="6764FEF8" w14:textId="25209D3E" w:rsidR="00D020CF" w:rsidRPr="003D396A" w:rsidRDefault="004F06FE" w:rsidP="003D396A">
      <w:pPr>
        <w:adjustRightInd w:val="0"/>
        <w:snapToGrid w:val="0"/>
        <w:spacing w:beforeLines="15" w:before="36" w:line="276" w:lineRule="auto"/>
        <w:jc w:val="both"/>
        <w:rPr>
          <w:sz w:val="18"/>
          <w:szCs w:val="21"/>
        </w:rPr>
      </w:pPr>
      <w:r w:rsidRPr="003277D0">
        <w:rPr>
          <w:rFonts w:eastAsia="宋体" w:cs="宋体"/>
          <w:sz w:val="18"/>
          <w:vertAlign w:val="superscript"/>
        </w:rPr>
        <w:t>52</w:t>
      </w:r>
      <w:r w:rsidRPr="003277D0">
        <w:rPr>
          <w:rFonts w:eastAsia="宋体" w:cs="宋体"/>
          <w:sz w:val="18"/>
        </w:rPr>
        <w:t xml:space="preserve"> </w:t>
      </w:r>
      <w:r w:rsidRPr="003277D0">
        <w:rPr>
          <w:rFonts w:eastAsia="宋体" w:cs="宋体"/>
          <w:sz w:val="18"/>
        </w:rPr>
        <w:t>可登录以下网址获取：</w:t>
      </w:r>
      <w:r w:rsidRPr="003277D0">
        <w:rPr>
          <w:rFonts w:eastAsia="宋体" w:cs="宋体"/>
          <w:color w:val="0000FF"/>
          <w:sz w:val="18"/>
          <w:u w:val="single"/>
        </w:rPr>
        <w:t>https://www.fda.gov/regulatory-information/search-fda-guidance-documents/factors-consider-when-</w:t>
      </w:r>
      <w:r w:rsidRPr="003277D0">
        <w:rPr>
          <w:rFonts w:eastAsia="宋体" w:cs="宋体"/>
          <w:color w:val="0000FF"/>
          <w:sz w:val="18"/>
        </w:rPr>
        <w:t xml:space="preserve"> </w:t>
      </w:r>
      <w:r w:rsidRPr="003277D0">
        <w:rPr>
          <w:rFonts w:eastAsia="宋体" w:cs="宋体"/>
          <w:color w:val="0000FF"/>
          <w:sz w:val="18"/>
          <w:u w:val="single"/>
        </w:rPr>
        <w:t>making-benefit-risk-determinations-medical-device-investigational-device</w:t>
      </w:r>
    </w:p>
    <w:p w14:paraId="2CE65639" w14:textId="6F3D16A8" w:rsidR="002914F0" w:rsidRPr="002914F0" w:rsidRDefault="004F06FE" w:rsidP="003D396A">
      <w:pPr>
        <w:adjustRightInd w:val="0"/>
        <w:snapToGrid w:val="0"/>
        <w:spacing w:beforeLines="15" w:before="36" w:line="276" w:lineRule="auto"/>
        <w:jc w:val="both"/>
        <w:rPr>
          <w:sz w:val="21"/>
          <w:szCs w:val="21"/>
        </w:rPr>
      </w:pPr>
      <w:r w:rsidRPr="003277D0">
        <w:rPr>
          <w:rFonts w:eastAsia="宋体" w:cs="宋体"/>
          <w:sz w:val="18"/>
          <w:vertAlign w:val="superscript"/>
        </w:rPr>
        <w:t>53</w:t>
      </w:r>
      <w:r w:rsidRPr="003277D0">
        <w:rPr>
          <w:rFonts w:eastAsia="宋体" w:cs="宋体"/>
          <w:sz w:val="18"/>
        </w:rPr>
        <w:t xml:space="preserve"> </w:t>
      </w:r>
      <w:r w:rsidRPr="003277D0">
        <w:rPr>
          <w:rFonts w:eastAsia="宋体" w:cs="宋体"/>
          <w:sz w:val="18"/>
        </w:rPr>
        <w:t>可登录以下网址获取：</w:t>
      </w:r>
      <w:r w:rsidRPr="003277D0">
        <w:rPr>
          <w:rFonts w:eastAsia="宋体" w:cs="宋体"/>
          <w:color w:val="0000FF"/>
          <w:sz w:val="18"/>
          <w:u w:val="single"/>
        </w:rPr>
        <w:t>https://www.fda.gov/regulatory-information/search-fda-guidance-documents/factors-consider-when-</w:t>
      </w:r>
      <w:r w:rsidRPr="003277D0">
        <w:rPr>
          <w:rFonts w:eastAsia="宋体" w:cs="宋体"/>
          <w:color w:val="0000FF"/>
          <w:sz w:val="18"/>
        </w:rPr>
        <w:t xml:space="preserve"> </w:t>
      </w:r>
      <w:r w:rsidRPr="003277D0">
        <w:rPr>
          <w:rFonts w:eastAsia="宋体" w:cs="宋体"/>
          <w:color w:val="0000FF"/>
          <w:sz w:val="18"/>
          <w:u w:val="single"/>
        </w:rPr>
        <w:t>making-benefit-risk-determinations-medical-device-premarket-approval-and-de</w:t>
      </w:r>
      <w:r w:rsidRPr="003277D0">
        <w:rPr>
          <w:rFonts w:eastAsia="宋体" w:cs="宋体"/>
        </w:rPr>
        <w:br w:type="page"/>
      </w:r>
    </w:p>
    <w:p w14:paraId="176FC286" w14:textId="77777777" w:rsidR="002914F0" w:rsidRDefault="004F06FE" w:rsidP="003D396A">
      <w:pPr>
        <w:pStyle w:val="a3"/>
        <w:adjustRightInd w:val="0"/>
        <w:snapToGrid w:val="0"/>
        <w:spacing w:beforeLines="50" w:before="120" w:line="300" w:lineRule="auto"/>
        <w:ind w:leftChars="400" w:left="880"/>
        <w:jc w:val="both"/>
        <w:rPr>
          <w:sz w:val="21"/>
          <w:szCs w:val="21"/>
          <w:lang w:eastAsia="zh-CN"/>
        </w:rPr>
      </w:pPr>
      <w:r w:rsidRPr="003277D0">
        <w:rPr>
          <w:rFonts w:eastAsia="宋体" w:cs="宋体"/>
          <w:sz w:val="21"/>
          <w:lang w:eastAsia="zh-CN"/>
        </w:rPr>
        <w:lastRenderedPageBreak/>
        <w:t>建议将以下警告（或类似警告）纳入标签中：</w:t>
      </w:r>
    </w:p>
    <w:p w14:paraId="35865B68" w14:textId="77777777" w:rsidR="00D020CF" w:rsidRPr="002914F0" w:rsidRDefault="004F06FE" w:rsidP="003D396A">
      <w:pPr>
        <w:pStyle w:val="a3"/>
        <w:adjustRightInd w:val="0"/>
        <w:snapToGrid w:val="0"/>
        <w:spacing w:beforeLines="50" w:before="120" w:line="300" w:lineRule="auto"/>
        <w:ind w:leftChars="600" w:left="1320"/>
        <w:jc w:val="both"/>
        <w:rPr>
          <w:sz w:val="21"/>
          <w:szCs w:val="21"/>
          <w:lang w:eastAsia="zh-CN"/>
        </w:rPr>
      </w:pPr>
      <w:r w:rsidRPr="003277D0">
        <w:rPr>
          <w:rFonts w:eastAsia="宋体" w:cs="宋体"/>
          <w:sz w:val="21"/>
          <w:lang w:eastAsia="zh-CN"/>
        </w:rPr>
        <w:t>警告：该器械含有镍钛合金，一种由镍和钛组成的合金。对这些金属有过敏反应的人员可能会对该植入物产生过敏反应。植入前，应告知患者器械所含的材料以及对这些材料产生过敏</w:t>
      </w:r>
      <w:r w:rsidRPr="003277D0">
        <w:rPr>
          <w:rFonts w:eastAsia="宋体" w:cs="宋体"/>
          <w:sz w:val="21"/>
          <w:lang w:eastAsia="zh-CN"/>
        </w:rPr>
        <w:t>/</w:t>
      </w:r>
      <w:r w:rsidRPr="003277D0">
        <w:rPr>
          <w:rFonts w:eastAsia="宋体" w:cs="宋体"/>
          <w:sz w:val="21"/>
          <w:lang w:eastAsia="zh-CN"/>
        </w:rPr>
        <w:t>超敏反应的可能性。</w:t>
      </w:r>
    </w:p>
    <w:sectPr w:rsidR="00D020CF" w:rsidRPr="002914F0" w:rsidSect="00016046">
      <w:footerReference w:type="default" r:id="rId12"/>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3C67C" w14:textId="77777777" w:rsidR="0016325C" w:rsidRDefault="0016325C">
      <w:r>
        <w:separator/>
      </w:r>
    </w:p>
  </w:endnote>
  <w:endnote w:type="continuationSeparator" w:id="0">
    <w:p w14:paraId="3C8132AD" w14:textId="77777777" w:rsidR="0016325C" w:rsidRDefault="0016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16E7" w14:textId="2613268E" w:rsidR="00016046" w:rsidRPr="003277D0" w:rsidRDefault="00016046" w:rsidP="00016046">
    <w:pPr>
      <w:pStyle w:val="a6"/>
      <w:jc w:val="right"/>
    </w:pPr>
    <w:r w:rsidRPr="003277D0">
      <w:fldChar w:fldCharType="begin"/>
    </w:r>
    <w:r w:rsidRPr="003277D0">
      <w:instrText>PAGE   \* MERGEFORMAT</w:instrText>
    </w:r>
    <w:r w:rsidRPr="003277D0">
      <w:fldChar w:fldCharType="separate"/>
    </w:r>
    <w:r w:rsidR="00F02D73" w:rsidRPr="00F02D73">
      <w:rPr>
        <w:noProof/>
        <w:lang w:val="zh-CN" w:eastAsia="zh-CN"/>
      </w:rPr>
      <w:t>11</w:t>
    </w:r>
    <w:r w:rsidRPr="003277D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F1A02" w14:textId="77777777" w:rsidR="0016325C" w:rsidRDefault="0016325C">
      <w:r>
        <w:separator/>
      </w:r>
    </w:p>
  </w:footnote>
  <w:footnote w:type="continuationSeparator" w:id="0">
    <w:p w14:paraId="23947DD4" w14:textId="77777777" w:rsidR="0016325C" w:rsidRDefault="00163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66830" w14:textId="586DE3C3" w:rsidR="00DC536B" w:rsidRPr="00DC536B" w:rsidRDefault="00D11C20" w:rsidP="00DC536B">
    <w:pPr>
      <w:jc w:val="center"/>
      <w:rPr>
        <w:sz w:val="21"/>
        <w:szCs w:val="21"/>
        <w:lang w:eastAsia="zh-CN"/>
      </w:rPr>
    </w:pPr>
    <w:proofErr w:type="spellStart"/>
    <w:r w:rsidRPr="00D11C20">
      <w:rPr>
        <w:rFonts w:eastAsia="宋体" w:cs="宋体" w:hint="eastAsia"/>
        <w:b/>
        <w:i/>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33DC8"/>
    <w:multiLevelType w:val="hybridMultilevel"/>
    <w:tmpl w:val="C7744120"/>
    <w:lvl w:ilvl="0" w:tplc="D14028DC">
      <w:start w:val="2"/>
      <w:numFmt w:val="decimal"/>
      <w:lvlText w:val="%1."/>
      <w:lvlJc w:val="left"/>
      <w:pPr>
        <w:ind w:left="960" w:hanging="480"/>
        <w:jc w:val="left"/>
      </w:pPr>
      <w:rPr>
        <w:rFonts w:ascii="Times New Roman" w:eastAsia="Times New Roman" w:hAnsi="Times New Roman" w:cs="Times New Roman" w:hint="default"/>
        <w:w w:val="100"/>
        <w:sz w:val="24"/>
        <w:szCs w:val="24"/>
        <w:lang w:val="en-US" w:eastAsia="en-US" w:bidi="en-US"/>
      </w:rPr>
    </w:lvl>
    <w:lvl w:ilvl="1" w:tplc="01FC8C5E">
      <w:numFmt w:val="bullet"/>
      <w:lvlText w:val="•"/>
      <w:lvlJc w:val="left"/>
      <w:pPr>
        <w:ind w:left="1866" w:hanging="480"/>
      </w:pPr>
      <w:rPr>
        <w:rFonts w:hint="default"/>
        <w:lang w:val="en-US" w:eastAsia="en-US" w:bidi="en-US"/>
      </w:rPr>
    </w:lvl>
    <w:lvl w:ilvl="2" w:tplc="82883BFE">
      <w:numFmt w:val="bullet"/>
      <w:lvlText w:val="•"/>
      <w:lvlJc w:val="left"/>
      <w:pPr>
        <w:ind w:left="2772" w:hanging="480"/>
      </w:pPr>
      <w:rPr>
        <w:rFonts w:hint="default"/>
        <w:lang w:val="en-US" w:eastAsia="en-US" w:bidi="en-US"/>
      </w:rPr>
    </w:lvl>
    <w:lvl w:ilvl="3" w:tplc="04CC801A">
      <w:numFmt w:val="bullet"/>
      <w:lvlText w:val="•"/>
      <w:lvlJc w:val="left"/>
      <w:pPr>
        <w:ind w:left="3678" w:hanging="480"/>
      </w:pPr>
      <w:rPr>
        <w:rFonts w:hint="default"/>
        <w:lang w:val="en-US" w:eastAsia="en-US" w:bidi="en-US"/>
      </w:rPr>
    </w:lvl>
    <w:lvl w:ilvl="4" w:tplc="F13EA034">
      <w:numFmt w:val="bullet"/>
      <w:lvlText w:val="•"/>
      <w:lvlJc w:val="left"/>
      <w:pPr>
        <w:ind w:left="4584" w:hanging="480"/>
      </w:pPr>
      <w:rPr>
        <w:rFonts w:hint="default"/>
        <w:lang w:val="en-US" w:eastAsia="en-US" w:bidi="en-US"/>
      </w:rPr>
    </w:lvl>
    <w:lvl w:ilvl="5" w:tplc="7E062708">
      <w:numFmt w:val="bullet"/>
      <w:lvlText w:val="•"/>
      <w:lvlJc w:val="left"/>
      <w:pPr>
        <w:ind w:left="5490" w:hanging="480"/>
      </w:pPr>
      <w:rPr>
        <w:rFonts w:hint="default"/>
        <w:lang w:val="en-US" w:eastAsia="en-US" w:bidi="en-US"/>
      </w:rPr>
    </w:lvl>
    <w:lvl w:ilvl="6" w:tplc="DA2078E6">
      <w:numFmt w:val="bullet"/>
      <w:lvlText w:val="•"/>
      <w:lvlJc w:val="left"/>
      <w:pPr>
        <w:ind w:left="6396" w:hanging="480"/>
      </w:pPr>
      <w:rPr>
        <w:rFonts w:hint="default"/>
        <w:lang w:val="en-US" w:eastAsia="en-US" w:bidi="en-US"/>
      </w:rPr>
    </w:lvl>
    <w:lvl w:ilvl="7" w:tplc="92462164">
      <w:numFmt w:val="bullet"/>
      <w:lvlText w:val="•"/>
      <w:lvlJc w:val="left"/>
      <w:pPr>
        <w:ind w:left="7302" w:hanging="480"/>
      </w:pPr>
      <w:rPr>
        <w:rFonts w:hint="default"/>
        <w:lang w:val="en-US" w:eastAsia="en-US" w:bidi="en-US"/>
      </w:rPr>
    </w:lvl>
    <w:lvl w:ilvl="8" w:tplc="7E785A7A">
      <w:numFmt w:val="bullet"/>
      <w:lvlText w:val="•"/>
      <w:lvlJc w:val="left"/>
      <w:pPr>
        <w:ind w:left="8208" w:hanging="480"/>
      </w:pPr>
      <w:rPr>
        <w:rFonts w:hint="default"/>
        <w:lang w:val="en-US" w:eastAsia="en-US" w:bidi="en-US"/>
      </w:rPr>
    </w:lvl>
  </w:abstractNum>
  <w:abstractNum w:abstractNumId="1">
    <w:nsid w:val="34D45F82"/>
    <w:multiLevelType w:val="hybridMultilevel"/>
    <w:tmpl w:val="B7C4668A"/>
    <w:lvl w:ilvl="0" w:tplc="16D08FE4">
      <w:start w:val="1"/>
      <w:numFmt w:val="upperRoman"/>
      <w:lvlText w:val="%1."/>
      <w:lvlJc w:val="left"/>
      <w:pPr>
        <w:ind w:left="720" w:hanging="480"/>
        <w:jc w:val="left"/>
      </w:pPr>
      <w:rPr>
        <w:rFonts w:ascii="Times New Roman" w:eastAsia="Times New Roman" w:hAnsi="Times New Roman" w:cs="Times New Roman" w:hint="default"/>
        <w:w w:val="99"/>
        <w:sz w:val="24"/>
        <w:szCs w:val="24"/>
        <w:lang w:val="en-US" w:eastAsia="en-US" w:bidi="en-US"/>
      </w:rPr>
    </w:lvl>
    <w:lvl w:ilvl="1" w:tplc="9A5684EC">
      <w:start w:val="1"/>
      <w:numFmt w:val="upperLetter"/>
      <w:lvlText w:val="%2."/>
      <w:lvlJc w:val="left"/>
      <w:pPr>
        <w:ind w:left="960" w:hanging="480"/>
        <w:jc w:val="left"/>
      </w:pPr>
      <w:rPr>
        <w:rFonts w:ascii="Times New Roman" w:eastAsia="Times New Roman" w:hAnsi="Times New Roman" w:cs="Times New Roman" w:hint="default"/>
        <w:spacing w:val="-1"/>
        <w:w w:val="99"/>
        <w:sz w:val="24"/>
        <w:szCs w:val="24"/>
        <w:lang w:val="en-US" w:eastAsia="en-US" w:bidi="en-US"/>
      </w:rPr>
    </w:lvl>
    <w:lvl w:ilvl="2" w:tplc="F7B0A040">
      <w:numFmt w:val="bullet"/>
      <w:lvlText w:val="•"/>
      <w:lvlJc w:val="left"/>
      <w:pPr>
        <w:ind w:left="1966" w:hanging="480"/>
      </w:pPr>
      <w:rPr>
        <w:rFonts w:hint="default"/>
        <w:lang w:val="en-US" w:eastAsia="en-US" w:bidi="en-US"/>
      </w:rPr>
    </w:lvl>
    <w:lvl w:ilvl="3" w:tplc="2758E2E6">
      <w:numFmt w:val="bullet"/>
      <w:lvlText w:val="•"/>
      <w:lvlJc w:val="left"/>
      <w:pPr>
        <w:ind w:left="2973" w:hanging="480"/>
      </w:pPr>
      <w:rPr>
        <w:rFonts w:hint="default"/>
        <w:lang w:val="en-US" w:eastAsia="en-US" w:bidi="en-US"/>
      </w:rPr>
    </w:lvl>
    <w:lvl w:ilvl="4" w:tplc="37923078">
      <w:numFmt w:val="bullet"/>
      <w:lvlText w:val="•"/>
      <w:lvlJc w:val="left"/>
      <w:pPr>
        <w:ind w:left="3980" w:hanging="480"/>
      </w:pPr>
      <w:rPr>
        <w:rFonts w:hint="default"/>
        <w:lang w:val="en-US" w:eastAsia="en-US" w:bidi="en-US"/>
      </w:rPr>
    </w:lvl>
    <w:lvl w:ilvl="5" w:tplc="CBBA3C80">
      <w:numFmt w:val="bullet"/>
      <w:lvlText w:val="•"/>
      <w:lvlJc w:val="left"/>
      <w:pPr>
        <w:ind w:left="4986" w:hanging="480"/>
      </w:pPr>
      <w:rPr>
        <w:rFonts w:hint="default"/>
        <w:lang w:val="en-US" w:eastAsia="en-US" w:bidi="en-US"/>
      </w:rPr>
    </w:lvl>
    <w:lvl w:ilvl="6" w:tplc="80F24CB0">
      <w:numFmt w:val="bullet"/>
      <w:lvlText w:val="•"/>
      <w:lvlJc w:val="left"/>
      <w:pPr>
        <w:ind w:left="5993" w:hanging="480"/>
      </w:pPr>
      <w:rPr>
        <w:rFonts w:hint="default"/>
        <w:lang w:val="en-US" w:eastAsia="en-US" w:bidi="en-US"/>
      </w:rPr>
    </w:lvl>
    <w:lvl w:ilvl="7" w:tplc="7E284110">
      <w:numFmt w:val="bullet"/>
      <w:lvlText w:val="•"/>
      <w:lvlJc w:val="left"/>
      <w:pPr>
        <w:ind w:left="7000" w:hanging="480"/>
      </w:pPr>
      <w:rPr>
        <w:rFonts w:hint="default"/>
        <w:lang w:val="en-US" w:eastAsia="en-US" w:bidi="en-US"/>
      </w:rPr>
    </w:lvl>
    <w:lvl w:ilvl="8" w:tplc="74D69F04">
      <w:numFmt w:val="bullet"/>
      <w:lvlText w:val="•"/>
      <w:lvlJc w:val="left"/>
      <w:pPr>
        <w:ind w:left="8006" w:hanging="480"/>
      </w:pPr>
      <w:rPr>
        <w:rFonts w:hint="default"/>
        <w:lang w:val="en-US" w:eastAsia="en-US" w:bidi="en-US"/>
      </w:rPr>
    </w:lvl>
  </w:abstractNum>
  <w:abstractNum w:abstractNumId="2">
    <w:nsid w:val="41995727"/>
    <w:multiLevelType w:val="hybridMultilevel"/>
    <w:tmpl w:val="88C43590"/>
    <w:lvl w:ilvl="0" w:tplc="240EA978">
      <w:start w:val="3"/>
      <w:numFmt w:val="upperLetter"/>
      <w:lvlText w:val="%1."/>
      <w:lvlJc w:val="left"/>
      <w:pPr>
        <w:ind w:left="240" w:hanging="235"/>
        <w:jc w:val="right"/>
      </w:pPr>
      <w:rPr>
        <w:rFonts w:hint="default"/>
        <w:spacing w:val="-1"/>
        <w:w w:val="100"/>
        <w:lang w:val="en-US" w:eastAsia="en-US" w:bidi="en-US"/>
      </w:rPr>
    </w:lvl>
    <w:lvl w:ilvl="1" w:tplc="12CA1A00">
      <w:numFmt w:val="bullet"/>
      <w:lvlText w:val="•"/>
      <w:lvlJc w:val="left"/>
      <w:pPr>
        <w:ind w:left="1218" w:hanging="235"/>
      </w:pPr>
      <w:rPr>
        <w:rFonts w:hint="default"/>
        <w:lang w:val="en-US" w:eastAsia="en-US" w:bidi="en-US"/>
      </w:rPr>
    </w:lvl>
    <w:lvl w:ilvl="2" w:tplc="D3922B2C">
      <w:numFmt w:val="bullet"/>
      <w:lvlText w:val="•"/>
      <w:lvlJc w:val="left"/>
      <w:pPr>
        <w:ind w:left="2196" w:hanging="235"/>
      </w:pPr>
      <w:rPr>
        <w:rFonts w:hint="default"/>
        <w:lang w:val="en-US" w:eastAsia="en-US" w:bidi="en-US"/>
      </w:rPr>
    </w:lvl>
    <w:lvl w:ilvl="3" w:tplc="9AE4CD0A">
      <w:numFmt w:val="bullet"/>
      <w:lvlText w:val="•"/>
      <w:lvlJc w:val="left"/>
      <w:pPr>
        <w:ind w:left="3174" w:hanging="235"/>
      </w:pPr>
      <w:rPr>
        <w:rFonts w:hint="default"/>
        <w:lang w:val="en-US" w:eastAsia="en-US" w:bidi="en-US"/>
      </w:rPr>
    </w:lvl>
    <w:lvl w:ilvl="4" w:tplc="79F08AF2">
      <w:numFmt w:val="bullet"/>
      <w:lvlText w:val="•"/>
      <w:lvlJc w:val="left"/>
      <w:pPr>
        <w:ind w:left="4152" w:hanging="235"/>
      </w:pPr>
      <w:rPr>
        <w:rFonts w:hint="default"/>
        <w:lang w:val="en-US" w:eastAsia="en-US" w:bidi="en-US"/>
      </w:rPr>
    </w:lvl>
    <w:lvl w:ilvl="5" w:tplc="F844F9E0">
      <w:numFmt w:val="bullet"/>
      <w:lvlText w:val="•"/>
      <w:lvlJc w:val="left"/>
      <w:pPr>
        <w:ind w:left="5130" w:hanging="235"/>
      </w:pPr>
      <w:rPr>
        <w:rFonts w:hint="default"/>
        <w:lang w:val="en-US" w:eastAsia="en-US" w:bidi="en-US"/>
      </w:rPr>
    </w:lvl>
    <w:lvl w:ilvl="6" w:tplc="A9268B5E">
      <w:numFmt w:val="bullet"/>
      <w:lvlText w:val="•"/>
      <w:lvlJc w:val="left"/>
      <w:pPr>
        <w:ind w:left="6108" w:hanging="235"/>
      </w:pPr>
      <w:rPr>
        <w:rFonts w:hint="default"/>
        <w:lang w:val="en-US" w:eastAsia="en-US" w:bidi="en-US"/>
      </w:rPr>
    </w:lvl>
    <w:lvl w:ilvl="7" w:tplc="33D28FC0">
      <w:numFmt w:val="bullet"/>
      <w:lvlText w:val="•"/>
      <w:lvlJc w:val="left"/>
      <w:pPr>
        <w:ind w:left="7086" w:hanging="235"/>
      </w:pPr>
      <w:rPr>
        <w:rFonts w:hint="default"/>
        <w:lang w:val="en-US" w:eastAsia="en-US" w:bidi="en-US"/>
      </w:rPr>
    </w:lvl>
    <w:lvl w:ilvl="8" w:tplc="3C2A9AFA">
      <w:numFmt w:val="bullet"/>
      <w:lvlText w:val="•"/>
      <w:lvlJc w:val="left"/>
      <w:pPr>
        <w:ind w:left="8064" w:hanging="235"/>
      </w:pPr>
      <w:rPr>
        <w:rFonts w:hint="default"/>
        <w:lang w:val="en-US" w:eastAsia="en-US" w:bidi="en-US"/>
      </w:rPr>
    </w:lvl>
  </w:abstractNum>
  <w:abstractNum w:abstractNumId="3">
    <w:nsid w:val="776E1719"/>
    <w:multiLevelType w:val="hybridMultilevel"/>
    <w:tmpl w:val="904667A2"/>
    <w:lvl w:ilvl="0" w:tplc="52E0C3B0">
      <w:start w:val="1"/>
      <w:numFmt w:val="upperRoman"/>
      <w:lvlText w:val="%1."/>
      <w:lvlJc w:val="left"/>
      <w:pPr>
        <w:ind w:left="960" w:hanging="771"/>
        <w:jc w:val="right"/>
      </w:pPr>
      <w:rPr>
        <w:rFonts w:ascii="Times New Roman" w:eastAsia="Times New Roman" w:hAnsi="Times New Roman" w:cs="Times New Roman" w:hint="default"/>
        <w:b/>
        <w:bCs/>
        <w:w w:val="99"/>
        <w:sz w:val="36"/>
        <w:szCs w:val="36"/>
        <w:lang w:val="en-US" w:eastAsia="en-US" w:bidi="en-US"/>
      </w:rPr>
    </w:lvl>
    <w:lvl w:ilvl="1" w:tplc="CDCECE4E">
      <w:start w:val="1"/>
      <w:numFmt w:val="lowerLetter"/>
      <w:lvlText w:val="%2)"/>
      <w:lvlJc w:val="left"/>
      <w:pPr>
        <w:ind w:left="960" w:hanging="360"/>
        <w:jc w:val="left"/>
      </w:pPr>
      <w:rPr>
        <w:rFonts w:ascii="Times New Roman" w:eastAsia="Times New Roman" w:hAnsi="Times New Roman" w:cs="Times New Roman" w:hint="default"/>
        <w:spacing w:val="-7"/>
        <w:w w:val="99"/>
        <w:sz w:val="24"/>
        <w:szCs w:val="24"/>
        <w:lang w:val="en-US" w:eastAsia="en-US" w:bidi="en-US"/>
      </w:rPr>
    </w:lvl>
    <w:lvl w:ilvl="2" w:tplc="2E805008">
      <w:start w:val="1"/>
      <w:numFmt w:val="upperLetter"/>
      <w:lvlText w:val="%3."/>
      <w:lvlJc w:val="left"/>
      <w:pPr>
        <w:ind w:left="1950" w:hanging="361"/>
        <w:jc w:val="right"/>
      </w:pPr>
      <w:rPr>
        <w:rFonts w:ascii="Times New Roman" w:eastAsia="Times New Roman" w:hAnsi="Times New Roman" w:cs="Times New Roman" w:hint="default"/>
        <w:b/>
        <w:bCs/>
        <w:w w:val="100"/>
        <w:sz w:val="32"/>
        <w:szCs w:val="32"/>
        <w:lang w:val="en-US" w:eastAsia="en-US" w:bidi="en-US"/>
      </w:rPr>
    </w:lvl>
    <w:lvl w:ilvl="3" w:tplc="CFA21FBE">
      <w:start w:val="1"/>
      <w:numFmt w:val="decimal"/>
      <w:lvlText w:val="%4."/>
      <w:lvlJc w:val="left"/>
      <w:pPr>
        <w:ind w:left="2219" w:hanging="360"/>
        <w:jc w:val="left"/>
      </w:pPr>
      <w:rPr>
        <w:rFonts w:ascii="Times New Roman" w:eastAsia="Times New Roman" w:hAnsi="Times New Roman" w:cs="Times New Roman" w:hint="default"/>
        <w:b/>
        <w:bCs/>
        <w:w w:val="99"/>
        <w:sz w:val="28"/>
        <w:szCs w:val="28"/>
        <w:lang w:val="en-US" w:eastAsia="en-US" w:bidi="en-US"/>
      </w:rPr>
    </w:lvl>
    <w:lvl w:ilvl="4" w:tplc="063A3CF6">
      <w:start w:val="1"/>
      <w:numFmt w:val="lowerLetter"/>
      <w:lvlText w:val="%5."/>
      <w:lvlJc w:val="left"/>
      <w:pPr>
        <w:ind w:left="2580" w:hanging="360"/>
        <w:jc w:val="left"/>
      </w:pPr>
      <w:rPr>
        <w:rFonts w:ascii="Times New Roman" w:eastAsia="Times New Roman" w:hAnsi="Times New Roman" w:cs="Times New Roman" w:hint="default"/>
        <w:spacing w:val="-2"/>
        <w:w w:val="99"/>
        <w:sz w:val="24"/>
        <w:szCs w:val="24"/>
        <w:lang w:val="en-US" w:eastAsia="en-US" w:bidi="en-US"/>
      </w:rPr>
    </w:lvl>
    <w:lvl w:ilvl="5" w:tplc="046E58DE">
      <w:numFmt w:val="bullet"/>
      <w:lvlText w:val="•"/>
      <w:lvlJc w:val="left"/>
      <w:pPr>
        <w:ind w:left="4705" w:hanging="360"/>
      </w:pPr>
      <w:rPr>
        <w:rFonts w:hint="default"/>
        <w:lang w:val="en-US" w:eastAsia="en-US" w:bidi="en-US"/>
      </w:rPr>
    </w:lvl>
    <w:lvl w:ilvl="6" w:tplc="8F981BC6">
      <w:numFmt w:val="bullet"/>
      <w:lvlText w:val="•"/>
      <w:lvlJc w:val="left"/>
      <w:pPr>
        <w:ind w:left="5768" w:hanging="360"/>
      </w:pPr>
      <w:rPr>
        <w:rFonts w:hint="default"/>
        <w:lang w:val="en-US" w:eastAsia="en-US" w:bidi="en-US"/>
      </w:rPr>
    </w:lvl>
    <w:lvl w:ilvl="7" w:tplc="E8AE0462">
      <w:numFmt w:val="bullet"/>
      <w:lvlText w:val="•"/>
      <w:lvlJc w:val="left"/>
      <w:pPr>
        <w:ind w:left="6831" w:hanging="360"/>
      </w:pPr>
      <w:rPr>
        <w:rFonts w:hint="default"/>
        <w:lang w:val="en-US" w:eastAsia="en-US" w:bidi="en-US"/>
      </w:rPr>
    </w:lvl>
    <w:lvl w:ilvl="8" w:tplc="A7260AA2">
      <w:numFmt w:val="bullet"/>
      <w:lvlText w:val="•"/>
      <w:lvlJc w:val="left"/>
      <w:pPr>
        <w:ind w:left="7894" w:hanging="360"/>
      </w:pPr>
      <w:rPr>
        <w:rFonts w:hint="default"/>
        <w:lang w:val="en-US" w:eastAsia="en-US" w:bidi="en-US"/>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Hefang">
    <w15:presenceInfo w15:providerId="AD" w15:userId="S::yanh4@medtronic.com::566a0c1f-e446-444d-a601-dcbb277691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CF"/>
    <w:rsid w:val="00002440"/>
    <w:rsid w:val="000075AF"/>
    <w:rsid w:val="00016019"/>
    <w:rsid w:val="00016046"/>
    <w:rsid w:val="000216D7"/>
    <w:rsid w:val="00024BFA"/>
    <w:rsid w:val="00036FC6"/>
    <w:rsid w:val="0005386B"/>
    <w:rsid w:val="00055D4D"/>
    <w:rsid w:val="00067A9E"/>
    <w:rsid w:val="00074A01"/>
    <w:rsid w:val="000963D0"/>
    <w:rsid w:val="000B6BA1"/>
    <w:rsid w:val="000C715B"/>
    <w:rsid w:val="000D537D"/>
    <w:rsid w:val="000D5545"/>
    <w:rsid w:val="00103D20"/>
    <w:rsid w:val="00104146"/>
    <w:rsid w:val="00106E28"/>
    <w:rsid w:val="00116D80"/>
    <w:rsid w:val="001419FA"/>
    <w:rsid w:val="00155A6B"/>
    <w:rsid w:val="00155E94"/>
    <w:rsid w:val="0016325C"/>
    <w:rsid w:val="00171292"/>
    <w:rsid w:val="001929C6"/>
    <w:rsid w:val="00194209"/>
    <w:rsid w:val="001971FB"/>
    <w:rsid w:val="001A3D7B"/>
    <w:rsid w:val="001B48D2"/>
    <w:rsid w:val="001B4AB5"/>
    <w:rsid w:val="001C093D"/>
    <w:rsid w:val="001C6ABA"/>
    <w:rsid w:val="001C7982"/>
    <w:rsid w:val="001D0BBF"/>
    <w:rsid w:val="001D51D0"/>
    <w:rsid w:val="001D6D4D"/>
    <w:rsid w:val="001E1893"/>
    <w:rsid w:val="002033CB"/>
    <w:rsid w:val="0021754A"/>
    <w:rsid w:val="002233EE"/>
    <w:rsid w:val="00224D91"/>
    <w:rsid w:val="00225939"/>
    <w:rsid w:val="00235AB3"/>
    <w:rsid w:val="002361BA"/>
    <w:rsid w:val="00236552"/>
    <w:rsid w:val="00253AAC"/>
    <w:rsid w:val="00255113"/>
    <w:rsid w:val="00266E7E"/>
    <w:rsid w:val="00286253"/>
    <w:rsid w:val="002914F0"/>
    <w:rsid w:val="002B1C05"/>
    <w:rsid w:val="002C1552"/>
    <w:rsid w:val="002C2FE9"/>
    <w:rsid w:val="002E7960"/>
    <w:rsid w:val="002E7A62"/>
    <w:rsid w:val="002F08E6"/>
    <w:rsid w:val="002F1773"/>
    <w:rsid w:val="00303236"/>
    <w:rsid w:val="0030768B"/>
    <w:rsid w:val="003277D0"/>
    <w:rsid w:val="0035338F"/>
    <w:rsid w:val="003542F5"/>
    <w:rsid w:val="0035763D"/>
    <w:rsid w:val="0036697D"/>
    <w:rsid w:val="00384BD9"/>
    <w:rsid w:val="003912DA"/>
    <w:rsid w:val="00391980"/>
    <w:rsid w:val="003B3F89"/>
    <w:rsid w:val="003C10CE"/>
    <w:rsid w:val="003D396A"/>
    <w:rsid w:val="0040535A"/>
    <w:rsid w:val="0041080E"/>
    <w:rsid w:val="00432A18"/>
    <w:rsid w:val="00435104"/>
    <w:rsid w:val="00436070"/>
    <w:rsid w:val="00441085"/>
    <w:rsid w:val="00460B95"/>
    <w:rsid w:val="004647B7"/>
    <w:rsid w:val="00485008"/>
    <w:rsid w:val="00497DC5"/>
    <w:rsid w:val="004A2174"/>
    <w:rsid w:val="004A25A8"/>
    <w:rsid w:val="004B1235"/>
    <w:rsid w:val="004F04C3"/>
    <w:rsid w:val="004F06FE"/>
    <w:rsid w:val="004F309A"/>
    <w:rsid w:val="004F4343"/>
    <w:rsid w:val="004F5492"/>
    <w:rsid w:val="004F59B5"/>
    <w:rsid w:val="00515046"/>
    <w:rsid w:val="00517883"/>
    <w:rsid w:val="005277DE"/>
    <w:rsid w:val="00544FB5"/>
    <w:rsid w:val="005535AA"/>
    <w:rsid w:val="005542C8"/>
    <w:rsid w:val="00565163"/>
    <w:rsid w:val="00575786"/>
    <w:rsid w:val="005856BD"/>
    <w:rsid w:val="00586606"/>
    <w:rsid w:val="00592EB6"/>
    <w:rsid w:val="005A061B"/>
    <w:rsid w:val="005A652C"/>
    <w:rsid w:val="005B443C"/>
    <w:rsid w:val="005C1D12"/>
    <w:rsid w:val="005C6719"/>
    <w:rsid w:val="005E10FC"/>
    <w:rsid w:val="005E2C67"/>
    <w:rsid w:val="005F7527"/>
    <w:rsid w:val="00605A6C"/>
    <w:rsid w:val="00615CC4"/>
    <w:rsid w:val="00641DB3"/>
    <w:rsid w:val="00642A31"/>
    <w:rsid w:val="00646B7D"/>
    <w:rsid w:val="00663AE8"/>
    <w:rsid w:val="0066716A"/>
    <w:rsid w:val="0068025F"/>
    <w:rsid w:val="00684D06"/>
    <w:rsid w:val="00686E5A"/>
    <w:rsid w:val="006B2AF9"/>
    <w:rsid w:val="006B75BD"/>
    <w:rsid w:val="006C25C3"/>
    <w:rsid w:val="006D48F7"/>
    <w:rsid w:val="006F518E"/>
    <w:rsid w:val="006F7CFB"/>
    <w:rsid w:val="00731860"/>
    <w:rsid w:val="007657A8"/>
    <w:rsid w:val="00772E17"/>
    <w:rsid w:val="007738CD"/>
    <w:rsid w:val="007975EF"/>
    <w:rsid w:val="007A0609"/>
    <w:rsid w:val="007B2706"/>
    <w:rsid w:val="007E70C2"/>
    <w:rsid w:val="007F3FA9"/>
    <w:rsid w:val="00837B9B"/>
    <w:rsid w:val="00843A77"/>
    <w:rsid w:val="00845210"/>
    <w:rsid w:val="00853F4C"/>
    <w:rsid w:val="00863DD8"/>
    <w:rsid w:val="008652BA"/>
    <w:rsid w:val="008663DD"/>
    <w:rsid w:val="0086664B"/>
    <w:rsid w:val="008A1577"/>
    <w:rsid w:val="008A1695"/>
    <w:rsid w:val="008D630C"/>
    <w:rsid w:val="0092234C"/>
    <w:rsid w:val="0092457C"/>
    <w:rsid w:val="00931D95"/>
    <w:rsid w:val="009523E4"/>
    <w:rsid w:val="0097251E"/>
    <w:rsid w:val="00985373"/>
    <w:rsid w:val="00993FA3"/>
    <w:rsid w:val="009A3BAD"/>
    <w:rsid w:val="009A7C34"/>
    <w:rsid w:val="009B11E6"/>
    <w:rsid w:val="009B4EA6"/>
    <w:rsid w:val="009C40FF"/>
    <w:rsid w:val="009D09E1"/>
    <w:rsid w:val="009E31DC"/>
    <w:rsid w:val="009E7AC5"/>
    <w:rsid w:val="009F5F25"/>
    <w:rsid w:val="00A345A8"/>
    <w:rsid w:val="00A4248F"/>
    <w:rsid w:val="00A80081"/>
    <w:rsid w:val="00AE2A2B"/>
    <w:rsid w:val="00AF18EE"/>
    <w:rsid w:val="00AF2411"/>
    <w:rsid w:val="00B04EEF"/>
    <w:rsid w:val="00B27069"/>
    <w:rsid w:val="00B33B8B"/>
    <w:rsid w:val="00B52CC1"/>
    <w:rsid w:val="00B57249"/>
    <w:rsid w:val="00B6031F"/>
    <w:rsid w:val="00B805EB"/>
    <w:rsid w:val="00B91CF8"/>
    <w:rsid w:val="00B9559D"/>
    <w:rsid w:val="00BB4686"/>
    <w:rsid w:val="00BF3B63"/>
    <w:rsid w:val="00C057D3"/>
    <w:rsid w:val="00C06752"/>
    <w:rsid w:val="00C14FBD"/>
    <w:rsid w:val="00C16914"/>
    <w:rsid w:val="00C31DF8"/>
    <w:rsid w:val="00C345CD"/>
    <w:rsid w:val="00C3632C"/>
    <w:rsid w:val="00C435D6"/>
    <w:rsid w:val="00C96D04"/>
    <w:rsid w:val="00CA588C"/>
    <w:rsid w:val="00CB4966"/>
    <w:rsid w:val="00CC17D2"/>
    <w:rsid w:val="00CE6CCA"/>
    <w:rsid w:val="00D0194E"/>
    <w:rsid w:val="00D020CF"/>
    <w:rsid w:val="00D060BD"/>
    <w:rsid w:val="00D11C20"/>
    <w:rsid w:val="00D142A6"/>
    <w:rsid w:val="00D1494C"/>
    <w:rsid w:val="00D36F32"/>
    <w:rsid w:val="00D4001A"/>
    <w:rsid w:val="00D418C0"/>
    <w:rsid w:val="00D44177"/>
    <w:rsid w:val="00D4748A"/>
    <w:rsid w:val="00D7404B"/>
    <w:rsid w:val="00DA0D7A"/>
    <w:rsid w:val="00DB5079"/>
    <w:rsid w:val="00DC0789"/>
    <w:rsid w:val="00DC536B"/>
    <w:rsid w:val="00DC6D34"/>
    <w:rsid w:val="00DD3AC3"/>
    <w:rsid w:val="00DF2FD7"/>
    <w:rsid w:val="00E114E1"/>
    <w:rsid w:val="00E33E2D"/>
    <w:rsid w:val="00E43FF8"/>
    <w:rsid w:val="00E5498D"/>
    <w:rsid w:val="00E62B5A"/>
    <w:rsid w:val="00E63C40"/>
    <w:rsid w:val="00E72B7E"/>
    <w:rsid w:val="00E72BE9"/>
    <w:rsid w:val="00E750FB"/>
    <w:rsid w:val="00E80F9F"/>
    <w:rsid w:val="00E95CA5"/>
    <w:rsid w:val="00EB5131"/>
    <w:rsid w:val="00EB694F"/>
    <w:rsid w:val="00F0159C"/>
    <w:rsid w:val="00F02D73"/>
    <w:rsid w:val="00F0441E"/>
    <w:rsid w:val="00F176F1"/>
    <w:rsid w:val="00F3597C"/>
    <w:rsid w:val="00F50E42"/>
    <w:rsid w:val="00F7480B"/>
    <w:rsid w:val="00F769C1"/>
    <w:rsid w:val="00F95111"/>
    <w:rsid w:val="00F96834"/>
    <w:rsid w:val="00FB0EC4"/>
    <w:rsid w:val="00FB5F44"/>
    <w:rsid w:val="00FB7D3A"/>
    <w:rsid w:val="00FE6D2B"/>
    <w:rsid w:val="00FF34E7"/>
    <w:rsid w:val="00FF46F9"/>
    <w:rsid w:val="00FF4B6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2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240"/>
      <w:outlineLvl w:val="0"/>
    </w:pPr>
    <w:rPr>
      <w:b/>
      <w:bCs/>
      <w:sz w:val="36"/>
      <w:szCs w:val="36"/>
    </w:rPr>
  </w:style>
  <w:style w:type="paragraph" w:styleId="2">
    <w:name w:val="heading 2"/>
    <w:basedOn w:val="a"/>
    <w:uiPriority w:val="1"/>
    <w:qFormat/>
    <w:pPr>
      <w:ind w:left="1680" w:hanging="361"/>
      <w:outlineLvl w:val="1"/>
    </w:pPr>
    <w:rPr>
      <w:b/>
      <w:bCs/>
      <w:sz w:val="32"/>
      <w:szCs w:val="32"/>
    </w:rPr>
  </w:style>
  <w:style w:type="paragraph" w:styleId="3">
    <w:name w:val="heading 3"/>
    <w:basedOn w:val="a"/>
    <w:uiPriority w:val="1"/>
    <w:qFormat/>
    <w:pPr>
      <w:ind w:right="416"/>
      <w:jc w:val="righ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0"/>
      <w:ind w:left="720" w:hanging="720"/>
    </w:pPr>
    <w:rPr>
      <w:sz w:val="24"/>
      <w:szCs w:val="24"/>
    </w:rPr>
  </w:style>
  <w:style w:type="paragraph" w:styleId="20">
    <w:name w:val="toc 2"/>
    <w:basedOn w:val="a"/>
    <w:uiPriority w:val="39"/>
    <w:qFormat/>
    <w:pPr>
      <w:spacing w:before="120"/>
      <w:ind w:left="960" w:hanging="480"/>
    </w:pPr>
    <w:rPr>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2914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914F0"/>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2914F0"/>
    <w:pPr>
      <w:tabs>
        <w:tab w:val="center" w:pos="4153"/>
        <w:tab w:val="right" w:pos="8306"/>
      </w:tabs>
      <w:snapToGrid w:val="0"/>
    </w:pPr>
    <w:rPr>
      <w:sz w:val="18"/>
      <w:szCs w:val="18"/>
    </w:rPr>
  </w:style>
  <w:style w:type="character" w:customStyle="1" w:styleId="Char0">
    <w:name w:val="页脚 Char"/>
    <w:basedOn w:val="a0"/>
    <w:link w:val="a6"/>
    <w:uiPriority w:val="99"/>
    <w:rsid w:val="002914F0"/>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2914F0"/>
    <w:rPr>
      <w:sz w:val="18"/>
      <w:szCs w:val="18"/>
    </w:rPr>
  </w:style>
  <w:style w:type="character" w:customStyle="1" w:styleId="Char1">
    <w:name w:val="批注框文本 Char"/>
    <w:basedOn w:val="a0"/>
    <w:link w:val="a7"/>
    <w:uiPriority w:val="99"/>
    <w:semiHidden/>
    <w:rsid w:val="002914F0"/>
    <w:rPr>
      <w:rFonts w:ascii="Times New Roman" w:eastAsia="Times New Roman" w:hAnsi="Times New Roman" w:cs="Times New Roman"/>
      <w:sz w:val="18"/>
      <w:szCs w:val="18"/>
      <w:lang w:bidi="en-US"/>
    </w:rPr>
  </w:style>
  <w:style w:type="character" w:styleId="a8">
    <w:name w:val="Hyperlink"/>
    <w:basedOn w:val="a0"/>
    <w:uiPriority w:val="99"/>
    <w:unhideWhenUsed/>
    <w:rsid w:val="00DC536B"/>
    <w:rPr>
      <w:color w:val="0000FF" w:themeColor="hyperlink"/>
      <w:u w:val="single"/>
    </w:rPr>
  </w:style>
  <w:style w:type="paragraph" w:customStyle="1" w:styleId="Default">
    <w:name w:val="Default"/>
    <w:rsid w:val="00DC536B"/>
    <w:pPr>
      <w:adjustRightInd w:val="0"/>
    </w:pPr>
    <w:rPr>
      <w:rFonts w:ascii="Times New Roman" w:hAnsi="Times New Roman" w:cs="Times New Roman"/>
      <w:color w:val="000000"/>
      <w:sz w:val="24"/>
      <w:szCs w:val="24"/>
    </w:rPr>
  </w:style>
  <w:style w:type="paragraph" w:styleId="a9">
    <w:name w:val="Revision"/>
    <w:hidden/>
    <w:uiPriority w:val="99"/>
    <w:semiHidden/>
    <w:rsid w:val="00EB694F"/>
    <w:pPr>
      <w:widowControl/>
      <w:autoSpaceDE/>
      <w:autoSpaceDN/>
    </w:pPr>
    <w:rPr>
      <w:rFonts w:ascii="Times New Roman" w:eastAsia="Times New Roman" w:hAnsi="Times New Roman" w:cs="Times New Roman"/>
      <w:lang w:bidi="en-US"/>
    </w:rPr>
  </w:style>
  <w:style w:type="character" w:styleId="aa">
    <w:name w:val="annotation reference"/>
    <w:basedOn w:val="a0"/>
    <w:uiPriority w:val="99"/>
    <w:semiHidden/>
    <w:unhideWhenUsed/>
    <w:rsid w:val="00194209"/>
    <w:rPr>
      <w:sz w:val="21"/>
      <w:szCs w:val="21"/>
    </w:rPr>
  </w:style>
  <w:style w:type="paragraph" w:styleId="ab">
    <w:name w:val="annotation text"/>
    <w:basedOn w:val="a"/>
    <w:link w:val="Char2"/>
    <w:uiPriority w:val="99"/>
    <w:semiHidden/>
    <w:unhideWhenUsed/>
    <w:rsid w:val="00194209"/>
  </w:style>
  <w:style w:type="character" w:customStyle="1" w:styleId="Char2">
    <w:name w:val="批注文字 Char"/>
    <w:basedOn w:val="a0"/>
    <w:link w:val="ab"/>
    <w:uiPriority w:val="99"/>
    <w:semiHidden/>
    <w:rsid w:val="00194209"/>
    <w:rPr>
      <w:rFonts w:ascii="Times New Roman" w:eastAsia="Times New Roman" w:hAnsi="Times New Roman" w:cs="Times New Roman"/>
      <w:lang w:bidi="en-US"/>
    </w:rPr>
  </w:style>
  <w:style w:type="paragraph" w:styleId="ac">
    <w:name w:val="annotation subject"/>
    <w:basedOn w:val="ab"/>
    <w:next w:val="ab"/>
    <w:link w:val="Char3"/>
    <w:uiPriority w:val="99"/>
    <w:semiHidden/>
    <w:unhideWhenUsed/>
    <w:rsid w:val="00194209"/>
    <w:rPr>
      <w:b/>
      <w:bCs/>
    </w:rPr>
  </w:style>
  <w:style w:type="character" w:customStyle="1" w:styleId="Char3">
    <w:name w:val="批注主题 Char"/>
    <w:basedOn w:val="Char2"/>
    <w:link w:val="ac"/>
    <w:uiPriority w:val="99"/>
    <w:semiHidden/>
    <w:rsid w:val="00194209"/>
    <w:rPr>
      <w:rFonts w:ascii="Times New Roman" w:eastAsia="Times New Roman" w:hAnsi="Times New Roman" w:cs="Times New Roman"/>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240"/>
      <w:outlineLvl w:val="0"/>
    </w:pPr>
    <w:rPr>
      <w:b/>
      <w:bCs/>
      <w:sz w:val="36"/>
      <w:szCs w:val="36"/>
    </w:rPr>
  </w:style>
  <w:style w:type="paragraph" w:styleId="2">
    <w:name w:val="heading 2"/>
    <w:basedOn w:val="a"/>
    <w:uiPriority w:val="1"/>
    <w:qFormat/>
    <w:pPr>
      <w:ind w:left="1680" w:hanging="361"/>
      <w:outlineLvl w:val="1"/>
    </w:pPr>
    <w:rPr>
      <w:b/>
      <w:bCs/>
      <w:sz w:val="32"/>
      <w:szCs w:val="32"/>
    </w:rPr>
  </w:style>
  <w:style w:type="paragraph" w:styleId="3">
    <w:name w:val="heading 3"/>
    <w:basedOn w:val="a"/>
    <w:uiPriority w:val="1"/>
    <w:qFormat/>
    <w:pPr>
      <w:ind w:right="416"/>
      <w:jc w:val="righ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0"/>
      <w:ind w:left="720" w:hanging="720"/>
    </w:pPr>
    <w:rPr>
      <w:sz w:val="24"/>
      <w:szCs w:val="24"/>
    </w:rPr>
  </w:style>
  <w:style w:type="paragraph" w:styleId="20">
    <w:name w:val="toc 2"/>
    <w:basedOn w:val="a"/>
    <w:uiPriority w:val="39"/>
    <w:qFormat/>
    <w:pPr>
      <w:spacing w:before="120"/>
      <w:ind w:left="960" w:hanging="480"/>
    </w:pPr>
    <w:rPr>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2914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914F0"/>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2914F0"/>
    <w:pPr>
      <w:tabs>
        <w:tab w:val="center" w:pos="4153"/>
        <w:tab w:val="right" w:pos="8306"/>
      </w:tabs>
      <w:snapToGrid w:val="0"/>
    </w:pPr>
    <w:rPr>
      <w:sz w:val="18"/>
      <w:szCs w:val="18"/>
    </w:rPr>
  </w:style>
  <w:style w:type="character" w:customStyle="1" w:styleId="Char0">
    <w:name w:val="页脚 Char"/>
    <w:basedOn w:val="a0"/>
    <w:link w:val="a6"/>
    <w:uiPriority w:val="99"/>
    <w:rsid w:val="002914F0"/>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2914F0"/>
    <w:rPr>
      <w:sz w:val="18"/>
      <w:szCs w:val="18"/>
    </w:rPr>
  </w:style>
  <w:style w:type="character" w:customStyle="1" w:styleId="Char1">
    <w:name w:val="批注框文本 Char"/>
    <w:basedOn w:val="a0"/>
    <w:link w:val="a7"/>
    <w:uiPriority w:val="99"/>
    <w:semiHidden/>
    <w:rsid w:val="002914F0"/>
    <w:rPr>
      <w:rFonts w:ascii="Times New Roman" w:eastAsia="Times New Roman" w:hAnsi="Times New Roman" w:cs="Times New Roman"/>
      <w:sz w:val="18"/>
      <w:szCs w:val="18"/>
      <w:lang w:bidi="en-US"/>
    </w:rPr>
  </w:style>
  <w:style w:type="character" w:styleId="a8">
    <w:name w:val="Hyperlink"/>
    <w:basedOn w:val="a0"/>
    <w:uiPriority w:val="99"/>
    <w:unhideWhenUsed/>
    <w:rsid w:val="00DC536B"/>
    <w:rPr>
      <w:color w:val="0000FF" w:themeColor="hyperlink"/>
      <w:u w:val="single"/>
    </w:rPr>
  </w:style>
  <w:style w:type="paragraph" w:customStyle="1" w:styleId="Default">
    <w:name w:val="Default"/>
    <w:rsid w:val="00DC536B"/>
    <w:pPr>
      <w:adjustRightInd w:val="0"/>
    </w:pPr>
    <w:rPr>
      <w:rFonts w:ascii="Times New Roman" w:hAnsi="Times New Roman" w:cs="Times New Roman"/>
      <w:color w:val="000000"/>
      <w:sz w:val="24"/>
      <w:szCs w:val="24"/>
    </w:rPr>
  </w:style>
  <w:style w:type="paragraph" w:styleId="a9">
    <w:name w:val="Revision"/>
    <w:hidden/>
    <w:uiPriority w:val="99"/>
    <w:semiHidden/>
    <w:rsid w:val="00EB694F"/>
    <w:pPr>
      <w:widowControl/>
      <w:autoSpaceDE/>
      <w:autoSpaceDN/>
    </w:pPr>
    <w:rPr>
      <w:rFonts w:ascii="Times New Roman" w:eastAsia="Times New Roman" w:hAnsi="Times New Roman" w:cs="Times New Roman"/>
      <w:lang w:bidi="en-US"/>
    </w:rPr>
  </w:style>
  <w:style w:type="character" w:styleId="aa">
    <w:name w:val="annotation reference"/>
    <w:basedOn w:val="a0"/>
    <w:uiPriority w:val="99"/>
    <w:semiHidden/>
    <w:unhideWhenUsed/>
    <w:rsid w:val="00194209"/>
    <w:rPr>
      <w:sz w:val="21"/>
      <w:szCs w:val="21"/>
    </w:rPr>
  </w:style>
  <w:style w:type="paragraph" w:styleId="ab">
    <w:name w:val="annotation text"/>
    <w:basedOn w:val="a"/>
    <w:link w:val="Char2"/>
    <w:uiPriority w:val="99"/>
    <w:semiHidden/>
    <w:unhideWhenUsed/>
    <w:rsid w:val="00194209"/>
  </w:style>
  <w:style w:type="character" w:customStyle="1" w:styleId="Char2">
    <w:name w:val="批注文字 Char"/>
    <w:basedOn w:val="a0"/>
    <w:link w:val="ab"/>
    <w:uiPriority w:val="99"/>
    <w:semiHidden/>
    <w:rsid w:val="00194209"/>
    <w:rPr>
      <w:rFonts w:ascii="Times New Roman" w:eastAsia="Times New Roman" w:hAnsi="Times New Roman" w:cs="Times New Roman"/>
      <w:lang w:bidi="en-US"/>
    </w:rPr>
  </w:style>
  <w:style w:type="paragraph" w:styleId="ac">
    <w:name w:val="annotation subject"/>
    <w:basedOn w:val="ab"/>
    <w:next w:val="ab"/>
    <w:link w:val="Char3"/>
    <w:uiPriority w:val="99"/>
    <w:semiHidden/>
    <w:unhideWhenUsed/>
    <w:rsid w:val="00194209"/>
    <w:rPr>
      <w:b/>
      <w:bCs/>
    </w:rPr>
  </w:style>
  <w:style w:type="character" w:customStyle="1" w:styleId="Char3">
    <w:name w:val="批注主题 Char"/>
    <w:basedOn w:val="Char2"/>
    <w:link w:val="ac"/>
    <w:uiPriority w:val="99"/>
    <w:semiHidden/>
    <w:rsid w:val="00194209"/>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1B355-88B8-4D0E-8BB8-7034F605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2919</Words>
  <Characters>16644</Characters>
  <Application>Microsoft Office Word</Application>
  <DocSecurity>0</DocSecurity>
  <Lines>138</Lines>
  <Paragraphs>39</Paragraphs>
  <ScaleCrop>false</ScaleCrop>
  <Company/>
  <LinksUpToDate>false</LinksUpToDate>
  <CharactersWithSpaces>19524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Considerations for Non-Clinical Assessment of Medical Devices Containing Nitinol - Guidance for Industry and Food and Drug Administration Staff</dc:title>
  <dc:creator>Admin2</dc:creator>
  <cp:lastModifiedBy>EDZ</cp:lastModifiedBy>
  <cp:revision>196</cp:revision>
  <dcterms:created xsi:type="dcterms:W3CDTF">2021-11-10T09:19:00Z</dcterms:created>
  <dcterms:modified xsi:type="dcterms:W3CDTF">2022-06-08T09:50:00Z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Acrobat PDFMaker 17 for Word</vt:lpwstr>
  </property>
  <property fmtid="{D5CDD505-2E9C-101B-9397-08002B2CF9AE}" pid="4" name="LastSaved">
    <vt:filetime>2021-11-10T00:00:00Z</vt:filetime>
  </property>
</Properties>
</file>