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82" w:rsidRDefault="002739A8">
      <w:pPr>
        <w:pBdr>
          <w:bottom w:val="single" w:sz="4" w:space="1" w:color="auto"/>
        </w:pBdr>
        <w:adjustRightInd w:val="0"/>
        <w:snapToGrid w:val="0"/>
        <w:spacing w:beforeLines="50" w:before="120" w:line="300" w:lineRule="auto"/>
        <w:jc w:val="center"/>
        <w:rPr>
          <w:b/>
          <w:sz w:val="52"/>
          <w:szCs w:val="21"/>
          <w:lang w:eastAsia="zh-CN"/>
        </w:rPr>
      </w:pPr>
      <w:r>
        <w:rPr>
          <w:rFonts w:eastAsia="宋体" w:cs="宋体"/>
          <w:b/>
          <w:sz w:val="52"/>
          <w:lang w:eastAsia="zh-CN"/>
        </w:rPr>
        <w:t>脊柱接骨板系统</w:t>
      </w:r>
      <w:r>
        <w:rPr>
          <w:rFonts w:eastAsia="宋体" w:cs="宋体"/>
          <w:b/>
          <w:sz w:val="52"/>
          <w:lang w:eastAsia="zh-CN"/>
        </w:rPr>
        <w:t xml:space="preserve"> –</w:t>
      </w:r>
      <w:r>
        <w:rPr>
          <w:rFonts w:eastAsia="宋体" w:cs="宋体" w:hint="eastAsia"/>
          <w:b/>
          <w:sz w:val="52"/>
          <w:lang w:eastAsia="zh-CN"/>
        </w:rPr>
        <w:t xml:space="preserve"> </w:t>
      </w:r>
      <w:r>
        <w:rPr>
          <w:rFonts w:eastAsia="宋体" w:cs="宋体"/>
          <w:b/>
          <w:sz w:val="52"/>
          <w:lang w:eastAsia="zh-CN"/>
        </w:rPr>
        <w:t>安全性和性能的</w:t>
      </w:r>
      <w:r>
        <w:rPr>
          <w:rFonts w:eastAsia="宋体" w:cs="宋体" w:hint="eastAsia"/>
          <w:b/>
          <w:sz w:val="52"/>
          <w:lang w:eastAsia="zh-CN"/>
        </w:rPr>
        <w:t>评估</w:t>
      </w:r>
      <w:r>
        <w:rPr>
          <w:rFonts w:eastAsia="宋体" w:cs="宋体"/>
          <w:b/>
          <w:sz w:val="52"/>
          <w:lang w:eastAsia="zh-CN"/>
        </w:rPr>
        <w:t>标准</w:t>
      </w:r>
    </w:p>
    <w:p w:rsidR="00532D82" w:rsidRDefault="002739A8">
      <w:pPr>
        <w:adjustRightInd w:val="0"/>
        <w:snapToGrid w:val="0"/>
        <w:spacing w:beforeLines="50" w:before="120" w:line="300" w:lineRule="auto"/>
        <w:jc w:val="center"/>
        <w:rPr>
          <w:b/>
          <w:sz w:val="52"/>
          <w:szCs w:val="21"/>
          <w:lang w:eastAsia="zh-CN"/>
        </w:rPr>
      </w:pPr>
      <w:r>
        <w:rPr>
          <w:rFonts w:eastAsia="宋体" w:cs="宋体"/>
          <w:b/>
          <w:sz w:val="52"/>
          <w:lang w:eastAsia="zh-CN"/>
        </w:rPr>
        <w:t>行业和美国食品药品监督管理局工作人员指南草案</w:t>
      </w:r>
    </w:p>
    <w:p w:rsidR="00532D82" w:rsidRDefault="002739A8">
      <w:pPr>
        <w:adjustRightInd w:val="0"/>
        <w:snapToGrid w:val="0"/>
        <w:spacing w:beforeLines="50" w:before="120" w:line="300" w:lineRule="auto"/>
        <w:jc w:val="center"/>
        <w:rPr>
          <w:b/>
          <w:i/>
          <w:sz w:val="28"/>
          <w:szCs w:val="24"/>
          <w:lang w:eastAsia="zh-CN"/>
        </w:rPr>
      </w:pPr>
      <w:r>
        <w:rPr>
          <w:rFonts w:eastAsia="宋体" w:cs="宋体"/>
          <w:b/>
          <w:i/>
          <w:sz w:val="28"/>
          <w:lang w:eastAsia="zh-CN"/>
        </w:rPr>
        <w:t>指南草案</w:t>
      </w:r>
    </w:p>
    <w:p w:rsidR="00532D82" w:rsidRDefault="002739A8">
      <w:pPr>
        <w:adjustRightInd w:val="0"/>
        <w:snapToGrid w:val="0"/>
        <w:spacing w:beforeLines="50" w:before="120" w:line="300" w:lineRule="auto"/>
        <w:jc w:val="center"/>
        <w:rPr>
          <w:b/>
          <w:sz w:val="24"/>
          <w:szCs w:val="24"/>
          <w:lang w:eastAsia="zh-CN"/>
        </w:rPr>
      </w:pPr>
      <w:r>
        <w:rPr>
          <w:rFonts w:eastAsia="宋体" w:cs="宋体"/>
          <w:b/>
          <w:sz w:val="24"/>
          <w:lang w:eastAsia="zh-CN"/>
        </w:rPr>
        <w:t>本指南草案仅供征求意见</w:t>
      </w:r>
    </w:p>
    <w:p w:rsidR="00532D82" w:rsidRDefault="002739A8">
      <w:pPr>
        <w:adjustRightInd w:val="0"/>
        <w:snapToGrid w:val="0"/>
        <w:spacing w:beforeLines="50" w:before="120" w:line="300" w:lineRule="auto"/>
        <w:jc w:val="center"/>
        <w:rPr>
          <w:b/>
          <w:sz w:val="24"/>
          <w:szCs w:val="24"/>
          <w:lang w:eastAsia="zh-CN"/>
        </w:rPr>
      </w:pPr>
      <w:r>
        <w:rPr>
          <w:rFonts w:eastAsia="宋体" w:cs="宋体"/>
          <w:b/>
          <w:sz w:val="24"/>
          <w:lang w:eastAsia="zh-CN"/>
        </w:rPr>
        <w:t>文件发布日期：</w:t>
      </w:r>
      <w:r>
        <w:rPr>
          <w:rFonts w:eastAsia="宋体" w:cs="宋体"/>
          <w:b/>
          <w:sz w:val="24"/>
          <w:lang w:eastAsia="zh-CN"/>
        </w:rPr>
        <w:t>2019</w:t>
      </w:r>
      <w:r>
        <w:rPr>
          <w:rFonts w:eastAsia="宋体" w:cs="宋体"/>
          <w:b/>
          <w:sz w:val="24"/>
          <w:lang w:eastAsia="zh-CN"/>
        </w:rPr>
        <w:t>年</w:t>
      </w:r>
      <w:r>
        <w:rPr>
          <w:rFonts w:eastAsia="宋体" w:cs="宋体"/>
          <w:b/>
          <w:sz w:val="24"/>
          <w:lang w:eastAsia="zh-CN"/>
        </w:rPr>
        <w:t>9</w:t>
      </w:r>
      <w:r>
        <w:rPr>
          <w:rFonts w:eastAsia="宋体" w:cs="宋体"/>
          <w:b/>
          <w:sz w:val="24"/>
          <w:lang w:eastAsia="zh-CN"/>
        </w:rPr>
        <w:t>月</w:t>
      </w:r>
      <w:r>
        <w:rPr>
          <w:rFonts w:eastAsia="宋体" w:cs="宋体"/>
          <w:b/>
          <w:sz w:val="24"/>
          <w:lang w:eastAsia="zh-CN"/>
        </w:rPr>
        <w:t>20</w:t>
      </w:r>
      <w:r>
        <w:rPr>
          <w:rFonts w:eastAsia="宋体" w:cs="宋体"/>
          <w:b/>
          <w:sz w:val="24"/>
          <w:lang w:eastAsia="zh-CN"/>
        </w:rPr>
        <w:t>日</w:t>
      </w:r>
    </w:p>
    <w:p w:rsidR="00532D82" w:rsidRDefault="00532D82">
      <w:pPr>
        <w:pStyle w:val="a3"/>
        <w:adjustRightInd w:val="0"/>
        <w:snapToGrid w:val="0"/>
        <w:spacing w:beforeLines="50" w:before="120" w:line="300" w:lineRule="auto"/>
        <w:jc w:val="both"/>
        <w:rPr>
          <w:b/>
          <w:sz w:val="21"/>
          <w:szCs w:val="21"/>
          <w:lang w:eastAsia="zh-CN"/>
        </w:rPr>
      </w:pPr>
    </w:p>
    <w:p w:rsidR="00532D82" w:rsidRDefault="002739A8">
      <w:pPr>
        <w:pStyle w:val="a3"/>
        <w:adjustRightInd w:val="0"/>
        <w:snapToGrid w:val="0"/>
        <w:spacing w:beforeLines="50" w:before="120" w:line="300" w:lineRule="auto"/>
        <w:jc w:val="both"/>
        <w:rPr>
          <w:sz w:val="21"/>
          <w:szCs w:val="21"/>
          <w:lang w:eastAsia="zh-CN"/>
        </w:rPr>
      </w:pPr>
      <w:r>
        <w:rPr>
          <w:rFonts w:eastAsia="宋体" w:cs="宋体" w:hint="eastAsia"/>
          <w:sz w:val="21"/>
          <w:lang w:eastAsia="zh-CN"/>
        </w:rPr>
        <w:t>请在《联邦公报》刊登本指南草案的发布通知后</w:t>
      </w:r>
      <w:r>
        <w:rPr>
          <w:rFonts w:eastAsia="宋体" w:cs="宋体"/>
          <w:sz w:val="21"/>
          <w:lang w:eastAsia="zh-CN"/>
        </w:rPr>
        <w:t>90</w:t>
      </w:r>
      <w:r>
        <w:rPr>
          <w:rFonts w:eastAsia="宋体" w:cs="宋体"/>
          <w:sz w:val="21"/>
          <w:lang w:eastAsia="zh-CN"/>
        </w:rPr>
        <w:t>天之内提</w:t>
      </w:r>
      <w:r>
        <w:rPr>
          <w:rFonts w:eastAsia="宋体" w:cs="宋体" w:hint="eastAsia"/>
          <w:sz w:val="21"/>
          <w:lang w:eastAsia="zh-CN"/>
        </w:rPr>
        <w:t>交对</w:t>
      </w:r>
      <w:r>
        <w:rPr>
          <w:rFonts w:eastAsia="宋体" w:cs="宋体"/>
          <w:sz w:val="21"/>
          <w:lang w:eastAsia="zh-CN"/>
        </w:rPr>
        <w:t>本</w:t>
      </w:r>
      <w:r w:rsidR="004A166C">
        <w:rPr>
          <w:rFonts w:eastAsia="宋体" w:cs="宋体" w:hint="eastAsia"/>
          <w:sz w:val="21"/>
          <w:lang w:eastAsia="zh-CN"/>
        </w:rPr>
        <w:t>指南</w:t>
      </w:r>
      <w:r>
        <w:rPr>
          <w:rFonts w:eastAsia="宋体" w:cs="宋体"/>
          <w:sz w:val="21"/>
          <w:lang w:eastAsia="zh-CN"/>
        </w:rPr>
        <w:t>草案的意见和建议。电子版意见提交至</w:t>
      </w:r>
      <w:r w:rsidR="004A166C">
        <w:rPr>
          <w:rFonts w:eastAsia="宋体" w:cs="宋体" w:hint="eastAsia"/>
          <w:sz w:val="21"/>
          <w:lang w:eastAsia="zh-CN"/>
        </w:rPr>
        <w:t>：</w:t>
      </w:r>
      <w:hyperlink r:id="rId9" w:history="1">
        <w:r w:rsidR="004A166C" w:rsidRPr="004A166C">
          <w:rPr>
            <w:rStyle w:val="a7"/>
            <w:rFonts w:eastAsia="宋体" w:cs="宋体"/>
            <w:sz w:val="21"/>
            <w:lang w:eastAsia="zh-CN"/>
          </w:rPr>
          <w:t>https://www.regulations.gov</w:t>
        </w:r>
      </w:hyperlink>
      <w:r>
        <w:rPr>
          <w:rFonts w:eastAsia="宋体" w:cs="宋体" w:hint="eastAsia"/>
          <w:sz w:val="21"/>
          <w:lang w:eastAsia="zh-CN"/>
        </w:rPr>
        <w:t>，</w:t>
      </w:r>
      <w:r>
        <w:rPr>
          <w:rFonts w:eastAsia="宋体" w:cs="宋体"/>
          <w:sz w:val="21"/>
          <w:lang w:eastAsia="zh-CN"/>
        </w:rPr>
        <w:t>书面意见提交至美国食品药品监督管理局</w:t>
      </w:r>
      <w:r>
        <w:rPr>
          <w:rFonts w:eastAsia="宋体" w:cs="宋体" w:hint="eastAsia"/>
          <w:sz w:val="21"/>
          <w:lang w:eastAsia="zh-CN"/>
        </w:rPr>
        <w:t>备案文件管理部</w:t>
      </w:r>
      <w:r>
        <w:rPr>
          <w:rFonts w:eastAsia="宋体" w:cs="宋体"/>
          <w:sz w:val="21"/>
          <w:lang w:eastAsia="zh-CN"/>
        </w:rPr>
        <w:t>（</w:t>
      </w:r>
      <w:r>
        <w:rPr>
          <w:rFonts w:eastAsia="宋体" w:cs="宋体"/>
          <w:sz w:val="21"/>
          <w:lang w:eastAsia="zh-CN"/>
        </w:rPr>
        <w:t>HFA-305</w:t>
      </w:r>
      <w:r>
        <w:rPr>
          <w:rFonts w:eastAsia="宋体" w:cs="宋体"/>
          <w:sz w:val="21"/>
          <w:lang w:eastAsia="zh-CN"/>
        </w:rPr>
        <w:t>），</w:t>
      </w:r>
      <w:r>
        <w:rPr>
          <w:rFonts w:eastAsia="宋体" w:cs="宋体"/>
          <w:sz w:val="21"/>
          <w:lang w:eastAsia="zh-CN"/>
        </w:rPr>
        <w:t>5630 Fishers Lane, rm</w:t>
      </w:r>
      <w:r>
        <w:rPr>
          <w:rFonts w:eastAsia="宋体" w:cs="宋体" w:hint="eastAsia"/>
          <w:sz w:val="21"/>
          <w:lang w:eastAsia="zh-CN"/>
        </w:rPr>
        <w:t>.</w:t>
      </w:r>
      <w:r>
        <w:rPr>
          <w:rFonts w:eastAsia="宋体" w:cs="宋体"/>
          <w:sz w:val="21"/>
          <w:lang w:eastAsia="zh-CN"/>
        </w:rPr>
        <w:t xml:space="preserve"> 1061, Rockville, MD 20852</w:t>
      </w:r>
      <w:r>
        <w:rPr>
          <w:rFonts w:eastAsia="宋体" w:cs="宋体" w:hint="eastAsia"/>
          <w:sz w:val="21"/>
          <w:lang w:eastAsia="zh-CN"/>
        </w:rPr>
        <w:t>。</w:t>
      </w:r>
      <w:r>
        <w:rPr>
          <w:rFonts w:eastAsia="宋体" w:cs="宋体"/>
          <w:sz w:val="21"/>
          <w:lang w:eastAsia="zh-CN"/>
        </w:rPr>
        <w:t>所</w:t>
      </w:r>
      <w:r>
        <w:rPr>
          <w:rFonts w:eastAsia="宋体" w:cs="宋体" w:hint="eastAsia"/>
          <w:sz w:val="21"/>
          <w:lang w:eastAsia="zh-CN"/>
        </w:rPr>
        <w:t>有意见均应</w:t>
      </w:r>
      <w:r>
        <w:rPr>
          <w:rFonts w:eastAsia="宋体" w:cs="宋体"/>
          <w:sz w:val="21"/>
          <w:lang w:eastAsia="zh-CN"/>
        </w:rPr>
        <w:t>注明《联邦公报》发布的通知中列示的备案</w:t>
      </w:r>
      <w:r>
        <w:rPr>
          <w:rFonts w:eastAsia="宋体" w:cs="宋体" w:hint="eastAsia"/>
          <w:sz w:val="21"/>
          <w:lang w:eastAsia="zh-CN"/>
        </w:rPr>
        <w:t>文件</w:t>
      </w:r>
      <w:r>
        <w:rPr>
          <w:rFonts w:eastAsia="宋体" w:cs="宋体"/>
          <w:sz w:val="21"/>
          <w:lang w:eastAsia="zh-CN"/>
        </w:rPr>
        <w:t>编号。</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如对本文件有任何疑问，请致电</w:t>
      </w:r>
      <w:r>
        <w:rPr>
          <w:rFonts w:eastAsia="宋体" w:cs="宋体"/>
          <w:sz w:val="21"/>
          <w:lang w:eastAsia="zh-CN"/>
        </w:rPr>
        <w:t>301-796-5650</w:t>
      </w:r>
      <w:r>
        <w:rPr>
          <w:rFonts w:eastAsia="宋体" w:cs="宋体"/>
          <w:sz w:val="21"/>
          <w:lang w:eastAsia="zh-CN"/>
        </w:rPr>
        <w:t>联系</w:t>
      </w:r>
      <w:r>
        <w:rPr>
          <w:rFonts w:eastAsia="宋体" w:cs="宋体"/>
          <w:sz w:val="21"/>
          <w:lang w:eastAsia="zh-CN"/>
        </w:rPr>
        <w:t>DHT6B</w:t>
      </w:r>
      <w:r>
        <w:rPr>
          <w:rFonts w:eastAsia="宋体" w:cs="宋体"/>
          <w:sz w:val="21"/>
          <w:lang w:eastAsia="zh-CN"/>
        </w:rPr>
        <w:t>：脊柱器械部或发送电子邮件至</w:t>
      </w:r>
      <w:r>
        <w:rPr>
          <w:rFonts w:eastAsia="宋体" w:cs="宋体"/>
          <w:sz w:val="21"/>
          <w:lang w:eastAsia="zh-CN"/>
        </w:rPr>
        <w:t>Jonathan.Peck@fda.hhs.gov</w:t>
      </w:r>
      <w:r>
        <w:rPr>
          <w:rFonts w:eastAsia="宋体" w:cs="宋体"/>
          <w:sz w:val="21"/>
          <w:lang w:eastAsia="zh-CN"/>
        </w:rPr>
        <w:t>联系</w:t>
      </w:r>
      <w:r>
        <w:rPr>
          <w:rFonts w:eastAsia="宋体" w:cs="宋体"/>
          <w:sz w:val="21"/>
          <w:lang w:eastAsia="zh-CN"/>
        </w:rPr>
        <w:t>Jonathan Peck</w:t>
      </w:r>
      <w:r>
        <w:rPr>
          <w:rFonts w:eastAsia="宋体" w:cs="宋体"/>
          <w:sz w:val="21"/>
          <w:lang w:eastAsia="zh-CN"/>
        </w:rPr>
        <w:t>。</w:t>
      </w:r>
    </w:p>
    <w:p w:rsidR="00532D82" w:rsidRDefault="00532D82">
      <w:pPr>
        <w:pStyle w:val="a3"/>
        <w:adjustRightInd w:val="0"/>
        <w:snapToGrid w:val="0"/>
        <w:spacing w:beforeLines="50" w:before="120" w:line="300" w:lineRule="auto"/>
        <w:jc w:val="both"/>
        <w:rPr>
          <w:rFonts w:eastAsiaTheme="minorEastAsia"/>
          <w:sz w:val="21"/>
          <w:szCs w:val="21"/>
          <w:lang w:eastAsia="zh-CN"/>
        </w:rPr>
      </w:pPr>
    </w:p>
    <w:tbl>
      <w:tblPr>
        <w:tblStyle w:val="TableNormal1"/>
        <w:tblW w:w="5000" w:type="pct"/>
        <w:tblInd w:w="0" w:type="dxa"/>
        <w:tblCellMar>
          <w:left w:w="113" w:type="dxa"/>
          <w:right w:w="113" w:type="dxa"/>
        </w:tblCellMar>
        <w:tblLook w:val="04A0" w:firstRow="1" w:lastRow="0" w:firstColumn="1" w:lastColumn="0" w:noHBand="0" w:noVBand="1"/>
      </w:tblPr>
      <w:tblGrid>
        <w:gridCol w:w="4648"/>
        <w:gridCol w:w="4649"/>
      </w:tblGrid>
      <w:tr w:rsidR="00532D82">
        <w:trPr>
          <w:trHeight w:val="293"/>
        </w:trPr>
        <w:tc>
          <w:tcPr>
            <w:tcW w:w="2500" w:type="pct"/>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21"/>
                <w:szCs w:val="21"/>
              </w:rPr>
            </w:pPr>
            <w:r>
              <w:rPr>
                <w:rFonts w:ascii="Times New Roman" w:eastAsia="宋体" w:hAnsi="Times New Roman" w:cs="宋体"/>
                <w:noProof/>
                <w:sz w:val="21"/>
                <w:lang w:eastAsia="zh-CN" w:bidi="ar-SA"/>
              </w:rPr>
              <w:drawing>
                <wp:inline distT="0" distB="0" distL="0" distR="0" wp14:anchorId="4D46CBF9" wp14:editId="300BE03B">
                  <wp:extent cx="2449195" cy="659130"/>
                  <wp:effectExtent l="0" t="0" r="8255" b="762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DA Center for Devices and Radiological Health 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rsidR="00532D82" w:rsidRDefault="002739A8">
            <w:pPr>
              <w:pStyle w:val="a3"/>
              <w:adjustRightInd w:val="0"/>
              <w:snapToGrid w:val="0"/>
              <w:spacing w:beforeLines="15" w:before="36" w:line="276" w:lineRule="auto"/>
              <w:jc w:val="right"/>
              <w:rPr>
                <w:b/>
                <w:sz w:val="21"/>
                <w:szCs w:val="21"/>
                <w:lang w:eastAsia="zh-CN"/>
              </w:rPr>
            </w:pPr>
            <w:r>
              <w:rPr>
                <w:rFonts w:eastAsia="宋体" w:cs="宋体"/>
                <w:b/>
                <w:sz w:val="21"/>
                <w:lang w:eastAsia="zh-CN"/>
              </w:rPr>
              <w:t>美国卫生与公共服务部</w:t>
            </w:r>
          </w:p>
          <w:p w:rsidR="00532D82" w:rsidRDefault="002739A8">
            <w:pPr>
              <w:pStyle w:val="a3"/>
              <w:adjustRightInd w:val="0"/>
              <w:snapToGrid w:val="0"/>
              <w:spacing w:beforeLines="15" w:before="36" w:line="276" w:lineRule="auto"/>
              <w:jc w:val="right"/>
              <w:rPr>
                <w:b/>
                <w:sz w:val="21"/>
                <w:szCs w:val="21"/>
                <w:lang w:eastAsia="zh-CN"/>
              </w:rPr>
            </w:pPr>
            <w:r>
              <w:rPr>
                <w:rFonts w:eastAsia="宋体" w:cs="宋体"/>
                <w:b/>
                <w:sz w:val="21"/>
                <w:lang w:eastAsia="zh-CN"/>
              </w:rPr>
              <w:t>美国食品药品监督管理局</w:t>
            </w:r>
          </w:p>
          <w:p w:rsidR="00532D82" w:rsidRDefault="002739A8">
            <w:pPr>
              <w:pStyle w:val="a3"/>
              <w:adjustRightInd w:val="0"/>
              <w:snapToGrid w:val="0"/>
              <w:spacing w:beforeLines="15" w:before="36" w:line="276" w:lineRule="auto"/>
              <w:jc w:val="right"/>
              <w:rPr>
                <w:b/>
                <w:sz w:val="21"/>
                <w:szCs w:val="21"/>
                <w:lang w:eastAsia="zh-CN"/>
              </w:rPr>
            </w:pPr>
            <w:r>
              <w:rPr>
                <w:rFonts w:eastAsia="宋体" w:cs="宋体"/>
                <w:b/>
                <w:sz w:val="21"/>
                <w:lang w:eastAsia="zh-CN"/>
              </w:rPr>
              <w:t>医疗器械和辐射健康中心</w:t>
            </w:r>
          </w:p>
        </w:tc>
      </w:tr>
    </w:tbl>
    <w:p w:rsidR="00532D82" w:rsidRDefault="002739A8">
      <w:pPr>
        <w:adjustRightInd w:val="0"/>
        <w:snapToGrid w:val="0"/>
        <w:spacing w:beforeLines="50" w:before="120" w:line="300" w:lineRule="auto"/>
        <w:jc w:val="both"/>
        <w:rPr>
          <w:b/>
          <w:sz w:val="21"/>
          <w:szCs w:val="21"/>
          <w:lang w:eastAsia="zh-CN"/>
        </w:rPr>
      </w:pPr>
      <w:r>
        <w:rPr>
          <w:rFonts w:eastAsia="宋体" w:cs="宋体"/>
          <w:b/>
          <w:sz w:val="21"/>
          <w:lang w:eastAsia="zh-CN"/>
        </w:rPr>
        <w:br w:type="page"/>
      </w:r>
    </w:p>
    <w:p w:rsidR="00532D82" w:rsidRDefault="002739A8">
      <w:pPr>
        <w:adjustRightInd w:val="0"/>
        <w:snapToGrid w:val="0"/>
        <w:spacing w:beforeLines="50" w:before="120" w:line="300" w:lineRule="auto"/>
        <w:jc w:val="center"/>
        <w:rPr>
          <w:b/>
          <w:sz w:val="44"/>
          <w:szCs w:val="44"/>
          <w:lang w:eastAsia="zh-CN"/>
        </w:rPr>
      </w:pPr>
      <w:r>
        <w:rPr>
          <w:rFonts w:eastAsia="宋体" w:cs="宋体"/>
          <w:b/>
          <w:sz w:val="44"/>
          <w:lang w:eastAsia="zh-CN"/>
        </w:rPr>
        <w:lastRenderedPageBreak/>
        <w:t>前言</w:t>
      </w:r>
    </w:p>
    <w:p w:rsidR="00532D82" w:rsidRDefault="002739A8">
      <w:pPr>
        <w:adjustRightInd w:val="0"/>
        <w:snapToGrid w:val="0"/>
        <w:spacing w:beforeLines="50" w:before="120" w:line="300" w:lineRule="auto"/>
        <w:jc w:val="both"/>
        <w:rPr>
          <w:b/>
          <w:sz w:val="28"/>
          <w:szCs w:val="28"/>
          <w:lang w:eastAsia="zh-CN"/>
        </w:rPr>
      </w:pPr>
      <w:r>
        <w:rPr>
          <w:rFonts w:eastAsia="宋体" w:cs="宋体"/>
          <w:b/>
          <w:sz w:val="28"/>
          <w:lang w:eastAsia="zh-CN"/>
        </w:rPr>
        <w:t>更多副本</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更多副本可通过互联网获得。也可以通过电子邮件发送请求至</w:t>
      </w:r>
      <w:r>
        <w:rPr>
          <w:rFonts w:eastAsia="宋体" w:cs="宋体"/>
          <w:color w:val="0000FF"/>
          <w:sz w:val="21"/>
          <w:u w:val="single"/>
          <w:lang w:eastAsia="zh-CN"/>
        </w:rPr>
        <w:t>CDRH-Guidance@fda.hhs.gov</w:t>
      </w:r>
      <w:r>
        <w:rPr>
          <w:rFonts w:eastAsia="宋体" w:cs="宋体"/>
          <w:sz w:val="21"/>
          <w:lang w:eastAsia="zh-CN"/>
        </w:rPr>
        <w:t>获取本指南的副本。请在请求中注明文件编号</w:t>
      </w:r>
      <w:r>
        <w:rPr>
          <w:rFonts w:eastAsia="宋体" w:cs="宋体"/>
          <w:sz w:val="21"/>
          <w:lang w:eastAsia="zh-CN"/>
        </w:rPr>
        <w:t>19008</w:t>
      </w:r>
      <w:r>
        <w:rPr>
          <w:rFonts w:eastAsia="宋体" w:cs="宋体"/>
          <w:sz w:val="21"/>
          <w:lang w:eastAsia="zh-CN"/>
        </w:rPr>
        <w:t>和指南的完整标题。</w:t>
      </w:r>
    </w:p>
    <w:p w:rsidR="00532D82" w:rsidRDefault="002739A8">
      <w:pPr>
        <w:adjustRightInd w:val="0"/>
        <w:snapToGrid w:val="0"/>
        <w:spacing w:beforeLines="50" w:before="120" w:line="300" w:lineRule="auto"/>
        <w:jc w:val="both"/>
        <w:rPr>
          <w:b/>
          <w:sz w:val="21"/>
          <w:szCs w:val="21"/>
          <w:lang w:eastAsia="zh-CN"/>
        </w:rPr>
      </w:pPr>
      <w:r>
        <w:rPr>
          <w:rFonts w:eastAsia="宋体" w:cs="宋体"/>
          <w:b/>
          <w:sz w:val="21"/>
          <w:lang w:eastAsia="zh-CN"/>
        </w:rPr>
        <w:br w:type="page"/>
      </w:r>
    </w:p>
    <w:p w:rsidR="00532D82" w:rsidRDefault="002739A8">
      <w:pPr>
        <w:pBdr>
          <w:bottom w:val="single" w:sz="4" w:space="1" w:color="auto"/>
        </w:pBdr>
        <w:adjustRightInd w:val="0"/>
        <w:snapToGrid w:val="0"/>
        <w:spacing w:beforeLines="50" w:before="120" w:line="300" w:lineRule="auto"/>
        <w:jc w:val="center"/>
        <w:rPr>
          <w:b/>
          <w:sz w:val="52"/>
          <w:szCs w:val="21"/>
          <w:lang w:eastAsia="zh-CN"/>
        </w:rPr>
      </w:pPr>
      <w:r>
        <w:rPr>
          <w:rFonts w:eastAsia="宋体" w:cs="宋体"/>
          <w:b/>
          <w:sz w:val="52"/>
          <w:lang w:eastAsia="zh-CN"/>
        </w:rPr>
        <w:lastRenderedPageBreak/>
        <w:t>脊柱接骨板系统</w:t>
      </w:r>
      <w:r>
        <w:rPr>
          <w:rFonts w:eastAsia="宋体" w:cs="宋体"/>
          <w:b/>
          <w:sz w:val="52"/>
          <w:lang w:eastAsia="zh-CN"/>
        </w:rPr>
        <w:t xml:space="preserve"> – </w:t>
      </w:r>
      <w:r>
        <w:rPr>
          <w:rFonts w:eastAsia="宋体" w:cs="宋体"/>
          <w:b/>
          <w:sz w:val="52"/>
          <w:lang w:eastAsia="zh-CN"/>
        </w:rPr>
        <w:t>安全性和性能的</w:t>
      </w:r>
      <w:r>
        <w:rPr>
          <w:rFonts w:eastAsia="宋体" w:cs="宋体" w:hint="eastAsia"/>
          <w:b/>
          <w:sz w:val="52"/>
          <w:lang w:eastAsia="zh-CN"/>
        </w:rPr>
        <w:t>评估</w:t>
      </w:r>
      <w:r>
        <w:rPr>
          <w:rFonts w:eastAsia="宋体" w:cs="宋体"/>
          <w:b/>
          <w:sz w:val="52"/>
          <w:lang w:eastAsia="zh-CN"/>
        </w:rPr>
        <w:t>标准</w:t>
      </w:r>
    </w:p>
    <w:p w:rsidR="00532D82" w:rsidRDefault="002739A8">
      <w:pPr>
        <w:adjustRightInd w:val="0"/>
        <w:snapToGrid w:val="0"/>
        <w:spacing w:beforeLines="50" w:before="120" w:line="300" w:lineRule="auto"/>
        <w:jc w:val="center"/>
        <w:rPr>
          <w:b/>
          <w:sz w:val="52"/>
          <w:szCs w:val="21"/>
          <w:lang w:eastAsia="zh-CN"/>
        </w:rPr>
      </w:pPr>
      <w:r>
        <w:rPr>
          <w:rFonts w:eastAsia="宋体" w:cs="宋体"/>
          <w:b/>
          <w:sz w:val="52"/>
          <w:lang w:eastAsia="zh-CN"/>
        </w:rPr>
        <w:t>行业和美国食品药品监督管理局工作人员指南草案</w:t>
      </w:r>
    </w:p>
    <w:tbl>
      <w:tblPr>
        <w:tblStyle w:val="TableNormal1"/>
        <w:tblW w:w="5000" w:type="pct"/>
        <w:tblInd w:w="0"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4A0" w:firstRow="1" w:lastRow="0" w:firstColumn="1" w:lastColumn="0" w:noHBand="0" w:noVBand="1"/>
      </w:tblPr>
      <w:tblGrid>
        <w:gridCol w:w="9297"/>
      </w:tblGrid>
      <w:tr w:rsidR="00532D82">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rsidR="00532D82" w:rsidRDefault="002739A8">
            <w:pPr>
              <w:pStyle w:val="a3"/>
              <w:adjustRightInd w:val="0"/>
              <w:snapToGrid w:val="0"/>
              <w:spacing w:beforeLines="50" w:before="120" w:line="300" w:lineRule="auto"/>
              <w:jc w:val="both"/>
              <w:rPr>
                <w:b/>
                <w:i/>
                <w:sz w:val="21"/>
                <w:szCs w:val="21"/>
                <w:lang w:eastAsia="zh-CN"/>
              </w:rPr>
            </w:pPr>
            <w:r>
              <w:rPr>
                <w:rFonts w:eastAsia="宋体" w:cs="宋体" w:hint="eastAsia"/>
                <w:b/>
                <w:i/>
                <w:sz w:val="21"/>
                <w:lang w:eastAsia="zh-CN"/>
              </w:rPr>
              <w:t>本</w:t>
            </w:r>
            <w:r>
              <w:rPr>
                <w:rFonts w:eastAsia="宋体" w:cs="宋体"/>
                <w:b/>
                <w:i/>
                <w:sz w:val="21"/>
                <w:lang w:eastAsia="zh-CN"/>
              </w:rPr>
              <w:t>指南草案最终定稿后，将代表美国</w:t>
            </w:r>
            <w:r>
              <w:rPr>
                <w:rFonts w:eastAsia="宋体" w:cs="宋体" w:hint="eastAsia"/>
                <w:b/>
                <w:i/>
                <w:sz w:val="21"/>
                <w:lang w:eastAsia="zh-CN"/>
              </w:rPr>
              <w:t>食品药品监督管理局（</w:t>
            </w:r>
            <w:r>
              <w:rPr>
                <w:rFonts w:eastAsia="宋体" w:cs="宋体"/>
                <w:b/>
                <w:i/>
                <w:sz w:val="21"/>
                <w:lang w:eastAsia="zh-CN"/>
              </w:rPr>
              <w:t>FDA</w:t>
            </w:r>
            <w:r>
              <w:rPr>
                <w:rFonts w:eastAsia="宋体" w:cs="宋体"/>
                <w:b/>
                <w:i/>
                <w:sz w:val="21"/>
                <w:lang w:eastAsia="zh-CN"/>
              </w:rPr>
              <w:t>或本机构</w:t>
            </w:r>
            <w:r>
              <w:rPr>
                <w:rFonts w:eastAsia="宋体" w:cs="宋体" w:hint="eastAsia"/>
                <w:b/>
                <w:i/>
                <w:sz w:val="21"/>
                <w:lang w:eastAsia="zh-CN"/>
              </w:rPr>
              <w:t>）目前关于该主题的思考。本指南不会为任何人创造或赋予任何权利，也不会对</w:t>
            </w:r>
            <w:r>
              <w:rPr>
                <w:rFonts w:eastAsia="宋体" w:cs="宋体"/>
                <w:b/>
                <w:i/>
                <w:sz w:val="21"/>
                <w:lang w:eastAsia="zh-CN"/>
              </w:rPr>
              <w:t>FDA</w:t>
            </w:r>
            <w:r>
              <w:rPr>
                <w:rFonts w:eastAsia="宋体" w:cs="宋体" w:hint="eastAsia"/>
                <w:b/>
                <w:i/>
                <w:sz w:val="21"/>
                <w:lang w:eastAsia="zh-CN"/>
              </w:rPr>
              <w:t>或公众产生约束。如果替代方法满足适用的法律法规的要求，则可以使用该方法。如需讨论替代方法，请联系标题</w:t>
            </w:r>
            <w:proofErr w:type="gramStart"/>
            <w:r>
              <w:rPr>
                <w:rFonts w:eastAsia="宋体" w:cs="宋体" w:hint="eastAsia"/>
                <w:b/>
                <w:i/>
                <w:sz w:val="21"/>
                <w:lang w:eastAsia="zh-CN"/>
              </w:rPr>
              <w:t>页负责</w:t>
            </w:r>
            <w:proofErr w:type="gramEnd"/>
            <w:r>
              <w:rPr>
                <w:rFonts w:eastAsia="宋体" w:cs="宋体" w:hint="eastAsia"/>
                <w:b/>
                <w:i/>
                <w:sz w:val="21"/>
                <w:lang w:eastAsia="zh-CN"/>
              </w:rPr>
              <w:t>实施本指南文件的</w:t>
            </w:r>
            <w:r>
              <w:rPr>
                <w:rFonts w:eastAsia="宋体" w:cs="宋体"/>
                <w:b/>
                <w:i/>
                <w:sz w:val="21"/>
                <w:lang w:eastAsia="zh-CN"/>
              </w:rPr>
              <w:t>FDA</w:t>
            </w:r>
            <w:r>
              <w:rPr>
                <w:rFonts w:eastAsia="宋体" w:cs="宋体" w:hint="eastAsia"/>
                <w:b/>
                <w:i/>
                <w:sz w:val="21"/>
                <w:lang w:eastAsia="zh-CN"/>
              </w:rPr>
              <w:t>工作人员或办公室。</w:t>
            </w:r>
          </w:p>
        </w:tc>
      </w:tr>
    </w:tbl>
    <w:p w:rsidR="00532D82" w:rsidRDefault="002739A8">
      <w:pPr>
        <w:pStyle w:val="a3"/>
        <w:adjustRightInd w:val="0"/>
        <w:snapToGrid w:val="0"/>
        <w:spacing w:beforeLines="50" w:before="120" w:line="300" w:lineRule="auto"/>
        <w:ind w:left="843" w:hangingChars="300" w:hanging="843"/>
        <w:jc w:val="both"/>
        <w:outlineLvl w:val="0"/>
        <w:rPr>
          <w:b/>
          <w:sz w:val="28"/>
          <w:szCs w:val="21"/>
          <w:lang w:eastAsia="zh-CN"/>
        </w:rPr>
      </w:pPr>
      <w:r>
        <w:rPr>
          <w:rFonts w:eastAsia="宋体" w:cs="宋体"/>
          <w:b/>
          <w:sz w:val="28"/>
          <w:lang w:eastAsia="zh-CN"/>
        </w:rPr>
        <w:t>I.</w:t>
      </w:r>
      <w:r>
        <w:rPr>
          <w:rFonts w:eastAsia="宋体" w:cs="宋体"/>
          <w:b/>
          <w:lang w:eastAsia="zh-CN"/>
        </w:rPr>
        <w:tab/>
      </w:r>
      <w:r>
        <w:rPr>
          <w:rFonts w:eastAsia="宋体" w:cs="宋体"/>
          <w:b/>
          <w:sz w:val="28"/>
          <w:lang w:eastAsia="zh-CN"/>
        </w:rPr>
        <w:t>引言</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本指南草案提供了脊柱接骨板系统的性能</w:t>
      </w:r>
      <w:r>
        <w:rPr>
          <w:rFonts w:eastAsia="宋体" w:cs="宋体" w:hint="eastAsia"/>
          <w:sz w:val="21"/>
          <w:lang w:eastAsia="zh-CN"/>
        </w:rPr>
        <w:t>评估</w:t>
      </w:r>
      <w:r>
        <w:rPr>
          <w:rFonts w:eastAsia="宋体" w:cs="宋体"/>
          <w:sz w:val="21"/>
          <w:lang w:eastAsia="zh-CN"/>
        </w:rPr>
        <w:t>标准，旨在支持</w:t>
      </w:r>
      <w:r>
        <w:rPr>
          <w:rFonts w:eastAsia="宋体" w:cs="宋体"/>
          <w:color w:val="0000FF"/>
          <w:sz w:val="21"/>
          <w:u w:val="single"/>
          <w:lang w:eastAsia="zh-CN"/>
        </w:rPr>
        <w:t>安全性和性能</w:t>
      </w:r>
      <w:r>
        <w:rPr>
          <w:rFonts w:eastAsia="宋体" w:cs="宋体" w:hint="eastAsia"/>
          <w:color w:val="0000FF"/>
          <w:sz w:val="21"/>
          <w:u w:val="single"/>
          <w:lang w:eastAsia="zh-CN"/>
        </w:rPr>
        <w:t>评估</w:t>
      </w:r>
      <w:r>
        <w:rPr>
          <w:rFonts w:eastAsia="宋体" w:cs="宋体"/>
          <w:sz w:val="21"/>
          <w:vertAlign w:val="superscript"/>
          <w:lang w:eastAsia="zh-CN"/>
        </w:rPr>
        <w:t>1</w:t>
      </w:r>
      <w:r>
        <w:rPr>
          <w:rFonts w:eastAsia="宋体" w:cs="宋体"/>
          <w:sz w:val="21"/>
          <w:lang w:eastAsia="zh-CN"/>
        </w:rPr>
        <w:t>。在该框架下，提交脊柱接骨板系统</w:t>
      </w:r>
      <w:r>
        <w:rPr>
          <w:rFonts w:eastAsia="宋体" w:cs="宋体"/>
          <w:sz w:val="21"/>
          <w:lang w:eastAsia="zh-CN"/>
        </w:rPr>
        <w:t>510(k)</w:t>
      </w:r>
      <w:r>
        <w:rPr>
          <w:rFonts w:eastAsia="宋体" w:cs="宋体"/>
          <w:sz w:val="21"/>
          <w:lang w:eastAsia="zh-CN"/>
        </w:rPr>
        <w:t>的申请人可选用本指南草案中提议的性能标准</w:t>
      </w:r>
      <w:r>
        <w:rPr>
          <w:rFonts w:eastAsia="宋体" w:cs="宋体" w:hint="eastAsia"/>
          <w:sz w:val="21"/>
          <w:lang w:eastAsia="zh-CN"/>
        </w:rPr>
        <w:t>，</w:t>
      </w:r>
      <w:r>
        <w:rPr>
          <w:rFonts w:eastAsia="宋体" w:cs="宋体"/>
          <w:sz w:val="21"/>
          <w:lang w:eastAsia="zh-CN"/>
        </w:rPr>
        <w:t>利用基于安全性和性能的途径来支持实质等同性，而不是直接比较申报器械与同品种器械的性能。</w:t>
      </w:r>
    </w:p>
    <w:p w:rsidR="00532D82" w:rsidRDefault="002739A8">
      <w:pPr>
        <w:pStyle w:val="a3"/>
        <w:adjustRightInd w:val="0"/>
        <w:snapToGrid w:val="0"/>
        <w:spacing w:beforeLines="50" w:before="120" w:line="300" w:lineRule="auto"/>
        <w:jc w:val="both"/>
        <w:rPr>
          <w:rFonts w:eastAsia="宋体" w:cs="宋体" w:hint="eastAsia"/>
          <w:sz w:val="21"/>
          <w:lang w:eastAsia="zh-CN"/>
        </w:rPr>
      </w:pPr>
      <w:r>
        <w:rPr>
          <w:rFonts w:eastAsia="宋体" w:cs="宋体"/>
          <w:sz w:val="21"/>
          <w:lang w:eastAsia="zh-CN"/>
        </w:rPr>
        <w:t>如需了解本文件中引用的</w:t>
      </w:r>
      <w:r>
        <w:rPr>
          <w:rFonts w:eastAsia="宋体" w:cs="宋体"/>
          <w:sz w:val="21"/>
          <w:lang w:eastAsia="zh-CN"/>
        </w:rPr>
        <w:t>FDA</w:t>
      </w:r>
      <w:r>
        <w:rPr>
          <w:rFonts w:eastAsia="宋体" w:cs="宋体"/>
          <w:sz w:val="21"/>
          <w:lang w:eastAsia="zh-CN"/>
        </w:rPr>
        <w:t>认可标准的现行版本，请参见</w:t>
      </w:r>
      <w:r>
        <w:rPr>
          <w:rFonts w:eastAsia="宋体" w:cs="宋体"/>
          <w:color w:val="0000FF"/>
          <w:sz w:val="21"/>
          <w:u w:val="single"/>
          <w:lang w:eastAsia="zh-CN"/>
        </w:rPr>
        <w:t>FDA</w:t>
      </w:r>
      <w:r>
        <w:rPr>
          <w:rFonts w:eastAsia="宋体" w:cs="宋体"/>
          <w:color w:val="0000FF"/>
          <w:sz w:val="21"/>
          <w:u w:val="single"/>
          <w:lang w:eastAsia="zh-CN"/>
        </w:rPr>
        <w:t>认可的共识标准数据库</w:t>
      </w:r>
      <w:r>
        <w:rPr>
          <w:rFonts w:eastAsia="宋体" w:cs="宋体"/>
          <w:sz w:val="21"/>
          <w:vertAlign w:val="superscript"/>
          <w:lang w:eastAsia="zh-CN"/>
        </w:rPr>
        <w:t>2</w:t>
      </w:r>
      <w:r>
        <w:rPr>
          <w:rFonts w:eastAsia="宋体" w:cs="宋体"/>
          <w:sz w:val="21"/>
          <w:lang w:eastAsia="zh-CN"/>
        </w:rPr>
        <w:t>。</w:t>
      </w:r>
      <w:r>
        <w:rPr>
          <w:rFonts w:eastAsia="宋体" w:cs="宋体" w:hint="eastAsia"/>
          <w:sz w:val="21"/>
          <w:lang w:eastAsia="zh-CN"/>
        </w:rPr>
        <w:t>关于监管申报资料中共</w:t>
      </w:r>
      <w:proofErr w:type="gramStart"/>
      <w:r>
        <w:rPr>
          <w:rFonts w:eastAsia="宋体" w:cs="宋体" w:hint="eastAsia"/>
          <w:sz w:val="21"/>
          <w:lang w:eastAsia="zh-CN"/>
        </w:rPr>
        <w:t>识标准</w:t>
      </w:r>
      <w:proofErr w:type="gramEnd"/>
      <w:r>
        <w:rPr>
          <w:rFonts w:eastAsia="宋体" w:cs="宋体" w:hint="eastAsia"/>
          <w:sz w:val="21"/>
          <w:lang w:eastAsia="zh-CN"/>
        </w:rPr>
        <w:t>的使用的更多信息，请参见标题为《医疗器械上市前申报资料中自愿性共识标准的适当使用》</w:t>
      </w:r>
      <w:r>
        <w:rPr>
          <w:rFonts w:eastAsia="宋体" w:cs="宋体"/>
          <w:sz w:val="21"/>
          <w:vertAlign w:val="superscript"/>
          <w:lang w:eastAsia="zh-CN"/>
        </w:rPr>
        <w:t>3</w:t>
      </w:r>
      <w:r>
        <w:rPr>
          <w:rFonts w:eastAsia="宋体" w:cs="宋体" w:hint="eastAsia"/>
          <w:sz w:val="21"/>
          <w:lang w:eastAsia="zh-CN"/>
        </w:rPr>
        <w:t>的</w:t>
      </w:r>
      <w:r>
        <w:rPr>
          <w:rFonts w:eastAsia="宋体" w:cs="宋体" w:hint="eastAsia"/>
          <w:sz w:val="21"/>
          <w:lang w:eastAsia="zh-CN"/>
        </w:rPr>
        <w:t>FDA</w:t>
      </w:r>
      <w:r>
        <w:rPr>
          <w:rFonts w:eastAsia="宋体" w:cs="宋体" w:hint="eastAsia"/>
          <w:sz w:val="21"/>
          <w:lang w:eastAsia="zh-CN"/>
        </w:rPr>
        <w:t>指南。</w:t>
      </w:r>
    </w:p>
    <w:p w:rsidR="00616193" w:rsidRDefault="00616193">
      <w:pPr>
        <w:pStyle w:val="a3"/>
        <w:adjustRightInd w:val="0"/>
        <w:snapToGrid w:val="0"/>
        <w:spacing w:beforeLines="50" w:before="120" w:line="300" w:lineRule="auto"/>
        <w:jc w:val="both"/>
        <w:rPr>
          <w:rFonts w:eastAsiaTheme="minorEastAsia" w:hint="eastAsia"/>
          <w:sz w:val="21"/>
          <w:szCs w:val="21"/>
          <w:lang w:eastAsia="zh-CN"/>
        </w:rPr>
      </w:pPr>
    </w:p>
    <w:p w:rsidR="00616193" w:rsidRDefault="00616193">
      <w:pPr>
        <w:pStyle w:val="a3"/>
        <w:adjustRightInd w:val="0"/>
        <w:snapToGrid w:val="0"/>
        <w:spacing w:beforeLines="50" w:before="120" w:line="300" w:lineRule="auto"/>
        <w:jc w:val="both"/>
        <w:rPr>
          <w:rFonts w:eastAsiaTheme="minorEastAsia" w:hint="eastAsia"/>
          <w:sz w:val="21"/>
          <w:szCs w:val="21"/>
          <w:lang w:eastAsia="zh-CN"/>
        </w:rPr>
      </w:pPr>
    </w:p>
    <w:p w:rsidR="00616193" w:rsidRDefault="00616193">
      <w:pPr>
        <w:pStyle w:val="a3"/>
        <w:adjustRightInd w:val="0"/>
        <w:snapToGrid w:val="0"/>
        <w:spacing w:beforeLines="50" w:before="120" w:line="300" w:lineRule="auto"/>
        <w:jc w:val="both"/>
        <w:rPr>
          <w:rFonts w:eastAsiaTheme="minorEastAsia" w:hint="eastAsia"/>
          <w:sz w:val="21"/>
          <w:szCs w:val="21"/>
          <w:lang w:eastAsia="zh-CN"/>
        </w:rPr>
      </w:pPr>
    </w:p>
    <w:p w:rsidR="00616193" w:rsidRDefault="00616193">
      <w:pPr>
        <w:pStyle w:val="a3"/>
        <w:adjustRightInd w:val="0"/>
        <w:snapToGrid w:val="0"/>
        <w:spacing w:beforeLines="50" w:before="120" w:line="300" w:lineRule="auto"/>
        <w:jc w:val="both"/>
        <w:rPr>
          <w:rFonts w:eastAsiaTheme="minorEastAsia" w:hint="eastAsia"/>
          <w:sz w:val="21"/>
          <w:szCs w:val="21"/>
          <w:lang w:eastAsia="zh-CN"/>
        </w:rPr>
      </w:pPr>
    </w:p>
    <w:p w:rsidR="00616193" w:rsidRDefault="00616193">
      <w:pPr>
        <w:pStyle w:val="a3"/>
        <w:adjustRightInd w:val="0"/>
        <w:snapToGrid w:val="0"/>
        <w:spacing w:beforeLines="50" w:before="120" w:line="300" w:lineRule="auto"/>
        <w:jc w:val="both"/>
        <w:rPr>
          <w:rFonts w:eastAsiaTheme="minorEastAsia" w:hint="eastAsia"/>
          <w:sz w:val="21"/>
          <w:szCs w:val="21"/>
          <w:lang w:eastAsia="zh-CN"/>
        </w:rPr>
      </w:pPr>
    </w:p>
    <w:p w:rsidR="00616193" w:rsidRDefault="00616193">
      <w:pPr>
        <w:pStyle w:val="a3"/>
        <w:adjustRightInd w:val="0"/>
        <w:snapToGrid w:val="0"/>
        <w:spacing w:beforeLines="50" w:before="120" w:line="300" w:lineRule="auto"/>
        <w:jc w:val="both"/>
        <w:rPr>
          <w:rFonts w:eastAsiaTheme="minorEastAsia" w:hint="eastAsia"/>
          <w:sz w:val="21"/>
          <w:szCs w:val="21"/>
          <w:lang w:eastAsia="zh-CN"/>
        </w:rPr>
      </w:pPr>
    </w:p>
    <w:p w:rsidR="00616193" w:rsidRPr="00616193" w:rsidRDefault="00616193">
      <w:pPr>
        <w:pStyle w:val="a3"/>
        <w:adjustRightInd w:val="0"/>
        <w:snapToGrid w:val="0"/>
        <w:spacing w:beforeLines="50" w:before="120" w:line="300" w:lineRule="auto"/>
        <w:jc w:val="both"/>
        <w:rPr>
          <w:rFonts w:eastAsiaTheme="minorEastAsia" w:hint="eastAsia"/>
          <w:sz w:val="21"/>
          <w:szCs w:val="21"/>
          <w:lang w:eastAsia="zh-CN"/>
        </w:rPr>
      </w:pPr>
    </w:p>
    <w:p w:rsidR="00616193" w:rsidRDefault="00616193" w:rsidP="00616193">
      <w:pPr>
        <w:rPr>
          <w:rFonts w:eastAsia="宋体" w:cs="宋体" w:hint="eastAsia"/>
          <w:sz w:val="21"/>
          <w:lang w:eastAsia="zh-CN"/>
        </w:rPr>
      </w:pPr>
      <w:r>
        <w:rPr>
          <w:rFonts w:eastAsia="宋体" w:cs="宋体"/>
          <w:sz w:val="21"/>
          <w:lang w:eastAsia="zh-CN"/>
        </w:rPr>
        <w:t>____________________</w:t>
      </w:r>
    </w:p>
    <w:p w:rsidR="00532D82" w:rsidRPr="00616193" w:rsidRDefault="004A166C" w:rsidP="00616193">
      <w:pPr>
        <w:rPr>
          <w:sz w:val="24"/>
          <w:szCs w:val="24"/>
          <w:lang w:eastAsia="zh-CN"/>
        </w:rPr>
      </w:pPr>
      <w:r w:rsidRPr="004A166C">
        <w:rPr>
          <w:rFonts w:eastAsia="宋体" w:cs="宋体"/>
          <w:sz w:val="21"/>
          <w:lang w:eastAsia="zh-CN"/>
        </w:rPr>
        <w:t>FDA</w:t>
      </w:r>
      <w:r w:rsidRPr="004A166C">
        <w:rPr>
          <w:rFonts w:eastAsia="宋体" w:cs="宋体" w:hint="eastAsia"/>
          <w:sz w:val="21"/>
          <w:lang w:eastAsia="zh-CN"/>
        </w:rPr>
        <w:t>指导性文件，包括本指南在内，不具有法律强制责任。相反，该指南表明了政府专门机构关于该主题的当前思考，除引用具体的法规或法律要求之外，本指南仅供推荐性使用。在本指南中使用的词语“应该”是指建议或推荐，并非强制要求。</w:t>
      </w:r>
    </w:p>
    <w:p w:rsidR="00532D82" w:rsidRDefault="002739A8">
      <w:pPr>
        <w:adjustRightInd w:val="0"/>
        <w:snapToGrid w:val="0"/>
        <w:spacing w:beforeLines="15" w:before="36" w:line="276" w:lineRule="auto"/>
        <w:jc w:val="both"/>
        <w:rPr>
          <w:sz w:val="18"/>
          <w:szCs w:val="21"/>
        </w:rPr>
      </w:pPr>
      <w:r>
        <w:rPr>
          <w:rFonts w:eastAsia="宋体" w:cs="宋体"/>
          <w:sz w:val="18"/>
          <w:vertAlign w:val="superscript"/>
        </w:rPr>
        <w:t>1</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https://www.fda.gov/regulatory-information/search-fda-guidance-documents/safety-and-performance- based-pathway</w:t>
      </w:r>
    </w:p>
    <w:p w:rsidR="00532D82" w:rsidRDefault="002739A8">
      <w:pPr>
        <w:adjustRightInd w:val="0"/>
        <w:snapToGrid w:val="0"/>
        <w:spacing w:beforeLines="15" w:before="36" w:line="276" w:lineRule="auto"/>
        <w:jc w:val="both"/>
        <w:rPr>
          <w:sz w:val="18"/>
          <w:szCs w:val="21"/>
        </w:rPr>
      </w:pPr>
      <w:r>
        <w:rPr>
          <w:rFonts w:eastAsia="宋体" w:cs="宋体"/>
          <w:sz w:val="18"/>
          <w:vertAlign w:val="superscript"/>
        </w:rPr>
        <w:t>2</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https://www.accessdata.fda.gov/scripts/cdrh/cfdocs/cfStandards/search.cfm</w:t>
      </w:r>
    </w:p>
    <w:p w:rsidR="00532D82" w:rsidRDefault="002739A8">
      <w:pPr>
        <w:adjustRightInd w:val="0"/>
        <w:snapToGrid w:val="0"/>
        <w:spacing w:beforeLines="15" w:before="36" w:line="276" w:lineRule="auto"/>
        <w:jc w:val="both"/>
        <w:rPr>
          <w:b/>
          <w:bCs/>
          <w:sz w:val="21"/>
          <w:szCs w:val="21"/>
        </w:rPr>
      </w:pPr>
      <w:r>
        <w:rPr>
          <w:rFonts w:eastAsia="宋体" w:cs="宋体"/>
          <w:sz w:val="18"/>
          <w:vertAlign w:val="superscript"/>
        </w:rPr>
        <w:t>3</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https://www.fda.gov/regulatory-information/search-fda-guidance-documents/appropriate-use-</w:t>
      </w:r>
      <w:r>
        <w:rPr>
          <w:rFonts w:eastAsia="宋体" w:cs="宋体"/>
          <w:color w:val="0000FF"/>
          <w:sz w:val="18"/>
        </w:rPr>
        <w:t xml:space="preserve"> </w:t>
      </w:r>
      <w:r>
        <w:rPr>
          <w:rFonts w:eastAsia="宋体" w:cs="宋体"/>
          <w:color w:val="0000FF"/>
          <w:sz w:val="18"/>
          <w:u w:val="single"/>
        </w:rPr>
        <w:t>voluntary-consensus-standards-premarket-submissions-medical-devices</w:t>
      </w:r>
      <w:r>
        <w:rPr>
          <w:rFonts w:eastAsia="宋体" w:cs="宋体"/>
          <w:sz w:val="21"/>
        </w:rPr>
        <w:br w:type="page"/>
      </w:r>
    </w:p>
    <w:p w:rsidR="00532D82" w:rsidRDefault="002739A8">
      <w:pPr>
        <w:pStyle w:val="a3"/>
        <w:adjustRightInd w:val="0"/>
        <w:snapToGrid w:val="0"/>
        <w:spacing w:beforeLines="50" w:before="120" w:line="300" w:lineRule="auto"/>
        <w:ind w:left="843" w:hangingChars="300" w:hanging="843"/>
        <w:jc w:val="both"/>
        <w:outlineLvl w:val="0"/>
        <w:rPr>
          <w:b/>
          <w:sz w:val="28"/>
          <w:szCs w:val="21"/>
          <w:lang w:eastAsia="zh-CN"/>
        </w:rPr>
      </w:pPr>
      <w:r>
        <w:rPr>
          <w:rFonts w:eastAsia="宋体" w:cs="宋体"/>
          <w:b/>
          <w:sz w:val="28"/>
          <w:lang w:eastAsia="zh-CN"/>
        </w:rPr>
        <w:lastRenderedPageBreak/>
        <w:t>II.</w:t>
      </w:r>
      <w:r>
        <w:rPr>
          <w:rFonts w:eastAsia="宋体" w:cs="宋体"/>
          <w:b/>
          <w:lang w:eastAsia="zh-CN"/>
        </w:rPr>
        <w:tab/>
      </w:r>
      <w:r>
        <w:rPr>
          <w:rFonts w:eastAsia="宋体" w:cs="宋体"/>
          <w:b/>
          <w:sz w:val="28"/>
          <w:lang w:eastAsia="zh-CN"/>
        </w:rPr>
        <w:t>范围</w:t>
      </w:r>
      <w:r>
        <w:rPr>
          <w:rFonts w:eastAsia="宋体" w:cs="宋体"/>
          <w:b/>
          <w:sz w:val="28"/>
          <w:lang w:eastAsia="zh-CN"/>
        </w:rPr>
        <w:t>/</w:t>
      </w:r>
      <w:r>
        <w:rPr>
          <w:rFonts w:eastAsia="宋体" w:cs="宋体"/>
          <w:b/>
          <w:sz w:val="28"/>
          <w:lang w:eastAsia="zh-CN"/>
        </w:rPr>
        <w:t>器械描述</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本指南所涉及的脊柱接骨板是颈椎前路或胸腰椎前路</w:t>
      </w:r>
      <w:r>
        <w:rPr>
          <w:rFonts w:eastAsia="宋体" w:cs="宋体"/>
          <w:sz w:val="21"/>
          <w:lang w:eastAsia="zh-CN"/>
        </w:rPr>
        <w:t>/</w:t>
      </w:r>
      <w:r>
        <w:rPr>
          <w:rFonts w:eastAsia="宋体" w:cs="宋体"/>
          <w:sz w:val="21"/>
          <w:lang w:eastAsia="zh-CN"/>
        </w:rPr>
        <w:t>外侧脊柱接骨板系统。此类器械属于</w:t>
      </w:r>
      <w:r>
        <w:rPr>
          <w:rFonts w:eastAsia="宋体" w:cs="宋体"/>
          <w:sz w:val="21"/>
          <w:lang w:eastAsia="zh-CN"/>
        </w:rPr>
        <w:t>II</w:t>
      </w:r>
      <w:r>
        <w:rPr>
          <w:rFonts w:eastAsia="宋体" w:cs="宋体"/>
          <w:sz w:val="21"/>
          <w:lang w:eastAsia="zh-CN"/>
        </w:rPr>
        <w:t>类器械，根据</w:t>
      </w:r>
      <w:r>
        <w:rPr>
          <w:rFonts w:eastAsia="宋体" w:cs="宋体"/>
          <w:sz w:val="21"/>
          <w:lang w:eastAsia="zh-CN"/>
        </w:rPr>
        <w:t>21 CFR 888.3060</w:t>
      </w:r>
      <w:r>
        <w:rPr>
          <w:rFonts w:eastAsia="宋体" w:cs="宋体"/>
          <w:sz w:val="21"/>
          <w:lang w:eastAsia="zh-CN"/>
        </w:rPr>
        <w:t>进行监管，产品代码为</w:t>
      </w:r>
      <w:r>
        <w:rPr>
          <w:rFonts w:eastAsia="宋体" w:cs="宋体"/>
          <w:sz w:val="21"/>
          <w:lang w:eastAsia="zh-CN"/>
        </w:rPr>
        <w:t>KWQ</w:t>
      </w:r>
      <w:r>
        <w:rPr>
          <w:rFonts w:eastAsia="宋体" w:cs="宋体"/>
          <w:sz w:val="21"/>
          <w:lang w:eastAsia="zh-CN"/>
        </w:rPr>
        <w:t>（器械、固定装置、脊柱</w:t>
      </w:r>
      <w:proofErr w:type="gramStart"/>
      <w:r>
        <w:rPr>
          <w:rFonts w:eastAsia="宋体" w:cs="宋体"/>
          <w:sz w:val="21"/>
          <w:lang w:eastAsia="zh-CN"/>
        </w:rPr>
        <w:t>椎</w:t>
      </w:r>
      <w:proofErr w:type="gramEnd"/>
      <w:r>
        <w:rPr>
          <w:rFonts w:eastAsia="宋体" w:cs="宋体"/>
          <w:sz w:val="21"/>
          <w:lang w:eastAsia="zh-CN"/>
        </w:rPr>
        <w:t>间体）。提交脊柱接骨板系统</w:t>
      </w:r>
      <w:r>
        <w:rPr>
          <w:rFonts w:eastAsia="宋体" w:cs="宋体"/>
          <w:sz w:val="21"/>
          <w:lang w:eastAsia="zh-CN"/>
        </w:rPr>
        <w:t>510(k)</w:t>
      </w:r>
      <w:r>
        <w:rPr>
          <w:rFonts w:eastAsia="宋体" w:cs="宋体"/>
          <w:sz w:val="21"/>
          <w:lang w:eastAsia="zh-CN"/>
        </w:rPr>
        <w:t>的一般指导原则可参见</w:t>
      </w:r>
      <w:r>
        <w:rPr>
          <w:rFonts w:eastAsia="宋体" w:cs="宋体"/>
          <w:sz w:val="21"/>
          <w:lang w:eastAsia="zh-CN"/>
        </w:rPr>
        <w:t>FDA</w:t>
      </w:r>
      <w:r>
        <w:rPr>
          <w:rFonts w:eastAsia="宋体" w:cs="宋体"/>
          <w:sz w:val="21"/>
          <w:lang w:eastAsia="zh-CN"/>
        </w:rPr>
        <w:t>指南《</w:t>
      </w:r>
      <w:r>
        <w:rPr>
          <w:rFonts w:eastAsia="宋体" w:cs="宋体"/>
          <w:color w:val="0000FF"/>
          <w:sz w:val="21"/>
          <w:u w:val="single"/>
          <w:lang w:eastAsia="zh-CN"/>
        </w:rPr>
        <w:t>脊柱内固定系统</w:t>
      </w:r>
      <w:r>
        <w:rPr>
          <w:rFonts w:eastAsia="宋体" w:cs="宋体"/>
          <w:color w:val="0000FF"/>
          <w:sz w:val="21"/>
          <w:u w:val="single"/>
          <w:lang w:eastAsia="zh-CN"/>
        </w:rPr>
        <w:t>510(k)</w:t>
      </w:r>
      <w:r>
        <w:rPr>
          <w:rFonts w:eastAsia="宋体" w:cs="宋体"/>
          <w:sz w:val="21"/>
          <w:lang w:eastAsia="zh-CN"/>
        </w:rPr>
        <w:t>》</w:t>
      </w:r>
      <w:r>
        <w:rPr>
          <w:rFonts w:eastAsia="宋体" w:cs="宋体"/>
          <w:sz w:val="21"/>
          <w:vertAlign w:val="superscript"/>
          <w:lang w:eastAsia="zh-CN"/>
        </w:rPr>
        <w:t>4</w:t>
      </w:r>
      <w:r>
        <w:rPr>
          <w:rFonts w:eastAsia="宋体" w:cs="宋体"/>
          <w:sz w:val="21"/>
          <w:lang w:eastAsia="zh-CN"/>
        </w:rPr>
        <w:t>。</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b/>
          <w:sz w:val="21"/>
          <w:lang w:eastAsia="zh-CN"/>
        </w:rPr>
        <w:t>预期用途</w:t>
      </w:r>
      <w:r>
        <w:rPr>
          <w:rFonts w:eastAsia="宋体" w:cs="宋体"/>
          <w:b/>
          <w:sz w:val="21"/>
          <w:lang w:eastAsia="zh-CN"/>
        </w:rPr>
        <w:t>/</w:t>
      </w:r>
      <w:r>
        <w:rPr>
          <w:rFonts w:eastAsia="宋体" w:cs="宋体"/>
          <w:b/>
          <w:sz w:val="21"/>
          <w:lang w:eastAsia="zh-CN"/>
        </w:rPr>
        <w:t>适用范围：</w:t>
      </w:r>
      <w:r>
        <w:rPr>
          <w:rFonts w:eastAsia="宋体" w:cs="宋体"/>
          <w:sz w:val="21"/>
          <w:lang w:eastAsia="zh-CN"/>
        </w:rPr>
        <w:t>本指南文件范围内的脊柱接骨板系统预期用于固定椎体（颈椎前路或胸腰椎前路</w:t>
      </w:r>
      <w:r>
        <w:rPr>
          <w:rFonts w:eastAsia="宋体" w:cs="宋体"/>
          <w:sz w:val="21"/>
          <w:lang w:eastAsia="zh-CN"/>
        </w:rPr>
        <w:t>/</w:t>
      </w:r>
      <w:r>
        <w:rPr>
          <w:rFonts w:eastAsia="宋体" w:cs="宋体"/>
          <w:sz w:val="21"/>
          <w:lang w:eastAsia="zh-CN"/>
        </w:rPr>
        <w:t>外侧），以稳定脊柱融合。</w:t>
      </w:r>
      <w:r>
        <w:rPr>
          <w:rFonts w:eastAsia="宋体" w:cs="宋体" w:hint="eastAsia"/>
          <w:sz w:val="21"/>
          <w:lang w:eastAsia="zh-CN"/>
        </w:rPr>
        <w:t>本指南文件</w:t>
      </w:r>
      <w:r>
        <w:rPr>
          <w:rFonts w:eastAsia="宋体" w:cs="宋体" w:hint="eastAsia"/>
          <w:sz w:val="21"/>
          <w:u w:val="single"/>
          <w:lang w:eastAsia="zh-CN"/>
        </w:rPr>
        <w:t>不适用于</w:t>
      </w:r>
      <w:r>
        <w:rPr>
          <w:rFonts w:eastAsia="宋体" w:cs="宋体"/>
          <w:sz w:val="21"/>
          <w:lang w:eastAsia="zh-CN"/>
        </w:rPr>
        <w:t>连接到脊柱后路的接骨板系统。</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b/>
          <w:sz w:val="21"/>
          <w:lang w:eastAsia="zh-CN"/>
        </w:rPr>
        <w:t>器械设计特征：</w:t>
      </w:r>
      <w:r>
        <w:rPr>
          <w:rFonts w:eastAsia="宋体" w:cs="宋体"/>
          <w:sz w:val="21"/>
          <w:lang w:eastAsia="zh-CN"/>
        </w:rPr>
        <w:t>本指南文件范围内的脊柱接骨板系统由接骨板和相关固定角度螺钉或可调角度螺钉组成，这些螺钉仅由符合相关</w:t>
      </w:r>
      <w:r>
        <w:rPr>
          <w:rFonts w:eastAsia="宋体" w:cs="宋体"/>
          <w:sz w:val="21"/>
          <w:lang w:eastAsia="zh-CN"/>
        </w:rPr>
        <w:t>FDA</w:t>
      </w:r>
      <w:proofErr w:type="gramStart"/>
      <w:r>
        <w:rPr>
          <w:rFonts w:eastAsia="宋体" w:cs="宋体"/>
          <w:sz w:val="21"/>
          <w:lang w:eastAsia="zh-CN"/>
        </w:rPr>
        <w:t>认可共识</w:t>
      </w:r>
      <w:proofErr w:type="gramEnd"/>
      <w:r>
        <w:rPr>
          <w:rFonts w:eastAsia="宋体" w:cs="宋体"/>
          <w:sz w:val="21"/>
          <w:lang w:eastAsia="zh-CN"/>
        </w:rPr>
        <w:t>标准的以下钛合金之一制成：</w:t>
      </w:r>
    </w:p>
    <w:p w:rsidR="00532D82" w:rsidRDefault="002739A8">
      <w:pPr>
        <w:pStyle w:val="a8"/>
        <w:numPr>
          <w:ilvl w:val="0"/>
          <w:numId w:val="1"/>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lang w:eastAsia="zh-CN"/>
        </w:rPr>
        <w:t>美国材料与试验协会（</w:t>
      </w:r>
      <w:r>
        <w:rPr>
          <w:rFonts w:eastAsia="宋体" w:cs="宋体"/>
          <w:sz w:val="21"/>
          <w:lang w:eastAsia="zh-CN"/>
        </w:rPr>
        <w:t>ASTM</w:t>
      </w:r>
      <w:r>
        <w:rPr>
          <w:rFonts w:eastAsia="宋体" w:cs="宋体"/>
          <w:sz w:val="21"/>
          <w:lang w:eastAsia="zh-CN"/>
        </w:rPr>
        <w:t>）《</w:t>
      </w:r>
      <w:r>
        <w:rPr>
          <w:rFonts w:eastAsia="宋体" w:cs="宋体"/>
          <w:sz w:val="21"/>
          <w:lang w:eastAsia="zh-CN"/>
        </w:rPr>
        <w:t>F136-</w:t>
      </w:r>
      <w:r>
        <w:rPr>
          <w:rFonts w:eastAsia="宋体" w:cs="宋体"/>
          <w:sz w:val="21"/>
          <w:lang w:eastAsia="zh-CN"/>
        </w:rPr>
        <w:t>外科植入物用锻造钛</w:t>
      </w:r>
      <w:r>
        <w:rPr>
          <w:rFonts w:eastAsia="宋体" w:cs="宋体"/>
          <w:sz w:val="21"/>
          <w:lang w:eastAsia="zh-CN"/>
        </w:rPr>
        <w:t>-6</w:t>
      </w:r>
      <w:r>
        <w:rPr>
          <w:rFonts w:eastAsia="宋体" w:cs="宋体"/>
          <w:sz w:val="21"/>
          <w:lang w:eastAsia="zh-CN"/>
        </w:rPr>
        <w:t>铝</w:t>
      </w:r>
      <w:r>
        <w:rPr>
          <w:rFonts w:eastAsia="宋体" w:cs="宋体"/>
          <w:sz w:val="21"/>
          <w:lang w:eastAsia="zh-CN"/>
        </w:rPr>
        <w:t>-4</w:t>
      </w:r>
      <w:r>
        <w:rPr>
          <w:rFonts w:eastAsia="宋体" w:cs="宋体"/>
          <w:sz w:val="21"/>
          <w:lang w:eastAsia="zh-CN"/>
        </w:rPr>
        <w:t>钒</w:t>
      </w:r>
      <w:r>
        <w:rPr>
          <w:rFonts w:eastAsia="宋体" w:cs="宋体"/>
          <w:sz w:val="21"/>
          <w:lang w:eastAsia="zh-CN"/>
        </w:rPr>
        <w:t>ELI</w:t>
      </w:r>
      <w:r>
        <w:rPr>
          <w:rFonts w:eastAsia="宋体" w:cs="宋体"/>
          <w:sz w:val="21"/>
          <w:lang w:eastAsia="zh-CN"/>
        </w:rPr>
        <w:t>（超低间隙）锻造合金标准规范（</w:t>
      </w:r>
      <w:r>
        <w:rPr>
          <w:rFonts w:eastAsia="宋体" w:cs="宋体"/>
          <w:sz w:val="21"/>
          <w:lang w:eastAsia="zh-CN"/>
        </w:rPr>
        <w:t>UNS R56401</w:t>
      </w:r>
      <w:r>
        <w:rPr>
          <w:rFonts w:eastAsia="宋体" w:cs="宋体"/>
          <w:sz w:val="21"/>
          <w:lang w:eastAsia="zh-CN"/>
        </w:rPr>
        <w:t>）》</w:t>
      </w:r>
    </w:p>
    <w:p w:rsidR="00532D82" w:rsidRDefault="002739A8">
      <w:pPr>
        <w:pStyle w:val="a8"/>
        <w:numPr>
          <w:ilvl w:val="0"/>
          <w:numId w:val="1"/>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lang w:eastAsia="zh-CN"/>
        </w:rPr>
        <w:t>ASTM F1295</w:t>
      </w:r>
      <w:r>
        <w:rPr>
          <w:rFonts w:eastAsia="宋体" w:cs="宋体"/>
          <w:sz w:val="21"/>
          <w:lang w:eastAsia="zh-CN"/>
        </w:rPr>
        <w:t>《外科植入物用锻造钛</w:t>
      </w:r>
      <w:r>
        <w:rPr>
          <w:rFonts w:eastAsia="宋体" w:cs="宋体"/>
          <w:sz w:val="21"/>
          <w:lang w:eastAsia="zh-CN"/>
        </w:rPr>
        <w:t>-6</w:t>
      </w:r>
      <w:r>
        <w:rPr>
          <w:rFonts w:eastAsia="宋体" w:cs="宋体"/>
          <w:sz w:val="21"/>
          <w:lang w:eastAsia="zh-CN"/>
        </w:rPr>
        <w:t>铝</w:t>
      </w:r>
      <w:r>
        <w:rPr>
          <w:rFonts w:eastAsia="宋体" w:cs="宋体"/>
          <w:sz w:val="21"/>
          <w:lang w:eastAsia="zh-CN"/>
        </w:rPr>
        <w:t>-7</w:t>
      </w:r>
      <w:r>
        <w:rPr>
          <w:rFonts w:eastAsia="宋体" w:cs="宋体"/>
          <w:sz w:val="21"/>
          <w:lang w:eastAsia="zh-CN"/>
        </w:rPr>
        <w:t>铌锻造合金标准规范（</w:t>
      </w:r>
      <w:r>
        <w:rPr>
          <w:rFonts w:eastAsia="宋体" w:cs="宋体"/>
          <w:sz w:val="21"/>
          <w:lang w:eastAsia="zh-CN"/>
        </w:rPr>
        <w:t>UNS R56700</w:t>
      </w:r>
      <w:r>
        <w:rPr>
          <w:rFonts w:eastAsia="宋体" w:cs="宋体"/>
          <w:sz w:val="21"/>
          <w:lang w:eastAsia="zh-CN"/>
        </w:rPr>
        <w:t>）》</w:t>
      </w:r>
    </w:p>
    <w:p w:rsidR="00532D82" w:rsidRDefault="002739A8">
      <w:pPr>
        <w:pStyle w:val="a8"/>
        <w:numPr>
          <w:ilvl w:val="0"/>
          <w:numId w:val="1"/>
        </w:numPr>
        <w:adjustRightInd w:val="0"/>
        <w:snapToGrid w:val="0"/>
        <w:spacing w:beforeLines="50" w:before="120" w:line="300" w:lineRule="auto"/>
        <w:ind w:leftChars="200" w:left="860" w:hangingChars="200"/>
        <w:jc w:val="both"/>
        <w:rPr>
          <w:sz w:val="21"/>
          <w:szCs w:val="21"/>
        </w:rPr>
      </w:pPr>
      <w:r>
        <w:rPr>
          <w:rFonts w:eastAsia="宋体" w:cs="宋体"/>
          <w:sz w:val="21"/>
        </w:rPr>
        <w:t>ASTM F67</w:t>
      </w:r>
      <w:r>
        <w:rPr>
          <w:rFonts w:eastAsia="宋体" w:cs="宋体"/>
          <w:sz w:val="21"/>
        </w:rPr>
        <w:t>《非合金钛植入物手术的标准规范（</w:t>
      </w:r>
      <w:r>
        <w:rPr>
          <w:rFonts w:eastAsia="宋体" w:cs="宋体"/>
          <w:sz w:val="21"/>
        </w:rPr>
        <w:t>UNS R50250</w:t>
      </w:r>
      <w:r>
        <w:rPr>
          <w:rFonts w:eastAsia="宋体" w:cs="宋体"/>
          <w:sz w:val="21"/>
        </w:rPr>
        <w:t>，</w:t>
      </w:r>
      <w:r>
        <w:rPr>
          <w:rFonts w:eastAsia="宋体" w:cs="宋体"/>
          <w:sz w:val="21"/>
        </w:rPr>
        <w:t>UNS R50400</w:t>
      </w:r>
      <w:r>
        <w:rPr>
          <w:rFonts w:eastAsia="宋体" w:cs="宋体"/>
          <w:sz w:val="21"/>
        </w:rPr>
        <w:t>，</w:t>
      </w:r>
      <w:r>
        <w:rPr>
          <w:rFonts w:eastAsia="宋体" w:cs="宋体"/>
          <w:sz w:val="21"/>
        </w:rPr>
        <w:t>UNS R50550</w:t>
      </w:r>
      <w:r>
        <w:rPr>
          <w:rFonts w:eastAsia="宋体" w:cs="宋体"/>
          <w:sz w:val="21"/>
        </w:rPr>
        <w:t>，</w:t>
      </w:r>
      <w:r>
        <w:rPr>
          <w:rFonts w:eastAsia="宋体" w:cs="宋体"/>
          <w:sz w:val="21"/>
        </w:rPr>
        <w:t>UNS R50700</w:t>
      </w:r>
      <w:r>
        <w:rPr>
          <w:rFonts w:eastAsia="宋体" w:cs="宋体"/>
          <w:sz w:val="21"/>
        </w:rPr>
        <w:t>）》</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应对申报器械进行尺寸比较，尺寸应在表</w:t>
      </w:r>
      <w:r>
        <w:rPr>
          <w:rFonts w:eastAsia="宋体" w:cs="宋体"/>
          <w:sz w:val="21"/>
          <w:lang w:eastAsia="zh-CN"/>
        </w:rPr>
        <w:t>1</w:t>
      </w:r>
      <w:r>
        <w:rPr>
          <w:rFonts w:eastAsia="宋体" w:cs="宋体"/>
          <w:sz w:val="21"/>
          <w:lang w:eastAsia="zh-CN"/>
        </w:rPr>
        <w:t>中所列的尺寸范围内。</w:t>
      </w:r>
    </w:p>
    <w:p w:rsidR="00532D82" w:rsidRDefault="002739A8">
      <w:pPr>
        <w:pStyle w:val="a3"/>
        <w:adjustRightInd w:val="0"/>
        <w:snapToGrid w:val="0"/>
        <w:spacing w:beforeLines="2850" w:before="6840" w:line="300" w:lineRule="auto"/>
        <w:jc w:val="both"/>
        <w:rPr>
          <w:rFonts w:eastAsiaTheme="minorEastAsia"/>
          <w:sz w:val="21"/>
          <w:szCs w:val="21"/>
          <w:lang w:eastAsia="zh-CN"/>
        </w:rPr>
      </w:pPr>
      <w:r>
        <w:rPr>
          <w:rFonts w:eastAsia="宋体" w:cs="宋体"/>
          <w:sz w:val="21"/>
        </w:rPr>
        <w:t>____________________</w:t>
      </w:r>
    </w:p>
    <w:p w:rsidR="00532D82" w:rsidRDefault="002739A8">
      <w:pPr>
        <w:adjustRightInd w:val="0"/>
        <w:snapToGrid w:val="0"/>
        <w:spacing w:beforeLines="15" w:before="36" w:line="276" w:lineRule="auto"/>
        <w:jc w:val="both"/>
        <w:rPr>
          <w:b/>
          <w:sz w:val="21"/>
          <w:szCs w:val="21"/>
        </w:rPr>
      </w:pPr>
      <w:r>
        <w:rPr>
          <w:rFonts w:eastAsia="宋体" w:cs="宋体"/>
          <w:sz w:val="18"/>
          <w:vertAlign w:val="superscript"/>
        </w:rPr>
        <w:t>4</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https://www.fda.gov/regulatory-information/search-fda-guidance-documents/guidance-industry-and-</w:t>
      </w:r>
      <w:r>
        <w:rPr>
          <w:rFonts w:eastAsia="宋体" w:cs="宋体"/>
          <w:color w:val="0000FF"/>
          <w:sz w:val="18"/>
        </w:rPr>
        <w:t xml:space="preserve"> </w:t>
      </w:r>
      <w:r>
        <w:rPr>
          <w:rFonts w:eastAsia="宋体" w:cs="宋体"/>
          <w:color w:val="0000FF"/>
          <w:sz w:val="18"/>
          <w:u w:val="single"/>
        </w:rPr>
        <w:t>fda-staff-spinal-system-510ks</w:t>
      </w:r>
      <w:r>
        <w:rPr>
          <w:rFonts w:eastAsia="宋体" w:cs="宋体"/>
          <w:b/>
          <w:sz w:val="21"/>
        </w:rPr>
        <w:br w:type="page"/>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b/>
          <w:sz w:val="21"/>
          <w:lang w:eastAsia="zh-CN"/>
        </w:rPr>
        <w:lastRenderedPageBreak/>
        <w:t>表</w:t>
      </w:r>
      <w:r>
        <w:rPr>
          <w:rFonts w:eastAsia="宋体" w:cs="宋体"/>
          <w:b/>
          <w:sz w:val="21"/>
          <w:lang w:eastAsia="zh-CN"/>
        </w:rPr>
        <w:t>1 -</w:t>
      </w:r>
      <w:r>
        <w:rPr>
          <w:rFonts w:eastAsia="宋体" w:cs="宋体"/>
          <w:sz w:val="21"/>
          <w:lang w:eastAsia="zh-CN"/>
        </w:rPr>
        <w:t xml:space="preserve"> </w:t>
      </w:r>
      <w:r>
        <w:rPr>
          <w:rFonts w:eastAsia="宋体" w:cs="宋体"/>
          <w:sz w:val="21"/>
          <w:lang w:eastAsia="zh-CN"/>
        </w:rPr>
        <w:t>颈椎和</w:t>
      </w:r>
      <w:proofErr w:type="gramStart"/>
      <w:r>
        <w:rPr>
          <w:rFonts w:eastAsia="宋体" w:cs="宋体"/>
          <w:sz w:val="21"/>
          <w:lang w:eastAsia="zh-CN"/>
        </w:rPr>
        <w:t>胸腰椎</w:t>
      </w:r>
      <w:proofErr w:type="gramEnd"/>
      <w:r>
        <w:rPr>
          <w:rFonts w:eastAsia="宋体" w:cs="宋体"/>
          <w:sz w:val="21"/>
          <w:lang w:eastAsia="zh-CN"/>
        </w:rPr>
        <w:t>脊柱接骨板系统的尺寸范围。</w:t>
      </w:r>
    </w:p>
    <w:tbl>
      <w:tblPr>
        <w:tblStyle w:val="TableNormal1"/>
        <w:tblW w:w="0" w:type="auto"/>
        <w:jc w:val="center"/>
        <w:tblInd w:w="0"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113" w:type="dxa"/>
          <w:right w:w="113" w:type="dxa"/>
        </w:tblCellMar>
        <w:tblLook w:val="04A0" w:firstRow="1" w:lastRow="0" w:firstColumn="1" w:lastColumn="0" w:noHBand="0" w:noVBand="1"/>
      </w:tblPr>
      <w:tblGrid>
        <w:gridCol w:w="5384"/>
        <w:gridCol w:w="2160"/>
      </w:tblGrid>
      <w:tr w:rsidR="00532D82">
        <w:trPr>
          <w:trHeight w:val="20"/>
          <w:jc w:val="center"/>
        </w:trPr>
        <w:tc>
          <w:tcPr>
            <w:tcW w:w="5384" w:type="dxa"/>
            <w:tcBorders>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Pr>
                <w:rFonts w:ascii="Times New Roman" w:eastAsia="宋体" w:hAnsi="Times New Roman" w:cs="宋体"/>
                <w:b/>
                <w:sz w:val="18"/>
              </w:rPr>
              <w:t>颈椎</w:t>
            </w:r>
            <w:proofErr w:type="spellEnd"/>
            <w:r>
              <w:rPr>
                <w:rFonts w:ascii="Times New Roman" w:eastAsia="宋体" w:hAnsi="Times New Roman" w:cs="宋体" w:hint="eastAsia"/>
                <w:b/>
                <w:sz w:val="18"/>
                <w:lang w:eastAsia="zh-CN"/>
              </w:rPr>
              <w:t>接骨</w:t>
            </w:r>
            <w:r>
              <w:rPr>
                <w:rFonts w:ascii="Times New Roman" w:eastAsia="宋体" w:hAnsi="Times New Roman" w:cs="宋体"/>
                <w:b/>
                <w:sz w:val="18"/>
              </w:rPr>
              <w:t>板</w:t>
            </w:r>
          </w:p>
        </w:tc>
        <w:tc>
          <w:tcPr>
            <w:tcW w:w="2160" w:type="dxa"/>
            <w:tcBorders>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Pr>
                <w:rFonts w:ascii="Times New Roman" w:eastAsia="宋体" w:hAnsi="Times New Roman" w:cs="宋体"/>
                <w:b/>
                <w:sz w:val="18"/>
              </w:rPr>
              <w:t>范围</w:t>
            </w:r>
            <w:proofErr w:type="spellEnd"/>
            <w:r>
              <w:rPr>
                <w:rFonts w:ascii="Times New Roman" w:eastAsia="宋体" w:hAnsi="Times New Roman" w:cs="宋体"/>
                <w:sz w:val="18"/>
              </w:rPr>
              <w:t>*</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hint="eastAsia"/>
                <w:sz w:val="18"/>
                <w:lang w:eastAsia="zh-CN"/>
              </w:rPr>
              <w:t>治疗</w:t>
            </w:r>
            <w:proofErr w:type="spellStart"/>
            <w:r>
              <w:rPr>
                <w:rFonts w:ascii="Times New Roman" w:eastAsia="宋体" w:hAnsi="Times New Roman" w:cs="宋体"/>
                <w:sz w:val="18"/>
              </w:rPr>
              <w:t>的节段数</w:t>
            </w:r>
            <w:proofErr w:type="spellEnd"/>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sz w:val="18"/>
              </w:rPr>
              <w:t>1-5</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Pr>
                <w:rFonts w:ascii="Times New Roman" w:eastAsia="宋体" w:hAnsi="Times New Roman" w:cs="宋体"/>
                <w:sz w:val="18"/>
              </w:rPr>
              <w:t>接骨板长度（孔间</w:t>
            </w:r>
            <w:proofErr w:type="spellEnd"/>
            <w:r>
              <w:rPr>
                <w:rFonts w:ascii="Times New Roman" w:eastAsia="宋体" w:hAnsi="Times New Roman" w:cs="宋体"/>
                <w:sz w:val="18"/>
              </w:rPr>
              <w:t>）</w:t>
            </w:r>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sz w:val="18"/>
              </w:rPr>
              <w:t>10-115 mm</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Pr>
                <w:rFonts w:ascii="Times New Roman" w:eastAsia="宋体" w:hAnsi="Times New Roman" w:cs="宋体"/>
                <w:sz w:val="18"/>
              </w:rPr>
              <w:t>接骨板厚度</w:t>
            </w:r>
            <w:proofErr w:type="spellEnd"/>
            <w:r>
              <w:rPr>
                <w:rFonts w:ascii="Times New Roman" w:eastAsia="宋体" w:hAnsi="Times New Roman" w:cs="宋体"/>
                <w:sz w:val="18"/>
              </w:rPr>
              <w:t>/</w:t>
            </w:r>
            <w:proofErr w:type="spellStart"/>
            <w:r>
              <w:rPr>
                <w:rFonts w:ascii="Times New Roman" w:eastAsia="宋体" w:hAnsi="Times New Roman" w:cs="宋体"/>
                <w:sz w:val="18"/>
              </w:rPr>
              <w:t>轮廓</w:t>
            </w:r>
            <w:proofErr w:type="spellEnd"/>
            <w:r>
              <w:rPr>
                <w:rFonts w:ascii="Times New Roman" w:eastAsia="宋体" w:hAnsi="Times New Roman" w:cs="宋体"/>
                <w:sz w:val="18"/>
              </w:rPr>
              <w:t>**</w:t>
            </w:r>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hAnsi="Times New Roman" w:cs="Times New Roman"/>
                <w:sz w:val="18"/>
                <w:szCs w:val="21"/>
              </w:rPr>
              <w:t>≤ 3 mm</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Pr>
                <w:rFonts w:ascii="Times New Roman" w:eastAsia="宋体" w:hAnsi="Times New Roman" w:cs="宋体"/>
                <w:sz w:val="18"/>
              </w:rPr>
              <w:t>螺钉直径（外径</w:t>
            </w:r>
            <w:proofErr w:type="spellEnd"/>
            <w:r>
              <w:rPr>
                <w:rFonts w:ascii="Times New Roman" w:eastAsia="宋体" w:hAnsi="Times New Roman" w:cs="宋体"/>
                <w:sz w:val="18"/>
              </w:rPr>
              <w:t>）</w:t>
            </w:r>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sz w:val="18"/>
              </w:rPr>
              <w:t>3.5-4.5 mm</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lang w:eastAsia="zh-CN"/>
              </w:rPr>
            </w:pPr>
            <w:r>
              <w:rPr>
                <w:rFonts w:ascii="Times New Roman" w:eastAsia="宋体" w:hAnsi="Times New Roman" w:cs="宋体"/>
                <w:sz w:val="18"/>
                <w:lang w:eastAsia="zh-CN"/>
              </w:rPr>
              <w:t>螺钉长度（螺纹长度）</w:t>
            </w:r>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sz w:val="18"/>
              </w:rPr>
              <w:t>10-26 mm</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532D82">
            <w:pPr>
              <w:pStyle w:val="TableParagraph"/>
              <w:adjustRightInd w:val="0"/>
              <w:snapToGrid w:val="0"/>
              <w:spacing w:beforeLines="15" w:before="36" w:line="276" w:lineRule="auto"/>
              <w:ind w:left="0"/>
              <w:jc w:val="both"/>
              <w:rPr>
                <w:rFonts w:ascii="Times New Roman" w:hAnsi="Times New Roman" w:cs="Times New Roman"/>
                <w:sz w:val="18"/>
                <w:szCs w:val="21"/>
              </w:rPr>
            </w:pPr>
          </w:p>
        </w:tc>
        <w:tc>
          <w:tcPr>
            <w:tcW w:w="2160" w:type="dxa"/>
            <w:tcBorders>
              <w:top w:val="single" w:sz="4" w:space="0" w:color="000000"/>
              <w:left w:val="single" w:sz="4" w:space="0" w:color="000000"/>
              <w:bottom w:val="single" w:sz="4" w:space="0" w:color="000000"/>
            </w:tcBorders>
          </w:tcPr>
          <w:p w:rsidR="00532D82" w:rsidRDefault="00532D82">
            <w:pPr>
              <w:pStyle w:val="TableParagraph"/>
              <w:adjustRightInd w:val="0"/>
              <w:snapToGrid w:val="0"/>
              <w:spacing w:beforeLines="15" w:before="36" w:line="276" w:lineRule="auto"/>
              <w:ind w:left="0"/>
              <w:jc w:val="both"/>
              <w:rPr>
                <w:rFonts w:ascii="Times New Roman" w:hAnsi="Times New Roman" w:cs="Times New Roman"/>
                <w:sz w:val="18"/>
                <w:szCs w:val="21"/>
              </w:rPr>
            </w:pP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Pr>
                <w:rFonts w:ascii="Times New Roman" w:eastAsia="宋体" w:hAnsi="Times New Roman" w:cs="宋体"/>
                <w:b/>
                <w:sz w:val="18"/>
              </w:rPr>
              <w:t>胸腰椎接骨板</w:t>
            </w:r>
            <w:proofErr w:type="spellEnd"/>
          </w:p>
        </w:tc>
        <w:tc>
          <w:tcPr>
            <w:tcW w:w="2160" w:type="dxa"/>
            <w:tcBorders>
              <w:top w:val="single" w:sz="4" w:space="0" w:color="000000"/>
              <w:left w:val="single" w:sz="4" w:space="0" w:color="000000"/>
              <w:bottom w:val="single" w:sz="4" w:space="0" w:color="000000"/>
            </w:tcBorders>
          </w:tcPr>
          <w:p w:rsidR="00532D82" w:rsidRDefault="00532D82">
            <w:pPr>
              <w:pStyle w:val="TableParagraph"/>
              <w:adjustRightInd w:val="0"/>
              <w:snapToGrid w:val="0"/>
              <w:spacing w:beforeLines="15" w:before="36" w:line="276" w:lineRule="auto"/>
              <w:ind w:left="0"/>
              <w:jc w:val="both"/>
              <w:rPr>
                <w:rFonts w:ascii="Times New Roman" w:hAnsi="Times New Roman" w:cs="Times New Roman"/>
                <w:sz w:val="18"/>
                <w:szCs w:val="21"/>
              </w:rPr>
            </w:pP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hint="eastAsia"/>
                <w:sz w:val="18"/>
                <w:lang w:eastAsia="zh-CN"/>
              </w:rPr>
              <w:t>治疗</w:t>
            </w:r>
            <w:proofErr w:type="spellStart"/>
            <w:r>
              <w:rPr>
                <w:rFonts w:ascii="Times New Roman" w:eastAsia="宋体" w:hAnsi="Times New Roman" w:cs="宋体"/>
                <w:sz w:val="18"/>
              </w:rPr>
              <w:t>的节段数</w:t>
            </w:r>
            <w:proofErr w:type="spellEnd"/>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sz w:val="18"/>
              </w:rPr>
              <w:t>1-3</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Pr>
                <w:rFonts w:ascii="Times New Roman" w:eastAsia="宋体" w:hAnsi="Times New Roman" w:cs="宋体"/>
                <w:sz w:val="18"/>
              </w:rPr>
              <w:t>接骨板长度（孔间</w:t>
            </w:r>
            <w:proofErr w:type="spellEnd"/>
            <w:r>
              <w:rPr>
                <w:rFonts w:ascii="Times New Roman" w:eastAsia="宋体" w:hAnsi="Times New Roman" w:cs="宋体"/>
                <w:sz w:val="18"/>
              </w:rPr>
              <w:t>）</w:t>
            </w:r>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sz w:val="18"/>
              </w:rPr>
              <w:t>15-130 mm</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Pr>
                <w:rFonts w:ascii="Times New Roman" w:eastAsia="宋体" w:hAnsi="Times New Roman" w:cs="宋体"/>
                <w:sz w:val="18"/>
              </w:rPr>
              <w:t>接骨板厚度</w:t>
            </w:r>
            <w:proofErr w:type="spellEnd"/>
            <w:r>
              <w:rPr>
                <w:rFonts w:ascii="Times New Roman" w:eastAsia="宋体" w:hAnsi="Times New Roman" w:cs="宋体"/>
                <w:sz w:val="18"/>
              </w:rPr>
              <w:t>/</w:t>
            </w:r>
            <w:proofErr w:type="spellStart"/>
            <w:r>
              <w:rPr>
                <w:rFonts w:ascii="Times New Roman" w:eastAsia="宋体" w:hAnsi="Times New Roman" w:cs="宋体"/>
                <w:sz w:val="18"/>
              </w:rPr>
              <w:t>轮廓</w:t>
            </w:r>
            <w:proofErr w:type="spellEnd"/>
            <w:r>
              <w:rPr>
                <w:rFonts w:ascii="Times New Roman" w:eastAsia="宋体" w:hAnsi="Times New Roman" w:cs="宋体"/>
                <w:sz w:val="18"/>
              </w:rPr>
              <w:t>**</w:t>
            </w:r>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hAnsi="Times New Roman" w:cs="Times New Roman"/>
                <w:sz w:val="18"/>
                <w:szCs w:val="21"/>
              </w:rPr>
              <w:t>≤ 7 mm</w:t>
            </w:r>
          </w:p>
        </w:tc>
      </w:tr>
      <w:tr w:rsidR="00532D82">
        <w:trPr>
          <w:trHeight w:val="20"/>
          <w:jc w:val="center"/>
        </w:trPr>
        <w:tc>
          <w:tcPr>
            <w:tcW w:w="5384" w:type="dxa"/>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Pr>
                <w:rFonts w:ascii="Times New Roman" w:eastAsia="宋体" w:hAnsi="Times New Roman" w:cs="宋体"/>
                <w:sz w:val="18"/>
              </w:rPr>
              <w:t>螺钉直径（外径</w:t>
            </w:r>
            <w:proofErr w:type="spellEnd"/>
            <w:r>
              <w:rPr>
                <w:rFonts w:ascii="Times New Roman" w:eastAsia="宋体" w:hAnsi="Times New Roman" w:cs="宋体"/>
                <w:sz w:val="18"/>
              </w:rPr>
              <w:t>）</w:t>
            </w:r>
          </w:p>
        </w:tc>
        <w:tc>
          <w:tcPr>
            <w:tcW w:w="2160" w:type="dxa"/>
            <w:tcBorders>
              <w:top w:val="single" w:sz="4" w:space="0" w:color="000000"/>
              <w:left w:val="single" w:sz="4" w:space="0" w:color="000000"/>
              <w:bottom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sz w:val="18"/>
              </w:rPr>
              <w:t>5-7 mm</w:t>
            </w:r>
          </w:p>
        </w:tc>
      </w:tr>
      <w:tr w:rsidR="00532D82">
        <w:trPr>
          <w:trHeight w:val="20"/>
          <w:jc w:val="center"/>
        </w:trPr>
        <w:tc>
          <w:tcPr>
            <w:tcW w:w="5384" w:type="dxa"/>
            <w:tcBorders>
              <w:top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lang w:eastAsia="zh-CN"/>
              </w:rPr>
            </w:pPr>
            <w:r>
              <w:rPr>
                <w:rFonts w:ascii="Times New Roman" w:eastAsia="宋体" w:hAnsi="Times New Roman" w:cs="宋体"/>
                <w:sz w:val="18"/>
                <w:lang w:eastAsia="zh-CN"/>
              </w:rPr>
              <w:t>螺钉长度（螺纹长度）</w:t>
            </w:r>
          </w:p>
        </w:tc>
        <w:tc>
          <w:tcPr>
            <w:tcW w:w="2160" w:type="dxa"/>
            <w:tcBorders>
              <w:top w:val="single" w:sz="4" w:space="0" w:color="000000"/>
              <w:lef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sz w:val="18"/>
              </w:rPr>
              <w:t>15-70 mm</w:t>
            </w:r>
          </w:p>
        </w:tc>
      </w:tr>
    </w:tbl>
    <w:p w:rsidR="00532D82" w:rsidRDefault="002739A8">
      <w:pPr>
        <w:adjustRightInd w:val="0"/>
        <w:snapToGrid w:val="0"/>
        <w:spacing w:beforeLines="15" w:before="36" w:line="276" w:lineRule="auto"/>
        <w:jc w:val="both"/>
        <w:rPr>
          <w:sz w:val="18"/>
          <w:szCs w:val="21"/>
          <w:lang w:eastAsia="zh-CN"/>
        </w:rPr>
      </w:pPr>
      <w:r>
        <w:rPr>
          <w:rFonts w:eastAsia="宋体" w:cs="宋体"/>
          <w:sz w:val="18"/>
          <w:lang w:eastAsia="zh-CN"/>
        </w:rPr>
        <w:t xml:space="preserve">* </w:t>
      </w:r>
      <w:r>
        <w:rPr>
          <w:rFonts w:eastAsia="宋体" w:cs="宋体"/>
          <w:sz w:val="18"/>
          <w:lang w:eastAsia="zh-CN"/>
        </w:rPr>
        <w:tab/>
      </w:r>
      <w:r>
        <w:rPr>
          <w:rFonts w:eastAsia="宋体" w:cs="宋体"/>
          <w:sz w:val="18"/>
          <w:lang w:eastAsia="zh-CN"/>
        </w:rPr>
        <w:t>所列的尺寸范围源自提交至</w:t>
      </w:r>
      <w:r>
        <w:rPr>
          <w:rFonts w:eastAsia="宋体" w:cs="宋体"/>
          <w:sz w:val="18"/>
          <w:lang w:eastAsia="zh-CN"/>
        </w:rPr>
        <w:t>FDA</w:t>
      </w:r>
      <w:r>
        <w:rPr>
          <w:rFonts w:eastAsia="宋体" w:cs="宋体"/>
          <w:sz w:val="18"/>
          <w:lang w:eastAsia="zh-CN"/>
        </w:rPr>
        <w:t>的</w:t>
      </w:r>
      <w:r>
        <w:rPr>
          <w:rFonts w:eastAsia="宋体" w:cs="宋体"/>
          <w:sz w:val="18"/>
          <w:lang w:eastAsia="zh-CN"/>
        </w:rPr>
        <w:t>510(k)</w:t>
      </w:r>
      <w:r>
        <w:rPr>
          <w:rFonts w:eastAsia="宋体" w:cs="宋体"/>
          <w:sz w:val="18"/>
          <w:lang w:eastAsia="zh-CN"/>
        </w:rPr>
        <w:t>提交资料中包含的先前已证实具有实质等同性的器械的历史数据。</w:t>
      </w:r>
    </w:p>
    <w:p w:rsidR="00532D82" w:rsidRDefault="002739A8">
      <w:pPr>
        <w:adjustRightInd w:val="0"/>
        <w:snapToGrid w:val="0"/>
        <w:spacing w:beforeLines="15" w:before="36" w:line="276" w:lineRule="auto"/>
        <w:jc w:val="both"/>
        <w:rPr>
          <w:sz w:val="18"/>
          <w:szCs w:val="21"/>
          <w:lang w:eastAsia="zh-CN"/>
        </w:rPr>
      </w:pPr>
      <w:r>
        <w:rPr>
          <w:rFonts w:eastAsia="宋体" w:cs="宋体"/>
          <w:sz w:val="18"/>
          <w:lang w:eastAsia="zh-CN"/>
        </w:rPr>
        <w:t xml:space="preserve">** </w:t>
      </w:r>
      <w:r>
        <w:rPr>
          <w:rFonts w:eastAsia="宋体" w:cs="宋体"/>
          <w:sz w:val="18"/>
          <w:lang w:eastAsia="zh-CN"/>
        </w:rPr>
        <w:tab/>
      </w:r>
      <w:r>
        <w:rPr>
          <w:rFonts w:eastAsia="宋体" w:cs="宋体"/>
          <w:sz w:val="18"/>
          <w:lang w:eastAsia="zh-CN"/>
        </w:rPr>
        <w:t>申报接骨板的最大厚度或轮廓应低于所列值。</w:t>
      </w:r>
    </w:p>
    <w:p w:rsidR="00532D82" w:rsidRDefault="00532D82">
      <w:pPr>
        <w:pStyle w:val="a3"/>
        <w:adjustRightInd w:val="0"/>
        <w:snapToGrid w:val="0"/>
        <w:spacing w:beforeLines="50" w:before="120" w:line="300" w:lineRule="auto"/>
        <w:jc w:val="both"/>
        <w:rPr>
          <w:sz w:val="21"/>
          <w:szCs w:val="21"/>
          <w:lang w:eastAsia="zh-CN"/>
        </w:rPr>
      </w:pP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本指南规定，具有以下特征的颈椎和</w:t>
      </w:r>
      <w:proofErr w:type="gramStart"/>
      <w:r>
        <w:rPr>
          <w:rFonts w:eastAsia="宋体" w:cs="宋体"/>
          <w:sz w:val="21"/>
          <w:lang w:eastAsia="zh-CN"/>
        </w:rPr>
        <w:t>胸腰椎</w:t>
      </w:r>
      <w:proofErr w:type="gramEnd"/>
      <w:r>
        <w:rPr>
          <w:rFonts w:eastAsia="宋体" w:cs="宋体"/>
          <w:sz w:val="21"/>
          <w:lang w:eastAsia="zh-CN"/>
        </w:rPr>
        <w:t>脊柱接骨板系统</w:t>
      </w:r>
      <w:r>
        <w:rPr>
          <w:rFonts w:eastAsia="宋体" w:cs="宋体"/>
          <w:sz w:val="21"/>
          <w:u w:val="single"/>
          <w:lang w:eastAsia="zh-CN"/>
        </w:rPr>
        <w:t>不</w:t>
      </w:r>
      <w:r>
        <w:rPr>
          <w:rFonts w:eastAsia="宋体" w:cs="宋体"/>
          <w:sz w:val="21"/>
          <w:lang w:eastAsia="zh-CN"/>
        </w:rPr>
        <w:t>适用于基于安全性和性能的途径：</w:t>
      </w:r>
    </w:p>
    <w:p w:rsidR="00532D82" w:rsidRDefault="002739A8">
      <w:pPr>
        <w:pStyle w:val="a8"/>
        <w:numPr>
          <w:ilvl w:val="0"/>
          <w:numId w:val="2"/>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固定在脊柱后路上的器械</w:t>
      </w:r>
      <w:proofErr w:type="spellEnd"/>
    </w:p>
    <w:p w:rsidR="00532D82" w:rsidRDefault="002739A8">
      <w:pPr>
        <w:pStyle w:val="a8"/>
        <w:numPr>
          <w:ilvl w:val="0"/>
          <w:numId w:val="2"/>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lang w:eastAsia="zh-CN"/>
        </w:rPr>
        <w:t>根据</w:t>
      </w:r>
      <w:r>
        <w:rPr>
          <w:rFonts w:eastAsia="宋体" w:cs="宋体"/>
          <w:sz w:val="21"/>
          <w:lang w:eastAsia="zh-CN"/>
        </w:rPr>
        <w:t>FDA</w:t>
      </w:r>
      <w:r>
        <w:rPr>
          <w:rFonts w:eastAsia="宋体" w:cs="宋体"/>
          <w:sz w:val="21"/>
          <w:lang w:eastAsia="zh-CN"/>
        </w:rPr>
        <w:t>目前认可版本的标准</w:t>
      </w:r>
      <w:r>
        <w:rPr>
          <w:rFonts w:eastAsia="宋体" w:cs="宋体"/>
          <w:sz w:val="21"/>
          <w:lang w:eastAsia="zh-CN"/>
        </w:rPr>
        <w:t>ASTM F1717</w:t>
      </w:r>
      <w:r>
        <w:rPr>
          <w:rFonts w:eastAsia="宋体" w:cs="宋体"/>
          <w:sz w:val="21"/>
          <w:lang w:eastAsia="zh-CN"/>
        </w:rPr>
        <w:t>《椎骨切除术模型中脊柱植入物试验方法》，双节段颈椎接骨板或单节段或双节段胸腰椎接骨板不能代表进行性能试验的最</w:t>
      </w:r>
      <w:r>
        <w:rPr>
          <w:rFonts w:eastAsia="宋体" w:cs="宋体" w:hint="eastAsia"/>
          <w:sz w:val="21"/>
          <w:lang w:eastAsia="zh-CN"/>
        </w:rPr>
        <w:t>差</w:t>
      </w:r>
      <w:r>
        <w:rPr>
          <w:rFonts w:eastAsia="宋体" w:cs="宋体"/>
          <w:sz w:val="21"/>
          <w:lang w:eastAsia="zh-CN"/>
        </w:rPr>
        <w:t>情况结构的器械</w:t>
      </w:r>
    </w:p>
    <w:p w:rsidR="00532D82" w:rsidRDefault="002739A8">
      <w:pPr>
        <w:pStyle w:val="a8"/>
        <w:numPr>
          <w:ilvl w:val="0"/>
          <w:numId w:val="2"/>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带有除螺纹螺钉以外的固定机构的</w:t>
      </w:r>
      <w:r>
        <w:rPr>
          <w:rFonts w:eastAsia="宋体" w:cs="宋体"/>
          <w:sz w:val="21"/>
          <w:lang w:eastAsia="zh-CN"/>
        </w:rPr>
        <w:t>U</w:t>
      </w:r>
      <w:proofErr w:type="gramStart"/>
      <w:r>
        <w:rPr>
          <w:rFonts w:eastAsia="宋体" w:cs="宋体"/>
          <w:sz w:val="21"/>
          <w:lang w:eastAsia="zh-CN"/>
        </w:rPr>
        <w:t>形钉或</w:t>
      </w:r>
      <w:proofErr w:type="gramEnd"/>
      <w:r>
        <w:rPr>
          <w:rFonts w:eastAsia="宋体" w:cs="宋体"/>
          <w:sz w:val="21"/>
          <w:lang w:eastAsia="zh-CN"/>
        </w:rPr>
        <w:t>接骨板</w:t>
      </w:r>
    </w:p>
    <w:p w:rsidR="00532D82" w:rsidRDefault="002739A8">
      <w:pPr>
        <w:pStyle w:val="a8"/>
        <w:numPr>
          <w:ilvl w:val="0"/>
          <w:numId w:val="2"/>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涂有涂层的器械</w:t>
      </w:r>
      <w:proofErr w:type="spellEnd"/>
    </w:p>
    <w:p w:rsidR="00532D82" w:rsidRDefault="002739A8">
      <w:pPr>
        <w:pStyle w:val="a8"/>
        <w:numPr>
          <w:ilvl w:val="0"/>
          <w:numId w:val="2"/>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组合产品</w:t>
      </w:r>
      <w:proofErr w:type="spellEnd"/>
    </w:p>
    <w:p w:rsidR="00532D82" w:rsidRDefault="002739A8">
      <w:pPr>
        <w:pStyle w:val="a8"/>
        <w:numPr>
          <w:ilvl w:val="0"/>
          <w:numId w:val="2"/>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可吸收器械</w:t>
      </w:r>
      <w:proofErr w:type="spellEnd"/>
    </w:p>
    <w:p w:rsidR="00532D82" w:rsidRDefault="002739A8">
      <w:pPr>
        <w:pStyle w:val="a8"/>
        <w:numPr>
          <w:ilvl w:val="0"/>
          <w:numId w:val="2"/>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增材制造器械</w:t>
      </w:r>
      <w:proofErr w:type="spellEnd"/>
    </w:p>
    <w:p w:rsidR="00532D82" w:rsidRDefault="002739A8">
      <w:pPr>
        <w:pStyle w:val="a8"/>
        <w:numPr>
          <w:ilvl w:val="0"/>
          <w:numId w:val="2"/>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经设计可实现植入后运动的器械（例如，设计用于</w:t>
      </w:r>
      <w:r>
        <w:rPr>
          <w:rFonts w:eastAsia="宋体" w:cs="宋体"/>
          <w:sz w:val="21"/>
          <w:lang w:eastAsia="zh-CN"/>
        </w:rPr>
        <w:t>“</w:t>
      </w:r>
      <w:r>
        <w:rPr>
          <w:rFonts w:eastAsia="宋体" w:cs="宋体"/>
          <w:sz w:val="21"/>
          <w:lang w:eastAsia="zh-CN"/>
        </w:rPr>
        <w:t>固定</w:t>
      </w:r>
      <w:r>
        <w:rPr>
          <w:rFonts w:eastAsia="宋体" w:cs="宋体"/>
          <w:sz w:val="21"/>
          <w:lang w:eastAsia="zh-CN"/>
        </w:rPr>
        <w:t>”</w:t>
      </w:r>
      <w:r>
        <w:rPr>
          <w:rFonts w:eastAsia="宋体" w:cs="宋体"/>
          <w:sz w:val="21"/>
          <w:lang w:eastAsia="zh-CN"/>
        </w:rPr>
        <w:t>的接骨板）。</w:t>
      </w:r>
    </w:p>
    <w:p w:rsidR="00532D82" w:rsidRDefault="002739A8">
      <w:pPr>
        <w:pStyle w:val="a8"/>
        <w:numPr>
          <w:ilvl w:val="0"/>
          <w:numId w:val="2"/>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支撑接骨板系统（即</w:t>
      </w:r>
      <w:proofErr w:type="gramStart"/>
      <w:r>
        <w:rPr>
          <w:rFonts w:eastAsia="宋体" w:cs="宋体"/>
          <w:sz w:val="21"/>
          <w:lang w:eastAsia="zh-CN"/>
        </w:rPr>
        <w:t>不</w:t>
      </w:r>
      <w:proofErr w:type="gramEnd"/>
      <w:r>
        <w:rPr>
          <w:rFonts w:eastAsia="宋体" w:cs="宋体"/>
          <w:sz w:val="21"/>
          <w:lang w:eastAsia="zh-CN"/>
        </w:rPr>
        <w:t>跨越至少一个功能性脊柱单元的接骨板）</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在评估该器械是否适用于基于安全性和性能的途径时，</w:t>
      </w:r>
      <w:r>
        <w:rPr>
          <w:rFonts w:eastAsia="宋体" w:cs="宋体"/>
          <w:sz w:val="21"/>
          <w:lang w:eastAsia="zh-CN"/>
        </w:rPr>
        <w:t>FDA</w:t>
      </w:r>
      <w:r>
        <w:rPr>
          <w:rFonts w:eastAsia="宋体" w:cs="宋体"/>
          <w:sz w:val="21"/>
          <w:lang w:eastAsia="zh-CN"/>
        </w:rPr>
        <w:t>可能会根据具体情况确定是否需要其他数据。如果确定有必要进行本指南规定以外的附加试验来判定器械是否适用于基于安全性和性能的途径，建议申请方提交预提交资料</w:t>
      </w:r>
      <w:r>
        <w:rPr>
          <w:rFonts w:eastAsia="宋体" w:cs="宋体"/>
          <w:sz w:val="21"/>
          <w:vertAlign w:val="superscript"/>
          <w:lang w:eastAsia="zh-CN"/>
        </w:rPr>
        <w:t>5</w:t>
      </w:r>
      <w:r>
        <w:rPr>
          <w:rFonts w:eastAsia="宋体" w:cs="宋体"/>
          <w:sz w:val="21"/>
          <w:lang w:eastAsia="zh-CN"/>
        </w:rPr>
        <w:t>，以便在提交</w:t>
      </w:r>
      <w:r>
        <w:rPr>
          <w:rFonts w:eastAsia="宋体" w:cs="宋体"/>
          <w:sz w:val="21"/>
          <w:lang w:eastAsia="zh-CN"/>
        </w:rPr>
        <w:t>510(k)</w:t>
      </w:r>
      <w:r>
        <w:rPr>
          <w:rFonts w:eastAsia="宋体" w:cs="宋体"/>
          <w:sz w:val="21"/>
          <w:lang w:eastAsia="zh-CN"/>
        </w:rPr>
        <w:t>之前与</w:t>
      </w:r>
      <w:r>
        <w:rPr>
          <w:rFonts w:eastAsia="宋体" w:cs="宋体"/>
          <w:sz w:val="21"/>
          <w:lang w:eastAsia="zh-CN"/>
        </w:rPr>
        <w:t>FDA</w:t>
      </w:r>
      <w:r>
        <w:rPr>
          <w:rFonts w:eastAsia="宋体" w:cs="宋体"/>
          <w:sz w:val="21"/>
          <w:lang w:eastAsia="zh-CN"/>
        </w:rPr>
        <w:t>进行讨论。</w:t>
      </w:r>
    </w:p>
    <w:p w:rsidR="00532D82" w:rsidRDefault="002739A8">
      <w:pPr>
        <w:adjustRightInd w:val="0"/>
        <w:snapToGrid w:val="0"/>
        <w:spacing w:beforeLines="50" w:before="120" w:line="300" w:lineRule="auto"/>
        <w:jc w:val="both"/>
        <w:rPr>
          <w:b/>
          <w:sz w:val="21"/>
          <w:szCs w:val="21"/>
          <w:lang w:eastAsia="zh-CN"/>
        </w:rPr>
      </w:pPr>
      <w:r>
        <w:rPr>
          <w:rFonts w:eastAsia="宋体" w:cs="宋体"/>
          <w:b/>
          <w:sz w:val="21"/>
          <w:lang w:eastAsia="zh-CN"/>
        </w:rPr>
        <w:br w:type="page"/>
      </w:r>
    </w:p>
    <w:p w:rsidR="00532D82" w:rsidRDefault="002739A8">
      <w:pPr>
        <w:pStyle w:val="a3"/>
        <w:adjustRightInd w:val="0"/>
        <w:snapToGrid w:val="0"/>
        <w:spacing w:beforeLines="50" w:before="120" w:line="300" w:lineRule="auto"/>
        <w:ind w:left="843" w:hangingChars="300" w:hanging="843"/>
        <w:jc w:val="both"/>
        <w:outlineLvl w:val="0"/>
        <w:rPr>
          <w:b/>
          <w:sz w:val="28"/>
          <w:szCs w:val="21"/>
          <w:lang w:eastAsia="zh-CN"/>
        </w:rPr>
      </w:pPr>
      <w:r>
        <w:rPr>
          <w:rFonts w:eastAsia="宋体" w:cs="宋体"/>
          <w:b/>
          <w:sz w:val="28"/>
          <w:lang w:eastAsia="zh-CN"/>
        </w:rPr>
        <w:lastRenderedPageBreak/>
        <w:t>III.</w:t>
      </w:r>
      <w:r>
        <w:rPr>
          <w:rFonts w:eastAsia="宋体" w:cs="宋体"/>
          <w:b/>
          <w:lang w:eastAsia="zh-CN"/>
        </w:rPr>
        <w:tab/>
      </w:r>
      <w:r>
        <w:rPr>
          <w:rFonts w:eastAsia="宋体" w:cs="宋体"/>
          <w:b/>
          <w:sz w:val="28"/>
          <w:lang w:eastAsia="zh-CN"/>
        </w:rPr>
        <w:t>试验性能标准</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如果器械适用于通过基于安全性和性能的途径进行申请，并且选择使用该</w:t>
      </w:r>
      <w:r>
        <w:rPr>
          <w:rFonts w:eastAsia="宋体" w:cs="宋体" w:hint="eastAsia"/>
          <w:sz w:val="21"/>
          <w:lang w:eastAsia="zh-CN"/>
        </w:rPr>
        <w:t>途径</w:t>
      </w:r>
      <w:r>
        <w:rPr>
          <w:rFonts w:eastAsia="宋体" w:cs="宋体"/>
          <w:sz w:val="21"/>
          <w:lang w:eastAsia="zh-CN"/>
        </w:rPr>
        <w:t>，则无需提供与</w:t>
      </w:r>
      <w:r>
        <w:rPr>
          <w:rFonts w:eastAsia="宋体" w:cs="宋体" w:hint="eastAsia"/>
          <w:sz w:val="21"/>
          <w:lang w:eastAsia="zh-CN"/>
        </w:rPr>
        <w:t>依法上市</w:t>
      </w:r>
      <w:r>
        <w:rPr>
          <w:rFonts w:eastAsia="宋体" w:cs="宋体"/>
          <w:sz w:val="21"/>
          <w:lang w:eastAsia="zh-CN"/>
        </w:rPr>
        <w:t>的</w:t>
      </w:r>
      <w:r>
        <w:rPr>
          <w:rFonts w:eastAsia="宋体" w:cs="宋体" w:hint="eastAsia"/>
          <w:sz w:val="21"/>
          <w:lang w:eastAsia="zh-CN"/>
        </w:rPr>
        <w:t>同品种</w:t>
      </w:r>
      <w:r>
        <w:rPr>
          <w:rFonts w:eastAsia="宋体" w:cs="宋体"/>
          <w:sz w:val="21"/>
          <w:lang w:eastAsia="zh-CN"/>
        </w:rPr>
        <w:t>器械进行直接</w:t>
      </w:r>
      <w:r>
        <w:rPr>
          <w:rFonts w:eastAsia="宋体" w:cs="宋体" w:hint="eastAsia"/>
          <w:sz w:val="21"/>
          <w:lang w:eastAsia="zh-CN"/>
        </w:rPr>
        <w:t>对比试验来</w:t>
      </w:r>
      <w:r>
        <w:rPr>
          <w:rFonts w:eastAsia="宋体" w:cs="宋体"/>
          <w:sz w:val="21"/>
          <w:lang w:eastAsia="zh-CN"/>
        </w:rPr>
        <w:t>证明器械性能特征与该同品种器械基本等同。为确保本指南中概述的性能标准不断更新</w:t>
      </w:r>
      <w:r>
        <w:rPr>
          <w:rFonts w:eastAsia="宋体" w:cs="宋体" w:hint="eastAsia"/>
          <w:sz w:val="21"/>
          <w:lang w:eastAsia="zh-CN"/>
        </w:rPr>
        <w:t>，</w:t>
      </w:r>
      <w:r>
        <w:rPr>
          <w:rFonts w:eastAsia="宋体" w:cs="宋体"/>
          <w:sz w:val="21"/>
          <w:lang w:eastAsia="zh-CN"/>
        </w:rPr>
        <w:t>并考</w:t>
      </w:r>
      <w:r>
        <w:rPr>
          <w:rFonts w:eastAsia="宋体" w:cs="宋体" w:hint="eastAsia"/>
          <w:sz w:val="21"/>
          <w:lang w:eastAsia="zh-CN"/>
        </w:rPr>
        <w:t>虑到近期</w:t>
      </w:r>
      <w:r>
        <w:rPr>
          <w:rFonts w:eastAsia="宋体" w:cs="宋体"/>
          <w:sz w:val="21"/>
          <w:lang w:eastAsia="zh-CN"/>
        </w:rPr>
        <w:t>许可的相关数据，</w:t>
      </w:r>
      <w:r>
        <w:rPr>
          <w:rFonts w:eastAsia="宋体" w:cs="宋体"/>
          <w:sz w:val="21"/>
          <w:lang w:eastAsia="zh-CN"/>
        </w:rPr>
        <w:t>FDA</w:t>
      </w:r>
      <w:r>
        <w:rPr>
          <w:rFonts w:eastAsia="宋体" w:cs="宋体"/>
          <w:sz w:val="21"/>
          <w:lang w:eastAsia="zh-CN"/>
        </w:rPr>
        <w:t>建议除了为以下每项实验或评价确定的其他提交信息（例如，符合性声明（</w:t>
      </w:r>
      <w:proofErr w:type="spellStart"/>
      <w:r>
        <w:rPr>
          <w:rFonts w:eastAsia="宋体" w:cs="宋体"/>
          <w:sz w:val="21"/>
          <w:lang w:eastAsia="zh-CN"/>
        </w:rPr>
        <w:t>DoC</w:t>
      </w:r>
      <w:proofErr w:type="spellEnd"/>
      <w:r>
        <w:rPr>
          <w:rFonts w:eastAsia="宋体" w:cs="宋体"/>
          <w:sz w:val="21"/>
          <w:lang w:eastAsia="zh-CN"/>
        </w:rPr>
        <w:t>））外</w:t>
      </w:r>
      <w:r>
        <w:rPr>
          <w:rFonts w:eastAsia="宋体" w:cs="宋体" w:hint="eastAsia"/>
          <w:sz w:val="21"/>
          <w:lang w:eastAsia="zh-CN"/>
        </w:rPr>
        <w:t>，</w:t>
      </w:r>
      <w:r>
        <w:rPr>
          <w:rFonts w:eastAsia="宋体" w:cs="宋体"/>
          <w:sz w:val="21"/>
          <w:lang w:eastAsia="zh-CN"/>
        </w:rPr>
        <w:t>还需提供所有评价测试的结果汇总。除非以下提交信息章节另有说明，否则应如</w:t>
      </w:r>
      <w:r>
        <w:rPr>
          <w:rFonts w:eastAsia="宋体" w:cs="宋体"/>
          <w:sz w:val="21"/>
          <w:lang w:eastAsia="zh-CN"/>
        </w:rPr>
        <w:t>FDA</w:t>
      </w:r>
      <w:r>
        <w:rPr>
          <w:rFonts w:eastAsia="宋体" w:cs="宋体"/>
          <w:sz w:val="21"/>
          <w:lang w:eastAsia="zh-CN"/>
        </w:rPr>
        <w:t>指南《</w:t>
      </w:r>
      <w:r>
        <w:rPr>
          <w:rFonts w:eastAsia="宋体" w:cs="宋体"/>
          <w:color w:val="0000FF"/>
          <w:sz w:val="21"/>
          <w:u w:val="single"/>
          <w:lang w:eastAsia="zh-CN"/>
        </w:rPr>
        <w:t>安全性和性能</w:t>
      </w:r>
      <w:r>
        <w:rPr>
          <w:rFonts w:eastAsia="宋体" w:cs="宋体" w:hint="eastAsia"/>
          <w:color w:val="0000FF"/>
          <w:sz w:val="21"/>
          <w:u w:val="single"/>
          <w:lang w:eastAsia="zh-CN"/>
        </w:rPr>
        <w:t>评估</w:t>
      </w:r>
      <w:r>
        <w:rPr>
          <w:rFonts w:eastAsia="宋体" w:cs="宋体"/>
          <w:sz w:val="21"/>
          <w:lang w:eastAsia="zh-CN"/>
        </w:rPr>
        <w:t>》</w:t>
      </w:r>
      <w:r>
        <w:rPr>
          <w:rFonts w:eastAsia="宋体" w:cs="宋体"/>
          <w:sz w:val="21"/>
          <w:vertAlign w:val="superscript"/>
          <w:lang w:eastAsia="zh-CN"/>
        </w:rPr>
        <w:t>6</w:t>
      </w:r>
      <w:r>
        <w:rPr>
          <w:rFonts w:eastAsia="宋体" w:cs="宋体"/>
          <w:sz w:val="21"/>
          <w:lang w:eastAsia="zh-CN"/>
        </w:rPr>
        <w:t>所述，将结果汇总、试验方案或完整试验报告等试验信息作为</w:t>
      </w:r>
      <w:r>
        <w:rPr>
          <w:rFonts w:eastAsia="宋体" w:cs="宋体"/>
          <w:sz w:val="21"/>
          <w:lang w:eastAsia="zh-CN"/>
        </w:rPr>
        <w:t>510(k)</w:t>
      </w:r>
      <w:r>
        <w:rPr>
          <w:rFonts w:eastAsia="宋体" w:cs="宋体"/>
          <w:sz w:val="21"/>
          <w:lang w:eastAsia="zh-CN"/>
        </w:rPr>
        <w:t>的一部分提交。有关非临床实验室试验信息提交的更多信息，请参见</w:t>
      </w:r>
      <w:r>
        <w:rPr>
          <w:rFonts w:eastAsia="宋体" w:cs="宋体"/>
          <w:sz w:val="21"/>
          <w:lang w:eastAsia="zh-CN"/>
        </w:rPr>
        <w:t>FDA</w:t>
      </w:r>
      <w:r>
        <w:rPr>
          <w:rFonts w:eastAsia="宋体" w:cs="宋体"/>
          <w:sz w:val="21"/>
          <w:lang w:eastAsia="zh-CN"/>
        </w:rPr>
        <w:t>指南《</w:t>
      </w:r>
      <w:r>
        <w:rPr>
          <w:rFonts w:eastAsia="宋体" w:cs="宋体"/>
          <w:color w:val="0000FF"/>
          <w:sz w:val="21"/>
          <w:u w:val="single"/>
          <w:lang w:eastAsia="zh-CN"/>
        </w:rPr>
        <w:t>上市前提交材料中非临床实验室性能试验信息的</w:t>
      </w:r>
      <w:r>
        <w:rPr>
          <w:rFonts w:eastAsia="宋体" w:cs="宋体" w:hint="eastAsia"/>
          <w:color w:val="0000FF"/>
          <w:sz w:val="21"/>
          <w:u w:val="single"/>
          <w:lang w:eastAsia="zh-CN"/>
        </w:rPr>
        <w:t>建议</w:t>
      </w:r>
      <w:r>
        <w:rPr>
          <w:rFonts w:eastAsia="宋体" w:cs="宋体"/>
          <w:color w:val="0000FF"/>
          <w:sz w:val="21"/>
          <w:u w:val="single"/>
          <w:lang w:eastAsia="zh-CN"/>
        </w:rPr>
        <w:t>内容和格式</w:t>
      </w:r>
      <w:r>
        <w:rPr>
          <w:rFonts w:eastAsia="宋体" w:cs="宋体"/>
          <w:sz w:val="21"/>
          <w:lang w:eastAsia="zh-CN"/>
        </w:rPr>
        <w:t>》</w:t>
      </w:r>
      <w:r>
        <w:rPr>
          <w:rFonts w:eastAsia="宋体" w:cs="宋体"/>
          <w:sz w:val="21"/>
          <w:vertAlign w:val="superscript"/>
          <w:lang w:eastAsia="zh-CN"/>
        </w:rPr>
        <w:t>7</w:t>
      </w:r>
      <w:r>
        <w:rPr>
          <w:rFonts w:eastAsia="宋体" w:cs="宋体"/>
          <w:sz w:val="21"/>
          <w:lang w:eastAsia="zh-CN"/>
        </w:rPr>
        <w:t>。</w:t>
      </w:r>
    </w:p>
    <w:p w:rsidR="00532D82" w:rsidRDefault="002739A8">
      <w:pPr>
        <w:pStyle w:val="3"/>
        <w:adjustRightInd w:val="0"/>
        <w:snapToGrid w:val="0"/>
        <w:spacing w:beforeLines="50" w:before="120" w:line="300" w:lineRule="auto"/>
        <w:ind w:left="0"/>
        <w:jc w:val="both"/>
        <w:rPr>
          <w:sz w:val="21"/>
          <w:szCs w:val="21"/>
          <w:u w:val="single"/>
          <w:lang w:eastAsia="zh-CN"/>
        </w:rPr>
      </w:pPr>
      <w:r>
        <w:rPr>
          <w:rFonts w:eastAsia="宋体" w:cs="宋体"/>
          <w:sz w:val="21"/>
          <w:u w:val="single"/>
          <w:lang w:eastAsia="zh-CN"/>
        </w:rPr>
        <w:t>机械试验</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静态压缩弯曲、静态扭转和动态压缩弯曲应根据</w:t>
      </w:r>
      <w:r>
        <w:rPr>
          <w:rFonts w:eastAsia="宋体" w:cs="宋体"/>
          <w:sz w:val="21"/>
          <w:lang w:eastAsia="zh-CN"/>
        </w:rPr>
        <w:t>FDA</w:t>
      </w:r>
      <w:r>
        <w:rPr>
          <w:rFonts w:eastAsia="宋体" w:cs="宋体"/>
          <w:sz w:val="21"/>
          <w:lang w:eastAsia="zh-CN"/>
        </w:rPr>
        <w:t>目前认可版本的标准</w:t>
      </w:r>
      <w:r>
        <w:rPr>
          <w:rFonts w:eastAsia="宋体" w:cs="宋体"/>
          <w:sz w:val="21"/>
          <w:lang w:eastAsia="zh-CN"/>
        </w:rPr>
        <w:t>ASTM F1717</w:t>
      </w:r>
      <w:r>
        <w:rPr>
          <w:rFonts w:eastAsia="宋体" w:cs="宋体"/>
          <w:sz w:val="21"/>
          <w:lang w:eastAsia="zh-CN"/>
        </w:rPr>
        <w:t>《椎骨切除术模型中脊柱植入物结构的标准试验方法》执行。本机构建议对代表最</w:t>
      </w:r>
      <w:r>
        <w:rPr>
          <w:rFonts w:eastAsia="宋体" w:cs="宋体" w:hint="eastAsia"/>
          <w:sz w:val="21"/>
          <w:lang w:eastAsia="zh-CN"/>
        </w:rPr>
        <w:t>差</w:t>
      </w:r>
      <w:r>
        <w:rPr>
          <w:rFonts w:eastAsia="宋体" w:cs="宋体"/>
          <w:sz w:val="21"/>
          <w:lang w:eastAsia="zh-CN"/>
        </w:rPr>
        <w:t>情况（例如，最可能松动或者失效）的脊椎组装系统执行所有试验。还应当提供确定最</w:t>
      </w:r>
      <w:r>
        <w:rPr>
          <w:rFonts w:eastAsia="宋体" w:cs="宋体" w:hint="eastAsia"/>
          <w:sz w:val="21"/>
          <w:lang w:eastAsia="zh-CN"/>
        </w:rPr>
        <w:t>差</w:t>
      </w:r>
      <w:r>
        <w:rPr>
          <w:rFonts w:eastAsia="宋体" w:cs="宋体"/>
          <w:sz w:val="21"/>
          <w:lang w:eastAsia="zh-CN"/>
        </w:rPr>
        <w:t>情况设计的依据。各项试验的验收标准如下所示，包括静态试验的刚度和屈服值以及动态试验的失载负荷</w:t>
      </w:r>
      <w:r>
        <w:rPr>
          <w:rFonts w:eastAsia="宋体" w:cs="宋体"/>
          <w:sz w:val="21"/>
          <w:vertAlign w:val="superscript"/>
          <w:lang w:eastAsia="zh-CN"/>
        </w:rPr>
        <w:t>8</w:t>
      </w:r>
      <w:r>
        <w:rPr>
          <w:rFonts w:eastAsia="宋体" w:cs="宋体"/>
          <w:sz w:val="21"/>
          <w:lang w:eastAsia="zh-CN"/>
        </w:rPr>
        <w:t>。</w:t>
      </w:r>
    </w:p>
    <w:p w:rsidR="00532D82" w:rsidRDefault="002739A8">
      <w:pPr>
        <w:adjustRightInd w:val="0"/>
        <w:snapToGrid w:val="0"/>
        <w:spacing w:beforeLines="50" w:before="120" w:line="300" w:lineRule="auto"/>
        <w:jc w:val="both"/>
        <w:rPr>
          <w:sz w:val="21"/>
          <w:szCs w:val="21"/>
          <w:lang w:eastAsia="zh-CN"/>
        </w:rPr>
      </w:pPr>
      <w:r>
        <w:rPr>
          <w:rFonts w:eastAsia="宋体" w:cs="宋体"/>
          <w:sz w:val="21"/>
          <w:lang w:eastAsia="zh-CN"/>
        </w:rPr>
        <w:t>对于以下各项机械试验，除了</w:t>
      </w:r>
      <w:proofErr w:type="gramStart"/>
      <w:r>
        <w:rPr>
          <w:rFonts w:eastAsia="宋体" w:cs="宋体"/>
          <w:sz w:val="21"/>
          <w:lang w:eastAsia="zh-CN"/>
        </w:rPr>
        <w:t>符合共识</w:t>
      </w:r>
      <w:proofErr w:type="gramEnd"/>
      <w:r>
        <w:rPr>
          <w:rFonts w:eastAsia="宋体" w:cs="宋体"/>
          <w:sz w:val="21"/>
          <w:lang w:eastAsia="zh-CN"/>
        </w:rPr>
        <w:t>标准的符合性声明（</w:t>
      </w:r>
      <w:proofErr w:type="spellStart"/>
      <w:r>
        <w:rPr>
          <w:rFonts w:eastAsia="宋体" w:cs="宋体"/>
          <w:sz w:val="21"/>
          <w:lang w:eastAsia="zh-CN"/>
        </w:rPr>
        <w:t>DoC</w:t>
      </w:r>
      <w:proofErr w:type="spellEnd"/>
      <w:r>
        <w:rPr>
          <w:rFonts w:eastAsia="宋体" w:cs="宋体"/>
          <w:sz w:val="21"/>
          <w:lang w:eastAsia="zh-CN"/>
        </w:rPr>
        <w:t>）外，还应提供</w:t>
      </w:r>
      <w:r>
        <w:rPr>
          <w:rFonts w:eastAsia="宋体" w:cs="宋体"/>
          <w:sz w:val="21"/>
          <w:lang w:eastAsia="zh-CN"/>
        </w:rPr>
        <w:t>ASTM F1717</w:t>
      </w:r>
      <w:r>
        <w:rPr>
          <w:rFonts w:eastAsia="宋体" w:cs="宋体"/>
          <w:sz w:val="21"/>
          <w:lang w:eastAsia="zh-CN"/>
        </w:rPr>
        <w:t>相关报告章节以及</w:t>
      </w:r>
      <w:r>
        <w:rPr>
          <w:rFonts w:eastAsia="宋体" w:cs="宋体"/>
          <w:sz w:val="21"/>
          <w:lang w:eastAsia="zh-CN"/>
        </w:rPr>
        <w:t>FDA</w:t>
      </w:r>
      <w:r>
        <w:rPr>
          <w:rFonts w:eastAsia="宋体" w:cs="宋体"/>
          <w:sz w:val="21"/>
          <w:lang w:eastAsia="zh-CN"/>
        </w:rPr>
        <w:t>指南《</w:t>
      </w:r>
      <w:r>
        <w:rPr>
          <w:rFonts w:eastAsia="宋体" w:cs="宋体"/>
          <w:color w:val="0000FF"/>
          <w:sz w:val="21"/>
          <w:u w:val="single"/>
          <w:lang w:eastAsia="zh-CN"/>
        </w:rPr>
        <w:t>脊柱内固定系统</w:t>
      </w:r>
      <w:r>
        <w:rPr>
          <w:rFonts w:eastAsia="宋体" w:cs="宋体"/>
          <w:color w:val="0000FF"/>
          <w:sz w:val="21"/>
          <w:u w:val="single"/>
          <w:lang w:eastAsia="zh-CN"/>
        </w:rPr>
        <w:t>510(k)</w:t>
      </w:r>
      <w:r>
        <w:rPr>
          <w:rFonts w:eastAsia="宋体" w:cs="宋体"/>
          <w:sz w:val="21"/>
          <w:lang w:eastAsia="zh-CN"/>
        </w:rPr>
        <w:t>》</w:t>
      </w:r>
      <w:r>
        <w:rPr>
          <w:rFonts w:eastAsia="宋体" w:cs="宋体"/>
          <w:sz w:val="21"/>
          <w:vertAlign w:val="superscript"/>
          <w:lang w:eastAsia="zh-CN"/>
        </w:rPr>
        <w:t>9</w:t>
      </w:r>
      <w:r>
        <w:rPr>
          <w:rFonts w:eastAsia="宋体" w:cs="宋体"/>
          <w:sz w:val="21"/>
          <w:lang w:eastAsia="zh-CN"/>
        </w:rPr>
        <w:t>《机械试验》章节中规定的报告。应充分描述任何方案偏离，并阐明理由；但是，应注意，某些方案偏离可能会使与以下性能标准的比较变为无效，导致需要酌情申请传统、特殊或简化的</w:t>
      </w:r>
      <w:r>
        <w:rPr>
          <w:rFonts w:eastAsia="宋体" w:cs="宋体"/>
          <w:sz w:val="21"/>
          <w:lang w:eastAsia="zh-CN"/>
        </w:rPr>
        <w:t>510(k)</w:t>
      </w:r>
      <w:r>
        <w:rPr>
          <w:rFonts w:eastAsia="宋体" w:cs="宋体"/>
          <w:sz w:val="21"/>
          <w:lang w:eastAsia="zh-CN"/>
        </w:rPr>
        <w:t>。</w:t>
      </w:r>
    </w:p>
    <w:p w:rsidR="00532D82" w:rsidRDefault="002739A8">
      <w:pPr>
        <w:pStyle w:val="a3"/>
        <w:adjustRightInd w:val="0"/>
        <w:snapToGrid w:val="0"/>
        <w:spacing w:beforeLines="1550" w:before="3720" w:line="300" w:lineRule="auto"/>
        <w:jc w:val="both"/>
        <w:rPr>
          <w:rFonts w:eastAsiaTheme="minorEastAsia"/>
          <w:sz w:val="21"/>
          <w:szCs w:val="21"/>
          <w:lang w:eastAsia="zh-CN"/>
        </w:rPr>
      </w:pPr>
      <w:r>
        <w:rPr>
          <w:rFonts w:eastAsia="宋体" w:cs="宋体"/>
          <w:sz w:val="21"/>
        </w:rPr>
        <w:t>____________________</w:t>
      </w:r>
    </w:p>
    <w:p w:rsidR="00532D82" w:rsidRDefault="002739A8">
      <w:pPr>
        <w:pStyle w:val="a3"/>
        <w:wordWrap w:val="0"/>
        <w:adjustRightInd w:val="0"/>
        <w:snapToGrid w:val="0"/>
        <w:spacing w:beforeLines="50" w:before="120" w:line="300" w:lineRule="auto"/>
        <w:jc w:val="both"/>
        <w:rPr>
          <w:sz w:val="18"/>
          <w:szCs w:val="21"/>
        </w:rPr>
      </w:pPr>
      <w:r>
        <w:rPr>
          <w:rFonts w:eastAsia="宋体" w:cs="宋体"/>
          <w:sz w:val="18"/>
          <w:vertAlign w:val="superscript"/>
        </w:rPr>
        <w:t>5</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https://www.fda.gov/regulatory-information/search-fda-guidance-documents/requests-feedback-and-</w:t>
      </w:r>
      <w:r>
        <w:rPr>
          <w:rFonts w:eastAsia="宋体" w:cs="宋体"/>
          <w:color w:val="0000FF"/>
          <w:sz w:val="18"/>
        </w:rPr>
        <w:t xml:space="preserve"> </w:t>
      </w:r>
      <w:proofErr w:type="gramStart"/>
      <w:r>
        <w:rPr>
          <w:rFonts w:eastAsia="宋体" w:cs="宋体"/>
          <w:color w:val="0000FF"/>
          <w:sz w:val="18"/>
          <w:u w:val="single"/>
        </w:rPr>
        <w:t>meetings-medical-device-submissions-q-submission-program</w:t>
      </w:r>
      <w:proofErr w:type="gramEnd"/>
    </w:p>
    <w:p w:rsidR="00532D82" w:rsidRDefault="002739A8">
      <w:pPr>
        <w:wordWrap w:val="0"/>
        <w:adjustRightInd w:val="0"/>
        <w:snapToGrid w:val="0"/>
        <w:spacing w:beforeLines="15" w:before="36" w:line="276" w:lineRule="auto"/>
        <w:jc w:val="both"/>
        <w:rPr>
          <w:sz w:val="18"/>
          <w:szCs w:val="21"/>
        </w:rPr>
      </w:pPr>
      <w:r>
        <w:rPr>
          <w:rFonts w:eastAsia="宋体" w:cs="宋体"/>
          <w:sz w:val="18"/>
          <w:vertAlign w:val="superscript"/>
        </w:rPr>
        <w:t>6</w:t>
      </w:r>
      <w:r>
        <w:rPr>
          <w:rFonts w:eastAsia="宋体" w:cs="宋体"/>
          <w:sz w:val="18"/>
        </w:rPr>
        <w:t xml:space="preserve"> </w:t>
      </w:r>
      <w:r>
        <w:rPr>
          <w:rFonts w:eastAsia="宋体" w:cs="宋体"/>
          <w:sz w:val="18"/>
        </w:rPr>
        <w:t>可登录以下网址获取：</w:t>
      </w:r>
      <w:r>
        <w:rPr>
          <w:rFonts w:eastAsia="宋体" w:cs="宋体"/>
          <w:color w:val="0000FF"/>
          <w:sz w:val="18"/>
          <w:u w:val="single"/>
        </w:rPr>
        <w:t xml:space="preserve">https://www.fda.gov/regulatory-information/search-fda-guidance-documents/safety-and-performance- </w:t>
      </w:r>
      <w:proofErr w:type="gramStart"/>
      <w:r>
        <w:rPr>
          <w:rFonts w:eastAsia="宋体" w:cs="宋体"/>
          <w:color w:val="0000FF"/>
          <w:sz w:val="18"/>
          <w:u w:val="single"/>
        </w:rPr>
        <w:t>based-pathway</w:t>
      </w:r>
      <w:proofErr w:type="gramEnd"/>
    </w:p>
    <w:p w:rsidR="00532D82" w:rsidRDefault="002739A8">
      <w:pPr>
        <w:wordWrap w:val="0"/>
        <w:adjustRightInd w:val="0"/>
        <w:snapToGrid w:val="0"/>
        <w:spacing w:beforeLines="15" w:before="36" w:line="276" w:lineRule="auto"/>
        <w:jc w:val="both"/>
        <w:rPr>
          <w:sz w:val="18"/>
          <w:szCs w:val="21"/>
        </w:rPr>
      </w:pPr>
      <w:r>
        <w:rPr>
          <w:rFonts w:eastAsia="宋体" w:cs="宋体"/>
          <w:sz w:val="18"/>
          <w:vertAlign w:val="superscript"/>
        </w:rPr>
        <w:t>7</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https://www.fda.gov/regulatory-information/search-fda-guidance-documents/recommended-content-</w:t>
      </w:r>
      <w:r>
        <w:rPr>
          <w:rFonts w:eastAsia="宋体" w:cs="宋体"/>
          <w:color w:val="0000FF"/>
          <w:sz w:val="18"/>
        </w:rPr>
        <w:t xml:space="preserve"> </w:t>
      </w:r>
      <w:proofErr w:type="gramStart"/>
      <w:r>
        <w:rPr>
          <w:rFonts w:eastAsia="宋体" w:cs="宋体"/>
          <w:color w:val="0000FF"/>
          <w:sz w:val="18"/>
          <w:u w:val="single"/>
        </w:rPr>
        <w:t>and-format-non-clinical-bench-performance-testing-information-premarket</w:t>
      </w:r>
      <w:proofErr w:type="gramEnd"/>
    </w:p>
    <w:p w:rsidR="00532D82" w:rsidRDefault="002739A8">
      <w:pPr>
        <w:wordWrap w:val="0"/>
        <w:adjustRightInd w:val="0"/>
        <w:snapToGrid w:val="0"/>
        <w:spacing w:beforeLines="15" w:before="36" w:line="276" w:lineRule="auto"/>
        <w:jc w:val="both"/>
        <w:rPr>
          <w:sz w:val="18"/>
          <w:szCs w:val="21"/>
          <w:lang w:eastAsia="zh-CN"/>
        </w:rPr>
      </w:pPr>
      <w:r>
        <w:rPr>
          <w:rFonts w:eastAsia="宋体" w:cs="宋体"/>
          <w:sz w:val="18"/>
          <w:vertAlign w:val="superscript"/>
          <w:lang w:eastAsia="zh-CN"/>
        </w:rPr>
        <w:t>8</w:t>
      </w:r>
      <w:r>
        <w:rPr>
          <w:rFonts w:eastAsia="宋体" w:cs="宋体"/>
          <w:sz w:val="18"/>
          <w:lang w:eastAsia="zh-CN"/>
        </w:rPr>
        <w:t xml:space="preserve"> </w:t>
      </w:r>
      <w:r>
        <w:rPr>
          <w:rFonts w:eastAsia="宋体" w:cs="宋体"/>
          <w:sz w:val="18"/>
          <w:lang w:eastAsia="zh-CN"/>
        </w:rPr>
        <w:t>应注意，虽然</w:t>
      </w:r>
      <w:r>
        <w:rPr>
          <w:rFonts w:eastAsia="宋体" w:cs="宋体"/>
          <w:sz w:val="18"/>
          <w:lang w:eastAsia="zh-CN"/>
        </w:rPr>
        <w:t>FDA</w:t>
      </w:r>
      <w:r>
        <w:rPr>
          <w:rFonts w:eastAsia="宋体" w:cs="宋体"/>
          <w:sz w:val="18"/>
          <w:lang w:eastAsia="zh-CN"/>
        </w:rPr>
        <w:t>完全认可</w:t>
      </w:r>
      <w:r>
        <w:rPr>
          <w:rFonts w:eastAsia="宋体" w:cs="宋体"/>
          <w:sz w:val="18"/>
          <w:lang w:eastAsia="zh-CN"/>
        </w:rPr>
        <w:t>ASTM F1717</w:t>
      </w:r>
      <w:r>
        <w:rPr>
          <w:rFonts w:eastAsia="宋体" w:cs="宋体"/>
          <w:sz w:val="18"/>
          <w:lang w:eastAsia="zh-CN"/>
        </w:rPr>
        <w:t>，但</w:t>
      </w:r>
      <w:r>
        <w:rPr>
          <w:rFonts w:eastAsia="宋体" w:cs="宋体"/>
          <w:sz w:val="18"/>
          <w:lang w:eastAsia="zh-CN"/>
        </w:rPr>
        <w:t>FDA</w:t>
      </w:r>
      <w:r>
        <w:rPr>
          <w:rFonts w:eastAsia="宋体" w:cs="宋体"/>
          <w:sz w:val="18"/>
          <w:lang w:eastAsia="zh-CN"/>
        </w:rPr>
        <w:t>认为，就基于安全性和性能的途径而言，尽管某些试验的</w:t>
      </w:r>
      <w:proofErr w:type="gramStart"/>
      <w:r>
        <w:rPr>
          <w:rFonts w:eastAsia="宋体" w:cs="宋体"/>
          <w:sz w:val="18"/>
          <w:lang w:eastAsia="zh-CN"/>
        </w:rPr>
        <w:t>公认共识</w:t>
      </w:r>
      <w:proofErr w:type="gramEnd"/>
      <w:r>
        <w:rPr>
          <w:rFonts w:eastAsia="宋体" w:cs="宋体"/>
          <w:sz w:val="18"/>
          <w:lang w:eastAsia="zh-CN"/>
        </w:rPr>
        <w:t>标准中已确定替代方法、其他方法或验收标准，但本节机械台架试验中确定的试验、方法和标准是证明</w:t>
      </w:r>
      <w:proofErr w:type="gramStart"/>
      <w:r>
        <w:rPr>
          <w:rFonts w:eastAsia="宋体" w:cs="宋体"/>
          <w:sz w:val="18"/>
          <w:lang w:eastAsia="zh-CN"/>
        </w:rPr>
        <w:t>该途径</w:t>
      </w:r>
      <w:proofErr w:type="gramEnd"/>
      <w:r>
        <w:rPr>
          <w:rFonts w:eastAsia="宋体" w:cs="宋体"/>
          <w:sz w:val="18"/>
          <w:lang w:eastAsia="zh-CN"/>
        </w:rPr>
        <w:t>具有实质等同性最为简便的方法。</w:t>
      </w:r>
    </w:p>
    <w:p w:rsidR="00532D82" w:rsidRDefault="002739A8">
      <w:pPr>
        <w:wordWrap w:val="0"/>
        <w:adjustRightInd w:val="0"/>
        <w:snapToGrid w:val="0"/>
        <w:spacing w:beforeLines="15" w:before="36" w:line="276" w:lineRule="auto"/>
        <w:jc w:val="both"/>
        <w:rPr>
          <w:b/>
          <w:sz w:val="21"/>
          <w:szCs w:val="21"/>
        </w:rPr>
      </w:pPr>
      <w:r>
        <w:rPr>
          <w:rFonts w:eastAsia="宋体" w:cs="宋体"/>
          <w:sz w:val="18"/>
          <w:vertAlign w:val="superscript"/>
        </w:rPr>
        <w:t>9</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https://www.fda.gov/regulatory-information/search-fda-guidance-documents/guidance-industry-and-</w:t>
      </w:r>
      <w:r>
        <w:rPr>
          <w:rFonts w:eastAsia="宋体" w:cs="宋体"/>
          <w:color w:val="0000FF"/>
          <w:sz w:val="18"/>
        </w:rPr>
        <w:t xml:space="preserve"> </w:t>
      </w:r>
      <w:r>
        <w:rPr>
          <w:rFonts w:eastAsia="宋体" w:cs="宋体"/>
          <w:color w:val="0000FF"/>
          <w:sz w:val="18"/>
          <w:u w:val="single"/>
        </w:rPr>
        <w:t>fda-staff-spinal-system-510ks</w:t>
      </w:r>
      <w:r>
        <w:rPr>
          <w:rFonts w:eastAsia="宋体" w:cs="宋体"/>
          <w:b/>
          <w:sz w:val="21"/>
        </w:rPr>
        <w:br w:type="page"/>
      </w:r>
    </w:p>
    <w:p w:rsidR="00532D82" w:rsidRDefault="002739A8">
      <w:pPr>
        <w:adjustRightInd w:val="0"/>
        <w:snapToGrid w:val="0"/>
        <w:spacing w:beforeLines="50" w:before="120" w:line="300" w:lineRule="auto"/>
        <w:jc w:val="both"/>
        <w:rPr>
          <w:sz w:val="21"/>
          <w:szCs w:val="21"/>
          <w:lang w:eastAsia="zh-CN"/>
        </w:rPr>
      </w:pPr>
      <w:r>
        <w:rPr>
          <w:rFonts w:eastAsia="宋体" w:cs="宋体"/>
          <w:b/>
          <w:sz w:val="21"/>
          <w:lang w:eastAsia="zh-CN"/>
        </w:rPr>
        <w:lastRenderedPageBreak/>
        <w:t>注：</w:t>
      </w:r>
      <w:r>
        <w:rPr>
          <w:rFonts w:eastAsia="宋体" w:cs="宋体"/>
          <w:sz w:val="21"/>
          <w:lang w:eastAsia="zh-CN"/>
        </w:rPr>
        <w:t>ASTM F1717</w:t>
      </w:r>
      <w:r>
        <w:rPr>
          <w:rFonts w:eastAsia="宋体" w:cs="宋体"/>
          <w:sz w:val="21"/>
          <w:lang w:eastAsia="zh-CN"/>
        </w:rPr>
        <w:t>规定，颈椎器械纵向部件的工作长度为</w:t>
      </w:r>
      <w:r>
        <w:rPr>
          <w:rFonts w:eastAsia="宋体" w:cs="宋体"/>
          <w:sz w:val="21"/>
          <w:lang w:eastAsia="zh-CN"/>
        </w:rPr>
        <w:t>35 mm</w:t>
      </w:r>
      <w:r>
        <w:rPr>
          <w:rFonts w:eastAsia="宋体" w:cs="宋体"/>
          <w:sz w:val="21"/>
          <w:lang w:eastAsia="zh-CN"/>
        </w:rPr>
        <w:t>，腰椎器械纵向部件的工作长度为</w:t>
      </w:r>
      <w:r>
        <w:rPr>
          <w:rFonts w:eastAsia="宋体" w:cs="宋体"/>
          <w:sz w:val="21"/>
          <w:lang w:eastAsia="zh-CN"/>
        </w:rPr>
        <w:t>76 mm</w:t>
      </w:r>
      <w:r>
        <w:rPr>
          <w:rFonts w:eastAsia="宋体" w:cs="宋体"/>
          <w:sz w:val="21"/>
          <w:lang w:eastAsia="zh-CN"/>
        </w:rPr>
        <w:t>（或可用的接骨板尺寸尽可能接近这些尺寸），以分别模拟颈椎和腰椎这两个脊柱节段之间的连接。但是，由于许多胸腰椎接骨板系统仅包含单节段接骨板，因此需要对指定的</w:t>
      </w:r>
      <w:r>
        <w:rPr>
          <w:rFonts w:eastAsia="宋体" w:cs="宋体"/>
          <w:sz w:val="21"/>
          <w:lang w:eastAsia="zh-CN"/>
        </w:rPr>
        <w:t>76 mm</w:t>
      </w:r>
      <w:r>
        <w:rPr>
          <w:rFonts w:eastAsia="宋体" w:cs="宋体" w:hint="eastAsia"/>
          <w:sz w:val="21"/>
          <w:lang w:eastAsia="zh-CN"/>
        </w:rPr>
        <w:t>工作</w:t>
      </w:r>
      <w:r>
        <w:rPr>
          <w:rFonts w:eastAsia="宋体" w:cs="宋体"/>
          <w:sz w:val="21"/>
          <w:lang w:eastAsia="zh-CN"/>
        </w:rPr>
        <w:t>长度进行重大修改，以模拟单节段脊柱之间的连接。因此，对单节段和双节段胸腰椎接骨板系统的数据进行了单独分析，并对以下各项试验的验收标准进行了分层。</w:t>
      </w:r>
    </w:p>
    <w:p w:rsidR="00532D82" w:rsidRDefault="002739A8">
      <w:pPr>
        <w:adjustRightInd w:val="0"/>
        <w:snapToGrid w:val="0"/>
        <w:spacing w:beforeLines="50" w:before="120" w:line="300" w:lineRule="auto"/>
        <w:ind w:left="420" w:hangingChars="200" w:hanging="420"/>
        <w:jc w:val="both"/>
        <w:rPr>
          <w:sz w:val="21"/>
          <w:szCs w:val="24"/>
          <w:lang w:eastAsia="zh-CN" w:bidi="ar-SA"/>
        </w:rPr>
      </w:pPr>
      <w:r>
        <w:rPr>
          <w:rFonts w:eastAsia="宋体" w:cs="宋体"/>
          <w:sz w:val="21"/>
          <w:lang w:eastAsia="zh-CN"/>
        </w:rPr>
        <w:t>1.</w:t>
      </w:r>
      <w:r>
        <w:rPr>
          <w:rFonts w:eastAsia="宋体" w:cs="宋体"/>
          <w:sz w:val="21"/>
          <w:lang w:eastAsia="zh-CN"/>
        </w:rPr>
        <w:tab/>
      </w:r>
      <w:r>
        <w:rPr>
          <w:rFonts w:eastAsia="宋体" w:cs="宋体"/>
          <w:b/>
          <w:color w:val="000000"/>
          <w:sz w:val="21"/>
          <w:lang w:eastAsia="zh-CN"/>
        </w:rPr>
        <w:t>试验名称：</w:t>
      </w:r>
      <w:r>
        <w:rPr>
          <w:rFonts w:eastAsia="宋体" w:cs="宋体"/>
          <w:color w:val="000000"/>
          <w:sz w:val="21"/>
          <w:lang w:eastAsia="zh-CN"/>
        </w:rPr>
        <w:t xml:space="preserve">ASTM F1717 - </w:t>
      </w:r>
      <w:r>
        <w:rPr>
          <w:rFonts w:eastAsia="宋体" w:cs="宋体"/>
          <w:color w:val="000000"/>
          <w:sz w:val="21"/>
          <w:lang w:eastAsia="zh-CN"/>
        </w:rPr>
        <w:t>静态压缩弯曲</w:t>
      </w:r>
    </w:p>
    <w:p w:rsidR="00532D82" w:rsidRDefault="002739A8">
      <w:pPr>
        <w:autoSpaceDE/>
        <w:autoSpaceDN/>
        <w:adjustRightInd w:val="0"/>
        <w:snapToGrid w:val="0"/>
        <w:spacing w:beforeLines="50" w:before="120" w:line="300" w:lineRule="auto"/>
        <w:ind w:leftChars="200" w:left="440"/>
        <w:jc w:val="both"/>
        <w:rPr>
          <w:sz w:val="21"/>
          <w:szCs w:val="24"/>
          <w:lang w:eastAsia="zh-CN" w:bidi="ar-SA"/>
        </w:rPr>
      </w:pPr>
      <w:r>
        <w:rPr>
          <w:rFonts w:eastAsia="宋体" w:cs="宋体"/>
          <w:b/>
          <w:color w:val="000000"/>
          <w:sz w:val="21"/>
          <w:lang w:eastAsia="zh-CN"/>
        </w:rPr>
        <w:t>方法：</w:t>
      </w:r>
      <w:r>
        <w:rPr>
          <w:rFonts w:eastAsia="宋体" w:cs="宋体"/>
          <w:sz w:val="21"/>
          <w:lang w:eastAsia="zh-CN"/>
        </w:rPr>
        <w:t>ASTM F1717</w:t>
      </w:r>
      <w:r>
        <w:rPr>
          <w:rFonts w:eastAsia="宋体" w:cs="宋体"/>
          <w:sz w:val="21"/>
          <w:lang w:eastAsia="zh-CN"/>
        </w:rPr>
        <w:t>《椎体切除术模型中脊柱植入物结构的标准试验方法》</w:t>
      </w:r>
    </w:p>
    <w:p w:rsidR="00532D82" w:rsidRDefault="002739A8">
      <w:pPr>
        <w:autoSpaceDE/>
        <w:autoSpaceDN/>
        <w:adjustRightInd w:val="0"/>
        <w:snapToGrid w:val="0"/>
        <w:spacing w:beforeLines="50" w:before="120" w:line="300" w:lineRule="auto"/>
        <w:ind w:leftChars="200" w:left="440"/>
        <w:jc w:val="both"/>
        <w:rPr>
          <w:sz w:val="21"/>
          <w:szCs w:val="24"/>
          <w:lang w:eastAsia="zh-CN" w:bidi="ar-SA"/>
        </w:rPr>
      </w:pPr>
      <w:r>
        <w:rPr>
          <w:rFonts w:eastAsia="宋体" w:cs="宋体"/>
          <w:b/>
          <w:color w:val="000000"/>
          <w:sz w:val="21"/>
          <w:lang w:eastAsia="zh-CN"/>
        </w:rPr>
        <w:t>性能标准：</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表</w:t>
      </w:r>
      <w:r>
        <w:rPr>
          <w:rFonts w:eastAsia="宋体" w:cs="宋体"/>
          <w:b/>
          <w:sz w:val="21"/>
          <w:lang w:eastAsia="zh-CN"/>
        </w:rPr>
        <w:t>2 –</w:t>
      </w:r>
      <w:r>
        <w:rPr>
          <w:rFonts w:eastAsia="宋体" w:cs="宋体"/>
          <w:sz w:val="21"/>
          <w:lang w:eastAsia="zh-CN"/>
        </w:rPr>
        <w:t xml:space="preserve"> </w:t>
      </w:r>
      <w:r>
        <w:rPr>
          <w:rFonts w:eastAsia="宋体" w:cs="宋体"/>
          <w:sz w:val="21"/>
          <w:lang w:eastAsia="zh-CN"/>
        </w:rPr>
        <w:t>颈椎和</w:t>
      </w:r>
      <w:proofErr w:type="gramStart"/>
      <w:r>
        <w:rPr>
          <w:rFonts w:eastAsia="宋体" w:cs="宋体"/>
          <w:sz w:val="21"/>
          <w:lang w:eastAsia="zh-CN"/>
        </w:rPr>
        <w:t>胸腰椎</w:t>
      </w:r>
      <w:proofErr w:type="gramEnd"/>
      <w:r>
        <w:rPr>
          <w:rFonts w:eastAsia="宋体" w:cs="宋体"/>
          <w:sz w:val="21"/>
          <w:lang w:eastAsia="zh-CN"/>
        </w:rPr>
        <w:t>接骨板系统的静态压缩弯曲验收标准</w:t>
      </w:r>
    </w:p>
    <w:tbl>
      <w:tblPr>
        <w:tblStyle w:val="TableNormal1"/>
        <w:tblW w:w="4710" w:type="pct"/>
        <w:jc w:val="right"/>
        <w:tblInd w:w="0"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CellMar>
          <w:left w:w="113" w:type="dxa"/>
          <w:right w:w="113" w:type="dxa"/>
        </w:tblCellMar>
        <w:tblLook w:val="04A0" w:firstRow="1" w:lastRow="0" w:firstColumn="1" w:lastColumn="0" w:noHBand="0" w:noVBand="1"/>
      </w:tblPr>
      <w:tblGrid>
        <w:gridCol w:w="2189"/>
        <w:gridCol w:w="2189"/>
        <w:gridCol w:w="2190"/>
        <w:gridCol w:w="2190"/>
      </w:tblGrid>
      <w:tr w:rsidR="00532D82">
        <w:trPr>
          <w:trHeight w:val="20"/>
          <w:jc w:val="right"/>
        </w:trPr>
        <w:tc>
          <w:tcPr>
            <w:tcW w:w="1250" w:type="pct"/>
            <w:tcBorders>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Pr>
                <w:rFonts w:ascii="Times New Roman" w:eastAsia="宋体" w:hAnsi="Times New Roman" w:cs="宋体"/>
                <w:b/>
                <w:sz w:val="18"/>
              </w:rPr>
              <w:t>试验参数</w:t>
            </w:r>
            <w:proofErr w:type="spellEnd"/>
          </w:p>
        </w:tc>
        <w:tc>
          <w:tcPr>
            <w:tcW w:w="1250" w:type="pct"/>
            <w:tcBorders>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rPr>
            </w:pPr>
            <w:proofErr w:type="spellStart"/>
            <w:r>
              <w:rPr>
                <w:rFonts w:ascii="Times New Roman" w:eastAsia="宋体" w:hAnsi="Times New Roman" w:cs="宋体"/>
                <w:b/>
                <w:sz w:val="18"/>
              </w:rPr>
              <w:t>颈椎（双节段结构</w:t>
            </w:r>
            <w:proofErr w:type="spellEnd"/>
            <w:r>
              <w:rPr>
                <w:rFonts w:ascii="Times New Roman" w:eastAsia="宋体" w:hAnsi="Times New Roman" w:cs="宋体"/>
                <w:b/>
                <w:sz w:val="18"/>
              </w:rPr>
              <w:t>）</w:t>
            </w:r>
          </w:p>
        </w:tc>
        <w:tc>
          <w:tcPr>
            <w:tcW w:w="1250" w:type="pct"/>
            <w:tcBorders>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Pr>
                <w:rFonts w:ascii="Times New Roman" w:eastAsia="宋体" w:hAnsi="Times New Roman" w:cs="宋体"/>
                <w:b/>
                <w:sz w:val="18"/>
                <w:lang w:eastAsia="zh-CN"/>
              </w:rPr>
              <w:t>胸腰椎（单节段结构）</w:t>
            </w:r>
          </w:p>
        </w:tc>
        <w:tc>
          <w:tcPr>
            <w:tcW w:w="1250" w:type="pct"/>
            <w:tcBorders>
              <w:left w:val="single" w:sz="4" w:space="0" w:color="000000"/>
              <w:bottom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Pr>
                <w:rFonts w:ascii="Times New Roman" w:eastAsia="宋体" w:hAnsi="Times New Roman" w:cs="宋体"/>
                <w:b/>
                <w:sz w:val="18"/>
                <w:lang w:eastAsia="zh-CN"/>
              </w:rPr>
              <w:t>胸腰椎（双节段结构）</w:t>
            </w:r>
          </w:p>
        </w:tc>
      </w:tr>
      <w:tr w:rsidR="00532D82">
        <w:trPr>
          <w:trHeight w:val="20"/>
          <w:jc w:val="right"/>
        </w:trPr>
        <w:tc>
          <w:tcPr>
            <w:tcW w:w="1250" w:type="pct"/>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Pr>
                <w:rFonts w:ascii="Times New Roman" w:eastAsia="宋体" w:hAnsi="Times New Roman" w:cs="宋体"/>
                <w:b/>
                <w:sz w:val="18"/>
                <w:lang w:eastAsia="zh-CN"/>
              </w:rPr>
              <w:t>静态压缩弯曲刚度</w:t>
            </w:r>
          </w:p>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Pr>
                <w:rFonts w:ascii="Times New Roman" w:eastAsia="宋体" w:hAnsi="Times New Roman" w:cs="宋体"/>
                <w:b/>
                <w:sz w:val="18"/>
                <w:lang w:eastAsia="zh-CN"/>
              </w:rPr>
              <w:t>（</w:t>
            </w:r>
            <w:r>
              <w:rPr>
                <w:rFonts w:ascii="Times New Roman" w:eastAsia="宋体" w:hAnsi="Times New Roman" w:cs="宋体"/>
                <w:b/>
                <w:sz w:val="18"/>
                <w:lang w:eastAsia="zh-CN"/>
              </w:rPr>
              <w:t>N/mm</w:t>
            </w:r>
            <w:r>
              <w:rPr>
                <w:rFonts w:ascii="Times New Roman" w:eastAsia="宋体" w:hAnsi="Times New Roman" w:cs="宋体"/>
                <w:b/>
                <w:sz w:val="18"/>
                <w:lang w:eastAsia="zh-CN"/>
              </w:rPr>
              <w:t>）</w:t>
            </w:r>
          </w:p>
        </w:tc>
        <w:tc>
          <w:tcPr>
            <w:tcW w:w="1250" w:type="pct"/>
            <w:tcBorders>
              <w:top w:val="single" w:sz="4" w:space="0" w:color="000000"/>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9.6 N/mm</w:t>
            </w:r>
          </w:p>
        </w:tc>
        <w:tc>
          <w:tcPr>
            <w:tcW w:w="1250" w:type="pct"/>
            <w:tcBorders>
              <w:top w:val="single" w:sz="4" w:space="0" w:color="000000"/>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45 N/mm</w:t>
            </w:r>
          </w:p>
        </w:tc>
        <w:tc>
          <w:tcPr>
            <w:tcW w:w="1250" w:type="pct"/>
            <w:tcBorders>
              <w:top w:val="single" w:sz="4" w:space="0" w:color="000000"/>
              <w:left w:val="single" w:sz="4" w:space="0" w:color="000000"/>
              <w:bottom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35 N/mm</w:t>
            </w:r>
          </w:p>
        </w:tc>
      </w:tr>
      <w:tr w:rsidR="00532D82">
        <w:trPr>
          <w:trHeight w:val="20"/>
          <w:jc w:val="right"/>
        </w:trPr>
        <w:tc>
          <w:tcPr>
            <w:tcW w:w="1250" w:type="pct"/>
            <w:tcBorders>
              <w:top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Pr>
                <w:rFonts w:ascii="Times New Roman" w:eastAsia="宋体" w:hAnsi="Times New Roman" w:cs="宋体"/>
                <w:b/>
                <w:sz w:val="18"/>
                <w:lang w:eastAsia="zh-CN"/>
              </w:rPr>
              <w:t>静态压缩弯曲屈服（</w:t>
            </w:r>
            <w:r>
              <w:rPr>
                <w:rFonts w:ascii="Times New Roman" w:eastAsia="宋体" w:hAnsi="Times New Roman" w:cs="宋体"/>
                <w:b/>
                <w:sz w:val="18"/>
                <w:lang w:eastAsia="zh-CN"/>
              </w:rPr>
              <w:t>N</w:t>
            </w:r>
            <w:r>
              <w:rPr>
                <w:rFonts w:ascii="Times New Roman" w:eastAsia="宋体" w:hAnsi="Times New Roman" w:cs="宋体"/>
                <w:b/>
                <w:sz w:val="18"/>
                <w:lang w:eastAsia="zh-CN"/>
              </w:rPr>
              <w:t>）</w:t>
            </w:r>
          </w:p>
        </w:tc>
        <w:tc>
          <w:tcPr>
            <w:tcW w:w="1250" w:type="pct"/>
            <w:tcBorders>
              <w:top w:val="single" w:sz="4" w:space="0" w:color="000000"/>
              <w:left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75 N</w:t>
            </w:r>
          </w:p>
        </w:tc>
        <w:tc>
          <w:tcPr>
            <w:tcW w:w="1250" w:type="pct"/>
            <w:tcBorders>
              <w:top w:val="single" w:sz="4" w:space="0" w:color="000000"/>
              <w:left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230 N</w:t>
            </w:r>
          </w:p>
        </w:tc>
        <w:tc>
          <w:tcPr>
            <w:tcW w:w="1250" w:type="pct"/>
            <w:tcBorders>
              <w:top w:val="single" w:sz="4" w:space="0" w:color="000000"/>
              <w:lef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360 N</w:t>
            </w:r>
          </w:p>
        </w:tc>
      </w:tr>
    </w:tbl>
    <w:p w:rsidR="00532D82" w:rsidRDefault="00532D82">
      <w:pPr>
        <w:pStyle w:val="a3"/>
        <w:adjustRightInd w:val="0"/>
        <w:snapToGrid w:val="0"/>
        <w:spacing w:beforeLines="50" w:before="120" w:line="300" w:lineRule="auto"/>
        <w:ind w:leftChars="200" w:left="440"/>
        <w:jc w:val="both"/>
        <w:rPr>
          <w:sz w:val="21"/>
          <w:szCs w:val="21"/>
        </w:rPr>
      </w:pP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性能标准来源：</w:t>
      </w:r>
      <w:r>
        <w:rPr>
          <w:rFonts w:eastAsia="宋体" w:cs="宋体"/>
          <w:sz w:val="21"/>
          <w:lang w:eastAsia="zh-CN"/>
        </w:rPr>
        <w:t>标准基于提交至</w:t>
      </w:r>
      <w:r>
        <w:rPr>
          <w:rFonts w:eastAsia="宋体" w:cs="宋体"/>
          <w:sz w:val="21"/>
          <w:lang w:eastAsia="zh-CN"/>
        </w:rPr>
        <w:t>FDA</w:t>
      </w:r>
      <w:r>
        <w:rPr>
          <w:rFonts w:eastAsia="宋体" w:cs="宋体"/>
          <w:sz w:val="21"/>
          <w:lang w:eastAsia="zh-CN"/>
        </w:rPr>
        <w:t>的</w:t>
      </w:r>
      <w:r>
        <w:rPr>
          <w:rFonts w:eastAsia="宋体" w:cs="宋体"/>
          <w:sz w:val="21"/>
          <w:lang w:eastAsia="zh-CN"/>
        </w:rPr>
        <w:t>510(k)</w:t>
      </w:r>
      <w:r>
        <w:rPr>
          <w:rFonts w:eastAsia="宋体" w:cs="宋体"/>
          <w:sz w:val="21"/>
          <w:lang w:eastAsia="zh-CN"/>
        </w:rPr>
        <w:t>提交资料中包含的先前已证实具有实质等同性的脊柱接骨板系统的机械试验汇总数据。</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其他</w:t>
      </w:r>
      <w:proofErr w:type="gramStart"/>
      <w:r>
        <w:rPr>
          <w:rFonts w:eastAsia="宋体" w:cs="宋体"/>
          <w:b/>
          <w:sz w:val="21"/>
          <w:lang w:eastAsia="zh-CN"/>
        </w:rPr>
        <w:t>考量</w:t>
      </w:r>
      <w:proofErr w:type="gramEnd"/>
      <w:r>
        <w:rPr>
          <w:rFonts w:eastAsia="宋体" w:cs="宋体"/>
          <w:b/>
          <w:sz w:val="21"/>
          <w:lang w:eastAsia="zh-CN"/>
        </w:rPr>
        <w:t>因素：</w:t>
      </w:r>
      <w:r>
        <w:rPr>
          <w:rFonts w:eastAsia="宋体" w:cs="宋体"/>
          <w:sz w:val="21"/>
          <w:lang w:eastAsia="zh-CN"/>
        </w:rPr>
        <w:t>试验应至少包括</w:t>
      </w:r>
      <w:r>
        <w:rPr>
          <w:rFonts w:eastAsia="宋体" w:cs="宋体"/>
          <w:sz w:val="21"/>
          <w:lang w:eastAsia="zh-CN"/>
        </w:rPr>
        <w:t>5</w:t>
      </w:r>
      <w:r>
        <w:rPr>
          <w:rFonts w:eastAsia="宋体" w:cs="宋体"/>
          <w:sz w:val="21"/>
          <w:lang w:eastAsia="zh-CN"/>
        </w:rPr>
        <w:t>件符合</w:t>
      </w:r>
      <w:r>
        <w:rPr>
          <w:rFonts w:eastAsia="宋体" w:cs="宋体"/>
          <w:sz w:val="21"/>
          <w:lang w:eastAsia="zh-CN"/>
        </w:rPr>
        <w:t>ASTM F1717</w:t>
      </w:r>
      <w:r>
        <w:rPr>
          <w:rFonts w:eastAsia="宋体" w:cs="宋体"/>
          <w:sz w:val="21"/>
          <w:lang w:eastAsia="zh-CN"/>
        </w:rPr>
        <w:t>规定的样品。成功的试验结果应符合以下条件之一：（</w:t>
      </w:r>
      <w:r>
        <w:rPr>
          <w:rFonts w:eastAsia="宋体" w:cs="宋体"/>
          <w:sz w:val="21"/>
          <w:lang w:eastAsia="zh-CN"/>
        </w:rPr>
        <w:t>1</w:t>
      </w:r>
      <w:r>
        <w:rPr>
          <w:rFonts w:eastAsia="宋体" w:cs="宋体"/>
          <w:sz w:val="21"/>
          <w:lang w:eastAsia="zh-CN"/>
        </w:rPr>
        <w:t>）所有样品均应符合或超过上述验收标准，或（</w:t>
      </w:r>
      <w:r>
        <w:rPr>
          <w:rFonts w:eastAsia="宋体" w:cs="宋体"/>
          <w:sz w:val="21"/>
          <w:lang w:eastAsia="zh-CN"/>
        </w:rPr>
        <w:t>2</w:t>
      </w:r>
      <w:r>
        <w:rPr>
          <w:rFonts w:eastAsia="宋体" w:cs="宋体"/>
          <w:sz w:val="21"/>
          <w:lang w:eastAsia="zh-CN"/>
        </w:rPr>
        <w:t>）所有样品的平均值均应符合或超过上述标准，并且标准差应</w:t>
      </w:r>
      <w:r>
        <w:rPr>
          <w:rFonts w:eastAsia="宋体" w:cs="宋体"/>
          <w:sz w:val="21"/>
          <w:lang w:eastAsia="zh-CN"/>
        </w:rPr>
        <w:t>≤</w:t>
      </w:r>
      <w:r>
        <w:rPr>
          <w:rFonts w:eastAsia="宋体" w:cs="宋体"/>
          <w:sz w:val="21"/>
          <w:lang w:eastAsia="zh-CN"/>
        </w:rPr>
        <w:t>计算平均值的</w:t>
      </w:r>
      <w:r>
        <w:rPr>
          <w:rFonts w:eastAsia="宋体" w:cs="宋体"/>
          <w:sz w:val="21"/>
          <w:lang w:eastAsia="zh-CN"/>
        </w:rPr>
        <w:t>10%</w:t>
      </w:r>
      <w:r>
        <w:rPr>
          <w:rFonts w:eastAsia="宋体" w:cs="宋体"/>
          <w:sz w:val="21"/>
          <w:lang w:eastAsia="zh-CN"/>
        </w:rPr>
        <w:t>。对于单节段胸腰椎接骨板的试验，最</w:t>
      </w:r>
      <w:r>
        <w:rPr>
          <w:rFonts w:eastAsia="宋体" w:cs="宋体" w:hint="eastAsia"/>
          <w:sz w:val="21"/>
          <w:lang w:eastAsia="zh-CN"/>
        </w:rPr>
        <w:t>差</w:t>
      </w:r>
      <w:r>
        <w:rPr>
          <w:rFonts w:eastAsia="宋体" w:cs="宋体"/>
          <w:sz w:val="21"/>
          <w:lang w:eastAsia="zh-CN"/>
        </w:rPr>
        <w:t>情况的</w:t>
      </w:r>
      <w:r>
        <w:rPr>
          <w:rFonts w:eastAsia="宋体" w:cs="宋体" w:hint="eastAsia"/>
          <w:sz w:val="21"/>
          <w:lang w:eastAsia="zh-CN"/>
        </w:rPr>
        <w:t>工作</w:t>
      </w:r>
      <w:r>
        <w:rPr>
          <w:rFonts w:eastAsia="宋体" w:cs="宋体"/>
          <w:sz w:val="21"/>
          <w:lang w:eastAsia="zh-CN"/>
        </w:rPr>
        <w:t>长度应介于</w:t>
      </w:r>
      <w:r>
        <w:rPr>
          <w:rFonts w:eastAsia="宋体" w:cs="宋体"/>
          <w:sz w:val="21"/>
          <w:lang w:eastAsia="zh-CN"/>
        </w:rPr>
        <w:t>25 mm</w:t>
      </w:r>
      <w:r>
        <w:rPr>
          <w:rFonts w:eastAsia="宋体" w:cs="宋体"/>
          <w:sz w:val="21"/>
          <w:lang w:eastAsia="zh-CN"/>
        </w:rPr>
        <w:t>至</w:t>
      </w:r>
      <w:r>
        <w:rPr>
          <w:rFonts w:eastAsia="宋体" w:cs="宋体"/>
          <w:sz w:val="21"/>
          <w:lang w:eastAsia="zh-CN"/>
        </w:rPr>
        <w:t>40 mm</w:t>
      </w:r>
      <w:r>
        <w:rPr>
          <w:rFonts w:eastAsia="宋体" w:cs="宋体"/>
          <w:sz w:val="21"/>
          <w:lang w:eastAsia="zh-CN"/>
        </w:rPr>
        <w:t>之间，以与上表中所列的标准相当。</w:t>
      </w:r>
    </w:p>
    <w:p w:rsidR="00532D82" w:rsidRDefault="002739A8">
      <w:pPr>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提交信息</w:t>
      </w:r>
      <w:r>
        <w:rPr>
          <w:rFonts w:eastAsia="宋体" w:cs="宋体"/>
          <w:sz w:val="21"/>
          <w:lang w:eastAsia="zh-CN"/>
        </w:rPr>
        <w:t>：结果汇总和符合性声明</w:t>
      </w:r>
    </w:p>
    <w:p w:rsidR="00532D82" w:rsidRDefault="002739A8">
      <w:pPr>
        <w:adjustRightInd w:val="0"/>
        <w:snapToGrid w:val="0"/>
        <w:spacing w:beforeLines="50" w:before="120" w:line="300" w:lineRule="auto"/>
        <w:ind w:left="420" w:hangingChars="200" w:hanging="42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b/>
          <w:sz w:val="21"/>
          <w:lang w:eastAsia="zh-CN"/>
        </w:rPr>
        <w:t>试验名称：</w:t>
      </w:r>
      <w:r>
        <w:rPr>
          <w:rFonts w:eastAsia="宋体" w:cs="宋体"/>
          <w:sz w:val="21"/>
          <w:lang w:eastAsia="zh-CN"/>
        </w:rPr>
        <w:t xml:space="preserve">ASTM F1717 - </w:t>
      </w:r>
      <w:r>
        <w:rPr>
          <w:rFonts w:eastAsia="宋体" w:cs="宋体"/>
          <w:sz w:val="21"/>
          <w:lang w:eastAsia="zh-CN"/>
        </w:rPr>
        <w:t>静态扭转</w:t>
      </w:r>
    </w:p>
    <w:p w:rsidR="00532D82" w:rsidRDefault="002739A8">
      <w:pPr>
        <w:adjustRightInd w:val="0"/>
        <w:snapToGrid w:val="0"/>
        <w:spacing w:beforeLines="50" w:before="120" w:line="300" w:lineRule="auto"/>
        <w:ind w:leftChars="200" w:left="440"/>
        <w:jc w:val="both"/>
        <w:rPr>
          <w:i/>
          <w:sz w:val="21"/>
          <w:szCs w:val="21"/>
          <w:lang w:eastAsia="zh-CN"/>
        </w:rPr>
      </w:pPr>
      <w:r>
        <w:rPr>
          <w:rFonts w:eastAsia="宋体" w:cs="宋体"/>
          <w:b/>
          <w:sz w:val="21"/>
          <w:lang w:eastAsia="zh-CN"/>
        </w:rPr>
        <w:t>方法：</w:t>
      </w:r>
      <w:r>
        <w:rPr>
          <w:rFonts w:eastAsia="宋体" w:cs="宋体"/>
          <w:sz w:val="21"/>
          <w:lang w:eastAsia="zh-CN"/>
        </w:rPr>
        <w:t>ASTM F1717</w:t>
      </w:r>
      <w:r>
        <w:rPr>
          <w:rFonts w:eastAsia="宋体" w:cs="宋体"/>
          <w:sz w:val="21"/>
          <w:lang w:eastAsia="zh-CN"/>
        </w:rPr>
        <w:t>《椎体切除术模型中脊柱植入物试验方法》</w:t>
      </w:r>
    </w:p>
    <w:p w:rsidR="00532D82" w:rsidRDefault="002739A8">
      <w:pPr>
        <w:adjustRightInd w:val="0"/>
        <w:snapToGrid w:val="0"/>
        <w:spacing w:beforeLines="50" w:before="120" w:line="300" w:lineRule="auto"/>
        <w:jc w:val="both"/>
        <w:rPr>
          <w:b/>
          <w:sz w:val="21"/>
          <w:szCs w:val="21"/>
          <w:lang w:eastAsia="zh-CN"/>
        </w:rPr>
      </w:pPr>
      <w:r>
        <w:rPr>
          <w:rFonts w:eastAsia="宋体" w:cs="宋体"/>
          <w:b/>
          <w:sz w:val="21"/>
          <w:lang w:eastAsia="zh-CN"/>
        </w:rPr>
        <w:br w:type="page"/>
      </w:r>
    </w:p>
    <w:p w:rsidR="00532D82" w:rsidRDefault="002739A8">
      <w:pPr>
        <w:pStyle w:val="3"/>
        <w:adjustRightInd w:val="0"/>
        <w:snapToGrid w:val="0"/>
        <w:spacing w:beforeLines="50" w:before="120" w:line="300" w:lineRule="auto"/>
        <w:ind w:leftChars="200" w:left="440"/>
        <w:jc w:val="both"/>
        <w:rPr>
          <w:sz w:val="21"/>
          <w:szCs w:val="21"/>
          <w:lang w:eastAsia="zh-CN"/>
        </w:rPr>
      </w:pPr>
      <w:r>
        <w:rPr>
          <w:rFonts w:eastAsia="宋体" w:cs="宋体"/>
          <w:sz w:val="21"/>
          <w:lang w:eastAsia="zh-CN"/>
        </w:rPr>
        <w:lastRenderedPageBreak/>
        <w:t>性能标准：</w:t>
      </w:r>
    </w:p>
    <w:p w:rsidR="00532D82" w:rsidRDefault="002739A8">
      <w:pPr>
        <w:pStyle w:val="a3"/>
        <w:adjustRightInd w:val="0"/>
        <w:snapToGrid w:val="0"/>
        <w:spacing w:beforeLines="50" w:before="120" w:line="300" w:lineRule="auto"/>
        <w:ind w:leftChars="200" w:left="440"/>
        <w:jc w:val="both"/>
        <w:rPr>
          <w:rFonts w:eastAsiaTheme="minorEastAsia"/>
          <w:sz w:val="21"/>
          <w:szCs w:val="21"/>
          <w:lang w:eastAsia="zh-CN"/>
        </w:rPr>
      </w:pPr>
      <w:r>
        <w:rPr>
          <w:rFonts w:eastAsia="宋体" w:cs="宋体"/>
          <w:b/>
          <w:sz w:val="21"/>
          <w:lang w:eastAsia="zh-CN"/>
        </w:rPr>
        <w:t>表</w:t>
      </w:r>
      <w:r>
        <w:rPr>
          <w:rFonts w:eastAsia="宋体" w:cs="宋体"/>
          <w:b/>
          <w:sz w:val="21"/>
          <w:lang w:eastAsia="zh-CN"/>
        </w:rPr>
        <w:t xml:space="preserve">3 – </w:t>
      </w:r>
      <w:r>
        <w:rPr>
          <w:rFonts w:eastAsia="宋体" w:cs="宋体"/>
          <w:sz w:val="21"/>
          <w:lang w:eastAsia="zh-CN"/>
        </w:rPr>
        <w:t>ASTM F1717</w:t>
      </w:r>
      <w:r>
        <w:rPr>
          <w:rFonts w:eastAsia="宋体" w:cs="宋体"/>
          <w:sz w:val="21"/>
          <w:lang w:eastAsia="zh-CN"/>
        </w:rPr>
        <w:t>《颈椎和胸腰椎接骨板系统的静态扭转验收标准》</w:t>
      </w:r>
    </w:p>
    <w:tbl>
      <w:tblPr>
        <w:tblStyle w:val="TableNormal1"/>
        <w:tblW w:w="4710" w:type="pct"/>
        <w:jc w:val="right"/>
        <w:tblInd w:w="0"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CellMar>
          <w:left w:w="113" w:type="dxa"/>
          <w:right w:w="113" w:type="dxa"/>
        </w:tblCellMar>
        <w:tblLook w:val="04A0" w:firstRow="1" w:lastRow="0" w:firstColumn="1" w:lastColumn="0" w:noHBand="0" w:noVBand="1"/>
      </w:tblPr>
      <w:tblGrid>
        <w:gridCol w:w="2189"/>
        <w:gridCol w:w="2189"/>
        <w:gridCol w:w="2190"/>
        <w:gridCol w:w="2190"/>
      </w:tblGrid>
      <w:tr w:rsidR="00532D82">
        <w:trPr>
          <w:trHeight w:val="20"/>
          <w:jc w:val="right"/>
        </w:trPr>
        <w:tc>
          <w:tcPr>
            <w:tcW w:w="1250" w:type="pct"/>
            <w:tcBorders>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Pr>
                <w:rFonts w:ascii="Times New Roman" w:eastAsia="宋体" w:hAnsi="Times New Roman" w:cs="宋体"/>
                <w:b/>
                <w:sz w:val="18"/>
              </w:rPr>
              <w:t>试验参数</w:t>
            </w:r>
            <w:proofErr w:type="spellEnd"/>
          </w:p>
        </w:tc>
        <w:tc>
          <w:tcPr>
            <w:tcW w:w="1250" w:type="pct"/>
            <w:tcBorders>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rPr>
            </w:pPr>
            <w:proofErr w:type="spellStart"/>
            <w:r>
              <w:rPr>
                <w:rFonts w:ascii="Times New Roman" w:eastAsia="宋体" w:hAnsi="Times New Roman" w:cs="宋体"/>
                <w:b/>
                <w:sz w:val="18"/>
              </w:rPr>
              <w:t>颈椎（双节段结构</w:t>
            </w:r>
            <w:proofErr w:type="spellEnd"/>
            <w:r>
              <w:rPr>
                <w:rFonts w:ascii="Times New Roman" w:eastAsia="宋体" w:hAnsi="Times New Roman" w:cs="宋体"/>
                <w:b/>
                <w:sz w:val="18"/>
              </w:rPr>
              <w:t>）</w:t>
            </w:r>
          </w:p>
        </w:tc>
        <w:tc>
          <w:tcPr>
            <w:tcW w:w="1250" w:type="pct"/>
            <w:tcBorders>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Pr>
                <w:rFonts w:ascii="Times New Roman" w:eastAsia="宋体" w:hAnsi="Times New Roman" w:cs="宋体"/>
                <w:b/>
                <w:sz w:val="18"/>
                <w:lang w:eastAsia="zh-CN"/>
              </w:rPr>
              <w:t>胸腰椎（单节段结构）</w:t>
            </w:r>
          </w:p>
        </w:tc>
        <w:tc>
          <w:tcPr>
            <w:tcW w:w="1250" w:type="pct"/>
            <w:tcBorders>
              <w:left w:val="single" w:sz="4" w:space="0" w:color="000000"/>
              <w:bottom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Pr>
                <w:rFonts w:ascii="Times New Roman" w:eastAsia="宋体" w:hAnsi="Times New Roman" w:cs="宋体"/>
                <w:b/>
                <w:sz w:val="18"/>
                <w:lang w:eastAsia="zh-CN"/>
              </w:rPr>
              <w:t>胸腰椎（双节段结构）</w:t>
            </w:r>
          </w:p>
        </w:tc>
      </w:tr>
      <w:tr w:rsidR="00532D82">
        <w:trPr>
          <w:trHeight w:val="20"/>
          <w:jc w:val="right"/>
        </w:trPr>
        <w:tc>
          <w:tcPr>
            <w:tcW w:w="1250" w:type="pct"/>
            <w:tcBorders>
              <w:top w:val="single" w:sz="4" w:space="0" w:color="000000"/>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Pr>
                <w:rFonts w:ascii="Times New Roman" w:eastAsia="宋体" w:hAnsi="Times New Roman" w:cs="宋体"/>
                <w:b/>
                <w:sz w:val="18"/>
                <w:lang w:eastAsia="zh-CN"/>
              </w:rPr>
              <w:t>静态扭转刚度（</w:t>
            </w:r>
            <w:r>
              <w:rPr>
                <w:rFonts w:ascii="Times New Roman" w:eastAsia="宋体" w:hAnsi="Times New Roman" w:cs="宋体"/>
                <w:b/>
                <w:sz w:val="18"/>
                <w:lang w:eastAsia="zh-CN"/>
              </w:rPr>
              <w:t>N-m/</w:t>
            </w:r>
            <w:r>
              <w:rPr>
                <w:rFonts w:ascii="Times New Roman" w:eastAsia="宋体" w:hAnsi="Times New Roman" w:cs="宋体"/>
                <w:b/>
                <w:sz w:val="18"/>
                <w:lang w:eastAsia="zh-CN"/>
              </w:rPr>
              <w:t>度）</w:t>
            </w:r>
          </w:p>
        </w:tc>
        <w:tc>
          <w:tcPr>
            <w:tcW w:w="1250" w:type="pct"/>
            <w:tcBorders>
              <w:top w:val="single" w:sz="4" w:space="0" w:color="000000"/>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eastAsia="宋体" w:hAnsi="Times New Roman" w:cs="宋体"/>
                <w:sz w:val="18"/>
              </w:rPr>
              <w:t>0.9 N-m/</w:t>
            </w:r>
            <w:r>
              <w:rPr>
                <w:rFonts w:ascii="Times New Roman" w:eastAsia="宋体" w:hAnsi="Times New Roman" w:cs="宋体"/>
                <w:sz w:val="18"/>
              </w:rPr>
              <w:t>度</w:t>
            </w:r>
          </w:p>
        </w:tc>
        <w:tc>
          <w:tcPr>
            <w:tcW w:w="1250" w:type="pct"/>
            <w:tcBorders>
              <w:top w:val="single" w:sz="4" w:space="0" w:color="000000"/>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eastAsia="宋体" w:hAnsi="Times New Roman" w:cs="宋体"/>
                <w:sz w:val="18"/>
              </w:rPr>
              <w:t>5.6 N-m/</w:t>
            </w:r>
            <w:r>
              <w:rPr>
                <w:rFonts w:ascii="Times New Roman" w:eastAsia="宋体" w:hAnsi="Times New Roman" w:cs="宋体"/>
                <w:sz w:val="18"/>
              </w:rPr>
              <w:t>度</w:t>
            </w:r>
          </w:p>
        </w:tc>
        <w:tc>
          <w:tcPr>
            <w:tcW w:w="1250" w:type="pct"/>
            <w:tcBorders>
              <w:top w:val="single" w:sz="4" w:space="0" w:color="000000"/>
              <w:left w:val="single" w:sz="4" w:space="0" w:color="000000"/>
              <w:bottom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eastAsia="宋体" w:hAnsi="Times New Roman" w:cs="宋体"/>
                <w:sz w:val="18"/>
              </w:rPr>
              <w:t>2.7 N-m/</w:t>
            </w:r>
            <w:r>
              <w:rPr>
                <w:rFonts w:ascii="Times New Roman" w:eastAsia="宋体" w:hAnsi="Times New Roman" w:cs="宋体"/>
                <w:sz w:val="18"/>
              </w:rPr>
              <w:t>度</w:t>
            </w:r>
          </w:p>
        </w:tc>
      </w:tr>
      <w:tr w:rsidR="00532D82">
        <w:trPr>
          <w:trHeight w:val="20"/>
          <w:jc w:val="right"/>
        </w:trPr>
        <w:tc>
          <w:tcPr>
            <w:tcW w:w="1250" w:type="pct"/>
            <w:tcBorders>
              <w:top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Pr>
                <w:rFonts w:ascii="Times New Roman" w:eastAsia="宋体" w:hAnsi="Times New Roman" w:cs="宋体"/>
                <w:b/>
                <w:sz w:val="18"/>
                <w:lang w:eastAsia="zh-CN"/>
              </w:rPr>
              <w:t>静态扭转屈服（</w:t>
            </w:r>
            <w:r>
              <w:rPr>
                <w:rFonts w:ascii="Times New Roman" w:eastAsia="宋体" w:hAnsi="Times New Roman" w:cs="宋体"/>
                <w:b/>
                <w:sz w:val="18"/>
                <w:lang w:eastAsia="zh-CN"/>
              </w:rPr>
              <w:t>N-m</w:t>
            </w:r>
            <w:r>
              <w:rPr>
                <w:rFonts w:ascii="Times New Roman" w:eastAsia="宋体" w:hAnsi="Times New Roman" w:cs="宋体"/>
                <w:b/>
                <w:sz w:val="18"/>
                <w:lang w:eastAsia="zh-CN"/>
              </w:rPr>
              <w:t>）</w:t>
            </w:r>
          </w:p>
        </w:tc>
        <w:tc>
          <w:tcPr>
            <w:tcW w:w="1250" w:type="pct"/>
            <w:tcBorders>
              <w:top w:val="single" w:sz="4" w:space="0" w:color="000000"/>
              <w:left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4.7 N-m</w:t>
            </w:r>
          </w:p>
        </w:tc>
        <w:tc>
          <w:tcPr>
            <w:tcW w:w="1250" w:type="pct"/>
            <w:tcBorders>
              <w:top w:val="single" w:sz="4" w:space="0" w:color="000000"/>
              <w:left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19 N-m</w:t>
            </w:r>
          </w:p>
        </w:tc>
        <w:tc>
          <w:tcPr>
            <w:tcW w:w="1250" w:type="pct"/>
            <w:tcBorders>
              <w:top w:val="single" w:sz="4" w:space="0" w:color="000000"/>
              <w:lef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18 N-m</w:t>
            </w:r>
          </w:p>
        </w:tc>
      </w:tr>
    </w:tbl>
    <w:p w:rsidR="00532D82" w:rsidRDefault="00532D82">
      <w:pPr>
        <w:pStyle w:val="a3"/>
        <w:adjustRightInd w:val="0"/>
        <w:snapToGrid w:val="0"/>
        <w:spacing w:beforeLines="50" w:before="120" w:line="300" w:lineRule="auto"/>
        <w:ind w:leftChars="200" w:left="440"/>
        <w:jc w:val="both"/>
        <w:rPr>
          <w:sz w:val="21"/>
          <w:szCs w:val="21"/>
        </w:rPr>
      </w:pP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性能标准来源：</w:t>
      </w:r>
      <w:r>
        <w:rPr>
          <w:rFonts w:eastAsia="宋体" w:cs="宋体"/>
          <w:sz w:val="21"/>
          <w:lang w:eastAsia="zh-CN"/>
        </w:rPr>
        <w:t>标准基于提交至</w:t>
      </w:r>
      <w:r>
        <w:rPr>
          <w:rFonts w:eastAsia="宋体" w:cs="宋体"/>
          <w:sz w:val="21"/>
          <w:lang w:eastAsia="zh-CN"/>
        </w:rPr>
        <w:t>FDA</w:t>
      </w:r>
      <w:r>
        <w:rPr>
          <w:rFonts w:eastAsia="宋体" w:cs="宋体"/>
          <w:sz w:val="21"/>
          <w:lang w:eastAsia="zh-CN"/>
        </w:rPr>
        <w:t>的</w:t>
      </w:r>
      <w:r>
        <w:rPr>
          <w:rFonts w:eastAsia="宋体" w:cs="宋体"/>
          <w:sz w:val="21"/>
          <w:lang w:eastAsia="zh-CN"/>
        </w:rPr>
        <w:t>510(k)</w:t>
      </w:r>
      <w:r>
        <w:rPr>
          <w:rFonts w:eastAsia="宋体" w:cs="宋体"/>
          <w:sz w:val="21"/>
          <w:lang w:eastAsia="zh-CN"/>
        </w:rPr>
        <w:t>提交资料中包含的先前已证实具有实质等同性的脊柱接骨板系统的机械试验汇总数据。</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其他</w:t>
      </w:r>
      <w:proofErr w:type="gramStart"/>
      <w:r>
        <w:rPr>
          <w:rFonts w:eastAsia="宋体" w:cs="宋体"/>
          <w:b/>
          <w:sz w:val="21"/>
          <w:lang w:eastAsia="zh-CN"/>
        </w:rPr>
        <w:t>考量</w:t>
      </w:r>
      <w:proofErr w:type="gramEnd"/>
      <w:r>
        <w:rPr>
          <w:rFonts w:eastAsia="宋体" w:cs="宋体"/>
          <w:b/>
          <w:sz w:val="21"/>
          <w:lang w:eastAsia="zh-CN"/>
        </w:rPr>
        <w:t>因素：</w:t>
      </w:r>
      <w:r>
        <w:rPr>
          <w:rFonts w:eastAsia="宋体" w:cs="宋体"/>
          <w:sz w:val="21"/>
          <w:lang w:eastAsia="zh-CN"/>
        </w:rPr>
        <w:t>试验应至少包括</w:t>
      </w:r>
      <w:r>
        <w:rPr>
          <w:rFonts w:eastAsia="宋体" w:cs="宋体"/>
          <w:sz w:val="21"/>
          <w:lang w:eastAsia="zh-CN"/>
        </w:rPr>
        <w:t>5</w:t>
      </w:r>
      <w:r>
        <w:rPr>
          <w:rFonts w:eastAsia="宋体" w:cs="宋体"/>
          <w:sz w:val="21"/>
          <w:lang w:eastAsia="zh-CN"/>
        </w:rPr>
        <w:t>件符合</w:t>
      </w:r>
      <w:r>
        <w:rPr>
          <w:rFonts w:eastAsia="宋体" w:cs="宋体"/>
          <w:sz w:val="21"/>
          <w:lang w:eastAsia="zh-CN"/>
        </w:rPr>
        <w:t>ASTM F1717</w:t>
      </w:r>
      <w:r>
        <w:rPr>
          <w:rFonts w:eastAsia="宋体" w:cs="宋体"/>
          <w:sz w:val="21"/>
          <w:lang w:eastAsia="zh-CN"/>
        </w:rPr>
        <w:t>规定的样品。成功的试验结果应符合以下条件之一：（</w:t>
      </w:r>
      <w:r>
        <w:rPr>
          <w:rFonts w:eastAsia="宋体" w:cs="宋体"/>
          <w:sz w:val="21"/>
          <w:lang w:eastAsia="zh-CN"/>
        </w:rPr>
        <w:t>1</w:t>
      </w:r>
      <w:r>
        <w:rPr>
          <w:rFonts w:eastAsia="宋体" w:cs="宋体"/>
          <w:sz w:val="21"/>
          <w:lang w:eastAsia="zh-CN"/>
        </w:rPr>
        <w:t>）所有样品均应符合或超过上述验收标准，或（</w:t>
      </w:r>
      <w:r>
        <w:rPr>
          <w:rFonts w:eastAsia="宋体" w:cs="宋体"/>
          <w:sz w:val="21"/>
          <w:lang w:eastAsia="zh-CN"/>
        </w:rPr>
        <w:t>2</w:t>
      </w:r>
      <w:r>
        <w:rPr>
          <w:rFonts w:eastAsia="宋体" w:cs="宋体"/>
          <w:sz w:val="21"/>
          <w:lang w:eastAsia="zh-CN"/>
        </w:rPr>
        <w:t>）所有样品的平均值均应符合或超过上述标准，并且标准差应</w:t>
      </w:r>
      <w:r>
        <w:rPr>
          <w:rFonts w:eastAsia="宋体" w:cs="宋体"/>
          <w:sz w:val="21"/>
          <w:lang w:eastAsia="zh-CN"/>
        </w:rPr>
        <w:t>≤</w:t>
      </w:r>
      <w:r>
        <w:rPr>
          <w:rFonts w:eastAsia="宋体" w:cs="宋体"/>
          <w:sz w:val="21"/>
          <w:lang w:eastAsia="zh-CN"/>
        </w:rPr>
        <w:t>计算平均值的</w:t>
      </w:r>
      <w:r>
        <w:rPr>
          <w:rFonts w:eastAsia="宋体" w:cs="宋体"/>
          <w:sz w:val="21"/>
          <w:lang w:eastAsia="zh-CN"/>
        </w:rPr>
        <w:t>10%</w:t>
      </w:r>
      <w:r>
        <w:rPr>
          <w:rFonts w:eastAsia="宋体" w:cs="宋体"/>
          <w:sz w:val="21"/>
          <w:lang w:eastAsia="zh-CN"/>
        </w:rPr>
        <w:t>。对于单节段胸腰椎接骨板的试验，最</w:t>
      </w:r>
      <w:r>
        <w:rPr>
          <w:rFonts w:eastAsia="宋体" w:cs="宋体" w:hint="eastAsia"/>
          <w:sz w:val="21"/>
          <w:lang w:eastAsia="zh-CN"/>
        </w:rPr>
        <w:t>差</w:t>
      </w:r>
      <w:r>
        <w:rPr>
          <w:rFonts w:eastAsia="宋体" w:cs="宋体"/>
          <w:sz w:val="21"/>
          <w:lang w:eastAsia="zh-CN"/>
        </w:rPr>
        <w:t>情况的</w:t>
      </w:r>
      <w:r>
        <w:rPr>
          <w:rFonts w:eastAsia="宋体" w:cs="宋体" w:hint="eastAsia"/>
          <w:sz w:val="21"/>
          <w:lang w:eastAsia="zh-CN"/>
        </w:rPr>
        <w:t>工作</w:t>
      </w:r>
      <w:r>
        <w:rPr>
          <w:rFonts w:eastAsia="宋体" w:cs="宋体"/>
          <w:sz w:val="21"/>
          <w:lang w:eastAsia="zh-CN"/>
        </w:rPr>
        <w:t>长度应介于</w:t>
      </w:r>
      <w:r>
        <w:rPr>
          <w:rFonts w:eastAsia="宋体" w:cs="宋体"/>
          <w:sz w:val="21"/>
          <w:lang w:eastAsia="zh-CN"/>
        </w:rPr>
        <w:t>25 mm</w:t>
      </w:r>
      <w:r>
        <w:rPr>
          <w:rFonts w:eastAsia="宋体" w:cs="宋体"/>
          <w:sz w:val="21"/>
          <w:lang w:eastAsia="zh-CN"/>
        </w:rPr>
        <w:t>至</w:t>
      </w:r>
      <w:r>
        <w:rPr>
          <w:rFonts w:eastAsia="宋体" w:cs="宋体"/>
          <w:sz w:val="21"/>
          <w:lang w:eastAsia="zh-CN"/>
        </w:rPr>
        <w:t>40 mm</w:t>
      </w:r>
      <w:r>
        <w:rPr>
          <w:rFonts w:eastAsia="宋体" w:cs="宋体"/>
          <w:sz w:val="21"/>
          <w:lang w:eastAsia="zh-CN"/>
        </w:rPr>
        <w:t>之间，以与上表中所列的标准相当。</w:t>
      </w:r>
    </w:p>
    <w:p w:rsidR="00532D82" w:rsidRDefault="002739A8">
      <w:pPr>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提交信息</w:t>
      </w:r>
      <w:r>
        <w:rPr>
          <w:rFonts w:eastAsia="宋体" w:cs="宋体"/>
          <w:sz w:val="21"/>
          <w:lang w:eastAsia="zh-CN"/>
        </w:rPr>
        <w:t>：结果汇总和符合性声明</w:t>
      </w:r>
    </w:p>
    <w:p w:rsidR="00532D82" w:rsidRDefault="002739A8">
      <w:pPr>
        <w:adjustRightInd w:val="0"/>
        <w:snapToGrid w:val="0"/>
        <w:spacing w:beforeLines="50" w:before="120" w:line="300" w:lineRule="auto"/>
        <w:ind w:left="420" w:hangingChars="200" w:hanging="420"/>
        <w:jc w:val="both"/>
        <w:rPr>
          <w:sz w:val="21"/>
          <w:szCs w:val="21"/>
          <w:lang w:eastAsia="zh-CN"/>
        </w:rPr>
      </w:pPr>
      <w:r>
        <w:rPr>
          <w:rFonts w:eastAsia="宋体" w:cs="宋体"/>
          <w:sz w:val="21"/>
          <w:lang w:eastAsia="zh-CN"/>
        </w:rPr>
        <w:t>3.</w:t>
      </w:r>
      <w:r>
        <w:rPr>
          <w:rFonts w:eastAsia="宋体" w:cs="宋体"/>
          <w:sz w:val="21"/>
          <w:lang w:eastAsia="zh-CN"/>
        </w:rPr>
        <w:tab/>
      </w:r>
      <w:r>
        <w:rPr>
          <w:rFonts w:eastAsia="宋体" w:cs="宋体"/>
          <w:b/>
          <w:sz w:val="21"/>
          <w:lang w:eastAsia="zh-CN"/>
        </w:rPr>
        <w:t>试验名称：</w:t>
      </w:r>
      <w:r>
        <w:rPr>
          <w:rFonts w:eastAsia="宋体" w:cs="宋体"/>
          <w:sz w:val="21"/>
          <w:lang w:eastAsia="zh-CN"/>
        </w:rPr>
        <w:t xml:space="preserve">ASTM F1717 - </w:t>
      </w:r>
      <w:r>
        <w:rPr>
          <w:rFonts w:eastAsia="宋体" w:cs="宋体"/>
          <w:sz w:val="21"/>
          <w:lang w:eastAsia="zh-CN"/>
        </w:rPr>
        <w:t>《动态压缩弯曲疲劳试验》</w:t>
      </w:r>
    </w:p>
    <w:p w:rsidR="00532D82" w:rsidRDefault="002739A8">
      <w:pPr>
        <w:adjustRightInd w:val="0"/>
        <w:snapToGrid w:val="0"/>
        <w:spacing w:beforeLines="50" w:before="120" w:line="300" w:lineRule="auto"/>
        <w:ind w:leftChars="200" w:left="440"/>
        <w:jc w:val="both"/>
        <w:rPr>
          <w:i/>
          <w:sz w:val="21"/>
          <w:szCs w:val="21"/>
          <w:lang w:eastAsia="zh-CN"/>
        </w:rPr>
      </w:pPr>
      <w:r>
        <w:rPr>
          <w:rFonts w:eastAsia="宋体" w:cs="宋体"/>
          <w:b/>
          <w:sz w:val="21"/>
          <w:lang w:eastAsia="zh-CN"/>
        </w:rPr>
        <w:t>方法：</w:t>
      </w:r>
      <w:r>
        <w:rPr>
          <w:rFonts w:eastAsia="宋体" w:cs="宋体"/>
          <w:sz w:val="21"/>
          <w:lang w:eastAsia="zh-CN"/>
        </w:rPr>
        <w:t>ASTM F1717</w:t>
      </w:r>
      <w:r>
        <w:rPr>
          <w:rFonts w:eastAsia="宋体" w:cs="宋体"/>
          <w:sz w:val="21"/>
          <w:lang w:eastAsia="zh-CN"/>
        </w:rPr>
        <w:t>《椎体切除术模型中脊柱植入物试验方法》</w:t>
      </w:r>
    </w:p>
    <w:p w:rsidR="00532D82" w:rsidRDefault="002739A8">
      <w:pPr>
        <w:pStyle w:val="3"/>
        <w:adjustRightInd w:val="0"/>
        <w:snapToGrid w:val="0"/>
        <w:spacing w:beforeLines="50" w:before="120" w:line="300" w:lineRule="auto"/>
        <w:ind w:leftChars="200" w:left="440"/>
        <w:jc w:val="both"/>
        <w:rPr>
          <w:sz w:val="21"/>
          <w:szCs w:val="21"/>
          <w:lang w:eastAsia="zh-CN"/>
        </w:rPr>
      </w:pPr>
      <w:r>
        <w:rPr>
          <w:rFonts w:eastAsia="宋体" w:cs="宋体"/>
          <w:sz w:val="21"/>
          <w:lang w:eastAsia="zh-CN"/>
        </w:rPr>
        <w:t>性能标准：</w:t>
      </w:r>
    </w:p>
    <w:p w:rsidR="00532D82" w:rsidRDefault="002739A8">
      <w:pPr>
        <w:pStyle w:val="a3"/>
        <w:adjustRightInd w:val="0"/>
        <w:snapToGrid w:val="0"/>
        <w:spacing w:beforeLines="50" w:before="120" w:line="300" w:lineRule="auto"/>
        <w:ind w:leftChars="200" w:left="440"/>
        <w:jc w:val="both"/>
        <w:rPr>
          <w:rFonts w:eastAsiaTheme="minorEastAsia"/>
          <w:sz w:val="21"/>
          <w:szCs w:val="21"/>
          <w:lang w:eastAsia="zh-CN"/>
        </w:rPr>
      </w:pPr>
      <w:r>
        <w:rPr>
          <w:rFonts w:eastAsia="宋体" w:cs="宋体"/>
          <w:b/>
          <w:sz w:val="21"/>
          <w:lang w:eastAsia="zh-CN"/>
        </w:rPr>
        <w:t>表</w:t>
      </w:r>
      <w:r>
        <w:rPr>
          <w:rFonts w:eastAsia="宋体" w:cs="宋体"/>
          <w:b/>
          <w:sz w:val="21"/>
          <w:lang w:eastAsia="zh-CN"/>
        </w:rPr>
        <w:t>4 –</w:t>
      </w:r>
      <w:r>
        <w:rPr>
          <w:rFonts w:eastAsia="宋体" w:cs="宋体"/>
          <w:sz w:val="21"/>
          <w:lang w:eastAsia="zh-CN"/>
        </w:rPr>
        <w:t xml:space="preserve"> ASTM F1717</w:t>
      </w:r>
      <w:r>
        <w:rPr>
          <w:rFonts w:eastAsia="宋体" w:cs="宋体"/>
          <w:sz w:val="21"/>
          <w:lang w:eastAsia="zh-CN"/>
        </w:rPr>
        <w:t>《颈椎和胸腰椎接骨板系统的动态压缩弯曲验收标准》。</w:t>
      </w:r>
    </w:p>
    <w:tbl>
      <w:tblPr>
        <w:tblStyle w:val="TableNormal1"/>
        <w:tblW w:w="4710" w:type="pct"/>
        <w:jc w:val="right"/>
        <w:tblInd w:w="0"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CellMar>
          <w:left w:w="113" w:type="dxa"/>
          <w:right w:w="113" w:type="dxa"/>
        </w:tblCellMar>
        <w:tblLook w:val="04A0" w:firstRow="1" w:lastRow="0" w:firstColumn="1" w:lastColumn="0" w:noHBand="0" w:noVBand="1"/>
      </w:tblPr>
      <w:tblGrid>
        <w:gridCol w:w="2189"/>
        <w:gridCol w:w="2189"/>
        <w:gridCol w:w="2190"/>
        <w:gridCol w:w="2190"/>
      </w:tblGrid>
      <w:tr w:rsidR="00532D82">
        <w:trPr>
          <w:trHeight w:val="20"/>
          <w:jc w:val="right"/>
        </w:trPr>
        <w:tc>
          <w:tcPr>
            <w:tcW w:w="1250" w:type="pct"/>
            <w:tcBorders>
              <w:bottom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Pr>
                <w:rFonts w:ascii="Times New Roman" w:eastAsia="宋体" w:hAnsi="Times New Roman" w:cs="宋体"/>
                <w:b/>
                <w:sz w:val="18"/>
              </w:rPr>
              <w:t>试验参数</w:t>
            </w:r>
            <w:proofErr w:type="spellEnd"/>
          </w:p>
        </w:tc>
        <w:tc>
          <w:tcPr>
            <w:tcW w:w="1250" w:type="pct"/>
            <w:tcBorders>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rPr>
            </w:pPr>
            <w:proofErr w:type="spellStart"/>
            <w:r>
              <w:rPr>
                <w:rFonts w:ascii="Times New Roman" w:eastAsia="宋体" w:hAnsi="Times New Roman" w:cs="宋体"/>
                <w:b/>
                <w:sz w:val="18"/>
              </w:rPr>
              <w:t>颈椎（双节段结构</w:t>
            </w:r>
            <w:proofErr w:type="spellEnd"/>
            <w:r>
              <w:rPr>
                <w:rFonts w:ascii="Times New Roman" w:eastAsia="宋体" w:hAnsi="Times New Roman" w:cs="宋体"/>
                <w:b/>
                <w:sz w:val="18"/>
              </w:rPr>
              <w:t>）</w:t>
            </w:r>
          </w:p>
        </w:tc>
        <w:tc>
          <w:tcPr>
            <w:tcW w:w="1250" w:type="pct"/>
            <w:tcBorders>
              <w:left w:val="single" w:sz="4" w:space="0" w:color="000000"/>
              <w:bottom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Pr>
                <w:rFonts w:ascii="Times New Roman" w:eastAsia="宋体" w:hAnsi="Times New Roman" w:cs="宋体"/>
                <w:b/>
                <w:sz w:val="18"/>
                <w:lang w:eastAsia="zh-CN"/>
              </w:rPr>
              <w:t>胸腰椎（单节段结构）</w:t>
            </w:r>
          </w:p>
        </w:tc>
        <w:tc>
          <w:tcPr>
            <w:tcW w:w="1250" w:type="pct"/>
            <w:tcBorders>
              <w:left w:val="single" w:sz="4" w:space="0" w:color="000000"/>
              <w:bottom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Pr>
                <w:rFonts w:ascii="Times New Roman" w:eastAsia="宋体" w:hAnsi="Times New Roman" w:cs="宋体"/>
                <w:b/>
                <w:sz w:val="18"/>
                <w:lang w:eastAsia="zh-CN"/>
              </w:rPr>
              <w:t>胸腰椎（双节段结构）</w:t>
            </w:r>
          </w:p>
        </w:tc>
      </w:tr>
      <w:tr w:rsidR="00532D82">
        <w:trPr>
          <w:trHeight w:val="20"/>
          <w:jc w:val="right"/>
        </w:trPr>
        <w:tc>
          <w:tcPr>
            <w:tcW w:w="1250" w:type="pct"/>
            <w:tcBorders>
              <w:top w:val="single" w:sz="4" w:space="0" w:color="000000"/>
              <w:right w:val="single" w:sz="4" w:space="0" w:color="000000"/>
            </w:tcBorders>
          </w:tcPr>
          <w:p w:rsidR="00532D82" w:rsidRDefault="002739A8">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Pr>
                <w:rFonts w:ascii="Times New Roman" w:eastAsia="宋体" w:hAnsi="Times New Roman" w:cs="宋体"/>
                <w:b/>
                <w:sz w:val="18"/>
                <w:lang w:eastAsia="zh-CN"/>
              </w:rPr>
              <w:t>动态压缩弯曲</w:t>
            </w:r>
            <w:r>
              <w:rPr>
                <w:rFonts w:ascii="Times New Roman" w:eastAsia="宋体" w:hAnsi="Times New Roman" w:cs="宋体" w:hint="eastAsia"/>
                <w:b/>
                <w:sz w:val="18"/>
                <w:lang w:eastAsia="zh-CN"/>
              </w:rPr>
              <w:t>5</w:t>
            </w:r>
            <w:proofErr w:type="gramStart"/>
            <w:r>
              <w:rPr>
                <w:rFonts w:ascii="Times New Roman" w:eastAsia="宋体" w:hAnsi="Times New Roman" w:cs="宋体" w:hint="eastAsia"/>
                <w:b/>
                <w:sz w:val="18"/>
                <w:lang w:eastAsia="zh-CN"/>
              </w:rPr>
              <w:t>百万</w:t>
            </w:r>
            <w:proofErr w:type="gramEnd"/>
            <w:r>
              <w:rPr>
                <w:rFonts w:ascii="Times New Roman" w:eastAsia="宋体" w:hAnsi="Times New Roman" w:cs="宋体" w:hint="eastAsia"/>
                <w:b/>
                <w:sz w:val="18"/>
                <w:lang w:eastAsia="zh-CN"/>
              </w:rPr>
              <w:t>次循环条件下的</w:t>
            </w:r>
            <w:r>
              <w:rPr>
                <w:rFonts w:ascii="Times New Roman" w:eastAsia="宋体" w:hAnsi="Times New Roman" w:cs="宋体"/>
                <w:b/>
                <w:sz w:val="18"/>
                <w:lang w:eastAsia="zh-CN"/>
              </w:rPr>
              <w:t>失载负荷（</w:t>
            </w:r>
            <w:r>
              <w:rPr>
                <w:rFonts w:ascii="Times New Roman" w:eastAsia="宋体" w:hAnsi="Times New Roman" w:cs="宋体"/>
                <w:b/>
                <w:sz w:val="18"/>
                <w:lang w:eastAsia="zh-CN"/>
              </w:rPr>
              <w:t>N</w:t>
            </w:r>
            <w:r>
              <w:rPr>
                <w:rFonts w:ascii="Times New Roman" w:eastAsia="宋体" w:hAnsi="Times New Roman" w:cs="宋体"/>
                <w:b/>
                <w:sz w:val="18"/>
                <w:lang w:eastAsia="zh-CN"/>
              </w:rPr>
              <w:t>）</w:t>
            </w:r>
          </w:p>
        </w:tc>
        <w:tc>
          <w:tcPr>
            <w:tcW w:w="1250" w:type="pct"/>
            <w:tcBorders>
              <w:top w:val="single" w:sz="4" w:space="0" w:color="000000"/>
              <w:left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40 N</w:t>
            </w:r>
          </w:p>
        </w:tc>
        <w:tc>
          <w:tcPr>
            <w:tcW w:w="1250" w:type="pct"/>
            <w:tcBorders>
              <w:top w:val="single" w:sz="4" w:space="0" w:color="000000"/>
              <w:left w:val="single" w:sz="4" w:space="0" w:color="000000"/>
              <w:righ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165 N</w:t>
            </w:r>
          </w:p>
        </w:tc>
        <w:tc>
          <w:tcPr>
            <w:tcW w:w="1250" w:type="pct"/>
            <w:tcBorders>
              <w:top w:val="single" w:sz="4" w:space="0" w:color="000000"/>
              <w:left w:val="single" w:sz="4" w:space="0" w:color="000000"/>
            </w:tcBorders>
            <w:vAlign w:val="center"/>
          </w:tcPr>
          <w:p w:rsidR="00532D82" w:rsidRDefault="002739A8">
            <w:pPr>
              <w:pStyle w:val="TableParagraph"/>
              <w:adjustRightInd w:val="0"/>
              <w:snapToGrid w:val="0"/>
              <w:spacing w:beforeLines="15" w:before="36" w:line="276" w:lineRule="auto"/>
              <w:ind w:left="0"/>
              <w:jc w:val="center"/>
              <w:rPr>
                <w:rFonts w:ascii="Times New Roman" w:hAnsi="Times New Roman" w:cs="Times New Roman"/>
                <w:sz w:val="18"/>
                <w:szCs w:val="21"/>
              </w:rPr>
            </w:pPr>
            <w:r>
              <w:rPr>
                <w:rFonts w:ascii="Times New Roman" w:hAnsi="Times New Roman" w:cs="Times New Roman"/>
                <w:sz w:val="18"/>
                <w:szCs w:val="21"/>
              </w:rPr>
              <w:t>165 N</w:t>
            </w:r>
          </w:p>
        </w:tc>
      </w:tr>
    </w:tbl>
    <w:p w:rsidR="00532D82" w:rsidRDefault="00532D82">
      <w:pPr>
        <w:pStyle w:val="a3"/>
        <w:adjustRightInd w:val="0"/>
        <w:snapToGrid w:val="0"/>
        <w:spacing w:beforeLines="50" w:before="120" w:line="300" w:lineRule="auto"/>
        <w:ind w:leftChars="200" w:left="440"/>
        <w:jc w:val="both"/>
        <w:rPr>
          <w:sz w:val="21"/>
          <w:szCs w:val="21"/>
        </w:rPr>
      </w:pP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性能标准来源：</w:t>
      </w:r>
      <w:r>
        <w:rPr>
          <w:rFonts w:eastAsia="宋体" w:cs="宋体"/>
          <w:sz w:val="21"/>
          <w:lang w:eastAsia="zh-CN"/>
        </w:rPr>
        <w:t>标准基于提交至</w:t>
      </w:r>
      <w:r>
        <w:rPr>
          <w:rFonts w:eastAsia="宋体" w:cs="宋体"/>
          <w:sz w:val="21"/>
          <w:lang w:eastAsia="zh-CN"/>
        </w:rPr>
        <w:t>FDA</w:t>
      </w:r>
      <w:r>
        <w:rPr>
          <w:rFonts w:eastAsia="宋体" w:cs="宋体"/>
          <w:sz w:val="21"/>
          <w:lang w:eastAsia="zh-CN"/>
        </w:rPr>
        <w:t>的</w:t>
      </w:r>
      <w:r>
        <w:rPr>
          <w:rFonts w:eastAsia="宋体" w:cs="宋体"/>
          <w:sz w:val="21"/>
          <w:lang w:eastAsia="zh-CN"/>
        </w:rPr>
        <w:t>510(k)</w:t>
      </w:r>
      <w:r>
        <w:rPr>
          <w:rFonts w:eastAsia="宋体" w:cs="宋体"/>
          <w:sz w:val="21"/>
          <w:lang w:eastAsia="zh-CN"/>
        </w:rPr>
        <w:t>提交资料中包含的先前已证实具有实质等同性的脊柱接骨板系统的机械试验汇总数据。</w:t>
      </w:r>
    </w:p>
    <w:p w:rsidR="00532D82" w:rsidRDefault="002739A8">
      <w:pPr>
        <w:adjustRightInd w:val="0"/>
        <w:snapToGrid w:val="0"/>
        <w:spacing w:beforeLines="50" w:before="120" w:line="300" w:lineRule="auto"/>
        <w:jc w:val="both"/>
        <w:rPr>
          <w:b/>
          <w:sz w:val="21"/>
          <w:szCs w:val="21"/>
          <w:lang w:eastAsia="zh-CN"/>
        </w:rPr>
      </w:pPr>
      <w:r>
        <w:rPr>
          <w:rFonts w:eastAsia="宋体" w:cs="宋体"/>
          <w:b/>
          <w:sz w:val="21"/>
          <w:lang w:eastAsia="zh-CN"/>
        </w:rPr>
        <w:br w:type="page"/>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lastRenderedPageBreak/>
        <w:t>其他</w:t>
      </w:r>
      <w:proofErr w:type="gramStart"/>
      <w:r>
        <w:rPr>
          <w:rFonts w:eastAsia="宋体" w:cs="宋体"/>
          <w:b/>
          <w:sz w:val="21"/>
          <w:lang w:eastAsia="zh-CN"/>
        </w:rPr>
        <w:t>考量</w:t>
      </w:r>
      <w:proofErr w:type="gramEnd"/>
      <w:r>
        <w:rPr>
          <w:rFonts w:eastAsia="宋体" w:cs="宋体"/>
          <w:b/>
          <w:sz w:val="21"/>
          <w:lang w:eastAsia="zh-CN"/>
        </w:rPr>
        <w:t>因素：</w:t>
      </w:r>
      <w:r>
        <w:rPr>
          <w:rFonts w:eastAsia="宋体" w:cs="宋体"/>
          <w:sz w:val="21"/>
          <w:lang w:eastAsia="zh-CN"/>
        </w:rPr>
        <w:t>疲劳试验应</w:t>
      </w:r>
      <w:bookmarkStart w:id="0" w:name="_GoBack"/>
      <w:bookmarkEnd w:id="0"/>
      <w:r>
        <w:rPr>
          <w:rFonts w:eastAsia="宋体" w:cs="宋体"/>
          <w:sz w:val="21"/>
          <w:lang w:eastAsia="zh-CN"/>
        </w:rPr>
        <w:t>使用至少</w:t>
      </w:r>
      <w:r>
        <w:rPr>
          <w:rFonts w:eastAsia="宋体" w:cs="宋体"/>
          <w:sz w:val="21"/>
          <w:lang w:eastAsia="zh-CN"/>
        </w:rPr>
        <w:t>6</w:t>
      </w:r>
      <w:r>
        <w:rPr>
          <w:rFonts w:eastAsia="宋体" w:cs="宋体"/>
          <w:sz w:val="21"/>
          <w:lang w:eastAsia="zh-CN"/>
        </w:rPr>
        <w:t>件样品，在确立的最高失载负荷下至少出现</w:t>
      </w:r>
      <w:r>
        <w:rPr>
          <w:rFonts w:eastAsia="宋体" w:cs="宋体"/>
          <w:sz w:val="21"/>
          <w:lang w:eastAsia="zh-CN"/>
        </w:rPr>
        <w:t>2</w:t>
      </w:r>
      <w:r>
        <w:rPr>
          <w:rFonts w:eastAsia="宋体" w:cs="宋体"/>
          <w:sz w:val="21"/>
          <w:lang w:eastAsia="zh-CN"/>
        </w:rPr>
        <w:t>次</w:t>
      </w:r>
      <w:proofErr w:type="gramStart"/>
      <w:r>
        <w:rPr>
          <w:rFonts w:eastAsia="宋体" w:cs="宋体"/>
          <w:sz w:val="21"/>
          <w:lang w:eastAsia="zh-CN"/>
        </w:rPr>
        <w:t>失载和至少</w:t>
      </w:r>
      <w:proofErr w:type="gramEnd"/>
      <w:r>
        <w:rPr>
          <w:rFonts w:eastAsia="宋体" w:cs="宋体"/>
          <w:sz w:val="21"/>
          <w:lang w:eastAsia="zh-CN"/>
        </w:rPr>
        <w:t>1</w:t>
      </w:r>
      <w:r>
        <w:rPr>
          <w:rFonts w:eastAsia="宋体" w:cs="宋体"/>
          <w:sz w:val="21"/>
          <w:lang w:eastAsia="zh-CN"/>
        </w:rPr>
        <w:t>次失效。疲劳精度（最低失效载荷与确立的最高失载负荷的比值）应符合</w:t>
      </w:r>
      <w:r>
        <w:rPr>
          <w:rFonts w:eastAsia="宋体" w:cs="宋体"/>
          <w:sz w:val="21"/>
          <w:lang w:eastAsia="zh-CN"/>
        </w:rPr>
        <w:t>ASTM F1717</w:t>
      </w:r>
      <w:r>
        <w:rPr>
          <w:rFonts w:eastAsia="宋体" w:cs="宋体"/>
          <w:sz w:val="21"/>
          <w:lang w:eastAsia="zh-CN"/>
        </w:rPr>
        <w:t>中规定的水平。对于单节段胸腰椎接骨板的试验，最</w:t>
      </w:r>
      <w:r>
        <w:rPr>
          <w:rFonts w:eastAsia="宋体" w:cs="宋体" w:hint="eastAsia"/>
          <w:sz w:val="21"/>
          <w:lang w:eastAsia="zh-CN"/>
        </w:rPr>
        <w:t>差</w:t>
      </w:r>
      <w:r>
        <w:rPr>
          <w:rFonts w:eastAsia="宋体" w:cs="宋体"/>
          <w:sz w:val="21"/>
          <w:lang w:eastAsia="zh-CN"/>
        </w:rPr>
        <w:t>情况的</w:t>
      </w:r>
      <w:r>
        <w:rPr>
          <w:rFonts w:eastAsia="宋体" w:cs="宋体" w:hint="eastAsia"/>
          <w:sz w:val="21"/>
          <w:lang w:eastAsia="zh-CN"/>
        </w:rPr>
        <w:t>工作</w:t>
      </w:r>
      <w:r>
        <w:rPr>
          <w:rFonts w:eastAsia="宋体" w:cs="宋体"/>
          <w:sz w:val="21"/>
          <w:lang w:eastAsia="zh-CN"/>
        </w:rPr>
        <w:t>长度应介于</w:t>
      </w:r>
      <w:r>
        <w:rPr>
          <w:rFonts w:eastAsia="宋体" w:cs="宋体"/>
          <w:sz w:val="21"/>
          <w:lang w:eastAsia="zh-CN"/>
        </w:rPr>
        <w:t>25 mm</w:t>
      </w:r>
      <w:r>
        <w:rPr>
          <w:rFonts w:eastAsia="宋体" w:cs="宋体"/>
          <w:sz w:val="21"/>
          <w:lang w:eastAsia="zh-CN"/>
        </w:rPr>
        <w:t>至</w:t>
      </w:r>
      <w:r>
        <w:rPr>
          <w:rFonts w:eastAsia="宋体" w:cs="宋体"/>
          <w:sz w:val="21"/>
          <w:lang w:eastAsia="zh-CN"/>
        </w:rPr>
        <w:t>40 mm</w:t>
      </w:r>
      <w:r>
        <w:rPr>
          <w:rFonts w:eastAsia="宋体" w:cs="宋体"/>
          <w:sz w:val="21"/>
          <w:lang w:eastAsia="zh-CN"/>
        </w:rPr>
        <w:t>之间，以与上表中所列的标准相当。</w:t>
      </w:r>
    </w:p>
    <w:p w:rsidR="00532D82" w:rsidRDefault="002739A8">
      <w:pPr>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提交信息</w:t>
      </w:r>
      <w:r>
        <w:rPr>
          <w:rFonts w:eastAsia="宋体" w:cs="宋体"/>
          <w:sz w:val="21"/>
          <w:lang w:eastAsia="zh-CN"/>
        </w:rPr>
        <w:t>：结果汇总和符合性声明</w:t>
      </w:r>
    </w:p>
    <w:p w:rsidR="00532D82" w:rsidRDefault="002739A8">
      <w:pPr>
        <w:pStyle w:val="3"/>
        <w:adjustRightInd w:val="0"/>
        <w:snapToGrid w:val="0"/>
        <w:spacing w:beforeLines="50" w:before="120" w:line="300" w:lineRule="auto"/>
        <w:ind w:left="0"/>
        <w:jc w:val="both"/>
        <w:rPr>
          <w:sz w:val="21"/>
          <w:szCs w:val="21"/>
          <w:u w:val="single"/>
          <w:lang w:eastAsia="zh-CN"/>
        </w:rPr>
      </w:pPr>
      <w:r>
        <w:rPr>
          <w:rFonts w:eastAsia="宋体" w:cs="宋体"/>
          <w:sz w:val="21"/>
          <w:u w:val="single"/>
          <w:lang w:eastAsia="zh-CN"/>
        </w:rPr>
        <w:t>灭菌（器械标签显示为无菌）和再处理（终端用户灭菌）确认</w:t>
      </w:r>
    </w:p>
    <w:p w:rsidR="00532D82" w:rsidRDefault="002739A8">
      <w:pPr>
        <w:adjustRightInd w:val="0"/>
        <w:snapToGrid w:val="0"/>
        <w:spacing w:beforeLines="50" w:before="120" w:line="300" w:lineRule="auto"/>
        <w:ind w:left="420" w:hangingChars="200" w:hanging="420"/>
        <w:jc w:val="both"/>
        <w:rPr>
          <w:sz w:val="21"/>
          <w:szCs w:val="21"/>
          <w:lang w:eastAsia="zh-CN"/>
        </w:rPr>
      </w:pPr>
      <w:r>
        <w:rPr>
          <w:rFonts w:eastAsia="宋体" w:cs="宋体"/>
          <w:sz w:val="21"/>
          <w:lang w:eastAsia="zh-CN"/>
        </w:rPr>
        <w:t>4.</w:t>
      </w:r>
      <w:r>
        <w:rPr>
          <w:rFonts w:eastAsia="宋体" w:cs="宋体"/>
          <w:sz w:val="21"/>
          <w:lang w:eastAsia="zh-CN"/>
        </w:rPr>
        <w:tab/>
      </w:r>
      <w:r>
        <w:rPr>
          <w:rFonts w:eastAsia="宋体" w:cs="宋体"/>
          <w:b/>
          <w:sz w:val="21"/>
          <w:lang w:eastAsia="zh-CN"/>
        </w:rPr>
        <w:t>试验名称：</w:t>
      </w:r>
      <w:r>
        <w:rPr>
          <w:rFonts w:eastAsia="宋体" w:cs="宋体"/>
          <w:sz w:val="21"/>
          <w:lang w:eastAsia="zh-CN"/>
        </w:rPr>
        <w:t>灭菌（器械标签显示为无菌）和再处理（终端用户灭菌）</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方法：</w:t>
      </w:r>
      <w:r>
        <w:rPr>
          <w:rFonts w:eastAsia="宋体" w:cs="宋体"/>
          <w:sz w:val="21"/>
          <w:lang w:eastAsia="zh-CN"/>
        </w:rPr>
        <w:t>FDA</w:t>
      </w:r>
      <w:r>
        <w:rPr>
          <w:rFonts w:eastAsia="宋体" w:cs="宋体"/>
          <w:sz w:val="21"/>
          <w:lang w:eastAsia="zh-CN"/>
        </w:rPr>
        <w:t>认可的以下共识标准的最新版本（如适用）：</w:t>
      </w:r>
    </w:p>
    <w:p w:rsidR="00532D82" w:rsidRDefault="002739A8">
      <w:pPr>
        <w:pStyle w:val="a8"/>
        <w:numPr>
          <w:ilvl w:val="0"/>
          <w:numId w:val="3"/>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lang w:eastAsia="zh-CN"/>
        </w:rPr>
        <w:t>国际标准化组织（</w:t>
      </w:r>
      <w:r>
        <w:rPr>
          <w:rFonts w:eastAsia="宋体" w:cs="宋体"/>
          <w:sz w:val="21"/>
          <w:lang w:eastAsia="zh-CN"/>
        </w:rPr>
        <w:t>ISO</w:t>
      </w:r>
      <w:r>
        <w:rPr>
          <w:rFonts w:eastAsia="宋体" w:cs="宋体"/>
          <w:sz w:val="21"/>
          <w:lang w:eastAsia="zh-CN"/>
        </w:rPr>
        <w:t>）</w:t>
      </w:r>
      <w:r>
        <w:rPr>
          <w:rFonts w:eastAsia="宋体" w:cs="宋体"/>
          <w:sz w:val="21"/>
          <w:lang w:eastAsia="zh-CN"/>
        </w:rPr>
        <w:t xml:space="preserve">17665-1 </w:t>
      </w:r>
      <w:r>
        <w:rPr>
          <w:rFonts w:eastAsia="宋体" w:cs="宋体"/>
          <w:sz w:val="21"/>
          <w:lang w:eastAsia="zh-CN"/>
        </w:rPr>
        <w:t>《医疗保健产品灭菌</w:t>
      </w:r>
      <w:r>
        <w:rPr>
          <w:rFonts w:eastAsia="宋体" w:cs="宋体"/>
          <w:sz w:val="21"/>
          <w:lang w:eastAsia="zh-CN"/>
        </w:rPr>
        <w:t>-</w:t>
      </w:r>
      <w:r>
        <w:rPr>
          <w:rFonts w:eastAsia="宋体" w:cs="宋体"/>
          <w:sz w:val="21"/>
          <w:lang w:eastAsia="zh-CN"/>
        </w:rPr>
        <w:t>湿热法</w:t>
      </w:r>
      <w:r>
        <w:rPr>
          <w:rFonts w:eastAsia="宋体" w:cs="宋体"/>
          <w:sz w:val="21"/>
          <w:lang w:eastAsia="zh-CN"/>
        </w:rPr>
        <w:t>-</w:t>
      </w:r>
      <w:r>
        <w:rPr>
          <w:rFonts w:eastAsia="宋体" w:cs="宋体"/>
          <w:sz w:val="21"/>
          <w:lang w:eastAsia="zh-CN"/>
        </w:rPr>
        <w:t>第</w:t>
      </w:r>
      <w:r>
        <w:rPr>
          <w:rFonts w:eastAsia="宋体" w:cs="宋体"/>
          <w:sz w:val="21"/>
          <w:lang w:eastAsia="zh-CN"/>
        </w:rPr>
        <w:t>1</w:t>
      </w:r>
      <w:r>
        <w:rPr>
          <w:rFonts w:eastAsia="宋体" w:cs="宋体"/>
          <w:sz w:val="21"/>
          <w:lang w:eastAsia="zh-CN"/>
        </w:rPr>
        <w:t>部分：医疗器械灭菌工艺的开发、确认和常规控制的要求》</w:t>
      </w:r>
    </w:p>
    <w:p w:rsidR="00532D82" w:rsidRDefault="002739A8">
      <w:pPr>
        <w:pStyle w:val="a8"/>
        <w:numPr>
          <w:ilvl w:val="0"/>
          <w:numId w:val="3"/>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lang w:eastAsia="zh-CN"/>
        </w:rPr>
        <w:t>ISO 11135-1</w:t>
      </w:r>
      <w:r>
        <w:rPr>
          <w:rFonts w:eastAsia="宋体" w:cs="宋体"/>
          <w:sz w:val="21"/>
          <w:lang w:eastAsia="zh-CN"/>
        </w:rPr>
        <w:t>《医疗保健产品灭菌</w:t>
      </w:r>
      <w:r>
        <w:rPr>
          <w:rFonts w:eastAsia="宋体" w:cs="宋体"/>
          <w:sz w:val="21"/>
          <w:lang w:eastAsia="zh-CN"/>
        </w:rPr>
        <w:t xml:space="preserve"> - </w:t>
      </w:r>
      <w:r>
        <w:rPr>
          <w:rFonts w:eastAsia="宋体" w:cs="宋体"/>
          <w:sz w:val="21"/>
          <w:lang w:eastAsia="zh-CN"/>
        </w:rPr>
        <w:t>环氧乙烷</w:t>
      </w:r>
      <w:r>
        <w:rPr>
          <w:rFonts w:eastAsia="宋体" w:cs="宋体"/>
          <w:sz w:val="21"/>
          <w:lang w:eastAsia="zh-CN"/>
        </w:rPr>
        <w:t xml:space="preserve"> - </w:t>
      </w:r>
      <w:r>
        <w:rPr>
          <w:rFonts w:eastAsia="宋体" w:cs="宋体"/>
          <w:sz w:val="21"/>
          <w:lang w:eastAsia="zh-CN"/>
        </w:rPr>
        <w:t>第</w:t>
      </w:r>
      <w:r>
        <w:rPr>
          <w:rFonts w:eastAsia="宋体" w:cs="宋体"/>
          <w:sz w:val="21"/>
          <w:lang w:eastAsia="zh-CN"/>
        </w:rPr>
        <w:t>1</w:t>
      </w:r>
      <w:r>
        <w:rPr>
          <w:rFonts w:eastAsia="宋体" w:cs="宋体"/>
          <w:sz w:val="21"/>
          <w:lang w:eastAsia="zh-CN"/>
        </w:rPr>
        <w:t>部分：医疗器械灭菌过程的开发、确认和常规控制的要求》</w:t>
      </w:r>
    </w:p>
    <w:p w:rsidR="00532D82" w:rsidRDefault="002739A8">
      <w:pPr>
        <w:pStyle w:val="a8"/>
        <w:numPr>
          <w:ilvl w:val="0"/>
          <w:numId w:val="3"/>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lang w:eastAsia="zh-CN"/>
        </w:rPr>
        <w:t>ISO 11137-1</w:t>
      </w:r>
      <w:r>
        <w:rPr>
          <w:rFonts w:eastAsia="宋体" w:cs="宋体"/>
          <w:sz w:val="21"/>
          <w:lang w:eastAsia="zh-CN"/>
        </w:rPr>
        <w:t>《医疗保健产品灭菌</w:t>
      </w:r>
      <w:r>
        <w:rPr>
          <w:rFonts w:eastAsia="宋体" w:cs="宋体"/>
          <w:sz w:val="21"/>
          <w:lang w:eastAsia="zh-CN"/>
        </w:rPr>
        <w:t xml:space="preserve"> - </w:t>
      </w:r>
      <w:r>
        <w:rPr>
          <w:rFonts w:eastAsia="宋体" w:cs="宋体"/>
          <w:sz w:val="21"/>
          <w:lang w:eastAsia="zh-CN"/>
        </w:rPr>
        <w:t>辐射</w:t>
      </w:r>
      <w:r>
        <w:rPr>
          <w:rFonts w:eastAsia="宋体" w:cs="宋体"/>
          <w:sz w:val="21"/>
          <w:lang w:eastAsia="zh-CN"/>
        </w:rPr>
        <w:t xml:space="preserve"> - </w:t>
      </w:r>
      <w:r>
        <w:rPr>
          <w:rFonts w:eastAsia="宋体" w:cs="宋体"/>
          <w:sz w:val="21"/>
          <w:lang w:eastAsia="zh-CN"/>
        </w:rPr>
        <w:t>第</w:t>
      </w:r>
      <w:r>
        <w:rPr>
          <w:rFonts w:eastAsia="宋体" w:cs="宋体"/>
          <w:sz w:val="21"/>
          <w:lang w:eastAsia="zh-CN"/>
        </w:rPr>
        <w:t>1</w:t>
      </w:r>
      <w:r>
        <w:rPr>
          <w:rFonts w:eastAsia="宋体" w:cs="宋体"/>
          <w:sz w:val="21"/>
          <w:lang w:eastAsia="zh-CN"/>
        </w:rPr>
        <w:t>部分：医疗器械灭菌过程的开发、确认和常规控制的要求》</w:t>
      </w:r>
    </w:p>
    <w:p w:rsidR="00532D82" w:rsidRDefault="002739A8">
      <w:pPr>
        <w:pStyle w:val="a8"/>
        <w:numPr>
          <w:ilvl w:val="0"/>
          <w:numId w:val="3"/>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lang w:eastAsia="zh-CN"/>
        </w:rPr>
        <w:t xml:space="preserve">ISO 11607-1 </w:t>
      </w:r>
      <w:r>
        <w:rPr>
          <w:rFonts w:eastAsia="宋体" w:cs="宋体"/>
          <w:sz w:val="21"/>
          <w:lang w:eastAsia="zh-CN"/>
        </w:rPr>
        <w:t>《最终灭菌医疗器械包装</w:t>
      </w:r>
      <w:r>
        <w:rPr>
          <w:rFonts w:eastAsia="宋体" w:cs="宋体"/>
          <w:sz w:val="21"/>
          <w:lang w:eastAsia="zh-CN"/>
        </w:rPr>
        <w:t>-</w:t>
      </w:r>
      <w:r>
        <w:rPr>
          <w:rFonts w:eastAsia="宋体" w:cs="宋体"/>
          <w:sz w:val="21"/>
          <w:lang w:eastAsia="zh-CN"/>
        </w:rPr>
        <w:t>第</w:t>
      </w:r>
      <w:r>
        <w:rPr>
          <w:rFonts w:eastAsia="宋体" w:cs="宋体"/>
          <w:sz w:val="21"/>
          <w:lang w:eastAsia="zh-CN"/>
        </w:rPr>
        <w:t>1</w:t>
      </w:r>
      <w:r>
        <w:rPr>
          <w:rFonts w:eastAsia="宋体" w:cs="宋体"/>
          <w:sz w:val="21"/>
          <w:lang w:eastAsia="zh-CN"/>
        </w:rPr>
        <w:t>部分：材料、无菌屏障系统和包装系统的要求》</w:t>
      </w:r>
    </w:p>
    <w:p w:rsidR="00532D82" w:rsidRDefault="002739A8">
      <w:pPr>
        <w:pStyle w:val="a8"/>
        <w:numPr>
          <w:ilvl w:val="0"/>
          <w:numId w:val="3"/>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lang w:eastAsia="zh-CN"/>
        </w:rPr>
        <w:t xml:space="preserve">ISO 11607-2 </w:t>
      </w:r>
      <w:r>
        <w:rPr>
          <w:rFonts w:eastAsia="宋体" w:cs="宋体"/>
          <w:sz w:val="21"/>
          <w:lang w:eastAsia="zh-CN"/>
        </w:rPr>
        <w:t>《最终灭菌医疗器械包装</w:t>
      </w:r>
      <w:r>
        <w:rPr>
          <w:rFonts w:eastAsia="宋体" w:cs="宋体"/>
          <w:sz w:val="21"/>
          <w:lang w:eastAsia="zh-CN"/>
        </w:rPr>
        <w:t>-</w:t>
      </w:r>
      <w:r>
        <w:rPr>
          <w:rFonts w:eastAsia="宋体" w:cs="宋体"/>
          <w:sz w:val="21"/>
          <w:lang w:eastAsia="zh-CN"/>
        </w:rPr>
        <w:t>第</w:t>
      </w:r>
      <w:r>
        <w:rPr>
          <w:rFonts w:eastAsia="宋体" w:cs="宋体"/>
          <w:sz w:val="21"/>
          <w:lang w:eastAsia="zh-CN"/>
        </w:rPr>
        <w:t>2</w:t>
      </w:r>
      <w:r>
        <w:rPr>
          <w:rFonts w:eastAsia="宋体" w:cs="宋体"/>
          <w:sz w:val="21"/>
          <w:lang w:eastAsia="zh-CN"/>
        </w:rPr>
        <w:t>部分：成形、密封和装配过程的确认的要求》</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性能标准：</w:t>
      </w:r>
      <w:r>
        <w:rPr>
          <w:rFonts w:eastAsia="宋体" w:cs="宋体"/>
          <w:sz w:val="21"/>
          <w:lang w:eastAsia="zh-CN"/>
        </w:rPr>
        <w:t>确认试验应证明器械和器械专用仪器的清洁度和无菌性，或清洁和灭菌达到</w:t>
      </w:r>
      <w:r>
        <w:rPr>
          <w:rFonts w:eastAsia="宋体" w:cs="宋体"/>
          <w:sz w:val="21"/>
          <w:lang w:eastAsia="zh-CN"/>
        </w:rPr>
        <w:t>10</w:t>
      </w:r>
      <w:r>
        <w:rPr>
          <w:rFonts w:eastAsia="宋体" w:cs="宋体"/>
          <w:sz w:val="21"/>
          <w:vertAlign w:val="superscript"/>
          <w:lang w:eastAsia="zh-CN"/>
        </w:rPr>
        <w:t>-6</w:t>
      </w:r>
      <w:r>
        <w:rPr>
          <w:rFonts w:eastAsia="宋体" w:cs="宋体"/>
          <w:sz w:val="21"/>
          <w:lang w:eastAsia="zh-CN"/>
        </w:rPr>
        <w:t>无菌保证水平的能力。应提供包装（无菌屏障系统）的描述、包装维持器械无菌性的方法，以及包装试验方法的描述，而非包装试验数据。</w:t>
      </w:r>
    </w:p>
    <w:p w:rsidR="00532D82" w:rsidRDefault="002739A8">
      <w:pPr>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性能标准来源：</w:t>
      </w:r>
      <w:r>
        <w:rPr>
          <w:rFonts w:eastAsia="宋体" w:cs="宋体"/>
          <w:sz w:val="21"/>
          <w:lang w:eastAsia="zh-CN"/>
        </w:rPr>
        <w:t>FDA</w:t>
      </w:r>
      <w:r>
        <w:rPr>
          <w:rFonts w:eastAsia="宋体" w:cs="宋体"/>
          <w:sz w:val="21"/>
          <w:lang w:eastAsia="zh-CN"/>
        </w:rPr>
        <w:t>指南：</w:t>
      </w:r>
    </w:p>
    <w:p w:rsidR="00532D82" w:rsidRDefault="002739A8">
      <w:pPr>
        <w:pStyle w:val="a8"/>
        <w:numPr>
          <w:ilvl w:val="0"/>
          <w:numId w:val="4"/>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w:t>
      </w:r>
      <w:r>
        <w:rPr>
          <w:rFonts w:eastAsia="宋体" w:cs="宋体"/>
          <w:color w:val="0000FF"/>
          <w:sz w:val="21"/>
          <w:u w:val="single"/>
          <w:lang w:eastAsia="zh-CN"/>
        </w:rPr>
        <w:t>无菌器械上市前通知（</w:t>
      </w:r>
      <w:r>
        <w:rPr>
          <w:rFonts w:eastAsia="宋体" w:cs="宋体"/>
          <w:color w:val="0000FF"/>
          <w:sz w:val="21"/>
          <w:u w:val="single"/>
          <w:lang w:eastAsia="zh-CN"/>
        </w:rPr>
        <w:t>510(k)</w:t>
      </w:r>
      <w:r>
        <w:rPr>
          <w:rFonts w:eastAsia="宋体" w:cs="宋体"/>
          <w:color w:val="0000FF"/>
          <w:sz w:val="21"/>
          <w:u w:val="single"/>
          <w:lang w:eastAsia="zh-CN"/>
        </w:rPr>
        <w:t>）申请中无菌信息的申请和审评</w:t>
      </w:r>
      <w:r>
        <w:rPr>
          <w:rFonts w:eastAsia="宋体" w:cs="宋体"/>
          <w:sz w:val="21"/>
          <w:lang w:eastAsia="zh-CN"/>
        </w:rPr>
        <w:t>》</w:t>
      </w:r>
      <w:r>
        <w:rPr>
          <w:rFonts w:eastAsia="宋体" w:cs="宋体"/>
          <w:sz w:val="21"/>
          <w:vertAlign w:val="superscript"/>
          <w:lang w:eastAsia="zh-CN"/>
        </w:rPr>
        <w:t>10</w:t>
      </w:r>
    </w:p>
    <w:p w:rsidR="00532D82" w:rsidRDefault="002739A8">
      <w:pPr>
        <w:pStyle w:val="a8"/>
        <w:numPr>
          <w:ilvl w:val="0"/>
          <w:numId w:val="4"/>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w:t>
      </w:r>
      <w:r>
        <w:rPr>
          <w:rFonts w:eastAsia="宋体" w:cs="宋体"/>
          <w:color w:val="0000FF"/>
          <w:sz w:val="21"/>
          <w:u w:val="single"/>
          <w:lang w:eastAsia="zh-CN"/>
        </w:rPr>
        <w:t>医疗机构中的医疗器械再处理：确认方法和标签</w:t>
      </w:r>
      <w:r>
        <w:rPr>
          <w:rFonts w:eastAsia="宋体" w:cs="宋体"/>
          <w:sz w:val="21"/>
          <w:lang w:eastAsia="zh-CN"/>
        </w:rPr>
        <w:t>》</w:t>
      </w:r>
      <w:r>
        <w:rPr>
          <w:rFonts w:eastAsia="宋体" w:cs="宋体"/>
          <w:sz w:val="21"/>
          <w:vertAlign w:val="superscript"/>
          <w:lang w:eastAsia="zh-CN"/>
        </w:rPr>
        <w:t>11</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提交信息：</w:t>
      </w:r>
      <w:r>
        <w:rPr>
          <w:rFonts w:eastAsia="宋体" w:cs="宋体"/>
          <w:sz w:val="21"/>
          <w:lang w:eastAsia="zh-CN"/>
        </w:rPr>
        <w:t>如果使用既定的</w:t>
      </w:r>
      <w:r>
        <w:rPr>
          <w:rFonts w:eastAsia="宋体" w:cs="宋体"/>
          <w:sz w:val="21"/>
          <w:lang w:eastAsia="zh-CN"/>
        </w:rPr>
        <w:t>A</w:t>
      </w:r>
      <w:r>
        <w:rPr>
          <w:rFonts w:eastAsia="宋体" w:cs="宋体"/>
          <w:sz w:val="21"/>
          <w:lang w:eastAsia="zh-CN"/>
        </w:rPr>
        <w:t>类灭菌方法，应提供</w:t>
      </w:r>
      <w:r>
        <w:rPr>
          <w:rFonts w:eastAsia="宋体" w:cs="宋体"/>
          <w:sz w:val="21"/>
          <w:lang w:eastAsia="zh-CN"/>
        </w:rPr>
        <w:t>FDA</w:t>
      </w:r>
      <w:r>
        <w:rPr>
          <w:rFonts w:eastAsia="宋体" w:cs="宋体"/>
          <w:sz w:val="21"/>
          <w:lang w:eastAsia="zh-CN"/>
        </w:rPr>
        <w:t>指南《</w:t>
      </w:r>
      <w:r>
        <w:rPr>
          <w:rFonts w:eastAsia="宋体" w:cs="宋体"/>
          <w:color w:val="0000FF"/>
          <w:sz w:val="21"/>
          <w:u w:val="single"/>
          <w:lang w:eastAsia="zh-CN"/>
        </w:rPr>
        <w:t>无菌器械上市前通知（</w:t>
      </w:r>
      <w:r>
        <w:rPr>
          <w:rFonts w:eastAsia="宋体" w:cs="宋体"/>
          <w:color w:val="0000FF"/>
          <w:sz w:val="21"/>
          <w:u w:val="single"/>
          <w:lang w:eastAsia="zh-CN"/>
        </w:rPr>
        <w:t>510(k)</w:t>
      </w:r>
      <w:r>
        <w:rPr>
          <w:rFonts w:eastAsia="宋体" w:cs="宋体"/>
          <w:color w:val="0000FF"/>
          <w:sz w:val="21"/>
          <w:u w:val="single"/>
          <w:lang w:eastAsia="zh-CN"/>
        </w:rPr>
        <w:t>）申请中无菌信息的申请和审评</w:t>
      </w:r>
      <w:r>
        <w:rPr>
          <w:rFonts w:eastAsia="宋体" w:cs="宋体"/>
          <w:sz w:val="21"/>
          <w:lang w:eastAsia="zh-CN"/>
        </w:rPr>
        <w:t>》第</w:t>
      </w:r>
      <w:r>
        <w:rPr>
          <w:rFonts w:eastAsia="宋体" w:cs="宋体"/>
          <w:sz w:val="21"/>
          <w:lang w:eastAsia="zh-CN"/>
        </w:rPr>
        <w:t>V.A</w:t>
      </w:r>
      <w:r>
        <w:rPr>
          <w:rFonts w:eastAsia="宋体" w:cs="宋体"/>
          <w:sz w:val="21"/>
          <w:lang w:eastAsia="zh-CN"/>
        </w:rPr>
        <w:t>节描述的信息；无需通过确认数据本身证明其实质等同性。</w:t>
      </w:r>
    </w:p>
    <w:p w:rsidR="00532D82" w:rsidRDefault="002739A8">
      <w:pPr>
        <w:pStyle w:val="a3"/>
        <w:adjustRightInd w:val="0"/>
        <w:snapToGrid w:val="0"/>
        <w:spacing w:beforeLines="750" w:before="1800" w:line="300" w:lineRule="auto"/>
        <w:jc w:val="both"/>
        <w:rPr>
          <w:rFonts w:eastAsiaTheme="minorEastAsia"/>
          <w:sz w:val="21"/>
          <w:szCs w:val="21"/>
          <w:lang w:eastAsia="zh-CN"/>
        </w:rPr>
      </w:pPr>
      <w:r>
        <w:rPr>
          <w:rFonts w:eastAsia="宋体" w:cs="宋体"/>
          <w:sz w:val="21"/>
        </w:rPr>
        <w:t>____________________</w:t>
      </w:r>
    </w:p>
    <w:p w:rsidR="00532D82" w:rsidRDefault="002739A8">
      <w:pPr>
        <w:adjustRightInd w:val="0"/>
        <w:snapToGrid w:val="0"/>
        <w:spacing w:beforeLines="15" w:before="36" w:line="276" w:lineRule="auto"/>
        <w:jc w:val="both"/>
        <w:rPr>
          <w:sz w:val="18"/>
          <w:szCs w:val="21"/>
        </w:rPr>
      </w:pPr>
      <w:proofErr w:type="gramStart"/>
      <w:r>
        <w:rPr>
          <w:rFonts w:eastAsia="宋体" w:cs="宋体"/>
          <w:sz w:val="18"/>
          <w:vertAlign w:val="superscript"/>
        </w:rPr>
        <w:t>10</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https://www.fda.gov/regulatory-information/search-fda-guidance-documents/submission-and-review-</w:t>
      </w:r>
      <w:r>
        <w:rPr>
          <w:rFonts w:eastAsia="宋体" w:cs="宋体"/>
          <w:color w:val="0000FF"/>
          <w:sz w:val="18"/>
        </w:rPr>
        <w:t xml:space="preserve"> </w:t>
      </w:r>
      <w:r>
        <w:rPr>
          <w:rFonts w:eastAsia="宋体" w:cs="宋体"/>
          <w:color w:val="0000FF"/>
          <w:sz w:val="18"/>
          <w:u w:val="single"/>
        </w:rPr>
        <w:t>sterility-information-premarket-notification-510k-submissions-devices-labeled</w:t>
      </w:r>
      <w:proofErr w:type="gramEnd"/>
    </w:p>
    <w:p w:rsidR="00532D82" w:rsidRDefault="002739A8">
      <w:pPr>
        <w:adjustRightInd w:val="0"/>
        <w:snapToGrid w:val="0"/>
        <w:spacing w:beforeLines="15" w:before="36" w:line="276" w:lineRule="auto"/>
        <w:jc w:val="both"/>
        <w:rPr>
          <w:b/>
          <w:sz w:val="21"/>
          <w:szCs w:val="21"/>
        </w:rPr>
      </w:pPr>
      <w:r>
        <w:rPr>
          <w:rFonts w:eastAsia="宋体" w:cs="宋体"/>
          <w:sz w:val="18"/>
          <w:vertAlign w:val="superscript"/>
        </w:rPr>
        <w:t>11</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https://www.fda.gov/regulatory-information/search-fda-guidance-documents/reprocessing-medical-</w:t>
      </w:r>
      <w:r>
        <w:rPr>
          <w:rFonts w:eastAsia="宋体" w:cs="宋体"/>
          <w:color w:val="0000FF"/>
          <w:sz w:val="18"/>
        </w:rPr>
        <w:t xml:space="preserve"> </w:t>
      </w:r>
      <w:r>
        <w:rPr>
          <w:rFonts w:eastAsia="宋体" w:cs="宋体"/>
          <w:color w:val="0000FF"/>
          <w:sz w:val="18"/>
          <w:u w:val="single"/>
        </w:rPr>
        <w:t>devices-health-care-settings-validation-methods-and-labeling</w:t>
      </w:r>
      <w:r>
        <w:rPr>
          <w:rFonts w:eastAsia="宋体" w:cs="宋体"/>
          <w:b/>
          <w:sz w:val="21"/>
        </w:rPr>
        <w:br w:type="page"/>
      </w:r>
    </w:p>
    <w:p w:rsidR="00532D82" w:rsidRDefault="002739A8">
      <w:pPr>
        <w:pStyle w:val="3"/>
        <w:adjustRightInd w:val="0"/>
        <w:snapToGrid w:val="0"/>
        <w:spacing w:beforeLines="50" w:before="120" w:line="300" w:lineRule="auto"/>
        <w:ind w:left="0"/>
        <w:jc w:val="both"/>
        <w:rPr>
          <w:sz w:val="21"/>
          <w:szCs w:val="21"/>
          <w:u w:val="single"/>
          <w:lang w:eastAsia="zh-CN"/>
        </w:rPr>
      </w:pPr>
      <w:r>
        <w:rPr>
          <w:rFonts w:eastAsia="宋体" w:cs="宋体"/>
          <w:sz w:val="21"/>
          <w:u w:val="single"/>
          <w:lang w:eastAsia="zh-CN"/>
        </w:rPr>
        <w:lastRenderedPageBreak/>
        <w:t>生物相容性评价：</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sz w:val="21"/>
          <w:lang w:eastAsia="zh-CN"/>
        </w:rPr>
        <w:t>作为生物相容性评价的一部分，如需确定生物相容性终点，应使用</w:t>
      </w:r>
      <w:r>
        <w:rPr>
          <w:rFonts w:eastAsia="宋体" w:cs="宋体"/>
          <w:sz w:val="21"/>
          <w:lang w:eastAsia="zh-CN"/>
        </w:rPr>
        <w:t>CDRH</w:t>
      </w:r>
      <w:r>
        <w:rPr>
          <w:rFonts w:eastAsia="宋体" w:cs="宋体"/>
          <w:sz w:val="21"/>
          <w:lang w:eastAsia="zh-CN"/>
        </w:rPr>
        <w:t>指南附件</w:t>
      </w:r>
      <w:r>
        <w:rPr>
          <w:rFonts w:eastAsia="宋体" w:cs="宋体"/>
          <w:sz w:val="21"/>
          <w:lang w:eastAsia="zh-CN"/>
        </w:rPr>
        <w:t>A</w:t>
      </w:r>
      <w:r>
        <w:rPr>
          <w:rFonts w:eastAsia="宋体" w:cs="宋体"/>
          <w:sz w:val="21"/>
          <w:lang w:eastAsia="zh-CN"/>
        </w:rPr>
        <w:t>《</w:t>
      </w:r>
      <w:r>
        <w:rPr>
          <w:rFonts w:eastAsia="宋体" w:cs="宋体"/>
          <w:color w:val="0000FF"/>
          <w:sz w:val="21"/>
          <w:u w:val="single"/>
          <w:lang w:eastAsia="zh-CN"/>
        </w:rPr>
        <w:t>使用国际标准</w:t>
      </w:r>
      <w:r>
        <w:rPr>
          <w:rFonts w:eastAsia="宋体" w:cs="宋体"/>
          <w:color w:val="0000FF"/>
          <w:sz w:val="21"/>
          <w:u w:val="single"/>
          <w:lang w:eastAsia="zh-CN"/>
        </w:rPr>
        <w:t>ISO 10993-1</w:t>
      </w:r>
      <w:r>
        <w:rPr>
          <w:rFonts w:eastAsia="宋体" w:cs="宋体"/>
          <w:color w:val="0000FF"/>
          <w:sz w:val="21"/>
          <w:u w:val="single"/>
          <w:lang w:eastAsia="zh-CN"/>
        </w:rPr>
        <w:t>，医疗器械生物学评价</w:t>
      </w:r>
      <w:r>
        <w:rPr>
          <w:rFonts w:eastAsia="宋体" w:cs="宋体"/>
          <w:color w:val="0000FF"/>
          <w:sz w:val="21"/>
          <w:u w:val="single"/>
          <w:lang w:eastAsia="zh-CN"/>
        </w:rPr>
        <w:t xml:space="preserve"> – </w:t>
      </w:r>
      <w:r>
        <w:rPr>
          <w:rFonts w:eastAsia="宋体" w:cs="宋体"/>
          <w:color w:val="0000FF"/>
          <w:sz w:val="21"/>
          <w:u w:val="single"/>
          <w:lang w:eastAsia="zh-CN"/>
        </w:rPr>
        <w:t>第</w:t>
      </w:r>
      <w:r>
        <w:rPr>
          <w:rFonts w:eastAsia="宋体" w:cs="宋体"/>
          <w:color w:val="0000FF"/>
          <w:sz w:val="21"/>
          <w:u w:val="single"/>
          <w:lang w:eastAsia="zh-CN"/>
        </w:rPr>
        <w:t>1</w:t>
      </w:r>
      <w:r>
        <w:rPr>
          <w:rFonts w:eastAsia="宋体" w:cs="宋体"/>
          <w:color w:val="0000FF"/>
          <w:sz w:val="21"/>
          <w:u w:val="single"/>
          <w:lang w:eastAsia="zh-CN"/>
        </w:rPr>
        <w:t>部分：风险管理过程中的评价与试验</w:t>
      </w:r>
      <w:r>
        <w:rPr>
          <w:rFonts w:eastAsia="宋体" w:cs="宋体"/>
          <w:sz w:val="21"/>
          <w:lang w:eastAsia="zh-CN"/>
        </w:rPr>
        <w:t>》，</w:t>
      </w:r>
      <w:r>
        <w:rPr>
          <w:rFonts w:eastAsia="宋体" w:cs="宋体"/>
          <w:sz w:val="21"/>
          <w:vertAlign w:val="superscript"/>
          <w:lang w:eastAsia="zh-CN"/>
        </w:rPr>
        <w:t>12</w:t>
      </w:r>
      <w:r>
        <w:rPr>
          <w:rFonts w:eastAsia="宋体" w:cs="宋体"/>
          <w:sz w:val="21"/>
          <w:lang w:eastAsia="zh-CN"/>
        </w:rPr>
        <w:t>为简洁起见，在本文件的其余部分称为</w:t>
      </w:r>
      <w:r>
        <w:rPr>
          <w:rFonts w:eastAsia="宋体" w:cs="宋体"/>
          <w:sz w:val="21"/>
          <w:lang w:eastAsia="zh-CN"/>
        </w:rPr>
        <w:t>“</w:t>
      </w:r>
      <w:r>
        <w:rPr>
          <w:rFonts w:eastAsia="宋体" w:cs="宋体"/>
          <w:sz w:val="21"/>
          <w:lang w:eastAsia="zh-CN"/>
        </w:rPr>
        <w:t>《</w:t>
      </w:r>
      <w:r>
        <w:rPr>
          <w:rFonts w:eastAsia="宋体" w:cs="宋体"/>
          <w:sz w:val="21"/>
          <w:lang w:eastAsia="zh-CN"/>
        </w:rPr>
        <w:t>CDRH</w:t>
      </w:r>
      <w:r>
        <w:rPr>
          <w:rFonts w:eastAsia="宋体" w:cs="宋体"/>
          <w:sz w:val="21"/>
          <w:lang w:eastAsia="zh-CN"/>
        </w:rPr>
        <w:t>生物相容性指南》</w:t>
      </w:r>
      <w:r>
        <w:rPr>
          <w:rFonts w:eastAsia="宋体" w:cs="宋体"/>
          <w:sz w:val="21"/>
          <w:lang w:eastAsia="zh-CN"/>
        </w:rPr>
        <w:t>”</w:t>
      </w:r>
      <w:r>
        <w:rPr>
          <w:rFonts w:eastAsia="宋体" w:cs="宋体"/>
          <w:sz w:val="21"/>
          <w:lang w:eastAsia="zh-CN"/>
        </w:rPr>
        <w:t>。</w:t>
      </w:r>
      <w:r>
        <w:rPr>
          <w:rFonts w:eastAsia="宋体" w:cs="宋体"/>
          <w:sz w:val="21"/>
          <w:lang w:eastAsia="zh-CN"/>
        </w:rPr>
        <w:t>FDA</w:t>
      </w:r>
      <w:r>
        <w:rPr>
          <w:rFonts w:eastAsia="宋体" w:cs="宋体"/>
          <w:sz w:val="21"/>
          <w:lang w:eastAsia="zh-CN"/>
        </w:rPr>
        <w:t>认为，本指南范围内的器械被归类为与组织</w:t>
      </w:r>
      <w:r>
        <w:rPr>
          <w:rFonts w:eastAsia="宋体" w:cs="宋体"/>
          <w:sz w:val="21"/>
          <w:lang w:eastAsia="zh-CN"/>
        </w:rPr>
        <w:t>/</w:t>
      </w:r>
      <w:r>
        <w:rPr>
          <w:rFonts w:eastAsia="宋体" w:cs="宋体"/>
          <w:sz w:val="21"/>
          <w:lang w:eastAsia="zh-CN"/>
        </w:rPr>
        <w:t>骨骼</w:t>
      </w:r>
      <w:r>
        <w:rPr>
          <w:rFonts w:eastAsia="宋体" w:cs="宋体" w:hint="eastAsia"/>
          <w:sz w:val="21"/>
          <w:lang w:eastAsia="zh-CN"/>
        </w:rPr>
        <w:t>持久</w:t>
      </w:r>
      <w:r>
        <w:rPr>
          <w:rFonts w:eastAsia="宋体" w:cs="宋体"/>
          <w:sz w:val="21"/>
          <w:lang w:eastAsia="zh-CN"/>
        </w:rPr>
        <w:t>（持续时间</w:t>
      </w:r>
      <w:r>
        <w:rPr>
          <w:rFonts w:eastAsia="宋体" w:cs="宋体"/>
          <w:sz w:val="21"/>
          <w:lang w:eastAsia="zh-CN"/>
        </w:rPr>
        <w:t>&gt; 30</w:t>
      </w:r>
      <w:r>
        <w:rPr>
          <w:rFonts w:eastAsia="宋体" w:cs="宋体"/>
          <w:sz w:val="21"/>
          <w:lang w:eastAsia="zh-CN"/>
        </w:rPr>
        <w:t>天）接触的植入式器械，应根据《</w:t>
      </w:r>
      <w:r>
        <w:rPr>
          <w:rFonts w:eastAsia="宋体" w:cs="宋体"/>
          <w:sz w:val="21"/>
          <w:lang w:eastAsia="zh-CN"/>
        </w:rPr>
        <w:t>CDRH</w:t>
      </w:r>
      <w:r>
        <w:rPr>
          <w:rFonts w:eastAsia="宋体" w:cs="宋体"/>
          <w:sz w:val="21"/>
          <w:lang w:eastAsia="zh-CN"/>
        </w:rPr>
        <w:t>生物相容性指南》附件</w:t>
      </w:r>
      <w:r>
        <w:rPr>
          <w:rFonts w:eastAsia="宋体" w:cs="宋体"/>
          <w:sz w:val="21"/>
          <w:lang w:eastAsia="zh-CN"/>
        </w:rPr>
        <w:t>A</w:t>
      </w:r>
      <w:r>
        <w:rPr>
          <w:rFonts w:eastAsia="宋体" w:cs="宋体"/>
          <w:sz w:val="21"/>
          <w:lang w:eastAsia="zh-CN"/>
        </w:rPr>
        <w:t>评估以下终点。</w:t>
      </w:r>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细胞毒性</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致敏性</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刺激性或皮内反应</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急性全身毒性</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材料介导的热源性</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亚急性</w:t>
      </w:r>
      <w:proofErr w:type="spellEnd"/>
      <w:r>
        <w:rPr>
          <w:rFonts w:eastAsia="宋体" w:cs="宋体"/>
          <w:sz w:val="21"/>
        </w:rPr>
        <w:t>/</w:t>
      </w:r>
      <w:proofErr w:type="spellStart"/>
      <w:r>
        <w:rPr>
          <w:rFonts w:eastAsia="宋体" w:cs="宋体"/>
          <w:sz w:val="21"/>
        </w:rPr>
        <w:t>亚慢性毒性</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遗传毒性</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植入</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慢性毒性</w:t>
      </w:r>
      <w:proofErr w:type="spellEnd"/>
    </w:p>
    <w:p w:rsidR="00532D82" w:rsidRDefault="002739A8">
      <w:pPr>
        <w:pStyle w:val="a8"/>
        <w:numPr>
          <w:ilvl w:val="0"/>
          <w:numId w:val="5"/>
        </w:numPr>
        <w:adjustRightInd w:val="0"/>
        <w:snapToGrid w:val="0"/>
        <w:spacing w:beforeLines="50" w:before="120" w:line="300" w:lineRule="auto"/>
        <w:ind w:leftChars="200" w:left="860" w:hangingChars="200"/>
        <w:jc w:val="both"/>
        <w:rPr>
          <w:sz w:val="21"/>
          <w:szCs w:val="21"/>
        </w:rPr>
      </w:pPr>
      <w:proofErr w:type="spellStart"/>
      <w:r>
        <w:rPr>
          <w:rFonts w:eastAsia="宋体" w:cs="宋体"/>
          <w:sz w:val="21"/>
        </w:rPr>
        <w:t>致癌性</w:t>
      </w:r>
      <w:proofErr w:type="spellEnd"/>
    </w:p>
    <w:p w:rsidR="00532D82" w:rsidRDefault="002739A8">
      <w:pPr>
        <w:pStyle w:val="a3"/>
        <w:adjustRightInd w:val="0"/>
        <w:snapToGrid w:val="0"/>
        <w:spacing w:beforeLines="50" w:before="120" w:line="300" w:lineRule="auto"/>
        <w:jc w:val="both"/>
        <w:rPr>
          <w:sz w:val="21"/>
          <w:szCs w:val="21"/>
          <w:lang w:eastAsia="zh-CN"/>
        </w:rPr>
      </w:pPr>
      <w:r>
        <w:rPr>
          <w:rFonts w:eastAsia="宋体" w:cs="宋体"/>
          <w:b/>
          <w:sz w:val="21"/>
          <w:lang w:eastAsia="zh-CN"/>
        </w:rPr>
        <w:t>代替试验的基本原理：</w:t>
      </w:r>
      <w:r>
        <w:rPr>
          <w:rFonts w:eastAsia="宋体" w:cs="宋体"/>
          <w:sz w:val="21"/>
          <w:lang w:eastAsia="zh-CN"/>
        </w:rPr>
        <w:t>如果申报器械使用了与同品种器械相同的原材料和相同的制造工艺，并且组织接触类型和接触持续时间相同，而且其几何形状的任何变化预计都不会影响生物反应，如果还可提供《</w:t>
      </w:r>
      <w:r>
        <w:rPr>
          <w:rFonts w:eastAsia="宋体" w:cs="宋体"/>
          <w:sz w:val="21"/>
          <w:lang w:eastAsia="zh-CN"/>
        </w:rPr>
        <w:t>CDRH</w:t>
      </w:r>
      <w:r>
        <w:rPr>
          <w:rFonts w:eastAsia="宋体" w:cs="宋体"/>
          <w:sz w:val="21"/>
          <w:lang w:eastAsia="zh-CN"/>
        </w:rPr>
        <w:t>生物相容性指南》附件</w:t>
      </w:r>
      <w:r>
        <w:rPr>
          <w:rFonts w:eastAsia="宋体" w:cs="宋体"/>
          <w:sz w:val="21"/>
          <w:lang w:eastAsia="zh-CN"/>
        </w:rPr>
        <w:t>F</w:t>
      </w:r>
      <w:r>
        <w:rPr>
          <w:rFonts w:eastAsia="宋体" w:cs="宋体"/>
          <w:sz w:val="21"/>
          <w:lang w:eastAsia="zh-CN"/>
        </w:rPr>
        <w:t>中概述的文件，则通常足以证明生物相容性实质等同。</w:t>
      </w:r>
    </w:p>
    <w:p w:rsidR="00532D82" w:rsidRDefault="002739A8">
      <w:pPr>
        <w:pStyle w:val="a3"/>
        <w:adjustRightInd w:val="0"/>
        <w:snapToGrid w:val="0"/>
        <w:spacing w:beforeLines="50" w:before="120" w:line="300" w:lineRule="auto"/>
        <w:jc w:val="both"/>
        <w:rPr>
          <w:sz w:val="21"/>
          <w:szCs w:val="21"/>
          <w:lang w:eastAsia="zh-CN"/>
        </w:rPr>
      </w:pPr>
      <w:r>
        <w:rPr>
          <w:rFonts w:eastAsia="宋体" w:cs="宋体"/>
          <w:b/>
          <w:sz w:val="21"/>
          <w:lang w:eastAsia="zh-CN"/>
        </w:rPr>
        <w:t>试验：</w:t>
      </w:r>
      <w:r>
        <w:rPr>
          <w:rFonts w:eastAsia="宋体" w:cs="宋体"/>
          <w:sz w:val="21"/>
          <w:lang w:eastAsia="zh-CN"/>
        </w:rPr>
        <w:t>在极少数情况下，如果确定需要试验来解决部分或所有已识别的生物相容性终点，</w:t>
      </w:r>
      <w:proofErr w:type="gramStart"/>
      <w:r>
        <w:rPr>
          <w:rFonts w:eastAsia="宋体" w:cs="宋体"/>
          <w:sz w:val="21"/>
          <w:lang w:eastAsia="zh-CN"/>
        </w:rPr>
        <w:t>除非可</w:t>
      </w:r>
      <w:proofErr w:type="gramEnd"/>
      <w:r>
        <w:rPr>
          <w:rFonts w:eastAsia="宋体" w:cs="宋体"/>
          <w:sz w:val="21"/>
          <w:lang w:eastAsia="zh-CN"/>
        </w:rPr>
        <w:t>根据《</w:t>
      </w:r>
      <w:r>
        <w:rPr>
          <w:rFonts w:eastAsia="宋体" w:cs="宋体"/>
          <w:sz w:val="21"/>
          <w:lang w:eastAsia="zh-CN"/>
        </w:rPr>
        <w:t>CDRH</w:t>
      </w:r>
      <w:r>
        <w:rPr>
          <w:rFonts w:eastAsia="宋体" w:cs="宋体"/>
          <w:sz w:val="21"/>
          <w:lang w:eastAsia="zh-CN"/>
        </w:rPr>
        <w:t>生物相容性指南》附件</w:t>
      </w:r>
      <w:r>
        <w:rPr>
          <w:rFonts w:eastAsia="宋体" w:cs="宋体"/>
          <w:sz w:val="21"/>
          <w:lang w:eastAsia="zh-CN"/>
        </w:rPr>
        <w:t>E</w:t>
      </w:r>
      <w:r>
        <w:rPr>
          <w:rFonts w:eastAsia="宋体" w:cs="宋体"/>
          <w:sz w:val="21"/>
          <w:lang w:eastAsia="zh-CN"/>
        </w:rPr>
        <w:t>适当地提供无补充信息的符合性声明，否则</w:t>
      </w:r>
      <w:r>
        <w:rPr>
          <w:rFonts w:eastAsia="宋体" w:cs="宋体"/>
          <w:sz w:val="21"/>
          <w:lang w:eastAsia="zh-CN"/>
        </w:rPr>
        <w:t>FDA</w:t>
      </w:r>
      <w:r>
        <w:rPr>
          <w:rFonts w:eastAsia="宋体" w:cs="宋体"/>
          <w:sz w:val="21"/>
          <w:lang w:eastAsia="zh-CN"/>
        </w:rPr>
        <w:t>建议提供所有试验的完整报告。任何特定阳性、阴性和</w:t>
      </w:r>
      <w:r>
        <w:rPr>
          <w:rFonts w:eastAsia="宋体" w:cs="宋体"/>
          <w:sz w:val="21"/>
          <w:lang w:eastAsia="zh-CN"/>
        </w:rPr>
        <w:t>/</w:t>
      </w:r>
      <w:r>
        <w:rPr>
          <w:rFonts w:eastAsia="宋体" w:cs="宋体"/>
          <w:sz w:val="21"/>
          <w:lang w:eastAsia="zh-CN"/>
        </w:rPr>
        <w:t>或试剂对照试验均应按预期执行，还应充分描述任何方案偏离，并阐明理由；但是，应注意，某些方案偏离可能会使与以下性能标准的比较变为无效，从而需要提交传统、特殊或简化</w:t>
      </w:r>
      <w:r>
        <w:rPr>
          <w:rFonts w:eastAsia="宋体" w:cs="宋体"/>
          <w:sz w:val="21"/>
          <w:lang w:eastAsia="zh-CN"/>
        </w:rPr>
        <w:t>510(k)</w:t>
      </w:r>
      <w:r>
        <w:rPr>
          <w:rFonts w:eastAsia="宋体" w:cs="宋体"/>
          <w:sz w:val="21"/>
          <w:lang w:eastAsia="zh-CN"/>
        </w:rPr>
        <w:t>。</w:t>
      </w:r>
    </w:p>
    <w:p w:rsidR="00532D82" w:rsidRDefault="002739A8">
      <w:pPr>
        <w:pStyle w:val="a3"/>
        <w:adjustRightInd w:val="0"/>
        <w:snapToGrid w:val="0"/>
        <w:spacing w:beforeLines="1150" w:before="2760" w:line="300" w:lineRule="auto"/>
        <w:jc w:val="both"/>
        <w:rPr>
          <w:rFonts w:eastAsiaTheme="minorEastAsia"/>
          <w:sz w:val="21"/>
          <w:szCs w:val="21"/>
          <w:lang w:eastAsia="zh-CN"/>
        </w:rPr>
      </w:pPr>
      <w:r>
        <w:rPr>
          <w:rFonts w:eastAsia="宋体" w:cs="宋体"/>
          <w:sz w:val="21"/>
        </w:rPr>
        <w:t>____________________</w:t>
      </w:r>
    </w:p>
    <w:p w:rsidR="00532D82" w:rsidRDefault="002739A8">
      <w:pPr>
        <w:pStyle w:val="a3"/>
        <w:adjustRightInd w:val="0"/>
        <w:snapToGrid w:val="0"/>
        <w:spacing w:beforeLines="15" w:before="36" w:line="276" w:lineRule="auto"/>
        <w:jc w:val="both"/>
        <w:rPr>
          <w:b/>
          <w:sz w:val="21"/>
          <w:szCs w:val="21"/>
        </w:rPr>
      </w:pPr>
      <w:r>
        <w:rPr>
          <w:rFonts w:eastAsia="宋体" w:cs="宋体"/>
          <w:sz w:val="18"/>
          <w:vertAlign w:val="superscript"/>
        </w:rPr>
        <w:t>12</w:t>
      </w:r>
      <w:r>
        <w:rPr>
          <w:rFonts w:eastAsia="宋体" w:cs="宋体"/>
          <w:sz w:val="18"/>
        </w:rPr>
        <w:t xml:space="preserve"> </w:t>
      </w:r>
      <w:r>
        <w:rPr>
          <w:rFonts w:eastAsia="宋体" w:cs="宋体"/>
          <w:sz w:val="18"/>
        </w:rPr>
        <w:t>可登录以下网址获取：</w:t>
      </w:r>
      <w:r>
        <w:rPr>
          <w:rFonts w:eastAsia="宋体" w:cs="宋体"/>
          <w:color w:val="0000FF"/>
          <w:sz w:val="18"/>
          <w:u w:val="single"/>
        </w:rPr>
        <w:t>https://www.fda.gov/regulatory-information/search-fda-guidance-documents/use-international-</w:t>
      </w:r>
      <w:r>
        <w:rPr>
          <w:rFonts w:eastAsia="宋体" w:cs="宋体"/>
          <w:color w:val="0000FF"/>
          <w:sz w:val="18"/>
        </w:rPr>
        <w:t xml:space="preserve"> </w:t>
      </w:r>
      <w:r>
        <w:rPr>
          <w:rFonts w:eastAsia="宋体" w:cs="宋体"/>
          <w:color w:val="0000FF"/>
          <w:sz w:val="18"/>
          <w:u w:val="single"/>
        </w:rPr>
        <w:t>standard-iso-10993-1-biological-evaluation-medical-devices-part-1-evaluation-and</w:t>
      </w:r>
      <w:r>
        <w:rPr>
          <w:rFonts w:eastAsia="宋体" w:cs="宋体"/>
          <w:b/>
          <w:sz w:val="21"/>
        </w:rPr>
        <w:br w:type="page"/>
      </w:r>
    </w:p>
    <w:p w:rsidR="00532D82" w:rsidRDefault="002739A8">
      <w:pPr>
        <w:pStyle w:val="a3"/>
        <w:adjustRightInd w:val="0"/>
        <w:snapToGrid w:val="0"/>
        <w:spacing w:beforeLines="50" w:before="120" w:line="300" w:lineRule="auto"/>
        <w:ind w:left="420" w:hangingChars="200" w:hanging="420"/>
        <w:jc w:val="both"/>
        <w:rPr>
          <w:sz w:val="21"/>
          <w:szCs w:val="21"/>
          <w:lang w:eastAsia="zh-CN"/>
        </w:rPr>
      </w:pPr>
      <w:r>
        <w:rPr>
          <w:rFonts w:eastAsia="宋体" w:cs="宋体"/>
          <w:sz w:val="21"/>
          <w:lang w:eastAsia="zh-CN"/>
        </w:rPr>
        <w:lastRenderedPageBreak/>
        <w:t>5.</w:t>
      </w:r>
      <w:r>
        <w:rPr>
          <w:rFonts w:eastAsia="宋体" w:cs="宋体"/>
          <w:sz w:val="21"/>
          <w:lang w:eastAsia="zh-CN"/>
        </w:rPr>
        <w:tab/>
      </w:r>
      <w:r>
        <w:rPr>
          <w:rFonts w:eastAsia="宋体" w:cs="宋体"/>
          <w:b/>
          <w:sz w:val="21"/>
          <w:lang w:eastAsia="zh-CN"/>
        </w:rPr>
        <w:t>试验名称：</w:t>
      </w:r>
      <w:r>
        <w:rPr>
          <w:rFonts w:eastAsia="宋体" w:cs="宋体"/>
          <w:sz w:val="21"/>
          <w:lang w:eastAsia="zh-CN"/>
        </w:rPr>
        <w:t>生物相容性终点（根据《</w:t>
      </w:r>
      <w:r>
        <w:rPr>
          <w:rFonts w:eastAsia="宋体" w:cs="宋体"/>
          <w:sz w:val="21"/>
          <w:lang w:eastAsia="zh-CN"/>
        </w:rPr>
        <w:t>CDRH</w:t>
      </w:r>
      <w:r>
        <w:rPr>
          <w:rFonts w:eastAsia="宋体" w:cs="宋体"/>
          <w:sz w:val="21"/>
          <w:lang w:eastAsia="zh-CN"/>
        </w:rPr>
        <w:t>生物相容性指南》确定）</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方法：</w:t>
      </w:r>
      <w:r>
        <w:rPr>
          <w:rFonts w:eastAsia="宋体" w:cs="宋体"/>
          <w:sz w:val="21"/>
          <w:lang w:eastAsia="zh-CN"/>
        </w:rPr>
        <w:t>FDA</w:t>
      </w:r>
      <w:r>
        <w:rPr>
          <w:rFonts w:eastAsia="宋体" w:cs="宋体"/>
          <w:sz w:val="21"/>
          <w:lang w:eastAsia="zh-CN"/>
        </w:rPr>
        <w:t>认可的生物相容性共识标准的最新版本</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性能标准：</w:t>
      </w:r>
      <w:r>
        <w:rPr>
          <w:rFonts w:eastAsia="宋体" w:cs="宋体"/>
          <w:sz w:val="21"/>
          <w:lang w:eastAsia="zh-CN"/>
        </w:rPr>
        <w:t>应确定器械和器械专用仪器中所有直接或间接接触组织的部件具有可接受的生物学反应。</w:t>
      </w:r>
    </w:p>
    <w:p w:rsidR="00532D82" w:rsidRDefault="002739A8">
      <w:pPr>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性能标准来源</w:t>
      </w:r>
      <w:r>
        <w:rPr>
          <w:rFonts w:eastAsia="宋体" w:cs="宋体"/>
          <w:sz w:val="21"/>
          <w:lang w:eastAsia="zh-CN"/>
        </w:rPr>
        <w:t>：</w:t>
      </w:r>
      <w:r>
        <w:rPr>
          <w:rFonts w:eastAsia="宋体" w:cs="宋体"/>
          <w:sz w:val="21"/>
          <w:lang w:eastAsia="zh-CN"/>
        </w:rPr>
        <w:t>CDRH</w:t>
      </w:r>
      <w:r>
        <w:rPr>
          <w:rFonts w:eastAsia="宋体" w:cs="宋体"/>
          <w:sz w:val="21"/>
          <w:lang w:eastAsia="zh-CN"/>
        </w:rPr>
        <w:t>生物相容性指南</w:t>
      </w:r>
    </w:p>
    <w:p w:rsidR="00532D82" w:rsidRDefault="002739A8">
      <w:pPr>
        <w:pStyle w:val="a3"/>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其他注意事项：</w:t>
      </w:r>
      <w:r>
        <w:rPr>
          <w:rFonts w:eastAsia="宋体" w:cs="宋体"/>
          <w:sz w:val="21"/>
          <w:lang w:eastAsia="zh-CN"/>
        </w:rPr>
        <w:t>对于任何具有不良生物学反应的生物相容性试样，生物相容性评价应说明所见毒性水平可接受的原因。可能需要与已经合法销售的同品种器械进行一些比较试验（基于安全性和性能的途径认为可接受），以支持《</w:t>
      </w:r>
      <w:r>
        <w:rPr>
          <w:rFonts w:eastAsia="宋体" w:cs="宋体"/>
          <w:sz w:val="21"/>
          <w:lang w:eastAsia="zh-CN"/>
        </w:rPr>
        <w:t>CDRH</w:t>
      </w:r>
      <w:r>
        <w:rPr>
          <w:rFonts w:eastAsia="宋体" w:cs="宋体"/>
          <w:sz w:val="21"/>
          <w:lang w:eastAsia="zh-CN"/>
        </w:rPr>
        <w:t>生物相容性指南》中说明的基本原理。对于标准生物相容性试验方法（包括对比器械对照样品），合法销售的对比器械对照样品应按预期执行，如上文针对申报器械样品的规定所示。</w:t>
      </w:r>
    </w:p>
    <w:p w:rsidR="00532D82" w:rsidRDefault="002739A8">
      <w:pPr>
        <w:adjustRightInd w:val="0"/>
        <w:snapToGrid w:val="0"/>
        <w:spacing w:beforeLines="50" w:before="120" w:line="300" w:lineRule="auto"/>
        <w:ind w:leftChars="200" w:left="440"/>
        <w:jc w:val="both"/>
        <w:rPr>
          <w:sz w:val="21"/>
          <w:szCs w:val="21"/>
          <w:lang w:eastAsia="zh-CN"/>
        </w:rPr>
      </w:pPr>
      <w:r>
        <w:rPr>
          <w:rFonts w:eastAsia="宋体" w:cs="宋体"/>
          <w:b/>
          <w:sz w:val="21"/>
          <w:lang w:eastAsia="zh-CN"/>
        </w:rPr>
        <w:t>提交信息</w:t>
      </w:r>
      <w:r>
        <w:rPr>
          <w:rFonts w:eastAsia="宋体" w:cs="宋体"/>
          <w:sz w:val="21"/>
          <w:lang w:eastAsia="zh-CN"/>
        </w:rPr>
        <w:t>：请参见</w:t>
      </w:r>
      <w:r>
        <w:rPr>
          <w:rFonts w:eastAsia="宋体" w:cs="宋体"/>
          <w:sz w:val="21"/>
          <w:lang w:eastAsia="zh-CN"/>
        </w:rPr>
        <w:t>CDRH</w:t>
      </w:r>
      <w:r>
        <w:rPr>
          <w:rFonts w:eastAsia="宋体" w:cs="宋体"/>
          <w:sz w:val="21"/>
          <w:lang w:eastAsia="zh-CN"/>
        </w:rPr>
        <w:t>生物相容性指南</w:t>
      </w:r>
    </w:p>
    <w:sectPr w:rsidR="00532D82">
      <w:headerReference w:type="default" r:id="rId11"/>
      <w:footerReference w:type="default" r:id="rId12"/>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92" w:rsidRDefault="00901892">
      <w:r>
        <w:separator/>
      </w:r>
    </w:p>
  </w:endnote>
  <w:endnote w:type="continuationSeparator" w:id="0">
    <w:p w:rsidR="00901892" w:rsidRDefault="0090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82" w:rsidRDefault="002739A8">
    <w:pPr>
      <w:pStyle w:val="a5"/>
      <w:jc w:val="right"/>
    </w:pPr>
    <w:r>
      <w:fldChar w:fldCharType="begin"/>
    </w:r>
    <w:r>
      <w:instrText>PAGE   \* MERGEFORMAT</w:instrText>
    </w:r>
    <w:r>
      <w:fldChar w:fldCharType="separate"/>
    </w:r>
    <w:r w:rsidR="00416FB0" w:rsidRPr="00416FB0">
      <w:rPr>
        <w:noProof/>
        <w:lang w:val="zh-CN" w:eastAsia="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92" w:rsidRDefault="00901892">
      <w:r>
        <w:separator/>
      </w:r>
    </w:p>
  </w:footnote>
  <w:footnote w:type="continuationSeparator" w:id="0">
    <w:p w:rsidR="00901892" w:rsidRDefault="00901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82" w:rsidRDefault="00616193">
    <w:pPr>
      <w:adjustRightInd w:val="0"/>
      <w:snapToGrid w:val="0"/>
      <w:spacing w:beforeLines="15" w:before="36" w:line="276" w:lineRule="auto"/>
      <w:jc w:val="center"/>
      <w:rPr>
        <w:rFonts w:eastAsiaTheme="minorEastAsia"/>
        <w:b/>
        <w:bCs/>
        <w:i/>
        <w:iCs/>
        <w:sz w:val="21"/>
        <w:szCs w:val="21"/>
        <w:lang w:eastAsia="zh-CN"/>
      </w:rPr>
    </w:pPr>
    <w:r>
      <w:rPr>
        <w:rFonts w:eastAsia="宋体" w:cs="宋体" w:hint="eastAsia"/>
        <w:b/>
        <w:i/>
        <w:sz w:val="21"/>
        <w:lang w:eastAsia="zh-CN"/>
      </w:rPr>
      <w:t>所含建议不具约束力</w:t>
    </w:r>
  </w:p>
  <w:p w:rsidR="00532D82" w:rsidRDefault="00532D82">
    <w:pPr>
      <w:adjustRightInd w:val="0"/>
      <w:snapToGrid w:val="0"/>
      <w:jc w:val="center"/>
      <w:rPr>
        <w:rFonts w:eastAsiaTheme="minorEastAsia"/>
        <w:b/>
        <w:bCs/>
        <w:i/>
        <w:iCs/>
        <w:sz w:val="18"/>
        <w:szCs w:val="18"/>
        <w:lang w:eastAsia="zh-CN"/>
      </w:rPr>
    </w:pPr>
  </w:p>
  <w:p w:rsidR="00532D82" w:rsidRDefault="002739A8">
    <w:pPr>
      <w:adjustRightInd w:val="0"/>
      <w:snapToGrid w:val="0"/>
      <w:spacing w:beforeLines="15" w:before="36" w:line="276" w:lineRule="auto"/>
      <w:jc w:val="center"/>
      <w:rPr>
        <w:rFonts w:eastAsiaTheme="minorEastAsia"/>
        <w:b/>
        <w:bCs/>
        <w:i/>
        <w:iCs/>
        <w:sz w:val="21"/>
        <w:szCs w:val="21"/>
        <w:lang w:eastAsia="zh-CN"/>
      </w:rPr>
    </w:pPr>
    <w:r>
      <w:rPr>
        <w:rFonts w:eastAsia="宋体" w:cs="宋体"/>
        <w:b/>
        <w:i/>
        <w:sz w:val="21"/>
        <w:lang w:eastAsia="zh-CN"/>
      </w:rPr>
      <w:t>草案</w:t>
    </w:r>
    <w:r>
      <w:rPr>
        <w:rFonts w:eastAsia="宋体" w:cs="宋体"/>
        <w:b/>
        <w:i/>
        <w:sz w:val="21"/>
        <w:lang w:eastAsia="zh-CN"/>
      </w:rPr>
      <w:t xml:space="preserve"> – </w:t>
    </w:r>
    <w:r>
      <w:rPr>
        <w:rFonts w:eastAsia="宋体" w:cs="宋体"/>
        <w:b/>
        <w:i/>
        <w:sz w:val="21"/>
        <w:lang w:eastAsia="zh-CN"/>
      </w:rPr>
      <w:t>非执行版</w:t>
    </w:r>
  </w:p>
  <w:p w:rsidR="00532D82" w:rsidRDefault="00532D82">
    <w:pPr>
      <w:adjustRightInd w:val="0"/>
      <w:snapToGrid w:val="0"/>
      <w:jc w:val="center"/>
      <w:rPr>
        <w:rFonts w:eastAsiaTheme="minorEastAsia"/>
        <w:b/>
        <w:bCs/>
        <w:i/>
        <w:iCs/>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5A9B"/>
    <w:multiLevelType w:val="multilevel"/>
    <w:tmpl w:val="07CC5A9B"/>
    <w:lvl w:ilvl="0">
      <w:numFmt w:val="bullet"/>
      <w:lvlText w:val="•"/>
      <w:lvlJc w:val="left"/>
      <w:pPr>
        <w:ind w:left="420" w:hanging="420"/>
      </w:pPr>
      <w:rPr>
        <w:rFonts w:hint="default"/>
        <w:lang w:val="en-US" w:eastAsia="en-US" w:bidi="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FC08C2"/>
    <w:multiLevelType w:val="multilevel"/>
    <w:tmpl w:val="0AFC08C2"/>
    <w:lvl w:ilvl="0">
      <w:numFmt w:val="bullet"/>
      <w:lvlText w:val="•"/>
      <w:lvlJc w:val="left"/>
      <w:pPr>
        <w:ind w:left="420" w:hanging="420"/>
      </w:pPr>
      <w:rPr>
        <w:rFonts w:hint="default"/>
        <w:lang w:val="en-US" w:eastAsia="en-US" w:bidi="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DC285E"/>
    <w:multiLevelType w:val="multilevel"/>
    <w:tmpl w:val="0FDC285E"/>
    <w:lvl w:ilvl="0">
      <w:numFmt w:val="bullet"/>
      <w:lvlText w:val="•"/>
      <w:lvlJc w:val="left"/>
      <w:pPr>
        <w:ind w:left="420" w:hanging="420"/>
      </w:pPr>
      <w:rPr>
        <w:rFonts w:hint="default"/>
        <w:lang w:val="en-US" w:eastAsia="en-US" w:bidi="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6E771C6"/>
    <w:multiLevelType w:val="multilevel"/>
    <w:tmpl w:val="36E771C6"/>
    <w:lvl w:ilvl="0">
      <w:numFmt w:val="bullet"/>
      <w:lvlText w:val="•"/>
      <w:lvlJc w:val="left"/>
      <w:pPr>
        <w:ind w:left="420" w:hanging="420"/>
      </w:pPr>
      <w:rPr>
        <w:rFonts w:hint="default"/>
        <w:lang w:val="en-US" w:eastAsia="en-US" w:bidi="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36211C7"/>
    <w:multiLevelType w:val="multilevel"/>
    <w:tmpl w:val="536211C7"/>
    <w:lvl w:ilvl="0">
      <w:numFmt w:val="bullet"/>
      <w:lvlText w:val="•"/>
      <w:lvlJc w:val="left"/>
      <w:pPr>
        <w:ind w:left="420" w:hanging="420"/>
      </w:pPr>
      <w:rPr>
        <w:rFonts w:hint="default"/>
        <w:lang w:val="en-US" w:eastAsia="en-US" w:bidi="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Shihao [MEDCN]">
    <w15:presenceInfo w15:providerId="AD" w15:userId="S::syang109@its.jnj.com::da16ec0f-0225-4942-8916-82c956796de8"/>
  </w15:person>
  <w15:person w15:author="SDJY">
    <w15:presenceInfo w15:providerId="None" w15:userId="SDJY"/>
  </w15:person>
  <w15:person w15:author="Karina">
    <w15:presenceInfo w15:providerId="WPS Office" w15:userId="188489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E"/>
    <w:rsid w:val="00073AB4"/>
    <w:rsid w:val="000918FF"/>
    <w:rsid w:val="000A130F"/>
    <w:rsid w:val="001112D0"/>
    <w:rsid w:val="0011211A"/>
    <w:rsid w:val="0016490B"/>
    <w:rsid w:val="001E0823"/>
    <w:rsid w:val="0021013B"/>
    <w:rsid w:val="002612A7"/>
    <w:rsid w:val="002739A8"/>
    <w:rsid w:val="002C1594"/>
    <w:rsid w:val="00303425"/>
    <w:rsid w:val="00361CD1"/>
    <w:rsid w:val="003967E5"/>
    <w:rsid w:val="003A7F0D"/>
    <w:rsid w:val="003D6C45"/>
    <w:rsid w:val="0041390A"/>
    <w:rsid w:val="00416FB0"/>
    <w:rsid w:val="00447D9B"/>
    <w:rsid w:val="00474172"/>
    <w:rsid w:val="004759F9"/>
    <w:rsid w:val="004A166C"/>
    <w:rsid w:val="004A4854"/>
    <w:rsid w:val="004B7F02"/>
    <w:rsid w:val="004C3E9F"/>
    <w:rsid w:val="004D2197"/>
    <w:rsid w:val="004D76F6"/>
    <w:rsid w:val="00532D82"/>
    <w:rsid w:val="005C25DF"/>
    <w:rsid w:val="00616193"/>
    <w:rsid w:val="00625B63"/>
    <w:rsid w:val="0063785B"/>
    <w:rsid w:val="006A4CAE"/>
    <w:rsid w:val="00733F7E"/>
    <w:rsid w:val="007A30C1"/>
    <w:rsid w:val="007C1DDD"/>
    <w:rsid w:val="007D35B9"/>
    <w:rsid w:val="007F3EB3"/>
    <w:rsid w:val="00853082"/>
    <w:rsid w:val="008A6881"/>
    <w:rsid w:val="00901892"/>
    <w:rsid w:val="0093041B"/>
    <w:rsid w:val="00945FC9"/>
    <w:rsid w:val="009A6721"/>
    <w:rsid w:val="009E2019"/>
    <w:rsid w:val="00A34A30"/>
    <w:rsid w:val="00A44065"/>
    <w:rsid w:val="00A753CF"/>
    <w:rsid w:val="00A77932"/>
    <w:rsid w:val="00A8740D"/>
    <w:rsid w:val="00A958A5"/>
    <w:rsid w:val="00B2319D"/>
    <w:rsid w:val="00B36AB7"/>
    <w:rsid w:val="00B415A9"/>
    <w:rsid w:val="00B74E16"/>
    <w:rsid w:val="00B7630D"/>
    <w:rsid w:val="00B837CC"/>
    <w:rsid w:val="00BD039C"/>
    <w:rsid w:val="00C176A7"/>
    <w:rsid w:val="00C47D4B"/>
    <w:rsid w:val="00C542A0"/>
    <w:rsid w:val="00C6767A"/>
    <w:rsid w:val="00C9308B"/>
    <w:rsid w:val="00E1443E"/>
    <w:rsid w:val="00E42E86"/>
    <w:rsid w:val="00E845CE"/>
    <w:rsid w:val="00E94FD2"/>
    <w:rsid w:val="00EE5D9D"/>
    <w:rsid w:val="00F63E39"/>
    <w:rsid w:val="00F85F10"/>
    <w:rsid w:val="00FB4324"/>
    <w:rsid w:val="00FB55B7"/>
    <w:rsid w:val="00FD6396"/>
    <w:rsid w:val="00FE1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bidi="en-US"/>
    </w:rPr>
  </w:style>
  <w:style w:type="paragraph" w:styleId="1">
    <w:name w:val="heading 1"/>
    <w:basedOn w:val="a"/>
    <w:next w:val="a"/>
    <w:uiPriority w:val="1"/>
    <w:qFormat/>
    <w:pPr>
      <w:ind w:left="341" w:right="343"/>
      <w:jc w:val="center"/>
      <w:outlineLvl w:val="0"/>
    </w:pPr>
    <w:rPr>
      <w:b/>
      <w:bCs/>
      <w:sz w:val="56"/>
      <w:szCs w:val="56"/>
    </w:rPr>
  </w:style>
  <w:style w:type="paragraph" w:styleId="2">
    <w:name w:val="heading 2"/>
    <w:basedOn w:val="a"/>
    <w:next w:val="a"/>
    <w:uiPriority w:val="1"/>
    <w:qFormat/>
    <w:pPr>
      <w:ind w:left="960" w:hanging="720"/>
      <w:outlineLvl w:val="1"/>
    </w:pPr>
    <w:rPr>
      <w:b/>
      <w:bCs/>
      <w:sz w:val="36"/>
      <w:szCs w:val="36"/>
    </w:rPr>
  </w:style>
  <w:style w:type="paragraph" w:styleId="3">
    <w:name w:val="heading 3"/>
    <w:basedOn w:val="a"/>
    <w:next w:val="a"/>
    <w:uiPriority w:val="1"/>
    <w:qFormat/>
    <w:pPr>
      <w:ind w:left="2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960" w:hanging="360"/>
    </w:pPr>
  </w:style>
  <w:style w:type="paragraph" w:customStyle="1" w:styleId="TableParagraph">
    <w:name w:val="Table Paragraph"/>
    <w:basedOn w:val="a"/>
    <w:uiPriority w:val="1"/>
    <w:qFormat/>
    <w:pPr>
      <w:ind w:left="96"/>
    </w:pPr>
    <w:rPr>
      <w:rFonts w:ascii="Calibri" w:eastAsia="Calibri" w:hAnsi="Calibri" w:cs="Calibri"/>
    </w:rPr>
  </w:style>
  <w:style w:type="character" w:customStyle="1" w:styleId="Char1">
    <w:name w:val="页眉 Char"/>
    <w:basedOn w:val="a0"/>
    <w:link w:val="a6"/>
    <w:uiPriority w:val="99"/>
    <w:qFormat/>
    <w:rPr>
      <w:rFonts w:ascii="Times New Roman" w:eastAsia="Times New Roman" w:hAnsi="Times New Roman" w:cs="Times New Roman"/>
      <w:sz w:val="18"/>
      <w:szCs w:val="18"/>
      <w:lang w:bidi="en-US"/>
    </w:rPr>
  </w:style>
  <w:style w:type="character" w:customStyle="1" w:styleId="Char0">
    <w:name w:val="页脚 Char"/>
    <w:basedOn w:val="a0"/>
    <w:link w:val="a5"/>
    <w:uiPriority w:val="99"/>
    <w:qFormat/>
    <w:rPr>
      <w:rFonts w:ascii="Times New Roman" w:eastAsia="Times New Roman" w:hAnsi="Times New Roman" w:cs="Times New Roman"/>
      <w:sz w:val="18"/>
      <w:szCs w:val="18"/>
      <w:lang w:bidi="en-US"/>
    </w:rPr>
  </w:style>
  <w:style w:type="character" w:customStyle="1" w:styleId="Char">
    <w:name w:val="批注框文本 Char"/>
    <w:basedOn w:val="a0"/>
    <w:link w:val="a4"/>
    <w:uiPriority w:val="99"/>
    <w:semiHidden/>
    <w:qFormat/>
    <w:rPr>
      <w:rFonts w:ascii="Times New Roman" w:eastAsia="Times New Roman" w:hAnsi="Times New Roman" w:cs="Times New Roman"/>
      <w:sz w:val="18"/>
      <w:szCs w:val="18"/>
      <w:lang w:bidi="en-US"/>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lang w:eastAsia="en-US"/>
    </w:rPr>
  </w:style>
  <w:style w:type="paragraph" w:customStyle="1" w:styleId="10">
    <w:name w:val="修订1"/>
    <w:hidden/>
    <w:uiPriority w:val="99"/>
    <w:semiHidden/>
    <w:qFormat/>
    <w:rPr>
      <w:rFonts w:ascii="Times New Roman" w:eastAsia="Times New Roman" w:hAnsi="Times New Roman" w:cs="Times New Roman"/>
      <w:sz w:val="22"/>
      <w:szCs w:val="22"/>
      <w:lang w:eastAsia="en-US" w:bidi="en-US"/>
    </w:r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bidi="en-US"/>
    </w:rPr>
  </w:style>
  <w:style w:type="paragraph" w:styleId="1">
    <w:name w:val="heading 1"/>
    <w:basedOn w:val="a"/>
    <w:next w:val="a"/>
    <w:uiPriority w:val="1"/>
    <w:qFormat/>
    <w:pPr>
      <w:ind w:left="341" w:right="343"/>
      <w:jc w:val="center"/>
      <w:outlineLvl w:val="0"/>
    </w:pPr>
    <w:rPr>
      <w:b/>
      <w:bCs/>
      <w:sz w:val="56"/>
      <w:szCs w:val="56"/>
    </w:rPr>
  </w:style>
  <w:style w:type="paragraph" w:styleId="2">
    <w:name w:val="heading 2"/>
    <w:basedOn w:val="a"/>
    <w:next w:val="a"/>
    <w:uiPriority w:val="1"/>
    <w:qFormat/>
    <w:pPr>
      <w:ind w:left="960" w:hanging="720"/>
      <w:outlineLvl w:val="1"/>
    </w:pPr>
    <w:rPr>
      <w:b/>
      <w:bCs/>
      <w:sz w:val="36"/>
      <w:szCs w:val="36"/>
    </w:rPr>
  </w:style>
  <w:style w:type="paragraph" w:styleId="3">
    <w:name w:val="heading 3"/>
    <w:basedOn w:val="a"/>
    <w:next w:val="a"/>
    <w:uiPriority w:val="1"/>
    <w:qFormat/>
    <w:pPr>
      <w:ind w:left="2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960" w:hanging="360"/>
    </w:pPr>
  </w:style>
  <w:style w:type="paragraph" w:customStyle="1" w:styleId="TableParagraph">
    <w:name w:val="Table Paragraph"/>
    <w:basedOn w:val="a"/>
    <w:uiPriority w:val="1"/>
    <w:qFormat/>
    <w:pPr>
      <w:ind w:left="96"/>
    </w:pPr>
    <w:rPr>
      <w:rFonts w:ascii="Calibri" w:eastAsia="Calibri" w:hAnsi="Calibri" w:cs="Calibri"/>
    </w:rPr>
  </w:style>
  <w:style w:type="character" w:customStyle="1" w:styleId="Char1">
    <w:name w:val="页眉 Char"/>
    <w:basedOn w:val="a0"/>
    <w:link w:val="a6"/>
    <w:uiPriority w:val="99"/>
    <w:qFormat/>
    <w:rPr>
      <w:rFonts w:ascii="Times New Roman" w:eastAsia="Times New Roman" w:hAnsi="Times New Roman" w:cs="Times New Roman"/>
      <w:sz w:val="18"/>
      <w:szCs w:val="18"/>
      <w:lang w:bidi="en-US"/>
    </w:rPr>
  </w:style>
  <w:style w:type="character" w:customStyle="1" w:styleId="Char0">
    <w:name w:val="页脚 Char"/>
    <w:basedOn w:val="a0"/>
    <w:link w:val="a5"/>
    <w:uiPriority w:val="99"/>
    <w:qFormat/>
    <w:rPr>
      <w:rFonts w:ascii="Times New Roman" w:eastAsia="Times New Roman" w:hAnsi="Times New Roman" w:cs="Times New Roman"/>
      <w:sz w:val="18"/>
      <w:szCs w:val="18"/>
      <w:lang w:bidi="en-US"/>
    </w:rPr>
  </w:style>
  <w:style w:type="character" w:customStyle="1" w:styleId="Char">
    <w:name w:val="批注框文本 Char"/>
    <w:basedOn w:val="a0"/>
    <w:link w:val="a4"/>
    <w:uiPriority w:val="99"/>
    <w:semiHidden/>
    <w:qFormat/>
    <w:rPr>
      <w:rFonts w:ascii="Times New Roman" w:eastAsia="Times New Roman" w:hAnsi="Times New Roman" w:cs="Times New Roman"/>
      <w:sz w:val="18"/>
      <w:szCs w:val="18"/>
      <w:lang w:bidi="en-US"/>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lang w:eastAsia="en-US"/>
    </w:rPr>
  </w:style>
  <w:style w:type="paragraph" w:customStyle="1" w:styleId="10">
    <w:name w:val="修订1"/>
    <w:hidden/>
    <w:uiPriority w:val="99"/>
    <w:semiHidden/>
    <w:qFormat/>
    <w:rPr>
      <w:rFonts w:ascii="Times New Roman" w:eastAsia="Times New Roman" w:hAnsi="Times New Roman" w:cs="Times New Roman"/>
      <w:sz w:val="22"/>
      <w:szCs w:val="22"/>
      <w:lang w:eastAsia="en-US" w:bidi="en-US"/>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Plating Systems – Performance Criteria for Safety and Performance Based Pathway - Draft Guidance for Industry and Food and Drug Administration Staff</dc:title>
  <dc:creator>CDRH</dc:creator>
  <cp:lastModifiedBy>EDY</cp:lastModifiedBy>
  <cp:revision>25</cp:revision>
  <dcterms:created xsi:type="dcterms:W3CDTF">2021-11-10T08:31:00Z</dcterms:created>
  <dcterms:modified xsi:type="dcterms:W3CDTF">2022-06-08T02:26:00Z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CommonLook Office GlobalAccess-2.0.9.29</vt:lpwstr>
  </property>
  <property fmtid="{D5CDD505-2E9C-101B-9397-08002B2CF9AE}" pid="4" name="LastSaved">
    <vt:filetime>2021-10-27T00:00:00Z</vt:filetime>
  </property>
  <property fmtid="{D5CDD505-2E9C-101B-9397-08002B2CF9AE}" pid="5" name="KSOProductBuildVer">
    <vt:lpwstr>2052-11.1.0.11365</vt:lpwstr>
  </property>
  <property fmtid="{D5CDD505-2E9C-101B-9397-08002B2CF9AE}" pid="6" name="ICV">
    <vt:lpwstr>3E31FC22FE5B4FC3BB5576D27557579C</vt:lpwstr>
  </property>
</Properties>
</file>