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932FA" w14:textId="423597ED" w:rsidR="0050117E" w:rsidRPr="00AC2BA5" w:rsidRDefault="00F86DFD" w:rsidP="000102EB">
      <w:pPr>
        <w:pBdr>
          <w:bottom w:val="single" w:sz="4" w:space="1" w:color="auto"/>
        </w:pBd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Pr>
          <w:rFonts w:ascii="Times New Roman" w:eastAsia="宋体" w:hAnsi="Times New Roman" w:cs="宋体"/>
          <w:b/>
          <w:sz w:val="44"/>
          <w:lang w:eastAsia="zh-CN"/>
        </w:rPr>
        <w:t>非处方用自我监测血糖测试系统</w:t>
      </w:r>
    </w:p>
    <w:p w14:paraId="0B456A54" w14:textId="6057587D" w:rsidR="0050117E" w:rsidRPr="00AC2BA5" w:rsidRDefault="00B8550C" w:rsidP="000102EB">
      <w:pP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AC2BA5">
        <w:rPr>
          <w:rFonts w:ascii="Times New Roman" w:eastAsia="宋体" w:hAnsi="Times New Roman" w:cs="宋体"/>
          <w:b/>
          <w:sz w:val="44"/>
          <w:lang w:eastAsia="zh-CN"/>
        </w:rPr>
        <w:t>行业和美国食品</w:t>
      </w:r>
      <w:r w:rsidR="00C961FA">
        <w:rPr>
          <w:rFonts w:ascii="Times New Roman" w:eastAsia="宋体" w:hAnsi="Times New Roman" w:cs="宋体"/>
          <w:b/>
          <w:sz w:val="44"/>
          <w:lang w:eastAsia="zh-CN"/>
        </w:rPr>
        <w:t>药品管理</w:t>
      </w:r>
      <w:r w:rsidR="005F716C">
        <w:rPr>
          <w:rFonts w:ascii="Times New Roman" w:eastAsia="宋体" w:hAnsi="Times New Roman" w:cs="宋体" w:hint="eastAsia"/>
          <w:b/>
          <w:sz w:val="44"/>
          <w:lang w:eastAsia="zh-CN"/>
        </w:rPr>
        <w:t>监督</w:t>
      </w:r>
      <w:r w:rsidR="00C961FA">
        <w:rPr>
          <w:rFonts w:ascii="Times New Roman" w:eastAsia="宋体" w:hAnsi="Times New Roman" w:cs="宋体"/>
          <w:b/>
          <w:sz w:val="44"/>
          <w:lang w:eastAsia="zh-CN"/>
        </w:rPr>
        <w:t>局</w:t>
      </w:r>
      <w:r w:rsidRPr="00AC2BA5">
        <w:rPr>
          <w:rFonts w:ascii="Times New Roman" w:eastAsia="宋体" w:hAnsi="Times New Roman" w:cs="宋体"/>
          <w:b/>
          <w:sz w:val="44"/>
          <w:lang w:eastAsia="zh-CN"/>
        </w:rPr>
        <w:t>工作人员指南</w:t>
      </w:r>
    </w:p>
    <w:p w14:paraId="010CD343"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b/>
          <w:bCs/>
          <w:snapToGrid w:val="0"/>
          <w:sz w:val="24"/>
          <w:szCs w:val="24"/>
          <w:lang w:eastAsia="zh-CN"/>
        </w:rPr>
      </w:pPr>
    </w:p>
    <w:p w14:paraId="64117466"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b/>
          <w:bCs/>
          <w:snapToGrid w:val="0"/>
          <w:sz w:val="24"/>
          <w:szCs w:val="24"/>
          <w:lang w:eastAsia="zh-CN"/>
        </w:rPr>
      </w:pPr>
    </w:p>
    <w:p w14:paraId="0CAB5CB4" w14:textId="1D123378" w:rsidR="000460CB" w:rsidRPr="00AC2BA5" w:rsidRDefault="00B8550C" w:rsidP="000102EB">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AC2BA5">
        <w:rPr>
          <w:rFonts w:ascii="Times New Roman" w:eastAsia="宋体" w:hAnsi="Times New Roman" w:cs="宋体"/>
          <w:b/>
          <w:sz w:val="24"/>
          <w:lang w:eastAsia="zh-CN"/>
        </w:rPr>
        <w:t>发布日期：</w:t>
      </w:r>
      <w:r w:rsidRPr="00AC2BA5">
        <w:rPr>
          <w:rFonts w:ascii="Times New Roman" w:eastAsia="宋体" w:hAnsi="Times New Roman" w:cs="宋体"/>
          <w:b/>
          <w:sz w:val="24"/>
          <w:lang w:eastAsia="zh-CN"/>
        </w:rPr>
        <w:t>2020</w:t>
      </w:r>
      <w:r w:rsidRPr="00AC2BA5">
        <w:rPr>
          <w:rFonts w:ascii="Times New Roman" w:eastAsia="宋体" w:hAnsi="Times New Roman" w:cs="宋体"/>
          <w:b/>
          <w:sz w:val="24"/>
          <w:lang w:eastAsia="zh-CN"/>
        </w:rPr>
        <w:t>年</w:t>
      </w:r>
      <w:r w:rsidRPr="00AC2BA5">
        <w:rPr>
          <w:rFonts w:ascii="Times New Roman" w:eastAsia="宋体" w:hAnsi="Times New Roman" w:cs="宋体"/>
          <w:b/>
          <w:sz w:val="24"/>
          <w:lang w:eastAsia="zh-CN"/>
        </w:rPr>
        <w:t>9</w:t>
      </w:r>
      <w:r w:rsidRPr="00AC2BA5">
        <w:rPr>
          <w:rFonts w:ascii="Times New Roman" w:eastAsia="宋体" w:hAnsi="Times New Roman" w:cs="宋体"/>
          <w:b/>
          <w:sz w:val="24"/>
          <w:lang w:eastAsia="zh-CN"/>
        </w:rPr>
        <w:t>月</w:t>
      </w:r>
      <w:r w:rsidRPr="00AC2BA5">
        <w:rPr>
          <w:rFonts w:ascii="Times New Roman" w:eastAsia="宋体" w:hAnsi="Times New Roman" w:cs="宋体"/>
          <w:b/>
          <w:sz w:val="24"/>
          <w:lang w:eastAsia="zh-CN"/>
        </w:rPr>
        <w:t>29</w:t>
      </w:r>
      <w:r w:rsidR="00F923E1">
        <w:rPr>
          <w:rFonts w:ascii="Times New Roman" w:eastAsia="宋体" w:hAnsi="Times New Roman" w:cs="宋体"/>
          <w:b/>
          <w:sz w:val="24"/>
          <w:lang w:eastAsia="zh-CN"/>
        </w:rPr>
        <w:t>日</w:t>
      </w:r>
    </w:p>
    <w:p w14:paraId="251016B2" w14:textId="56283F4B" w:rsidR="0050117E" w:rsidRPr="00AC2BA5" w:rsidRDefault="00B8550C" w:rsidP="000102EB">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AC2BA5">
        <w:rPr>
          <w:rFonts w:ascii="Times New Roman" w:eastAsia="宋体" w:hAnsi="Times New Roman" w:cs="宋体"/>
          <w:b/>
          <w:sz w:val="24"/>
          <w:lang w:eastAsia="zh-CN"/>
        </w:rPr>
        <w:t>文件草案发布日期：</w:t>
      </w:r>
      <w:r w:rsidRPr="00AC2BA5">
        <w:rPr>
          <w:rFonts w:ascii="Times New Roman" w:eastAsia="宋体" w:hAnsi="Times New Roman" w:cs="宋体"/>
          <w:b/>
          <w:sz w:val="24"/>
          <w:lang w:eastAsia="zh-CN"/>
        </w:rPr>
        <w:t>2018</w:t>
      </w:r>
      <w:r w:rsidRPr="00AC2BA5">
        <w:rPr>
          <w:rFonts w:ascii="Times New Roman" w:eastAsia="宋体" w:hAnsi="Times New Roman" w:cs="宋体"/>
          <w:b/>
          <w:sz w:val="24"/>
          <w:lang w:eastAsia="zh-CN"/>
        </w:rPr>
        <w:t>年</w:t>
      </w:r>
      <w:r w:rsidRPr="00AC2BA5">
        <w:rPr>
          <w:rFonts w:ascii="Times New Roman" w:eastAsia="宋体" w:hAnsi="Times New Roman" w:cs="宋体"/>
          <w:b/>
          <w:sz w:val="24"/>
          <w:lang w:eastAsia="zh-CN"/>
        </w:rPr>
        <w:t>11</w:t>
      </w:r>
      <w:r w:rsidRPr="00AC2BA5">
        <w:rPr>
          <w:rFonts w:ascii="Times New Roman" w:eastAsia="宋体" w:hAnsi="Times New Roman" w:cs="宋体"/>
          <w:b/>
          <w:sz w:val="24"/>
          <w:lang w:eastAsia="zh-CN"/>
        </w:rPr>
        <w:t>月</w:t>
      </w:r>
      <w:r w:rsidRPr="00AC2BA5">
        <w:rPr>
          <w:rFonts w:ascii="Times New Roman" w:eastAsia="宋体" w:hAnsi="Times New Roman" w:cs="宋体"/>
          <w:b/>
          <w:sz w:val="24"/>
          <w:lang w:eastAsia="zh-CN"/>
        </w:rPr>
        <w:t>30</w:t>
      </w:r>
      <w:r w:rsidR="00F923E1">
        <w:rPr>
          <w:rFonts w:ascii="Times New Roman" w:eastAsia="宋体" w:hAnsi="Times New Roman" w:cs="宋体"/>
          <w:b/>
          <w:sz w:val="24"/>
          <w:lang w:eastAsia="zh-CN"/>
        </w:rPr>
        <w:t>日</w:t>
      </w:r>
    </w:p>
    <w:p w14:paraId="75437211" w14:textId="07A168FA" w:rsidR="0050117E" w:rsidRPr="00AC2BA5" w:rsidRDefault="00B8550C" w:rsidP="00C961FA">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AC2BA5">
        <w:rPr>
          <w:rFonts w:ascii="Times New Roman" w:eastAsia="宋体" w:hAnsi="Times New Roman" w:cs="宋体"/>
          <w:b/>
          <w:sz w:val="24"/>
          <w:lang w:eastAsia="zh-CN"/>
        </w:rPr>
        <w:t>本指南取代</w:t>
      </w:r>
      <w:r w:rsidRPr="00AC2BA5">
        <w:rPr>
          <w:rFonts w:ascii="Times New Roman" w:eastAsia="宋体" w:hAnsi="Times New Roman" w:cs="宋体"/>
          <w:b/>
          <w:sz w:val="24"/>
          <w:lang w:eastAsia="zh-CN"/>
        </w:rPr>
        <w:t>2016</w:t>
      </w:r>
      <w:r w:rsidRPr="00AC2BA5">
        <w:rPr>
          <w:rFonts w:ascii="Times New Roman" w:eastAsia="宋体" w:hAnsi="Times New Roman" w:cs="宋体"/>
          <w:b/>
          <w:sz w:val="24"/>
          <w:lang w:eastAsia="zh-CN"/>
        </w:rPr>
        <w:t>年</w:t>
      </w:r>
      <w:r w:rsidRPr="00AC2BA5">
        <w:rPr>
          <w:rFonts w:ascii="Times New Roman" w:eastAsia="宋体" w:hAnsi="Times New Roman" w:cs="宋体"/>
          <w:b/>
          <w:sz w:val="24"/>
          <w:lang w:eastAsia="zh-CN"/>
        </w:rPr>
        <w:t>10</w:t>
      </w:r>
      <w:r w:rsidRPr="00AC2BA5">
        <w:rPr>
          <w:rFonts w:ascii="Times New Roman" w:eastAsia="宋体" w:hAnsi="Times New Roman" w:cs="宋体"/>
          <w:b/>
          <w:sz w:val="24"/>
          <w:lang w:eastAsia="zh-CN"/>
        </w:rPr>
        <w:t>月</w:t>
      </w:r>
      <w:r w:rsidRPr="00AC2BA5">
        <w:rPr>
          <w:rFonts w:ascii="Times New Roman" w:eastAsia="宋体" w:hAnsi="Times New Roman" w:cs="宋体"/>
          <w:b/>
          <w:sz w:val="24"/>
          <w:lang w:eastAsia="zh-CN"/>
        </w:rPr>
        <w:t>11</w:t>
      </w:r>
      <w:r w:rsidRPr="00AC2BA5">
        <w:rPr>
          <w:rFonts w:ascii="Times New Roman" w:eastAsia="宋体" w:hAnsi="Times New Roman" w:cs="宋体"/>
          <w:b/>
          <w:sz w:val="24"/>
          <w:lang w:eastAsia="zh-CN"/>
        </w:rPr>
        <w:t>日发布的《</w:t>
      </w:r>
      <w:r w:rsidR="00F86DFD">
        <w:rPr>
          <w:rFonts w:ascii="Times New Roman" w:eastAsia="宋体" w:hAnsi="Times New Roman" w:cs="宋体"/>
          <w:b/>
          <w:sz w:val="24"/>
          <w:lang w:eastAsia="zh-CN"/>
        </w:rPr>
        <w:t>非处方用自我监测血糖测试系统</w:t>
      </w:r>
      <w:r w:rsidRPr="00AC2BA5">
        <w:rPr>
          <w:rFonts w:ascii="Times New Roman" w:eastAsia="宋体" w:hAnsi="Times New Roman" w:cs="宋体"/>
          <w:b/>
          <w:sz w:val="24"/>
          <w:lang w:eastAsia="zh-CN"/>
        </w:rPr>
        <w:t>：行业和</w:t>
      </w:r>
      <w:r w:rsidR="00DD3496">
        <w:rPr>
          <w:rFonts w:ascii="Times New Roman" w:eastAsia="宋体" w:hAnsi="Times New Roman" w:cs="宋体"/>
          <w:b/>
          <w:sz w:val="24"/>
          <w:lang w:eastAsia="zh-CN"/>
        </w:rPr>
        <w:t>美国</w:t>
      </w:r>
      <w:r w:rsidRPr="00AC2BA5">
        <w:rPr>
          <w:rFonts w:ascii="Times New Roman" w:eastAsia="宋体" w:hAnsi="Times New Roman" w:cs="宋体"/>
          <w:b/>
          <w:sz w:val="24"/>
          <w:lang w:eastAsia="zh-CN"/>
        </w:rPr>
        <w:t>食品药品</w:t>
      </w:r>
      <w:r w:rsidR="00DD3496">
        <w:rPr>
          <w:rFonts w:ascii="Times New Roman" w:eastAsia="宋体" w:hAnsi="Times New Roman" w:cs="宋体" w:hint="eastAsia"/>
          <w:b/>
          <w:sz w:val="24"/>
          <w:lang w:eastAsia="zh-CN"/>
        </w:rPr>
        <w:t>监督</w:t>
      </w:r>
      <w:r w:rsidRPr="00AC2BA5">
        <w:rPr>
          <w:rFonts w:ascii="Times New Roman" w:eastAsia="宋体" w:hAnsi="Times New Roman" w:cs="宋体"/>
          <w:b/>
          <w:sz w:val="24"/>
          <w:lang w:eastAsia="zh-CN"/>
        </w:rPr>
        <w:t>管理局工作人员指南》。</w:t>
      </w:r>
    </w:p>
    <w:p w14:paraId="377BFA5A"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A40120F"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color w:val="000000"/>
          <w:sz w:val="24"/>
          <w:szCs w:val="24"/>
          <w:lang w:eastAsia="zh-CN"/>
        </w:rPr>
      </w:pPr>
      <w:r w:rsidRPr="00AC2BA5">
        <w:rPr>
          <w:rFonts w:ascii="Times New Roman" w:eastAsia="宋体" w:hAnsi="Times New Roman" w:cs="宋体"/>
          <w:sz w:val="24"/>
          <w:lang w:eastAsia="zh-CN"/>
        </w:rPr>
        <w:t>如对本文件有任何疑问，请联系</w:t>
      </w:r>
      <w:r w:rsidRPr="00AC2BA5">
        <w:rPr>
          <w:rFonts w:ascii="Times New Roman" w:eastAsia="宋体" w:hAnsi="Times New Roman" w:cs="宋体"/>
          <w:sz w:val="24"/>
          <w:lang w:eastAsia="zh-CN"/>
        </w:rPr>
        <w:t xml:space="preserve">Leslie </w:t>
      </w:r>
      <w:proofErr w:type="spellStart"/>
      <w:r w:rsidRPr="00AC2BA5">
        <w:rPr>
          <w:rFonts w:ascii="Times New Roman" w:eastAsia="宋体" w:hAnsi="Times New Roman" w:cs="宋体"/>
          <w:sz w:val="24"/>
          <w:lang w:eastAsia="zh-CN"/>
        </w:rPr>
        <w:t>Landree</w:t>
      </w:r>
      <w:proofErr w:type="spellEnd"/>
      <w:r w:rsidRPr="00AC2BA5">
        <w:rPr>
          <w:rFonts w:ascii="Times New Roman" w:eastAsia="宋体" w:hAnsi="Times New Roman" w:cs="宋体"/>
          <w:sz w:val="24"/>
          <w:lang w:eastAsia="zh-CN"/>
        </w:rPr>
        <w:t>，发送电子邮件至</w:t>
      </w:r>
      <w:r w:rsidR="001F0A9D" w:rsidRPr="00AC2BA5">
        <w:fldChar w:fldCharType="begin"/>
      </w:r>
      <w:r w:rsidR="001F0A9D" w:rsidRPr="00AC2BA5">
        <w:rPr>
          <w:lang w:eastAsia="zh-CN"/>
        </w:rPr>
        <w:instrText xml:space="preserve"> HYPERLINK "mailto:leslie.landree@fda.hhs.gov" \h </w:instrText>
      </w:r>
      <w:r w:rsidR="001F0A9D" w:rsidRPr="00AC2BA5">
        <w:fldChar w:fldCharType="separate"/>
      </w:r>
      <w:r w:rsidRPr="00AC2BA5">
        <w:rPr>
          <w:rFonts w:ascii="Times New Roman" w:eastAsia="宋体" w:hAnsi="Times New Roman" w:cs="宋体"/>
          <w:snapToGrid w:val="0"/>
          <w:color w:val="0000FF"/>
          <w:sz w:val="24"/>
          <w:szCs w:val="24"/>
          <w:u w:val="single" w:color="0000FF"/>
          <w:lang w:eastAsia="zh-CN"/>
        </w:rPr>
        <w:t>leslie.landree@fda.hhs.gov</w:t>
      </w:r>
      <w:r w:rsidR="001F0A9D" w:rsidRPr="00AC2BA5">
        <w:rPr>
          <w:rFonts w:ascii="宋体" w:eastAsia="宋体" w:hAnsi="宋体" w:cs="宋体"/>
          <w:snapToGrid w:val="0"/>
          <w:color w:val="0000FF"/>
          <w:sz w:val="24"/>
          <w:szCs w:val="24"/>
          <w:u w:val="single" w:color="0000FF"/>
        </w:rPr>
        <w:fldChar w:fldCharType="end"/>
      </w:r>
      <w:r w:rsidRPr="00AC2BA5">
        <w:rPr>
          <w:rFonts w:ascii="Times New Roman" w:eastAsia="宋体" w:hAnsi="Times New Roman" w:cs="宋体"/>
          <w:color w:val="000000"/>
          <w:sz w:val="24"/>
          <w:lang w:eastAsia="zh-CN"/>
        </w:rPr>
        <w:t>，或拨打电话：</w:t>
      </w:r>
      <w:r w:rsidRPr="00AC2BA5">
        <w:rPr>
          <w:rFonts w:ascii="Times New Roman" w:eastAsia="宋体" w:hAnsi="Times New Roman" w:cs="宋体"/>
          <w:color w:val="000000"/>
          <w:sz w:val="24"/>
          <w:lang w:eastAsia="zh-CN"/>
        </w:rPr>
        <w:t>301-796-6147</w:t>
      </w:r>
      <w:r w:rsidRPr="00AC2BA5">
        <w:rPr>
          <w:rFonts w:ascii="Times New Roman" w:eastAsia="宋体" w:hAnsi="Times New Roman" w:cs="宋体"/>
          <w:color w:val="000000"/>
          <w:sz w:val="24"/>
          <w:lang w:eastAsia="zh-CN"/>
        </w:rPr>
        <w:t>。</w:t>
      </w:r>
    </w:p>
    <w:p w14:paraId="7701883C"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snapToGrid w:val="0"/>
          <w:color w:val="000000"/>
          <w:sz w:val="24"/>
          <w:szCs w:val="24"/>
          <w:lang w:eastAsia="zh-CN"/>
        </w:rPr>
      </w:pPr>
    </w:p>
    <w:p w14:paraId="10D46E3F"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50117E" w:rsidRPr="00AC2BA5" w14:paraId="6377FA15" w14:textId="77777777" w:rsidTr="0050117E">
        <w:tc>
          <w:tcPr>
            <w:tcW w:w="4643" w:type="dxa"/>
          </w:tcPr>
          <w:p w14:paraId="40961185" w14:textId="77777777" w:rsidR="0050117E" w:rsidRPr="00AC2BA5" w:rsidRDefault="0050117E" w:rsidP="000102EB">
            <w:pPr>
              <w:adjustRightInd w:val="0"/>
              <w:snapToGrid w:val="0"/>
              <w:spacing w:line="300" w:lineRule="auto"/>
              <w:jc w:val="both"/>
              <w:rPr>
                <w:rFonts w:ascii="Times New Roman" w:hAnsi="Times New Roman" w:cs="Times New Roman"/>
                <w:snapToGrid w:val="0"/>
                <w:sz w:val="21"/>
                <w:szCs w:val="21"/>
                <w:lang w:eastAsia="zh-CN"/>
              </w:rPr>
            </w:pPr>
            <w:r w:rsidRPr="00AC2BA5">
              <w:rPr>
                <w:rFonts w:ascii="宋体" w:eastAsia="宋体" w:hAnsi="宋体" w:cs="宋体"/>
                <w:noProof/>
                <w:sz w:val="21"/>
                <w:lang w:eastAsia="zh-CN"/>
              </w:rPr>
              <w:drawing>
                <wp:inline distT="0" distB="0" distL="0" distR="0" wp14:anchorId="7056860E" wp14:editId="4261B30F">
                  <wp:extent cx="2571429" cy="714286"/>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71429" cy="714286"/>
                          </a:xfrm>
                          <a:prstGeom prst="rect">
                            <a:avLst/>
                          </a:prstGeom>
                        </pic:spPr>
                      </pic:pic>
                    </a:graphicData>
                  </a:graphic>
                </wp:inline>
              </w:drawing>
            </w:r>
          </w:p>
        </w:tc>
        <w:tc>
          <w:tcPr>
            <w:tcW w:w="4644" w:type="dxa"/>
          </w:tcPr>
          <w:p w14:paraId="582B02B7" w14:textId="56450088" w:rsidR="0050117E" w:rsidRPr="00AC2BA5" w:rsidRDefault="00900CA0" w:rsidP="000102EB">
            <w:pPr>
              <w:pStyle w:val="3"/>
              <w:adjustRightInd w:val="0"/>
              <w:snapToGrid w:val="0"/>
              <w:spacing w:line="300" w:lineRule="auto"/>
              <w:ind w:left="0" w:firstLine="0"/>
              <w:jc w:val="right"/>
              <w:rPr>
                <w:rFonts w:eastAsia="宋体" w:cs="Times New Roman"/>
                <w:b w:val="0"/>
                <w:bCs w:val="0"/>
                <w:snapToGrid w:val="0"/>
                <w:sz w:val="21"/>
                <w:szCs w:val="21"/>
                <w:lang w:eastAsia="zh-CN"/>
              </w:rPr>
            </w:pPr>
            <w:r w:rsidRPr="00AC2BA5">
              <w:rPr>
                <w:rFonts w:eastAsia="宋体" w:cs="宋体"/>
                <w:sz w:val="21"/>
                <w:lang w:eastAsia="zh-CN"/>
              </w:rPr>
              <w:t>美国卫生与</w:t>
            </w:r>
            <w:r w:rsidR="005F716C">
              <w:rPr>
                <w:rFonts w:eastAsia="宋体" w:cs="宋体" w:hint="eastAsia"/>
                <w:sz w:val="21"/>
                <w:lang w:eastAsia="zh-CN"/>
              </w:rPr>
              <w:t>公众</w:t>
            </w:r>
            <w:r w:rsidRPr="00AC2BA5">
              <w:rPr>
                <w:rFonts w:eastAsia="宋体" w:cs="宋体"/>
                <w:sz w:val="21"/>
                <w:lang w:eastAsia="zh-CN"/>
              </w:rPr>
              <w:t>服务部</w:t>
            </w:r>
          </w:p>
          <w:p w14:paraId="051419CD" w14:textId="3DC0036F" w:rsidR="0050117E" w:rsidRPr="00AC2BA5" w:rsidRDefault="0050117E" w:rsidP="000102EB">
            <w:pPr>
              <w:adjustRightInd w:val="0"/>
              <w:snapToGrid w:val="0"/>
              <w:spacing w:line="300" w:lineRule="auto"/>
              <w:jc w:val="right"/>
              <w:rPr>
                <w:rFonts w:ascii="Times New Roman" w:eastAsia="宋体" w:hAnsi="Times New Roman" w:cs="Times New Roman"/>
                <w:b/>
                <w:bCs/>
                <w:snapToGrid w:val="0"/>
                <w:sz w:val="21"/>
                <w:szCs w:val="21"/>
                <w:lang w:eastAsia="zh-CN"/>
              </w:rPr>
            </w:pPr>
            <w:r w:rsidRPr="00AC2BA5">
              <w:rPr>
                <w:rFonts w:ascii="Times New Roman" w:eastAsia="宋体" w:hAnsi="Times New Roman" w:cs="宋体"/>
                <w:b/>
                <w:sz w:val="21"/>
                <w:lang w:eastAsia="zh-CN"/>
              </w:rPr>
              <w:t>美国食品</w:t>
            </w:r>
            <w:r w:rsidR="00C961FA">
              <w:rPr>
                <w:rFonts w:ascii="Times New Roman" w:eastAsia="宋体" w:hAnsi="Times New Roman" w:cs="宋体"/>
                <w:b/>
                <w:sz w:val="21"/>
                <w:lang w:eastAsia="zh-CN"/>
              </w:rPr>
              <w:t>药品</w:t>
            </w:r>
            <w:r w:rsidR="005F716C">
              <w:rPr>
                <w:rFonts w:ascii="Times New Roman" w:eastAsia="宋体" w:hAnsi="Times New Roman" w:cs="宋体" w:hint="eastAsia"/>
                <w:b/>
                <w:sz w:val="21"/>
                <w:lang w:eastAsia="zh-CN"/>
              </w:rPr>
              <w:t>监督</w:t>
            </w:r>
            <w:r w:rsidR="00C961FA">
              <w:rPr>
                <w:rFonts w:ascii="Times New Roman" w:eastAsia="宋体" w:hAnsi="Times New Roman" w:cs="宋体"/>
                <w:b/>
                <w:sz w:val="21"/>
                <w:lang w:eastAsia="zh-CN"/>
              </w:rPr>
              <w:t>管理局</w:t>
            </w:r>
          </w:p>
          <w:p w14:paraId="6F2E6F7D" w14:textId="303246B6" w:rsidR="0050117E" w:rsidRPr="00AC2BA5" w:rsidRDefault="00DD3496" w:rsidP="000102EB">
            <w:pPr>
              <w:adjustRightInd w:val="0"/>
              <w:snapToGrid w:val="0"/>
              <w:spacing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医疗器械和辐射健康中心</w:t>
            </w:r>
          </w:p>
        </w:tc>
      </w:tr>
    </w:tbl>
    <w:p w14:paraId="0CC1D238"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2AA78FA" w14:textId="77777777" w:rsidR="0050117E" w:rsidRPr="00AC2BA5" w:rsidRDefault="0050117E" w:rsidP="000102EB">
      <w:pPr>
        <w:rPr>
          <w:rFonts w:ascii="Times New Roman" w:eastAsia="宋体" w:hAnsi="Times New Roman" w:cs="Times New Roman"/>
          <w:snapToGrid w:val="0"/>
          <w:sz w:val="24"/>
          <w:szCs w:val="24"/>
          <w:lang w:eastAsia="zh-CN"/>
        </w:rPr>
        <w:sectPr w:rsidR="0050117E" w:rsidRPr="00AC2BA5" w:rsidSect="0050117E">
          <w:pgSz w:w="11907" w:h="16839" w:code="9"/>
          <w:pgMar w:top="1418" w:right="1418" w:bottom="1418" w:left="1418" w:header="720" w:footer="720" w:gutter="0"/>
          <w:cols w:space="720"/>
          <w:docGrid w:linePitch="299"/>
        </w:sectPr>
      </w:pPr>
      <w:r w:rsidRPr="00AC2BA5">
        <w:rPr>
          <w:rFonts w:ascii="Times New Roman" w:eastAsia="宋体" w:hAnsi="Times New Roman" w:cs="宋体"/>
          <w:sz w:val="24"/>
          <w:lang w:eastAsia="zh-CN"/>
        </w:rPr>
        <w:br w:type="page"/>
      </w:r>
    </w:p>
    <w:p w14:paraId="60EFBEFF" w14:textId="77777777" w:rsidR="000460CB" w:rsidRPr="00AC2BA5" w:rsidRDefault="00B8550C" w:rsidP="000102EB">
      <w:pPr>
        <w:pStyle w:val="1"/>
        <w:adjustRightInd w:val="0"/>
        <w:snapToGrid w:val="0"/>
        <w:spacing w:beforeLines="50" w:before="120" w:line="300" w:lineRule="auto"/>
        <w:ind w:left="0" w:firstLine="0"/>
        <w:jc w:val="center"/>
        <w:rPr>
          <w:rFonts w:eastAsia="宋体" w:cs="Times New Roman"/>
          <w:b w:val="0"/>
          <w:bCs w:val="0"/>
          <w:snapToGrid w:val="0"/>
          <w:sz w:val="32"/>
          <w:szCs w:val="32"/>
        </w:rPr>
      </w:pPr>
      <w:proofErr w:type="spellStart"/>
      <w:r w:rsidRPr="00AC2BA5">
        <w:rPr>
          <w:rFonts w:eastAsia="宋体" w:cs="宋体"/>
          <w:sz w:val="32"/>
        </w:rPr>
        <w:lastRenderedPageBreak/>
        <w:t>公众意见</w:t>
      </w:r>
      <w:proofErr w:type="spellEnd"/>
    </w:p>
    <w:p w14:paraId="687F34F9"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32"/>
          <w:szCs w:val="32"/>
        </w:rPr>
      </w:pPr>
      <w:proofErr w:type="spellStart"/>
      <w:r w:rsidRPr="00AC2BA5">
        <w:rPr>
          <w:rFonts w:ascii="Times New Roman" w:eastAsia="宋体" w:hAnsi="Times New Roman" w:cs="宋体"/>
          <w:b/>
          <w:sz w:val="32"/>
        </w:rPr>
        <w:t>前言</w:t>
      </w:r>
      <w:proofErr w:type="spellEnd"/>
    </w:p>
    <w:p w14:paraId="73201A5B" w14:textId="46FA8ADB" w:rsidR="0050117E" w:rsidRPr="00AC2BA5" w:rsidRDefault="00F86DFD" w:rsidP="000102EB">
      <w:pPr>
        <w:adjustRightInd w:val="0"/>
        <w:snapToGrid w:val="0"/>
        <w:spacing w:beforeLines="50" w:before="120" w:line="300" w:lineRule="auto"/>
        <w:jc w:val="both"/>
        <w:rPr>
          <w:rFonts w:ascii="Times New Roman" w:eastAsia="宋体" w:hAnsi="Times New Roman" w:cs="Times New Roman"/>
          <w:snapToGrid w:val="0"/>
          <w:sz w:val="24"/>
          <w:szCs w:val="24"/>
        </w:rPr>
      </w:pPr>
      <w:proofErr w:type="spellStart"/>
      <w:r w:rsidRPr="00F86DFD">
        <w:rPr>
          <w:rFonts w:ascii="Times New Roman" w:eastAsia="宋体" w:hAnsi="Times New Roman" w:cs="宋体" w:hint="eastAsia"/>
          <w:sz w:val="24"/>
        </w:rPr>
        <w:t>电子版意见和建议</w:t>
      </w:r>
      <w:r w:rsidR="00B8550C" w:rsidRPr="00AC2BA5">
        <w:rPr>
          <w:rFonts w:ascii="Times New Roman" w:eastAsia="宋体" w:hAnsi="Times New Roman" w:cs="宋体"/>
          <w:sz w:val="24"/>
        </w:rPr>
        <w:t>可随时提交至</w:t>
      </w:r>
      <w:hyperlink r:id="rId10">
        <w:r w:rsidR="00B8550C" w:rsidRPr="00AC2BA5">
          <w:rPr>
            <w:rFonts w:ascii="Times New Roman" w:eastAsia="宋体" w:hAnsi="Times New Roman" w:cs="宋体"/>
            <w:snapToGrid w:val="0"/>
            <w:color w:val="0000FF"/>
            <w:sz w:val="24"/>
            <w:szCs w:val="24"/>
            <w:u w:val="single" w:color="0000FF"/>
          </w:rPr>
          <w:t>http</w:t>
        </w:r>
        <w:proofErr w:type="spellEnd"/>
        <w:r w:rsidR="00B8550C" w:rsidRPr="00AC2BA5">
          <w:rPr>
            <w:rFonts w:ascii="Times New Roman" w:eastAsia="宋体" w:hAnsi="Times New Roman" w:cs="宋体"/>
            <w:snapToGrid w:val="0"/>
            <w:color w:val="0000FF"/>
            <w:sz w:val="24"/>
            <w:szCs w:val="24"/>
            <w:u w:val="single" w:color="0000FF"/>
          </w:rPr>
          <w:t>://www.regulations.gov</w:t>
        </w:r>
      </w:hyperlink>
      <w:r w:rsidR="00B8550C" w:rsidRPr="00AC2BA5">
        <w:rPr>
          <w:rFonts w:ascii="Times New Roman" w:eastAsia="宋体" w:hAnsi="Times New Roman" w:cs="宋体"/>
          <w:sz w:val="24"/>
        </w:rPr>
        <w:t>，供</w:t>
      </w:r>
      <w:r w:rsidR="00B8550C" w:rsidRPr="00AC2BA5">
        <w:rPr>
          <w:rFonts w:ascii="Times New Roman" w:eastAsia="宋体" w:hAnsi="Times New Roman" w:cs="宋体"/>
          <w:sz w:val="24"/>
        </w:rPr>
        <w:t>FDA</w:t>
      </w:r>
      <w:r w:rsidR="00B8550C" w:rsidRPr="00AC2BA5">
        <w:rPr>
          <w:rFonts w:ascii="Times New Roman" w:eastAsia="宋体" w:hAnsi="Times New Roman" w:cs="宋体"/>
          <w:sz w:val="24"/>
        </w:rPr>
        <w:t>审议。</w:t>
      </w:r>
      <w:r w:rsidR="00B8550C" w:rsidRPr="00AC2BA5">
        <w:rPr>
          <w:rFonts w:ascii="Times New Roman" w:eastAsia="宋体" w:hAnsi="Times New Roman" w:cs="宋体"/>
          <w:color w:val="000000"/>
          <w:sz w:val="24"/>
        </w:rPr>
        <w:t>书面意见提交至：美国食品</w:t>
      </w:r>
      <w:r w:rsidR="00C961FA">
        <w:rPr>
          <w:rFonts w:ascii="Times New Roman" w:eastAsia="宋体" w:hAnsi="Times New Roman" w:cs="宋体"/>
          <w:color w:val="000000"/>
          <w:sz w:val="24"/>
        </w:rPr>
        <w:t>药品</w:t>
      </w:r>
      <w:r w:rsidR="008D427B">
        <w:rPr>
          <w:rFonts w:ascii="Times New Roman" w:eastAsia="宋体" w:hAnsi="Times New Roman" w:cs="宋体" w:hint="eastAsia"/>
          <w:color w:val="000000"/>
          <w:sz w:val="24"/>
          <w:lang w:eastAsia="zh-CN"/>
        </w:rPr>
        <w:t>监督</w:t>
      </w:r>
      <w:r w:rsidR="00C961FA">
        <w:rPr>
          <w:rFonts w:ascii="Times New Roman" w:eastAsia="宋体" w:hAnsi="Times New Roman" w:cs="宋体"/>
          <w:color w:val="000000"/>
          <w:sz w:val="24"/>
        </w:rPr>
        <w:t>管理局</w:t>
      </w:r>
      <w:r w:rsidR="00B8550C" w:rsidRPr="00AC2BA5">
        <w:rPr>
          <w:rFonts w:ascii="Times New Roman" w:eastAsia="宋体" w:hAnsi="Times New Roman" w:cs="宋体"/>
          <w:color w:val="000000"/>
          <w:sz w:val="24"/>
        </w:rPr>
        <w:t>备案文件管理部（</w:t>
      </w:r>
      <w:r w:rsidR="00B8550C" w:rsidRPr="00AC2BA5">
        <w:rPr>
          <w:rFonts w:ascii="Times New Roman" w:eastAsia="宋体" w:hAnsi="Times New Roman" w:cs="宋体"/>
          <w:color w:val="000000"/>
          <w:sz w:val="24"/>
        </w:rPr>
        <w:t>HFA-305</w:t>
      </w:r>
      <w:r w:rsidR="00B8550C" w:rsidRPr="00AC2BA5">
        <w:rPr>
          <w:rFonts w:ascii="Times New Roman" w:eastAsia="宋体" w:hAnsi="Times New Roman" w:cs="宋体"/>
          <w:color w:val="000000"/>
          <w:sz w:val="24"/>
        </w:rPr>
        <w:t>）</w:t>
      </w:r>
      <w:r w:rsidR="00B8550C" w:rsidRPr="00AC2BA5">
        <w:rPr>
          <w:rFonts w:ascii="Times New Roman" w:eastAsia="宋体" w:hAnsi="Times New Roman" w:cs="宋体"/>
          <w:color w:val="000000"/>
          <w:sz w:val="24"/>
        </w:rPr>
        <w:t xml:space="preserve">, 5630 Fishers Lane, </w:t>
      </w:r>
      <w:r w:rsidR="002F290D">
        <w:rPr>
          <w:rFonts w:ascii="Times New Roman" w:eastAsia="宋体" w:hAnsi="Times New Roman" w:cs="宋体" w:hint="eastAsia"/>
          <w:color w:val="000000"/>
          <w:sz w:val="24"/>
          <w:lang w:eastAsia="zh-CN"/>
        </w:rPr>
        <w:t>Room</w:t>
      </w:r>
      <w:r w:rsidR="00B8550C" w:rsidRPr="00AC2BA5">
        <w:rPr>
          <w:rFonts w:ascii="Times New Roman" w:eastAsia="宋体" w:hAnsi="Times New Roman" w:cs="宋体"/>
          <w:color w:val="000000"/>
          <w:sz w:val="24"/>
        </w:rPr>
        <w:t>. 1061, Rockville, MD 20852</w:t>
      </w:r>
      <w:r w:rsidR="00B8550C" w:rsidRPr="00AC2BA5">
        <w:rPr>
          <w:rFonts w:ascii="Times New Roman" w:eastAsia="宋体" w:hAnsi="Times New Roman" w:cs="宋体"/>
          <w:color w:val="000000"/>
          <w:sz w:val="24"/>
        </w:rPr>
        <w:t>。所有意见均应注明备案文件编号</w:t>
      </w:r>
      <w:r w:rsidR="00B8550C" w:rsidRPr="00AC2BA5">
        <w:rPr>
          <w:rFonts w:ascii="Times New Roman" w:eastAsia="宋体" w:hAnsi="Times New Roman" w:cs="宋体"/>
          <w:color w:val="000000"/>
          <w:sz w:val="24"/>
        </w:rPr>
        <w:t>FDA-2013-D-1446</w:t>
      </w:r>
      <w:r w:rsidR="00B8550C" w:rsidRPr="00AC2BA5">
        <w:rPr>
          <w:rFonts w:ascii="Times New Roman" w:eastAsia="宋体" w:hAnsi="Times New Roman" w:cs="宋体"/>
          <w:color w:val="000000"/>
          <w:sz w:val="24"/>
        </w:rPr>
        <w:t>。在下次修订或更新本文件时，</w:t>
      </w:r>
      <w:r w:rsidR="00B8550C" w:rsidRPr="00AC2BA5">
        <w:rPr>
          <w:rFonts w:ascii="Times New Roman" w:eastAsia="宋体" w:hAnsi="Times New Roman" w:cs="宋体"/>
          <w:color w:val="000000"/>
          <w:sz w:val="24"/>
        </w:rPr>
        <w:t>FDA</w:t>
      </w:r>
      <w:r w:rsidR="00B8550C" w:rsidRPr="00AC2BA5">
        <w:rPr>
          <w:rFonts w:ascii="Times New Roman" w:eastAsia="宋体" w:hAnsi="Times New Roman" w:cs="宋体"/>
          <w:color w:val="000000"/>
          <w:sz w:val="24"/>
        </w:rPr>
        <w:t>将考虑实施该意见。</w:t>
      </w:r>
    </w:p>
    <w:p w14:paraId="31A01676" w14:textId="77777777" w:rsidR="0050117E" w:rsidRPr="00AC2BA5" w:rsidRDefault="00B8550C" w:rsidP="000102EB">
      <w:pPr>
        <w:pStyle w:val="1"/>
        <w:adjustRightInd w:val="0"/>
        <w:snapToGrid w:val="0"/>
        <w:spacing w:beforeLines="50" w:before="120" w:line="300" w:lineRule="auto"/>
        <w:ind w:left="0" w:firstLine="0"/>
        <w:jc w:val="both"/>
        <w:rPr>
          <w:rFonts w:eastAsia="宋体" w:cs="Times New Roman"/>
          <w:b w:val="0"/>
          <w:bCs w:val="0"/>
          <w:snapToGrid w:val="0"/>
          <w:sz w:val="32"/>
          <w:szCs w:val="32"/>
          <w:lang w:eastAsia="zh-CN"/>
        </w:rPr>
      </w:pPr>
      <w:r w:rsidRPr="00AC2BA5">
        <w:rPr>
          <w:rFonts w:eastAsia="宋体" w:cs="宋体"/>
          <w:sz w:val="32"/>
          <w:lang w:eastAsia="zh-CN"/>
        </w:rPr>
        <w:t>更多副本</w:t>
      </w:r>
    </w:p>
    <w:p w14:paraId="658A7B04" w14:textId="0E755329"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color w:val="000000"/>
          <w:sz w:val="24"/>
          <w:szCs w:val="24"/>
          <w:lang w:eastAsia="zh-CN"/>
        </w:rPr>
      </w:pPr>
      <w:r w:rsidRPr="00AC2BA5">
        <w:rPr>
          <w:rFonts w:ascii="Times New Roman" w:eastAsia="宋体" w:hAnsi="Times New Roman" w:cs="宋体"/>
          <w:sz w:val="24"/>
          <w:lang w:eastAsia="zh-CN"/>
        </w:rPr>
        <w:t>更多副本可通过互联网获得。也可以通过电子邮件发送请求至</w:t>
      </w:r>
      <w:r w:rsidR="009026D4">
        <w:fldChar w:fldCharType="begin"/>
      </w:r>
      <w:r w:rsidR="009026D4">
        <w:rPr>
          <w:lang w:eastAsia="zh-CN"/>
        </w:rPr>
        <w:instrText xml:space="preserve"> HYPERLINK "mailto:CDRH-Guidance@fda.hhs.gov" \h </w:instrText>
      </w:r>
      <w:r w:rsidR="009026D4">
        <w:fldChar w:fldCharType="separate"/>
      </w:r>
      <w:r w:rsidRPr="00AC2BA5">
        <w:rPr>
          <w:rFonts w:ascii="Times New Roman" w:eastAsia="宋体" w:hAnsi="Times New Roman" w:cs="宋体"/>
          <w:snapToGrid w:val="0"/>
          <w:color w:val="0000FF"/>
          <w:sz w:val="24"/>
          <w:szCs w:val="24"/>
          <w:u w:val="single" w:color="0000FF"/>
          <w:lang w:eastAsia="zh-CN"/>
        </w:rPr>
        <w:t>CDRH-Guidance@fda.hhs.gov</w:t>
      </w:r>
      <w:r w:rsidR="009026D4">
        <w:rPr>
          <w:rFonts w:ascii="Times New Roman" w:eastAsia="宋体" w:hAnsi="Times New Roman" w:cs="宋体"/>
          <w:snapToGrid w:val="0"/>
          <w:color w:val="0000FF"/>
          <w:sz w:val="24"/>
          <w:szCs w:val="24"/>
          <w:u w:val="single" w:color="0000FF"/>
          <w:lang w:eastAsia="zh-CN"/>
        </w:rPr>
        <w:fldChar w:fldCharType="end"/>
      </w:r>
      <w:r w:rsidRPr="00AC2BA5">
        <w:rPr>
          <w:rFonts w:ascii="Times New Roman" w:eastAsia="宋体" w:hAnsi="Times New Roman" w:cs="宋体"/>
          <w:color w:val="000000"/>
          <w:sz w:val="24"/>
          <w:lang w:eastAsia="zh-CN"/>
        </w:rPr>
        <w:t>获取本指南的副本。请在请求中注明文件编号</w:t>
      </w:r>
      <w:r w:rsidRPr="00AC2BA5">
        <w:rPr>
          <w:rFonts w:ascii="Times New Roman" w:eastAsia="宋体" w:hAnsi="Times New Roman" w:cs="宋体"/>
          <w:color w:val="000000"/>
          <w:sz w:val="24"/>
          <w:lang w:eastAsia="zh-CN"/>
        </w:rPr>
        <w:t>1756</w:t>
      </w:r>
      <w:r w:rsidRPr="00AC2BA5">
        <w:rPr>
          <w:rFonts w:ascii="Times New Roman" w:eastAsia="宋体" w:hAnsi="Times New Roman" w:cs="宋体"/>
          <w:color w:val="000000"/>
          <w:sz w:val="24"/>
          <w:lang w:eastAsia="zh-CN"/>
        </w:rPr>
        <w:t>和指南的完整标题。</w:t>
      </w:r>
    </w:p>
    <w:p w14:paraId="0C9E339B" w14:textId="77777777" w:rsidR="0050117E" w:rsidRPr="00AC2BA5" w:rsidRDefault="0050117E" w:rsidP="000102EB">
      <w:pPr>
        <w:rPr>
          <w:rFonts w:ascii="Times New Roman" w:eastAsia="宋体" w:hAnsi="Times New Roman" w:cs="Times New Roman"/>
          <w:snapToGrid w:val="0"/>
          <w:color w:val="000000"/>
          <w:sz w:val="24"/>
          <w:szCs w:val="24"/>
          <w:lang w:eastAsia="zh-CN"/>
        </w:rPr>
      </w:pPr>
      <w:r w:rsidRPr="00AC2BA5">
        <w:rPr>
          <w:rFonts w:ascii="Times New Roman" w:eastAsia="宋体" w:hAnsi="Times New Roman" w:cs="宋体"/>
          <w:color w:val="000000"/>
          <w:sz w:val="24"/>
          <w:lang w:eastAsia="zh-CN"/>
        </w:rPr>
        <w:br w:type="page"/>
      </w:r>
    </w:p>
    <w:p w14:paraId="2C2E6B0C" w14:textId="77777777" w:rsidR="000460CB" w:rsidRPr="00AC2BA5" w:rsidRDefault="00B8550C" w:rsidP="000102EB">
      <w:pPr>
        <w:pStyle w:val="1"/>
        <w:adjustRightInd w:val="0"/>
        <w:snapToGrid w:val="0"/>
        <w:spacing w:beforeLines="50" w:before="120" w:line="300" w:lineRule="auto"/>
        <w:ind w:left="0" w:firstLine="0"/>
        <w:jc w:val="center"/>
        <w:rPr>
          <w:rFonts w:eastAsia="宋体" w:cs="Times New Roman"/>
          <w:b w:val="0"/>
          <w:bCs w:val="0"/>
          <w:snapToGrid w:val="0"/>
          <w:sz w:val="32"/>
          <w:szCs w:val="32"/>
          <w:lang w:eastAsia="zh-CN"/>
        </w:rPr>
      </w:pPr>
      <w:r w:rsidRPr="00AC2BA5">
        <w:rPr>
          <w:rFonts w:eastAsia="宋体" w:cs="宋体"/>
          <w:sz w:val="32"/>
          <w:lang w:eastAsia="zh-CN"/>
        </w:rPr>
        <w:lastRenderedPageBreak/>
        <w:t>目录</w:t>
      </w:r>
    </w:p>
    <w:p w14:paraId="0BCD6582" w14:textId="77777777" w:rsidR="001F0A9D" w:rsidRPr="00AC2BA5" w:rsidRDefault="00A71969"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r w:rsidRPr="00AC2BA5">
        <w:rPr>
          <w:rFonts w:eastAsia="宋体" w:cs="Times New Roman"/>
          <w:snapToGrid w:val="0"/>
          <w:sz w:val="24"/>
          <w:szCs w:val="24"/>
        </w:rPr>
        <w:fldChar w:fldCharType="begin"/>
      </w:r>
      <w:r w:rsidRPr="00AC2BA5">
        <w:rPr>
          <w:rFonts w:eastAsia="宋体" w:cs="Times New Roman"/>
          <w:snapToGrid w:val="0"/>
          <w:sz w:val="24"/>
          <w:szCs w:val="24"/>
        </w:rPr>
        <w:instrText xml:space="preserve"> TOC \h \z \t "</w:instrText>
      </w:r>
      <w:r w:rsidRPr="00AC2BA5">
        <w:rPr>
          <w:rFonts w:eastAsia="宋体" w:cs="Times New Roman"/>
          <w:snapToGrid w:val="0"/>
          <w:sz w:val="24"/>
          <w:szCs w:val="24"/>
        </w:rPr>
        <w:instrText>样式</w:instrText>
      </w:r>
      <w:r w:rsidRPr="00AC2BA5">
        <w:rPr>
          <w:rFonts w:eastAsia="宋体" w:cs="Times New Roman"/>
          <w:snapToGrid w:val="0"/>
          <w:sz w:val="24"/>
          <w:szCs w:val="24"/>
        </w:rPr>
        <w:instrText>1,1,</w:instrText>
      </w:r>
      <w:r w:rsidRPr="00AC2BA5">
        <w:rPr>
          <w:rFonts w:eastAsia="宋体" w:cs="Times New Roman"/>
          <w:snapToGrid w:val="0"/>
          <w:sz w:val="24"/>
          <w:szCs w:val="24"/>
        </w:rPr>
        <w:instrText>样式</w:instrText>
      </w:r>
      <w:r w:rsidRPr="00AC2BA5">
        <w:rPr>
          <w:rFonts w:eastAsia="宋体" w:cs="Times New Roman"/>
          <w:snapToGrid w:val="0"/>
          <w:sz w:val="24"/>
          <w:szCs w:val="24"/>
        </w:rPr>
        <w:instrText>2,2,</w:instrText>
      </w:r>
      <w:r w:rsidRPr="00AC2BA5">
        <w:rPr>
          <w:rFonts w:eastAsia="宋体" w:cs="Times New Roman"/>
          <w:snapToGrid w:val="0"/>
          <w:sz w:val="24"/>
          <w:szCs w:val="24"/>
        </w:rPr>
        <w:instrText>样式</w:instrText>
      </w:r>
      <w:r w:rsidRPr="00AC2BA5">
        <w:rPr>
          <w:rFonts w:eastAsia="宋体" w:cs="Times New Roman"/>
          <w:snapToGrid w:val="0"/>
          <w:sz w:val="24"/>
          <w:szCs w:val="24"/>
        </w:rPr>
        <w:instrText xml:space="preserve">3,3" </w:instrText>
      </w:r>
      <w:r w:rsidRPr="00AC2BA5">
        <w:rPr>
          <w:rFonts w:eastAsia="宋体" w:cs="Times New Roman"/>
          <w:snapToGrid w:val="0"/>
          <w:sz w:val="24"/>
          <w:szCs w:val="24"/>
        </w:rPr>
        <w:fldChar w:fldCharType="separate"/>
      </w:r>
      <w:hyperlink w:anchor="_Toc91871160" w:history="1">
        <w:r w:rsidR="001F0A9D" w:rsidRPr="00AC2BA5">
          <w:rPr>
            <w:rStyle w:val="a8"/>
            <w:rFonts w:eastAsia="宋体" w:cs="Times New Roman"/>
            <w:noProof/>
            <w:sz w:val="24"/>
            <w:szCs w:val="24"/>
            <w:lang w:eastAsia="zh-CN"/>
          </w:rPr>
          <w:t>I.</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引言</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_Toc91871160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1</w:t>
        </w:r>
        <w:r w:rsidR="001F0A9D" w:rsidRPr="00AC2BA5">
          <w:rPr>
            <w:rFonts w:eastAsia="宋体" w:cs="Times New Roman"/>
            <w:noProof/>
            <w:webHidden/>
            <w:sz w:val="24"/>
            <w:szCs w:val="24"/>
          </w:rPr>
          <w:fldChar w:fldCharType="end"/>
        </w:r>
      </w:hyperlink>
    </w:p>
    <w:p w14:paraId="61BBDDE7" w14:textId="77777777"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61" w:history="1">
        <w:r w:rsidR="001F0A9D" w:rsidRPr="00AC2BA5">
          <w:rPr>
            <w:rStyle w:val="a8"/>
            <w:rFonts w:eastAsia="宋体" w:cs="Times New Roman"/>
            <w:noProof/>
            <w:sz w:val="24"/>
            <w:szCs w:val="24"/>
            <w:lang w:eastAsia="zh-CN"/>
          </w:rPr>
          <w:t>II.</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背景</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_Toc91871161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w:t>
        </w:r>
        <w:r w:rsidR="001F0A9D" w:rsidRPr="00AC2BA5">
          <w:rPr>
            <w:rFonts w:eastAsia="宋体" w:cs="Times New Roman"/>
            <w:noProof/>
            <w:webHidden/>
            <w:sz w:val="24"/>
            <w:szCs w:val="24"/>
          </w:rPr>
          <w:fldChar w:fldCharType="end"/>
        </w:r>
      </w:hyperlink>
    </w:p>
    <w:p w14:paraId="7F3CD12A" w14:textId="77777777"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62" w:history="1">
        <w:r w:rsidR="001F0A9D" w:rsidRPr="00AC2BA5">
          <w:rPr>
            <w:rStyle w:val="a8"/>
            <w:rFonts w:eastAsia="宋体" w:cs="Times New Roman"/>
            <w:noProof/>
            <w:sz w:val="24"/>
            <w:szCs w:val="24"/>
            <w:lang w:eastAsia="zh-CN"/>
          </w:rPr>
          <w:t>III.</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范围</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_Toc91871162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3</w:t>
        </w:r>
        <w:r w:rsidR="001F0A9D" w:rsidRPr="00AC2BA5">
          <w:rPr>
            <w:rFonts w:eastAsia="宋体" w:cs="Times New Roman"/>
            <w:noProof/>
            <w:webHidden/>
            <w:sz w:val="24"/>
            <w:szCs w:val="24"/>
          </w:rPr>
          <w:fldChar w:fldCharType="end"/>
        </w:r>
      </w:hyperlink>
    </w:p>
    <w:p w14:paraId="5B3127D3" w14:textId="77777777"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63" w:history="1">
        <w:r w:rsidR="001F0A9D" w:rsidRPr="00AC2BA5">
          <w:rPr>
            <w:rStyle w:val="a8"/>
            <w:rFonts w:eastAsia="宋体" w:cs="Times New Roman"/>
            <w:noProof/>
            <w:sz w:val="24"/>
            <w:szCs w:val="24"/>
            <w:lang w:eastAsia="zh-CN"/>
          </w:rPr>
          <w:t>IV.</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降低血源性病原体传播的风险</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_Toc91871163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4</w:t>
        </w:r>
        <w:r w:rsidR="001F0A9D" w:rsidRPr="00AC2BA5">
          <w:rPr>
            <w:rFonts w:eastAsia="宋体" w:cs="Times New Roman"/>
            <w:noProof/>
            <w:webHidden/>
            <w:sz w:val="24"/>
            <w:szCs w:val="24"/>
          </w:rPr>
          <w:fldChar w:fldCharType="end"/>
        </w:r>
      </w:hyperlink>
    </w:p>
    <w:p w14:paraId="07D1B554" w14:textId="77777777" w:rsidR="001F0A9D" w:rsidRPr="00AC2BA5" w:rsidRDefault="002642ED" w:rsidP="001F0A9D">
      <w:pPr>
        <w:pStyle w:val="20"/>
        <w:tabs>
          <w:tab w:val="right" w:leader="dot" w:pos="9061"/>
        </w:tabs>
        <w:adjustRightInd w:val="0"/>
        <w:snapToGrid w:val="0"/>
        <w:spacing w:beforeLines="15" w:before="36" w:line="276" w:lineRule="auto"/>
        <w:rPr>
          <w:rFonts w:eastAsia="宋体" w:cs="Times New Roman"/>
          <w:noProof/>
          <w:kern w:val="2"/>
          <w:sz w:val="24"/>
          <w:szCs w:val="24"/>
          <w:lang w:eastAsia="zh-CN"/>
        </w:rPr>
      </w:pPr>
      <w:hyperlink w:anchor="_Toc91871164" w:history="1">
        <w:r w:rsidR="001F0A9D" w:rsidRPr="00AC2BA5">
          <w:rPr>
            <w:rStyle w:val="a8"/>
            <w:rFonts w:eastAsia="宋体" w:cs="Times New Roman"/>
            <w:noProof/>
            <w:sz w:val="24"/>
            <w:szCs w:val="24"/>
            <w:lang w:eastAsia="zh-CN"/>
          </w:rPr>
          <w:t>A.</w:t>
        </w:r>
        <w:r w:rsidR="001F0A9D" w:rsidRPr="00AC2BA5">
          <w:rPr>
            <w:rFonts w:eastAsia="宋体" w:cs="Times New Roman"/>
            <w:noProof/>
            <w:kern w:val="2"/>
            <w:sz w:val="24"/>
            <w:szCs w:val="24"/>
            <w:lang w:eastAsia="zh-CN"/>
          </w:rPr>
          <w:tab/>
        </w:r>
        <w:r w:rsidR="001F0A9D" w:rsidRPr="00AC2BA5">
          <w:rPr>
            <w:rStyle w:val="a8"/>
            <w:rFonts w:eastAsia="宋体" w:cs="Times New Roman"/>
            <w:noProof/>
            <w:sz w:val="24"/>
            <w:szCs w:val="24"/>
            <w:lang w:eastAsia="zh-CN"/>
          </w:rPr>
          <w:t>经确认的清洁程序和消毒程序</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_Toc91871164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5</w:t>
        </w:r>
        <w:r w:rsidR="001F0A9D" w:rsidRPr="00AC2BA5">
          <w:rPr>
            <w:rFonts w:eastAsia="宋体" w:cs="Times New Roman"/>
            <w:noProof/>
            <w:webHidden/>
            <w:sz w:val="24"/>
            <w:szCs w:val="24"/>
          </w:rPr>
          <w:fldChar w:fldCharType="end"/>
        </w:r>
      </w:hyperlink>
    </w:p>
    <w:p w14:paraId="13260BAB" w14:textId="77777777" w:rsidR="001F0A9D" w:rsidRPr="00AC2BA5" w:rsidRDefault="002642ED" w:rsidP="001F0A9D">
      <w:pPr>
        <w:pStyle w:val="20"/>
        <w:tabs>
          <w:tab w:val="right" w:leader="dot" w:pos="9061"/>
        </w:tabs>
        <w:adjustRightInd w:val="0"/>
        <w:snapToGrid w:val="0"/>
        <w:spacing w:beforeLines="15" w:before="36" w:line="276" w:lineRule="auto"/>
        <w:rPr>
          <w:rFonts w:eastAsia="宋体" w:cs="Times New Roman"/>
          <w:noProof/>
          <w:kern w:val="2"/>
          <w:sz w:val="24"/>
          <w:szCs w:val="24"/>
          <w:lang w:eastAsia="zh-CN"/>
        </w:rPr>
      </w:pPr>
      <w:hyperlink w:anchor="_Toc91871165" w:history="1">
        <w:r w:rsidR="001F0A9D" w:rsidRPr="00AC2BA5">
          <w:rPr>
            <w:rStyle w:val="a8"/>
            <w:rFonts w:eastAsia="宋体" w:cs="Times New Roman"/>
            <w:noProof/>
            <w:sz w:val="24"/>
            <w:szCs w:val="24"/>
            <w:lang w:eastAsia="zh-CN"/>
          </w:rPr>
          <w:t>B.</w:t>
        </w:r>
        <w:r w:rsidR="001F0A9D" w:rsidRPr="00AC2BA5">
          <w:rPr>
            <w:rFonts w:eastAsia="宋体" w:cs="Times New Roman"/>
            <w:noProof/>
            <w:kern w:val="2"/>
            <w:sz w:val="24"/>
            <w:szCs w:val="24"/>
            <w:lang w:eastAsia="zh-CN"/>
          </w:rPr>
          <w:tab/>
        </w:r>
        <w:r w:rsidR="001F0A9D" w:rsidRPr="00AC2BA5">
          <w:rPr>
            <w:rStyle w:val="a8"/>
            <w:rFonts w:eastAsia="宋体" w:cs="Times New Roman"/>
            <w:noProof/>
            <w:sz w:val="24"/>
            <w:szCs w:val="24"/>
            <w:lang w:eastAsia="zh-CN"/>
          </w:rPr>
          <w:t>证明器械不会被清洁和消毒程序损伤</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_Toc91871165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6</w:t>
        </w:r>
        <w:r w:rsidR="001F0A9D" w:rsidRPr="00AC2BA5">
          <w:rPr>
            <w:rFonts w:eastAsia="宋体" w:cs="Times New Roman"/>
            <w:noProof/>
            <w:webHidden/>
            <w:sz w:val="24"/>
            <w:szCs w:val="24"/>
          </w:rPr>
          <w:fldChar w:fldCharType="end"/>
        </w:r>
      </w:hyperlink>
    </w:p>
    <w:p w14:paraId="359A62C8" w14:textId="77777777"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66" w:history="1">
        <w:r w:rsidR="001F0A9D" w:rsidRPr="00AC2BA5">
          <w:rPr>
            <w:rStyle w:val="a8"/>
            <w:rFonts w:eastAsia="宋体" w:cs="Times New Roman"/>
            <w:noProof/>
            <w:sz w:val="24"/>
            <w:szCs w:val="24"/>
            <w:lang w:eastAsia="zh-CN"/>
          </w:rPr>
          <w:t>V.</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器械描述</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_Toc91871166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7</w:t>
        </w:r>
        <w:r w:rsidR="001F0A9D" w:rsidRPr="00AC2BA5">
          <w:rPr>
            <w:rFonts w:eastAsia="宋体" w:cs="Times New Roman"/>
            <w:noProof/>
            <w:webHidden/>
            <w:sz w:val="24"/>
            <w:szCs w:val="24"/>
          </w:rPr>
          <w:fldChar w:fldCharType="end"/>
        </w:r>
      </w:hyperlink>
    </w:p>
    <w:p w14:paraId="7ECC6D51" w14:textId="77777777"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67" w:history="1">
        <w:r w:rsidR="001F0A9D" w:rsidRPr="00AC2BA5">
          <w:rPr>
            <w:rStyle w:val="a8"/>
            <w:rFonts w:eastAsia="宋体" w:cs="Times New Roman"/>
            <w:noProof/>
            <w:sz w:val="24"/>
            <w:szCs w:val="24"/>
            <w:lang w:eastAsia="zh-CN"/>
          </w:rPr>
          <w:t>VI.</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SMBG</w:t>
        </w:r>
        <w:r w:rsidR="001F0A9D" w:rsidRPr="00AC2BA5">
          <w:rPr>
            <w:rStyle w:val="a8"/>
            <w:rFonts w:eastAsia="宋体" w:cs="Times New Roman"/>
            <w:noProof/>
            <w:sz w:val="24"/>
            <w:szCs w:val="24"/>
            <w:lang w:eastAsia="zh-CN"/>
          </w:rPr>
          <w:t>性能评价</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_Toc91871167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8</w:t>
        </w:r>
        <w:r w:rsidR="001F0A9D" w:rsidRPr="00AC2BA5">
          <w:rPr>
            <w:rFonts w:eastAsia="宋体" w:cs="Times New Roman"/>
            <w:noProof/>
            <w:webHidden/>
            <w:sz w:val="24"/>
            <w:szCs w:val="24"/>
          </w:rPr>
          <w:fldChar w:fldCharType="end"/>
        </w:r>
      </w:hyperlink>
    </w:p>
    <w:p w14:paraId="038AB464" w14:textId="77777777" w:rsidR="001F0A9D" w:rsidRPr="00AC2BA5" w:rsidRDefault="002642ED" w:rsidP="001F0A9D">
      <w:pPr>
        <w:pStyle w:val="20"/>
        <w:tabs>
          <w:tab w:val="right" w:leader="dot" w:pos="9061"/>
        </w:tabs>
        <w:adjustRightInd w:val="0"/>
        <w:snapToGrid w:val="0"/>
        <w:spacing w:beforeLines="15" w:before="36" w:line="276" w:lineRule="auto"/>
        <w:rPr>
          <w:rFonts w:eastAsia="宋体" w:cs="Times New Roman"/>
          <w:noProof/>
          <w:kern w:val="2"/>
          <w:sz w:val="24"/>
          <w:szCs w:val="24"/>
          <w:lang w:eastAsia="zh-CN"/>
        </w:rPr>
      </w:pPr>
      <w:hyperlink w:anchor="_Toc91871168" w:history="1">
        <w:r w:rsidR="001F0A9D" w:rsidRPr="00AC2BA5">
          <w:rPr>
            <w:rStyle w:val="a8"/>
            <w:rFonts w:eastAsia="宋体" w:cs="Times New Roman"/>
            <w:noProof/>
            <w:sz w:val="24"/>
            <w:szCs w:val="24"/>
            <w:lang w:eastAsia="zh-CN"/>
          </w:rPr>
          <w:t>A.</w:t>
        </w:r>
        <w:r w:rsidR="001F0A9D" w:rsidRPr="00AC2BA5">
          <w:rPr>
            <w:rFonts w:eastAsia="宋体" w:cs="Times New Roman"/>
            <w:noProof/>
            <w:kern w:val="2"/>
            <w:sz w:val="24"/>
            <w:szCs w:val="24"/>
            <w:lang w:eastAsia="zh-CN"/>
          </w:rPr>
          <w:tab/>
        </w:r>
        <w:r w:rsidR="001F0A9D" w:rsidRPr="00AC2BA5">
          <w:rPr>
            <w:rStyle w:val="a8"/>
            <w:rFonts w:eastAsia="宋体" w:cs="Times New Roman"/>
            <w:noProof/>
            <w:sz w:val="24"/>
            <w:szCs w:val="24"/>
            <w:lang w:eastAsia="zh-CN"/>
          </w:rPr>
          <w:t>精密度评价研究</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_Toc91871168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9</w:t>
        </w:r>
        <w:r w:rsidR="001F0A9D" w:rsidRPr="00AC2BA5">
          <w:rPr>
            <w:rFonts w:eastAsia="宋体" w:cs="Times New Roman"/>
            <w:noProof/>
            <w:webHidden/>
            <w:sz w:val="24"/>
            <w:szCs w:val="24"/>
          </w:rPr>
          <w:fldChar w:fldCharType="end"/>
        </w:r>
      </w:hyperlink>
    </w:p>
    <w:p w14:paraId="7B370C75" w14:textId="77777777" w:rsidR="001F0A9D" w:rsidRPr="00AC2BA5" w:rsidRDefault="002642ED" w:rsidP="001F0A9D">
      <w:pPr>
        <w:pStyle w:val="20"/>
        <w:tabs>
          <w:tab w:val="right" w:leader="dot" w:pos="9061"/>
        </w:tabs>
        <w:adjustRightInd w:val="0"/>
        <w:snapToGrid w:val="0"/>
        <w:spacing w:beforeLines="15" w:before="36" w:line="276" w:lineRule="auto"/>
        <w:rPr>
          <w:rFonts w:eastAsia="宋体" w:cs="Times New Roman"/>
          <w:noProof/>
          <w:kern w:val="2"/>
          <w:sz w:val="24"/>
          <w:szCs w:val="24"/>
          <w:lang w:eastAsia="zh-CN"/>
        </w:rPr>
      </w:pPr>
      <w:hyperlink w:anchor="_Toc91871169" w:history="1">
        <w:r w:rsidR="001F0A9D" w:rsidRPr="00AC2BA5">
          <w:rPr>
            <w:rStyle w:val="a8"/>
            <w:rFonts w:eastAsia="宋体" w:cs="Times New Roman"/>
            <w:noProof/>
            <w:sz w:val="24"/>
            <w:szCs w:val="24"/>
            <w:lang w:eastAsia="zh-CN"/>
          </w:rPr>
          <w:t>B.</w:t>
        </w:r>
        <w:r w:rsidR="001F0A9D" w:rsidRPr="00AC2BA5">
          <w:rPr>
            <w:rFonts w:eastAsia="宋体" w:cs="Times New Roman"/>
            <w:noProof/>
            <w:kern w:val="2"/>
            <w:sz w:val="24"/>
            <w:szCs w:val="24"/>
            <w:lang w:eastAsia="zh-CN"/>
          </w:rPr>
          <w:tab/>
        </w:r>
        <w:r w:rsidR="001F0A9D" w:rsidRPr="00AC2BA5">
          <w:rPr>
            <w:rStyle w:val="a8"/>
            <w:rFonts w:eastAsia="宋体" w:cs="Times New Roman"/>
            <w:noProof/>
            <w:sz w:val="24"/>
            <w:szCs w:val="24"/>
            <w:lang w:eastAsia="zh-CN"/>
          </w:rPr>
          <w:t>线性评价研究</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_Toc91871169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10</w:t>
        </w:r>
        <w:r w:rsidR="001F0A9D" w:rsidRPr="00AC2BA5">
          <w:rPr>
            <w:rFonts w:eastAsia="宋体" w:cs="Times New Roman"/>
            <w:noProof/>
            <w:webHidden/>
            <w:sz w:val="24"/>
            <w:szCs w:val="24"/>
          </w:rPr>
          <w:fldChar w:fldCharType="end"/>
        </w:r>
      </w:hyperlink>
    </w:p>
    <w:p w14:paraId="09E5E42F" w14:textId="77777777" w:rsidR="001F0A9D" w:rsidRPr="00AC2BA5" w:rsidRDefault="002642ED" w:rsidP="001F0A9D">
      <w:pPr>
        <w:pStyle w:val="20"/>
        <w:tabs>
          <w:tab w:val="right" w:leader="dot" w:pos="9061"/>
        </w:tabs>
        <w:adjustRightInd w:val="0"/>
        <w:snapToGrid w:val="0"/>
        <w:spacing w:beforeLines="15" w:before="36" w:line="276" w:lineRule="auto"/>
        <w:rPr>
          <w:rFonts w:eastAsia="宋体" w:cs="Times New Roman"/>
          <w:noProof/>
          <w:kern w:val="2"/>
          <w:sz w:val="24"/>
          <w:szCs w:val="24"/>
          <w:lang w:eastAsia="zh-CN"/>
        </w:rPr>
      </w:pPr>
      <w:hyperlink w:anchor="_Toc91871170" w:history="1">
        <w:r w:rsidR="001F0A9D" w:rsidRPr="00AC2BA5">
          <w:rPr>
            <w:rStyle w:val="a8"/>
            <w:rFonts w:eastAsia="宋体" w:cs="Times New Roman"/>
            <w:noProof/>
            <w:sz w:val="24"/>
            <w:szCs w:val="24"/>
            <w:lang w:eastAsia="zh-CN"/>
          </w:rPr>
          <w:t>C.</w:t>
        </w:r>
        <w:r w:rsidR="001F0A9D" w:rsidRPr="00AC2BA5">
          <w:rPr>
            <w:rFonts w:eastAsia="宋体" w:cs="Times New Roman"/>
            <w:noProof/>
            <w:kern w:val="2"/>
            <w:sz w:val="24"/>
            <w:szCs w:val="24"/>
            <w:lang w:eastAsia="zh-CN"/>
          </w:rPr>
          <w:tab/>
        </w:r>
        <w:r w:rsidR="001F0A9D" w:rsidRPr="00AC2BA5">
          <w:rPr>
            <w:rStyle w:val="a8"/>
            <w:rFonts w:eastAsia="宋体" w:cs="Times New Roman"/>
            <w:noProof/>
            <w:sz w:val="24"/>
            <w:szCs w:val="24"/>
            <w:lang w:eastAsia="zh-CN"/>
          </w:rPr>
          <w:t>方法比较</w:t>
        </w:r>
        <w:r w:rsidR="001F0A9D" w:rsidRPr="00AC2BA5">
          <w:rPr>
            <w:rStyle w:val="a8"/>
            <w:rFonts w:eastAsia="宋体" w:cs="Times New Roman"/>
            <w:noProof/>
            <w:sz w:val="24"/>
            <w:szCs w:val="24"/>
            <w:lang w:eastAsia="zh-CN"/>
          </w:rPr>
          <w:t>/</w:t>
        </w:r>
        <w:r w:rsidR="001F0A9D" w:rsidRPr="00AC2BA5">
          <w:rPr>
            <w:rStyle w:val="a8"/>
            <w:rFonts w:eastAsia="宋体" w:cs="Times New Roman"/>
            <w:noProof/>
            <w:sz w:val="24"/>
            <w:szCs w:val="24"/>
            <w:lang w:eastAsia="zh-CN"/>
          </w:rPr>
          <w:t>用户评价</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_Toc91871170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10</w:t>
        </w:r>
        <w:r w:rsidR="001F0A9D" w:rsidRPr="00AC2BA5">
          <w:rPr>
            <w:rFonts w:eastAsia="宋体" w:cs="Times New Roman"/>
            <w:noProof/>
            <w:webHidden/>
            <w:sz w:val="24"/>
            <w:szCs w:val="24"/>
          </w:rPr>
          <w:fldChar w:fldCharType="end"/>
        </w:r>
      </w:hyperlink>
    </w:p>
    <w:p w14:paraId="536FA655"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71" w:history="1">
        <w:r w:rsidR="001F0A9D" w:rsidRPr="00AC2BA5">
          <w:rPr>
            <w:rStyle w:val="a8"/>
            <w:rFonts w:eastAsia="宋体" w:cs="Times New Roman"/>
            <w:noProof/>
            <w:sz w:val="24"/>
            <w:szCs w:val="24"/>
            <w:lang w:eastAsia="zh-CN"/>
          </w:rPr>
          <w:t>1.</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一般研究设计：</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_Toc91871171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10</w:t>
        </w:r>
        <w:r w:rsidR="001F0A9D" w:rsidRPr="00AC2BA5">
          <w:rPr>
            <w:rFonts w:eastAsia="宋体" w:cs="Times New Roman"/>
            <w:noProof/>
            <w:webHidden/>
            <w:sz w:val="24"/>
            <w:szCs w:val="24"/>
          </w:rPr>
          <w:fldChar w:fldCharType="end"/>
        </w:r>
      </w:hyperlink>
    </w:p>
    <w:p w14:paraId="7D4CDAC0"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72" w:history="1">
        <w:r w:rsidR="001F0A9D" w:rsidRPr="00AC2BA5">
          <w:rPr>
            <w:rStyle w:val="a8"/>
            <w:rFonts w:eastAsia="宋体" w:cs="Times New Roman"/>
            <w:noProof/>
            <w:sz w:val="24"/>
            <w:szCs w:val="24"/>
            <w:lang w:eastAsia="zh-CN"/>
          </w:rPr>
          <w:t>2.</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数据分析：</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_Toc91871172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14</w:t>
        </w:r>
        <w:r w:rsidR="001F0A9D" w:rsidRPr="00AC2BA5">
          <w:rPr>
            <w:rFonts w:eastAsia="宋体" w:cs="Times New Roman"/>
            <w:noProof/>
            <w:webHidden/>
            <w:sz w:val="24"/>
            <w:szCs w:val="24"/>
          </w:rPr>
          <w:fldChar w:fldCharType="end"/>
        </w:r>
      </w:hyperlink>
    </w:p>
    <w:p w14:paraId="0870E9B8" w14:textId="77777777" w:rsidR="001F0A9D" w:rsidRPr="00AC2BA5" w:rsidRDefault="002642ED" w:rsidP="001F0A9D">
      <w:pPr>
        <w:pStyle w:val="20"/>
        <w:tabs>
          <w:tab w:val="right" w:leader="dot" w:pos="9061"/>
        </w:tabs>
        <w:adjustRightInd w:val="0"/>
        <w:snapToGrid w:val="0"/>
        <w:spacing w:beforeLines="15" w:before="36" w:line="276" w:lineRule="auto"/>
        <w:rPr>
          <w:rFonts w:eastAsia="宋体" w:cs="Times New Roman"/>
          <w:noProof/>
          <w:kern w:val="2"/>
          <w:sz w:val="24"/>
          <w:szCs w:val="24"/>
          <w:lang w:eastAsia="zh-CN"/>
        </w:rPr>
      </w:pPr>
      <w:hyperlink w:anchor="_Toc91871173" w:history="1">
        <w:r w:rsidR="001F0A9D" w:rsidRPr="00AC2BA5">
          <w:rPr>
            <w:rStyle w:val="a8"/>
            <w:rFonts w:eastAsia="宋体" w:cs="Times New Roman"/>
            <w:noProof/>
            <w:sz w:val="24"/>
            <w:szCs w:val="24"/>
          </w:rPr>
          <w:t>D.</w:t>
        </w:r>
        <w:r w:rsidR="001F0A9D" w:rsidRPr="00AC2BA5">
          <w:rPr>
            <w:rFonts w:eastAsia="宋体" w:cs="Times New Roman"/>
            <w:noProof/>
            <w:kern w:val="2"/>
            <w:sz w:val="24"/>
            <w:szCs w:val="24"/>
            <w:lang w:eastAsia="zh-CN"/>
          </w:rPr>
          <w:tab/>
        </w:r>
        <w:r w:rsidR="001F0A9D" w:rsidRPr="00AC2BA5">
          <w:rPr>
            <w:rStyle w:val="a8"/>
            <w:rFonts w:eastAsia="宋体" w:cs="Times New Roman"/>
            <w:noProof/>
            <w:sz w:val="24"/>
            <w:szCs w:val="24"/>
          </w:rPr>
          <w:t>干扰评价</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_Toc91871173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15</w:t>
        </w:r>
        <w:r w:rsidR="001F0A9D" w:rsidRPr="00AC2BA5">
          <w:rPr>
            <w:rFonts w:eastAsia="宋体" w:cs="Times New Roman"/>
            <w:noProof/>
            <w:webHidden/>
            <w:sz w:val="24"/>
            <w:szCs w:val="24"/>
          </w:rPr>
          <w:fldChar w:fldCharType="end"/>
        </w:r>
      </w:hyperlink>
    </w:p>
    <w:p w14:paraId="6EC2F5F5"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74" w:history="1">
        <w:r w:rsidR="001F0A9D" w:rsidRPr="00AC2BA5">
          <w:rPr>
            <w:rStyle w:val="a8"/>
            <w:rFonts w:eastAsia="宋体" w:cs="Times New Roman"/>
            <w:noProof/>
            <w:sz w:val="24"/>
            <w:szCs w:val="24"/>
            <w:lang w:eastAsia="zh-CN"/>
          </w:rPr>
          <w:t>1.</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内源性</w:t>
        </w:r>
        <w:r w:rsidR="001F0A9D" w:rsidRPr="00AC2BA5">
          <w:rPr>
            <w:rStyle w:val="a8"/>
            <w:rFonts w:eastAsia="宋体" w:cs="Times New Roman"/>
            <w:noProof/>
            <w:sz w:val="24"/>
            <w:szCs w:val="24"/>
            <w:lang w:eastAsia="zh-CN"/>
          </w:rPr>
          <w:t>/</w:t>
        </w:r>
        <w:r w:rsidR="001F0A9D" w:rsidRPr="00AC2BA5">
          <w:rPr>
            <w:rStyle w:val="a8"/>
            <w:rFonts w:eastAsia="宋体" w:cs="Times New Roman"/>
            <w:noProof/>
            <w:sz w:val="24"/>
            <w:szCs w:val="24"/>
            <w:lang w:eastAsia="zh-CN"/>
          </w:rPr>
          <w:t>外源性物质</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_Toc91871174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15</w:t>
        </w:r>
        <w:r w:rsidR="001F0A9D" w:rsidRPr="00AC2BA5">
          <w:rPr>
            <w:rFonts w:eastAsia="宋体" w:cs="Times New Roman"/>
            <w:noProof/>
            <w:webHidden/>
            <w:sz w:val="24"/>
            <w:szCs w:val="24"/>
          </w:rPr>
          <w:fldChar w:fldCharType="end"/>
        </w:r>
      </w:hyperlink>
    </w:p>
    <w:p w14:paraId="4862A819"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75" w:history="1">
        <w:r w:rsidR="001F0A9D" w:rsidRPr="00AC2BA5">
          <w:rPr>
            <w:rStyle w:val="a8"/>
            <w:rFonts w:eastAsia="宋体" w:cs="Times New Roman"/>
            <w:noProof/>
            <w:sz w:val="24"/>
            <w:szCs w:val="24"/>
            <w:lang w:eastAsia="zh-CN"/>
          </w:rPr>
          <w:t>2.</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血细胞比容</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_Toc91871175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18</w:t>
        </w:r>
        <w:r w:rsidR="001F0A9D" w:rsidRPr="00AC2BA5">
          <w:rPr>
            <w:rFonts w:eastAsia="宋体" w:cs="Times New Roman"/>
            <w:noProof/>
            <w:webHidden/>
            <w:sz w:val="24"/>
            <w:szCs w:val="24"/>
          </w:rPr>
          <w:fldChar w:fldCharType="end"/>
        </w:r>
      </w:hyperlink>
    </w:p>
    <w:p w14:paraId="0BD796BC" w14:textId="3BFFD908" w:rsidR="001F0A9D" w:rsidRPr="00AC2BA5" w:rsidRDefault="002642ED" w:rsidP="001F0A9D">
      <w:pPr>
        <w:pStyle w:val="20"/>
        <w:tabs>
          <w:tab w:val="right" w:leader="dot" w:pos="9061"/>
        </w:tabs>
        <w:adjustRightInd w:val="0"/>
        <w:snapToGrid w:val="0"/>
        <w:spacing w:beforeLines="15" w:before="36" w:line="276" w:lineRule="auto"/>
        <w:rPr>
          <w:rFonts w:eastAsia="宋体" w:cs="Times New Roman"/>
          <w:noProof/>
          <w:kern w:val="2"/>
          <w:sz w:val="24"/>
          <w:szCs w:val="24"/>
          <w:lang w:eastAsia="zh-CN"/>
        </w:rPr>
      </w:pPr>
      <w:hyperlink w:anchor="_Toc91871176" w:history="1">
        <w:r w:rsidR="001F0A9D" w:rsidRPr="00AC2BA5">
          <w:rPr>
            <w:rStyle w:val="a8"/>
            <w:rFonts w:eastAsia="宋体" w:cs="Times New Roman"/>
            <w:noProof/>
            <w:sz w:val="24"/>
            <w:szCs w:val="24"/>
            <w:lang w:eastAsia="zh-CN"/>
          </w:rPr>
          <w:t>E.</w:t>
        </w:r>
        <w:r w:rsidR="001F0A9D" w:rsidRPr="00AC2BA5">
          <w:rPr>
            <w:rFonts w:eastAsia="宋体" w:cs="Times New Roman"/>
            <w:noProof/>
            <w:kern w:val="2"/>
            <w:sz w:val="24"/>
            <w:szCs w:val="24"/>
            <w:lang w:eastAsia="zh-CN"/>
          </w:rPr>
          <w:tab/>
        </w:r>
        <w:r w:rsidR="00AD1608">
          <w:rPr>
            <w:rStyle w:val="a8"/>
            <w:rFonts w:eastAsia="宋体" w:cs="Times New Roman"/>
            <w:noProof/>
            <w:sz w:val="24"/>
            <w:szCs w:val="24"/>
            <w:lang w:eastAsia="zh-CN"/>
          </w:rPr>
          <w:t>稳定性</w:t>
        </w:r>
        <w:r w:rsidR="001F0A9D" w:rsidRPr="00AC2BA5">
          <w:rPr>
            <w:rStyle w:val="a8"/>
            <w:rFonts w:eastAsia="宋体" w:cs="Times New Roman"/>
            <w:noProof/>
            <w:sz w:val="24"/>
            <w:szCs w:val="24"/>
            <w:lang w:eastAsia="zh-CN"/>
          </w:rPr>
          <w:t>研究</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_Toc91871176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20</w:t>
        </w:r>
        <w:r w:rsidR="001F0A9D" w:rsidRPr="00AC2BA5">
          <w:rPr>
            <w:rFonts w:eastAsia="宋体" w:cs="Times New Roman"/>
            <w:noProof/>
            <w:webHidden/>
            <w:sz w:val="24"/>
            <w:szCs w:val="24"/>
          </w:rPr>
          <w:fldChar w:fldCharType="end"/>
        </w:r>
      </w:hyperlink>
    </w:p>
    <w:p w14:paraId="68BE60FE"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77" w:history="1">
        <w:r w:rsidR="001F0A9D" w:rsidRPr="00AC2BA5">
          <w:rPr>
            <w:rStyle w:val="a8"/>
            <w:rFonts w:eastAsia="宋体" w:cs="Times New Roman"/>
            <w:noProof/>
            <w:sz w:val="24"/>
            <w:szCs w:val="24"/>
            <w:lang w:eastAsia="zh-CN"/>
          </w:rPr>
          <w:t>1.</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试纸稳定性试验</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_Toc91871177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22</w:t>
        </w:r>
        <w:r w:rsidR="001F0A9D" w:rsidRPr="00AC2BA5">
          <w:rPr>
            <w:rFonts w:eastAsia="宋体" w:cs="Times New Roman"/>
            <w:noProof/>
            <w:webHidden/>
            <w:sz w:val="24"/>
            <w:szCs w:val="24"/>
          </w:rPr>
          <w:fldChar w:fldCharType="end"/>
        </w:r>
      </w:hyperlink>
    </w:p>
    <w:p w14:paraId="6A9BE10A"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78" w:history="1">
        <w:r w:rsidR="001F0A9D" w:rsidRPr="00AC2BA5">
          <w:rPr>
            <w:rStyle w:val="a8"/>
            <w:rFonts w:eastAsia="宋体" w:cs="Times New Roman"/>
            <w:noProof/>
            <w:sz w:val="24"/>
            <w:szCs w:val="24"/>
            <w:lang w:eastAsia="zh-CN"/>
          </w:rPr>
          <w:t>2.</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系统工作条件测试</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_Toc91871178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23</w:t>
        </w:r>
        <w:r w:rsidR="001F0A9D" w:rsidRPr="00AC2BA5">
          <w:rPr>
            <w:rFonts w:eastAsia="宋体" w:cs="Times New Roman"/>
            <w:noProof/>
            <w:webHidden/>
            <w:sz w:val="24"/>
            <w:szCs w:val="24"/>
          </w:rPr>
          <w:fldChar w:fldCharType="end"/>
        </w:r>
      </w:hyperlink>
    </w:p>
    <w:p w14:paraId="791524A1"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79" w:history="1">
        <w:r w:rsidR="001F0A9D" w:rsidRPr="00AC2BA5">
          <w:rPr>
            <w:rStyle w:val="a8"/>
            <w:rFonts w:eastAsia="宋体" w:cs="Times New Roman"/>
            <w:noProof/>
            <w:sz w:val="24"/>
            <w:szCs w:val="24"/>
            <w:lang w:eastAsia="zh-CN"/>
          </w:rPr>
          <w:t>3.</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海拔影响</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_Toc91871179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24</w:t>
        </w:r>
        <w:r w:rsidR="001F0A9D" w:rsidRPr="00AC2BA5">
          <w:rPr>
            <w:rFonts w:eastAsia="宋体" w:cs="Times New Roman"/>
            <w:noProof/>
            <w:webHidden/>
            <w:sz w:val="24"/>
            <w:szCs w:val="24"/>
          </w:rPr>
          <w:fldChar w:fldCharType="end"/>
        </w:r>
      </w:hyperlink>
    </w:p>
    <w:p w14:paraId="3B2B3930"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80" w:history="1">
        <w:r w:rsidR="001F0A9D" w:rsidRPr="00AC2BA5">
          <w:rPr>
            <w:rStyle w:val="a8"/>
            <w:rFonts w:eastAsia="宋体" w:cs="Times New Roman"/>
            <w:noProof/>
            <w:sz w:val="24"/>
            <w:szCs w:val="24"/>
            <w:lang w:eastAsia="zh-CN"/>
          </w:rPr>
          <w:t>4.</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超出测量范围的样本的错误代码</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_Toc91871180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24</w:t>
        </w:r>
        <w:r w:rsidR="001F0A9D" w:rsidRPr="00AC2BA5">
          <w:rPr>
            <w:rFonts w:eastAsia="宋体" w:cs="Times New Roman"/>
            <w:noProof/>
            <w:webHidden/>
            <w:sz w:val="24"/>
            <w:szCs w:val="24"/>
          </w:rPr>
          <w:fldChar w:fldCharType="end"/>
        </w:r>
      </w:hyperlink>
    </w:p>
    <w:p w14:paraId="043DB44B"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81" w:history="1">
        <w:r w:rsidR="001F0A9D" w:rsidRPr="00AC2BA5">
          <w:rPr>
            <w:rStyle w:val="a8"/>
            <w:rFonts w:eastAsia="宋体" w:cs="Times New Roman"/>
            <w:noProof/>
            <w:sz w:val="24"/>
            <w:szCs w:val="24"/>
            <w:lang w:eastAsia="zh-CN"/>
          </w:rPr>
          <w:t>5.</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样品短缺检测</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_Toc91871181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25</w:t>
        </w:r>
        <w:r w:rsidR="001F0A9D" w:rsidRPr="00AC2BA5">
          <w:rPr>
            <w:rFonts w:eastAsia="宋体" w:cs="Times New Roman"/>
            <w:noProof/>
            <w:webHidden/>
            <w:sz w:val="24"/>
            <w:szCs w:val="24"/>
          </w:rPr>
          <w:fldChar w:fldCharType="end"/>
        </w:r>
      </w:hyperlink>
    </w:p>
    <w:p w14:paraId="4E3A4A28"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82" w:history="1">
        <w:r w:rsidR="001F0A9D" w:rsidRPr="00AC2BA5">
          <w:rPr>
            <w:rStyle w:val="a8"/>
            <w:rFonts w:eastAsia="宋体" w:cs="Times New Roman"/>
            <w:noProof/>
            <w:sz w:val="24"/>
            <w:szCs w:val="24"/>
            <w:lang w:eastAsia="zh-CN"/>
          </w:rPr>
          <w:t>6.</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样本扰动研究</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_Toc91871182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25</w:t>
        </w:r>
        <w:r w:rsidR="001F0A9D" w:rsidRPr="00AC2BA5">
          <w:rPr>
            <w:rFonts w:eastAsia="宋体" w:cs="Times New Roman"/>
            <w:noProof/>
            <w:webHidden/>
            <w:sz w:val="24"/>
            <w:szCs w:val="24"/>
          </w:rPr>
          <w:fldChar w:fldCharType="end"/>
        </w:r>
      </w:hyperlink>
    </w:p>
    <w:p w14:paraId="2D3BC11E"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83" w:history="1">
        <w:r w:rsidR="001F0A9D" w:rsidRPr="00AC2BA5">
          <w:rPr>
            <w:rStyle w:val="a8"/>
            <w:rFonts w:eastAsia="宋体" w:cs="Times New Roman"/>
            <w:noProof/>
            <w:sz w:val="24"/>
            <w:szCs w:val="24"/>
            <w:lang w:eastAsia="zh-CN"/>
          </w:rPr>
          <w:t>7.</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间歇采样</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_Toc91871183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25</w:t>
        </w:r>
        <w:r w:rsidR="001F0A9D" w:rsidRPr="00AC2BA5">
          <w:rPr>
            <w:rFonts w:eastAsia="宋体" w:cs="Times New Roman"/>
            <w:noProof/>
            <w:webHidden/>
            <w:sz w:val="24"/>
            <w:szCs w:val="24"/>
          </w:rPr>
          <w:fldChar w:fldCharType="end"/>
        </w:r>
      </w:hyperlink>
    </w:p>
    <w:p w14:paraId="686C548B" w14:textId="77777777" w:rsidR="001F0A9D" w:rsidRPr="00AC2BA5" w:rsidRDefault="002642ED" w:rsidP="001F0A9D">
      <w:pPr>
        <w:pStyle w:val="30"/>
        <w:tabs>
          <w:tab w:val="right" w:leader="dot" w:pos="9061"/>
        </w:tabs>
        <w:adjustRightInd w:val="0"/>
        <w:snapToGrid w:val="0"/>
        <w:spacing w:beforeLines="15" w:before="36" w:line="276" w:lineRule="auto"/>
        <w:ind w:hanging="333"/>
        <w:rPr>
          <w:rFonts w:eastAsia="宋体" w:cs="Times New Roman"/>
          <w:b w:val="0"/>
          <w:bCs w:val="0"/>
          <w:i w:val="0"/>
          <w:noProof/>
          <w:kern w:val="2"/>
          <w:sz w:val="24"/>
          <w:szCs w:val="24"/>
          <w:lang w:eastAsia="zh-CN"/>
        </w:rPr>
      </w:pPr>
      <w:hyperlink w:anchor="_Toc91871184" w:history="1">
        <w:r w:rsidR="001F0A9D" w:rsidRPr="00AC2BA5">
          <w:rPr>
            <w:rStyle w:val="a8"/>
            <w:rFonts w:eastAsia="宋体" w:cs="Times New Roman"/>
            <w:noProof/>
            <w:sz w:val="24"/>
            <w:szCs w:val="24"/>
            <w:lang w:eastAsia="zh-CN"/>
          </w:rPr>
          <w:t>8.</w:t>
        </w:r>
        <w:r w:rsidR="001F0A9D" w:rsidRPr="00AC2BA5">
          <w:rPr>
            <w:rFonts w:eastAsia="宋体" w:cs="Times New Roman"/>
            <w:b w:val="0"/>
            <w:bCs w:val="0"/>
            <w:i w:val="0"/>
            <w:noProof/>
            <w:kern w:val="2"/>
            <w:sz w:val="24"/>
            <w:szCs w:val="24"/>
            <w:lang w:eastAsia="zh-CN"/>
          </w:rPr>
          <w:tab/>
        </w:r>
        <w:r w:rsidR="001F0A9D" w:rsidRPr="00AC2BA5">
          <w:rPr>
            <w:rStyle w:val="a8"/>
            <w:rFonts w:eastAsia="宋体" w:cs="Times New Roman"/>
            <w:noProof/>
            <w:sz w:val="24"/>
            <w:szCs w:val="24"/>
            <w:lang w:eastAsia="zh-CN"/>
          </w:rPr>
          <w:t>使用用过的试纸进行检测</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_Toc91871184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26</w:t>
        </w:r>
        <w:r w:rsidR="001F0A9D" w:rsidRPr="00AC2BA5">
          <w:rPr>
            <w:rFonts w:eastAsia="宋体" w:cs="Times New Roman"/>
            <w:noProof/>
            <w:webHidden/>
            <w:sz w:val="24"/>
            <w:szCs w:val="24"/>
          </w:rPr>
          <w:fldChar w:fldCharType="end"/>
        </w:r>
      </w:hyperlink>
    </w:p>
    <w:p w14:paraId="1EF43EA0" w14:textId="77777777" w:rsidR="001F0A9D" w:rsidRPr="00AC2BA5" w:rsidRDefault="002642ED" w:rsidP="001F0A9D">
      <w:pPr>
        <w:pStyle w:val="20"/>
        <w:tabs>
          <w:tab w:val="right" w:leader="dot" w:pos="9061"/>
        </w:tabs>
        <w:adjustRightInd w:val="0"/>
        <w:snapToGrid w:val="0"/>
        <w:spacing w:beforeLines="15" w:before="36" w:line="276" w:lineRule="auto"/>
        <w:rPr>
          <w:rFonts w:eastAsia="宋体" w:cs="Times New Roman"/>
          <w:noProof/>
          <w:kern w:val="2"/>
          <w:sz w:val="24"/>
          <w:szCs w:val="24"/>
          <w:lang w:eastAsia="zh-CN"/>
        </w:rPr>
      </w:pPr>
      <w:hyperlink w:anchor="_Toc91871185" w:history="1">
        <w:r w:rsidR="001F0A9D" w:rsidRPr="00AC2BA5">
          <w:rPr>
            <w:rStyle w:val="a8"/>
            <w:rFonts w:eastAsia="宋体" w:cs="Times New Roman"/>
            <w:noProof/>
            <w:sz w:val="24"/>
            <w:szCs w:val="24"/>
            <w:lang w:eastAsia="zh-CN"/>
          </w:rPr>
          <w:t>F.</w:t>
        </w:r>
        <w:r w:rsidR="001F0A9D" w:rsidRPr="00AC2BA5">
          <w:rPr>
            <w:rFonts w:eastAsia="宋体" w:cs="Times New Roman"/>
            <w:noProof/>
            <w:kern w:val="2"/>
            <w:sz w:val="24"/>
            <w:szCs w:val="24"/>
            <w:lang w:eastAsia="zh-CN"/>
          </w:rPr>
          <w:tab/>
        </w:r>
        <w:r w:rsidR="001F0A9D" w:rsidRPr="00AC2BA5">
          <w:rPr>
            <w:rStyle w:val="a8"/>
            <w:rFonts w:eastAsia="宋体" w:cs="Times New Roman"/>
            <w:noProof/>
            <w:sz w:val="24"/>
            <w:szCs w:val="24"/>
            <w:lang w:eastAsia="zh-CN"/>
          </w:rPr>
          <w:t>血糖仪校准和质控品</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_Toc91871185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26</w:t>
        </w:r>
        <w:r w:rsidR="001F0A9D" w:rsidRPr="00AC2BA5">
          <w:rPr>
            <w:rFonts w:eastAsia="宋体" w:cs="Times New Roman"/>
            <w:noProof/>
            <w:webHidden/>
            <w:sz w:val="24"/>
            <w:szCs w:val="24"/>
          </w:rPr>
          <w:fldChar w:fldCharType="end"/>
        </w:r>
      </w:hyperlink>
    </w:p>
    <w:p w14:paraId="1B1349B5" w14:textId="77777777"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86" w:history="1">
        <w:r w:rsidR="001F0A9D" w:rsidRPr="00AC2BA5">
          <w:rPr>
            <w:rStyle w:val="a8"/>
            <w:rFonts w:eastAsia="宋体" w:cs="Times New Roman"/>
            <w:noProof/>
            <w:sz w:val="24"/>
            <w:szCs w:val="24"/>
            <w:lang w:eastAsia="zh-CN"/>
          </w:rPr>
          <w:t>VII.</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试纸批次放行标准</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_Toc91871186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26</w:t>
        </w:r>
        <w:r w:rsidR="001F0A9D" w:rsidRPr="00AC2BA5">
          <w:rPr>
            <w:rFonts w:eastAsia="宋体" w:cs="Times New Roman"/>
            <w:noProof/>
            <w:webHidden/>
            <w:sz w:val="24"/>
            <w:szCs w:val="24"/>
          </w:rPr>
          <w:fldChar w:fldCharType="end"/>
        </w:r>
      </w:hyperlink>
    </w:p>
    <w:p w14:paraId="4DFF6677" w14:textId="77777777"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87" w:history="1">
        <w:r w:rsidR="001F0A9D" w:rsidRPr="00AC2BA5">
          <w:rPr>
            <w:rStyle w:val="a8"/>
            <w:rFonts w:eastAsia="宋体" w:cs="Times New Roman"/>
            <w:noProof/>
            <w:sz w:val="24"/>
            <w:szCs w:val="24"/>
            <w:lang w:eastAsia="zh-CN"/>
          </w:rPr>
          <w:t>VIII.</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第三方试纸</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_Toc91871187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27</w:t>
        </w:r>
        <w:r w:rsidR="001F0A9D" w:rsidRPr="00AC2BA5">
          <w:rPr>
            <w:rFonts w:eastAsia="宋体" w:cs="Times New Roman"/>
            <w:noProof/>
            <w:webHidden/>
            <w:sz w:val="24"/>
            <w:szCs w:val="24"/>
          </w:rPr>
          <w:fldChar w:fldCharType="end"/>
        </w:r>
      </w:hyperlink>
    </w:p>
    <w:p w14:paraId="5A0AC888" w14:textId="77777777"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88" w:history="1">
        <w:r w:rsidR="001F0A9D" w:rsidRPr="00AC2BA5">
          <w:rPr>
            <w:rStyle w:val="a8"/>
            <w:rFonts w:eastAsia="宋体" w:cs="Times New Roman"/>
            <w:noProof/>
            <w:sz w:val="24"/>
            <w:szCs w:val="24"/>
            <w:lang w:eastAsia="zh-CN"/>
          </w:rPr>
          <w:t>IX.</w:t>
        </w:r>
        <w:r w:rsidR="001F0A9D" w:rsidRPr="00AC2BA5">
          <w:rPr>
            <w:rFonts w:eastAsia="宋体" w:cs="Times New Roman"/>
            <w:b w:val="0"/>
            <w:bCs w:val="0"/>
            <w:noProof/>
            <w:kern w:val="2"/>
            <w:sz w:val="24"/>
            <w:szCs w:val="24"/>
            <w:lang w:eastAsia="zh-CN"/>
          </w:rPr>
          <w:tab/>
        </w:r>
        <w:r w:rsidR="001F0A9D" w:rsidRPr="00AC2BA5">
          <w:rPr>
            <w:rStyle w:val="a8"/>
            <w:rFonts w:eastAsia="宋体" w:cs="Times New Roman"/>
            <w:noProof/>
            <w:sz w:val="24"/>
            <w:szCs w:val="24"/>
            <w:lang w:eastAsia="zh-CN"/>
          </w:rPr>
          <w:t>软件</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_Toc91871188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27</w:t>
        </w:r>
        <w:r w:rsidR="001F0A9D" w:rsidRPr="00AC2BA5">
          <w:rPr>
            <w:rFonts w:eastAsia="宋体" w:cs="Times New Roman"/>
            <w:noProof/>
            <w:webHidden/>
            <w:sz w:val="24"/>
            <w:szCs w:val="24"/>
          </w:rPr>
          <w:fldChar w:fldCharType="end"/>
        </w:r>
      </w:hyperlink>
    </w:p>
    <w:p w14:paraId="6ABBF96C" w14:textId="6135D3CF"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89" w:history="1">
        <w:r w:rsidR="001F0A9D" w:rsidRPr="00AC2BA5">
          <w:rPr>
            <w:rStyle w:val="a8"/>
            <w:rFonts w:eastAsia="宋体" w:cs="Times New Roman"/>
            <w:noProof/>
            <w:sz w:val="24"/>
            <w:szCs w:val="24"/>
          </w:rPr>
          <w:t>X.</w:t>
        </w:r>
        <w:r w:rsidR="001F0A9D" w:rsidRPr="00AC2BA5">
          <w:rPr>
            <w:rFonts w:eastAsia="宋体" w:cs="Times New Roman"/>
            <w:b w:val="0"/>
            <w:bCs w:val="0"/>
            <w:noProof/>
            <w:kern w:val="2"/>
            <w:sz w:val="24"/>
            <w:szCs w:val="24"/>
            <w:lang w:eastAsia="zh-CN"/>
          </w:rPr>
          <w:tab/>
        </w:r>
        <w:r w:rsidR="002E7824" w:rsidRPr="004C2992">
          <w:rPr>
            <w:rFonts w:eastAsia="宋体" w:cs="Times New Roman" w:hint="eastAsia"/>
            <w:bCs w:val="0"/>
            <w:noProof/>
            <w:kern w:val="2"/>
            <w:sz w:val="24"/>
            <w:szCs w:val="24"/>
            <w:lang w:eastAsia="zh-CN"/>
          </w:rPr>
          <w:t>标签</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_Toc91871189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28</w:t>
        </w:r>
        <w:r w:rsidR="001F0A9D" w:rsidRPr="00AC2BA5">
          <w:rPr>
            <w:rFonts w:eastAsia="宋体" w:cs="Times New Roman"/>
            <w:noProof/>
            <w:webHidden/>
            <w:sz w:val="24"/>
            <w:szCs w:val="24"/>
          </w:rPr>
          <w:fldChar w:fldCharType="end"/>
        </w:r>
      </w:hyperlink>
    </w:p>
    <w:p w14:paraId="485C9347" w14:textId="0418C16C"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90" w:history="1">
        <w:r w:rsidR="001F0A9D" w:rsidRPr="00AC2BA5">
          <w:rPr>
            <w:rStyle w:val="a8"/>
            <w:rFonts w:eastAsia="宋体" w:cs="Times New Roman"/>
            <w:noProof/>
            <w:sz w:val="24"/>
            <w:szCs w:val="24"/>
            <w:lang w:eastAsia="zh-CN"/>
          </w:rPr>
          <w:t>附录</w:t>
        </w:r>
        <w:r w:rsidR="001F0A9D" w:rsidRPr="00AC2BA5">
          <w:rPr>
            <w:rStyle w:val="a8"/>
            <w:rFonts w:eastAsia="宋体" w:cs="Times New Roman"/>
            <w:noProof/>
            <w:sz w:val="24"/>
            <w:szCs w:val="24"/>
            <w:lang w:eastAsia="zh-CN"/>
          </w:rPr>
          <w:t>1.SMBG</w:t>
        </w:r>
        <w:r w:rsidR="001F0A9D" w:rsidRPr="00AC2BA5">
          <w:rPr>
            <w:rStyle w:val="a8"/>
            <w:rFonts w:eastAsia="宋体" w:cs="Times New Roman"/>
            <w:noProof/>
            <w:sz w:val="24"/>
            <w:szCs w:val="24"/>
            <w:lang w:eastAsia="zh-CN"/>
          </w:rPr>
          <w:t>需要考虑的</w:t>
        </w:r>
        <w:r w:rsidR="00D03A83">
          <w:rPr>
            <w:rStyle w:val="a8"/>
            <w:rFonts w:eastAsia="宋体" w:cs="Times New Roman"/>
            <w:noProof/>
            <w:sz w:val="24"/>
            <w:szCs w:val="24"/>
            <w:lang w:eastAsia="zh-CN"/>
          </w:rPr>
          <w:t>误差来源</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_Toc91871190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35</w:t>
        </w:r>
        <w:r w:rsidR="001F0A9D" w:rsidRPr="00AC2BA5">
          <w:rPr>
            <w:rFonts w:eastAsia="宋体" w:cs="Times New Roman"/>
            <w:noProof/>
            <w:webHidden/>
            <w:sz w:val="24"/>
            <w:szCs w:val="24"/>
          </w:rPr>
          <w:fldChar w:fldCharType="end"/>
        </w:r>
      </w:hyperlink>
    </w:p>
    <w:p w14:paraId="228AEBFA" w14:textId="06D85318" w:rsidR="001F0A9D" w:rsidRPr="00AC2BA5" w:rsidRDefault="002642ED" w:rsidP="001F0A9D">
      <w:pPr>
        <w:pStyle w:val="10"/>
        <w:tabs>
          <w:tab w:val="right" w:leader="dot" w:pos="9061"/>
        </w:tabs>
        <w:adjustRightInd w:val="0"/>
        <w:snapToGrid w:val="0"/>
        <w:spacing w:beforeLines="15" w:before="36" w:line="276" w:lineRule="auto"/>
        <w:ind w:hanging="700"/>
        <w:rPr>
          <w:rFonts w:eastAsia="宋体" w:cs="Times New Roman"/>
          <w:b w:val="0"/>
          <w:bCs w:val="0"/>
          <w:noProof/>
          <w:kern w:val="2"/>
          <w:sz w:val="24"/>
          <w:szCs w:val="24"/>
          <w:lang w:eastAsia="zh-CN"/>
        </w:rPr>
      </w:pPr>
      <w:hyperlink w:anchor="_Toc91871191" w:history="1">
        <w:r w:rsidR="001F0A9D" w:rsidRPr="00AC2BA5">
          <w:rPr>
            <w:rStyle w:val="a8"/>
            <w:rFonts w:eastAsia="宋体" w:cs="Times New Roman"/>
            <w:noProof/>
            <w:sz w:val="24"/>
            <w:szCs w:val="24"/>
            <w:lang w:eastAsia="zh-CN"/>
          </w:rPr>
          <w:t>附录</w:t>
        </w:r>
        <w:r w:rsidR="001F0A9D" w:rsidRPr="00AC2BA5">
          <w:rPr>
            <w:rStyle w:val="a8"/>
            <w:rFonts w:eastAsia="宋体" w:cs="Times New Roman"/>
            <w:noProof/>
            <w:sz w:val="24"/>
            <w:szCs w:val="24"/>
            <w:lang w:eastAsia="zh-CN"/>
          </w:rPr>
          <w:t>2.</w:t>
        </w:r>
        <w:r w:rsidR="001F0A9D" w:rsidRPr="00AC2BA5">
          <w:rPr>
            <w:rStyle w:val="a8"/>
            <w:rFonts w:eastAsia="宋体" w:cs="Times New Roman"/>
            <w:noProof/>
            <w:sz w:val="24"/>
            <w:szCs w:val="24"/>
            <w:lang w:eastAsia="zh-CN"/>
          </w:rPr>
          <w:t>特殊</w:t>
        </w:r>
        <w:r w:rsidR="001F0A9D" w:rsidRPr="00AC2BA5">
          <w:rPr>
            <w:rStyle w:val="a8"/>
            <w:rFonts w:eastAsia="宋体" w:cs="Times New Roman"/>
            <w:noProof/>
            <w:sz w:val="24"/>
            <w:szCs w:val="24"/>
            <w:lang w:eastAsia="zh-CN"/>
          </w:rPr>
          <w:t>510</w:t>
        </w:r>
        <w:r w:rsidR="007E6307">
          <w:rPr>
            <w:rStyle w:val="a8"/>
            <w:rFonts w:eastAsia="宋体" w:cs="Times New Roman"/>
            <w:noProof/>
            <w:sz w:val="24"/>
            <w:szCs w:val="24"/>
            <w:lang w:eastAsia="zh-CN"/>
          </w:rPr>
          <w:t>(k)</w:t>
        </w:r>
        <w:r w:rsidR="001F0A9D" w:rsidRPr="00AC2BA5">
          <w:rPr>
            <w:rStyle w:val="a8"/>
            <w:rFonts w:eastAsia="宋体" w:cs="Times New Roman"/>
            <w:noProof/>
            <w:sz w:val="24"/>
            <w:szCs w:val="24"/>
            <w:lang w:eastAsia="zh-CN"/>
          </w:rPr>
          <w:t>与</w:t>
        </w:r>
        <w:r w:rsidR="001F0A9D" w:rsidRPr="00AC2BA5">
          <w:rPr>
            <w:rStyle w:val="a8"/>
            <w:rFonts w:eastAsia="宋体" w:cs="Times New Roman"/>
            <w:noProof/>
            <w:sz w:val="24"/>
            <w:szCs w:val="24"/>
            <w:lang w:eastAsia="zh-CN"/>
          </w:rPr>
          <w:t>SMBG</w:t>
        </w:r>
        <w:r w:rsidR="001F0A9D" w:rsidRPr="00AC2BA5">
          <w:rPr>
            <w:rFonts w:eastAsia="宋体" w:cs="Times New Roman"/>
            <w:noProof/>
            <w:webHidden/>
            <w:sz w:val="24"/>
            <w:szCs w:val="24"/>
          </w:rPr>
          <w:tab/>
        </w:r>
        <w:r w:rsidR="001F0A9D" w:rsidRPr="00AC2BA5">
          <w:rPr>
            <w:rFonts w:eastAsia="宋体" w:cs="Times New Roman"/>
            <w:noProof/>
            <w:webHidden/>
            <w:sz w:val="24"/>
            <w:szCs w:val="24"/>
          </w:rPr>
          <w:fldChar w:fldCharType="begin"/>
        </w:r>
        <w:r w:rsidR="001F0A9D" w:rsidRPr="00AC2BA5">
          <w:rPr>
            <w:rFonts w:eastAsia="宋体" w:cs="Times New Roman"/>
            <w:noProof/>
            <w:webHidden/>
            <w:sz w:val="24"/>
            <w:szCs w:val="24"/>
          </w:rPr>
          <w:instrText xml:space="preserve"> PAGEREF _Toc91871191 \h </w:instrText>
        </w:r>
        <w:r w:rsidR="001F0A9D" w:rsidRPr="00AC2BA5">
          <w:rPr>
            <w:rFonts w:eastAsia="宋体" w:cs="Times New Roman"/>
            <w:noProof/>
            <w:webHidden/>
            <w:sz w:val="24"/>
            <w:szCs w:val="24"/>
          </w:rPr>
        </w:r>
        <w:r w:rsidR="001F0A9D" w:rsidRPr="00AC2BA5">
          <w:rPr>
            <w:rFonts w:eastAsia="宋体" w:cs="Times New Roman"/>
            <w:noProof/>
            <w:webHidden/>
            <w:sz w:val="24"/>
            <w:szCs w:val="24"/>
          </w:rPr>
          <w:fldChar w:fldCharType="separate"/>
        </w:r>
        <w:r w:rsidR="00DC49CD" w:rsidRPr="00AC2BA5">
          <w:rPr>
            <w:rFonts w:eastAsia="宋体" w:cs="Times New Roman"/>
            <w:noProof/>
            <w:webHidden/>
            <w:sz w:val="24"/>
            <w:szCs w:val="24"/>
          </w:rPr>
          <w:t>38</w:t>
        </w:r>
        <w:r w:rsidR="001F0A9D" w:rsidRPr="00AC2BA5">
          <w:rPr>
            <w:rFonts w:eastAsia="宋体" w:cs="Times New Roman"/>
            <w:noProof/>
            <w:webHidden/>
            <w:sz w:val="24"/>
            <w:szCs w:val="24"/>
          </w:rPr>
          <w:fldChar w:fldCharType="end"/>
        </w:r>
      </w:hyperlink>
    </w:p>
    <w:p w14:paraId="468B9FD9" w14:textId="77777777" w:rsidR="0050117E" w:rsidRPr="00AC2BA5" w:rsidRDefault="00A71969" w:rsidP="001F0A9D">
      <w:pPr>
        <w:pStyle w:val="10"/>
        <w:tabs>
          <w:tab w:val="left" w:pos="499"/>
          <w:tab w:val="right" w:leader="dot" w:pos="9090"/>
        </w:tabs>
        <w:adjustRightInd w:val="0"/>
        <w:snapToGrid w:val="0"/>
        <w:spacing w:beforeLines="15" w:before="36" w:line="276" w:lineRule="auto"/>
        <w:ind w:left="0" w:firstLine="0"/>
        <w:jc w:val="both"/>
        <w:rPr>
          <w:rFonts w:eastAsia="宋体" w:cs="Times New Roman"/>
          <w:snapToGrid w:val="0"/>
          <w:sz w:val="24"/>
          <w:szCs w:val="24"/>
          <w:lang w:eastAsia="zh-CN"/>
        </w:rPr>
        <w:sectPr w:rsidR="0050117E" w:rsidRPr="00AC2BA5" w:rsidSect="0050117E">
          <w:headerReference w:type="default" r:id="rId11"/>
          <w:pgSz w:w="11907" w:h="16839" w:code="9"/>
          <w:pgMar w:top="1418" w:right="1418" w:bottom="1418" w:left="1418" w:header="720" w:footer="720" w:gutter="0"/>
          <w:cols w:space="720"/>
          <w:docGrid w:linePitch="299"/>
        </w:sectPr>
      </w:pPr>
      <w:r w:rsidRPr="00AC2BA5">
        <w:rPr>
          <w:rFonts w:eastAsia="宋体" w:cs="Times New Roman"/>
          <w:snapToGrid w:val="0"/>
          <w:sz w:val="24"/>
          <w:szCs w:val="24"/>
        </w:rPr>
        <w:fldChar w:fldCharType="end"/>
      </w:r>
      <w:bookmarkStart w:id="0" w:name="Introduction"/>
      <w:bookmarkEnd w:id="0"/>
      <w:r w:rsidR="0050117E" w:rsidRPr="00AC2BA5">
        <w:rPr>
          <w:rFonts w:eastAsia="宋体" w:cs="宋体"/>
          <w:sz w:val="24"/>
        </w:rPr>
        <w:br w:type="page"/>
      </w:r>
    </w:p>
    <w:p w14:paraId="7580335A" w14:textId="257C4DC0" w:rsidR="0050117E" w:rsidRPr="00AC2BA5" w:rsidRDefault="00F86DFD" w:rsidP="000102EB">
      <w:pPr>
        <w:pBdr>
          <w:bottom w:val="single" w:sz="4" w:space="1" w:color="auto"/>
        </w:pBd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Pr>
          <w:rFonts w:ascii="Times New Roman" w:eastAsia="宋体" w:hAnsi="Times New Roman" w:cs="宋体"/>
          <w:b/>
          <w:sz w:val="44"/>
          <w:lang w:eastAsia="zh-CN"/>
        </w:rPr>
        <w:lastRenderedPageBreak/>
        <w:t>非处方用自我监测血糖测试系统</w:t>
      </w:r>
    </w:p>
    <w:p w14:paraId="523EF6A2" w14:textId="2D38A8D7" w:rsidR="000460CB" w:rsidRPr="00AC2BA5" w:rsidRDefault="00B8550C" w:rsidP="000102EB">
      <w:pPr>
        <w:adjustRightInd w:val="0"/>
        <w:snapToGrid w:val="0"/>
        <w:spacing w:beforeLines="50" w:before="120" w:line="300" w:lineRule="auto"/>
        <w:jc w:val="center"/>
        <w:rPr>
          <w:rFonts w:ascii="Times New Roman" w:eastAsia="宋体" w:hAnsi="Times New Roman" w:cs="Times New Roman"/>
          <w:snapToGrid w:val="0"/>
          <w:sz w:val="44"/>
          <w:szCs w:val="44"/>
          <w:lang w:eastAsia="zh-CN"/>
        </w:rPr>
      </w:pPr>
      <w:r w:rsidRPr="00AC2BA5">
        <w:rPr>
          <w:rFonts w:ascii="Times New Roman" w:eastAsia="宋体" w:hAnsi="Times New Roman" w:cs="宋体"/>
          <w:b/>
          <w:sz w:val="44"/>
          <w:lang w:eastAsia="zh-CN"/>
        </w:rPr>
        <w:t>行业和美国食品</w:t>
      </w:r>
      <w:r w:rsidR="00C961FA">
        <w:rPr>
          <w:rFonts w:ascii="Times New Roman" w:eastAsia="宋体" w:hAnsi="Times New Roman" w:cs="宋体"/>
          <w:b/>
          <w:sz w:val="44"/>
          <w:lang w:eastAsia="zh-CN"/>
        </w:rPr>
        <w:t>药品</w:t>
      </w:r>
      <w:r w:rsidR="008D427B">
        <w:rPr>
          <w:rFonts w:ascii="Times New Roman" w:eastAsia="宋体" w:hAnsi="Times New Roman" w:cs="宋体" w:hint="eastAsia"/>
          <w:b/>
          <w:sz w:val="44"/>
          <w:lang w:eastAsia="zh-CN"/>
        </w:rPr>
        <w:t>监督</w:t>
      </w:r>
      <w:r w:rsidR="00C961FA">
        <w:rPr>
          <w:rFonts w:ascii="Times New Roman" w:eastAsia="宋体" w:hAnsi="Times New Roman" w:cs="宋体"/>
          <w:b/>
          <w:sz w:val="44"/>
          <w:lang w:eastAsia="zh-CN"/>
        </w:rPr>
        <w:t>管理局</w:t>
      </w:r>
      <w:r w:rsidRPr="00AC2BA5">
        <w:rPr>
          <w:rFonts w:ascii="Times New Roman" w:eastAsia="宋体" w:hAnsi="Times New Roman" w:cs="宋体"/>
          <w:b/>
          <w:sz w:val="44"/>
          <w:lang w:eastAsia="zh-CN"/>
        </w:rPr>
        <w:t>工作人员指南</w:t>
      </w:r>
    </w:p>
    <w:tbl>
      <w:tblPr>
        <w:tblStyle w:val="TableNormal"/>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CellMar>
          <w:left w:w="108" w:type="dxa"/>
          <w:right w:w="108" w:type="dxa"/>
        </w:tblCellMar>
        <w:tblLook w:val="01E0" w:firstRow="1" w:lastRow="1" w:firstColumn="1" w:lastColumn="1" w:noHBand="0" w:noVBand="0"/>
      </w:tblPr>
      <w:tblGrid>
        <w:gridCol w:w="9287"/>
      </w:tblGrid>
      <w:tr w:rsidR="0050117E" w:rsidRPr="00AC2BA5" w14:paraId="171FF38E" w14:textId="77777777" w:rsidTr="00B8550C">
        <w:tc>
          <w:tcPr>
            <w:tcW w:w="5000" w:type="pct"/>
          </w:tcPr>
          <w:p w14:paraId="54889744" w14:textId="690B861C" w:rsidR="0050117E" w:rsidRPr="00AC2BA5" w:rsidRDefault="00680E40"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680E40">
              <w:rPr>
                <w:rFonts w:ascii="Times New Roman" w:eastAsia="宋体" w:hAnsi="Times New Roman" w:cs="宋体" w:hint="eastAsia"/>
                <w:b/>
                <w:i/>
                <w:sz w:val="21"/>
                <w:lang w:eastAsia="zh-CN"/>
              </w:rPr>
              <w:t>本指南代表</w:t>
            </w:r>
            <w:r w:rsidR="00DD3496">
              <w:rPr>
                <w:rFonts w:ascii="Times New Roman" w:eastAsia="宋体" w:hAnsi="Times New Roman" w:cs="宋体" w:hint="eastAsia"/>
                <w:b/>
                <w:i/>
                <w:sz w:val="21"/>
                <w:lang w:eastAsia="zh-CN"/>
              </w:rPr>
              <w:t>美国</w:t>
            </w:r>
            <w:r w:rsidRPr="00680E40">
              <w:rPr>
                <w:rFonts w:ascii="Times New Roman" w:eastAsia="宋体" w:hAnsi="Times New Roman" w:cs="宋体" w:hint="eastAsia"/>
                <w:b/>
                <w:i/>
                <w:sz w:val="21"/>
                <w:lang w:eastAsia="zh-CN"/>
              </w:rPr>
              <w:t>食品药品</w:t>
            </w:r>
            <w:r w:rsidR="00DD3496">
              <w:rPr>
                <w:rFonts w:ascii="Times New Roman" w:eastAsia="宋体" w:hAnsi="Times New Roman" w:cs="宋体" w:hint="eastAsia"/>
                <w:b/>
                <w:i/>
                <w:sz w:val="21"/>
                <w:lang w:eastAsia="zh-CN"/>
              </w:rPr>
              <w:t>监督</w:t>
            </w:r>
            <w:r w:rsidRPr="00680E40">
              <w:rPr>
                <w:rFonts w:ascii="Times New Roman" w:eastAsia="宋体" w:hAnsi="Times New Roman" w:cs="宋体" w:hint="eastAsia"/>
                <w:b/>
                <w:i/>
                <w:sz w:val="21"/>
                <w:lang w:eastAsia="zh-CN"/>
              </w:rPr>
              <w:t>管理局（</w:t>
            </w:r>
            <w:r w:rsidRPr="00680E40">
              <w:rPr>
                <w:rFonts w:ascii="Times New Roman" w:eastAsia="宋体" w:hAnsi="Times New Roman" w:cs="宋体" w:hint="eastAsia"/>
                <w:b/>
                <w:i/>
                <w:sz w:val="21"/>
                <w:lang w:eastAsia="zh-CN"/>
              </w:rPr>
              <w:t>FDA</w:t>
            </w:r>
            <w:r w:rsidR="005F716C">
              <w:rPr>
                <w:rFonts w:ascii="Times New Roman" w:eastAsia="宋体" w:hAnsi="Times New Roman" w:cs="宋体" w:hint="eastAsia"/>
                <w:b/>
                <w:i/>
                <w:sz w:val="21"/>
                <w:lang w:eastAsia="zh-CN"/>
              </w:rPr>
              <w:t>或本机构</w:t>
            </w:r>
            <w:r w:rsidRPr="00680E40">
              <w:rPr>
                <w:rFonts w:ascii="Times New Roman" w:eastAsia="宋体" w:hAnsi="Times New Roman" w:cs="宋体" w:hint="eastAsia"/>
                <w:b/>
                <w:i/>
                <w:sz w:val="21"/>
                <w:lang w:eastAsia="zh-CN"/>
              </w:rPr>
              <w:t>）目前关于该主题的思考。</w:t>
            </w:r>
            <w:r w:rsidR="00426630">
              <w:rPr>
                <w:rFonts w:ascii="Times New Roman" w:eastAsia="宋体" w:hAnsi="Times New Roman" w:cs="宋体" w:hint="eastAsia"/>
                <w:b/>
                <w:i/>
                <w:sz w:val="21"/>
                <w:lang w:eastAsia="zh-CN"/>
              </w:rPr>
              <w:t>本指南</w:t>
            </w:r>
            <w:r w:rsidRPr="00680E40">
              <w:rPr>
                <w:rFonts w:ascii="Times New Roman" w:eastAsia="宋体" w:hAnsi="Times New Roman" w:cs="宋体" w:hint="eastAsia"/>
                <w:b/>
                <w:i/>
                <w:sz w:val="21"/>
                <w:lang w:eastAsia="zh-CN"/>
              </w:rPr>
              <w:t>不会为任何人创造或赋予任何权利，也不会对</w:t>
            </w:r>
            <w:r w:rsidRPr="00680E40">
              <w:rPr>
                <w:rFonts w:ascii="Times New Roman" w:eastAsia="宋体" w:hAnsi="Times New Roman" w:cs="宋体" w:hint="eastAsia"/>
                <w:b/>
                <w:i/>
                <w:sz w:val="21"/>
                <w:lang w:eastAsia="zh-CN"/>
              </w:rPr>
              <w:t>FDA</w:t>
            </w:r>
            <w:r w:rsidRPr="00680E40">
              <w:rPr>
                <w:rFonts w:ascii="Times New Roman" w:eastAsia="宋体" w:hAnsi="Times New Roman" w:cs="宋体" w:hint="eastAsia"/>
                <w:b/>
                <w:i/>
                <w:sz w:val="21"/>
                <w:lang w:eastAsia="zh-CN"/>
              </w:rPr>
              <w:t>或公众产生约束。如果替代方法满足适用的法律法规的要求，则可以使用该</w:t>
            </w:r>
            <w:r w:rsidR="00115804">
              <w:rPr>
                <w:rFonts w:ascii="Times New Roman" w:eastAsia="宋体" w:hAnsi="Times New Roman" w:cs="宋体" w:hint="eastAsia"/>
                <w:b/>
                <w:i/>
                <w:sz w:val="21"/>
                <w:lang w:eastAsia="zh-CN"/>
              </w:rPr>
              <w:t>替代</w:t>
            </w:r>
            <w:r w:rsidRPr="00680E40">
              <w:rPr>
                <w:rFonts w:ascii="Times New Roman" w:eastAsia="宋体" w:hAnsi="Times New Roman" w:cs="宋体" w:hint="eastAsia"/>
                <w:b/>
                <w:i/>
                <w:sz w:val="21"/>
                <w:lang w:eastAsia="zh-CN"/>
              </w:rPr>
              <w:t>方法。如需讨论替代方法，请联系标题</w:t>
            </w:r>
            <w:proofErr w:type="gramStart"/>
            <w:r w:rsidRPr="00680E40">
              <w:rPr>
                <w:rFonts w:ascii="Times New Roman" w:eastAsia="宋体" w:hAnsi="Times New Roman" w:cs="宋体" w:hint="eastAsia"/>
                <w:b/>
                <w:i/>
                <w:sz w:val="21"/>
                <w:lang w:eastAsia="zh-CN"/>
              </w:rPr>
              <w:t>页负责</w:t>
            </w:r>
            <w:proofErr w:type="gramEnd"/>
            <w:r w:rsidRPr="00680E40">
              <w:rPr>
                <w:rFonts w:ascii="Times New Roman" w:eastAsia="宋体" w:hAnsi="Times New Roman" w:cs="宋体" w:hint="eastAsia"/>
                <w:b/>
                <w:i/>
                <w:sz w:val="21"/>
                <w:lang w:eastAsia="zh-CN"/>
              </w:rPr>
              <w:t>实施本指南文件的</w:t>
            </w:r>
            <w:r w:rsidRPr="00680E40">
              <w:rPr>
                <w:rFonts w:ascii="Times New Roman" w:eastAsia="宋体" w:hAnsi="Times New Roman" w:cs="宋体" w:hint="eastAsia"/>
                <w:b/>
                <w:i/>
                <w:sz w:val="21"/>
                <w:lang w:eastAsia="zh-CN"/>
              </w:rPr>
              <w:t>FDA</w:t>
            </w:r>
            <w:r w:rsidRPr="00680E40">
              <w:rPr>
                <w:rFonts w:ascii="Times New Roman" w:eastAsia="宋体" w:hAnsi="Times New Roman" w:cs="宋体" w:hint="eastAsia"/>
                <w:b/>
                <w:i/>
                <w:sz w:val="21"/>
                <w:lang w:eastAsia="zh-CN"/>
              </w:rPr>
              <w:t>工作人员或办公室。</w:t>
            </w:r>
          </w:p>
        </w:tc>
      </w:tr>
    </w:tbl>
    <w:p w14:paraId="3FCF5EFC"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17BBF91" w14:textId="77777777" w:rsidR="0050117E" w:rsidRPr="00AC2BA5" w:rsidRDefault="0050117E" w:rsidP="000102EB">
      <w:pPr>
        <w:pStyle w:val="11"/>
        <w:rPr>
          <w:rFonts w:eastAsia="宋体"/>
          <w:lang w:eastAsia="zh-CN"/>
        </w:rPr>
      </w:pPr>
      <w:bookmarkStart w:id="1" w:name="_Toc91871160"/>
      <w:r w:rsidRPr="00AC2BA5">
        <w:rPr>
          <w:rFonts w:eastAsia="宋体" w:cs="宋体"/>
          <w:lang w:eastAsia="zh-CN"/>
        </w:rPr>
        <w:t>I.</w:t>
      </w:r>
      <w:r w:rsidRPr="00AC2BA5">
        <w:rPr>
          <w:rFonts w:eastAsia="宋体" w:cs="宋体"/>
          <w:lang w:eastAsia="zh-CN"/>
        </w:rPr>
        <w:tab/>
      </w:r>
      <w:r w:rsidRPr="00AC2BA5">
        <w:rPr>
          <w:rFonts w:eastAsia="宋体" w:cs="宋体"/>
          <w:lang w:eastAsia="zh-CN"/>
        </w:rPr>
        <w:t>引言</w:t>
      </w:r>
      <w:bookmarkEnd w:id="1"/>
    </w:p>
    <w:p w14:paraId="5370E53B" w14:textId="166BA670"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本指南文件描述了</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建议在提交供非专业用户家庭非处方（</w:t>
      </w:r>
      <w:r w:rsidRPr="00AC2BA5">
        <w:rPr>
          <w:rFonts w:ascii="Times New Roman" w:eastAsia="宋体" w:hAnsi="Times New Roman" w:cs="宋体"/>
          <w:sz w:val="24"/>
          <w:lang w:eastAsia="zh-CN"/>
        </w:rPr>
        <w:t>OTC</w:t>
      </w:r>
      <w:r w:rsidRPr="00AC2BA5">
        <w:rPr>
          <w:rFonts w:ascii="Times New Roman" w:eastAsia="宋体" w:hAnsi="Times New Roman" w:cs="宋体"/>
          <w:sz w:val="24"/>
          <w:lang w:eastAsia="zh-CN"/>
        </w:rPr>
        <w:t>）使用的</w:t>
      </w:r>
      <w:r w:rsidR="00F86DFD">
        <w:rPr>
          <w:rFonts w:ascii="Times New Roman" w:eastAsia="宋体" w:hAnsi="Times New Roman" w:cs="宋体"/>
          <w:sz w:val="24"/>
          <w:lang w:eastAsia="zh-CN"/>
        </w:rPr>
        <w:t>自我监测血糖测试系统</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）上市前通知（</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）时使用的研究和信息。</w:t>
      </w:r>
      <w:r w:rsidRPr="00AC2BA5">
        <w:rPr>
          <w:rFonts w:ascii="Times New Roman" w:eastAsia="宋体" w:hAnsi="Times New Roman" w:cs="宋体"/>
          <w:sz w:val="24"/>
          <w:vertAlign w:val="superscript"/>
          <w:lang w:eastAsia="zh-CN"/>
        </w:rPr>
        <w:t>1</w:t>
      </w:r>
      <w:r w:rsidRPr="00AC2BA5">
        <w:rPr>
          <w:rFonts w:ascii="Times New Roman" w:eastAsia="宋体" w:hAnsi="Times New Roman" w:cs="宋体"/>
          <w:sz w:val="24"/>
          <w:lang w:eastAsia="zh-CN"/>
        </w:rPr>
        <w:t>本指南文件用于指导制造商对此类器械开展适当的性能研究和准备</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申报资料，取代</w:t>
      </w:r>
      <w:r w:rsidRPr="00AC2BA5">
        <w:rPr>
          <w:rFonts w:ascii="Times New Roman" w:eastAsia="宋体" w:hAnsi="Times New Roman" w:cs="宋体"/>
          <w:sz w:val="24"/>
          <w:lang w:eastAsia="zh-CN"/>
        </w:rPr>
        <w:t>2016</w:t>
      </w:r>
      <w:r w:rsidRPr="00AC2BA5">
        <w:rPr>
          <w:rFonts w:ascii="Times New Roman" w:eastAsia="宋体" w:hAnsi="Times New Roman" w:cs="宋体"/>
          <w:sz w:val="24"/>
          <w:lang w:eastAsia="zh-CN"/>
        </w:rPr>
        <w:t>年</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月</w:t>
      </w:r>
      <w:r w:rsidRPr="00AC2BA5">
        <w:rPr>
          <w:rFonts w:ascii="Times New Roman" w:eastAsia="宋体" w:hAnsi="Times New Roman" w:cs="宋体"/>
          <w:sz w:val="24"/>
          <w:lang w:eastAsia="zh-CN"/>
        </w:rPr>
        <w:t>11</w:t>
      </w:r>
      <w:r w:rsidRPr="00AC2BA5">
        <w:rPr>
          <w:rFonts w:ascii="Times New Roman" w:eastAsia="宋体" w:hAnsi="Times New Roman" w:cs="宋体"/>
          <w:sz w:val="24"/>
          <w:lang w:eastAsia="zh-CN"/>
        </w:rPr>
        <w:t>日发布的标题为《</w:t>
      </w:r>
      <w:r w:rsidR="00F86DFD">
        <w:rPr>
          <w:rFonts w:ascii="Times New Roman" w:eastAsia="宋体" w:hAnsi="Times New Roman" w:cs="宋体"/>
          <w:sz w:val="24"/>
          <w:lang w:eastAsia="zh-CN"/>
        </w:rPr>
        <w:t>非处方用自我监测血糖测试系统</w:t>
      </w:r>
      <w:r w:rsidRPr="00AC2BA5">
        <w:rPr>
          <w:rFonts w:ascii="Times New Roman" w:eastAsia="宋体" w:hAnsi="Times New Roman" w:cs="宋体"/>
          <w:sz w:val="24"/>
          <w:lang w:eastAsia="zh-CN"/>
        </w:rPr>
        <w:t>》的</w:t>
      </w:r>
      <w:proofErr w:type="gramStart"/>
      <w:r w:rsidRPr="00AC2BA5">
        <w:rPr>
          <w:rFonts w:ascii="Times New Roman" w:eastAsia="宋体" w:hAnsi="Times New Roman" w:cs="宋体"/>
          <w:sz w:val="24"/>
          <w:lang w:eastAsia="zh-CN"/>
        </w:rPr>
        <w:t>最终版</w:t>
      </w:r>
      <w:proofErr w:type="gramEnd"/>
      <w:r w:rsidRPr="00AC2BA5">
        <w:rPr>
          <w:rFonts w:ascii="Times New Roman" w:eastAsia="宋体" w:hAnsi="Times New Roman" w:cs="宋体"/>
          <w:sz w:val="24"/>
          <w:lang w:eastAsia="zh-CN"/>
        </w:rPr>
        <w:t>指南。</w:t>
      </w:r>
    </w:p>
    <w:p w14:paraId="2D16F42F"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本指南不涉及预期在专业医疗保健环境（例如，医院、医生办公室、长期护理机构）中用于处方床旁检测用血糖监测系统。</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在另一份标题为《</w:t>
      </w:r>
      <w:r w:rsidR="001F0A9D" w:rsidRPr="00AC2BA5">
        <w:fldChar w:fldCharType="begin"/>
      </w:r>
      <w:r w:rsidR="001F0A9D" w:rsidRPr="00AC2BA5">
        <w:rPr>
          <w:lang w:eastAsia="zh-CN"/>
        </w:rPr>
        <w:instrText xml:space="preserve"> HYPERLINK "https://www.fda.gov/regulatory-information/search-fda-guidance-documents/blood-glucose-monitoring-test-systems-prescription-point-care-use" \h </w:instrText>
      </w:r>
      <w:r w:rsidR="001F0A9D" w:rsidRPr="00AC2BA5">
        <w:fldChar w:fldCharType="separate"/>
      </w:r>
      <w:r w:rsidRPr="00AC2BA5">
        <w:rPr>
          <w:rFonts w:ascii="Times New Roman" w:eastAsia="宋体" w:hAnsi="Times New Roman" w:cs="宋体"/>
          <w:snapToGrid w:val="0"/>
          <w:color w:val="0000FF"/>
          <w:sz w:val="24"/>
          <w:szCs w:val="24"/>
          <w:u w:val="single" w:color="0000FF"/>
          <w:lang w:eastAsia="zh-CN"/>
        </w:rPr>
        <w:t>处方床旁检测用血糖监测系统</w:t>
      </w:r>
      <w:r w:rsidR="001F0A9D" w:rsidRPr="00AC2BA5">
        <w:rPr>
          <w:rFonts w:ascii="宋体" w:eastAsia="宋体" w:hAnsi="宋体" w:cs="宋体"/>
          <w:snapToGrid w:val="0"/>
          <w:color w:val="0000FF"/>
          <w:sz w:val="24"/>
          <w:szCs w:val="24"/>
          <w:u w:val="single" w:color="0000FF"/>
        </w:rPr>
        <w:fldChar w:fldCharType="end"/>
      </w:r>
      <w:r w:rsidRPr="00AC2BA5">
        <w:rPr>
          <w:rFonts w:ascii="Times New Roman" w:eastAsia="宋体" w:hAnsi="Times New Roman" w:cs="宋体"/>
          <w:sz w:val="24"/>
          <w:lang w:eastAsia="zh-CN"/>
        </w:rPr>
        <w:t>》的指南</w:t>
      </w:r>
      <w:r w:rsidRPr="00AC2BA5">
        <w:rPr>
          <w:rFonts w:ascii="Times New Roman" w:eastAsia="宋体" w:hAnsi="Times New Roman" w:cs="宋体"/>
          <w:color w:val="000000"/>
          <w:sz w:val="24"/>
          <w:lang w:eastAsia="zh-CN"/>
        </w:rPr>
        <w:t>（</w:t>
      </w:r>
      <w:r w:rsidRPr="00AC2BA5">
        <w:rPr>
          <w:rFonts w:ascii="Times New Roman" w:eastAsia="宋体" w:hAnsi="Times New Roman" w:cs="宋体"/>
          <w:color w:val="000000"/>
          <w:sz w:val="24"/>
          <w:lang w:eastAsia="zh-CN"/>
        </w:rPr>
        <w:t>BGMS</w:t>
      </w:r>
      <w:r w:rsidRPr="00AC2BA5">
        <w:rPr>
          <w:rFonts w:ascii="Times New Roman" w:eastAsia="宋体" w:hAnsi="Times New Roman" w:cs="宋体"/>
          <w:color w:val="000000"/>
          <w:sz w:val="24"/>
          <w:lang w:eastAsia="zh-CN"/>
        </w:rPr>
        <w:t>指南）中讨论了这些器械类型。</w:t>
      </w:r>
      <w:r w:rsidRPr="00AC2BA5">
        <w:rPr>
          <w:rFonts w:ascii="Times New Roman" w:eastAsia="宋体" w:hAnsi="Times New Roman" w:cs="宋体"/>
          <w:color w:val="000000"/>
          <w:sz w:val="24"/>
          <w:vertAlign w:val="superscript"/>
          <w:lang w:eastAsia="zh-CN"/>
        </w:rPr>
        <w:t>2</w:t>
      </w:r>
      <w:r w:rsidRPr="00AC2BA5">
        <w:rPr>
          <w:rFonts w:ascii="Times New Roman" w:eastAsia="宋体" w:hAnsi="Times New Roman" w:cs="宋体"/>
          <w:color w:val="000000"/>
          <w:sz w:val="24"/>
          <w:lang w:eastAsia="zh-CN"/>
        </w:rPr>
        <w:t>FDA</w:t>
      </w:r>
      <w:r w:rsidRPr="00AC2BA5">
        <w:rPr>
          <w:rFonts w:ascii="Times New Roman" w:eastAsia="宋体" w:hAnsi="Times New Roman" w:cs="宋体"/>
          <w:color w:val="000000"/>
          <w:sz w:val="24"/>
          <w:lang w:eastAsia="zh-CN"/>
        </w:rPr>
        <w:t>还发布了另一份</w:t>
      </w:r>
      <w:r w:rsidRPr="00AC2BA5">
        <w:rPr>
          <w:rFonts w:ascii="Times New Roman" w:eastAsia="宋体" w:hAnsi="Times New Roman" w:cs="宋体"/>
          <w:color w:val="000000"/>
          <w:sz w:val="24"/>
          <w:lang w:eastAsia="zh-CN"/>
        </w:rPr>
        <w:t>BGMS</w:t>
      </w:r>
      <w:r w:rsidRPr="00AC2BA5">
        <w:rPr>
          <w:rFonts w:ascii="Times New Roman" w:eastAsia="宋体" w:hAnsi="Times New Roman" w:cs="宋体"/>
          <w:color w:val="000000"/>
          <w:sz w:val="24"/>
          <w:lang w:eastAsia="zh-CN"/>
        </w:rPr>
        <w:t>指南，以反映与本指南所述内容相似的澄清。</w:t>
      </w:r>
    </w:p>
    <w:p w14:paraId="64A26A31" w14:textId="77777777" w:rsidR="00B8550C" w:rsidRPr="00AC2BA5" w:rsidRDefault="00B8550C"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5D0BFB4" w14:textId="77777777" w:rsidR="00B8550C" w:rsidRPr="00AC2BA5" w:rsidRDefault="00B8550C"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457376D" w14:textId="77777777" w:rsidR="000102EB" w:rsidRPr="00AC2BA5" w:rsidRDefault="000102EB"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0F64509" w14:textId="77777777" w:rsidR="000102EB" w:rsidRPr="00AC2BA5" w:rsidRDefault="000102EB"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2C34E9A" w14:textId="77777777" w:rsidR="000102EB" w:rsidRPr="00AC2BA5" w:rsidRDefault="000102EB"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9AB25BC" w14:textId="77777777" w:rsidR="000102EB" w:rsidRPr="00AC2BA5" w:rsidRDefault="000102EB"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5D39B8D" w14:textId="77777777" w:rsidR="000102EB" w:rsidRPr="00AC2BA5" w:rsidRDefault="000102EB"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2034C8A" w14:textId="77777777" w:rsidR="000102EB" w:rsidRPr="00AC2BA5" w:rsidRDefault="000102EB"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39BF537" w14:textId="77777777" w:rsidR="00B8550C" w:rsidRPr="00AC2BA5" w:rsidRDefault="00B8550C"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11B29D5" w14:textId="77777777" w:rsidR="00B8550C" w:rsidRPr="00AC2BA5" w:rsidRDefault="00B8550C" w:rsidP="000102EB">
      <w:pPr>
        <w:tabs>
          <w:tab w:val="left" w:pos="414"/>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__________________________</w:t>
      </w:r>
    </w:p>
    <w:p w14:paraId="2A209B9C" w14:textId="77777777" w:rsidR="000460CB" w:rsidRPr="00AC2BA5" w:rsidRDefault="0050117E" w:rsidP="000102EB">
      <w:pPr>
        <w:tabs>
          <w:tab w:val="left" w:pos="414"/>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sz w:val="21"/>
          <w:vertAlign w:val="superscript"/>
          <w:lang w:eastAsia="zh-CN"/>
        </w:rPr>
        <w:t>1</w:t>
      </w:r>
      <w:r w:rsidRPr="00AC2BA5">
        <w:rPr>
          <w:rFonts w:ascii="Times New Roman" w:eastAsia="宋体" w:hAnsi="Times New Roman" w:cs="宋体"/>
          <w:sz w:val="21"/>
          <w:lang w:eastAsia="zh-CN"/>
        </w:rPr>
        <w:t>虽然大多数</w:t>
      </w:r>
      <w:r w:rsidRPr="00AC2BA5">
        <w:rPr>
          <w:rFonts w:ascii="Times New Roman" w:eastAsia="宋体" w:hAnsi="Times New Roman" w:cs="宋体"/>
          <w:sz w:val="21"/>
          <w:lang w:eastAsia="zh-CN"/>
        </w:rPr>
        <w:t>SMBG</w:t>
      </w:r>
      <w:r w:rsidRPr="00AC2BA5">
        <w:rPr>
          <w:rFonts w:ascii="Times New Roman" w:eastAsia="宋体" w:hAnsi="Times New Roman" w:cs="宋体"/>
          <w:sz w:val="21"/>
          <w:lang w:eastAsia="zh-CN"/>
        </w:rPr>
        <w:t>器械预期供家庭使用，但本文件也适用于按照医护专业人员的处方获得的家庭用</w:t>
      </w:r>
      <w:r w:rsidRPr="00AC2BA5">
        <w:rPr>
          <w:rFonts w:ascii="Times New Roman" w:eastAsia="宋体" w:hAnsi="Times New Roman" w:cs="宋体"/>
          <w:sz w:val="21"/>
          <w:lang w:eastAsia="zh-CN"/>
        </w:rPr>
        <w:t>SMBG</w:t>
      </w:r>
      <w:r w:rsidRPr="00AC2BA5">
        <w:rPr>
          <w:rFonts w:ascii="Times New Roman" w:eastAsia="宋体" w:hAnsi="Times New Roman" w:cs="宋体"/>
          <w:sz w:val="21"/>
          <w:lang w:eastAsia="zh-CN"/>
        </w:rPr>
        <w:t>器械。</w:t>
      </w:r>
    </w:p>
    <w:p w14:paraId="3FFE713C" w14:textId="77777777" w:rsidR="00B8550C" w:rsidRPr="00AC2BA5" w:rsidRDefault="0050117E" w:rsidP="000102EB">
      <w:pPr>
        <w:tabs>
          <w:tab w:val="left" w:pos="4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sz w:val="21"/>
          <w:vertAlign w:val="superscript"/>
        </w:rPr>
        <w:t>2</w:t>
      </w:r>
      <w:r w:rsidRPr="00AC2BA5">
        <w:rPr>
          <w:rFonts w:ascii="Times New Roman" w:eastAsia="宋体" w:hAnsi="Times New Roman" w:cs="宋体"/>
          <w:sz w:val="21"/>
        </w:rPr>
        <w:t>可登录以下网址获取：</w:t>
      </w:r>
      <w:hyperlink r:id="rId12">
        <w:r w:rsidRPr="00AC2BA5">
          <w:rPr>
            <w:rFonts w:ascii="Times New Roman" w:eastAsia="宋体" w:hAnsi="Times New Roman" w:cs="宋体"/>
            <w:snapToGrid w:val="0"/>
            <w:color w:val="0000FF"/>
            <w:sz w:val="21"/>
            <w:szCs w:val="21"/>
            <w:u w:val="single" w:color="0000FF"/>
          </w:rPr>
          <w:t>https://www.fda.gov/regulatory-information/search-fda-guidance-documents/blood-glucose-</w:t>
        </w:r>
      </w:hyperlink>
      <w:r w:rsidRPr="00AC2BA5">
        <w:rPr>
          <w:rFonts w:ascii="Times New Roman" w:eastAsia="宋体" w:hAnsi="Times New Roman" w:cs="宋体"/>
          <w:color w:val="0000FF"/>
          <w:sz w:val="21"/>
          <w:u w:val="single"/>
        </w:rPr>
        <w:t>monitoring-test-systems-prescription-point-care-use</w:t>
      </w:r>
      <w:r w:rsidRPr="00AC2BA5">
        <w:rPr>
          <w:rFonts w:ascii="Times New Roman" w:eastAsia="宋体" w:hAnsi="Times New Roman" w:cs="宋体"/>
          <w:sz w:val="21"/>
        </w:rPr>
        <w:t>。</w:t>
      </w:r>
    </w:p>
    <w:p w14:paraId="1F4AE22A" w14:textId="77777777" w:rsidR="00B8550C" w:rsidRPr="00AC2BA5" w:rsidRDefault="00B8550C"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p w14:paraId="16D33728" w14:textId="423C932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本文件中引用的</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认可标准的最新版本参见</w:t>
      </w:r>
      <w:r w:rsidR="001F0A9D" w:rsidRPr="00AC2BA5">
        <w:fldChar w:fldCharType="begin"/>
      </w:r>
      <w:r w:rsidR="001F0A9D" w:rsidRPr="00AC2BA5">
        <w:rPr>
          <w:lang w:eastAsia="zh-CN"/>
        </w:rPr>
        <w:instrText xml:space="preserve"> HYPERLINK "https://www.accessdata.fda.gov/scripts/cdrh/cfdocs/cfStandards/search.cfm" \h </w:instrText>
      </w:r>
      <w:r w:rsidR="001F0A9D" w:rsidRPr="00AC2BA5">
        <w:fldChar w:fldCharType="separate"/>
      </w:r>
      <w:r w:rsidRPr="00AC2BA5">
        <w:rPr>
          <w:rFonts w:ascii="Times New Roman" w:eastAsia="宋体" w:hAnsi="Times New Roman" w:cs="宋体"/>
          <w:snapToGrid w:val="0"/>
          <w:color w:val="0000FF"/>
          <w:sz w:val="24"/>
          <w:szCs w:val="24"/>
          <w:u w:val="single" w:color="0000FF"/>
          <w:lang w:eastAsia="zh-CN"/>
        </w:rPr>
        <w:t>FDA</w:t>
      </w:r>
      <w:proofErr w:type="gramStart"/>
      <w:r w:rsidRPr="00AC2BA5">
        <w:rPr>
          <w:rFonts w:ascii="Times New Roman" w:eastAsia="宋体" w:hAnsi="Times New Roman" w:cs="宋体"/>
          <w:snapToGrid w:val="0"/>
          <w:color w:val="0000FF"/>
          <w:sz w:val="24"/>
          <w:szCs w:val="24"/>
          <w:u w:val="single" w:color="0000FF"/>
          <w:lang w:eastAsia="zh-CN"/>
        </w:rPr>
        <w:t>认可共识</w:t>
      </w:r>
      <w:proofErr w:type="gramEnd"/>
      <w:r w:rsidRPr="00AC2BA5">
        <w:rPr>
          <w:rFonts w:ascii="Times New Roman" w:eastAsia="宋体" w:hAnsi="Times New Roman" w:cs="宋体"/>
          <w:snapToGrid w:val="0"/>
          <w:color w:val="0000FF"/>
          <w:sz w:val="24"/>
          <w:szCs w:val="24"/>
          <w:u w:val="single" w:color="0000FF"/>
          <w:lang w:eastAsia="zh-CN"/>
        </w:rPr>
        <w:t>标准数据库</w:t>
      </w:r>
      <w:r w:rsidR="001F0A9D" w:rsidRPr="00AC2BA5">
        <w:rPr>
          <w:rFonts w:ascii="宋体" w:eastAsia="宋体" w:hAnsi="宋体" w:cs="宋体"/>
          <w:snapToGrid w:val="0"/>
          <w:color w:val="0000FF"/>
          <w:sz w:val="24"/>
          <w:szCs w:val="24"/>
          <w:u w:val="single" w:color="0000FF"/>
        </w:rPr>
        <w:fldChar w:fldCharType="end"/>
      </w:r>
      <w:r w:rsidRPr="00AC2BA5">
        <w:rPr>
          <w:rFonts w:ascii="Times New Roman" w:eastAsia="宋体" w:hAnsi="Times New Roman" w:cs="宋体"/>
          <w:sz w:val="24"/>
          <w:lang w:eastAsia="zh-CN"/>
        </w:rPr>
        <w:t>网站</w:t>
      </w:r>
      <w:r w:rsidR="00302512" w:rsidRPr="00AC2BA5">
        <w:rPr>
          <w:rFonts w:ascii="Times New Roman" w:eastAsia="宋体" w:hAnsi="Times New Roman" w:cs="宋体"/>
          <w:sz w:val="24"/>
          <w:vertAlign w:val="superscript"/>
          <w:lang w:eastAsia="zh-CN"/>
        </w:rPr>
        <w:t>3</w:t>
      </w:r>
      <w:r w:rsidRPr="00AC2BA5">
        <w:rPr>
          <w:rFonts w:ascii="Times New Roman" w:eastAsia="宋体" w:hAnsi="Times New Roman" w:cs="宋体"/>
          <w:sz w:val="24"/>
          <w:lang w:eastAsia="zh-CN"/>
        </w:rPr>
        <w:t>。</w:t>
      </w:r>
      <w:r w:rsidR="00D42E1E" w:rsidRPr="00D42E1E">
        <w:rPr>
          <w:rFonts w:ascii="Times New Roman" w:eastAsia="宋体" w:hAnsi="Times New Roman" w:cs="宋体" w:hint="eastAsia"/>
          <w:color w:val="000000"/>
          <w:sz w:val="24"/>
          <w:lang w:eastAsia="zh-CN"/>
        </w:rPr>
        <w:t>有关共识标准在注册申报中的使用的更多信息，请参见</w:t>
      </w:r>
      <w:r w:rsidR="00D42E1E" w:rsidRPr="00D42E1E">
        <w:rPr>
          <w:rFonts w:ascii="Times New Roman" w:eastAsia="宋体" w:hAnsi="Times New Roman" w:cs="宋体" w:hint="eastAsia"/>
          <w:color w:val="000000"/>
          <w:sz w:val="24"/>
          <w:lang w:eastAsia="zh-CN"/>
        </w:rPr>
        <w:t>FDA</w:t>
      </w:r>
      <w:r w:rsidR="00D42E1E" w:rsidRPr="00D42E1E">
        <w:rPr>
          <w:rFonts w:ascii="Times New Roman" w:eastAsia="宋体" w:hAnsi="Times New Roman" w:cs="宋体" w:hint="eastAsia"/>
          <w:color w:val="000000"/>
          <w:sz w:val="24"/>
          <w:lang w:eastAsia="zh-CN"/>
        </w:rPr>
        <w:t>发布的标题为《自愿共识标准在医疗器械上市前提交中的合理使用》</w:t>
      </w:r>
      <w:r w:rsidR="00D42E1E" w:rsidRPr="00AC2BA5">
        <w:rPr>
          <w:rFonts w:ascii="Times New Roman" w:eastAsia="宋体" w:hAnsi="Times New Roman" w:cs="宋体"/>
          <w:sz w:val="24"/>
          <w:vertAlign w:val="superscript"/>
          <w:lang w:eastAsia="zh-CN"/>
        </w:rPr>
        <w:t>4</w:t>
      </w:r>
      <w:r w:rsidR="00D42E1E" w:rsidRPr="00D42E1E">
        <w:rPr>
          <w:rFonts w:ascii="Times New Roman" w:eastAsia="宋体" w:hAnsi="Times New Roman" w:cs="宋体" w:hint="eastAsia"/>
          <w:color w:val="000000"/>
          <w:sz w:val="24"/>
          <w:lang w:eastAsia="zh-CN"/>
        </w:rPr>
        <w:t>的指南</w:t>
      </w:r>
      <w:r w:rsidRPr="00AC2BA5">
        <w:rPr>
          <w:rFonts w:ascii="Times New Roman" w:eastAsia="宋体" w:hAnsi="Times New Roman" w:cs="宋体"/>
          <w:color w:val="000000"/>
          <w:sz w:val="24"/>
          <w:lang w:eastAsia="zh-CN"/>
        </w:rPr>
        <w:t>。</w:t>
      </w:r>
    </w:p>
    <w:p w14:paraId="1EC5B418" w14:textId="18D4E968" w:rsidR="0050117E" w:rsidRPr="00AC2BA5" w:rsidRDefault="00115804" w:rsidP="000102EB">
      <w:pPr>
        <w:pStyle w:val="11"/>
        <w:rPr>
          <w:rFonts w:eastAsia="宋体"/>
          <w:lang w:eastAsia="zh-CN"/>
        </w:rPr>
      </w:pPr>
      <w:r w:rsidRPr="00115804">
        <w:rPr>
          <w:rFonts w:eastAsia="宋体" w:cs="宋体" w:hint="eastAsia"/>
          <w:sz w:val="24"/>
          <w:lang w:eastAsia="zh-CN"/>
        </w:rPr>
        <w:t>FDA</w:t>
      </w:r>
      <w:r w:rsidRPr="00115804">
        <w:rPr>
          <w:rFonts w:eastAsia="宋体" w:cs="宋体" w:hint="eastAsia"/>
          <w:sz w:val="24"/>
          <w:lang w:eastAsia="zh-CN"/>
        </w:rPr>
        <w:t>指导性文件，包括本指南在内，不具有法律强制责任。相反，该指南表明了政府专门机构关于该主题的当前思考，除引用具体的法规或法律要求之外，本指南仅供推荐性使用。在本指南中使用的词语“应该”是指建议或推荐，并非强制要求。</w:t>
      </w:r>
      <w:bookmarkStart w:id="2" w:name="_Toc91871161"/>
      <w:r w:rsidR="0050117E" w:rsidRPr="00AC2BA5">
        <w:rPr>
          <w:rFonts w:eastAsia="宋体" w:cs="宋体"/>
          <w:lang w:eastAsia="zh-CN"/>
        </w:rPr>
        <w:t>II.</w:t>
      </w:r>
      <w:r w:rsidR="0050117E" w:rsidRPr="00AC2BA5">
        <w:rPr>
          <w:rFonts w:eastAsia="宋体" w:cs="宋体"/>
          <w:lang w:eastAsia="zh-CN"/>
        </w:rPr>
        <w:tab/>
      </w:r>
      <w:r w:rsidR="0050117E" w:rsidRPr="00AC2BA5">
        <w:rPr>
          <w:rFonts w:eastAsia="宋体" w:cs="宋体"/>
          <w:lang w:eastAsia="zh-CN"/>
        </w:rPr>
        <w:t>背景</w:t>
      </w:r>
      <w:bookmarkEnd w:id="2"/>
    </w:p>
    <w:p w14:paraId="219AC999"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每天有数百万的糖尿病患者使用测量血糖值的便携式血糖仪辅助糖尿病自我管理。患者在各种环境下使用这些器械，包括在家中、工作场所和学校。</w:t>
      </w:r>
    </w:p>
    <w:p w14:paraId="4A34B3FE" w14:textId="3B0AFA19"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历史上，</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对供医护专业人员使用的血糖监测系统（</w:t>
      </w:r>
      <w:r w:rsidRPr="00AC2BA5">
        <w:rPr>
          <w:rFonts w:ascii="Times New Roman" w:eastAsia="宋体" w:hAnsi="Times New Roman" w:cs="宋体"/>
          <w:sz w:val="24"/>
          <w:lang w:eastAsia="zh-CN"/>
        </w:rPr>
        <w:t>BGMS</w:t>
      </w:r>
      <w:r w:rsidRPr="00AC2BA5">
        <w:rPr>
          <w:rFonts w:ascii="Times New Roman" w:eastAsia="宋体" w:hAnsi="Times New Roman" w:cs="宋体"/>
          <w:sz w:val="24"/>
          <w:lang w:eastAsia="zh-CN"/>
        </w:rPr>
        <w:t>）建议的上市前申报资料（</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）信息类型与供非专业用户在家中使用的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并无不同。但是，人们越发清晰地认识到，这些不同的使用环境包括具有独特特征的不同预期使用人群和不同的器械设计规范，制造商在设计器械时应考虑到这一点。专业医疗保健环境中的患者可能患有急性病，身体虚弱，并且与非专业用户相比，更有可能出现干扰血糖测量的生理和病理因素。此外，术语</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非专业用户</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包括一组在年龄、灵巧度、视力、接受的检测培训以及对患者准确使用器械和判读检测结果的能力至关重要的其他因素中范围广泛的个体。最后，与在专业环境中使用的器械相比，非专业用户使用的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和相关试纸也更有可能面对不同的贮存和处理条件。因此，</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的设计应该更加</w:t>
      </w:r>
      <w:r w:rsidR="00AD1608">
        <w:rPr>
          <w:rFonts w:ascii="Times New Roman" w:eastAsia="宋体" w:hAnsi="Times New Roman" w:cs="宋体"/>
          <w:sz w:val="24"/>
          <w:lang w:eastAsia="zh-CN"/>
        </w:rPr>
        <w:t>稳定</w:t>
      </w:r>
      <w:r w:rsidRPr="00AC2BA5">
        <w:rPr>
          <w:rFonts w:ascii="Times New Roman" w:eastAsia="宋体" w:hAnsi="Times New Roman" w:cs="宋体"/>
          <w:sz w:val="24"/>
          <w:lang w:eastAsia="zh-CN"/>
        </w:rPr>
        <w:t>和可靠，以适应实际使用条件。本机构建议制造商考虑有助于用户可达性的设计特性（例如，可提高视力障碍用户可达性的特性）。</w:t>
      </w:r>
    </w:p>
    <w:p w14:paraId="62EA0711" w14:textId="3191D92E" w:rsidR="00B8550C" w:rsidRPr="00AC2BA5" w:rsidRDefault="00B8550C" w:rsidP="000102EB">
      <w:pPr>
        <w:adjustRightInd w:val="0"/>
        <w:snapToGrid w:val="0"/>
        <w:spacing w:beforeLines="50" w:before="120" w:line="300" w:lineRule="auto"/>
        <w:jc w:val="both"/>
        <w:rPr>
          <w:rFonts w:ascii="Times New Roman" w:eastAsia="宋体" w:hAnsi="Times New Roman" w:cs="宋体"/>
          <w:sz w:val="24"/>
          <w:lang w:eastAsia="zh-CN"/>
        </w:rPr>
      </w:pPr>
      <w:r w:rsidRPr="00AC2BA5">
        <w:rPr>
          <w:rFonts w:ascii="Times New Roman" w:eastAsia="宋体" w:hAnsi="Times New Roman" w:cs="宋体"/>
          <w:sz w:val="24"/>
          <w:lang w:eastAsia="zh-CN"/>
        </w:rPr>
        <w:t>为了区分在床旁专业医疗保健环境下使用的处方用血糖仪和供非专业用户在家中自我监测的血糖仪，</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针对</w:t>
      </w:r>
      <w:r w:rsidR="00FB10B8">
        <w:rPr>
          <w:rFonts w:ascii="Times New Roman" w:eastAsia="宋体" w:hAnsi="Times New Roman" w:cs="宋体"/>
          <w:sz w:val="24"/>
          <w:lang w:eastAsia="zh-CN"/>
        </w:rPr>
        <w:t>(i)</w:t>
      </w:r>
      <w:r w:rsidRPr="00AC2BA5">
        <w:rPr>
          <w:rFonts w:ascii="Times New Roman" w:eastAsia="宋体" w:hAnsi="Times New Roman" w:cs="宋体"/>
          <w:sz w:val="24"/>
          <w:lang w:eastAsia="zh-CN"/>
        </w:rPr>
        <w:t>在床旁专业医疗保健环境下使用的</w:t>
      </w:r>
      <w:r w:rsidRPr="00AC2BA5">
        <w:rPr>
          <w:rFonts w:ascii="Times New Roman" w:eastAsia="宋体" w:hAnsi="Times New Roman" w:cs="宋体"/>
          <w:sz w:val="24"/>
          <w:lang w:eastAsia="zh-CN"/>
        </w:rPr>
        <w:t>BGMS</w:t>
      </w:r>
      <w:r w:rsidR="00C961FA">
        <w:rPr>
          <w:rFonts w:ascii="Times New Roman" w:eastAsia="宋体" w:hAnsi="Times New Roman" w:cs="宋体" w:hint="eastAsia"/>
          <w:sz w:val="24"/>
          <w:lang w:eastAsia="zh-CN"/>
        </w:rPr>
        <w:t>；</w:t>
      </w:r>
      <w:r w:rsidR="00FB10B8">
        <w:rPr>
          <w:rFonts w:ascii="Times New Roman" w:eastAsia="宋体" w:hAnsi="Times New Roman" w:cs="宋体"/>
          <w:sz w:val="24"/>
          <w:lang w:eastAsia="zh-CN"/>
        </w:rPr>
        <w:t>(ii)</w:t>
      </w:r>
      <w:r w:rsidRPr="00AC2BA5">
        <w:rPr>
          <w:rFonts w:ascii="Times New Roman" w:eastAsia="宋体" w:hAnsi="Times New Roman" w:cs="宋体"/>
          <w:sz w:val="24"/>
          <w:lang w:eastAsia="zh-CN"/>
        </w:rPr>
        <w:t>供非专业用户在家中自我监测的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发布了两个单独的指南。</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认为，通过这种区分，可以更好地设计</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，以符合其预期使用人群的需求，从而提供更高的安全性和有效性。</w:t>
      </w:r>
    </w:p>
    <w:p w14:paraId="471DF150"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宋体"/>
          <w:sz w:val="24"/>
          <w:lang w:eastAsia="zh-CN"/>
        </w:rPr>
      </w:pPr>
    </w:p>
    <w:p w14:paraId="62BF779B"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宋体"/>
          <w:sz w:val="24"/>
          <w:lang w:eastAsia="zh-CN"/>
        </w:rPr>
      </w:pPr>
    </w:p>
    <w:p w14:paraId="665C6493"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18B517E" w14:textId="77777777" w:rsidR="00B8550C" w:rsidRPr="00AC2BA5" w:rsidRDefault="00B8550C" w:rsidP="000102EB">
      <w:pPr>
        <w:tabs>
          <w:tab w:val="left" w:pos="23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t>__________________________</w:t>
      </w:r>
    </w:p>
    <w:p w14:paraId="58C20C70" w14:textId="77777777" w:rsidR="000460CB" w:rsidRPr="00AC2BA5" w:rsidRDefault="0050117E" w:rsidP="000102EB">
      <w:pPr>
        <w:tabs>
          <w:tab w:val="left" w:pos="235"/>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rPr>
        <w:t xml:space="preserve">3 </w:t>
      </w:r>
      <w:r w:rsidRPr="00AC2BA5">
        <w:rPr>
          <w:rFonts w:ascii="Times New Roman" w:eastAsia="宋体" w:hAnsi="Times New Roman" w:cs="宋体"/>
          <w:sz w:val="21"/>
        </w:rPr>
        <w:t>可登录以下网址获取：</w:t>
      </w:r>
      <w:hyperlink r:id="rId13">
        <w:r w:rsidRPr="00AC2BA5">
          <w:rPr>
            <w:rFonts w:ascii="Times New Roman" w:eastAsia="宋体" w:hAnsi="Times New Roman" w:cs="宋体"/>
            <w:snapToGrid w:val="0"/>
            <w:color w:val="0000FF"/>
            <w:sz w:val="21"/>
            <w:szCs w:val="21"/>
            <w:u w:val="single" w:color="0000FF"/>
          </w:rPr>
          <w:t>https://www.accessdata.fda.gov/scripts/cdrh/cfdocs/cfStandards/search.cfm</w:t>
        </w:r>
      </w:hyperlink>
      <w:r w:rsidRPr="00AC2BA5">
        <w:rPr>
          <w:rFonts w:ascii="Times New Roman" w:eastAsia="宋体" w:hAnsi="Times New Roman" w:cs="宋体"/>
          <w:sz w:val="21"/>
        </w:rPr>
        <w:t>。</w:t>
      </w:r>
    </w:p>
    <w:p w14:paraId="27641156" w14:textId="77777777" w:rsidR="0050117E" w:rsidRPr="00AC2BA5" w:rsidRDefault="0050117E" w:rsidP="000102EB">
      <w:pPr>
        <w:tabs>
          <w:tab w:val="left" w:pos="235"/>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rPr>
        <w:t xml:space="preserve">4 </w:t>
      </w:r>
      <w:r w:rsidRPr="00AC2BA5">
        <w:rPr>
          <w:rFonts w:ascii="Times New Roman" w:eastAsia="宋体" w:hAnsi="Times New Roman" w:cs="宋体"/>
          <w:sz w:val="21"/>
        </w:rPr>
        <w:t>可登录以下网址获取：</w:t>
      </w:r>
      <w:hyperlink r:id="rId14">
        <w:r w:rsidRPr="00AC2BA5">
          <w:rPr>
            <w:rFonts w:ascii="Times New Roman" w:eastAsia="宋体" w:hAnsi="Times New Roman" w:cs="宋体"/>
            <w:snapToGrid w:val="0"/>
            <w:color w:val="0000FF"/>
            <w:sz w:val="21"/>
            <w:szCs w:val="21"/>
            <w:u w:val="single" w:color="0000FF"/>
          </w:rPr>
          <w:t>https://www.fda.gov/regulatory-information/search-fda-guidance-documents/appropriate-use-</w:t>
        </w:r>
      </w:hyperlink>
      <w:r w:rsidRPr="00AC2BA5">
        <w:rPr>
          <w:rFonts w:ascii="Times New Roman" w:eastAsia="宋体" w:hAnsi="Times New Roman" w:cs="宋体"/>
          <w:color w:val="0000FF"/>
          <w:sz w:val="21"/>
        </w:rPr>
        <w:t xml:space="preserve"> </w:t>
      </w:r>
      <w:hyperlink r:id="rId15">
        <w:r w:rsidRPr="00AC2BA5">
          <w:rPr>
            <w:rFonts w:ascii="Times New Roman" w:eastAsia="宋体" w:hAnsi="Times New Roman" w:cs="宋体"/>
            <w:snapToGrid w:val="0"/>
            <w:color w:val="0000FF"/>
            <w:sz w:val="21"/>
            <w:szCs w:val="21"/>
            <w:u w:val="single" w:color="0000FF"/>
          </w:rPr>
          <w:t>voluntary-consensus-standards-premarket-submissions-medical-devices</w:t>
        </w:r>
      </w:hyperlink>
      <w:r w:rsidRPr="00AC2BA5">
        <w:rPr>
          <w:rFonts w:ascii="Times New Roman" w:eastAsia="宋体" w:hAnsi="Times New Roman" w:cs="宋体"/>
          <w:sz w:val="21"/>
        </w:rPr>
        <w:t>。</w:t>
      </w:r>
    </w:p>
    <w:p w14:paraId="44F9DDB8" w14:textId="77777777" w:rsidR="00B8550C" w:rsidRPr="00AC2BA5" w:rsidRDefault="00B8550C" w:rsidP="000102EB">
      <w:pPr>
        <w:rPr>
          <w:rFonts w:ascii="Times New Roman" w:eastAsia="宋体" w:hAnsi="Times New Roman" w:cs="Times New Roman"/>
          <w:snapToGrid w:val="0"/>
          <w:sz w:val="24"/>
          <w:szCs w:val="24"/>
          <w:lang w:eastAsia="zh-CN"/>
        </w:rPr>
      </w:pPr>
      <w:bookmarkStart w:id="3" w:name="Scope"/>
      <w:bookmarkEnd w:id="3"/>
      <w:r w:rsidRPr="00AC2BA5">
        <w:rPr>
          <w:rFonts w:ascii="Times New Roman" w:eastAsia="宋体" w:hAnsi="Times New Roman" w:cs="宋体"/>
          <w:sz w:val="24"/>
        </w:rPr>
        <w:br w:type="page"/>
      </w:r>
    </w:p>
    <w:p w14:paraId="40BBAEA4"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近年来，与血糖仪和采血</w:t>
      </w:r>
      <w:proofErr w:type="gramStart"/>
      <w:r w:rsidRPr="00AC2BA5">
        <w:rPr>
          <w:rFonts w:ascii="Times New Roman" w:eastAsia="宋体" w:hAnsi="Times New Roman" w:cs="宋体"/>
          <w:sz w:val="24"/>
          <w:lang w:eastAsia="zh-CN"/>
        </w:rPr>
        <w:t>器相关</w:t>
      </w:r>
      <w:proofErr w:type="gramEnd"/>
      <w:r w:rsidRPr="00AC2BA5">
        <w:rPr>
          <w:rFonts w:ascii="Times New Roman" w:eastAsia="宋体" w:hAnsi="Times New Roman" w:cs="宋体"/>
          <w:sz w:val="24"/>
          <w:lang w:eastAsia="zh-CN"/>
        </w:rPr>
        <w:t>的感染控制问题引起了人们的关注。医疗保险和医疗补助服务中心（</w:t>
      </w:r>
      <w:r w:rsidRPr="00AC2BA5">
        <w:rPr>
          <w:rFonts w:ascii="Times New Roman" w:eastAsia="宋体" w:hAnsi="Times New Roman" w:cs="宋体"/>
          <w:sz w:val="24"/>
          <w:lang w:eastAsia="zh-CN"/>
        </w:rPr>
        <w:t>CMS</w:t>
      </w:r>
      <w:r w:rsidRPr="00AC2BA5">
        <w:rPr>
          <w:rFonts w:ascii="Times New Roman" w:eastAsia="宋体" w:hAnsi="Times New Roman" w:cs="宋体"/>
          <w:sz w:val="24"/>
          <w:lang w:eastAsia="zh-CN"/>
        </w:rPr>
        <w:t>）和疾病控制和预防中心（</w:t>
      </w:r>
      <w:r w:rsidRPr="00AC2BA5">
        <w:rPr>
          <w:rFonts w:ascii="Times New Roman" w:eastAsia="宋体" w:hAnsi="Times New Roman" w:cs="宋体"/>
          <w:sz w:val="24"/>
          <w:lang w:eastAsia="zh-CN"/>
        </w:rPr>
        <w:t>CDC</w:t>
      </w:r>
      <w:r w:rsidRPr="00AC2BA5">
        <w:rPr>
          <w:rFonts w:ascii="Times New Roman" w:eastAsia="宋体" w:hAnsi="Times New Roman" w:cs="宋体"/>
          <w:sz w:val="24"/>
          <w:lang w:eastAsia="zh-CN"/>
        </w:rPr>
        <w:t>）指出，血糖仪和采血器如果被血样污染，而用户在未采取有效清洁、灭菌和适当感染控制措施的情况下共用这些器械，就有可能传播血源性病原体。</w:t>
      </w:r>
      <w:r w:rsidRPr="00AC2BA5">
        <w:rPr>
          <w:rFonts w:ascii="Times New Roman" w:eastAsia="宋体" w:hAnsi="Times New Roman" w:cs="宋体"/>
          <w:sz w:val="24"/>
          <w:vertAlign w:val="superscript"/>
          <w:lang w:eastAsia="zh-CN"/>
        </w:rPr>
        <w:t>5</w:t>
      </w:r>
      <w:r w:rsidRPr="00AC2BA5">
        <w:rPr>
          <w:rFonts w:ascii="Times New Roman" w:eastAsia="宋体" w:hAnsi="Times New Roman" w:cs="宋体"/>
          <w:sz w:val="24"/>
          <w:lang w:eastAsia="zh-CN"/>
        </w:rPr>
        <w:t>尽管</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预期由非专业用户在家中使用，但这些器械的设计也应该保证其在使用寿命内能够承受有效的清洁和灭菌程序。此类器械的灭菌程序应经过适当确认（参见</w:t>
      </w:r>
      <w:proofErr w:type="gramStart"/>
      <w:r w:rsidRPr="00AC2BA5">
        <w:rPr>
          <w:rFonts w:ascii="Times New Roman" w:eastAsia="宋体" w:hAnsi="Times New Roman" w:cs="宋体"/>
          <w:sz w:val="24"/>
          <w:lang w:eastAsia="zh-CN"/>
        </w:rPr>
        <w:t>下文第</w:t>
      </w:r>
      <w:proofErr w:type="gramEnd"/>
      <w:r w:rsidRPr="00AC2BA5">
        <w:rPr>
          <w:rFonts w:ascii="Times New Roman" w:eastAsia="宋体" w:hAnsi="Times New Roman" w:cs="宋体"/>
          <w:sz w:val="24"/>
          <w:lang w:eastAsia="zh-CN"/>
        </w:rPr>
        <w:t>IV</w:t>
      </w:r>
      <w:r w:rsidRPr="00AC2BA5">
        <w:rPr>
          <w:rFonts w:ascii="Times New Roman" w:eastAsia="宋体" w:hAnsi="Times New Roman" w:cs="宋体"/>
          <w:sz w:val="24"/>
          <w:lang w:eastAsia="zh-CN"/>
        </w:rPr>
        <w:t>节），并向用户提供适当说明。确认方法应考虑器械的使用方式，即由非专业用户在家中（或在其他非专业环境中）使用。</w:t>
      </w:r>
    </w:p>
    <w:p w14:paraId="7B279866" w14:textId="77777777" w:rsidR="0050117E" w:rsidRPr="00AC2BA5" w:rsidRDefault="0050117E" w:rsidP="000102EB">
      <w:pPr>
        <w:pStyle w:val="11"/>
        <w:rPr>
          <w:rFonts w:eastAsia="宋体"/>
          <w:lang w:eastAsia="zh-CN"/>
        </w:rPr>
      </w:pPr>
      <w:bookmarkStart w:id="4" w:name="_Toc91871162"/>
      <w:r w:rsidRPr="00AC2BA5">
        <w:rPr>
          <w:rFonts w:eastAsia="宋体" w:cs="宋体"/>
          <w:lang w:eastAsia="zh-CN"/>
        </w:rPr>
        <w:t>III.</w:t>
      </w:r>
      <w:r w:rsidRPr="00AC2BA5">
        <w:rPr>
          <w:rFonts w:eastAsia="宋体" w:cs="宋体"/>
          <w:lang w:eastAsia="zh-CN"/>
        </w:rPr>
        <w:tab/>
      </w:r>
      <w:r w:rsidRPr="00AC2BA5">
        <w:rPr>
          <w:rFonts w:eastAsia="宋体" w:cs="宋体"/>
          <w:lang w:eastAsia="zh-CN"/>
        </w:rPr>
        <w:t>范围</w:t>
      </w:r>
      <w:bookmarkEnd w:id="4"/>
    </w:p>
    <w:p w14:paraId="390E848E"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本指南文件仅适用于受</w:t>
      </w:r>
      <w:r w:rsidRPr="00AC2BA5">
        <w:rPr>
          <w:rFonts w:ascii="Times New Roman" w:eastAsia="宋体" w:hAnsi="Times New Roman" w:cs="宋体"/>
          <w:sz w:val="24"/>
          <w:lang w:eastAsia="zh-CN"/>
        </w:rPr>
        <w:t>21 CFR 862.1345</w:t>
      </w:r>
      <w:r w:rsidRPr="00AC2BA5">
        <w:rPr>
          <w:rFonts w:ascii="Times New Roman" w:eastAsia="宋体" w:hAnsi="Times New Roman" w:cs="宋体"/>
          <w:sz w:val="24"/>
          <w:lang w:eastAsia="zh-CN"/>
        </w:rPr>
        <w:t>《血糖检测系统》监管的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。产品代码</w:t>
      </w:r>
      <w:r w:rsidRPr="00AC2BA5">
        <w:rPr>
          <w:rFonts w:ascii="Times New Roman" w:eastAsia="宋体" w:hAnsi="Times New Roman" w:cs="宋体"/>
          <w:sz w:val="24"/>
          <w:lang w:eastAsia="zh-CN"/>
        </w:rPr>
        <w:t>NBW</w:t>
      </w:r>
      <w:r w:rsidRPr="00AC2BA5">
        <w:rPr>
          <w:rFonts w:ascii="Times New Roman" w:eastAsia="宋体" w:hAnsi="Times New Roman" w:cs="宋体"/>
          <w:sz w:val="24"/>
          <w:lang w:eastAsia="zh-CN"/>
        </w:rPr>
        <w:t>适用于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w:t>
      </w:r>
    </w:p>
    <w:p w14:paraId="7D000D08"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本文件</w:t>
      </w:r>
      <w:r w:rsidRPr="00AC2BA5">
        <w:rPr>
          <w:rFonts w:ascii="Times New Roman" w:eastAsia="宋体" w:hAnsi="Times New Roman" w:cs="宋体"/>
          <w:b/>
          <w:sz w:val="24"/>
          <w:lang w:eastAsia="zh-CN"/>
        </w:rPr>
        <w:t>不</w:t>
      </w:r>
      <w:r w:rsidRPr="00AC2BA5">
        <w:rPr>
          <w:rFonts w:ascii="Times New Roman" w:eastAsia="宋体" w:hAnsi="Times New Roman" w:cs="宋体"/>
          <w:sz w:val="24"/>
          <w:lang w:eastAsia="zh-CN"/>
        </w:rPr>
        <w:t>涉及以下类型的器械：</w:t>
      </w:r>
    </w:p>
    <w:p w14:paraId="0600D6C2" w14:textId="77777777" w:rsidR="000460CB" w:rsidRPr="00AC2BA5" w:rsidRDefault="00B8550C" w:rsidP="000102EB">
      <w:pPr>
        <w:pStyle w:val="a4"/>
        <w:numPr>
          <w:ilvl w:val="0"/>
          <w:numId w:val="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预期在专业医疗保健环境（例如，医院、医生办公室、长期护理机构等）中用于处方床旁检测的血糖监测系统。</w:t>
      </w:r>
    </w:p>
    <w:p w14:paraId="693B84D9" w14:textId="77777777" w:rsidR="000460CB" w:rsidRPr="00AC2BA5" w:rsidRDefault="00B8550C" w:rsidP="000102EB">
      <w:pPr>
        <w:pStyle w:val="a4"/>
        <w:numPr>
          <w:ilvl w:val="0"/>
          <w:numId w:val="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用于筛查和诊断糖尿病的器械（例如，临床化学分析仪）。</w:t>
      </w:r>
    </w:p>
    <w:p w14:paraId="2B6477C3" w14:textId="77777777" w:rsidR="000460CB" w:rsidRPr="00AC2BA5" w:rsidRDefault="00B8550C" w:rsidP="000102EB">
      <w:pPr>
        <w:pStyle w:val="a4"/>
        <w:numPr>
          <w:ilvl w:val="0"/>
          <w:numId w:val="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植入式或体外动态血糖监测传感器（例如：导管内的动态血糖监测系统（</w:t>
      </w:r>
      <w:r w:rsidRPr="00AC2BA5">
        <w:rPr>
          <w:rFonts w:ascii="Times New Roman" w:eastAsia="宋体" w:hAnsi="Times New Roman" w:cs="宋体"/>
          <w:sz w:val="24"/>
          <w:lang w:eastAsia="zh-CN"/>
        </w:rPr>
        <w:t>CGM</w:t>
      </w:r>
      <w:r w:rsidRPr="00AC2BA5">
        <w:rPr>
          <w:rFonts w:ascii="Times New Roman" w:eastAsia="宋体" w:hAnsi="Times New Roman" w:cs="宋体"/>
          <w:sz w:val="24"/>
          <w:lang w:eastAsia="zh-CN"/>
        </w:rPr>
        <w:t>）或传感器）。</w:t>
      </w:r>
    </w:p>
    <w:p w14:paraId="48534224" w14:textId="77777777" w:rsidR="000460CB" w:rsidRPr="00AC2BA5" w:rsidRDefault="00B8550C" w:rsidP="000102EB">
      <w:pPr>
        <w:pStyle w:val="a4"/>
        <w:numPr>
          <w:ilvl w:val="0"/>
          <w:numId w:val="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无创血糖测量器械（即不需要从指尖或其他解剖部位采血的器械）。</w:t>
      </w:r>
    </w:p>
    <w:p w14:paraId="3D1D31CD" w14:textId="0CC3947B" w:rsidR="0050117E" w:rsidRPr="00AC2BA5" w:rsidRDefault="00B8550C" w:rsidP="000102EB">
      <w:pPr>
        <w:pStyle w:val="a4"/>
        <w:numPr>
          <w:ilvl w:val="0"/>
          <w:numId w:val="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用于测量新生儿血糖的器械。</w:t>
      </w:r>
      <w:bookmarkStart w:id="5" w:name="_GoBack"/>
      <w:bookmarkEnd w:id="5"/>
    </w:p>
    <w:p w14:paraId="240C4D55"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指南文件讨论的器械类型通常使用从指尖或替代解剖部位采集的毛细血管全血。这些类型的器械预期不用于医疗保健或辅助使用环境，例如医院、医生办公室或长期护理机构，因为尚未对它们在这些专业医疗保健环境中的使用（包括常规辅助检测或作为血糖控制程序的一部分）进行评价。将这些器械用于多名患者可能导致人类免疫缺陷病毒（</w:t>
      </w:r>
      <w:r w:rsidRPr="00AC2BA5">
        <w:rPr>
          <w:rFonts w:ascii="Times New Roman" w:eastAsia="宋体" w:hAnsi="Times New Roman" w:cs="宋体"/>
          <w:sz w:val="24"/>
          <w:lang w:eastAsia="zh-CN"/>
        </w:rPr>
        <w:t>HIV</w:t>
      </w:r>
      <w:r w:rsidRPr="00AC2BA5">
        <w:rPr>
          <w:rFonts w:ascii="Times New Roman" w:eastAsia="宋体" w:hAnsi="Times New Roman" w:cs="宋体"/>
          <w:sz w:val="24"/>
          <w:lang w:eastAsia="zh-CN"/>
        </w:rPr>
        <w:t>）、丙型肝炎病毒（</w:t>
      </w:r>
      <w:r w:rsidRPr="00AC2BA5">
        <w:rPr>
          <w:rFonts w:ascii="Times New Roman" w:eastAsia="宋体" w:hAnsi="Times New Roman" w:cs="宋体"/>
          <w:sz w:val="24"/>
          <w:lang w:eastAsia="zh-CN"/>
        </w:rPr>
        <w:t>HCV</w:t>
      </w:r>
      <w:r w:rsidRPr="00AC2BA5">
        <w:rPr>
          <w:rFonts w:ascii="Times New Roman" w:eastAsia="宋体" w:hAnsi="Times New Roman" w:cs="宋体"/>
          <w:sz w:val="24"/>
          <w:lang w:eastAsia="zh-CN"/>
        </w:rPr>
        <w:t>）、乙型肝炎病毒（</w:t>
      </w:r>
      <w:r w:rsidRPr="00AC2BA5">
        <w:rPr>
          <w:rFonts w:ascii="Times New Roman" w:eastAsia="宋体" w:hAnsi="Times New Roman" w:cs="宋体"/>
          <w:sz w:val="24"/>
          <w:lang w:eastAsia="zh-CN"/>
        </w:rPr>
        <w:t>HBV</w:t>
      </w:r>
      <w:r w:rsidRPr="00AC2BA5">
        <w:rPr>
          <w:rFonts w:ascii="Times New Roman" w:eastAsia="宋体" w:hAnsi="Times New Roman" w:cs="宋体"/>
          <w:sz w:val="24"/>
          <w:lang w:eastAsia="zh-CN"/>
        </w:rPr>
        <w:t>）或其他血源性病原体的传播。</w:t>
      </w:r>
    </w:p>
    <w:p w14:paraId="06FF70C7" w14:textId="77777777" w:rsidR="00195683" w:rsidRPr="00AC2BA5" w:rsidRDefault="00B8550C" w:rsidP="000102EB">
      <w:pPr>
        <w:adjustRightInd w:val="0"/>
        <w:snapToGrid w:val="0"/>
        <w:spacing w:beforeLines="50" w:before="120" w:line="300" w:lineRule="auto"/>
        <w:jc w:val="both"/>
        <w:rPr>
          <w:rFonts w:ascii="Times New Roman" w:eastAsia="宋体" w:hAnsi="Times New Roman" w:cs="宋体"/>
          <w:sz w:val="24"/>
          <w:lang w:eastAsia="zh-CN"/>
        </w:rPr>
      </w:pPr>
      <w:r w:rsidRPr="00AC2BA5">
        <w:rPr>
          <w:rFonts w:ascii="Times New Roman" w:eastAsia="宋体" w:hAnsi="Times New Roman" w:cs="宋体"/>
          <w:sz w:val="24"/>
          <w:lang w:eastAsia="zh-CN"/>
        </w:rPr>
        <w:t>虽然</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建议将本指南中描述的信息纳入</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的上市前申报资料中，但如果能够证明其与合法上市的同品种器械实质等同，则可能只需提交包含另外的信息的申报资料。</w:t>
      </w:r>
    </w:p>
    <w:p w14:paraId="10962CEE"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宋体"/>
          <w:sz w:val="24"/>
          <w:lang w:eastAsia="zh-CN"/>
        </w:rPr>
      </w:pPr>
    </w:p>
    <w:p w14:paraId="6C46677F"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宋体"/>
          <w:sz w:val="24"/>
          <w:lang w:eastAsia="zh-CN"/>
        </w:rPr>
      </w:pPr>
    </w:p>
    <w:p w14:paraId="63FD6673"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B50389A" w14:textId="77777777" w:rsidR="00195683" w:rsidRPr="00AC2BA5" w:rsidRDefault="00195683"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t>__________________________</w:t>
      </w:r>
    </w:p>
    <w:p w14:paraId="1F9811DD" w14:textId="77777777" w:rsidR="0050117E" w:rsidRPr="00AC2BA5" w:rsidRDefault="0050117E" w:rsidP="000102EB">
      <w:pPr>
        <w:tabs>
          <w:tab w:val="left" w:pos="224"/>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5</w:t>
      </w:r>
      <w:r w:rsidRPr="00AC2BA5">
        <w:rPr>
          <w:rFonts w:ascii="Times New Roman" w:eastAsia="宋体" w:hAnsi="Times New Roman" w:cs="宋体"/>
          <w:sz w:val="21"/>
        </w:rPr>
        <w:t xml:space="preserve"> </w:t>
      </w:r>
      <w:r w:rsidRPr="00AC2BA5">
        <w:rPr>
          <w:rFonts w:ascii="Times New Roman" w:eastAsia="宋体" w:hAnsi="Times New Roman" w:cs="宋体"/>
          <w:sz w:val="21"/>
        </w:rPr>
        <w:t>参见信息：</w:t>
      </w:r>
      <w:hyperlink r:id="rId16">
        <w:r w:rsidRPr="00AC2BA5">
          <w:rPr>
            <w:rFonts w:ascii="Times New Roman" w:eastAsia="宋体" w:hAnsi="Times New Roman" w:cs="宋体"/>
            <w:snapToGrid w:val="0"/>
            <w:color w:val="0000FF"/>
            <w:sz w:val="21"/>
            <w:szCs w:val="21"/>
            <w:u w:val="single" w:color="0000FF"/>
          </w:rPr>
          <w:t>http://www.cdc.gov/injectionsafety/blood-glucose-monitoring.html</w:t>
        </w:r>
      </w:hyperlink>
      <w:r w:rsidRPr="00AC2BA5">
        <w:rPr>
          <w:rFonts w:ascii="Times New Roman" w:eastAsia="宋体" w:hAnsi="Times New Roman" w:cs="宋体"/>
          <w:color w:val="000000"/>
          <w:sz w:val="21"/>
        </w:rPr>
        <w:t>。</w:t>
      </w:r>
    </w:p>
    <w:p w14:paraId="27F1FB51" w14:textId="77777777" w:rsidR="00195683" w:rsidRPr="00AC2BA5" w:rsidRDefault="00195683"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p w14:paraId="09431677" w14:textId="6003B36B"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如果对</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的其他预期用途有任何疑问，</w:t>
      </w:r>
      <w:r w:rsidR="004C0000">
        <w:rPr>
          <w:rFonts w:ascii="Times New Roman" w:eastAsia="宋体" w:hAnsi="Times New Roman" w:cs="宋体" w:hint="eastAsia"/>
          <w:sz w:val="24"/>
          <w:lang w:eastAsia="zh-CN"/>
        </w:rPr>
        <w:t>请</w:t>
      </w:r>
      <w:r w:rsidRPr="00AC2BA5">
        <w:rPr>
          <w:rFonts w:ascii="Times New Roman" w:eastAsia="宋体" w:hAnsi="Times New Roman" w:cs="宋体"/>
          <w:sz w:val="24"/>
          <w:lang w:eastAsia="zh-CN"/>
        </w:rPr>
        <w:t>联系体外诊断与</w:t>
      </w:r>
      <w:r w:rsidR="00022056">
        <w:rPr>
          <w:rFonts w:ascii="Times New Roman" w:eastAsia="宋体" w:hAnsi="Times New Roman" w:cs="宋体" w:hint="eastAsia"/>
          <w:sz w:val="24"/>
          <w:lang w:eastAsia="zh-CN"/>
        </w:rPr>
        <w:t>辐射</w:t>
      </w:r>
      <w:r w:rsidR="0057192E">
        <w:rPr>
          <w:rFonts w:ascii="Times New Roman" w:eastAsia="宋体" w:hAnsi="Times New Roman" w:cs="宋体" w:hint="eastAsia"/>
          <w:sz w:val="24"/>
          <w:lang w:eastAsia="zh-CN"/>
        </w:rPr>
        <w:t>健康</w:t>
      </w:r>
      <w:r w:rsidRPr="00AC2BA5">
        <w:rPr>
          <w:rFonts w:ascii="Times New Roman" w:eastAsia="宋体" w:hAnsi="Times New Roman" w:cs="宋体"/>
          <w:sz w:val="24"/>
          <w:lang w:eastAsia="zh-CN"/>
        </w:rPr>
        <w:t>办公室的化学和毒理学器械部。</w:t>
      </w:r>
    </w:p>
    <w:p w14:paraId="6DC18402" w14:textId="77777777" w:rsidR="0050117E" w:rsidRPr="00AC2BA5" w:rsidRDefault="0050117E" w:rsidP="000102EB">
      <w:pPr>
        <w:pStyle w:val="11"/>
        <w:rPr>
          <w:rFonts w:eastAsia="宋体"/>
          <w:lang w:eastAsia="zh-CN"/>
        </w:rPr>
      </w:pPr>
      <w:bookmarkStart w:id="6" w:name="_Toc91871163"/>
      <w:r w:rsidRPr="00AC2BA5">
        <w:rPr>
          <w:rFonts w:eastAsia="宋体" w:cs="宋体"/>
          <w:lang w:eastAsia="zh-CN"/>
        </w:rPr>
        <w:t>IV.</w:t>
      </w:r>
      <w:r w:rsidRPr="00AC2BA5">
        <w:rPr>
          <w:rFonts w:eastAsia="宋体" w:cs="宋体"/>
          <w:lang w:eastAsia="zh-CN"/>
        </w:rPr>
        <w:tab/>
      </w:r>
      <w:r w:rsidRPr="00AC2BA5">
        <w:rPr>
          <w:rFonts w:eastAsia="宋体" w:cs="宋体"/>
          <w:lang w:eastAsia="zh-CN"/>
        </w:rPr>
        <w:t>降低血源性病原体传播的风险</w:t>
      </w:r>
      <w:bookmarkEnd w:id="6"/>
    </w:p>
    <w:p w14:paraId="33F22415" w14:textId="25CEAAB4"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由于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使用血样进行血糖测量，因此其设计和使用说明是降低使用过程中血源性病原体传播风险的非常重要的因素。</w:t>
      </w:r>
      <w:r w:rsidRPr="00AC2BA5">
        <w:rPr>
          <w:rFonts w:ascii="Times New Roman" w:eastAsia="宋体" w:hAnsi="Times New Roman" w:cs="宋体"/>
          <w:sz w:val="24"/>
          <w:lang w:eastAsia="zh-CN"/>
        </w:rPr>
        <w:t>CMS</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CDC</w:t>
      </w:r>
      <w:r w:rsidRPr="00AC2BA5">
        <w:rPr>
          <w:rFonts w:ascii="Times New Roman" w:eastAsia="宋体" w:hAnsi="Times New Roman" w:cs="宋体"/>
          <w:sz w:val="24"/>
          <w:lang w:eastAsia="zh-CN"/>
        </w:rPr>
        <w:t>指出，血糖仪和采血器如果被血样污染，而用户在未采取有效清洁、灭菌和适当感染控制措施的情况下共用这些器械，就有可能传播血源性病原体，例如病毒性肝炎。为了最大限度地降低单个患者使用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时的血源性病原体传播风险，应在器械的设计和标签中解决以下问题：</w:t>
      </w:r>
    </w:p>
    <w:p w14:paraId="6B5F0E12" w14:textId="77777777" w:rsidR="000460CB" w:rsidRPr="00AC2BA5" w:rsidRDefault="00B8550C" w:rsidP="000102EB">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所有</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均应仅供单个患者使用。预期用途应明确声明，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供非专业用户在家中使用，并且只能由单个用户使用。</w:t>
      </w:r>
    </w:p>
    <w:p w14:paraId="38ABBD94" w14:textId="77777777" w:rsidR="000460CB" w:rsidRPr="00AC2BA5" w:rsidRDefault="00B8550C" w:rsidP="000102EB">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血糖仪的设计应确保所有外部材料均可清洁（去除有机污物）和灭菌（杀菌过程）。</w:t>
      </w:r>
    </w:p>
    <w:p w14:paraId="2F94A61E" w14:textId="77777777" w:rsidR="000460CB" w:rsidRPr="00AC2BA5" w:rsidRDefault="00B8550C" w:rsidP="000102EB">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血糖仪的所有外表面（包括接缝和试纸端口）的设计应易于使用，且易于清洁和消毒。</w:t>
      </w:r>
    </w:p>
    <w:p w14:paraId="74B58E15" w14:textId="3ED85F1E" w:rsidR="000460CB" w:rsidRPr="00AC2BA5" w:rsidRDefault="00B8550C" w:rsidP="000102EB">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应该开发一种可供非专业用户在家中轻松使用的有效消毒方法。应该在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申报资料以及标签中提供经过确认的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清洁和消毒程序。清洁和消毒是不同的过程，需要单独的确认程序和规范。有关建议的清洁和消毒确认研究的详细信息，请参见下文的第</w:t>
      </w:r>
      <w:r w:rsidRPr="00AC2BA5">
        <w:rPr>
          <w:rFonts w:ascii="Times New Roman" w:eastAsia="宋体" w:hAnsi="Times New Roman" w:cs="宋体"/>
          <w:sz w:val="24"/>
          <w:lang w:eastAsia="zh-CN"/>
        </w:rPr>
        <w:t>IV.A</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B</w:t>
      </w:r>
      <w:r w:rsidRPr="00AC2BA5">
        <w:rPr>
          <w:rFonts w:ascii="Times New Roman" w:eastAsia="宋体" w:hAnsi="Times New Roman" w:cs="宋体"/>
          <w:sz w:val="24"/>
          <w:lang w:eastAsia="zh-CN"/>
        </w:rPr>
        <w:t>节。</w:t>
      </w:r>
    </w:p>
    <w:p w14:paraId="7418BCE1" w14:textId="137C4950" w:rsidR="000460CB" w:rsidRPr="00AC2BA5" w:rsidRDefault="00B8550C" w:rsidP="000102EB">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应对建议与器械一起使用的任何消毒剂的有效性进行确认，如下所述。选择消毒剂时，建议参考环境保护署（</w:t>
      </w:r>
      <w:r w:rsidRPr="00AC2BA5">
        <w:rPr>
          <w:rFonts w:ascii="Times New Roman" w:eastAsia="宋体" w:hAnsi="Times New Roman" w:cs="宋体"/>
          <w:sz w:val="24"/>
          <w:lang w:eastAsia="zh-CN"/>
        </w:rPr>
        <w:t>EPA</w:t>
      </w:r>
      <w:r w:rsidRPr="00AC2BA5">
        <w:rPr>
          <w:rFonts w:ascii="Times New Roman" w:eastAsia="宋体" w:hAnsi="Times New Roman" w:cs="宋体"/>
          <w:sz w:val="24"/>
          <w:lang w:eastAsia="zh-CN"/>
        </w:rPr>
        <w:t>）用于传染性细菌和病毒的注册消毒剂列表</w:t>
      </w:r>
      <w:r w:rsidRPr="00AC2BA5">
        <w:rPr>
          <w:rFonts w:ascii="Times New Roman" w:eastAsia="宋体" w:hAnsi="Times New Roman" w:cs="宋体"/>
          <w:sz w:val="24"/>
          <w:vertAlign w:val="superscript"/>
          <w:lang w:eastAsia="zh-CN"/>
        </w:rPr>
        <w:t>6</w:t>
      </w:r>
      <w:r w:rsidRPr="00AC2BA5">
        <w:rPr>
          <w:rFonts w:ascii="Times New Roman" w:eastAsia="宋体" w:hAnsi="Times New Roman" w:cs="宋体"/>
          <w:sz w:val="24"/>
          <w:lang w:eastAsia="zh-CN"/>
        </w:rPr>
        <w:t>，以确认能否与器械一起使用。</w:t>
      </w:r>
    </w:p>
    <w:p w14:paraId="7412EA50" w14:textId="77777777" w:rsidR="000460CB" w:rsidRPr="00AC2BA5" w:rsidRDefault="00B8550C" w:rsidP="000102EB">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应明确警告用户采血器仅供单个患者使用，绝对不能共用。</w:t>
      </w:r>
    </w:p>
    <w:p w14:paraId="14B3F288" w14:textId="77777777" w:rsidR="0050117E" w:rsidRPr="00AC2BA5" w:rsidRDefault="00B8550C" w:rsidP="000102EB">
      <w:pPr>
        <w:pStyle w:val="a4"/>
        <w:numPr>
          <w:ilvl w:val="0"/>
          <w:numId w:val="2"/>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AC2BA5">
        <w:rPr>
          <w:rFonts w:ascii="Times New Roman" w:eastAsia="宋体" w:hAnsi="Times New Roman" w:cs="宋体"/>
          <w:sz w:val="24"/>
          <w:lang w:eastAsia="zh-CN"/>
        </w:rPr>
        <w:t>有关器械安全使用的标签可降低用户错误的风险；因此，清洁和消毒说明应清晰、详细。各检测系统组件的命名应确保它们能被识别为属于同一系统或产品系列，并区别于预期供多名患者使用的类似器械（例如</w:t>
      </w:r>
      <w:r w:rsidRPr="00AC2BA5">
        <w:rPr>
          <w:rFonts w:ascii="Times New Roman" w:eastAsia="宋体" w:hAnsi="Times New Roman" w:cs="宋体"/>
          <w:sz w:val="24"/>
          <w:lang w:eastAsia="zh-CN"/>
        </w:rPr>
        <w:t>ABC</w:t>
      </w:r>
      <w:r w:rsidRPr="00AC2BA5">
        <w:rPr>
          <w:rFonts w:ascii="Times New Roman" w:eastAsia="宋体" w:hAnsi="Times New Roman" w:cs="宋体"/>
          <w:sz w:val="24"/>
          <w:lang w:eastAsia="zh-CN"/>
        </w:rPr>
        <w:t>血糖检测系统、</w:t>
      </w:r>
      <w:r w:rsidRPr="00AC2BA5">
        <w:rPr>
          <w:rFonts w:ascii="Times New Roman" w:eastAsia="宋体" w:hAnsi="Times New Roman" w:cs="宋体"/>
          <w:sz w:val="24"/>
          <w:lang w:eastAsia="zh-CN"/>
        </w:rPr>
        <w:t>ABC</w:t>
      </w:r>
      <w:r w:rsidRPr="00AC2BA5">
        <w:rPr>
          <w:rFonts w:ascii="Times New Roman" w:eastAsia="宋体" w:hAnsi="Times New Roman" w:cs="宋体"/>
          <w:sz w:val="24"/>
          <w:lang w:eastAsia="zh-CN"/>
        </w:rPr>
        <w:t>血糖仪、</w:t>
      </w:r>
      <w:r w:rsidRPr="00AC2BA5">
        <w:rPr>
          <w:rFonts w:ascii="Times New Roman" w:eastAsia="宋体" w:hAnsi="Times New Roman" w:cs="宋体"/>
          <w:sz w:val="24"/>
          <w:lang w:eastAsia="zh-CN"/>
        </w:rPr>
        <w:t>ABC</w:t>
      </w:r>
      <w:r w:rsidRPr="00AC2BA5">
        <w:rPr>
          <w:rFonts w:ascii="Times New Roman" w:eastAsia="宋体" w:hAnsi="Times New Roman" w:cs="宋体"/>
          <w:sz w:val="24"/>
          <w:lang w:eastAsia="zh-CN"/>
        </w:rPr>
        <w:t>血糖试纸等）。</w:t>
      </w:r>
      <w:proofErr w:type="spellStart"/>
      <w:r w:rsidRPr="00AC2BA5">
        <w:rPr>
          <w:rFonts w:ascii="Times New Roman" w:eastAsia="宋体" w:hAnsi="Times New Roman" w:cs="宋体"/>
          <w:sz w:val="24"/>
        </w:rPr>
        <w:t>详细的标签建议参见下文第</w:t>
      </w:r>
      <w:r w:rsidRPr="00AC2BA5">
        <w:rPr>
          <w:rFonts w:ascii="Times New Roman" w:eastAsia="宋体" w:hAnsi="Times New Roman" w:cs="宋体"/>
          <w:sz w:val="24"/>
        </w:rPr>
        <w:t>X</w:t>
      </w:r>
      <w:r w:rsidRPr="00AC2BA5">
        <w:rPr>
          <w:rFonts w:ascii="Times New Roman" w:eastAsia="宋体" w:hAnsi="Times New Roman" w:cs="宋体"/>
          <w:sz w:val="24"/>
        </w:rPr>
        <w:t>节（标签</w:t>
      </w:r>
      <w:proofErr w:type="spellEnd"/>
      <w:r w:rsidRPr="00AC2BA5">
        <w:rPr>
          <w:rFonts w:ascii="Times New Roman" w:eastAsia="宋体" w:hAnsi="Times New Roman" w:cs="宋体"/>
          <w:sz w:val="24"/>
        </w:rPr>
        <w:t>）。</w:t>
      </w:r>
    </w:p>
    <w:p w14:paraId="566BFB6F"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宋体"/>
          <w:sz w:val="24"/>
          <w:lang w:eastAsia="zh-CN"/>
        </w:rPr>
      </w:pPr>
    </w:p>
    <w:p w14:paraId="0799BBBA"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宋体"/>
          <w:sz w:val="24"/>
          <w:lang w:eastAsia="zh-CN"/>
        </w:rPr>
      </w:pPr>
    </w:p>
    <w:p w14:paraId="2FC37F5A"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宋体"/>
          <w:sz w:val="24"/>
          <w:lang w:eastAsia="zh-CN"/>
        </w:rPr>
      </w:pPr>
    </w:p>
    <w:p w14:paraId="79F95CAF" w14:textId="77777777" w:rsidR="00195683" w:rsidRPr="00AC2BA5" w:rsidRDefault="00195683"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t>__________________________</w:t>
      </w:r>
    </w:p>
    <w:p w14:paraId="6E65A03B" w14:textId="77777777" w:rsidR="00195683" w:rsidRPr="00AC2BA5" w:rsidRDefault="00195683" w:rsidP="000102EB">
      <w:p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sz w:val="21"/>
          <w:vertAlign w:val="superscript"/>
        </w:rPr>
        <w:t>6</w:t>
      </w:r>
      <w:r w:rsidRPr="00AC2BA5">
        <w:rPr>
          <w:rFonts w:ascii="Times New Roman" w:eastAsia="宋体" w:hAnsi="Times New Roman" w:cs="宋体"/>
          <w:sz w:val="21"/>
        </w:rPr>
        <w:t xml:space="preserve"> </w:t>
      </w:r>
      <w:proofErr w:type="spellStart"/>
      <w:r w:rsidRPr="00AC2BA5">
        <w:rPr>
          <w:rFonts w:ascii="Times New Roman" w:eastAsia="宋体" w:hAnsi="Times New Roman" w:cs="宋体"/>
          <w:sz w:val="21"/>
        </w:rPr>
        <w:t>选择的</w:t>
      </w:r>
      <w:r w:rsidRPr="00AC2BA5">
        <w:rPr>
          <w:rFonts w:ascii="Times New Roman" w:eastAsia="宋体" w:hAnsi="Times New Roman" w:cs="宋体"/>
          <w:sz w:val="21"/>
        </w:rPr>
        <w:t>EPA</w:t>
      </w:r>
      <w:r w:rsidRPr="00AC2BA5">
        <w:rPr>
          <w:rFonts w:ascii="Times New Roman" w:eastAsia="宋体" w:hAnsi="Times New Roman" w:cs="宋体"/>
          <w:sz w:val="21"/>
        </w:rPr>
        <w:t>注册消毒剂可登录以下网址获取：</w:t>
      </w:r>
      <w:r w:rsidRPr="00AC2BA5">
        <w:rPr>
          <w:rFonts w:ascii="Times New Roman" w:eastAsia="宋体" w:hAnsi="Times New Roman" w:cs="宋体"/>
          <w:color w:val="0000FF"/>
          <w:sz w:val="21"/>
        </w:rPr>
        <w:t>https</w:t>
      </w:r>
      <w:proofErr w:type="spellEnd"/>
      <w:r w:rsidRPr="00AC2BA5">
        <w:rPr>
          <w:rFonts w:ascii="Times New Roman" w:eastAsia="宋体" w:hAnsi="Times New Roman" w:cs="宋体"/>
          <w:color w:val="0000FF"/>
          <w:sz w:val="21"/>
        </w:rPr>
        <w:t>://www.epa.gov/pesticide-registration</w:t>
      </w:r>
      <w:r w:rsidRPr="00AC2BA5">
        <w:rPr>
          <w:rFonts w:ascii="Times New Roman" w:eastAsia="宋体" w:hAnsi="Times New Roman" w:cs="宋体"/>
          <w:sz w:val="21"/>
        </w:rPr>
        <w:t>。</w:t>
      </w:r>
    </w:p>
    <w:p w14:paraId="4BC0DE9C" w14:textId="77777777" w:rsidR="00195683" w:rsidRPr="00AC2BA5" w:rsidRDefault="00195683"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br w:type="page"/>
      </w:r>
    </w:p>
    <w:p w14:paraId="4128E528"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清洁和消毒程序的确认包括确认清洁和消毒产品对主要关注病毒（即</w:t>
      </w:r>
      <w:r w:rsidRPr="00AC2BA5">
        <w:rPr>
          <w:rFonts w:ascii="Times New Roman" w:eastAsia="宋体" w:hAnsi="Times New Roman" w:cs="宋体"/>
          <w:sz w:val="24"/>
          <w:lang w:eastAsia="zh-CN"/>
        </w:rPr>
        <w:t>HIV</w:t>
      </w:r>
      <w:r w:rsidRPr="00AC2BA5">
        <w:rPr>
          <w:rFonts w:ascii="Times New Roman" w:eastAsia="宋体" w:hAnsi="Times New Roman" w:cs="宋体"/>
          <w:sz w:val="24"/>
          <w:lang w:eastAsia="zh-CN"/>
        </w:rPr>
        <w:t>、乙型肝炎、丙型肝炎）有效，以及确认清洁和消毒程序不会使器械劣化或改变器械性能。</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对此类确认的建议在以下小节中概述。</w:t>
      </w:r>
    </w:p>
    <w:p w14:paraId="58EC0B3E" w14:textId="77777777" w:rsidR="0050117E" w:rsidRPr="00AC2BA5" w:rsidRDefault="0050117E" w:rsidP="000102EB">
      <w:pPr>
        <w:pStyle w:val="21"/>
        <w:rPr>
          <w:rFonts w:eastAsia="宋体"/>
          <w:lang w:eastAsia="zh-CN"/>
        </w:rPr>
      </w:pPr>
      <w:bookmarkStart w:id="7" w:name="_Toc91871164"/>
      <w:r w:rsidRPr="00AC2BA5">
        <w:rPr>
          <w:rFonts w:eastAsia="宋体" w:cs="宋体"/>
          <w:lang w:eastAsia="zh-CN"/>
        </w:rPr>
        <w:t>A.</w:t>
      </w:r>
      <w:r w:rsidRPr="00AC2BA5">
        <w:rPr>
          <w:rFonts w:eastAsia="宋体" w:cs="宋体"/>
          <w:lang w:eastAsia="zh-CN"/>
        </w:rPr>
        <w:tab/>
      </w:r>
      <w:r w:rsidRPr="00AC2BA5">
        <w:rPr>
          <w:rFonts w:eastAsia="宋体" w:cs="宋体"/>
          <w:lang w:eastAsia="zh-CN"/>
        </w:rPr>
        <w:t>经确认的清洁程序和消毒程序</w:t>
      </w:r>
      <w:bookmarkEnd w:id="7"/>
    </w:p>
    <w:p w14:paraId="72782FF3" w14:textId="79DC5B38"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应该选择不会导致器械整体或任何器械组件（包括外壳、触摸板或按钮）物理劣化的清洁和消毒产品。应该在确认研究期间记录任何物理劣化指标，并在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申报资料中提供该信息。选择的消毒剂产品应能有效杀灭</w:t>
      </w:r>
      <w:r w:rsidRPr="00AC2BA5">
        <w:rPr>
          <w:rFonts w:ascii="Times New Roman" w:eastAsia="宋体" w:hAnsi="Times New Roman" w:cs="宋体"/>
          <w:sz w:val="24"/>
          <w:lang w:eastAsia="zh-CN"/>
        </w:rPr>
        <w:t>HIV</w:t>
      </w:r>
      <w:r w:rsidRPr="00AC2BA5">
        <w:rPr>
          <w:rFonts w:ascii="Times New Roman" w:eastAsia="宋体" w:hAnsi="Times New Roman" w:cs="宋体"/>
          <w:sz w:val="24"/>
          <w:lang w:eastAsia="zh-CN"/>
        </w:rPr>
        <w:t>、丙型肝炎和乙型肝炎病毒。在这些病毒中，乙型肝炎病毒是最难杀灭的，之前与血糖</w:t>
      </w:r>
      <w:proofErr w:type="gramStart"/>
      <w:r w:rsidRPr="00AC2BA5">
        <w:rPr>
          <w:rFonts w:ascii="Times New Roman" w:eastAsia="宋体" w:hAnsi="Times New Roman" w:cs="宋体"/>
          <w:sz w:val="24"/>
          <w:lang w:eastAsia="zh-CN"/>
        </w:rPr>
        <w:t>仪相关</w:t>
      </w:r>
      <w:proofErr w:type="gramEnd"/>
      <w:r w:rsidRPr="00AC2BA5">
        <w:rPr>
          <w:rFonts w:ascii="Times New Roman" w:eastAsia="宋体" w:hAnsi="Times New Roman" w:cs="宋体"/>
          <w:sz w:val="24"/>
          <w:lang w:eastAsia="zh-CN"/>
        </w:rPr>
        <w:t>的疾病暴发事件是由于乙型肝炎病毒的传播所致。因此，应进行消毒有效性研究，以证明所选消毒剂对乙型肝炎病毒的有效性。请注意，</w:t>
      </w:r>
      <w:r w:rsidRPr="00AC2BA5">
        <w:rPr>
          <w:rFonts w:ascii="Times New Roman" w:eastAsia="宋体" w:hAnsi="Times New Roman" w:cs="宋体"/>
          <w:sz w:val="24"/>
          <w:lang w:eastAsia="zh-CN"/>
        </w:rPr>
        <w:t>70%</w:t>
      </w:r>
      <w:r w:rsidRPr="00AC2BA5">
        <w:rPr>
          <w:rFonts w:ascii="Times New Roman" w:eastAsia="宋体" w:hAnsi="Times New Roman" w:cs="宋体"/>
          <w:sz w:val="24"/>
          <w:lang w:eastAsia="zh-CN"/>
        </w:rPr>
        <w:t>乙醇溶液对病毒性血源性病原体无效，使用</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漂白剂溶液可能导致器械发生物理降解。</w:t>
      </w:r>
    </w:p>
    <w:p w14:paraId="07D462BC" w14:textId="52144C79"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宋体"/>
          <w:sz w:val="24"/>
          <w:lang w:eastAsia="zh-CN"/>
        </w:rPr>
      </w:pPr>
      <w:r w:rsidRPr="00AC2BA5">
        <w:rPr>
          <w:rFonts w:ascii="Times New Roman" w:eastAsia="宋体" w:hAnsi="Times New Roman" w:cs="宋体"/>
          <w:sz w:val="24"/>
          <w:lang w:eastAsia="zh-CN"/>
        </w:rPr>
        <w:t>应通过开展消毒有效性研究来证明消毒程序可有效杀灭乙型肝炎病毒，以证明消毒程序对外部血糖仪材料（例如：外壳、显示屏、按钮等）有效。研究证明，病毒可以在不同的时间段内保持感染性，这取决于表面。病毒存活率可能随表面上存在的微生物数量而增加或减少。微生物数量增加可以保护病毒，使其不被消毒杀灭，并且微生物蛋白酶和真菌酶也可能导致损害作用。影响表面存活率的因素包括污染物性质、初始病毒滴度、病毒株、温度、湿度和悬浮介质。最简单的消毒方法是使用预先用选定消毒剂浸透的湿巾。用湿巾消毒可降低液体进入血糖仪的风险，从而最大限度地降低消毒程序影响血糖</w:t>
      </w:r>
      <w:proofErr w:type="gramStart"/>
      <w:r w:rsidRPr="00AC2BA5">
        <w:rPr>
          <w:rFonts w:ascii="Times New Roman" w:eastAsia="宋体" w:hAnsi="Times New Roman" w:cs="宋体"/>
          <w:sz w:val="24"/>
          <w:lang w:eastAsia="zh-CN"/>
        </w:rPr>
        <w:t>仪功能</w:t>
      </w:r>
      <w:proofErr w:type="gramEnd"/>
      <w:r w:rsidRPr="00AC2BA5">
        <w:rPr>
          <w:rFonts w:ascii="Times New Roman" w:eastAsia="宋体" w:hAnsi="Times New Roman" w:cs="宋体"/>
          <w:sz w:val="24"/>
          <w:lang w:eastAsia="zh-CN"/>
        </w:rPr>
        <w:t>的可能性。但是，应该选择对乙型肝炎病毒有效并且与器械相容的消毒剂。如果想要声明消毒程序对其他病原体有效，应考虑提交预申报申请，以便在进行检测之前与</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进行讨论。关于预申报过程的信息，请参阅标题为《</w:t>
      </w:r>
      <w:hyperlink r:id="rId17">
        <w:r w:rsidRPr="00AC2BA5">
          <w:rPr>
            <w:rFonts w:ascii="Times New Roman" w:eastAsia="宋体" w:hAnsi="Times New Roman" w:cs="宋体"/>
            <w:snapToGrid w:val="0"/>
            <w:color w:val="0000FF"/>
            <w:sz w:val="24"/>
            <w:szCs w:val="24"/>
            <w:u w:val="single" w:color="0000FF"/>
            <w:lang w:eastAsia="zh-CN"/>
          </w:rPr>
          <w:t>医疗器械申报资料反馈申请：预申报计划和与美国食品药品</w:t>
        </w:r>
        <w:r w:rsidR="008D427B">
          <w:rPr>
            <w:rFonts w:ascii="Times New Roman" w:eastAsia="宋体" w:hAnsi="Times New Roman" w:cs="宋体" w:hint="eastAsia"/>
            <w:snapToGrid w:val="0"/>
            <w:color w:val="0000FF"/>
            <w:sz w:val="24"/>
            <w:szCs w:val="24"/>
            <w:u w:val="single" w:color="0000FF"/>
            <w:lang w:eastAsia="zh-CN"/>
          </w:rPr>
          <w:t>监督</w:t>
        </w:r>
        <w:r w:rsidRPr="00AC2BA5">
          <w:rPr>
            <w:rFonts w:ascii="Times New Roman" w:eastAsia="宋体" w:hAnsi="Times New Roman" w:cs="宋体"/>
            <w:snapToGrid w:val="0"/>
            <w:color w:val="0000FF"/>
            <w:sz w:val="24"/>
            <w:szCs w:val="24"/>
            <w:u w:val="single" w:color="0000FF"/>
            <w:lang w:eastAsia="zh-CN"/>
          </w:rPr>
          <w:t>管理局工作人员的会议</w:t>
        </w:r>
      </w:hyperlink>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指南。</w:t>
      </w:r>
      <w:r w:rsidRPr="00AC2BA5">
        <w:rPr>
          <w:rFonts w:ascii="Times New Roman" w:eastAsia="宋体" w:hAnsi="Times New Roman" w:cs="宋体"/>
          <w:sz w:val="24"/>
          <w:vertAlign w:val="superscript"/>
          <w:lang w:eastAsia="zh-CN"/>
        </w:rPr>
        <w:t>7</w:t>
      </w:r>
      <w:r w:rsidRPr="00AC2BA5">
        <w:rPr>
          <w:rFonts w:ascii="Times New Roman" w:eastAsia="宋体" w:hAnsi="Times New Roman" w:cs="宋体"/>
          <w:sz w:val="24"/>
          <w:lang w:eastAsia="zh-CN"/>
        </w:rPr>
        <w:t>此外，所选的消毒方法应该使用家庭用户容易获得的产品。</w:t>
      </w:r>
    </w:p>
    <w:p w14:paraId="79DC77AC" w14:textId="77777777" w:rsidR="000102EB" w:rsidRPr="00AC2BA5" w:rsidRDefault="000102EB" w:rsidP="000102EB">
      <w:pPr>
        <w:adjustRightInd w:val="0"/>
        <w:snapToGrid w:val="0"/>
        <w:spacing w:beforeLines="50" w:before="120" w:line="300" w:lineRule="auto"/>
        <w:ind w:leftChars="193" w:left="425"/>
        <w:jc w:val="both"/>
        <w:rPr>
          <w:rFonts w:ascii="Times New Roman" w:eastAsia="宋体" w:hAnsi="Times New Roman" w:cs="宋体"/>
          <w:sz w:val="24"/>
          <w:lang w:eastAsia="zh-CN"/>
        </w:rPr>
      </w:pPr>
    </w:p>
    <w:p w14:paraId="19E7F63A" w14:textId="77777777" w:rsidR="000102EB" w:rsidRPr="00AC2BA5" w:rsidRDefault="000102EB" w:rsidP="000102EB">
      <w:pPr>
        <w:adjustRightInd w:val="0"/>
        <w:snapToGrid w:val="0"/>
        <w:spacing w:beforeLines="50" w:before="120" w:line="300" w:lineRule="auto"/>
        <w:ind w:leftChars="193" w:left="425"/>
        <w:jc w:val="both"/>
        <w:rPr>
          <w:rFonts w:ascii="Times New Roman" w:eastAsia="宋体" w:hAnsi="Times New Roman" w:cs="宋体"/>
          <w:sz w:val="24"/>
          <w:lang w:eastAsia="zh-CN"/>
        </w:rPr>
      </w:pPr>
    </w:p>
    <w:p w14:paraId="72DDC28B" w14:textId="77777777" w:rsidR="000102EB" w:rsidRPr="00AC2BA5" w:rsidRDefault="000102EB" w:rsidP="000102EB">
      <w:pPr>
        <w:adjustRightInd w:val="0"/>
        <w:snapToGrid w:val="0"/>
        <w:spacing w:beforeLines="50" w:before="120" w:line="300" w:lineRule="auto"/>
        <w:ind w:leftChars="193" w:left="425"/>
        <w:jc w:val="both"/>
        <w:rPr>
          <w:rFonts w:ascii="Times New Roman" w:eastAsia="宋体" w:hAnsi="Times New Roman" w:cs="宋体"/>
          <w:sz w:val="24"/>
          <w:lang w:eastAsia="zh-CN"/>
        </w:rPr>
      </w:pPr>
    </w:p>
    <w:p w14:paraId="407D4688" w14:textId="77777777" w:rsidR="000102EB" w:rsidRPr="00AC2BA5" w:rsidRDefault="000102EB" w:rsidP="000102EB">
      <w:pPr>
        <w:adjustRightInd w:val="0"/>
        <w:snapToGrid w:val="0"/>
        <w:spacing w:beforeLines="50" w:before="120" w:line="300" w:lineRule="auto"/>
        <w:ind w:leftChars="193" w:left="425"/>
        <w:jc w:val="both"/>
        <w:rPr>
          <w:rFonts w:ascii="Times New Roman" w:eastAsia="宋体" w:hAnsi="Times New Roman" w:cs="宋体"/>
          <w:sz w:val="24"/>
          <w:lang w:eastAsia="zh-CN"/>
        </w:rPr>
      </w:pPr>
    </w:p>
    <w:p w14:paraId="2107A8F3" w14:textId="77777777" w:rsidR="000102EB" w:rsidRPr="00AC2BA5" w:rsidRDefault="000102EB" w:rsidP="000102EB">
      <w:pPr>
        <w:adjustRightInd w:val="0"/>
        <w:snapToGrid w:val="0"/>
        <w:spacing w:beforeLines="50" w:before="120" w:line="300" w:lineRule="auto"/>
        <w:ind w:leftChars="193" w:left="425"/>
        <w:jc w:val="both"/>
        <w:rPr>
          <w:rFonts w:ascii="Times New Roman" w:eastAsia="宋体" w:hAnsi="Times New Roman" w:cs="宋体"/>
          <w:sz w:val="24"/>
          <w:lang w:eastAsia="zh-CN"/>
        </w:rPr>
      </w:pPr>
    </w:p>
    <w:p w14:paraId="3DE92814" w14:textId="77777777" w:rsidR="000102EB" w:rsidRPr="00AC2BA5" w:rsidRDefault="000102EB" w:rsidP="000102EB">
      <w:pPr>
        <w:adjustRightInd w:val="0"/>
        <w:snapToGrid w:val="0"/>
        <w:spacing w:beforeLines="50" w:before="120" w:line="300" w:lineRule="auto"/>
        <w:ind w:leftChars="193" w:left="425"/>
        <w:jc w:val="both"/>
        <w:rPr>
          <w:rFonts w:ascii="Times New Roman" w:eastAsia="宋体" w:hAnsi="Times New Roman" w:cs="Times New Roman"/>
          <w:snapToGrid w:val="0"/>
          <w:color w:val="000000"/>
          <w:sz w:val="24"/>
          <w:szCs w:val="24"/>
          <w:lang w:eastAsia="zh-CN"/>
        </w:rPr>
      </w:pPr>
    </w:p>
    <w:p w14:paraId="34B34AC7" w14:textId="77777777" w:rsidR="00A275E1" w:rsidRPr="00AC2BA5" w:rsidRDefault="00A275E1"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t>__________________________</w:t>
      </w:r>
    </w:p>
    <w:p w14:paraId="5D488105" w14:textId="77777777" w:rsidR="0050117E" w:rsidRPr="00AC2BA5" w:rsidRDefault="0050117E" w:rsidP="000102EB">
      <w:pPr>
        <w:tabs>
          <w:tab w:val="left" w:pos="215"/>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7</w:t>
      </w:r>
      <w:r w:rsidRPr="00AC2BA5">
        <w:rPr>
          <w:rFonts w:ascii="Times New Roman" w:eastAsia="宋体" w:hAnsi="Times New Roman" w:cs="宋体"/>
          <w:sz w:val="21"/>
        </w:rPr>
        <w:t xml:space="preserve"> </w:t>
      </w:r>
      <w:r w:rsidRPr="00AC2BA5">
        <w:rPr>
          <w:rFonts w:ascii="Times New Roman" w:eastAsia="宋体" w:hAnsi="Times New Roman" w:cs="宋体"/>
          <w:sz w:val="21"/>
        </w:rPr>
        <w:t>可登录以下网址获取：</w:t>
      </w:r>
      <w:hyperlink r:id="rId18">
        <w:r w:rsidRPr="00AC2BA5">
          <w:rPr>
            <w:rFonts w:ascii="Times New Roman" w:eastAsia="宋体" w:hAnsi="Times New Roman" w:cs="宋体"/>
            <w:snapToGrid w:val="0"/>
            <w:color w:val="0000FF"/>
            <w:sz w:val="21"/>
            <w:szCs w:val="21"/>
            <w:u w:val="single" w:color="0000FF"/>
          </w:rPr>
          <w:t>https://www.fda.gov/regulatory-information/search-fda-guidance-documents/requests-feedback-</w:t>
        </w:r>
      </w:hyperlink>
      <w:r w:rsidRPr="00AC2BA5">
        <w:rPr>
          <w:rFonts w:ascii="Times New Roman" w:eastAsia="宋体" w:hAnsi="Times New Roman" w:cs="宋体"/>
          <w:color w:val="0000FF"/>
          <w:sz w:val="21"/>
        </w:rPr>
        <w:t xml:space="preserve"> </w:t>
      </w:r>
      <w:hyperlink r:id="rId19">
        <w:r w:rsidRPr="00AC2BA5">
          <w:rPr>
            <w:rFonts w:ascii="Times New Roman" w:eastAsia="宋体" w:hAnsi="Times New Roman" w:cs="宋体"/>
            <w:snapToGrid w:val="0"/>
            <w:color w:val="0000FF"/>
            <w:sz w:val="21"/>
            <w:szCs w:val="21"/>
            <w:u w:val="single" w:color="0000FF"/>
          </w:rPr>
          <w:t>and-meetings-medical-device-submissions-q-submission-program</w:t>
        </w:r>
      </w:hyperlink>
      <w:r w:rsidRPr="00AC2BA5">
        <w:rPr>
          <w:rFonts w:ascii="Times New Roman" w:eastAsia="宋体" w:hAnsi="Times New Roman" w:cs="宋体"/>
          <w:color w:val="000000"/>
          <w:sz w:val="21"/>
        </w:rPr>
        <w:t>。</w:t>
      </w:r>
    </w:p>
    <w:p w14:paraId="418A76A8" w14:textId="77777777" w:rsidR="00A275E1" w:rsidRPr="00AC2BA5" w:rsidRDefault="00A275E1"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br w:type="page"/>
      </w:r>
    </w:p>
    <w:p w14:paraId="77F6DCB3" w14:textId="2645E5F4"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建议参考以下标准：</w:t>
      </w:r>
    </w:p>
    <w:p w14:paraId="547DBEC7" w14:textId="77777777" w:rsidR="000460CB" w:rsidRPr="00AC2BA5" w:rsidRDefault="00B8550C" w:rsidP="000102EB">
      <w:pPr>
        <w:pStyle w:val="a4"/>
        <w:numPr>
          <w:ilvl w:val="0"/>
          <w:numId w:val="3"/>
        </w:numPr>
        <w:adjustRightInd w:val="0"/>
        <w:snapToGrid w:val="0"/>
        <w:spacing w:beforeLines="50" w:before="120" w:line="300" w:lineRule="auto"/>
        <w:ind w:left="1134"/>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ASTM</w:t>
      </w:r>
      <w:r w:rsidRPr="00AC2BA5">
        <w:rPr>
          <w:rFonts w:ascii="Times New Roman" w:eastAsia="宋体" w:hAnsi="Times New Roman" w:cs="宋体"/>
          <w:sz w:val="24"/>
          <w:lang w:eastAsia="zh-CN"/>
        </w:rPr>
        <w:t>标准</w:t>
      </w:r>
      <w:r w:rsidRPr="00AC2BA5">
        <w:rPr>
          <w:rFonts w:ascii="Times New Roman" w:eastAsia="宋体" w:hAnsi="Times New Roman" w:cs="宋体"/>
          <w:sz w:val="24"/>
          <w:lang w:eastAsia="zh-CN"/>
        </w:rPr>
        <w:t>ASTM E1053-11</w:t>
      </w:r>
      <w:r w:rsidRPr="00AC2BA5">
        <w:rPr>
          <w:rFonts w:ascii="Times New Roman" w:eastAsia="宋体" w:hAnsi="Times New Roman" w:cs="宋体"/>
          <w:sz w:val="24"/>
          <w:lang w:eastAsia="zh-CN"/>
        </w:rPr>
        <w:t>《无生命环境表面用杀病毒剂有效性的标准试验方法》。</w:t>
      </w:r>
    </w:p>
    <w:p w14:paraId="770CCCF4" w14:textId="77777777" w:rsidR="0050117E" w:rsidRPr="00AC2BA5" w:rsidRDefault="00B8550C" w:rsidP="000102EB">
      <w:pPr>
        <w:pStyle w:val="a4"/>
        <w:numPr>
          <w:ilvl w:val="0"/>
          <w:numId w:val="3"/>
        </w:numPr>
        <w:adjustRightInd w:val="0"/>
        <w:snapToGrid w:val="0"/>
        <w:spacing w:beforeLines="50" w:before="120" w:line="300" w:lineRule="auto"/>
        <w:ind w:left="1134"/>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ASTM</w:t>
      </w:r>
      <w:r w:rsidRPr="00AC2BA5">
        <w:rPr>
          <w:rFonts w:ascii="Times New Roman" w:eastAsia="宋体" w:hAnsi="Times New Roman" w:cs="宋体"/>
          <w:sz w:val="24"/>
          <w:lang w:eastAsia="zh-CN"/>
        </w:rPr>
        <w:t>标准</w:t>
      </w:r>
      <w:r w:rsidRPr="00AC2BA5">
        <w:rPr>
          <w:rFonts w:ascii="Times New Roman" w:eastAsia="宋体" w:hAnsi="Times New Roman" w:cs="宋体"/>
          <w:sz w:val="24"/>
          <w:lang w:eastAsia="zh-CN"/>
        </w:rPr>
        <w:t>ASTM E2362-09</w:t>
      </w:r>
      <w:r w:rsidRPr="00AC2BA5">
        <w:rPr>
          <w:rFonts w:ascii="Times New Roman" w:eastAsia="宋体" w:hAnsi="Times New Roman" w:cs="宋体"/>
          <w:sz w:val="24"/>
          <w:lang w:eastAsia="zh-CN"/>
        </w:rPr>
        <w:t>《硬表面消毒用预浸湿或浸渍湿巾评价的标准规范》。</w:t>
      </w:r>
    </w:p>
    <w:p w14:paraId="411FA5BA" w14:textId="77777777" w:rsidR="0050117E" w:rsidRPr="00AC2BA5" w:rsidRDefault="0050117E" w:rsidP="000102EB">
      <w:pPr>
        <w:pStyle w:val="21"/>
        <w:rPr>
          <w:rFonts w:eastAsia="宋体"/>
          <w:lang w:eastAsia="zh-CN"/>
        </w:rPr>
      </w:pPr>
      <w:bookmarkStart w:id="8" w:name="_Toc91871165"/>
      <w:r w:rsidRPr="00AC2BA5">
        <w:rPr>
          <w:rFonts w:eastAsia="宋体" w:cs="宋体"/>
          <w:lang w:eastAsia="zh-CN"/>
        </w:rPr>
        <w:t>B.</w:t>
      </w:r>
      <w:r w:rsidRPr="00AC2BA5">
        <w:rPr>
          <w:rFonts w:eastAsia="宋体" w:cs="宋体"/>
          <w:lang w:eastAsia="zh-CN"/>
        </w:rPr>
        <w:tab/>
      </w:r>
      <w:r w:rsidRPr="00AC2BA5">
        <w:rPr>
          <w:rFonts w:eastAsia="宋体" w:cs="宋体"/>
          <w:lang w:eastAsia="zh-CN"/>
        </w:rPr>
        <w:t>证明器械不会被清洁和消毒程序损伤</w:t>
      </w:r>
      <w:bookmarkEnd w:id="8"/>
    </w:p>
    <w:p w14:paraId="7625986C" w14:textId="62937F74"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应通过台</w:t>
      </w:r>
      <w:proofErr w:type="gramStart"/>
      <w:r w:rsidRPr="00AC2BA5">
        <w:rPr>
          <w:rFonts w:ascii="Times New Roman" w:eastAsia="宋体" w:hAnsi="Times New Roman" w:cs="宋体"/>
          <w:sz w:val="24"/>
          <w:lang w:eastAsia="zh-CN"/>
        </w:rPr>
        <w:t>架研究</w:t>
      </w:r>
      <w:proofErr w:type="gramEnd"/>
      <w:r w:rsidRPr="00AC2BA5">
        <w:rPr>
          <w:rFonts w:ascii="Times New Roman" w:eastAsia="宋体" w:hAnsi="Times New Roman" w:cs="宋体"/>
          <w:sz w:val="24"/>
          <w:lang w:eastAsia="zh-CN"/>
        </w:rPr>
        <w:t>证明，经过多个清洁和消毒循环后，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不会被清洁和消毒程序损伤。应该在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申报资料中包含研究设计和结果，证明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的分析性能不受清洁和消毒程序的影响。</w:t>
      </w:r>
    </w:p>
    <w:p w14:paraId="1B556EDB"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在设计研究时，应该解决以下问题：</w:t>
      </w:r>
    </w:p>
    <w:p w14:paraId="378A98B5" w14:textId="77777777" w:rsidR="0050117E" w:rsidRPr="00AC2BA5" w:rsidRDefault="00B8550C" w:rsidP="000102EB">
      <w:pPr>
        <w:pStyle w:val="a4"/>
        <w:numPr>
          <w:ilvl w:val="0"/>
          <w:numId w:val="4"/>
        </w:numPr>
        <w:tabs>
          <w:tab w:val="left" w:pos="1179"/>
        </w:tabs>
        <w:adjustRightInd w:val="0"/>
        <w:snapToGrid w:val="0"/>
        <w:spacing w:beforeLines="50" w:before="120" w:line="300" w:lineRule="auto"/>
        <w:ind w:left="1134"/>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应使用最坏情况的清洁和消毒频率及终端用户环境来确定应检测的清洁和消毒循环次数。例如，血糖仪的清洁和消毒次数应能代表血糖仪在其使用寿命（通常为</w:t>
      </w:r>
      <w:r w:rsidRPr="00AC2BA5">
        <w:rPr>
          <w:rFonts w:ascii="Times New Roman" w:eastAsia="宋体" w:hAnsi="Times New Roman" w:cs="宋体"/>
          <w:sz w:val="24"/>
          <w:lang w:eastAsia="zh-CN"/>
        </w:rPr>
        <w:t>3-5</w:t>
      </w:r>
      <w:r w:rsidRPr="00AC2BA5">
        <w:rPr>
          <w:rFonts w:ascii="Times New Roman" w:eastAsia="宋体" w:hAnsi="Times New Roman" w:cs="宋体"/>
          <w:sz w:val="24"/>
          <w:lang w:eastAsia="zh-CN"/>
        </w:rPr>
        <w:t>年）内接受的清洁和消毒次数，并且可以大于用户说明中建议的清洁和消毒循环次数。对于每个清洁和消毒循环，应在消毒步骤之前执行清洁步骤。</w:t>
      </w:r>
    </w:p>
    <w:p w14:paraId="5B1126BA" w14:textId="77777777" w:rsidR="0050117E" w:rsidRPr="00AC2BA5" w:rsidRDefault="00B8550C" w:rsidP="000102EB">
      <w:pPr>
        <w:pStyle w:val="a4"/>
        <w:numPr>
          <w:ilvl w:val="0"/>
          <w:numId w:val="4"/>
        </w:numPr>
        <w:tabs>
          <w:tab w:val="left" w:pos="1179"/>
        </w:tabs>
        <w:adjustRightInd w:val="0"/>
        <w:snapToGrid w:val="0"/>
        <w:spacing w:beforeLines="50" w:before="120" w:line="300" w:lineRule="auto"/>
        <w:ind w:left="1134"/>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耐用性研究中使用的消毒接触时间应与消毒有效性试验中使用的以及标签中清洁和消毒说明中描述的接触时间相同。</w:t>
      </w:r>
    </w:p>
    <w:p w14:paraId="3C0798A5" w14:textId="77777777" w:rsidR="0050117E" w:rsidRPr="00AC2BA5" w:rsidRDefault="00B8550C" w:rsidP="000102EB">
      <w:pPr>
        <w:pStyle w:val="a4"/>
        <w:numPr>
          <w:ilvl w:val="0"/>
          <w:numId w:val="4"/>
        </w:numPr>
        <w:tabs>
          <w:tab w:val="left" w:pos="1179"/>
        </w:tabs>
        <w:adjustRightInd w:val="0"/>
        <w:snapToGrid w:val="0"/>
        <w:spacing w:beforeLines="50" w:before="120" w:line="300" w:lineRule="auto"/>
        <w:ind w:left="1134"/>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本机构建议使用相同的消毒剂产品进行清洁和消毒。使用多种产品对消毒剂产品有效性的影响尚不清楚。</w:t>
      </w:r>
    </w:p>
    <w:p w14:paraId="0A77BB13" w14:textId="4F8D7FB9" w:rsidR="0050117E" w:rsidRPr="00AC2BA5" w:rsidRDefault="00B8550C" w:rsidP="000102EB">
      <w:pPr>
        <w:pStyle w:val="a4"/>
        <w:numPr>
          <w:ilvl w:val="0"/>
          <w:numId w:val="4"/>
        </w:numPr>
        <w:tabs>
          <w:tab w:val="left" w:pos="1179"/>
        </w:tabs>
        <w:adjustRightInd w:val="0"/>
        <w:snapToGrid w:val="0"/>
        <w:spacing w:beforeLines="50" w:before="120" w:line="300" w:lineRule="auto"/>
        <w:ind w:left="1134"/>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证明试纸端口以及所有其他易受血液污染且用户可直接或间接接触的开口能够耐受建议的清洁和消毒程序。应确保对血糖仪中特别容易受到血液污染的部件（例如试纸端口和任何材料接缝）进行检测。必须能够对血糖仪的所有部件进行清洁和消毒，以降低血源性病原体传播的风险。</w:t>
      </w:r>
    </w:p>
    <w:p w14:paraId="2E50862B" w14:textId="01FF3DB0" w:rsidR="0050117E" w:rsidRPr="00AC2BA5" w:rsidRDefault="00B8550C" w:rsidP="000102EB">
      <w:pPr>
        <w:pStyle w:val="a4"/>
        <w:numPr>
          <w:ilvl w:val="0"/>
          <w:numId w:val="4"/>
        </w:numPr>
        <w:tabs>
          <w:tab w:val="left" w:pos="1179"/>
        </w:tabs>
        <w:adjustRightInd w:val="0"/>
        <w:snapToGrid w:val="0"/>
        <w:spacing w:beforeLines="50" w:before="120" w:line="300" w:lineRule="auto"/>
        <w:ind w:left="1134"/>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在清洁和消毒阶段后评价器械时，应确保清洁和消毒程序不会使血糖仪显示屏模糊或损伤，并且不会腐蚀或侵蚀塑料外壳或按钮。应在整个研究过程中记录所有这些物理劣化指标，并纳入</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申报资料中。应通过比较使用血样得到的结果与采用对照方法（对照方法的定义参见</w:t>
      </w:r>
      <w:proofErr w:type="gramStart"/>
      <w:r w:rsidRPr="00AC2BA5">
        <w:rPr>
          <w:rFonts w:ascii="Times New Roman" w:eastAsia="宋体" w:hAnsi="Times New Roman" w:cs="宋体"/>
          <w:sz w:val="24"/>
          <w:lang w:eastAsia="zh-CN"/>
        </w:rPr>
        <w:t>下文第</w:t>
      </w:r>
      <w:proofErr w:type="gramEnd"/>
      <w:r w:rsidRPr="00AC2BA5">
        <w:rPr>
          <w:rFonts w:ascii="Times New Roman" w:eastAsia="宋体" w:hAnsi="Times New Roman" w:cs="宋体"/>
          <w:sz w:val="24"/>
          <w:lang w:eastAsia="zh-CN"/>
        </w:rPr>
        <w:t>VI</w:t>
      </w:r>
      <w:r w:rsidRPr="00AC2BA5">
        <w:rPr>
          <w:rFonts w:ascii="Times New Roman" w:eastAsia="宋体" w:hAnsi="Times New Roman" w:cs="宋体"/>
          <w:sz w:val="24"/>
          <w:lang w:eastAsia="zh-CN"/>
        </w:rPr>
        <w:t>节）获得的结果来评价血糖仪的准确度，以确保准确度不受反复清洁和消毒的影响。研究还</w:t>
      </w:r>
      <w:proofErr w:type="gramStart"/>
      <w:r w:rsidRPr="00AC2BA5">
        <w:rPr>
          <w:rFonts w:ascii="Times New Roman" w:eastAsia="宋体" w:hAnsi="Times New Roman" w:cs="宋体"/>
          <w:sz w:val="24"/>
          <w:lang w:eastAsia="zh-CN"/>
        </w:rPr>
        <w:t>应评价</w:t>
      </w:r>
      <w:proofErr w:type="gramEnd"/>
      <w:r w:rsidRPr="00AC2BA5">
        <w:rPr>
          <w:rFonts w:ascii="Times New Roman" w:eastAsia="宋体" w:hAnsi="Times New Roman" w:cs="宋体"/>
          <w:sz w:val="24"/>
          <w:lang w:eastAsia="zh-CN"/>
        </w:rPr>
        <w:t>血糖仪特性的功能性（如适用），例如触摸屏功能、</w:t>
      </w:r>
      <w:r w:rsidRPr="00AC2BA5">
        <w:rPr>
          <w:rFonts w:ascii="Times New Roman" w:eastAsia="宋体" w:hAnsi="Times New Roman" w:cs="宋体"/>
          <w:sz w:val="24"/>
          <w:lang w:eastAsia="zh-CN"/>
        </w:rPr>
        <w:t>USB</w:t>
      </w:r>
      <w:r w:rsidRPr="00AC2BA5">
        <w:rPr>
          <w:rFonts w:ascii="Times New Roman" w:eastAsia="宋体" w:hAnsi="Times New Roman" w:cs="宋体"/>
          <w:sz w:val="24"/>
          <w:lang w:eastAsia="zh-CN"/>
        </w:rPr>
        <w:t>端口功能、语音功能等，确保它们不受反复清洁和消毒的影响。</w:t>
      </w:r>
    </w:p>
    <w:p w14:paraId="6237F749" w14:textId="77777777" w:rsidR="00A275E1" w:rsidRPr="00AC2BA5" w:rsidRDefault="00A275E1"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1816994B" w14:textId="77777777" w:rsidR="0050117E" w:rsidRPr="00AC2BA5" w:rsidRDefault="00B8550C" w:rsidP="000102EB">
      <w:pPr>
        <w:pStyle w:val="a4"/>
        <w:numPr>
          <w:ilvl w:val="0"/>
          <w:numId w:val="4"/>
        </w:numPr>
        <w:tabs>
          <w:tab w:val="left" w:pos="1179"/>
        </w:tabs>
        <w:adjustRightInd w:val="0"/>
        <w:snapToGrid w:val="0"/>
        <w:spacing w:beforeLines="50" w:before="120" w:line="300" w:lineRule="auto"/>
        <w:ind w:left="1134"/>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应将感染控制纳入风险分析中，并将经过确认的清洁和消毒程序纳入风险评估中。</w:t>
      </w:r>
    </w:p>
    <w:p w14:paraId="360389B2" w14:textId="4AC13279"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申报资料中应包含所有研究的方案和验收标准描述。</w:t>
      </w:r>
    </w:p>
    <w:p w14:paraId="40C63506" w14:textId="77777777" w:rsidR="0050117E" w:rsidRPr="00AC2BA5" w:rsidRDefault="0050117E" w:rsidP="000102EB">
      <w:pPr>
        <w:pStyle w:val="11"/>
        <w:rPr>
          <w:rFonts w:eastAsia="宋体"/>
          <w:lang w:eastAsia="zh-CN"/>
        </w:rPr>
      </w:pPr>
      <w:bookmarkStart w:id="9" w:name="_Toc91871166"/>
      <w:r w:rsidRPr="00AC2BA5">
        <w:rPr>
          <w:rFonts w:eastAsia="宋体" w:cs="宋体"/>
          <w:lang w:eastAsia="zh-CN"/>
        </w:rPr>
        <w:t>V.</w:t>
      </w:r>
      <w:r w:rsidRPr="00AC2BA5">
        <w:rPr>
          <w:rFonts w:eastAsia="宋体" w:cs="宋体"/>
          <w:lang w:eastAsia="zh-CN"/>
        </w:rPr>
        <w:tab/>
      </w:r>
      <w:r w:rsidRPr="00AC2BA5">
        <w:rPr>
          <w:rFonts w:eastAsia="宋体" w:cs="宋体"/>
          <w:lang w:eastAsia="zh-CN"/>
        </w:rPr>
        <w:t>器械描述</w:t>
      </w:r>
      <w:bookmarkEnd w:id="9"/>
    </w:p>
    <w:p w14:paraId="0EED0C56" w14:textId="0E8BFE70"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申报资料中提供</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的一般描述。通常情况下，这些信息很多也应包含在器械用户手册中；但是，一些信息不适用于预期非专业用户（例如，高度技术性的解释），应只包含在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申报资料中提供以下信息：</w:t>
      </w:r>
    </w:p>
    <w:p w14:paraId="36FEFAF6"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一般器械描述：</w:t>
      </w:r>
    </w:p>
    <w:p w14:paraId="6EEE804A" w14:textId="77777777" w:rsidR="000460CB" w:rsidRPr="00AC2BA5" w:rsidRDefault="00B8550C" w:rsidP="000102EB">
      <w:pPr>
        <w:pStyle w:val="a4"/>
        <w:numPr>
          <w:ilvl w:val="0"/>
          <w:numId w:val="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系统物理组件的描述（包括图表，如适用）。</w:t>
      </w:r>
    </w:p>
    <w:p w14:paraId="4EBC7751" w14:textId="77777777" w:rsidR="000460CB" w:rsidRPr="00AC2BA5" w:rsidRDefault="00B8550C" w:rsidP="000102EB">
      <w:pPr>
        <w:pStyle w:val="a4"/>
        <w:numPr>
          <w:ilvl w:val="0"/>
          <w:numId w:val="5"/>
        </w:numPr>
        <w:adjustRightInd w:val="0"/>
        <w:snapToGrid w:val="0"/>
        <w:spacing w:beforeLines="50" w:before="120" w:line="300" w:lineRule="auto"/>
        <w:ind w:left="851"/>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制造商的性能规范</w:t>
      </w:r>
      <w:proofErr w:type="spellEnd"/>
      <w:r w:rsidRPr="00AC2BA5">
        <w:rPr>
          <w:rFonts w:ascii="Times New Roman" w:eastAsia="宋体" w:hAnsi="Times New Roman" w:cs="宋体"/>
          <w:sz w:val="24"/>
        </w:rPr>
        <w:t>。</w:t>
      </w:r>
    </w:p>
    <w:p w14:paraId="2F3A2F93" w14:textId="77777777" w:rsidR="000460CB" w:rsidRPr="00AC2BA5" w:rsidRDefault="00B8550C" w:rsidP="000102EB">
      <w:pPr>
        <w:pStyle w:val="a4"/>
        <w:numPr>
          <w:ilvl w:val="0"/>
          <w:numId w:val="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检测原理的描述和解释，包括化学反应。</w:t>
      </w:r>
    </w:p>
    <w:p w14:paraId="663FE960" w14:textId="77777777" w:rsidR="000460CB" w:rsidRPr="00AC2BA5" w:rsidRDefault="00B8550C" w:rsidP="000102EB">
      <w:pPr>
        <w:pStyle w:val="a4"/>
        <w:numPr>
          <w:ilvl w:val="0"/>
          <w:numId w:val="5"/>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AC2BA5">
        <w:rPr>
          <w:rFonts w:ascii="Times New Roman" w:eastAsia="宋体" w:hAnsi="Times New Roman" w:cs="宋体"/>
          <w:sz w:val="24"/>
          <w:lang w:eastAsia="zh-CN"/>
        </w:rPr>
        <w:t>结果格式的描述，包括测量单位以及是以全血还是血浆当量报告结果。</w:t>
      </w:r>
      <w:r w:rsidRPr="00AC2BA5">
        <w:rPr>
          <w:rFonts w:ascii="Times New Roman" w:eastAsia="宋体" w:hAnsi="Times New Roman" w:cs="宋体"/>
          <w:sz w:val="24"/>
          <w:vertAlign w:val="superscript"/>
        </w:rPr>
        <w:t>8</w:t>
      </w:r>
    </w:p>
    <w:p w14:paraId="3CE8F2F3" w14:textId="0269BC58" w:rsidR="000460CB" w:rsidRPr="00AC2BA5" w:rsidRDefault="00B8550C" w:rsidP="000102EB">
      <w:pPr>
        <w:pStyle w:val="a4"/>
        <w:numPr>
          <w:ilvl w:val="0"/>
          <w:numId w:val="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可与系统配合使用的</w:t>
      </w:r>
      <w:proofErr w:type="gramStart"/>
      <w:r w:rsidRPr="00AC2BA5">
        <w:rPr>
          <w:rFonts w:ascii="Times New Roman" w:eastAsia="宋体" w:hAnsi="Times New Roman" w:cs="宋体"/>
          <w:sz w:val="24"/>
          <w:lang w:eastAsia="zh-CN"/>
        </w:rPr>
        <w:t>质控品的</w:t>
      </w:r>
      <w:proofErr w:type="gramEnd"/>
      <w:r w:rsidRPr="00AC2BA5">
        <w:rPr>
          <w:rFonts w:ascii="Times New Roman" w:eastAsia="宋体" w:hAnsi="Times New Roman" w:cs="宋体"/>
          <w:sz w:val="24"/>
          <w:lang w:eastAsia="zh-CN"/>
        </w:rPr>
        <w:t>成分和含量描述。</w:t>
      </w:r>
    </w:p>
    <w:p w14:paraId="4FBD1D68" w14:textId="77777777" w:rsidR="000460CB" w:rsidRPr="00AC2BA5" w:rsidRDefault="00B8550C" w:rsidP="000102EB">
      <w:pPr>
        <w:pStyle w:val="a4"/>
        <w:numPr>
          <w:ilvl w:val="0"/>
          <w:numId w:val="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用户维护需求（例如：电池）。</w:t>
      </w:r>
    </w:p>
    <w:p w14:paraId="251E0369" w14:textId="77777777" w:rsidR="000460CB" w:rsidRPr="00AC2BA5" w:rsidRDefault="00B8550C" w:rsidP="000102EB">
      <w:pPr>
        <w:pStyle w:val="a4"/>
        <w:numPr>
          <w:ilvl w:val="0"/>
          <w:numId w:val="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器械特性，例如：数据传输功能或旨在提高耐用性、易用性或用户可达性的特性（例如：旨在增加视力障碍用户可达性的特性）。</w:t>
      </w:r>
    </w:p>
    <w:p w14:paraId="0B75AAD0" w14:textId="77777777" w:rsidR="00A275E1" w:rsidRPr="00AC2BA5" w:rsidRDefault="00B8550C" w:rsidP="000102EB">
      <w:pPr>
        <w:pStyle w:val="a4"/>
        <w:numPr>
          <w:ilvl w:val="0"/>
          <w:numId w:val="5"/>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旨在最大限度降低血源性病原体传播风险的特性。</w:t>
      </w:r>
    </w:p>
    <w:p w14:paraId="3C26B4F8" w14:textId="77777777" w:rsidR="000460CB"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由软件控制的特性描述，应描述以下内容：</w:t>
      </w:r>
    </w:p>
    <w:p w14:paraId="33F96BE8" w14:textId="77777777" w:rsidR="00A275E1" w:rsidRPr="00AC2BA5" w:rsidRDefault="00B8550C" w:rsidP="000102EB">
      <w:pPr>
        <w:pStyle w:val="a4"/>
        <w:numPr>
          <w:ilvl w:val="0"/>
          <w:numId w:val="5"/>
        </w:numPr>
        <w:tabs>
          <w:tab w:val="left" w:pos="215"/>
        </w:tabs>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显示和用户消息：这包括</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如何确定和显示用户执行测量时出现的血糖浓度、消息或显示，以及用户如何从器械存储器中检索过去的结果等特性。</w:t>
      </w:r>
    </w:p>
    <w:p w14:paraId="02AD66A5" w14:textId="77777777" w:rsidR="00315D79" w:rsidRPr="00AC2BA5" w:rsidRDefault="00315D79" w:rsidP="000102EB">
      <w:pPr>
        <w:tabs>
          <w:tab w:val="left" w:pos="2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14786BB" w14:textId="77777777" w:rsidR="00315D79" w:rsidRPr="00AC2BA5" w:rsidRDefault="00315D79" w:rsidP="000102EB">
      <w:pPr>
        <w:tabs>
          <w:tab w:val="left" w:pos="2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0089604" w14:textId="77777777" w:rsidR="000102EB" w:rsidRPr="00AC2BA5" w:rsidRDefault="000102EB" w:rsidP="000102EB">
      <w:pPr>
        <w:tabs>
          <w:tab w:val="left" w:pos="2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46FFF61" w14:textId="77777777" w:rsidR="000102EB" w:rsidRPr="00AC2BA5" w:rsidRDefault="000102EB" w:rsidP="000102EB">
      <w:pPr>
        <w:tabs>
          <w:tab w:val="left" w:pos="2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7A5039A" w14:textId="77777777" w:rsidR="000102EB" w:rsidRPr="00AC2BA5" w:rsidRDefault="000102EB" w:rsidP="000102EB">
      <w:pPr>
        <w:tabs>
          <w:tab w:val="left" w:pos="2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0882335" w14:textId="77777777" w:rsidR="000102EB" w:rsidRPr="00AC2BA5" w:rsidRDefault="000102EB" w:rsidP="000102EB">
      <w:pPr>
        <w:tabs>
          <w:tab w:val="left" w:pos="2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1BB7042" w14:textId="77777777" w:rsidR="000102EB" w:rsidRPr="00AC2BA5" w:rsidRDefault="000102EB" w:rsidP="000102EB">
      <w:pPr>
        <w:tabs>
          <w:tab w:val="left" w:pos="2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ECE832C" w14:textId="77777777" w:rsidR="00A275E1" w:rsidRPr="00AC2BA5" w:rsidRDefault="00A275E1" w:rsidP="000102EB">
      <w:pPr>
        <w:tabs>
          <w:tab w:val="left" w:pos="215"/>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__________________________</w:t>
      </w:r>
    </w:p>
    <w:p w14:paraId="738AF7BD" w14:textId="77777777" w:rsidR="0050117E" w:rsidRPr="00AC2BA5" w:rsidRDefault="0050117E" w:rsidP="000102EB">
      <w:pPr>
        <w:tabs>
          <w:tab w:val="left" w:pos="2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sz w:val="21"/>
          <w:vertAlign w:val="superscript"/>
          <w:lang w:eastAsia="zh-CN"/>
        </w:rPr>
        <w:t>8</w:t>
      </w:r>
      <w:r w:rsidRPr="00AC2BA5">
        <w:rPr>
          <w:rFonts w:ascii="Times New Roman" w:eastAsia="宋体" w:hAnsi="Times New Roman" w:cs="宋体"/>
          <w:sz w:val="21"/>
          <w:lang w:eastAsia="zh-CN"/>
        </w:rPr>
        <w:t>请注意，预期在美国使用的</w:t>
      </w:r>
      <w:r w:rsidRPr="00AC2BA5">
        <w:rPr>
          <w:rFonts w:ascii="Times New Roman" w:eastAsia="宋体" w:hAnsi="Times New Roman" w:cs="宋体"/>
          <w:sz w:val="21"/>
          <w:lang w:eastAsia="zh-CN"/>
        </w:rPr>
        <w:t>SMBG</w:t>
      </w:r>
      <w:r w:rsidRPr="00AC2BA5">
        <w:rPr>
          <w:rFonts w:ascii="Times New Roman" w:eastAsia="宋体" w:hAnsi="Times New Roman" w:cs="宋体"/>
          <w:sz w:val="21"/>
          <w:lang w:eastAsia="zh-CN"/>
        </w:rPr>
        <w:t>应使用</w:t>
      </w:r>
      <w:r w:rsidRPr="00AC2BA5">
        <w:rPr>
          <w:rFonts w:ascii="Times New Roman" w:eastAsia="宋体" w:hAnsi="Times New Roman" w:cs="宋体"/>
          <w:sz w:val="21"/>
          <w:lang w:eastAsia="zh-CN"/>
        </w:rPr>
        <w:t>mg/dL</w:t>
      </w:r>
      <w:r w:rsidRPr="00AC2BA5">
        <w:rPr>
          <w:rFonts w:ascii="Times New Roman" w:eastAsia="宋体" w:hAnsi="Times New Roman" w:cs="宋体"/>
          <w:sz w:val="21"/>
          <w:lang w:eastAsia="zh-CN"/>
        </w:rPr>
        <w:t>和血浆当量报告结果。</w:t>
      </w:r>
    </w:p>
    <w:p w14:paraId="354EF5D0" w14:textId="77777777" w:rsidR="00315D79" w:rsidRPr="00AC2BA5" w:rsidRDefault="00315D79"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3138F29F" w14:textId="0906F2EE" w:rsidR="0050117E" w:rsidRPr="00AC2BA5" w:rsidRDefault="00B8550C" w:rsidP="000102EB">
      <w:pPr>
        <w:pStyle w:val="a4"/>
        <w:numPr>
          <w:ilvl w:val="0"/>
          <w:numId w:val="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用户提示：应描述</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向用户的提示、预期用户响应和时间问题（例如，</w:t>
      </w:r>
      <w:r w:rsidR="0058512C">
        <w:rPr>
          <w:rFonts w:ascii="Times New Roman" w:eastAsia="宋体" w:hAnsi="Times New Roman" w:cs="宋体" w:hint="eastAsia"/>
          <w:sz w:val="24"/>
          <w:lang w:eastAsia="zh-CN"/>
        </w:rPr>
        <w:t>要求的</w:t>
      </w:r>
      <w:r w:rsidRPr="00AC2BA5">
        <w:rPr>
          <w:rFonts w:ascii="Times New Roman" w:eastAsia="宋体" w:hAnsi="Times New Roman" w:cs="宋体"/>
          <w:sz w:val="24"/>
          <w:lang w:eastAsia="zh-CN"/>
        </w:rPr>
        <w:t>用户响应</w:t>
      </w:r>
      <w:r w:rsidR="0058512C">
        <w:rPr>
          <w:rFonts w:ascii="Times New Roman" w:eastAsia="宋体" w:hAnsi="Times New Roman" w:cs="宋体" w:hint="eastAsia"/>
          <w:sz w:val="24"/>
          <w:lang w:eastAsia="zh-CN"/>
        </w:rPr>
        <w:t>速度</w:t>
      </w:r>
      <w:r w:rsidRPr="00AC2BA5">
        <w:rPr>
          <w:rFonts w:ascii="Times New Roman" w:eastAsia="宋体" w:hAnsi="Times New Roman" w:cs="宋体"/>
          <w:sz w:val="24"/>
          <w:lang w:eastAsia="zh-CN"/>
        </w:rPr>
        <w:t>，</w:t>
      </w:r>
      <w:r w:rsidR="0058512C">
        <w:rPr>
          <w:rFonts w:ascii="Times New Roman" w:eastAsia="宋体" w:hAnsi="Times New Roman" w:cs="宋体" w:hint="eastAsia"/>
          <w:sz w:val="24"/>
          <w:lang w:eastAsia="zh-CN"/>
        </w:rPr>
        <w:t>以及</w:t>
      </w:r>
      <w:r w:rsidRPr="00AC2BA5">
        <w:rPr>
          <w:rFonts w:ascii="Times New Roman" w:eastAsia="宋体" w:hAnsi="Times New Roman" w:cs="宋体"/>
          <w:sz w:val="24"/>
          <w:lang w:eastAsia="zh-CN"/>
        </w:rPr>
        <w:t>在允许时间之后做出响应</w:t>
      </w:r>
      <w:r w:rsidR="0058512C">
        <w:rPr>
          <w:rFonts w:ascii="Times New Roman" w:eastAsia="宋体" w:hAnsi="Times New Roman" w:cs="宋体" w:hint="eastAsia"/>
          <w:sz w:val="24"/>
          <w:lang w:eastAsia="zh-CN"/>
        </w:rPr>
        <w:t>的后果</w:t>
      </w:r>
      <w:r w:rsidRPr="00AC2BA5">
        <w:rPr>
          <w:rFonts w:ascii="Times New Roman" w:eastAsia="宋体" w:hAnsi="Times New Roman" w:cs="宋体"/>
          <w:sz w:val="24"/>
          <w:lang w:eastAsia="zh-CN"/>
        </w:rPr>
        <w:t>）。用户提示的示例包括向用户发送的提示其将试纸插入血糖仪、将血样加到试纸上、校准血糖仪或存储结果等的消息。</w:t>
      </w:r>
    </w:p>
    <w:p w14:paraId="70C0913B" w14:textId="77777777" w:rsidR="0050117E" w:rsidRPr="00AC2BA5" w:rsidRDefault="00B8550C" w:rsidP="000102EB">
      <w:pPr>
        <w:pStyle w:val="a4"/>
        <w:numPr>
          <w:ilvl w:val="0"/>
          <w:numId w:val="6"/>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错误消息和警报：包括</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显示的任何错误消息或警报。应描述系统如何对用户操作、用户不操作或系统状态中的错误做出响应。建议的错误消息或警报示例包括：试纸插入不正确或过早取出；加到试纸上的样本量太少；使用损坏、不正确或变质的试纸；或电池电量低或环境温度过高。还应包括</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在血糖水平超出系统线性范围时检测并提醒用户的方法。应描述每种消息的触发点，并描述系统执行的任何自诊断例行程序。</w:t>
      </w:r>
    </w:p>
    <w:p w14:paraId="26906B9D"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确定用户对错误消息或警报的预期响应非常重要。这包括用户是否需要以及应该如何输入信息或按下某些按钮以正确设置血糖仪或响应错误信息或警报。</w:t>
      </w:r>
    </w:p>
    <w:p w14:paraId="0D7D1E29" w14:textId="77777777" w:rsidR="0050117E" w:rsidRPr="00AC2BA5" w:rsidRDefault="0050117E" w:rsidP="000102EB">
      <w:pPr>
        <w:pStyle w:val="11"/>
        <w:rPr>
          <w:rFonts w:eastAsia="宋体"/>
          <w:lang w:eastAsia="zh-CN"/>
        </w:rPr>
      </w:pPr>
      <w:bookmarkStart w:id="10" w:name="_Toc91871167"/>
      <w:r w:rsidRPr="00AC2BA5">
        <w:rPr>
          <w:rFonts w:eastAsia="宋体" w:cs="宋体"/>
          <w:lang w:eastAsia="zh-CN"/>
        </w:rPr>
        <w:t>VI.</w:t>
      </w:r>
      <w:r w:rsidRPr="00AC2BA5">
        <w:rPr>
          <w:rFonts w:eastAsia="宋体" w:cs="宋体"/>
          <w:lang w:eastAsia="zh-CN"/>
        </w:rPr>
        <w:tab/>
        <w:t>SMBG</w:t>
      </w:r>
      <w:r w:rsidRPr="00AC2BA5">
        <w:rPr>
          <w:rFonts w:eastAsia="宋体" w:cs="宋体"/>
          <w:lang w:eastAsia="zh-CN"/>
        </w:rPr>
        <w:t>性能评价</w:t>
      </w:r>
      <w:bookmarkEnd w:id="10"/>
    </w:p>
    <w:p w14:paraId="13FAC03F" w14:textId="6F6C4B52"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roofErr w:type="gramStart"/>
      <w:r w:rsidRPr="00AC2BA5">
        <w:rPr>
          <w:rFonts w:ascii="Times New Roman" w:eastAsia="宋体" w:hAnsi="Times New Roman" w:cs="宋体"/>
          <w:sz w:val="24"/>
          <w:lang w:eastAsia="zh-CN"/>
        </w:rPr>
        <w:t>下文第</w:t>
      </w:r>
      <w:proofErr w:type="gramEnd"/>
      <w:r w:rsidRPr="00AC2BA5">
        <w:rPr>
          <w:rFonts w:ascii="Times New Roman" w:eastAsia="宋体" w:hAnsi="Times New Roman" w:cs="宋体"/>
          <w:sz w:val="24"/>
          <w:lang w:eastAsia="zh-CN"/>
        </w:rPr>
        <w:t>A-F</w:t>
      </w:r>
      <w:r w:rsidRPr="00AC2BA5">
        <w:rPr>
          <w:rFonts w:ascii="Times New Roman" w:eastAsia="宋体" w:hAnsi="Times New Roman" w:cs="宋体"/>
          <w:sz w:val="24"/>
          <w:lang w:eastAsia="zh-CN"/>
        </w:rPr>
        <w:t>小节说明了</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器械的</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申报资料中应包含的器械性能信息类型。尽管许多制造商根据国际标准化组织（</w:t>
      </w:r>
      <w:r w:rsidRPr="00AC2BA5">
        <w:rPr>
          <w:rFonts w:ascii="Times New Roman" w:eastAsia="宋体" w:hAnsi="Times New Roman" w:cs="宋体"/>
          <w:sz w:val="24"/>
          <w:lang w:eastAsia="zh-CN"/>
        </w:rPr>
        <w:t>ISO</w:t>
      </w:r>
      <w:r w:rsidRPr="00AC2BA5">
        <w:rPr>
          <w:rFonts w:ascii="Times New Roman" w:eastAsia="宋体" w:hAnsi="Times New Roman" w:cs="宋体"/>
          <w:sz w:val="24"/>
          <w:lang w:eastAsia="zh-CN"/>
        </w:rPr>
        <w:t>）文件</w:t>
      </w:r>
      <w:r w:rsidRPr="00AC2BA5">
        <w:rPr>
          <w:rFonts w:ascii="Times New Roman" w:eastAsia="宋体" w:hAnsi="Times New Roman" w:cs="宋体"/>
          <w:sz w:val="24"/>
          <w:lang w:eastAsia="zh-CN"/>
        </w:rPr>
        <w:t>15197</w:t>
      </w:r>
      <w:r w:rsidRPr="00AC2BA5">
        <w:rPr>
          <w:rFonts w:ascii="Times New Roman" w:eastAsia="宋体" w:hAnsi="Times New Roman" w:cs="宋体"/>
          <w:sz w:val="24"/>
          <w:lang w:eastAsia="zh-CN"/>
        </w:rPr>
        <w:t>：</w:t>
      </w:r>
      <w:r w:rsidR="00D9648F">
        <w:rPr>
          <w:rFonts w:ascii="Times New Roman" w:eastAsia="宋体" w:hAnsi="Times New Roman" w:cs="宋体" w:hint="eastAsia"/>
          <w:sz w:val="24"/>
          <w:lang w:eastAsia="zh-CN"/>
        </w:rPr>
        <w:t>《</w:t>
      </w:r>
      <w:r w:rsidRPr="00AC2BA5">
        <w:rPr>
          <w:rFonts w:ascii="Times New Roman" w:eastAsia="宋体" w:hAnsi="Times New Roman" w:cs="宋体"/>
          <w:sz w:val="24"/>
          <w:lang w:eastAsia="zh-CN"/>
        </w:rPr>
        <w:t>体外诊断试验系统</w:t>
      </w:r>
      <w:r w:rsidRPr="00AC2BA5">
        <w:rPr>
          <w:rFonts w:ascii="Times New Roman" w:eastAsia="宋体" w:hAnsi="Times New Roman" w:cs="宋体"/>
          <w:sz w:val="24"/>
          <w:lang w:eastAsia="zh-CN"/>
        </w:rPr>
        <w:t xml:space="preserve"> - </w:t>
      </w:r>
      <w:r w:rsidRPr="00AC2BA5">
        <w:rPr>
          <w:rFonts w:ascii="Times New Roman" w:eastAsia="宋体" w:hAnsi="Times New Roman" w:cs="宋体"/>
          <w:sz w:val="24"/>
          <w:lang w:eastAsia="zh-CN"/>
        </w:rPr>
        <w:t>糖尿病管理中对自测用血糖监测系统的要求</w:t>
      </w:r>
      <w:r w:rsidR="00D9648F">
        <w:rPr>
          <w:rFonts w:ascii="Times New Roman" w:eastAsia="宋体" w:hAnsi="Times New Roman" w:cs="宋体" w:hint="eastAsia"/>
          <w:sz w:val="24"/>
          <w:lang w:eastAsia="zh-CN"/>
        </w:rPr>
        <w:t>》</w:t>
      </w:r>
      <w:r w:rsidRPr="00AC2BA5">
        <w:rPr>
          <w:rFonts w:ascii="Times New Roman" w:eastAsia="宋体" w:hAnsi="Times New Roman" w:cs="宋体"/>
          <w:sz w:val="24"/>
          <w:lang w:eastAsia="zh-CN"/>
        </w:rPr>
        <w:t>设计</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确认研究，但</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认为，</w:t>
      </w:r>
      <w:r w:rsidRPr="00AC2BA5">
        <w:rPr>
          <w:rFonts w:ascii="Times New Roman" w:eastAsia="宋体" w:hAnsi="Times New Roman" w:cs="宋体"/>
          <w:sz w:val="24"/>
          <w:lang w:eastAsia="zh-CN"/>
        </w:rPr>
        <w:t>ISO 15197</w:t>
      </w:r>
      <w:r w:rsidRPr="00AC2BA5">
        <w:rPr>
          <w:rFonts w:ascii="Times New Roman" w:eastAsia="宋体" w:hAnsi="Times New Roman" w:cs="宋体"/>
          <w:sz w:val="24"/>
          <w:lang w:eastAsia="zh-CN"/>
        </w:rPr>
        <w:t>标准中规定的标准不足以充分保护非专业</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用户，因为，例如，该标准没有充分解决非处方血糖检测系统在低血糖范围（低血糖读数范围）内或使用不同试纸批次时的性能问题。因此，</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建议根据以下建议开展研究，以支持</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批准。</w:t>
      </w:r>
    </w:p>
    <w:p w14:paraId="15ADF0F4" w14:textId="77777777" w:rsidR="00315D79"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在本指南中，术语</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对照方法</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是指经过充分的精密度和准确度确认且可追溯至更高阶的实验室血糖测量方法，例如国际公认的参考物质和</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或方法。溯源链包含的阶段应尽可能少，以减少偏倚。</w:t>
      </w:r>
      <w:proofErr w:type="gramStart"/>
      <w:r w:rsidRPr="00AC2BA5">
        <w:rPr>
          <w:rFonts w:ascii="Times New Roman" w:eastAsia="宋体" w:hAnsi="Times New Roman" w:cs="宋体"/>
          <w:sz w:val="24"/>
          <w:lang w:eastAsia="zh-CN"/>
        </w:rPr>
        <w:t>下文第</w:t>
      </w:r>
      <w:proofErr w:type="gramEnd"/>
      <w:r w:rsidRPr="00AC2BA5">
        <w:rPr>
          <w:rFonts w:ascii="Times New Roman" w:eastAsia="宋体" w:hAnsi="Times New Roman" w:cs="宋体"/>
          <w:sz w:val="24"/>
          <w:lang w:eastAsia="zh-CN"/>
        </w:rPr>
        <w:t>A-F</w:t>
      </w:r>
      <w:r w:rsidRPr="00AC2BA5">
        <w:rPr>
          <w:rFonts w:ascii="Times New Roman" w:eastAsia="宋体" w:hAnsi="Times New Roman" w:cs="宋体"/>
          <w:sz w:val="24"/>
          <w:lang w:eastAsia="zh-CN"/>
        </w:rPr>
        <w:t>小节讨论了</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目前对需要解决的问题的看法以及建议的研究设计和器械性能评价。</w:t>
      </w:r>
    </w:p>
    <w:p w14:paraId="4D017FBB" w14:textId="77777777" w:rsidR="00315D79" w:rsidRPr="00AC2BA5" w:rsidRDefault="00315D79"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4D8E0086" w14:textId="77777777" w:rsidR="000460CB" w:rsidRPr="00AC2BA5" w:rsidRDefault="0050117E" w:rsidP="000102EB">
      <w:pPr>
        <w:pStyle w:val="21"/>
        <w:rPr>
          <w:rFonts w:eastAsia="宋体"/>
          <w:lang w:eastAsia="zh-CN"/>
        </w:rPr>
      </w:pPr>
      <w:bookmarkStart w:id="11" w:name="_Toc91871168"/>
      <w:r w:rsidRPr="00AC2BA5">
        <w:rPr>
          <w:rFonts w:eastAsia="宋体" w:cs="宋体"/>
          <w:lang w:eastAsia="zh-CN"/>
        </w:rPr>
        <w:lastRenderedPageBreak/>
        <w:t>A.</w:t>
      </w:r>
      <w:r w:rsidRPr="00AC2BA5">
        <w:rPr>
          <w:rFonts w:eastAsia="宋体" w:cs="宋体"/>
          <w:lang w:eastAsia="zh-CN"/>
        </w:rPr>
        <w:tab/>
      </w:r>
      <w:r w:rsidRPr="00AC2BA5">
        <w:rPr>
          <w:rFonts w:eastAsia="宋体" w:cs="宋体"/>
          <w:lang w:eastAsia="zh-CN"/>
        </w:rPr>
        <w:t>精密度评价研究</w:t>
      </w:r>
      <w:bookmarkEnd w:id="11"/>
    </w:p>
    <w:p w14:paraId="5BB6FB7B" w14:textId="5C4F2E44"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proofErr w:type="gramStart"/>
      <w:r w:rsidRPr="00AC2BA5">
        <w:rPr>
          <w:rFonts w:ascii="Times New Roman" w:eastAsia="宋体" w:hAnsi="Times New Roman" w:cs="宋体"/>
          <w:sz w:val="24"/>
          <w:lang w:eastAsia="zh-CN"/>
        </w:rPr>
        <w:t>应评价</w:t>
      </w:r>
      <w:proofErr w:type="gramEnd"/>
      <w:r w:rsidRPr="00AC2BA5">
        <w:rPr>
          <w:rFonts w:ascii="Times New Roman" w:eastAsia="宋体" w:hAnsi="Times New Roman" w:cs="宋体"/>
          <w:sz w:val="24"/>
          <w:lang w:eastAsia="zh-CN"/>
        </w:rPr>
        <w:t>SMBG</w:t>
      </w:r>
      <w:proofErr w:type="gramStart"/>
      <w:r w:rsidRPr="00AC2BA5">
        <w:rPr>
          <w:rFonts w:ascii="Times New Roman" w:eastAsia="宋体" w:hAnsi="Times New Roman" w:cs="宋体"/>
          <w:sz w:val="24"/>
          <w:lang w:eastAsia="zh-CN"/>
        </w:rPr>
        <w:t>的批内精密度</w:t>
      </w:r>
      <w:proofErr w:type="gramEnd"/>
      <w:r w:rsidRPr="00AC2BA5">
        <w:rPr>
          <w:rFonts w:ascii="Times New Roman" w:eastAsia="宋体" w:hAnsi="Times New Roman" w:cs="宋体"/>
          <w:sz w:val="24"/>
          <w:lang w:eastAsia="zh-CN"/>
        </w:rPr>
        <w:t>和中间精密度，并将这些评价纳入</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申报资料中。下文概述了</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目前对评价</w:t>
      </w:r>
      <w:r w:rsidRPr="00AC2BA5">
        <w:rPr>
          <w:rFonts w:ascii="Times New Roman" w:eastAsia="宋体" w:hAnsi="Times New Roman" w:cs="宋体"/>
          <w:sz w:val="24"/>
          <w:lang w:eastAsia="zh-CN"/>
        </w:rPr>
        <w:t>SMBG</w:t>
      </w:r>
      <w:proofErr w:type="gramStart"/>
      <w:r w:rsidRPr="00AC2BA5">
        <w:rPr>
          <w:rFonts w:ascii="Times New Roman" w:eastAsia="宋体" w:hAnsi="Times New Roman" w:cs="宋体"/>
          <w:sz w:val="24"/>
          <w:lang w:eastAsia="zh-CN"/>
        </w:rPr>
        <w:t>批内精密度</w:t>
      </w:r>
      <w:proofErr w:type="gramEnd"/>
      <w:r w:rsidRPr="00AC2BA5">
        <w:rPr>
          <w:rFonts w:ascii="Times New Roman" w:eastAsia="宋体" w:hAnsi="Times New Roman" w:cs="宋体"/>
          <w:sz w:val="24"/>
          <w:lang w:eastAsia="zh-CN"/>
        </w:rPr>
        <w:t>和中间精密度的适当研究设计和分析的看法。</w:t>
      </w:r>
    </w:p>
    <w:p w14:paraId="15DA7F9E"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proofErr w:type="gramStart"/>
      <w:r w:rsidRPr="00AC2BA5">
        <w:rPr>
          <w:rFonts w:ascii="Times New Roman" w:eastAsia="宋体" w:hAnsi="Times New Roman" w:cs="宋体"/>
          <w:i/>
          <w:sz w:val="24"/>
          <w:lang w:eastAsia="zh-CN"/>
        </w:rPr>
        <w:t>批内精密度</w:t>
      </w:r>
      <w:proofErr w:type="gramEnd"/>
      <w:r w:rsidRPr="00AC2BA5">
        <w:rPr>
          <w:rFonts w:ascii="Times New Roman" w:eastAsia="宋体" w:hAnsi="Times New Roman" w:cs="宋体"/>
          <w:i/>
          <w:sz w:val="24"/>
          <w:lang w:eastAsia="zh-CN"/>
        </w:rPr>
        <w:t>评价：</w:t>
      </w:r>
    </w:p>
    <w:p w14:paraId="7A5E9362"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在本指南中，</w:t>
      </w:r>
      <w:proofErr w:type="gramStart"/>
      <w:r w:rsidRPr="00AC2BA5">
        <w:rPr>
          <w:rFonts w:ascii="Times New Roman" w:eastAsia="宋体" w:hAnsi="Times New Roman" w:cs="宋体"/>
          <w:sz w:val="24"/>
          <w:lang w:eastAsia="zh-CN"/>
        </w:rPr>
        <w:t>批内精密度</w:t>
      </w:r>
      <w:proofErr w:type="gramEnd"/>
      <w:r w:rsidRPr="00AC2BA5">
        <w:rPr>
          <w:rFonts w:ascii="Times New Roman" w:eastAsia="宋体" w:hAnsi="Times New Roman" w:cs="宋体"/>
          <w:sz w:val="24"/>
          <w:lang w:eastAsia="zh-CN"/>
        </w:rPr>
        <w:t>研究是台架研究，旨在评价使用不同血糖仪和多个试纸批次重复测量相同样本时的</w:t>
      </w:r>
      <w:proofErr w:type="gramStart"/>
      <w:r w:rsidRPr="00AC2BA5">
        <w:rPr>
          <w:rFonts w:ascii="Times New Roman" w:eastAsia="宋体" w:hAnsi="Times New Roman" w:cs="宋体"/>
          <w:sz w:val="24"/>
          <w:lang w:eastAsia="zh-CN"/>
        </w:rPr>
        <w:t>不</w:t>
      </w:r>
      <w:proofErr w:type="gramEnd"/>
      <w:r w:rsidRPr="00AC2BA5">
        <w:rPr>
          <w:rFonts w:ascii="Times New Roman" w:eastAsia="宋体" w:hAnsi="Times New Roman" w:cs="宋体"/>
          <w:sz w:val="24"/>
          <w:lang w:eastAsia="zh-CN"/>
        </w:rPr>
        <w:t>精密度。为了评估</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在声明的测量范围内的</w:t>
      </w:r>
      <w:proofErr w:type="gramStart"/>
      <w:r w:rsidRPr="00AC2BA5">
        <w:rPr>
          <w:rFonts w:ascii="Times New Roman" w:eastAsia="宋体" w:hAnsi="Times New Roman" w:cs="宋体"/>
          <w:sz w:val="24"/>
          <w:lang w:eastAsia="zh-CN"/>
        </w:rPr>
        <w:t>不</w:t>
      </w:r>
      <w:proofErr w:type="gramEnd"/>
      <w:r w:rsidRPr="00AC2BA5">
        <w:rPr>
          <w:rFonts w:ascii="Times New Roman" w:eastAsia="宋体" w:hAnsi="Times New Roman" w:cs="宋体"/>
          <w:sz w:val="24"/>
          <w:lang w:eastAsia="zh-CN"/>
        </w:rPr>
        <w:t>精密度，应使用血糖浓度在下面表</w:t>
      </w:r>
      <w:r w:rsidRPr="00AC2BA5">
        <w:rPr>
          <w:rFonts w:ascii="Times New Roman" w:eastAsia="宋体" w:hAnsi="Times New Roman" w:cs="宋体"/>
          <w:sz w:val="24"/>
          <w:lang w:eastAsia="zh-CN"/>
        </w:rPr>
        <w:t>1</w:t>
      </w:r>
      <w:r w:rsidRPr="00AC2BA5">
        <w:rPr>
          <w:rFonts w:ascii="Times New Roman" w:eastAsia="宋体" w:hAnsi="Times New Roman" w:cs="宋体"/>
          <w:sz w:val="24"/>
          <w:lang w:eastAsia="zh-CN"/>
        </w:rPr>
        <w:t>中所示的五个区间内的样本进行评价：</w:t>
      </w:r>
    </w:p>
    <w:p w14:paraId="1948FF47" w14:textId="77777777" w:rsidR="000460CB" w:rsidRPr="00AC2BA5" w:rsidRDefault="00B8550C" w:rsidP="000102EB">
      <w:pPr>
        <w:pStyle w:val="3"/>
        <w:adjustRightInd w:val="0"/>
        <w:snapToGrid w:val="0"/>
        <w:spacing w:beforeLines="50" w:before="120" w:line="300" w:lineRule="auto"/>
        <w:ind w:leftChars="193" w:left="425" w:firstLine="0"/>
        <w:jc w:val="both"/>
        <w:rPr>
          <w:rFonts w:eastAsia="宋体" w:cs="Times New Roman"/>
          <w:b w:val="0"/>
          <w:bCs w:val="0"/>
          <w:snapToGrid w:val="0"/>
          <w:lang w:eastAsia="zh-CN"/>
        </w:rPr>
      </w:pPr>
      <w:r w:rsidRPr="00AC2BA5">
        <w:rPr>
          <w:rFonts w:eastAsia="宋体" w:cs="宋体"/>
          <w:lang w:eastAsia="zh-CN"/>
        </w:rPr>
        <w:t>表</w:t>
      </w:r>
      <w:r w:rsidRPr="00AC2BA5">
        <w:rPr>
          <w:rFonts w:eastAsia="宋体" w:cs="宋体"/>
          <w:lang w:eastAsia="zh-CN"/>
        </w:rPr>
        <w:t>1.</w:t>
      </w:r>
      <w:r w:rsidRPr="00AC2BA5">
        <w:rPr>
          <w:rFonts w:eastAsia="宋体" w:cs="宋体"/>
          <w:lang w:eastAsia="zh-CN"/>
        </w:rPr>
        <w:t>用于精密度评价的血糖浓度</w:t>
      </w:r>
    </w:p>
    <w:tbl>
      <w:tblPr>
        <w:tblStyle w:val="TableNormal"/>
        <w:tblW w:w="0" w:type="auto"/>
        <w:tblInd w:w="720" w:type="dxa"/>
        <w:tblLayout w:type="fixed"/>
        <w:tblCellMar>
          <w:left w:w="108" w:type="dxa"/>
          <w:right w:w="108" w:type="dxa"/>
        </w:tblCellMar>
        <w:tblLook w:val="01E0" w:firstRow="1" w:lastRow="1" w:firstColumn="1" w:lastColumn="1" w:noHBand="0" w:noVBand="0"/>
      </w:tblPr>
      <w:tblGrid>
        <w:gridCol w:w="1818"/>
        <w:gridCol w:w="3240"/>
      </w:tblGrid>
      <w:tr w:rsidR="000460CB" w:rsidRPr="00AC2BA5" w14:paraId="44E1A7D8" w14:textId="77777777" w:rsidTr="00315D79">
        <w:tc>
          <w:tcPr>
            <w:tcW w:w="1818" w:type="dxa"/>
            <w:tcBorders>
              <w:top w:val="single" w:sz="5" w:space="0" w:color="000000"/>
              <w:left w:val="single" w:sz="5" w:space="0" w:color="000000"/>
              <w:bottom w:val="single" w:sz="5" w:space="0" w:color="000000"/>
              <w:right w:val="single" w:sz="5" w:space="0" w:color="000000"/>
            </w:tcBorders>
          </w:tcPr>
          <w:p w14:paraId="2076173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间隔</w:t>
            </w:r>
            <w:proofErr w:type="spellEnd"/>
          </w:p>
        </w:tc>
        <w:tc>
          <w:tcPr>
            <w:tcW w:w="3240" w:type="dxa"/>
            <w:tcBorders>
              <w:top w:val="single" w:sz="5" w:space="0" w:color="000000"/>
              <w:left w:val="single" w:sz="5" w:space="0" w:color="000000"/>
              <w:bottom w:val="single" w:sz="5" w:space="0" w:color="000000"/>
              <w:right w:val="single" w:sz="5" w:space="0" w:color="000000"/>
            </w:tcBorders>
          </w:tcPr>
          <w:p w14:paraId="6D6488D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血糖浓度范围（</w:t>
            </w:r>
            <w:r w:rsidRPr="00AC2BA5">
              <w:rPr>
                <w:rFonts w:ascii="Times New Roman" w:eastAsia="宋体" w:hAnsi="Times New Roman" w:cs="宋体"/>
                <w:b/>
                <w:sz w:val="21"/>
                <w:lang w:eastAsia="zh-CN"/>
              </w:rPr>
              <w:t>mg/dL</w:t>
            </w:r>
            <w:r w:rsidRPr="00AC2BA5">
              <w:rPr>
                <w:rFonts w:ascii="Times New Roman" w:eastAsia="宋体" w:hAnsi="Times New Roman" w:cs="宋体"/>
                <w:b/>
                <w:sz w:val="21"/>
                <w:lang w:eastAsia="zh-CN"/>
              </w:rPr>
              <w:t>）</w:t>
            </w:r>
          </w:p>
        </w:tc>
      </w:tr>
      <w:tr w:rsidR="000460CB" w:rsidRPr="00AC2BA5" w14:paraId="46BC9EA9" w14:textId="77777777" w:rsidTr="00315D79">
        <w:tc>
          <w:tcPr>
            <w:tcW w:w="1818" w:type="dxa"/>
            <w:tcBorders>
              <w:top w:val="single" w:sz="5" w:space="0" w:color="000000"/>
              <w:left w:val="single" w:sz="5" w:space="0" w:color="000000"/>
              <w:bottom w:val="single" w:sz="5" w:space="0" w:color="000000"/>
              <w:right w:val="single" w:sz="5" w:space="0" w:color="000000"/>
            </w:tcBorders>
          </w:tcPr>
          <w:p w14:paraId="1FF0F54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w:t>
            </w:r>
          </w:p>
        </w:tc>
        <w:tc>
          <w:tcPr>
            <w:tcW w:w="3240" w:type="dxa"/>
            <w:tcBorders>
              <w:top w:val="single" w:sz="5" w:space="0" w:color="000000"/>
              <w:left w:val="single" w:sz="5" w:space="0" w:color="000000"/>
              <w:bottom w:val="single" w:sz="5" w:space="0" w:color="000000"/>
              <w:right w:val="single" w:sz="5" w:space="0" w:color="000000"/>
            </w:tcBorders>
          </w:tcPr>
          <w:p w14:paraId="79FF005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30-50</w:t>
            </w:r>
          </w:p>
        </w:tc>
      </w:tr>
      <w:tr w:rsidR="000460CB" w:rsidRPr="00AC2BA5" w14:paraId="33238C94" w14:textId="77777777" w:rsidTr="00315D79">
        <w:tc>
          <w:tcPr>
            <w:tcW w:w="1818" w:type="dxa"/>
            <w:tcBorders>
              <w:top w:val="single" w:sz="5" w:space="0" w:color="000000"/>
              <w:left w:val="single" w:sz="5" w:space="0" w:color="000000"/>
              <w:bottom w:val="single" w:sz="5" w:space="0" w:color="000000"/>
              <w:right w:val="single" w:sz="5" w:space="0" w:color="000000"/>
            </w:tcBorders>
          </w:tcPr>
          <w:p w14:paraId="4D1F94E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w:t>
            </w:r>
          </w:p>
        </w:tc>
        <w:tc>
          <w:tcPr>
            <w:tcW w:w="3240" w:type="dxa"/>
            <w:tcBorders>
              <w:top w:val="single" w:sz="5" w:space="0" w:color="000000"/>
              <w:left w:val="single" w:sz="5" w:space="0" w:color="000000"/>
              <w:bottom w:val="single" w:sz="5" w:space="0" w:color="000000"/>
              <w:right w:val="single" w:sz="5" w:space="0" w:color="000000"/>
            </w:tcBorders>
          </w:tcPr>
          <w:p w14:paraId="4F9F739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51-110</w:t>
            </w:r>
          </w:p>
        </w:tc>
      </w:tr>
      <w:tr w:rsidR="000460CB" w:rsidRPr="00AC2BA5" w14:paraId="7B491391" w14:textId="77777777" w:rsidTr="00315D79">
        <w:tc>
          <w:tcPr>
            <w:tcW w:w="1818" w:type="dxa"/>
            <w:tcBorders>
              <w:top w:val="single" w:sz="5" w:space="0" w:color="000000"/>
              <w:left w:val="single" w:sz="5" w:space="0" w:color="000000"/>
              <w:bottom w:val="single" w:sz="5" w:space="0" w:color="000000"/>
              <w:right w:val="single" w:sz="5" w:space="0" w:color="000000"/>
            </w:tcBorders>
          </w:tcPr>
          <w:p w14:paraId="75D4E03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w:t>
            </w:r>
          </w:p>
        </w:tc>
        <w:tc>
          <w:tcPr>
            <w:tcW w:w="3240" w:type="dxa"/>
            <w:tcBorders>
              <w:top w:val="single" w:sz="5" w:space="0" w:color="000000"/>
              <w:left w:val="single" w:sz="5" w:space="0" w:color="000000"/>
              <w:bottom w:val="single" w:sz="5" w:space="0" w:color="000000"/>
              <w:right w:val="single" w:sz="5" w:space="0" w:color="000000"/>
            </w:tcBorders>
          </w:tcPr>
          <w:p w14:paraId="02AB28C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111-150</w:t>
            </w:r>
          </w:p>
        </w:tc>
      </w:tr>
      <w:tr w:rsidR="000460CB" w:rsidRPr="00AC2BA5" w14:paraId="25BA6515" w14:textId="77777777" w:rsidTr="00315D79">
        <w:tc>
          <w:tcPr>
            <w:tcW w:w="1818" w:type="dxa"/>
            <w:tcBorders>
              <w:top w:val="single" w:sz="5" w:space="0" w:color="000000"/>
              <w:left w:val="single" w:sz="5" w:space="0" w:color="000000"/>
              <w:bottom w:val="single" w:sz="5" w:space="0" w:color="000000"/>
              <w:right w:val="single" w:sz="5" w:space="0" w:color="000000"/>
            </w:tcBorders>
          </w:tcPr>
          <w:p w14:paraId="3D808C6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w:t>
            </w:r>
          </w:p>
        </w:tc>
        <w:tc>
          <w:tcPr>
            <w:tcW w:w="3240" w:type="dxa"/>
            <w:tcBorders>
              <w:top w:val="single" w:sz="5" w:space="0" w:color="000000"/>
              <w:left w:val="single" w:sz="5" w:space="0" w:color="000000"/>
              <w:bottom w:val="single" w:sz="5" w:space="0" w:color="000000"/>
              <w:right w:val="single" w:sz="5" w:space="0" w:color="000000"/>
            </w:tcBorders>
          </w:tcPr>
          <w:p w14:paraId="0796229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151-250</w:t>
            </w:r>
          </w:p>
        </w:tc>
      </w:tr>
      <w:tr w:rsidR="000460CB" w:rsidRPr="00AC2BA5" w14:paraId="3B1F29CF" w14:textId="77777777" w:rsidTr="00315D79">
        <w:tc>
          <w:tcPr>
            <w:tcW w:w="1818" w:type="dxa"/>
            <w:tcBorders>
              <w:top w:val="single" w:sz="5" w:space="0" w:color="000000"/>
              <w:left w:val="single" w:sz="5" w:space="0" w:color="000000"/>
              <w:bottom w:val="single" w:sz="5" w:space="0" w:color="000000"/>
              <w:right w:val="single" w:sz="5" w:space="0" w:color="000000"/>
            </w:tcBorders>
          </w:tcPr>
          <w:p w14:paraId="7AC4A91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w:t>
            </w:r>
          </w:p>
        </w:tc>
        <w:tc>
          <w:tcPr>
            <w:tcW w:w="3240" w:type="dxa"/>
            <w:tcBorders>
              <w:top w:val="single" w:sz="5" w:space="0" w:color="000000"/>
              <w:left w:val="single" w:sz="5" w:space="0" w:color="000000"/>
              <w:bottom w:val="single" w:sz="5" w:space="0" w:color="000000"/>
              <w:right w:val="single" w:sz="5" w:space="0" w:color="000000"/>
            </w:tcBorders>
          </w:tcPr>
          <w:p w14:paraId="659909F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251-400</w:t>
            </w:r>
          </w:p>
        </w:tc>
      </w:tr>
    </w:tbl>
    <w:p w14:paraId="3593BA13"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应使用静脉全血样</w:t>
      </w:r>
      <w:proofErr w:type="gramStart"/>
      <w:r w:rsidRPr="00AC2BA5">
        <w:rPr>
          <w:rFonts w:ascii="Times New Roman" w:eastAsia="宋体" w:hAnsi="Times New Roman" w:cs="宋体"/>
          <w:sz w:val="24"/>
          <w:lang w:eastAsia="zh-CN"/>
        </w:rPr>
        <w:t>本确定批内</w:t>
      </w:r>
      <w:proofErr w:type="gramEnd"/>
      <w:r w:rsidRPr="00AC2BA5">
        <w:rPr>
          <w:rFonts w:ascii="Times New Roman" w:eastAsia="宋体" w:hAnsi="Times New Roman" w:cs="宋体"/>
          <w:sz w:val="24"/>
          <w:lang w:eastAsia="zh-CN"/>
        </w:rPr>
        <w:t>精密度。可以使用经过处理的静脉全血样本，例如加标、稀释或经过糖酵解以获得适当血糖浓度的样本，以便覆盖声明的整个血糖测量范围。但是，应在提交的所有数据中明确注明所有经过处理（加标、稀释或糖酵解）的样本。本研究应使用来自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个小瓶和</w:t>
      </w: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个生产批次的至少</w:t>
      </w:r>
      <w:r w:rsidRPr="00AC2BA5">
        <w:rPr>
          <w:rFonts w:ascii="Times New Roman" w:eastAsia="宋体" w:hAnsi="Times New Roman" w:cs="宋体"/>
          <w:sz w:val="24"/>
          <w:lang w:eastAsia="zh-CN"/>
        </w:rPr>
        <w:t>500</w:t>
      </w:r>
      <w:r w:rsidRPr="00AC2BA5">
        <w:rPr>
          <w:rFonts w:ascii="Times New Roman" w:eastAsia="宋体" w:hAnsi="Times New Roman" w:cs="宋体"/>
          <w:sz w:val="24"/>
          <w:lang w:eastAsia="zh-CN"/>
        </w:rPr>
        <w:t>个试纸。对于每个样本浓度，应使用至少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台血糖仪，每台血糖</w:t>
      </w:r>
      <w:proofErr w:type="gramStart"/>
      <w:r w:rsidRPr="00AC2BA5">
        <w:rPr>
          <w:rFonts w:ascii="Times New Roman" w:eastAsia="宋体" w:hAnsi="Times New Roman" w:cs="宋体"/>
          <w:sz w:val="24"/>
          <w:lang w:eastAsia="zh-CN"/>
        </w:rPr>
        <w:t>仪至少</w:t>
      </w:r>
      <w:proofErr w:type="gramEnd"/>
      <w:r w:rsidRPr="00AC2BA5">
        <w:rPr>
          <w:rFonts w:ascii="Times New Roman" w:eastAsia="宋体" w:hAnsi="Times New Roman" w:cs="宋体"/>
          <w:sz w:val="24"/>
          <w:lang w:eastAsia="zh-CN"/>
        </w:rPr>
        <w:t>进行</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次测量（即，每个浓度至少</w:t>
      </w:r>
      <w:r w:rsidRPr="00AC2BA5">
        <w:rPr>
          <w:rFonts w:ascii="Times New Roman" w:eastAsia="宋体" w:hAnsi="Times New Roman" w:cs="宋体"/>
          <w:sz w:val="24"/>
          <w:lang w:eastAsia="zh-CN"/>
        </w:rPr>
        <w:t>100</w:t>
      </w:r>
      <w:r w:rsidRPr="00AC2BA5">
        <w:rPr>
          <w:rFonts w:ascii="Times New Roman" w:eastAsia="宋体" w:hAnsi="Times New Roman" w:cs="宋体"/>
          <w:sz w:val="24"/>
          <w:lang w:eastAsia="zh-CN"/>
        </w:rPr>
        <w:t>次测量）。对于每台血糖仪，试纸应取自同一小瓶和</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或包装。</w:t>
      </w:r>
    </w:p>
    <w:p w14:paraId="7F563680"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本机构建议，针对每个血糖浓度范围，将结果表示为每台血糖仪的所有测量值的平均值，以及相应的标准差（</w:t>
      </w:r>
      <w:r w:rsidRPr="00AC2BA5">
        <w:rPr>
          <w:rFonts w:ascii="Times New Roman" w:eastAsia="宋体" w:hAnsi="Times New Roman" w:cs="宋体"/>
          <w:sz w:val="24"/>
          <w:lang w:eastAsia="zh-CN"/>
        </w:rPr>
        <w:t>SD</w:t>
      </w:r>
      <w:r w:rsidRPr="00AC2BA5">
        <w:rPr>
          <w:rFonts w:ascii="Times New Roman" w:eastAsia="宋体" w:hAnsi="Times New Roman" w:cs="宋体"/>
          <w:sz w:val="24"/>
          <w:lang w:eastAsia="zh-CN"/>
        </w:rPr>
        <w:t>）和变异系数百分比（</w:t>
      </w:r>
      <w:r w:rsidRPr="00AC2BA5">
        <w:rPr>
          <w:rFonts w:ascii="Times New Roman" w:eastAsia="宋体" w:hAnsi="Times New Roman" w:cs="宋体"/>
          <w:sz w:val="24"/>
          <w:lang w:eastAsia="zh-CN"/>
        </w:rPr>
        <w:t>CV</w:t>
      </w:r>
      <w:r w:rsidRPr="00AC2BA5">
        <w:rPr>
          <w:rFonts w:ascii="Times New Roman" w:eastAsia="宋体" w:hAnsi="Times New Roman" w:cs="宋体"/>
          <w:sz w:val="24"/>
          <w:lang w:eastAsia="zh-CN"/>
        </w:rPr>
        <w:t>）。此外，对于表</w:t>
      </w:r>
      <w:r w:rsidRPr="00AC2BA5">
        <w:rPr>
          <w:rFonts w:ascii="Times New Roman" w:eastAsia="宋体" w:hAnsi="Times New Roman" w:cs="宋体"/>
          <w:sz w:val="24"/>
          <w:lang w:eastAsia="zh-CN"/>
        </w:rPr>
        <w:t>1</w:t>
      </w:r>
      <w:r w:rsidRPr="00AC2BA5">
        <w:rPr>
          <w:rFonts w:ascii="Times New Roman" w:eastAsia="宋体" w:hAnsi="Times New Roman" w:cs="宋体"/>
          <w:sz w:val="24"/>
          <w:lang w:eastAsia="zh-CN"/>
        </w:rPr>
        <w:t>中的每个血糖浓度范围，还应提供所有血糖仪的合并数据的平均值、标准差（</w:t>
      </w:r>
      <w:r w:rsidRPr="00AC2BA5">
        <w:rPr>
          <w:rFonts w:ascii="Times New Roman" w:eastAsia="宋体" w:hAnsi="Times New Roman" w:cs="宋体"/>
          <w:sz w:val="24"/>
          <w:lang w:eastAsia="zh-CN"/>
        </w:rPr>
        <w:t>95%</w:t>
      </w:r>
      <w:r w:rsidRPr="00AC2BA5">
        <w:rPr>
          <w:rFonts w:ascii="Times New Roman" w:eastAsia="宋体" w:hAnsi="Times New Roman" w:cs="宋体"/>
          <w:sz w:val="24"/>
          <w:lang w:eastAsia="zh-CN"/>
        </w:rPr>
        <w:t>置信区间）和</w:t>
      </w:r>
      <w:r w:rsidRPr="00AC2BA5">
        <w:rPr>
          <w:rFonts w:ascii="Times New Roman" w:eastAsia="宋体" w:hAnsi="Times New Roman" w:cs="宋体"/>
          <w:sz w:val="24"/>
          <w:lang w:eastAsia="zh-CN"/>
        </w:rPr>
        <w:t>CV</w:t>
      </w:r>
      <w:r w:rsidRPr="00AC2BA5">
        <w:rPr>
          <w:rFonts w:ascii="Times New Roman" w:eastAsia="宋体" w:hAnsi="Times New Roman" w:cs="宋体"/>
          <w:sz w:val="24"/>
          <w:lang w:eastAsia="zh-CN"/>
        </w:rPr>
        <w:t>百分比。应说明分析中使用的统计程序。</w:t>
      </w:r>
    </w:p>
    <w:p w14:paraId="2975D745"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提供的结果应基于所有数据；如果任何统计分析中排除了任何离群值样本，应充分说明离群值确定方法，注明排除的样本，并提供离群值样本的根本原因调查结果。</w:t>
      </w:r>
    </w:p>
    <w:p w14:paraId="28D034D4"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中间精密度评价：</w:t>
      </w:r>
    </w:p>
    <w:p w14:paraId="56877CC9" w14:textId="77777777" w:rsidR="000B1E43" w:rsidRPr="00AC2BA5" w:rsidRDefault="000B1E43"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bookmarkStart w:id="12" w:name="B._Linearity_Evaluation_Study"/>
      <w:bookmarkStart w:id="13" w:name="Method_Comparison/User_Evaluation"/>
      <w:bookmarkStart w:id="14" w:name="General_Study_Design:"/>
      <w:bookmarkEnd w:id="12"/>
      <w:bookmarkEnd w:id="13"/>
      <w:bookmarkEnd w:id="14"/>
    </w:p>
    <w:p w14:paraId="26CB07B5" w14:textId="77777777" w:rsidR="000B1E43" w:rsidRPr="00AC2BA5" w:rsidRDefault="000B1E43"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55F378AE"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中间精密度测量研究是台架研究，旨在评价模拟正常使用条件下的</w:t>
      </w:r>
      <w:proofErr w:type="gramStart"/>
      <w:r w:rsidRPr="00AC2BA5">
        <w:rPr>
          <w:rFonts w:ascii="Times New Roman" w:eastAsia="宋体" w:hAnsi="Times New Roman" w:cs="宋体"/>
          <w:sz w:val="24"/>
          <w:lang w:eastAsia="zh-CN"/>
        </w:rPr>
        <w:t>不</w:t>
      </w:r>
      <w:proofErr w:type="gramEnd"/>
      <w:r w:rsidRPr="00AC2BA5">
        <w:rPr>
          <w:rFonts w:ascii="Times New Roman" w:eastAsia="宋体" w:hAnsi="Times New Roman" w:cs="宋体"/>
          <w:sz w:val="24"/>
          <w:lang w:eastAsia="zh-CN"/>
        </w:rPr>
        <w:t>精密度；例如，使用多个试剂系统批次进行多日测量。这些研究可以使用制备的</w:t>
      </w:r>
      <w:proofErr w:type="gramStart"/>
      <w:r w:rsidRPr="00AC2BA5">
        <w:rPr>
          <w:rFonts w:ascii="Times New Roman" w:eastAsia="宋体" w:hAnsi="Times New Roman" w:cs="宋体"/>
          <w:sz w:val="24"/>
          <w:lang w:eastAsia="zh-CN"/>
        </w:rPr>
        <w:t>质控品溶液</w:t>
      </w:r>
      <w:proofErr w:type="gramEnd"/>
      <w:r w:rsidRPr="00AC2BA5">
        <w:rPr>
          <w:rFonts w:ascii="Times New Roman" w:eastAsia="宋体" w:hAnsi="Times New Roman" w:cs="宋体"/>
          <w:sz w:val="24"/>
          <w:lang w:eastAsia="zh-CN"/>
        </w:rPr>
        <w:t>而不是全血样本进行。</w:t>
      </w:r>
    </w:p>
    <w:p w14:paraId="78698173" w14:textId="1831D48A"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这些研究中的血糖仪和操作员总数由申</w:t>
      </w:r>
      <w:r w:rsidR="006D439A">
        <w:rPr>
          <w:rFonts w:ascii="Times New Roman" w:eastAsia="宋体" w:hAnsi="Times New Roman" w:cs="宋体" w:hint="eastAsia"/>
          <w:sz w:val="24"/>
          <w:lang w:eastAsia="zh-CN"/>
        </w:rPr>
        <w:t>请</w:t>
      </w:r>
      <w:r w:rsidRPr="00AC2BA5">
        <w:rPr>
          <w:rFonts w:ascii="Times New Roman" w:eastAsia="宋体" w:hAnsi="Times New Roman" w:cs="宋体"/>
          <w:sz w:val="24"/>
          <w:lang w:eastAsia="zh-CN"/>
        </w:rPr>
        <w:t>方自行决定；但是，每个血糖浓度应使用至少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台血糖仪。中间精密度评价应在至少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天内完成，每天用每台血糖仪对表</w:t>
      </w:r>
      <w:r w:rsidRPr="00AC2BA5">
        <w:rPr>
          <w:rFonts w:ascii="Times New Roman" w:eastAsia="宋体" w:hAnsi="Times New Roman" w:cs="宋体"/>
          <w:sz w:val="24"/>
          <w:lang w:eastAsia="zh-CN"/>
        </w:rPr>
        <w:t>1</w:t>
      </w:r>
      <w:r w:rsidRPr="00AC2BA5">
        <w:rPr>
          <w:rFonts w:ascii="Times New Roman" w:eastAsia="宋体" w:hAnsi="Times New Roman" w:cs="宋体"/>
          <w:sz w:val="24"/>
          <w:lang w:eastAsia="zh-CN"/>
        </w:rPr>
        <w:t>中所列的每个血糖浓度区间的样本进行至少</w:t>
      </w:r>
      <w:r w:rsidRPr="00AC2BA5">
        <w:rPr>
          <w:rFonts w:ascii="Times New Roman" w:eastAsia="宋体" w:hAnsi="Times New Roman" w:cs="宋体"/>
          <w:sz w:val="24"/>
          <w:lang w:eastAsia="zh-CN"/>
        </w:rPr>
        <w:t>1</w:t>
      </w:r>
      <w:r w:rsidRPr="00AC2BA5">
        <w:rPr>
          <w:rFonts w:ascii="Times New Roman" w:eastAsia="宋体" w:hAnsi="Times New Roman" w:cs="宋体"/>
          <w:sz w:val="24"/>
          <w:lang w:eastAsia="zh-CN"/>
        </w:rPr>
        <w:t>次测量。这样，对于每个血糖浓度，每台血糖</w:t>
      </w:r>
      <w:proofErr w:type="gramStart"/>
      <w:r w:rsidRPr="00AC2BA5">
        <w:rPr>
          <w:rFonts w:ascii="Times New Roman" w:eastAsia="宋体" w:hAnsi="Times New Roman" w:cs="宋体"/>
          <w:sz w:val="24"/>
          <w:lang w:eastAsia="zh-CN"/>
        </w:rPr>
        <w:t>仪至少</w:t>
      </w:r>
      <w:proofErr w:type="gramEnd"/>
      <w:r w:rsidRPr="00AC2BA5">
        <w:rPr>
          <w:rFonts w:ascii="Times New Roman" w:eastAsia="宋体" w:hAnsi="Times New Roman" w:cs="宋体"/>
          <w:sz w:val="24"/>
          <w:lang w:eastAsia="zh-CN"/>
        </w:rPr>
        <w:t>得出</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个测量结果，每个浓度共得到</w:t>
      </w:r>
      <w:r w:rsidRPr="00AC2BA5">
        <w:rPr>
          <w:rFonts w:ascii="Times New Roman" w:eastAsia="宋体" w:hAnsi="Times New Roman" w:cs="宋体"/>
          <w:sz w:val="24"/>
          <w:lang w:eastAsia="zh-CN"/>
        </w:rPr>
        <w:t>100</w:t>
      </w:r>
      <w:r w:rsidRPr="00AC2BA5">
        <w:rPr>
          <w:rFonts w:ascii="Times New Roman" w:eastAsia="宋体" w:hAnsi="Times New Roman" w:cs="宋体"/>
          <w:sz w:val="24"/>
          <w:lang w:eastAsia="zh-CN"/>
        </w:rPr>
        <w:t>个测量结果。应使用来自至少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个小瓶或包装、覆盖至少</w:t>
      </w: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个生产批次的至少</w:t>
      </w:r>
      <w:r w:rsidRPr="00AC2BA5">
        <w:rPr>
          <w:rFonts w:ascii="Times New Roman" w:eastAsia="宋体" w:hAnsi="Times New Roman" w:cs="宋体"/>
          <w:sz w:val="24"/>
          <w:lang w:eastAsia="zh-CN"/>
        </w:rPr>
        <w:t>500</w:t>
      </w:r>
      <w:r w:rsidRPr="00AC2BA5">
        <w:rPr>
          <w:rFonts w:ascii="Times New Roman" w:eastAsia="宋体" w:hAnsi="Times New Roman" w:cs="宋体"/>
          <w:sz w:val="24"/>
          <w:lang w:eastAsia="zh-CN"/>
        </w:rPr>
        <w:t>个试纸。对于每台血糖仪，这些试纸应取自同一小瓶和</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或包装。</w:t>
      </w:r>
    </w:p>
    <w:p w14:paraId="02981B9B"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对于表</w:t>
      </w:r>
      <w:r w:rsidRPr="00AC2BA5">
        <w:rPr>
          <w:rFonts w:ascii="Times New Roman" w:eastAsia="宋体" w:hAnsi="Times New Roman" w:cs="宋体"/>
          <w:sz w:val="24"/>
          <w:lang w:eastAsia="zh-CN"/>
        </w:rPr>
        <w:t>1</w:t>
      </w:r>
      <w:r w:rsidRPr="00AC2BA5">
        <w:rPr>
          <w:rFonts w:ascii="Times New Roman" w:eastAsia="宋体" w:hAnsi="Times New Roman" w:cs="宋体"/>
          <w:sz w:val="24"/>
          <w:lang w:eastAsia="zh-CN"/>
        </w:rPr>
        <w:t>中的每个血糖浓度，应提供每个试纸批次以及合并批次的数据，包括每台血糖仪测量值的平均值以及相应的标准差（</w:t>
      </w:r>
      <w:r w:rsidRPr="00AC2BA5">
        <w:rPr>
          <w:rFonts w:ascii="Times New Roman" w:eastAsia="宋体" w:hAnsi="Times New Roman" w:cs="宋体"/>
          <w:sz w:val="24"/>
          <w:lang w:eastAsia="zh-CN"/>
        </w:rPr>
        <w:t>SD</w:t>
      </w:r>
      <w:r w:rsidRPr="00AC2BA5">
        <w:rPr>
          <w:rFonts w:ascii="Times New Roman" w:eastAsia="宋体" w:hAnsi="Times New Roman" w:cs="宋体"/>
          <w:sz w:val="24"/>
          <w:lang w:eastAsia="zh-CN"/>
        </w:rPr>
        <w:t>）和变异系数百分比（</w:t>
      </w:r>
      <w:r w:rsidRPr="00AC2BA5">
        <w:rPr>
          <w:rFonts w:ascii="Times New Roman" w:eastAsia="宋体" w:hAnsi="Times New Roman" w:cs="宋体"/>
          <w:sz w:val="24"/>
          <w:lang w:eastAsia="zh-CN"/>
        </w:rPr>
        <w:t>CV</w:t>
      </w:r>
      <w:r w:rsidRPr="00AC2BA5">
        <w:rPr>
          <w:rFonts w:ascii="Times New Roman" w:eastAsia="宋体" w:hAnsi="Times New Roman" w:cs="宋体"/>
          <w:sz w:val="24"/>
          <w:lang w:eastAsia="zh-CN"/>
        </w:rPr>
        <w:t>）。还应提供所有血糖仪的合并数据的平均值、标准差（</w:t>
      </w:r>
      <w:r w:rsidRPr="00AC2BA5">
        <w:rPr>
          <w:rFonts w:ascii="Times New Roman" w:eastAsia="宋体" w:hAnsi="Times New Roman" w:cs="宋体"/>
          <w:sz w:val="24"/>
          <w:lang w:eastAsia="zh-CN"/>
        </w:rPr>
        <w:t>95%</w:t>
      </w:r>
      <w:r w:rsidRPr="00AC2BA5">
        <w:rPr>
          <w:rFonts w:ascii="Times New Roman" w:eastAsia="宋体" w:hAnsi="Times New Roman" w:cs="宋体"/>
          <w:sz w:val="24"/>
          <w:lang w:eastAsia="zh-CN"/>
        </w:rPr>
        <w:t>置信区间）和</w:t>
      </w:r>
      <w:r w:rsidRPr="00AC2BA5">
        <w:rPr>
          <w:rFonts w:ascii="Times New Roman" w:eastAsia="宋体" w:hAnsi="Times New Roman" w:cs="宋体"/>
          <w:sz w:val="24"/>
          <w:lang w:eastAsia="zh-CN"/>
        </w:rPr>
        <w:t>CV</w:t>
      </w:r>
      <w:r w:rsidRPr="00AC2BA5">
        <w:rPr>
          <w:rFonts w:ascii="Times New Roman" w:eastAsia="宋体" w:hAnsi="Times New Roman" w:cs="宋体"/>
          <w:sz w:val="24"/>
          <w:lang w:eastAsia="zh-CN"/>
        </w:rPr>
        <w:t>百分比。应说明所用的统计程序，并根据所有数据提供结果。如果任何统计分析中排除了任何离群值样本，应充分说明离群值确定方法，注明排除的样本，并提供离群值的根本原因调查结果。</w:t>
      </w:r>
    </w:p>
    <w:p w14:paraId="2067C27B" w14:textId="77777777" w:rsidR="000460CB" w:rsidRPr="00AC2BA5" w:rsidRDefault="0050117E" w:rsidP="000102EB">
      <w:pPr>
        <w:pStyle w:val="21"/>
        <w:rPr>
          <w:rFonts w:eastAsia="宋体"/>
          <w:lang w:eastAsia="zh-CN"/>
        </w:rPr>
      </w:pPr>
      <w:bookmarkStart w:id="15" w:name="_Toc91871169"/>
      <w:r w:rsidRPr="00AC2BA5">
        <w:rPr>
          <w:rFonts w:eastAsia="宋体" w:cs="宋体"/>
          <w:lang w:eastAsia="zh-CN"/>
        </w:rPr>
        <w:t>B.</w:t>
      </w:r>
      <w:r w:rsidRPr="00AC2BA5">
        <w:rPr>
          <w:rFonts w:eastAsia="宋体" w:cs="宋体"/>
          <w:lang w:eastAsia="zh-CN"/>
        </w:rPr>
        <w:tab/>
      </w:r>
      <w:r w:rsidRPr="00AC2BA5">
        <w:rPr>
          <w:rFonts w:eastAsia="宋体" w:cs="宋体"/>
          <w:lang w:eastAsia="zh-CN"/>
        </w:rPr>
        <w:t>线性评价研究</w:t>
      </w:r>
      <w:bookmarkEnd w:id="15"/>
    </w:p>
    <w:p w14:paraId="479CB2DD" w14:textId="1808D0BF"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proofErr w:type="gramStart"/>
      <w:r w:rsidRPr="00AC2BA5">
        <w:rPr>
          <w:rFonts w:ascii="Times New Roman" w:eastAsia="宋体" w:hAnsi="Times New Roman" w:cs="宋体"/>
          <w:sz w:val="24"/>
          <w:lang w:eastAsia="zh-CN"/>
        </w:rPr>
        <w:t>应评价</w:t>
      </w:r>
      <w:proofErr w:type="gramEnd"/>
      <w:r w:rsidRPr="00AC2BA5">
        <w:rPr>
          <w:rFonts w:ascii="Times New Roman" w:eastAsia="宋体" w:hAnsi="Times New Roman" w:cs="宋体"/>
          <w:sz w:val="24"/>
          <w:lang w:eastAsia="zh-CN"/>
        </w:rPr>
        <w:t>器械在声明的整个测量范围内的线性。本机构建议研究应包括对至少</w:t>
      </w:r>
      <w:r w:rsidRPr="00AC2BA5">
        <w:rPr>
          <w:rFonts w:ascii="Times New Roman" w:eastAsia="宋体" w:hAnsi="Times New Roman" w:cs="宋体"/>
          <w:sz w:val="24"/>
          <w:lang w:eastAsia="zh-CN"/>
        </w:rPr>
        <w:t>11</w:t>
      </w:r>
      <w:r w:rsidRPr="00AC2BA5">
        <w:rPr>
          <w:rFonts w:ascii="Times New Roman" w:eastAsia="宋体" w:hAnsi="Times New Roman" w:cs="宋体"/>
          <w:sz w:val="24"/>
          <w:lang w:eastAsia="zh-CN"/>
        </w:rPr>
        <w:t>个均匀分布的、按照</w:t>
      </w:r>
      <w:r w:rsidRPr="00AC2BA5">
        <w:rPr>
          <w:rFonts w:ascii="Times New Roman" w:eastAsia="宋体" w:hAnsi="Times New Roman" w:cs="宋体"/>
          <w:sz w:val="24"/>
          <w:lang w:eastAsia="zh-CN"/>
        </w:rPr>
        <w:t>CLSI</w:t>
      </w:r>
      <w:r w:rsidRPr="00AC2BA5">
        <w:rPr>
          <w:rFonts w:ascii="Times New Roman" w:eastAsia="宋体" w:hAnsi="Times New Roman" w:cs="宋体"/>
          <w:sz w:val="24"/>
          <w:lang w:eastAsia="zh-CN"/>
        </w:rPr>
        <w:t>文件</w:t>
      </w:r>
      <w:r w:rsidRPr="00AC2BA5">
        <w:rPr>
          <w:rFonts w:ascii="Times New Roman" w:eastAsia="宋体" w:hAnsi="Times New Roman" w:cs="宋体"/>
          <w:sz w:val="24"/>
          <w:lang w:eastAsia="zh-CN"/>
        </w:rPr>
        <w:t>EP6-A</w:t>
      </w:r>
      <w:r w:rsidR="00D9648F">
        <w:rPr>
          <w:rFonts w:ascii="Times New Roman" w:eastAsia="宋体" w:hAnsi="Times New Roman" w:cs="宋体" w:hint="eastAsia"/>
          <w:sz w:val="24"/>
          <w:lang w:eastAsia="zh-CN"/>
        </w:rPr>
        <w:t>《</w:t>
      </w:r>
      <w:r w:rsidRPr="00AC2BA5">
        <w:rPr>
          <w:rFonts w:ascii="Times New Roman" w:eastAsia="宋体" w:hAnsi="Times New Roman" w:cs="宋体"/>
          <w:sz w:val="24"/>
          <w:lang w:eastAsia="zh-CN"/>
        </w:rPr>
        <w:t>定量测量程序的线性评价：统计方法</w:t>
      </w:r>
      <w:r w:rsidR="00D9648F">
        <w:rPr>
          <w:rFonts w:ascii="Times New Roman" w:eastAsia="宋体" w:hAnsi="Times New Roman" w:cs="宋体" w:hint="eastAsia"/>
          <w:sz w:val="24"/>
          <w:lang w:eastAsia="zh-CN"/>
        </w:rPr>
        <w:t>》</w:t>
      </w:r>
      <w:r w:rsidRPr="00AC2BA5">
        <w:rPr>
          <w:rFonts w:ascii="Times New Roman" w:eastAsia="宋体" w:hAnsi="Times New Roman" w:cs="宋体"/>
          <w:sz w:val="24"/>
          <w:lang w:eastAsia="zh-CN"/>
        </w:rPr>
        <w:t>检测和分析的浓度进行评价。应使用静脉全血样本进行线性研究。可以使用经过处理的静脉全血样本，例如加标、稀释或糖酵解的样本，以便覆盖声明的整个测量范围。应在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申报资料中明确说明经过处理的样本（加标、稀释或糖酵解）的数量。</w:t>
      </w:r>
    </w:p>
    <w:p w14:paraId="6186B262"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应提交研究设计的详细描述、目标浓度、本研究中收集的所有数据的列表、从研究中得出的结果和结论的总结，以及所用统计分析的描述。</w:t>
      </w:r>
    </w:p>
    <w:p w14:paraId="07763B3D" w14:textId="77777777" w:rsidR="0050117E" w:rsidRPr="00AC2BA5" w:rsidRDefault="0050117E" w:rsidP="000102EB">
      <w:pPr>
        <w:pStyle w:val="21"/>
        <w:rPr>
          <w:rFonts w:eastAsia="宋体"/>
          <w:lang w:eastAsia="zh-CN"/>
        </w:rPr>
      </w:pPr>
      <w:bookmarkStart w:id="16" w:name="_Toc91871170"/>
      <w:r w:rsidRPr="00AC2BA5">
        <w:rPr>
          <w:rFonts w:eastAsia="宋体" w:cs="宋体"/>
          <w:lang w:eastAsia="zh-CN"/>
        </w:rPr>
        <w:t>C.</w:t>
      </w:r>
      <w:r w:rsidRPr="00AC2BA5">
        <w:rPr>
          <w:rFonts w:eastAsia="宋体" w:cs="宋体"/>
          <w:lang w:eastAsia="zh-CN"/>
        </w:rPr>
        <w:tab/>
      </w:r>
      <w:r w:rsidRPr="00AC2BA5">
        <w:rPr>
          <w:rFonts w:eastAsia="宋体" w:cs="宋体"/>
          <w:lang w:eastAsia="zh-CN"/>
        </w:rPr>
        <w:t>方法比较</w:t>
      </w:r>
      <w:r w:rsidRPr="00AC2BA5">
        <w:rPr>
          <w:rFonts w:eastAsia="宋体" w:cs="宋体"/>
          <w:lang w:eastAsia="zh-CN"/>
        </w:rPr>
        <w:t>/</w:t>
      </w:r>
      <w:r w:rsidRPr="00AC2BA5">
        <w:rPr>
          <w:rFonts w:eastAsia="宋体" w:cs="宋体"/>
          <w:lang w:eastAsia="zh-CN"/>
        </w:rPr>
        <w:t>用户评价</w:t>
      </w:r>
      <w:bookmarkEnd w:id="16"/>
    </w:p>
    <w:p w14:paraId="5DCB3A45" w14:textId="77777777" w:rsidR="000460CB" w:rsidRPr="00AC2BA5" w:rsidRDefault="0050117E" w:rsidP="000102EB">
      <w:pPr>
        <w:pStyle w:val="31"/>
        <w:rPr>
          <w:rFonts w:eastAsia="宋体"/>
          <w:lang w:eastAsia="zh-CN"/>
        </w:rPr>
      </w:pPr>
      <w:bookmarkStart w:id="17" w:name="_Toc91871171"/>
      <w:r w:rsidRPr="00AC2BA5">
        <w:rPr>
          <w:rFonts w:eastAsia="宋体" w:cs="宋体"/>
          <w:lang w:eastAsia="zh-CN"/>
        </w:rPr>
        <w:t>1.</w:t>
      </w:r>
      <w:r w:rsidRPr="00AC2BA5">
        <w:rPr>
          <w:rFonts w:eastAsia="宋体" w:cs="宋体"/>
          <w:lang w:eastAsia="zh-CN"/>
        </w:rPr>
        <w:tab/>
      </w:r>
      <w:r w:rsidRPr="00AC2BA5">
        <w:rPr>
          <w:rFonts w:eastAsia="宋体" w:cs="宋体"/>
          <w:u w:val="single"/>
          <w:lang w:eastAsia="zh-CN"/>
        </w:rPr>
        <w:t>一般研究设计：</w:t>
      </w:r>
      <w:bookmarkEnd w:id="17"/>
    </w:p>
    <w:p w14:paraId="58876239" w14:textId="336A1C45"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建议设计一项单独的评价来评估系统由预期用户操作时的准确度以及支持非专业使用的其他方面，例如标签和可用性评估。此类设计会更准确地反映器械由预期用户操作时的性能，从而更好地估计</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的总体准确度。</w:t>
      </w:r>
    </w:p>
    <w:p w14:paraId="5CD019E5" w14:textId="77777777" w:rsidR="00A66084" w:rsidRPr="00AC2BA5" w:rsidRDefault="00A6608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367E4354" w14:textId="253CFFDD"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FDA</w:t>
      </w:r>
      <w:r w:rsidRPr="00AC2BA5">
        <w:rPr>
          <w:rFonts w:ascii="Times New Roman" w:eastAsia="宋体" w:hAnsi="Times New Roman" w:cs="宋体"/>
          <w:sz w:val="24"/>
          <w:lang w:eastAsia="zh-CN"/>
        </w:rPr>
        <w:t>承认，为</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申报资料执行的大多数研究评价都是在理想条件下进行，因此即使是由预期用户操作，也可能会高估</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总体准确度。重要的是，研究设计应能最准确地评价器械由预期使用人群操作时的性能。因此，研究应在反映器械预期用途和预期使用人群的条件（例如，温度、湿度、海拔高度等）下进行，但不需要包含整个环境条件范围（环境条件在下面第</w:t>
      </w:r>
      <w:r w:rsidRPr="00AC2BA5">
        <w:rPr>
          <w:rFonts w:ascii="Times New Roman" w:eastAsia="宋体" w:hAnsi="Times New Roman" w:cs="宋体"/>
          <w:sz w:val="24"/>
          <w:lang w:eastAsia="zh-CN"/>
        </w:rPr>
        <w:t>VI.E</w:t>
      </w:r>
      <w:r w:rsidRPr="00AC2BA5">
        <w:rPr>
          <w:rFonts w:ascii="Times New Roman" w:eastAsia="宋体" w:hAnsi="Times New Roman" w:cs="宋体"/>
          <w:sz w:val="24"/>
          <w:lang w:eastAsia="zh-CN"/>
        </w:rPr>
        <w:t>节中讨论的</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研究中单独确认）。应在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申报资料中充分描述研究条件。</w:t>
      </w:r>
    </w:p>
    <w:p w14:paraId="24E9BEE4" w14:textId="4E74E914"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用户评价中应包括至少</w:t>
      </w:r>
      <w:r w:rsidRPr="00AC2BA5">
        <w:rPr>
          <w:rFonts w:ascii="Times New Roman" w:eastAsia="宋体" w:hAnsi="Times New Roman" w:cs="宋体"/>
          <w:sz w:val="24"/>
          <w:lang w:eastAsia="zh-CN"/>
        </w:rPr>
        <w:t>350</w:t>
      </w:r>
      <w:r w:rsidRPr="00AC2BA5">
        <w:rPr>
          <w:rFonts w:ascii="Times New Roman" w:eastAsia="宋体" w:hAnsi="Times New Roman" w:cs="宋体"/>
          <w:sz w:val="24"/>
          <w:lang w:eastAsia="zh-CN"/>
        </w:rPr>
        <w:t>名不同的受试者。</w:t>
      </w:r>
      <w:r w:rsidR="00EE702C">
        <w:rPr>
          <w:rFonts w:ascii="Times New Roman" w:eastAsia="宋体" w:hAnsi="Times New Roman" w:cs="宋体" w:hint="eastAsia"/>
          <w:sz w:val="24"/>
          <w:lang w:eastAsia="zh-CN"/>
        </w:rPr>
        <w:t>重要的是，</w:t>
      </w:r>
      <w:r w:rsidRPr="00AC2BA5">
        <w:rPr>
          <w:rFonts w:ascii="Times New Roman" w:eastAsia="宋体" w:hAnsi="Times New Roman" w:cs="宋体"/>
          <w:sz w:val="24"/>
          <w:lang w:eastAsia="zh-CN"/>
        </w:rPr>
        <w:t>为了</w:t>
      </w:r>
      <w:r w:rsidR="00AD1608">
        <w:rPr>
          <w:rFonts w:ascii="Times New Roman" w:eastAsia="宋体" w:hAnsi="Times New Roman" w:cs="宋体" w:hint="eastAsia"/>
          <w:sz w:val="24"/>
          <w:lang w:eastAsia="zh-CN"/>
        </w:rPr>
        <w:t>稳定</w:t>
      </w:r>
      <w:r w:rsidRPr="00AC2BA5">
        <w:rPr>
          <w:rFonts w:ascii="Times New Roman" w:eastAsia="宋体" w:hAnsi="Times New Roman" w:cs="宋体"/>
          <w:sz w:val="24"/>
          <w:lang w:eastAsia="zh-CN"/>
        </w:rPr>
        <w:t>地评估器械的准确度，对照方法得出的血糖</w:t>
      </w:r>
      <w:proofErr w:type="gramStart"/>
      <w:r w:rsidRPr="00AC2BA5">
        <w:rPr>
          <w:rFonts w:ascii="Times New Roman" w:eastAsia="宋体" w:hAnsi="Times New Roman" w:cs="宋体"/>
          <w:sz w:val="24"/>
          <w:lang w:eastAsia="zh-CN"/>
        </w:rPr>
        <w:t>值必须</w:t>
      </w:r>
      <w:proofErr w:type="gramEnd"/>
      <w:r w:rsidRPr="00AC2BA5">
        <w:rPr>
          <w:rFonts w:ascii="Times New Roman" w:eastAsia="宋体" w:hAnsi="Times New Roman" w:cs="宋体"/>
          <w:sz w:val="24"/>
          <w:lang w:eastAsia="zh-CN"/>
        </w:rPr>
        <w:t>尽可能可靠。因此，可以对每个样本进行多次对照测量并取平均值，以便更好地估计该样本的真实血糖浓度值。但是，</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申报资料中不应排除任何测量值，如果从分析中排除任何数据，应提供合理解释。如果计划声明器械可用于其他解剖部位（例如，前臂、手掌等），则对每个申请批准的解剖部位，应使用该器械检测</w:t>
      </w:r>
      <w:r w:rsidRPr="00AC2BA5">
        <w:rPr>
          <w:rFonts w:ascii="Times New Roman" w:eastAsia="宋体" w:hAnsi="Times New Roman" w:cs="宋体"/>
          <w:sz w:val="24"/>
          <w:lang w:eastAsia="zh-CN"/>
        </w:rPr>
        <w:t>350</w:t>
      </w:r>
      <w:r w:rsidRPr="00AC2BA5">
        <w:rPr>
          <w:rFonts w:ascii="Times New Roman" w:eastAsia="宋体" w:hAnsi="Times New Roman" w:cs="宋体"/>
          <w:sz w:val="24"/>
          <w:lang w:eastAsia="zh-CN"/>
        </w:rPr>
        <w:t>例受试者的样本，并相对于使用对照方法测量的样本评价结果。</w:t>
      </w:r>
    </w:p>
    <w:p w14:paraId="364CEE58" w14:textId="286D2584"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对于声明的每个解剖部位，样本应充分覆盖声明的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测量范围。尽管获取测量范围极限处的样本可能有困难，但研究应包含至少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份血糖浓度</w:t>
      </w:r>
      <w:r w:rsidRPr="00AC2BA5">
        <w:rPr>
          <w:rFonts w:ascii="Times New Roman" w:eastAsia="宋体" w:hAnsi="Times New Roman" w:cs="宋体"/>
          <w:sz w:val="24"/>
          <w:lang w:eastAsia="zh-CN"/>
        </w:rPr>
        <w:t>&lt;80 mg/dL</w:t>
      </w:r>
      <w:r w:rsidRPr="00AC2BA5">
        <w:rPr>
          <w:rFonts w:ascii="Times New Roman" w:eastAsia="宋体" w:hAnsi="Times New Roman" w:cs="宋体"/>
          <w:sz w:val="24"/>
          <w:lang w:eastAsia="zh-CN"/>
        </w:rPr>
        <w:t>的未经处理的样本，以及至少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份血糖浓度在</w:t>
      </w:r>
      <w:r w:rsidRPr="00AC2BA5">
        <w:rPr>
          <w:rFonts w:ascii="Times New Roman" w:eastAsia="宋体" w:hAnsi="Times New Roman" w:cs="宋体"/>
          <w:sz w:val="24"/>
          <w:lang w:eastAsia="zh-CN"/>
        </w:rPr>
        <w:t>250 mg/dL</w:t>
      </w:r>
      <w:r w:rsidRPr="00AC2BA5">
        <w:rPr>
          <w:rFonts w:ascii="Times New Roman" w:eastAsia="宋体" w:hAnsi="Times New Roman" w:cs="宋体"/>
          <w:sz w:val="24"/>
          <w:lang w:eastAsia="zh-CN"/>
        </w:rPr>
        <w:t>与声明的器械测量范围上限之间的未经处理的样本。每个解剖部位（指尖、前臂、手掌等）可能需要入组</w:t>
      </w:r>
      <w:r w:rsidRPr="00AC2BA5">
        <w:rPr>
          <w:rFonts w:ascii="Times New Roman" w:eastAsia="宋体" w:hAnsi="Times New Roman" w:cs="宋体"/>
          <w:sz w:val="24"/>
          <w:lang w:eastAsia="zh-CN"/>
        </w:rPr>
        <w:t>350</w:t>
      </w:r>
      <w:r w:rsidRPr="00AC2BA5">
        <w:rPr>
          <w:rFonts w:ascii="Times New Roman" w:eastAsia="宋体" w:hAnsi="Times New Roman" w:cs="宋体"/>
          <w:sz w:val="24"/>
          <w:lang w:eastAsia="zh-CN"/>
        </w:rPr>
        <w:t>多例患者，以获得必要的未经处理的样本。应在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中提交所有研究受试者的数据（即使采集了</w:t>
      </w:r>
      <w:r w:rsidRPr="00AC2BA5">
        <w:rPr>
          <w:rFonts w:ascii="Times New Roman" w:eastAsia="宋体" w:hAnsi="Times New Roman" w:cs="宋体"/>
          <w:sz w:val="24"/>
          <w:lang w:eastAsia="zh-CN"/>
        </w:rPr>
        <w:t>350</w:t>
      </w:r>
      <w:r w:rsidRPr="00AC2BA5">
        <w:rPr>
          <w:rFonts w:ascii="Times New Roman" w:eastAsia="宋体" w:hAnsi="Times New Roman" w:cs="宋体"/>
          <w:sz w:val="24"/>
          <w:lang w:eastAsia="zh-CN"/>
        </w:rPr>
        <w:t>份以上的样本），数据分析中不应排除任何受试者。</w:t>
      </w:r>
    </w:p>
    <w:p w14:paraId="406084AE"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方法比较</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用户研究中入组的受试者应准确反映</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的预期使用人群。研究组应由</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初次使用者和非初次使用者组成。至少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的研究参与者应为</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初次使用者，可以包含非糖尿病受试者。应说明入组研究参与者的入选和排除标准，以及参与研究的受试者的人口统计学特征。</w:t>
      </w:r>
    </w:p>
    <w:p w14:paraId="51CED177" w14:textId="38C9C01F"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在试验之前，应</w:t>
      </w:r>
      <w:proofErr w:type="gramStart"/>
      <w:r w:rsidRPr="00AC2BA5">
        <w:rPr>
          <w:rFonts w:ascii="Times New Roman" w:eastAsia="宋体" w:hAnsi="Times New Roman" w:cs="宋体"/>
          <w:sz w:val="24"/>
          <w:lang w:eastAsia="zh-CN"/>
        </w:rPr>
        <w:t>向研究</w:t>
      </w:r>
      <w:proofErr w:type="gramEnd"/>
      <w:r w:rsidRPr="00AC2BA5">
        <w:rPr>
          <w:rFonts w:ascii="Times New Roman" w:eastAsia="宋体" w:hAnsi="Times New Roman" w:cs="宋体"/>
          <w:sz w:val="24"/>
          <w:lang w:eastAsia="zh-CN"/>
        </w:rPr>
        <w:t>受试者提供器械标签（使用说明书、用户手册等）草稿，该草稿代表将</w:t>
      </w:r>
      <w:proofErr w:type="gramStart"/>
      <w:r w:rsidRPr="00AC2BA5">
        <w:rPr>
          <w:rFonts w:ascii="Times New Roman" w:eastAsia="宋体" w:hAnsi="Times New Roman" w:cs="宋体"/>
          <w:sz w:val="24"/>
          <w:lang w:eastAsia="zh-CN"/>
        </w:rPr>
        <w:t>随上市</w:t>
      </w:r>
      <w:proofErr w:type="gramEnd"/>
      <w:r w:rsidRPr="00AC2BA5">
        <w:rPr>
          <w:rFonts w:ascii="Times New Roman" w:eastAsia="宋体" w:hAnsi="Times New Roman" w:cs="宋体"/>
          <w:sz w:val="24"/>
          <w:lang w:eastAsia="zh-CN"/>
        </w:rPr>
        <w:t>器械提供给用户的标签。如果在用户评价结束后对标签进行了重大修订，并且没有其他方法可用于确认所做变更不会影响用户性能，则可需要额外的用户研究。出于研究目的，使用说明书应仅用英文书写；不应向研究参与者提供其他语言的翻译。在研究之前，应对用户手册、试纸说明书和</w:t>
      </w:r>
      <w:proofErr w:type="gramStart"/>
      <w:r w:rsidRPr="00AC2BA5">
        <w:rPr>
          <w:rFonts w:ascii="Times New Roman" w:eastAsia="宋体" w:hAnsi="Times New Roman" w:cs="宋体"/>
          <w:sz w:val="24"/>
          <w:lang w:eastAsia="zh-CN"/>
        </w:rPr>
        <w:t>质控</w:t>
      </w:r>
      <w:proofErr w:type="gramEnd"/>
      <w:r w:rsidRPr="00AC2BA5">
        <w:rPr>
          <w:rFonts w:ascii="Times New Roman" w:eastAsia="宋体" w:hAnsi="Times New Roman" w:cs="宋体"/>
          <w:sz w:val="24"/>
          <w:lang w:eastAsia="zh-CN"/>
        </w:rPr>
        <w:t>品溶液说明书进行可读性评估（用等级水平来说明）。对于供非专业用户在家中使用的产品，阅读水平应在</w:t>
      </w:r>
      <w:r w:rsidRPr="00AC2BA5">
        <w:rPr>
          <w:rFonts w:ascii="Times New Roman" w:eastAsia="宋体" w:hAnsi="Times New Roman" w:cs="宋体"/>
          <w:sz w:val="24"/>
          <w:lang w:eastAsia="zh-CN"/>
        </w:rPr>
        <w:t>8</w:t>
      </w:r>
      <w:r w:rsidRPr="00AC2BA5">
        <w:rPr>
          <w:rFonts w:ascii="Times New Roman" w:eastAsia="宋体" w:hAnsi="Times New Roman" w:cs="宋体"/>
          <w:sz w:val="24"/>
          <w:lang w:eastAsia="zh-CN"/>
        </w:rPr>
        <w:t>级及以下。本机构建议使用</w:t>
      </w:r>
      <w:r w:rsidRPr="00AC2BA5">
        <w:rPr>
          <w:rFonts w:ascii="Times New Roman" w:eastAsia="宋体" w:hAnsi="Times New Roman" w:cs="宋体"/>
          <w:sz w:val="24"/>
          <w:lang w:eastAsia="zh-CN"/>
        </w:rPr>
        <w:t>Flesch-Kincaid</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SMOG</w:t>
      </w:r>
      <w:r w:rsidRPr="00AC2BA5">
        <w:rPr>
          <w:rFonts w:ascii="Times New Roman" w:eastAsia="宋体" w:hAnsi="Times New Roman" w:cs="宋体"/>
          <w:sz w:val="24"/>
          <w:lang w:eastAsia="zh-CN"/>
        </w:rPr>
        <w:t>或等效计算机程序来评估标签的可读性等级水平。应在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申报资料中描述评估和结果。</w:t>
      </w:r>
    </w:p>
    <w:p w14:paraId="06469C4C" w14:textId="77777777" w:rsidR="00A66084" w:rsidRPr="00AC2BA5" w:rsidRDefault="00A6608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5DE6CFD2"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研究受试者应获取自己的指尖毛细血管（或替代解剖部位）样本，并仅按照器械标签草稿的说明执行血糖检测。不应向用户提供其他培训或提示，用户也不应在研究技术人员或医疗服务提供者的帮助下获得检测结果。应将研究受试者隔离，使其无法观察其他研究参与者或技术人员的检测技术或受到其影响。研究参与者使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获得自己的结果之后，技术人员应采集额外的毛细血管血样，使用对照方法进行检测。由于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的预期用户人群是非专业人员，因此不希望技术人员也在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上获得毛细血管血样的结果，以与对照值进行比较。</w:t>
      </w:r>
    </w:p>
    <w:p w14:paraId="7ABF9EAD" w14:textId="4F993AB5"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研究应包含至少</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个试纸瓶或包装，覆盖至少</w:t>
      </w: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个试纸批次。研究中使用的所有试纸应该都在用于该研究之前，经历了从制造地点到美国用户的典型运输和搬运条件。应在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申报资料中描述这些运输和搬运条件。</w:t>
      </w:r>
    </w:p>
    <w:p w14:paraId="24374890" w14:textId="4D15D403"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应测定并记录每个研究参与者的血细胞比容值。应在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申报资料中提供个体血细胞比容值以及血糖仪结果。</w:t>
      </w:r>
    </w:p>
    <w:p w14:paraId="77E77D92" w14:textId="502D3F99" w:rsidR="00A66084"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糖尿病患者利用血糖检测结果对其治疗做关键性决策；因此，结果必须准确，以便更好地避免营养和药物给药错误。研究应证明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足以用于此目的，方法是证明在器械的整个声明测量范围内，该研究中</w:t>
      </w:r>
      <w:r w:rsidRPr="00AC2BA5">
        <w:rPr>
          <w:rFonts w:ascii="Times New Roman" w:eastAsia="宋体" w:hAnsi="Times New Roman" w:cs="宋体"/>
          <w:sz w:val="24"/>
          <w:lang w:eastAsia="zh-CN"/>
        </w:rPr>
        <w:t>95%</w:t>
      </w:r>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结果在对照结果的</w:t>
      </w:r>
      <w:r w:rsidRPr="00AC2BA5">
        <w:rPr>
          <w:rFonts w:ascii="Times New Roman" w:eastAsia="宋体" w:hAnsi="Times New Roman" w:cs="宋体"/>
          <w:sz w:val="24"/>
          <w:lang w:eastAsia="zh-CN"/>
        </w:rPr>
        <w:t>+/-15%</w:t>
      </w:r>
      <w:r w:rsidRPr="00AC2BA5">
        <w:rPr>
          <w:rFonts w:ascii="Times New Roman" w:eastAsia="宋体" w:hAnsi="Times New Roman" w:cs="宋体"/>
          <w:sz w:val="24"/>
          <w:lang w:eastAsia="zh-CN"/>
        </w:rPr>
        <w:t>以内，并且</w:t>
      </w:r>
      <w:r w:rsidRPr="00AC2BA5">
        <w:rPr>
          <w:rFonts w:ascii="Times New Roman" w:eastAsia="宋体" w:hAnsi="Times New Roman" w:cs="宋体"/>
          <w:sz w:val="24"/>
          <w:lang w:eastAsia="zh-CN"/>
        </w:rPr>
        <w:t>99%</w:t>
      </w:r>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结果在对照结果的</w:t>
      </w:r>
      <w:r w:rsidRPr="00AC2BA5">
        <w:rPr>
          <w:rFonts w:ascii="Times New Roman" w:eastAsia="宋体" w:hAnsi="Times New Roman" w:cs="宋体"/>
          <w:sz w:val="24"/>
          <w:lang w:eastAsia="zh-CN"/>
        </w:rPr>
        <w:t>+/-20%</w:t>
      </w:r>
      <w:r w:rsidRPr="00AC2BA5">
        <w:rPr>
          <w:rFonts w:ascii="Times New Roman" w:eastAsia="宋体" w:hAnsi="Times New Roman" w:cs="宋体"/>
          <w:sz w:val="24"/>
          <w:lang w:eastAsia="zh-CN"/>
        </w:rPr>
        <w:t>以内。应在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申报资料中包含所有结果。尽管本机构预计，利用现有技术，</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器械能够满足这些标准，但在某些情况下，即使性能不满足这些标准，也有可能确定血糖仪的实质等同性，例如，血糖仪的其他特性或其使用环境可提供一些补偿不同性能的益处。对于比对照方法</w:t>
      </w:r>
      <w:r w:rsidRPr="00AC2BA5">
        <w:rPr>
          <w:rFonts w:ascii="Times New Roman" w:eastAsia="宋体" w:hAnsi="Times New Roman" w:cs="宋体"/>
          <w:sz w:val="24"/>
          <w:lang w:eastAsia="zh-CN"/>
        </w:rPr>
        <w:t>&gt; 20%</w:t>
      </w:r>
      <w:r w:rsidRPr="00AC2BA5">
        <w:rPr>
          <w:rFonts w:ascii="Times New Roman" w:eastAsia="宋体" w:hAnsi="Times New Roman" w:cs="宋体"/>
          <w:sz w:val="24"/>
          <w:lang w:eastAsia="zh-CN"/>
        </w:rPr>
        <w:t>的所有</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检测结果，应提供发生错误的临床解释，并说明在外推至预期使用环境时（例如，执行数十亿次检测时），发生该错误的可能性不会影响用户安全</w:t>
      </w:r>
      <w:r w:rsidR="0058512C">
        <w:rPr>
          <w:rFonts w:ascii="Times New Roman" w:eastAsia="宋体" w:hAnsi="Times New Roman" w:cs="宋体" w:hint="eastAsia"/>
          <w:sz w:val="24"/>
          <w:lang w:eastAsia="zh-CN"/>
        </w:rPr>
        <w:t>的原因</w:t>
      </w:r>
      <w:r w:rsidRPr="00AC2BA5">
        <w:rPr>
          <w:rFonts w:ascii="Times New Roman" w:eastAsia="宋体" w:hAnsi="Times New Roman" w:cs="宋体"/>
          <w:sz w:val="24"/>
          <w:lang w:eastAsia="zh-CN"/>
        </w:rPr>
        <w:t>。本机构将对提交的任何解释进行审查，以确定数据是否表明患者可能面临风险，或者确定解释和拟定的任何缓解措施是否充分。</w:t>
      </w:r>
    </w:p>
    <w:p w14:paraId="06C95243" w14:textId="77777777" w:rsidR="00A66084" w:rsidRPr="00AC2BA5" w:rsidRDefault="00A6608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74659081" w14:textId="72EDB475"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FDA</w:t>
      </w:r>
      <w:r w:rsidRPr="00AC2BA5">
        <w:rPr>
          <w:rFonts w:ascii="Times New Roman" w:eastAsia="宋体" w:hAnsi="Times New Roman" w:cs="宋体"/>
          <w:sz w:val="24"/>
          <w:lang w:eastAsia="zh-CN"/>
        </w:rPr>
        <w:t>了解在极低的血糖浓度下，一些</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可能无法实现测量值在对照方法测量值</w:t>
      </w:r>
      <w:r w:rsidRPr="00AC2BA5">
        <w:rPr>
          <w:rFonts w:ascii="Times New Roman" w:eastAsia="宋体" w:hAnsi="Times New Roman" w:cs="宋体"/>
          <w:sz w:val="24"/>
          <w:lang w:eastAsia="zh-CN"/>
        </w:rPr>
        <w:t>15%</w:t>
      </w:r>
      <w:r w:rsidRPr="00AC2BA5">
        <w:rPr>
          <w:rFonts w:ascii="Times New Roman" w:eastAsia="宋体" w:hAnsi="Times New Roman" w:cs="宋体"/>
          <w:sz w:val="24"/>
          <w:lang w:eastAsia="zh-CN"/>
        </w:rPr>
        <w:t>以内的可靠测量。如果是这种情况，应根据上述标准将声明的测量范围下限提高到器械足够准确的浓度。为满足用户人群的临床需求，</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应至少能够准确测量</w:t>
      </w:r>
      <w:r w:rsidRPr="00AC2BA5">
        <w:rPr>
          <w:rFonts w:ascii="Times New Roman" w:eastAsia="宋体" w:hAnsi="Times New Roman" w:cs="宋体"/>
          <w:sz w:val="24"/>
          <w:lang w:eastAsia="zh-CN"/>
        </w:rPr>
        <w:t>50 mg/dL</w:t>
      </w:r>
      <w:r w:rsidRPr="00AC2BA5">
        <w:rPr>
          <w:rFonts w:ascii="Times New Roman" w:eastAsia="宋体" w:hAnsi="Times New Roman" w:cs="宋体"/>
          <w:sz w:val="24"/>
          <w:lang w:eastAsia="zh-CN"/>
        </w:rPr>
        <w:t>至</w:t>
      </w:r>
      <w:r w:rsidRPr="00AC2BA5">
        <w:rPr>
          <w:rFonts w:ascii="Times New Roman" w:eastAsia="宋体" w:hAnsi="Times New Roman" w:cs="宋体"/>
          <w:sz w:val="24"/>
          <w:lang w:eastAsia="zh-CN"/>
        </w:rPr>
        <w:t>400 mg/dL</w:t>
      </w:r>
      <w:r w:rsidRPr="00AC2BA5">
        <w:rPr>
          <w:rFonts w:ascii="Times New Roman" w:eastAsia="宋体" w:hAnsi="Times New Roman" w:cs="宋体"/>
          <w:sz w:val="24"/>
          <w:lang w:eastAsia="zh-CN"/>
        </w:rPr>
        <w:t>之间的血糖，或应提供使用替代测量范围的临床依据。在测得的血糖值超出器械声明测量范围的情况下，</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应能识别并提供错误代码。例如，血糖仪</w:t>
      </w:r>
      <w:r w:rsidRPr="00AC2BA5">
        <w:rPr>
          <w:rFonts w:ascii="Times New Roman" w:eastAsia="宋体" w:hAnsi="Times New Roman" w:cs="宋体"/>
          <w:sz w:val="24"/>
          <w:lang w:eastAsia="zh-CN"/>
        </w:rPr>
        <w:t>XYZ</w:t>
      </w:r>
      <w:r w:rsidRPr="00AC2BA5">
        <w:rPr>
          <w:rFonts w:ascii="Times New Roman" w:eastAsia="宋体" w:hAnsi="Times New Roman" w:cs="宋体"/>
          <w:sz w:val="24"/>
          <w:lang w:eastAsia="zh-CN"/>
        </w:rPr>
        <w:t>的测量范围可以检测低至</w:t>
      </w:r>
      <w:r w:rsidRPr="00AC2BA5">
        <w:rPr>
          <w:rFonts w:ascii="Times New Roman" w:eastAsia="宋体" w:hAnsi="Times New Roman" w:cs="宋体"/>
          <w:sz w:val="24"/>
          <w:lang w:eastAsia="zh-CN"/>
        </w:rPr>
        <w:t>50 mg/dL</w:t>
      </w:r>
      <w:r w:rsidRPr="00AC2BA5">
        <w:rPr>
          <w:rFonts w:ascii="Times New Roman" w:eastAsia="宋体" w:hAnsi="Times New Roman" w:cs="宋体"/>
          <w:sz w:val="24"/>
          <w:lang w:eastAsia="zh-CN"/>
        </w:rPr>
        <w:t>的血糖浓度；因此，对于血糖浓度低于</w:t>
      </w:r>
      <w:r w:rsidRPr="00AC2BA5">
        <w:rPr>
          <w:rFonts w:ascii="Times New Roman" w:eastAsia="宋体" w:hAnsi="Times New Roman" w:cs="宋体"/>
          <w:sz w:val="24"/>
          <w:lang w:eastAsia="zh-CN"/>
        </w:rPr>
        <w:t>50 mg/dL</w:t>
      </w:r>
      <w:r w:rsidRPr="00AC2BA5">
        <w:rPr>
          <w:rFonts w:ascii="Times New Roman" w:eastAsia="宋体" w:hAnsi="Times New Roman" w:cs="宋体"/>
          <w:sz w:val="24"/>
          <w:lang w:eastAsia="zh-CN"/>
        </w:rPr>
        <w:t>的血样，应提供适当的错误代码（例如，</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低</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低于</w:t>
      </w:r>
      <w:r w:rsidRPr="00AC2BA5">
        <w:rPr>
          <w:rFonts w:ascii="Times New Roman" w:eastAsia="宋体" w:hAnsi="Times New Roman" w:cs="宋体"/>
          <w:sz w:val="24"/>
          <w:lang w:eastAsia="zh-CN"/>
        </w:rPr>
        <w:t>50 mg/dL”</w:t>
      </w:r>
      <w:r w:rsidRPr="00AC2BA5">
        <w:rPr>
          <w:rFonts w:ascii="Times New Roman" w:eastAsia="宋体" w:hAnsi="Times New Roman" w:cs="宋体"/>
          <w:sz w:val="24"/>
          <w:lang w:eastAsia="zh-CN"/>
        </w:rPr>
        <w:t>）。</w:t>
      </w:r>
    </w:p>
    <w:p w14:paraId="77659F98" w14:textId="7D0C27EA"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的方法比较和用户执行研究应包括</w:t>
      </w:r>
      <w:r w:rsidRPr="00AC2BA5">
        <w:rPr>
          <w:rFonts w:ascii="Times New Roman" w:eastAsia="宋体" w:hAnsi="Times New Roman" w:cs="宋体"/>
          <w:sz w:val="24"/>
          <w:lang w:eastAsia="zh-CN"/>
        </w:rPr>
        <w:t>350</w:t>
      </w:r>
      <w:r w:rsidRPr="00AC2BA5">
        <w:rPr>
          <w:rFonts w:ascii="Times New Roman" w:eastAsia="宋体" w:hAnsi="Times New Roman" w:cs="宋体"/>
          <w:sz w:val="24"/>
          <w:lang w:eastAsia="zh-CN"/>
        </w:rPr>
        <w:t>名非专业研究参与者使用的多台血糖仪。在该研究过程中，对每名受试者应使用单独的采血器，并按照经确认的说明对血糖仪进行清洁和消毒。应提供降低研究期间医疗服务提供者和受试者之间的潜在疾病传播风险的程序（例如，使用一次性手套或其他物理屏障），包括关于受过培训的医疗专业人员应在检测多少名受试者之后以及何时更换手套的详细信息。关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清洁和消毒确认的更多信息参见上文第</w:t>
      </w:r>
      <w:r w:rsidRPr="00AC2BA5">
        <w:rPr>
          <w:rFonts w:ascii="Times New Roman" w:eastAsia="宋体" w:hAnsi="Times New Roman" w:cs="宋体"/>
          <w:sz w:val="24"/>
          <w:lang w:eastAsia="zh-CN"/>
        </w:rPr>
        <w:t>IV</w:t>
      </w:r>
      <w:r w:rsidRPr="00AC2BA5">
        <w:rPr>
          <w:rFonts w:ascii="Times New Roman" w:eastAsia="宋体" w:hAnsi="Times New Roman" w:cs="宋体"/>
          <w:sz w:val="24"/>
          <w:lang w:eastAsia="zh-CN"/>
        </w:rPr>
        <w:t>节（降低糖尿病护理中的血源性病原体传播风险）。应在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申报资料中描述研究的这些方面。</w:t>
      </w:r>
    </w:p>
    <w:p w14:paraId="10A87871" w14:textId="5C614CA4"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申报资料中说明以下内容：</w:t>
      </w:r>
    </w:p>
    <w:p w14:paraId="2A214205" w14:textId="2430F194" w:rsidR="000460CB" w:rsidRPr="00AC2BA5" w:rsidRDefault="00B8550C" w:rsidP="000102EB">
      <w:pPr>
        <w:pStyle w:val="a4"/>
        <w:numPr>
          <w:ilvl w:val="0"/>
          <w:numId w:val="7"/>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研究设置，包括每个研究中心的规模、类型和地点，以及对所选研究条件如何模拟预期使用条件的解释。研究中心应能代表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在美国的使用地点，并应说明认为每个研究中心能代表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的使用地点</w:t>
      </w:r>
      <w:r w:rsidR="00BB05AA">
        <w:rPr>
          <w:rFonts w:ascii="Times New Roman" w:eastAsia="宋体" w:hAnsi="Times New Roman" w:cs="宋体" w:hint="eastAsia"/>
          <w:sz w:val="24"/>
          <w:lang w:eastAsia="zh-CN"/>
        </w:rPr>
        <w:t>的理由</w:t>
      </w:r>
      <w:r w:rsidRPr="00AC2BA5">
        <w:rPr>
          <w:rFonts w:ascii="Times New Roman" w:eastAsia="宋体" w:hAnsi="Times New Roman" w:cs="宋体"/>
          <w:sz w:val="24"/>
          <w:lang w:eastAsia="zh-CN"/>
        </w:rPr>
        <w:t>。</w:t>
      </w:r>
    </w:p>
    <w:p w14:paraId="58EE91C8" w14:textId="77777777" w:rsidR="000460CB" w:rsidRPr="00AC2BA5" w:rsidRDefault="00B8550C" w:rsidP="000102EB">
      <w:pPr>
        <w:pStyle w:val="a4"/>
        <w:numPr>
          <w:ilvl w:val="0"/>
          <w:numId w:val="7"/>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研究受试者的选择标准，包括入选和排除标准。包括患者人口统计学资料（年龄范围、受教育水平、母语、实验室或医疗保健工作经验、疾病状态），以及是否是</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初次使用者。</w:t>
      </w:r>
    </w:p>
    <w:p w14:paraId="535B88EF" w14:textId="77777777" w:rsidR="000460CB" w:rsidRPr="00AC2BA5" w:rsidRDefault="00B8550C" w:rsidP="000102EB">
      <w:pPr>
        <w:pStyle w:val="a4"/>
        <w:numPr>
          <w:ilvl w:val="0"/>
          <w:numId w:val="7"/>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由非专业用户和研究技术人员执行的程序的详细信息。</w:t>
      </w:r>
    </w:p>
    <w:p w14:paraId="79A12C83" w14:textId="77777777" w:rsidR="00A66084" w:rsidRPr="00AC2BA5" w:rsidRDefault="00B8550C" w:rsidP="000102EB">
      <w:pPr>
        <w:pStyle w:val="a4"/>
        <w:numPr>
          <w:ilvl w:val="0"/>
          <w:numId w:val="7"/>
        </w:numPr>
        <w:adjustRightInd w:val="0"/>
        <w:snapToGrid w:val="0"/>
        <w:spacing w:beforeLines="50" w:before="120" w:line="300" w:lineRule="auto"/>
        <w:ind w:left="1276"/>
        <w:jc w:val="both"/>
        <w:rPr>
          <w:rFonts w:ascii="Times New Roman" w:eastAsia="宋体" w:hAnsi="Times New Roman" w:cs="Times New Roman"/>
          <w:snapToGrid w:val="0"/>
          <w:sz w:val="24"/>
          <w:szCs w:val="24"/>
        </w:rPr>
      </w:pPr>
      <w:r w:rsidRPr="00AC2BA5">
        <w:rPr>
          <w:rFonts w:ascii="Times New Roman" w:eastAsia="宋体" w:hAnsi="Times New Roman" w:cs="宋体"/>
          <w:sz w:val="24"/>
          <w:lang w:eastAsia="zh-CN"/>
        </w:rPr>
        <w:t>向参与研究的用户提供的说明。（注：所有说明均应仅以英文提供给用户。</w:t>
      </w:r>
      <w:r w:rsidRPr="00AC2BA5">
        <w:rPr>
          <w:rFonts w:ascii="Times New Roman" w:eastAsia="宋体" w:hAnsi="Times New Roman" w:cs="宋体"/>
          <w:sz w:val="24"/>
        </w:rPr>
        <w:t>）</w:t>
      </w:r>
    </w:p>
    <w:p w14:paraId="373588D0" w14:textId="77777777" w:rsidR="00A66084" w:rsidRPr="00AC2BA5" w:rsidRDefault="00A66084"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p w14:paraId="1BCE6AB5" w14:textId="77777777" w:rsidR="000460CB" w:rsidRPr="00AC2BA5" w:rsidRDefault="00B8550C" w:rsidP="000102EB">
      <w:pPr>
        <w:pStyle w:val="a4"/>
        <w:numPr>
          <w:ilvl w:val="0"/>
          <w:numId w:val="7"/>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采集的样本类型（采集的解剖部位）。</w:t>
      </w:r>
    </w:p>
    <w:p w14:paraId="58E05EBF" w14:textId="77777777" w:rsidR="000460CB" w:rsidRPr="00AC2BA5" w:rsidRDefault="00B8550C" w:rsidP="000102EB">
      <w:pPr>
        <w:pStyle w:val="a4"/>
        <w:numPr>
          <w:ilvl w:val="0"/>
          <w:numId w:val="7"/>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研究中使用的试纸批次数量、试纸小瓶数量和血糖仪数量。</w:t>
      </w:r>
    </w:p>
    <w:p w14:paraId="329F99AF" w14:textId="77777777" w:rsidR="000460CB" w:rsidRPr="00AC2BA5" w:rsidRDefault="00B8550C" w:rsidP="000102EB">
      <w:pPr>
        <w:pStyle w:val="a4"/>
        <w:numPr>
          <w:ilvl w:val="0"/>
          <w:numId w:val="7"/>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试纸在被用于研究之前的运输和搬运条件描述。</w:t>
      </w:r>
    </w:p>
    <w:p w14:paraId="2FD78F50" w14:textId="77777777" w:rsidR="0050117E" w:rsidRPr="00AC2BA5" w:rsidRDefault="00B8550C" w:rsidP="000102EB">
      <w:pPr>
        <w:pStyle w:val="a4"/>
        <w:numPr>
          <w:ilvl w:val="0"/>
          <w:numId w:val="7"/>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应向研究参与者提供用户调查问卷，要求其在完成研究后填写。还应提供空白调查问卷的副本和结果分析。</w:t>
      </w:r>
    </w:p>
    <w:p w14:paraId="7BA1C780" w14:textId="77777777" w:rsidR="000460CB" w:rsidRPr="00AC2BA5" w:rsidRDefault="00B8550C" w:rsidP="000102EB">
      <w:pPr>
        <w:adjustRightInd w:val="0"/>
        <w:snapToGrid w:val="0"/>
        <w:spacing w:beforeLines="50" w:before="120" w:line="300" w:lineRule="auto"/>
        <w:ind w:leftChars="386" w:left="849"/>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在极端血糖值下的准确度</w:t>
      </w:r>
    </w:p>
    <w:p w14:paraId="086F78BB" w14:textId="761E9062" w:rsidR="0050117E" w:rsidRPr="00AC2BA5" w:rsidRDefault="00B8550C" w:rsidP="000102EB">
      <w:pPr>
        <w:adjustRightInd w:val="0"/>
        <w:snapToGrid w:val="0"/>
        <w:spacing w:beforeLines="50" w:before="120" w:line="300" w:lineRule="auto"/>
        <w:ind w:leftChars="386" w:left="849"/>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由于使用真实患者样本的上述用户研究可能无法在声明的测量范围上限和下限下提供</w:t>
      </w:r>
      <w:r w:rsidR="00AD1608">
        <w:rPr>
          <w:rFonts w:ascii="Times New Roman" w:eastAsia="宋体" w:hAnsi="Times New Roman" w:cs="宋体" w:hint="eastAsia"/>
          <w:sz w:val="24"/>
          <w:lang w:eastAsia="zh-CN"/>
        </w:rPr>
        <w:t>稳定</w:t>
      </w:r>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性能评价，因此应使用经过处理的血样进行额外的研究，以达到低于</w:t>
      </w:r>
      <w:r w:rsidRPr="00AC2BA5">
        <w:rPr>
          <w:rFonts w:ascii="Times New Roman" w:eastAsia="宋体" w:hAnsi="Times New Roman" w:cs="宋体"/>
          <w:sz w:val="24"/>
          <w:lang w:eastAsia="zh-CN"/>
        </w:rPr>
        <w:t>80 mg/dL</w:t>
      </w:r>
      <w:r w:rsidRPr="00AC2BA5">
        <w:rPr>
          <w:rFonts w:ascii="Times New Roman" w:eastAsia="宋体" w:hAnsi="Times New Roman" w:cs="宋体"/>
          <w:sz w:val="24"/>
          <w:lang w:eastAsia="zh-CN"/>
        </w:rPr>
        <w:t>和高于</w:t>
      </w:r>
      <w:r w:rsidRPr="00AC2BA5">
        <w:rPr>
          <w:rFonts w:ascii="Times New Roman" w:eastAsia="宋体" w:hAnsi="Times New Roman" w:cs="宋体"/>
          <w:sz w:val="24"/>
          <w:lang w:eastAsia="zh-CN"/>
        </w:rPr>
        <w:t>250 mg/dL</w:t>
      </w:r>
      <w:r w:rsidRPr="00AC2BA5">
        <w:rPr>
          <w:rFonts w:ascii="Times New Roman" w:eastAsia="宋体" w:hAnsi="Times New Roman" w:cs="宋体"/>
          <w:sz w:val="24"/>
          <w:lang w:eastAsia="zh-CN"/>
        </w:rPr>
        <w:t>的血糖浓度。这些样本应尽可能模拟未经处理的患者样本。这项额外的极端血糖</w:t>
      </w:r>
      <w:proofErr w:type="gramStart"/>
      <w:r w:rsidRPr="00AC2BA5">
        <w:rPr>
          <w:rFonts w:ascii="Times New Roman" w:eastAsia="宋体" w:hAnsi="Times New Roman" w:cs="宋体"/>
          <w:sz w:val="24"/>
          <w:lang w:eastAsia="zh-CN"/>
        </w:rPr>
        <w:t>值研究</w:t>
      </w:r>
      <w:proofErr w:type="gramEnd"/>
      <w:r w:rsidRPr="00AC2BA5">
        <w:rPr>
          <w:rFonts w:ascii="Times New Roman" w:eastAsia="宋体" w:hAnsi="Times New Roman" w:cs="宋体"/>
          <w:sz w:val="24"/>
          <w:lang w:eastAsia="zh-CN"/>
        </w:rPr>
        <w:t>应与上述用户研究（见第</w:t>
      </w:r>
      <w:r w:rsidRPr="00AC2BA5">
        <w:rPr>
          <w:rFonts w:ascii="Times New Roman" w:eastAsia="宋体" w:hAnsi="Times New Roman" w:cs="宋体"/>
          <w:sz w:val="24"/>
          <w:lang w:eastAsia="zh-CN"/>
        </w:rPr>
        <w:t>VI.C</w:t>
      </w:r>
      <w:r w:rsidRPr="00AC2BA5">
        <w:rPr>
          <w:rFonts w:ascii="Times New Roman" w:eastAsia="宋体" w:hAnsi="Times New Roman" w:cs="宋体"/>
          <w:sz w:val="24"/>
          <w:lang w:eastAsia="zh-CN"/>
        </w:rPr>
        <w:t>节）分开进行，并且可以在实验室环境下进行。</w:t>
      </w:r>
    </w:p>
    <w:p w14:paraId="377761E5" w14:textId="77777777" w:rsidR="0050117E" w:rsidRPr="00AC2BA5" w:rsidRDefault="00B8550C" w:rsidP="000102EB">
      <w:pPr>
        <w:adjustRightInd w:val="0"/>
        <w:snapToGrid w:val="0"/>
        <w:spacing w:beforeLines="50" w:before="120" w:line="300" w:lineRule="auto"/>
        <w:ind w:leftChars="386" w:left="849"/>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这些研究应使用毛细血管全血样本</w:t>
      </w:r>
      <w:r w:rsidRPr="00AC2BA5">
        <w:rPr>
          <w:rFonts w:ascii="Times New Roman" w:eastAsia="宋体" w:hAnsi="Times New Roman" w:cs="宋体"/>
          <w:sz w:val="24"/>
          <w:lang w:eastAsia="zh-CN"/>
        </w:rPr>
        <w:t xml:space="preserve"> - </w:t>
      </w:r>
      <w:r w:rsidRPr="00AC2BA5">
        <w:rPr>
          <w:rFonts w:ascii="Times New Roman" w:eastAsia="宋体" w:hAnsi="Times New Roman" w:cs="宋体"/>
          <w:sz w:val="24"/>
          <w:lang w:eastAsia="zh-CN"/>
        </w:rPr>
        <w:t>可能需要由专业人员采集毛细血管血样，以确保样本量充足。应包括至少</w:t>
      </w:r>
      <w:r w:rsidRPr="00AC2BA5">
        <w:rPr>
          <w:rFonts w:ascii="Times New Roman" w:eastAsia="宋体" w:hAnsi="Times New Roman" w:cs="宋体"/>
          <w:sz w:val="24"/>
          <w:lang w:eastAsia="zh-CN"/>
        </w:rPr>
        <w:t>50</w:t>
      </w:r>
      <w:r w:rsidRPr="00AC2BA5">
        <w:rPr>
          <w:rFonts w:ascii="Times New Roman" w:eastAsia="宋体" w:hAnsi="Times New Roman" w:cs="宋体"/>
          <w:sz w:val="24"/>
          <w:lang w:eastAsia="zh-CN"/>
        </w:rPr>
        <w:t>份血糖浓度低于</w:t>
      </w:r>
      <w:r w:rsidRPr="00AC2BA5">
        <w:rPr>
          <w:rFonts w:ascii="Times New Roman" w:eastAsia="宋体" w:hAnsi="Times New Roman" w:cs="宋体"/>
          <w:sz w:val="24"/>
          <w:lang w:eastAsia="zh-CN"/>
        </w:rPr>
        <w:t>80 mg/dL</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50</w:t>
      </w:r>
      <w:r w:rsidRPr="00AC2BA5">
        <w:rPr>
          <w:rFonts w:ascii="Times New Roman" w:eastAsia="宋体" w:hAnsi="Times New Roman" w:cs="宋体"/>
          <w:sz w:val="24"/>
          <w:lang w:eastAsia="zh-CN"/>
        </w:rPr>
        <w:t>份血糖浓度高于</w:t>
      </w:r>
      <w:r w:rsidRPr="00AC2BA5">
        <w:rPr>
          <w:rFonts w:ascii="Times New Roman" w:eastAsia="宋体" w:hAnsi="Times New Roman" w:cs="宋体"/>
          <w:sz w:val="24"/>
          <w:lang w:eastAsia="zh-CN"/>
        </w:rPr>
        <w:t>250 mg/dL</w:t>
      </w:r>
      <w:r w:rsidRPr="00AC2BA5">
        <w:rPr>
          <w:rFonts w:ascii="Times New Roman" w:eastAsia="宋体" w:hAnsi="Times New Roman" w:cs="宋体"/>
          <w:sz w:val="24"/>
          <w:lang w:eastAsia="zh-CN"/>
        </w:rPr>
        <w:t>的制备样本。这些样本应均匀覆盖声明的测量范围的下限和上限。可以对样本进行加标或糖酵解处理，以获得适当的血糖浓度。应采用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和对照方法对样本进行测量。应将这些数据与用户评价数据分开分析，但使用相同的方法（如下文所述）分析用户评价研究。</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将对这两种研究应用相同的审查标准。</w:t>
      </w:r>
    </w:p>
    <w:p w14:paraId="79F35E5D" w14:textId="77777777" w:rsidR="000460CB" w:rsidRPr="00AC2BA5" w:rsidRDefault="0050117E" w:rsidP="000102EB">
      <w:pPr>
        <w:pStyle w:val="31"/>
        <w:rPr>
          <w:rFonts w:eastAsia="宋体"/>
          <w:lang w:eastAsia="zh-CN"/>
        </w:rPr>
      </w:pPr>
      <w:bookmarkStart w:id="18" w:name="_Toc91871172"/>
      <w:r w:rsidRPr="00AC2BA5">
        <w:rPr>
          <w:rFonts w:eastAsia="宋体" w:cs="宋体"/>
          <w:lang w:eastAsia="zh-CN"/>
        </w:rPr>
        <w:t>2.</w:t>
      </w:r>
      <w:r w:rsidRPr="00AC2BA5">
        <w:rPr>
          <w:rFonts w:eastAsia="宋体" w:cs="宋体"/>
          <w:lang w:eastAsia="zh-CN"/>
        </w:rPr>
        <w:tab/>
      </w:r>
      <w:r w:rsidRPr="00AC2BA5">
        <w:rPr>
          <w:rFonts w:eastAsia="宋体" w:cs="宋体"/>
          <w:u w:val="single"/>
          <w:lang w:eastAsia="zh-CN"/>
        </w:rPr>
        <w:t>数据分析：</w:t>
      </w:r>
      <w:bookmarkEnd w:id="18"/>
    </w:p>
    <w:p w14:paraId="0877FD44"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数据排除和离群值：</w:t>
      </w:r>
    </w:p>
    <w:p w14:paraId="7E3BC755" w14:textId="04B08506"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申报资料中提供所有数据，包括血糖仪显示错误代码（</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高</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低</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消息）或无结果的情况。还应包括所有离群值（例如，不符合最低准确度标准的数据点）。应调查所有离群值结果，并描述这些调查结果，可能的话，解释离群值发生原因。为了帮助调查离群值结果，应在研究期间收集有关患者用药、血细胞比容测量和疾病状态的信息。</w:t>
      </w:r>
    </w:p>
    <w:p w14:paraId="565AF978" w14:textId="77777777" w:rsidR="00A66084"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i/>
          <w:snapToGrid w:val="0"/>
          <w:sz w:val="24"/>
          <w:szCs w:val="24"/>
          <w:lang w:eastAsia="zh-CN"/>
        </w:rPr>
      </w:pPr>
      <w:r w:rsidRPr="00AC2BA5">
        <w:rPr>
          <w:rFonts w:ascii="Times New Roman" w:eastAsia="宋体" w:hAnsi="Times New Roman" w:cs="宋体"/>
          <w:i/>
          <w:sz w:val="24"/>
          <w:lang w:eastAsia="zh-CN"/>
        </w:rPr>
        <w:t>结果分析：</w:t>
      </w:r>
      <w:r w:rsidRPr="00AC2BA5">
        <w:rPr>
          <w:rFonts w:ascii="Times New Roman" w:eastAsia="宋体" w:hAnsi="Times New Roman" w:cs="宋体"/>
          <w:i/>
          <w:lang w:eastAsia="zh-CN"/>
        </w:rPr>
        <w:br w:type="page"/>
      </w:r>
    </w:p>
    <w:p w14:paraId="7B215884"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应在</w:t>
      </w:r>
      <w:r w:rsidRPr="00AC2BA5">
        <w:rPr>
          <w:rFonts w:ascii="Times New Roman" w:eastAsia="宋体" w:hAnsi="Times New Roman" w:cs="宋体"/>
          <w:sz w:val="24"/>
          <w:lang w:eastAsia="zh-CN"/>
        </w:rPr>
        <w:t>X-Y</w:t>
      </w:r>
      <w:r w:rsidRPr="00AC2BA5">
        <w:rPr>
          <w:rFonts w:ascii="Times New Roman" w:eastAsia="宋体" w:hAnsi="Times New Roman" w:cs="宋体"/>
          <w:sz w:val="24"/>
          <w:lang w:eastAsia="zh-CN"/>
        </w:rPr>
        <w:t>图上绘制数据，以显示个体研究受试者结果与对照方法结果（如果采用对照方法进行了多次平行测量，则显示对照方法测量值的平均值）之间的差异。该图应包括回归线和等值线。结果总结应包括使用适当分析方法（例如，线性回归、</w:t>
      </w:r>
      <w:r w:rsidRPr="00AC2BA5">
        <w:rPr>
          <w:rFonts w:ascii="Times New Roman" w:eastAsia="宋体" w:hAnsi="Times New Roman" w:cs="宋体"/>
          <w:sz w:val="24"/>
          <w:lang w:eastAsia="zh-CN"/>
        </w:rPr>
        <w:t>Deming</w:t>
      </w:r>
      <w:r w:rsidRPr="00AC2BA5">
        <w:rPr>
          <w:rFonts w:ascii="Times New Roman" w:eastAsia="宋体" w:hAnsi="Times New Roman" w:cs="宋体"/>
          <w:sz w:val="24"/>
          <w:lang w:eastAsia="zh-CN"/>
        </w:rPr>
        <w:t>回归）计算的斜率和</w:t>
      </w:r>
      <w:r w:rsidRPr="00AC2BA5">
        <w:rPr>
          <w:rFonts w:ascii="Times New Roman" w:eastAsia="宋体" w:hAnsi="Times New Roman" w:cs="宋体"/>
          <w:sz w:val="24"/>
          <w:lang w:eastAsia="zh-CN"/>
        </w:rPr>
        <w:t>y</w:t>
      </w:r>
      <w:r w:rsidRPr="00AC2BA5">
        <w:rPr>
          <w:rFonts w:ascii="Times New Roman" w:eastAsia="宋体" w:hAnsi="Times New Roman" w:cs="宋体"/>
          <w:sz w:val="24"/>
          <w:lang w:eastAsia="zh-CN"/>
        </w:rPr>
        <w:t>轴截距，以及</w:t>
      </w:r>
      <w:r w:rsidRPr="00AC2BA5">
        <w:rPr>
          <w:rFonts w:ascii="Times New Roman" w:eastAsia="宋体" w:hAnsi="Times New Roman" w:cs="宋体"/>
          <w:sz w:val="24"/>
          <w:lang w:eastAsia="zh-CN"/>
        </w:rPr>
        <w:t>95%</w:t>
      </w:r>
      <w:r w:rsidRPr="00AC2BA5">
        <w:rPr>
          <w:rFonts w:ascii="Times New Roman" w:eastAsia="宋体" w:hAnsi="Times New Roman" w:cs="宋体"/>
          <w:sz w:val="24"/>
          <w:lang w:eastAsia="zh-CN"/>
        </w:rPr>
        <w:t>置信区间，以及偏差估计值（标准误）。也可提供</w:t>
      </w:r>
      <w:r w:rsidRPr="00AC2BA5">
        <w:rPr>
          <w:rFonts w:ascii="Times New Roman" w:eastAsia="宋体" w:hAnsi="Times New Roman" w:cs="宋体"/>
          <w:sz w:val="24"/>
          <w:lang w:eastAsia="zh-CN"/>
        </w:rPr>
        <w:t>Y-X</w:t>
      </w:r>
      <w:r w:rsidRPr="00AC2BA5">
        <w:rPr>
          <w:rFonts w:ascii="Times New Roman" w:eastAsia="宋体" w:hAnsi="Times New Roman" w:cs="宋体"/>
          <w:sz w:val="24"/>
          <w:lang w:eastAsia="zh-CN"/>
        </w:rPr>
        <w:t>与</w:t>
      </w:r>
      <w:r w:rsidRPr="00AC2BA5">
        <w:rPr>
          <w:rFonts w:ascii="Times New Roman" w:eastAsia="宋体" w:hAnsi="Times New Roman" w:cs="宋体"/>
          <w:sz w:val="24"/>
          <w:lang w:eastAsia="zh-CN"/>
        </w:rPr>
        <w:t>X</w:t>
      </w:r>
      <w:r w:rsidRPr="00AC2BA5">
        <w:rPr>
          <w:rFonts w:ascii="Times New Roman" w:eastAsia="宋体" w:hAnsi="Times New Roman" w:cs="宋体"/>
          <w:sz w:val="24"/>
          <w:lang w:eastAsia="zh-CN"/>
        </w:rPr>
        <w:t>的差异图。应描述使用的所有统计方法，并明确注明和描述分析中的任何离群值。</w:t>
      </w:r>
    </w:p>
    <w:p w14:paraId="494DBDAF"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列表数据显示：</w:t>
      </w:r>
    </w:p>
    <w:p w14:paraId="4672B49F"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proofErr w:type="gramStart"/>
      <w:r w:rsidRPr="00AC2BA5">
        <w:rPr>
          <w:rFonts w:ascii="Times New Roman" w:eastAsia="宋体" w:hAnsi="Times New Roman" w:cs="宋体"/>
          <w:sz w:val="24"/>
          <w:lang w:eastAsia="zh-CN"/>
        </w:rPr>
        <w:t>应以下</w:t>
      </w:r>
      <w:proofErr w:type="gramEnd"/>
      <w:r w:rsidRPr="00AC2BA5">
        <w:rPr>
          <w:rFonts w:ascii="Times New Roman" w:eastAsia="宋体" w:hAnsi="Times New Roman" w:cs="宋体"/>
          <w:sz w:val="24"/>
          <w:lang w:eastAsia="zh-CN"/>
        </w:rPr>
        <w:t>面的表格格式提供每个样本矩阵的分析结果。在下表</w:t>
      </w:r>
      <w:r w:rsidRPr="00AC2BA5">
        <w:rPr>
          <w:rFonts w:ascii="Times New Roman" w:eastAsia="宋体" w:hAnsi="Times New Roman" w:cs="宋体"/>
          <w:sz w:val="24"/>
          <w:lang w:eastAsia="zh-CN"/>
        </w:rPr>
        <w:t>2</w:t>
      </w:r>
      <w:r w:rsidRPr="00AC2BA5">
        <w:rPr>
          <w:rFonts w:ascii="Times New Roman" w:eastAsia="宋体" w:hAnsi="Times New Roman" w:cs="宋体"/>
          <w:sz w:val="24"/>
          <w:lang w:eastAsia="zh-CN"/>
        </w:rPr>
        <w:t>中，</w:t>
      </w:r>
      <w:r w:rsidRPr="00AC2BA5">
        <w:rPr>
          <w:rFonts w:ascii="Times New Roman" w:eastAsia="宋体" w:hAnsi="Times New Roman" w:cs="宋体"/>
          <w:sz w:val="24"/>
          <w:lang w:eastAsia="zh-CN"/>
        </w:rPr>
        <w:t>X =</w:t>
      </w:r>
      <w:r w:rsidRPr="00AC2BA5">
        <w:rPr>
          <w:rFonts w:ascii="Times New Roman" w:eastAsia="宋体" w:hAnsi="Times New Roman" w:cs="宋体"/>
          <w:sz w:val="24"/>
          <w:lang w:eastAsia="zh-CN"/>
        </w:rPr>
        <w:t>与对照方法测量结果之间的差异在规定范围以内的样本数量，</w:t>
      </w:r>
      <w:r w:rsidRPr="00AC2BA5">
        <w:rPr>
          <w:rFonts w:ascii="Times New Roman" w:eastAsia="宋体" w:hAnsi="Times New Roman" w:cs="宋体"/>
          <w:sz w:val="24"/>
          <w:lang w:eastAsia="zh-CN"/>
        </w:rPr>
        <w:t>Y =</w:t>
      </w:r>
      <w:r w:rsidRPr="00AC2BA5">
        <w:rPr>
          <w:rFonts w:ascii="Times New Roman" w:eastAsia="宋体" w:hAnsi="Times New Roman" w:cs="宋体"/>
          <w:sz w:val="24"/>
          <w:lang w:eastAsia="zh-CN"/>
        </w:rPr>
        <w:t>样本总数。</w:t>
      </w:r>
    </w:p>
    <w:p w14:paraId="39880DA1"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b/>
          <w:sz w:val="24"/>
          <w:lang w:eastAsia="zh-CN"/>
        </w:rPr>
        <w:t>表</w:t>
      </w:r>
      <w:r w:rsidRPr="00AC2BA5">
        <w:rPr>
          <w:rFonts w:ascii="Times New Roman" w:eastAsia="宋体" w:hAnsi="Times New Roman" w:cs="宋体"/>
          <w:b/>
          <w:sz w:val="24"/>
          <w:lang w:eastAsia="zh-CN"/>
        </w:rPr>
        <w:t>2.</w:t>
      </w:r>
      <w:r w:rsidRPr="00AC2BA5">
        <w:rPr>
          <w:rFonts w:ascii="Times New Roman" w:eastAsia="宋体" w:hAnsi="Times New Roman" w:cs="宋体"/>
          <w:b/>
          <w:sz w:val="24"/>
          <w:lang w:eastAsia="zh-CN"/>
        </w:rPr>
        <w:t>整个范围内血糖浓度与对照方法测量值之间的差异在规定范围（</w:t>
      </w:r>
      <w:r w:rsidRPr="00AC2BA5">
        <w:rPr>
          <w:rFonts w:ascii="Times New Roman" w:eastAsia="宋体" w:hAnsi="Times New Roman" w:cs="宋体"/>
          <w:b/>
          <w:sz w:val="24"/>
          <w:lang w:eastAsia="zh-CN"/>
        </w:rPr>
        <w:t>mg/dL</w:t>
      </w:r>
      <w:r w:rsidRPr="00AC2BA5">
        <w:rPr>
          <w:rFonts w:ascii="Times New Roman" w:eastAsia="宋体" w:hAnsi="Times New Roman" w:cs="宋体"/>
          <w:b/>
          <w:sz w:val="24"/>
          <w:lang w:eastAsia="zh-CN"/>
        </w:rPr>
        <w:t>）以内的数据总结：</w:t>
      </w:r>
    </w:p>
    <w:tbl>
      <w:tblPr>
        <w:tblStyle w:val="TableNormal"/>
        <w:tblW w:w="0" w:type="auto"/>
        <w:tblInd w:w="656" w:type="dxa"/>
        <w:tblLayout w:type="fixed"/>
        <w:tblCellMar>
          <w:left w:w="108" w:type="dxa"/>
          <w:right w:w="108" w:type="dxa"/>
        </w:tblCellMar>
        <w:tblLook w:val="01E0" w:firstRow="1" w:lastRow="1" w:firstColumn="1" w:lastColumn="1" w:noHBand="0" w:noVBand="0"/>
      </w:tblPr>
      <w:tblGrid>
        <w:gridCol w:w="1620"/>
        <w:gridCol w:w="1800"/>
        <w:gridCol w:w="1790"/>
        <w:gridCol w:w="1844"/>
      </w:tblGrid>
      <w:tr w:rsidR="000460CB" w:rsidRPr="00AC2BA5" w14:paraId="20C17E89" w14:textId="77777777" w:rsidTr="00653571">
        <w:tc>
          <w:tcPr>
            <w:tcW w:w="1620" w:type="dxa"/>
            <w:tcBorders>
              <w:top w:val="single" w:sz="5" w:space="0" w:color="000000"/>
              <w:left w:val="single" w:sz="5" w:space="0" w:color="000000"/>
              <w:bottom w:val="single" w:sz="5" w:space="0" w:color="000000"/>
              <w:right w:val="single" w:sz="5" w:space="0" w:color="000000"/>
            </w:tcBorders>
            <w:vAlign w:val="center"/>
          </w:tcPr>
          <w:p w14:paraId="337FB97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宋体"/>
                <w:sz w:val="21"/>
              </w:rPr>
              <w:t>在</w:t>
            </w:r>
            <w:r w:rsidRPr="00AC2BA5">
              <w:rPr>
                <w:rFonts w:ascii="Times New Roman" w:eastAsia="宋体" w:hAnsi="Times New Roman" w:cs="宋体"/>
                <w:sz w:val="21"/>
              </w:rPr>
              <w:t>+/-5%</w:t>
            </w:r>
            <w:r w:rsidRPr="00AC2BA5">
              <w:rPr>
                <w:rFonts w:ascii="Times New Roman" w:eastAsia="宋体" w:hAnsi="Times New Roman" w:cs="宋体"/>
                <w:sz w:val="21"/>
              </w:rPr>
              <w:t>范围内</w:t>
            </w:r>
          </w:p>
        </w:tc>
        <w:tc>
          <w:tcPr>
            <w:tcW w:w="1800" w:type="dxa"/>
            <w:tcBorders>
              <w:top w:val="single" w:sz="5" w:space="0" w:color="000000"/>
              <w:left w:val="single" w:sz="5" w:space="0" w:color="000000"/>
              <w:bottom w:val="single" w:sz="5" w:space="0" w:color="000000"/>
              <w:right w:val="single" w:sz="5" w:space="0" w:color="000000"/>
            </w:tcBorders>
            <w:vAlign w:val="center"/>
          </w:tcPr>
          <w:p w14:paraId="45FB249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宋体"/>
                <w:sz w:val="21"/>
              </w:rPr>
              <w:t>在</w:t>
            </w:r>
            <w:r w:rsidRPr="00AC2BA5">
              <w:rPr>
                <w:rFonts w:ascii="Times New Roman" w:eastAsia="宋体" w:hAnsi="Times New Roman" w:cs="宋体"/>
                <w:sz w:val="21"/>
              </w:rPr>
              <w:t>+/-10%</w:t>
            </w:r>
            <w:r w:rsidRPr="00AC2BA5">
              <w:rPr>
                <w:rFonts w:ascii="Times New Roman" w:eastAsia="宋体" w:hAnsi="Times New Roman" w:cs="宋体"/>
                <w:sz w:val="21"/>
              </w:rPr>
              <w:t>范围内</w:t>
            </w:r>
          </w:p>
        </w:tc>
        <w:tc>
          <w:tcPr>
            <w:tcW w:w="1790" w:type="dxa"/>
            <w:tcBorders>
              <w:top w:val="single" w:sz="5" w:space="0" w:color="000000"/>
              <w:left w:val="single" w:sz="5" w:space="0" w:color="000000"/>
              <w:bottom w:val="single" w:sz="5" w:space="0" w:color="000000"/>
              <w:right w:val="single" w:sz="5" w:space="0" w:color="000000"/>
            </w:tcBorders>
            <w:vAlign w:val="center"/>
          </w:tcPr>
          <w:p w14:paraId="4EB748D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宋体"/>
                <w:sz w:val="21"/>
              </w:rPr>
              <w:t>在</w:t>
            </w:r>
            <w:r w:rsidRPr="00AC2BA5">
              <w:rPr>
                <w:rFonts w:ascii="Times New Roman" w:eastAsia="宋体" w:hAnsi="Times New Roman" w:cs="宋体"/>
                <w:sz w:val="21"/>
              </w:rPr>
              <w:t>+/-15%</w:t>
            </w:r>
            <w:r w:rsidRPr="00AC2BA5">
              <w:rPr>
                <w:rFonts w:ascii="Times New Roman" w:eastAsia="宋体" w:hAnsi="Times New Roman" w:cs="宋体"/>
                <w:sz w:val="21"/>
              </w:rPr>
              <w:t>范围内</w:t>
            </w:r>
          </w:p>
        </w:tc>
        <w:tc>
          <w:tcPr>
            <w:tcW w:w="1844" w:type="dxa"/>
            <w:tcBorders>
              <w:top w:val="single" w:sz="5" w:space="0" w:color="000000"/>
              <w:left w:val="single" w:sz="5" w:space="0" w:color="000000"/>
              <w:bottom w:val="single" w:sz="5" w:space="0" w:color="000000"/>
              <w:right w:val="single" w:sz="5" w:space="0" w:color="000000"/>
            </w:tcBorders>
            <w:vAlign w:val="center"/>
          </w:tcPr>
          <w:p w14:paraId="68730CD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宋体"/>
                <w:sz w:val="21"/>
              </w:rPr>
              <w:t>在</w:t>
            </w:r>
            <w:r w:rsidRPr="00AC2BA5">
              <w:rPr>
                <w:rFonts w:ascii="Times New Roman" w:eastAsia="宋体" w:hAnsi="Times New Roman" w:cs="宋体"/>
                <w:sz w:val="21"/>
              </w:rPr>
              <w:t>+/-20%</w:t>
            </w:r>
            <w:r w:rsidRPr="00AC2BA5">
              <w:rPr>
                <w:rFonts w:ascii="Times New Roman" w:eastAsia="宋体" w:hAnsi="Times New Roman" w:cs="宋体"/>
                <w:sz w:val="21"/>
              </w:rPr>
              <w:t>范围内</w:t>
            </w:r>
          </w:p>
        </w:tc>
      </w:tr>
      <w:tr w:rsidR="000460CB" w:rsidRPr="00AC2BA5" w14:paraId="09FC036C" w14:textId="77777777" w:rsidTr="00653571">
        <w:tc>
          <w:tcPr>
            <w:tcW w:w="1620" w:type="dxa"/>
            <w:tcBorders>
              <w:top w:val="single" w:sz="5" w:space="0" w:color="000000"/>
              <w:left w:val="single" w:sz="5" w:space="0" w:color="000000"/>
              <w:bottom w:val="single" w:sz="5" w:space="0" w:color="000000"/>
              <w:right w:val="single" w:sz="5" w:space="0" w:color="000000"/>
            </w:tcBorders>
            <w:vAlign w:val="center"/>
          </w:tcPr>
          <w:p w14:paraId="3A201819" w14:textId="4B4E0710"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X/Y</w:t>
            </w:r>
            <w:r w:rsidR="0050117E" w:rsidRPr="00AC2BA5">
              <w:rPr>
                <w:rFonts w:ascii="Times New Roman" w:eastAsia="宋体" w:hAnsi="Times New Roman" w:cs="Times New Roman"/>
                <w:snapToGrid w:val="0"/>
                <w:sz w:val="21"/>
                <w:szCs w:val="21"/>
              </w:rPr>
              <w:t xml:space="preserve"> </w:t>
            </w:r>
            <w:r w:rsidR="007E6307">
              <w:rPr>
                <w:rFonts w:ascii="Times New Roman" w:eastAsia="宋体" w:hAnsi="Times New Roman" w:cs="Times New Roman"/>
                <w:snapToGrid w:val="0"/>
                <w:sz w:val="21"/>
                <w:szCs w:val="21"/>
              </w:rPr>
              <w:t>（</w:t>
            </w:r>
            <w:r w:rsidRPr="00AC2BA5">
              <w:rPr>
                <w:rFonts w:ascii="Times New Roman" w:eastAsia="宋体" w:hAnsi="Times New Roman" w:cs="Times New Roman"/>
                <w:snapToGrid w:val="0"/>
                <w:sz w:val="21"/>
                <w:szCs w:val="21"/>
              </w:rPr>
              <w:t>%</w:t>
            </w:r>
            <w:r w:rsidR="007E6307">
              <w:rPr>
                <w:rFonts w:ascii="Times New Roman" w:eastAsia="宋体" w:hAnsi="Times New Roman" w:cs="Times New Roman"/>
                <w:snapToGrid w:val="0"/>
                <w:sz w:val="21"/>
                <w:szCs w:val="21"/>
              </w:rPr>
              <w:t>）</w:t>
            </w:r>
          </w:p>
        </w:tc>
        <w:tc>
          <w:tcPr>
            <w:tcW w:w="1800" w:type="dxa"/>
            <w:tcBorders>
              <w:top w:val="single" w:sz="5" w:space="0" w:color="000000"/>
              <w:left w:val="single" w:sz="5" w:space="0" w:color="000000"/>
              <w:bottom w:val="single" w:sz="5" w:space="0" w:color="000000"/>
              <w:right w:val="single" w:sz="5" w:space="0" w:color="000000"/>
            </w:tcBorders>
            <w:vAlign w:val="center"/>
          </w:tcPr>
          <w:p w14:paraId="7C49581C" w14:textId="27EB352B"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X/Y</w:t>
            </w:r>
            <w:r w:rsidR="0050117E" w:rsidRPr="00AC2BA5">
              <w:rPr>
                <w:rFonts w:ascii="Times New Roman" w:eastAsia="宋体" w:hAnsi="Times New Roman" w:cs="Times New Roman"/>
                <w:snapToGrid w:val="0"/>
                <w:sz w:val="21"/>
                <w:szCs w:val="21"/>
              </w:rPr>
              <w:t xml:space="preserve"> </w:t>
            </w:r>
            <w:r w:rsidR="007E6307">
              <w:rPr>
                <w:rFonts w:ascii="Times New Roman" w:eastAsia="宋体" w:hAnsi="Times New Roman" w:cs="Times New Roman"/>
                <w:snapToGrid w:val="0"/>
                <w:sz w:val="21"/>
                <w:szCs w:val="21"/>
              </w:rPr>
              <w:t>（</w:t>
            </w:r>
            <w:r w:rsidRPr="00AC2BA5">
              <w:rPr>
                <w:rFonts w:ascii="Times New Roman" w:eastAsia="宋体" w:hAnsi="Times New Roman" w:cs="Times New Roman"/>
                <w:snapToGrid w:val="0"/>
                <w:sz w:val="21"/>
                <w:szCs w:val="21"/>
              </w:rPr>
              <w:t>%</w:t>
            </w:r>
            <w:r w:rsidR="007E6307">
              <w:rPr>
                <w:rFonts w:ascii="Times New Roman" w:eastAsia="宋体" w:hAnsi="Times New Roman" w:cs="Times New Roman"/>
                <w:snapToGrid w:val="0"/>
                <w:sz w:val="21"/>
                <w:szCs w:val="21"/>
              </w:rPr>
              <w:t>）</w:t>
            </w:r>
          </w:p>
        </w:tc>
        <w:tc>
          <w:tcPr>
            <w:tcW w:w="1790" w:type="dxa"/>
            <w:tcBorders>
              <w:top w:val="single" w:sz="5" w:space="0" w:color="000000"/>
              <w:left w:val="single" w:sz="5" w:space="0" w:color="000000"/>
              <w:bottom w:val="single" w:sz="5" w:space="0" w:color="000000"/>
              <w:right w:val="single" w:sz="5" w:space="0" w:color="000000"/>
            </w:tcBorders>
            <w:vAlign w:val="center"/>
          </w:tcPr>
          <w:p w14:paraId="24C632FE" w14:textId="554A30F9"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X/Y</w:t>
            </w:r>
            <w:r w:rsidR="0050117E" w:rsidRPr="00AC2BA5">
              <w:rPr>
                <w:rFonts w:ascii="Times New Roman" w:eastAsia="宋体" w:hAnsi="Times New Roman" w:cs="Times New Roman"/>
                <w:snapToGrid w:val="0"/>
                <w:sz w:val="21"/>
                <w:szCs w:val="21"/>
              </w:rPr>
              <w:t xml:space="preserve"> </w:t>
            </w:r>
            <w:r w:rsidR="007E6307">
              <w:rPr>
                <w:rFonts w:ascii="Times New Roman" w:eastAsia="宋体" w:hAnsi="Times New Roman" w:cs="Times New Roman"/>
                <w:snapToGrid w:val="0"/>
                <w:sz w:val="21"/>
                <w:szCs w:val="21"/>
              </w:rPr>
              <w:t>（</w:t>
            </w:r>
            <w:r w:rsidRPr="00AC2BA5">
              <w:rPr>
                <w:rFonts w:ascii="Times New Roman" w:eastAsia="宋体" w:hAnsi="Times New Roman" w:cs="Times New Roman"/>
                <w:snapToGrid w:val="0"/>
                <w:sz w:val="21"/>
                <w:szCs w:val="21"/>
              </w:rPr>
              <w:t>%</w:t>
            </w:r>
            <w:r w:rsidR="007E6307">
              <w:rPr>
                <w:rFonts w:ascii="Times New Roman" w:eastAsia="宋体" w:hAnsi="Times New Roman" w:cs="Times New Roman"/>
                <w:snapToGrid w:val="0"/>
                <w:sz w:val="21"/>
                <w:szCs w:val="21"/>
              </w:rPr>
              <w:t>）</w:t>
            </w:r>
          </w:p>
        </w:tc>
        <w:tc>
          <w:tcPr>
            <w:tcW w:w="1844" w:type="dxa"/>
            <w:tcBorders>
              <w:top w:val="single" w:sz="5" w:space="0" w:color="000000"/>
              <w:left w:val="single" w:sz="5" w:space="0" w:color="000000"/>
              <w:bottom w:val="single" w:sz="5" w:space="0" w:color="000000"/>
              <w:right w:val="single" w:sz="5" w:space="0" w:color="000000"/>
            </w:tcBorders>
            <w:vAlign w:val="center"/>
          </w:tcPr>
          <w:p w14:paraId="629F07D3" w14:textId="7B03A9DD"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X/Y</w:t>
            </w:r>
            <w:r w:rsidR="0050117E" w:rsidRPr="00AC2BA5">
              <w:rPr>
                <w:rFonts w:ascii="Times New Roman" w:eastAsia="宋体" w:hAnsi="Times New Roman" w:cs="Times New Roman"/>
                <w:snapToGrid w:val="0"/>
                <w:sz w:val="21"/>
                <w:szCs w:val="21"/>
              </w:rPr>
              <w:t xml:space="preserve"> </w:t>
            </w:r>
            <w:r w:rsidR="007E6307">
              <w:rPr>
                <w:rFonts w:ascii="Times New Roman" w:eastAsia="宋体" w:hAnsi="Times New Roman" w:cs="Times New Roman"/>
                <w:snapToGrid w:val="0"/>
                <w:sz w:val="21"/>
                <w:szCs w:val="21"/>
              </w:rPr>
              <w:t>（</w:t>
            </w:r>
            <w:r w:rsidRPr="00AC2BA5">
              <w:rPr>
                <w:rFonts w:ascii="Times New Roman" w:eastAsia="宋体" w:hAnsi="Times New Roman" w:cs="Times New Roman"/>
                <w:snapToGrid w:val="0"/>
                <w:sz w:val="21"/>
                <w:szCs w:val="21"/>
              </w:rPr>
              <w:t>%</w:t>
            </w:r>
            <w:r w:rsidR="007E6307">
              <w:rPr>
                <w:rFonts w:ascii="Times New Roman" w:eastAsia="宋体" w:hAnsi="Times New Roman" w:cs="Times New Roman"/>
                <w:snapToGrid w:val="0"/>
                <w:sz w:val="21"/>
                <w:szCs w:val="21"/>
              </w:rPr>
              <w:t>）</w:t>
            </w:r>
          </w:p>
        </w:tc>
      </w:tr>
    </w:tbl>
    <w:p w14:paraId="241BEA94" w14:textId="77777777" w:rsidR="000460CB" w:rsidRPr="00AC2BA5" w:rsidRDefault="0050117E" w:rsidP="000102EB">
      <w:pPr>
        <w:pStyle w:val="21"/>
        <w:rPr>
          <w:rFonts w:eastAsia="宋体"/>
        </w:rPr>
      </w:pPr>
      <w:bookmarkStart w:id="19" w:name="_Toc91871173"/>
      <w:r w:rsidRPr="00AC2BA5">
        <w:rPr>
          <w:rFonts w:eastAsia="宋体" w:cs="宋体"/>
        </w:rPr>
        <w:t>D.</w:t>
      </w:r>
      <w:r w:rsidRPr="00AC2BA5">
        <w:rPr>
          <w:rFonts w:eastAsia="宋体" w:cs="宋体"/>
        </w:rPr>
        <w:tab/>
      </w:r>
      <w:proofErr w:type="spellStart"/>
      <w:r w:rsidRPr="00AC2BA5">
        <w:rPr>
          <w:rFonts w:eastAsia="宋体" w:cs="宋体"/>
        </w:rPr>
        <w:t>干扰评价</w:t>
      </w:r>
      <w:bookmarkEnd w:id="19"/>
      <w:proofErr w:type="spellEnd"/>
    </w:p>
    <w:p w14:paraId="5E02E6E9" w14:textId="2F9EA051"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proofErr w:type="gramStart"/>
      <w:r w:rsidRPr="00AC2BA5">
        <w:rPr>
          <w:rFonts w:ascii="Times New Roman" w:eastAsia="宋体" w:hAnsi="Times New Roman" w:cs="宋体"/>
          <w:sz w:val="24"/>
          <w:lang w:eastAsia="zh-CN"/>
        </w:rPr>
        <w:t>应评价</w:t>
      </w:r>
      <w:proofErr w:type="gramEnd"/>
      <w:r w:rsidRPr="00AC2BA5">
        <w:rPr>
          <w:rFonts w:ascii="Times New Roman" w:eastAsia="宋体" w:hAnsi="Times New Roman" w:cs="宋体"/>
          <w:sz w:val="24"/>
          <w:lang w:eastAsia="zh-CN"/>
        </w:rPr>
        <w:t>潜在内源性和外源性干扰物质和疾病（例如黄疸、脂血症和各种血细胞比容水平）的影响，以及常用药物对</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性能的影响。已知会干扰血糖监测系统的疾病（例如酮症酸中毒）应作为限制条件纳入标签中。如果希望标签中不包含这些限制条件，或者想要从标签中删除这些疾病，应该提供干扰试验，证明这些疾病不会对器械造成干扰。</w:t>
      </w:r>
    </w:p>
    <w:p w14:paraId="30616CDC" w14:textId="77777777" w:rsidR="000460CB" w:rsidRPr="00AC2BA5" w:rsidRDefault="0050117E" w:rsidP="000102EB">
      <w:pPr>
        <w:pStyle w:val="31"/>
        <w:rPr>
          <w:rFonts w:eastAsia="宋体"/>
          <w:u w:val="single"/>
          <w:lang w:eastAsia="zh-CN"/>
        </w:rPr>
      </w:pPr>
      <w:bookmarkStart w:id="20" w:name="_Toc91871174"/>
      <w:r w:rsidRPr="00AC2BA5">
        <w:rPr>
          <w:rFonts w:eastAsia="宋体" w:cs="宋体"/>
          <w:lang w:eastAsia="zh-CN"/>
        </w:rPr>
        <w:t>1.</w:t>
      </w:r>
      <w:r w:rsidRPr="00AC2BA5">
        <w:rPr>
          <w:rFonts w:eastAsia="宋体" w:cs="宋体"/>
          <w:lang w:eastAsia="zh-CN"/>
        </w:rPr>
        <w:tab/>
      </w:r>
      <w:r w:rsidRPr="00AC2BA5">
        <w:rPr>
          <w:rFonts w:eastAsia="宋体" w:cs="宋体"/>
          <w:u w:val="single"/>
          <w:lang w:eastAsia="zh-CN"/>
        </w:rPr>
        <w:t>内源性</w:t>
      </w:r>
      <w:r w:rsidRPr="00AC2BA5">
        <w:rPr>
          <w:rFonts w:eastAsia="宋体" w:cs="宋体"/>
          <w:u w:val="single"/>
          <w:lang w:eastAsia="zh-CN"/>
        </w:rPr>
        <w:t>/</w:t>
      </w:r>
      <w:r w:rsidRPr="00AC2BA5">
        <w:rPr>
          <w:rFonts w:eastAsia="宋体" w:cs="宋体"/>
          <w:u w:val="single"/>
          <w:lang w:eastAsia="zh-CN"/>
        </w:rPr>
        <w:t>外源性物质</w:t>
      </w:r>
      <w:bookmarkEnd w:id="20"/>
    </w:p>
    <w:p w14:paraId="249A0333"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研究设计：</w:t>
      </w:r>
    </w:p>
    <w:p w14:paraId="437975BF"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应使用血糖浓度在器械测量范围内的样本进行干扰试验。具体而言，应使用目标血糖值约为</w:t>
      </w:r>
      <w:r w:rsidRPr="00AC2BA5">
        <w:rPr>
          <w:rFonts w:ascii="Times New Roman" w:eastAsia="宋体" w:hAnsi="Times New Roman" w:cs="宋体"/>
          <w:sz w:val="24"/>
          <w:lang w:eastAsia="zh-CN"/>
        </w:rPr>
        <w:t>50-70 mg/dL</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110-130 mg/dL</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225-270 mg/dL</w:t>
      </w:r>
      <w:r w:rsidRPr="00AC2BA5">
        <w:rPr>
          <w:rFonts w:ascii="Times New Roman" w:eastAsia="宋体" w:hAnsi="Times New Roman" w:cs="宋体"/>
          <w:sz w:val="24"/>
          <w:lang w:eastAsia="zh-CN"/>
        </w:rPr>
        <w:t>的样本执行试验，以评价临床相关决策点。</w:t>
      </w:r>
    </w:p>
    <w:p w14:paraId="25A6FF66"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应在临床相关浓度下评价每种潜在干扰物质，并且应在全血样本中可能存在的最高浓度下检测所有物质；如果观察到显著干扰，应对干扰物进行稀释，以确定干扰开始发生时的浓度。例如，如果观察到</w:t>
      </w:r>
      <w:r w:rsidRPr="00AC2BA5">
        <w:rPr>
          <w:rFonts w:ascii="Times New Roman" w:eastAsia="宋体" w:hAnsi="Times New Roman" w:cs="宋体"/>
          <w:sz w:val="24"/>
          <w:lang w:eastAsia="zh-CN"/>
        </w:rPr>
        <w:t>20 mg/dL</w:t>
      </w:r>
      <w:r w:rsidRPr="00AC2BA5">
        <w:rPr>
          <w:rFonts w:ascii="Times New Roman" w:eastAsia="宋体" w:hAnsi="Times New Roman" w:cs="宋体"/>
          <w:sz w:val="24"/>
          <w:lang w:eastAsia="zh-CN"/>
        </w:rPr>
        <w:t>对乙酰氨基</w:t>
      </w:r>
      <w:proofErr w:type="gramStart"/>
      <w:r w:rsidRPr="00AC2BA5">
        <w:rPr>
          <w:rFonts w:ascii="Times New Roman" w:eastAsia="宋体" w:hAnsi="Times New Roman" w:cs="宋体"/>
          <w:sz w:val="24"/>
          <w:lang w:eastAsia="zh-CN"/>
        </w:rPr>
        <w:t>酚</w:t>
      </w:r>
      <w:proofErr w:type="gramEnd"/>
      <w:r w:rsidRPr="00AC2BA5">
        <w:rPr>
          <w:rFonts w:ascii="Times New Roman" w:eastAsia="宋体" w:hAnsi="Times New Roman" w:cs="宋体"/>
          <w:sz w:val="24"/>
          <w:lang w:eastAsia="zh-CN"/>
        </w:rPr>
        <w:t>有干扰作用，应使用含有较低浓度对乙酰氨基</w:t>
      </w:r>
      <w:proofErr w:type="gramStart"/>
      <w:r w:rsidRPr="00AC2BA5">
        <w:rPr>
          <w:rFonts w:ascii="Times New Roman" w:eastAsia="宋体" w:hAnsi="Times New Roman" w:cs="宋体"/>
          <w:sz w:val="24"/>
          <w:lang w:eastAsia="zh-CN"/>
        </w:rPr>
        <w:t>酚</w:t>
      </w:r>
      <w:proofErr w:type="gramEnd"/>
      <w:r w:rsidRPr="00AC2BA5">
        <w:rPr>
          <w:rFonts w:ascii="Times New Roman" w:eastAsia="宋体" w:hAnsi="Times New Roman" w:cs="宋体"/>
          <w:sz w:val="24"/>
          <w:lang w:eastAsia="zh-CN"/>
        </w:rPr>
        <w:t>（例如</w:t>
      </w:r>
      <w:r w:rsidRPr="00AC2BA5">
        <w:rPr>
          <w:rFonts w:ascii="Times New Roman" w:eastAsia="宋体" w:hAnsi="Times New Roman" w:cs="宋体"/>
          <w:sz w:val="24"/>
          <w:lang w:eastAsia="zh-CN"/>
        </w:rPr>
        <w:t>15 mg/dL</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10 mg/dL</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5 mg/dL</w:t>
      </w:r>
      <w:r w:rsidRPr="00AC2BA5">
        <w:rPr>
          <w:rFonts w:ascii="Times New Roman" w:eastAsia="宋体" w:hAnsi="Times New Roman" w:cs="宋体"/>
          <w:sz w:val="24"/>
          <w:lang w:eastAsia="zh-CN"/>
        </w:rPr>
        <w:t>）的样本进行额外检测，以确定最先观察到干扰时的最低对乙酰氨基</w:t>
      </w:r>
      <w:proofErr w:type="gramStart"/>
      <w:r w:rsidRPr="00AC2BA5">
        <w:rPr>
          <w:rFonts w:ascii="Times New Roman" w:eastAsia="宋体" w:hAnsi="Times New Roman" w:cs="宋体"/>
          <w:sz w:val="24"/>
          <w:lang w:eastAsia="zh-CN"/>
        </w:rPr>
        <w:t>酚</w:t>
      </w:r>
      <w:proofErr w:type="gramEnd"/>
      <w:r w:rsidRPr="00AC2BA5">
        <w:rPr>
          <w:rFonts w:ascii="Times New Roman" w:eastAsia="宋体" w:hAnsi="Times New Roman" w:cs="宋体"/>
          <w:sz w:val="24"/>
          <w:lang w:eastAsia="zh-CN"/>
        </w:rPr>
        <w:t>浓度。如果根据额外检测的结果确定在含</w:t>
      </w:r>
      <w:r w:rsidRPr="00AC2BA5">
        <w:rPr>
          <w:rFonts w:ascii="Times New Roman" w:eastAsia="宋体" w:hAnsi="Times New Roman" w:cs="宋体"/>
          <w:sz w:val="24"/>
          <w:lang w:eastAsia="zh-CN"/>
        </w:rPr>
        <w:t>5 mg/dL</w:t>
      </w:r>
      <w:r w:rsidRPr="00AC2BA5">
        <w:rPr>
          <w:rFonts w:ascii="Times New Roman" w:eastAsia="宋体" w:hAnsi="Times New Roman" w:cs="宋体"/>
          <w:sz w:val="24"/>
          <w:lang w:eastAsia="zh-CN"/>
        </w:rPr>
        <w:t>对乙酰氨基</w:t>
      </w:r>
      <w:proofErr w:type="gramStart"/>
      <w:r w:rsidRPr="00AC2BA5">
        <w:rPr>
          <w:rFonts w:ascii="Times New Roman" w:eastAsia="宋体" w:hAnsi="Times New Roman" w:cs="宋体"/>
          <w:sz w:val="24"/>
          <w:lang w:eastAsia="zh-CN"/>
        </w:rPr>
        <w:t>酚</w:t>
      </w:r>
      <w:proofErr w:type="gramEnd"/>
      <w:r w:rsidRPr="00AC2BA5">
        <w:rPr>
          <w:rFonts w:ascii="Times New Roman" w:eastAsia="宋体" w:hAnsi="Times New Roman" w:cs="宋体"/>
          <w:sz w:val="24"/>
          <w:lang w:eastAsia="zh-CN"/>
        </w:rPr>
        <w:t>的样本中未观察到干扰，而在含</w:t>
      </w:r>
      <w:r w:rsidRPr="00AC2BA5">
        <w:rPr>
          <w:rFonts w:ascii="Times New Roman" w:eastAsia="宋体" w:hAnsi="Times New Roman" w:cs="宋体"/>
          <w:sz w:val="24"/>
          <w:lang w:eastAsia="zh-CN"/>
        </w:rPr>
        <w:t>10 mg/dL</w:t>
      </w:r>
      <w:r w:rsidRPr="00AC2BA5">
        <w:rPr>
          <w:rFonts w:ascii="Times New Roman" w:eastAsia="宋体" w:hAnsi="Times New Roman" w:cs="宋体"/>
          <w:sz w:val="24"/>
          <w:lang w:eastAsia="zh-CN"/>
        </w:rPr>
        <w:t>对乙酰氨基</w:t>
      </w:r>
      <w:proofErr w:type="gramStart"/>
      <w:r w:rsidRPr="00AC2BA5">
        <w:rPr>
          <w:rFonts w:ascii="Times New Roman" w:eastAsia="宋体" w:hAnsi="Times New Roman" w:cs="宋体"/>
          <w:sz w:val="24"/>
          <w:lang w:eastAsia="zh-CN"/>
        </w:rPr>
        <w:t>酚</w:t>
      </w:r>
      <w:proofErr w:type="gramEnd"/>
      <w:r w:rsidRPr="00AC2BA5">
        <w:rPr>
          <w:rFonts w:ascii="Times New Roman" w:eastAsia="宋体" w:hAnsi="Times New Roman" w:cs="宋体"/>
          <w:sz w:val="24"/>
          <w:lang w:eastAsia="zh-CN"/>
        </w:rPr>
        <w:t>的样本中观察到干扰，则</w:t>
      </w:r>
      <w:r w:rsidRPr="00AC2BA5">
        <w:rPr>
          <w:rFonts w:ascii="Times New Roman" w:eastAsia="宋体" w:hAnsi="Times New Roman" w:cs="宋体"/>
          <w:sz w:val="24"/>
          <w:lang w:eastAsia="zh-CN"/>
        </w:rPr>
        <w:t>5 mg/dL</w:t>
      </w:r>
      <w:r w:rsidRPr="00AC2BA5">
        <w:rPr>
          <w:rFonts w:ascii="Times New Roman" w:eastAsia="宋体" w:hAnsi="Times New Roman" w:cs="宋体"/>
          <w:sz w:val="24"/>
          <w:lang w:eastAsia="zh-CN"/>
        </w:rPr>
        <w:t>是未观察到干扰的最高对乙酰氨基</w:t>
      </w:r>
      <w:proofErr w:type="gramStart"/>
      <w:r w:rsidRPr="00AC2BA5">
        <w:rPr>
          <w:rFonts w:ascii="Times New Roman" w:eastAsia="宋体" w:hAnsi="Times New Roman" w:cs="宋体"/>
          <w:sz w:val="24"/>
          <w:lang w:eastAsia="zh-CN"/>
        </w:rPr>
        <w:t>酚</w:t>
      </w:r>
      <w:proofErr w:type="gramEnd"/>
      <w:r w:rsidRPr="00AC2BA5">
        <w:rPr>
          <w:rFonts w:ascii="Times New Roman" w:eastAsia="宋体" w:hAnsi="Times New Roman" w:cs="宋体"/>
          <w:sz w:val="24"/>
          <w:lang w:eastAsia="zh-CN"/>
        </w:rPr>
        <w:t>浓度。</w:t>
      </w:r>
    </w:p>
    <w:p w14:paraId="12A0ABD2" w14:textId="77777777" w:rsidR="00653571" w:rsidRPr="00AC2BA5" w:rsidRDefault="00653571"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38EC60DF"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下表</w:t>
      </w: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列出的物质代表当前血糖测量技术的已知或潜在干扰物，包括需要进行干扰检测的物质的最小列表。</w:t>
      </w:r>
    </w:p>
    <w:p w14:paraId="5F4D0CB9" w14:textId="789C0F3A" w:rsidR="000460CB" w:rsidRPr="00AC2BA5" w:rsidRDefault="00B8550C" w:rsidP="000102EB">
      <w:pPr>
        <w:pStyle w:val="3"/>
        <w:adjustRightInd w:val="0"/>
        <w:snapToGrid w:val="0"/>
        <w:spacing w:beforeLines="50" w:before="120" w:line="300" w:lineRule="auto"/>
        <w:ind w:leftChars="193" w:left="425" w:firstLine="0"/>
        <w:jc w:val="both"/>
        <w:rPr>
          <w:rFonts w:eastAsia="宋体" w:cs="Times New Roman"/>
          <w:b w:val="0"/>
          <w:bCs w:val="0"/>
          <w:snapToGrid w:val="0"/>
          <w:lang w:eastAsia="zh-CN"/>
        </w:rPr>
      </w:pPr>
      <w:r w:rsidRPr="00AC2BA5">
        <w:rPr>
          <w:rFonts w:eastAsia="宋体" w:cs="宋体"/>
          <w:lang w:eastAsia="zh-CN"/>
        </w:rPr>
        <w:t>表</w:t>
      </w:r>
      <w:r w:rsidRPr="00AC2BA5">
        <w:rPr>
          <w:rFonts w:eastAsia="宋体" w:cs="宋体"/>
          <w:lang w:eastAsia="zh-CN"/>
        </w:rPr>
        <w:t>3.SMBG</w:t>
      </w:r>
      <w:r w:rsidRPr="00AC2BA5">
        <w:rPr>
          <w:rFonts w:eastAsia="宋体" w:cs="宋体"/>
          <w:lang w:eastAsia="zh-CN"/>
        </w:rPr>
        <w:t>的已知或潜在干扰物列表：</w:t>
      </w:r>
    </w:p>
    <w:tbl>
      <w:tblPr>
        <w:tblStyle w:val="TableNormal"/>
        <w:tblW w:w="0" w:type="auto"/>
        <w:tblInd w:w="547" w:type="dxa"/>
        <w:tblLayout w:type="fixed"/>
        <w:tblCellMar>
          <w:left w:w="108" w:type="dxa"/>
          <w:right w:w="108" w:type="dxa"/>
        </w:tblCellMar>
        <w:tblLook w:val="01E0" w:firstRow="1" w:lastRow="1" w:firstColumn="1" w:lastColumn="1" w:noHBand="0" w:noVBand="0"/>
      </w:tblPr>
      <w:tblGrid>
        <w:gridCol w:w="2610"/>
        <w:gridCol w:w="2790"/>
      </w:tblGrid>
      <w:tr w:rsidR="000460CB" w:rsidRPr="00AC2BA5" w14:paraId="692A6291"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29EDFA83" w14:textId="3904BE95"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干扰</w:t>
            </w:r>
            <w:proofErr w:type="spellEnd"/>
            <w:r w:rsidR="009026D4">
              <w:rPr>
                <w:rFonts w:ascii="Times New Roman" w:eastAsia="宋体" w:hAnsi="Times New Roman" w:cs="宋体" w:hint="eastAsia"/>
                <w:b/>
                <w:sz w:val="21"/>
                <w:lang w:eastAsia="zh-CN"/>
              </w:rPr>
              <w:t>物</w:t>
            </w:r>
            <w:r w:rsidR="00F85E01">
              <w:rPr>
                <w:rFonts w:ascii="Times New Roman" w:eastAsia="宋体" w:hAnsi="Times New Roman" w:cs="宋体" w:hint="eastAsia"/>
                <w:b/>
                <w:sz w:val="21"/>
                <w:lang w:eastAsia="zh-CN"/>
              </w:rPr>
              <w:t>质</w:t>
            </w:r>
          </w:p>
        </w:tc>
        <w:tc>
          <w:tcPr>
            <w:tcW w:w="2790" w:type="dxa"/>
            <w:tcBorders>
              <w:top w:val="single" w:sz="5" w:space="0" w:color="000000"/>
              <w:left w:val="single" w:sz="5" w:space="0" w:color="000000"/>
              <w:bottom w:val="single" w:sz="5" w:space="0" w:color="000000"/>
              <w:right w:val="single" w:sz="5" w:space="0" w:color="000000"/>
            </w:tcBorders>
          </w:tcPr>
          <w:p w14:paraId="29B03D3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建议的检测浓度</w:t>
            </w:r>
            <w:proofErr w:type="spellEnd"/>
          </w:p>
        </w:tc>
      </w:tr>
      <w:tr w:rsidR="000460CB" w:rsidRPr="00AC2BA5" w14:paraId="35750FCD"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1A1435DC"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对乙酰氨基酚</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146302F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2D11920A"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66EBF80C"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抗坏血酸</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0597D6A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576F5DA0"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161C6247"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结合胆红素</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59F2ECB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7D8AB985"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6667B1B8"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非结合胆红素</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3319BD9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0018EEA2"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4DFC0C97"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胆固醇</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597BDEA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500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1FA96EC5"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5787610A"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肌酐</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7FA2B29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15</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1E5EC0A7"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420B4C6A"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多巴胺</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467F57F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0.09</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59530983"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34118E4D"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AC2BA5">
              <w:rPr>
                <w:rFonts w:ascii="Times New Roman" w:eastAsia="宋体" w:hAnsi="Times New Roman" w:cs="宋体"/>
                <w:sz w:val="21"/>
              </w:rPr>
              <w:t>EDTA*</w:t>
            </w:r>
          </w:p>
        </w:tc>
        <w:tc>
          <w:tcPr>
            <w:tcW w:w="2790" w:type="dxa"/>
            <w:tcBorders>
              <w:top w:val="single" w:sz="5" w:space="0" w:color="000000"/>
              <w:left w:val="single" w:sz="5" w:space="0" w:color="000000"/>
              <w:bottom w:val="single" w:sz="5" w:space="0" w:color="000000"/>
              <w:right w:val="single" w:sz="5" w:space="0" w:color="000000"/>
            </w:tcBorders>
          </w:tcPr>
          <w:p w14:paraId="208CEC5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0.1</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64D78317"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61A0CCDD"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半乳糖</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70E0382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65D8AF33"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3ACCEF7C"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龙胆酸</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630C31A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1.8</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4361DEF3"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44C61CD5"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还原型谷胱甘肽</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7F4CE10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4.6</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4B09E17F"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1CB2F19D"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血红蛋白</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17EBC5A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1000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5942DD6C"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551C9276"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肝素</w:t>
            </w:r>
            <w:proofErr w:type="spellEnd"/>
            <w:r w:rsidRPr="00AC2BA5">
              <w:rPr>
                <w:rFonts w:ascii="Times New Roman" w:eastAsia="宋体" w:hAnsi="Times New Roman" w:cs="宋体"/>
                <w:sz w:val="21"/>
              </w:rPr>
              <w:t>*</w:t>
            </w:r>
          </w:p>
        </w:tc>
        <w:tc>
          <w:tcPr>
            <w:tcW w:w="2790" w:type="dxa"/>
            <w:tcBorders>
              <w:top w:val="single" w:sz="5" w:space="0" w:color="000000"/>
              <w:left w:val="single" w:sz="5" w:space="0" w:color="000000"/>
              <w:bottom w:val="single" w:sz="5" w:space="0" w:color="000000"/>
              <w:right w:val="single" w:sz="5" w:space="0" w:color="000000"/>
            </w:tcBorders>
          </w:tcPr>
          <w:p w14:paraId="442BA41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IU/dL</w:t>
            </w:r>
          </w:p>
        </w:tc>
      </w:tr>
      <w:tr w:rsidR="000460CB" w:rsidRPr="00AC2BA5" w14:paraId="7AD11512"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7535549E"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布洛芬</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19FC302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41838728"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422254DE"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左旋多巴</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3A1E8FE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0.75</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41069E3D"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6DE4D522"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麦芽糖</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7ED15DC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480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0D2EF9A0"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35F15E01"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甘露醇</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07B0300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1800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6B50A07D"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5E2B1F61"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甲基多巴</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375FA52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2E35B878"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0F29BFE4"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水杨酸</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4FB357A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28EDB557"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5DF2AC88"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r w:rsidRPr="00AC2BA5">
              <w:rPr>
                <w:rFonts w:ascii="Times New Roman" w:eastAsia="宋体" w:hAnsi="Times New Roman" w:cs="宋体"/>
                <w:sz w:val="21"/>
              </w:rPr>
              <w:t>钠</w:t>
            </w:r>
          </w:p>
        </w:tc>
        <w:tc>
          <w:tcPr>
            <w:tcW w:w="2790" w:type="dxa"/>
            <w:tcBorders>
              <w:top w:val="single" w:sz="5" w:space="0" w:color="000000"/>
              <w:left w:val="single" w:sz="5" w:space="0" w:color="000000"/>
              <w:bottom w:val="single" w:sz="5" w:space="0" w:color="000000"/>
              <w:right w:val="single" w:sz="5" w:space="0" w:color="000000"/>
            </w:tcBorders>
          </w:tcPr>
          <w:p w14:paraId="41D1CE8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180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mmol/L</w:t>
            </w:r>
          </w:p>
        </w:tc>
      </w:tr>
      <w:tr w:rsidR="000460CB" w:rsidRPr="00AC2BA5" w14:paraId="3A0AE5E4"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42529456"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甲苯磺丁脲</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751176E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72</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3AC88D71"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4F222662"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甲磺氮脲</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6C274D2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9</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6174514A"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3AE6F6A7"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甘油三酯</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49912CE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1500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4BA8F11E"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465F66A3"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尿酸</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54F1647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23.5</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60C0AF24"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2B36E058"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木糖</w:t>
            </w:r>
            <w:proofErr w:type="spellEnd"/>
          </w:p>
        </w:tc>
        <w:tc>
          <w:tcPr>
            <w:tcW w:w="2790" w:type="dxa"/>
            <w:tcBorders>
              <w:top w:val="single" w:sz="5" w:space="0" w:color="000000"/>
              <w:left w:val="single" w:sz="5" w:space="0" w:color="000000"/>
              <w:bottom w:val="single" w:sz="5" w:space="0" w:color="000000"/>
              <w:right w:val="single" w:sz="5" w:space="0" w:color="000000"/>
            </w:tcBorders>
          </w:tcPr>
          <w:p w14:paraId="73495EA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600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r w:rsidR="000460CB" w:rsidRPr="00AC2BA5" w14:paraId="64DF099A" w14:textId="77777777" w:rsidTr="0050117E">
        <w:tc>
          <w:tcPr>
            <w:tcW w:w="2610" w:type="dxa"/>
            <w:tcBorders>
              <w:top w:val="single" w:sz="5" w:space="0" w:color="000000"/>
              <w:left w:val="single" w:sz="5" w:space="0" w:color="000000"/>
              <w:bottom w:val="single" w:sz="5" w:space="0" w:color="000000"/>
              <w:right w:val="single" w:sz="5" w:space="0" w:color="000000"/>
            </w:tcBorders>
          </w:tcPr>
          <w:p w14:paraId="5B0BD1C4"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糖醇</w:t>
            </w:r>
            <w:proofErr w:type="spellEnd"/>
            <w:r w:rsidRPr="00AC2BA5">
              <w:rPr>
                <w:rFonts w:ascii="Times New Roman" w:eastAsia="宋体" w:hAnsi="Times New Roman" w:cs="宋体"/>
                <w:sz w:val="21"/>
              </w:rPr>
              <w:t>**</w:t>
            </w:r>
          </w:p>
        </w:tc>
        <w:tc>
          <w:tcPr>
            <w:tcW w:w="2790" w:type="dxa"/>
            <w:tcBorders>
              <w:top w:val="single" w:sz="5" w:space="0" w:color="000000"/>
              <w:left w:val="single" w:sz="5" w:space="0" w:color="000000"/>
              <w:bottom w:val="single" w:sz="5" w:space="0" w:color="000000"/>
              <w:right w:val="single" w:sz="5" w:space="0" w:color="000000"/>
            </w:tcBorders>
          </w:tcPr>
          <w:p w14:paraId="6F7B364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0.09</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r>
    </w:tbl>
    <w:p w14:paraId="5B804CDC"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sz w:val="21"/>
          <w:lang w:eastAsia="zh-CN"/>
        </w:rPr>
        <w:t>*</w:t>
      </w:r>
      <w:r w:rsidR="000102EB" w:rsidRPr="00AC2BA5">
        <w:rPr>
          <w:rFonts w:ascii="Times New Roman" w:eastAsia="宋体" w:hAnsi="Times New Roman" w:cs="宋体" w:hint="eastAsia"/>
          <w:sz w:val="21"/>
          <w:lang w:eastAsia="zh-CN"/>
        </w:rPr>
        <w:t xml:space="preserve"> </w:t>
      </w:r>
      <w:r w:rsidRPr="00AC2BA5">
        <w:rPr>
          <w:rFonts w:ascii="Times New Roman" w:eastAsia="宋体" w:hAnsi="Times New Roman" w:cs="宋体"/>
          <w:sz w:val="21"/>
          <w:lang w:eastAsia="zh-CN"/>
        </w:rPr>
        <w:t>在本表中纳入</w:t>
      </w:r>
      <w:r w:rsidRPr="00AC2BA5">
        <w:rPr>
          <w:rFonts w:ascii="Times New Roman" w:eastAsia="宋体" w:hAnsi="Times New Roman" w:cs="宋体"/>
          <w:sz w:val="21"/>
          <w:lang w:eastAsia="zh-CN"/>
        </w:rPr>
        <w:t>EDTA</w:t>
      </w:r>
      <w:r w:rsidRPr="00AC2BA5">
        <w:rPr>
          <w:rFonts w:ascii="Times New Roman" w:eastAsia="宋体" w:hAnsi="Times New Roman" w:cs="宋体"/>
          <w:sz w:val="21"/>
          <w:lang w:eastAsia="zh-CN"/>
        </w:rPr>
        <w:t>和肝素是指它们用作治疗物质而不是用作样本制备的抗凝剂。</w:t>
      </w:r>
    </w:p>
    <w:p w14:paraId="64116DAF"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sz w:val="21"/>
          <w:lang w:eastAsia="zh-CN"/>
        </w:rPr>
        <w:t>**</w:t>
      </w:r>
      <w:r w:rsidR="000102EB" w:rsidRPr="00AC2BA5">
        <w:rPr>
          <w:rFonts w:ascii="Times New Roman" w:eastAsia="宋体" w:hAnsi="Times New Roman" w:cs="宋体" w:hint="eastAsia"/>
          <w:sz w:val="21"/>
          <w:lang w:eastAsia="zh-CN"/>
        </w:rPr>
        <w:t xml:space="preserve"> </w:t>
      </w:r>
      <w:r w:rsidRPr="00AC2BA5">
        <w:rPr>
          <w:rFonts w:ascii="Times New Roman" w:eastAsia="宋体" w:hAnsi="Times New Roman" w:cs="宋体"/>
          <w:sz w:val="21"/>
          <w:lang w:eastAsia="zh-CN"/>
        </w:rPr>
        <w:t>应单独检测所有常见糖醇，包括但不限于山梨糖醇、木糖醇、乳糖醇、异麦芽酮糖醇、麦芽糖醇。</w:t>
      </w:r>
    </w:p>
    <w:p w14:paraId="0BA9C3A5" w14:textId="77777777" w:rsidR="00653571"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除表</w:t>
      </w: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中提供的潜在干扰物列表外，还应进行干扰风险分析和台架研究，以评价预期使用人群常用的其他药物的干扰。这些额外药物的台架研究应以与本节所述相同的方式进行。</w:t>
      </w:r>
    </w:p>
    <w:p w14:paraId="0AC34818" w14:textId="77777777" w:rsidR="00653571" w:rsidRPr="00AC2BA5" w:rsidRDefault="00653571"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00B16836" w14:textId="35CD2735"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应预测每种潜在干扰物的可靠干扰估计值。为此，本机构推荐以下干扰测量和计算方法。首先，应制</w:t>
      </w:r>
      <w:proofErr w:type="gramStart"/>
      <w:r w:rsidRPr="00AC2BA5">
        <w:rPr>
          <w:rFonts w:ascii="Times New Roman" w:eastAsia="宋体" w:hAnsi="Times New Roman" w:cs="宋体"/>
          <w:sz w:val="24"/>
          <w:lang w:eastAsia="zh-CN"/>
        </w:rPr>
        <w:t>备上述</w:t>
      </w:r>
      <w:proofErr w:type="gramEnd"/>
      <w:r w:rsidRPr="00AC2BA5">
        <w:rPr>
          <w:rFonts w:ascii="Times New Roman" w:eastAsia="宋体" w:hAnsi="Times New Roman" w:cs="宋体"/>
          <w:sz w:val="24"/>
          <w:lang w:eastAsia="zh-CN"/>
        </w:rPr>
        <w:t>每个目标血糖浓度的血样。应采用对照方法对每种血糖浓度的样本进行平行检测（本机构建议至少进行</w:t>
      </w:r>
      <w:r w:rsidRPr="00AC2BA5">
        <w:rPr>
          <w:rFonts w:ascii="Times New Roman" w:eastAsia="宋体" w:hAnsi="Times New Roman" w:cs="宋体"/>
          <w:sz w:val="24"/>
          <w:lang w:eastAsia="zh-CN"/>
        </w:rPr>
        <w:t>4</w:t>
      </w:r>
      <w:r w:rsidRPr="00AC2BA5">
        <w:rPr>
          <w:rFonts w:ascii="Times New Roman" w:eastAsia="宋体" w:hAnsi="Times New Roman" w:cs="宋体"/>
          <w:sz w:val="24"/>
          <w:lang w:eastAsia="zh-CN"/>
        </w:rPr>
        <w:t>次平行检测，以降低标准误），以确定样本中的血糖浓度。然后将血糖样本分成供试样本和对照样本，供试样本中加入特定量的潜在干扰物质，而对照样本中加入代替潜在干扰物质的溶剂</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溶媒。应使用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对对照样本和供试样本进行平行测量。本次评价应至少使用三个批次的试纸。应使用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和三个批次的试纸对每个对照样本和供试样本进行</w:t>
      </w:r>
      <w:r w:rsidRPr="00AC2BA5">
        <w:rPr>
          <w:rFonts w:ascii="Times New Roman" w:eastAsia="宋体" w:hAnsi="Times New Roman" w:cs="宋体"/>
          <w:sz w:val="24"/>
          <w:lang w:eastAsia="zh-CN"/>
        </w:rPr>
        <w:t>30</w:t>
      </w:r>
      <w:r w:rsidRPr="00AC2BA5">
        <w:rPr>
          <w:rFonts w:ascii="Times New Roman" w:eastAsia="宋体" w:hAnsi="Times New Roman" w:cs="宋体"/>
          <w:sz w:val="24"/>
          <w:lang w:eastAsia="zh-CN"/>
        </w:rPr>
        <w:t>次平行检测（每个试纸批次</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次，每个样本共计</w:t>
      </w:r>
      <w:r w:rsidRPr="00AC2BA5">
        <w:rPr>
          <w:rFonts w:ascii="Times New Roman" w:eastAsia="宋体" w:hAnsi="Times New Roman" w:cs="宋体"/>
          <w:sz w:val="24"/>
          <w:lang w:eastAsia="zh-CN"/>
        </w:rPr>
        <w:t>30</w:t>
      </w:r>
      <w:r w:rsidRPr="00AC2BA5">
        <w:rPr>
          <w:rFonts w:ascii="Times New Roman" w:eastAsia="宋体" w:hAnsi="Times New Roman" w:cs="宋体"/>
          <w:sz w:val="24"/>
          <w:lang w:eastAsia="zh-CN"/>
        </w:rPr>
        <w:t>次）。应计算每个对照样本和供试样本的平行测量的平均值。对于每个潜在干扰物浓度，应使用对照样本</w:t>
      </w:r>
      <w:proofErr w:type="gramStart"/>
      <w:r w:rsidRPr="00AC2BA5">
        <w:rPr>
          <w:rFonts w:ascii="Times New Roman" w:eastAsia="宋体" w:hAnsi="Times New Roman" w:cs="宋体"/>
          <w:sz w:val="24"/>
          <w:lang w:eastAsia="zh-CN"/>
        </w:rPr>
        <w:t>相对于供试样</w:t>
      </w:r>
      <w:proofErr w:type="gramEnd"/>
      <w:r w:rsidRPr="00AC2BA5">
        <w:rPr>
          <w:rFonts w:ascii="Times New Roman" w:eastAsia="宋体" w:hAnsi="Times New Roman" w:cs="宋体"/>
          <w:sz w:val="24"/>
          <w:lang w:eastAsia="zh-CN"/>
        </w:rPr>
        <w:t>本的结果计算相对偏差（</w:t>
      </w:r>
      <w:r w:rsidRPr="00AC2BA5">
        <w:rPr>
          <w:rFonts w:ascii="Times New Roman" w:eastAsia="宋体" w:hAnsi="Times New Roman" w:cs="宋体"/>
          <w:sz w:val="24"/>
          <w:lang w:eastAsia="zh-CN"/>
        </w:rPr>
        <w:t>mg/dL</w:t>
      </w:r>
      <w:r w:rsidRPr="00AC2BA5">
        <w:rPr>
          <w:rFonts w:ascii="Times New Roman" w:eastAsia="宋体" w:hAnsi="Times New Roman" w:cs="宋体"/>
          <w:sz w:val="24"/>
          <w:lang w:eastAsia="zh-CN"/>
        </w:rPr>
        <w:t>）和偏差百分比。应提交这些结果和</w:t>
      </w:r>
      <w:r w:rsidRPr="00AC2BA5">
        <w:rPr>
          <w:rFonts w:ascii="Times New Roman" w:eastAsia="宋体" w:hAnsi="Times New Roman" w:cs="宋体"/>
          <w:sz w:val="24"/>
          <w:lang w:eastAsia="zh-CN"/>
        </w:rPr>
        <w:t>95%</w:t>
      </w:r>
      <w:r w:rsidRPr="00AC2BA5">
        <w:rPr>
          <w:rFonts w:ascii="Times New Roman" w:eastAsia="宋体" w:hAnsi="Times New Roman" w:cs="宋体"/>
          <w:sz w:val="24"/>
          <w:lang w:eastAsia="zh-CN"/>
        </w:rPr>
        <w:t>置信区间，作为</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申报资料的一部分。</w:t>
      </w:r>
    </w:p>
    <w:p w14:paraId="30F78887" w14:textId="0772EB45"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对于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，可接受的干扰程度可能因被测物质和器械的预期患者人群而异。因此，应在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申报资料中报告干扰试验数据以及该血糖浓度下系统的预期</w:t>
      </w:r>
      <w:proofErr w:type="gramStart"/>
      <w:r w:rsidRPr="00AC2BA5">
        <w:rPr>
          <w:rFonts w:ascii="Times New Roman" w:eastAsia="宋体" w:hAnsi="Times New Roman" w:cs="宋体"/>
          <w:sz w:val="24"/>
          <w:lang w:eastAsia="zh-CN"/>
        </w:rPr>
        <w:t>不</w:t>
      </w:r>
      <w:proofErr w:type="gramEnd"/>
      <w:r w:rsidRPr="00AC2BA5">
        <w:rPr>
          <w:rFonts w:ascii="Times New Roman" w:eastAsia="宋体" w:hAnsi="Times New Roman" w:cs="宋体"/>
          <w:sz w:val="24"/>
          <w:lang w:eastAsia="zh-CN"/>
        </w:rPr>
        <w:t>精密度。如果观察到干扰，应提出适当的标签来解决观察到的干扰；在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申报资料审查过程中，将讨论适用于观察到的干扰的标签语言。</w:t>
      </w:r>
    </w:p>
    <w:p w14:paraId="233D83A1" w14:textId="6EAD7868"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随着可能干扰器械的新药的开发，或其他</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的新干扰物质的确定，</w:t>
      </w:r>
      <w:proofErr w:type="gramStart"/>
      <w:r w:rsidRPr="00AC2BA5">
        <w:rPr>
          <w:rFonts w:ascii="Times New Roman" w:eastAsia="宋体" w:hAnsi="Times New Roman" w:cs="宋体"/>
          <w:sz w:val="24"/>
          <w:lang w:eastAsia="zh-CN"/>
        </w:rPr>
        <w:t>应评价</w:t>
      </w:r>
      <w:proofErr w:type="gramEnd"/>
      <w:r w:rsidRPr="00AC2BA5">
        <w:rPr>
          <w:rFonts w:ascii="Times New Roman" w:eastAsia="宋体" w:hAnsi="Times New Roman" w:cs="宋体"/>
          <w:sz w:val="24"/>
          <w:lang w:eastAsia="zh-CN"/>
        </w:rPr>
        <w:t>这些新药或物质对器械的潜在干扰。例如，如果用于治疗糖尿病患者心脏并发症的新药获得批准，应仔细评价，以确定这种新药是否会对器械产生干扰。如果发现器械或任何已批准上市的血糖监测器械的重大新干扰，应向</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报告。当引入新的或显著改进的技术时，也</w:t>
      </w:r>
      <w:proofErr w:type="gramStart"/>
      <w:r w:rsidRPr="00AC2BA5">
        <w:rPr>
          <w:rFonts w:ascii="Times New Roman" w:eastAsia="宋体" w:hAnsi="Times New Roman" w:cs="宋体"/>
          <w:sz w:val="24"/>
          <w:lang w:eastAsia="zh-CN"/>
        </w:rPr>
        <w:t>应评价</w:t>
      </w:r>
      <w:proofErr w:type="gramEnd"/>
      <w:r w:rsidRPr="00AC2BA5">
        <w:rPr>
          <w:rFonts w:ascii="Times New Roman" w:eastAsia="宋体" w:hAnsi="Times New Roman" w:cs="宋体"/>
          <w:sz w:val="24"/>
          <w:lang w:eastAsia="zh-CN"/>
        </w:rPr>
        <w:t>新药</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潜在干扰物。</w:t>
      </w:r>
    </w:p>
    <w:p w14:paraId="09EF7BA4"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数据分析：</w:t>
      </w:r>
    </w:p>
    <w:p w14:paraId="4366EAA1"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应提供原始数据集以及所有干扰结果的汇总表。请注意，对于检测的每个血糖水平，应分别提供每个试纸批次以及所有批次合并的汇总表。下表</w:t>
      </w:r>
      <w:r w:rsidRPr="00AC2BA5">
        <w:rPr>
          <w:rFonts w:ascii="Times New Roman" w:eastAsia="宋体" w:hAnsi="Times New Roman" w:cs="宋体"/>
          <w:sz w:val="24"/>
          <w:lang w:eastAsia="zh-CN"/>
        </w:rPr>
        <w:t>4</w:t>
      </w:r>
      <w:r w:rsidRPr="00AC2BA5">
        <w:rPr>
          <w:rFonts w:ascii="Times New Roman" w:eastAsia="宋体" w:hAnsi="Times New Roman" w:cs="宋体"/>
          <w:sz w:val="24"/>
          <w:lang w:eastAsia="zh-CN"/>
        </w:rPr>
        <w:t>提供了汇总表的格式范本。</w:t>
      </w:r>
    </w:p>
    <w:p w14:paraId="5E43EC7A" w14:textId="77777777" w:rsidR="000460CB" w:rsidRPr="00AC2BA5" w:rsidRDefault="00B8550C" w:rsidP="000102EB">
      <w:pPr>
        <w:pStyle w:val="3"/>
        <w:adjustRightInd w:val="0"/>
        <w:snapToGrid w:val="0"/>
        <w:spacing w:beforeLines="50" w:before="120" w:line="300" w:lineRule="auto"/>
        <w:ind w:leftChars="193" w:left="425" w:firstLine="0"/>
        <w:jc w:val="both"/>
        <w:rPr>
          <w:rFonts w:eastAsia="宋体" w:cs="Times New Roman"/>
          <w:b w:val="0"/>
          <w:bCs w:val="0"/>
          <w:snapToGrid w:val="0"/>
          <w:lang w:eastAsia="zh-CN"/>
        </w:rPr>
      </w:pPr>
      <w:r w:rsidRPr="00AC2BA5">
        <w:rPr>
          <w:rFonts w:eastAsia="宋体" w:cs="宋体"/>
          <w:lang w:eastAsia="zh-CN"/>
        </w:rPr>
        <w:t>表</w:t>
      </w:r>
      <w:r w:rsidRPr="00AC2BA5">
        <w:rPr>
          <w:rFonts w:eastAsia="宋体" w:cs="宋体"/>
          <w:lang w:eastAsia="zh-CN"/>
        </w:rPr>
        <w:t>4.</w:t>
      </w:r>
      <w:r w:rsidRPr="00AC2BA5">
        <w:rPr>
          <w:rFonts w:eastAsia="宋体" w:cs="宋体"/>
          <w:lang w:eastAsia="zh-CN"/>
        </w:rPr>
        <w:t>建议的汇总表格式样本：</w:t>
      </w:r>
    </w:p>
    <w:p w14:paraId="6ED3FF80"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i/>
          <w:sz w:val="24"/>
        </w:rPr>
        <w:t>试纸批号</w:t>
      </w:r>
      <w:proofErr w:type="spellEnd"/>
    </w:p>
    <w:tbl>
      <w:tblPr>
        <w:tblStyle w:val="TableNormal"/>
        <w:tblW w:w="5000" w:type="pct"/>
        <w:tblLayout w:type="fixed"/>
        <w:tblCellMar>
          <w:left w:w="108" w:type="dxa"/>
          <w:right w:w="108" w:type="dxa"/>
        </w:tblCellMar>
        <w:tblLook w:val="01E0" w:firstRow="1" w:lastRow="1" w:firstColumn="1" w:lastColumn="1" w:noHBand="0" w:noVBand="0"/>
      </w:tblPr>
      <w:tblGrid>
        <w:gridCol w:w="1567"/>
        <w:gridCol w:w="1482"/>
        <w:gridCol w:w="1313"/>
        <w:gridCol w:w="1135"/>
        <w:gridCol w:w="990"/>
        <w:gridCol w:w="992"/>
        <w:gridCol w:w="708"/>
        <w:gridCol w:w="1100"/>
      </w:tblGrid>
      <w:tr w:rsidR="000102EB" w:rsidRPr="00AC2BA5" w14:paraId="794DD9BB" w14:textId="77777777" w:rsidTr="000102EB">
        <w:tc>
          <w:tcPr>
            <w:tcW w:w="844" w:type="pct"/>
            <w:tcBorders>
              <w:top w:val="single" w:sz="5" w:space="0" w:color="000000"/>
              <w:left w:val="single" w:sz="5" w:space="0" w:color="000000"/>
              <w:bottom w:val="single" w:sz="7" w:space="0" w:color="000000"/>
              <w:right w:val="single" w:sz="7" w:space="0" w:color="000000"/>
            </w:tcBorders>
            <w:vAlign w:val="center"/>
          </w:tcPr>
          <w:p w14:paraId="55FDC304" w14:textId="0C2F6B4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干扰</w:t>
            </w:r>
            <w:proofErr w:type="spellEnd"/>
            <w:r w:rsidR="000C61BF">
              <w:rPr>
                <w:rFonts w:ascii="Times New Roman" w:eastAsia="宋体" w:hAnsi="Times New Roman" w:cs="宋体" w:hint="eastAsia"/>
                <w:b/>
                <w:sz w:val="21"/>
                <w:lang w:eastAsia="zh-CN"/>
              </w:rPr>
              <w:t>物</w:t>
            </w:r>
            <w:r w:rsidR="00F85E01">
              <w:rPr>
                <w:rFonts w:ascii="Times New Roman" w:eastAsia="宋体" w:hAnsi="Times New Roman" w:cs="宋体" w:hint="eastAsia"/>
                <w:b/>
                <w:sz w:val="21"/>
                <w:lang w:eastAsia="zh-CN"/>
              </w:rPr>
              <w:t>质</w:t>
            </w:r>
          </w:p>
        </w:tc>
        <w:tc>
          <w:tcPr>
            <w:tcW w:w="798" w:type="pct"/>
            <w:tcBorders>
              <w:top w:val="single" w:sz="5" w:space="0" w:color="000000"/>
              <w:left w:val="single" w:sz="7" w:space="0" w:color="000000"/>
              <w:bottom w:val="single" w:sz="7" w:space="0" w:color="000000"/>
              <w:right w:val="single" w:sz="7" w:space="0" w:color="000000"/>
            </w:tcBorders>
            <w:vAlign w:val="center"/>
          </w:tcPr>
          <w:p w14:paraId="032F517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平均血糖值（对照方法）</w:t>
            </w:r>
          </w:p>
        </w:tc>
        <w:tc>
          <w:tcPr>
            <w:tcW w:w="707" w:type="pct"/>
            <w:tcBorders>
              <w:top w:val="single" w:sz="5" w:space="0" w:color="000000"/>
              <w:left w:val="single" w:sz="7" w:space="0" w:color="000000"/>
              <w:bottom w:val="single" w:sz="7" w:space="0" w:color="000000"/>
              <w:right w:val="single" w:sz="7" w:space="0" w:color="000000"/>
            </w:tcBorders>
            <w:vAlign w:val="center"/>
          </w:tcPr>
          <w:p w14:paraId="4955E48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干扰物浓度（</w:t>
            </w:r>
            <w:r w:rsidRPr="00AC2BA5">
              <w:rPr>
                <w:rFonts w:ascii="Times New Roman" w:eastAsia="宋体" w:hAnsi="Times New Roman" w:cs="宋体"/>
                <w:b/>
                <w:sz w:val="21"/>
                <w:lang w:eastAsia="zh-CN"/>
              </w:rPr>
              <w:t>mg/dL</w:t>
            </w:r>
            <w:r w:rsidRPr="00AC2BA5">
              <w:rPr>
                <w:rFonts w:ascii="Times New Roman" w:eastAsia="宋体" w:hAnsi="Times New Roman" w:cs="宋体"/>
                <w:b/>
                <w:sz w:val="21"/>
                <w:lang w:eastAsia="zh-CN"/>
              </w:rPr>
              <w:t>）</w:t>
            </w:r>
          </w:p>
        </w:tc>
        <w:tc>
          <w:tcPr>
            <w:tcW w:w="611" w:type="pct"/>
            <w:tcBorders>
              <w:top w:val="single" w:sz="5" w:space="0" w:color="000000"/>
              <w:left w:val="single" w:sz="7" w:space="0" w:color="000000"/>
              <w:bottom w:val="single" w:sz="7" w:space="0" w:color="000000"/>
              <w:right w:val="single" w:sz="7" w:space="0" w:color="000000"/>
            </w:tcBorders>
            <w:vAlign w:val="center"/>
          </w:tcPr>
          <w:p w14:paraId="7F2BF64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对照样本平均值</w:t>
            </w:r>
            <w:proofErr w:type="spellEnd"/>
          </w:p>
        </w:tc>
        <w:tc>
          <w:tcPr>
            <w:tcW w:w="533" w:type="pct"/>
            <w:tcBorders>
              <w:top w:val="single" w:sz="5" w:space="0" w:color="000000"/>
              <w:left w:val="single" w:sz="7" w:space="0" w:color="000000"/>
              <w:bottom w:val="single" w:sz="7" w:space="0" w:color="000000"/>
              <w:right w:val="single" w:sz="7" w:space="0" w:color="000000"/>
            </w:tcBorders>
            <w:vAlign w:val="center"/>
          </w:tcPr>
          <w:p w14:paraId="5493718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pacing w:val="-20"/>
                <w:sz w:val="21"/>
                <w:szCs w:val="21"/>
              </w:rPr>
            </w:pPr>
            <w:proofErr w:type="spellStart"/>
            <w:r w:rsidRPr="00AC2BA5">
              <w:rPr>
                <w:rFonts w:ascii="Times New Roman" w:eastAsia="宋体" w:hAnsi="Times New Roman" w:cs="宋体"/>
                <w:b/>
                <w:spacing w:val="-20"/>
                <w:sz w:val="21"/>
              </w:rPr>
              <w:t>供试样本平均值</w:t>
            </w:r>
            <w:proofErr w:type="spellEnd"/>
          </w:p>
        </w:tc>
        <w:tc>
          <w:tcPr>
            <w:tcW w:w="534" w:type="pct"/>
            <w:tcBorders>
              <w:top w:val="single" w:sz="5" w:space="0" w:color="000000"/>
              <w:left w:val="single" w:sz="7" w:space="0" w:color="000000"/>
              <w:bottom w:val="single" w:sz="7" w:space="0" w:color="000000"/>
              <w:right w:val="single" w:sz="7" w:space="0" w:color="000000"/>
            </w:tcBorders>
            <w:vAlign w:val="center"/>
          </w:tcPr>
          <w:p w14:paraId="37775EB9" w14:textId="6291B92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偏差</w:t>
            </w:r>
            <w:proofErr w:type="spellEnd"/>
            <w:r w:rsidR="006D439A">
              <w:rPr>
                <w:rFonts w:ascii="Times New Roman" w:eastAsia="宋体" w:hAnsi="Times New Roman" w:cs="宋体" w:hint="eastAsia"/>
                <w:b/>
                <w:sz w:val="21"/>
                <w:lang w:eastAsia="zh-CN"/>
              </w:rPr>
              <w:t>（</w:t>
            </w:r>
            <w:r w:rsidR="006D439A" w:rsidRPr="00AC2BA5">
              <w:rPr>
                <w:rFonts w:ascii="Times New Roman" w:eastAsia="宋体" w:hAnsi="Times New Roman" w:cs="宋体"/>
                <w:b/>
                <w:sz w:val="21"/>
              </w:rPr>
              <w:t>mg/</w:t>
            </w:r>
            <w:proofErr w:type="spellStart"/>
            <w:r w:rsidR="006D439A" w:rsidRPr="00AC2BA5">
              <w:rPr>
                <w:rFonts w:ascii="Times New Roman" w:eastAsia="宋体" w:hAnsi="Times New Roman" w:cs="宋体"/>
                <w:b/>
                <w:sz w:val="21"/>
              </w:rPr>
              <w:t>dL</w:t>
            </w:r>
            <w:proofErr w:type="spellEnd"/>
            <w:r w:rsidR="006D439A">
              <w:rPr>
                <w:rFonts w:ascii="Times New Roman" w:eastAsia="宋体" w:hAnsi="Times New Roman" w:cs="宋体" w:hint="eastAsia"/>
                <w:b/>
                <w:sz w:val="21"/>
                <w:lang w:eastAsia="zh-CN"/>
              </w:rPr>
              <w:t>）</w:t>
            </w:r>
          </w:p>
        </w:tc>
        <w:tc>
          <w:tcPr>
            <w:tcW w:w="381" w:type="pct"/>
            <w:tcBorders>
              <w:top w:val="single" w:sz="5" w:space="0" w:color="000000"/>
              <w:left w:val="single" w:sz="7" w:space="0" w:color="000000"/>
              <w:bottom w:val="single" w:sz="7" w:space="0" w:color="000000"/>
              <w:right w:val="single" w:sz="7" w:space="0" w:color="000000"/>
            </w:tcBorders>
            <w:vAlign w:val="center"/>
          </w:tcPr>
          <w:p w14:paraId="7979C3C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偏差</w:t>
            </w:r>
            <w:proofErr w:type="spellEnd"/>
            <w:r w:rsidRPr="00AC2BA5">
              <w:rPr>
                <w:rFonts w:ascii="Times New Roman" w:eastAsia="宋体" w:hAnsi="Times New Roman" w:cs="宋体"/>
                <w:b/>
                <w:sz w:val="21"/>
              </w:rPr>
              <w:t>%</w:t>
            </w:r>
          </w:p>
        </w:tc>
        <w:tc>
          <w:tcPr>
            <w:tcW w:w="592" w:type="pct"/>
            <w:tcBorders>
              <w:top w:val="single" w:sz="5" w:space="0" w:color="000000"/>
              <w:left w:val="single" w:sz="7" w:space="0" w:color="000000"/>
              <w:bottom w:val="single" w:sz="7" w:space="0" w:color="000000"/>
              <w:right w:val="single" w:sz="5" w:space="0" w:color="000000"/>
            </w:tcBorders>
            <w:vAlign w:val="center"/>
          </w:tcPr>
          <w:p w14:paraId="4F57E08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偏差</w:t>
            </w:r>
            <w:r w:rsidRPr="00AC2BA5">
              <w:rPr>
                <w:rFonts w:ascii="Times New Roman" w:eastAsia="宋体" w:hAnsi="Times New Roman" w:cs="宋体"/>
                <w:b/>
                <w:sz w:val="21"/>
              </w:rPr>
              <w:t>%</w:t>
            </w:r>
            <w:r w:rsidRPr="00AC2BA5">
              <w:rPr>
                <w:rFonts w:ascii="Times New Roman" w:eastAsia="宋体" w:hAnsi="Times New Roman" w:cs="宋体"/>
                <w:b/>
                <w:sz w:val="21"/>
              </w:rPr>
              <w:t>的置信区间</w:t>
            </w:r>
            <w:proofErr w:type="spellEnd"/>
          </w:p>
        </w:tc>
      </w:tr>
      <w:tr w:rsidR="000102EB" w:rsidRPr="00AC2BA5" w14:paraId="77D68672" w14:textId="77777777" w:rsidTr="000102EB">
        <w:tc>
          <w:tcPr>
            <w:tcW w:w="844" w:type="pct"/>
            <w:tcBorders>
              <w:top w:val="single" w:sz="7" w:space="0" w:color="000000"/>
              <w:left w:val="single" w:sz="5" w:space="0" w:color="000000"/>
              <w:bottom w:val="single" w:sz="5" w:space="0" w:color="000000"/>
              <w:right w:val="single" w:sz="7" w:space="0" w:color="000000"/>
            </w:tcBorders>
            <w:vAlign w:val="center"/>
          </w:tcPr>
          <w:p w14:paraId="3AA6E5B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对乙酰氨基酚</w:t>
            </w:r>
            <w:proofErr w:type="spellEnd"/>
          </w:p>
        </w:tc>
        <w:tc>
          <w:tcPr>
            <w:tcW w:w="798" w:type="pct"/>
            <w:tcBorders>
              <w:top w:val="single" w:sz="7" w:space="0" w:color="000000"/>
              <w:left w:val="single" w:sz="7" w:space="0" w:color="000000"/>
              <w:bottom w:val="single" w:sz="5" w:space="0" w:color="000000"/>
              <w:right w:val="single" w:sz="7" w:space="0" w:color="000000"/>
            </w:tcBorders>
            <w:vAlign w:val="center"/>
          </w:tcPr>
          <w:p w14:paraId="2FC6ED2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c>
          <w:tcPr>
            <w:tcW w:w="707" w:type="pct"/>
            <w:tcBorders>
              <w:top w:val="single" w:sz="7" w:space="0" w:color="000000"/>
              <w:left w:val="single" w:sz="7" w:space="0" w:color="000000"/>
              <w:bottom w:val="single" w:sz="5" w:space="0" w:color="000000"/>
              <w:right w:val="single" w:sz="7" w:space="0" w:color="000000"/>
            </w:tcBorders>
            <w:vAlign w:val="center"/>
          </w:tcPr>
          <w:p w14:paraId="7D84C4E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c>
          <w:tcPr>
            <w:tcW w:w="611" w:type="pct"/>
            <w:tcBorders>
              <w:top w:val="single" w:sz="7" w:space="0" w:color="000000"/>
              <w:left w:val="single" w:sz="7" w:space="0" w:color="000000"/>
              <w:bottom w:val="single" w:sz="5" w:space="0" w:color="000000"/>
              <w:right w:val="single" w:sz="7" w:space="0" w:color="000000"/>
            </w:tcBorders>
            <w:vAlign w:val="center"/>
          </w:tcPr>
          <w:p w14:paraId="698407DF"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33" w:type="pct"/>
            <w:tcBorders>
              <w:top w:val="single" w:sz="7" w:space="0" w:color="000000"/>
              <w:left w:val="single" w:sz="7" w:space="0" w:color="000000"/>
              <w:bottom w:val="single" w:sz="5" w:space="0" w:color="000000"/>
              <w:right w:val="single" w:sz="7" w:space="0" w:color="000000"/>
            </w:tcBorders>
            <w:vAlign w:val="center"/>
          </w:tcPr>
          <w:p w14:paraId="092EEA61"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34" w:type="pct"/>
            <w:tcBorders>
              <w:top w:val="single" w:sz="7" w:space="0" w:color="000000"/>
              <w:left w:val="single" w:sz="7" w:space="0" w:color="000000"/>
              <w:bottom w:val="single" w:sz="5" w:space="0" w:color="000000"/>
              <w:right w:val="single" w:sz="7" w:space="0" w:color="000000"/>
            </w:tcBorders>
            <w:vAlign w:val="center"/>
          </w:tcPr>
          <w:p w14:paraId="67E24215"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381" w:type="pct"/>
            <w:tcBorders>
              <w:top w:val="single" w:sz="7" w:space="0" w:color="000000"/>
              <w:left w:val="single" w:sz="7" w:space="0" w:color="000000"/>
              <w:bottom w:val="single" w:sz="5" w:space="0" w:color="000000"/>
              <w:right w:val="single" w:sz="7" w:space="0" w:color="000000"/>
            </w:tcBorders>
            <w:vAlign w:val="center"/>
          </w:tcPr>
          <w:p w14:paraId="6E0E1E55"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92" w:type="pct"/>
            <w:tcBorders>
              <w:top w:val="single" w:sz="7" w:space="0" w:color="000000"/>
              <w:left w:val="single" w:sz="7" w:space="0" w:color="000000"/>
              <w:bottom w:val="single" w:sz="5" w:space="0" w:color="000000"/>
              <w:right w:val="single" w:sz="5" w:space="0" w:color="000000"/>
            </w:tcBorders>
            <w:vAlign w:val="center"/>
          </w:tcPr>
          <w:p w14:paraId="2EAE82A3"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r>
      <w:tr w:rsidR="000102EB" w:rsidRPr="00AC2BA5" w14:paraId="1B2DFED7" w14:textId="77777777" w:rsidTr="000102EB">
        <w:tc>
          <w:tcPr>
            <w:tcW w:w="844" w:type="pct"/>
            <w:vMerge w:val="restart"/>
            <w:tcBorders>
              <w:top w:val="single" w:sz="5" w:space="0" w:color="000000"/>
              <w:left w:val="single" w:sz="5" w:space="0" w:color="000000"/>
              <w:right w:val="single" w:sz="7" w:space="0" w:color="000000"/>
            </w:tcBorders>
            <w:vAlign w:val="center"/>
          </w:tcPr>
          <w:p w14:paraId="7BF0BE71"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798" w:type="pct"/>
            <w:tcBorders>
              <w:top w:val="single" w:sz="5" w:space="0" w:color="000000"/>
              <w:left w:val="single" w:sz="7" w:space="0" w:color="000000"/>
              <w:bottom w:val="single" w:sz="7" w:space="0" w:color="000000"/>
              <w:right w:val="single" w:sz="7" w:space="0" w:color="000000"/>
            </w:tcBorders>
            <w:vAlign w:val="center"/>
          </w:tcPr>
          <w:p w14:paraId="5DC6FF2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bookmarkStart w:id="21" w:name="Hematocrit"/>
            <w:bookmarkEnd w:id="21"/>
            <w:r w:rsidRPr="00AC2BA5">
              <w:rPr>
                <w:rFonts w:ascii="Times New Roman" w:eastAsia="宋体" w:hAnsi="Times New Roman" w:cs="Times New Roman"/>
                <w:snapToGrid w:val="0"/>
                <w:sz w:val="21"/>
                <w:szCs w:val="21"/>
              </w:rPr>
              <w:t>120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c>
          <w:tcPr>
            <w:tcW w:w="707" w:type="pct"/>
            <w:tcBorders>
              <w:top w:val="single" w:sz="5" w:space="0" w:color="000000"/>
              <w:left w:val="single" w:sz="7" w:space="0" w:color="000000"/>
              <w:bottom w:val="single" w:sz="7" w:space="0" w:color="000000"/>
              <w:right w:val="single" w:sz="7" w:space="0" w:color="000000"/>
            </w:tcBorders>
            <w:vAlign w:val="center"/>
          </w:tcPr>
          <w:p w14:paraId="3636FF4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c>
          <w:tcPr>
            <w:tcW w:w="611" w:type="pct"/>
            <w:tcBorders>
              <w:top w:val="single" w:sz="5" w:space="0" w:color="000000"/>
              <w:left w:val="single" w:sz="7" w:space="0" w:color="000000"/>
              <w:bottom w:val="single" w:sz="7" w:space="0" w:color="000000"/>
              <w:right w:val="single" w:sz="7" w:space="0" w:color="000000"/>
            </w:tcBorders>
            <w:vAlign w:val="center"/>
          </w:tcPr>
          <w:p w14:paraId="76EC9358"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33" w:type="pct"/>
            <w:tcBorders>
              <w:top w:val="single" w:sz="5" w:space="0" w:color="000000"/>
              <w:left w:val="single" w:sz="7" w:space="0" w:color="000000"/>
              <w:bottom w:val="single" w:sz="7" w:space="0" w:color="000000"/>
              <w:right w:val="single" w:sz="7" w:space="0" w:color="000000"/>
            </w:tcBorders>
            <w:vAlign w:val="center"/>
          </w:tcPr>
          <w:p w14:paraId="6CDD9286"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34" w:type="pct"/>
            <w:tcBorders>
              <w:top w:val="single" w:sz="5" w:space="0" w:color="000000"/>
              <w:left w:val="single" w:sz="7" w:space="0" w:color="000000"/>
              <w:bottom w:val="single" w:sz="7" w:space="0" w:color="000000"/>
              <w:right w:val="single" w:sz="7" w:space="0" w:color="000000"/>
            </w:tcBorders>
            <w:vAlign w:val="center"/>
          </w:tcPr>
          <w:p w14:paraId="0B4B0CC1"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381" w:type="pct"/>
            <w:tcBorders>
              <w:top w:val="single" w:sz="5" w:space="0" w:color="000000"/>
              <w:left w:val="single" w:sz="7" w:space="0" w:color="000000"/>
              <w:bottom w:val="single" w:sz="7" w:space="0" w:color="000000"/>
              <w:right w:val="single" w:sz="7" w:space="0" w:color="000000"/>
            </w:tcBorders>
            <w:vAlign w:val="center"/>
          </w:tcPr>
          <w:p w14:paraId="5934F525"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92" w:type="pct"/>
            <w:tcBorders>
              <w:top w:val="single" w:sz="5" w:space="0" w:color="000000"/>
              <w:left w:val="single" w:sz="7" w:space="0" w:color="000000"/>
              <w:bottom w:val="single" w:sz="7" w:space="0" w:color="000000"/>
              <w:right w:val="single" w:sz="5" w:space="0" w:color="000000"/>
            </w:tcBorders>
            <w:vAlign w:val="center"/>
          </w:tcPr>
          <w:p w14:paraId="5FAD6CA6"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r>
      <w:tr w:rsidR="000102EB" w:rsidRPr="00AC2BA5" w14:paraId="69A523E3" w14:textId="77777777" w:rsidTr="000102EB">
        <w:tc>
          <w:tcPr>
            <w:tcW w:w="844" w:type="pct"/>
            <w:vMerge/>
            <w:tcBorders>
              <w:left w:val="single" w:sz="5" w:space="0" w:color="000000"/>
              <w:bottom w:val="single" w:sz="5" w:space="0" w:color="000000"/>
              <w:right w:val="single" w:sz="7" w:space="0" w:color="000000"/>
            </w:tcBorders>
            <w:vAlign w:val="center"/>
          </w:tcPr>
          <w:p w14:paraId="4E962C1C"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798" w:type="pct"/>
            <w:tcBorders>
              <w:top w:val="single" w:sz="7" w:space="0" w:color="000000"/>
              <w:left w:val="single" w:sz="7" w:space="0" w:color="000000"/>
              <w:bottom w:val="single" w:sz="5" w:space="0" w:color="000000"/>
              <w:right w:val="single" w:sz="7" w:space="0" w:color="000000"/>
            </w:tcBorders>
            <w:vAlign w:val="center"/>
          </w:tcPr>
          <w:p w14:paraId="72271C3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250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c>
          <w:tcPr>
            <w:tcW w:w="707" w:type="pct"/>
            <w:tcBorders>
              <w:top w:val="single" w:sz="7" w:space="0" w:color="000000"/>
              <w:left w:val="single" w:sz="7" w:space="0" w:color="000000"/>
              <w:bottom w:val="single" w:sz="5" w:space="0" w:color="000000"/>
              <w:right w:val="single" w:sz="7" w:space="0" w:color="000000"/>
            </w:tcBorders>
            <w:vAlign w:val="center"/>
          </w:tcPr>
          <w:p w14:paraId="617349D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20</w:t>
            </w:r>
            <w:r w:rsidR="0050117E" w:rsidRPr="00AC2BA5">
              <w:rPr>
                <w:rFonts w:ascii="Times New Roman" w:eastAsia="宋体" w:hAnsi="Times New Roman" w:cs="Times New Roman"/>
                <w:snapToGrid w:val="0"/>
                <w:sz w:val="21"/>
                <w:szCs w:val="21"/>
              </w:rPr>
              <w:t xml:space="preserve"> </w:t>
            </w:r>
            <w:r w:rsidRPr="00AC2BA5">
              <w:rPr>
                <w:rFonts w:ascii="Times New Roman" w:eastAsia="宋体" w:hAnsi="Times New Roman" w:cs="Times New Roman"/>
                <w:snapToGrid w:val="0"/>
                <w:sz w:val="21"/>
                <w:szCs w:val="21"/>
              </w:rPr>
              <w:t>mg/dL</w:t>
            </w:r>
          </w:p>
        </w:tc>
        <w:tc>
          <w:tcPr>
            <w:tcW w:w="611" w:type="pct"/>
            <w:tcBorders>
              <w:top w:val="single" w:sz="7" w:space="0" w:color="000000"/>
              <w:left w:val="single" w:sz="7" w:space="0" w:color="000000"/>
              <w:bottom w:val="single" w:sz="5" w:space="0" w:color="000000"/>
              <w:right w:val="single" w:sz="7" w:space="0" w:color="000000"/>
            </w:tcBorders>
            <w:vAlign w:val="center"/>
          </w:tcPr>
          <w:p w14:paraId="1EE4BCB6"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33" w:type="pct"/>
            <w:tcBorders>
              <w:top w:val="single" w:sz="7" w:space="0" w:color="000000"/>
              <w:left w:val="single" w:sz="7" w:space="0" w:color="000000"/>
              <w:bottom w:val="single" w:sz="5" w:space="0" w:color="000000"/>
              <w:right w:val="single" w:sz="7" w:space="0" w:color="000000"/>
            </w:tcBorders>
            <w:vAlign w:val="center"/>
          </w:tcPr>
          <w:p w14:paraId="48285268"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34" w:type="pct"/>
            <w:tcBorders>
              <w:top w:val="single" w:sz="7" w:space="0" w:color="000000"/>
              <w:left w:val="single" w:sz="7" w:space="0" w:color="000000"/>
              <w:bottom w:val="single" w:sz="5" w:space="0" w:color="000000"/>
              <w:right w:val="single" w:sz="7" w:space="0" w:color="000000"/>
            </w:tcBorders>
            <w:vAlign w:val="center"/>
          </w:tcPr>
          <w:p w14:paraId="4DEE33C6"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381" w:type="pct"/>
            <w:tcBorders>
              <w:top w:val="single" w:sz="7" w:space="0" w:color="000000"/>
              <w:left w:val="single" w:sz="7" w:space="0" w:color="000000"/>
              <w:bottom w:val="single" w:sz="5" w:space="0" w:color="000000"/>
              <w:right w:val="single" w:sz="7" w:space="0" w:color="000000"/>
            </w:tcBorders>
            <w:vAlign w:val="center"/>
          </w:tcPr>
          <w:p w14:paraId="46452485"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c>
          <w:tcPr>
            <w:tcW w:w="592" w:type="pct"/>
            <w:tcBorders>
              <w:top w:val="single" w:sz="7" w:space="0" w:color="000000"/>
              <w:left w:val="single" w:sz="7" w:space="0" w:color="000000"/>
              <w:bottom w:val="single" w:sz="5" w:space="0" w:color="000000"/>
              <w:right w:val="single" w:sz="5" w:space="0" w:color="000000"/>
            </w:tcBorders>
            <w:vAlign w:val="center"/>
          </w:tcPr>
          <w:p w14:paraId="6596EA3D" w14:textId="77777777" w:rsidR="000460CB" w:rsidRPr="00AC2BA5" w:rsidRDefault="000460CB" w:rsidP="000102EB">
            <w:pPr>
              <w:adjustRightInd w:val="0"/>
              <w:snapToGrid w:val="0"/>
              <w:spacing w:beforeLines="15" w:before="36" w:line="276" w:lineRule="auto"/>
              <w:jc w:val="center"/>
              <w:rPr>
                <w:rFonts w:ascii="Times New Roman" w:hAnsi="Times New Roman" w:cs="Times New Roman"/>
                <w:snapToGrid w:val="0"/>
                <w:sz w:val="21"/>
                <w:szCs w:val="21"/>
              </w:rPr>
            </w:pPr>
          </w:p>
        </w:tc>
      </w:tr>
    </w:tbl>
    <w:p w14:paraId="7F5EB3B9" w14:textId="77777777" w:rsidR="00653571" w:rsidRPr="00AC2BA5" w:rsidRDefault="00653571" w:rsidP="000102EB">
      <w:pPr>
        <w:adjustRightInd w:val="0"/>
        <w:snapToGrid w:val="0"/>
        <w:spacing w:beforeLines="50" w:before="120" w:line="300" w:lineRule="auto"/>
        <w:jc w:val="both"/>
        <w:rPr>
          <w:rFonts w:ascii="Times New Roman" w:eastAsia="宋体" w:hAnsi="Times New Roman" w:cs="Times New Roman"/>
          <w:snapToGrid w:val="0"/>
          <w:sz w:val="24"/>
          <w:szCs w:val="24"/>
        </w:rPr>
      </w:pPr>
    </w:p>
    <w:p w14:paraId="6F21AE80" w14:textId="77777777" w:rsidR="00653571" w:rsidRPr="00AC2BA5" w:rsidRDefault="00653571"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p w14:paraId="7A304CB9" w14:textId="65A434EC"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申报资料中，应包括研究设计的详细描述、研究中收集的所有数据、上述总结表以及研究结论的描述。</w:t>
      </w:r>
    </w:p>
    <w:p w14:paraId="29FC4886" w14:textId="77777777" w:rsidR="000460CB" w:rsidRPr="00AC2BA5" w:rsidRDefault="0050117E" w:rsidP="000102EB">
      <w:pPr>
        <w:pStyle w:val="31"/>
        <w:rPr>
          <w:rFonts w:eastAsia="宋体"/>
          <w:lang w:eastAsia="zh-CN"/>
        </w:rPr>
      </w:pPr>
      <w:bookmarkStart w:id="22" w:name="_Toc91871175"/>
      <w:r w:rsidRPr="00AC2BA5">
        <w:rPr>
          <w:rFonts w:eastAsia="宋体" w:cs="宋体"/>
          <w:lang w:eastAsia="zh-CN"/>
        </w:rPr>
        <w:t>2.</w:t>
      </w:r>
      <w:r w:rsidRPr="00AC2BA5">
        <w:rPr>
          <w:rFonts w:eastAsia="宋体" w:cs="宋体"/>
          <w:lang w:eastAsia="zh-CN"/>
        </w:rPr>
        <w:tab/>
      </w:r>
      <w:r w:rsidRPr="00AC2BA5">
        <w:rPr>
          <w:rFonts w:eastAsia="宋体" w:cs="宋体"/>
          <w:u w:val="single"/>
          <w:lang w:eastAsia="zh-CN"/>
        </w:rPr>
        <w:t>血细胞比容</w:t>
      </w:r>
      <w:bookmarkEnd w:id="22"/>
    </w:p>
    <w:p w14:paraId="4E770523"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研究设计：</w:t>
      </w:r>
    </w:p>
    <w:p w14:paraId="470CDBFE" w14:textId="2F1CB54C"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由于合理规模的用户评价研究可能不包括预期使用人群的所有预期血细胞比容值，因此应执行单独研究，以确定不同血细胞比容水平导致的分析误差。这应该是一项台架研究，旨在评价血细胞比容对</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性能的影响，以评估在声明的血细胞比容范围内，潜在错误是否会影响预期使用人群中的患者安全。在此类器械的预期使用人群中观察到的血细胞比容水平可能非常广泛；可以合理地预计大多数预期用户的血细胞比容水平在</w:t>
      </w:r>
      <w:r w:rsidRPr="00AC2BA5">
        <w:rPr>
          <w:rFonts w:ascii="Times New Roman" w:eastAsia="宋体" w:hAnsi="Times New Roman" w:cs="宋体"/>
          <w:sz w:val="24"/>
          <w:lang w:eastAsia="zh-CN"/>
        </w:rPr>
        <w:t>20%</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60%</w:t>
      </w:r>
      <w:r w:rsidRPr="00AC2BA5">
        <w:rPr>
          <w:rFonts w:ascii="Times New Roman" w:eastAsia="宋体" w:hAnsi="Times New Roman" w:cs="宋体"/>
          <w:sz w:val="24"/>
          <w:lang w:eastAsia="zh-CN"/>
        </w:rPr>
        <w:t>之间。因此，本机构建议将</w:t>
      </w:r>
      <w:r w:rsidRPr="00AC2BA5">
        <w:rPr>
          <w:rFonts w:ascii="Times New Roman" w:eastAsia="宋体" w:hAnsi="Times New Roman" w:cs="宋体"/>
          <w:sz w:val="24"/>
          <w:lang w:eastAsia="zh-CN"/>
        </w:rPr>
        <w:t>20-60%</w:t>
      </w:r>
      <w:r w:rsidRPr="00AC2BA5">
        <w:rPr>
          <w:rFonts w:ascii="Times New Roman" w:eastAsia="宋体" w:hAnsi="Times New Roman" w:cs="宋体"/>
          <w:sz w:val="24"/>
          <w:lang w:eastAsia="zh-CN"/>
        </w:rPr>
        <w:t>作为此类器械的声明的血细胞比容范围。如果器械受到该范围内血细胞比容的显著干扰，应在标签中加入限制声明，警告用户在存在或疑似存在某些生理状况（例如贫血等）时禁止使用。由于非专业用户通常无法充分确定他们的血细胞比容状态，因此</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应能在</w:t>
      </w:r>
      <w:r w:rsidRPr="00AC2BA5">
        <w:rPr>
          <w:rFonts w:ascii="Times New Roman" w:eastAsia="宋体" w:hAnsi="Times New Roman" w:cs="宋体"/>
          <w:sz w:val="24"/>
          <w:lang w:eastAsia="zh-CN"/>
        </w:rPr>
        <w:t>30-55%</w:t>
      </w:r>
      <w:r w:rsidRPr="00AC2BA5">
        <w:rPr>
          <w:rFonts w:ascii="Times New Roman" w:eastAsia="宋体" w:hAnsi="Times New Roman" w:cs="宋体"/>
          <w:sz w:val="24"/>
          <w:lang w:eastAsia="zh-CN"/>
        </w:rPr>
        <w:t>血细胞比容（覆盖最大比例的用户）范围内充分测量血糖。如果</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器械在此范围内无法检测血糖，则该器械可能具有不同于实质等同器械的新的技术特征，引发不同的安全性和有效性问题，并且可能不能确定实质等同性。</w:t>
      </w:r>
    </w:p>
    <w:p w14:paraId="536075AA" w14:textId="0D9603EE" w:rsidR="00653571"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通过测量含有不同血糖浓度的血液样本来评价血细胞比容干扰。制备的样本应具有规定的血细胞比容水平，涵盖器械声明的血细胞比容范围。可对血液样本进行加标或糖酵解处理，以获得所需的血糖浓度。通过在离心后控制血浆与浓集细胞的比例，可获得各样本的特定血细胞比容百分比。检测的血细胞比容水平应以</w:t>
      </w:r>
      <w:r w:rsidRPr="00AC2BA5">
        <w:rPr>
          <w:rFonts w:ascii="Times New Roman" w:eastAsia="宋体" w:hAnsi="Times New Roman" w:cs="宋体"/>
          <w:sz w:val="24"/>
          <w:lang w:eastAsia="zh-CN"/>
        </w:rPr>
        <w:t>5%</w:t>
      </w:r>
      <w:r w:rsidRPr="00AC2BA5">
        <w:rPr>
          <w:rFonts w:ascii="Times New Roman" w:eastAsia="宋体" w:hAnsi="Times New Roman" w:cs="宋体"/>
          <w:sz w:val="24"/>
          <w:lang w:eastAsia="zh-CN"/>
        </w:rPr>
        <w:t>的间隔涵盖声明的范围，与使用更宽的间隔相比，</w:t>
      </w:r>
      <w:r w:rsidRPr="00AC2BA5">
        <w:rPr>
          <w:rFonts w:ascii="Times New Roman" w:eastAsia="宋体" w:hAnsi="Times New Roman" w:cs="宋体"/>
          <w:sz w:val="24"/>
          <w:lang w:eastAsia="zh-CN"/>
        </w:rPr>
        <w:t>5%</w:t>
      </w:r>
      <w:r w:rsidRPr="00AC2BA5">
        <w:rPr>
          <w:rFonts w:ascii="Times New Roman" w:eastAsia="宋体" w:hAnsi="Times New Roman" w:cs="宋体"/>
          <w:sz w:val="24"/>
          <w:lang w:eastAsia="zh-CN"/>
        </w:rPr>
        <w:t>的间隔可以更准确地评估血细胞比容干扰导致的偏差。另外，应该检测</w:t>
      </w:r>
      <w:r w:rsidR="001543C2">
        <w:rPr>
          <w:rFonts w:ascii="Times New Roman" w:eastAsia="宋体" w:hAnsi="Times New Roman" w:cs="宋体"/>
          <w:sz w:val="24"/>
          <w:lang w:eastAsia="zh-CN"/>
        </w:rPr>
        <w:t>正常</w:t>
      </w:r>
      <w:r w:rsidRPr="00AC2BA5">
        <w:rPr>
          <w:rFonts w:ascii="Times New Roman" w:eastAsia="宋体" w:hAnsi="Times New Roman" w:cs="宋体"/>
          <w:sz w:val="24"/>
          <w:lang w:eastAsia="zh-CN"/>
        </w:rPr>
        <w:t>血细胞比容为</w:t>
      </w:r>
      <w:r w:rsidRPr="00AC2BA5">
        <w:rPr>
          <w:rFonts w:ascii="Times New Roman" w:eastAsia="宋体" w:hAnsi="Times New Roman" w:cs="宋体"/>
          <w:sz w:val="24"/>
          <w:lang w:eastAsia="zh-CN"/>
        </w:rPr>
        <w:t>42%</w:t>
      </w:r>
      <w:r w:rsidRPr="00AC2BA5">
        <w:rPr>
          <w:rFonts w:ascii="Times New Roman" w:eastAsia="宋体" w:hAnsi="Times New Roman" w:cs="宋体"/>
          <w:sz w:val="24"/>
          <w:lang w:eastAsia="zh-CN"/>
        </w:rPr>
        <w:t>的样本。例如，如果声明的血细胞比容范围为</w:t>
      </w:r>
      <w:r w:rsidRPr="00AC2BA5">
        <w:rPr>
          <w:rFonts w:ascii="Times New Roman" w:eastAsia="宋体" w:hAnsi="Times New Roman" w:cs="宋体"/>
          <w:sz w:val="24"/>
          <w:lang w:eastAsia="zh-CN"/>
        </w:rPr>
        <w:t>20-60%</w:t>
      </w:r>
      <w:r w:rsidRPr="00AC2BA5">
        <w:rPr>
          <w:rFonts w:ascii="Times New Roman" w:eastAsia="宋体" w:hAnsi="Times New Roman" w:cs="宋体"/>
          <w:sz w:val="24"/>
          <w:lang w:eastAsia="zh-CN"/>
        </w:rPr>
        <w:t>，则应在</w:t>
      </w:r>
      <w:r w:rsidRPr="00AC2BA5">
        <w:rPr>
          <w:rFonts w:ascii="Times New Roman" w:eastAsia="宋体" w:hAnsi="Times New Roman" w:cs="宋体"/>
          <w:sz w:val="24"/>
          <w:lang w:eastAsia="zh-CN"/>
        </w:rPr>
        <w:t>20%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25%</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30%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35%</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42%</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50%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55%</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60%</w:t>
      </w:r>
      <w:r w:rsidRPr="00AC2BA5">
        <w:rPr>
          <w:rFonts w:ascii="Times New Roman" w:eastAsia="宋体" w:hAnsi="Times New Roman" w:cs="宋体"/>
          <w:sz w:val="24"/>
          <w:lang w:eastAsia="zh-CN"/>
        </w:rPr>
        <w:t>血细胞比容下检测样本。样本还应涵盖声明的血糖测量范围。样本应包含均匀分布的</w:t>
      </w:r>
      <w:r w:rsidRPr="00AC2BA5">
        <w:rPr>
          <w:rFonts w:ascii="Times New Roman" w:eastAsia="宋体" w:hAnsi="Times New Roman" w:cs="宋体"/>
          <w:sz w:val="24"/>
          <w:lang w:eastAsia="zh-CN"/>
        </w:rPr>
        <w:t>5</w:t>
      </w:r>
      <w:r w:rsidRPr="00AC2BA5">
        <w:rPr>
          <w:rFonts w:ascii="Times New Roman" w:eastAsia="宋体" w:hAnsi="Times New Roman" w:cs="宋体"/>
          <w:sz w:val="24"/>
          <w:lang w:eastAsia="zh-CN"/>
        </w:rPr>
        <w:t>种不同血糖浓度，目标浓度范围如下：</w:t>
      </w:r>
      <w:r w:rsidRPr="00AC2BA5">
        <w:rPr>
          <w:rFonts w:ascii="Times New Roman" w:eastAsia="宋体" w:hAnsi="Times New Roman" w:cs="宋体"/>
          <w:sz w:val="24"/>
          <w:lang w:eastAsia="zh-CN"/>
        </w:rPr>
        <w:t>30-50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51-110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111-150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151-250</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251-400 mg/dL</w:t>
      </w:r>
      <w:r w:rsidRPr="00AC2BA5">
        <w:rPr>
          <w:rFonts w:ascii="Times New Roman" w:eastAsia="宋体" w:hAnsi="Times New Roman" w:cs="宋体"/>
          <w:sz w:val="24"/>
          <w:lang w:eastAsia="zh-CN"/>
        </w:rPr>
        <w:t>。</w:t>
      </w:r>
    </w:p>
    <w:p w14:paraId="368EE528" w14:textId="77777777" w:rsidR="00653571" w:rsidRPr="00AC2BA5" w:rsidRDefault="00653571"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22FA06AD" w14:textId="3D349791"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应采用对照方法对每个样本进行多次平行检测（建议至少</w:t>
      </w:r>
      <w:r w:rsidRPr="00AC2BA5">
        <w:rPr>
          <w:rFonts w:ascii="Times New Roman" w:eastAsia="宋体" w:hAnsi="Times New Roman" w:cs="宋体"/>
          <w:sz w:val="24"/>
          <w:lang w:eastAsia="zh-CN"/>
        </w:rPr>
        <w:t>4</w:t>
      </w:r>
      <w:r w:rsidRPr="00AC2BA5">
        <w:rPr>
          <w:rFonts w:ascii="Times New Roman" w:eastAsia="宋体" w:hAnsi="Times New Roman" w:cs="宋体"/>
          <w:sz w:val="24"/>
          <w:lang w:eastAsia="zh-CN"/>
        </w:rPr>
        <w:t>次）。使用对照方法测量结果的平均值（</w:t>
      </w:r>
      <w:proofErr w:type="spellStart"/>
      <w:r w:rsidRPr="00AC2BA5">
        <w:rPr>
          <w:rFonts w:ascii="Times New Roman" w:eastAsia="宋体" w:hAnsi="Times New Roman" w:cs="宋体"/>
          <w:sz w:val="24"/>
          <w:lang w:eastAsia="zh-CN"/>
        </w:rPr>
        <w:t>MeanComp</w:t>
      </w:r>
      <w:proofErr w:type="spellEnd"/>
      <w:r w:rsidRPr="00AC2BA5">
        <w:rPr>
          <w:rFonts w:ascii="Times New Roman" w:eastAsia="宋体" w:hAnsi="Times New Roman" w:cs="宋体"/>
          <w:sz w:val="24"/>
          <w:lang w:eastAsia="zh-CN"/>
        </w:rPr>
        <w:t>）可提高样本的真实血糖浓度的置信度。评价血细胞比容的干扰时应至少检测</w:t>
      </w: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个试纸批次。应使用新</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对每个样本进行</w:t>
      </w:r>
      <w:r w:rsidRPr="00AC2BA5">
        <w:rPr>
          <w:rFonts w:ascii="Times New Roman" w:eastAsia="宋体" w:hAnsi="Times New Roman" w:cs="宋体"/>
          <w:sz w:val="24"/>
          <w:lang w:eastAsia="zh-CN"/>
        </w:rPr>
        <w:t>30</w:t>
      </w:r>
      <w:r w:rsidRPr="00AC2BA5">
        <w:rPr>
          <w:rFonts w:ascii="Times New Roman" w:eastAsia="宋体" w:hAnsi="Times New Roman" w:cs="宋体"/>
          <w:sz w:val="24"/>
          <w:lang w:eastAsia="zh-CN"/>
        </w:rPr>
        <w:t>次平行检测（每个试纸批次</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次，每个样本共计</w:t>
      </w:r>
      <w:r w:rsidRPr="00AC2BA5">
        <w:rPr>
          <w:rFonts w:ascii="Times New Roman" w:eastAsia="宋体" w:hAnsi="Times New Roman" w:cs="宋体"/>
          <w:sz w:val="24"/>
          <w:lang w:eastAsia="zh-CN"/>
        </w:rPr>
        <w:t>30</w:t>
      </w:r>
      <w:r w:rsidRPr="00AC2BA5">
        <w:rPr>
          <w:rFonts w:ascii="Times New Roman" w:eastAsia="宋体" w:hAnsi="Times New Roman" w:cs="宋体"/>
          <w:sz w:val="24"/>
          <w:lang w:eastAsia="zh-CN"/>
        </w:rPr>
        <w:t>次）。</w:t>
      </w:r>
    </w:p>
    <w:p w14:paraId="6CDED7D6"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数据分析：</w:t>
      </w:r>
    </w:p>
    <w:p w14:paraId="3C0B2766" w14:textId="4F216C65"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应分别对检测的</w:t>
      </w:r>
      <w:r w:rsidRPr="00AC2BA5">
        <w:rPr>
          <w:rFonts w:ascii="Times New Roman" w:eastAsia="宋体" w:hAnsi="Times New Roman" w:cs="宋体"/>
          <w:sz w:val="24"/>
          <w:lang w:eastAsia="zh-CN"/>
        </w:rPr>
        <w:t>5</w:t>
      </w:r>
      <w:r w:rsidRPr="00AC2BA5">
        <w:rPr>
          <w:rFonts w:ascii="Times New Roman" w:eastAsia="宋体" w:hAnsi="Times New Roman" w:cs="宋体"/>
          <w:sz w:val="24"/>
          <w:lang w:eastAsia="zh-CN"/>
        </w:rPr>
        <w:t>个血糖浓度中的每一个和每个试纸批次进行分析。应首先确定相对于对照方法的偏差，然后确定相对于</w:t>
      </w:r>
      <w:r w:rsidR="001543C2">
        <w:rPr>
          <w:rFonts w:ascii="Times New Roman" w:eastAsia="宋体" w:hAnsi="Times New Roman" w:cs="宋体"/>
          <w:sz w:val="24"/>
          <w:lang w:eastAsia="zh-CN"/>
        </w:rPr>
        <w:t>正常</w:t>
      </w:r>
      <w:r w:rsidRPr="00AC2BA5">
        <w:rPr>
          <w:rFonts w:ascii="Times New Roman" w:eastAsia="宋体" w:hAnsi="Times New Roman" w:cs="宋体"/>
          <w:sz w:val="24"/>
          <w:lang w:eastAsia="zh-CN"/>
        </w:rPr>
        <w:t>血细胞比容样本的偏差，以便分离血细胞比容的影响。</w:t>
      </w:r>
    </w:p>
    <w:p w14:paraId="12F35B3C" w14:textId="77777777" w:rsidR="000460CB" w:rsidRPr="00AC2BA5" w:rsidRDefault="000102EB"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Times New Roman"/>
          <w:i/>
          <w:sz w:val="24"/>
          <w:lang w:eastAsia="zh-CN"/>
        </w:rPr>
        <w:t>（</w:t>
      </w:r>
      <w:r w:rsidRPr="00AC2BA5">
        <w:rPr>
          <w:rFonts w:ascii="Times New Roman" w:eastAsia="宋体" w:hAnsi="Times New Roman" w:cs="Times New Roman"/>
          <w:i/>
          <w:sz w:val="24"/>
          <w:lang w:eastAsia="zh-CN"/>
        </w:rPr>
        <w:t>1</w:t>
      </w:r>
      <w:r w:rsidRPr="00AC2BA5">
        <w:rPr>
          <w:rFonts w:ascii="Times New Roman" w:eastAsia="宋体" w:hAnsi="Times New Roman" w:cs="Times New Roman"/>
          <w:i/>
          <w:sz w:val="24"/>
          <w:lang w:eastAsia="zh-CN"/>
        </w:rPr>
        <w:t>）</w:t>
      </w:r>
      <w:r w:rsidR="0050117E" w:rsidRPr="00AC2BA5">
        <w:rPr>
          <w:rFonts w:ascii="Times New Roman" w:eastAsia="宋体" w:hAnsi="Times New Roman" w:cs="宋体"/>
          <w:i/>
          <w:sz w:val="24"/>
          <w:lang w:eastAsia="zh-CN"/>
        </w:rPr>
        <w:t>与对照方法的偏差估计</w:t>
      </w:r>
    </w:p>
    <w:p w14:paraId="1CFFC4D9" w14:textId="44568845" w:rsidR="0050117E" w:rsidRPr="00AC2BA5" w:rsidRDefault="00B8550C" w:rsidP="000102EB">
      <w:pPr>
        <w:adjustRightInd w:val="0"/>
        <w:snapToGrid w:val="0"/>
        <w:spacing w:beforeLines="50" w:before="120" w:line="300" w:lineRule="auto"/>
        <w:ind w:leftChars="451" w:left="992"/>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对于每个样本，应计算新</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30</w:t>
      </w:r>
      <w:r w:rsidRPr="00AC2BA5">
        <w:rPr>
          <w:rFonts w:ascii="Times New Roman" w:eastAsia="宋体" w:hAnsi="Times New Roman" w:cs="宋体"/>
          <w:sz w:val="24"/>
          <w:lang w:eastAsia="zh-CN"/>
        </w:rPr>
        <w:t>次平行测量的平均值（</w:t>
      </w:r>
      <w:proofErr w:type="spellStart"/>
      <w:r w:rsidRPr="00AC2BA5">
        <w:rPr>
          <w:rFonts w:ascii="Times New Roman" w:eastAsia="宋体" w:hAnsi="Times New Roman" w:cs="宋体"/>
          <w:sz w:val="24"/>
          <w:lang w:eastAsia="zh-CN"/>
        </w:rPr>
        <w:t>MeanSMBG</w:t>
      </w:r>
      <w:proofErr w:type="spellEnd"/>
      <w:r w:rsidRPr="00AC2BA5">
        <w:rPr>
          <w:rFonts w:ascii="Times New Roman" w:eastAsia="宋体" w:hAnsi="Times New Roman" w:cs="宋体"/>
          <w:sz w:val="24"/>
          <w:lang w:eastAsia="zh-CN"/>
        </w:rPr>
        <w:t>）。应使用</w:t>
      </w:r>
      <w:proofErr w:type="spellStart"/>
      <w:r w:rsidRPr="00AC2BA5">
        <w:rPr>
          <w:rFonts w:ascii="Times New Roman" w:eastAsia="宋体" w:hAnsi="Times New Roman" w:cs="宋体"/>
          <w:sz w:val="24"/>
          <w:lang w:eastAsia="zh-CN"/>
        </w:rPr>
        <w:t>MeanSMBG</w:t>
      </w:r>
      <w:proofErr w:type="spellEnd"/>
      <w:r w:rsidRPr="00AC2BA5">
        <w:rPr>
          <w:rFonts w:ascii="Times New Roman" w:eastAsia="宋体" w:hAnsi="Times New Roman" w:cs="宋体"/>
          <w:sz w:val="24"/>
          <w:lang w:eastAsia="zh-CN"/>
        </w:rPr>
        <w:t>和样本真实血糖浓度的估计值</w:t>
      </w:r>
      <w:proofErr w:type="spellStart"/>
      <w:r w:rsidRPr="00AC2BA5">
        <w:rPr>
          <w:rFonts w:ascii="Times New Roman" w:eastAsia="宋体" w:hAnsi="Times New Roman" w:cs="宋体"/>
          <w:sz w:val="24"/>
          <w:lang w:eastAsia="zh-CN"/>
        </w:rPr>
        <w:t>MeanComp</w:t>
      </w:r>
      <w:proofErr w:type="spellEnd"/>
      <w:r w:rsidRPr="00AC2BA5">
        <w:rPr>
          <w:rFonts w:ascii="Times New Roman" w:eastAsia="宋体" w:hAnsi="Times New Roman" w:cs="宋体"/>
          <w:sz w:val="24"/>
          <w:lang w:eastAsia="zh-CN"/>
        </w:rPr>
        <w:t>，分别估计每个样本的偏差</w:t>
      </w:r>
      <w:r w:rsidR="007E6307">
        <w:rPr>
          <w:rFonts w:ascii="Times New Roman" w:eastAsia="宋体" w:hAnsi="Times New Roman" w:cs="宋体"/>
          <w:sz w:val="24"/>
          <w:lang w:eastAsia="zh-CN"/>
        </w:rPr>
        <w:t>（</w:t>
      </w:r>
      <w:proofErr w:type="spellStart"/>
      <w:r w:rsidRPr="00AC2BA5">
        <w:rPr>
          <w:rFonts w:ascii="Times New Roman" w:eastAsia="宋体" w:hAnsi="Times New Roman" w:cs="宋体"/>
          <w:sz w:val="24"/>
          <w:lang w:eastAsia="zh-CN"/>
        </w:rPr>
        <w:t>MeanSMBG-MeanComp</w:t>
      </w:r>
      <w:proofErr w:type="spellEnd"/>
      <w:r w:rsidR="007E6307">
        <w:rPr>
          <w:rFonts w:ascii="Times New Roman" w:eastAsia="宋体" w:hAnsi="Times New Roman" w:cs="宋体"/>
          <w:sz w:val="24"/>
          <w:lang w:eastAsia="zh-CN"/>
        </w:rPr>
        <w:t>）</w:t>
      </w:r>
      <w:r w:rsidRPr="00AC2BA5">
        <w:rPr>
          <w:rFonts w:ascii="Times New Roman" w:eastAsia="宋体" w:hAnsi="Times New Roman" w:cs="宋体"/>
          <w:sz w:val="24"/>
          <w:lang w:eastAsia="zh-CN"/>
        </w:rPr>
        <w:t>和偏差百分比</w:t>
      </w:r>
      <w:r w:rsidR="007E6307">
        <w:rPr>
          <w:rFonts w:ascii="Times New Roman" w:eastAsia="宋体" w:hAnsi="Times New Roman" w:cs="宋体"/>
          <w:sz w:val="24"/>
          <w:lang w:eastAsia="zh-CN"/>
        </w:rPr>
        <w:t>（</w:t>
      </w:r>
      <w:proofErr w:type="spellStart"/>
      <w:r w:rsidRPr="00AC2BA5">
        <w:rPr>
          <w:rFonts w:ascii="Times New Roman" w:eastAsia="宋体" w:hAnsi="Times New Roman" w:cs="宋体"/>
          <w:sz w:val="24"/>
          <w:lang w:eastAsia="zh-CN"/>
        </w:rPr>
        <w:t>MeanSMBG-MeanComp</w:t>
      </w:r>
      <w:proofErr w:type="spellEnd"/>
      <w:r w:rsidR="007E6307">
        <w:rPr>
          <w:rFonts w:ascii="Times New Roman" w:eastAsia="宋体" w:hAnsi="Times New Roman" w:cs="宋体"/>
          <w:sz w:val="24"/>
          <w:lang w:eastAsia="zh-CN"/>
        </w:rPr>
        <w:t>）</w:t>
      </w:r>
      <w:r w:rsidRPr="00AC2BA5">
        <w:rPr>
          <w:rFonts w:ascii="Times New Roman" w:eastAsia="宋体" w:hAnsi="Times New Roman" w:cs="宋体"/>
          <w:sz w:val="24"/>
          <w:lang w:eastAsia="zh-CN"/>
        </w:rPr>
        <w:t>/</w:t>
      </w:r>
      <w:proofErr w:type="spellStart"/>
      <w:r w:rsidRPr="00AC2BA5">
        <w:rPr>
          <w:rFonts w:ascii="Times New Roman" w:eastAsia="宋体" w:hAnsi="Times New Roman" w:cs="宋体"/>
          <w:sz w:val="24"/>
          <w:lang w:eastAsia="zh-CN"/>
        </w:rPr>
        <w:t>MeanComp</w:t>
      </w:r>
      <w:proofErr w:type="spellEnd"/>
      <w:r w:rsidRPr="00AC2BA5">
        <w:rPr>
          <w:rFonts w:ascii="Times New Roman" w:eastAsia="宋体" w:hAnsi="Times New Roman" w:cs="宋体"/>
          <w:sz w:val="24"/>
          <w:lang w:eastAsia="zh-CN"/>
        </w:rPr>
        <w:t>。结果</w:t>
      </w:r>
      <w:proofErr w:type="gramStart"/>
      <w:r w:rsidRPr="00AC2BA5">
        <w:rPr>
          <w:rFonts w:ascii="Times New Roman" w:eastAsia="宋体" w:hAnsi="Times New Roman" w:cs="宋体"/>
          <w:sz w:val="24"/>
          <w:lang w:eastAsia="zh-CN"/>
        </w:rPr>
        <w:t>应如下</w:t>
      </w:r>
      <w:proofErr w:type="gramEnd"/>
      <w:r w:rsidRPr="00AC2BA5">
        <w:rPr>
          <w:rFonts w:ascii="Times New Roman" w:eastAsia="宋体" w:hAnsi="Times New Roman" w:cs="宋体"/>
          <w:sz w:val="24"/>
          <w:lang w:eastAsia="zh-CN"/>
        </w:rPr>
        <w:t>表所示，并以适用于每个特定血糖浓度范围的图形格式呈现。</w:t>
      </w:r>
    </w:p>
    <w:p w14:paraId="1B2F6737" w14:textId="77777777" w:rsidR="0050117E" w:rsidRPr="00AC2BA5" w:rsidRDefault="00B8550C" w:rsidP="000102EB">
      <w:pPr>
        <w:adjustRightInd w:val="0"/>
        <w:snapToGrid w:val="0"/>
        <w:spacing w:beforeLines="50" w:before="120" w:line="300" w:lineRule="auto"/>
        <w:ind w:leftChars="451" w:left="992"/>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对于低于</w:t>
      </w:r>
      <w:r w:rsidRPr="00AC2BA5">
        <w:rPr>
          <w:rFonts w:ascii="Times New Roman" w:eastAsia="宋体" w:hAnsi="Times New Roman" w:cs="宋体"/>
          <w:sz w:val="24"/>
          <w:lang w:eastAsia="zh-CN"/>
        </w:rPr>
        <w:t>75 mg/dL</w:t>
      </w:r>
      <w:r w:rsidRPr="00AC2BA5">
        <w:rPr>
          <w:rFonts w:ascii="Times New Roman" w:eastAsia="宋体" w:hAnsi="Times New Roman" w:cs="宋体"/>
          <w:sz w:val="24"/>
          <w:lang w:eastAsia="zh-CN"/>
        </w:rPr>
        <w:t>的血糖浓度，分析图表的</w:t>
      </w:r>
      <w:r w:rsidRPr="00AC2BA5">
        <w:rPr>
          <w:rFonts w:ascii="Times New Roman" w:eastAsia="宋体" w:hAnsi="Times New Roman" w:cs="宋体"/>
          <w:sz w:val="24"/>
          <w:lang w:eastAsia="zh-CN"/>
        </w:rPr>
        <w:t>X</w:t>
      </w:r>
      <w:proofErr w:type="gramStart"/>
      <w:r w:rsidRPr="00AC2BA5">
        <w:rPr>
          <w:rFonts w:ascii="Times New Roman" w:eastAsia="宋体" w:hAnsi="Times New Roman" w:cs="宋体"/>
          <w:sz w:val="24"/>
          <w:lang w:eastAsia="zh-CN"/>
        </w:rPr>
        <w:t>轴代表</w:t>
      </w:r>
      <w:proofErr w:type="gramEnd"/>
      <w:r w:rsidRPr="00AC2BA5">
        <w:rPr>
          <w:rFonts w:ascii="Times New Roman" w:eastAsia="宋体" w:hAnsi="Times New Roman" w:cs="宋体"/>
          <w:sz w:val="24"/>
          <w:lang w:eastAsia="zh-CN"/>
        </w:rPr>
        <w:t>血细胞比容值，</w:t>
      </w:r>
      <w:r w:rsidRPr="00AC2BA5">
        <w:rPr>
          <w:rFonts w:ascii="Times New Roman" w:eastAsia="宋体" w:hAnsi="Times New Roman" w:cs="宋体"/>
          <w:sz w:val="24"/>
          <w:lang w:eastAsia="zh-CN"/>
        </w:rPr>
        <w:t>Y</w:t>
      </w:r>
      <w:proofErr w:type="gramStart"/>
      <w:r w:rsidRPr="00AC2BA5">
        <w:rPr>
          <w:rFonts w:ascii="Times New Roman" w:eastAsia="宋体" w:hAnsi="Times New Roman" w:cs="宋体"/>
          <w:sz w:val="24"/>
          <w:lang w:eastAsia="zh-CN"/>
        </w:rPr>
        <w:t>轴代表</w:t>
      </w:r>
      <w:proofErr w:type="gramEnd"/>
      <w:r w:rsidRPr="00AC2BA5">
        <w:rPr>
          <w:rFonts w:ascii="Times New Roman" w:eastAsia="宋体" w:hAnsi="Times New Roman" w:cs="宋体"/>
          <w:sz w:val="24"/>
          <w:lang w:eastAsia="zh-CN"/>
        </w:rPr>
        <w:t>绝对偏差值。对于大于或等于</w:t>
      </w:r>
      <w:r w:rsidRPr="00AC2BA5">
        <w:rPr>
          <w:rFonts w:ascii="Times New Roman" w:eastAsia="宋体" w:hAnsi="Times New Roman" w:cs="宋体"/>
          <w:sz w:val="24"/>
          <w:lang w:eastAsia="zh-CN"/>
        </w:rPr>
        <w:t>75 mg/dL</w:t>
      </w:r>
      <w:r w:rsidRPr="00AC2BA5">
        <w:rPr>
          <w:rFonts w:ascii="Times New Roman" w:eastAsia="宋体" w:hAnsi="Times New Roman" w:cs="宋体"/>
          <w:sz w:val="24"/>
          <w:lang w:eastAsia="zh-CN"/>
        </w:rPr>
        <w:t>的血糖浓度，分析图表的</w:t>
      </w:r>
      <w:r w:rsidRPr="00AC2BA5">
        <w:rPr>
          <w:rFonts w:ascii="Times New Roman" w:eastAsia="宋体" w:hAnsi="Times New Roman" w:cs="宋体"/>
          <w:sz w:val="24"/>
          <w:lang w:eastAsia="zh-CN"/>
        </w:rPr>
        <w:t>X</w:t>
      </w:r>
      <w:proofErr w:type="gramStart"/>
      <w:r w:rsidRPr="00AC2BA5">
        <w:rPr>
          <w:rFonts w:ascii="Times New Roman" w:eastAsia="宋体" w:hAnsi="Times New Roman" w:cs="宋体"/>
          <w:sz w:val="24"/>
          <w:lang w:eastAsia="zh-CN"/>
        </w:rPr>
        <w:t>轴代表</w:t>
      </w:r>
      <w:proofErr w:type="gramEnd"/>
      <w:r w:rsidRPr="00AC2BA5">
        <w:rPr>
          <w:rFonts w:ascii="Times New Roman" w:eastAsia="宋体" w:hAnsi="Times New Roman" w:cs="宋体"/>
          <w:sz w:val="24"/>
          <w:lang w:eastAsia="zh-CN"/>
        </w:rPr>
        <w:t>血细胞比容值，</w:t>
      </w:r>
      <w:r w:rsidRPr="00AC2BA5">
        <w:rPr>
          <w:rFonts w:ascii="Times New Roman" w:eastAsia="宋体" w:hAnsi="Times New Roman" w:cs="宋体"/>
          <w:sz w:val="24"/>
          <w:lang w:eastAsia="zh-CN"/>
        </w:rPr>
        <w:t>Y</w:t>
      </w:r>
      <w:proofErr w:type="gramStart"/>
      <w:r w:rsidRPr="00AC2BA5">
        <w:rPr>
          <w:rFonts w:ascii="Times New Roman" w:eastAsia="宋体" w:hAnsi="Times New Roman" w:cs="宋体"/>
          <w:sz w:val="24"/>
          <w:lang w:eastAsia="zh-CN"/>
        </w:rPr>
        <w:t>轴代表</w:t>
      </w:r>
      <w:proofErr w:type="gramEnd"/>
      <w:r w:rsidRPr="00AC2BA5">
        <w:rPr>
          <w:rFonts w:ascii="Times New Roman" w:eastAsia="宋体" w:hAnsi="Times New Roman" w:cs="宋体"/>
          <w:sz w:val="24"/>
          <w:lang w:eastAsia="zh-CN"/>
        </w:rPr>
        <w:t>偏差百分比值。</w:t>
      </w:r>
    </w:p>
    <w:p w14:paraId="04976D2B" w14:textId="77777777" w:rsidR="000460CB" w:rsidRPr="00AC2BA5" w:rsidRDefault="00B8550C" w:rsidP="000102EB">
      <w:pPr>
        <w:pStyle w:val="3"/>
        <w:adjustRightInd w:val="0"/>
        <w:snapToGrid w:val="0"/>
        <w:spacing w:beforeLines="50" w:before="120" w:line="300" w:lineRule="auto"/>
        <w:ind w:leftChars="451" w:left="992" w:firstLine="0"/>
        <w:jc w:val="both"/>
        <w:rPr>
          <w:rFonts w:eastAsia="宋体" w:cs="Times New Roman"/>
          <w:b w:val="0"/>
          <w:bCs w:val="0"/>
          <w:snapToGrid w:val="0"/>
          <w:lang w:eastAsia="zh-CN"/>
        </w:rPr>
      </w:pPr>
      <w:r w:rsidRPr="00AC2BA5">
        <w:rPr>
          <w:rFonts w:eastAsia="宋体" w:cs="宋体"/>
          <w:lang w:eastAsia="zh-CN"/>
        </w:rPr>
        <w:t>表</w:t>
      </w:r>
      <w:r w:rsidRPr="00AC2BA5">
        <w:rPr>
          <w:rFonts w:eastAsia="宋体" w:cs="宋体"/>
          <w:lang w:eastAsia="zh-CN"/>
        </w:rPr>
        <w:t>5.SMBG</w:t>
      </w:r>
      <w:r w:rsidRPr="00AC2BA5">
        <w:rPr>
          <w:rFonts w:eastAsia="宋体" w:cs="宋体"/>
          <w:lang w:eastAsia="zh-CN"/>
        </w:rPr>
        <w:t>的血细胞比容评价中与对照方法的偏差（血糖浓度为</w:t>
      </w:r>
      <w:r w:rsidRPr="00AC2BA5">
        <w:rPr>
          <w:rFonts w:eastAsia="宋体" w:cs="宋体"/>
          <w:lang w:eastAsia="zh-CN"/>
        </w:rPr>
        <w:t>120 mg/dL</w:t>
      </w:r>
      <w:r w:rsidRPr="00AC2BA5">
        <w:rPr>
          <w:rFonts w:eastAsia="宋体" w:cs="宋体"/>
          <w:lang w:eastAsia="zh-CN"/>
        </w:rPr>
        <w:t>）的示例表：</w:t>
      </w:r>
    </w:p>
    <w:tbl>
      <w:tblPr>
        <w:tblStyle w:val="TableNormal"/>
        <w:tblW w:w="0" w:type="auto"/>
        <w:jc w:val="right"/>
        <w:tblLayout w:type="fixed"/>
        <w:tblCellMar>
          <w:left w:w="108" w:type="dxa"/>
          <w:right w:w="108" w:type="dxa"/>
        </w:tblCellMar>
        <w:tblLook w:val="01E0" w:firstRow="1" w:lastRow="1" w:firstColumn="1" w:lastColumn="1" w:noHBand="0" w:noVBand="0"/>
      </w:tblPr>
      <w:tblGrid>
        <w:gridCol w:w="1637"/>
        <w:gridCol w:w="1637"/>
        <w:gridCol w:w="1545"/>
        <w:gridCol w:w="1729"/>
        <w:gridCol w:w="1638"/>
      </w:tblGrid>
      <w:tr w:rsidR="000460CB" w:rsidRPr="00AC2BA5" w14:paraId="1596821E" w14:textId="77777777" w:rsidTr="000102EB">
        <w:trPr>
          <w:jc w:val="right"/>
        </w:trPr>
        <w:tc>
          <w:tcPr>
            <w:tcW w:w="1637" w:type="dxa"/>
            <w:tcBorders>
              <w:top w:val="single" w:sz="10" w:space="0" w:color="000000"/>
              <w:left w:val="single" w:sz="5" w:space="0" w:color="000000"/>
              <w:bottom w:val="single" w:sz="5" w:space="0" w:color="000000"/>
              <w:right w:val="single" w:sz="5" w:space="0" w:color="000000"/>
            </w:tcBorders>
            <w:vAlign w:val="center"/>
          </w:tcPr>
          <w:p w14:paraId="4043C95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血细胞比容</w:t>
            </w:r>
            <w:proofErr w:type="spellEnd"/>
            <w:r w:rsidRPr="00AC2BA5">
              <w:rPr>
                <w:rFonts w:ascii="Times New Roman" w:eastAsia="宋体" w:hAnsi="Times New Roman" w:cs="宋体"/>
                <w:sz w:val="21"/>
              </w:rPr>
              <w:t>（</w:t>
            </w:r>
            <w:r w:rsidRPr="00AC2BA5">
              <w:rPr>
                <w:rFonts w:ascii="Times New Roman" w:eastAsia="宋体" w:hAnsi="Times New Roman" w:cs="宋体"/>
                <w:sz w:val="21"/>
              </w:rPr>
              <w:t>%</w:t>
            </w:r>
            <w:r w:rsidRPr="00AC2BA5">
              <w:rPr>
                <w:rFonts w:ascii="Times New Roman" w:eastAsia="宋体" w:hAnsi="Times New Roman" w:cs="宋体"/>
                <w:sz w:val="21"/>
              </w:rPr>
              <w:t>）</w:t>
            </w:r>
          </w:p>
        </w:tc>
        <w:tc>
          <w:tcPr>
            <w:tcW w:w="1637" w:type="dxa"/>
            <w:tcBorders>
              <w:top w:val="single" w:sz="10" w:space="0" w:color="000000"/>
              <w:left w:val="single" w:sz="5" w:space="0" w:color="000000"/>
              <w:bottom w:val="single" w:sz="5" w:space="0" w:color="000000"/>
              <w:right w:val="single" w:sz="5" w:space="0" w:color="000000"/>
            </w:tcBorders>
            <w:vAlign w:val="center"/>
          </w:tcPr>
          <w:p w14:paraId="038FC35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对照方法测量值的平均值（</w:t>
            </w:r>
            <w:r w:rsidRPr="00AC2BA5">
              <w:rPr>
                <w:rFonts w:ascii="Times New Roman" w:eastAsia="宋体" w:hAnsi="Times New Roman" w:cs="宋体"/>
                <w:sz w:val="21"/>
              </w:rPr>
              <w:t>MeanComp</w:t>
            </w:r>
            <w:proofErr w:type="spellEnd"/>
            <w:r w:rsidRPr="00AC2BA5">
              <w:rPr>
                <w:rFonts w:ascii="Times New Roman" w:eastAsia="宋体" w:hAnsi="Times New Roman" w:cs="宋体"/>
                <w:sz w:val="21"/>
              </w:rPr>
              <w:t>）</w:t>
            </w:r>
          </w:p>
        </w:tc>
        <w:tc>
          <w:tcPr>
            <w:tcW w:w="1545" w:type="dxa"/>
            <w:tcBorders>
              <w:top w:val="single" w:sz="10" w:space="0" w:color="000000"/>
              <w:left w:val="single" w:sz="5" w:space="0" w:color="000000"/>
              <w:bottom w:val="single" w:sz="5" w:space="0" w:color="000000"/>
              <w:right w:val="single" w:sz="5" w:space="0" w:color="000000"/>
            </w:tcBorders>
            <w:vAlign w:val="center"/>
          </w:tcPr>
          <w:p w14:paraId="3D464F1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SMBG</w:t>
            </w:r>
            <w:r w:rsidRPr="00AC2BA5">
              <w:rPr>
                <w:rFonts w:ascii="Times New Roman" w:eastAsia="宋体" w:hAnsi="Times New Roman" w:cs="宋体"/>
                <w:sz w:val="21"/>
              </w:rPr>
              <w:t>的测量次数</w:t>
            </w:r>
            <w:proofErr w:type="spellEnd"/>
          </w:p>
        </w:tc>
        <w:tc>
          <w:tcPr>
            <w:tcW w:w="1729" w:type="dxa"/>
            <w:tcBorders>
              <w:top w:val="single" w:sz="10" w:space="0" w:color="000000"/>
              <w:left w:val="single" w:sz="5" w:space="0" w:color="000000"/>
              <w:bottom w:val="single" w:sz="5" w:space="0" w:color="000000"/>
              <w:right w:val="single" w:sz="5" w:space="0" w:color="000000"/>
            </w:tcBorders>
            <w:vAlign w:val="center"/>
          </w:tcPr>
          <w:p w14:paraId="4D55788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SMBG</w:t>
            </w:r>
            <w:r w:rsidRPr="00AC2BA5">
              <w:rPr>
                <w:rFonts w:ascii="Times New Roman" w:eastAsia="宋体" w:hAnsi="Times New Roman" w:cs="宋体"/>
                <w:sz w:val="21"/>
              </w:rPr>
              <w:t>测量值的平均值（</w:t>
            </w:r>
            <w:r w:rsidRPr="00AC2BA5">
              <w:rPr>
                <w:rFonts w:ascii="Times New Roman" w:eastAsia="宋体" w:hAnsi="Times New Roman" w:cs="宋体"/>
                <w:sz w:val="21"/>
              </w:rPr>
              <w:t>MeanSMBG</w:t>
            </w:r>
            <w:proofErr w:type="spellEnd"/>
            <w:r w:rsidRPr="00AC2BA5">
              <w:rPr>
                <w:rFonts w:ascii="Times New Roman" w:eastAsia="宋体" w:hAnsi="Times New Roman" w:cs="宋体"/>
                <w:sz w:val="21"/>
              </w:rPr>
              <w:t>）</w:t>
            </w:r>
          </w:p>
        </w:tc>
        <w:tc>
          <w:tcPr>
            <w:tcW w:w="1638" w:type="dxa"/>
            <w:tcBorders>
              <w:top w:val="single" w:sz="5" w:space="0" w:color="000000"/>
              <w:left w:val="single" w:sz="5" w:space="0" w:color="000000"/>
              <w:bottom w:val="single" w:sz="5" w:space="0" w:color="000000"/>
              <w:right w:val="single" w:sz="5" w:space="0" w:color="000000"/>
            </w:tcBorders>
            <w:vAlign w:val="center"/>
          </w:tcPr>
          <w:p w14:paraId="62FCC175" w14:textId="0A82E2C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偏差</w:t>
            </w:r>
            <w:proofErr w:type="spellEnd"/>
            <w:r w:rsidRPr="00AC2BA5">
              <w:rPr>
                <w:rFonts w:ascii="Times New Roman" w:eastAsia="宋体" w:hAnsi="Times New Roman" w:cs="宋体"/>
                <w:sz w:val="21"/>
              </w:rPr>
              <w:t xml:space="preserve">% </w:t>
            </w:r>
            <w:r w:rsidR="007E6307">
              <w:rPr>
                <w:rFonts w:ascii="Times New Roman" w:eastAsia="宋体" w:hAnsi="Times New Roman" w:cs="宋体"/>
                <w:sz w:val="21"/>
              </w:rPr>
              <w:t>（</w:t>
            </w:r>
            <w:proofErr w:type="spellStart"/>
            <w:r w:rsidRPr="00AC2BA5">
              <w:rPr>
                <w:rFonts w:ascii="Times New Roman" w:eastAsia="宋体" w:hAnsi="Times New Roman" w:cs="宋体"/>
                <w:sz w:val="21"/>
              </w:rPr>
              <w:t>MeanSMBG</w:t>
            </w:r>
            <w:proofErr w:type="spellEnd"/>
            <w:r w:rsidRPr="00AC2BA5">
              <w:rPr>
                <w:rFonts w:ascii="Times New Roman" w:eastAsia="宋体" w:hAnsi="Times New Roman" w:cs="宋体"/>
                <w:sz w:val="21"/>
              </w:rPr>
              <w:t xml:space="preserve">- </w:t>
            </w:r>
            <w:proofErr w:type="spellStart"/>
            <w:r w:rsidRPr="00AC2BA5">
              <w:rPr>
                <w:rFonts w:ascii="Times New Roman" w:eastAsia="宋体" w:hAnsi="Times New Roman" w:cs="宋体"/>
                <w:sz w:val="21"/>
              </w:rPr>
              <w:t>MeanComp</w:t>
            </w:r>
            <w:proofErr w:type="spellEnd"/>
            <w:r w:rsidR="007E6307">
              <w:rPr>
                <w:rFonts w:ascii="Times New Roman" w:eastAsia="宋体" w:hAnsi="Times New Roman" w:cs="宋体"/>
                <w:sz w:val="21"/>
              </w:rPr>
              <w:t>）</w:t>
            </w:r>
            <w:r w:rsidRPr="00AC2BA5">
              <w:rPr>
                <w:rFonts w:ascii="Times New Roman" w:eastAsia="宋体" w:hAnsi="Times New Roman" w:cs="宋体"/>
                <w:sz w:val="21"/>
              </w:rPr>
              <w:t xml:space="preserve">/ </w:t>
            </w:r>
            <w:proofErr w:type="spellStart"/>
            <w:r w:rsidRPr="00AC2BA5">
              <w:rPr>
                <w:rFonts w:ascii="Times New Roman" w:eastAsia="宋体" w:hAnsi="Times New Roman" w:cs="宋体"/>
                <w:sz w:val="21"/>
              </w:rPr>
              <w:t>MeanComp</w:t>
            </w:r>
            <w:proofErr w:type="spellEnd"/>
          </w:p>
        </w:tc>
      </w:tr>
      <w:tr w:rsidR="000460CB" w:rsidRPr="00AC2BA5" w14:paraId="21B4BD8E"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4A0A7FD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10</w:t>
            </w:r>
          </w:p>
        </w:tc>
        <w:tc>
          <w:tcPr>
            <w:tcW w:w="1637" w:type="dxa"/>
            <w:tcBorders>
              <w:top w:val="single" w:sz="5" w:space="0" w:color="000000"/>
              <w:left w:val="single" w:sz="5" w:space="0" w:color="000000"/>
              <w:bottom w:val="single" w:sz="5" w:space="0" w:color="000000"/>
              <w:right w:val="single" w:sz="5" w:space="0" w:color="000000"/>
            </w:tcBorders>
            <w:vAlign w:val="center"/>
          </w:tcPr>
          <w:p w14:paraId="0FD7CEE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118.0</w:t>
            </w:r>
          </w:p>
        </w:tc>
        <w:tc>
          <w:tcPr>
            <w:tcW w:w="1545" w:type="dxa"/>
            <w:tcBorders>
              <w:top w:val="single" w:sz="5" w:space="0" w:color="000000"/>
              <w:left w:val="single" w:sz="5" w:space="0" w:color="000000"/>
              <w:bottom w:val="single" w:sz="5" w:space="0" w:color="000000"/>
              <w:right w:val="single" w:sz="5" w:space="0" w:color="000000"/>
            </w:tcBorders>
            <w:vAlign w:val="center"/>
          </w:tcPr>
          <w:p w14:paraId="652A0FD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19ADCE3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127.6</w:t>
            </w:r>
          </w:p>
        </w:tc>
        <w:tc>
          <w:tcPr>
            <w:tcW w:w="1638" w:type="dxa"/>
            <w:tcBorders>
              <w:top w:val="single" w:sz="5" w:space="0" w:color="000000"/>
              <w:left w:val="single" w:sz="5" w:space="0" w:color="000000"/>
              <w:bottom w:val="single" w:sz="5" w:space="0" w:color="000000"/>
              <w:right w:val="single" w:sz="5" w:space="0" w:color="000000"/>
            </w:tcBorders>
            <w:vAlign w:val="center"/>
          </w:tcPr>
          <w:p w14:paraId="3BCC250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8.1%</w:t>
            </w:r>
          </w:p>
        </w:tc>
      </w:tr>
      <w:tr w:rsidR="000460CB" w:rsidRPr="00AC2BA5" w14:paraId="2C4F9D9C"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2DD8C5C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15</w:t>
            </w:r>
          </w:p>
        </w:tc>
        <w:tc>
          <w:tcPr>
            <w:tcW w:w="1637" w:type="dxa"/>
            <w:tcBorders>
              <w:top w:val="single" w:sz="5" w:space="0" w:color="000000"/>
              <w:left w:val="single" w:sz="5" w:space="0" w:color="000000"/>
              <w:bottom w:val="single" w:sz="5" w:space="0" w:color="000000"/>
              <w:right w:val="single" w:sz="5" w:space="0" w:color="000000"/>
            </w:tcBorders>
            <w:vAlign w:val="center"/>
          </w:tcPr>
          <w:p w14:paraId="7028514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118.4</w:t>
            </w:r>
          </w:p>
        </w:tc>
        <w:tc>
          <w:tcPr>
            <w:tcW w:w="1545" w:type="dxa"/>
            <w:tcBorders>
              <w:top w:val="single" w:sz="5" w:space="0" w:color="000000"/>
              <w:left w:val="single" w:sz="5" w:space="0" w:color="000000"/>
              <w:bottom w:val="single" w:sz="5" w:space="0" w:color="000000"/>
              <w:right w:val="single" w:sz="5" w:space="0" w:color="000000"/>
            </w:tcBorders>
            <w:vAlign w:val="center"/>
          </w:tcPr>
          <w:p w14:paraId="55C3503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40E9EB3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127.6</w:t>
            </w:r>
          </w:p>
        </w:tc>
        <w:tc>
          <w:tcPr>
            <w:tcW w:w="1638" w:type="dxa"/>
            <w:tcBorders>
              <w:top w:val="single" w:sz="5" w:space="0" w:color="000000"/>
              <w:left w:val="single" w:sz="5" w:space="0" w:color="000000"/>
              <w:bottom w:val="single" w:sz="5" w:space="0" w:color="000000"/>
              <w:right w:val="single" w:sz="5" w:space="0" w:color="000000"/>
            </w:tcBorders>
            <w:vAlign w:val="center"/>
          </w:tcPr>
          <w:p w14:paraId="68F223A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7.8%</w:t>
            </w:r>
          </w:p>
        </w:tc>
      </w:tr>
      <w:tr w:rsidR="000460CB" w:rsidRPr="00AC2BA5" w14:paraId="72AD103B"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055E238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20</w:t>
            </w:r>
          </w:p>
        </w:tc>
        <w:tc>
          <w:tcPr>
            <w:tcW w:w="1637" w:type="dxa"/>
            <w:tcBorders>
              <w:top w:val="single" w:sz="5" w:space="0" w:color="000000"/>
              <w:left w:val="single" w:sz="5" w:space="0" w:color="000000"/>
              <w:bottom w:val="single" w:sz="5" w:space="0" w:color="000000"/>
              <w:right w:val="single" w:sz="5" w:space="0" w:color="000000"/>
            </w:tcBorders>
            <w:vAlign w:val="center"/>
          </w:tcPr>
          <w:p w14:paraId="0785617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122.4</w:t>
            </w:r>
          </w:p>
        </w:tc>
        <w:tc>
          <w:tcPr>
            <w:tcW w:w="1545" w:type="dxa"/>
            <w:tcBorders>
              <w:top w:val="single" w:sz="5" w:space="0" w:color="000000"/>
              <w:left w:val="single" w:sz="5" w:space="0" w:color="000000"/>
              <w:bottom w:val="single" w:sz="5" w:space="0" w:color="000000"/>
              <w:right w:val="single" w:sz="5" w:space="0" w:color="000000"/>
            </w:tcBorders>
            <w:vAlign w:val="center"/>
          </w:tcPr>
          <w:p w14:paraId="22F9A66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5E721E9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130.4</w:t>
            </w:r>
          </w:p>
        </w:tc>
        <w:tc>
          <w:tcPr>
            <w:tcW w:w="1638" w:type="dxa"/>
            <w:tcBorders>
              <w:top w:val="single" w:sz="5" w:space="0" w:color="000000"/>
              <w:left w:val="single" w:sz="5" w:space="0" w:color="000000"/>
              <w:bottom w:val="single" w:sz="5" w:space="0" w:color="000000"/>
              <w:right w:val="single" w:sz="5" w:space="0" w:color="000000"/>
            </w:tcBorders>
            <w:vAlign w:val="center"/>
          </w:tcPr>
          <w:p w14:paraId="5B0BE71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6.5%</w:t>
            </w:r>
          </w:p>
        </w:tc>
      </w:tr>
      <w:tr w:rsidR="000460CB" w:rsidRPr="00AC2BA5" w14:paraId="1D3E24A5"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74548E1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25</w:t>
            </w:r>
          </w:p>
        </w:tc>
        <w:tc>
          <w:tcPr>
            <w:tcW w:w="1637" w:type="dxa"/>
            <w:tcBorders>
              <w:top w:val="single" w:sz="5" w:space="0" w:color="000000"/>
              <w:left w:val="single" w:sz="5" w:space="0" w:color="000000"/>
              <w:bottom w:val="single" w:sz="5" w:space="0" w:color="000000"/>
              <w:right w:val="single" w:sz="5" w:space="0" w:color="000000"/>
            </w:tcBorders>
            <w:vAlign w:val="center"/>
          </w:tcPr>
          <w:p w14:paraId="6ADBB62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120.7</w:t>
            </w:r>
          </w:p>
        </w:tc>
        <w:tc>
          <w:tcPr>
            <w:tcW w:w="1545" w:type="dxa"/>
            <w:tcBorders>
              <w:top w:val="single" w:sz="5" w:space="0" w:color="000000"/>
              <w:left w:val="single" w:sz="5" w:space="0" w:color="000000"/>
              <w:bottom w:val="single" w:sz="5" w:space="0" w:color="000000"/>
              <w:right w:val="single" w:sz="5" w:space="0" w:color="000000"/>
            </w:tcBorders>
            <w:vAlign w:val="center"/>
          </w:tcPr>
          <w:p w14:paraId="09E735F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060DB85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127.1</w:t>
            </w:r>
          </w:p>
        </w:tc>
        <w:tc>
          <w:tcPr>
            <w:tcW w:w="1638" w:type="dxa"/>
            <w:tcBorders>
              <w:top w:val="single" w:sz="5" w:space="0" w:color="000000"/>
              <w:left w:val="single" w:sz="5" w:space="0" w:color="000000"/>
              <w:bottom w:val="single" w:sz="5" w:space="0" w:color="000000"/>
              <w:right w:val="single" w:sz="5" w:space="0" w:color="000000"/>
            </w:tcBorders>
            <w:vAlign w:val="center"/>
          </w:tcPr>
          <w:p w14:paraId="5766C91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5.3%</w:t>
            </w:r>
          </w:p>
        </w:tc>
      </w:tr>
      <w:tr w:rsidR="000460CB" w:rsidRPr="00AC2BA5" w14:paraId="29D2D9F4"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74108FE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637" w:type="dxa"/>
            <w:tcBorders>
              <w:top w:val="single" w:sz="5" w:space="0" w:color="000000"/>
              <w:left w:val="single" w:sz="5" w:space="0" w:color="000000"/>
              <w:bottom w:val="single" w:sz="5" w:space="0" w:color="000000"/>
              <w:right w:val="single" w:sz="5" w:space="0" w:color="000000"/>
            </w:tcBorders>
            <w:vAlign w:val="center"/>
          </w:tcPr>
          <w:p w14:paraId="3A6C7E9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123.7</w:t>
            </w:r>
          </w:p>
        </w:tc>
        <w:tc>
          <w:tcPr>
            <w:tcW w:w="1545" w:type="dxa"/>
            <w:tcBorders>
              <w:top w:val="single" w:sz="5" w:space="0" w:color="000000"/>
              <w:left w:val="single" w:sz="5" w:space="0" w:color="000000"/>
              <w:bottom w:val="single" w:sz="5" w:space="0" w:color="000000"/>
              <w:right w:val="single" w:sz="5" w:space="0" w:color="000000"/>
            </w:tcBorders>
            <w:vAlign w:val="center"/>
          </w:tcPr>
          <w:p w14:paraId="6F40FDD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2B57B1B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129.5</w:t>
            </w:r>
          </w:p>
        </w:tc>
        <w:tc>
          <w:tcPr>
            <w:tcW w:w="1638" w:type="dxa"/>
            <w:tcBorders>
              <w:top w:val="single" w:sz="5" w:space="0" w:color="000000"/>
              <w:left w:val="single" w:sz="5" w:space="0" w:color="000000"/>
              <w:bottom w:val="single" w:sz="5" w:space="0" w:color="000000"/>
              <w:right w:val="single" w:sz="5" w:space="0" w:color="000000"/>
            </w:tcBorders>
            <w:vAlign w:val="center"/>
          </w:tcPr>
          <w:p w14:paraId="5E48CC4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4.7%</w:t>
            </w:r>
          </w:p>
        </w:tc>
      </w:tr>
      <w:tr w:rsidR="000460CB" w:rsidRPr="00AC2BA5" w14:paraId="52CD7D72"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190024A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35</w:t>
            </w:r>
          </w:p>
        </w:tc>
        <w:tc>
          <w:tcPr>
            <w:tcW w:w="1637" w:type="dxa"/>
            <w:tcBorders>
              <w:top w:val="single" w:sz="5" w:space="0" w:color="000000"/>
              <w:left w:val="single" w:sz="5" w:space="0" w:color="000000"/>
              <w:bottom w:val="single" w:sz="5" w:space="0" w:color="000000"/>
              <w:right w:val="single" w:sz="5" w:space="0" w:color="000000"/>
            </w:tcBorders>
            <w:vAlign w:val="center"/>
          </w:tcPr>
          <w:p w14:paraId="358B11A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121.5</w:t>
            </w:r>
          </w:p>
        </w:tc>
        <w:tc>
          <w:tcPr>
            <w:tcW w:w="1545" w:type="dxa"/>
            <w:tcBorders>
              <w:top w:val="single" w:sz="5" w:space="0" w:color="000000"/>
              <w:left w:val="single" w:sz="5" w:space="0" w:color="000000"/>
              <w:bottom w:val="single" w:sz="5" w:space="0" w:color="000000"/>
              <w:right w:val="single" w:sz="5" w:space="0" w:color="000000"/>
            </w:tcBorders>
            <w:vAlign w:val="center"/>
          </w:tcPr>
          <w:p w14:paraId="33311E9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7E6F686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127.1</w:t>
            </w:r>
          </w:p>
        </w:tc>
        <w:tc>
          <w:tcPr>
            <w:tcW w:w="1638" w:type="dxa"/>
            <w:tcBorders>
              <w:top w:val="single" w:sz="5" w:space="0" w:color="000000"/>
              <w:left w:val="single" w:sz="5" w:space="0" w:color="000000"/>
              <w:bottom w:val="single" w:sz="5" w:space="0" w:color="000000"/>
              <w:right w:val="single" w:sz="5" w:space="0" w:color="000000"/>
            </w:tcBorders>
            <w:vAlign w:val="center"/>
          </w:tcPr>
          <w:p w14:paraId="1305710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4.6%</w:t>
            </w:r>
          </w:p>
        </w:tc>
      </w:tr>
      <w:tr w:rsidR="000460CB" w:rsidRPr="00AC2BA5" w14:paraId="6003F9B3"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305253D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42</w:t>
            </w:r>
          </w:p>
        </w:tc>
        <w:tc>
          <w:tcPr>
            <w:tcW w:w="1637" w:type="dxa"/>
            <w:tcBorders>
              <w:top w:val="single" w:sz="5" w:space="0" w:color="000000"/>
              <w:left w:val="single" w:sz="5" w:space="0" w:color="000000"/>
              <w:bottom w:val="single" w:sz="5" w:space="0" w:color="000000"/>
              <w:right w:val="single" w:sz="5" w:space="0" w:color="000000"/>
            </w:tcBorders>
            <w:vAlign w:val="center"/>
          </w:tcPr>
          <w:p w14:paraId="6166EEE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119.7</w:t>
            </w:r>
          </w:p>
        </w:tc>
        <w:tc>
          <w:tcPr>
            <w:tcW w:w="1545" w:type="dxa"/>
            <w:tcBorders>
              <w:top w:val="single" w:sz="5" w:space="0" w:color="000000"/>
              <w:left w:val="single" w:sz="5" w:space="0" w:color="000000"/>
              <w:bottom w:val="single" w:sz="5" w:space="0" w:color="000000"/>
              <w:right w:val="single" w:sz="5" w:space="0" w:color="000000"/>
            </w:tcBorders>
            <w:vAlign w:val="center"/>
          </w:tcPr>
          <w:p w14:paraId="44E86D5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23B840E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124.6</w:t>
            </w:r>
          </w:p>
        </w:tc>
        <w:tc>
          <w:tcPr>
            <w:tcW w:w="1638" w:type="dxa"/>
            <w:tcBorders>
              <w:top w:val="single" w:sz="5" w:space="0" w:color="000000"/>
              <w:left w:val="single" w:sz="5" w:space="0" w:color="000000"/>
              <w:bottom w:val="single" w:sz="5" w:space="0" w:color="000000"/>
              <w:right w:val="single" w:sz="5" w:space="0" w:color="000000"/>
            </w:tcBorders>
            <w:vAlign w:val="center"/>
          </w:tcPr>
          <w:p w14:paraId="6E9EDFF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b/>
                <w:bCs/>
                <w:snapToGrid w:val="0"/>
                <w:sz w:val="21"/>
                <w:szCs w:val="21"/>
              </w:rPr>
              <w:t>4.1%</w:t>
            </w:r>
          </w:p>
        </w:tc>
      </w:tr>
      <w:tr w:rsidR="000460CB" w:rsidRPr="00AC2BA5" w14:paraId="053886D4"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138F2D8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50</w:t>
            </w:r>
          </w:p>
        </w:tc>
        <w:tc>
          <w:tcPr>
            <w:tcW w:w="1637" w:type="dxa"/>
            <w:tcBorders>
              <w:top w:val="single" w:sz="5" w:space="0" w:color="000000"/>
              <w:left w:val="single" w:sz="5" w:space="0" w:color="000000"/>
              <w:bottom w:val="single" w:sz="5" w:space="0" w:color="000000"/>
              <w:right w:val="single" w:sz="5" w:space="0" w:color="000000"/>
            </w:tcBorders>
            <w:vAlign w:val="center"/>
          </w:tcPr>
          <w:p w14:paraId="76D37F2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121.3</w:t>
            </w:r>
          </w:p>
        </w:tc>
        <w:tc>
          <w:tcPr>
            <w:tcW w:w="1545" w:type="dxa"/>
            <w:tcBorders>
              <w:top w:val="single" w:sz="5" w:space="0" w:color="000000"/>
              <w:left w:val="single" w:sz="5" w:space="0" w:color="000000"/>
              <w:bottom w:val="single" w:sz="5" w:space="0" w:color="000000"/>
              <w:right w:val="single" w:sz="5" w:space="0" w:color="000000"/>
            </w:tcBorders>
            <w:vAlign w:val="center"/>
          </w:tcPr>
          <w:p w14:paraId="2AC1912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5EE934A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125.4</w:t>
            </w:r>
          </w:p>
        </w:tc>
        <w:tc>
          <w:tcPr>
            <w:tcW w:w="1638" w:type="dxa"/>
            <w:tcBorders>
              <w:top w:val="single" w:sz="5" w:space="0" w:color="000000"/>
              <w:left w:val="single" w:sz="5" w:space="0" w:color="000000"/>
              <w:bottom w:val="single" w:sz="5" w:space="0" w:color="000000"/>
              <w:right w:val="single" w:sz="5" w:space="0" w:color="000000"/>
            </w:tcBorders>
            <w:vAlign w:val="center"/>
          </w:tcPr>
          <w:p w14:paraId="3395646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3.4%</w:t>
            </w:r>
          </w:p>
        </w:tc>
      </w:tr>
      <w:tr w:rsidR="000460CB" w:rsidRPr="00AC2BA5" w14:paraId="304DC5BB"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64991F3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55</w:t>
            </w:r>
          </w:p>
        </w:tc>
        <w:tc>
          <w:tcPr>
            <w:tcW w:w="1637" w:type="dxa"/>
            <w:tcBorders>
              <w:top w:val="single" w:sz="5" w:space="0" w:color="000000"/>
              <w:left w:val="single" w:sz="5" w:space="0" w:color="000000"/>
              <w:bottom w:val="single" w:sz="5" w:space="0" w:color="000000"/>
              <w:right w:val="single" w:sz="5" w:space="0" w:color="000000"/>
            </w:tcBorders>
            <w:vAlign w:val="center"/>
          </w:tcPr>
          <w:p w14:paraId="614FADF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120.8</w:t>
            </w:r>
          </w:p>
        </w:tc>
        <w:tc>
          <w:tcPr>
            <w:tcW w:w="1545" w:type="dxa"/>
            <w:tcBorders>
              <w:top w:val="single" w:sz="5" w:space="0" w:color="000000"/>
              <w:left w:val="single" w:sz="5" w:space="0" w:color="000000"/>
              <w:bottom w:val="single" w:sz="5" w:space="0" w:color="000000"/>
              <w:right w:val="single" w:sz="5" w:space="0" w:color="000000"/>
            </w:tcBorders>
            <w:vAlign w:val="center"/>
          </w:tcPr>
          <w:p w14:paraId="48D2AC6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552D086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122.7</w:t>
            </w:r>
          </w:p>
        </w:tc>
        <w:tc>
          <w:tcPr>
            <w:tcW w:w="1638" w:type="dxa"/>
            <w:tcBorders>
              <w:top w:val="single" w:sz="5" w:space="0" w:color="000000"/>
              <w:left w:val="single" w:sz="5" w:space="0" w:color="000000"/>
              <w:bottom w:val="single" w:sz="5" w:space="0" w:color="000000"/>
              <w:right w:val="single" w:sz="5" w:space="0" w:color="000000"/>
            </w:tcBorders>
            <w:vAlign w:val="center"/>
          </w:tcPr>
          <w:p w14:paraId="3BA7D2C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1.6%</w:t>
            </w:r>
          </w:p>
        </w:tc>
      </w:tr>
      <w:tr w:rsidR="000460CB" w:rsidRPr="00AC2BA5" w14:paraId="1CB8CDCA"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32A75B9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60</w:t>
            </w:r>
          </w:p>
        </w:tc>
        <w:tc>
          <w:tcPr>
            <w:tcW w:w="1637" w:type="dxa"/>
            <w:tcBorders>
              <w:top w:val="single" w:sz="5" w:space="0" w:color="000000"/>
              <w:left w:val="single" w:sz="5" w:space="0" w:color="000000"/>
              <w:bottom w:val="single" w:sz="5" w:space="0" w:color="000000"/>
              <w:right w:val="single" w:sz="5" w:space="0" w:color="000000"/>
            </w:tcBorders>
            <w:vAlign w:val="center"/>
          </w:tcPr>
          <w:p w14:paraId="5970B23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120.1</w:t>
            </w:r>
          </w:p>
        </w:tc>
        <w:tc>
          <w:tcPr>
            <w:tcW w:w="1545" w:type="dxa"/>
            <w:tcBorders>
              <w:top w:val="single" w:sz="5" w:space="0" w:color="000000"/>
              <w:left w:val="single" w:sz="5" w:space="0" w:color="000000"/>
              <w:bottom w:val="single" w:sz="5" w:space="0" w:color="000000"/>
              <w:right w:val="single" w:sz="5" w:space="0" w:color="000000"/>
            </w:tcBorders>
            <w:vAlign w:val="center"/>
          </w:tcPr>
          <w:p w14:paraId="5371374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3962761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119.5</w:t>
            </w:r>
          </w:p>
        </w:tc>
        <w:tc>
          <w:tcPr>
            <w:tcW w:w="1638" w:type="dxa"/>
            <w:tcBorders>
              <w:top w:val="single" w:sz="5" w:space="0" w:color="000000"/>
              <w:left w:val="single" w:sz="5" w:space="0" w:color="000000"/>
              <w:bottom w:val="single" w:sz="5" w:space="0" w:color="000000"/>
              <w:right w:val="single" w:sz="5" w:space="0" w:color="000000"/>
            </w:tcBorders>
            <w:vAlign w:val="center"/>
          </w:tcPr>
          <w:p w14:paraId="1158F4E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-0.5%</w:t>
            </w:r>
          </w:p>
        </w:tc>
      </w:tr>
      <w:tr w:rsidR="000460CB" w:rsidRPr="00AC2BA5" w14:paraId="70091D62"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78BB7FD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65</w:t>
            </w:r>
          </w:p>
        </w:tc>
        <w:tc>
          <w:tcPr>
            <w:tcW w:w="1637" w:type="dxa"/>
            <w:tcBorders>
              <w:top w:val="single" w:sz="5" w:space="0" w:color="000000"/>
              <w:left w:val="single" w:sz="5" w:space="0" w:color="000000"/>
              <w:bottom w:val="single" w:sz="5" w:space="0" w:color="000000"/>
              <w:right w:val="single" w:sz="5" w:space="0" w:color="000000"/>
            </w:tcBorders>
            <w:vAlign w:val="center"/>
          </w:tcPr>
          <w:p w14:paraId="4C255E6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118.1</w:t>
            </w:r>
          </w:p>
        </w:tc>
        <w:tc>
          <w:tcPr>
            <w:tcW w:w="1545" w:type="dxa"/>
            <w:tcBorders>
              <w:top w:val="single" w:sz="5" w:space="0" w:color="000000"/>
              <w:left w:val="single" w:sz="5" w:space="0" w:color="000000"/>
              <w:bottom w:val="single" w:sz="5" w:space="0" w:color="000000"/>
              <w:right w:val="single" w:sz="5" w:space="0" w:color="000000"/>
            </w:tcBorders>
            <w:vAlign w:val="center"/>
          </w:tcPr>
          <w:p w14:paraId="50A3B83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33DFCAB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116.0</w:t>
            </w:r>
          </w:p>
        </w:tc>
        <w:tc>
          <w:tcPr>
            <w:tcW w:w="1638" w:type="dxa"/>
            <w:tcBorders>
              <w:top w:val="single" w:sz="5" w:space="0" w:color="000000"/>
              <w:left w:val="single" w:sz="5" w:space="0" w:color="000000"/>
              <w:bottom w:val="single" w:sz="5" w:space="0" w:color="000000"/>
              <w:right w:val="single" w:sz="5" w:space="0" w:color="000000"/>
            </w:tcBorders>
            <w:vAlign w:val="center"/>
          </w:tcPr>
          <w:p w14:paraId="2B6F833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-1.8%</w:t>
            </w:r>
          </w:p>
        </w:tc>
      </w:tr>
      <w:tr w:rsidR="000460CB" w:rsidRPr="00AC2BA5" w14:paraId="7835A651" w14:textId="77777777" w:rsidTr="000102EB">
        <w:trPr>
          <w:jc w:val="right"/>
        </w:trPr>
        <w:tc>
          <w:tcPr>
            <w:tcW w:w="1637" w:type="dxa"/>
            <w:tcBorders>
              <w:top w:val="single" w:sz="5" w:space="0" w:color="000000"/>
              <w:left w:val="single" w:sz="5" w:space="0" w:color="000000"/>
              <w:bottom w:val="single" w:sz="5" w:space="0" w:color="000000"/>
              <w:right w:val="single" w:sz="5" w:space="0" w:color="000000"/>
            </w:tcBorders>
            <w:vAlign w:val="center"/>
          </w:tcPr>
          <w:p w14:paraId="28B91AF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70</w:t>
            </w:r>
          </w:p>
        </w:tc>
        <w:tc>
          <w:tcPr>
            <w:tcW w:w="1637" w:type="dxa"/>
            <w:tcBorders>
              <w:top w:val="single" w:sz="5" w:space="0" w:color="000000"/>
              <w:left w:val="single" w:sz="5" w:space="0" w:color="000000"/>
              <w:bottom w:val="single" w:sz="5" w:space="0" w:color="000000"/>
              <w:right w:val="single" w:sz="5" w:space="0" w:color="000000"/>
            </w:tcBorders>
            <w:vAlign w:val="center"/>
          </w:tcPr>
          <w:p w14:paraId="604CFC0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117.5</w:t>
            </w:r>
          </w:p>
        </w:tc>
        <w:tc>
          <w:tcPr>
            <w:tcW w:w="1545" w:type="dxa"/>
            <w:tcBorders>
              <w:top w:val="single" w:sz="5" w:space="0" w:color="000000"/>
              <w:left w:val="single" w:sz="5" w:space="0" w:color="000000"/>
              <w:bottom w:val="single" w:sz="5" w:space="0" w:color="000000"/>
              <w:right w:val="single" w:sz="5" w:space="0" w:color="000000"/>
            </w:tcBorders>
            <w:vAlign w:val="center"/>
          </w:tcPr>
          <w:p w14:paraId="046E7C0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729" w:type="dxa"/>
            <w:tcBorders>
              <w:top w:val="single" w:sz="5" w:space="0" w:color="000000"/>
              <w:left w:val="single" w:sz="5" w:space="0" w:color="000000"/>
              <w:bottom w:val="single" w:sz="5" w:space="0" w:color="000000"/>
              <w:right w:val="single" w:sz="5" w:space="0" w:color="000000"/>
            </w:tcBorders>
            <w:vAlign w:val="center"/>
          </w:tcPr>
          <w:p w14:paraId="1D9800D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115.6</w:t>
            </w:r>
          </w:p>
        </w:tc>
        <w:tc>
          <w:tcPr>
            <w:tcW w:w="1638" w:type="dxa"/>
            <w:tcBorders>
              <w:top w:val="single" w:sz="5" w:space="0" w:color="000000"/>
              <w:left w:val="single" w:sz="5" w:space="0" w:color="000000"/>
              <w:bottom w:val="single" w:sz="5" w:space="0" w:color="000000"/>
              <w:right w:val="single" w:sz="5" w:space="0" w:color="000000"/>
            </w:tcBorders>
            <w:vAlign w:val="center"/>
          </w:tcPr>
          <w:p w14:paraId="6B640C3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-1.6%</w:t>
            </w:r>
          </w:p>
        </w:tc>
      </w:tr>
    </w:tbl>
    <w:p w14:paraId="3D3A79DF" w14:textId="77777777" w:rsidR="00653571" w:rsidRPr="00AC2BA5" w:rsidRDefault="00653571"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p w14:paraId="07623103" w14:textId="77777777" w:rsidR="000460CB" w:rsidRPr="00AC2BA5" w:rsidRDefault="000102EB" w:rsidP="000102EB">
      <w:pPr>
        <w:tabs>
          <w:tab w:val="left" w:pos="820"/>
        </w:tabs>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Times New Roman"/>
          <w:i/>
          <w:sz w:val="24"/>
          <w:lang w:eastAsia="zh-CN"/>
        </w:rPr>
        <w:lastRenderedPageBreak/>
        <w:t>（</w:t>
      </w:r>
      <w:r w:rsidRPr="00AC2BA5">
        <w:rPr>
          <w:rFonts w:ascii="Times New Roman" w:eastAsia="宋体" w:hAnsi="Times New Roman" w:cs="Times New Roman" w:hint="eastAsia"/>
          <w:i/>
          <w:sz w:val="24"/>
          <w:lang w:eastAsia="zh-CN"/>
        </w:rPr>
        <w:t>2</w:t>
      </w:r>
      <w:r w:rsidRPr="00AC2BA5">
        <w:rPr>
          <w:rFonts w:ascii="Times New Roman" w:eastAsia="宋体" w:hAnsi="Times New Roman" w:cs="Times New Roman"/>
          <w:i/>
          <w:sz w:val="24"/>
          <w:lang w:eastAsia="zh-CN"/>
        </w:rPr>
        <w:t>）</w:t>
      </w:r>
      <w:r w:rsidR="0050117E" w:rsidRPr="00AC2BA5">
        <w:rPr>
          <w:rFonts w:ascii="Times New Roman" w:eastAsia="宋体" w:hAnsi="Times New Roman" w:cs="宋体"/>
          <w:i/>
          <w:sz w:val="24"/>
          <w:lang w:eastAsia="zh-CN"/>
        </w:rPr>
        <w:t>血细胞比容引起的偏差的估计</w:t>
      </w:r>
    </w:p>
    <w:p w14:paraId="5CFF0120" w14:textId="7E2365C6" w:rsidR="0050117E" w:rsidRPr="00AC2BA5" w:rsidRDefault="00B8550C" w:rsidP="000102EB">
      <w:pPr>
        <w:adjustRightInd w:val="0"/>
        <w:snapToGrid w:val="0"/>
        <w:spacing w:beforeLines="50" w:before="120" w:line="300" w:lineRule="auto"/>
        <w:ind w:leftChars="451" w:left="992"/>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为了分离血细胞比容对器械性能的影响，应测定相对于具有</w:t>
      </w:r>
      <w:r w:rsidR="001543C2">
        <w:rPr>
          <w:rFonts w:ascii="Times New Roman" w:eastAsia="宋体" w:hAnsi="Times New Roman" w:cs="宋体"/>
          <w:sz w:val="24"/>
          <w:lang w:eastAsia="zh-CN"/>
        </w:rPr>
        <w:t>正常</w:t>
      </w:r>
      <w:r w:rsidRPr="00AC2BA5">
        <w:rPr>
          <w:rFonts w:ascii="Times New Roman" w:eastAsia="宋体" w:hAnsi="Times New Roman" w:cs="宋体"/>
          <w:sz w:val="24"/>
          <w:lang w:eastAsia="zh-CN"/>
        </w:rPr>
        <w:t>血细胞比容（</w:t>
      </w:r>
      <w:r w:rsidRPr="00AC2BA5">
        <w:rPr>
          <w:rFonts w:ascii="Times New Roman" w:eastAsia="宋体" w:hAnsi="Times New Roman" w:cs="宋体"/>
          <w:sz w:val="24"/>
          <w:lang w:eastAsia="zh-CN"/>
        </w:rPr>
        <w:t>42%</w:t>
      </w:r>
      <w:r w:rsidRPr="00AC2BA5">
        <w:rPr>
          <w:rFonts w:ascii="Times New Roman" w:eastAsia="宋体" w:hAnsi="Times New Roman" w:cs="宋体"/>
          <w:sz w:val="24"/>
          <w:lang w:eastAsia="zh-CN"/>
        </w:rPr>
        <w:t>）的样本的偏差。</w:t>
      </w:r>
      <w:proofErr w:type="gramStart"/>
      <w:r w:rsidRPr="00AC2BA5">
        <w:rPr>
          <w:rFonts w:ascii="Times New Roman" w:eastAsia="宋体" w:hAnsi="Times New Roman" w:cs="宋体"/>
          <w:sz w:val="24"/>
          <w:lang w:eastAsia="zh-CN"/>
        </w:rPr>
        <w:t>该</w:t>
      </w:r>
      <w:r w:rsidR="001543C2">
        <w:rPr>
          <w:rFonts w:ascii="Times New Roman" w:eastAsia="宋体" w:hAnsi="Times New Roman" w:cs="宋体"/>
          <w:sz w:val="24"/>
          <w:lang w:eastAsia="zh-CN"/>
        </w:rPr>
        <w:t>正常</w:t>
      </w:r>
      <w:proofErr w:type="gramEnd"/>
      <w:r w:rsidRPr="00AC2BA5">
        <w:rPr>
          <w:rFonts w:ascii="Times New Roman" w:eastAsia="宋体" w:hAnsi="Times New Roman" w:cs="宋体"/>
          <w:sz w:val="24"/>
          <w:lang w:eastAsia="zh-CN"/>
        </w:rPr>
        <w:t>血细胞比容代表预期使用人群的平均血细胞比容值；因此，对于血细胞比容值平均血细胞比容值（</w:t>
      </w:r>
      <w:r w:rsidRPr="00AC2BA5">
        <w:rPr>
          <w:rFonts w:ascii="Times New Roman" w:eastAsia="宋体" w:hAnsi="Times New Roman" w:cs="宋体"/>
          <w:sz w:val="24"/>
          <w:lang w:eastAsia="zh-CN"/>
        </w:rPr>
        <w:t>42%</w:t>
      </w:r>
      <w:r w:rsidRPr="00AC2BA5">
        <w:rPr>
          <w:rFonts w:ascii="Times New Roman" w:eastAsia="宋体" w:hAnsi="Times New Roman" w:cs="宋体"/>
          <w:sz w:val="24"/>
          <w:lang w:eastAsia="zh-CN"/>
        </w:rPr>
        <w:t>）的样本，将血细胞比容引起的偏差视为</w:t>
      </w:r>
      <w:r w:rsidRPr="00AC2BA5">
        <w:rPr>
          <w:rFonts w:ascii="Times New Roman" w:eastAsia="宋体" w:hAnsi="Times New Roman" w:cs="宋体"/>
          <w:sz w:val="24"/>
          <w:lang w:eastAsia="zh-CN"/>
        </w:rPr>
        <w:t>0%</w:t>
      </w:r>
      <w:r w:rsidRPr="00AC2BA5">
        <w:rPr>
          <w:rFonts w:ascii="Times New Roman" w:eastAsia="宋体" w:hAnsi="Times New Roman" w:cs="宋体"/>
          <w:sz w:val="24"/>
          <w:lang w:eastAsia="zh-CN"/>
        </w:rPr>
        <w:t>（或</w:t>
      </w:r>
      <w:r w:rsidRPr="00AC2BA5">
        <w:rPr>
          <w:rFonts w:ascii="Times New Roman" w:eastAsia="宋体" w:hAnsi="Times New Roman" w:cs="宋体"/>
          <w:sz w:val="24"/>
          <w:lang w:eastAsia="zh-CN"/>
        </w:rPr>
        <w:t>0 mg/dL</w:t>
      </w:r>
      <w:r w:rsidRPr="00AC2BA5">
        <w:rPr>
          <w:rFonts w:ascii="Times New Roman" w:eastAsia="宋体" w:hAnsi="Times New Roman" w:cs="宋体"/>
          <w:sz w:val="24"/>
          <w:lang w:eastAsia="zh-CN"/>
        </w:rPr>
        <w:t>）。用每个样本的偏差减去平均血细胞比容（</w:t>
      </w:r>
      <w:r w:rsidRPr="00AC2BA5">
        <w:rPr>
          <w:rFonts w:ascii="Times New Roman" w:eastAsia="宋体" w:hAnsi="Times New Roman" w:cs="宋体"/>
          <w:sz w:val="24"/>
          <w:lang w:eastAsia="zh-CN"/>
        </w:rPr>
        <w:t>42%</w:t>
      </w:r>
      <w:r w:rsidRPr="00AC2BA5">
        <w:rPr>
          <w:rFonts w:ascii="Times New Roman" w:eastAsia="宋体" w:hAnsi="Times New Roman" w:cs="宋体"/>
          <w:sz w:val="24"/>
          <w:lang w:eastAsia="zh-CN"/>
        </w:rPr>
        <w:t>）引起的偏差，得出血细胞比容引起的估计偏差。</w:t>
      </w:r>
    </w:p>
    <w:p w14:paraId="3DDB1BF1" w14:textId="2F044D2C" w:rsidR="000460CB" w:rsidRPr="00AC2BA5" w:rsidRDefault="00B8550C" w:rsidP="000102EB">
      <w:pPr>
        <w:pStyle w:val="3"/>
        <w:adjustRightInd w:val="0"/>
        <w:snapToGrid w:val="0"/>
        <w:spacing w:beforeLines="50" w:before="120" w:line="300" w:lineRule="auto"/>
        <w:ind w:leftChars="193" w:left="425" w:firstLine="0"/>
        <w:jc w:val="both"/>
        <w:rPr>
          <w:rFonts w:eastAsia="宋体" w:cs="Times New Roman"/>
          <w:b w:val="0"/>
          <w:bCs w:val="0"/>
          <w:snapToGrid w:val="0"/>
          <w:lang w:eastAsia="zh-CN"/>
        </w:rPr>
      </w:pPr>
      <w:r w:rsidRPr="00AC2BA5">
        <w:rPr>
          <w:rFonts w:eastAsia="宋体" w:cs="宋体"/>
          <w:lang w:eastAsia="zh-CN"/>
        </w:rPr>
        <w:t>表</w:t>
      </w:r>
      <w:r w:rsidRPr="00AC2BA5">
        <w:rPr>
          <w:rFonts w:eastAsia="宋体" w:cs="宋体"/>
          <w:lang w:eastAsia="zh-CN"/>
        </w:rPr>
        <w:t>6.</w:t>
      </w:r>
      <w:r w:rsidRPr="00AC2BA5">
        <w:rPr>
          <w:rFonts w:eastAsia="宋体" w:cs="宋体"/>
          <w:lang w:eastAsia="zh-CN"/>
        </w:rPr>
        <w:t>对于</w:t>
      </w:r>
      <w:r w:rsidRPr="00AC2BA5">
        <w:rPr>
          <w:rFonts w:eastAsia="宋体" w:cs="宋体"/>
          <w:lang w:eastAsia="zh-CN"/>
        </w:rPr>
        <w:t>42%</w:t>
      </w:r>
      <w:r w:rsidRPr="00AC2BA5">
        <w:rPr>
          <w:rFonts w:eastAsia="宋体" w:cs="宋体"/>
          <w:lang w:eastAsia="zh-CN"/>
        </w:rPr>
        <w:t>的</w:t>
      </w:r>
      <w:r w:rsidR="001543C2">
        <w:rPr>
          <w:rFonts w:eastAsia="宋体" w:cs="宋体"/>
          <w:lang w:eastAsia="zh-CN"/>
        </w:rPr>
        <w:t>正常</w:t>
      </w:r>
      <w:r w:rsidRPr="00AC2BA5">
        <w:rPr>
          <w:rFonts w:eastAsia="宋体" w:cs="宋体"/>
          <w:lang w:eastAsia="zh-CN"/>
        </w:rPr>
        <w:t>血细胞比容值，血细胞比容引起的</w:t>
      </w:r>
      <w:r w:rsidRPr="00AC2BA5">
        <w:rPr>
          <w:rFonts w:eastAsia="宋体" w:cs="宋体"/>
          <w:lang w:eastAsia="zh-CN"/>
        </w:rPr>
        <w:t>SMBG</w:t>
      </w:r>
      <w:r w:rsidRPr="00AC2BA5">
        <w:rPr>
          <w:rFonts w:eastAsia="宋体" w:cs="宋体"/>
          <w:lang w:eastAsia="zh-CN"/>
        </w:rPr>
        <w:t>测量值偏差（血糖浓度为</w:t>
      </w:r>
      <w:r w:rsidRPr="00AC2BA5">
        <w:rPr>
          <w:rFonts w:eastAsia="宋体" w:cs="宋体"/>
          <w:lang w:eastAsia="zh-CN"/>
        </w:rPr>
        <w:t>120 mg/dL</w:t>
      </w:r>
      <w:r w:rsidRPr="00AC2BA5">
        <w:rPr>
          <w:rFonts w:eastAsia="宋体" w:cs="宋体"/>
          <w:lang w:eastAsia="zh-CN"/>
        </w:rPr>
        <w:t>）的示例表：</w:t>
      </w:r>
    </w:p>
    <w:tbl>
      <w:tblPr>
        <w:tblStyle w:val="TableNormal"/>
        <w:tblW w:w="0" w:type="auto"/>
        <w:jc w:val="right"/>
        <w:tblLayout w:type="fixed"/>
        <w:tblCellMar>
          <w:left w:w="108" w:type="dxa"/>
          <w:right w:w="108" w:type="dxa"/>
        </w:tblCellMar>
        <w:tblLook w:val="01E0" w:firstRow="1" w:lastRow="1" w:firstColumn="1" w:lastColumn="1" w:noHBand="0" w:noVBand="0"/>
      </w:tblPr>
      <w:tblGrid>
        <w:gridCol w:w="1256"/>
        <w:gridCol w:w="1642"/>
        <w:gridCol w:w="1134"/>
        <w:gridCol w:w="1842"/>
        <w:gridCol w:w="1560"/>
        <w:gridCol w:w="1382"/>
      </w:tblGrid>
      <w:tr w:rsidR="000460CB" w:rsidRPr="00AC2BA5" w14:paraId="3E9C0387" w14:textId="77777777" w:rsidTr="00AC2BA5">
        <w:trPr>
          <w:jc w:val="right"/>
        </w:trPr>
        <w:tc>
          <w:tcPr>
            <w:tcW w:w="1256" w:type="dxa"/>
            <w:tcBorders>
              <w:top w:val="single" w:sz="10" w:space="0" w:color="000000"/>
              <w:left w:val="single" w:sz="5" w:space="0" w:color="000000"/>
              <w:bottom w:val="single" w:sz="5" w:space="0" w:color="000000"/>
              <w:right w:val="single" w:sz="5" w:space="0" w:color="000000"/>
            </w:tcBorders>
            <w:vAlign w:val="center"/>
          </w:tcPr>
          <w:p w14:paraId="19CBB4E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血细胞比容</w:t>
            </w:r>
            <w:proofErr w:type="spellEnd"/>
            <w:r w:rsidRPr="00AC2BA5">
              <w:rPr>
                <w:rFonts w:ascii="Times New Roman" w:eastAsia="宋体" w:hAnsi="Times New Roman" w:cs="宋体"/>
                <w:sz w:val="21"/>
              </w:rPr>
              <w:t>（</w:t>
            </w:r>
            <w:r w:rsidRPr="00AC2BA5">
              <w:rPr>
                <w:rFonts w:ascii="Times New Roman" w:eastAsia="宋体" w:hAnsi="Times New Roman" w:cs="宋体"/>
                <w:sz w:val="21"/>
              </w:rPr>
              <w:t>%</w:t>
            </w:r>
            <w:r w:rsidRPr="00AC2BA5">
              <w:rPr>
                <w:rFonts w:ascii="Times New Roman" w:eastAsia="宋体" w:hAnsi="Times New Roman" w:cs="宋体"/>
                <w:sz w:val="21"/>
              </w:rPr>
              <w:t>）</w:t>
            </w:r>
          </w:p>
        </w:tc>
        <w:tc>
          <w:tcPr>
            <w:tcW w:w="1642" w:type="dxa"/>
            <w:tcBorders>
              <w:top w:val="single" w:sz="10" w:space="0" w:color="000000"/>
              <w:left w:val="single" w:sz="5" w:space="0" w:color="000000"/>
              <w:bottom w:val="single" w:sz="5" w:space="0" w:color="000000"/>
              <w:right w:val="single" w:sz="5" w:space="0" w:color="000000"/>
            </w:tcBorders>
            <w:vAlign w:val="center"/>
          </w:tcPr>
          <w:p w14:paraId="36E8FA2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对照方法测量值的平均值（</w:t>
            </w:r>
            <w:r w:rsidRPr="00AC2BA5">
              <w:rPr>
                <w:rFonts w:ascii="Times New Roman" w:eastAsia="宋体" w:hAnsi="Times New Roman" w:cs="宋体"/>
                <w:sz w:val="21"/>
              </w:rPr>
              <w:t>MeanComp</w:t>
            </w:r>
            <w:proofErr w:type="spellEnd"/>
            <w:r w:rsidRPr="00AC2BA5">
              <w:rPr>
                <w:rFonts w:ascii="Times New Roman" w:eastAsia="宋体" w:hAnsi="Times New Roman" w:cs="宋体"/>
                <w:sz w:val="21"/>
              </w:rPr>
              <w:t>）</w:t>
            </w:r>
          </w:p>
        </w:tc>
        <w:tc>
          <w:tcPr>
            <w:tcW w:w="1134" w:type="dxa"/>
            <w:tcBorders>
              <w:top w:val="single" w:sz="10" w:space="0" w:color="000000"/>
              <w:left w:val="single" w:sz="5" w:space="0" w:color="000000"/>
              <w:bottom w:val="single" w:sz="5" w:space="0" w:color="000000"/>
              <w:right w:val="single" w:sz="5" w:space="0" w:color="000000"/>
            </w:tcBorders>
            <w:vAlign w:val="center"/>
          </w:tcPr>
          <w:p w14:paraId="22D0C4D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SMBG</w:t>
            </w:r>
            <w:r w:rsidRPr="00AC2BA5">
              <w:rPr>
                <w:rFonts w:ascii="Times New Roman" w:eastAsia="宋体" w:hAnsi="Times New Roman" w:cs="宋体"/>
                <w:sz w:val="21"/>
              </w:rPr>
              <w:t>的测量次数</w:t>
            </w:r>
            <w:proofErr w:type="spellEnd"/>
          </w:p>
        </w:tc>
        <w:tc>
          <w:tcPr>
            <w:tcW w:w="1842" w:type="dxa"/>
            <w:tcBorders>
              <w:top w:val="single" w:sz="10" w:space="0" w:color="000000"/>
              <w:left w:val="single" w:sz="5" w:space="0" w:color="000000"/>
              <w:bottom w:val="single" w:sz="5" w:space="0" w:color="000000"/>
              <w:right w:val="single" w:sz="5" w:space="0" w:color="000000"/>
            </w:tcBorders>
            <w:vAlign w:val="center"/>
          </w:tcPr>
          <w:p w14:paraId="3E1D3C4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SMBG</w:t>
            </w:r>
            <w:r w:rsidRPr="00AC2BA5">
              <w:rPr>
                <w:rFonts w:ascii="Times New Roman" w:eastAsia="宋体" w:hAnsi="Times New Roman" w:cs="宋体"/>
                <w:sz w:val="21"/>
              </w:rPr>
              <w:t>测量值的平均值（</w:t>
            </w:r>
            <w:r w:rsidRPr="00AC2BA5">
              <w:rPr>
                <w:rFonts w:ascii="Times New Roman" w:eastAsia="宋体" w:hAnsi="Times New Roman" w:cs="宋体"/>
                <w:sz w:val="21"/>
              </w:rPr>
              <w:t>MeanSMBG</w:t>
            </w:r>
            <w:proofErr w:type="spellEnd"/>
            <w:r w:rsidRPr="00AC2BA5">
              <w:rPr>
                <w:rFonts w:ascii="Times New Roman" w:eastAsia="宋体" w:hAnsi="Times New Roman" w:cs="宋体"/>
                <w:sz w:val="21"/>
              </w:rPr>
              <w:t>）</w:t>
            </w:r>
          </w:p>
        </w:tc>
        <w:tc>
          <w:tcPr>
            <w:tcW w:w="1560" w:type="dxa"/>
            <w:tcBorders>
              <w:top w:val="single" w:sz="10" w:space="0" w:color="000000"/>
              <w:left w:val="single" w:sz="5" w:space="0" w:color="000000"/>
              <w:bottom w:val="single" w:sz="5" w:space="0" w:color="000000"/>
              <w:right w:val="single" w:sz="5" w:space="0" w:color="000000"/>
            </w:tcBorders>
            <w:vAlign w:val="center"/>
          </w:tcPr>
          <w:p w14:paraId="029F7D5E" w14:textId="77777777" w:rsidR="000460CB" w:rsidRPr="00AC2BA5" w:rsidRDefault="00B8550C" w:rsidP="000102EB">
            <w:pPr>
              <w:pStyle w:val="TableParagraph"/>
              <w:adjustRightInd w:val="0"/>
              <w:snapToGrid w:val="0"/>
              <w:spacing w:beforeLines="15" w:before="36" w:line="276" w:lineRule="auto"/>
              <w:jc w:val="center"/>
              <w:rPr>
                <w:rFonts w:ascii="Times New Roman" w:eastAsia="宋体" w:hAnsi="Times New Roman" w:cs="Times New Roman"/>
                <w:snapToGrid w:val="0"/>
                <w:sz w:val="21"/>
                <w:szCs w:val="21"/>
              </w:rPr>
            </w:pPr>
            <w:proofErr w:type="spellStart"/>
            <w:r w:rsidRPr="00AC2BA5">
              <w:rPr>
                <w:rFonts w:ascii="Times New Roman" w:eastAsia="宋体" w:hAnsi="Times New Roman" w:cs="宋体"/>
                <w:sz w:val="21"/>
              </w:rPr>
              <w:t>偏差</w:t>
            </w:r>
            <w:proofErr w:type="spellEnd"/>
            <w:r w:rsidRPr="00AC2BA5">
              <w:rPr>
                <w:rFonts w:ascii="Times New Roman" w:eastAsia="宋体" w:hAnsi="Times New Roman" w:cs="宋体"/>
                <w:sz w:val="21"/>
              </w:rPr>
              <w:t>（</w:t>
            </w:r>
            <w:r w:rsidRPr="00AC2BA5">
              <w:rPr>
                <w:rFonts w:ascii="Times New Roman" w:eastAsia="宋体" w:hAnsi="Times New Roman" w:cs="宋体"/>
                <w:sz w:val="21"/>
              </w:rPr>
              <w:t>%</w:t>
            </w:r>
            <w:r w:rsidRPr="00AC2BA5">
              <w:rPr>
                <w:rFonts w:ascii="Times New Roman" w:eastAsia="宋体" w:hAnsi="Times New Roman" w:cs="宋体"/>
                <w:sz w:val="21"/>
              </w:rPr>
              <w:t>）</w:t>
            </w:r>
          </w:p>
          <w:p w14:paraId="3B992A62" w14:textId="495EF8E6" w:rsidR="000460CB" w:rsidRPr="00AC2BA5" w:rsidRDefault="007E6307"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Pr>
                <w:rFonts w:ascii="Times New Roman" w:eastAsia="宋体" w:hAnsi="Times New Roman" w:cs="宋体"/>
                <w:sz w:val="21"/>
              </w:rPr>
              <w:t>（</w:t>
            </w:r>
            <w:proofErr w:type="spellStart"/>
            <w:r w:rsidR="00B8550C" w:rsidRPr="00AC2BA5">
              <w:rPr>
                <w:rFonts w:ascii="Times New Roman" w:eastAsia="宋体" w:hAnsi="Times New Roman" w:cs="宋体"/>
                <w:sz w:val="21"/>
              </w:rPr>
              <w:t>MeanSMBG</w:t>
            </w:r>
            <w:proofErr w:type="spellEnd"/>
            <w:r w:rsidR="00B8550C" w:rsidRPr="00AC2BA5">
              <w:rPr>
                <w:rFonts w:ascii="Times New Roman" w:eastAsia="宋体" w:hAnsi="Times New Roman" w:cs="宋体"/>
                <w:sz w:val="21"/>
              </w:rPr>
              <w:t xml:space="preserve">- </w:t>
            </w:r>
            <w:proofErr w:type="spellStart"/>
            <w:r w:rsidR="00B8550C" w:rsidRPr="00AC2BA5">
              <w:rPr>
                <w:rFonts w:ascii="Times New Roman" w:eastAsia="宋体" w:hAnsi="Times New Roman" w:cs="宋体"/>
                <w:sz w:val="21"/>
              </w:rPr>
              <w:t>MeanComp</w:t>
            </w:r>
            <w:proofErr w:type="spellEnd"/>
            <w:r>
              <w:rPr>
                <w:rFonts w:ascii="Times New Roman" w:eastAsia="宋体" w:hAnsi="Times New Roman" w:cs="宋体"/>
                <w:sz w:val="21"/>
              </w:rPr>
              <w:t>）</w:t>
            </w:r>
            <w:r w:rsidR="00B8550C" w:rsidRPr="00AC2BA5">
              <w:rPr>
                <w:rFonts w:ascii="Times New Roman" w:eastAsia="宋体" w:hAnsi="Times New Roman" w:cs="宋体"/>
                <w:sz w:val="21"/>
              </w:rPr>
              <w:t>/</w:t>
            </w:r>
            <w:proofErr w:type="spellStart"/>
            <w:r w:rsidR="00B8550C" w:rsidRPr="00AC2BA5">
              <w:rPr>
                <w:rFonts w:ascii="Times New Roman" w:eastAsia="宋体" w:hAnsi="Times New Roman" w:cs="宋体"/>
                <w:sz w:val="21"/>
              </w:rPr>
              <w:t>MeanComp</w:t>
            </w:r>
            <w:proofErr w:type="spellEnd"/>
          </w:p>
        </w:tc>
        <w:tc>
          <w:tcPr>
            <w:tcW w:w="1382" w:type="dxa"/>
            <w:tcBorders>
              <w:top w:val="single" w:sz="5" w:space="0" w:color="000000"/>
              <w:left w:val="single" w:sz="5" w:space="0" w:color="000000"/>
              <w:bottom w:val="single" w:sz="5" w:space="0" w:color="000000"/>
              <w:right w:val="single" w:sz="5" w:space="0" w:color="000000"/>
            </w:tcBorders>
            <w:vAlign w:val="center"/>
          </w:tcPr>
          <w:p w14:paraId="7DFBC40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AC2BA5">
              <w:rPr>
                <w:rFonts w:ascii="Times New Roman" w:eastAsia="宋体" w:hAnsi="Times New Roman" w:cs="宋体"/>
                <w:sz w:val="21"/>
                <w:lang w:eastAsia="zh-CN"/>
              </w:rPr>
              <w:t>血细胞比容引起的偏差</w:t>
            </w:r>
            <w:r w:rsidRPr="00AC2BA5">
              <w:rPr>
                <w:rFonts w:ascii="Times New Roman" w:eastAsia="宋体" w:hAnsi="Times New Roman" w:cs="宋体"/>
                <w:sz w:val="21"/>
                <w:lang w:eastAsia="zh-CN"/>
              </w:rPr>
              <w:t>%</w:t>
            </w:r>
          </w:p>
        </w:tc>
      </w:tr>
      <w:tr w:rsidR="000460CB" w:rsidRPr="00AC2BA5" w14:paraId="08E33E76"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02403AD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10</w:t>
            </w:r>
          </w:p>
        </w:tc>
        <w:tc>
          <w:tcPr>
            <w:tcW w:w="1642" w:type="dxa"/>
            <w:tcBorders>
              <w:top w:val="single" w:sz="5" w:space="0" w:color="000000"/>
              <w:left w:val="single" w:sz="5" w:space="0" w:color="000000"/>
              <w:bottom w:val="single" w:sz="5" w:space="0" w:color="000000"/>
              <w:right w:val="single" w:sz="5" w:space="0" w:color="000000"/>
            </w:tcBorders>
            <w:vAlign w:val="center"/>
          </w:tcPr>
          <w:p w14:paraId="751F34E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118.0</w:t>
            </w:r>
          </w:p>
        </w:tc>
        <w:tc>
          <w:tcPr>
            <w:tcW w:w="1134" w:type="dxa"/>
            <w:tcBorders>
              <w:top w:val="single" w:sz="5" w:space="0" w:color="000000"/>
              <w:left w:val="single" w:sz="5" w:space="0" w:color="000000"/>
              <w:bottom w:val="single" w:sz="5" w:space="0" w:color="000000"/>
              <w:right w:val="single" w:sz="5" w:space="0" w:color="000000"/>
            </w:tcBorders>
            <w:vAlign w:val="center"/>
          </w:tcPr>
          <w:p w14:paraId="493D957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5A9B669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127.6</w:t>
            </w:r>
          </w:p>
        </w:tc>
        <w:tc>
          <w:tcPr>
            <w:tcW w:w="1560" w:type="dxa"/>
            <w:tcBorders>
              <w:top w:val="single" w:sz="5" w:space="0" w:color="000000"/>
              <w:left w:val="single" w:sz="5" w:space="0" w:color="000000"/>
              <w:bottom w:val="single" w:sz="5" w:space="0" w:color="000000"/>
              <w:right w:val="single" w:sz="5" w:space="0" w:color="000000"/>
            </w:tcBorders>
            <w:vAlign w:val="center"/>
          </w:tcPr>
          <w:p w14:paraId="16BACA4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8.1%</w:t>
            </w:r>
          </w:p>
        </w:tc>
        <w:tc>
          <w:tcPr>
            <w:tcW w:w="1382" w:type="dxa"/>
            <w:tcBorders>
              <w:top w:val="single" w:sz="5" w:space="0" w:color="000000"/>
              <w:left w:val="single" w:sz="5" w:space="0" w:color="000000"/>
              <w:bottom w:val="single" w:sz="5" w:space="0" w:color="000000"/>
              <w:right w:val="single" w:sz="5" w:space="0" w:color="000000"/>
            </w:tcBorders>
            <w:vAlign w:val="center"/>
          </w:tcPr>
          <w:p w14:paraId="16EFCEF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4.0%</w:t>
            </w:r>
          </w:p>
        </w:tc>
      </w:tr>
      <w:tr w:rsidR="000460CB" w:rsidRPr="00AC2BA5" w14:paraId="3E9F7FC6"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10DFE3D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15</w:t>
            </w:r>
          </w:p>
        </w:tc>
        <w:tc>
          <w:tcPr>
            <w:tcW w:w="1642" w:type="dxa"/>
            <w:tcBorders>
              <w:top w:val="single" w:sz="5" w:space="0" w:color="000000"/>
              <w:left w:val="single" w:sz="5" w:space="0" w:color="000000"/>
              <w:bottom w:val="single" w:sz="5" w:space="0" w:color="000000"/>
              <w:right w:val="single" w:sz="5" w:space="0" w:color="000000"/>
            </w:tcBorders>
            <w:vAlign w:val="center"/>
          </w:tcPr>
          <w:p w14:paraId="7834D16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118.4</w:t>
            </w:r>
          </w:p>
        </w:tc>
        <w:tc>
          <w:tcPr>
            <w:tcW w:w="1134" w:type="dxa"/>
            <w:tcBorders>
              <w:top w:val="single" w:sz="5" w:space="0" w:color="000000"/>
              <w:left w:val="single" w:sz="5" w:space="0" w:color="000000"/>
              <w:bottom w:val="single" w:sz="5" w:space="0" w:color="000000"/>
              <w:right w:val="single" w:sz="5" w:space="0" w:color="000000"/>
            </w:tcBorders>
            <w:vAlign w:val="center"/>
          </w:tcPr>
          <w:p w14:paraId="1D52208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72B6B93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127.6</w:t>
            </w:r>
          </w:p>
        </w:tc>
        <w:tc>
          <w:tcPr>
            <w:tcW w:w="1560" w:type="dxa"/>
            <w:tcBorders>
              <w:top w:val="single" w:sz="5" w:space="0" w:color="000000"/>
              <w:left w:val="single" w:sz="5" w:space="0" w:color="000000"/>
              <w:bottom w:val="single" w:sz="5" w:space="0" w:color="000000"/>
              <w:right w:val="single" w:sz="5" w:space="0" w:color="000000"/>
            </w:tcBorders>
            <w:vAlign w:val="center"/>
          </w:tcPr>
          <w:p w14:paraId="66ECCC4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7.8%</w:t>
            </w:r>
          </w:p>
        </w:tc>
        <w:tc>
          <w:tcPr>
            <w:tcW w:w="1382" w:type="dxa"/>
            <w:tcBorders>
              <w:top w:val="single" w:sz="5" w:space="0" w:color="000000"/>
              <w:left w:val="single" w:sz="5" w:space="0" w:color="000000"/>
              <w:bottom w:val="single" w:sz="5" w:space="0" w:color="000000"/>
              <w:right w:val="single" w:sz="5" w:space="0" w:color="000000"/>
            </w:tcBorders>
            <w:vAlign w:val="center"/>
          </w:tcPr>
          <w:p w14:paraId="256569F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3.7%</w:t>
            </w:r>
          </w:p>
        </w:tc>
      </w:tr>
      <w:tr w:rsidR="000460CB" w:rsidRPr="00AC2BA5" w14:paraId="30647C18"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07F5B49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20</w:t>
            </w:r>
          </w:p>
        </w:tc>
        <w:tc>
          <w:tcPr>
            <w:tcW w:w="1642" w:type="dxa"/>
            <w:tcBorders>
              <w:top w:val="single" w:sz="5" w:space="0" w:color="000000"/>
              <w:left w:val="single" w:sz="5" w:space="0" w:color="000000"/>
              <w:bottom w:val="single" w:sz="5" w:space="0" w:color="000000"/>
              <w:right w:val="single" w:sz="5" w:space="0" w:color="000000"/>
            </w:tcBorders>
            <w:vAlign w:val="center"/>
          </w:tcPr>
          <w:p w14:paraId="781E8AC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122.4</w:t>
            </w:r>
          </w:p>
        </w:tc>
        <w:tc>
          <w:tcPr>
            <w:tcW w:w="1134" w:type="dxa"/>
            <w:tcBorders>
              <w:top w:val="single" w:sz="5" w:space="0" w:color="000000"/>
              <w:left w:val="single" w:sz="5" w:space="0" w:color="000000"/>
              <w:bottom w:val="single" w:sz="5" w:space="0" w:color="000000"/>
              <w:right w:val="single" w:sz="5" w:space="0" w:color="000000"/>
            </w:tcBorders>
            <w:vAlign w:val="center"/>
          </w:tcPr>
          <w:p w14:paraId="46BFDB46"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494BEF8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130.4</w:t>
            </w:r>
          </w:p>
        </w:tc>
        <w:tc>
          <w:tcPr>
            <w:tcW w:w="1560" w:type="dxa"/>
            <w:tcBorders>
              <w:top w:val="single" w:sz="5" w:space="0" w:color="000000"/>
              <w:left w:val="single" w:sz="5" w:space="0" w:color="000000"/>
              <w:bottom w:val="single" w:sz="5" w:space="0" w:color="000000"/>
              <w:right w:val="single" w:sz="5" w:space="0" w:color="000000"/>
            </w:tcBorders>
            <w:vAlign w:val="center"/>
          </w:tcPr>
          <w:p w14:paraId="013226B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6.5%</w:t>
            </w:r>
          </w:p>
        </w:tc>
        <w:tc>
          <w:tcPr>
            <w:tcW w:w="1382" w:type="dxa"/>
            <w:tcBorders>
              <w:top w:val="single" w:sz="5" w:space="0" w:color="000000"/>
              <w:left w:val="single" w:sz="5" w:space="0" w:color="000000"/>
              <w:bottom w:val="single" w:sz="5" w:space="0" w:color="000000"/>
              <w:right w:val="single" w:sz="5" w:space="0" w:color="000000"/>
            </w:tcBorders>
            <w:vAlign w:val="center"/>
          </w:tcPr>
          <w:p w14:paraId="7C03947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2.4%</w:t>
            </w:r>
          </w:p>
        </w:tc>
      </w:tr>
      <w:tr w:rsidR="000460CB" w:rsidRPr="00AC2BA5" w14:paraId="0BAAF0B0"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19F96D5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25</w:t>
            </w:r>
          </w:p>
        </w:tc>
        <w:tc>
          <w:tcPr>
            <w:tcW w:w="1642" w:type="dxa"/>
            <w:tcBorders>
              <w:top w:val="single" w:sz="5" w:space="0" w:color="000000"/>
              <w:left w:val="single" w:sz="5" w:space="0" w:color="000000"/>
              <w:bottom w:val="single" w:sz="5" w:space="0" w:color="000000"/>
              <w:right w:val="single" w:sz="5" w:space="0" w:color="000000"/>
            </w:tcBorders>
            <w:vAlign w:val="center"/>
          </w:tcPr>
          <w:p w14:paraId="10E3E35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120.7</w:t>
            </w:r>
          </w:p>
        </w:tc>
        <w:tc>
          <w:tcPr>
            <w:tcW w:w="1134" w:type="dxa"/>
            <w:tcBorders>
              <w:top w:val="single" w:sz="5" w:space="0" w:color="000000"/>
              <w:left w:val="single" w:sz="5" w:space="0" w:color="000000"/>
              <w:bottom w:val="single" w:sz="5" w:space="0" w:color="000000"/>
              <w:right w:val="single" w:sz="5" w:space="0" w:color="000000"/>
            </w:tcBorders>
            <w:vAlign w:val="center"/>
          </w:tcPr>
          <w:p w14:paraId="11965B4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50395DC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127.1</w:t>
            </w:r>
          </w:p>
        </w:tc>
        <w:tc>
          <w:tcPr>
            <w:tcW w:w="1560" w:type="dxa"/>
            <w:tcBorders>
              <w:top w:val="single" w:sz="5" w:space="0" w:color="000000"/>
              <w:left w:val="single" w:sz="5" w:space="0" w:color="000000"/>
              <w:bottom w:val="single" w:sz="5" w:space="0" w:color="000000"/>
              <w:right w:val="single" w:sz="5" w:space="0" w:color="000000"/>
            </w:tcBorders>
            <w:vAlign w:val="center"/>
          </w:tcPr>
          <w:p w14:paraId="43CEAB9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5.3%</w:t>
            </w:r>
          </w:p>
        </w:tc>
        <w:tc>
          <w:tcPr>
            <w:tcW w:w="1382" w:type="dxa"/>
            <w:tcBorders>
              <w:top w:val="single" w:sz="5" w:space="0" w:color="000000"/>
              <w:left w:val="single" w:sz="5" w:space="0" w:color="000000"/>
              <w:bottom w:val="single" w:sz="5" w:space="0" w:color="000000"/>
              <w:right w:val="single" w:sz="5" w:space="0" w:color="000000"/>
            </w:tcBorders>
            <w:vAlign w:val="center"/>
          </w:tcPr>
          <w:p w14:paraId="6A9906E8"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w:t>
            </w:r>
          </w:p>
        </w:tc>
      </w:tr>
      <w:tr w:rsidR="000460CB" w:rsidRPr="00AC2BA5" w14:paraId="0E9B6930"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37E053D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642" w:type="dxa"/>
            <w:tcBorders>
              <w:top w:val="single" w:sz="5" w:space="0" w:color="000000"/>
              <w:left w:val="single" w:sz="5" w:space="0" w:color="000000"/>
              <w:bottom w:val="single" w:sz="5" w:space="0" w:color="000000"/>
              <w:right w:val="single" w:sz="5" w:space="0" w:color="000000"/>
            </w:tcBorders>
            <w:vAlign w:val="center"/>
          </w:tcPr>
          <w:p w14:paraId="33FC8ED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123.7</w:t>
            </w:r>
          </w:p>
        </w:tc>
        <w:tc>
          <w:tcPr>
            <w:tcW w:w="1134" w:type="dxa"/>
            <w:tcBorders>
              <w:top w:val="single" w:sz="5" w:space="0" w:color="000000"/>
              <w:left w:val="single" w:sz="5" w:space="0" w:color="000000"/>
              <w:bottom w:val="single" w:sz="5" w:space="0" w:color="000000"/>
              <w:right w:val="single" w:sz="5" w:space="0" w:color="000000"/>
            </w:tcBorders>
            <w:vAlign w:val="center"/>
          </w:tcPr>
          <w:p w14:paraId="7B01532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7CDFF913"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129.5</w:t>
            </w:r>
          </w:p>
        </w:tc>
        <w:tc>
          <w:tcPr>
            <w:tcW w:w="1560" w:type="dxa"/>
            <w:tcBorders>
              <w:top w:val="single" w:sz="5" w:space="0" w:color="000000"/>
              <w:left w:val="single" w:sz="5" w:space="0" w:color="000000"/>
              <w:bottom w:val="single" w:sz="5" w:space="0" w:color="000000"/>
              <w:right w:val="single" w:sz="5" w:space="0" w:color="000000"/>
            </w:tcBorders>
            <w:vAlign w:val="center"/>
          </w:tcPr>
          <w:p w14:paraId="37633C1F"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4.7%</w:t>
            </w:r>
          </w:p>
        </w:tc>
        <w:tc>
          <w:tcPr>
            <w:tcW w:w="1382" w:type="dxa"/>
            <w:tcBorders>
              <w:top w:val="single" w:sz="5" w:space="0" w:color="000000"/>
              <w:left w:val="single" w:sz="5" w:space="0" w:color="000000"/>
              <w:bottom w:val="single" w:sz="5" w:space="0" w:color="000000"/>
              <w:right w:val="single" w:sz="5" w:space="0" w:color="000000"/>
            </w:tcBorders>
            <w:vAlign w:val="center"/>
          </w:tcPr>
          <w:p w14:paraId="7506529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0.6%</w:t>
            </w:r>
          </w:p>
        </w:tc>
      </w:tr>
      <w:tr w:rsidR="000460CB" w:rsidRPr="00AC2BA5" w14:paraId="236932E3"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7B1F138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35</w:t>
            </w:r>
          </w:p>
        </w:tc>
        <w:tc>
          <w:tcPr>
            <w:tcW w:w="1642" w:type="dxa"/>
            <w:tcBorders>
              <w:top w:val="single" w:sz="5" w:space="0" w:color="000000"/>
              <w:left w:val="single" w:sz="5" w:space="0" w:color="000000"/>
              <w:bottom w:val="single" w:sz="5" w:space="0" w:color="000000"/>
              <w:right w:val="single" w:sz="5" w:space="0" w:color="000000"/>
            </w:tcBorders>
            <w:vAlign w:val="center"/>
          </w:tcPr>
          <w:p w14:paraId="723C172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121.5</w:t>
            </w:r>
          </w:p>
        </w:tc>
        <w:tc>
          <w:tcPr>
            <w:tcW w:w="1134" w:type="dxa"/>
            <w:tcBorders>
              <w:top w:val="single" w:sz="5" w:space="0" w:color="000000"/>
              <w:left w:val="single" w:sz="5" w:space="0" w:color="000000"/>
              <w:bottom w:val="single" w:sz="5" w:space="0" w:color="000000"/>
              <w:right w:val="single" w:sz="5" w:space="0" w:color="000000"/>
            </w:tcBorders>
            <w:vAlign w:val="center"/>
          </w:tcPr>
          <w:p w14:paraId="065009C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479316F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127.1</w:t>
            </w:r>
          </w:p>
        </w:tc>
        <w:tc>
          <w:tcPr>
            <w:tcW w:w="1560" w:type="dxa"/>
            <w:tcBorders>
              <w:top w:val="single" w:sz="5" w:space="0" w:color="000000"/>
              <w:left w:val="single" w:sz="5" w:space="0" w:color="000000"/>
              <w:bottom w:val="single" w:sz="5" w:space="0" w:color="000000"/>
              <w:right w:val="single" w:sz="5" w:space="0" w:color="000000"/>
            </w:tcBorders>
            <w:vAlign w:val="center"/>
          </w:tcPr>
          <w:p w14:paraId="70E3EF9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4.6%</w:t>
            </w:r>
          </w:p>
        </w:tc>
        <w:tc>
          <w:tcPr>
            <w:tcW w:w="1382" w:type="dxa"/>
            <w:tcBorders>
              <w:top w:val="single" w:sz="5" w:space="0" w:color="000000"/>
              <w:left w:val="single" w:sz="5" w:space="0" w:color="000000"/>
              <w:bottom w:val="single" w:sz="5" w:space="0" w:color="000000"/>
              <w:right w:val="single" w:sz="5" w:space="0" w:color="000000"/>
            </w:tcBorders>
            <w:vAlign w:val="center"/>
          </w:tcPr>
          <w:p w14:paraId="736C78F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0.5%</w:t>
            </w:r>
          </w:p>
        </w:tc>
      </w:tr>
      <w:tr w:rsidR="000460CB" w:rsidRPr="00AC2BA5" w14:paraId="7E7472F9"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15D1E6E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42</w:t>
            </w:r>
          </w:p>
        </w:tc>
        <w:tc>
          <w:tcPr>
            <w:tcW w:w="1642" w:type="dxa"/>
            <w:tcBorders>
              <w:top w:val="single" w:sz="5" w:space="0" w:color="000000"/>
              <w:left w:val="single" w:sz="5" w:space="0" w:color="000000"/>
              <w:bottom w:val="single" w:sz="5" w:space="0" w:color="000000"/>
              <w:right w:val="single" w:sz="5" w:space="0" w:color="000000"/>
            </w:tcBorders>
            <w:vAlign w:val="center"/>
          </w:tcPr>
          <w:p w14:paraId="309363B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119.7</w:t>
            </w:r>
          </w:p>
        </w:tc>
        <w:tc>
          <w:tcPr>
            <w:tcW w:w="1134" w:type="dxa"/>
            <w:tcBorders>
              <w:top w:val="single" w:sz="5" w:space="0" w:color="000000"/>
              <w:left w:val="single" w:sz="5" w:space="0" w:color="000000"/>
              <w:bottom w:val="single" w:sz="5" w:space="0" w:color="000000"/>
              <w:right w:val="single" w:sz="5" w:space="0" w:color="000000"/>
            </w:tcBorders>
            <w:vAlign w:val="center"/>
          </w:tcPr>
          <w:p w14:paraId="21642CE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1B1A9AB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124.6</w:t>
            </w:r>
          </w:p>
        </w:tc>
        <w:tc>
          <w:tcPr>
            <w:tcW w:w="1560" w:type="dxa"/>
            <w:tcBorders>
              <w:top w:val="single" w:sz="5" w:space="0" w:color="000000"/>
              <w:left w:val="single" w:sz="5" w:space="0" w:color="000000"/>
              <w:bottom w:val="single" w:sz="5" w:space="0" w:color="000000"/>
              <w:right w:val="single" w:sz="5" w:space="0" w:color="000000"/>
            </w:tcBorders>
            <w:vAlign w:val="center"/>
          </w:tcPr>
          <w:p w14:paraId="66AD41C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4.1%</w:t>
            </w:r>
          </w:p>
        </w:tc>
        <w:tc>
          <w:tcPr>
            <w:tcW w:w="1382" w:type="dxa"/>
            <w:tcBorders>
              <w:top w:val="single" w:sz="5" w:space="0" w:color="000000"/>
              <w:left w:val="single" w:sz="5" w:space="0" w:color="000000"/>
              <w:bottom w:val="single" w:sz="5" w:space="0" w:color="000000"/>
              <w:right w:val="single" w:sz="5" w:space="0" w:color="000000"/>
            </w:tcBorders>
            <w:vAlign w:val="center"/>
          </w:tcPr>
          <w:p w14:paraId="1FC25CF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b/>
                <w:bCs/>
                <w:snapToGrid w:val="0"/>
                <w:sz w:val="21"/>
                <w:szCs w:val="21"/>
              </w:rPr>
              <w:t>0.0%</w:t>
            </w:r>
          </w:p>
        </w:tc>
      </w:tr>
      <w:tr w:rsidR="000460CB" w:rsidRPr="00AC2BA5" w14:paraId="67B1366D"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546BAA1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50</w:t>
            </w:r>
          </w:p>
        </w:tc>
        <w:tc>
          <w:tcPr>
            <w:tcW w:w="1642" w:type="dxa"/>
            <w:tcBorders>
              <w:top w:val="single" w:sz="5" w:space="0" w:color="000000"/>
              <w:left w:val="single" w:sz="5" w:space="0" w:color="000000"/>
              <w:bottom w:val="single" w:sz="5" w:space="0" w:color="000000"/>
              <w:right w:val="single" w:sz="5" w:space="0" w:color="000000"/>
            </w:tcBorders>
            <w:vAlign w:val="center"/>
          </w:tcPr>
          <w:p w14:paraId="416973C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121.3</w:t>
            </w:r>
          </w:p>
        </w:tc>
        <w:tc>
          <w:tcPr>
            <w:tcW w:w="1134" w:type="dxa"/>
            <w:tcBorders>
              <w:top w:val="single" w:sz="5" w:space="0" w:color="000000"/>
              <w:left w:val="single" w:sz="5" w:space="0" w:color="000000"/>
              <w:bottom w:val="single" w:sz="5" w:space="0" w:color="000000"/>
              <w:right w:val="single" w:sz="5" w:space="0" w:color="000000"/>
            </w:tcBorders>
            <w:vAlign w:val="center"/>
          </w:tcPr>
          <w:p w14:paraId="058C367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6F127FDE"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125.4</w:t>
            </w:r>
          </w:p>
        </w:tc>
        <w:tc>
          <w:tcPr>
            <w:tcW w:w="1560" w:type="dxa"/>
            <w:tcBorders>
              <w:top w:val="single" w:sz="5" w:space="0" w:color="000000"/>
              <w:left w:val="single" w:sz="5" w:space="0" w:color="000000"/>
              <w:bottom w:val="single" w:sz="5" w:space="0" w:color="000000"/>
              <w:right w:val="single" w:sz="5" w:space="0" w:color="000000"/>
            </w:tcBorders>
            <w:vAlign w:val="center"/>
          </w:tcPr>
          <w:p w14:paraId="33C0658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3.4%</w:t>
            </w:r>
          </w:p>
        </w:tc>
        <w:tc>
          <w:tcPr>
            <w:tcW w:w="1382" w:type="dxa"/>
            <w:tcBorders>
              <w:top w:val="single" w:sz="5" w:space="0" w:color="000000"/>
              <w:left w:val="single" w:sz="5" w:space="0" w:color="000000"/>
              <w:bottom w:val="single" w:sz="5" w:space="0" w:color="000000"/>
              <w:right w:val="single" w:sz="5" w:space="0" w:color="000000"/>
            </w:tcBorders>
            <w:vAlign w:val="center"/>
          </w:tcPr>
          <w:p w14:paraId="7703CBE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-0.7%</w:t>
            </w:r>
          </w:p>
        </w:tc>
      </w:tr>
      <w:tr w:rsidR="000460CB" w:rsidRPr="00AC2BA5" w14:paraId="332437B2"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1481DCB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55</w:t>
            </w:r>
          </w:p>
        </w:tc>
        <w:tc>
          <w:tcPr>
            <w:tcW w:w="1642" w:type="dxa"/>
            <w:tcBorders>
              <w:top w:val="single" w:sz="5" w:space="0" w:color="000000"/>
              <w:left w:val="single" w:sz="5" w:space="0" w:color="000000"/>
              <w:bottom w:val="single" w:sz="5" w:space="0" w:color="000000"/>
              <w:right w:val="single" w:sz="5" w:space="0" w:color="000000"/>
            </w:tcBorders>
            <w:vAlign w:val="center"/>
          </w:tcPr>
          <w:p w14:paraId="54FD78F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120.8</w:t>
            </w:r>
          </w:p>
        </w:tc>
        <w:tc>
          <w:tcPr>
            <w:tcW w:w="1134" w:type="dxa"/>
            <w:tcBorders>
              <w:top w:val="single" w:sz="5" w:space="0" w:color="000000"/>
              <w:left w:val="single" w:sz="5" w:space="0" w:color="000000"/>
              <w:bottom w:val="single" w:sz="5" w:space="0" w:color="000000"/>
              <w:right w:val="single" w:sz="5" w:space="0" w:color="000000"/>
            </w:tcBorders>
            <w:vAlign w:val="center"/>
          </w:tcPr>
          <w:p w14:paraId="1B16EB82"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5955A82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122.7</w:t>
            </w:r>
          </w:p>
        </w:tc>
        <w:tc>
          <w:tcPr>
            <w:tcW w:w="1560" w:type="dxa"/>
            <w:tcBorders>
              <w:top w:val="single" w:sz="5" w:space="0" w:color="000000"/>
              <w:left w:val="single" w:sz="5" w:space="0" w:color="000000"/>
              <w:bottom w:val="single" w:sz="5" w:space="0" w:color="000000"/>
              <w:right w:val="single" w:sz="5" w:space="0" w:color="000000"/>
            </w:tcBorders>
            <w:vAlign w:val="center"/>
          </w:tcPr>
          <w:p w14:paraId="4620B669"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1.6%</w:t>
            </w:r>
          </w:p>
        </w:tc>
        <w:tc>
          <w:tcPr>
            <w:tcW w:w="1382" w:type="dxa"/>
            <w:tcBorders>
              <w:top w:val="single" w:sz="5" w:space="0" w:color="000000"/>
              <w:left w:val="single" w:sz="5" w:space="0" w:color="000000"/>
              <w:bottom w:val="single" w:sz="5" w:space="0" w:color="000000"/>
              <w:right w:val="single" w:sz="5" w:space="0" w:color="000000"/>
            </w:tcBorders>
            <w:vAlign w:val="center"/>
          </w:tcPr>
          <w:p w14:paraId="7002B69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-2.5%</w:t>
            </w:r>
          </w:p>
        </w:tc>
      </w:tr>
      <w:tr w:rsidR="000460CB" w:rsidRPr="00AC2BA5" w14:paraId="0DFEC0FE"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0F7963FC"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60</w:t>
            </w:r>
          </w:p>
        </w:tc>
        <w:tc>
          <w:tcPr>
            <w:tcW w:w="1642" w:type="dxa"/>
            <w:tcBorders>
              <w:top w:val="single" w:sz="5" w:space="0" w:color="000000"/>
              <w:left w:val="single" w:sz="5" w:space="0" w:color="000000"/>
              <w:bottom w:val="single" w:sz="5" w:space="0" w:color="000000"/>
              <w:right w:val="single" w:sz="5" w:space="0" w:color="000000"/>
            </w:tcBorders>
            <w:vAlign w:val="center"/>
          </w:tcPr>
          <w:p w14:paraId="3EFD767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120.1</w:t>
            </w:r>
          </w:p>
        </w:tc>
        <w:tc>
          <w:tcPr>
            <w:tcW w:w="1134" w:type="dxa"/>
            <w:tcBorders>
              <w:top w:val="single" w:sz="5" w:space="0" w:color="000000"/>
              <w:left w:val="single" w:sz="5" w:space="0" w:color="000000"/>
              <w:bottom w:val="single" w:sz="5" w:space="0" w:color="000000"/>
              <w:right w:val="single" w:sz="5" w:space="0" w:color="000000"/>
            </w:tcBorders>
            <w:vAlign w:val="center"/>
          </w:tcPr>
          <w:p w14:paraId="1CB77F3D"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46991B3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119.5</w:t>
            </w:r>
          </w:p>
        </w:tc>
        <w:tc>
          <w:tcPr>
            <w:tcW w:w="1560" w:type="dxa"/>
            <w:tcBorders>
              <w:top w:val="single" w:sz="5" w:space="0" w:color="000000"/>
              <w:left w:val="single" w:sz="5" w:space="0" w:color="000000"/>
              <w:bottom w:val="single" w:sz="5" w:space="0" w:color="000000"/>
              <w:right w:val="single" w:sz="5" w:space="0" w:color="000000"/>
            </w:tcBorders>
            <w:vAlign w:val="center"/>
          </w:tcPr>
          <w:p w14:paraId="7AB678A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-0.5%</w:t>
            </w:r>
          </w:p>
        </w:tc>
        <w:tc>
          <w:tcPr>
            <w:tcW w:w="1382" w:type="dxa"/>
            <w:tcBorders>
              <w:top w:val="single" w:sz="5" w:space="0" w:color="000000"/>
              <w:left w:val="single" w:sz="5" w:space="0" w:color="000000"/>
              <w:bottom w:val="single" w:sz="5" w:space="0" w:color="000000"/>
              <w:right w:val="single" w:sz="5" w:space="0" w:color="000000"/>
            </w:tcBorders>
            <w:vAlign w:val="center"/>
          </w:tcPr>
          <w:p w14:paraId="453E9C4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-4.6%</w:t>
            </w:r>
          </w:p>
        </w:tc>
      </w:tr>
      <w:tr w:rsidR="000460CB" w:rsidRPr="00AC2BA5" w14:paraId="71EEFD62"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013E784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65</w:t>
            </w:r>
          </w:p>
        </w:tc>
        <w:tc>
          <w:tcPr>
            <w:tcW w:w="1642" w:type="dxa"/>
            <w:tcBorders>
              <w:top w:val="single" w:sz="5" w:space="0" w:color="000000"/>
              <w:left w:val="single" w:sz="5" w:space="0" w:color="000000"/>
              <w:bottom w:val="single" w:sz="5" w:space="0" w:color="000000"/>
              <w:right w:val="single" w:sz="5" w:space="0" w:color="000000"/>
            </w:tcBorders>
            <w:vAlign w:val="center"/>
          </w:tcPr>
          <w:p w14:paraId="5499623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118.1</w:t>
            </w:r>
          </w:p>
        </w:tc>
        <w:tc>
          <w:tcPr>
            <w:tcW w:w="1134" w:type="dxa"/>
            <w:tcBorders>
              <w:top w:val="single" w:sz="5" w:space="0" w:color="000000"/>
              <w:left w:val="single" w:sz="5" w:space="0" w:color="000000"/>
              <w:bottom w:val="single" w:sz="5" w:space="0" w:color="000000"/>
              <w:right w:val="single" w:sz="5" w:space="0" w:color="000000"/>
            </w:tcBorders>
            <w:vAlign w:val="center"/>
          </w:tcPr>
          <w:p w14:paraId="1B59755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51F7EACA"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116.0</w:t>
            </w:r>
          </w:p>
        </w:tc>
        <w:tc>
          <w:tcPr>
            <w:tcW w:w="1560" w:type="dxa"/>
            <w:tcBorders>
              <w:top w:val="single" w:sz="5" w:space="0" w:color="000000"/>
              <w:left w:val="single" w:sz="5" w:space="0" w:color="000000"/>
              <w:bottom w:val="single" w:sz="5" w:space="0" w:color="000000"/>
              <w:right w:val="single" w:sz="5" w:space="0" w:color="000000"/>
            </w:tcBorders>
            <w:vAlign w:val="center"/>
          </w:tcPr>
          <w:p w14:paraId="2EF7333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-1.8%</w:t>
            </w:r>
          </w:p>
        </w:tc>
        <w:tc>
          <w:tcPr>
            <w:tcW w:w="1382" w:type="dxa"/>
            <w:tcBorders>
              <w:top w:val="single" w:sz="5" w:space="0" w:color="000000"/>
              <w:left w:val="single" w:sz="5" w:space="0" w:color="000000"/>
              <w:bottom w:val="single" w:sz="5" w:space="0" w:color="000000"/>
              <w:right w:val="single" w:sz="5" w:space="0" w:color="000000"/>
            </w:tcBorders>
            <w:vAlign w:val="center"/>
          </w:tcPr>
          <w:p w14:paraId="5C743A57"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-5.9%</w:t>
            </w:r>
          </w:p>
        </w:tc>
      </w:tr>
      <w:tr w:rsidR="000460CB" w:rsidRPr="00AC2BA5" w14:paraId="0666EEFB" w14:textId="77777777" w:rsidTr="00AC2BA5">
        <w:trPr>
          <w:jc w:val="right"/>
        </w:trPr>
        <w:tc>
          <w:tcPr>
            <w:tcW w:w="1256" w:type="dxa"/>
            <w:tcBorders>
              <w:top w:val="single" w:sz="5" w:space="0" w:color="000000"/>
              <w:left w:val="single" w:sz="5" w:space="0" w:color="000000"/>
              <w:bottom w:val="single" w:sz="5" w:space="0" w:color="000000"/>
              <w:right w:val="single" w:sz="5" w:space="0" w:color="000000"/>
            </w:tcBorders>
            <w:vAlign w:val="center"/>
          </w:tcPr>
          <w:p w14:paraId="787B9A60"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70</w:t>
            </w:r>
          </w:p>
        </w:tc>
        <w:tc>
          <w:tcPr>
            <w:tcW w:w="1642" w:type="dxa"/>
            <w:tcBorders>
              <w:top w:val="single" w:sz="5" w:space="0" w:color="000000"/>
              <w:left w:val="single" w:sz="5" w:space="0" w:color="000000"/>
              <w:bottom w:val="single" w:sz="5" w:space="0" w:color="000000"/>
              <w:right w:val="single" w:sz="5" w:space="0" w:color="000000"/>
            </w:tcBorders>
            <w:vAlign w:val="center"/>
          </w:tcPr>
          <w:p w14:paraId="38DE45CB"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117.5</w:t>
            </w:r>
          </w:p>
        </w:tc>
        <w:tc>
          <w:tcPr>
            <w:tcW w:w="1134" w:type="dxa"/>
            <w:tcBorders>
              <w:top w:val="single" w:sz="5" w:space="0" w:color="000000"/>
              <w:left w:val="single" w:sz="5" w:space="0" w:color="000000"/>
              <w:bottom w:val="single" w:sz="5" w:space="0" w:color="000000"/>
              <w:right w:val="single" w:sz="5" w:space="0" w:color="000000"/>
            </w:tcBorders>
            <w:vAlign w:val="center"/>
          </w:tcPr>
          <w:p w14:paraId="42284C6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30</w:t>
            </w:r>
          </w:p>
        </w:tc>
        <w:tc>
          <w:tcPr>
            <w:tcW w:w="1842" w:type="dxa"/>
            <w:tcBorders>
              <w:top w:val="single" w:sz="5" w:space="0" w:color="000000"/>
              <w:left w:val="single" w:sz="5" w:space="0" w:color="000000"/>
              <w:bottom w:val="single" w:sz="5" w:space="0" w:color="000000"/>
              <w:right w:val="single" w:sz="5" w:space="0" w:color="000000"/>
            </w:tcBorders>
            <w:vAlign w:val="center"/>
          </w:tcPr>
          <w:p w14:paraId="1F079BC1"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115.6</w:t>
            </w:r>
          </w:p>
        </w:tc>
        <w:tc>
          <w:tcPr>
            <w:tcW w:w="1560" w:type="dxa"/>
            <w:tcBorders>
              <w:top w:val="single" w:sz="5" w:space="0" w:color="000000"/>
              <w:left w:val="single" w:sz="5" w:space="0" w:color="000000"/>
              <w:bottom w:val="single" w:sz="5" w:space="0" w:color="000000"/>
              <w:right w:val="single" w:sz="5" w:space="0" w:color="000000"/>
            </w:tcBorders>
            <w:vAlign w:val="center"/>
          </w:tcPr>
          <w:p w14:paraId="01EF0585"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-1.6%</w:t>
            </w:r>
          </w:p>
        </w:tc>
        <w:tc>
          <w:tcPr>
            <w:tcW w:w="1382" w:type="dxa"/>
            <w:tcBorders>
              <w:top w:val="single" w:sz="5" w:space="0" w:color="000000"/>
              <w:left w:val="single" w:sz="5" w:space="0" w:color="000000"/>
              <w:bottom w:val="single" w:sz="5" w:space="0" w:color="000000"/>
              <w:right w:val="single" w:sz="5" w:space="0" w:color="000000"/>
            </w:tcBorders>
            <w:vAlign w:val="center"/>
          </w:tcPr>
          <w:p w14:paraId="49B380F4" w14:textId="77777777" w:rsidR="000460CB" w:rsidRPr="00AC2BA5" w:rsidRDefault="00B8550C"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-5.7%</w:t>
            </w:r>
          </w:p>
        </w:tc>
      </w:tr>
    </w:tbl>
    <w:p w14:paraId="35EAD19A" w14:textId="7B12C630"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申报资料中，应包括研究设计的详细描述、研究中收集的所有数据的列表、上述总结表以及研究结论的总结。</w:t>
      </w:r>
    </w:p>
    <w:p w14:paraId="0C77C030" w14:textId="4AD17A69" w:rsidR="000460CB" w:rsidRPr="00AC2BA5" w:rsidRDefault="0050117E" w:rsidP="000102EB">
      <w:pPr>
        <w:pStyle w:val="21"/>
        <w:rPr>
          <w:rFonts w:eastAsia="宋体"/>
          <w:lang w:eastAsia="zh-CN"/>
        </w:rPr>
      </w:pPr>
      <w:bookmarkStart w:id="23" w:name="_Toc91871176"/>
      <w:r w:rsidRPr="00AC2BA5">
        <w:rPr>
          <w:rFonts w:eastAsia="宋体" w:cs="宋体"/>
          <w:lang w:eastAsia="zh-CN"/>
        </w:rPr>
        <w:t>E.</w:t>
      </w:r>
      <w:r w:rsidRPr="00AC2BA5">
        <w:rPr>
          <w:rFonts w:eastAsia="宋体" w:cs="宋体"/>
          <w:lang w:eastAsia="zh-CN"/>
        </w:rPr>
        <w:tab/>
      </w:r>
      <w:r w:rsidR="00AD1608">
        <w:rPr>
          <w:rFonts w:eastAsia="宋体" w:cs="宋体" w:hint="eastAsia"/>
          <w:highlight w:val="yellow"/>
          <w:lang w:eastAsia="zh-CN"/>
        </w:rPr>
        <w:t>稳定性</w:t>
      </w:r>
      <w:r w:rsidRPr="004C2992">
        <w:rPr>
          <w:rFonts w:eastAsia="宋体" w:cs="宋体" w:hint="eastAsia"/>
          <w:highlight w:val="yellow"/>
          <w:lang w:eastAsia="zh-CN"/>
        </w:rPr>
        <w:t>研究</w:t>
      </w:r>
      <w:bookmarkEnd w:id="23"/>
    </w:p>
    <w:p w14:paraId="6914B09A" w14:textId="1CFE6E94"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与专业医疗保健环境相比，家庭使用环境中用于降低错误结果风险的控制措施通常较少。此外，用户</w:t>
      </w:r>
      <w:proofErr w:type="gramStart"/>
      <w:r w:rsidRPr="00AC2BA5">
        <w:rPr>
          <w:rFonts w:ascii="Times New Roman" w:eastAsia="宋体" w:hAnsi="Times New Roman" w:cs="宋体"/>
          <w:sz w:val="24"/>
          <w:lang w:eastAsia="zh-CN"/>
        </w:rPr>
        <w:t>通常未</w:t>
      </w:r>
      <w:proofErr w:type="gramEnd"/>
      <w:r w:rsidRPr="00AC2BA5">
        <w:rPr>
          <w:rFonts w:ascii="Times New Roman" w:eastAsia="宋体" w:hAnsi="Times New Roman" w:cs="宋体"/>
          <w:sz w:val="24"/>
          <w:lang w:eastAsia="zh-CN"/>
        </w:rPr>
        <w:t>受过培训，可能不知道如何识别或处理错误结果。因此，人们认为供非专业用户在家中使用的器械的设计使得错误结果的风险远低于实验室检测。因此，应证明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的设计</w:t>
      </w:r>
      <w:r w:rsidR="00AD1608">
        <w:rPr>
          <w:rFonts w:ascii="Times New Roman" w:eastAsia="宋体" w:hAnsi="Times New Roman" w:cs="宋体" w:hint="eastAsia"/>
          <w:sz w:val="24"/>
          <w:lang w:eastAsia="zh-CN"/>
        </w:rPr>
        <w:t>稳定</w:t>
      </w:r>
      <w:r w:rsidRPr="00AC2BA5">
        <w:rPr>
          <w:rFonts w:ascii="Times New Roman" w:eastAsia="宋体" w:hAnsi="Times New Roman" w:cs="宋体"/>
          <w:sz w:val="24"/>
          <w:lang w:eastAsia="zh-CN"/>
        </w:rPr>
        <w:t>（即，对环境和使用变化不敏感），并且所有已知的</w:t>
      </w:r>
      <w:r w:rsidR="00D03A83">
        <w:rPr>
          <w:rFonts w:ascii="Times New Roman" w:eastAsia="宋体" w:hAnsi="Times New Roman" w:cs="宋体"/>
          <w:sz w:val="24"/>
          <w:lang w:eastAsia="zh-CN"/>
        </w:rPr>
        <w:t>误差来源</w:t>
      </w:r>
      <w:r w:rsidRPr="00AC2BA5">
        <w:rPr>
          <w:rFonts w:ascii="Times New Roman" w:eastAsia="宋体" w:hAnsi="Times New Roman" w:cs="宋体"/>
          <w:sz w:val="24"/>
          <w:lang w:eastAsia="zh-CN"/>
        </w:rPr>
        <w:t>已经通过详细的风险评估进行了评估，并得到了有效控制。一般而言，应使</w:t>
      </w:r>
      <w:r w:rsidRPr="007957D2">
        <w:rPr>
          <w:rFonts w:ascii="Times New Roman" w:eastAsia="宋体" w:hAnsi="Times New Roman" w:cs="宋体"/>
          <w:sz w:val="24"/>
          <w:lang w:eastAsia="zh-CN"/>
        </w:rPr>
        <w:t>用弹性研究</w:t>
      </w:r>
      <w:r w:rsidRPr="007957D2">
        <w:rPr>
          <w:rFonts w:ascii="Times New Roman" w:eastAsia="宋体" w:hAnsi="Times New Roman" w:cs="宋体" w:hint="eastAsia"/>
          <w:sz w:val="24"/>
          <w:lang w:eastAsia="zh-CN"/>
        </w:rPr>
        <w:t>来证</w:t>
      </w:r>
      <w:r w:rsidRPr="00AC2BA5">
        <w:rPr>
          <w:rFonts w:ascii="Times New Roman" w:eastAsia="宋体" w:hAnsi="Times New Roman" w:cs="宋体"/>
          <w:sz w:val="24"/>
          <w:lang w:eastAsia="zh-CN"/>
        </w:rPr>
        <w:t>明设计</w:t>
      </w:r>
      <w:r w:rsidR="00AD1608">
        <w:rPr>
          <w:rFonts w:ascii="Times New Roman" w:eastAsia="宋体" w:hAnsi="Times New Roman" w:cs="宋体"/>
          <w:sz w:val="24"/>
          <w:lang w:eastAsia="zh-CN"/>
        </w:rPr>
        <w:t>稳定</w:t>
      </w:r>
      <w:r w:rsidRPr="00AC2BA5">
        <w:rPr>
          <w:rFonts w:ascii="Times New Roman" w:eastAsia="宋体" w:hAnsi="Times New Roman" w:cs="宋体"/>
          <w:sz w:val="24"/>
          <w:lang w:eastAsia="zh-CN"/>
        </w:rPr>
        <w:t>，同时应使用风险管理来证明误差来源的识别和有效控制（尽管两者并不相互排斥）。</w:t>
      </w:r>
    </w:p>
    <w:p w14:paraId="59C7E281"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6449518B" w14:textId="50A0DD04"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大多数风险控制措施应是故障安全措施或故障报警机制。故障安全机制的实例是锁定功能，它可确保在检测条件不适当时，例如当存在组件故障或操作人员错误时，检测系统不提供结果。其</w:t>
      </w:r>
      <w:r w:rsidR="00144FCB">
        <w:rPr>
          <w:rFonts w:ascii="Times New Roman" w:eastAsia="宋体" w:hAnsi="Times New Roman" w:cs="宋体" w:hint="eastAsia"/>
          <w:sz w:val="24"/>
          <w:lang w:eastAsia="zh-CN"/>
        </w:rPr>
        <w:t>它</w:t>
      </w:r>
      <w:r w:rsidRPr="00AC2BA5">
        <w:rPr>
          <w:rFonts w:ascii="Times New Roman" w:eastAsia="宋体" w:hAnsi="Times New Roman" w:cs="宋体"/>
          <w:sz w:val="24"/>
          <w:lang w:eastAsia="zh-CN"/>
        </w:rPr>
        <w:t>实例有系统内防止操作人员错误的措施，例如防止试纸条放置不当的导轨或通道。本机构建议，只要技术上可行，检测系统设计都应包含故障安全机制。对某些风险，如果故障安全机制在技术上不可行，则应使用故障报警机制。故障报警机制会将任何检测系统故障或问题通知操作人员。可能包括内部程序控制或电子控制等措施。具有这种机制的器械允许操作人员纠正错误，或使操作人员注意到由于错误导致的不可靠结果。例如，在结果超出可报告范围（例如，极高或极低的血糖结果）和结果为临界值的情况下，器械应给出诸如</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超出范围上限</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超出范围下限</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的</w:t>
      </w:r>
      <w:r w:rsidR="001B600A">
        <w:rPr>
          <w:rFonts w:ascii="Times New Roman" w:eastAsia="宋体" w:hAnsi="Times New Roman" w:cs="宋体" w:hint="eastAsia"/>
          <w:sz w:val="24"/>
          <w:lang w:eastAsia="zh-CN"/>
        </w:rPr>
        <w:t>信息</w:t>
      </w:r>
      <w:r w:rsidRPr="00AC2BA5">
        <w:rPr>
          <w:rFonts w:ascii="Times New Roman" w:eastAsia="宋体" w:hAnsi="Times New Roman" w:cs="宋体"/>
          <w:sz w:val="24"/>
          <w:lang w:eastAsia="zh-CN"/>
        </w:rPr>
        <w:t>。</w:t>
      </w:r>
    </w:p>
    <w:p w14:paraId="6BCA23CD" w14:textId="313C1EB6"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应利用</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研究或强调</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操作边界的研究来确认检测系统在应力条件下对性能变化的不敏感性。在适当情况下，还应使用</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研究来验证和</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或确认控制措施在操作极限下的有效性。</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研究对于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尤为重要，因为这些器械预期供非专业用户使用，会遇到各种可能影响系统性能的环境和用户相关条件。</w:t>
      </w:r>
    </w:p>
    <w:p w14:paraId="44CC554D" w14:textId="589EA659"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为了确定</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器械的所有相关</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w:t>
      </w:r>
      <w:r w:rsidR="00D2299A">
        <w:rPr>
          <w:rFonts w:ascii="Times New Roman" w:eastAsia="宋体" w:hAnsi="Times New Roman" w:cs="宋体"/>
          <w:sz w:val="24"/>
          <w:lang w:eastAsia="zh-CN"/>
        </w:rPr>
        <w:t>建议</w:t>
      </w:r>
      <w:r w:rsidRPr="00AC2BA5">
        <w:rPr>
          <w:rFonts w:ascii="Times New Roman" w:eastAsia="宋体" w:hAnsi="Times New Roman" w:cs="宋体"/>
          <w:sz w:val="24"/>
          <w:lang w:eastAsia="zh-CN"/>
        </w:rPr>
        <w:t>执行系统全面的风险分析，以识别所有潜在的</w:t>
      </w:r>
      <w:r w:rsidR="00D03A83">
        <w:rPr>
          <w:rFonts w:ascii="Times New Roman" w:eastAsia="宋体" w:hAnsi="Times New Roman" w:cs="宋体"/>
          <w:sz w:val="24"/>
          <w:lang w:eastAsia="zh-CN"/>
        </w:rPr>
        <w:t>误差来源</w:t>
      </w:r>
      <w:r w:rsidRPr="00AC2BA5">
        <w:rPr>
          <w:rFonts w:ascii="Times New Roman" w:eastAsia="宋体" w:hAnsi="Times New Roman" w:cs="宋体"/>
          <w:sz w:val="24"/>
          <w:lang w:eastAsia="zh-CN"/>
        </w:rPr>
        <w:t>（包括检测系统失效和操作人员错误），并确定可能导致危险情况风险</w:t>
      </w:r>
      <w:r w:rsidR="004C0000">
        <w:rPr>
          <w:rFonts w:ascii="Times New Roman" w:eastAsia="宋体" w:hAnsi="Times New Roman" w:cs="宋体" w:hint="eastAsia"/>
          <w:sz w:val="24"/>
          <w:lang w:eastAsia="zh-CN"/>
        </w:rPr>
        <w:t>的错误</w:t>
      </w:r>
      <w:r w:rsidRPr="00AC2BA5">
        <w:rPr>
          <w:rFonts w:ascii="Times New Roman" w:eastAsia="宋体" w:hAnsi="Times New Roman" w:cs="宋体"/>
          <w:sz w:val="24"/>
          <w:lang w:eastAsia="zh-CN"/>
        </w:rPr>
        <w:t>。然后，应确定控制措施，包括能降低这些</w:t>
      </w:r>
      <w:r w:rsidR="00D03A83">
        <w:rPr>
          <w:rFonts w:ascii="Times New Roman" w:eastAsia="宋体" w:hAnsi="Times New Roman" w:cs="宋体"/>
          <w:sz w:val="24"/>
          <w:lang w:eastAsia="zh-CN"/>
        </w:rPr>
        <w:t>误差来源</w:t>
      </w:r>
      <w:r w:rsidRPr="00AC2BA5">
        <w:rPr>
          <w:rFonts w:ascii="Times New Roman" w:eastAsia="宋体" w:hAnsi="Times New Roman" w:cs="宋体"/>
          <w:sz w:val="24"/>
          <w:lang w:eastAsia="zh-CN"/>
        </w:rPr>
        <w:t>风险的失效安全机制和失效警报机制。控制措施实施后，应（</w:t>
      </w:r>
      <w:r w:rsidRPr="00AC2BA5">
        <w:rPr>
          <w:rFonts w:ascii="Times New Roman" w:eastAsia="宋体" w:hAnsi="Times New Roman" w:cs="宋体"/>
          <w:sz w:val="24"/>
          <w:lang w:eastAsia="zh-CN"/>
        </w:rPr>
        <w:t>1</w:t>
      </w:r>
      <w:r w:rsidRPr="00AC2BA5">
        <w:rPr>
          <w:rFonts w:ascii="Times New Roman" w:eastAsia="宋体" w:hAnsi="Times New Roman" w:cs="宋体"/>
          <w:sz w:val="24"/>
          <w:lang w:eastAsia="zh-CN"/>
        </w:rPr>
        <w:t>）验证每个控制措施已正确实施，以及（</w:t>
      </w:r>
      <w:r w:rsidRPr="00AC2BA5">
        <w:rPr>
          <w:rFonts w:ascii="Times New Roman" w:eastAsia="宋体" w:hAnsi="Times New Roman" w:cs="宋体"/>
          <w:sz w:val="24"/>
          <w:lang w:eastAsia="zh-CN"/>
        </w:rPr>
        <w:t>2</w:t>
      </w:r>
      <w:r w:rsidRPr="00AC2BA5">
        <w:rPr>
          <w:rFonts w:ascii="Times New Roman" w:eastAsia="宋体" w:hAnsi="Times New Roman" w:cs="宋体"/>
          <w:sz w:val="24"/>
          <w:lang w:eastAsia="zh-CN"/>
        </w:rPr>
        <w:t>）验证和</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或确认每个控制措施的有效性。在适当情况下，应使用</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研究来验证和</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或确认这些控制措施的有效性。</w:t>
      </w:r>
    </w:p>
    <w:p w14:paraId="6DF13F1D" w14:textId="68CC0D83"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本机构确定了应该开展并纳入</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申报资料中的几项</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w:t>
      </w:r>
      <w:r w:rsidR="00BB05AA">
        <w:rPr>
          <w:rFonts w:ascii="Times New Roman" w:eastAsia="宋体" w:hAnsi="Times New Roman" w:cs="宋体" w:hint="eastAsia"/>
          <w:sz w:val="24"/>
          <w:lang w:eastAsia="zh-CN"/>
        </w:rPr>
        <w:t>，</w:t>
      </w:r>
      <w:r w:rsidR="0006080D">
        <w:rPr>
          <w:rFonts w:ascii="Times New Roman" w:eastAsia="宋体" w:hAnsi="Times New Roman" w:cs="宋体" w:hint="eastAsia"/>
          <w:sz w:val="24"/>
          <w:lang w:eastAsia="zh-CN"/>
        </w:rPr>
        <w:t>详情</w:t>
      </w:r>
      <w:r w:rsidR="00BB05AA">
        <w:rPr>
          <w:rFonts w:ascii="Times New Roman" w:eastAsia="宋体" w:hAnsi="Times New Roman" w:cs="宋体" w:hint="eastAsia"/>
          <w:sz w:val="24"/>
          <w:lang w:eastAsia="zh-CN"/>
        </w:rPr>
        <w:t>参见下文</w:t>
      </w:r>
      <w:r w:rsidRPr="00AC2BA5">
        <w:rPr>
          <w:rFonts w:ascii="Times New Roman" w:eastAsia="宋体" w:hAnsi="Times New Roman" w:cs="宋体"/>
          <w:sz w:val="24"/>
          <w:lang w:eastAsia="zh-CN"/>
        </w:rPr>
        <w:t>。同时，本机构鼓励继续执行风险分析，以确定器械是否包含任何需要通过其他</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研究进行确认的独特或新特性。</w:t>
      </w:r>
    </w:p>
    <w:p w14:paraId="5B0F3B10" w14:textId="6C98C7FD"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如果在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在</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研究中性能达不到要求，</w:t>
      </w:r>
      <w:r w:rsidR="00D2299A">
        <w:rPr>
          <w:rFonts w:ascii="Times New Roman" w:eastAsia="宋体" w:hAnsi="Times New Roman" w:cs="宋体"/>
          <w:sz w:val="24"/>
          <w:lang w:eastAsia="zh-CN"/>
        </w:rPr>
        <w:t>建议</w:t>
      </w:r>
      <w:r w:rsidRPr="00AC2BA5">
        <w:rPr>
          <w:rFonts w:ascii="Times New Roman" w:eastAsia="宋体" w:hAnsi="Times New Roman" w:cs="宋体"/>
          <w:sz w:val="24"/>
          <w:lang w:eastAsia="zh-CN"/>
        </w:rPr>
        <w:t>提供通过全面风险分析确定的依据，说明在该</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研究中表现出足够的性能对于器械的安全和有效使用并不重要</w:t>
      </w:r>
      <w:r w:rsidR="0058512C">
        <w:rPr>
          <w:rFonts w:ascii="Times New Roman" w:eastAsia="宋体" w:hAnsi="Times New Roman" w:cs="宋体" w:hint="eastAsia"/>
          <w:sz w:val="24"/>
          <w:lang w:eastAsia="zh-CN"/>
        </w:rPr>
        <w:t>的理由</w:t>
      </w:r>
      <w:r w:rsidRPr="00AC2BA5">
        <w:rPr>
          <w:rFonts w:ascii="Times New Roman" w:eastAsia="宋体" w:hAnsi="Times New Roman" w:cs="宋体"/>
          <w:sz w:val="24"/>
          <w:lang w:eastAsia="zh-CN"/>
        </w:rPr>
        <w:t>，或者指出其他已实现的、经过确认的控制机制。</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将审查所有依据，以确定提议的风险缓解措施是否足以保护患者。</w:t>
      </w:r>
    </w:p>
    <w:p w14:paraId="7259B4A5"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767403FE" w14:textId="0FB6131E"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对于以下</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研究，验证应包括性能试验；但是，可以在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申报资料中提供证明文件，表明</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研究是根据</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认可的行业标准开展的。</w:t>
      </w:r>
      <w:r w:rsidR="00D2299A">
        <w:rPr>
          <w:rFonts w:ascii="Times New Roman" w:eastAsia="宋体" w:hAnsi="Times New Roman" w:cs="宋体"/>
          <w:sz w:val="24"/>
          <w:lang w:eastAsia="zh-CN"/>
        </w:rPr>
        <w:t>建议</w:t>
      </w:r>
      <w:r w:rsidRPr="00AC2BA5">
        <w:rPr>
          <w:rFonts w:ascii="Times New Roman" w:eastAsia="宋体" w:hAnsi="Times New Roman" w:cs="宋体"/>
          <w:sz w:val="24"/>
          <w:lang w:eastAsia="zh-CN"/>
        </w:rPr>
        <w:t>提供所执行试验的类型、遵循的参考标准、验收标准以及</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是否通过这些验收标准。</w:t>
      </w:r>
    </w:p>
    <w:p w14:paraId="5BCA1065" w14:textId="57082330"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建议以这种方式开展的</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研究为：</w:t>
      </w:r>
    </w:p>
    <w:p w14:paraId="71E3ECE6" w14:textId="77777777" w:rsidR="000460CB" w:rsidRPr="00AC2BA5" w:rsidRDefault="00B8550C" w:rsidP="000102EB">
      <w:pPr>
        <w:pStyle w:val="a4"/>
        <w:numPr>
          <w:ilvl w:val="0"/>
          <w:numId w:val="8"/>
        </w:numPr>
        <w:adjustRightInd w:val="0"/>
        <w:snapToGrid w:val="0"/>
        <w:spacing w:beforeLines="50" w:before="120" w:line="300" w:lineRule="auto"/>
        <w:ind w:left="1276"/>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机械振动试验</w:t>
      </w:r>
      <w:proofErr w:type="spellEnd"/>
    </w:p>
    <w:p w14:paraId="50041735" w14:textId="77777777" w:rsidR="000460CB" w:rsidRPr="00AC2BA5" w:rsidRDefault="00B8550C" w:rsidP="000102EB">
      <w:pPr>
        <w:pStyle w:val="a4"/>
        <w:numPr>
          <w:ilvl w:val="0"/>
          <w:numId w:val="8"/>
        </w:numPr>
        <w:adjustRightInd w:val="0"/>
        <w:snapToGrid w:val="0"/>
        <w:spacing w:beforeLines="50" w:before="120" w:line="300" w:lineRule="auto"/>
        <w:ind w:left="1276"/>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冲击试验</w:t>
      </w:r>
      <w:proofErr w:type="spellEnd"/>
    </w:p>
    <w:p w14:paraId="47FB3C92" w14:textId="77777777" w:rsidR="000460CB" w:rsidRPr="00AC2BA5" w:rsidRDefault="00B8550C" w:rsidP="000102EB">
      <w:pPr>
        <w:pStyle w:val="a4"/>
        <w:numPr>
          <w:ilvl w:val="0"/>
          <w:numId w:val="8"/>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电磁兼容性（</w:t>
      </w:r>
      <w:r w:rsidRPr="00AC2BA5">
        <w:rPr>
          <w:rFonts w:ascii="Times New Roman" w:eastAsia="宋体" w:hAnsi="Times New Roman" w:cs="宋体"/>
          <w:sz w:val="24"/>
          <w:lang w:eastAsia="zh-CN"/>
        </w:rPr>
        <w:t>EMC</w:t>
      </w:r>
      <w:r w:rsidRPr="00AC2BA5">
        <w:rPr>
          <w:rFonts w:ascii="Times New Roman" w:eastAsia="宋体" w:hAnsi="Times New Roman" w:cs="宋体"/>
          <w:sz w:val="24"/>
          <w:lang w:eastAsia="zh-CN"/>
        </w:rPr>
        <w:t>）测试</w:t>
      </w:r>
    </w:p>
    <w:p w14:paraId="0C4F9199" w14:textId="77777777" w:rsidR="0050117E" w:rsidRPr="00AC2BA5" w:rsidRDefault="00B8550C" w:rsidP="000102EB">
      <w:pPr>
        <w:pStyle w:val="a4"/>
        <w:numPr>
          <w:ilvl w:val="0"/>
          <w:numId w:val="8"/>
        </w:numPr>
        <w:adjustRightInd w:val="0"/>
        <w:snapToGrid w:val="0"/>
        <w:spacing w:beforeLines="50" w:before="120" w:line="300" w:lineRule="auto"/>
        <w:ind w:left="1276"/>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静电放电</w:t>
      </w:r>
      <w:proofErr w:type="spellEnd"/>
      <w:r w:rsidRPr="00AC2BA5">
        <w:rPr>
          <w:rFonts w:ascii="Times New Roman" w:eastAsia="宋体" w:hAnsi="Times New Roman" w:cs="宋体"/>
          <w:sz w:val="24"/>
        </w:rPr>
        <w:t>/</w:t>
      </w:r>
      <w:proofErr w:type="spellStart"/>
      <w:r w:rsidRPr="00AC2BA5">
        <w:rPr>
          <w:rFonts w:ascii="Times New Roman" w:eastAsia="宋体" w:hAnsi="Times New Roman" w:cs="宋体"/>
          <w:sz w:val="24"/>
        </w:rPr>
        <w:t>电磁干扰试验</w:t>
      </w:r>
      <w:proofErr w:type="spellEnd"/>
    </w:p>
    <w:p w14:paraId="639144EA" w14:textId="6E3AD89A"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除非另有说明，</w:t>
      </w:r>
      <w:r w:rsidR="00D2299A">
        <w:rPr>
          <w:rFonts w:ascii="Times New Roman" w:eastAsia="宋体" w:hAnsi="Times New Roman" w:cs="宋体"/>
          <w:sz w:val="24"/>
          <w:lang w:eastAsia="zh-CN"/>
        </w:rPr>
        <w:t>建议</w:t>
      </w:r>
      <w:r w:rsidRPr="00AC2BA5">
        <w:rPr>
          <w:rFonts w:ascii="Times New Roman" w:eastAsia="宋体" w:hAnsi="Times New Roman" w:cs="宋体"/>
          <w:sz w:val="24"/>
          <w:lang w:eastAsia="zh-CN"/>
        </w:rPr>
        <w:t>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申报资料中明确说明对器械进行的所有</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申报资料中应包含以下属性的详细描述：</w:t>
      </w:r>
    </w:p>
    <w:p w14:paraId="570DB6E6" w14:textId="77777777" w:rsidR="000460CB" w:rsidRPr="00AC2BA5" w:rsidRDefault="00B8550C" w:rsidP="000102EB">
      <w:pPr>
        <w:pStyle w:val="a4"/>
        <w:numPr>
          <w:ilvl w:val="0"/>
          <w:numId w:val="9"/>
        </w:numPr>
        <w:adjustRightInd w:val="0"/>
        <w:snapToGrid w:val="0"/>
        <w:spacing w:beforeLines="50" w:before="120" w:line="300" w:lineRule="auto"/>
        <w:ind w:left="1276"/>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研究目的</w:t>
      </w:r>
      <w:proofErr w:type="spellEnd"/>
    </w:p>
    <w:p w14:paraId="442E72FE" w14:textId="77777777" w:rsidR="000460CB" w:rsidRPr="00AC2BA5" w:rsidRDefault="00B8550C" w:rsidP="000102EB">
      <w:pPr>
        <w:pStyle w:val="a4"/>
        <w:numPr>
          <w:ilvl w:val="0"/>
          <w:numId w:val="9"/>
        </w:numPr>
        <w:adjustRightInd w:val="0"/>
        <w:snapToGrid w:val="0"/>
        <w:spacing w:beforeLines="50" w:before="120" w:line="300" w:lineRule="auto"/>
        <w:ind w:left="1276"/>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研究方案</w:t>
      </w:r>
      <w:proofErr w:type="spellEnd"/>
    </w:p>
    <w:p w14:paraId="44FE4128" w14:textId="77777777" w:rsidR="000460CB" w:rsidRPr="00AC2BA5" w:rsidRDefault="00B8550C" w:rsidP="000102EB">
      <w:pPr>
        <w:pStyle w:val="a4"/>
        <w:numPr>
          <w:ilvl w:val="0"/>
          <w:numId w:val="9"/>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将样本加到试纸上的方法</w:t>
      </w:r>
    </w:p>
    <w:p w14:paraId="69166EED" w14:textId="77777777" w:rsidR="000460CB" w:rsidRPr="00AC2BA5" w:rsidRDefault="00B8550C" w:rsidP="000102EB">
      <w:pPr>
        <w:pStyle w:val="a4"/>
        <w:numPr>
          <w:ilvl w:val="0"/>
          <w:numId w:val="9"/>
        </w:numPr>
        <w:adjustRightInd w:val="0"/>
        <w:snapToGrid w:val="0"/>
        <w:spacing w:beforeLines="50" w:before="120" w:line="300" w:lineRule="auto"/>
        <w:ind w:left="1276"/>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样本类型和所用抗凝剂</w:t>
      </w:r>
      <w:proofErr w:type="spellEnd"/>
    </w:p>
    <w:p w14:paraId="1CAA5A4F" w14:textId="77777777" w:rsidR="000460CB" w:rsidRPr="00AC2BA5" w:rsidRDefault="00B8550C" w:rsidP="000102EB">
      <w:pPr>
        <w:pStyle w:val="a4"/>
        <w:numPr>
          <w:ilvl w:val="0"/>
          <w:numId w:val="9"/>
        </w:numPr>
        <w:adjustRightInd w:val="0"/>
        <w:snapToGrid w:val="0"/>
        <w:spacing w:beforeLines="50" w:before="120" w:line="300" w:lineRule="auto"/>
        <w:ind w:left="1276"/>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研究结果</w:t>
      </w:r>
      <w:proofErr w:type="spellEnd"/>
    </w:p>
    <w:p w14:paraId="4E5744DE" w14:textId="77777777" w:rsidR="0050117E" w:rsidRPr="00AC2BA5" w:rsidRDefault="00B8550C" w:rsidP="000102EB">
      <w:pPr>
        <w:pStyle w:val="a4"/>
        <w:numPr>
          <w:ilvl w:val="0"/>
          <w:numId w:val="9"/>
        </w:numPr>
        <w:adjustRightInd w:val="0"/>
        <w:snapToGrid w:val="0"/>
        <w:spacing w:beforeLines="50" w:before="120" w:line="300" w:lineRule="auto"/>
        <w:ind w:left="1276"/>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从研究中得出的结论</w:t>
      </w:r>
      <w:proofErr w:type="spellEnd"/>
    </w:p>
    <w:p w14:paraId="04F9CD06" w14:textId="3074DB6A"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本机构还确定了其他</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研究（如下所述），建议开展这些研究以证明系统在预期使用环境中有足够的性能。这些建议的</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研究以及建议的研究设计列表见下文第</w:t>
      </w:r>
      <w:r w:rsidRPr="00AC2BA5">
        <w:rPr>
          <w:rFonts w:ascii="Times New Roman" w:eastAsia="宋体" w:hAnsi="Times New Roman" w:cs="宋体"/>
          <w:sz w:val="24"/>
          <w:lang w:eastAsia="zh-CN"/>
        </w:rPr>
        <w:t>1-8</w:t>
      </w:r>
      <w:r w:rsidRPr="00AC2BA5">
        <w:rPr>
          <w:rFonts w:ascii="Times New Roman" w:eastAsia="宋体" w:hAnsi="Times New Roman" w:cs="宋体"/>
          <w:sz w:val="24"/>
          <w:lang w:eastAsia="zh-CN"/>
        </w:rPr>
        <w:t>小节。这些</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研究应使用新鲜静脉或毛细血管全血样本而非</w:t>
      </w:r>
      <w:proofErr w:type="gramStart"/>
      <w:r w:rsidRPr="00AC2BA5">
        <w:rPr>
          <w:rFonts w:ascii="Times New Roman" w:eastAsia="宋体" w:hAnsi="Times New Roman" w:cs="宋体"/>
          <w:sz w:val="24"/>
          <w:lang w:eastAsia="zh-CN"/>
        </w:rPr>
        <w:t>质控品溶液</w:t>
      </w:r>
      <w:proofErr w:type="gramEnd"/>
      <w:r w:rsidRPr="00AC2BA5">
        <w:rPr>
          <w:rFonts w:ascii="Times New Roman" w:eastAsia="宋体" w:hAnsi="Times New Roman" w:cs="宋体"/>
          <w:sz w:val="24"/>
          <w:lang w:eastAsia="zh-CN"/>
        </w:rPr>
        <w:t>进行。</w:t>
      </w:r>
    </w:p>
    <w:p w14:paraId="7E3B0085" w14:textId="77777777" w:rsidR="000460CB" w:rsidRPr="00AC2BA5" w:rsidRDefault="0050117E" w:rsidP="000102EB">
      <w:pPr>
        <w:pStyle w:val="31"/>
        <w:rPr>
          <w:rFonts w:eastAsia="宋体"/>
          <w:u w:val="single"/>
          <w:lang w:eastAsia="zh-CN"/>
        </w:rPr>
      </w:pPr>
      <w:bookmarkStart w:id="24" w:name="_Toc91871177"/>
      <w:r w:rsidRPr="00AC2BA5">
        <w:rPr>
          <w:rFonts w:eastAsia="宋体" w:cs="宋体"/>
          <w:lang w:eastAsia="zh-CN"/>
        </w:rPr>
        <w:t>1.</w:t>
      </w:r>
      <w:r w:rsidRPr="00AC2BA5">
        <w:rPr>
          <w:rFonts w:eastAsia="宋体" w:cs="宋体"/>
          <w:lang w:eastAsia="zh-CN"/>
        </w:rPr>
        <w:tab/>
      </w:r>
      <w:r w:rsidRPr="00AC2BA5">
        <w:rPr>
          <w:rFonts w:eastAsia="宋体" w:cs="宋体"/>
          <w:u w:val="single"/>
          <w:lang w:eastAsia="zh-CN"/>
        </w:rPr>
        <w:t>试纸稳定性试验</w:t>
      </w:r>
      <w:bookmarkEnd w:id="24"/>
    </w:p>
    <w:p w14:paraId="388FE800" w14:textId="05DD8120"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应对所有试纸稳定性声明（包括封闭瓶和开瓶声明）执行试纸性能评估研究。应执行两项研究以支持试纸的稳定性：</w:t>
      </w:r>
      <w:r w:rsidRPr="00AC2BA5">
        <w:rPr>
          <w:rFonts w:ascii="Times New Roman" w:eastAsia="宋体" w:hAnsi="Times New Roman" w:cs="宋体"/>
          <w:sz w:val="24"/>
          <w:lang w:eastAsia="zh-CN"/>
        </w:rPr>
        <w:t>1</w:t>
      </w:r>
      <w:r w:rsidR="007E6307">
        <w:rPr>
          <w:rFonts w:ascii="Times New Roman" w:eastAsia="宋体" w:hAnsi="Times New Roman" w:cs="宋体"/>
          <w:sz w:val="24"/>
          <w:lang w:eastAsia="zh-CN"/>
        </w:rPr>
        <w:t>）</w:t>
      </w:r>
      <w:r w:rsidR="00D018C0" w:rsidRPr="00AC2BA5">
        <w:rPr>
          <w:rFonts w:ascii="Times New Roman" w:eastAsia="宋体" w:hAnsi="Times New Roman" w:cs="宋体"/>
          <w:sz w:val="24"/>
          <w:lang w:eastAsia="zh-CN"/>
        </w:rPr>
        <w:t>封</w:t>
      </w:r>
      <w:r w:rsidRPr="00AC2BA5">
        <w:rPr>
          <w:rFonts w:ascii="Times New Roman" w:eastAsia="宋体" w:hAnsi="Times New Roman" w:cs="宋体"/>
          <w:sz w:val="24"/>
          <w:lang w:eastAsia="zh-CN"/>
        </w:rPr>
        <w:t>闭瓶稳定性（货架寿命）研究，用于在涵盖建议储存条件的不同温度和湿度组合下，评估在整个声明有效期内</w:t>
      </w:r>
      <w:r w:rsidR="00D018C0" w:rsidRPr="00AC2BA5">
        <w:rPr>
          <w:rFonts w:ascii="Times New Roman" w:eastAsia="宋体" w:hAnsi="Times New Roman" w:cs="宋体"/>
          <w:sz w:val="24"/>
          <w:lang w:eastAsia="zh-CN"/>
        </w:rPr>
        <w:t>封</w:t>
      </w:r>
      <w:r w:rsidRPr="00AC2BA5">
        <w:rPr>
          <w:rFonts w:ascii="Times New Roman" w:eastAsia="宋体" w:hAnsi="Times New Roman" w:cs="宋体"/>
          <w:sz w:val="24"/>
          <w:lang w:eastAsia="zh-CN"/>
        </w:rPr>
        <w:t>闭瓶储存的小瓶的建议货架寿命和条件；和</w:t>
      </w:r>
      <w:r w:rsidRPr="00AC2BA5">
        <w:rPr>
          <w:rFonts w:ascii="Times New Roman" w:eastAsia="宋体" w:hAnsi="Times New Roman" w:cs="宋体"/>
          <w:sz w:val="24"/>
          <w:lang w:eastAsia="zh-CN"/>
        </w:rPr>
        <w:t>2</w:t>
      </w:r>
      <w:r w:rsidR="007E6307">
        <w:rPr>
          <w:rFonts w:ascii="Times New Roman" w:eastAsia="宋体" w:hAnsi="Times New Roman" w:cs="宋体"/>
          <w:sz w:val="24"/>
          <w:lang w:eastAsia="zh-CN"/>
        </w:rPr>
        <w:t>）</w:t>
      </w:r>
      <w:r w:rsidRPr="00AC2BA5">
        <w:rPr>
          <w:rFonts w:ascii="Times New Roman" w:eastAsia="宋体" w:hAnsi="Times New Roman" w:cs="宋体"/>
          <w:sz w:val="24"/>
          <w:lang w:eastAsia="zh-CN"/>
        </w:rPr>
        <w:t>开瓶稳定性研究，用于模拟试纸的实际使用条件，其中小瓶在声明的开瓶使用寿命期间被打开和关闭，并在涵盖建议储存条件的不同温度和湿度组合下储存。</w:t>
      </w:r>
      <w:r w:rsidR="00D2299A">
        <w:rPr>
          <w:rFonts w:ascii="Times New Roman" w:eastAsia="宋体" w:hAnsi="Times New Roman" w:cs="宋体"/>
          <w:sz w:val="24"/>
          <w:lang w:eastAsia="zh-CN"/>
        </w:rPr>
        <w:t>建议</w:t>
      </w:r>
      <w:r w:rsidRPr="00AC2BA5">
        <w:rPr>
          <w:rFonts w:ascii="Times New Roman" w:eastAsia="宋体" w:hAnsi="Times New Roman" w:cs="宋体"/>
          <w:sz w:val="24"/>
          <w:lang w:eastAsia="zh-CN"/>
        </w:rPr>
        <w:t>仅提交这些试纸稳定性评估的研究方案、验收标准以及任何已完成的研究的结论。</w:t>
      </w:r>
    </w:p>
    <w:p w14:paraId="03C4213E"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163C07D1"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这些研究（货架寿命和开瓶稳定性）应设计为涵盖声明的温度范围和湿度范围，并在相应声明持续时间内的不同时间点进行。应在方案中规定评估时间点（例如，</w:t>
      </w:r>
      <w:r w:rsidRPr="00AC2BA5">
        <w:rPr>
          <w:rFonts w:ascii="Times New Roman" w:eastAsia="宋体" w:hAnsi="Times New Roman" w:cs="宋体"/>
          <w:sz w:val="24"/>
          <w:lang w:eastAsia="zh-CN"/>
        </w:rPr>
        <w:t>1</w:t>
      </w:r>
      <w:r w:rsidRPr="00AC2BA5">
        <w:rPr>
          <w:rFonts w:ascii="Times New Roman" w:eastAsia="宋体" w:hAnsi="Times New Roman" w:cs="宋体"/>
          <w:sz w:val="24"/>
          <w:lang w:eastAsia="zh-CN"/>
        </w:rPr>
        <w:t>个月、</w:t>
      </w: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个月、</w:t>
      </w:r>
      <w:r w:rsidRPr="00AC2BA5">
        <w:rPr>
          <w:rFonts w:ascii="Times New Roman" w:eastAsia="宋体" w:hAnsi="Times New Roman" w:cs="宋体"/>
          <w:sz w:val="24"/>
          <w:lang w:eastAsia="zh-CN"/>
        </w:rPr>
        <w:t>2</w:t>
      </w:r>
      <w:r w:rsidRPr="00AC2BA5">
        <w:rPr>
          <w:rFonts w:ascii="Times New Roman" w:eastAsia="宋体" w:hAnsi="Times New Roman" w:cs="宋体"/>
          <w:sz w:val="24"/>
          <w:lang w:eastAsia="zh-CN"/>
        </w:rPr>
        <w:t>年）。可以采用实时和加速稳定性研究的组合。但是，如果提供了加速研究，则应有正在进行的实时研究，并应提供两种研究的方案和验收标准。</w:t>
      </w:r>
    </w:p>
    <w:p w14:paraId="18048A8F"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应在确定的每个时间点进行充分的精密度和准确度评价。以下仅作为此类研究的示例。通过这些评价，应证明这些研究中计算的精密度和准确度在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标示的性能范围内。</w:t>
      </w:r>
    </w:p>
    <w:p w14:paraId="01445B2E"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精密度评价：</w:t>
      </w:r>
    </w:p>
    <w:p w14:paraId="366AB546"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u w:val="single"/>
          <w:lang w:eastAsia="zh-CN"/>
        </w:rPr>
        <w:t>使用</w:t>
      </w:r>
      <w:proofErr w:type="gramStart"/>
      <w:r w:rsidRPr="00AC2BA5">
        <w:rPr>
          <w:rFonts w:ascii="Times New Roman" w:eastAsia="宋体" w:hAnsi="Times New Roman" w:cs="宋体"/>
          <w:sz w:val="24"/>
          <w:u w:val="single"/>
          <w:lang w:eastAsia="zh-CN"/>
        </w:rPr>
        <w:t>质控品时</w:t>
      </w:r>
      <w:proofErr w:type="gramEnd"/>
      <w:r w:rsidRPr="00AC2BA5">
        <w:rPr>
          <w:rFonts w:ascii="Times New Roman" w:eastAsia="宋体" w:hAnsi="Times New Roman" w:cs="宋体"/>
          <w:sz w:val="24"/>
          <w:u w:val="single"/>
          <w:lang w:eastAsia="zh-CN"/>
        </w:rPr>
        <w:t>的精密度</w:t>
      </w:r>
    </w:p>
    <w:p w14:paraId="36B915CC" w14:textId="77777777" w:rsidR="0050117E" w:rsidRPr="00AC2BA5" w:rsidRDefault="00B8550C" w:rsidP="000102EB">
      <w:pPr>
        <w:adjustRightInd w:val="0"/>
        <w:snapToGrid w:val="0"/>
        <w:spacing w:beforeLines="50" w:before="120" w:line="300" w:lineRule="auto"/>
        <w:ind w:leftChars="386" w:left="849"/>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该研究应在</w:t>
      </w:r>
      <w:r w:rsidRPr="00AC2BA5">
        <w:rPr>
          <w:rFonts w:ascii="Times New Roman" w:eastAsia="宋体" w:hAnsi="Times New Roman" w:cs="宋体"/>
          <w:sz w:val="24"/>
          <w:lang w:eastAsia="zh-CN"/>
        </w:rPr>
        <w:t>5</w:t>
      </w:r>
      <w:r w:rsidRPr="00AC2BA5">
        <w:rPr>
          <w:rFonts w:ascii="Times New Roman" w:eastAsia="宋体" w:hAnsi="Times New Roman" w:cs="宋体"/>
          <w:sz w:val="24"/>
          <w:lang w:eastAsia="zh-CN"/>
        </w:rPr>
        <w:t>天内完成，并使用血糖质控品。研究中应至少使用</w:t>
      </w:r>
      <w:r w:rsidRPr="00AC2BA5">
        <w:rPr>
          <w:rFonts w:ascii="Times New Roman" w:eastAsia="宋体" w:hAnsi="Times New Roman" w:cs="宋体"/>
          <w:sz w:val="24"/>
          <w:lang w:eastAsia="zh-CN"/>
        </w:rPr>
        <w:t>2</w:t>
      </w:r>
      <w:r w:rsidRPr="00AC2BA5">
        <w:rPr>
          <w:rFonts w:ascii="Times New Roman" w:eastAsia="宋体" w:hAnsi="Times New Roman" w:cs="宋体"/>
          <w:sz w:val="24"/>
          <w:lang w:eastAsia="zh-CN"/>
        </w:rPr>
        <w:t>台血糖仪，对于每个</w:t>
      </w:r>
      <w:proofErr w:type="gramStart"/>
      <w:r w:rsidRPr="00AC2BA5">
        <w:rPr>
          <w:rFonts w:ascii="Times New Roman" w:eastAsia="宋体" w:hAnsi="Times New Roman" w:cs="宋体"/>
          <w:sz w:val="24"/>
          <w:lang w:eastAsia="zh-CN"/>
        </w:rPr>
        <w:t>质控品血糖</w:t>
      </w:r>
      <w:proofErr w:type="gramEnd"/>
      <w:r w:rsidRPr="00AC2BA5">
        <w:rPr>
          <w:rFonts w:ascii="Times New Roman" w:eastAsia="宋体" w:hAnsi="Times New Roman" w:cs="宋体"/>
          <w:sz w:val="24"/>
          <w:lang w:eastAsia="zh-CN"/>
        </w:rPr>
        <w:t>水平，每台血糖仪应至少进行</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次测量。</w:t>
      </w:r>
    </w:p>
    <w:p w14:paraId="75861078"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u w:val="single"/>
          <w:lang w:eastAsia="zh-CN"/>
        </w:rPr>
        <w:t>使用全血样本时的精密度</w:t>
      </w:r>
    </w:p>
    <w:p w14:paraId="3332B1DF" w14:textId="77777777" w:rsidR="0050117E" w:rsidRPr="00AC2BA5" w:rsidRDefault="00B8550C" w:rsidP="000102EB">
      <w:pPr>
        <w:adjustRightInd w:val="0"/>
        <w:snapToGrid w:val="0"/>
        <w:spacing w:beforeLines="50" w:before="120" w:line="300" w:lineRule="auto"/>
        <w:ind w:leftChars="386" w:left="849"/>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该研究应使用涵盖</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声明的测量范围的全血样本。可以通过加入葡萄糖或糖酵解来处理样本，以评价系统声明的测量范围的极限值。研究中应至少使用</w:t>
      </w:r>
      <w:r w:rsidRPr="00AC2BA5">
        <w:rPr>
          <w:rFonts w:ascii="Times New Roman" w:eastAsia="宋体" w:hAnsi="Times New Roman" w:cs="宋体"/>
          <w:sz w:val="24"/>
          <w:lang w:eastAsia="zh-CN"/>
        </w:rPr>
        <w:t>2</w:t>
      </w:r>
      <w:r w:rsidRPr="00AC2BA5">
        <w:rPr>
          <w:rFonts w:ascii="Times New Roman" w:eastAsia="宋体" w:hAnsi="Times New Roman" w:cs="宋体"/>
          <w:sz w:val="24"/>
          <w:lang w:eastAsia="zh-CN"/>
        </w:rPr>
        <w:t>台血糖仪，对于每个血糖水平，每台血糖仪应至少进行</w:t>
      </w:r>
      <w:r w:rsidRPr="00AC2BA5">
        <w:rPr>
          <w:rFonts w:ascii="Times New Roman" w:eastAsia="宋体" w:hAnsi="Times New Roman" w:cs="宋体"/>
          <w:sz w:val="24"/>
          <w:lang w:eastAsia="zh-CN"/>
        </w:rPr>
        <w:t>10</w:t>
      </w:r>
      <w:r w:rsidRPr="00AC2BA5">
        <w:rPr>
          <w:rFonts w:ascii="Times New Roman" w:eastAsia="宋体" w:hAnsi="Times New Roman" w:cs="宋体"/>
          <w:sz w:val="24"/>
          <w:lang w:eastAsia="zh-CN"/>
        </w:rPr>
        <w:t>次测量。</w:t>
      </w:r>
    </w:p>
    <w:p w14:paraId="3ADE8F9B" w14:textId="77777777" w:rsidR="000460CB"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i/>
          <w:sz w:val="24"/>
          <w:lang w:eastAsia="zh-CN"/>
        </w:rPr>
        <w:t>准确度评价：</w:t>
      </w:r>
    </w:p>
    <w:p w14:paraId="0737EDC0"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该研究应使用涵盖</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声明的测量范围的全血样本进行。可以向样本中加入已知浓度的葡萄糖，或使其糖酵解，以达到所需的浓度，从而评价系统测量范围的极限值。应使用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测量涵盖声明测量范围的血糖浓度（例如，</w:t>
      </w:r>
      <w:r w:rsidRPr="00AC2BA5">
        <w:rPr>
          <w:rFonts w:ascii="Times New Roman" w:eastAsia="宋体" w:hAnsi="Times New Roman" w:cs="宋体"/>
          <w:sz w:val="24"/>
          <w:lang w:eastAsia="zh-CN"/>
        </w:rPr>
        <w:t>30-50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100-150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200-300</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350-500 mg/dL</w:t>
      </w:r>
      <w:r w:rsidRPr="00AC2BA5">
        <w:rPr>
          <w:rFonts w:ascii="Times New Roman" w:eastAsia="宋体" w:hAnsi="Times New Roman" w:cs="宋体"/>
          <w:sz w:val="24"/>
          <w:lang w:eastAsia="zh-CN"/>
        </w:rPr>
        <w:t>），并与对照方法测得的值进行比较。</w:t>
      </w:r>
    </w:p>
    <w:p w14:paraId="07A89A52" w14:textId="77777777" w:rsidR="000460CB" w:rsidRPr="00AC2BA5" w:rsidRDefault="0050117E" w:rsidP="000102EB">
      <w:pPr>
        <w:pStyle w:val="31"/>
        <w:rPr>
          <w:rFonts w:eastAsia="宋体"/>
          <w:u w:val="single"/>
          <w:lang w:eastAsia="zh-CN"/>
        </w:rPr>
      </w:pPr>
      <w:bookmarkStart w:id="25" w:name="_Toc91871178"/>
      <w:r w:rsidRPr="00AC2BA5">
        <w:rPr>
          <w:rFonts w:eastAsia="宋体" w:cs="宋体"/>
          <w:lang w:eastAsia="zh-CN"/>
        </w:rPr>
        <w:t>2.</w:t>
      </w:r>
      <w:r w:rsidRPr="00AC2BA5">
        <w:rPr>
          <w:rFonts w:eastAsia="宋体" w:cs="宋体"/>
          <w:lang w:eastAsia="zh-CN"/>
        </w:rPr>
        <w:tab/>
      </w:r>
      <w:r w:rsidRPr="00AC2BA5">
        <w:rPr>
          <w:rFonts w:eastAsia="宋体" w:cs="宋体"/>
          <w:u w:val="single"/>
          <w:lang w:eastAsia="zh-CN"/>
        </w:rPr>
        <w:t>系统工作条件测试</w:t>
      </w:r>
      <w:bookmarkEnd w:id="25"/>
    </w:p>
    <w:p w14:paraId="6A34FEC6" w14:textId="0E122FA0"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应开展研究，评估</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在各种工作温度和湿度条件下使用时的性能。这些研究的设计应代表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用户所经历的实际使用条件。测试的温度和湿度范围不仅应涵盖可充分反映预期使用环境的以及器械标签中规定的工作条件范围，还应包括声明工作条件范围以外的范围，以对</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进行压力测试。测试应包括四个极端温度和湿度组合（高温</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低湿度、低温</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高湿度、高温</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高湿度、低温</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低湿度）或其他测试组合（如果可以提供适当理由）。应将在不同工作温度和湿度条件下使用</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w:t>
      </w:r>
      <w:proofErr w:type="gramStart"/>
      <w:r w:rsidRPr="00AC2BA5">
        <w:rPr>
          <w:rFonts w:ascii="Times New Roman" w:eastAsia="宋体" w:hAnsi="Times New Roman" w:cs="宋体"/>
          <w:sz w:val="24"/>
          <w:lang w:eastAsia="zh-CN"/>
        </w:rPr>
        <w:t>测量全血样本得到</w:t>
      </w:r>
      <w:proofErr w:type="gramEnd"/>
      <w:r w:rsidRPr="00AC2BA5">
        <w:rPr>
          <w:rFonts w:ascii="Times New Roman" w:eastAsia="宋体" w:hAnsi="Times New Roman" w:cs="宋体"/>
          <w:sz w:val="24"/>
          <w:lang w:eastAsia="zh-CN"/>
        </w:rPr>
        <w:t>的结果与在</w:t>
      </w:r>
      <w:r w:rsidR="001543C2">
        <w:rPr>
          <w:rFonts w:ascii="Times New Roman" w:eastAsia="宋体" w:hAnsi="Times New Roman" w:cs="宋体"/>
          <w:sz w:val="24"/>
          <w:lang w:eastAsia="zh-CN"/>
        </w:rPr>
        <w:t>正常</w:t>
      </w:r>
      <w:r w:rsidRPr="00AC2BA5">
        <w:rPr>
          <w:rFonts w:ascii="Times New Roman" w:eastAsia="宋体" w:hAnsi="Times New Roman" w:cs="宋体"/>
          <w:sz w:val="24"/>
          <w:lang w:eastAsia="zh-CN"/>
        </w:rPr>
        <w:t>条件（例如</w:t>
      </w:r>
      <w:r w:rsidRPr="00AC2BA5">
        <w:rPr>
          <w:rFonts w:ascii="Times New Roman" w:eastAsia="宋体" w:hAnsi="Times New Roman" w:cs="宋体"/>
          <w:sz w:val="24"/>
          <w:lang w:eastAsia="zh-CN"/>
        </w:rPr>
        <w:t>23°C</w:t>
      </w:r>
      <w:r w:rsidRPr="00AC2BA5">
        <w:rPr>
          <w:rFonts w:ascii="Times New Roman" w:eastAsia="宋体" w:hAnsi="Times New Roman" w:cs="宋体"/>
          <w:sz w:val="24"/>
          <w:lang w:eastAsia="zh-CN"/>
        </w:rPr>
        <w:t>、相对湿度</w:t>
      </w:r>
      <w:r w:rsidRPr="00AC2BA5">
        <w:rPr>
          <w:rFonts w:ascii="Times New Roman" w:eastAsia="宋体" w:hAnsi="Times New Roman" w:cs="宋体"/>
          <w:sz w:val="24"/>
          <w:lang w:eastAsia="zh-CN"/>
        </w:rPr>
        <w:t>40%</w:t>
      </w:r>
      <w:r w:rsidRPr="00AC2BA5">
        <w:rPr>
          <w:rFonts w:ascii="Times New Roman" w:eastAsia="宋体" w:hAnsi="Times New Roman" w:cs="宋体"/>
          <w:sz w:val="24"/>
          <w:lang w:eastAsia="zh-CN"/>
        </w:rPr>
        <w:t>）下使用</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器械获得的值进行比较。</w:t>
      </w:r>
    </w:p>
    <w:p w14:paraId="0E1EDA9C"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50B53CA2" w14:textId="6AB9D6DA"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如果本文件中概述的温度和湿度研究仅使用经过适当储存条件和可能的最长运输时间（均由制造商规定）的包装好的血糖仪和血糖试纸，则无需对试纸和血糖</w:t>
      </w:r>
      <w:proofErr w:type="gramStart"/>
      <w:r w:rsidRPr="00AC2BA5">
        <w:rPr>
          <w:rFonts w:ascii="Times New Roman" w:eastAsia="宋体" w:hAnsi="Times New Roman" w:cs="宋体"/>
          <w:sz w:val="24"/>
          <w:lang w:eastAsia="zh-CN"/>
        </w:rPr>
        <w:t>仪运输</w:t>
      </w:r>
      <w:proofErr w:type="gramEnd"/>
      <w:r w:rsidRPr="00AC2BA5">
        <w:rPr>
          <w:rFonts w:ascii="Times New Roman" w:eastAsia="宋体" w:hAnsi="Times New Roman" w:cs="宋体"/>
          <w:sz w:val="24"/>
          <w:lang w:eastAsia="zh-CN"/>
        </w:rPr>
        <w:t>和储存条件单独测试。</w:t>
      </w:r>
    </w:p>
    <w:p w14:paraId="53E3E1E6" w14:textId="250C15AC"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申报资料中还应包括从统计分析中排除的任何已识别的离群值、离群值识别方法和离群值研究结果的总结。</w:t>
      </w:r>
    </w:p>
    <w:p w14:paraId="685E2698" w14:textId="76745F34"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本机构还鼓励制造商</w:t>
      </w:r>
      <w:r w:rsidR="001543C2">
        <w:rPr>
          <w:rFonts w:ascii="Times New Roman" w:eastAsia="宋体" w:hAnsi="Times New Roman" w:cs="宋体" w:hint="eastAsia"/>
          <w:sz w:val="24"/>
          <w:lang w:eastAsia="zh-CN"/>
        </w:rPr>
        <w:t>设法</w:t>
      </w:r>
      <w:r w:rsidRPr="00AC2BA5">
        <w:rPr>
          <w:rFonts w:ascii="Times New Roman" w:eastAsia="宋体" w:hAnsi="Times New Roman" w:cs="宋体"/>
          <w:sz w:val="24"/>
          <w:lang w:eastAsia="zh-CN"/>
        </w:rPr>
        <w:t>将温度和</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或湿度检测器放入试纸容器中，以便在试纸未按建议和经过确认的条件正确搬运或储存时提醒用户。</w:t>
      </w:r>
    </w:p>
    <w:p w14:paraId="7EFB8096" w14:textId="77777777" w:rsidR="000460CB" w:rsidRPr="00AC2BA5" w:rsidRDefault="0050117E" w:rsidP="000102EB">
      <w:pPr>
        <w:pStyle w:val="31"/>
        <w:rPr>
          <w:rFonts w:eastAsia="宋体"/>
          <w:lang w:eastAsia="zh-CN"/>
        </w:rPr>
      </w:pPr>
      <w:bookmarkStart w:id="26" w:name="_Toc91871179"/>
      <w:r w:rsidRPr="00AC2BA5">
        <w:rPr>
          <w:rFonts w:eastAsia="宋体" w:cs="宋体"/>
          <w:lang w:eastAsia="zh-CN"/>
        </w:rPr>
        <w:t>3.</w:t>
      </w:r>
      <w:r w:rsidRPr="00AC2BA5">
        <w:rPr>
          <w:rFonts w:eastAsia="宋体" w:cs="宋体"/>
          <w:lang w:eastAsia="zh-CN"/>
        </w:rPr>
        <w:tab/>
      </w:r>
      <w:r w:rsidRPr="00AC2BA5">
        <w:rPr>
          <w:rFonts w:eastAsia="宋体" w:cs="宋体"/>
          <w:u w:val="single"/>
          <w:lang w:eastAsia="zh-CN"/>
        </w:rPr>
        <w:t>海拔影响</w:t>
      </w:r>
      <w:bookmarkEnd w:id="26"/>
    </w:p>
    <w:p w14:paraId="118105DD"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相对于海平面，高海拔包括一组复杂的环境差异，并可能引起多种生理变化，其中任何一个或所有变化都可能干扰</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的性能。例如，高海拔通常涉及极端温度和湿度，可导致血细胞比容和血压的变化。在美国，</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的预期使用环境包括高海拔条件，因此，制造商应研究海拔对其</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器械的影响，或提供海拔对其</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性能无影响的依据。</w:t>
      </w:r>
    </w:p>
    <w:p w14:paraId="1DCA9D12" w14:textId="69755150"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海拔影响研究应将在不同海拔条件下用</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w:t>
      </w:r>
      <w:proofErr w:type="gramStart"/>
      <w:r w:rsidRPr="00AC2BA5">
        <w:rPr>
          <w:rFonts w:ascii="Times New Roman" w:eastAsia="宋体" w:hAnsi="Times New Roman" w:cs="宋体"/>
          <w:sz w:val="24"/>
          <w:lang w:eastAsia="zh-CN"/>
        </w:rPr>
        <w:t>测量全</w:t>
      </w:r>
      <w:proofErr w:type="gramEnd"/>
      <w:r w:rsidRPr="00AC2BA5">
        <w:rPr>
          <w:rFonts w:ascii="Times New Roman" w:eastAsia="宋体" w:hAnsi="Times New Roman" w:cs="宋体"/>
          <w:sz w:val="24"/>
          <w:lang w:eastAsia="zh-CN"/>
        </w:rPr>
        <w:t>血样本的结果与在</w:t>
      </w:r>
      <w:r w:rsidR="001543C2">
        <w:rPr>
          <w:rFonts w:ascii="Times New Roman" w:eastAsia="宋体" w:hAnsi="Times New Roman" w:cs="宋体" w:hint="eastAsia"/>
          <w:sz w:val="24"/>
          <w:lang w:eastAsia="zh-CN"/>
        </w:rPr>
        <w:t>正常</w:t>
      </w:r>
      <w:r w:rsidRPr="00AC2BA5">
        <w:rPr>
          <w:rFonts w:ascii="Times New Roman" w:eastAsia="宋体" w:hAnsi="Times New Roman" w:cs="宋体"/>
          <w:sz w:val="24"/>
          <w:lang w:eastAsia="zh-CN"/>
        </w:rPr>
        <w:t>条件（例如，海平面）下使用</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获得的值进行比较。这些研究还应包括压力变化。基于氧张力而不是压力变化的研究不够充分，因为氧张力只是随海拔高度变化的一个分量。可以通过物理增加海拔高度（例如，在飞机上、高山上）或通过在加压室内模拟海拔高度增加和大气条件来实现海拔压力变化。结果应支持器械的海拔高度标签声明。应提供术语定义，例如</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海平面</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。海平面的定义不应超过</w:t>
      </w:r>
      <w:r w:rsidRPr="00AC2BA5">
        <w:rPr>
          <w:rFonts w:ascii="Times New Roman" w:eastAsia="宋体" w:hAnsi="Times New Roman" w:cs="宋体"/>
          <w:sz w:val="24"/>
          <w:lang w:eastAsia="zh-CN"/>
        </w:rPr>
        <w:t>500</w:t>
      </w:r>
      <w:r w:rsidRPr="00AC2BA5">
        <w:rPr>
          <w:rFonts w:ascii="Times New Roman" w:eastAsia="宋体" w:hAnsi="Times New Roman" w:cs="宋体"/>
          <w:sz w:val="24"/>
          <w:lang w:eastAsia="zh-CN"/>
        </w:rPr>
        <w:t>英尺。应至少在海平面以上</w:t>
      </w:r>
      <w:r w:rsidRPr="00AC2BA5">
        <w:rPr>
          <w:rFonts w:ascii="Times New Roman" w:eastAsia="宋体" w:hAnsi="Times New Roman" w:cs="宋体"/>
          <w:sz w:val="24"/>
          <w:lang w:eastAsia="zh-CN"/>
        </w:rPr>
        <w:t>10,000</w:t>
      </w:r>
      <w:r w:rsidRPr="00AC2BA5">
        <w:rPr>
          <w:rFonts w:ascii="Times New Roman" w:eastAsia="宋体" w:hAnsi="Times New Roman" w:cs="宋体"/>
          <w:sz w:val="24"/>
          <w:lang w:eastAsia="zh-CN"/>
        </w:rPr>
        <w:t>英尺处检测</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w:t>
      </w:r>
    </w:p>
    <w:p w14:paraId="00F86E58" w14:textId="77777777" w:rsidR="0050117E" w:rsidRPr="00AC2BA5" w:rsidRDefault="0050117E" w:rsidP="000102EB">
      <w:pPr>
        <w:pStyle w:val="31"/>
        <w:rPr>
          <w:rFonts w:eastAsia="宋体"/>
          <w:u w:val="single"/>
          <w:lang w:eastAsia="zh-CN"/>
        </w:rPr>
      </w:pPr>
      <w:bookmarkStart w:id="27" w:name="_Toc91871180"/>
      <w:r w:rsidRPr="00AC2BA5">
        <w:rPr>
          <w:rFonts w:eastAsia="宋体" w:cs="宋体"/>
          <w:lang w:eastAsia="zh-CN"/>
        </w:rPr>
        <w:t>4.</w:t>
      </w:r>
      <w:r w:rsidRPr="00AC2BA5">
        <w:rPr>
          <w:rFonts w:eastAsia="宋体" w:cs="宋体"/>
          <w:lang w:eastAsia="zh-CN"/>
        </w:rPr>
        <w:tab/>
      </w:r>
      <w:r w:rsidRPr="00AC2BA5">
        <w:rPr>
          <w:rFonts w:eastAsia="宋体" w:cs="宋体"/>
          <w:u w:val="single"/>
          <w:lang w:eastAsia="zh-CN"/>
        </w:rPr>
        <w:t>超出测量范围的样本的错误代码</w:t>
      </w:r>
      <w:bookmarkEnd w:id="27"/>
    </w:p>
    <w:p w14:paraId="55ADDF4A" w14:textId="77777777" w:rsidR="00E830B4" w:rsidRPr="00AC2BA5" w:rsidRDefault="00E830B4"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bookmarkStart w:id="28" w:name="Short_Sample_Detection"/>
      <w:bookmarkStart w:id="29" w:name="Sample_Perturbation_Study"/>
      <w:bookmarkStart w:id="30" w:name="Intermittent_Sampling"/>
      <w:bookmarkEnd w:id="28"/>
      <w:bookmarkEnd w:id="29"/>
      <w:bookmarkEnd w:id="30"/>
    </w:p>
    <w:p w14:paraId="0A5BF201"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045FC052" w14:textId="257E6DCD"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应执行充分的分析，证明当测量的血糖浓度超出</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声明的测量范围时血糖仪可以提供适当的错误代码，并将这些结果纳入</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w:t>
      </w:r>
    </w:p>
    <w:p w14:paraId="6861C6DA" w14:textId="77777777" w:rsidR="000460CB" w:rsidRPr="00AC2BA5" w:rsidRDefault="0050117E" w:rsidP="000102EB">
      <w:pPr>
        <w:pStyle w:val="31"/>
        <w:rPr>
          <w:rFonts w:eastAsia="宋体"/>
          <w:u w:val="single"/>
          <w:lang w:eastAsia="zh-CN"/>
        </w:rPr>
      </w:pPr>
      <w:bookmarkStart w:id="31" w:name="_Toc91871181"/>
      <w:r w:rsidRPr="00AC2BA5">
        <w:rPr>
          <w:rFonts w:eastAsia="宋体" w:cs="宋体"/>
          <w:lang w:eastAsia="zh-CN"/>
        </w:rPr>
        <w:t>5.</w:t>
      </w:r>
      <w:r w:rsidRPr="00AC2BA5">
        <w:rPr>
          <w:rFonts w:eastAsia="宋体" w:cs="宋体"/>
          <w:lang w:eastAsia="zh-CN"/>
        </w:rPr>
        <w:tab/>
      </w:r>
      <w:r w:rsidRPr="00AC2BA5">
        <w:rPr>
          <w:rFonts w:eastAsia="宋体" w:cs="宋体"/>
          <w:u w:val="single"/>
          <w:lang w:eastAsia="zh-CN"/>
        </w:rPr>
        <w:t>样品短缺检测</w:t>
      </w:r>
      <w:bookmarkEnd w:id="31"/>
    </w:p>
    <w:p w14:paraId="0A169AD3"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用不足量的样本（血液体积减少的样本）测量血糖可能导致结果不准确。为了避免结果不准确的风险，</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应在不足量的血液样本被加到试纸上能够检测到，并且应该不向用户提供结果。不足量样本检测系统不应依赖于用户的目视验证。</w:t>
      </w:r>
    </w:p>
    <w:p w14:paraId="203E4D46" w14:textId="7F525F03"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将检测样本归类为不足量样本的体积标准取决于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器械。在不足量样本检测研究中，应使用已知血糖浓度在以下三个范围内的血样：</w:t>
      </w:r>
      <w:r w:rsidRPr="00AC2BA5">
        <w:rPr>
          <w:rFonts w:ascii="Times New Roman" w:eastAsia="宋体" w:hAnsi="Times New Roman" w:cs="宋体"/>
          <w:sz w:val="24"/>
          <w:lang w:eastAsia="zh-CN"/>
        </w:rPr>
        <w:t>50-65 mg/dL</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100-120 mg/dL</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200-250 mg/dL</w:t>
      </w:r>
      <w:r w:rsidRPr="00AC2BA5">
        <w:rPr>
          <w:rFonts w:ascii="Times New Roman" w:eastAsia="宋体" w:hAnsi="Times New Roman" w:cs="宋体"/>
          <w:sz w:val="24"/>
          <w:lang w:eastAsia="zh-CN"/>
        </w:rPr>
        <w:t>。应在上述每种血糖浓度下用</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检测血样。应将用</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器械获得的结果与在</w:t>
      </w:r>
      <w:r w:rsidR="001543C2">
        <w:rPr>
          <w:rFonts w:ascii="Times New Roman" w:eastAsia="宋体" w:hAnsi="Times New Roman" w:cs="宋体"/>
          <w:sz w:val="24"/>
          <w:lang w:eastAsia="zh-CN"/>
        </w:rPr>
        <w:t>正常</w:t>
      </w:r>
      <w:r w:rsidRPr="00AC2BA5">
        <w:rPr>
          <w:rFonts w:ascii="Times New Roman" w:eastAsia="宋体" w:hAnsi="Times New Roman" w:cs="宋体"/>
          <w:sz w:val="24"/>
          <w:lang w:eastAsia="zh-CN"/>
        </w:rPr>
        <w:t>条件（例如声明的最小样本体积）下使用</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器械获得的结果进行比较。应在器械上对体积连续减少的血样进行测量，直至</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生成错误或检测结果超出声明的器械性能特征范围。在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申报资料中，应描述</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器械在检测和</w:t>
      </w:r>
      <w:r w:rsidR="001543C2">
        <w:rPr>
          <w:rFonts w:ascii="Times New Roman" w:eastAsia="宋体" w:hAnsi="Times New Roman" w:cs="宋体"/>
          <w:sz w:val="24"/>
          <w:lang w:eastAsia="zh-CN"/>
        </w:rPr>
        <w:t>正常</w:t>
      </w:r>
      <w:r w:rsidRPr="00AC2BA5">
        <w:rPr>
          <w:rFonts w:ascii="Times New Roman" w:eastAsia="宋体" w:hAnsi="Times New Roman" w:cs="宋体"/>
          <w:sz w:val="24"/>
          <w:lang w:eastAsia="zh-CN"/>
        </w:rPr>
        <w:t>条件下获得的结果，并包括针对每种血糖浓度范围检测的样本体积。</w:t>
      </w:r>
    </w:p>
    <w:p w14:paraId="112727E3" w14:textId="77777777" w:rsidR="000460CB" w:rsidRPr="00AC2BA5" w:rsidRDefault="0050117E" w:rsidP="000102EB">
      <w:pPr>
        <w:pStyle w:val="31"/>
        <w:rPr>
          <w:rFonts w:eastAsia="宋体"/>
          <w:u w:val="single"/>
          <w:lang w:eastAsia="zh-CN"/>
        </w:rPr>
      </w:pPr>
      <w:bookmarkStart w:id="32" w:name="_Toc91871182"/>
      <w:r w:rsidRPr="00AC2BA5">
        <w:rPr>
          <w:rFonts w:eastAsia="宋体" w:cs="宋体"/>
          <w:lang w:eastAsia="zh-CN"/>
        </w:rPr>
        <w:t>6.</w:t>
      </w:r>
      <w:r w:rsidRPr="00AC2BA5">
        <w:rPr>
          <w:rFonts w:eastAsia="宋体" w:cs="宋体"/>
          <w:lang w:eastAsia="zh-CN"/>
        </w:rPr>
        <w:tab/>
      </w:r>
      <w:r w:rsidRPr="00AC2BA5">
        <w:rPr>
          <w:rFonts w:eastAsia="宋体" w:cs="宋体"/>
          <w:u w:val="single"/>
          <w:lang w:eastAsia="zh-CN"/>
        </w:rPr>
        <w:t>样本扰动研究</w:t>
      </w:r>
      <w:bookmarkEnd w:id="32"/>
    </w:p>
    <w:p w14:paraId="2631DE72" w14:textId="17CA43EB"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当用户将适当体积的血液加到试纸上进行血糖测量，但在测量开始期间发生诸如从试纸上吸走血液、试纸弹开或</w:t>
      </w:r>
      <w:proofErr w:type="gramStart"/>
      <w:r w:rsidRPr="00AC2BA5">
        <w:rPr>
          <w:rFonts w:ascii="Times New Roman" w:eastAsia="宋体" w:hAnsi="Times New Roman" w:cs="宋体"/>
          <w:sz w:val="24"/>
          <w:lang w:eastAsia="zh-CN"/>
        </w:rPr>
        <w:t>血糖仪弹开</w:t>
      </w:r>
      <w:proofErr w:type="gramEnd"/>
      <w:r w:rsidRPr="00AC2BA5">
        <w:rPr>
          <w:rFonts w:ascii="Times New Roman" w:eastAsia="宋体" w:hAnsi="Times New Roman" w:cs="宋体"/>
          <w:sz w:val="24"/>
          <w:lang w:eastAsia="zh-CN"/>
        </w:rPr>
        <w:t>等事件时会发生样本扰动，并改变初始加样体积。应通过样本扰动研究充分展示</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如何处理样本扰动。</w:t>
      </w:r>
    </w:p>
    <w:p w14:paraId="622F90FB" w14:textId="1613FACA"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在样本扰动研究中，应将样本加到试纸上，然后在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器械开始读取样本之后、测量完成之前扰动试纸。样本扰动研究应使用已知血糖浓度在以下三个范围内的血样：</w:t>
      </w:r>
      <w:r w:rsidRPr="00AC2BA5">
        <w:rPr>
          <w:rFonts w:ascii="Times New Roman" w:eastAsia="宋体" w:hAnsi="Times New Roman" w:cs="宋体"/>
          <w:sz w:val="24"/>
          <w:lang w:eastAsia="zh-CN"/>
        </w:rPr>
        <w:t>50-65 mg/dL</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100-120 mg/dL</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200-250 mg/dL</w:t>
      </w:r>
      <w:r w:rsidRPr="00AC2BA5">
        <w:rPr>
          <w:rFonts w:ascii="Times New Roman" w:eastAsia="宋体" w:hAnsi="Times New Roman" w:cs="宋体"/>
          <w:sz w:val="24"/>
          <w:lang w:eastAsia="zh-CN"/>
        </w:rPr>
        <w:t>。应在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申报资料中描述研究方案，包括扰动试验样本的具体方法，以及</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器械结果与在</w:t>
      </w:r>
      <w:r w:rsidR="001543C2">
        <w:rPr>
          <w:rFonts w:ascii="Times New Roman" w:eastAsia="宋体" w:hAnsi="Times New Roman" w:cs="宋体" w:hint="eastAsia"/>
          <w:sz w:val="24"/>
          <w:lang w:eastAsia="zh-CN"/>
        </w:rPr>
        <w:t>正常</w:t>
      </w:r>
      <w:r w:rsidRPr="00AC2BA5">
        <w:rPr>
          <w:rFonts w:ascii="Times New Roman" w:eastAsia="宋体" w:hAnsi="Times New Roman" w:cs="宋体"/>
          <w:sz w:val="24"/>
          <w:lang w:eastAsia="zh-CN"/>
        </w:rPr>
        <w:t>条件（例如没有扰动的试纸）下使用</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器械测得的结果的比较。</w:t>
      </w:r>
    </w:p>
    <w:p w14:paraId="55D9D7A8" w14:textId="77777777" w:rsidR="000460CB" w:rsidRPr="00AC2BA5" w:rsidRDefault="0050117E" w:rsidP="000102EB">
      <w:pPr>
        <w:pStyle w:val="31"/>
        <w:rPr>
          <w:rFonts w:eastAsia="宋体"/>
          <w:u w:val="single"/>
          <w:lang w:eastAsia="zh-CN"/>
        </w:rPr>
      </w:pPr>
      <w:bookmarkStart w:id="33" w:name="_Toc91871183"/>
      <w:r w:rsidRPr="00AC2BA5">
        <w:rPr>
          <w:rFonts w:eastAsia="宋体" w:cs="宋体"/>
          <w:lang w:eastAsia="zh-CN"/>
        </w:rPr>
        <w:t>7.</w:t>
      </w:r>
      <w:r w:rsidRPr="00AC2BA5">
        <w:rPr>
          <w:rFonts w:eastAsia="宋体" w:cs="宋体"/>
          <w:lang w:eastAsia="zh-CN"/>
        </w:rPr>
        <w:tab/>
      </w:r>
      <w:r w:rsidRPr="00AC2BA5">
        <w:rPr>
          <w:rFonts w:eastAsia="宋体" w:cs="宋体"/>
          <w:u w:val="single"/>
          <w:lang w:eastAsia="zh-CN"/>
        </w:rPr>
        <w:t>间歇采样</w:t>
      </w:r>
      <w:bookmarkEnd w:id="33"/>
    </w:p>
    <w:p w14:paraId="21332625" w14:textId="60F21373"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当将不足量样本加到试纸上、开始血糖测量且用户在血糖测量完成之前向试纸上添加更多样本时，间歇采样发生。应通过开展间歇采样研究充分展示</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如何处理间歇采样。</w:t>
      </w:r>
    </w:p>
    <w:p w14:paraId="424B1250"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550A5BBB" w14:textId="1788E53C"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间歇采样研究应使用已知血糖浓度在以下三个范围内的血样：</w:t>
      </w:r>
      <w:r w:rsidRPr="00AC2BA5">
        <w:rPr>
          <w:rFonts w:ascii="Times New Roman" w:eastAsia="宋体" w:hAnsi="Times New Roman" w:cs="宋体"/>
          <w:sz w:val="24"/>
          <w:lang w:eastAsia="zh-CN"/>
        </w:rPr>
        <w:t>50-65</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100-120</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200-250 mg/dL</w:t>
      </w:r>
      <w:r w:rsidRPr="00AC2BA5">
        <w:rPr>
          <w:rFonts w:ascii="Times New Roman" w:eastAsia="宋体" w:hAnsi="Times New Roman" w:cs="宋体"/>
          <w:sz w:val="24"/>
          <w:lang w:eastAsia="zh-CN"/>
        </w:rPr>
        <w:t>。应执行代表实际事件的间歇采样研究。例如，应在开始样本测量之前将大约一半的样本加到试纸上，然后在设定时间后（例如样本开始读取后）将另一半样本加到试纸上。对于允许将第二份血样添加到血糖试纸中而不产生错误信息的系统，应在样本开始读取之后、测量完成之前检测声明的整个第二次加</w:t>
      </w:r>
      <w:proofErr w:type="gramStart"/>
      <w:r w:rsidRPr="00AC2BA5">
        <w:rPr>
          <w:rFonts w:ascii="Times New Roman" w:eastAsia="宋体" w:hAnsi="Times New Roman" w:cs="宋体"/>
          <w:sz w:val="24"/>
          <w:lang w:eastAsia="zh-CN"/>
        </w:rPr>
        <w:t>样期间</w:t>
      </w:r>
      <w:proofErr w:type="gramEnd"/>
      <w:r w:rsidRPr="00AC2BA5">
        <w:rPr>
          <w:rFonts w:ascii="Times New Roman" w:eastAsia="宋体" w:hAnsi="Times New Roman" w:cs="宋体"/>
          <w:sz w:val="24"/>
          <w:lang w:eastAsia="zh-CN"/>
        </w:rPr>
        <w:t>的不同时间延迟。应在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申报资料中描述器械如何响应这种情况，包括是否报告结果、该结果是否准确（相对于</w:t>
      </w:r>
      <w:r w:rsidR="001543C2">
        <w:rPr>
          <w:rFonts w:ascii="Times New Roman" w:eastAsia="宋体" w:hAnsi="Times New Roman" w:cs="宋体"/>
          <w:sz w:val="24"/>
          <w:lang w:eastAsia="zh-CN"/>
        </w:rPr>
        <w:t>正常</w:t>
      </w:r>
      <w:r w:rsidRPr="00AC2BA5">
        <w:rPr>
          <w:rFonts w:ascii="Times New Roman" w:eastAsia="宋体" w:hAnsi="Times New Roman" w:cs="宋体"/>
          <w:sz w:val="24"/>
          <w:lang w:eastAsia="zh-CN"/>
        </w:rPr>
        <w:t>条件，例如声明的最小样本体积）以及何时报告错误代码。</w:t>
      </w:r>
    </w:p>
    <w:p w14:paraId="096DF884" w14:textId="77777777" w:rsidR="000460CB" w:rsidRPr="00AC2BA5" w:rsidRDefault="0050117E" w:rsidP="000102EB">
      <w:pPr>
        <w:pStyle w:val="31"/>
        <w:rPr>
          <w:rFonts w:eastAsia="宋体"/>
          <w:u w:val="single"/>
          <w:lang w:eastAsia="zh-CN"/>
        </w:rPr>
      </w:pPr>
      <w:bookmarkStart w:id="34" w:name="_Toc91871184"/>
      <w:r w:rsidRPr="00AC2BA5">
        <w:rPr>
          <w:rFonts w:eastAsia="宋体" w:cs="宋体"/>
          <w:lang w:eastAsia="zh-CN"/>
        </w:rPr>
        <w:t>8.</w:t>
      </w:r>
      <w:r w:rsidRPr="00AC2BA5">
        <w:rPr>
          <w:rFonts w:eastAsia="宋体" w:cs="宋体"/>
          <w:lang w:eastAsia="zh-CN"/>
        </w:rPr>
        <w:tab/>
      </w:r>
      <w:r w:rsidRPr="00AC2BA5">
        <w:rPr>
          <w:rFonts w:eastAsia="宋体" w:cs="宋体"/>
          <w:u w:val="single"/>
          <w:lang w:eastAsia="zh-CN"/>
        </w:rPr>
        <w:t>使用</w:t>
      </w:r>
      <w:proofErr w:type="gramStart"/>
      <w:r w:rsidRPr="00AC2BA5">
        <w:rPr>
          <w:rFonts w:eastAsia="宋体" w:cs="宋体"/>
          <w:u w:val="single"/>
          <w:lang w:eastAsia="zh-CN"/>
        </w:rPr>
        <w:t>用</w:t>
      </w:r>
      <w:proofErr w:type="gramEnd"/>
      <w:r w:rsidRPr="00AC2BA5">
        <w:rPr>
          <w:rFonts w:eastAsia="宋体" w:cs="宋体"/>
          <w:u w:val="single"/>
          <w:lang w:eastAsia="zh-CN"/>
        </w:rPr>
        <w:t>过的试纸进行检测</w:t>
      </w:r>
      <w:bookmarkEnd w:id="34"/>
    </w:p>
    <w:p w14:paraId="5AE3A2CA" w14:textId="79CEFE11"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应开展研究，证明在插入用过的试纸时，</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器械的性能。本机构建议</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器械的设计应能自动识别用过的试纸的插入。将用过的试纸插入</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中时不应向用户提供血糖测量结果。如果</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包含自动识别用过的试纸的功能，应开展</w:t>
      </w:r>
      <w:r w:rsidR="00AD1608">
        <w:rPr>
          <w:rFonts w:ascii="Times New Roman" w:eastAsia="宋体" w:hAnsi="Times New Roman" w:cs="宋体"/>
          <w:sz w:val="24"/>
          <w:lang w:eastAsia="zh-CN"/>
        </w:rPr>
        <w:t>稳定性</w:t>
      </w:r>
      <w:r w:rsidRPr="00AC2BA5">
        <w:rPr>
          <w:rFonts w:ascii="Times New Roman" w:eastAsia="宋体" w:hAnsi="Times New Roman" w:cs="宋体"/>
          <w:sz w:val="24"/>
          <w:lang w:eastAsia="zh-CN"/>
        </w:rPr>
        <w:t>研究，以证明该识别系统的功能。在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申报资料中，应提供研究方案、验收标准和用过的试纸研究的结果。</w:t>
      </w:r>
    </w:p>
    <w:p w14:paraId="69E8FA1E" w14:textId="77777777" w:rsidR="000460CB" w:rsidRPr="00AC2BA5" w:rsidRDefault="00B8550C" w:rsidP="000102EB">
      <w:pPr>
        <w:pStyle w:val="21"/>
        <w:rPr>
          <w:rFonts w:eastAsia="宋体"/>
          <w:lang w:eastAsia="zh-CN"/>
        </w:rPr>
      </w:pPr>
      <w:bookmarkStart w:id="35" w:name="_Toc91871185"/>
      <w:r w:rsidRPr="00AC2BA5">
        <w:rPr>
          <w:rFonts w:eastAsia="宋体" w:cs="宋体"/>
          <w:lang w:eastAsia="zh-CN"/>
        </w:rPr>
        <w:t>F.</w:t>
      </w:r>
      <w:r w:rsidRPr="00AC2BA5">
        <w:rPr>
          <w:rFonts w:eastAsia="宋体" w:cs="宋体"/>
          <w:lang w:eastAsia="zh-CN"/>
        </w:rPr>
        <w:tab/>
      </w:r>
      <w:r w:rsidRPr="00AC2BA5">
        <w:rPr>
          <w:rFonts w:eastAsia="宋体" w:cs="宋体"/>
          <w:lang w:eastAsia="zh-CN"/>
        </w:rPr>
        <w:t>血糖仪校准和质控品</w:t>
      </w:r>
      <w:bookmarkEnd w:id="35"/>
    </w:p>
    <w:p w14:paraId="29D04FD4"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用户可以使用</w:t>
      </w:r>
      <w:proofErr w:type="gramStart"/>
      <w:r w:rsidRPr="00AC2BA5">
        <w:rPr>
          <w:rFonts w:ascii="Times New Roman" w:eastAsia="宋体" w:hAnsi="Times New Roman" w:cs="宋体"/>
          <w:sz w:val="24"/>
          <w:lang w:eastAsia="zh-CN"/>
        </w:rPr>
        <w:t>外部质控品</w:t>
      </w:r>
      <w:proofErr w:type="gramEnd"/>
      <w:r w:rsidRPr="00AC2BA5">
        <w:rPr>
          <w:rFonts w:ascii="Times New Roman" w:eastAsia="宋体" w:hAnsi="Times New Roman" w:cs="宋体"/>
          <w:sz w:val="24"/>
          <w:lang w:eastAsia="zh-CN"/>
        </w:rPr>
        <w:t>溶液定期检查</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和试纸是否能够一起正常工作以及器械是否正确运行。应提倡用户使用</w:t>
      </w:r>
      <w:proofErr w:type="gramStart"/>
      <w:r w:rsidRPr="00AC2BA5">
        <w:rPr>
          <w:rFonts w:ascii="Times New Roman" w:eastAsia="宋体" w:hAnsi="Times New Roman" w:cs="宋体"/>
          <w:sz w:val="24"/>
          <w:lang w:eastAsia="zh-CN"/>
        </w:rPr>
        <w:t>外部质控品</w:t>
      </w:r>
      <w:proofErr w:type="gramEnd"/>
      <w:r w:rsidRPr="00AC2BA5">
        <w:rPr>
          <w:rFonts w:ascii="Times New Roman" w:eastAsia="宋体" w:hAnsi="Times New Roman" w:cs="宋体"/>
          <w:sz w:val="24"/>
          <w:lang w:eastAsia="zh-CN"/>
        </w:rPr>
        <w:t>溶液。应在标签中规定至少两个可供用户使用的</w:t>
      </w:r>
      <w:proofErr w:type="gramStart"/>
      <w:r w:rsidRPr="00AC2BA5">
        <w:rPr>
          <w:rFonts w:ascii="Times New Roman" w:eastAsia="宋体" w:hAnsi="Times New Roman" w:cs="宋体"/>
          <w:sz w:val="24"/>
          <w:lang w:eastAsia="zh-CN"/>
        </w:rPr>
        <w:t>质控品水平</w:t>
      </w:r>
      <w:proofErr w:type="gramEnd"/>
      <w:r w:rsidRPr="00AC2BA5">
        <w:rPr>
          <w:rFonts w:ascii="Times New Roman" w:eastAsia="宋体" w:hAnsi="Times New Roman" w:cs="宋体"/>
          <w:sz w:val="24"/>
          <w:lang w:eastAsia="zh-CN"/>
        </w:rPr>
        <w:t>。</w:t>
      </w:r>
    </w:p>
    <w:p w14:paraId="37934651" w14:textId="77777777"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提供的</w:t>
      </w:r>
      <w:proofErr w:type="gramStart"/>
      <w:r w:rsidRPr="00AC2BA5">
        <w:rPr>
          <w:rFonts w:ascii="Times New Roman" w:eastAsia="宋体" w:hAnsi="Times New Roman" w:cs="宋体"/>
          <w:sz w:val="24"/>
          <w:lang w:eastAsia="zh-CN"/>
        </w:rPr>
        <w:t>质控品溶液</w:t>
      </w:r>
      <w:proofErr w:type="gramEnd"/>
      <w:r w:rsidRPr="00AC2BA5">
        <w:rPr>
          <w:rFonts w:ascii="Times New Roman" w:eastAsia="宋体" w:hAnsi="Times New Roman" w:cs="宋体"/>
          <w:sz w:val="24"/>
          <w:lang w:eastAsia="zh-CN"/>
        </w:rPr>
        <w:t>不应采用描述性方式标示，例如</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低</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正常</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或</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高</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，因为这可能会误导用户；用户可能误以为标签上的</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正常</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意味着即使</w:t>
      </w:r>
      <w:proofErr w:type="gramStart"/>
      <w:r w:rsidRPr="00AC2BA5">
        <w:rPr>
          <w:rFonts w:ascii="Times New Roman" w:eastAsia="宋体" w:hAnsi="Times New Roman" w:cs="宋体"/>
          <w:sz w:val="24"/>
          <w:lang w:eastAsia="zh-CN"/>
        </w:rPr>
        <w:t>质控品浓度</w:t>
      </w:r>
      <w:proofErr w:type="gramEnd"/>
      <w:r w:rsidRPr="00AC2BA5">
        <w:rPr>
          <w:rFonts w:ascii="Times New Roman" w:eastAsia="宋体" w:hAnsi="Times New Roman" w:cs="宋体"/>
          <w:sz w:val="24"/>
          <w:lang w:eastAsia="zh-CN"/>
        </w:rPr>
        <w:t>不在该用户的医师推荐的正常范围内，该值也是临床正常值。因此，</w:t>
      </w:r>
      <w:proofErr w:type="gramStart"/>
      <w:r w:rsidRPr="00AC2BA5">
        <w:rPr>
          <w:rFonts w:ascii="Times New Roman" w:eastAsia="宋体" w:hAnsi="Times New Roman" w:cs="宋体"/>
          <w:sz w:val="24"/>
          <w:lang w:eastAsia="zh-CN"/>
        </w:rPr>
        <w:t>质控品溶液</w:t>
      </w:r>
      <w:proofErr w:type="gramEnd"/>
      <w:r w:rsidRPr="00AC2BA5">
        <w:rPr>
          <w:rFonts w:ascii="Times New Roman" w:eastAsia="宋体" w:hAnsi="Times New Roman" w:cs="宋体"/>
          <w:sz w:val="24"/>
          <w:lang w:eastAsia="zh-CN"/>
        </w:rPr>
        <w:t>应以非描述性方式标示（例如，用数字表示：</w:t>
      </w:r>
      <w:r w:rsidRPr="00AC2BA5">
        <w:rPr>
          <w:rFonts w:ascii="Times New Roman" w:eastAsia="宋体" w:hAnsi="Times New Roman" w:cs="宋体"/>
          <w:sz w:val="24"/>
          <w:lang w:eastAsia="zh-CN"/>
        </w:rPr>
        <w:t>1</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2</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w:t>
      </w:r>
    </w:p>
    <w:p w14:paraId="27FD6426" w14:textId="0673EB0B" w:rsidR="0050117E" w:rsidRPr="00AC2BA5" w:rsidRDefault="00B8550C" w:rsidP="000102EB">
      <w:pPr>
        <w:adjustRightInd w:val="0"/>
        <w:snapToGrid w:val="0"/>
        <w:spacing w:beforeLines="50" w:before="120" w:line="300" w:lineRule="auto"/>
        <w:ind w:leftChars="193" w:left="42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申报资料中应描述</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器械如何自动或由用户手动识别和区分</w:t>
      </w:r>
      <w:proofErr w:type="gramStart"/>
      <w:r w:rsidRPr="00AC2BA5">
        <w:rPr>
          <w:rFonts w:ascii="Times New Roman" w:eastAsia="宋体" w:hAnsi="Times New Roman" w:cs="宋体"/>
          <w:sz w:val="24"/>
          <w:lang w:eastAsia="zh-CN"/>
        </w:rPr>
        <w:t>质控品与</w:t>
      </w:r>
      <w:proofErr w:type="gramEnd"/>
      <w:r w:rsidRPr="00AC2BA5">
        <w:rPr>
          <w:rFonts w:ascii="Times New Roman" w:eastAsia="宋体" w:hAnsi="Times New Roman" w:cs="宋体"/>
          <w:sz w:val="24"/>
          <w:lang w:eastAsia="zh-CN"/>
        </w:rPr>
        <w:t>患者样本，并解释系统如何补偿试纸批次之间的差异（即，对于每个试纸批次，血糖仪</w:t>
      </w:r>
      <w:r w:rsidR="0058512C">
        <w:rPr>
          <w:rFonts w:ascii="Times New Roman" w:eastAsia="宋体" w:hAnsi="Times New Roman" w:cs="宋体" w:hint="eastAsia"/>
          <w:sz w:val="24"/>
          <w:lang w:eastAsia="zh-CN"/>
        </w:rPr>
        <w:t>的</w:t>
      </w:r>
      <w:r w:rsidRPr="00AC2BA5">
        <w:rPr>
          <w:rFonts w:ascii="Times New Roman" w:eastAsia="宋体" w:hAnsi="Times New Roman" w:cs="宋体"/>
          <w:sz w:val="24"/>
          <w:lang w:eastAsia="zh-CN"/>
        </w:rPr>
        <w:t>校准或编码</w:t>
      </w:r>
      <w:r w:rsidR="0058512C">
        <w:rPr>
          <w:rFonts w:ascii="Times New Roman" w:eastAsia="宋体" w:hAnsi="Times New Roman" w:cs="宋体" w:hint="eastAsia"/>
          <w:sz w:val="24"/>
          <w:lang w:eastAsia="zh-CN"/>
        </w:rPr>
        <w:t>规则</w:t>
      </w:r>
      <w:r w:rsidRPr="00AC2BA5">
        <w:rPr>
          <w:rFonts w:ascii="Times New Roman" w:eastAsia="宋体" w:hAnsi="Times New Roman" w:cs="宋体"/>
          <w:sz w:val="24"/>
          <w:lang w:eastAsia="zh-CN"/>
        </w:rPr>
        <w:t>）。</w:t>
      </w:r>
    </w:p>
    <w:p w14:paraId="3EF7CDA9" w14:textId="77777777" w:rsidR="0050117E" w:rsidRPr="00AC2BA5" w:rsidRDefault="0050117E" w:rsidP="000102EB">
      <w:pPr>
        <w:pStyle w:val="11"/>
        <w:rPr>
          <w:rFonts w:eastAsia="宋体"/>
          <w:lang w:eastAsia="zh-CN"/>
        </w:rPr>
      </w:pPr>
      <w:bookmarkStart w:id="36" w:name="_Toc91871186"/>
      <w:r w:rsidRPr="00AC2BA5">
        <w:rPr>
          <w:rFonts w:eastAsia="宋体" w:cs="宋体"/>
          <w:lang w:eastAsia="zh-CN"/>
        </w:rPr>
        <w:t>VII.</w:t>
      </w:r>
      <w:r w:rsidRPr="00AC2BA5">
        <w:rPr>
          <w:rFonts w:eastAsia="宋体" w:cs="宋体"/>
          <w:lang w:eastAsia="zh-CN"/>
        </w:rPr>
        <w:tab/>
      </w:r>
      <w:r w:rsidRPr="00AC2BA5">
        <w:rPr>
          <w:rFonts w:eastAsia="宋体" w:cs="宋体"/>
          <w:lang w:eastAsia="zh-CN"/>
        </w:rPr>
        <w:t>试纸批次放行标准</w:t>
      </w:r>
      <w:bookmarkEnd w:id="36"/>
    </w:p>
    <w:p w14:paraId="4399ADA7"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79A7B0AA" w14:textId="0A80F1F8"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应设置试纸批次放行标准，以确保</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试纸的性能一致。应在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申报资料中提供批放行标准的描述和采样方案的总结。此外，还应解释系统补偿试纸批次或试纸类型之间差异</w:t>
      </w:r>
      <w:r w:rsidR="00451E97">
        <w:rPr>
          <w:rFonts w:ascii="Times New Roman" w:eastAsia="宋体" w:hAnsi="Times New Roman" w:cs="宋体" w:hint="eastAsia"/>
          <w:sz w:val="24"/>
          <w:lang w:eastAsia="zh-CN"/>
        </w:rPr>
        <w:t>的方法</w:t>
      </w:r>
      <w:r w:rsidRPr="00AC2BA5">
        <w:rPr>
          <w:rFonts w:ascii="Times New Roman" w:eastAsia="宋体" w:hAnsi="Times New Roman" w:cs="宋体"/>
          <w:sz w:val="24"/>
          <w:lang w:eastAsia="zh-CN"/>
        </w:rPr>
        <w:t>。</w:t>
      </w:r>
    </w:p>
    <w:p w14:paraId="31315129" w14:textId="24AB0408" w:rsidR="0050117E" w:rsidRPr="00AC2BA5" w:rsidRDefault="00D2299A"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Pr>
          <w:rFonts w:ascii="Times New Roman" w:eastAsia="宋体" w:hAnsi="Times New Roman" w:cs="宋体"/>
          <w:sz w:val="24"/>
          <w:lang w:eastAsia="zh-CN"/>
        </w:rPr>
        <w:t>建议</w:t>
      </w:r>
      <w:r w:rsidR="00B8550C" w:rsidRPr="00AC2BA5">
        <w:rPr>
          <w:rFonts w:ascii="Times New Roman" w:eastAsia="宋体" w:hAnsi="Times New Roman" w:cs="宋体"/>
          <w:sz w:val="24"/>
          <w:lang w:eastAsia="zh-CN"/>
        </w:rPr>
        <w:t>选择适合</w:t>
      </w:r>
      <w:r w:rsidR="00B8550C" w:rsidRPr="00AC2BA5">
        <w:rPr>
          <w:rFonts w:ascii="Times New Roman" w:eastAsia="宋体" w:hAnsi="Times New Roman" w:cs="宋体"/>
          <w:sz w:val="24"/>
          <w:lang w:eastAsia="zh-CN"/>
        </w:rPr>
        <w:t>SMBG</w:t>
      </w:r>
      <w:r w:rsidR="00B8550C" w:rsidRPr="00AC2BA5">
        <w:rPr>
          <w:rFonts w:ascii="Times New Roman" w:eastAsia="宋体" w:hAnsi="Times New Roman" w:cs="宋体"/>
          <w:sz w:val="24"/>
          <w:lang w:eastAsia="zh-CN"/>
        </w:rPr>
        <w:t>器械操作的采样方案，以检测每个出厂试纸批次。试纸批次放行标准的设计应确保放行的所有批次均符合标示的</w:t>
      </w:r>
      <w:r w:rsidR="00B8550C" w:rsidRPr="004C2992">
        <w:rPr>
          <w:rFonts w:ascii="Times New Roman" w:eastAsia="宋体" w:hAnsi="Times New Roman" w:cs="宋体" w:hint="eastAsia"/>
          <w:i/>
          <w:iCs/>
          <w:sz w:val="24"/>
          <w:lang w:eastAsia="zh-CN"/>
        </w:rPr>
        <w:t>由预期用户操作时</w:t>
      </w:r>
      <w:r w:rsidR="00B8550C" w:rsidRPr="00AC2BA5">
        <w:rPr>
          <w:rFonts w:ascii="Times New Roman" w:eastAsia="宋体" w:hAnsi="Times New Roman" w:cs="宋体"/>
          <w:sz w:val="24"/>
          <w:lang w:eastAsia="zh-CN"/>
        </w:rPr>
        <w:t>的</w:t>
      </w:r>
      <w:r w:rsidR="00B8550C" w:rsidRPr="00AC2BA5">
        <w:rPr>
          <w:rFonts w:ascii="Times New Roman" w:eastAsia="宋体" w:hAnsi="Times New Roman" w:cs="宋体"/>
          <w:sz w:val="24"/>
          <w:lang w:eastAsia="zh-CN"/>
        </w:rPr>
        <w:t>SMBG</w:t>
      </w:r>
      <w:r w:rsidR="00B8550C" w:rsidRPr="00AC2BA5">
        <w:rPr>
          <w:rFonts w:ascii="Times New Roman" w:eastAsia="宋体" w:hAnsi="Times New Roman" w:cs="宋体"/>
          <w:sz w:val="24"/>
          <w:lang w:eastAsia="zh-CN"/>
        </w:rPr>
        <w:t>性能。因此，这些标准通常应比性能研究中用于</w:t>
      </w:r>
      <w:proofErr w:type="gramStart"/>
      <w:r w:rsidR="00B8550C" w:rsidRPr="00AC2BA5">
        <w:rPr>
          <w:rFonts w:ascii="Times New Roman" w:eastAsia="宋体" w:hAnsi="Times New Roman" w:cs="宋体"/>
          <w:sz w:val="24"/>
          <w:lang w:eastAsia="zh-CN"/>
        </w:rPr>
        <w:t>评价总</w:t>
      </w:r>
      <w:proofErr w:type="gramEnd"/>
      <w:r w:rsidR="00B8550C" w:rsidRPr="00AC2BA5">
        <w:rPr>
          <w:rFonts w:ascii="Times New Roman" w:eastAsia="宋体" w:hAnsi="Times New Roman" w:cs="宋体"/>
          <w:sz w:val="24"/>
          <w:lang w:eastAsia="zh-CN"/>
        </w:rPr>
        <w:t>误差的标准更严格，以便在预期用户人群中实现目标性能。</w:t>
      </w:r>
    </w:p>
    <w:p w14:paraId="4C035ED8" w14:textId="77777777" w:rsidR="0050117E" w:rsidRPr="00AC2BA5" w:rsidRDefault="0050117E" w:rsidP="000102EB">
      <w:pPr>
        <w:pStyle w:val="11"/>
        <w:rPr>
          <w:rFonts w:eastAsia="宋体"/>
          <w:lang w:eastAsia="zh-CN"/>
        </w:rPr>
      </w:pPr>
      <w:bookmarkStart w:id="37" w:name="_Toc91871187"/>
      <w:r w:rsidRPr="00AC2BA5">
        <w:rPr>
          <w:rFonts w:eastAsia="宋体" w:cs="宋体"/>
          <w:lang w:eastAsia="zh-CN"/>
        </w:rPr>
        <w:t>VIII.</w:t>
      </w:r>
      <w:r w:rsidRPr="00AC2BA5">
        <w:rPr>
          <w:rFonts w:eastAsia="宋体" w:cs="宋体"/>
          <w:lang w:eastAsia="zh-CN"/>
        </w:rPr>
        <w:tab/>
      </w:r>
      <w:r w:rsidRPr="00AC2BA5">
        <w:rPr>
          <w:rFonts w:eastAsia="宋体" w:cs="宋体"/>
          <w:lang w:eastAsia="zh-CN"/>
        </w:rPr>
        <w:t>第三方试纸</w:t>
      </w:r>
      <w:bookmarkEnd w:id="37"/>
    </w:p>
    <w:p w14:paraId="385A7337" w14:textId="41EE85A2"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第三方试纸是指由血糖仪生产和分销公司以外的公司制造和分销的试纸。第三方试纸制造商应确保他们了解血糖仪的任何设计变更，因为这些变更可能会影响试纸与血糖仪的兼容性。由于试纸和血糖仪作为整体系统工作，因此第三方试纸制造商应在其</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申报资料中充分说明将如何降低因血糖</w:t>
      </w:r>
      <w:proofErr w:type="gramStart"/>
      <w:r w:rsidRPr="00AC2BA5">
        <w:rPr>
          <w:rFonts w:ascii="Times New Roman" w:eastAsia="宋体" w:hAnsi="Times New Roman" w:cs="宋体"/>
          <w:sz w:val="24"/>
          <w:lang w:eastAsia="zh-CN"/>
        </w:rPr>
        <w:t>仪设计</w:t>
      </w:r>
      <w:proofErr w:type="gramEnd"/>
      <w:r w:rsidRPr="00AC2BA5">
        <w:rPr>
          <w:rFonts w:ascii="Times New Roman" w:eastAsia="宋体" w:hAnsi="Times New Roman" w:cs="宋体"/>
          <w:sz w:val="24"/>
          <w:lang w:eastAsia="zh-CN"/>
        </w:rPr>
        <w:t>变更而导致的不正确结果的风险。有效确保第三方试纸制造商了解血糖仪的任何设计变更的一种方式是第三方试纸制造商与血糖仪制造商之间达成协议。</w:t>
      </w:r>
    </w:p>
    <w:p w14:paraId="0102CA4B" w14:textId="77777777" w:rsidR="0050117E" w:rsidRPr="00AC2BA5" w:rsidRDefault="0050117E" w:rsidP="000102EB">
      <w:pPr>
        <w:pStyle w:val="11"/>
        <w:rPr>
          <w:rFonts w:eastAsia="宋体"/>
          <w:lang w:eastAsia="zh-CN"/>
        </w:rPr>
      </w:pPr>
      <w:bookmarkStart w:id="38" w:name="_Toc91871188"/>
      <w:r w:rsidRPr="00AC2BA5">
        <w:rPr>
          <w:rFonts w:eastAsia="宋体" w:cs="宋体"/>
          <w:lang w:eastAsia="zh-CN"/>
        </w:rPr>
        <w:t>IX.</w:t>
      </w:r>
      <w:r w:rsidRPr="00AC2BA5">
        <w:rPr>
          <w:rFonts w:eastAsia="宋体" w:cs="宋体"/>
          <w:lang w:eastAsia="zh-CN"/>
        </w:rPr>
        <w:tab/>
      </w:r>
      <w:r w:rsidRPr="00AC2BA5">
        <w:rPr>
          <w:rFonts w:eastAsia="宋体" w:cs="宋体"/>
          <w:lang w:eastAsia="zh-CN"/>
        </w:rPr>
        <w:t>软件</w:t>
      </w:r>
      <w:bookmarkEnd w:id="38"/>
    </w:p>
    <w:p w14:paraId="63175365" w14:textId="4FC65F6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对于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及其组件和配件的软件描述，</w:t>
      </w:r>
      <w:r w:rsidR="00D2299A">
        <w:rPr>
          <w:rFonts w:ascii="Times New Roman" w:eastAsia="宋体" w:hAnsi="Times New Roman" w:cs="宋体"/>
          <w:sz w:val="24"/>
          <w:lang w:eastAsia="zh-CN"/>
        </w:rPr>
        <w:t>建议</w:t>
      </w:r>
      <w:r w:rsidRPr="00AC2BA5">
        <w:rPr>
          <w:rFonts w:ascii="Times New Roman" w:eastAsia="宋体" w:hAnsi="Times New Roman" w:cs="宋体"/>
          <w:sz w:val="24"/>
          <w:lang w:eastAsia="zh-CN"/>
        </w:rPr>
        <w:t>查阅标题为《</w:t>
      </w:r>
      <w:hyperlink r:id="rId20">
        <w:r w:rsidRPr="00AC2BA5">
          <w:rPr>
            <w:rFonts w:ascii="Times New Roman" w:eastAsia="宋体" w:hAnsi="Times New Roman" w:cs="宋体"/>
            <w:snapToGrid w:val="0"/>
            <w:color w:val="0000FF"/>
            <w:sz w:val="24"/>
            <w:szCs w:val="24"/>
            <w:u w:val="single" w:color="0000FF"/>
            <w:lang w:eastAsia="zh-CN"/>
          </w:rPr>
          <w:t>医疗器械软件上市前申报资料内容指南</w:t>
        </w:r>
      </w:hyperlink>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指南。</w:t>
      </w:r>
      <w:r w:rsidRPr="00AC2BA5">
        <w:rPr>
          <w:rFonts w:ascii="Times New Roman" w:eastAsia="宋体" w:hAnsi="Times New Roman" w:cs="宋体"/>
          <w:sz w:val="24"/>
          <w:vertAlign w:val="superscript"/>
          <w:lang w:eastAsia="zh-CN"/>
        </w:rPr>
        <w:t>9</w:t>
      </w:r>
      <w:r w:rsidRPr="00AC2BA5">
        <w:rPr>
          <w:rFonts w:ascii="Times New Roman" w:eastAsia="宋体" w:hAnsi="Times New Roman" w:cs="宋体"/>
          <w:sz w:val="24"/>
          <w:lang w:eastAsia="zh-CN"/>
        </w:rPr>
        <w:t>一般而言，</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将血糖仪归为中等风险器械，因为血糖结果将被用作治疗的基础，包括由患者或医疗服务提供者确定胰岛素剂量。错误的血糖结果或软件未能检测到错误可能导致糖尿病管理不当。（另外，关于</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申报资料中的软件描述，参见上文第</w:t>
      </w:r>
      <w:r w:rsidRPr="00AC2BA5">
        <w:rPr>
          <w:rFonts w:ascii="Times New Roman" w:eastAsia="宋体" w:hAnsi="Times New Roman" w:cs="宋体"/>
          <w:sz w:val="24"/>
          <w:lang w:eastAsia="zh-CN"/>
        </w:rPr>
        <w:t>V</w:t>
      </w:r>
      <w:r w:rsidRPr="00AC2BA5">
        <w:rPr>
          <w:rFonts w:ascii="Times New Roman" w:eastAsia="宋体" w:hAnsi="Times New Roman" w:cs="宋体"/>
          <w:sz w:val="24"/>
          <w:lang w:eastAsia="zh-CN"/>
        </w:rPr>
        <w:t>节。）</w:t>
      </w:r>
    </w:p>
    <w:p w14:paraId="10E733B8"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此外，对于任何此类变更，制造商应制定并实施适当的网络安全控制措施，以确保器械的网络安全并维护器械的功能和安全性。以下在线资源可能有助于制定和维护这些网络安全控制措施：</w:t>
      </w:r>
    </w:p>
    <w:p w14:paraId="10B7D99C" w14:textId="77777777" w:rsidR="0050117E" w:rsidRPr="00AC2BA5" w:rsidRDefault="00B8550C" w:rsidP="000102EB">
      <w:pPr>
        <w:pStyle w:val="a4"/>
        <w:numPr>
          <w:ilvl w:val="0"/>
          <w:numId w:val="10"/>
        </w:numPr>
        <w:adjustRightInd w:val="0"/>
        <w:snapToGrid w:val="0"/>
        <w:spacing w:beforeLines="50" w:before="120" w:line="300" w:lineRule="auto"/>
        <w:ind w:left="851"/>
        <w:jc w:val="both"/>
        <w:rPr>
          <w:rFonts w:ascii="Times New Roman" w:eastAsia="宋体" w:hAnsi="Times New Roman" w:cs="Times New Roman"/>
          <w:snapToGrid w:val="0"/>
          <w:color w:val="0000FF"/>
          <w:sz w:val="24"/>
          <w:szCs w:val="24"/>
          <w:u w:val="single" w:color="0000FF"/>
          <w:lang w:eastAsia="zh-CN"/>
        </w:rPr>
      </w:pP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指南《</w:t>
      </w:r>
      <w:r w:rsidRPr="00AC2BA5">
        <w:rPr>
          <w:rFonts w:ascii="Times New Roman" w:eastAsia="宋体" w:hAnsi="Times New Roman" w:cs="宋体"/>
          <w:color w:val="0000FF"/>
          <w:sz w:val="24"/>
          <w:u w:val="single"/>
          <w:lang w:eastAsia="zh-CN"/>
        </w:rPr>
        <w:t>医疗器械网络安全管理上市前提交资料</w:t>
      </w:r>
      <w:r w:rsidRPr="00AC2BA5">
        <w:rPr>
          <w:rFonts w:ascii="Times New Roman" w:eastAsia="宋体" w:hAnsi="Times New Roman" w:cs="宋体"/>
          <w:sz w:val="24"/>
          <w:lang w:eastAsia="zh-CN"/>
        </w:rPr>
        <w:t>》；</w:t>
      </w:r>
      <w:r w:rsidRPr="00AC2BA5">
        <w:rPr>
          <w:rFonts w:ascii="Times New Roman" w:eastAsia="宋体" w:hAnsi="Times New Roman" w:cs="宋体"/>
          <w:sz w:val="24"/>
          <w:vertAlign w:val="superscript"/>
          <w:lang w:eastAsia="zh-CN"/>
        </w:rPr>
        <w:t>10</w:t>
      </w:r>
    </w:p>
    <w:p w14:paraId="7823FF40" w14:textId="77777777" w:rsidR="000102EB" w:rsidRPr="00AC2BA5" w:rsidRDefault="000102EB" w:rsidP="000102EB">
      <w:pPr>
        <w:tabs>
          <w:tab w:val="left" w:pos="999"/>
          <w:tab w:val="left" w:pos="1000"/>
        </w:tabs>
        <w:adjustRightInd w:val="0"/>
        <w:snapToGrid w:val="0"/>
        <w:spacing w:beforeLines="50" w:before="120" w:line="300" w:lineRule="auto"/>
        <w:jc w:val="both"/>
        <w:rPr>
          <w:rFonts w:ascii="Times New Roman" w:eastAsia="宋体" w:hAnsi="Times New Roman" w:cs="宋体"/>
          <w:sz w:val="24"/>
          <w:lang w:eastAsia="zh-CN"/>
        </w:rPr>
      </w:pPr>
    </w:p>
    <w:p w14:paraId="18042254" w14:textId="77777777" w:rsidR="000102EB" w:rsidRPr="00AC2BA5" w:rsidRDefault="000102EB" w:rsidP="000102EB">
      <w:pPr>
        <w:tabs>
          <w:tab w:val="left" w:pos="999"/>
          <w:tab w:val="left" w:pos="1000"/>
        </w:tabs>
        <w:adjustRightInd w:val="0"/>
        <w:snapToGrid w:val="0"/>
        <w:spacing w:beforeLines="50" w:before="120" w:line="300" w:lineRule="auto"/>
        <w:jc w:val="both"/>
        <w:rPr>
          <w:rFonts w:ascii="Times New Roman" w:eastAsia="宋体" w:hAnsi="Times New Roman" w:cs="宋体"/>
          <w:sz w:val="24"/>
          <w:lang w:eastAsia="zh-CN"/>
        </w:rPr>
      </w:pPr>
    </w:p>
    <w:p w14:paraId="71A5AF87" w14:textId="77777777" w:rsidR="000102EB" w:rsidRPr="00AC2BA5" w:rsidRDefault="000102EB" w:rsidP="000102EB">
      <w:pPr>
        <w:tabs>
          <w:tab w:val="left" w:pos="999"/>
          <w:tab w:val="left" w:pos="1000"/>
        </w:tabs>
        <w:adjustRightInd w:val="0"/>
        <w:snapToGrid w:val="0"/>
        <w:spacing w:beforeLines="50" w:before="120" w:line="300" w:lineRule="auto"/>
        <w:jc w:val="both"/>
        <w:rPr>
          <w:rFonts w:ascii="Times New Roman" w:eastAsia="宋体" w:hAnsi="Times New Roman" w:cs="宋体"/>
          <w:sz w:val="24"/>
          <w:lang w:eastAsia="zh-CN"/>
        </w:rPr>
      </w:pPr>
    </w:p>
    <w:p w14:paraId="7C4BC507" w14:textId="77777777" w:rsidR="00E830B4" w:rsidRPr="00AC2BA5" w:rsidRDefault="00E830B4" w:rsidP="000102EB">
      <w:pPr>
        <w:tabs>
          <w:tab w:val="left" w:pos="999"/>
          <w:tab w:val="left" w:pos="100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t>__________________________</w:t>
      </w:r>
    </w:p>
    <w:p w14:paraId="01D28878" w14:textId="77777777" w:rsidR="0050117E" w:rsidRPr="00AC2BA5" w:rsidRDefault="0050117E" w:rsidP="000102EB">
      <w:pPr>
        <w:tabs>
          <w:tab w:val="left" w:pos="215"/>
        </w:tabs>
        <w:adjustRightInd w:val="0"/>
        <w:snapToGrid w:val="0"/>
        <w:spacing w:beforeLines="15" w:before="36" w:line="276" w:lineRule="auto"/>
        <w:jc w:val="both"/>
        <w:rPr>
          <w:rFonts w:ascii="Times New Roman" w:eastAsia="宋体" w:hAnsi="Times New Roman" w:cs="Times New Roman"/>
          <w:snapToGrid w:val="0"/>
          <w:color w:val="000000"/>
          <w:sz w:val="21"/>
          <w:szCs w:val="21"/>
          <w:lang w:eastAsia="zh-CN"/>
        </w:rPr>
      </w:pPr>
      <w:r w:rsidRPr="00AC2BA5">
        <w:rPr>
          <w:rFonts w:ascii="Times New Roman" w:eastAsia="宋体" w:hAnsi="Times New Roman" w:cs="宋体"/>
          <w:sz w:val="21"/>
          <w:vertAlign w:val="superscript"/>
        </w:rPr>
        <w:t>9</w:t>
      </w:r>
      <w:r w:rsidRPr="00AC2BA5">
        <w:rPr>
          <w:rFonts w:ascii="Times New Roman" w:eastAsia="宋体" w:hAnsi="Times New Roman" w:cs="宋体"/>
          <w:sz w:val="21"/>
        </w:rPr>
        <w:t xml:space="preserve"> </w:t>
      </w:r>
      <w:r w:rsidRPr="00AC2BA5">
        <w:rPr>
          <w:rFonts w:ascii="Times New Roman" w:eastAsia="宋体" w:hAnsi="Times New Roman" w:cs="宋体"/>
          <w:sz w:val="21"/>
        </w:rPr>
        <w:t>可登录以下网址获取：</w:t>
      </w:r>
      <w:hyperlink r:id="rId21" w:history="1">
        <w:r w:rsidR="000102EB" w:rsidRPr="00AC2BA5">
          <w:rPr>
            <w:rStyle w:val="a8"/>
            <w:rFonts w:ascii="Times New Roman" w:eastAsia="宋体" w:hAnsi="Times New Roman" w:cs="宋体"/>
            <w:snapToGrid w:val="0"/>
            <w:sz w:val="21"/>
            <w:szCs w:val="21"/>
            <w:u w:color="0000FF"/>
          </w:rPr>
          <w:t>https://www.fda.gov/regulatory-information/search-fda-guidance-documents/</w:t>
        </w:r>
        <w:r w:rsidR="000102EB" w:rsidRPr="00AC2BA5">
          <w:rPr>
            <w:rStyle w:val="a8"/>
            <w:rFonts w:ascii="Times New Roman" w:eastAsia="宋体" w:hAnsi="Times New Roman" w:cs="宋体" w:hint="eastAsia"/>
            <w:snapToGrid w:val="0"/>
            <w:sz w:val="21"/>
            <w:szCs w:val="21"/>
            <w:u w:color="0000FF"/>
            <w:lang w:eastAsia="zh-CN"/>
          </w:rPr>
          <w:t xml:space="preserve"> </w:t>
        </w:r>
        <w:r w:rsidR="000102EB" w:rsidRPr="00AC2BA5">
          <w:rPr>
            <w:rStyle w:val="a8"/>
            <w:rFonts w:ascii="Times New Roman" w:eastAsia="宋体" w:hAnsi="Times New Roman" w:cs="宋体"/>
            <w:snapToGrid w:val="0"/>
            <w:sz w:val="21"/>
            <w:szCs w:val="21"/>
            <w:u w:color="0000FF"/>
          </w:rPr>
          <w:t>guidance-content-</w:t>
        </w:r>
      </w:hyperlink>
      <w:r w:rsidRPr="00AC2BA5">
        <w:rPr>
          <w:rFonts w:ascii="Times New Roman" w:eastAsia="宋体" w:hAnsi="Times New Roman" w:cs="宋体"/>
          <w:color w:val="0000FF"/>
          <w:sz w:val="21"/>
        </w:rPr>
        <w:t xml:space="preserve"> </w:t>
      </w:r>
      <w:hyperlink r:id="rId22">
        <w:r w:rsidRPr="00AC2BA5">
          <w:rPr>
            <w:rFonts w:ascii="Times New Roman" w:eastAsia="宋体" w:hAnsi="Times New Roman" w:cs="宋体"/>
            <w:snapToGrid w:val="0"/>
            <w:color w:val="0000FF"/>
            <w:sz w:val="21"/>
            <w:szCs w:val="21"/>
            <w:u w:val="single" w:color="0000FF"/>
          </w:rPr>
          <w:t>premarket-submissions-software-contained-medical-devices</w:t>
        </w:r>
      </w:hyperlink>
      <w:r w:rsidRPr="00AC2BA5">
        <w:rPr>
          <w:rFonts w:ascii="Times New Roman" w:eastAsia="宋体" w:hAnsi="Times New Roman" w:cs="宋体"/>
          <w:color w:val="000000"/>
          <w:sz w:val="21"/>
        </w:rPr>
        <w:t>。</w:t>
      </w:r>
    </w:p>
    <w:p w14:paraId="04CA1EDE" w14:textId="77777777" w:rsidR="00E830B4" w:rsidRPr="00AC2BA5" w:rsidRDefault="00E830B4" w:rsidP="000102EB">
      <w:pPr>
        <w:tabs>
          <w:tab w:val="left" w:pos="280"/>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10</w:t>
      </w:r>
      <w:r w:rsidRPr="00AC2BA5">
        <w:rPr>
          <w:rFonts w:ascii="Times New Roman" w:eastAsia="宋体" w:hAnsi="Times New Roman" w:cs="宋体"/>
          <w:sz w:val="21"/>
        </w:rPr>
        <w:t xml:space="preserve"> </w:t>
      </w:r>
      <w:r w:rsidRPr="00AC2BA5">
        <w:rPr>
          <w:rFonts w:ascii="Times New Roman" w:eastAsia="宋体" w:hAnsi="Times New Roman" w:cs="宋体"/>
          <w:sz w:val="21"/>
        </w:rPr>
        <w:t>可登录以下网址获取：</w:t>
      </w:r>
      <w:hyperlink r:id="rId23" w:history="1">
        <w:r w:rsidR="000102EB" w:rsidRPr="00AC2BA5">
          <w:rPr>
            <w:rStyle w:val="a8"/>
            <w:rFonts w:ascii="Times New Roman" w:eastAsia="宋体" w:hAnsi="Times New Roman" w:cs="宋体"/>
            <w:snapToGrid w:val="0"/>
            <w:sz w:val="21"/>
            <w:szCs w:val="21"/>
            <w:u w:color="0000FF"/>
          </w:rPr>
          <w:t>https://www.fda.gov/regulatory-information/search-fda-guidance-documents/</w:t>
        </w:r>
        <w:r w:rsidR="000102EB" w:rsidRPr="00AC2BA5">
          <w:rPr>
            <w:rStyle w:val="a8"/>
            <w:rFonts w:ascii="Times New Roman" w:eastAsia="宋体" w:hAnsi="Times New Roman" w:cs="宋体" w:hint="eastAsia"/>
            <w:snapToGrid w:val="0"/>
            <w:sz w:val="21"/>
            <w:szCs w:val="21"/>
            <w:u w:color="0000FF"/>
            <w:lang w:eastAsia="zh-CN"/>
          </w:rPr>
          <w:t xml:space="preserve"> </w:t>
        </w:r>
        <w:r w:rsidR="000102EB" w:rsidRPr="00AC2BA5">
          <w:rPr>
            <w:rStyle w:val="a8"/>
            <w:rFonts w:ascii="Times New Roman" w:eastAsia="宋体" w:hAnsi="Times New Roman" w:cs="宋体"/>
            <w:snapToGrid w:val="0"/>
            <w:sz w:val="21"/>
            <w:szCs w:val="21"/>
            <w:u w:color="0000FF"/>
          </w:rPr>
          <w:t>content-premarket-</w:t>
        </w:r>
      </w:hyperlink>
      <w:hyperlink r:id="rId24">
        <w:r w:rsidRPr="00AC2BA5">
          <w:rPr>
            <w:rFonts w:ascii="Times New Roman" w:eastAsia="宋体" w:hAnsi="Times New Roman" w:cs="宋体"/>
            <w:snapToGrid w:val="0"/>
            <w:color w:val="0000FF"/>
            <w:sz w:val="21"/>
            <w:szCs w:val="21"/>
            <w:u w:val="single" w:color="0000FF"/>
          </w:rPr>
          <w:t>submissions-management-cybersecurity-medical-devices-0</w:t>
        </w:r>
      </w:hyperlink>
      <w:r w:rsidRPr="00AC2BA5">
        <w:rPr>
          <w:rFonts w:ascii="Times New Roman" w:eastAsia="宋体" w:hAnsi="Times New Roman" w:cs="宋体"/>
          <w:color w:val="000000"/>
          <w:sz w:val="21"/>
        </w:rPr>
        <w:t>。</w:t>
      </w:r>
    </w:p>
    <w:p w14:paraId="590ED1C3"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br w:type="page"/>
      </w:r>
    </w:p>
    <w:p w14:paraId="28920FA2" w14:textId="77777777" w:rsidR="000460CB" w:rsidRPr="00AC2BA5" w:rsidRDefault="00B8550C" w:rsidP="000102EB">
      <w:pPr>
        <w:pStyle w:val="a4"/>
        <w:numPr>
          <w:ilvl w:val="0"/>
          <w:numId w:val="11"/>
        </w:numPr>
        <w:tabs>
          <w:tab w:val="left" w:pos="999"/>
          <w:tab w:val="left" w:pos="1000"/>
        </w:tabs>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FDA</w:t>
      </w:r>
      <w:r w:rsidRPr="00AC2BA5">
        <w:rPr>
          <w:rFonts w:ascii="Times New Roman" w:eastAsia="宋体" w:hAnsi="Times New Roman" w:cs="宋体"/>
          <w:sz w:val="24"/>
          <w:lang w:eastAsia="zh-CN"/>
        </w:rPr>
        <w:t>指南《</w:t>
      </w:r>
      <w:r w:rsidR="001F0A9D" w:rsidRPr="00AC2BA5">
        <w:fldChar w:fldCharType="begin"/>
      </w:r>
      <w:r w:rsidR="001F0A9D" w:rsidRPr="00AC2BA5">
        <w:rPr>
          <w:lang w:eastAsia="zh-CN"/>
        </w:rPr>
        <w:instrText xml:space="preserve"> HYPERLINK "https://www.fda.gov/regulatory-information/search-fda-guidance-documents/postmarket-management-cybersecurity-medical-devices" \h </w:instrText>
      </w:r>
      <w:r w:rsidR="001F0A9D" w:rsidRPr="00AC2BA5">
        <w:fldChar w:fldCharType="separate"/>
      </w:r>
      <w:r w:rsidRPr="00AC2BA5">
        <w:rPr>
          <w:rFonts w:ascii="Times New Roman" w:eastAsia="宋体" w:hAnsi="Times New Roman" w:cs="宋体"/>
          <w:snapToGrid w:val="0"/>
          <w:color w:val="0000FF"/>
          <w:sz w:val="24"/>
          <w:szCs w:val="24"/>
          <w:u w:val="single" w:color="0000FF"/>
          <w:lang w:eastAsia="zh-CN"/>
        </w:rPr>
        <w:t>医疗器械网络安全的上市后管理</w:t>
      </w:r>
      <w:r w:rsidR="001F0A9D" w:rsidRPr="00AC2BA5">
        <w:rPr>
          <w:rFonts w:ascii="宋体" w:eastAsia="宋体" w:hAnsi="宋体" w:cs="宋体"/>
          <w:snapToGrid w:val="0"/>
          <w:color w:val="0000FF"/>
          <w:sz w:val="24"/>
          <w:szCs w:val="24"/>
          <w:u w:val="single" w:color="0000FF"/>
        </w:rPr>
        <w:fldChar w:fldCharType="end"/>
      </w:r>
      <w:r w:rsidRPr="00AC2BA5">
        <w:rPr>
          <w:rFonts w:ascii="Times New Roman" w:eastAsia="宋体" w:hAnsi="Times New Roman" w:cs="宋体"/>
          <w:sz w:val="24"/>
          <w:lang w:eastAsia="zh-CN"/>
        </w:rPr>
        <w:t>》；</w:t>
      </w:r>
      <w:r w:rsidRPr="00AC2BA5">
        <w:rPr>
          <w:rFonts w:ascii="Times New Roman" w:eastAsia="宋体" w:hAnsi="Times New Roman" w:cs="宋体"/>
          <w:sz w:val="24"/>
          <w:vertAlign w:val="superscript"/>
          <w:lang w:eastAsia="zh-CN"/>
        </w:rPr>
        <w:t>11</w:t>
      </w:r>
    </w:p>
    <w:p w14:paraId="066E7054" w14:textId="36975959" w:rsidR="0050117E" w:rsidRPr="00AC2BA5" w:rsidRDefault="002642ED" w:rsidP="000102EB">
      <w:pPr>
        <w:pStyle w:val="a4"/>
        <w:numPr>
          <w:ilvl w:val="0"/>
          <w:numId w:val="11"/>
        </w:numPr>
        <w:tabs>
          <w:tab w:val="left" w:pos="999"/>
          <w:tab w:val="left" w:pos="1000"/>
        </w:tabs>
        <w:adjustRightInd w:val="0"/>
        <w:snapToGrid w:val="0"/>
        <w:spacing w:beforeLines="50" w:before="120" w:line="300" w:lineRule="auto"/>
        <w:ind w:left="851"/>
        <w:jc w:val="both"/>
        <w:rPr>
          <w:rFonts w:ascii="Times New Roman" w:eastAsia="宋体" w:hAnsi="Times New Roman" w:cs="Times New Roman"/>
          <w:snapToGrid w:val="0"/>
          <w:spacing w:val="-6"/>
          <w:sz w:val="24"/>
          <w:szCs w:val="24"/>
          <w:lang w:eastAsia="zh-CN"/>
        </w:rPr>
      </w:pPr>
      <w:hyperlink r:id="rId25">
        <w:r w:rsidR="0050117E" w:rsidRPr="00AC2BA5">
          <w:rPr>
            <w:rFonts w:ascii="Times New Roman" w:eastAsia="宋体" w:hAnsi="Times New Roman" w:cs="宋体"/>
            <w:snapToGrid w:val="0"/>
            <w:color w:val="0000FF"/>
            <w:spacing w:val="-6"/>
            <w:sz w:val="24"/>
            <w:szCs w:val="24"/>
            <w:u w:val="single" w:color="0000FF"/>
            <w:lang w:eastAsia="zh-CN"/>
          </w:rPr>
          <w:t>FDA</w:t>
        </w:r>
        <w:r w:rsidR="0050117E" w:rsidRPr="00AC2BA5">
          <w:rPr>
            <w:rFonts w:ascii="Times New Roman" w:eastAsia="宋体" w:hAnsi="Times New Roman" w:cs="宋体"/>
            <w:snapToGrid w:val="0"/>
            <w:color w:val="0000FF"/>
            <w:spacing w:val="-6"/>
            <w:sz w:val="24"/>
            <w:szCs w:val="24"/>
            <w:u w:val="single" w:color="0000FF"/>
            <w:lang w:eastAsia="zh-CN"/>
          </w:rPr>
          <w:t>情况说明书：</w:t>
        </w:r>
        <w:r w:rsidR="0050117E" w:rsidRPr="00AC2BA5">
          <w:rPr>
            <w:rFonts w:ascii="Times New Roman" w:eastAsia="宋体" w:hAnsi="Times New Roman" w:cs="宋体"/>
            <w:snapToGrid w:val="0"/>
            <w:color w:val="0000FF"/>
            <w:spacing w:val="-6"/>
            <w:sz w:val="24"/>
            <w:szCs w:val="24"/>
            <w:u w:val="single" w:color="0000FF"/>
            <w:lang w:eastAsia="zh-CN"/>
          </w:rPr>
          <w:t>FDA</w:t>
        </w:r>
        <w:r w:rsidR="0050117E" w:rsidRPr="00AC2BA5">
          <w:rPr>
            <w:rFonts w:ascii="Times New Roman" w:eastAsia="宋体" w:hAnsi="Times New Roman" w:cs="宋体"/>
            <w:snapToGrid w:val="0"/>
            <w:color w:val="0000FF"/>
            <w:spacing w:val="-6"/>
            <w:sz w:val="24"/>
            <w:szCs w:val="24"/>
            <w:u w:val="single" w:color="0000FF"/>
            <w:lang w:eastAsia="zh-CN"/>
          </w:rPr>
          <w:t>在医疗器械网络安全中的作用</w:t>
        </w:r>
        <w:r w:rsidR="0050117E" w:rsidRPr="00AC2BA5">
          <w:rPr>
            <w:rFonts w:ascii="Times New Roman" w:eastAsia="宋体" w:hAnsi="Times New Roman" w:cs="宋体"/>
            <w:snapToGrid w:val="0"/>
            <w:color w:val="0000FF"/>
            <w:spacing w:val="-6"/>
            <w:sz w:val="24"/>
            <w:szCs w:val="24"/>
            <w:u w:val="single" w:color="0000FF"/>
            <w:lang w:eastAsia="zh-CN"/>
          </w:rPr>
          <w:t xml:space="preserve"> </w:t>
        </w:r>
        <w:r w:rsidR="00D018C0">
          <w:rPr>
            <w:rFonts w:ascii="Times New Roman" w:eastAsia="宋体" w:hAnsi="Times New Roman" w:cs="宋体"/>
            <w:snapToGrid w:val="0"/>
            <w:color w:val="0000FF"/>
            <w:spacing w:val="-6"/>
            <w:sz w:val="24"/>
            <w:szCs w:val="24"/>
            <w:u w:val="single" w:color="0000FF"/>
            <w:lang w:eastAsia="zh-CN"/>
          </w:rPr>
          <w:t>–</w:t>
        </w:r>
        <w:r w:rsidR="0050117E" w:rsidRPr="00AC2BA5">
          <w:rPr>
            <w:rFonts w:ascii="Times New Roman" w:eastAsia="宋体" w:hAnsi="Times New Roman" w:cs="宋体"/>
            <w:snapToGrid w:val="0"/>
            <w:color w:val="0000FF"/>
            <w:spacing w:val="-6"/>
            <w:sz w:val="24"/>
            <w:szCs w:val="24"/>
            <w:u w:val="single" w:color="0000FF"/>
            <w:lang w:eastAsia="zh-CN"/>
          </w:rPr>
          <w:t xml:space="preserve"> </w:t>
        </w:r>
        <w:r w:rsidR="00D018C0">
          <w:rPr>
            <w:rFonts w:ascii="Times New Roman" w:eastAsia="宋体" w:hAnsi="Times New Roman" w:cs="宋体" w:hint="eastAsia"/>
            <w:snapToGrid w:val="0"/>
            <w:color w:val="0000FF"/>
            <w:spacing w:val="-6"/>
            <w:sz w:val="24"/>
            <w:szCs w:val="24"/>
            <w:u w:val="single" w:color="0000FF"/>
            <w:lang w:eastAsia="zh-CN"/>
          </w:rPr>
          <w:t>打破</w:t>
        </w:r>
        <w:r w:rsidR="00D018C0">
          <w:rPr>
            <w:rFonts w:ascii="Times New Roman" w:eastAsia="宋体" w:hAnsi="Times New Roman" w:cs="宋体"/>
            <w:snapToGrid w:val="0"/>
            <w:color w:val="0000FF"/>
            <w:spacing w:val="-6"/>
            <w:sz w:val="24"/>
            <w:szCs w:val="24"/>
            <w:u w:val="single" w:color="0000FF"/>
            <w:lang w:eastAsia="zh-CN"/>
          </w:rPr>
          <w:t>传言</w:t>
        </w:r>
        <w:r w:rsidR="0050117E" w:rsidRPr="00AC2BA5">
          <w:rPr>
            <w:rFonts w:ascii="Times New Roman" w:eastAsia="宋体" w:hAnsi="Times New Roman" w:cs="宋体"/>
            <w:snapToGrid w:val="0"/>
            <w:color w:val="0000FF"/>
            <w:spacing w:val="-6"/>
            <w:sz w:val="24"/>
            <w:szCs w:val="24"/>
            <w:u w:val="single" w:color="0000FF"/>
            <w:lang w:eastAsia="zh-CN"/>
          </w:rPr>
          <w:t>和了解事实</w:t>
        </w:r>
      </w:hyperlink>
      <w:r w:rsidR="0050117E" w:rsidRPr="00AC2BA5">
        <w:rPr>
          <w:rFonts w:ascii="Times New Roman" w:eastAsia="宋体" w:hAnsi="Times New Roman" w:cs="宋体"/>
          <w:spacing w:val="-6"/>
          <w:sz w:val="24"/>
          <w:lang w:eastAsia="zh-CN"/>
        </w:rPr>
        <w:t>。</w:t>
      </w:r>
      <w:r w:rsidR="0050117E" w:rsidRPr="00AC2BA5">
        <w:rPr>
          <w:rFonts w:ascii="Times New Roman" w:eastAsia="宋体" w:hAnsi="Times New Roman" w:cs="宋体"/>
          <w:spacing w:val="-6"/>
          <w:sz w:val="24"/>
          <w:vertAlign w:val="superscript"/>
          <w:lang w:eastAsia="zh-CN"/>
        </w:rPr>
        <w:t>12</w:t>
      </w:r>
    </w:p>
    <w:p w14:paraId="55D7FC03" w14:textId="674B7210" w:rsidR="0050117E" w:rsidRPr="00AC2BA5" w:rsidRDefault="0050117E" w:rsidP="000102EB">
      <w:pPr>
        <w:pStyle w:val="11"/>
        <w:rPr>
          <w:rFonts w:eastAsia="宋体"/>
        </w:rPr>
      </w:pPr>
      <w:bookmarkStart w:id="39" w:name="_Toc91871189"/>
      <w:r w:rsidRPr="00AC2BA5">
        <w:rPr>
          <w:rFonts w:eastAsia="宋体" w:cs="宋体"/>
        </w:rPr>
        <w:t>X.</w:t>
      </w:r>
      <w:r w:rsidRPr="00AC2BA5">
        <w:rPr>
          <w:rFonts w:eastAsia="宋体" w:cs="宋体"/>
        </w:rPr>
        <w:tab/>
      </w:r>
      <w:bookmarkEnd w:id="39"/>
      <w:r w:rsidR="00650F52">
        <w:rPr>
          <w:rFonts w:eastAsia="宋体" w:cs="宋体" w:hint="eastAsia"/>
          <w:lang w:eastAsia="zh-CN"/>
        </w:rPr>
        <w:t>标签</w:t>
      </w:r>
    </w:p>
    <w:p w14:paraId="59EBF374" w14:textId="0846CA9D"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标签包括用户手册、快速入门指南（可选）、试纸和</w:t>
      </w:r>
      <w:proofErr w:type="gramStart"/>
      <w:r w:rsidRPr="00AC2BA5">
        <w:rPr>
          <w:rFonts w:ascii="Times New Roman" w:eastAsia="宋体" w:hAnsi="Times New Roman" w:cs="宋体"/>
          <w:sz w:val="24"/>
          <w:lang w:eastAsia="zh-CN"/>
        </w:rPr>
        <w:t>质控</w:t>
      </w:r>
      <w:proofErr w:type="gramEnd"/>
      <w:r w:rsidRPr="00AC2BA5">
        <w:rPr>
          <w:rFonts w:ascii="Times New Roman" w:eastAsia="宋体" w:hAnsi="Times New Roman" w:cs="宋体"/>
          <w:sz w:val="24"/>
          <w:lang w:eastAsia="zh-CN"/>
        </w:rPr>
        <w:t>品的包装说明书，以及血糖仪、试纸和</w:t>
      </w:r>
      <w:proofErr w:type="gramStart"/>
      <w:r w:rsidRPr="00AC2BA5">
        <w:rPr>
          <w:rFonts w:ascii="Times New Roman" w:eastAsia="宋体" w:hAnsi="Times New Roman" w:cs="宋体"/>
          <w:sz w:val="24"/>
          <w:lang w:eastAsia="zh-CN"/>
        </w:rPr>
        <w:t>质控</w:t>
      </w:r>
      <w:proofErr w:type="gramEnd"/>
      <w:r w:rsidRPr="00AC2BA5">
        <w:rPr>
          <w:rFonts w:ascii="Times New Roman" w:eastAsia="宋体" w:hAnsi="Times New Roman" w:cs="宋体"/>
          <w:sz w:val="24"/>
          <w:lang w:eastAsia="zh-CN"/>
        </w:rPr>
        <w:t>品的包装盒和容器标签。试纸和</w:t>
      </w:r>
      <w:proofErr w:type="gramStart"/>
      <w:r w:rsidRPr="00AC2BA5">
        <w:rPr>
          <w:rFonts w:ascii="Times New Roman" w:eastAsia="宋体" w:hAnsi="Times New Roman" w:cs="宋体"/>
          <w:sz w:val="24"/>
          <w:lang w:eastAsia="zh-CN"/>
        </w:rPr>
        <w:t>质控</w:t>
      </w:r>
      <w:proofErr w:type="gramEnd"/>
      <w:r w:rsidRPr="00AC2BA5">
        <w:rPr>
          <w:rFonts w:ascii="Times New Roman" w:eastAsia="宋体" w:hAnsi="Times New Roman" w:cs="宋体"/>
          <w:sz w:val="24"/>
          <w:lang w:eastAsia="zh-CN"/>
        </w:rPr>
        <w:t>品的包装说明书以及用户手册应简单、简明且易于理解。线图、插图、图标、照片、表格和图表等图形是非常有用的工具。制造商应确保在整个标签中始终使用相同的术语来标识器械及其部件，避免使用同义词或替代短语。</w:t>
      </w:r>
      <w:r w:rsidR="00D2299A">
        <w:rPr>
          <w:rFonts w:ascii="Times New Roman" w:eastAsia="宋体" w:hAnsi="Times New Roman" w:cs="宋体"/>
          <w:sz w:val="24"/>
          <w:lang w:eastAsia="zh-CN"/>
        </w:rPr>
        <w:t>建议</w:t>
      </w:r>
      <w:r w:rsidRPr="00AC2BA5">
        <w:rPr>
          <w:rFonts w:ascii="Times New Roman" w:eastAsia="宋体" w:hAnsi="Times New Roman" w:cs="宋体"/>
          <w:sz w:val="24"/>
          <w:lang w:eastAsia="zh-CN"/>
        </w:rPr>
        <w:t>参考以下文件，了解制定清晰、完整的家庭用</w:t>
      </w:r>
      <w:r w:rsidRPr="00AC2BA5">
        <w:rPr>
          <w:rFonts w:ascii="Times New Roman" w:eastAsia="宋体" w:hAnsi="Times New Roman" w:cs="宋体"/>
          <w:sz w:val="24"/>
          <w:lang w:eastAsia="zh-CN"/>
        </w:rPr>
        <w:t>IVD</w:t>
      </w:r>
      <w:r w:rsidRPr="00AC2BA5">
        <w:rPr>
          <w:rFonts w:ascii="Times New Roman" w:eastAsia="宋体" w:hAnsi="Times New Roman" w:cs="宋体"/>
          <w:sz w:val="24"/>
          <w:lang w:eastAsia="zh-CN"/>
        </w:rPr>
        <w:t>标签的重要原则：</w:t>
      </w:r>
    </w:p>
    <w:p w14:paraId="4BE7865A" w14:textId="77777777" w:rsidR="000460CB" w:rsidRPr="00AC2BA5" w:rsidRDefault="00B8550C" w:rsidP="000102EB">
      <w:pPr>
        <w:pStyle w:val="a4"/>
        <w:numPr>
          <w:ilvl w:val="0"/>
          <w:numId w:val="12"/>
        </w:numPr>
        <w:adjustRightInd w:val="0"/>
        <w:snapToGrid w:val="0"/>
        <w:spacing w:beforeLines="50" w:before="120" w:line="300" w:lineRule="auto"/>
        <w:ind w:left="851"/>
        <w:jc w:val="both"/>
        <w:rPr>
          <w:rFonts w:ascii="Times New Roman" w:eastAsia="宋体" w:hAnsi="Times New Roman" w:cs="Times New Roman"/>
          <w:snapToGrid w:val="0"/>
          <w:sz w:val="24"/>
          <w:szCs w:val="24"/>
        </w:rPr>
      </w:pPr>
      <w:r w:rsidRPr="00AC2BA5">
        <w:rPr>
          <w:rFonts w:ascii="Times New Roman" w:eastAsia="宋体" w:hAnsi="Times New Roman" w:cs="宋体"/>
          <w:sz w:val="24"/>
          <w:lang w:eastAsia="zh-CN"/>
        </w:rPr>
        <w:t>标题为《</w:t>
      </w:r>
      <w:r w:rsidR="00406BED">
        <w:fldChar w:fldCharType="begin"/>
      </w:r>
      <w:r w:rsidR="00406BED">
        <w:rPr>
          <w:lang w:eastAsia="zh-CN"/>
        </w:rPr>
        <w:instrText xml:space="preserve"> HYPERLINK "https://www.fda.gov/regulatory-information/search-fda-guidance-documents/guidance-medical-device-patient-labeling" \h </w:instrText>
      </w:r>
      <w:r w:rsidR="00406BED">
        <w:fldChar w:fldCharType="separate"/>
      </w:r>
      <w:r w:rsidRPr="00AC2BA5">
        <w:rPr>
          <w:rFonts w:ascii="Times New Roman" w:eastAsia="宋体" w:hAnsi="Times New Roman" w:cs="宋体"/>
          <w:snapToGrid w:val="0"/>
          <w:color w:val="0000FF"/>
          <w:sz w:val="24"/>
          <w:szCs w:val="24"/>
          <w:u w:val="single" w:color="0000FF"/>
          <w:lang w:eastAsia="zh-CN"/>
        </w:rPr>
        <w:t>医疗器械患者标签指南：行业和</w:t>
      </w:r>
      <w:r w:rsidRPr="00AC2BA5">
        <w:rPr>
          <w:rFonts w:ascii="Times New Roman" w:eastAsia="宋体" w:hAnsi="Times New Roman" w:cs="宋体"/>
          <w:snapToGrid w:val="0"/>
          <w:color w:val="0000FF"/>
          <w:sz w:val="24"/>
          <w:szCs w:val="24"/>
          <w:u w:val="single" w:color="0000FF"/>
          <w:lang w:eastAsia="zh-CN"/>
        </w:rPr>
        <w:t>FDA</w:t>
      </w:r>
      <w:r w:rsidRPr="00AC2BA5">
        <w:rPr>
          <w:rFonts w:ascii="Times New Roman" w:eastAsia="宋体" w:hAnsi="Times New Roman" w:cs="宋体"/>
          <w:snapToGrid w:val="0"/>
          <w:color w:val="0000FF"/>
          <w:sz w:val="24"/>
          <w:szCs w:val="24"/>
          <w:u w:val="single" w:color="0000FF"/>
          <w:lang w:eastAsia="zh-CN"/>
        </w:rPr>
        <w:t>最终指南</w:t>
      </w:r>
      <w:r w:rsidR="00406BED">
        <w:rPr>
          <w:rFonts w:ascii="Times New Roman" w:eastAsia="宋体" w:hAnsi="Times New Roman" w:cs="宋体"/>
          <w:snapToGrid w:val="0"/>
          <w:color w:val="0000FF"/>
          <w:sz w:val="24"/>
          <w:szCs w:val="24"/>
          <w:u w:val="single" w:color="0000FF"/>
          <w:lang w:eastAsia="zh-CN"/>
        </w:rPr>
        <w:fldChar w:fldCharType="end"/>
      </w:r>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指南。</w:t>
      </w:r>
      <w:r w:rsidRPr="00AC2BA5">
        <w:rPr>
          <w:rFonts w:ascii="Times New Roman" w:eastAsia="宋体" w:hAnsi="Times New Roman" w:cs="宋体"/>
          <w:sz w:val="24"/>
          <w:vertAlign w:val="superscript"/>
        </w:rPr>
        <w:t>13</w:t>
      </w:r>
    </w:p>
    <w:p w14:paraId="0C1A030A" w14:textId="77777777" w:rsidR="000460CB" w:rsidRPr="00AC2BA5" w:rsidRDefault="00B8550C" w:rsidP="000102EB">
      <w:pPr>
        <w:pStyle w:val="a4"/>
        <w:numPr>
          <w:ilvl w:val="0"/>
          <w:numId w:val="1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CLSI GP-14</w:t>
      </w:r>
      <w:r w:rsidRPr="00AC2BA5">
        <w:rPr>
          <w:rFonts w:ascii="Times New Roman" w:eastAsia="宋体" w:hAnsi="Times New Roman" w:cs="宋体"/>
          <w:sz w:val="24"/>
          <w:lang w:eastAsia="zh-CN"/>
        </w:rPr>
        <w:t>：</w:t>
      </w:r>
      <w:r w:rsidRPr="004C2992">
        <w:rPr>
          <w:rFonts w:ascii="Times New Roman" w:eastAsia="宋体" w:hAnsi="Times New Roman" w:cs="宋体" w:hint="eastAsia"/>
          <w:i/>
          <w:sz w:val="24"/>
          <w:lang w:eastAsia="zh-CN"/>
        </w:rPr>
        <w:t>家庭用体外检测产品的标签；已批准指南。</w:t>
      </w:r>
    </w:p>
    <w:p w14:paraId="5CF35007" w14:textId="5BA83928" w:rsidR="0050117E" w:rsidRPr="00AC2BA5" w:rsidRDefault="00B8550C" w:rsidP="000102EB">
      <w:pPr>
        <w:pStyle w:val="a4"/>
        <w:numPr>
          <w:ilvl w:val="0"/>
          <w:numId w:val="12"/>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器械建议网站，标题为《</w:t>
      </w:r>
      <w:r w:rsidR="00406BED">
        <w:fldChar w:fldCharType="begin"/>
      </w:r>
      <w:r w:rsidR="00406BED">
        <w:rPr>
          <w:lang w:eastAsia="zh-CN"/>
        </w:rPr>
        <w:instrText xml:space="preserve"> HYPERLINK "https://www.fda.gov/medical-devices/device-labeling/vitro-diagnostic-device-labeling-requirements" \h </w:instrText>
      </w:r>
      <w:r w:rsidR="00406BED">
        <w:fldChar w:fldCharType="separate"/>
      </w:r>
      <w:r w:rsidRPr="00AC2BA5">
        <w:rPr>
          <w:rFonts w:ascii="Times New Roman" w:eastAsia="宋体" w:hAnsi="Times New Roman" w:cs="宋体"/>
          <w:snapToGrid w:val="0"/>
          <w:color w:val="0000FF"/>
          <w:sz w:val="24"/>
          <w:szCs w:val="24"/>
          <w:u w:val="single" w:color="0000FF"/>
          <w:lang w:eastAsia="zh-CN"/>
        </w:rPr>
        <w:t>体外诊断标签要求</w:t>
      </w:r>
      <w:r w:rsidR="00406BED">
        <w:rPr>
          <w:rFonts w:ascii="Times New Roman" w:eastAsia="宋体" w:hAnsi="Times New Roman" w:cs="宋体"/>
          <w:snapToGrid w:val="0"/>
          <w:color w:val="0000FF"/>
          <w:sz w:val="24"/>
          <w:szCs w:val="24"/>
          <w:u w:val="single" w:color="0000FF"/>
          <w:lang w:eastAsia="zh-CN"/>
        </w:rPr>
        <w:fldChar w:fldCharType="end"/>
      </w:r>
      <w:r w:rsidRPr="00AC2BA5">
        <w:rPr>
          <w:rFonts w:ascii="Times New Roman" w:eastAsia="宋体" w:hAnsi="Times New Roman" w:cs="宋体"/>
          <w:sz w:val="24"/>
          <w:lang w:eastAsia="zh-CN"/>
        </w:rPr>
        <w:t>》。</w:t>
      </w:r>
      <w:r w:rsidRPr="00AC2BA5">
        <w:rPr>
          <w:rFonts w:ascii="Times New Roman" w:eastAsia="宋体" w:hAnsi="Times New Roman" w:cs="宋体"/>
          <w:sz w:val="24"/>
          <w:vertAlign w:val="superscript"/>
          <w:lang w:eastAsia="zh-CN"/>
        </w:rPr>
        <w:t>14</w:t>
      </w:r>
    </w:p>
    <w:p w14:paraId="7D51FBA0" w14:textId="1D740E89"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应描述</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w:t>
      </w:r>
      <w:r w:rsidRPr="00AC2BA5">
        <w:rPr>
          <w:rFonts w:ascii="Times New Roman" w:eastAsia="宋体" w:hAnsi="Times New Roman" w:cs="宋体"/>
          <w:sz w:val="24"/>
          <w:lang w:eastAsia="zh-CN"/>
        </w:rPr>
        <w:t>要求的技术信息，以便非专业用户能够理解该信息或找到该信息（如有必要）。详细的技术信息（例如，检测原理的化学详情或数据的统计分析）可以在单独的章节中给出，随后阐明适用于非专业用户的声明。</w:t>
      </w:r>
    </w:p>
    <w:p w14:paraId="4D2F1638" w14:textId="1ED7947F"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中提供的标签应当在所有方面充分满足</w:t>
      </w:r>
      <w:r w:rsidRPr="00AC2BA5">
        <w:rPr>
          <w:rFonts w:ascii="Times New Roman" w:eastAsia="宋体" w:hAnsi="Times New Roman" w:cs="宋体"/>
          <w:sz w:val="24"/>
          <w:lang w:eastAsia="zh-CN"/>
        </w:rPr>
        <w:t>21 CFR 807.87</w:t>
      </w:r>
      <w:r w:rsidR="007E6307">
        <w:rPr>
          <w:rFonts w:ascii="Times New Roman" w:eastAsia="宋体" w:hAnsi="Times New Roman" w:cs="宋体" w:hint="eastAsia"/>
          <w:sz w:val="24"/>
          <w:lang w:eastAsia="zh-CN"/>
        </w:rPr>
        <w:t>(</w:t>
      </w:r>
      <w:r w:rsidR="00FB10B8">
        <w:rPr>
          <w:rFonts w:ascii="Times New Roman" w:eastAsia="宋体" w:hAnsi="Times New Roman" w:cs="宋体"/>
          <w:sz w:val="24"/>
          <w:lang w:eastAsia="zh-CN"/>
        </w:rPr>
        <w:t>e</w:t>
      </w:r>
      <w:r w:rsidR="007E6307">
        <w:rPr>
          <w:rFonts w:ascii="Times New Roman" w:eastAsia="宋体" w:hAnsi="Times New Roman" w:cs="宋体"/>
          <w:sz w:val="24"/>
          <w:lang w:eastAsia="zh-CN"/>
        </w:rPr>
        <w:t>)</w:t>
      </w:r>
      <w:r w:rsidRPr="00AC2BA5">
        <w:rPr>
          <w:rFonts w:ascii="Times New Roman" w:eastAsia="宋体" w:hAnsi="Times New Roman" w:cs="宋体"/>
          <w:sz w:val="24"/>
          <w:lang w:eastAsia="zh-CN"/>
        </w:rPr>
        <w:t>的各项要求。最终标签还必须满足</w:t>
      </w:r>
      <w:r w:rsidRPr="00AC2BA5">
        <w:rPr>
          <w:rFonts w:ascii="Times New Roman" w:eastAsia="宋体" w:hAnsi="Times New Roman" w:cs="宋体"/>
          <w:sz w:val="24"/>
          <w:lang w:eastAsia="zh-CN"/>
        </w:rPr>
        <w:t>21 CFR 809.10</w:t>
      </w:r>
      <w:r w:rsidRPr="00AC2BA5">
        <w:rPr>
          <w:rFonts w:ascii="Times New Roman" w:eastAsia="宋体" w:hAnsi="Times New Roman" w:cs="宋体"/>
          <w:sz w:val="24"/>
          <w:lang w:eastAsia="zh-CN"/>
        </w:rPr>
        <w:t>的要求。</w:t>
      </w:r>
    </w:p>
    <w:p w14:paraId="22744E2B"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以下各项旨在进一步协助申请方遵守</w:t>
      </w:r>
      <w:r w:rsidRPr="00AC2BA5">
        <w:rPr>
          <w:rFonts w:ascii="Times New Roman" w:eastAsia="宋体" w:hAnsi="Times New Roman" w:cs="宋体"/>
          <w:sz w:val="24"/>
          <w:lang w:eastAsia="zh-CN"/>
        </w:rPr>
        <w:t>21 CFR 809.10</w:t>
      </w:r>
      <w:r w:rsidRPr="00AC2BA5">
        <w:rPr>
          <w:rFonts w:ascii="Times New Roman" w:eastAsia="宋体" w:hAnsi="Times New Roman" w:cs="宋体"/>
          <w:sz w:val="24"/>
          <w:lang w:eastAsia="zh-CN"/>
        </w:rPr>
        <w:t>关于试纸和血糖仪标签的要求。</w:t>
      </w:r>
      <w:r w:rsidRPr="00AC2BA5">
        <w:rPr>
          <w:rFonts w:ascii="Times New Roman" w:eastAsia="宋体" w:hAnsi="Times New Roman" w:cs="宋体"/>
          <w:i/>
          <w:sz w:val="24"/>
          <w:lang w:eastAsia="zh-CN"/>
        </w:rPr>
        <w:t>体外</w:t>
      </w:r>
      <w:r w:rsidRPr="00AC2BA5">
        <w:rPr>
          <w:rFonts w:ascii="Times New Roman" w:eastAsia="宋体" w:hAnsi="Times New Roman" w:cs="宋体"/>
          <w:sz w:val="24"/>
          <w:lang w:eastAsia="zh-CN"/>
        </w:rPr>
        <w:t>诊断器械的标签要求的完整列表参见该法规。</w:t>
      </w:r>
    </w:p>
    <w:p w14:paraId="62E789B5" w14:textId="77777777" w:rsidR="00E830B4" w:rsidRPr="00AC2BA5" w:rsidRDefault="00E830B4" w:rsidP="000102EB">
      <w:pPr>
        <w:tabs>
          <w:tab w:val="left" w:pos="46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79AC689" w14:textId="77777777" w:rsidR="000102EB" w:rsidRPr="00AC2BA5" w:rsidRDefault="000102EB" w:rsidP="000102EB">
      <w:pPr>
        <w:tabs>
          <w:tab w:val="left" w:pos="46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7BF512F" w14:textId="77777777" w:rsidR="000102EB" w:rsidRPr="00AC2BA5" w:rsidRDefault="000102EB" w:rsidP="000102EB">
      <w:pPr>
        <w:tabs>
          <w:tab w:val="left" w:pos="46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19A42A1" w14:textId="77777777" w:rsidR="000102EB" w:rsidRPr="00AC2BA5" w:rsidRDefault="000102EB" w:rsidP="000102EB">
      <w:pPr>
        <w:tabs>
          <w:tab w:val="left" w:pos="46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5FAEA10" w14:textId="77777777" w:rsidR="000102EB" w:rsidRPr="00AC2BA5" w:rsidRDefault="000102EB" w:rsidP="000102EB">
      <w:pPr>
        <w:tabs>
          <w:tab w:val="left" w:pos="46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5F23DE8" w14:textId="77777777" w:rsidR="00E830B4" w:rsidRPr="00AC2BA5" w:rsidRDefault="00E830B4" w:rsidP="000102EB">
      <w:pPr>
        <w:tabs>
          <w:tab w:val="left" w:pos="46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t>__________________________</w:t>
      </w:r>
    </w:p>
    <w:p w14:paraId="093DBBCF" w14:textId="77777777" w:rsidR="000460CB" w:rsidRPr="00AC2BA5" w:rsidRDefault="0050117E" w:rsidP="000102EB">
      <w:pPr>
        <w:tabs>
          <w:tab w:val="left" w:pos="280"/>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11</w:t>
      </w:r>
      <w:r w:rsidRPr="00AC2BA5">
        <w:rPr>
          <w:rFonts w:ascii="Times New Roman" w:eastAsia="宋体" w:hAnsi="Times New Roman" w:cs="宋体"/>
          <w:sz w:val="21"/>
        </w:rPr>
        <w:t xml:space="preserve"> </w:t>
      </w:r>
      <w:r w:rsidRPr="00AC2BA5">
        <w:rPr>
          <w:rFonts w:ascii="Times New Roman" w:eastAsia="宋体" w:hAnsi="Times New Roman" w:cs="宋体"/>
          <w:sz w:val="21"/>
        </w:rPr>
        <w:t>可登录以下网址获取：</w:t>
      </w:r>
      <w:hyperlink r:id="rId26">
        <w:r w:rsidRPr="00AC2BA5">
          <w:rPr>
            <w:rFonts w:ascii="Times New Roman" w:eastAsia="宋体" w:hAnsi="Times New Roman" w:cs="宋体"/>
            <w:snapToGrid w:val="0"/>
            <w:color w:val="0000FF"/>
            <w:sz w:val="21"/>
            <w:szCs w:val="21"/>
            <w:u w:val="single" w:color="0000FF"/>
          </w:rPr>
          <w:t>https://www.fda.gov/regulatory-information/search-fda-guide-documents</w:t>
        </w:r>
      </w:hyperlink>
      <w:r w:rsidRPr="00AC2BA5">
        <w:rPr>
          <w:rFonts w:ascii="Times New Roman" w:eastAsia="宋体" w:hAnsi="Times New Roman" w:cs="宋体"/>
          <w:sz w:val="21"/>
        </w:rPr>
        <w:t>。</w:t>
      </w:r>
    </w:p>
    <w:p w14:paraId="205AB577" w14:textId="77777777" w:rsidR="000460CB" w:rsidRPr="00AC2BA5" w:rsidRDefault="0050117E" w:rsidP="000102EB">
      <w:pPr>
        <w:tabs>
          <w:tab w:val="left" w:pos="280"/>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12</w:t>
      </w:r>
      <w:r w:rsidRPr="00AC2BA5">
        <w:rPr>
          <w:rFonts w:ascii="Times New Roman" w:eastAsia="宋体" w:hAnsi="Times New Roman" w:cs="宋体"/>
          <w:sz w:val="21"/>
        </w:rPr>
        <w:t xml:space="preserve"> </w:t>
      </w:r>
      <w:proofErr w:type="spellStart"/>
      <w:r w:rsidRPr="00AC2BA5">
        <w:rPr>
          <w:rFonts w:ascii="Times New Roman" w:eastAsia="宋体" w:hAnsi="Times New Roman" w:cs="宋体"/>
          <w:sz w:val="21"/>
        </w:rPr>
        <w:t>可登录以下网址获取：</w:t>
      </w:r>
      <w:hyperlink r:id="rId27">
        <w:r w:rsidRPr="00AC2BA5">
          <w:rPr>
            <w:rFonts w:ascii="Times New Roman" w:eastAsia="宋体" w:hAnsi="Times New Roman" w:cs="宋体"/>
            <w:snapToGrid w:val="0"/>
            <w:color w:val="0000FF"/>
            <w:sz w:val="21"/>
            <w:szCs w:val="21"/>
            <w:u w:val="single" w:color="0000FF"/>
          </w:rPr>
          <w:t>https</w:t>
        </w:r>
        <w:proofErr w:type="spellEnd"/>
        <w:r w:rsidRPr="00AC2BA5">
          <w:rPr>
            <w:rFonts w:ascii="Times New Roman" w:eastAsia="宋体" w:hAnsi="Times New Roman" w:cs="宋体"/>
            <w:snapToGrid w:val="0"/>
            <w:color w:val="0000FF"/>
            <w:sz w:val="21"/>
            <w:szCs w:val="21"/>
            <w:u w:val="single" w:color="0000FF"/>
          </w:rPr>
          <w:t>://www.fda.gov/media/123052/download</w:t>
        </w:r>
      </w:hyperlink>
      <w:r w:rsidRPr="00AC2BA5">
        <w:rPr>
          <w:rFonts w:ascii="Times New Roman" w:eastAsia="宋体" w:hAnsi="Times New Roman" w:cs="宋体"/>
          <w:color w:val="000000"/>
          <w:sz w:val="21"/>
        </w:rPr>
        <w:t>。</w:t>
      </w:r>
    </w:p>
    <w:p w14:paraId="52F051B9" w14:textId="77777777" w:rsidR="000460CB" w:rsidRPr="00AC2BA5" w:rsidRDefault="0050117E" w:rsidP="000102EB">
      <w:pPr>
        <w:tabs>
          <w:tab w:val="left" w:pos="280"/>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13</w:t>
      </w:r>
      <w:r w:rsidRPr="00AC2BA5">
        <w:rPr>
          <w:rFonts w:ascii="Times New Roman" w:eastAsia="宋体" w:hAnsi="Times New Roman" w:cs="宋体"/>
          <w:sz w:val="21"/>
        </w:rPr>
        <w:t xml:space="preserve"> </w:t>
      </w:r>
      <w:r w:rsidRPr="00AC2BA5">
        <w:rPr>
          <w:rFonts w:ascii="Times New Roman" w:eastAsia="宋体" w:hAnsi="Times New Roman" w:cs="宋体"/>
          <w:sz w:val="21"/>
        </w:rPr>
        <w:t>可登录以下网址获取：</w:t>
      </w:r>
      <w:hyperlink r:id="rId28">
        <w:r w:rsidRPr="00AC2BA5">
          <w:rPr>
            <w:rFonts w:ascii="Times New Roman" w:eastAsia="宋体" w:hAnsi="Times New Roman" w:cs="宋体"/>
            <w:snapToGrid w:val="0"/>
            <w:color w:val="0000FF"/>
            <w:sz w:val="21"/>
            <w:szCs w:val="21"/>
            <w:u w:val="single" w:color="0000FF"/>
          </w:rPr>
          <w:t>https://www.fda.gov/regulatory-information/search-fda-guidance-documents/guidance-medical- device-patient-labeling</w:t>
        </w:r>
      </w:hyperlink>
      <w:r w:rsidRPr="00AC2BA5">
        <w:rPr>
          <w:rFonts w:ascii="Times New Roman" w:eastAsia="宋体" w:hAnsi="Times New Roman" w:cs="宋体"/>
          <w:sz w:val="21"/>
        </w:rPr>
        <w:t>。</w:t>
      </w:r>
    </w:p>
    <w:p w14:paraId="687C0896" w14:textId="77777777" w:rsidR="0050117E" w:rsidRPr="00AC2BA5" w:rsidRDefault="0050117E" w:rsidP="000102EB">
      <w:pPr>
        <w:tabs>
          <w:tab w:val="left" w:pos="280"/>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14</w:t>
      </w:r>
      <w:r w:rsidRPr="00AC2BA5">
        <w:rPr>
          <w:rFonts w:ascii="Times New Roman" w:eastAsia="宋体" w:hAnsi="Times New Roman" w:cs="宋体"/>
          <w:sz w:val="21"/>
        </w:rPr>
        <w:t xml:space="preserve"> </w:t>
      </w:r>
      <w:r w:rsidRPr="00AC2BA5">
        <w:rPr>
          <w:rFonts w:ascii="Times New Roman" w:eastAsia="宋体" w:hAnsi="Times New Roman" w:cs="宋体"/>
          <w:sz w:val="21"/>
        </w:rPr>
        <w:t>可登录以下网址获取：</w:t>
      </w:r>
      <w:hyperlink r:id="rId29">
        <w:r w:rsidRPr="00AC2BA5">
          <w:rPr>
            <w:rFonts w:ascii="Times New Roman" w:eastAsia="宋体" w:hAnsi="Times New Roman" w:cs="宋体"/>
            <w:snapToGrid w:val="0"/>
            <w:color w:val="0000FF"/>
            <w:sz w:val="21"/>
            <w:szCs w:val="21"/>
            <w:u w:val="single" w:color="0000FF"/>
          </w:rPr>
          <w:t>https://www.fda.gov/medical-devices/device-labeling/vitro-diagnostic-device-labeling-</w:t>
        </w:r>
      </w:hyperlink>
      <w:hyperlink r:id="rId30">
        <w:r w:rsidRPr="00AC2BA5">
          <w:rPr>
            <w:rFonts w:ascii="Times New Roman" w:eastAsia="宋体" w:hAnsi="Times New Roman" w:cs="宋体"/>
            <w:snapToGrid w:val="0"/>
            <w:color w:val="0000FF"/>
            <w:sz w:val="21"/>
            <w:szCs w:val="21"/>
            <w:u w:val="single" w:color="0000FF"/>
          </w:rPr>
          <w:t>requirements</w:t>
        </w:r>
      </w:hyperlink>
      <w:r w:rsidRPr="00AC2BA5">
        <w:rPr>
          <w:rFonts w:ascii="Times New Roman" w:eastAsia="宋体" w:hAnsi="Times New Roman" w:cs="宋体"/>
          <w:color w:val="000000"/>
          <w:sz w:val="21"/>
        </w:rPr>
        <w:t>。</w:t>
      </w:r>
    </w:p>
    <w:p w14:paraId="79624F49" w14:textId="77777777" w:rsidR="00E830B4" w:rsidRPr="00AC2BA5" w:rsidRDefault="00E830B4"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br w:type="page"/>
      </w:r>
    </w:p>
    <w:p w14:paraId="4B8899D5" w14:textId="084D2280" w:rsidR="0050117E" w:rsidRPr="00AC2BA5" w:rsidRDefault="00E830B4"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 xml:space="preserve">1.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所有器械标签必须包含器械的专有和通用名称（</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(a)(1)</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(b)(1)</w:t>
      </w:r>
      <w:r w:rsidRPr="00AC2BA5">
        <w:rPr>
          <w:rFonts w:ascii="Times New Roman" w:eastAsia="宋体" w:hAnsi="Times New Roman" w:cs="宋体"/>
          <w:sz w:val="24"/>
          <w:lang w:eastAsia="zh-CN"/>
        </w:rPr>
        <w:t>）。各检测系统组件的命名应确保它们能被识别为属于同一系统或产品系列（</w:t>
      </w:r>
      <w:r w:rsidRPr="00AC2BA5">
        <w:rPr>
          <w:rFonts w:ascii="Times New Roman" w:eastAsia="宋体" w:hAnsi="Times New Roman" w:cs="宋体"/>
          <w:sz w:val="24"/>
          <w:lang w:eastAsia="zh-CN"/>
        </w:rPr>
        <w:t>ABC</w:t>
      </w:r>
      <w:r w:rsidRPr="00AC2BA5">
        <w:rPr>
          <w:rFonts w:ascii="Times New Roman" w:eastAsia="宋体" w:hAnsi="Times New Roman" w:cs="宋体"/>
          <w:sz w:val="24"/>
          <w:lang w:eastAsia="zh-CN"/>
        </w:rPr>
        <w:t>血糖检测系统、</w:t>
      </w:r>
      <w:r w:rsidRPr="00AC2BA5">
        <w:rPr>
          <w:rFonts w:ascii="Times New Roman" w:eastAsia="宋体" w:hAnsi="Times New Roman" w:cs="宋体"/>
          <w:sz w:val="24"/>
          <w:lang w:eastAsia="zh-CN"/>
        </w:rPr>
        <w:t>ABC</w:t>
      </w:r>
      <w:r w:rsidRPr="00AC2BA5">
        <w:rPr>
          <w:rFonts w:ascii="Times New Roman" w:eastAsia="宋体" w:hAnsi="Times New Roman" w:cs="宋体"/>
          <w:sz w:val="24"/>
          <w:lang w:eastAsia="zh-CN"/>
        </w:rPr>
        <w:t>血糖仪、</w:t>
      </w:r>
      <w:r w:rsidRPr="00AC2BA5">
        <w:rPr>
          <w:rFonts w:ascii="Times New Roman" w:eastAsia="宋体" w:hAnsi="Times New Roman" w:cs="宋体"/>
          <w:sz w:val="24"/>
          <w:lang w:eastAsia="zh-CN"/>
        </w:rPr>
        <w:t>ABC</w:t>
      </w:r>
      <w:r w:rsidRPr="00AC2BA5">
        <w:rPr>
          <w:rFonts w:ascii="Times New Roman" w:eastAsia="宋体" w:hAnsi="Times New Roman" w:cs="宋体"/>
          <w:sz w:val="24"/>
          <w:lang w:eastAsia="zh-CN"/>
        </w:rPr>
        <w:t>血糖试纸等），以帮助识别系统组件。</w:t>
      </w:r>
    </w:p>
    <w:p w14:paraId="52825306" w14:textId="6DFBF91F"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2.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标签和标签文件中必须包含产品的预期用途（</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(a)(2)</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21 CFR809.10</w:t>
      </w:r>
      <w:r w:rsidR="00FB10B8">
        <w:rPr>
          <w:rFonts w:ascii="Times New Roman" w:eastAsia="宋体" w:hAnsi="Times New Roman" w:cs="宋体"/>
          <w:sz w:val="24"/>
          <w:lang w:eastAsia="zh-CN"/>
        </w:rPr>
        <w:t>(b)(2)</w:t>
      </w:r>
      <w:r w:rsidRPr="00AC2BA5">
        <w:rPr>
          <w:rFonts w:ascii="Times New Roman" w:eastAsia="宋体" w:hAnsi="Times New Roman" w:cs="宋体"/>
          <w:sz w:val="24"/>
          <w:lang w:eastAsia="zh-CN"/>
        </w:rPr>
        <w:t>）。供非专业用户在家中使用的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的预期用途应类似于以下示例：</w:t>
      </w:r>
    </w:p>
    <w:p w14:paraId="6CB7F46E"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XYZ</w:t>
      </w:r>
      <w:r w:rsidRPr="00AC2BA5">
        <w:rPr>
          <w:rFonts w:ascii="Times New Roman" w:eastAsia="宋体" w:hAnsi="Times New Roman" w:cs="宋体"/>
          <w:sz w:val="24"/>
          <w:lang w:eastAsia="zh-CN"/>
        </w:rPr>
        <w:t>血糖监测系统预期用于手指毛细血管全血血糖的定量测量。该产品供糖尿病患者在家中使用，用于辅助监测糖尿病控制计划的有效性。</w:t>
      </w:r>
      <w:r w:rsidRPr="00AC2BA5">
        <w:rPr>
          <w:rFonts w:ascii="Times New Roman" w:eastAsia="宋体" w:hAnsi="Times New Roman" w:cs="宋体"/>
          <w:sz w:val="24"/>
          <w:lang w:eastAsia="zh-CN"/>
        </w:rPr>
        <w:t>XYZ</w:t>
      </w:r>
      <w:r w:rsidRPr="00AC2BA5">
        <w:rPr>
          <w:rFonts w:ascii="Times New Roman" w:eastAsia="宋体" w:hAnsi="Times New Roman" w:cs="宋体"/>
          <w:sz w:val="24"/>
          <w:lang w:eastAsia="zh-CN"/>
        </w:rPr>
        <w:t>血糖监测系统仅供单人使用，不得共用。</w:t>
      </w:r>
    </w:p>
    <w:p w14:paraId="68290556" w14:textId="4042FC31"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3.</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标签和标签文件中必须包含与产品显示的危险相适应的警告（</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(a)(4)</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(b)(5)(ii)</w:t>
      </w:r>
      <w:r w:rsidRPr="00AC2BA5">
        <w:rPr>
          <w:rFonts w:ascii="Times New Roman" w:eastAsia="宋体" w:hAnsi="Times New Roman" w:cs="宋体"/>
          <w:sz w:val="24"/>
          <w:lang w:eastAsia="zh-CN"/>
        </w:rPr>
        <w:t>）。</w:t>
      </w:r>
    </w:p>
    <w:p w14:paraId="08BEAB4F"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外包装盒标签和包装说明书上应</w:t>
      </w:r>
      <w:r w:rsidRPr="00AC2BA5">
        <w:rPr>
          <w:rFonts w:ascii="Times New Roman" w:eastAsia="宋体" w:hAnsi="Times New Roman" w:cs="宋体"/>
          <w:i/>
          <w:sz w:val="24"/>
          <w:lang w:eastAsia="zh-CN"/>
        </w:rPr>
        <w:t>突出显示</w:t>
      </w:r>
      <w:r w:rsidRPr="00AC2BA5">
        <w:rPr>
          <w:rFonts w:ascii="Times New Roman" w:eastAsia="宋体" w:hAnsi="Times New Roman" w:cs="宋体"/>
          <w:sz w:val="24"/>
          <w:lang w:eastAsia="zh-CN"/>
        </w:rPr>
        <w:t>以下警告。</w:t>
      </w:r>
    </w:p>
    <w:p w14:paraId="15BE9ADE" w14:textId="77777777" w:rsidR="0050117E" w:rsidRPr="00AC2BA5" w:rsidRDefault="00B8550C" w:rsidP="000102EB">
      <w:pPr>
        <w:pStyle w:val="3"/>
        <w:adjustRightInd w:val="0"/>
        <w:snapToGrid w:val="0"/>
        <w:spacing w:beforeLines="50" w:before="120" w:line="300" w:lineRule="auto"/>
        <w:ind w:leftChars="225" w:left="495" w:firstLine="0"/>
        <w:jc w:val="both"/>
        <w:rPr>
          <w:rFonts w:eastAsia="宋体" w:cs="Times New Roman"/>
          <w:b w:val="0"/>
          <w:bCs w:val="0"/>
          <w:snapToGrid w:val="0"/>
          <w:lang w:eastAsia="zh-CN"/>
        </w:rPr>
      </w:pPr>
      <w:r w:rsidRPr="00AC2BA5">
        <w:rPr>
          <w:rFonts w:eastAsia="宋体" w:cs="宋体"/>
          <w:lang w:eastAsia="zh-CN"/>
        </w:rPr>
        <w:t>将该器械用于多名患者可能导致人类免疫缺陷病毒（</w:t>
      </w:r>
      <w:r w:rsidRPr="00AC2BA5">
        <w:rPr>
          <w:rFonts w:eastAsia="宋体" w:cs="宋体"/>
          <w:lang w:eastAsia="zh-CN"/>
        </w:rPr>
        <w:t>HIV</w:t>
      </w:r>
      <w:r w:rsidRPr="00AC2BA5">
        <w:rPr>
          <w:rFonts w:eastAsia="宋体" w:cs="宋体"/>
          <w:lang w:eastAsia="zh-CN"/>
        </w:rPr>
        <w:t>）、丙型肝炎病毒（</w:t>
      </w:r>
      <w:r w:rsidRPr="00AC2BA5">
        <w:rPr>
          <w:rFonts w:eastAsia="宋体" w:cs="宋体"/>
          <w:lang w:eastAsia="zh-CN"/>
        </w:rPr>
        <w:t>HCV</w:t>
      </w:r>
      <w:r w:rsidRPr="00AC2BA5">
        <w:rPr>
          <w:rFonts w:eastAsia="宋体" w:cs="宋体"/>
          <w:lang w:eastAsia="zh-CN"/>
        </w:rPr>
        <w:t>）、乙型肝炎病毒（</w:t>
      </w:r>
      <w:r w:rsidRPr="00AC2BA5">
        <w:rPr>
          <w:rFonts w:eastAsia="宋体" w:cs="宋体"/>
          <w:lang w:eastAsia="zh-CN"/>
        </w:rPr>
        <w:t>HBV</w:t>
      </w:r>
      <w:r w:rsidRPr="00AC2BA5">
        <w:rPr>
          <w:rFonts w:eastAsia="宋体" w:cs="宋体"/>
          <w:lang w:eastAsia="zh-CN"/>
        </w:rPr>
        <w:t>）或其他血源性病原体的传播。</w:t>
      </w:r>
    </w:p>
    <w:p w14:paraId="4C47EDB8" w14:textId="6F5FB6E0"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4.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根据</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(b)(4)</w:t>
      </w:r>
      <w:r w:rsidRPr="00AC2BA5">
        <w:rPr>
          <w:rFonts w:ascii="Times New Roman" w:eastAsia="宋体" w:hAnsi="Times New Roman" w:cs="宋体"/>
          <w:sz w:val="24"/>
          <w:lang w:eastAsia="zh-CN"/>
        </w:rPr>
        <w:t>，标签必须包括程序的化学、物理、生理或生物学原理。这些原理的讨论应包括酶的鉴别和来源以及反应描述。标签应说明结果是根据全血还是血浆当量确定的。预期在美国使用的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应根据血浆当量报告结果。</w:t>
      </w:r>
    </w:p>
    <w:p w14:paraId="7E779916" w14:textId="4C43D861"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5.</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如</w:t>
      </w:r>
      <w:r w:rsidRPr="00AC2BA5">
        <w:rPr>
          <w:rFonts w:ascii="Times New Roman" w:eastAsia="宋体" w:hAnsi="Times New Roman" w:cs="宋体"/>
          <w:sz w:val="24"/>
          <w:lang w:eastAsia="zh-CN"/>
        </w:rPr>
        <w:t>809.10</w:t>
      </w:r>
      <w:r w:rsidR="00FB10B8">
        <w:rPr>
          <w:rFonts w:ascii="Times New Roman" w:eastAsia="宋体" w:hAnsi="Times New Roman" w:cs="宋体"/>
          <w:sz w:val="24"/>
          <w:lang w:eastAsia="zh-CN"/>
        </w:rPr>
        <w:t>(a)(6)</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(a)(10)</w:t>
      </w:r>
      <w:r w:rsidRPr="00AC2BA5">
        <w:rPr>
          <w:rFonts w:ascii="Times New Roman" w:eastAsia="宋体" w:hAnsi="Times New Roman" w:cs="宋体"/>
          <w:sz w:val="24"/>
          <w:lang w:eastAsia="zh-CN"/>
        </w:rPr>
        <w:t>所述，标签中必须包括向用户保证试剂在使用时符合适当的鉴别、浓度、质量和纯度标准的方法。</w:t>
      </w:r>
    </w:p>
    <w:p w14:paraId="4D38DAC0" w14:textId="277C5CE4"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6.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标签必须提供样本采集和制备说明（</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(b)(7)</w:t>
      </w:r>
      <w:r w:rsidRPr="00AC2BA5">
        <w:rPr>
          <w:rFonts w:ascii="Times New Roman" w:eastAsia="宋体" w:hAnsi="Times New Roman" w:cs="宋体"/>
          <w:sz w:val="24"/>
          <w:lang w:eastAsia="zh-CN"/>
        </w:rPr>
        <w:t>）。说明中应包含向用户提供有关采样前用肥皂和水彻底清洗并干燥皮肤的重要性的声明，因为皮肤上的污染物可能会影响结果。另见下文的清洁和消毒说明。</w:t>
      </w:r>
    </w:p>
    <w:p w14:paraId="192CD809" w14:textId="518CDA04" w:rsidR="00D25487"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7.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标签必须提供建议程序的逐步概述（</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(b)(8)</w:t>
      </w:r>
      <w:r w:rsidRPr="00AC2BA5">
        <w:rPr>
          <w:rFonts w:ascii="Times New Roman" w:eastAsia="宋体" w:hAnsi="Times New Roman" w:cs="宋体"/>
          <w:sz w:val="24"/>
          <w:lang w:eastAsia="zh-CN"/>
        </w:rPr>
        <w:t>）和仪器操作说明（</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(b)(6)</w:t>
      </w:r>
      <w:r w:rsidR="00ED2136">
        <w:rPr>
          <w:rFonts w:ascii="Times New Roman" w:eastAsia="宋体" w:hAnsi="Times New Roman" w:cs="宋体"/>
          <w:sz w:val="24"/>
          <w:lang w:eastAsia="zh-CN"/>
        </w:rPr>
        <w:t>(v)</w:t>
      </w:r>
      <w:r w:rsidRPr="00AC2BA5">
        <w:rPr>
          <w:rFonts w:ascii="Times New Roman" w:eastAsia="宋体" w:hAnsi="Times New Roman" w:cs="宋体"/>
          <w:sz w:val="24"/>
          <w:lang w:eastAsia="zh-CN"/>
        </w:rPr>
        <w:t>）。在适当情况下（例如，操作步骤等），为了清楚起见，应使用编号而不是项目符号。</w:t>
      </w:r>
    </w:p>
    <w:p w14:paraId="68689467" w14:textId="77777777" w:rsidR="00D25487" w:rsidRPr="00AC2BA5" w:rsidRDefault="00D25487"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0F122A08" w14:textId="2CD9EC91"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 xml:space="preserve">8.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标签必须包括程序限制声明，包括已知会影响结果的外部因素或干扰物质（</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(b)(10)</w:t>
      </w:r>
      <w:r w:rsidRPr="00AC2BA5">
        <w:rPr>
          <w:rFonts w:ascii="Times New Roman" w:eastAsia="宋体" w:hAnsi="Times New Roman" w:cs="宋体"/>
          <w:sz w:val="24"/>
          <w:lang w:eastAsia="zh-CN"/>
        </w:rPr>
        <w:t>）。应包含可能导致</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出现有临床意义的错误（由于偏倚或</w:t>
      </w:r>
      <w:proofErr w:type="gramStart"/>
      <w:r w:rsidRPr="00AC2BA5">
        <w:rPr>
          <w:rFonts w:ascii="Times New Roman" w:eastAsia="宋体" w:hAnsi="Times New Roman" w:cs="宋体"/>
          <w:sz w:val="24"/>
          <w:lang w:eastAsia="zh-CN"/>
        </w:rPr>
        <w:t>不</w:t>
      </w:r>
      <w:proofErr w:type="gramEnd"/>
      <w:r w:rsidRPr="00AC2BA5">
        <w:rPr>
          <w:rFonts w:ascii="Times New Roman" w:eastAsia="宋体" w:hAnsi="Times New Roman" w:cs="宋体"/>
          <w:sz w:val="24"/>
          <w:lang w:eastAsia="zh-CN"/>
        </w:rPr>
        <w:t>精密度）的检测条件（例如：特定药物、氧疗、高海拔）。应指出根据性能试验结果确认的器械的最极端使用条件（例如：最高海拔、最高温度和最低温度等）。</w:t>
      </w:r>
    </w:p>
    <w:p w14:paraId="46E33CFD" w14:textId="62F9C63D"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9.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标签应清楚地向用户表明，当测量的血糖低于或高于血糖仪测量范围时</w:t>
      </w:r>
      <w:r w:rsidR="0058512C">
        <w:rPr>
          <w:rFonts w:ascii="Times New Roman" w:eastAsia="宋体" w:hAnsi="Times New Roman" w:cs="宋体" w:hint="eastAsia"/>
          <w:sz w:val="24"/>
          <w:lang w:eastAsia="zh-CN"/>
        </w:rPr>
        <w:t>的</w:t>
      </w:r>
      <w:r w:rsidRPr="00AC2BA5">
        <w:rPr>
          <w:rFonts w:ascii="Times New Roman" w:eastAsia="宋体" w:hAnsi="Times New Roman" w:cs="宋体"/>
          <w:sz w:val="24"/>
          <w:lang w:eastAsia="zh-CN"/>
        </w:rPr>
        <w:t>显示内容。例如，</w:t>
      </w:r>
      <w:r w:rsidRPr="00AC2BA5">
        <w:rPr>
          <w:rFonts w:ascii="Times New Roman" w:eastAsia="宋体" w:hAnsi="Times New Roman" w:cs="宋体"/>
          <w:sz w:val="24"/>
          <w:lang w:eastAsia="zh-CN"/>
        </w:rPr>
        <w:t>XYZ</w:t>
      </w:r>
      <w:r w:rsidRPr="00AC2BA5">
        <w:rPr>
          <w:rFonts w:ascii="Times New Roman" w:eastAsia="宋体" w:hAnsi="Times New Roman" w:cs="宋体"/>
          <w:sz w:val="24"/>
          <w:lang w:eastAsia="zh-CN"/>
        </w:rPr>
        <w:t>血糖仪的测量范围低至</w:t>
      </w:r>
      <w:r w:rsidRPr="00AC2BA5">
        <w:rPr>
          <w:rFonts w:ascii="Times New Roman" w:eastAsia="宋体" w:hAnsi="Times New Roman" w:cs="宋体"/>
          <w:sz w:val="24"/>
          <w:lang w:eastAsia="zh-CN"/>
        </w:rPr>
        <w:t>50 mg/dL</w:t>
      </w:r>
      <w:r w:rsidRPr="00AC2BA5">
        <w:rPr>
          <w:rFonts w:ascii="Times New Roman" w:eastAsia="宋体" w:hAnsi="Times New Roman" w:cs="宋体"/>
          <w:sz w:val="24"/>
          <w:lang w:eastAsia="zh-CN"/>
        </w:rPr>
        <w:t>。对于测量的所有低于</w:t>
      </w:r>
      <w:r w:rsidRPr="00AC2BA5">
        <w:rPr>
          <w:rFonts w:ascii="Times New Roman" w:eastAsia="宋体" w:hAnsi="Times New Roman" w:cs="宋体"/>
          <w:sz w:val="24"/>
          <w:lang w:eastAsia="zh-CN"/>
        </w:rPr>
        <w:t>50 mg/dL</w:t>
      </w:r>
      <w:r w:rsidRPr="00AC2BA5">
        <w:rPr>
          <w:rFonts w:ascii="Times New Roman" w:eastAsia="宋体" w:hAnsi="Times New Roman" w:cs="宋体"/>
          <w:sz w:val="24"/>
          <w:lang w:eastAsia="zh-CN"/>
        </w:rPr>
        <w:t>的血糖值，都将提供适当的信息表明结果低于血糖仪测量范围。血糖仪</w:t>
      </w:r>
      <w:r w:rsidRPr="00AC2BA5">
        <w:rPr>
          <w:rFonts w:ascii="Times New Roman" w:eastAsia="宋体" w:hAnsi="Times New Roman" w:cs="宋体"/>
          <w:sz w:val="24"/>
          <w:lang w:eastAsia="zh-CN"/>
        </w:rPr>
        <w:t>XYZ</w:t>
      </w:r>
      <w:r w:rsidRPr="00AC2BA5">
        <w:rPr>
          <w:rFonts w:ascii="Times New Roman" w:eastAsia="宋体" w:hAnsi="Times New Roman" w:cs="宋体"/>
          <w:sz w:val="24"/>
          <w:lang w:eastAsia="zh-CN"/>
        </w:rPr>
        <w:t>的标签应包含解释该错误代码的声明：</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当血糖值低于</w:t>
      </w:r>
      <w:r w:rsidRPr="00AC2BA5">
        <w:rPr>
          <w:rFonts w:ascii="Times New Roman" w:eastAsia="宋体" w:hAnsi="Times New Roman" w:cs="宋体"/>
          <w:sz w:val="24"/>
          <w:lang w:eastAsia="zh-CN"/>
        </w:rPr>
        <w:t>50 mg/dL</w:t>
      </w:r>
      <w:r w:rsidRPr="00AC2BA5">
        <w:rPr>
          <w:rFonts w:ascii="Times New Roman" w:eastAsia="宋体" w:hAnsi="Times New Roman" w:cs="宋体"/>
          <w:sz w:val="24"/>
          <w:lang w:eastAsia="zh-CN"/>
        </w:rPr>
        <w:t>时，</w:t>
      </w:r>
      <w:r w:rsidR="0006080D">
        <w:rPr>
          <w:rFonts w:ascii="Times New Roman" w:eastAsia="宋体" w:hAnsi="Times New Roman" w:cs="宋体" w:hint="eastAsia"/>
          <w:sz w:val="24"/>
          <w:lang w:eastAsia="zh-CN"/>
        </w:rPr>
        <w:t>显示</w:t>
      </w:r>
      <w:r w:rsidRPr="00AC2BA5">
        <w:rPr>
          <w:rFonts w:ascii="Times New Roman" w:eastAsia="宋体" w:hAnsi="Times New Roman" w:cs="宋体"/>
          <w:sz w:val="24"/>
          <w:lang w:eastAsia="zh-CN"/>
        </w:rPr>
        <w:t>以下错误代码：</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低于</w:t>
      </w:r>
      <w:r w:rsidRPr="00AC2BA5">
        <w:rPr>
          <w:rFonts w:ascii="Times New Roman" w:eastAsia="宋体" w:hAnsi="Times New Roman" w:cs="宋体"/>
          <w:sz w:val="24"/>
          <w:lang w:eastAsia="zh-CN"/>
        </w:rPr>
        <w:t>50””</w:t>
      </w:r>
      <w:r w:rsidRPr="00AC2BA5">
        <w:rPr>
          <w:rFonts w:ascii="Times New Roman" w:eastAsia="宋体" w:hAnsi="Times New Roman" w:cs="宋体"/>
          <w:sz w:val="24"/>
          <w:lang w:eastAsia="zh-CN"/>
        </w:rPr>
        <w:t>。</w:t>
      </w:r>
    </w:p>
    <w:p w14:paraId="16A785B6" w14:textId="4B2B7A95"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10.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标签必须描述校准和质量控制程序及材料的详细信息（</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(b)(8)</w:t>
      </w:r>
      <w:r w:rsidR="00ED2136">
        <w:rPr>
          <w:rFonts w:ascii="Times New Roman" w:eastAsia="宋体" w:hAnsi="Times New Roman" w:cs="宋体"/>
          <w:sz w:val="24"/>
          <w:lang w:eastAsia="zh-CN"/>
        </w:rPr>
        <w:t>(v)</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(b)(8)</w:t>
      </w:r>
      <w:r w:rsidR="00ED2136">
        <w:rPr>
          <w:rFonts w:ascii="Times New Roman" w:eastAsia="宋体" w:hAnsi="Times New Roman" w:cs="宋体"/>
          <w:sz w:val="24"/>
          <w:lang w:eastAsia="zh-CN"/>
        </w:rPr>
        <w:t>(vi)</w:t>
      </w:r>
      <w:r w:rsidRPr="00AC2BA5">
        <w:rPr>
          <w:rFonts w:ascii="Times New Roman" w:eastAsia="宋体" w:hAnsi="Times New Roman" w:cs="宋体"/>
          <w:sz w:val="24"/>
          <w:lang w:eastAsia="zh-CN"/>
        </w:rPr>
        <w:t>。这是为了确保</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的最佳性能。本节应包括质量控制检查</w:t>
      </w:r>
      <w:r w:rsidR="00451E97">
        <w:rPr>
          <w:rFonts w:ascii="Times New Roman" w:eastAsia="宋体" w:hAnsi="Times New Roman" w:cs="宋体" w:hint="eastAsia"/>
          <w:sz w:val="24"/>
          <w:lang w:eastAsia="zh-CN"/>
        </w:rPr>
        <w:t>方法和时间</w:t>
      </w:r>
      <w:r w:rsidRPr="00AC2BA5">
        <w:rPr>
          <w:rFonts w:ascii="Times New Roman" w:eastAsia="宋体" w:hAnsi="Times New Roman" w:cs="宋体"/>
          <w:sz w:val="24"/>
          <w:lang w:eastAsia="zh-CN"/>
        </w:rPr>
        <w:t>的建议，以及质控品值不在制造商允许范围内时应采取的措施的说明。作为标签中质量控制信息的一部分，本机构建议申请方告知用户，应定期审查自己的技术，并将使用其血糖仪获得的结果与使用实验室方法或其医疗服务提供者使用的维护良好且受到监控的系统获得的结果进行比较。</w:t>
      </w:r>
    </w:p>
    <w:p w14:paraId="33C15BC1" w14:textId="1CD9280C"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11.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标签中必须包含预期值（</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w:t>
      </w:r>
      <w:r w:rsidR="00ED2136">
        <w:rPr>
          <w:rFonts w:ascii="Times New Roman" w:eastAsia="宋体" w:hAnsi="Times New Roman" w:cs="宋体"/>
          <w:sz w:val="24"/>
          <w:lang w:eastAsia="zh-CN"/>
        </w:rPr>
        <w:t>(11)</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建议，预期值应为非糖尿病患者的预期值。</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不建议包括针对糖尿病患者调整的额外范围，因为这些范围是个体化的，由临床医生确定。应引用内部研究或最新参考来源的预期值。</w:t>
      </w:r>
    </w:p>
    <w:p w14:paraId="1BE9BD47" w14:textId="6B9D7D02"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12.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标签必须包括具体的性能特征（</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w:t>
      </w:r>
      <w:r w:rsidR="00ED2136">
        <w:rPr>
          <w:rFonts w:ascii="Times New Roman" w:eastAsia="宋体" w:hAnsi="Times New Roman" w:cs="宋体"/>
          <w:sz w:val="24"/>
          <w:lang w:eastAsia="zh-CN"/>
        </w:rPr>
        <w:t>(12)</w:t>
      </w:r>
      <w:r w:rsidRPr="00AC2BA5">
        <w:rPr>
          <w:rFonts w:ascii="Times New Roman" w:eastAsia="宋体" w:hAnsi="Times New Roman" w:cs="宋体"/>
          <w:sz w:val="24"/>
          <w:lang w:eastAsia="zh-CN"/>
        </w:rPr>
        <w:t>）。申请方应在包装说明书中简要描述所有研究并总结结果。</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建议这些信息应包括来自内部和用户研究的性能数据总结。尤其是有关准确度的呈现方式，示例请参见以下图表。应单独提供针对每个解剖部位和矩阵的性能。</w:t>
      </w:r>
    </w:p>
    <w:p w14:paraId="710F0F2D" w14:textId="77777777" w:rsidR="0050117E" w:rsidRPr="00AC2BA5" w:rsidRDefault="0050117E" w:rsidP="000102EB">
      <w:pPr>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13.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为了让非专业用户能够选择适合他们的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，必须以易于他们理解的方式清楚地描述器械的准确度。另外，该信息必须位于产品标签中的显眼位置，以便非专业用户在购买之前以及学习使用所购买的</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器械时了解其性能。因此，血糖仪外包装盒标签、试纸的包装说明书和用户手册均应包含易于理解的临床研究结果描述。</w:t>
      </w:r>
    </w:p>
    <w:p w14:paraId="69C62F00" w14:textId="77777777" w:rsidR="00D25487" w:rsidRPr="00AC2BA5" w:rsidRDefault="00D25487"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7306045D"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在试纸的包装说明书和</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的用户手册中，应将准确度信息放在标签中的显眼位置。本机构建议将该信息放在标签中描述用户如何获得结果的部分。在试纸的包装说明书中，该部分应该足够大并居中放置，以便用户理解使用这些试纸时系统的性能。本机构建议在器械用户手册和试纸包装说明书中采用以下类型的呈现方式来传达准确度研究的结果。</w:t>
      </w:r>
    </w:p>
    <w:tbl>
      <w:tblPr>
        <w:tblStyle w:val="TableNormal"/>
        <w:tblW w:w="9301" w:type="dxa"/>
        <w:tblLayout w:type="fixed"/>
        <w:tblCellMar>
          <w:left w:w="108" w:type="dxa"/>
          <w:right w:w="108" w:type="dxa"/>
        </w:tblCellMar>
        <w:tblLook w:val="01E0" w:firstRow="1" w:lastRow="1" w:firstColumn="1" w:lastColumn="1" w:noHBand="0" w:noVBand="0"/>
      </w:tblPr>
      <w:tblGrid>
        <w:gridCol w:w="236"/>
        <w:gridCol w:w="4408"/>
        <w:gridCol w:w="1134"/>
        <w:gridCol w:w="1134"/>
        <w:gridCol w:w="1134"/>
        <w:gridCol w:w="1255"/>
      </w:tblGrid>
      <w:tr w:rsidR="002E5E4C" w:rsidRPr="00AC2BA5" w14:paraId="3A1D5517" w14:textId="77777777" w:rsidTr="000102EB">
        <w:tc>
          <w:tcPr>
            <w:tcW w:w="9301" w:type="dxa"/>
            <w:gridSpan w:val="6"/>
            <w:tcBorders>
              <w:top w:val="single" w:sz="6" w:space="0" w:color="000000"/>
              <w:left w:val="single" w:sz="6" w:space="0" w:color="000000"/>
              <w:right w:val="single" w:sz="6" w:space="0" w:color="000000"/>
            </w:tcBorders>
          </w:tcPr>
          <w:p w14:paraId="48E25D2B" w14:textId="77777777" w:rsidR="002E5E4C" w:rsidRPr="00AC2BA5" w:rsidRDefault="002E5E4C" w:rsidP="000102EB">
            <w:pPr>
              <w:pStyle w:val="TableParagraph"/>
              <w:adjustRightInd w:val="0"/>
              <w:snapToGrid w:val="0"/>
              <w:spacing w:beforeLines="15" w:before="36" w:line="276" w:lineRule="auto"/>
              <w:rPr>
                <w:rFonts w:ascii="Times New Roman" w:eastAsia="宋体" w:hAnsi="Times New Roman" w:cs="Times New Roman"/>
                <w:snapToGrid w:val="0"/>
                <w:sz w:val="21"/>
                <w:szCs w:val="21"/>
                <w:u w:val="single"/>
                <w:lang w:eastAsia="zh-CN"/>
              </w:rPr>
            </w:pPr>
            <w:r w:rsidRPr="00AC2BA5">
              <w:rPr>
                <w:rFonts w:ascii="Times New Roman" w:eastAsia="宋体" w:hAnsi="Times New Roman" w:cs="宋体"/>
                <w:b/>
                <w:sz w:val="21"/>
                <w:u w:val="single"/>
                <w:lang w:eastAsia="zh-CN"/>
              </w:rPr>
              <w:t>供非专业用户家庭使用的建议准确度表示</w:t>
            </w:r>
            <w:r w:rsidRPr="00AC2BA5">
              <w:rPr>
                <w:rFonts w:ascii="Times New Roman" w:eastAsia="宋体" w:hAnsi="Times New Roman" w:cs="宋体"/>
                <w:b/>
                <w:sz w:val="21"/>
                <w:u w:val="single"/>
                <w:lang w:eastAsia="zh-CN"/>
              </w:rPr>
              <w:t xml:space="preserve"> - </w:t>
            </w:r>
            <w:r w:rsidRPr="00AC2BA5">
              <w:rPr>
                <w:rFonts w:ascii="Times New Roman" w:eastAsia="宋体" w:hAnsi="Times New Roman" w:cs="宋体"/>
                <w:b/>
                <w:sz w:val="21"/>
                <w:u w:val="single"/>
                <w:lang w:eastAsia="zh-CN"/>
              </w:rPr>
              <w:t>示例</w:t>
            </w:r>
          </w:p>
          <w:p w14:paraId="2F1D1E5A" w14:textId="77777777" w:rsidR="002E5E4C" w:rsidRPr="00AC2BA5" w:rsidRDefault="002E5E4C" w:rsidP="000102EB">
            <w:pPr>
              <w:pStyle w:val="TableParagraph"/>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sz w:val="21"/>
                <w:lang w:eastAsia="zh-CN"/>
              </w:rPr>
              <w:t>ABC</w:t>
            </w:r>
            <w:r w:rsidRPr="00AC2BA5">
              <w:rPr>
                <w:rFonts w:ascii="Times New Roman" w:eastAsia="宋体" w:hAnsi="Times New Roman" w:cs="宋体"/>
                <w:sz w:val="21"/>
                <w:lang w:eastAsia="zh-CN"/>
              </w:rPr>
              <w:t>血糖仪测得的结果可能与实际血糖值略有不同。这可能是由于技术上的轻微差异和检测技术的自然差异。</w:t>
            </w:r>
          </w:p>
          <w:p w14:paraId="0B223379" w14:textId="77777777" w:rsidR="002E5E4C" w:rsidRPr="00AC2BA5" w:rsidRDefault="002E5E4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sz w:val="21"/>
                <w:lang w:eastAsia="zh-CN"/>
              </w:rPr>
              <w:t>下表显示了一项研究的结果，其中</w:t>
            </w:r>
            <w:r w:rsidRPr="00AC2BA5">
              <w:rPr>
                <w:rFonts w:ascii="Times New Roman" w:eastAsia="宋体" w:hAnsi="Times New Roman" w:cs="宋体"/>
                <w:sz w:val="21"/>
                <w:lang w:eastAsia="zh-CN"/>
              </w:rPr>
              <w:t>350</w:t>
            </w:r>
            <w:r w:rsidRPr="00AC2BA5">
              <w:rPr>
                <w:rFonts w:ascii="Times New Roman" w:eastAsia="宋体" w:hAnsi="Times New Roman" w:cs="宋体"/>
                <w:sz w:val="21"/>
                <w:lang w:eastAsia="zh-CN"/>
              </w:rPr>
              <w:t>名典型用户使用</w:t>
            </w:r>
            <w:r w:rsidRPr="00AC2BA5">
              <w:rPr>
                <w:rFonts w:ascii="Times New Roman" w:eastAsia="宋体" w:hAnsi="Times New Roman" w:cs="宋体"/>
                <w:sz w:val="21"/>
                <w:lang w:eastAsia="zh-CN"/>
              </w:rPr>
              <w:t>ABC</w:t>
            </w:r>
            <w:r w:rsidRPr="00AC2BA5">
              <w:rPr>
                <w:rFonts w:ascii="Times New Roman" w:eastAsia="宋体" w:hAnsi="Times New Roman" w:cs="宋体"/>
                <w:sz w:val="21"/>
                <w:lang w:eastAsia="zh-CN"/>
              </w:rPr>
              <w:t>血糖仪检测其血糖水平。例如，在该研究中，</w:t>
            </w:r>
            <w:r w:rsidRPr="00AC2BA5">
              <w:rPr>
                <w:rFonts w:ascii="Times New Roman" w:eastAsia="宋体" w:hAnsi="Times New Roman" w:cs="宋体"/>
                <w:sz w:val="21"/>
                <w:lang w:eastAsia="zh-CN"/>
              </w:rPr>
              <w:t>350</w:t>
            </w:r>
            <w:r w:rsidRPr="00AC2BA5">
              <w:rPr>
                <w:rFonts w:ascii="Times New Roman" w:eastAsia="宋体" w:hAnsi="Times New Roman" w:cs="宋体"/>
                <w:sz w:val="21"/>
                <w:lang w:eastAsia="zh-CN"/>
              </w:rPr>
              <w:t>次检测中有</w:t>
            </w:r>
            <w:r w:rsidRPr="00AC2BA5">
              <w:rPr>
                <w:rFonts w:ascii="Times New Roman" w:eastAsia="宋体" w:hAnsi="Times New Roman" w:cs="宋体"/>
                <w:sz w:val="21"/>
                <w:lang w:eastAsia="zh-CN"/>
              </w:rPr>
              <w:t>340</w:t>
            </w:r>
            <w:r w:rsidRPr="00AC2BA5">
              <w:rPr>
                <w:rFonts w:ascii="Times New Roman" w:eastAsia="宋体" w:hAnsi="Times New Roman" w:cs="宋体"/>
                <w:sz w:val="21"/>
                <w:lang w:eastAsia="zh-CN"/>
              </w:rPr>
              <w:t>次，</w:t>
            </w:r>
            <w:r w:rsidRPr="00AC2BA5">
              <w:rPr>
                <w:rFonts w:ascii="Times New Roman" w:eastAsia="宋体" w:hAnsi="Times New Roman" w:cs="宋体"/>
                <w:sz w:val="21"/>
                <w:lang w:eastAsia="zh-CN"/>
              </w:rPr>
              <w:t>ABC</w:t>
            </w:r>
            <w:r w:rsidRPr="00AC2BA5">
              <w:rPr>
                <w:rFonts w:ascii="Times New Roman" w:eastAsia="宋体" w:hAnsi="Times New Roman" w:cs="宋体"/>
                <w:sz w:val="21"/>
                <w:lang w:eastAsia="zh-CN"/>
              </w:rPr>
              <w:t>血糖仪得出的结果在真实血糖水平的</w:t>
            </w:r>
            <w:r w:rsidRPr="00AC2BA5">
              <w:rPr>
                <w:rFonts w:ascii="Times New Roman" w:eastAsia="宋体" w:hAnsi="Times New Roman" w:cs="宋体"/>
                <w:sz w:val="21"/>
                <w:lang w:eastAsia="zh-CN"/>
              </w:rPr>
              <w:t>15%</w:t>
            </w:r>
            <w:r w:rsidRPr="00AC2BA5">
              <w:rPr>
                <w:rFonts w:ascii="Times New Roman" w:eastAsia="宋体" w:hAnsi="Times New Roman" w:cs="宋体"/>
                <w:sz w:val="21"/>
                <w:lang w:eastAsia="zh-CN"/>
              </w:rPr>
              <w:t>以内。</w:t>
            </w:r>
          </w:p>
        </w:tc>
      </w:tr>
      <w:tr w:rsidR="002E5E4C" w:rsidRPr="00AC2BA5" w14:paraId="705ED10B" w14:textId="77777777" w:rsidTr="000102EB">
        <w:tc>
          <w:tcPr>
            <w:tcW w:w="236" w:type="dxa"/>
            <w:tcBorders>
              <w:left w:val="single" w:sz="5" w:space="0" w:color="000000"/>
              <w:bottom w:val="nil"/>
              <w:right w:val="single" w:sz="6" w:space="0" w:color="000000"/>
            </w:tcBorders>
          </w:tcPr>
          <w:p w14:paraId="12562CAC" w14:textId="77777777" w:rsidR="002E5E4C" w:rsidRPr="00AC2BA5" w:rsidRDefault="002E5E4C" w:rsidP="000102EB">
            <w:pPr>
              <w:adjustRightInd w:val="0"/>
              <w:snapToGrid w:val="0"/>
              <w:spacing w:beforeLines="15" w:before="36" w:line="276" w:lineRule="auto"/>
              <w:rPr>
                <w:snapToGrid w:val="0"/>
                <w:sz w:val="21"/>
                <w:szCs w:val="21"/>
                <w:lang w:eastAsia="zh-CN"/>
              </w:rPr>
            </w:pPr>
          </w:p>
        </w:tc>
        <w:tc>
          <w:tcPr>
            <w:tcW w:w="4408" w:type="dxa"/>
            <w:tcBorders>
              <w:top w:val="single" w:sz="6" w:space="0" w:color="000000"/>
              <w:left w:val="single" w:sz="6" w:space="0" w:color="000000"/>
              <w:bottom w:val="single" w:sz="6" w:space="0" w:color="000000"/>
              <w:right w:val="single" w:sz="6" w:space="0" w:color="000000"/>
            </w:tcBorders>
          </w:tcPr>
          <w:p w14:paraId="0EFC89BF" w14:textId="77777777" w:rsidR="002E5E4C" w:rsidRPr="00AC2BA5" w:rsidRDefault="002E5E4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真实血糖水平与</w:t>
            </w:r>
            <w:r w:rsidRPr="00AC2BA5">
              <w:rPr>
                <w:rFonts w:ascii="Times New Roman" w:eastAsia="宋体" w:hAnsi="Times New Roman" w:cs="宋体"/>
                <w:b/>
                <w:sz w:val="21"/>
                <w:lang w:eastAsia="zh-CN"/>
              </w:rPr>
              <w:t>ABC</w:t>
            </w:r>
            <w:r w:rsidRPr="00AC2BA5">
              <w:rPr>
                <w:rFonts w:ascii="Times New Roman" w:eastAsia="宋体" w:hAnsi="Times New Roman" w:cs="宋体"/>
                <w:b/>
                <w:sz w:val="21"/>
                <w:lang w:eastAsia="zh-CN"/>
              </w:rPr>
              <w:t>血糖仪检测结果之间的差异范围。</w:t>
            </w:r>
          </w:p>
        </w:tc>
        <w:tc>
          <w:tcPr>
            <w:tcW w:w="1134" w:type="dxa"/>
            <w:tcBorders>
              <w:top w:val="single" w:sz="6" w:space="0" w:color="000000"/>
              <w:left w:val="single" w:sz="6" w:space="0" w:color="000000"/>
              <w:bottom w:val="single" w:sz="6" w:space="0" w:color="000000"/>
              <w:right w:val="single" w:sz="6" w:space="0" w:color="000000"/>
            </w:tcBorders>
          </w:tcPr>
          <w:p w14:paraId="093D0DE7" w14:textId="77777777" w:rsidR="002E5E4C" w:rsidRPr="00AC2BA5" w:rsidRDefault="002E5E4C" w:rsidP="000102EB">
            <w:pPr>
              <w:pStyle w:val="TableParagraph"/>
              <w:adjustRightInd w:val="0"/>
              <w:snapToGrid w:val="0"/>
              <w:spacing w:beforeLines="15" w:before="36" w:line="276" w:lineRule="auto"/>
              <w:rPr>
                <w:rFonts w:ascii="Times New Roman" w:eastAsia="Times New Roman" w:hAnsi="Times New Roman" w:cs="Times New Roman"/>
                <w:snapToGrid w:val="0"/>
                <w:sz w:val="21"/>
                <w:szCs w:val="21"/>
              </w:rPr>
            </w:pPr>
            <w:r w:rsidRPr="00AC2BA5">
              <w:rPr>
                <w:rFonts w:ascii="Times New Roman" w:eastAsia="宋体" w:hAnsi="Times New Roman" w:cs="宋体"/>
                <w:b/>
                <w:sz w:val="21"/>
              </w:rPr>
              <w:t>5%</w:t>
            </w:r>
            <w:r w:rsidRPr="00AC2BA5">
              <w:rPr>
                <w:rFonts w:ascii="Times New Roman" w:eastAsia="宋体" w:hAnsi="Times New Roman" w:cs="宋体"/>
                <w:b/>
                <w:sz w:val="21"/>
              </w:rPr>
              <w:t>以内</w:t>
            </w:r>
          </w:p>
        </w:tc>
        <w:tc>
          <w:tcPr>
            <w:tcW w:w="1134" w:type="dxa"/>
            <w:tcBorders>
              <w:top w:val="single" w:sz="6" w:space="0" w:color="000000"/>
              <w:left w:val="single" w:sz="6" w:space="0" w:color="000000"/>
              <w:bottom w:val="single" w:sz="6" w:space="0" w:color="000000"/>
              <w:right w:val="single" w:sz="6" w:space="0" w:color="000000"/>
            </w:tcBorders>
          </w:tcPr>
          <w:p w14:paraId="064AFC29" w14:textId="77777777" w:rsidR="002E5E4C" w:rsidRPr="00AC2BA5" w:rsidRDefault="002E5E4C" w:rsidP="000102EB">
            <w:pPr>
              <w:pStyle w:val="TableParagraph"/>
              <w:adjustRightInd w:val="0"/>
              <w:snapToGrid w:val="0"/>
              <w:spacing w:beforeLines="15" w:before="36" w:line="276" w:lineRule="auto"/>
              <w:rPr>
                <w:rFonts w:ascii="Times New Roman" w:eastAsia="Times New Roman" w:hAnsi="Times New Roman" w:cs="Times New Roman"/>
                <w:snapToGrid w:val="0"/>
                <w:sz w:val="21"/>
                <w:szCs w:val="21"/>
              </w:rPr>
            </w:pPr>
            <w:r w:rsidRPr="00AC2BA5">
              <w:rPr>
                <w:rFonts w:ascii="Times New Roman" w:eastAsia="宋体" w:hAnsi="Times New Roman" w:cs="宋体"/>
                <w:b/>
                <w:sz w:val="21"/>
              </w:rPr>
              <w:t>10%</w:t>
            </w:r>
            <w:r w:rsidRPr="00AC2BA5">
              <w:rPr>
                <w:rFonts w:ascii="Times New Roman" w:eastAsia="宋体" w:hAnsi="Times New Roman" w:cs="宋体"/>
                <w:b/>
                <w:sz w:val="21"/>
              </w:rPr>
              <w:t>以内</w:t>
            </w:r>
          </w:p>
        </w:tc>
        <w:tc>
          <w:tcPr>
            <w:tcW w:w="1134" w:type="dxa"/>
            <w:tcBorders>
              <w:top w:val="single" w:sz="6" w:space="0" w:color="000000"/>
              <w:left w:val="single" w:sz="6" w:space="0" w:color="000000"/>
              <w:bottom w:val="single" w:sz="6" w:space="0" w:color="000000"/>
              <w:right w:val="single" w:sz="6" w:space="0" w:color="000000"/>
            </w:tcBorders>
          </w:tcPr>
          <w:p w14:paraId="05B86EF0" w14:textId="77777777" w:rsidR="002E5E4C" w:rsidRPr="00AC2BA5" w:rsidRDefault="002E5E4C" w:rsidP="000102EB">
            <w:pPr>
              <w:pStyle w:val="TableParagraph"/>
              <w:adjustRightInd w:val="0"/>
              <w:snapToGrid w:val="0"/>
              <w:spacing w:beforeLines="15" w:before="36" w:line="276" w:lineRule="auto"/>
              <w:rPr>
                <w:rFonts w:ascii="Times New Roman" w:eastAsia="Times New Roman" w:hAnsi="Times New Roman" w:cs="Times New Roman"/>
                <w:snapToGrid w:val="0"/>
                <w:sz w:val="21"/>
                <w:szCs w:val="21"/>
              </w:rPr>
            </w:pPr>
            <w:r w:rsidRPr="00AC2BA5">
              <w:rPr>
                <w:rFonts w:ascii="Times New Roman" w:eastAsia="宋体" w:hAnsi="Times New Roman" w:cs="宋体"/>
                <w:b/>
                <w:sz w:val="21"/>
              </w:rPr>
              <w:t>15%</w:t>
            </w:r>
            <w:r w:rsidRPr="00AC2BA5">
              <w:rPr>
                <w:rFonts w:ascii="Times New Roman" w:eastAsia="宋体" w:hAnsi="Times New Roman" w:cs="宋体"/>
                <w:b/>
                <w:sz w:val="21"/>
              </w:rPr>
              <w:t>以内</w:t>
            </w:r>
          </w:p>
        </w:tc>
        <w:tc>
          <w:tcPr>
            <w:tcW w:w="1255" w:type="dxa"/>
            <w:tcBorders>
              <w:top w:val="single" w:sz="6" w:space="0" w:color="000000"/>
              <w:left w:val="single" w:sz="6" w:space="0" w:color="000000"/>
              <w:bottom w:val="single" w:sz="6" w:space="0" w:color="000000"/>
              <w:right w:val="single" w:sz="6" w:space="0" w:color="000000"/>
            </w:tcBorders>
          </w:tcPr>
          <w:p w14:paraId="0F84AFF4" w14:textId="77777777" w:rsidR="002E5E4C" w:rsidRPr="00AC2BA5" w:rsidRDefault="002E5E4C" w:rsidP="000102EB">
            <w:pPr>
              <w:pStyle w:val="TableParagraph"/>
              <w:adjustRightInd w:val="0"/>
              <w:snapToGrid w:val="0"/>
              <w:spacing w:beforeLines="15" w:before="36" w:line="276" w:lineRule="auto"/>
              <w:rPr>
                <w:rFonts w:ascii="Times New Roman" w:eastAsia="Times New Roman" w:hAnsi="Times New Roman" w:cs="Times New Roman"/>
                <w:snapToGrid w:val="0"/>
                <w:sz w:val="21"/>
                <w:szCs w:val="21"/>
              </w:rPr>
            </w:pPr>
            <w:r w:rsidRPr="00AC2BA5">
              <w:rPr>
                <w:rFonts w:ascii="Times New Roman" w:eastAsia="宋体" w:hAnsi="Times New Roman" w:cs="宋体"/>
                <w:b/>
                <w:sz w:val="21"/>
              </w:rPr>
              <w:t>20%</w:t>
            </w:r>
            <w:r w:rsidRPr="00AC2BA5">
              <w:rPr>
                <w:rFonts w:ascii="Times New Roman" w:eastAsia="宋体" w:hAnsi="Times New Roman" w:cs="宋体"/>
                <w:b/>
                <w:sz w:val="21"/>
              </w:rPr>
              <w:t>以内</w:t>
            </w:r>
          </w:p>
        </w:tc>
      </w:tr>
      <w:tr w:rsidR="002E5E4C" w:rsidRPr="00AC2BA5" w14:paraId="4675E005" w14:textId="77777777" w:rsidTr="000102EB">
        <w:tc>
          <w:tcPr>
            <w:tcW w:w="236" w:type="dxa"/>
            <w:tcBorders>
              <w:top w:val="nil"/>
              <w:left w:val="single" w:sz="5" w:space="0" w:color="000000"/>
              <w:bottom w:val="single" w:sz="6" w:space="0" w:color="000000"/>
              <w:right w:val="single" w:sz="6" w:space="0" w:color="000000"/>
            </w:tcBorders>
          </w:tcPr>
          <w:p w14:paraId="0086960D" w14:textId="77777777" w:rsidR="002E5E4C" w:rsidRPr="00AC2BA5" w:rsidRDefault="002E5E4C" w:rsidP="000102EB">
            <w:pPr>
              <w:adjustRightInd w:val="0"/>
              <w:snapToGrid w:val="0"/>
              <w:spacing w:beforeLines="15" w:before="36" w:line="276" w:lineRule="auto"/>
              <w:rPr>
                <w:snapToGrid w:val="0"/>
                <w:sz w:val="21"/>
                <w:szCs w:val="21"/>
              </w:rPr>
            </w:pPr>
          </w:p>
        </w:tc>
        <w:tc>
          <w:tcPr>
            <w:tcW w:w="4408" w:type="dxa"/>
            <w:tcBorders>
              <w:top w:val="single" w:sz="5" w:space="0" w:color="000000"/>
              <w:left w:val="single" w:sz="6" w:space="0" w:color="000000"/>
              <w:bottom w:val="single" w:sz="6" w:space="0" w:color="000000"/>
              <w:right w:val="single" w:sz="6" w:space="0" w:color="000000"/>
            </w:tcBorders>
          </w:tcPr>
          <w:p w14:paraId="4637185C" w14:textId="77777777" w:rsidR="002E5E4C" w:rsidRPr="00AC2BA5" w:rsidRDefault="002E5E4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sz w:val="21"/>
                <w:lang w:eastAsia="zh-CN"/>
              </w:rPr>
              <w:t>与真实血糖水平相差</w:t>
            </w:r>
            <w:r w:rsidRPr="00AC2BA5">
              <w:rPr>
                <w:rFonts w:ascii="Times New Roman" w:eastAsia="宋体" w:hAnsi="Times New Roman" w:cs="宋体"/>
                <w:sz w:val="21"/>
                <w:lang w:eastAsia="zh-CN"/>
              </w:rPr>
              <w:t>x%</w:t>
            </w:r>
            <w:r w:rsidRPr="00AC2BA5">
              <w:rPr>
                <w:rFonts w:ascii="Times New Roman" w:eastAsia="宋体" w:hAnsi="Times New Roman" w:cs="宋体"/>
                <w:sz w:val="21"/>
                <w:lang w:eastAsia="zh-CN"/>
              </w:rPr>
              <w:t>以内的血糖仪检测结果的百分比（和数量）</w:t>
            </w:r>
          </w:p>
        </w:tc>
        <w:tc>
          <w:tcPr>
            <w:tcW w:w="1134" w:type="dxa"/>
            <w:tcBorders>
              <w:top w:val="single" w:sz="5" w:space="0" w:color="000000"/>
              <w:left w:val="single" w:sz="6" w:space="0" w:color="000000"/>
              <w:bottom w:val="single" w:sz="6" w:space="0" w:color="000000"/>
              <w:right w:val="single" w:sz="6" w:space="0" w:color="000000"/>
            </w:tcBorders>
          </w:tcPr>
          <w:p w14:paraId="4AAE5EA2" w14:textId="44C80D3C" w:rsidR="002E5E4C" w:rsidRPr="00AC2BA5" w:rsidRDefault="002E5E4C" w:rsidP="000102EB">
            <w:pPr>
              <w:pStyle w:val="TableParagraph"/>
              <w:adjustRightInd w:val="0"/>
              <w:snapToGrid w:val="0"/>
              <w:spacing w:beforeLines="15" w:before="36" w:line="276" w:lineRule="auto"/>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57%</w:t>
            </w:r>
            <w:r w:rsidR="007E6307">
              <w:rPr>
                <w:rFonts w:ascii="Times New Roman" w:eastAsia="宋体" w:hAnsi="Times New Roman" w:cs="Times New Roman"/>
                <w:snapToGrid w:val="0"/>
                <w:sz w:val="21"/>
                <w:szCs w:val="21"/>
              </w:rPr>
              <w:t>（</w:t>
            </w:r>
            <w:r w:rsidRPr="00AC2BA5">
              <w:rPr>
                <w:rFonts w:ascii="Times New Roman" w:eastAsia="宋体" w:hAnsi="Times New Roman" w:cs="Times New Roman"/>
                <w:snapToGrid w:val="0"/>
                <w:sz w:val="21"/>
                <w:szCs w:val="21"/>
              </w:rPr>
              <w:t>200/350</w:t>
            </w:r>
            <w:r w:rsidR="007E6307">
              <w:rPr>
                <w:rFonts w:ascii="Times New Roman" w:eastAsia="宋体" w:hAnsi="Times New Roman" w:cs="Times New Roman"/>
                <w:snapToGrid w:val="0"/>
                <w:sz w:val="21"/>
                <w:szCs w:val="21"/>
              </w:rPr>
              <w:t>）</w:t>
            </w:r>
          </w:p>
        </w:tc>
        <w:tc>
          <w:tcPr>
            <w:tcW w:w="1134" w:type="dxa"/>
            <w:tcBorders>
              <w:top w:val="single" w:sz="5" w:space="0" w:color="000000"/>
              <w:left w:val="single" w:sz="6" w:space="0" w:color="000000"/>
              <w:bottom w:val="single" w:sz="6" w:space="0" w:color="000000"/>
              <w:right w:val="single" w:sz="6" w:space="0" w:color="000000"/>
            </w:tcBorders>
          </w:tcPr>
          <w:p w14:paraId="1E7150A9" w14:textId="6EF8404F" w:rsidR="002E5E4C" w:rsidRPr="00AC2BA5" w:rsidRDefault="002E5E4C" w:rsidP="000102EB">
            <w:pPr>
              <w:pStyle w:val="TableParagraph"/>
              <w:adjustRightInd w:val="0"/>
              <w:snapToGrid w:val="0"/>
              <w:spacing w:beforeLines="15" w:before="36" w:line="276" w:lineRule="auto"/>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94%</w:t>
            </w:r>
            <w:r w:rsidR="007E6307">
              <w:rPr>
                <w:rFonts w:ascii="Times New Roman" w:eastAsia="宋体" w:hAnsi="Times New Roman" w:cs="Times New Roman"/>
                <w:snapToGrid w:val="0"/>
                <w:sz w:val="21"/>
                <w:szCs w:val="21"/>
              </w:rPr>
              <w:t>（</w:t>
            </w:r>
            <w:r w:rsidRPr="00AC2BA5">
              <w:rPr>
                <w:rFonts w:ascii="Times New Roman" w:eastAsia="宋体" w:hAnsi="Times New Roman" w:cs="Times New Roman"/>
                <w:snapToGrid w:val="0"/>
                <w:sz w:val="21"/>
                <w:szCs w:val="21"/>
              </w:rPr>
              <w:t>330/350</w:t>
            </w:r>
            <w:r w:rsidR="007E6307">
              <w:rPr>
                <w:rFonts w:ascii="Times New Roman" w:eastAsia="宋体" w:hAnsi="Times New Roman" w:cs="Times New Roman"/>
                <w:snapToGrid w:val="0"/>
                <w:sz w:val="21"/>
                <w:szCs w:val="21"/>
              </w:rPr>
              <w:t>）</w:t>
            </w:r>
          </w:p>
        </w:tc>
        <w:tc>
          <w:tcPr>
            <w:tcW w:w="1134" w:type="dxa"/>
            <w:tcBorders>
              <w:top w:val="single" w:sz="5" w:space="0" w:color="000000"/>
              <w:left w:val="single" w:sz="6" w:space="0" w:color="000000"/>
              <w:bottom w:val="single" w:sz="6" w:space="0" w:color="000000"/>
              <w:right w:val="single" w:sz="6" w:space="0" w:color="000000"/>
            </w:tcBorders>
          </w:tcPr>
          <w:p w14:paraId="7C3014C5" w14:textId="13D1B422" w:rsidR="002E5E4C" w:rsidRPr="00AC2BA5" w:rsidRDefault="002E5E4C" w:rsidP="000102EB">
            <w:pPr>
              <w:pStyle w:val="TableParagraph"/>
              <w:adjustRightInd w:val="0"/>
              <w:snapToGrid w:val="0"/>
              <w:spacing w:beforeLines="15" w:before="36" w:line="276" w:lineRule="auto"/>
              <w:rPr>
                <w:rFonts w:ascii="Times New Roman" w:eastAsia="Times New Roman" w:hAnsi="Times New Roman" w:cs="Times New Roman"/>
                <w:snapToGrid w:val="0"/>
                <w:sz w:val="21"/>
                <w:szCs w:val="21"/>
              </w:rPr>
            </w:pPr>
            <w:r w:rsidRPr="00AC2BA5">
              <w:rPr>
                <w:rFonts w:ascii="Times New Roman" w:eastAsia="宋体" w:hAnsi="Times New Roman" w:cs="Times New Roman"/>
                <w:snapToGrid w:val="0"/>
                <w:sz w:val="21"/>
                <w:szCs w:val="21"/>
              </w:rPr>
              <w:t>97%</w:t>
            </w:r>
            <w:r w:rsidR="007E6307">
              <w:rPr>
                <w:rFonts w:ascii="Times New Roman" w:eastAsia="宋体" w:hAnsi="Times New Roman" w:cs="Times New Roman"/>
                <w:snapToGrid w:val="0"/>
                <w:sz w:val="21"/>
                <w:szCs w:val="21"/>
              </w:rPr>
              <w:t>（</w:t>
            </w:r>
            <w:r w:rsidRPr="00AC2BA5">
              <w:rPr>
                <w:rFonts w:ascii="Times New Roman" w:eastAsia="宋体" w:hAnsi="Times New Roman" w:cs="Times New Roman"/>
                <w:snapToGrid w:val="0"/>
                <w:sz w:val="21"/>
                <w:szCs w:val="21"/>
              </w:rPr>
              <w:t>340/350</w:t>
            </w:r>
            <w:r w:rsidR="007E6307">
              <w:rPr>
                <w:rFonts w:ascii="Times New Roman" w:eastAsia="宋体" w:hAnsi="Times New Roman" w:cs="Times New Roman"/>
                <w:snapToGrid w:val="0"/>
                <w:sz w:val="21"/>
                <w:szCs w:val="21"/>
              </w:rPr>
              <w:t>）</w:t>
            </w:r>
          </w:p>
        </w:tc>
        <w:tc>
          <w:tcPr>
            <w:tcW w:w="1255" w:type="dxa"/>
            <w:tcBorders>
              <w:top w:val="single" w:sz="5" w:space="0" w:color="000000"/>
              <w:left w:val="single" w:sz="6" w:space="0" w:color="000000"/>
              <w:bottom w:val="single" w:sz="6" w:space="0" w:color="000000"/>
              <w:right w:val="single" w:sz="5" w:space="0" w:color="000000"/>
            </w:tcBorders>
          </w:tcPr>
          <w:p w14:paraId="5B99BE4E" w14:textId="77777777" w:rsidR="002E5E4C" w:rsidRPr="00AC2BA5" w:rsidRDefault="002E5E4C" w:rsidP="000102EB">
            <w:pPr>
              <w:pStyle w:val="TableParagraph"/>
              <w:adjustRightInd w:val="0"/>
              <w:snapToGrid w:val="0"/>
              <w:spacing w:beforeLines="15" w:before="36" w:line="276" w:lineRule="auto"/>
              <w:rPr>
                <w:rFonts w:ascii="Times New Roman" w:eastAsia="宋体" w:hAnsi="Times New Roman" w:cs="Times New Roman"/>
                <w:snapToGrid w:val="0"/>
                <w:sz w:val="21"/>
                <w:szCs w:val="21"/>
                <w:lang w:eastAsia="zh-CN"/>
              </w:rPr>
            </w:pPr>
            <w:r w:rsidRPr="00AC2BA5">
              <w:rPr>
                <w:rFonts w:ascii="Times New Roman" w:eastAsia="宋体" w:hAnsi="Times New Roman" w:cs="Times New Roman"/>
                <w:snapToGrid w:val="0"/>
                <w:sz w:val="21"/>
                <w:szCs w:val="21"/>
              </w:rPr>
              <w:t>100</w:t>
            </w:r>
            <w:r w:rsidRPr="00AC2BA5">
              <w:rPr>
                <w:rFonts w:ascii="Times New Roman" w:eastAsia="宋体" w:hAnsi="Times New Roman" w:cs="Times New Roman" w:hint="eastAsia"/>
                <w:snapToGrid w:val="0"/>
                <w:sz w:val="21"/>
                <w:szCs w:val="21"/>
                <w:lang w:eastAsia="zh-CN"/>
              </w:rPr>
              <w:t>%</w:t>
            </w:r>
          </w:p>
          <w:p w14:paraId="3426902D" w14:textId="6DBD45A0" w:rsidR="002E5E4C" w:rsidRPr="00AC2BA5" w:rsidRDefault="007E6307" w:rsidP="000102EB">
            <w:pPr>
              <w:pStyle w:val="TableParagraph"/>
              <w:adjustRightInd w:val="0"/>
              <w:snapToGrid w:val="0"/>
              <w:spacing w:beforeLines="15" w:before="36" w:line="276" w:lineRule="auto"/>
              <w:rPr>
                <w:rFonts w:ascii="Times New Roman" w:hAnsi="Times New Roman" w:cs="Times New Roman"/>
                <w:snapToGrid w:val="0"/>
                <w:sz w:val="21"/>
                <w:szCs w:val="21"/>
                <w:lang w:eastAsia="zh-CN"/>
              </w:rPr>
            </w:pPr>
            <w:r>
              <w:rPr>
                <w:rFonts w:ascii="Times New Roman" w:eastAsia="宋体" w:hAnsi="Times New Roman" w:cs="Times New Roman"/>
                <w:snapToGrid w:val="0"/>
                <w:sz w:val="21"/>
                <w:szCs w:val="21"/>
              </w:rPr>
              <w:t>（</w:t>
            </w:r>
            <w:r w:rsidR="002E5E4C" w:rsidRPr="00AC2BA5">
              <w:rPr>
                <w:rFonts w:ascii="Times New Roman" w:eastAsia="宋体" w:hAnsi="Times New Roman" w:cs="Times New Roman"/>
                <w:snapToGrid w:val="0"/>
                <w:sz w:val="21"/>
                <w:szCs w:val="21"/>
              </w:rPr>
              <w:t>350/</w:t>
            </w:r>
            <w:r w:rsidR="002E5E4C" w:rsidRPr="00AC2BA5">
              <w:rPr>
                <w:rFonts w:ascii="Times New Roman" w:eastAsia="宋体" w:hAnsi="Times New Roman" w:cs="Times New Roman" w:hint="eastAsia"/>
                <w:snapToGrid w:val="0"/>
                <w:sz w:val="21"/>
                <w:szCs w:val="21"/>
                <w:lang w:eastAsia="zh-CN"/>
              </w:rPr>
              <w:t>350</w:t>
            </w:r>
            <w:r>
              <w:rPr>
                <w:rFonts w:ascii="Times New Roman" w:eastAsia="宋体" w:hAnsi="Times New Roman" w:cs="Times New Roman" w:hint="eastAsia"/>
                <w:snapToGrid w:val="0"/>
                <w:sz w:val="21"/>
                <w:szCs w:val="21"/>
                <w:lang w:eastAsia="zh-CN"/>
              </w:rPr>
              <w:t>）</w:t>
            </w:r>
          </w:p>
        </w:tc>
      </w:tr>
    </w:tbl>
    <w:p w14:paraId="331FF935" w14:textId="77777777" w:rsidR="002E5E4C" w:rsidRPr="00AC2BA5" w:rsidRDefault="002E5E4C" w:rsidP="000102EB">
      <w:pPr>
        <w:rPr>
          <w:rFonts w:ascii="Times New Roman" w:eastAsia="宋体" w:hAnsi="Times New Roman"/>
        </w:rPr>
      </w:pPr>
    </w:p>
    <w:p w14:paraId="6CA8347A" w14:textId="7777777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血糖仪外包装盒标签以及试纸包装说明书和用户手册中也应包含准确度信息。本机构建议，外包装盒标签上的准确度信息应指示读者参阅包装说明书，并以图形方式呈现用户研究数据。这种呈现方式的示例如下。数字表示在所示准确度水平内的血糖仪检测结果（相对于实验室设备）的数量。</w:t>
      </w:r>
    </w:p>
    <w:tbl>
      <w:tblPr>
        <w:tblStyle w:val="a5"/>
        <w:tblW w:w="0" w:type="auto"/>
        <w:tblLook w:val="04A0" w:firstRow="1" w:lastRow="0" w:firstColumn="1" w:lastColumn="0" w:noHBand="0" w:noVBand="1"/>
      </w:tblPr>
      <w:tblGrid>
        <w:gridCol w:w="9287"/>
      </w:tblGrid>
      <w:tr w:rsidR="002E5E4C" w:rsidRPr="00AC2BA5" w14:paraId="0BDAA06C" w14:textId="77777777" w:rsidTr="002E5E4C">
        <w:tc>
          <w:tcPr>
            <w:tcW w:w="9287" w:type="dxa"/>
          </w:tcPr>
          <w:p w14:paraId="0BF21E71" w14:textId="77777777" w:rsidR="002E5E4C" w:rsidRPr="00AC2BA5" w:rsidRDefault="002E5E4C" w:rsidP="000102EB">
            <w:pPr>
              <w:adjustRightInd w:val="0"/>
              <w:snapToGrid w:val="0"/>
              <w:spacing w:beforeLines="15" w:before="36" w:line="276" w:lineRule="auto"/>
              <w:jc w:val="both"/>
              <w:rPr>
                <w:rFonts w:ascii="Times New Roman" w:eastAsia="宋体" w:hAnsi="Times New Roman" w:cs="Times New Roman"/>
                <w:snapToGrid w:val="0"/>
                <w:sz w:val="21"/>
                <w:szCs w:val="21"/>
                <w:lang w:eastAsia="zh-C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678"/>
              <w:gridCol w:w="850"/>
              <w:gridCol w:w="976"/>
            </w:tblGrid>
            <w:tr w:rsidR="002E5E4C" w:rsidRPr="00AC2BA5" w14:paraId="59E2B8ED" w14:textId="77777777" w:rsidTr="000102EB">
              <w:tc>
                <w:tcPr>
                  <w:tcW w:w="2552" w:type="dxa"/>
                  <w:tcBorders>
                    <w:right w:val="single" w:sz="6" w:space="0" w:color="000000"/>
                  </w:tcBorders>
                </w:tcPr>
                <w:p w14:paraId="62867ABD"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roofErr w:type="spellStart"/>
                  <w:r w:rsidRPr="00AC2BA5">
                    <w:rPr>
                      <w:rFonts w:ascii="Times New Roman" w:eastAsia="宋体" w:hAnsi="Times New Roman" w:cs="宋体"/>
                      <w:b/>
                      <w:sz w:val="21"/>
                    </w:rPr>
                    <w:t>准确结果</w:t>
                  </w:r>
                  <w:proofErr w:type="spellEnd"/>
                </w:p>
              </w:tc>
              <w:tc>
                <w:tcPr>
                  <w:tcW w:w="6504" w:type="dxa"/>
                  <w:gridSpan w:val="3"/>
                  <w:tcBorders>
                    <w:top w:val="single" w:sz="6" w:space="0" w:color="000000"/>
                    <w:left w:val="single" w:sz="6" w:space="0" w:color="000000"/>
                    <w:bottom w:val="single" w:sz="4" w:space="0" w:color="auto"/>
                    <w:right w:val="single" w:sz="6" w:space="0" w:color="000000"/>
                  </w:tcBorders>
                </w:tcPr>
                <w:p w14:paraId="5C1F8C82"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p w14:paraId="415E4DFD" w14:textId="77777777" w:rsidR="000102EB" w:rsidRPr="00AC2BA5" w:rsidRDefault="000102EB"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2E5E4C" w:rsidRPr="00AC2BA5" w14:paraId="251CF103" w14:textId="77777777" w:rsidTr="000102EB">
              <w:tc>
                <w:tcPr>
                  <w:tcW w:w="2552" w:type="dxa"/>
                </w:tcPr>
                <w:p w14:paraId="69DD4A04" w14:textId="77777777" w:rsidR="002E5E4C" w:rsidRPr="00AC2BA5" w:rsidRDefault="002E5E4C" w:rsidP="000102EB">
                  <w:pPr>
                    <w:adjustRightInd w:val="0"/>
                    <w:snapToGrid w:val="0"/>
                    <w:spacing w:beforeLines="15" w:before="36" w:line="276" w:lineRule="auto"/>
                    <w:jc w:val="both"/>
                    <w:rPr>
                      <w:rFonts w:ascii="Times New Roman" w:eastAsia="Times New Roman" w:hAnsi="Times New Roman" w:cs="Times New Roman"/>
                      <w:b/>
                      <w:bCs/>
                      <w:snapToGrid w:val="0"/>
                      <w:sz w:val="21"/>
                      <w:szCs w:val="21"/>
                    </w:rPr>
                  </w:pPr>
                </w:p>
              </w:tc>
              <w:tc>
                <w:tcPr>
                  <w:tcW w:w="6504" w:type="dxa"/>
                  <w:gridSpan w:val="3"/>
                  <w:tcBorders>
                    <w:top w:val="single" w:sz="4" w:space="0" w:color="auto"/>
                  </w:tcBorders>
                </w:tcPr>
                <w:p w14:paraId="696D6733"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2E5E4C" w:rsidRPr="00AC2BA5" w14:paraId="5DA97613" w14:textId="77777777" w:rsidTr="002E5E4C">
              <w:trPr>
                <w:gridAfter w:val="1"/>
                <w:wAfter w:w="976" w:type="dxa"/>
              </w:trPr>
              <w:tc>
                <w:tcPr>
                  <w:tcW w:w="2552" w:type="dxa"/>
                  <w:tcBorders>
                    <w:right w:val="single" w:sz="6" w:space="0" w:color="000000"/>
                  </w:tcBorders>
                </w:tcPr>
                <w:p w14:paraId="6256BFA1" w14:textId="77777777" w:rsidR="002E5E4C" w:rsidRPr="00AC2BA5" w:rsidRDefault="002E5E4C" w:rsidP="000102EB">
                  <w:pPr>
                    <w:adjustRightInd w:val="0"/>
                    <w:snapToGrid w:val="0"/>
                    <w:spacing w:beforeLines="15" w:before="36" w:line="276" w:lineRule="auto"/>
                    <w:jc w:val="both"/>
                    <w:rPr>
                      <w:rFonts w:ascii="Times New Roman" w:eastAsia="Times New Roman" w:hAnsi="Times New Roman" w:cs="Times New Roman"/>
                      <w:b/>
                      <w:bCs/>
                      <w:snapToGrid w:val="0"/>
                      <w:sz w:val="21"/>
                      <w:szCs w:val="21"/>
                    </w:rPr>
                  </w:pPr>
                </w:p>
              </w:tc>
              <w:tc>
                <w:tcPr>
                  <w:tcW w:w="5528" w:type="dxa"/>
                  <w:gridSpan w:val="2"/>
                  <w:tcBorders>
                    <w:top w:val="single" w:sz="6" w:space="0" w:color="000000"/>
                    <w:left w:val="single" w:sz="6" w:space="0" w:color="000000"/>
                    <w:bottom w:val="single" w:sz="6" w:space="0" w:color="000000"/>
                    <w:right w:val="single" w:sz="6" w:space="0" w:color="000000"/>
                  </w:tcBorders>
                </w:tcPr>
                <w:p w14:paraId="35025E87"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p w14:paraId="36F12F1E" w14:textId="77777777" w:rsidR="000102EB" w:rsidRPr="00AC2BA5" w:rsidRDefault="000102EB"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2E5E4C" w:rsidRPr="00AC2BA5" w14:paraId="76923A45" w14:textId="77777777" w:rsidTr="002E5E4C">
              <w:tc>
                <w:tcPr>
                  <w:tcW w:w="2552" w:type="dxa"/>
                </w:tcPr>
                <w:p w14:paraId="4923B17C"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6504" w:type="dxa"/>
                  <w:gridSpan w:val="3"/>
                </w:tcPr>
                <w:p w14:paraId="795CC22D"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r>
            <w:tr w:rsidR="002E5E4C" w:rsidRPr="00AC2BA5" w14:paraId="5FE79898" w14:textId="77777777" w:rsidTr="002E5E4C">
              <w:trPr>
                <w:gridAfter w:val="2"/>
                <w:wAfter w:w="1826" w:type="dxa"/>
              </w:trPr>
              <w:tc>
                <w:tcPr>
                  <w:tcW w:w="2552" w:type="dxa"/>
                  <w:tcBorders>
                    <w:right w:val="single" w:sz="6" w:space="0" w:color="000000"/>
                  </w:tcBorders>
                </w:tcPr>
                <w:p w14:paraId="62D26811"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4678" w:type="dxa"/>
                  <w:tcBorders>
                    <w:top w:val="single" w:sz="6" w:space="0" w:color="000000"/>
                    <w:left w:val="single" w:sz="6" w:space="0" w:color="000000"/>
                    <w:bottom w:val="single" w:sz="6" w:space="0" w:color="000000"/>
                    <w:right w:val="single" w:sz="6" w:space="0" w:color="000000"/>
                  </w:tcBorders>
                </w:tcPr>
                <w:p w14:paraId="3CEF4FE2"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p w14:paraId="43D866AB" w14:textId="77777777" w:rsidR="000102EB" w:rsidRPr="00AC2BA5" w:rsidRDefault="000102EB"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r>
          </w:tbl>
          <w:p w14:paraId="52D5DD54" w14:textId="77777777" w:rsidR="002E5E4C" w:rsidRPr="00AC2BA5" w:rsidRDefault="002E5E4C" w:rsidP="000102EB">
            <w:pPr>
              <w:adjustRightInd w:val="0"/>
              <w:snapToGrid w:val="0"/>
              <w:spacing w:beforeLines="15" w:before="36" w:line="276" w:lineRule="auto"/>
              <w:jc w:val="both"/>
              <w:rPr>
                <w:rFonts w:ascii="Times New Roman" w:eastAsia="宋体" w:hAnsi="Times New Roman" w:cs="Times New Roman"/>
                <w:snapToGrid w:val="0"/>
                <w:sz w:val="21"/>
                <w:szCs w:val="21"/>
                <w:lang w:eastAsia="zh-CN"/>
              </w:rPr>
            </w:pPr>
          </w:p>
          <w:p w14:paraId="7198BEBF" w14:textId="77777777" w:rsidR="002E5E4C" w:rsidRPr="00AC2BA5" w:rsidRDefault="002E5E4C"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r>
    </w:tbl>
    <w:p w14:paraId="5D490C99" w14:textId="77777777" w:rsidR="002E5E4C" w:rsidRPr="00AC2BA5" w:rsidRDefault="002E5E4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67540B8" w14:textId="77777777" w:rsidR="002E5E4C" w:rsidRPr="00AC2BA5" w:rsidRDefault="002E5E4C"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tbl>
      <w:tblPr>
        <w:tblStyle w:val="TableNormal"/>
        <w:tblW w:w="0" w:type="auto"/>
        <w:jc w:val="center"/>
        <w:tblLayout w:type="fixed"/>
        <w:tblCellMar>
          <w:left w:w="108" w:type="dxa"/>
          <w:right w:w="108" w:type="dxa"/>
        </w:tblCellMar>
        <w:tblLook w:val="01E0" w:firstRow="1" w:lastRow="1" w:firstColumn="1" w:lastColumn="1" w:noHBand="0" w:noVBand="0"/>
      </w:tblPr>
      <w:tblGrid>
        <w:gridCol w:w="2683"/>
        <w:gridCol w:w="3815"/>
      </w:tblGrid>
      <w:tr w:rsidR="000460CB" w:rsidRPr="00AC2BA5" w14:paraId="55B5CBFD" w14:textId="77777777" w:rsidTr="002E5E4C">
        <w:trPr>
          <w:jc w:val="center"/>
        </w:trPr>
        <w:tc>
          <w:tcPr>
            <w:tcW w:w="2683" w:type="dxa"/>
            <w:tcBorders>
              <w:top w:val="single" w:sz="5" w:space="0" w:color="000000"/>
              <w:left w:val="single" w:sz="5" w:space="0" w:color="000000"/>
              <w:bottom w:val="single" w:sz="5" w:space="0" w:color="000000"/>
              <w:right w:val="single" w:sz="5" w:space="0" w:color="000000"/>
            </w:tcBorders>
          </w:tcPr>
          <w:p w14:paraId="6B40A556"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lastRenderedPageBreak/>
              <w:t>准确度符号说明</w:t>
            </w:r>
            <w:proofErr w:type="spellEnd"/>
          </w:p>
        </w:tc>
        <w:tc>
          <w:tcPr>
            <w:tcW w:w="3815" w:type="dxa"/>
            <w:tcBorders>
              <w:top w:val="single" w:sz="5" w:space="0" w:color="000000"/>
              <w:left w:val="single" w:sz="5" w:space="0" w:color="000000"/>
              <w:bottom w:val="single" w:sz="5" w:space="0" w:color="000000"/>
              <w:right w:val="single" w:sz="5" w:space="0" w:color="000000"/>
            </w:tcBorders>
          </w:tcPr>
          <w:p w14:paraId="2A13D3EC"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列出的百分比是与实验室结果相比的血糖仪检测结果</w:t>
            </w:r>
          </w:p>
        </w:tc>
      </w:tr>
      <w:tr w:rsidR="000460CB" w:rsidRPr="00AC2BA5" w14:paraId="3DD8BA30" w14:textId="77777777" w:rsidTr="002E5E4C">
        <w:trPr>
          <w:jc w:val="center"/>
        </w:trPr>
        <w:tc>
          <w:tcPr>
            <w:tcW w:w="2683" w:type="dxa"/>
            <w:tcBorders>
              <w:top w:val="single" w:sz="5" w:space="0" w:color="000000"/>
              <w:left w:val="single" w:sz="5" w:space="0" w:color="000000"/>
              <w:bottom w:val="single" w:sz="5" w:space="0" w:color="000000"/>
              <w:right w:val="single" w:sz="5" w:space="0" w:color="000000"/>
            </w:tcBorders>
          </w:tcPr>
          <w:p w14:paraId="3A5F9F26"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准确结果</w:t>
            </w:r>
            <w:proofErr w:type="spellEnd"/>
          </w:p>
        </w:tc>
        <w:tc>
          <w:tcPr>
            <w:tcW w:w="3815" w:type="dxa"/>
            <w:tcBorders>
              <w:top w:val="single" w:sz="5" w:space="0" w:color="000000"/>
              <w:left w:val="single" w:sz="5" w:space="0" w:color="000000"/>
              <w:bottom w:val="single" w:sz="5" w:space="0" w:color="000000"/>
              <w:right w:val="single" w:sz="5" w:space="0" w:color="000000"/>
            </w:tcBorders>
          </w:tcPr>
          <w:p w14:paraId="01694069"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sz w:val="21"/>
                <w:lang w:eastAsia="zh-CN"/>
              </w:rPr>
              <w:t>血糖</w:t>
            </w:r>
            <w:proofErr w:type="gramStart"/>
            <w:r w:rsidRPr="00AC2BA5">
              <w:rPr>
                <w:rFonts w:ascii="Times New Roman" w:eastAsia="宋体" w:hAnsi="Times New Roman" w:cs="宋体"/>
                <w:sz w:val="21"/>
                <w:lang w:eastAsia="zh-CN"/>
              </w:rPr>
              <w:t>仪结果</w:t>
            </w:r>
            <w:proofErr w:type="gramEnd"/>
            <w:r w:rsidRPr="00AC2BA5">
              <w:rPr>
                <w:rFonts w:ascii="Times New Roman" w:eastAsia="宋体" w:hAnsi="Times New Roman" w:cs="宋体"/>
                <w:sz w:val="21"/>
                <w:lang w:eastAsia="zh-CN"/>
              </w:rPr>
              <w:t>在实验室结果的</w:t>
            </w:r>
            <w:r w:rsidRPr="00AC2BA5">
              <w:rPr>
                <w:rFonts w:ascii="Times New Roman" w:eastAsia="宋体" w:hAnsi="Times New Roman" w:cs="宋体"/>
                <w:sz w:val="21"/>
                <w:lang w:eastAsia="zh-CN"/>
              </w:rPr>
              <w:t>+/-15%</w:t>
            </w:r>
            <w:r w:rsidRPr="00AC2BA5">
              <w:rPr>
                <w:rFonts w:ascii="Times New Roman" w:eastAsia="宋体" w:hAnsi="Times New Roman" w:cs="宋体"/>
                <w:sz w:val="21"/>
                <w:lang w:eastAsia="zh-CN"/>
              </w:rPr>
              <w:t>以内</w:t>
            </w:r>
          </w:p>
        </w:tc>
      </w:tr>
      <w:tr w:rsidR="000460CB" w:rsidRPr="00AC2BA5" w14:paraId="5B69DA82" w14:textId="77777777" w:rsidTr="002E5E4C">
        <w:trPr>
          <w:jc w:val="center"/>
        </w:trPr>
        <w:tc>
          <w:tcPr>
            <w:tcW w:w="2683" w:type="dxa"/>
            <w:tcBorders>
              <w:top w:val="single" w:sz="5" w:space="0" w:color="000000"/>
              <w:left w:val="single" w:sz="5" w:space="0" w:color="000000"/>
              <w:bottom w:val="single" w:sz="5" w:space="0" w:color="000000"/>
              <w:right w:val="single" w:sz="5" w:space="0" w:color="000000"/>
            </w:tcBorders>
          </w:tcPr>
          <w:p w14:paraId="3E6B8633"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更准确的结果</w:t>
            </w:r>
            <w:proofErr w:type="spellEnd"/>
          </w:p>
        </w:tc>
        <w:tc>
          <w:tcPr>
            <w:tcW w:w="3815" w:type="dxa"/>
            <w:tcBorders>
              <w:top w:val="single" w:sz="5" w:space="0" w:color="000000"/>
              <w:left w:val="single" w:sz="5" w:space="0" w:color="000000"/>
              <w:bottom w:val="single" w:sz="5" w:space="0" w:color="000000"/>
              <w:right w:val="single" w:sz="5" w:space="0" w:color="000000"/>
            </w:tcBorders>
          </w:tcPr>
          <w:p w14:paraId="3E0831C3"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sz w:val="21"/>
                <w:lang w:eastAsia="zh-CN"/>
              </w:rPr>
              <w:t>血糖</w:t>
            </w:r>
            <w:proofErr w:type="gramStart"/>
            <w:r w:rsidRPr="00AC2BA5">
              <w:rPr>
                <w:rFonts w:ascii="Times New Roman" w:eastAsia="宋体" w:hAnsi="Times New Roman" w:cs="宋体"/>
                <w:sz w:val="21"/>
                <w:lang w:eastAsia="zh-CN"/>
              </w:rPr>
              <w:t>仪结果</w:t>
            </w:r>
            <w:proofErr w:type="gramEnd"/>
            <w:r w:rsidRPr="00AC2BA5">
              <w:rPr>
                <w:rFonts w:ascii="Times New Roman" w:eastAsia="宋体" w:hAnsi="Times New Roman" w:cs="宋体"/>
                <w:sz w:val="21"/>
                <w:lang w:eastAsia="zh-CN"/>
              </w:rPr>
              <w:t>在实验室结果的</w:t>
            </w:r>
            <w:r w:rsidRPr="00AC2BA5">
              <w:rPr>
                <w:rFonts w:ascii="Times New Roman" w:eastAsia="宋体" w:hAnsi="Times New Roman" w:cs="宋体"/>
                <w:sz w:val="21"/>
                <w:lang w:eastAsia="zh-CN"/>
              </w:rPr>
              <w:t>+/-10%</w:t>
            </w:r>
            <w:r w:rsidRPr="00AC2BA5">
              <w:rPr>
                <w:rFonts w:ascii="Times New Roman" w:eastAsia="宋体" w:hAnsi="Times New Roman" w:cs="宋体"/>
                <w:sz w:val="21"/>
                <w:lang w:eastAsia="zh-CN"/>
              </w:rPr>
              <w:t>以内</w:t>
            </w:r>
          </w:p>
        </w:tc>
      </w:tr>
      <w:tr w:rsidR="000460CB" w:rsidRPr="00AC2BA5" w14:paraId="76D6EC01" w14:textId="77777777" w:rsidTr="002E5E4C">
        <w:trPr>
          <w:jc w:val="center"/>
        </w:trPr>
        <w:tc>
          <w:tcPr>
            <w:tcW w:w="2683" w:type="dxa"/>
            <w:tcBorders>
              <w:top w:val="single" w:sz="5" w:space="0" w:color="000000"/>
              <w:left w:val="single" w:sz="5" w:space="0" w:color="000000"/>
              <w:bottom w:val="single" w:sz="5" w:space="0" w:color="000000"/>
              <w:right w:val="single" w:sz="5" w:space="0" w:color="000000"/>
            </w:tcBorders>
          </w:tcPr>
          <w:p w14:paraId="06F090CF"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最准确的结果</w:t>
            </w:r>
            <w:proofErr w:type="spellEnd"/>
          </w:p>
        </w:tc>
        <w:tc>
          <w:tcPr>
            <w:tcW w:w="3815" w:type="dxa"/>
            <w:tcBorders>
              <w:top w:val="single" w:sz="5" w:space="0" w:color="000000"/>
              <w:left w:val="single" w:sz="5" w:space="0" w:color="000000"/>
              <w:bottom w:val="single" w:sz="5" w:space="0" w:color="000000"/>
              <w:right w:val="single" w:sz="5" w:space="0" w:color="000000"/>
            </w:tcBorders>
          </w:tcPr>
          <w:p w14:paraId="55F01809"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sz w:val="21"/>
                <w:lang w:eastAsia="zh-CN"/>
              </w:rPr>
              <w:t>血糖</w:t>
            </w:r>
            <w:proofErr w:type="gramStart"/>
            <w:r w:rsidRPr="00AC2BA5">
              <w:rPr>
                <w:rFonts w:ascii="Times New Roman" w:eastAsia="宋体" w:hAnsi="Times New Roman" w:cs="宋体"/>
                <w:sz w:val="21"/>
                <w:lang w:eastAsia="zh-CN"/>
              </w:rPr>
              <w:t>仪结果</w:t>
            </w:r>
            <w:proofErr w:type="gramEnd"/>
            <w:r w:rsidRPr="00AC2BA5">
              <w:rPr>
                <w:rFonts w:ascii="Times New Roman" w:eastAsia="宋体" w:hAnsi="Times New Roman" w:cs="宋体"/>
                <w:sz w:val="21"/>
                <w:lang w:eastAsia="zh-CN"/>
              </w:rPr>
              <w:t>在实验室结果的</w:t>
            </w:r>
            <w:r w:rsidRPr="00AC2BA5">
              <w:rPr>
                <w:rFonts w:ascii="Times New Roman" w:eastAsia="宋体" w:hAnsi="Times New Roman" w:cs="宋体"/>
                <w:sz w:val="21"/>
                <w:lang w:eastAsia="zh-CN"/>
              </w:rPr>
              <w:t>+/-5%</w:t>
            </w:r>
            <w:r w:rsidRPr="00AC2BA5">
              <w:rPr>
                <w:rFonts w:ascii="Times New Roman" w:eastAsia="宋体" w:hAnsi="Times New Roman" w:cs="宋体"/>
                <w:sz w:val="21"/>
                <w:lang w:eastAsia="zh-CN"/>
              </w:rPr>
              <w:t>以内</w:t>
            </w:r>
          </w:p>
        </w:tc>
      </w:tr>
    </w:tbl>
    <w:p w14:paraId="2E28E14B"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157C8B1" w14:textId="78CF11CA" w:rsidR="0050117E" w:rsidRPr="00AC2BA5" w:rsidRDefault="0050117E" w:rsidP="000102EB">
      <w:pPr>
        <w:tabs>
          <w:tab w:val="left" w:pos="460"/>
        </w:tabs>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14.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标签必须描述仪器的操作原理以及维修和维护信息（</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(b)(6)</w:t>
      </w:r>
      <w:r w:rsidRPr="00AC2BA5">
        <w:rPr>
          <w:rFonts w:ascii="Times New Roman" w:eastAsia="宋体" w:hAnsi="Times New Roman" w:cs="宋体"/>
          <w:sz w:val="24"/>
          <w:lang w:eastAsia="zh-CN"/>
        </w:rPr>
        <w:t>）。标签中应包含错误消息的列表或总结、错误消息含义的描述以及错误消息的相应故障排除程序。</w:t>
      </w:r>
    </w:p>
    <w:p w14:paraId="4FBB3552" w14:textId="77777777" w:rsidR="0050117E" w:rsidRPr="00AC2BA5" w:rsidRDefault="0050117E" w:rsidP="000102EB">
      <w:pPr>
        <w:tabs>
          <w:tab w:val="left" w:pos="460"/>
        </w:tabs>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15.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应在标签中提供一个美国免费工作电话号码以协助用户，并包括营业时间和美国时区（如适用）。如果不提供</w:t>
      </w:r>
      <w:r w:rsidRPr="00AC2BA5">
        <w:rPr>
          <w:rFonts w:ascii="Times New Roman" w:eastAsia="宋体" w:hAnsi="Times New Roman" w:cs="宋体"/>
          <w:sz w:val="24"/>
          <w:lang w:eastAsia="zh-CN"/>
        </w:rPr>
        <w:t>7*24</w:t>
      </w:r>
      <w:r w:rsidRPr="00AC2BA5">
        <w:rPr>
          <w:rFonts w:ascii="Times New Roman" w:eastAsia="宋体" w:hAnsi="Times New Roman" w:cs="宋体"/>
          <w:sz w:val="24"/>
          <w:lang w:eastAsia="zh-CN"/>
        </w:rPr>
        <w:t>小时全年无休的用户协助，则申请方应说明用户在无法获得帮助时应采取的措施。</w:t>
      </w:r>
    </w:p>
    <w:p w14:paraId="5BF970EA" w14:textId="5E0A85D0" w:rsidR="0050117E" w:rsidRPr="00AC2BA5" w:rsidRDefault="0050117E" w:rsidP="000102EB">
      <w:pPr>
        <w:tabs>
          <w:tab w:val="left" w:pos="460"/>
        </w:tabs>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 xml:space="preserve">16.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标签和标签文件中必须包含与产品显示的危险相适应的警告或预防措施声明（</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(a)(4)</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21 CFR 809.10</w:t>
      </w:r>
      <w:r w:rsidR="00FB10B8">
        <w:rPr>
          <w:rFonts w:ascii="Times New Roman" w:eastAsia="宋体" w:hAnsi="Times New Roman" w:cs="宋体"/>
          <w:sz w:val="24"/>
          <w:lang w:eastAsia="zh-CN"/>
        </w:rPr>
        <w:t>(b)(5)(ii)</w:t>
      </w:r>
      <w:r w:rsidRPr="00AC2BA5">
        <w:rPr>
          <w:rFonts w:ascii="Times New Roman" w:eastAsia="宋体" w:hAnsi="Times New Roman" w:cs="宋体"/>
          <w:sz w:val="24"/>
          <w:lang w:eastAsia="zh-CN"/>
        </w:rPr>
        <w:t>）。</w:t>
      </w:r>
      <w:r w:rsidR="00D2299A">
        <w:rPr>
          <w:rFonts w:ascii="Times New Roman" w:eastAsia="宋体" w:hAnsi="Times New Roman" w:cs="宋体"/>
          <w:sz w:val="24"/>
          <w:lang w:eastAsia="zh-CN"/>
        </w:rPr>
        <w:t>建议</w:t>
      </w:r>
      <w:r w:rsidRPr="00AC2BA5">
        <w:rPr>
          <w:rFonts w:ascii="Times New Roman" w:eastAsia="宋体" w:hAnsi="Times New Roman" w:cs="宋体"/>
          <w:sz w:val="24"/>
          <w:lang w:eastAsia="zh-CN"/>
        </w:rPr>
        <w:t>向非专业用户说明，如果获得的结果与他们的感觉不一致，应联系他们的医疗服务提供者；并且未经医疗服务提供者批准，不得更改药物治疗方案。</w:t>
      </w:r>
    </w:p>
    <w:p w14:paraId="0B6DB0F4"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应在标签开头的包含</w:t>
      </w:r>
      <w:r w:rsidRPr="00AC2BA5">
        <w:rPr>
          <w:rFonts w:ascii="Times New Roman" w:eastAsia="宋体" w:hAnsi="Times New Roman" w:cs="宋体"/>
          <w:b/>
          <w:sz w:val="24"/>
          <w:lang w:eastAsia="zh-CN"/>
        </w:rPr>
        <w:t>重要安全说明</w:t>
      </w:r>
      <w:r w:rsidRPr="00AC2BA5">
        <w:rPr>
          <w:rFonts w:ascii="Times New Roman" w:eastAsia="宋体" w:hAnsi="Times New Roman" w:cs="宋体"/>
          <w:sz w:val="24"/>
          <w:lang w:eastAsia="zh-CN"/>
        </w:rPr>
        <w:t>的部分</w:t>
      </w:r>
      <w:r w:rsidRPr="00AC2BA5">
        <w:rPr>
          <w:rFonts w:ascii="Times New Roman" w:eastAsia="宋体" w:hAnsi="Times New Roman" w:cs="宋体"/>
          <w:sz w:val="24"/>
          <w:u w:val="single"/>
          <w:lang w:eastAsia="zh-CN"/>
        </w:rPr>
        <w:t>清楚、醒目地</w:t>
      </w:r>
      <w:r w:rsidRPr="00AC2BA5">
        <w:rPr>
          <w:rFonts w:ascii="Times New Roman" w:eastAsia="宋体" w:hAnsi="Times New Roman" w:cs="宋体"/>
          <w:sz w:val="24"/>
          <w:lang w:eastAsia="zh-CN"/>
        </w:rPr>
        <w:t>陈述该器械的重要警告。所有检测系统说明（用户手册、试纸标签等）中均应包含</w:t>
      </w:r>
      <w:proofErr w:type="gramStart"/>
      <w:r w:rsidRPr="00AC2BA5">
        <w:rPr>
          <w:rFonts w:ascii="Times New Roman" w:eastAsia="宋体" w:hAnsi="Times New Roman" w:cs="宋体"/>
          <w:sz w:val="24"/>
          <w:lang w:eastAsia="zh-CN"/>
        </w:rPr>
        <w:t>重要警告</w:t>
      </w:r>
      <w:proofErr w:type="gramEnd"/>
      <w:r w:rsidRPr="00AC2BA5">
        <w:rPr>
          <w:rFonts w:ascii="Times New Roman" w:eastAsia="宋体" w:hAnsi="Times New Roman" w:cs="宋体"/>
          <w:sz w:val="24"/>
          <w:lang w:eastAsia="zh-CN"/>
        </w:rPr>
        <w:t>和安全信息。</w:t>
      </w:r>
    </w:p>
    <w:p w14:paraId="0A2A425B"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rPr>
      </w:pPr>
      <w:r w:rsidRPr="00AC2BA5">
        <w:rPr>
          <w:rFonts w:ascii="Times New Roman" w:eastAsia="宋体" w:hAnsi="Times New Roman" w:cs="宋体"/>
          <w:sz w:val="24"/>
          <w:lang w:eastAsia="zh-CN"/>
        </w:rPr>
        <w:t>标签应强调使用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时的疾病传播风险，并参考任何相关公共卫生通知、标准实践指南或用户可获得的其他资源。</w:t>
      </w:r>
      <w:proofErr w:type="spellStart"/>
      <w:r w:rsidRPr="00AC2BA5">
        <w:rPr>
          <w:rFonts w:ascii="Times New Roman" w:eastAsia="宋体" w:hAnsi="Times New Roman" w:cs="宋体"/>
          <w:sz w:val="24"/>
        </w:rPr>
        <w:t>至少应包括以下警告</w:t>
      </w:r>
      <w:proofErr w:type="spellEnd"/>
      <w:r w:rsidRPr="00AC2BA5">
        <w:rPr>
          <w:rFonts w:ascii="Times New Roman" w:eastAsia="宋体" w:hAnsi="Times New Roman" w:cs="宋体"/>
          <w:sz w:val="24"/>
        </w:rPr>
        <w:t>：</w:t>
      </w:r>
    </w:p>
    <w:p w14:paraId="12405C00" w14:textId="77777777" w:rsidR="000460CB" w:rsidRPr="00AC2BA5" w:rsidRDefault="00B8550C" w:rsidP="000102EB">
      <w:pPr>
        <w:pStyle w:val="a4"/>
        <w:numPr>
          <w:ilvl w:val="0"/>
          <w:numId w:val="13"/>
        </w:numPr>
        <w:adjustRightInd w:val="0"/>
        <w:snapToGrid w:val="0"/>
        <w:spacing w:beforeLines="50" w:before="120" w:line="300" w:lineRule="auto"/>
        <w:ind w:left="1418"/>
        <w:jc w:val="both"/>
        <w:rPr>
          <w:rFonts w:ascii="Times New Roman" w:eastAsia="宋体" w:hAnsi="Times New Roman" w:cs="Times New Roman"/>
          <w:snapToGrid w:val="0"/>
          <w:sz w:val="24"/>
          <w:szCs w:val="24"/>
        </w:rPr>
      </w:pPr>
      <w:r w:rsidRPr="00AC2BA5">
        <w:rPr>
          <w:rFonts w:ascii="Times New Roman" w:eastAsia="宋体" w:hAnsi="Times New Roman" w:cs="宋体"/>
          <w:sz w:val="24"/>
          <w:lang w:eastAsia="zh-CN"/>
        </w:rPr>
        <w:t>血糖仪及采血器均仅限单次使用。请勿与他人共用，包括其它家庭成员。</w:t>
      </w:r>
      <w:proofErr w:type="spellStart"/>
      <w:r w:rsidRPr="00AC2BA5">
        <w:rPr>
          <w:rFonts w:ascii="Times New Roman" w:eastAsia="宋体" w:hAnsi="Times New Roman" w:cs="宋体"/>
          <w:sz w:val="24"/>
        </w:rPr>
        <w:t>严禁多人共用</w:t>
      </w:r>
      <w:proofErr w:type="spellEnd"/>
      <w:r w:rsidRPr="00AC2BA5">
        <w:rPr>
          <w:rFonts w:ascii="Times New Roman" w:eastAsia="宋体" w:hAnsi="Times New Roman" w:cs="宋体"/>
          <w:sz w:val="24"/>
        </w:rPr>
        <w:t>！</w:t>
      </w:r>
    </w:p>
    <w:p w14:paraId="4A1635A7" w14:textId="77777777" w:rsidR="0050117E" w:rsidRPr="00AC2BA5" w:rsidRDefault="00B8550C" w:rsidP="000102EB">
      <w:pPr>
        <w:pStyle w:val="a4"/>
        <w:numPr>
          <w:ilvl w:val="0"/>
          <w:numId w:val="13"/>
        </w:numPr>
        <w:adjustRightInd w:val="0"/>
        <w:snapToGrid w:val="0"/>
        <w:spacing w:beforeLines="50" w:before="120" w:line="300" w:lineRule="auto"/>
        <w:ind w:left="1418"/>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经认定，套件所有部件在经过清洁和消毒后，也同样具有生物危害，还可能传播传染病。</w:t>
      </w:r>
    </w:p>
    <w:p w14:paraId="511536B6" w14:textId="77777777" w:rsidR="00DF7BFC"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应包括这些参考文件</w:t>
      </w:r>
      <w:proofErr w:type="spellEnd"/>
      <w:r w:rsidRPr="00AC2BA5">
        <w:rPr>
          <w:rFonts w:ascii="Times New Roman" w:eastAsia="宋体" w:hAnsi="Times New Roman" w:cs="宋体"/>
          <w:sz w:val="24"/>
        </w:rPr>
        <w:t>：</w:t>
      </w:r>
    </w:p>
    <w:p w14:paraId="35E0C54D" w14:textId="77777777" w:rsidR="00DF7BFC" w:rsidRPr="00AC2BA5" w:rsidRDefault="00DF7BFC"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p w14:paraId="0AFDE501" w14:textId="5463BBA2" w:rsidR="0050117E" w:rsidRPr="00ED2136" w:rsidRDefault="009026D4" w:rsidP="000102EB">
      <w:pPr>
        <w:pStyle w:val="a4"/>
        <w:numPr>
          <w:ilvl w:val="0"/>
          <w:numId w:val="14"/>
        </w:numPr>
        <w:adjustRightInd w:val="0"/>
        <w:snapToGrid w:val="0"/>
        <w:spacing w:beforeLines="50" w:before="120" w:line="300" w:lineRule="auto"/>
        <w:ind w:left="1418"/>
        <w:jc w:val="both"/>
        <w:rPr>
          <w:rFonts w:ascii="Times New Roman" w:eastAsia="宋体" w:hAnsi="Times New Roman" w:cs="Times New Roman"/>
          <w:iCs/>
          <w:snapToGrid w:val="0"/>
          <w:sz w:val="24"/>
          <w:szCs w:val="24"/>
        </w:rPr>
      </w:pPr>
      <w:r>
        <w:rPr>
          <w:rFonts w:ascii="Times New Roman" w:eastAsia="宋体" w:hAnsi="Times New Roman" w:cs="宋体" w:hint="eastAsia"/>
          <w:iCs/>
          <w:color w:val="0000FF"/>
          <w:sz w:val="24"/>
          <w:u w:val="single"/>
          <w:lang w:eastAsia="zh-CN"/>
        </w:rPr>
        <w:lastRenderedPageBreak/>
        <w:t>《</w:t>
      </w:r>
      <w:r w:rsidR="00B8550C" w:rsidRPr="00ED2136">
        <w:rPr>
          <w:rFonts w:ascii="Times New Roman" w:eastAsia="宋体" w:hAnsi="Times New Roman" w:cs="宋体"/>
          <w:iCs/>
          <w:color w:val="0000FF"/>
          <w:sz w:val="24"/>
          <w:u w:val="single"/>
          <w:lang w:eastAsia="zh-CN"/>
        </w:rPr>
        <w:t>FDA</w:t>
      </w:r>
      <w:r w:rsidR="00B8550C" w:rsidRPr="00ED2136">
        <w:rPr>
          <w:rFonts w:ascii="Times New Roman" w:eastAsia="宋体" w:hAnsi="Times New Roman" w:cs="宋体"/>
          <w:iCs/>
          <w:color w:val="0000FF"/>
          <w:sz w:val="24"/>
          <w:u w:val="single"/>
          <w:lang w:eastAsia="zh-CN"/>
        </w:rPr>
        <w:t>公共卫生通知：对多人应用指端采血器会增加血源性病原体的传播风险：签署通讯</w:t>
      </w:r>
      <w:r w:rsidR="00B8550C" w:rsidRPr="00ED2136">
        <w:rPr>
          <w:rFonts w:ascii="Times New Roman" w:eastAsia="宋体" w:hAnsi="Times New Roman" w:cs="宋体"/>
          <w:iCs/>
          <w:color w:val="0000FF"/>
          <w:sz w:val="24"/>
          <w:u w:val="single"/>
          <w:lang w:eastAsia="zh-CN"/>
        </w:rPr>
        <w:t>”</w:t>
      </w:r>
      <w:r w:rsidR="00B8550C" w:rsidRPr="00ED2136">
        <w:rPr>
          <w:rFonts w:ascii="Times New Roman" w:eastAsia="宋体" w:hAnsi="Times New Roman" w:cs="宋体"/>
          <w:iCs/>
          <w:color w:val="0000FF"/>
          <w:sz w:val="24"/>
          <w:u w:val="single"/>
          <w:lang w:eastAsia="zh-CN"/>
        </w:rPr>
        <w:t>（</w:t>
      </w:r>
      <w:r w:rsidR="00B8550C" w:rsidRPr="00ED2136">
        <w:rPr>
          <w:rFonts w:ascii="Times New Roman" w:eastAsia="宋体" w:hAnsi="Times New Roman" w:cs="宋体"/>
          <w:iCs/>
          <w:color w:val="0000FF"/>
          <w:sz w:val="24"/>
          <w:u w:val="single"/>
          <w:lang w:eastAsia="zh-CN"/>
        </w:rPr>
        <w:t>2010</w:t>
      </w:r>
      <w:r w:rsidR="00B8550C" w:rsidRPr="00ED2136">
        <w:rPr>
          <w:rFonts w:ascii="Times New Roman" w:eastAsia="宋体" w:hAnsi="Times New Roman" w:cs="宋体"/>
          <w:iCs/>
          <w:color w:val="0000FF"/>
          <w:sz w:val="24"/>
          <w:u w:val="single"/>
          <w:lang w:eastAsia="zh-CN"/>
        </w:rPr>
        <w:t>）。</w:t>
      </w:r>
      <w:r>
        <w:rPr>
          <w:rFonts w:ascii="Times New Roman" w:eastAsia="宋体" w:hAnsi="Times New Roman" w:cs="宋体" w:hint="eastAsia"/>
          <w:iCs/>
          <w:color w:val="0000FF"/>
          <w:sz w:val="24"/>
          <w:u w:val="single"/>
          <w:lang w:eastAsia="zh-CN"/>
        </w:rPr>
        <w:t>》</w:t>
      </w:r>
      <w:r w:rsidR="00B8550C" w:rsidRPr="00ED2136">
        <w:rPr>
          <w:rFonts w:ascii="Times New Roman" w:eastAsia="宋体" w:hAnsi="Times New Roman" w:cs="宋体"/>
          <w:iCs/>
          <w:color w:val="0000FF"/>
          <w:sz w:val="24"/>
          <w:u w:val="single"/>
          <w:vertAlign w:val="superscript"/>
        </w:rPr>
        <w:t>15</w:t>
      </w:r>
    </w:p>
    <w:p w14:paraId="49471C86" w14:textId="64F151C1" w:rsidR="0050117E" w:rsidRPr="00ED2136" w:rsidRDefault="00B8550C" w:rsidP="000102EB">
      <w:pPr>
        <w:pStyle w:val="a4"/>
        <w:numPr>
          <w:ilvl w:val="0"/>
          <w:numId w:val="14"/>
        </w:numPr>
        <w:adjustRightInd w:val="0"/>
        <w:snapToGrid w:val="0"/>
        <w:spacing w:beforeLines="50" w:before="120" w:line="300" w:lineRule="auto"/>
        <w:ind w:left="1418"/>
        <w:jc w:val="both"/>
        <w:rPr>
          <w:rFonts w:ascii="Times New Roman" w:eastAsia="宋体" w:hAnsi="Times New Roman" w:cs="Times New Roman"/>
          <w:iCs/>
          <w:snapToGrid w:val="0"/>
          <w:sz w:val="24"/>
          <w:szCs w:val="24"/>
          <w:lang w:eastAsia="zh-CN"/>
        </w:rPr>
      </w:pPr>
      <w:r w:rsidRPr="00ED2136">
        <w:rPr>
          <w:rFonts w:ascii="Times New Roman" w:eastAsia="宋体" w:hAnsi="Times New Roman" w:cs="宋体"/>
          <w:iCs/>
          <w:sz w:val="24"/>
          <w:lang w:eastAsia="zh-CN"/>
        </w:rPr>
        <w:t>CDC</w:t>
      </w:r>
      <w:r w:rsidRPr="00ED2136">
        <w:rPr>
          <w:rFonts w:ascii="Times New Roman" w:eastAsia="宋体" w:hAnsi="Times New Roman" w:cs="宋体"/>
          <w:iCs/>
          <w:sz w:val="24"/>
          <w:lang w:eastAsia="zh-CN"/>
        </w:rPr>
        <w:t>网站：</w:t>
      </w:r>
      <w:r w:rsidR="001F0A9D" w:rsidRPr="00ED2136">
        <w:rPr>
          <w:iCs/>
        </w:rPr>
        <w:fldChar w:fldCharType="begin"/>
      </w:r>
      <w:r w:rsidR="001F0A9D" w:rsidRPr="00ED2136">
        <w:rPr>
          <w:iCs/>
          <w:lang w:eastAsia="zh-CN"/>
        </w:rPr>
        <w:instrText xml:space="preserve"> HYPERLINK "http://www.cdc.gov/injectionsafety/blood-glucose-monitoring.html" \h </w:instrText>
      </w:r>
      <w:r w:rsidR="001F0A9D" w:rsidRPr="00ED2136">
        <w:rPr>
          <w:iCs/>
        </w:rPr>
        <w:fldChar w:fldCharType="separate"/>
      </w:r>
      <w:r w:rsidR="009026D4">
        <w:rPr>
          <w:rFonts w:ascii="Times New Roman" w:eastAsia="宋体" w:hAnsi="Times New Roman" w:cs="宋体" w:hint="eastAsia"/>
          <w:iCs/>
          <w:snapToGrid w:val="0"/>
          <w:color w:val="0000FF"/>
          <w:sz w:val="24"/>
          <w:szCs w:val="24"/>
          <w:u w:val="single" w:color="0000FF"/>
          <w:lang w:eastAsia="zh-CN"/>
        </w:rPr>
        <w:t>《</w:t>
      </w:r>
      <w:r w:rsidRPr="00ED2136">
        <w:rPr>
          <w:rFonts w:ascii="Times New Roman" w:eastAsia="宋体" w:hAnsi="Times New Roman" w:cs="宋体"/>
          <w:iCs/>
          <w:snapToGrid w:val="0"/>
          <w:color w:val="0000FF"/>
          <w:sz w:val="24"/>
          <w:szCs w:val="24"/>
          <w:u w:val="single" w:color="0000FF"/>
          <w:lang w:eastAsia="zh-CN"/>
        </w:rPr>
        <w:t>血糖监测和胰岛素给药期间的感染预防</w:t>
      </w:r>
      <w:r w:rsidR="001F0A9D" w:rsidRPr="00ED2136">
        <w:rPr>
          <w:rFonts w:ascii="宋体" w:eastAsia="宋体" w:hAnsi="宋体" w:cs="宋体"/>
          <w:iCs/>
          <w:snapToGrid w:val="0"/>
          <w:color w:val="0000FF"/>
          <w:sz w:val="24"/>
          <w:szCs w:val="24"/>
          <w:u w:val="single" w:color="0000FF"/>
        </w:rPr>
        <w:fldChar w:fldCharType="end"/>
      </w:r>
      <w:r w:rsidR="009026D4">
        <w:rPr>
          <w:rFonts w:ascii="Times New Roman" w:eastAsia="宋体" w:hAnsi="Times New Roman" w:cs="宋体" w:hint="eastAsia"/>
          <w:iCs/>
          <w:sz w:val="24"/>
          <w:lang w:eastAsia="zh-CN"/>
        </w:rPr>
        <w:t>》</w:t>
      </w:r>
      <w:hyperlink w:anchor="_bookmark45" w:history="1">
        <w:r w:rsidRPr="00ED2136">
          <w:rPr>
            <w:rFonts w:ascii="Times New Roman" w:eastAsia="宋体" w:hAnsi="Times New Roman" w:cs="宋体"/>
            <w:iCs/>
            <w:snapToGrid w:val="0"/>
            <w:color w:val="000000"/>
            <w:sz w:val="24"/>
            <w:szCs w:val="24"/>
            <w:vertAlign w:val="superscript"/>
            <w:lang w:eastAsia="zh-CN"/>
          </w:rPr>
          <w:t>16</w:t>
        </w:r>
      </w:hyperlink>
    </w:p>
    <w:p w14:paraId="481E0D42"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在描述</w:t>
      </w:r>
      <w:r w:rsidRPr="00AC2BA5">
        <w:rPr>
          <w:rFonts w:ascii="Times New Roman" w:eastAsia="宋体" w:hAnsi="Times New Roman" w:cs="宋体"/>
          <w:b/>
          <w:sz w:val="24"/>
          <w:lang w:eastAsia="zh-CN"/>
        </w:rPr>
        <w:t>如何获得血液样本</w:t>
      </w:r>
      <w:r w:rsidRPr="00AC2BA5">
        <w:rPr>
          <w:rFonts w:ascii="Times New Roman" w:eastAsia="宋体" w:hAnsi="Times New Roman" w:cs="宋体"/>
          <w:sz w:val="24"/>
          <w:lang w:eastAsia="zh-CN"/>
        </w:rPr>
        <w:t>的章节中，应重申血源性病原体传播的风险。说明中应强调采血器只能由单个用户使用，不得共用。应强调用户在操作血糖仪、采血器或试纸后，应使用肥皂和水彻底清洁双手。</w:t>
      </w:r>
    </w:p>
    <w:p w14:paraId="43EF68E1"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用户手册应包含如何以及何时对血糖</w:t>
      </w:r>
      <w:proofErr w:type="gramStart"/>
      <w:r w:rsidRPr="00AC2BA5">
        <w:rPr>
          <w:rFonts w:ascii="Times New Roman" w:eastAsia="宋体" w:hAnsi="Times New Roman" w:cs="宋体"/>
          <w:sz w:val="24"/>
          <w:lang w:eastAsia="zh-CN"/>
        </w:rPr>
        <w:t>仪执行</w:t>
      </w:r>
      <w:proofErr w:type="gramEnd"/>
      <w:r w:rsidRPr="00AC2BA5">
        <w:rPr>
          <w:rFonts w:ascii="Times New Roman" w:eastAsia="宋体" w:hAnsi="Times New Roman" w:cs="宋体"/>
          <w:b/>
          <w:sz w:val="24"/>
          <w:lang w:eastAsia="zh-CN"/>
        </w:rPr>
        <w:t>清洁和消毒程序</w:t>
      </w:r>
      <w:r w:rsidRPr="00AC2BA5">
        <w:rPr>
          <w:rFonts w:ascii="Times New Roman" w:eastAsia="宋体" w:hAnsi="Times New Roman" w:cs="宋体"/>
          <w:sz w:val="24"/>
          <w:lang w:eastAsia="zh-CN"/>
        </w:rPr>
        <w:t>的详细说明（基于所执行的确认研究）。具体而言，说明中应包括以下内容：</w:t>
      </w:r>
    </w:p>
    <w:p w14:paraId="529759A7" w14:textId="54BC54AD" w:rsidR="000460CB" w:rsidRPr="00AC2BA5" w:rsidRDefault="00B8550C" w:rsidP="000102EB">
      <w:pPr>
        <w:pStyle w:val="a4"/>
        <w:numPr>
          <w:ilvl w:val="0"/>
          <w:numId w:val="15"/>
        </w:numPr>
        <w:adjustRightInd w:val="0"/>
        <w:snapToGrid w:val="0"/>
        <w:spacing w:beforeLines="50" w:before="120" w:line="300" w:lineRule="auto"/>
        <w:ind w:left="1418"/>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应使用适合预期用户的语言解释进行清洁和消毒</w:t>
      </w:r>
      <w:r w:rsidR="0058512C">
        <w:rPr>
          <w:rFonts w:ascii="Times New Roman" w:eastAsia="宋体" w:hAnsi="Times New Roman" w:cs="宋体" w:hint="eastAsia"/>
          <w:sz w:val="24"/>
          <w:lang w:eastAsia="zh-CN"/>
        </w:rPr>
        <w:t>的原因</w:t>
      </w:r>
      <w:r w:rsidRPr="00AC2BA5">
        <w:rPr>
          <w:rFonts w:ascii="Times New Roman" w:eastAsia="宋体" w:hAnsi="Times New Roman" w:cs="宋体"/>
          <w:sz w:val="24"/>
          <w:lang w:eastAsia="zh-CN"/>
        </w:rPr>
        <w:t>。应解释</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清洁</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和</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消毒</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之间的区别。</w:t>
      </w:r>
    </w:p>
    <w:p w14:paraId="13573450" w14:textId="77777777" w:rsidR="000460CB" w:rsidRPr="00AC2BA5" w:rsidRDefault="00B8550C" w:rsidP="000102EB">
      <w:pPr>
        <w:pStyle w:val="a4"/>
        <w:numPr>
          <w:ilvl w:val="0"/>
          <w:numId w:val="15"/>
        </w:numPr>
        <w:adjustRightInd w:val="0"/>
        <w:snapToGrid w:val="0"/>
        <w:spacing w:beforeLines="50" w:before="120" w:line="300" w:lineRule="auto"/>
        <w:ind w:left="1418"/>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建议的器械清洁和消毒频率。例如，应至少每周对血糖仪进行一次清洁和消毒。应说明该次数与已确认的器械使用寿命内的循环次数之间的关系。应明确说明器械的使用寿命。</w:t>
      </w:r>
    </w:p>
    <w:p w14:paraId="137E8FF8" w14:textId="77777777" w:rsidR="000460CB" w:rsidRPr="00AC2BA5" w:rsidRDefault="00B8550C" w:rsidP="000102EB">
      <w:pPr>
        <w:pStyle w:val="a4"/>
        <w:numPr>
          <w:ilvl w:val="0"/>
          <w:numId w:val="15"/>
        </w:numPr>
        <w:adjustRightInd w:val="0"/>
        <w:snapToGrid w:val="0"/>
        <w:spacing w:beforeLines="50" w:before="120" w:line="300" w:lineRule="auto"/>
        <w:ind w:left="1418"/>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应提供清洁和消毒所需的物料清单。应明确说明如何购买或准备这些产品。</w:t>
      </w:r>
    </w:p>
    <w:p w14:paraId="7965EBB1" w14:textId="60652EF2" w:rsidR="000460CB" w:rsidRPr="00AC2BA5" w:rsidRDefault="00B8550C" w:rsidP="000102EB">
      <w:pPr>
        <w:pStyle w:val="a4"/>
        <w:numPr>
          <w:ilvl w:val="0"/>
          <w:numId w:val="15"/>
        </w:numPr>
        <w:adjustRightInd w:val="0"/>
        <w:snapToGrid w:val="0"/>
        <w:spacing w:beforeLines="50" w:before="120" w:line="300" w:lineRule="auto"/>
        <w:ind w:left="1418"/>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应提供详细的程序，说明需要清洁和消毒</w:t>
      </w:r>
      <w:r w:rsidR="004C0000">
        <w:rPr>
          <w:rFonts w:ascii="Times New Roman" w:eastAsia="宋体" w:hAnsi="Times New Roman" w:cs="宋体" w:hint="eastAsia"/>
          <w:sz w:val="24"/>
          <w:lang w:eastAsia="zh-CN"/>
        </w:rPr>
        <w:t>的</w:t>
      </w:r>
      <w:r w:rsidR="004C0000" w:rsidRPr="004C0000">
        <w:rPr>
          <w:rFonts w:ascii="Times New Roman" w:eastAsia="宋体" w:hAnsi="Times New Roman" w:cs="宋体" w:hint="eastAsia"/>
          <w:sz w:val="24"/>
          <w:lang w:eastAsia="zh-CN"/>
        </w:rPr>
        <w:t>器械部件</w:t>
      </w:r>
      <w:r w:rsidRPr="00AC2BA5">
        <w:rPr>
          <w:rFonts w:ascii="Times New Roman" w:eastAsia="宋体" w:hAnsi="Times New Roman" w:cs="宋体"/>
          <w:sz w:val="24"/>
          <w:lang w:eastAsia="zh-CN"/>
        </w:rPr>
        <w:t>、清洁剂或消毒剂在血糖仪上的停留时间（接触时间）等。应包括图形</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照片以帮助用户。</w:t>
      </w:r>
    </w:p>
    <w:p w14:paraId="560FD3E5" w14:textId="77777777" w:rsidR="000460CB" w:rsidRPr="00AC2BA5" w:rsidRDefault="00B8550C" w:rsidP="000102EB">
      <w:pPr>
        <w:pStyle w:val="a4"/>
        <w:numPr>
          <w:ilvl w:val="0"/>
          <w:numId w:val="15"/>
        </w:numPr>
        <w:adjustRightInd w:val="0"/>
        <w:snapToGrid w:val="0"/>
        <w:spacing w:beforeLines="50" w:before="120" w:line="300" w:lineRule="auto"/>
        <w:ind w:left="1418"/>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提醒用户在操作血糖仪、采血器或试纸后，应使用肥皂和水彻底清洁双手的声明。</w:t>
      </w:r>
    </w:p>
    <w:p w14:paraId="3840D5ED" w14:textId="77777777" w:rsidR="0050117E" w:rsidRPr="00AC2BA5" w:rsidRDefault="00B8550C" w:rsidP="000102EB">
      <w:pPr>
        <w:pStyle w:val="a4"/>
        <w:numPr>
          <w:ilvl w:val="0"/>
          <w:numId w:val="15"/>
        </w:numPr>
        <w:adjustRightInd w:val="0"/>
        <w:snapToGrid w:val="0"/>
        <w:spacing w:beforeLines="50" w:before="120" w:line="300" w:lineRule="auto"/>
        <w:ind w:left="1418"/>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应在清洁和消毒部分的显眼位置列出技术援助或问题咨询的联系电话，以及用户应查看的外部劣化和性能劣化迹象列表。</w:t>
      </w:r>
    </w:p>
    <w:p w14:paraId="2A5BC7DB" w14:textId="77777777" w:rsidR="008118B9" w:rsidRPr="00AC2BA5" w:rsidRDefault="0050117E" w:rsidP="000102EB">
      <w:pPr>
        <w:tabs>
          <w:tab w:val="left" w:pos="460"/>
        </w:tabs>
        <w:adjustRightInd w:val="0"/>
        <w:snapToGrid w:val="0"/>
        <w:spacing w:beforeLines="50" w:before="120" w:line="300" w:lineRule="auto"/>
        <w:ind w:left="480" w:hangingChars="200" w:hanging="480"/>
        <w:jc w:val="both"/>
        <w:rPr>
          <w:rFonts w:ascii="Times New Roman" w:eastAsia="宋体" w:hAnsi="Times New Roman" w:cs="宋体"/>
          <w:sz w:val="24"/>
          <w:lang w:eastAsia="zh-CN"/>
        </w:rPr>
      </w:pPr>
      <w:r w:rsidRPr="00AC2BA5">
        <w:rPr>
          <w:rFonts w:ascii="Times New Roman" w:eastAsia="宋体" w:hAnsi="Times New Roman" w:cs="宋体"/>
          <w:sz w:val="24"/>
          <w:lang w:eastAsia="zh-CN"/>
        </w:rPr>
        <w:t xml:space="preserve">17. </w:t>
      </w:r>
      <w:r w:rsidRPr="00AC2BA5">
        <w:rPr>
          <w:rFonts w:ascii="Times New Roman" w:eastAsia="宋体" w:hAnsi="Times New Roman" w:cs="宋体"/>
          <w:sz w:val="24"/>
          <w:lang w:eastAsia="zh-CN"/>
        </w:rPr>
        <w:tab/>
      </w:r>
      <w:r w:rsidRPr="00AC2BA5">
        <w:rPr>
          <w:rFonts w:ascii="Times New Roman" w:eastAsia="宋体" w:hAnsi="Times New Roman" w:cs="宋体"/>
          <w:sz w:val="24"/>
          <w:lang w:eastAsia="zh-CN"/>
        </w:rPr>
        <w:t>如果未提供支持使用</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替代部位检测（</w:t>
      </w:r>
      <w:r w:rsidRPr="00AC2BA5">
        <w:rPr>
          <w:rFonts w:ascii="Times New Roman" w:eastAsia="宋体" w:hAnsi="Times New Roman" w:cs="宋体"/>
          <w:sz w:val="24"/>
          <w:lang w:eastAsia="zh-CN"/>
        </w:rPr>
        <w:t>AST</w:t>
      </w:r>
      <w:r w:rsidRPr="00AC2BA5">
        <w:rPr>
          <w:rFonts w:ascii="Times New Roman" w:eastAsia="宋体" w:hAnsi="Times New Roman" w:cs="宋体"/>
          <w:sz w:val="24"/>
          <w:lang w:eastAsia="zh-CN"/>
        </w:rPr>
        <w:t>）的研究，则应在包装说明书和用户手册中的显眼位置添加禁止将该器械用于</w:t>
      </w:r>
      <w:r w:rsidRPr="00AC2BA5">
        <w:rPr>
          <w:rFonts w:ascii="Times New Roman" w:eastAsia="宋体" w:hAnsi="Times New Roman" w:cs="宋体"/>
          <w:sz w:val="24"/>
          <w:lang w:eastAsia="zh-CN"/>
        </w:rPr>
        <w:t>AST</w:t>
      </w:r>
      <w:r w:rsidRPr="00AC2BA5">
        <w:rPr>
          <w:rFonts w:ascii="Times New Roman" w:eastAsia="宋体" w:hAnsi="Times New Roman" w:cs="宋体"/>
          <w:sz w:val="24"/>
          <w:lang w:eastAsia="zh-CN"/>
        </w:rPr>
        <w:t>的警告。某些</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可以从指尖以外的解剖部位（即前臂、上臂、大腿、小腿或手掌）采样。</w:t>
      </w:r>
    </w:p>
    <w:p w14:paraId="1E0EDF79" w14:textId="77777777" w:rsidR="000102EB" w:rsidRPr="00AC2BA5" w:rsidRDefault="000102EB" w:rsidP="000102EB">
      <w:pPr>
        <w:tabs>
          <w:tab w:val="left" w:pos="460"/>
        </w:tabs>
        <w:adjustRightInd w:val="0"/>
        <w:snapToGrid w:val="0"/>
        <w:spacing w:beforeLines="50" w:before="120" w:line="300" w:lineRule="auto"/>
        <w:ind w:left="480" w:hangingChars="200" w:hanging="480"/>
        <w:jc w:val="both"/>
        <w:rPr>
          <w:rFonts w:ascii="Times New Roman" w:eastAsia="宋体" w:hAnsi="Times New Roman" w:cs="宋体"/>
          <w:sz w:val="24"/>
          <w:lang w:eastAsia="zh-CN"/>
        </w:rPr>
      </w:pPr>
    </w:p>
    <w:p w14:paraId="3B9FE04D" w14:textId="77777777" w:rsidR="000102EB" w:rsidRPr="00AC2BA5" w:rsidRDefault="000102EB" w:rsidP="000102EB">
      <w:pPr>
        <w:tabs>
          <w:tab w:val="left" w:pos="460"/>
        </w:tabs>
        <w:adjustRightInd w:val="0"/>
        <w:snapToGrid w:val="0"/>
        <w:spacing w:beforeLines="50" w:before="120" w:line="300" w:lineRule="auto"/>
        <w:ind w:left="480" w:hangingChars="200" w:hanging="480"/>
        <w:jc w:val="both"/>
        <w:rPr>
          <w:rFonts w:ascii="Times New Roman" w:eastAsia="宋体" w:hAnsi="Times New Roman" w:cs="Times New Roman"/>
          <w:snapToGrid w:val="0"/>
          <w:sz w:val="24"/>
          <w:szCs w:val="24"/>
          <w:lang w:eastAsia="zh-CN"/>
        </w:rPr>
      </w:pPr>
    </w:p>
    <w:p w14:paraId="7F6CBE6A" w14:textId="77777777" w:rsidR="008118B9" w:rsidRPr="00AC2BA5" w:rsidRDefault="00A951CF" w:rsidP="000102EB">
      <w:pPr>
        <w:tabs>
          <w:tab w:val="left" w:pos="28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rPr>
        <w:t>__________________________</w:t>
      </w:r>
    </w:p>
    <w:p w14:paraId="09D1DD8D" w14:textId="77777777" w:rsidR="00D528AC" w:rsidRPr="00AC2BA5" w:rsidRDefault="0050117E" w:rsidP="000102EB">
      <w:pPr>
        <w:tabs>
          <w:tab w:val="left" w:pos="280"/>
        </w:tabs>
        <w:adjustRightInd w:val="0"/>
        <w:snapToGrid w:val="0"/>
        <w:spacing w:beforeLines="15" w:before="36" w:line="276" w:lineRule="auto"/>
        <w:jc w:val="both"/>
        <w:rPr>
          <w:rFonts w:ascii="Times New Roman" w:eastAsia="宋体" w:hAnsi="Times New Roman" w:cs="Times New Roman"/>
          <w:snapToGrid w:val="0"/>
          <w:color w:val="0000FF"/>
          <w:sz w:val="21"/>
          <w:szCs w:val="21"/>
          <w:lang w:eastAsia="zh-CN"/>
        </w:rPr>
      </w:pPr>
      <w:r w:rsidRPr="00AC2BA5">
        <w:rPr>
          <w:rFonts w:ascii="Times New Roman" w:eastAsia="宋体" w:hAnsi="Times New Roman" w:cs="宋体"/>
          <w:sz w:val="21"/>
          <w:vertAlign w:val="superscript"/>
        </w:rPr>
        <w:t xml:space="preserve">15 </w:t>
      </w:r>
      <w:proofErr w:type="spellStart"/>
      <w:r w:rsidRPr="00AC2BA5">
        <w:rPr>
          <w:rFonts w:ascii="Times New Roman" w:eastAsia="宋体" w:hAnsi="Times New Roman" w:cs="宋体"/>
          <w:sz w:val="21"/>
        </w:rPr>
        <w:t>可登录以下网址获取：</w:t>
      </w:r>
      <w:r w:rsidRPr="00AC2BA5">
        <w:rPr>
          <w:rFonts w:ascii="Times New Roman" w:eastAsia="宋体" w:hAnsi="Times New Roman" w:cs="宋体"/>
          <w:color w:val="0000FF"/>
          <w:sz w:val="21"/>
          <w:u w:val="single"/>
        </w:rPr>
        <w:t>https</w:t>
      </w:r>
      <w:proofErr w:type="spellEnd"/>
      <w:r w:rsidRPr="00AC2BA5">
        <w:rPr>
          <w:rFonts w:ascii="Times New Roman" w:eastAsia="宋体" w:hAnsi="Times New Roman" w:cs="宋体"/>
          <w:color w:val="0000FF"/>
          <w:sz w:val="21"/>
          <w:u w:val="single"/>
        </w:rPr>
        <w:t>://wayback.archive-it.org/7993/20170111013014</w:t>
      </w:r>
      <w:r w:rsidRPr="00AC2BA5">
        <w:rPr>
          <w:rFonts w:ascii="Times New Roman" w:eastAsia="宋体" w:hAnsi="Times New Roman" w:cs="宋体"/>
          <w:sz w:val="21"/>
          <w:u w:val="single"/>
        </w:rPr>
        <w:t>/</w:t>
      </w:r>
      <w:r w:rsidR="000102EB" w:rsidRPr="00AC2BA5">
        <w:rPr>
          <w:rFonts w:ascii="Times New Roman" w:eastAsia="宋体" w:hAnsi="Times New Roman" w:cs="宋体" w:hint="eastAsia"/>
          <w:sz w:val="21"/>
          <w:u w:val="single"/>
          <w:lang w:eastAsia="zh-CN"/>
        </w:rPr>
        <w:t xml:space="preserve"> </w:t>
      </w:r>
      <w:hyperlink r:id="rId31" w:history="1">
        <w:r w:rsidR="000102EB" w:rsidRPr="00AC2BA5">
          <w:rPr>
            <w:rStyle w:val="a8"/>
            <w:rFonts w:ascii="Times New Roman" w:eastAsia="宋体" w:hAnsi="Times New Roman" w:cs="宋体"/>
            <w:snapToGrid w:val="0"/>
            <w:sz w:val="21"/>
            <w:szCs w:val="21"/>
            <w:u w:color="0000FF"/>
          </w:rPr>
          <w:t>http://www.fda.gov/</w:t>
        </w:r>
        <w:r w:rsidR="000102EB" w:rsidRPr="00AC2BA5">
          <w:rPr>
            <w:rStyle w:val="a8"/>
            <w:rFonts w:ascii="Times New Roman" w:eastAsia="宋体" w:hAnsi="Times New Roman" w:cs="宋体" w:hint="eastAsia"/>
            <w:snapToGrid w:val="0"/>
            <w:sz w:val="21"/>
            <w:szCs w:val="21"/>
            <w:u w:color="0000FF"/>
            <w:lang w:eastAsia="zh-CN"/>
          </w:rPr>
          <w:t xml:space="preserve"> </w:t>
        </w:r>
        <w:r w:rsidR="000102EB" w:rsidRPr="00AC2BA5">
          <w:rPr>
            <w:rStyle w:val="a8"/>
            <w:rFonts w:ascii="Times New Roman" w:eastAsia="宋体" w:hAnsi="Times New Roman" w:cs="宋体"/>
            <w:snapToGrid w:val="0"/>
            <w:sz w:val="21"/>
            <w:szCs w:val="21"/>
            <w:u w:color="0000FF"/>
          </w:rPr>
          <w:t>MedicalDevices/Safety/AlertsandNotices/ucm224025.htm</w:t>
        </w:r>
      </w:hyperlink>
      <w:r w:rsidRPr="00AC2BA5">
        <w:rPr>
          <w:rFonts w:ascii="Times New Roman" w:eastAsia="宋体" w:hAnsi="Times New Roman" w:cs="宋体"/>
          <w:sz w:val="21"/>
        </w:rPr>
        <w:t>。</w:t>
      </w:r>
    </w:p>
    <w:p w14:paraId="532D1335" w14:textId="77777777" w:rsidR="0050117E" w:rsidRPr="00AC2BA5" w:rsidRDefault="00B8550C" w:rsidP="000102EB">
      <w:pPr>
        <w:tabs>
          <w:tab w:val="left" w:pos="280"/>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color w:val="000000"/>
          <w:sz w:val="21"/>
          <w:vertAlign w:val="superscript"/>
        </w:rPr>
        <w:t>16</w:t>
      </w:r>
      <w:r w:rsidRPr="00AC2BA5">
        <w:rPr>
          <w:rFonts w:ascii="Times New Roman" w:eastAsia="宋体" w:hAnsi="Times New Roman" w:cs="宋体"/>
          <w:color w:val="000000"/>
          <w:sz w:val="21"/>
        </w:rPr>
        <w:t xml:space="preserve"> </w:t>
      </w:r>
      <w:r w:rsidRPr="00AC2BA5">
        <w:rPr>
          <w:rFonts w:ascii="Times New Roman" w:eastAsia="宋体" w:hAnsi="Times New Roman" w:cs="宋体"/>
          <w:color w:val="000000"/>
          <w:sz w:val="21"/>
        </w:rPr>
        <w:t>可登录以下网址获取：</w:t>
      </w:r>
      <w:hyperlink r:id="rId32">
        <w:r w:rsidRPr="00AC2BA5">
          <w:rPr>
            <w:rFonts w:ascii="Times New Roman" w:eastAsia="宋体" w:hAnsi="Times New Roman" w:cs="宋体"/>
            <w:snapToGrid w:val="0"/>
            <w:color w:val="0000FF"/>
            <w:sz w:val="21"/>
            <w:szCs w:val="21"/>
            <w:u w:val="single" w:color="0000FF"/>
          </w:rPr>
          <w:t>http://www.cdc.gov/injectionsafety/blood-glucose-monitoring.html</w:t>
        </w:r>
      </w:hyperlink>
      <w:r w:rsidRPr="00AC2BA5">
        <w:rPr>
          <w:rFonts w:ascii="Times New Roman" w:eastAsia="宋体" w:hAnsi="Times New Roman" w:cs="宋体"/>
          <w:sz w:val="21"/>
        </w:rPr>
        <w:t>。</w:t>
      </w:r>
    </w:p>
    <w:p w14:paraId="0346BFCF" w14:textId="77777777" w:rsidR="00A951CF" w:rsidRPr="00AC2BA5" w:rsidRDefault="00A951CF"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p w14:paraId="4C391CB9"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lastRenderedPageBreak/>
        <w:t>一些用户可能更喜欢从替代采样部位采血，因为该穿刺部位疼痛较轻或选择更多。然而，研究表明，在血糖快速变化期间（即餐后、用药或运动后），替代部位血液中的葡萄糖水</w:t>
      </w:r>
      <w:proofErr w:type="gramStart"/>
      <w:r w:rsidRPr="00AC2BA5">
        <w:rPr>
          <w:rFonts w:ascii="Times New Roman" w:eastAsia="宋体" w:hAnsi="Times New Roman" w:cs="宋体"/>
          <w:sz w:val="24"/>
          <w:lang w:eastAsia="zh-CN"/>
        </w:rPr>
        <w:t>平可能</w:t>
      </w:r>
      <w:proofErr w:type="gramEnd"/>
      <w:r w:rsidRPr="00AC2BA5">
        <w:rPr>
          <w:rFonts w:ascii="Times New Roman" w:eastAsia="宋体" w:hAnsi="Times New Roman" w:cs="宋体"/>
          <w:sz w:val="24"/>
          <w:lang w:eastAsia="zh-CN"/>
        </w:rPr>
        <w:t>与指尖血中的葡萄糖水</w:t>
      </w:r>
      <w:proofErr w:type="gramStart"/>
      <w:r w:rsidRPr="00AC2BA5">
        <w:rPr>
          <w:rFonts w:ascii="Times New Roman" w:eastAsia="宋体" w:hAnsi="Times New Roman" w:cs="宋体"/>
          <w:sz w:val="24"/>
          <w:lang w:eastAsia="zh-CN"/>
        </w:rPr>
        <w:t>平存在</w:t>
      </w:r>
      <w:proofErr w:type="gramEnd"/>
      <w:r w:rsidRPr="00AC2BA5">
        <w:rPr>
          <w:rFonts w:ascii="Times New Roman" w:eastAsia="宋体" w:hAnsi="Times New Roman" w:cs="宋体"/>
          <w:sz w:val="24"/>
          <w:lang w:eastAsia="zh-CN"/>
        </w:rPr>
        <w:t>显著差异。另外，血糖可能不会上升到或下降到指端中的水平。当在非空腹期间从替代部位测定血糖时，可能导致延迟或无法检测低血糖。</w:t>
      </w:r>
    </w:p>
    <w:p w14:paraId="460FCBB6"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当已确认并需要使用替代采样部位时，应说明在血糖变化或外周循环减少（例如，休克）期间这些部位的结果可能滞后于指尖样本。</w:t>
      </w:r>
    </w:p>
    <w:p w14:paraId="6706E22D" w14:textId="77777777" w:rsidR="0050117E" w:rsidRPr="00AC2BA5" w:rsidRDefault="00B8550C" w:rsidP="000102EB">
      <w:pPr>
        <w:adjustRightInd w:val="0"/>
        <w:snapToGrid w:val="0"/>
        <w:spacing w:beforeLines="50" w:before="120" w:line="300" w:lineRule="auto"/>
        <w:ind w:leftChars="225" w:left="495"/>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包装说明书中应包含与</w:t>
      </w:r>
      <w:r w:rsidRPr="00AC2BA5">
        <w:rPr>
          <w:rFonts w:ascii="Times New Roman" w:eastAsia="宋体" w:hAnsi="Times New Roman" w:cs="宋体"/>
          <w:sz w:val="24"/>
          <w:lang w:eastAsia="zh-CN"/>
        </w:rPr>
        <w:t>AST</w:t>
      </w:r>
      <w:r w:rsidRPr="00AC2BA5">
        <w:rPr>
          <w:rFonts w:ascii="Times New Roman" w:eastAsia="宋体" w:hAnsi="Times New Roman" w:cs="宋体"/>
          <w:sz w:val="24"/>
          <w:lang w:eastAsia="zh-CN"/>
        </w:rPr>
        <w:t>检测相关的以下限制：</w:t>
      </w:r>
    </w:p>
    <w:p w14:paraId="0E1FC91E" w14:textId="77777777" w:rsidR="0050117E" w:rsidRPr="00AC2BA5" w:rsidRDefault="00B8550C" w:rsidP="000102EB">
      <w:pPr>
        <w:pStyle w:val="a4"/>
        <w:numPr>
          <w:ilvl w:val="0"/>
          <w:numId w:val="16"/>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当血糖快速变化时（如餐后、输注胰岛素后或在运动过程中或运动后），非指端采血结果可能与指端采血结果有所不同。</w:t>
      </w:r>
    </w:p>
    <w:p w14:paraId="74734588" w14:textId="7F007361" w:rsidR="000460CB" w:rsidRPr="00AC2BA5" w:rsidRDefault="00D2299A" w:rsidP="000102EB">
      <w:pPr>
        <w:pStyle w:val="a4"/>
        <w:numPr>
          <w:ilvl w:val="0"/>
          <w:numId w:val="16"/>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Pr>
          <w:rFonts w:ascii="Times New Roman" w:eastAsia="宋体" w:hAnsi="Times New Roman" w:cs="宋体" w:hint="eastAsia"/>
          <w:sz w:val="24"/>
          <w:lang w:eastAsia="zh-CN"/>
        </w:rPr>
        <w:t>如发生</w:t>
      </w:r>
      <w:r w:rsidR="00B8550C" w:rsidRPr="00AC2BA5">
        <w:rPr>
          <w:rFonts w:ascii="Times New Roman" w:eastAsia="宋体" w:hAnsi="Times New Roman" w:cs="宋体"/>
          <w:sz w:val="24"/>
          <w:lang w:eastAsia="zh-CN"/>
        </w:rPr>
        <w:t>以下任何一种情况，请勿依赖替代采样部位的检测结果，而是使用指尖血样本：</w:t>
      </w:r>
    </w:p>
    <w:p w14:paraId="053F771C" w14:textId="6370D3E6" w:rsidR="000460CB" w:rsidRPr="00AC2BA5" w:rsidRDefault="00B8550C" w:rsidP="000102EB">
      <w:pPr>
        <w:pStyle w:val="a4"/>
        <w:numPr>
          <w:ilvl w:val="0"/>
          <w:numId w:val="17"/>
        </w:numPr>
        <w:adjustRightInd w:val="0"/>
        <w:snapToGrid w:val="0"/>
        <w:spacing w:beforeLines="50" w:before="120" w:line="300" w:lineRule="auto"/>
        <w:ind w:left="1843"/>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认为血糖较低。</w:t>
      </w:r>
    </w:p>
    <w:p w14:paraId="6EC914A8" w14:textId="7A7E1517" w:rsidR="000460CB" w:rsidRPr="00AC2BA5" w:rsidRDefault="00B8550C" w:rsidP="000102EB">
      <w:pPr>
        <w:pStyle w:val="a4"/>
        <w:numPr>
          <w:ilvl w:val="0"/>
          <w:numId w:val="17"/>
        </w:numPr>
        <w:adjustRightInd w:val="0"/>
        <w:snapToGrid w:val="0"/>
        <w:spacing w:beforeLines="50" w:before="120" w:line="300" w:lineRule="auto"/>
        <w:ind w:left="1843"/>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血糖过低时，</w:t>
      </w:r>
      <w:r w:rsidR="00D2299A">
        <w:rPr>
          <w:rFonts w:ascii="Times New Roman" w:eastAsia="宋体" w:hAnsi="Times New Roman" w:cs="宋体" w:hint="eastAsia"/>
          <w:sz w:val="24"/>
          <w:lang w:eastAsia="zh-CN"/>
        </w:rPr>
        <w:t>未</w:t>
      </w:r>
      <w:r w:rsidRPr="00AC2BA5">
        <w:rPr>
          <w:rFonts w:ascii="Times New Roman" w:eastAsia="宋体" w:hAnsi="Times New Roman" w:cs="宋体"/>
          <w:sz w:val="24"/>
          <w:lang w:eastAsia="zh-CN"/>
        </w:rPr>
        <w:t>察觉到症状。</w:t>
      </w:r>
    </w:p>
    <w:p w14:paraId="332A66AB" w14:textId="51FBFAD5" w:rsidR="000460CB" w:rsidRPr="00AC2BA5" w:rsidRDefault="00B8550C" w:rsidP="000102EB">
      <w:pPr>
        <w:pStyle w:val="a4"/>
        <w:numPr>
          <w:ilvl w:val="0"/>
          <w:numId w:val="17"/>
        </w:numPr>
        <w:adjustRightInd w:val="0"/>
        <w:snapToGrid w:val="0"/>
        <w:spacing w:beforeLines="50" w:before="120" w:line="300" w:lineRule="auto"/>
        <w:ind w:left="1843"/>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结果与感觉不一致。</w:t>
      </w:r>
    </w:p>
    <w:p w14:paraId="7CB18EDA" w14:textId="77777777" w:rsidR="000460CB" w:rsidRPr="00AC2BA5" w:rsidRDefault="00B8550C" w:rsidP="000102EB">
      <w:pPr>
        <w:pStyle w:val="a4"/>
        <w:numPr>
          <w:ilvl w:val="0"/>
          <w:numId w:val="17"/>
        </w:numPr>
        <w:adjustRightInd w:val="0"/>
        <w:snapToGrid w:val="0"/>
        <w:spacing w:beforeLines="50" w:before="120" w:line="300" w:lineRule="auto"/>
        <w:ind w:left="1843"/>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餐后</w:t>
      </w:r>
      <w:proofErr w:type="spellEnd"/>
      <w:r w:rsidRPr="00AC2BA5">
        <w:rPr>
          <w:rFonts w:ascii="Times New Roman" w:eastAsia="宋体" w:hAnsi="Times New Roman" w:cs="宋体"/>
          <w:sz w:val="24"/>
        </w:rPr>
        <w:t>。</w:t>
      </w:r>
    </w:p>
    <w:p w14:paraId="42C22E24" w14:textId="77777777" w:rsidR="000460CB" w:rsidRPr="00AC2BA5" w:rsidRDefault="00B8550C" w:rsidP="000102EB">
      <w:pPr>
        <w:pStyle w:val="a4"/>
        <w:numPr>
          <w:ilvl w:val="0"/>
          <w:numId w:val="17"/>
        </w:numPr>
        <w:adjustRightInd w:val="0"/>
        <w:snapToGrid w:val="0"/>
        <w:spacing w:beforeLines="50" w:before="120" w:line="300" w:lineRule="auto"/>
        <w:ind w:left="1843"/>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运动后</w:t>
      </w:r>
      <w:proofErr w:type="spellEnd"/>
      <w:r w:rsidRPr="00AC2BA5">
        <w:rPr>
          <w:rFonts w:ascii="Times New Roman" w:eastAsia="宋体" w:hAnsi="Times New Roman" w:cs="宋体"/>
          <w:sz w:val="24"/>
        </w:rPr>
        <w:t>。</w:t>
      </w:r>
    </w:p>
    <w:p w14:paraId="2E70F91D" w14:textId="77777777" w:rsidR="000460CB" w:rsidRPr="00AC2BA5" w:rsidRDefault="00B8550C" w:rsidP="000102EB">
      <w:pPr>
        <w:pStyle w:val="a4"/>
        <w:numPr>
          <w:ilvl w:val="0"/>
          <w:numId w:val="17"/>
        </w:numPr>
        <w:adjustRightInd w:val="0"/>
        <w:snapToGrid w:val="0"/>
        <w:spacing w:beforeLines="50" w:before="120" w:line="300" w:lineRule="auto"/>
        <w:ind w:left="1843"/>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生病期间</w:t>
      </w:r>
      <w:proofErr w:type="spellEnd"/>
      <w:r w:rsidRPr="00AC2BA5">
        <w:rPr>
          <w:rFonts w:ascii="Times New Roman" w:eastAsia="宋体" w:hAnsi="Times New Roman" w:cs="宋体"/>
          <w:sz w:val="24"/>
        </w:rPr>
        <w:t>。</w:t>
      </w:r>
    </w:p>
    <w:p w14:paraId="3F11A5CD" w14:textId="77777777" w:rsidR="0050117E" w:rsidRPr="00AC2BA5" w:rsidRDefault="00B8550C" w:rsidP="000102EB">
      <w:pPr>
        <w:pStyle w:val="a4"/>
        <w:numPr>
          <w:ilvl w:val="0"/>
          <w:numId w:val="17"/>
        </w:numPr>
        <w:adjustRightInd w:val="0"/>
        <w:snapToGrid w:val="0"/>
        <w:spacing w:beforeLines="50" w:before="120" w:line="300" w:lineRule="auto"/>
        <w:ind w:left="1843"/>
        <w:jc w:val="both"/>
        <w:rPr>
          <w:rFonts w:ascii="Times New Roman" w:eastAsia="宋体" w:hAnsi="Times New Roman" w:cs="Times New Roman"/>
          <w:snapToGrid w:val="0"/>
          <w:sz w:val="24"/>
          <w:szCs w:val="24"/>
        </w:rPr>
      </w:pPr>
      <w:proofErr w:type="spellStart"/>
      <w:r w:rsidRPr="00AC2BA5">
        <w:rPr>
          <w:rFonts w:ascii="Times New Roman" w:eastAsia="宋体" w:hAnsi="Times New Roman" w:cs="宋体"/>
          <w:sz w:val="24"/>
        </w:rPr>
        <w:t>压力过大时</w:t>
      </w:r>
      <w:proofErr w:type="spellEnd"/>
      <w:r w:rsidRPr="00AC2BA5">
        <w:rPr>
          <w:rFonts w:ascii="Times New Roman" w:eastAsia="宋体" w:hAnsi="Times New Roman" w:cs="宋体"/>
          <w:sz w:val="24"/>
        </w:rPr>
        <w:t>。</w:t>
      </w:r>
    </w:p>
    <w:p w14:paraId="23128244" w14:textId="77777777" w:rsidR="0050117E" w:rsidRPr="00AC2BA5" w:rsidRDefault="00B8550C" w:rsidP="000102EB">
      <w:pPr>
        <w:pStyle w:val="a4"/>
        <w:numPr>
          <w:ilvl w:val="0"/>
          <w:numId w:val="17"/>
        </w:numPr>
        <w:adjustRightInd w:val="0"/>
        <w:snapToGrid w:val="0"/>
        <w:spacing w:beforeLines="50" w:before="120" w:line="300" w:lineRule="auto"/>
        <w:ind w:left="1276"/>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请勿使用替代部位样本的结果校准动态血糖监测系统（</w:t>
      </w:r>
      <w:r w:rsidRPr="00AC2BA5">
        <w:rPr>
          <w:rFonts w:ascii="Times New Roman" w:eastAsia="宋体" w:hAnsi="Times New Roman" w:cs="宋体"/>
          <w:sz w:val="24"/>
          <w:lang w:eastAsia="zh-CN"/>
        </w:rPr>
        <w:t>CGMS</w:t>
      </w:r>
      <w:r w:rsidRPr="00AC2BA5">
        <w:rPr>
          <w:rFonts w:ascii="Times New Roman" w:eastAsia="宋体" w:hAnsi="Times New Roman" w:cs="宋体"/>
          <w:sz w:val="24"/>
          <w:lang w:eastAsia="zh-CN"/>
        </w:rPr>
        <w:t>）或计算胰岛素剂量。</w:t>
      </w:r>
    </w:p>
    <w:p w14:paraId="181C278C" w14:textId="77777777" w:rsidR="00A951CF" w:rsidRPr="00AC2BA5" w:rsidRDefault="00A951CF" w:rsidP="000102EB">
      <w:pPr>
        <w:pStyle w:val="1"/>
        <w:adjustRightInd w:val="0"/>
        <w:snapToGrid w:val="0"/>
        <w:spacing w:beforeLines="50" w:before="120" w:line="300" w:lineRule="auto"/>
        <w:ind w:left="0" w:firstLine="0"/>
        <w:jc w:val="both"/>
        <w:rPr>
          <w:rFonts w:eastAsia="宋体" w:cs="Times New Roman"/>
          <w:snapToGrid w:val="0"/>
          <w:sz w:val="24"/>
          <w:szCs w:val="24"/>
          <w:lang w:eastAsia="zh-CN"/>
        </w:rPr>
      </w:pPr>
    </w:p>
    <w:p w14:paraId="0B25EC38" w14:textId="77777777" w:rsidR="00A951CF" w:rsidRPr="00AC2BA5" w:rsidRDefault="00A951CF" w:rsidP="000102EB">
      <w:pPr>
        <w:rPr>
          <w:rFonts w:ascii="Times New Roman" w:eastAsia="宋体" w:hAnsi="Times New Roman" w:cs="Times New Roman"/>
          <w:b/>
          <w:bCs/>
          <w:snapToGrid w:val="0"/>
          <w:sz w:val="24"/>
          <w:szCs w:val="24"/>
          <w:lang w:eastAsia="zh-CN"/>
        </w:rPr>
      </w:pPr>
      <w:r w:rsidRPr="00AC2BA5">
        <w:rPr>
          <w:rFonts w:ascii="Times New Roman" w:eastAsia="宋体" w:hAnsi="Times New Roman" w:cs="宋体"/>
          <w:sz w:val="24"/>
          <w:lang w:eastAsia="zh-CN"/>
        </w:rPr>
        <w:br w:type="page"/>
      </w:r>
    </w:p>
    <w:p w14:paraId="48E3E953" w14:textId="024CFC13" w:rsidR="0050117E" w:rsidRPr="00AC2BA5" w:rsidRDefault="00B8550C" w:rsidP="000102EB">
      <w:pPr>
        <w:pStyle w:val="11"/>
        <w:rPr>
          <w:rFonts w:eastAsia="宋体"/>
          <w:lang w:eastAsia="zh-CN"/>
        </w:rPr>
      </w:pPr>
      <w:bookmarkStart w:id="40" w:name="_Toc91871190"/>
      <w:r w:rsidRPr="00AC2BA5">
        <w:rPr>
          <w:rFonts w:eastAsia="宋体" w:cs="宋体"/>
          <w:lang w:eastAsia="zh-CN"/>
        </w:rPr>
        <w:lastRenderedPageBreak/>
        <w:t>附录</w:t>
      </w:r>
      <w:r w:rsidRPr="00AC2BA5">
        <w:rPr>
          <w:rFonts w:eastAsia="宋体" w:cs="宋体"/>
          <w:lang w:eastAsia="zh-CN"/>
        </w:rPr>
        <w:t>1.SMBG</w:t>
      </w:r>
      <w:r w:rsidRPr="00AC2BA5">
        <w:rPr>
          <w:rFonts w:eastAsia="宋体" w:cs="宋体"/>
          <w:lang w:eastAsia="zh-CN"/>
        </w:rPr>
        <w:t>需要考虑的</w:t>
      </w:r>
      <w:r w:rsidR="00D03A83">
        <w:rPr>
          <w:rFonts w:eastAsia="宋体" w:cs="宋体"/>
          <w:lang w:eastAsia="zh-CN"/>
        </w:rPr>
        <w:t>误差来源</w:t>
      </w:r>
      <w:bookmarkEnd w:id="40"/>
    </w:p>
    <w:p w14:paraId="6A7AEBD8" w14:textId="4AD29160"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下表</w:t>
      </w:r>
      <w:r w:rsidRPr="00AC2BA5">
        <w:rPr>
          <w:rFonts w:ascii="Times New Roman" w:eastAsia="宋体" w:hAnsi="Times New Roman" w:cs="宋体"/>
          <w:sz w:val="24"/>
          <w:lang w:eastAsia="zh-CN"/>
        </w:rPr>
        <w:t>7</w:t>
      </w:r>
      <w:r w:rsidRPr="00AC2BA5">
        <w:rPr>
          <w:rFonts w:ascii="Times New Roman" w:eastAsia="宋体" w:hAnsi="Times New Roman" w:cs="宋体"/>
          <w:sz w:val="24"/>
          <w:lang w:eastAsia="zh-CN"/>
        </w:rPr>
        <w:t>列出了与</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设计、生产和使用相关的</w:t>
      </w:r>
      <w:r w:rsidR="00D03A83">
        <w:rPr>
          <w:rFonts w:ascii="Times New Roman" w:eastAsia="宋体" w:hAnsi="Times New Roman" w:cs="宋体"/>
          <w:sz w:val="24"/>
          <w:lang w:eastAsia="zh-CN"/>
        </w:rPr>
        <w:t>误差来源</w:t>
      </w:r>
      <w:r w:rsidRPr="00AC2BA5">
        <w:rPr>
          <w:rFonts w:ascii="Times New Roman" w:eastAsia="宋体" w:hAnsi="Times New Roman" w:cs="宋体"/>
          <w:sz w:val="24"/>
          <w:lang w:eastAsia="zh-CN"/>
        </w:rPr>
        <w:t>。本机构不打算将其作为完整列表。应根据对具体器械的了解考虑所有</w:t>
      </w:r>
      <w:r w:rsidR="00D03A83">
        <w:rPr>
          <w:rFonts w:ascii="Times New Roman" w:eastAsia="宋体" w:hAnsi="Times New Roman" w:cs="宋体"/>
          <w:sz w:val="24"/>
          <w:lang w:eastAsia="zh-CN"/>
        </w:rPr>
        <w:t>误差来源</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CLSI EP-18A2</w:t>
      </w:r>
      <w:r w:rsidRPr="00AC2BA5">
        <w:rPr>
          <w:rFonts w:ascii="Times New Roman" w:eastAsia="宋体" w:hAnsi="Times New Roman" w:cs="宋体"/>
          <w:sz w:val="24"/>
          <w:lang w:eastAsia="zh-CN"/>
        </w:rPr>
        <w:t>（识别和控制实验室</w:t>
      </w:r>
      <w:r w:rsidR="00D03A83">
        <w:rPr>
          <w:rFonts w:ascii="Times New Roman" w:eastAsia="宋体" w:hAnsi="Times New Roman" w:cs="宋体"/>
          <w:sz w:val="24"/>
          <w:lang w:eastAsia="zh-CN"/>
        </w:rPr>
        <w:t>误差来源</w:t>
      </w:r>
      <w:r w:rsidRPr="00AC2BA5">
        <w:rPr>
          <w:rFonts w:ascii="Times New Roman" w:eastAsia="宋体" w:hAnsi="Times New Roman" w:cs="宋体"/>
          <w:sz w:val="24"/>
          <w:lang w:eastAsia="zh-CN"/>
        </w:rPr>
        <w:t>的风险管理技术）和</w:t>
      </w:r>
      <w:r w:rsidRPr="00AC2BA5">
        <w:rPr>
          <w:rFonts w:ascii="Times New Roman" w:eastAsia="宋体" w:hAnsi="Times New Roman" w:cs="宋体"/>
          <w:sz w:val="24"/>
          <w:lang w:eastAsia="zh-CN"/>
        </w:rPr>
        <w:t>ISO 14971</w:t>
      </w:r>
      <w:r w:rsidRPr="00AC2BA5">
        <w:rPr>
          <w:rFonts w:ascii="Times New Roman" w:eastAsia="宋体" w:hAnsi="Times New Roman" w:cs="宋体"/>
          <w:sz w:val="24"/>
          <w:lang w:eastAsia="zh-CN"/>
        </w:rPr>
        <w:t>（医疗器械</w:t>
      </w:r>
      <w:r w:rsidRPr="00AC2BA5">
        <w:rPr>
          <w:rFonts w:ascii="Times New Roman" w:eastAsia="宋体" w:hAnsi="Times New Roman" w:cs="宋体"/>
          <w:sz w:val="24"/>
          <w:lang w:eastAsia="zh-CN"/>
        </w:rPr>
        <w:t xml:space="preserve"> - </w:t>
      </w:r>
      <w:r w:rsidR="00981FCF" w:rsidRPr="00981FCF">
        <w:rPr>
          <w:rFonts w:ascii="Times New Roman" w:eastAsia="宋体" w:hAnsi="Times New Roman" w:cs="宋体" w:hint="eastAsia"/>
          <w:sz w:val="24"/>
          <w:lang w:eastAsia="zh-CN"/>
        </w:rPr>
        <w:t>风险管理对医疗器械的应用</w:t>
      </w:r>
      <w:r w:rsidRPr="00AC2BA5">
        <w:rPr>
          <w:rFonts w:ascii="Times New Roman" w:eastAsia="宋体" w:hAnsi="Times New Roman" w:cs="宋体"/>
          <w:sz w:val="24"/>
          <w:lang w:eastAsia="zh-CN"/>
        </w:rPr>
        <w:t>）等文件也提供了需要考虑的分析前、分析和分析</w:t>
      </w:r>
      <w:proofErr w:type="gramStart"/>
      <w:r w:rsidRPr="00AC2BA5">
        <w:rPr>
          <w:rFonts w:ascii="Times New Roman" w:eastAsia="宋体" w:hAnsi="Times New Roman" w:cs="宋体"/>
          <w:sz w:val="24"/>
          <w:lang w:eastAsia="zh-CN"/>
        </w:rPr>
        <w:t>后错误</w:t>
      </w:r>
      <w:proofErr w:type="gramEnd"/>
      <w:r w:rsidRPr="00AC2BA5">
        <w:rPr>
          <w:rFonts w:ascii="Times New Roman" w:eastAsia="宋体" w:hAnsi="Times New Roman" w:cs="宋体"/>
          <w:sz w:val="24"/>
          <w:lang w:eastAsia="zh-CN"/>
        </w:rPr>
        <w:t>列表。</w:t>
      </w:r>
    </w:p>
    <w:p w14:paraId="08B69D61" w14:textId="7F696D4E" w:rsidR="000460CB" w:rsidRPr="00AC2BA5" w:rsidRDefault="00B8550C" w:rsidP="000102EB">
      <w:pPr>
        <w:pStyle w:val="3"/>
        <w:adjustRightInd w:val="0"/>
        <w:snapToGrid w:val="0"/>
        <w:spacing w:beforeLines="50" w:before="120" w:line="300" w:lineRule="auto"/>
        <w:ind w:left="0" w:firstLine="0"/>
        <w:jc w:val="both"/>
        <w:rPr>
          <w:rFonts w:eastAsia="宋体" w:cs="Times New Roman"/>
          <w:b w:val="0"/>
          <w:bCs w:val="0"/>
          <w:snapToGrid w:val="0"/>
        </w:rPr>
      </w:pPr>
      <w:r w:rsidRPr="00AC2BA5">
        <w:rPr>
          <w:rFonts w:eastAsia="宋体" w:cs="宋体"/>
        </w:rPr>
        <w:t>表</w:t>
      </w:r>
      <w:r w:rsidRPr="00AC2BA5">
        <w:rPr>
          <w:rFonts w:eastAsia="宋体" w:cs="宋体"/>
        </w:rPr>
        <w:t xml:space="preserve">7 – </w:t>
      </w:r>
      <w:r w:rsidR="00ED2136">
        <w:rPr>
          <w:rFonts w:eastAsia="宋体" w:cs="宋体" w:hint="eastAsia"/>
          <w:lang w:eastAsia="zh-CN"/>
        </w:rPr>
        <w:t>误差</w:t>
      </w:r>
      <w:proofErr w:type="spellStart"/>
      <w:r w:rsidRPr="00AC2BA5">
        <w:rPr>
          <w:rFonts w:eastAsia="宋体" w:cs="宋体"/>
        </w:rPr>
        <w:t>来源示例</w:t>
      </w:r>
      <w:proofErr w:type="spellEnd"/>
    </w:p>
    <w:tbl>
      <w:tblPr>
        <w:tblStyle w:val="TableNormal"/>
        <w:tblW w:w="5000" w:type="pct"/>
        <w:tblCellMar>
          <w:left w:w="108" w:type="dxa"/>
          <w:right w:w="108" w:type="dxa"/>
        </w:tblCellMar>
        <w:tblLook w:val="01E0" w:firstRow="1" w:lastRow="1" w:firstColumn="1" w:lastColumn="1" w:noHBand="0" w:noVBand="0"/>
      </w:tblPr>
      <w:tblGrid>
        <w:gridCol w:w="1768"/>
        <w:gridCol w:w="7519"/>
      </w:tblGrid>
      <w:tr w:rsidR="000460CB" w:rsidRPr="00AC2BA5" w14:paraId="1D364892" w14:textId="77777777" w:rsidTr="00A951CF">
        <w:tc>
          <w:tcPr>
            <w:tcW w:w="952" w:type="pct"/>
            <w:tcBorders>
              <w:top w:val="single" w:sz="13" w:space="0" w:color="000000"/>
              <w:left w:val="single" w:sz="13" w:space="0" w:color="000000"/>
              <w:bottom w:val="single" w:sz="7" w:space="0" w:color="000000"/>
              <w:right w:val="single" w:sz="7" w:space="0" w:color="000000"/>
            </w:tcBorders>
          </w:tcPr>
          <w:p w14:paraId="60C058E5"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类别</w:t>
            </w:r>
            <w:proofErr w:type="spellEnd"/>
          </w:p>
        </w:tc>
        <w:tc>
          <w:tcPr>
            <w:tcW w:w="4048" w:type="pct"/>
            <w:tcBorders>
              <w:top w:val="single" w:sz="13" w:space="0" w:color="000000"/>
              <w:left w:val="single" w:sz="7" w:space="0" w:color="000000"/>
              <w:bottom w:val="single" w:sz="7" w:space="0" w:color="000000"/>
              <w:right w:val="single" w:sz="13" w:space="0" w:color="000000"/>
            </w:tcBorders>
          </w:tcPr>
          <w:p w14:paraId="4E1F2E0B" w14:textId="434AF721" w:rsidR="000460CB" w:rsidRPr="00AC2BA5" w:rsidRDefault="00ED2136" w:rsidP="000102EB">
            <w:pPr>
              <w:pStyle w:val="TableParagraph"/>
              <w:adjustRightInd w:val="0"/>
              <w:snapToGrid w:val="0"/>
              <w:spacing w:beforeLines="15" w:before="36" w:line="276" w:lineRule="auto"/>
              <w:jc w:val="center"/>
              <w:rPr>
                <w:rFonts w:ascii="Times New Roman" w:eastAsia="Times New Roman" w:hAnsi="Times New Roman" w:cs="Times New Roman"/>
                <w:snapToGrid w:val="0"/>
                <w:sz w:val="21"/>
                <w:szCs w:val="21"/>
              </w:rPr>
            </w:pPr>
            <w:r>
              <w:rPr>
                <w:rFonts w:ascii="Times New Roman" w:eastAsia="宋体" w:hAnsi="Times New Roman" w:cs="宋体" w:hint="eastAsia"/>
                <w:b/>
                <w:sz w:val="21"/>
                <w:lang w:eastAsia="zh-CN"/>
              </w:rPr>
              <w:t>误差</w:t>
            </w:r>
            <w:proofErr w:type="spellStart"/>
            <w:r w:rsidR="00B8550C" w:rsidRPr="00AC2BA5">
              <w:rPr>
                <w:rFonts w:ascii="Times New Roman" w:eastAsia="宋体" w:hAnsi="Times New Roman" w:cs="宋体"/>
                <w:b/>
                <w:sz w:val="21"/>
              </w:rPr>
              <w:t>或失效来源</w:t>
            </w:r>
            <w:proofErr w:type="spellEnd"/>
          </w:p>
        </w:tc>
      </w:tr>
      <w:tr w:rsidR="000460CB" w:rsidRPr="00AC2BA5" w14:paraId="6032FE6A" w14:textId="77777777" w:rsidTr="00A951CF">
        <w:tc>
          <w:tcPr>
            <w:tcW w:w="952" w:type="pct"/>
            <w:tcBorders>
              <w:top w:val="single" w:sz="7" w:space="0" w:color="000000"/>
              <w:left w:val="single" w:sz="13" w:space="0" w:color="000000"/>
              <w:bottom w:val="single" w:sz="7" w:space="0" w:color="000000"/>
              <w:right w:val="single" w:sz="7" w:space="0" w:color="000000"/>
            </w:tcBorders>
          </w:tcPr>
          <w:p w14:paraId="468AC415"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操作者</w:t>
            </w:r>
            <w:proofErr w:type="spellEnd"/>
          </w:p>
        </w:tc>
        <w:tc>
          <w:tcPr>
            <w:tcW w:w="4048" w:type="pct"/>
            <w:tcBorders>
              <w:top w:val="single" w:sz="7" w:space="0" w:color="000000"/>
              <w:left w:val="single" w:sz="7" w:space="0" w:color="000000"/>
              <w:bottom w:val="single" w:sz="7" w:space="0" w:color="000000"/>
              <w:right w:val="single" w:sz="13" w:space="0" w:color="000000"/>
            </w:tcBorders>
          </w:tcPr>
          <w:p w14:paraId="54913890" w14:textId="77777777" w:rsidR="000460CB" w:rsidRPr="00AC2BA5" w:rsidRDefault="00B8550C" w:rsidP="000102EB">
            <w:pPr>
              <w:pStyle w:val="TableParagraph"/>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未正确遵守程序，例如</w:t>
            </w:r>
            <w:proofErr w:type="spellEnd"/>
            <w:r w:rsidRPr="00AC2BA5">
              <w:rPr>
                <w:rFonts w:ascii="Times New Roman" w:eastAsia="宋体" w:hAnsi="Times New Roman" w:cs="宋体"/>
                <w:b/>
                <w:sz w:val="21"/>
              </w:rPr>
              <w:t>：</w:t>
            </w:r>
          </w:p>
          <w:p w14:paraId="6233CB78"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样本污染</w:t>
            </w:r>
            <w:proofErr w:type="spellEnd"/>
          </w:p>
          <w:p w14:paraId="7811AEA8"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样本采集不正确（例如，采血技术差和体积不正确）</w:t>
            </w:r>
          </w:p>
          <w:p w14:paraId="59664ABB"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将不足量的血液加到试纸上或将血液加到试纸上的操作不正确</w:t>
            </w:r>
          </w:p>
          <w:p w14:paraId="444DD0C2"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在不恰当的时间使用替代部位的样本或使用未经制造商确认的部位的样本</w:t>
            </w:r>
          </w:p>
          <w:p w14:paraId="784E80BC"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多次将样本加到试纸上（例如，用户认为第一次的</w:t>
            </w:r>
            <w:proofErr w:type="gramStart"/>
            <w:r w:rsidRPr="00AC2BA5">
              <w:rPr>
                <w:rFonts w:ascii="Times New Roman" w:eastAsia="宋体" w:hAnsi="Times New Roman" w:cs="宋体"/>
                <w:b/>
                <w:sz w:val="21"/>
                <w:lang w:eastAsia="zh-CN"/>
              </w:rPr>
              <w:t>加样量不足</w:t>
            </w:r>
            <w:proofErr w:type="gramEnd"/>
            <w:r w:rsidRPr="00AC2BA5">
              <w:rPr>
                <w:rFonts w:ascii="Times New Roman" w:eastAsia="宋体" w:hAnsi="Times New Roman" w:cs="宋体"/>
                <w:b/>
                <w:sz w:val="21"/>
                <w:lang w:eastAsia="zh-CN"/>
              </w:rPr>
              <w:t>）</w:t>
            </w:r>
          </w:p>
          <w:p w14:paraId="76AD9977"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将试纸插入血糖仪的操作不正确</w:t>
            </w:r>
          </w:p>
          <w:p w14:paraId="7CE55D18"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时间不准确</w:t>
            </w:r>
            <w:proofErr w:type="spellEnd"/>
          </w:p>
          <w:p w14:paraId="06314D18"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使用受污染、过期或损坏的试剂或试剂，包括校准品或质控品</w:t>
            </w:r>
          </w:p>
          <w:p w14:paraId="2C67506F"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未能理解或响应血糖仪输出</w:t>
            </w:r>
          </w:p>
          <w:p w14:paraId="12858D71"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血糖仪维护或清洁错误</w:t>
            </w:r>
            <w:proofErr w:type="spellEnd"/>
          </w:p>
          <w:p w14:paraId="288FD6BC"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校准错误，或未能按照标签说明使用</w:t>
            </w:r>
            <w:proofErr w:type="gramStart"/>
            <w:r w:rsidRPr="00AC2BA5">
              <w:rPr>
                <w:rFonts w:ascii="Times New Roman" w:eastAsia="宋体" w:hAnsi="Times New Roman" w:cs="宋体"/>
                <w:b/>
                <w:sz w:val="21"/>
                <w:lang w:eastAsia="zh-CN"/>
              </w:rPr>
              <w:t>质控品校准</w:t>
            </w:r>
            <w:proofErr w:type="gramEnd"/>
            <w:r w:rsidRPr="00AC2BA5">
              <w:rPr>
                <w:rFonts w:ascii="Times New Roman" w:eastAsia="宋体" w:hAnsi="Times New Roman" w:cs="宋体"/>
                <w:b/>
                <w:sz w:val="21"/>
                <w:lang w:eastAsia="zh-CN"/>
              </w:rPr>
              <w:t>或调整血糖仪或检查性能</w:t>
            </w:r>
          </w:p>
          <w:p w14:paraId="312DA3FE"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存储数据保存或使用不正确</w:t>
            </w:r>
          </w:p>
          <w:p w14:paraId="3EF91BDE"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血糖仪、校准品、</w:t>
            </w:r>
            <w:proofErr w:type="gramStart"/>
            <w:r w:rsidRPr="00AC2BA5">
              <w:rPr>
                <w:rFonts w:ascii="Times New Roman" w:eastAsia="宋体" w:hAnsi="Times New Roman" w:cs="宋体"/>
                <w:b/>
                <w:sz w:val="21"/>
                <w:lang w:eastAsia="zh-CN"/>
              </w:rPr>
              <w:t>质控品或</w:t>
            </w:r>
            <w:proofErr w:type="gramEnd"/>
            <w:r w:rsidRPr="00AC2BA5">
              <w:rPr>
                <w:rFonts w:ascii="Times New Roman" w:eastAsia="宋体" w:hAnsi="Times New Roman" w:cs="宋体"/>
                <w:b/>
                <w:sz w:val="21"/>
                <w:lang w:eastAsia="zh-CN"/>
              </w:rPr>
              <w:t>试纸的储存或搬运不当，或血糖</w:t>
            </w:r>
            <w:proofErr w:type="gramStart"/>
            <w:r w:rsidRPr="00AC2BA5">
              <w:rPr>
                <w:rFonts w:ascii="Times New Roman" w:eastAsia="宋体" w:hAnsi="Times New Roman" w:cs="宋体"/>
                <w:b/>
                <w:sz w:val="21"/>
                <w:lang w:eastAsia="zh-CN"/>
              </w:rPr>
              <w:t>仪维护</w:t>
            </w:r>
            <w:proofErr w:type="gramEnd"/>
            <w:r w:rsidRPr="00AC2BA5">
              <w:rPr>
                <w:rFonts w:ascii="Times New Roman" w:eastAsia="宋体" w:hAnsi="Times New Roman" w:cs="宋体"/>
                <w:b/>
                <w:sz w:val="21"/>
                <w:lang w:eastAsia="zh-CN"/>
              </w:rPr>
              <w:t>不当</w:t>
            </w:r>
          </w:p>
          <w:p w14:paraId="75AEF042"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参数意外改变（例如测量单位）</w:t>
            </w:r>
          </w:p>
          <w:p w14:paraId="5344014C"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需要时未能联系医生</w:t>
            </w:r>
            <w:proofErr w:type="spellEnd"/>
          </w:p>
          <w:p w14:paraId="72F29B0C" w14:textId="77777777" w:rsidR="000460CB" w:rsidRPr="00AC2BA5" w:rsidRDefault="00B8550C" w:rsidP="000102EB">
            <w:pPr>
              <w:pStyle w:val="a4"/>
              <w:numPr>
                <w:ilvl w:val="0"/>
                <w:numId w:val="18"/>
              </w:numPr>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使用的试纸尚未确认是否可用于血糖仪</w:t>
            </w:r>
          </w:p>
        </w:tc>
      </w:tr>
      <w:tr w:rsidR="000460CB" w:rsidRPr="00AC2BA5" w14:paraId="4AA83D73" w14:textId="77777777" w:rsidTr="00A951CF">
        <w:tc>
          <w:tcPr>
            <w:tcW w:w="952" w:type="pct"/>
            <w:tcBorders>
              <w:top w:val="single" w:sz="7" w:space="0" w:color="000000"/>
              <w:left w:val="single" w:sz="13" w:space="0" w:color="000000"/>
              <w:bottom w:val="single" w:sz="13" w:space="0" w:color="000000"/>
              <w:right w:val="single" w:sz="7" w:space="0" w:color="000000"/>
            </w:tcBorders>
          </w:tcPr>
          <w:p w14:paraId="1F570772"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试剂</w:t>
            </w:r>
            <w:proofErr w:type="spellEnd"/>
          </w:p>
        </w:tc>
        <w:tc>
          <w:tcPr>
            <w:tcW w:w="4048" w:type="pct"/>
            <w:tcBorders>
              <w:top w:val="single" w:sz="7" w:space="0" w:color="000000"/>
              <w:left w:val="single" w:sz="7" w:space="0" w:color="000000"/>
              <w:bottom w:val="single" w:sz="13" w:space="0" w:color="000000"/>
              <w:right w:val="single" w:sz="13" w:space="0" w:color="000000"/>
            </w:tcBorders>
          </w:tcPr>
          <w:p w14:paraId="68C55935" w14:textId="77777777" w:rsidR="000460CB" w:rsidRPr="00AC2BA5" w:rsidRDefault="00B8550C" w:rsidP="000102EB">
            <w:pPr>
              <w:pStyle w:val="a4"/>
              <w:numPr>
                <w:ilvl w:val="0"/>
                <w:numId w:val="19"/>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过期试纸或试剂</w:t>
            </w:r>
            <w:proofErr w:type="spellEnd"/>
          </w:p>
          <w:p w14:paraId="75FC3A51" w14:textId="77777777" w:rsidR="000460CB" w:rsidRPr="00AC2BA5" w:rsidRDefault="00B8550C" w:rsidP="000102EB">
            <w:pPr>
              <w:pStyle w:val="a4"/>
              <w:numPr>
                <w:ilvl w:val="0"/>
                <w:numId w:val="19"/>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试纸损坏或被污染</w:t>
            </w:r>
            <w:proofErr w:type="spellEnd"/>
          </w:p>
          <w:p w14:paraId="68561D20" w14:textId="77777777" w:rsidR="000460CB" w:rsidRPr="00AC2BA5" w:rsidRDefault="00B8550C" w:rsidP="000102EB">
            <w:pPr>
              <w:pStyle w:val="a4"/>
              <w:numPr>
                <w:ilvl w:val="0"/>
                <w:numId w:val="19"/>
              </w:numPr>
              <w:tabs>
                <w:tab w:val="left" w:pos="459"/>
              </w:tabs>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试纸、校准品或质控品性能受损</w:t>
            </w:r>
          </w:p>
        </w:tc>
      </w:tr>
    </w:tbl>
    <w:p w14:paraId="334A430A"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42FA9D71" w14:textId="77777777" w:rsidR="00276A23" w:rsidRPr="00AC2BA5" w:rsidRDefault="00276A23"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tbl>
      <w:tblPr>
        <w:tblStyle w:val="TableNormal"/>
        <w:tblW w:w="5000" w:type="pct"/>
        <w:tblCellMar>
          <w:left w:w="108" w:type="dxa"/>
          <w:right w:w="108" w:type="dxa"/>
        </w:tblCellMar>
        <w:tblLook w:val="01E0" w:firstRow="1" w:lastRow="1" w:firstColumn="1" w:lastColumn="1" w:noHBand="0" w:noVBand="0"/>
      </w:tblPr>
      <w:tblGrid>
        <w:gridCol w:w="1768"/>
        <w:gridCol w:w="7519"/>
      </w:tblGrid>
      <w:tr w:rsidR="000460CB" w:rsidRPr="00AC2BA5" w14:paraId="61F6ECD4" w14:textId="77777777" w:rsidTr="00276A23">
        <w:tc>
          <w:tcPr>
            <w:tcW w:w="952" w:type="pct"/>
            <w:tcBorders>
              <w:top w:val="single" w:sz="13" w:space="0" w:color="000000"/>
              <w:left w:val="single" w:sz="13" w:space="0" w:color="000000"/>
              <w:bottom w:val="single" w:sz="7" w:space="0" w:color="000000"/>
              <w:right w:val="single" w:sz="7" w:space="0" w:color="000000"/>
            </w:tcBorders>
          </w:tcPr>
          <w:p w14:paraId="2376C47B" w14:textId="77777777" w:rsidR="000460CB" w:rsidRPr="00AC2BA5" w:rsidRDefault="000460CB" w:rsidP="000102EB">
            <w:pPr>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4048" w:type="pct"/>
            <w:tcBorders>
              <w:top w:val="single" w:sz="13" w:space="0" w:color="000000"/>
              <w:left w:val="single" w:sz="7" w:space="0" w:color="000000"/>
              <w:bottom w:val="single" w:sz="7" w:space="0" w:color="000000"/>
              <w:right w:val="single" w:sz="13" w:space="0" w:color="000000"/>
            </w:tcBorders>
          </w:tcPr>
          <w:p w14:paraId="1E5C60A7" w14:textId="77777777" w:rsidR="000460CB" w:rsidRPr="00AC2BA5" w:rsidRDefault="00B8550C" w:rsidP="000102EB">
            <w:pPr>
              <w:pStyle w:val="a4"/>
              <w:numPr>
                <w:ilvl w:val="0"/>
                <w:numId w:val="20"/>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制造不正确；产品不符合质量标准</w:t>
            </w:r>
          </w:p>
          <w:p w14:paraId="58F4A276" w14:textId="77777777" w:rsidR="000460CB" w:rsidRPr="00AC2BA5" w:rsidRDefault="00B8550C" w:rsidP="000102EB">
            <w:pPr>
              <w:pStyle w:val="a4"/>
              <w:numPr>
                <w:ilvl w:val="0"/>
                <w:numId w:val="20"/>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试纸尺寸不正确</w:t>
            </w:r>
            <w:proofErr w:type="spellEnd"/>
          </w:p>
          <w:p w14:paraId="3C0960C2" w14:textId="77777777" w:rsidR="000460CB" w:rsidRPr="00AC2BA5" w:rsidRDefault="00B8550C" w:rsidP="000102EB">
            <w:pPr>
              <w:pStyle w:val="a4"/>
              <w:numPr>
                <w:ilvl w:val="0"/>
                <w:numId w:val="20"/>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试纸上的化学反应（例如：还原物质）受到干扰</w:t>
            </w:r>
          </w:p>
          <w:p w14:paraId="4ED1CECA" w14:textId="77777777" w:rsidR="000460CB" w:rsidRPr="00AC2BA5" w:rsidRDefault="00B8550C" w:rsidP="000102EB">
            <w:pPr>
              <w:pStyle w:val="a4"/>
              <w:numPr>
                <w:ilvl w:val="0"/>
                <w:numId w:val="20"/>
              </w:numPr>
              <w:tabs>
                <w:tab w:val="left" w:pos="459"/>
              </w:tabs>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试纸或其他试剂的容器设计不当；未能防止变质；用于保持试纸干燥的干燥剂失效</w:t>
            </w:r>
          </w:p>
        </w:tc>
      </w:tr>
      <w:tr w:rsidR="000460CB" w:rsidRPr="00AC2BA5" w14:paraId="6CDDCF84" w14:textId="77777777" w:rsidTr="00276A23">
        <w:tc>
          <w:tcPr>
            <w:tcW w:w="952" w:type="pct"/>
            <w:tcBorders>
              <w:top w:val="single" w:sz="7" w:space="0" w:color="000000"/>
              <w:left w:val="single" w:sz="13" w:space="0" w:color="000000"/>
              <w:bottom w:val="single" w:sz="7" w:space="0" w:color="000000"/>
              <w:right w:val="single" w:sz="7" w:space="0" w:color="000000"/>
            </w:tcBorders>
          </w:tcPr>
          <w:p w14:paraId="58E86BDD"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环境</w:t>
            </w:r>
            <w:proofErr w:type="spellEnd"/>
          </w:p>
        </w:tc>
        <w:tc>
          <w:tcPr>
            <w:tcW w:w="4048" w:type="pct"/>
            <w:tcBorders>
              <w:top w:val="single" w:sz="7" w:space="0" w:color="000000"/>
              <w:left w:val="single" w:sz="7" w:space="0" w:color="000000"/>
              <w:bottom w:val="single" w:sz="7" w:space="0" w:color="000000"/>
              <w:right w:val="single" w:sz="13" w:space="0" w:color="000000"/>
            </w:tcBorders>
          </w:tcPr>
          <w:p w14:paraId="677ED7DF" w14:textId="77777777" w:rsidR="000460CB" w:rsidRPr="00AC2BA5" w:rsidRDefault="00B8550C" w:rsidP="000102EB">
            <w:pPr>
              <w:pStyle w:val="a4"/>
              <w:numPr>
                <w:ilvl w:val="0"/>
                <w:numId w:val="21"/>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器械反应</w:t>
            </w:r>
            <w:proofErr w:type="spellEnd"/>
          </w:p>
          <w:p w14:paraId="082C7702" w14:textId="77777777" w:rsidR="000460CB"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温度</w:t>
            </w:r>
            <w:proofErr w:type="spellEnd"/>
          </w:p>
          <w:p w14:paraId="2CDE37E8" w14:textId="77777777" w:rsidR="000460CB"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湿度</w:t>
            </w:r>
            <w:proofErr w:type="spellEnd"/>
          </w:p>
          <w:p w14:paraId="64139140" w14:textId="77777777" w:rsidR="000460CB"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海拔高度；高压氧治疗条件</w:t>
            </w:r>
          </w:p>
          <w:p w14:paraId="5DB83983" w14:textId="77777777" w:rsidR="000460CB"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电磁辐射</w:t>
            </w:r>
            <w:proofErr w:type="spellEnd"/>
          </w:p>
          <w:p w14:paraId="7F833AB1" w14:textId="77777777" w:rsidR="0050117E"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可见光；阳光</w:t>
            </w:r>
            <w:proofErr w:type="spellEnd"/>
          </w:p>
          <w:p w14:paraId="686F8BEA" w14:textId="77777777" w:rsidR="000460CB" w:rsidRPr="00AC2BA5" w:rsidRDefault="00B8550C" w:rsidP="000102EB">
            <w:pPr>
              <w:pStyle w:val="a4"/>
              <w:numPr>
                <w:ilvl w:val="0"/>
                <w:numId w:val="21"/>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人为因素</w:t>
            </w:r>
            <w:proofErr w:type="spellEnd"/>
          </w:p>
          <w:p w14:paraId="1A577457" w14:textId="77777777" w:rsidR="000460CB"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照明，血糖仪表面眩光</w:t>
            </w:r>
            <w:proofErr w:type="spellEnd"/>
          </w:p>
          <w:p w14:paraId="2816E966" w14:textId="77777777" w:rsidR="000460CB"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干扰，视觉和听觉</w:t>
            </w:r>
            <w:proofErr w:type="spellEnd"/>
          </w:p>
          <w:p w14:paraId="1204C5F3" w14:textId="77777777" w:rsidR="000460CB"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压力条件</w:t>
            </w:r>
            <w:proofErr w:type="spellEnd"/>
          </w:p>
          <w:p w14:paraId="5C2AB139" w14:textId="77777777" w:rsidR="000460CB" w:rsidRPr="00AC2BA5" w:rsidRDefault="00B8550C" w:rsidP="000102EB">
            <w:pPr>
              <w:pStyle w:val="a4"/>
              <w:numPr>
                <w:ilvl w:val="0"/>
                <w:numId w:val="21"/>
              </w:numPr>
              <w:adjustRightInd w:val="0"/>
              <w:snapToGrid w:val="0"/>
              <w:spacing w:beforeLines="15" w:before="36" w:line="276" w:lineRule="auto"/>
              <w:ind w:left="642"/>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手动灵活性有限</w:t>
            </w:r>
            <w:proofErr w:type="spellEnd"/>
          </w:p>
        </w:tc>
      </w:tr>
      <w:tr w:rsidR="000460CB" w:rsidRPr="00AC2BA5" w14:paraId="38F64406" w14:textId="77777777" w:rsidTr="00276A23">
        <w:tc>
          <w:tcPr>
            <w:tcW w:w="952" w:type="pct"/>
            <w:tcBorders>
              <w:top w:val="single" w:sz="7" w:space="0" w:color="000000"/>
              <w:left w:val="single" w:sz="13" w:space="0" w:color="000000"/>
              <w:bottom w:val="single" w:sz="7" w:space="0" w:color="000000"/>
              <w:right w:val="single" w:sz="7" w:space="0" w:color="000000"/>
            </w:tcBorders>
          </w:tcPr>
          <w:p w14:paraId="146EE5CE"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软件</w:t>
            </w:r>
            <w:proofErr w:type="spellEnd"/>
          </w:p>
        </w:tc>
        <w:tc>
          <w:tcPr>
            <w:tcW w:w="4048" w:type="pct"/>
            <w:tcBorders>
              <w:top w:val="single" w:sz="7" w:space="0" w:color="000000"/>
              <w:left w:val="single" w:sz="7" w:space="0" w:color="000000"/>
              <w:bottom w:val="single" w:sz="7" w:space="0" w:color="000000"/>
              <w:right w:val="single" w:sz="13" w:space="0" w:color="000000"/>
            </w:tcBorders>
          </w:tcPr>
          <w:p w14:paraId="7D72C435" w14:textId="77777777" w:rsidR="000460CB" w:rsidRPr="00AC2BA5" w:rsidRDefault="00B8550C" w:rsidP="000102EB">
            <w:pPr>
              <w:pStyle w:val="a4"/>
              <w:numPr>
                <w:ilvl w:val="0"/>
                <w:numId w:val="22"/>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混乱或模糊的用户提示和反馈</w:t>
            </w:r>
          </w:p>
          <w:p w14:paraId="36DE242F" w14:textId="77777777" w:rsidR="000460CB" w:rsidRPr="00AC2BA5" w:rsidRDefault="00B8550C" w:rsidP="000102EB">
            <w:pPr>
              <w:pStyle w:val="a4"/>
              <w:numPr>
                <w:ilvl w:val="0"/>
                <w:numId w:val="22"/>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不正确的数学算法</w:t>
            </w:r>
            <w:proofErr w:type="spellEnd"/>
          </w:p>
          <w:p w14:paraId="031EED87" w14:textId="77777777" w:rsidR="000460CB" w:rsidRPr="00AC2BA5" w:rsidRDefault="00B8550C" w:rsidP="000102EB">
            <w:pPr>
              <w:pStyle w:val="a4"/>
              <w:numPr>
                <w:ilvl w:val="0"/>
                <w:numId w:val="22"/>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未检出或未识别的信号错误</w:t>
            </w:r>
          </w:p>
          <w:p w14:paraId="548B0E56" w14:textId="77777777" w:rsidR="000460CB" w:rsidRPr="00AC2BA5" w:rsidRDefault="00B8550C" w:rsidP="000102EB">
            <w:pPr>
              <w:pStyle w:val="a4"/>
              <w:numPr>
                <w:ilvl w:val="0"/>
                <w:numId w:val="22"/>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定时失效</w:t>
            </w:r>
            <w:proofErr w:type="spellEnd"/>
          </w:p>
          <w:p w14:paraId="75B1DF38" w14:textId="77777777" w:rsidR="000460CB" w:rsidRPr="00AC2BA5" w:rsidRDefault="00B8550C" w:rsidP="000102EB">
            <w:pPr>
              <w:pStyle w:val="a4"/>
              <w:numPr>
                <w:ilvl w:val="0"/>
                <w:numId w:val="22"/>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检测结果在内存中的存储不正确，包括结果与正确患者或检测时间的匹配</w:t>
            </w:r>
          </w:p>
          <w:p w14:paraId="43CD605A" w14:textId="77777777" w:rsidR="000460CB" w:rsidRPr="00AC2BA5" w:rsidRDefault="00B8550C" w:rsidP="000102EB">
            <w:pPr>
              <w:pStyle w:val="a4"/>
              <w:numPr>
                <w:ilvl w:val="0"/>
                <w:numId w:val="22"/>
              </w:numPr>
              <w:tabs>
                <w:tab w:val="left" w:pos="459"/>
              </w:tabs>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其他软件故障</w:t>
            </w:r>
            <w:proofErr w:type="spellEnd"/>
          </w:p>
        </w:tc>
      </w:tr>
      <w:tr w:rsidR="000460CB" w:rsidRPr="00AC2BA5" w14:paraId="183C8C0B" w14:textId="77777777" w:rsidTr="00276A23">
        <w:tc>
          <w:tcPr>
            <w:tcW w:w="952" w:type="pct"/>
            <w:tcBorders>
              <w:top w:val="single" w:sz="7" w:space="0" w:color="000000"/>
              <w:left w:val="single" w:sz="13" w:space="0" w:color="000000"/>
              <w:bottom w:val="single" w:sz="13" w:space="0" w:color="000000"/>
              <w:right w:val="single" w:sz="7" w:space="0" w:color="000000"/>
            </w:tcBorders>
          </w:tcPr>
          <w:p w14:paraId="5A9C6029"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硬件</w:t>
            </w:r>
            <w:proofErr w:type="spellEnd"/>
          </w:p>
        </w:tc>
        <w:tc>
          <w:tcPr>
            <w:tcW w:w="4048" w:type="pct"/>
            <w:tcBorders>
              <w:top w:val="single" w:sz="7" w:space="0" w:color="000000"/>
              <w:left w:val="single" w:sz="7" w:space="0" w:color="000000"/>
              <w:bottom w:val="single" w:sz="13" w:space="0" w:color="000000"/>
              <w:right w:val="single" w:sz="13" w:space="0" w:color="000000"/>
            </w:tcBorders>
          </w:tcPr>
          <w:p w14:paraId="3C21F7C3" w14:textId="77777777" w:rsidR="000460CB" w:rsidRPr="00AC2BA5" w:rsidRDefault="00B8550C" w:rsidP="000102EB">
            <w:pPr>
              <w:pStyle w:val="a4"/>
              <w:numPr>
                <w:ilvl w:val="0"/>
                <w:numId w:val="23"/>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电子故障</w:t>
            </w:r>
            <w:proofErr w:type="spellEnd"/>
          </w:p>
          <w:p w14:paraId="7E2AB8C5" w14:textId="77777777" w:rsidR="000460CB" w:rsidRPr="00AC2BA5" w:rsidRDefault="00B8550C" w:rsidP="000102EB">
            <w:pPr>
              <w:pStyle w:val="a4"/>
              <w:numPr>
                <w:ilvl w:val="0"/>
                <w:numId w:val="23"/>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物理创伤或振动</w:t>
            </w:r>
            <w:proofErr w:type="spellEnd"/>
          </w:p>
          <w:p w14:paraId="47FF61F7" w14:textId="77777777" w:rsidR="000460CB" w:rsidRPr="00AC2BA5" w:rsidRDefault="00B8550C" w:rsidP="000102EB">
            <w:pPr>
              <w:pStyle w:val="a4"/>
              <w:numPr>
                <w:ilvl w:val="0"/>
                <w:numId w:val="23"/>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试纸尺寸公差不正确（第三方制造商）导致器械损坏</w:t>
            </w:r>
          </w:p>
          <w:p w14:paraId="2B5E1913" w14:textId="77777777" w:rsidR="000460CB" w:rsidRPr="00AC2BA5" w:rsidRDefault="00B8550C" w:rsidP="000102EB">
            <w:pPr>
              <w:pStyle w:val="a4"/>
              <w:numPr>
                <w:ilvl w:val="0"/>
                <w:numId w:val="23"/>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静电放电</w:t>
            </w:r>
            <w:proofErr w:type="spellEnd"/>
          </w:p>
          <w:p w14:paraId="53F4A74C" w14:textId="77777777" w:rsidR="000460CB" w:rsidRPr="00AC2BA5" w:rsidRDefault="00B8550C" w:rsidP="000102EB">
            <w:pPr>
              <w:pStyle w:val="a4"/>
              <w:numPr>
                <w:ilvl w:val="0"/>
                <w:numId w:val="23"/>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电磁</w:t>
            </w:r>
            <w:proofErr w:type="spellEnd"/>
            <w:r w:rsidRPr="00AC2BA5">
              <w:rPr>
                <w:rFonts w:ascii="Times New Roman" w:eastAsia="宋体" w:hAnsi="Times New Roman" w:cs="宋体"/>
                <w:b/>
                <w:sz w:val="21"/>
              </w:rPr>
              <w:t>/</w:t>
            </w:r>
            <w:proofErr w:type="spellStart"/>
            <w:r w:rsidRPr="00AC2BA5">
              <w:rPr>
                <w:rFonts w:ascii="Times New Roman" w:eastAsia="宋体" w:hAnsi="Times New Roman" w:cs="宋体"/>
                <w:b/>
                <w:sz w:val="21"/>
              </w:rPr>
              <w:t>射频干扰</w:t>
            </w:r>
            <w:proofErr w:type="spellEnd"/>
          </w:p>
          <w:p w14:paraId="6BC2EDB1" w14:textId="77777777" w:rsidR="000460CB" w:rsidRPr="00AC2BA5" w:rsidRDefault="00B8550C" w:rsidP="000102EB">
            <w:pPr>
              <w:pStyle w:val="a4"/>
              <w:numPr>
                <w:ilvl w:val="0"/>
                <w:numId w:val="23"/>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电池可靠性、寿命和更换</w:t>
            </w:r>
          </w:p>
          <w:p w14:paraId="30258C66" w14:textId="77777777" w:rsidR="000460CB" w:rsidRPr="00AC2BA5" w:rsidRDefault="00B8550C" w:rsidP="000102EB">
            <w:pPr>
              <w:pStyle w:val="a4"/>
              <w:numPr>
                <w:ilvl w:val="0"/>
                <w:numId w:val="23"/>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组件失效</w:t>
            </w:r>
            <w:proofErr w:type="spellEnd"/>
          </w:p>
          <w:p w14:paraId="2B87EA84" w14:textId="77777777" w:rsidR="000460CB" w:rsidRPr="00AC2BA5" w:rsidRDefault="00B8550C" w:rsidP="000102EB">
            <w:pPr>
              <w:pStyle w:val="a4"/>
              <w:numPr>
                <w:ilvl w:val="0"/>
                <w:numId w:val="23"/>
              </w:numPr>
              <w:tabs>
                <w:tab w:val="left" w:pos="459"/>
              </w:tabs>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制造不正确</w:t>
            </w:r>
            <w:proofErr w:type="spellEnd"/>
          </w:p>
        </w:tc>
      </w:tr>
    </w:tbl>
    <w:p w14:paraId="65D53D6A" w14:textId="77777777" w:rsidR="0050117E" w:rsidRPr="00AC2BA5" w:rsidRDefault="0050117E" w:rsidP="000102EB">
      <w:pPr>
        <w:adjustRightInd w:val="0"/>
        <w:snapToGrid w:val="0"/>
        <w:spacing w:beforeLines="50" w:before="120" w:line="300" w:lineRule="auto"/>
        <w:jc w:val="both"/>
        <w:rPr>
          <w:rFonts w:ascii="Times New Roman" w:eastAsia="宋体" w:hAnsi="Times New Roman" w:cs="Times New Roman"/>
          <w:snapToGrid w:val="0"/>
          <w:sz w:val="24"/>
          <w:szCs w:val="24"/>
        </w:rPr>
      </w:pPr>
    </w:p>
    <w:p w14:paraId="40A1E6EC" w14:textId="77777777" w:rsidR="00276A23" w:rsidRPr="00AC2BA5" w:rsidRDefault="00276A23" w:rsidP="000102EB">
      <w:pPr>
        <w:rPr>
          <w:rFonts w:ascii="Times New Roman" w:eastAsia="宋体" w:hAnsi="Times New Roman" w:cs="Times New Roman"/>
          <w:snapToGrid w:val="0"/>
          <w:sz w:val="24"/>
          <w:szCs w:val="24"/>
        </w:rPr>
      </w:pPr>
      <w:r w:rsidRPr="00AC2BA5">
        <w:rPr>
          <w:rFonts w:ascii="Times New Roman" w:eastAsia="宋体" w:hAnsi="Times New Roman" w:cs="宋体"/>
          <w:sz w:val="24"/>
        </w:rPr>
        <w:br w:type="page"/>
      </w:r>
    </w:p>
    <w:tbl>
      <w:tblPr>
        <w:tblStyle w:val="TableNormal"/>
        <w:tblW w:w="5000" w:type="pct"/>
        <w:tblCellMar>
          <w:left w:w="108" w:type="dxa"/>
          <w:right w:w="108" w:type="dxa"/>
        </w:tblCellMar>
        <w:tblLook w:val="01E0" w:firstRow="1" w:lastRow="1" w:firstColumn="1" w:lastColumn="1" w:noHBand="0" w:noVBand="0"/>
      </w:tblPr>
      <w:tblGrid>
        <w:gridCol w:w="1768"/>
        <w:gridCol w:w="7519"/>
      </w:tblGrid>
      <w:tr w:rsidR="000460CB" w:rsidRPr="00AC2BA5" w14:paraId="21543F39" w14:textId="77777777" w:rsidTr="00276A23">
        <w:tc>
          <w:tcPr>
            <w:tcW w:w="952" w:type="pct"/>
            <w:tcBorders>
              <w:top w:val="single" w:sz="13" w:space="0" w:color="000000"/>
              <w:left w:val="single" w:sz="13" w:space="0" w:color="000000"/>
              <w:bottom w:val="single" w:sz="7" w:space="0" w:color="000000"/>
              <w:right w:val="single" w:sz="7" w:space="0" w:color="000000"/>
            </w:tcBorders>
          </w:tcPr>
          <w:p w14:paraId="1E24B64A"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lastRenderedPageBreak/>
              <w:t>系统</w:t>
            </w:r>
            <w:proofErr w:type="spellEnd"/>
          </w:p>
        </w:tc>
        <w:tc>
          <w:tcPr>
            <w:tcW w:w="4048" w:type="pct"/>
            <w:tcBorders>
              <w:top w:val="single" w:sz="13" w:space="0" w:color="000000"/>
              <w:left w:val="single" w:sz="7" w:space="0" w:color="000000"/>
              <w:bottom w:val="single" w:sz="7" w:space="0" w:color="000000"/>
              <w:right w:val="single" w:sz="13" w:space="0" w:color="000000"/>
            </w:tcBorders>
          </w:tcPr>
          <w:p w14:paraId="01720476" w14:textId="77777777" w:rsidR="000460CB" w:rsidRPr="00AC2BA5" w:rsidRDefault="00B8550C" w:rsidP="000102EB">
            <w:pPr>
              <w:pStyle w:val="a4"/>
              <w:numPr>
                <w:ilvl w:val="0"/>
                <w:numId w:val="24"/>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物理创伤或振动</w:t>
            </w:r>
            <w:proofErr w:type="spellEnd"/>
          </w:p>
          <w:p w14:paraId="0E21D29A" w14:textId="77777777" w:rsidR="000460CB" w:rsidRPr="00AC2BA5" w:rsidRDefault="00B8550C" w:rsidP="000102EB">
            <w:pPr>
              <w:pStyle w:val="a4"/>
              <w:numPr>
                <w:ilvl w:val="0"/>
                <w:numId w:val="24"/>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校准</w:t>
            </w:r>
            <w:r w:rsidRPr="00AC2BA5">
              <w:rPr>
                <w:rFonts w:ascii="Times New Roman" w:eastAsia="宋体" w:hAnsi="Times New Roman" w:cs="宋体"/>
                <w:b/>
                <w:sz w:val="21"/>
                <w:lang w:eastAsia="zh-CN"/>
              </w:rPr>
              <w:t>/</w:t>
            </w:r>
            <w:r w:rsidRPr="00AC2BA5">
              <w:rPr>
                <w:rFonts w:ascii="Times New Roman" w:eastAsia="宋体" w:hAnsi="Times New Roman" w:cs="宋体"/>
                <w:b/>
                <w:sz w:val="21"/>
                <w:lang w:eastAsia="zh-CN"/>
              </w:rPr>
              <w:t>调整不正确（试纸批次之间）</w:t>
            </w:r>
          </w:p>
          <w:p w14:paraId="4299061C" w14:textId="77777777" w:rsidR="000460CB" w:rsidRPr="00AC2BA5" w:rsidRDefault="00B8550C" w:rsidP="000102EB">
            <w:pPr>
              <w:pStyle w:val="a4"/>
              <w:numPr>
                <w:ilvl w:val="0"/>
                <w:numId w:val="24"/>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校准失败、干扰、不稳定或在超出建议的稳定期时使用</w:t>
            </w:r>
          </w:p>
          <w:p w14:paraId="038C2CF1" w14:textId="77777777" w:rsidR="000460CB" w:rsidRPr="00AC2BA5" w:rsidRDefault="00B8550C" w:rsidP="000102EB">
            <w:pPr>
              <w:pStyle w:val="a4"/>
              <w:numPr>
                <w:ilvl w:val="0"/>
                <w:numId w:val="24"/>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标签不适合预期用户</w:t>
            </w:r>
            <w:proofErr w:type="spellEnd"/>
          </w:p>
          <w:p w14:paraId="33A4BD5E" w14:textId="77777777" w:rsidR="000460CB" w:rsidRPr="00AC2BA5" w:rsidRDefault="00B8550C" w:rsidP="000102EB">
            <w:pPr>
              <w:pStyle w:val="a4"/>
              <w:numPr>
                <w:ilvl w:val="0"/>
                <w:numId w:val="24"/>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血糖仪或操作复杂性不适合预期用户</w:t>
            </w:r>
          </w:p>
          <w:p w14:paraId="5201923E" w14:textId="77777777" w:rsidR="000460CB" w:rsidRPr="00AC2BA5" w:rsidRDefault="00B8550C" w:rsidP="000102EB">
            <w:pPr>
              <w:pStyle w:val="a4"/>
              <w:numPr>
                <w:ilvl w:val="0"/>
                <w:numId w:val="24"/>
              </w:numPr>
              <w:tabs>
                <w:tab w:val="left" w:pos="459"/>
              </w:tabs>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b/>
                <w:sz w:val="21"/>
              </w:rPr>
              <w:t>培训不充分</w:t>
            </w:r>
            <w:proofErr w:type="spellEnd"/>
          </w:p>
        </w:tc>
      </w:tr>
      <w:tr w:rsidR="000460CB" w:rsidRPr="00AC2BA5" w14:paraId="4C70DAEC" w14:textId="77777777" w:rsidTr="00276A23">
        <w:tc>
          <w:tcPr>
            <w:tcW w:w="952" w:type="pct"/>
            <w:tcBorders>
              <w:top w:val="single" w:sz="7" w:space="0" w:color="000000"/>
              <w:left w:val="single" w:sz="13" w:space="0" w:color="000000"/>
              <w:bottom w:val="single" w:sz="13" w:space="0" w:color="000000"/>
              <w:right w:val="single" w:sz="7" w:space="0" w:color="000000"/>
            </w:tcBorders>
          </w:tcPr>
          <w:p w14:paraId="380A3A5C" w14:textId="77777777" w:rsidR="000460CB" w:rsidRPr="00AC2BA5" w:rsidRDefault="00B8550C" w:rsidP="000102EB">
            <w:pPr>
              <w:pStyle w:val="TableParagraph"/>
              <w:adjustRightInd w:val="0"/>
              <w:snapToGrid w:val="0"/>
              <w:spacing w:beforeLines="15" w:before="36" w:line="276" w:lineRule="auto"/>
              <w:jc w:val="both"/>
              <w:rPr>
                <w:rFonts w:ascii="Times New Roman" w:eastAsia="Times New Roman" w:hAnsi="Times New Roman" w:cs="Times New Roman"/>
                <w:snapToGrid w:val="0"/>
                <w:sz w:val="21"/>
                <w:szCs w:val="21"/>
              </w:rPr>
            </w:pPr>
            <w:proofErr w:type="spellStart"/>
            <w:r w:rsidRPr="00AC2BA5">
              <w:rPr>
                <w:rFonts w:ascii="Times New Roman" w:eastAsia="宋体" w:hAnsi="Times New Roman" w:cs="宋体"/>
                <w:sz w:val="21"/>
              </w:rPr>
              <w:t>临床</w:t>
            </w:r>
            <w:proofErr w:type="spellEnd"/>
          </w:p>
        </w:tc>
        <w:tc>
          <w:tcPr>
            <w:tcW w:w="4048" w:type="pct"/>
            <w:tcBorders>
              <w:top w:val="single" w:sz="7" w:space="0" w:color="000000"/>
              <w:left w:val="single" w:sz="7" w:space="0" w:color="000000"/>
              <w:bottom w:val="single" w:sz="13" w:space="0" w:color="000000"/>
              <w:right w:val="single" w:sz="13" w:space="0" w:color="000000"/>
            </w:tcBorders>
          </w:tcPr>
          <w:p w14:paraId="7B6DAE4A" w14:textId="77777777" w:rsidR="000460CB" w:rsidRPr="00AC2BA5" w:rsidRDefault="00B8550C" w:rsidP="000102EB">
            <w:pPr>
              <w:pStyle w:val="a4"/>
              <w:numPr>
                <w:ilvl w:val="0"/>
                <w:numId w:val="25"/>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rPr>
            </w:pPr>
            <w:proofErr w:type="spellStart"/>
            <w:r w:rsidRPr="00AC2BA5">
              <w:rPr>
                <w:rFonts w:ascii="Times New Roman" w:eastAsia="宋体" w:hAnsi="Times New Roman" w:cs="宋体"/>
                <w:b/>
                <w:sz w:val="21"/>
              </w:rPr>
              <w:t>内源性物质干扰</w:t>
            </w:r>
            <w:proofErr w:type="spellEnd"/>
          </w:p>
          <w:p w14:paraId="39C4490A" w14:textId="77777777" w:rsidR="000460CB" w:rsidRPr="00AC2BA5" w:rsidRDefault="00B8550C" w:rsidP="000102EB">
            <w:pPr>
              <w:pStyle w:val="a4"/>
              <w:numPr>
                <w:ilvl w:val="0"/>
                <w:numId w:val="25"/>
              </w:numPr>
              <w:tabs>
                <w:tab w:val="left" w:pos="459"/>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AC2BA5">
              <w:rPr>
                <w:rFonts w:ascii="Times New Roman" w:eastAsia="宋体" w:hAnsi="Times New Roman" w:cs="宋体"/>
                <w:b/>
                <w:sz w:val="21"/>
                <w:lang w:eastAsia="zh-CN"/>
              </w:rPr>
              <w:t>严重疾病（如脱水、缺氧、高血糖</w:t>
            </w:r>
            <w:r w:rsidRPr="00AC2BA5">
              <w:rPr>
                <w:rFonts w:ascii="Times New Roman" w:eastAsia="宋体" w:hAnsi="Times New Roman" w:cs="宋体"/>
                <w:b/>
                <w:sz w:val="21"/>
                <w:lang w:eastAsia="zh-CN"/>
              </w:rPr>
              <w:t>-</w:t>
            </w:r>
            <w:r w:rsidRPr="00AC2BA5">
              <w:rPr>
                <w:rFonts w:ascii="Times New Roman" w:eastAsia="宋体" w:hAnsi="Times New Roman" w:cs="宋体"/>
                <w:b/>
                <w:sz w:val="21"/>
                <w:lang w:eastAsia="zh-CN"/>
              </w:rPr>
              <w:t>高渗状态、低血压或休克、酮症酸中毒）</w:t>
            </w:r>
          </w:p>
          <w:p w14:paraId="3A32DDB9" w14:textId="77777777" w:rsidR="000460CB" w:rsidRPr="00AC2BA5" w:rsidRDefault="00B8550C" w:rsidP="000102EB">
            <w:pPr>
              <w:pStyle w:val="a4"/>
              <w:numPr>
                <w:ilvl w:val="0"/>
                <w:numId w:val="25"/>
              </w:numPr>
              <w:tabs>
                <w:tab w:val="left" w:pos="459"/>
              </w:tabs>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AC2BA5">
              <w:rPr>
                <w:rFonts w:ascii="Times New Roman" w:eastAsia="宋体" w:hAnsi="Times New Roman" w:cs="宋体"/>
                <w:b/>
                <w:sz w:val="21"/>
                <w:lang w:eastAsia="zh-CN"/>
              </w:rPr>
              <w:t>其他外源性物质（例如麦芽糖静脉注射液）的干扰</w:t>
            </w:r>
          </w:p>
        </w:tc>
      </w:tr>
    </w:tbl>
    <w:p w14:paraId="208B6BF9" w14:textId="77777777" w:rsidR="00276A23" w:rsidRPr="00AC2BA5" w:rsidRDefault="00276A23"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FB9F9F0" w14:textId="77777777" w:rsidR="00276A23" w:rsidRPr="00AC2BA5" w:rsidRDefault="00276A23" w:rsidP="000102EB">
      <w:pPr>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br w:type="page"/>
      </w:r>
    </w:p>
    <w:p w14:paraId="3CB634CB" w14:textId="01F48B16" w:rsidR="0050117E" w:rsidRPr="00AC2BA5" w:rsidRDefault="00B8550C" w:rsidP="000102EB">
      <w:pPr>
        <w:pStyle w:val="11"/>
        <w:rPr>
          <w:rFonts w:eastAsia="宋体"/>
          <w:lang w:eastAsia="zh-CN"/>
        </w:rPr>
      </w:pPr>
      <w:bookmarkStart w:id="41" w:name="_Toc91871191"/>
      <w:r w:rsidRPr="00AC2BA5">
        <w:rPr>
          <w:rFonts w:eastAsia="宋体" w:cs="宋体"/>
          <w:lang w:eastAsia="zh-CN"/>
        </w:rPr>
        <w:lastRenderedPageBreak/>
        <w:t>附录</w:t>
      </w:r>
      <w:r w:rsidRPr="00AC2BA5">
        <w:rPr>
          <w:rFonts w:eastAsia="宋体" w:cs="宋体"/>
          <w:lang w:eastAsia="zh-CN"/>
        </w:rPr>
        <w:t>2.</w:t>
      </w:r>
      <w:r w:rsidRPr="00AC2BA5">
        <w:rPr>
          <w:rFonts w:eastAsia="宋体" w:cs="宋体"/>
          <w:lang w:eastAsia="zh-CN"/>
        </w:rPr>
        <w:t>特殊</w:t>
      </w:r>
      <w:r w:rsidRPr="00AC2BA5">
        <w:rPr>
          <w:rFonts w:eastAsia="宋体" w:cs="宋体"/>
          <w:lang w:eastAsia="zh-CN"/>
        </w:rPr>
        <w:t>510</w:t>
      </w:r>
      <w:r w:rsidR="007E6307">
        <w:rPr>
          <w:rFonts w:eastAsia="宋体" w:cs="宋体"/>
          <w:lang w:eastAsia="zh-CN"/>
        </w:rPr>
        <w:t>(k)</w:t>
      </w:r>
      <w:r w:rsidRPr="00AC2BA5">
        <w:rPr>
          <w:rFonts w:eastAsia="宋体" w:cs="宋体"/>
          <w:lang w:eastAsia="zh-CN"/>
        </w:rPr>
        <w:t>与</w:t>
      </w:r>
      <w:r w:rsidRPr="00AC2BA5">
        <w:rPr>
          <w:rFonts w:eastAsia="宋体" w:cs="宋体"/>
          <w:lang w:eastAsia="zh-CN"/>
        </w:rPr>
        <w:t>SMBG</w:t>
      </w:r>
      <w:bookmarkEnd w:id="41"/>
    </w:p>
    <w:p w14:paraId="351429F6" w14:textId="2DD94E3F" w:rsidR="000460CB"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u w:val="single"/>
          <w:lang w:eastAsia="zh-CN"/>
        </w:rPr>
      </w:pPr>
      <w:r w:rsidRPr="00AC2BA5">
        <w:rPr>
          <w:rFonts w:ascii="Times New Roman" w:eastAsia="宋体" w:hAnsi="Times New Roman" w:cs="宋体"/>
          <w:b/>
          <w:sz w:val="24"/>
          <w:u w:val="single"/>
          <w:lang w:eastAsia="zh-CN"/>
        </w:rPr>
        <w:t>特殊</w:t>
      </w:r>
      <w:r w:rsidRPr="00AC2BA5">
        <w:rPr>
          <w:rFonts w:ascii="Times New Roman" w:eastAsia="宋体" w:hAnsi="Times New Roman" w:cs="宋体"/>
          <w:b/>
          <w:sz w:val="24"/>
          <w:u w:val="single"/>
          <w:lang w:eastAsia="zh-CN"/>
        </w:rPr>
        <w:t>510</w:t>
      </w:r>
      <w:r w:rsidR="007E6307">
        <w:rPr>
          <w:rFonts w:ascii="Times New Roman" w:eastAsia="宋体" w:hAnsi="Times New Roman" w:cs="宋体"/>
          <w:b/>
          <w:sz w:val="24"/>
          <w:u w:val="single"/>
          <w:lang w:eastAsia="zh-CN"/>
        </w:rPr>
        <w:t>(k)</w:t>
      </w:r>
      <w:r w:rsidRPr="00AC2BA5">
        <w:rPr>
          <w:rFonts w:ascii="Times New Roman" w:eastAsia="宋体" w:hAnsi="Times New Roman" w:cs="宋体"/>
          <w:b/>
          <w:sz w:val="24"/>
          <w:u w:val="single"/>
          <w:lang w:eastAsia="zh-CN"/>
        </w:rPr>
        <w:t>是什么？它如何应用于血糖仪申报？</w:t>
      </w:r>
    </w:p>
    <w:p w14:paraId="619A9084" w14:textId="4F6FDA1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特殊</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申报是制造商先前已获得批准的器械的某些修改的传统实质等同性证明方法的替代方法，</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认为，除其他</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内容要求之外，质量体系法规（</w:t>
      </w:r>
      <w:r w:rsidRPr="00AC2BA5">
        <w:rPr>
          <w:rFonts w:ascii="Times New Roman" w:eastAsia="宋体" w:hAnsi="Times New Roman" w:cs="宋体"/>
          <w:sz w:val="24"/>
          <w:lang w:eastAsia="zh-CN"/>
        </w:rPr>
        <w:t>QS reg</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参见</w:t>
      </w:r>
      <w:r w:rsidRPr="00AC2BA5">
        <w:rPr>
          <w:rFonts w:ascii="Times New Roman" w:eastAsia="宋体" w:hAnsi="Times New Roman" w:cs="宋体"/>
          <w:sz w:val="24"/>
          <w:lang w:eastAsia="zh-CN"/>
        </w:rPr>
        <w:t>CFR</w:t>
      </w:r>
      <w:r w:rsidRPr="00AC2BA5">
        <w:rPr>
          <w:rFonts w:ascii="Times New Roman" w:eastAsia="宋体" w:hAnsi="Times New Roman" w:cs="宋体"/>
          <w:sz w:val="24"/>
          <w:lang w:eastAsia="zh-CN"/>
        </w:rPr>
        <w:t>第</w:t>
      </w:r>
      <w:r w:rsidRPr="00AC2BA5">
        <w:rPr>
          <w:rFonts w:ascii="Times New Roman" w:eastAsia="宋体" w:hAnsi="Times New Roman" w:cs="宋体"/>
          <w:sz w:val="24"/>
          <w:lang w:eastAsia="zh-CN"/>
        </w:rPr>
        <w:t>21</w:t>
      </w:r>
      <w:r w:rsidRPr="00AC2BA5">
        <w:rPr>
          <w:rFonts w:ascii="Times New Roman" w:eastAsia="宋体" w:hAnsi="Times New Roman" w:cs="宋体"/>
          <w:sz w:val="24"/>
          <w:lang w:eastAsia="zh-CN"/>
        </w:rPr>
        <w:t>篇第</w:t>
      </w:r>
      <w:r w:rsidRPr="00AC2BA5">
        <w:rPr>
          <w:rFonts w:ascii="Times New Roman" w:eastAsia="宋体" w:hAnsi="Times New Roman" w:cs="宋体"/>
          <w:sz w:val="24"/>
          <w:lang w:eastAsia="zh-CN"/>
        </w:rPr>
        <w:t>820</w:t>
      </w:r>
      <w:r w:rsidRPr="00AC2BA5">
        <w:rPr>
          <w:rFonts w:ascii="Times New Roman" w:eastAsia="宋体" w:hAnsi="Times New Roman" w:cs="宋体"/>
          <w:sz w:val="24"/>
          <w:lang w:eastAsia="zh-CN"/>
        </w:rPr>
        <w:t>部分</w:t>
      </w:r>
      <w:r w:rsidRPr="00AC2BA5">
        <w:rPr>
          <w:rFonts w:ascii="Times New Roman" w:eastAsia="宋体" w:hAnsi="Times New Roman" w:cs="宋体"/>
          <w:sz w:val="24"/>
          <w:lang w:eastAsia="zh-CN"/>
        </w:rPr>
        <w:t>]</w:t>
      </w:r>
      <w:r w:rsidRPr="00AC2BA5">
        <w:rPr>
          <w:rFonts w:ascii="Times New Roman" w:eastAsia="宋体" w:hAnsi="Times New Roman" w:cs="宋体"/>
          <w:sz w:val="24"/>
          <w:lang w:eastAsia="zh-CN"/>
        </w:rPr>
        <w:t>中严格的设计控制程序要求可产生高度可靠的结果，也可成为确定实质等同性的基础。</w:t>
      </w:r>
    </w:p>
    <w:p w14:paraId="01A7031B" w14:textId="061DE99A"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如果选择提交特殊</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，则计划</w:t>
      </w:r>
      <w:proofErr w:type="gramStart"/>
      <w:r w:rsidRPr="00AC2BA5">
        <w:rPr>
          <w:rFonts w:ascii="Times New Roman" w:eastAsia="宋体" w:hAnsi="Times New Roman" w:cs="宋体"/>
          <w:sz w:val="24"/>
          <w:lang w:eastAsia="zh-CN"/>
        </w:rPr>
        <w:t>修改自</w:t>
      </w:r>
      <w:proofErr w:type="gramEnd"/>
      <w:r w:rsidRPr="00AC2BA5">
        <w:rPr>
          <w:rFonts w:ascii="Times New Roman" w:eastAsia="宋体" w:hAnsi="Times New Roman" w:cs="宋体"/>
          <w:sz w:val="24"/>
          <w:lang w:eastAsia="zh-CN"/>
        </w:rPr>
        <w:t>有合法上市器械的</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持有人应开展风险分析及必要的验证和确认活动，以证明修改后器械的设计输出符合设计输入要求。如果</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持有</w:t>
      </w:r>
      <w:proofErr w:type="gramStart"/>
      <w:r w:rsidRPr="00AC2BA5">
        <w:rPr>
          <w:rFonts w:ascii="Times New Roman" w:eastAsia="宋体" w:hAnsi="Times New Roman" w:cs="宋体"/>
          <w:sz w:val="24"/>
          <w:lang w:eastAsia="zh-CN"/>
        </w:rPr>
        <w:t>人确保</w:t>
      </w:r>
      <w:proofErr w:type="gramEnd"/>
      <w:r w:rsidRPr="00AC2BA5">
        <w:rPr>
          <w:rFonts w:ascii="Times New Roman" w:eastAsia="宋体" w:hAnsi="Times New Roman" w:cs="宋体"/>
          <w:sz w:val="24"/>
          <w:lang w:eastAsia="zh-CN"/>
        </w:rPr>
        <w:t>其可圆满完成此过程，其可以提交</w:t>
      </w:r>
      <w:r w:rsidR="009026D4">
        <w:rPr>
          <w:rFonts w:ascii="Times New Roman" w:eastAsia="宋体" w:hAnsi="Times New Roman" w:cs="宋体" w:hint="eastAsia"/>
          <w:sz w:val="24"/>
          <w:lang w:eastAsia="zh-CN"/>
        </w:rPr>
        <w:t>《</w:t>
      </w:r>
      <w:r w:rsidRPr="00AC2BA5">
        <w:rPr>
          <w:rFonts w:ascii="Times New Roman" w:eastAsia="宋体" w:hAnsi="Times New Roman" w:cs="宋体"/>
          <w:sz w:val="24"/>
          <w:lang w:eastAsia="zh-CN"/>
        </w:rPr>
        <w:t>特殊</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：器械修改</w:t>
      </w:r>
      <w:r w:rsidR="009026D4">
        <w:rPr>
          <w:rFonts w:ascii="Times New Roman" w:eastAsia="宋体" w:hAnsi="Times New Roman" w:cs="宋体" w:hint="eastAsia"/>
          <w:sz w:val="24"/>
          <w:lang w:eastAsia="zh-CN"/>
        </w:rPr>
        <w:t>》</w:t>
      </w:r>
      <w:r w:rsidRPr="00AC2BA5">
        <w:rPr>
          <w:rFonts w:ascii="Times New Roman" w:eastAsia="宋体" w:hAnsi="Times New Roman" w:cs="宋体"/>
          <w:sz w:val="24"/>
          <w:lang w:eastAsia="zh-CN"/>
        </w:rPr>
        <w:t>。</w:t>
      </w:r>
    </w:p>
    <w:p w14:paraId="7F2ECC8A" w14:textId="63EF7B5C" w:rsidR="000460CB" w:rsidRPr="00AC2BA5" w:rsidRDefault="00B8550C" w:rsidP="000102EB">
      <w:pPr>
        <w:pStyle w:val="3"/>
        <w:adjustRightInd w:val="0"/>
        <w:snapToGrid w:val="0"/>
        <w:spacing w:beforeLines="50" w:before="120" w:line="300" w:lineRule="auto"/>
        <w:ind w:left="0" w:firstLine="0"/>
        <w:jc w:val="both"/>
        <w:rPr>
          <w:rFonts w:eastAsia="宋体" w:cs="Times New Roman"/>
          <w:b w:val="0"/>
          <w:bCs w:val="0"/>
          <w:snapToGrid w:val="0"/>
          <w:lang w:eastAsia="zh-CN"/>
        </w:rPr>
      </w:pPr>
      <w:r w:rsidRPr="00AC2BA5">
        <w:rPr>
          <w:rFonts w:eastAsia="宋体" w:cs="宋体"/>
          <w:lang w:eastAsia="zh-CN"/>
        </w:rPr>
        <w:t>特殊</w:t>
      </w:r>
      <w:r w:rsidRPr="00AC2BA5">
        <w:rPr>
          <w:rFonts w:eastAsia="宋体" w:cs="宋体"/>
          <w:lang w:eastAsia="zh-CN"/>
        </w:rPr>
        <w:t>510</w:t>
      </w:r>
      <w:r w:rsidR="007E6307">
        <w:rPr>
          <w:rFonts w:eastAsia="宋体" w:cs="宋体"/>
          <w:lang w:eastAsia="zh-CN"/>
        </w:rPr>
        <w:t>(k)</w:t>
      </w:r>
      <w:r w:rsidRPr="00AC2BA5">
        <w:rPr>
          <w:rFonts w:eastAsia="宋体" w:cs="宋体"/>
          <w:lang w:eastAsia="zh-CN"/>
        </w:rPr>
        <w:t>资格</w:t>
      </w:r>
    </w:p>
    <w:p w14:paraId="4169D101" w14:textId="4B371557"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为确定修改版</w:t>
      </w:r>
      <w:r w:rsidRPr="00AC2BA5">
        <w:rPr>
          <w:rFonts w:ascii="Times New Roman" w:eastAsia="宋体" w:hAnsi="Times New Roman" w:cs="宋体"/>
          <w:sz w:val="24"/>
          <w:lang w:eastAsia="zh-CN"/>
        </w:rPr>
        <w:t>SMBG</w:t>
      </w:r>
      <w:r w:rsidRPr="00AC2BA5">
        <w:rPr>
          <w:rFonts w:ascii="Times New Roman" w:eastAsia="宋体" w:hAnsi="Times New Roman" w:cs="宋体"/>
          <w:sz w:val="24"/>
          <w:lang w:eastAsia="zh-CN"/>
        </w:rPr>
        <w:t>是否符合特殊</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申报的条件，应查阅标题为《</w:t>
      </w:r>
      <w:hyperlink r:id="rId33">
        <w:r w:rsidRPr="00AC2BA5">
          <w:rPr>
            <w:rFonts w:ascii="Times New Roman" w:eastAsia="宋体" w:hAnsi="Times New Roman" w:cs="宋体"/>
            <w:snapToGrid w:val="0"/>
            <w:color w:val="0000FF"/>
            <w:sz w:val="24"/>
            <w:szCs w:val="24"/>
            <w:u w:val="single"/>
            <w:lang w:eastAsia="zh-CN"/>
          </w:rPr>
          <w:t>新</w:t>
        </w:r>
        <w:r w:rsidRPr="00AC2BA5">
          <w:rPr>
            <w:rFonts w:ascii="Times New Roman" w:eastAsia="宋体" w:hAnsi="Times New Roman" w:cs="宋体"/>
            <w:snapToGrid w:val="0"/>
            <w:color w:val="0000FF"/>
            <w:sz w:val="24"/>
            <w:szCs w:val="24"/>
            <w:u w:val="single"/>
            <w:lang w:eastAsia="zh-CN"/>
          </w:rPr>
          <w:t>510</w:t>
        </w:r>
        <w:r w:rsidR="007E6307">
          <w:rPr>
            <w:rFonts w:ascii="Times New Roman" w:eastAsia="宋体" w:hAnsi="Times New Roman" w:cs="宋体"/>
            <w:snapToGrid w:val="0"/>
            <w:color w:val="0000FF"/>
            <w:sz w:val="24"/>
            <w:szCs w:val="24"/>
            <w:u w:val="single"/>
            <w:lang w:eastAsia="zh-CN"/>
          </w:rPr>
          <w:t>(k)</w:t>
        </w:r>
        <w:r w:rsidRPr="00AC2BA5">
          <w:rPr>
            <w:rFonts w:ascii="Times New Roman" w:eastAsia="宋体" w:hAnsi="Times New Roman" w:cs="宋体"/>
            <w:snapToGrid w:val="0"/>
            <w:color w:val="0000FF"/>
            <w:sz w:val="24"/>
            <w:szCs w:val="24"/>
            <w:u w:val="single"/>
            <w:lang w:eastAsia="zh-CN"/>
          </w:rPr>
          <w:t>范式</w:t>
        </w:r>
        <w:r w:rsidRPr="00AC2BA5">
          <w:rPr>
            <w:rFonts w:ascii="Times New Roman" w:eastAsia="宋体" w:hAnsi="Times New Roman" w:cs="宋体"/>
            <w:snapToGrid w:val="0"/>
            <w:color w:val="0000FF"/>
            <w:sz w:val="24"/>
            <w:szCs w:val="24"/>
            <w:u w:val="single"/>
            <w:lang w:eastAsia="zh-CN"/>
          </w:rPr>
          <w:t xml:space="preserve"> - </w:t>
        </w:r>
        <w:r w:rsidRPr="00AC2BA5">
          <w:rPr>
            <w:rFonts w:ascii="Times New Roman" w:eastAsia="宋体" w:hAnsi="Times New Roman" w:cs="宋体"/>
            <w:snapToGrid w:val="0"/>
            <w:color w:val="0000FF"/>
            <w:sz w:val="24"/>
            <w:szCs w:val="24"/>
            <w:u w:val="single"/>
            <w:lang w:eastAsia="zh-CN"/>
          </w:rPr>
          <w:t>上市前通知中证明实质等同性的替代方法</w:t>
        </w:r>
        <w:r w:rsidRPr="00AC2BA5">
          <w:rPr>
            <w:rFonts w:ascii="Times New Roman" w:eastAsia="宋体" w:hAnsi="Times New Roman" w:cs="宋体"/>
            <w:snapToGrid w:val="0"/>
            <w:color w:val="0000FF"/>
            <w:sz w:val="24"/>
            <w:szCs w:val="24"/>
            <w:u w:val="single"/>
            <w:lang w:eastAsia="zh-CN"/>
          </w:rPr>
          <w:t xml:space="preserve"> - </w:t>
        </w:r>
        <w:r w:rsidRPr="00AC2BA5">
          <w:rPr>
            <w:rFonts w:ascii="Times New Roman" w:eastAsia="宋体" w:hAnsi="Times New Roman" w:cs="宋体"/>
            <w:snapToGrid w:val="0"/>
            <w:color w:val="0000FF"/>
            <w:sz w:val="24"/>
            <w:szCs w:val="24"/>
            <w:u w:val="single"/>
            <w:lang w:eastAsia="zh-CN"/>
          </w:rPr>
          <w:t>最终指南</w:t>
        </w:r>
      </w:hyperlink>
      <w:r w:rsidRPr="00AC2BA5">
        <w:rPr>
          <w:rFonts w:ascii="Times New Roman" w:eastAsia="宋体" w:hAnsi="Times New Roman" w:cs="宋体"/>
          <w:sz w:val="24"/>
          <w:lang w:eastAsia="zh-CN"/>
        </w:rPr>
        <w:t>》的</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指南。</w:t>
      </w:r>
      <w:r w:rsidRPr="00AC2BA5">
        <w:rPr>
          <w:rFonts w:ascii="Times New Roman" w:eastAsia="宋体" w:hAnsi="Times New Roman" w:cs="宋体"/>
          <w:sz w:val="24"/>
          <w:vertAlign w:val="superscript"/>
          <w:lang w:eastAsia="zh-CN"/>
        </w:rPr>
        <w:t>17</w:t>
      </w:r>
      <w:r w:rsidRPr="00AC2BA5">
        <w:rPr>
          <w:rFonts w:ascii="Times New Roman" w:eastAsia="宋体" w:hAnsi="Times New Roman" w:cs="宋体"/>
          <w:sz w:val="24"/>
          <w:lang w:eastAsia="zh-CN"/>
        </w:rPr>
        <w:t>申请方还应查阅</w:t>
      </w:r>
      <w:r w:rsidRPr="00AC2BA5">
        <w:rPr>
          <w:rFonts w:ascii="Times New Roman" w:eastAsia="宋体" w:hAnsi="Times New Roman" w:cs="宋体"/>
          <w:sz w:val="24"/>
          <w:lang w:eastAsia="zh-CN"/>
        </w:rPr>
        <w:t>FDA</w:t>
      </w:r>
      <w:r w:rsidRPr="00AC2BA5">
        <w:rPr>
          <w:rFonts w:ascii="Times New Roman" w:eastAsia="宋体" w:hAnsi="Times New Roman" w:cs="宋体"/>
          <w:sz w:val="24"/>
          <w:lang w:eastAsia="zh-CN"/>
        </w:rPr>
        <w:t>网站上的《</w:t>
      </w:r>
      <w:hyperlink r:id="rId34">
        <w:r w:rsidRPr="00AC2BA5">
          <w:rPr>
            <w:rFonts w:ascii="Times New Roman" w:eastAsia="宋体" w:hAnsi="Times New Roman" w:cs="宋体"/>
            <w:snapToGrid w:val="0"/>
            <w:color w:val="0000FF"/>
            <w:sz w:val="24"/>
            <w:szCs w:val="24"/>
            <w:u w:val="single" w:color="0000FF"/>
            <w:lang w:eastAsia="zh-CN"/>
          </w:rPr>
          <w:t>如何准备特殊</w:t>
        </w:r>
        <w:r w:rsidRPr="00AC2BA5">
          <w:rPr>
            <w:rFonts w:ascii="Times New Roman" w:eastAsia="宋体" w:hAnsi="Times New Roman" w:cs="宋体"/>
            <w:snapToGrid w:val="0"/>
            <w:color w:val="0000FF"/>
            <w:sz w:val="24"/>
            <w:szCs w:val="24"/>
            <w:u w:val="single" w:color="0000FF"/>
            <w:lang w:eastAsia="zh-CN"/>
          </w:rPr>
          <w:t>510</w:t>
        </w:r>
        <w:r w:rsidR="007E6307">
          <w:rPr>
            <w:rFonts w:ascii="Times New Roman" w:eastAsia="宋体" w:hAnsi="Times New Roman" w:cs="宋体"/>
            <w:snapToGrid w:val="0"/>
            <w:color w:val="0000FF"/>
            <w:sz w:val="24"/>
            <w:szCs w:val="24"/>
            <w:u w:val="single" w:color="0000FF"/>
            <w:lang w:eastAsia="zh-CN"/>
          </w:rPr>
          <w:t>(k)</w:t>
        </w:r>
      </w:hyperlink>
      <w:r w:rsidRPr="00AC2BA5">
        <w:rPr>
          <w:rFonts w:ascii="Times New Roman" w:eastAsia="宋体" w:hAnsi="Times New Roman" w:cs="宋体"/>
          <w:sz w:val="24"/>
          <w:lang w:eastAsia="zh-CN"/>
        </w:rPr>
        <w:t>》文件。</w:t>
      </w:r>
      <w:r w:rsidRPr="00AC2BA5">
        <w:rPr>
          <w:rFonts w:ascii="Times New Roman" w:eastAsia="宋体" w:hAnsi="Times New Roman" w:cs="宋体"/>
          <w:sz w:val="24"/>
          <w:vertAlign w:val="superscript"/>
          <w:lang w:eastAsia="zh-CN"/>
        </w:rPr>
        <w:t>18</w:t>
      </w:r>
    </w:p>
    <w:p w14:paraId="1383F6F2" w14:textId="14557FE2" w:rsidR="0050117E" w:rsidRPr="00AC2BA5" w:rsidRDefault="00B8550C"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AC2BA5">
        <w:rPr>
          <w:rFonts w:ascii="Times New Roman" w:eastAsia="宋体" w:hAnsi="Times New Roman" w:cs="宋体"/>
          <w:sz w:val="24"/>
          <w:lang w:eastAsia="zh-CN"/>
        </w:rPr>
        <w:t>如上所述，当</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器械是申请方自己的合法上市器械的修改版时，可以采用特殊</w:t>
      </w:r>
      <w:r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Pr="00AC2BA5">
        <w:rPr>
          <w:rFonts w:ascii="Times New Roman" w:eastAsia="宋体" w:hAnsi="Times New Roman" w:cs="宋体"/>
          <w:sz w:val="24"/>
          <w:lang w:eastAsia="zh-CN"/>
        </w:rPr>
        <w:t>申报，申请方自己的合法上市器械将作为修改版器械的同品种器械。这通常意味着</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器械和同品种器械是同一个器械设计文件的一部分。同品种器械</w:t>
      </w:r>
      <w:r w:rsidRPr="00AC2BA5">
        <w:rPr>
          <w:rFonts w:ascii="Times New Roman" w:eastAsia="宋体" w:hAnsi="Times New Roman" w:cs="宋体"/>
          <w:sz w:val="24"/>
          <w:lang w:eastAsia="zh-CN"/>
        </w:rPr>
        <w:t>A</w:t>
      </w:r>
      <w:r w:rsidRPr="00AC2BA5">
        <w:rPr>
          <w:rFonts w:ascii="Times New Roman" w:eastAsia="宋体" w:hAnsi="Times New Roman" w:cs="宋体"/>
          <w:sz w:val="24"/>
          <w:lang w:eastAsia="zh-CN"/>
        </w:rPr>
        <w:t>和</w:t>
      </w:r>
      <w:r w:rsidR="00307C74">
        <w:rPr>
          <w:rFonts w:ascii="Times New Roman" w:eastAsia="宋体" w:hAnsi="Times New Roman" w:cs="宋体"/>
          <w:sz w:val="24"/>
          <w:lang w:eastAsia="zh-CN"/>
        </w:rPr>
        <w:t>候选</w:t>
      </w:r>
      <w:r w:rsidRPr="00AC2BA5">
        <w:rPr>
          <w:rFonts w:ascii="Times New Roman" w:eastAsia="宋体" w:hAnsi="Times New Roman" w:cs="宋体"/>
          <w:sz w:val="24"/>
          <w:lang w:eastAsia="zh-CN"/>
        </w:rPr>
        <w:t>器械</w:t>
      </w:r>
      <w:r w:rsidRPr="00AC2BA5">
        <w:rPr>
          <w:rFonts w:ascii="Times New Roman" w:eastAsia="宋体" w:hAnsi="Times New Roman" w:cs="宋体"/>
          <w:sz w:val="24"/>
          <w:lang w:eastAsia="zh-CN"/>
        </w:rPr>
        <w:t>B</w:t>
      </w:r>
      <w:r w:rsidRPr="00AC2BA5">
        <w:rPr>
          <w:rFonts w:ascii="Times New Roman" w:eastAsia="宋体" w:hAnsi="Times New Roman" w:cs="宋体"/>
          <w:sz w:val="24"/>
          <w:lang w:eastAsia="zh-CN"/>
        </w:rPr>
        <w:t>之间存在</w:t>
      </w:r>
      <w:r w:rsidRPr="00AC2BA5">
        <w:rPr>
          <w:rFonts w:ascii="Times New Roman" w:eastAsia="宋体" w:hAnsi="Times New Roman" w:cs="宋体"/>
          <w:i/>
          <w:sz w:val="24"/>
          <w:lang w:eastAsia="zh-CN"/>
        </w:rPr>
        <w:t>相似性</w:t>
      </w:r>
      <w:r w:rsidRPr="00AC2BA5">
        <w:rPr>
          <w:rFonts w:ascii="Times New Roman" w:eastAsia="宋体" w:hAnsi="Times New Roman" w:cs="宋体"/>
          <w:sz w:val="24"/>
          <w:lang w:eastAsia="zh-CN"/>
        </w:rPr>
        <w:t>本身并不一定意味着器械</w:t>
      </w:r>
      <w:r w:rsidRPr="00AC2BA5">
        <w:rPr>
          <w:rFonts w:ascii="Times New Roman" w:eastAsia="宋体" w:hAnsi="Times New Roman" w:cs="宋体"/>
          <w:sz w:val="24"/>
          <w:lang w:eastAsia="zh-CN"/>
        </w:rPr>
        <w:t>B</w:t>
      </w:r>
      <w:r w:rsidRPr="00AC2BA5">
        <w:rPr>
          <w:rFonts w:ascii="Times New Roman" w:eastAsia="宋体" w:hAnsi="Times New Roman" w:cs="宋体"/>
          <w:sz w:val="24"/>
          <w:lang w:eastAsia="zh-CN"/>
        </w:rPr>
        <w:t>是器械</w:t>
      </w:r>
      <w:r w:rsidRPr="00AC2BA5">
        <w:rPr>
          <w:rFonts w:ascii="Times New Roman" w:eastAsia="宋体" w:hAnsi="Times New Roman" w:cs="宋体"/>
          <w:sz w:val="24"/>
          <w:lang w:eastAsia="zh-CN"/>
        </w:rPr>
        <w:t>A</w:t>
      </w:r>
      <w:r w:rsidRPr="00AC2BA5">
        <w:rPr>
          <w:rFonts w:ascii="Times New Roman" w:eastAsia="宋体" w:hAnsi="Times New Roman" w:cs="宋体"/>
          <w:sz w:val="24"/>
          <w:lang w:eastAsia="zh-CN"/>
        </w:rPr>
        <w:t>的修改版。</w:t>
      </w:r>
    </w:p>
    <w:p w14:paraId="48A564C0" w14:textId="44976228" w:rsidR="0050117E" w:rsidRPr="00AC2BA5" w:rsidRDefault="00D2299A"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Pr>
          <w:rFonts w:ascii="Times New Roman" w:eastAsia="宋体" w:hAnsi="Times New Roman" w:cs="宋体"/>
          <w:sz w:val="24"/>
          <w:lang w:eastAsia="zh-CN"/>
        </w:rPr>
        <w:t>建议</w:t>
      </w:r>
      <w:r w:rsidR="00B8550C" w:rsidRPr="00AC2BA5">
        <w:rPr>
          <w:rFonts w:ascii="Times New Roman" w:eastAsia="宋体" w:hAnsi="Times New Roman" w:cs="宋体"/>
          <w:sz w:val="24"/>
          <w:lang w:eastAsia="zh-CN"/>
        </w:rPr>
        <w:t>联系体外诊断器械与</w:t>
      </w:r>
      <w:r w:rsidR="0057192E">
        <w:rPr>
          <w:rFonts w:ascii="Times New Roman" w:eastAsia="宋体" w:hAnsi="Times New Roman" w:cs="宋体" w:hint="eastAsia"/>
          <w:sz w:val="24"/>
          <w:lang w:eastAsia="zh-CN"/>
        </w:rPr>
        <w:t>辐射</w:t>
      </w:r>
      <w:r w:rsidR="0057192E">
        <w:rPr>
          <w:rFonts w:ascii="Times New Roman" w:eastAsia="宋体" w:hAnsi="Times New Roman" w:cs="宋体"/>
          <w:sz w:val="24"/>
          <w:lang w:eastAsia="zh-CN"/>
        </w:rPr>
        <w:t>健康</w:t>
      </w:r>
      <w:r w:rsidR="00B8550C" w:rsidRPr="00AC2BA5">
        <w:rPr>
          <w:rFonts w:ascii="Times New Roman" w:eastAsia="宋体" w:hAnsi="Times New Roman" w:cs="宋体"/>
          <w:sz w:val="24"/>
          <w:lang w:eastAsia="zh-CN"/>
        </w:rPr>
        <w:t>办公室（</w:t>
      </w:r>
      <w:r w:rsidR="00B8550C" w:rsidRPr="00AC2BA5">
        <w:rPr>
          <w:rFonts w:ascii="Times New Roman" w:eastAsia="宋体" w:hAnsi="Times New Roman" w:cs="宋体"/>
          <w:sz w:val="24"/>
          <w:lang w:eastAsia="zh-CN"/>
        </w:rPr>
        <w:t>OIR</w:t>
      </w:r>
      <w:r w:rsidR="00B8550C" w:rsidRPr="00AC2BA5">
        <w:rPr>
          <w:rFonts w:ascii="Times New Roman" w:eastAsia="宋体" w:hAnsi="Times New Roman" w:cs="宋体"/>
          <w:sz w:val="24"/>
          <w:lang w:eastAsia="zh-CN"/>
        </w:rPr>
        <w:t>），讨论关于</w:t>
      </w:r>
      <w:r w:rsidR="00B8550C" w:rsidRPr="00AC2BA5">
        <w:rPr>
          <w:rFonts w:ascii="Times New Roman" w:eastAsia="宋体" w:hAnsi="Times New Roman" w:cs="宋体"/>
          <w:sz w:val="24"/>
          <w:lang w:eastAsia="zh-CN"/>
        </w:rPr>
        <w:t>SMBG</w:t>
      </w:r>
      <w:r w:rsidR="00B8550C" w:rsidRPr="00AC2BA5">
        <w:rPr>
          <w:rFonts w:ascii="Times New Roman" w:eastAsia="宋体" w:hAnsi="Times New Roman" w:cs="宋体"/>
          <w:sz w:val="24"/>
          <w:lang w:eastAsia="zh-CN"/>
        </w:rPr>
        <w:t>的特殊</w:t>
      </w:r>
      <w:r w:rsidR="00B8550C" w:rsidRPr="00AC2BA5">
        <w:rPr>
          <w:rFonts w:ascii="Times New Roman" w:eastAsia="宋体" w:hAnsi="Times New Roman" w:cs="宋体"/>
          <w:sz w:val="24"/>
          <w:lang w:eastAsia="zh-CN"/>
        </w:rPr>
        <w:t>510</w:t>
      </w:r>
      <w:r w:rsidR="007E6307">
        <w:rPr>
          <w:rFonts w:ascii="Times New Roman" w:eastAsia="宋体" w:hAnsi="Times New Roman" w:cs="宋体"/>
          <w:sz w:val="24"/>
          <w:lang w:eastAsia="zh-CN"/>
        </w:rPr>
        <w:t>(k)</w:t>
      </w:r>
      <w:r w:rsidR="00B8550C" w:rsidRPr="00AC2BA5">
        <w:rPr>
          <w:rFonts w:ascii="Times New Roman" w:eastAsia="宋体" w:hAnsi="Times New Roman" w:cs="宋体"/>
          <w:sz w:val="24"/>
          <w:lang w:eastAsia="zh-CN"/>
        </w:rPr>
        <w:t>申报资格的任何具体问题。</w:t>
      </w:r>
    </w:p>
    <w:p w14:paraId="0C16F47E" w14:textId="77777777" w:rsidR="00276A23" w:rsidRPr="00AC2BA5" w:rsidRDefault="00276A23"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7AE37F9"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1A6401F"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1F6B7FD"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0FD0667"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5EB7EAE"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FAF3509" w14:textId="77777777" w:rsidR="000102EB" w:rsidRPr="00AC2BA5" w:rsidRDefault="000102EB" w:rsidP="000102EB">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F928A4A" w14:textId="77777777" w:rsidR="0050117E" w:rsidRPr="00AC2BA5" w:rsidRDefault="00276A23" w:rsidP="000102EB">
      <w:pPr>
        <w:adjustRightInd w:val="0"/>
        <w:snapToGrid w:val="0"/>
        <w:spacing w:beforeLines="50" w:before="120" w:line="300" w:lineRule="auto"/>
        <w:jc w:val="both"/>
        <w:rPr>
          <w:rFonts w:ascii="Times New Roman" w:eastAsia="宋体" w:hAnsi="Times New Roman" w:cs="Times New Roman"/>
          <w:snapToGrid w:val="0"/>
          <w:sz w:val="24"/>
          <w:szCs w:val="24"/>
        </w:rPr>
      </w:pPr>
      <w:r w:rsidRPr="00AC2BA5">
        <w:rPr>
          <w:rFonts w:ascii="Times New Roman" w:eastAsia="宋体" w:hAnsi="Times New Roman" w:cs="宋体"/>
          <w:sz w:val="24"/>
        </w:rPr>
        <w:t>__________________________</w:t>
      </w:r>
    </w:p>
    <w:p w14:paraId="23D001A4" w14:textId="2F1A2D00" w:rsidR="000460CB" w:rsidRPr="00AC2BA5" w:rsidRDefault="0050117E" w:rsidP="000102EB">
      <w:pPr>
        <w:tabs>
          <w:tab w:val="left" w:pos="280"/>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17</w:t>
      </w:r>
      <w:r w:rsidRPr="00AC2BA5">
        <w:rPr>
          <w:rFonts w:ascii="Times New Roman" w:eastAsia="宋体" w:hAnsi="Times New Roman" w:cs="宋体"/>
          <w:sz w:val="21"/>
        </w:rPr>
        <w:t xml:space="preserve"> </w:t>
      </w:r>
      <w:r w:rsidRPr="00AC2BA5">
        <w:rPr>
          <w:rFonts w:ascii="Times New Roman" w:eastAsia="宋体" w:hAnsi="Times New Roman" w:cs="宋体"/>
          <w:sz w:val="21"/>
        </w:rPr>
        <w:t>可登录以下网址获取：</w:t>
      </w:r>
      <w:hyperlink r:id="rId35" w:history="1">
        <w:r w:rsidR="0092203A" w:rsidRPr="00247616">
          <w:rPr>
            <w:rStyle w:val="a8"/>
            <w:rFonts w:ascii="Times New Roman" w:eastAsia="宋体" w:hAnsi="Times New Roman" w:cs="宋体"/>
            <w:snapToGrid w:val="0"/>
            <w:sz w:val="21"/>
            <w:szCs w:val="21"/>
          </w:rPr>
          <w:t>https://www.fda.gov/regulatory-information/search-fda-guidance-documents/new-510k-</w:t>
        </w:r>
      </w:hyperlink>
      <w:hyperlink r:id="rId36">
        <w:r w:rsidRPr="00AC2BA5">
          <w:rPr>
            <w:rFonts w:ascii="Times New Roman" w:eastAsia="宋体" w:hAnsi="Times New Roman" w:cs="宋体"/>
            <w:snapToGrid w:val="0"/>
            <w:color w:val="0000FF"/>
            <w:sz w:val="21"/>
            <w:szCs w:val="21"/>
            <w:u w:val="single" w:color="0000FF"/>
          </w:rPr>
          <w:t>paradigm-alternate-approaches-demonstrating-substantial-equivalence-premarket-notifications</w:t>
        </w:r>
      </w:hyperlink>
      <w:r w:rsidRPr="00AC2BA5">
        <w:rPr>
          <w:rFonts w:ascii="Times New Roman" w:eastAsia="宋体" w:hAnsi="Times New Roman" w:cs="宋体"/>
          <w:color w:val="000000"/>
          <w:sz w:val="21"/>
        </w:rPr>
        <w:t>。</w:t>
      </w:r>
    </w:p>
    <w:p w14:paraId="7DDBB25D" w14:textId="77777777" w:rsidR="000460CB" w:rsidRPr="00AC2BA5" w:rsidRDefault="0050117E" w:rsidP="000102EB">
      <w:pPr>
        <w:tabs>
          <w:tab w:val="left" w:pos="280"/>
        </w:tabs>
        <w:adjustRightInd w:val="0"/>
        <w:snapToGrid w:val="0"/>
        <w:spacing w:beforeLines="15" w:before="36" w:line="276" w:lineRule="auto"/>
        <w:jc w:val="both"/>
        <w:rPr>
          <w:rFonts w:ascii="Times New Roman" w:eastAsia="宋体" w:hAnsi="Times New Roman" w:cs="Times New Roman"/>
          <w:snapToGrid w:val="0"/>
          <w:sz w:val="21"/>
          <w:szCs w:val="21"/>
        </w:rPr>
      </w:pPr>
      <w:r w:rsidRPr="00AC2BA5">
        <w:rPr>
          <w:rFonts w:ascii="Times New Roman" w:eastAsia="宋体" w:hAnsi="Times New Roman" w:cs="宋体"/>
          <w:sz w:val="21"/>
          <w:vertAlign w:val="superscript"/>
        </w:rPr>
        <w:t>18</w:t>
      </w:r>
      <w:r w:rsidRPr="00AC2BA5">
        <w:rPr>
          <w:rFonts w:ascii="Times New Roman" w:eastAsia="宋体" w:hAnsi="Times New Roman" w:cs="宋体"/>
          <w:sz w:val="21"/>
        </w:rPr>
        <w:t xml:space="preserve"> </w:t>
      </w:r>
      <w:r w:rsidRPr="00AC2BA5">
        <w:rPr>
          <w:rFonts w:ascii="Times New Roman" w:eastAsia="宋体" w:hAnsi="Times New Roman" w:cs="宋体"/>
          <w:sz w:val="21"/>
        </w:rPr>
        <w:t>可登录以下网址获取：</w:t>
      </w:r>
      <w:hyperlink r:id="rId37">
        <w:r w:rsidRPr="00AC2BA5">
          <w:rPr>
            <w:rFonts w:ascii="Times New Roman" w:eastAsia="宋体" w:hAnsi="Times New Roman" w:cs="宋体"/>
            <w:snapToGrid w:val="0"/>
            <w:color w:val="0000FF"/>
            <w:sz w:val="21"/>
            <w:szCs w:val="21"/>
            <w:u w:val="single" w:color="0000FF"/>
          </w:rPr>
          <w:t>https://www.fda.gov/medical-devices/premarket-notification-510k/how-prepare-special-510k</w:t>
        </w:r>
      </w:hyperlink>
      <w:r w:rsidRPr="00AC2BA5">
        <w:rPr>
          <w:rFonts w:ascii="Times New Roman" w:eastAsia="宋体" w:hAnsi="Times New Roman" w:cs="宋体"/>
          <w:color w:val="000000"/>
          <w:sz w:val="21"/>
        </w:rPr>
        <w:t>。</w:t>
      </w:r>
    </w:p>
    <w:sectPr w:rsidR="000460CB" w:rsidRPr="00AC2BA5" w:rsidSect="006265A2">
      <w:footerReference w:type="default" r:id="rId38"/>
      <w:pgSz w:w="11907" w:h="16839" w:code="9"/>
      <w:pgMar w:top="1418" w:right="1418" w:bottom="1418" w:left="1418" w:header="72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A17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5FC" w16cex:dateUtc="2022-03-07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A17591" w16cid:durableId="25D0A5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722DC" w14:textId="77777777" w:rsidR="002642ED" w:rsidRDefault="002642ED">
      <w:r>
        <w:separator/>
      </w:r>
    </w:p>
  </w:endnote>
  <w:endnote w:type="continuationSeparator" w:id="0">
    <w:p w14:paraId="449ACCB0" w14:textId="77777777" w:rsidR="002642ED" w:rsidRDefault="0026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8A96" w14:textId="77777777" w:rsidR="00DD3496" w:rsidRPr="006265A2" w:rsidRDefault="00DD3496" w:rsidP="006265A2">
    <w:pPr>
      <w:pStyle w:val="a7"/>
      <w:jc w:val="right"/>
      <w:rPr>
        <w:rFonts w:ascii="Times New Roman" w:hAnsi="Times New Roman" w:cs="Times New Roman"/>
        <w:sz w:val="21"/>
        <w:szCs w:val="21"/>
      </w:rPr>
    </w:pPr>
    <w:r w:rsidRPr="006265A2">
      <w:rPr>
        <w:rFonts w:ascii="Times New Roman" w:hAnsi="Times New Roman" w:cs="Times New Roman"/>
        <w:sz w:val="21"/>
        <w:szCs w:val="21"/>
      </w:rPr>
      <w:fldChar w:fldCharType="begin"/>
    </w:r>
    <w:r w:rsidRPr="006265A2">
      <w:rPr>
        <w:rFonts w:ascii="Times New Roman" w:hAnsi="Times New Roman" w:cs="Times New Roman"/>
        <w:sz w:val="21"/>
        <w:szCs w:val="21"/>
      </w:rPr>
      <w:instrText>PAGE   \* MERGEFORMAT</w:instrText>
    </w:r>
    <w:r w:rsidRPr="006265A2">
      <w:rPr>
        <w:rFonts w:ascii="Times New Roman" w:hAnsi="Times New Roman" w:cs="Times New Roman"/>
        <w:sz w:val="21"/>
        <w:szCs w:val="21"/>
      </w:rPr>
      <w:fldChar w:fldCharType="separate"/>
    </w:r>
    <w:r w:rsidR="0089014D" w:rsidRPr="0089014D">
      <w:rPr>
        <w:rFonts w:ascii="Times New Roman" w:hAnsi="Times New Roman" w:cs="Times New Roman"/>
        <w:noProof/>
        <w:sz w:val="21"/>
        <w:szCs w:val="21"/>
        <w:lang w:val="zh-CN" w:eastAsia="zh-CN"/>
      </w:rPr>
      <w:t>11</w:t>
    </w:r>
    <w:r w:rsidRPr="006265A2">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A848D" w14:textId="77777777" w:rsidR="002642ED" w:rsidRDefault="002642ED">
      <w:r>
        <w:separator/>
      </w:r>
    </w:p>
  </w:footnote>
  <w:footnote w:type="continuationSeparator" w:id="0">
    <w:p w14:paraId="0C658D13" w14:textId="77777777" w:rsidR="002642ED" w:rsidRDefault="00264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01F9E" w14:textId="320ED04D" w:rsidR="00DD3496" w:rsidRPr="000102EB" w:rsidRDefault="0089014D" w:rsidP="0050117E">
    <w:pPr>
      <w:pStyle w:val="a6"/>
      <w:pBdr>
        <w:bottom w:val="none" w:sz="0" w:space="0" w:color="auto"/>
      </w:pBdr>
      <w:rPr>
        <w:rFonts w:ascii="Times New Roman" w:eastAsia="宋体" w:hAnsi="Times New Roman" w:cs="Times New Roman"/>
        <w:sz w:val="21"/>
        <w:szCs w:val="21"/>
        <w:lang w:eastAsia="zh-CN"/>
      </w:rPr>
    </w:pPr>
    <w:proofErr w:type="spellStart"/>
    <w:r w:rsidRPr="0089014D">
      <w:rPr>
        <w:rFonts w:ascii="Times New Roman" w:eastAsia="宋体" w:hAnsi="Times New Roman"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FEA"/>
    <w:multiLevelType w:val="hybridMultilevel"/>
    <w:tmpl w:val="278C7C9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D750AE"/>
    <w:multiLevelType w:val="hybridMultilevel"/>
    <w:tmpl w:val="D8C2415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274941"/>
    <w:multiLevelType w:val="hybridMultilevel"/>
    <w:tmpl w:val="E776174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5D672D"/>
    <w:multiLevelType w:val="hybridMultilevel"/>
    <w:tmpl w:val="D184542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B0027C5"/>
    <w:multiLevelType w:val="hybridMultilevel"/>
    <w:tmpl w:val="8DC8D26E"/>
    <w:lvl w:ilvl="0" w:tplc="3DD80214">
      <w:start w:val="1"/>
      <w:numFmt w:val="bullet"/>
      <w:lvlText w:val=""/>
      <w:lvlJc w:val="left"/>
      <w:pPr>
        <w:ind w:left="480" w:hanging="420"/>
      </w:pPr>
      <w:rPr>
        <w:rFonts w:ascii="Wingdings" w:hAnsi="Wingdings" w:hint="default"/>
        <w:color w:val="auto"/>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5">
    <w:nsid w:val="0B352CE8"/>
    <w:multiLevelType w:val="hybridMultilevel"/>
    <w:tmpl w:val="1690EA7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C636611"/>
    <w:multiLevelType w:val="hybridMultilevel"/>
    <w:tmpl w:val="1B9A573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77F241F"/>
    <w:multiLevelType w:val="hybridMultilevel"/>
    <w:tmpl w:val="E8B8998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4F3EB0"/>
    <w:multiLevelType w:val="hybridMultilevel"/>
    <w:tmpl w:val="4378B2A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EE32091"/>
    <w:multiLevelType w:val="hybridMultilevel"/>
    <w:tmpl w:val="4228867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2612728"/>
    <w:multiLevelType w:val="hybridMultilevel"/>
    <w:tmpl w:val="AB380E8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6537327"/>
    <w:multiLevelType w:val="hybridMultilevel"/>
    <w:tmpl w:val="C44076C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13E5CAC"/>
    <w:multiLevelType w:val="hybridMultilevel"/>
    <w:tmpl w:val="1318D18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41F36BD"/>
    <w:multiLevelType w:val="hybridMultilevel"/>
    <w:tmpl w:val="5E7C509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7B0395"/>
    <w:multiLevelType w:val="hybridMultilevel"/>
    <w:tmpl w:val="1B1436C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B5272D1"/>
    <w:multiLevelType w:val="hybridMultilevel"/>
    <w:tmpl w:val="F53EE0D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652B01"/>
    <w:multiLevelType w:val="hybridMultilevel"/>
    <w:tmpl w:val="09C6328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0B3A39"/>
    <w:multiLevelType w:val="hybridMultilevel"/>
    <w:tmpl w:val="9B28F10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207E68"/>
    <w:multiLevelType w:val="hybridMultilevel"/>
    <w:tmpl w:val="5D32A09C"/>
    <w:lvl w:ilvl="0" w:tplc="A808ECBA">
      <w:start w:val="1"/>
      <w:numFmt w:val="bullet"/>
      <w:lvlText w:val=""/>
      <w:lvlJc w:val="left"/>
      <w:pPr>
        <w:ind w:left="420" w:hanging="420"/>
      </w:pPr>
      <w:rPr>
        <w:rFonts w:ascii="Wingdings" w:hAnsi="Wingdings" w:hint="default"/>
      </w:rPr>
    </w:lvl>
    <w:lvl w:ilvl="1" w:tplc="EAA2D894">
      <w:numFmt w:val="bullet"/>
      <w:lvlText w:val="·"/>
      <w:lvlJc w:val="left"/>
      <w:pPr>
        <w:ind w:left="780" w:hanging="360"/>
      </w:pPr>
      <w:rPr>
        <w:rFonts w:ascii="Times New Roman" w:eastAsia="Arial"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DA15FBA"/>
    <w:multiLevelType w:val="hybridMultilevel"/>
    <w:tmpl w:val="74788B1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06B69AC"/>
    <w:multiLevelType w:val="hybridMultilevel"/>
    <w:tmpl w:val="5E1CC57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AF94D4F"/>
    <w:multiLevelType w:val="hybridMultilevel"/>
    <w:tmpl w:val="2C24B690"/>
    <w:lvl w:ilvl="0" w:tplc="A808ECBA">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371395B"/>
    <w:multiLevelType w:val="hybridMultilevel"/>
    <w:tmpl w:val="3C8AE8C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86F3B3B"/>
    <w:multiLevelType w:val="hybridMultilevel"/>
    <w:tmpl w:val="04102142"/>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5192364"/>
    <w:multiLevelType w:val="hybridMultilevel"/>
    <w:tmpl w:val="BA62B01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1"/>
  </w:num>
  <w:num w:numId="3">
    <w:abstractNumId w:val="13"/>
  </w:num>
  <w:num w:numId="4">
    <w:abstractNumId w:val="6"/>
  </w:num>
  <w:num w:numId="5">
    <w:abstractNumId w:val="1"/>
  </w:num>
  <w:num w:numId="6">
    <w:abstractNumId w:val="20"/>
  </w:num>
  <w:num w:numId="7">
    <w:abstractNumId w:val="14"/>
  </w:num>
  <w:num w:numId="8">
    <w:abstractNumId w:val="0"/>
  </w:num>
  <w:num w:numId="9">
    <w:abstractNumId w:val="7"/>
  </w:num>
  <w:num w:numId="10">
    <w:abstractNumId w:val="4"/>
  </w:num>
  <w:num w:numId="11">
    <w:abstractNumId w:val="5"/>
  </w:num>
  <w:num w:numId="12">
    <w:abstractNumId w:val="2"/>
  </w:num>
  <w:num w:numId="13">
    <w:abstractNumId w:val="16"/>
  </w:num>
  <w:num w:numId="14">
    <w:abstractNumId w:val="21"/>
  </w:num>
  <w:num w:numId="15">
    <w:abstractNumId w:val="22"/>
  </w:num>
  <w:num w:numId="16">
    <w:abstractNumId w:val="3"/>
  </w:num>
  <w:num w:numId="17">
    <w:abstractNumId w:val="19"/>
  </w:num>
  <w:num w:numId="18">
    <w:abstractNumId w:val="9"/>
  </w:num>
  <w:num w:numId="19">
    <w:abstractNumId w:val="24"/>
  </w:num>
  <w:num w:numId="20">
    <w:abstractNumId w:val="10"/>
  </w:num>
  <w:num w:numId="21">
    <w:abstractNumId w:val="23"/>
  </w:num>
  <w:num w:numId="22">
    <w:abstractNumId w:val="12"/>
  </w:num>
  <w:num w:numId="23">
    <w:abstractNumId w:val="15"/>
  </w:num>
  <w:num w:numId="24">
    <w:abstractNumId w:val="17"/>
  </w:num>
  <w:num w:numId="25">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Danwen [MEDCN Non-J&amp;J]">
    <w15:presenceInfo w15:providerId="AD" w15:userId="S::DYang59@its.jnj.com::ad62e071-a8c7-4812-ae88-91cefb185488"/>
  </w15:person>
  <w15:person w15:author="Zhang, Xin [MEDCN]">
    <w15:presenceInfo w15:providerId="AD" w15:userId="S::XZhan355@its.jnj.com::9642fc47-bac9-4d0f-a268-f17faa405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CB"/>
    <w:rsid w:val="000102EB"/>
    <w:rsid w:val="000112AD"/>
    <w:rsid w:val="00022056"/>
    <w:rsid w:val="000460CB"/>
    <w:rsid w:val="0006080D"/>
    <w:rsid w:val="000B1E43"/>
    <w:rsid w:val="000C61BF"/>
    <w:rsid w:val="000F1B71"/>
    <w:rsid w:val="00115804"/>
    <w:rsid w:val="00144FCB"/>
    <w:rsid w:val="001543C2"/>
    <w:rsid w:val="00177488"/>
    <w:rsid w:val="00195683"/>
    <w:rsid w:val="001B600A"/>
    <w:rsid w:val="001F0A9D"/>
    <w:rsid w:val="00214C82"/>
    <w:rsid w:val="00247616"/>
    <w:rsid w:val="002642ED"/>
    <w:rsid w:val="00276A23"/>
    <w:rsid w:val="002E5E4C"/>
    <w:rsid w:val="002E7824"/>
    <w:rsid w:val="002F290D"/>
    <w:rsid w:val="00302512"/>
    <w:rsid w:val="00304544"/>
    <w:rsid w:val="00307C74"/>
    <w:rsid w:val="00315D79"/>
    <w:rsid w:val="003A58C6"/>
    <w:rsid w:val="00406BED"/>
    <w:rsid w:val="00426630"/>
    <w:rsid w:val="00451E97"/>
    <w:rsid w:val="004C0000"/>
    <w:rsid w:val="004C2992"/>
    <w:rsid w:val="004D7E1D"/>
    <w:rsid w:val="0050117E"/>
    <w:rsid w:val="0057192E"/>
    <w:rsid w:val="0058512C"/>
    <w:rsid w:val="005F716C"/>
    <w:rsid w:val="006265A2"/>
    <w:rsid w:val="00650F52"/>
    <w:rsid w:val="00653571"/>
    <w:rsid w:val="00680E40"/>
    <w:rsid w:val="006D439A"/>
    <w:rsid w:val="007957D2"/>
    <w:rsid w:val="007E6307"/>
    <w:rsid w:val="008118B9"/>
    <w:rsid w:val="008169F6"/>
    <w:rsid w:val="0089014D"/>
    <w:rsid w:val="008D427B"/>
    <w:rsid w:val="00900CA0"/>
    <w:rsid w:val="009026D4"/>
    <w:rsid w:val="0092203A"/>
    <w:rsid w:val="00961480"/>
    <w:rsid w:val="009633B5"/>
    <w:rsid w:val="00981FCF"/>
    <w:rsid w:val="009962AA"/>
    <w:rsid w:val="009E5E7E"/>
    <w:rsid w:val="00A275E1"/>
    <w:rsid w:val="00A34F4E"/>
    <w:rsid w:val="00A65691"/>
    <w:rsid w:val="00A66084"/>
    <w:rsid w:val="00A71969"/>
    <w:rsid w:val="00A951CF"/>
    <w:rsid w:val="00AC2BA5"/>
    <w:rsid w:val="00AD1608"/>
    <w:rsid w:val="00AE2AE8"/>
    <w:rsid w:val="00B8550C"/>
    <w:rsid w:val="00BB05AA"/>
    <w:rsid w:val="00BD48D9"/>
    <w:rsid w:val="00C961FA"/>
    <w:rsid w:val="00D018C0"/>
    <w:rsid w:val="00D03A83"/>
    <w:rsid w:val="00D2299A"/>
    <w:rsid w:val="00D25487"/>
    <w:rsid w:val="00D42E1E"/>
    <w:rsid w:val="00D45271"/>
    <w:rsid w:val="00D528AC"/>
    <w:rsid w:val="00D9648F"/>
    <w:rsid w:val="00DC49CD"/>
    <w:rsid w:val="00DD3496"/>
    <w:rsid w:val="00DF7BFC"/>
    <w:rsid w:val="00E564E5"/>
    <w:rsid w:val="00E830B4"/>
    <w:rsid w:val="00ED2136"/>
    <w:rsid w:val="00EE702C"/>
    <w:rsid w:val="00F07203"/>
    <w:rsid w:val="00F3442F"/>
    <w:rsid w:val="00F85E01"/>
    <w:rsid w:val="00F86DFD"/>
    <w:rsid w:val="00F923E1"/>
    <w:rsid w:val="00FB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D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Char"/>
    <w:uiPriority w:val="1"/>
    <w:qFormat/>
    <w:pPr>
      <w:ind w:left="1180" w:hanging="1080"/>
      <w:outlineLvl w:val="0"/>
    </w:pPr>
    <w:rPr>
      <w:rFonts w:ascii="Times New Roman" w:eastAsia="Times New Roman" w:hAnsi="Times New Roman"/>
      <w:b/>
      <w:bCs/>
      <w:sz w:val="36"/>
      <w:szCs w:val="36"/>
    </w:rPr>
  </w:style>
  <w:style w:type="paragraph" w:styleId="2">
    <w:name w:val="heading 2"/>
    <w:basedOn w:val="a"/>
    <w:link w:val="2Char"/>
    <w:uiPriority w:val="1"/>
    <w:qFormat/>
    <w:pPr>
      <w:ind w:left="460" w:hanging="360"/>
      <w:outlineLvl w:val="1"/>
    </w:pPr>
    <w:rPr>
      <w:rFonts w:ascii="Times New Roman" w:eastAsia="Times New Roman" w:hAnsi="Times New Roman"/>
      <w:b/>
      <w:bCs/>
      <w:i/>
      <w:sz w:val="28"/>
      <w:szCs w:val="28"/>
    </w:rPr>
  </w:style>
  <w:style w:type="paragraph" w:styleId="3">
    <w:name w:val="heading 3"/>
    <w:basedOn w:val="a"/>
    <w:uiPriority w:val="1"/>
    <w:qFormat/>
    <w:pPr>
      <w:ind w:left="459" w:hanging="360"/>
      <w:outlineLvl w:val="2"/>
    </w:pPr>
    <w:rPr>
      <w:rFonts w:ascii="Times New Roman" w:eastAsia="Times New Roman" w:hAnsi="Times New Roman"/>
      <w:b/>
      <w:bCs/>
      <w:sz w:val="24"/>
      <w:szCs w:val="24"/>
    </w:rPr>
  </w:style>
  <w:style w:type="paragraph" w:styleId="4">
    <w:name w:val="heading 4"/>
    <w:basedOn w:val="a"/>
    <w:link w:val="4Char"/>
    <w:uiPriority w:val="1"/>
    <w:qFormat/>
    <w:pPr>
      <w:ind w:left="800" w:hanging="360"/>
      <w:outlineLvl w:val="3"/>
    </w:pPr>
    <w:rPr>
      <w:rFonts w:ascii="Times New Roman" w:eastAsia="Times New Roman" w:hAnsi="Times New Roman"/>
      <w:b/>
      <w:bCs/>
      <w:i/>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39"/>
      <w:ind w:left="700" w:hanging="600"/>
    </w:pPr>
    <w:rPr>
      <w:rFonts w:ascii="Times New Roman" w:eastAsia="Times New Roman" w:hAnsi="Times New Roman"/>
      <w:b/>
      <w:bCs/>
      <w:sz w:val="20"/>
      <w:szCs w:val="20"/>
    </w:rPr>
  </w:style>
  <w:style w:type="paragraph" w:styleId="20">
    <w:name w:val="toc 2"/>
    <w:basedOn w:val="a"/>
    <w:uiPriority w:val="39"/>
    <w:qFormat/>
    <w:pPr>
      <w:ind w:left="900" w:hanging="600"/>
    </w:pPr>
    <w:rPr>
      <w:rFonts w:ascii="Times New Roman" w:eastAsia="Times New Roman" w:hAnsi="Times New Roman"/>
      <w:sz w:val="16"/>
      <w:szCs w:val="16"/>
    </w:rPr>
  </w:style>
  <w:style w:type="paragraph" w:styleId="30">
    <w:name w:val="toc 3"/>
    <w:basedOn w:val="a"/>
    <w:uiPriority w:val="39"/>
    <w:qFormat/>
    <w:pPr>
      <w:ind w:left="900" w:hanging="600"/>
    </w:pPr>
    <w:rPr>
      <w:rFonts w:ascii="Times New Roman" w:eastAsia="Times New Roman" w:hAnsi="Times New Roman"/>
      <w:b/>
      <w:bCs/>
      <w:i/>
    </w:rPr>
  </w:style>
  <w:style w:type="paragraph" w:styleId="40">
    <w:name w:val="toc 4"/>
    <w:basedOn w:val="a"/>
    <w:uiPriority w:val="1"/>
    <w:qFormat/>
    <w:pPr>
      <w:ind w:left="900" w:hanging="401"/>
    </w:pPr>
    <w:rPr>
      <w:rFonts w:ascii="Times New Roman" w:eastAsia="Times New Roman" w:hAnsi="Times New Roman"/>
      <w:b/>
      <w:bCs/>
      <w:i/>
      <w:sz w:val="20"/>
      <w:szCs w:val="20"/>
    </w:rPr>
  </w:style>
  <w:style w:type="paragraph" w:styleId="5">
    <w:name w:val="toc 5"/>
    <w:basedOn w:val="a"/>
    <w:uiPriority w:val="1"/>
    <w:qFormat/>
    <w:pPr>
      <w:ind w:left="900" w:hanging="401"/>
    </w:pPr>
    <w:rPr>
      <w:rFonts w:ascii="Times New Roman" w:eastAsia="Times New Roman" w:hAnsi="Times New Roman"/>
      <w:b/>
      <w:bCs/>
      <w:i/>
    </w:rPr>
  </w:style>
  <w:style w:type="paragraph" w:styleId="a3">
    <w:name w:val="Balloon Text"/>
    <w:basedOn w:val="a"/>
    <w:link w:val="Char"/>
    <w:uiPriority w:val="99"/>
    <w:semiHidden/>
    <w:unhideWhenUsed/>
    <w:rsid w:val="0050117E"/>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Char">
    <w:name w:val="批注框文本 Char"/>
    <w:basedOn w:val="a0"/>
    <w:link w:val="a3"/>
    <w:uiPriority w:val="99"/>
    <w:semiHidden/>
    <w:rsid w:val="0050117E"/>
    <w:rPr>
      <w:sz w:val="18"/>
      <w:szCs w:val="18"/>
    </w:rPr>
  </w:style>
  <w:style w:type="table" w:styleId="a5">
    <w:name w:val="Table Grid"/>
    <w:basedOn w:val="a1"/>
    <w:uiPriority w:val="59"/>
    <w:rsid w:val="0050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5011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0117E"/>
    <w:rPr>
      <w:sz w:val="18"/>
      <w:szCs w:val="18"/>
    </w:rPr>
  </w:style>
  <w:style w:type="paragraph" w:styleId="a7">
    <w:name w:val="footer"/>
    <w:basedOn w:val="a"/>
    <w:link w:val="Char1"/>
    <w:uiPriority w:val="99"/>
    <w:unhideWhenUsed/>
    <w:rsid w:val="0050117E"/>
    <w:pPr>
      <w:tabs>
        <w:tab w:val="center" w:pos="4153"/>
        <w:tab w:val="right" w:pos="8306"/>
      </w:tabs>
      <w:snapToGrid w:val="0"/>
    </w:pPr>
    <w:rPr>
      <w:sz w:val="18"/>
      <w:szCs w:val="18"/>
    </w:rPr>
  </w:style>
  <w:style w:type="character" w:customStyle="1" w:styleId="Char1">
    <w:name w:val="页脚 Char"/>
    <w:basedOn w:val="a0"/>
    <w:link w:val="a7"/>
    <w:uiPriority w:val="99"/>
    <w:rsid w:val="0050117E"/>
    <w:rPr>
      <w:sz w:val="18"/>
      <w:szCs w:val="18"/>
    </w:rPr>
  </w:style>
  <w:style w:type="paragraph" w:customStyle="1" w:styleId="11">
    <w:name w:val="样式1"/>
    <w:basedOn w:val="1"/>
    <w:link w:val="1Char0"/>
    <w:uiPriority w:val="1"/>
    <w:qFormat/>
    <w:rsid w:val="00B8550C"/>
    <w:pPr>
      <w:tabs>
        <w:tab w:val="left" w:pos="1134"/>
      </w:tabs>
      <w:adjustRightInd w:val="0"/>
      <w:snapToGrid w:val="0"/>
      <w:spacing w:beforeLines="50" w:before="120" w:line="300" w:lineRule="auto"/>
      <w:ind w:left="0" w:firstLine="0"/>
      <w:jc w:val="both"/>
    </w:pPr>
    <w:rPr>
      <w:rFonts w:cs="Times New Roman"/>
      <w:snapToGrid w:val="0"/>
      <w:sz w:val="32"/>
      <w:szCs w:val="32"/>
    </w:rPr>
  </w:style>
  <w:style w:type="paragraph" w:customStyle="1" w:styleId="21">
    <w:name w:val="样式2"/>
    <w:basedOn w:val="2"/>
    <w:link w:val="2Char0"/>
    <w:uiPriority w:val="1"/>
    <w:qFormat/>
    <w:rsid w:val="00A275E1"/>
    <w:pPr>
      <w:adjustRightInd w:val="0"/>
      <w:snapToGrid w:val="0"/>
      <w:spacing w:beforeLines="50" w:before="120" w:line="300" w:lineRule="auto"/>
      <w:ind w:left="424" w:hangingChars="151" w:hanging="424"/>
      <w:jc w:val="both"/>
    </w:pPr>
    <w:rPr>
      <w:rFonts w:cs="Times New Roman"/>
      <w:snapToGrid w:val="0"/>
    </w:rPr>
  </w:style>
  <w:style w:type="character" w:customStyle="1" w:styleId="1Char">
    <w:name w:val="标题 1 Char"/>
    <w:basedOn w:val="a0"/>
    <w:link w:val="1"/>
    <w:uiPriority w:val="1"/>
    <w:rsid w:val="00B8550C"/>
    <w:rPr>
      <w:rFonts w:ascii="Times New Roman" w:eastAsia="Times New Roman" w:hAnsi="Times New Roman"/>
      <w:b/>
      <w:bCs/>
      <w:sz w:val="36"/>
      <w:szCs w:val="36"/>
    </w:rPr>
  </w:style>
  <w:style w:type="character" w:customStyle="1" w:styleId="1Char0">
    <w:name w:val="样式1 Char"/>
    <w:basedOn w:val="1Char"/>
    <w:link w:val="11"/>
    <w:uiPriority w:val="1"/>
    <w:rsid w:val="00B8550C"/>
    <w:rPr>
      <w:rFonts w:ascii="Times New Roman" w:eastAsia="Times New Roman" w:hAnsi="Times New Roman" w:cs="Times New Roman"/>
      <w:b/>
      <w:bCs/>
      <w:snapToGrid w:val="0"/>
      <w:sz w:val="32"/>
      <w:szCs w:val="32"/>
    </w:rPr>
  </w:style>
  <w:style w:type="paragraph" w:customStyle="1" w:styleId="31">
    <w:name w:val="样式3"/>
    <w:basedOn w:val="4"/>
    <w:link w:val="3Char"/>
    <w:uiPriority w:val="1"/>
    <w:qFormat/>
    <w:rsid w:val="00A66084"/>
    <w:pPr>
      <w:tabs>
        <w:tab w:val="left" w:pos="820"/>
      </w:tabs>
      <w:adjustRightInd w:val="0"/>
      <w:snapToGrid w:val="0"/>
      <w:spacing w:beforeLines="50" w:before="120" w:line="300" w:lineRule="auto"/>
      <w:ind w:leftChars="193" w:left="425" w:firstLine="0"/>
      <w:jc w:val="both"/>
    </w:pPr>
    <w:rPr>
      <w:rFonts w:cs="Times New Roman"/>
      <w:snapToGrid w:val="0"/>
      <w:u w:val="none"/>
    </w:rPr>
  </w:style>
  <w:style w:type="character" w:customStyle="1" w:styleId="2Char">
    <w:name w:val="标题 2 Char"/>
    <w:basedOn w:val="a0"/>
    <w:link w:val="2"/>
    <w:uiPriority w:val="1"/>
    <w:rsid w:val="00A275E1"/>
    <w:rPr>
      <w:rFonts w:ascii="Times New Roman" w:eastAsia="Times New Roman" w:hAnsi="Times New Roman"/>
      <w:b/>
      <w:bCs/>
      <w:i/>
      <w:sz w:val="28"/>
      <w:szCs w:val="28"/>
    </w:rPr>
  </w:style>
  <w:style w:type="character" w:customStyle="1" w:styleId="2Char0">
    <w:name w:val="样式2 Char"/>
    <w:basedOn w:val="2Char"/>
    <w:link w:val="21"/>
    <w:uiPriority w:val="1"/>
    <w:rsid w:val="00A275E1"/>
    <w:rPr>
      <w:rFonts w:ascii="Times New Roman" w:eastAsia="Times New Roman" w:hAnsi="Times New Roman" w:cs="Times New Roman"/>
      <w:b/>
      <w:bCs/>
      <w:i/>
      <w:snapToGrid w:val="0"/>
      <w:sz w:val="28"/>
      <w:szCs w:val="28"/>
    </w:rPr>
  </w:style>
  <w:style w:type="character" w:styleId="a8">
    <w:name w:val="Hyperlink"/>
    <w:basedOn w:val="a0"/>
    <w:uiPriority w:val="99"/>
    <w:unhideWhenUsed/>
    <w:rsid w:val="00A951CF"/>
    <w:rPr>
      <w:color w:val="0000FF" w:themeColor="hyperlink"/>
      <w:u w:val="single"/>
    </w:rPr>
  </w:style>
  <w:style w:type="character" w:customStyle="1" w:styleId="4Char">
    <w:name w:val="标题 4 Char"/>
    <w:basedOn w:val="a0"/>
    <w:link w:val="4"/>
    <w:uiPriority w:val="1"/>
    <w:rsid w:val="00A66084"/>
    <w:rPr>
      <w:rFonts w:ascii="Times New Roman" w:eastAsia="Times New Roman" w:hAnsi="Times New Roman"/>
      <w:b/>
      <w:bCs/>
      <w:i/>
      <w:sz w:val="24"/>
      <w:szCs w:val="24"/>
      <w:u w:val="single"/>
    </w:rPr>
  </w:style>
  <w:style w:type="character" w:customStyle="1" w:styleId="3Char">
    <w:name w:val="样式3 Char"/>
    <w:basedOn w:val="4Char"/>
    <w:link w:val="31"/>
    <w:uiPriority w:val="1"/>
    <w:rsid w:val="00A66084"/>
    <w:rPr>
      <w:rFonts w:ascii="Times New Roman" w:eastAsia="Times New Roman" w:hAnsi="Times New Roman" w:cs="Times New Roman"/>
      <w:b/>
      <w:bCs/>
      <w:i/>
      <w:snapToGrid w:val="0"/>
      <w:sz w:val="24"/>
      <w:szCs w:val="24"/>
      <w:u w:val="single"/>
    </w:rPr>
  </w:style>
  <w:style w:type="paragraph" w:styleId="a9">
    <w:name w:val="Revision"/>
    <w:hidden/>
    <w:uiPriority w:val="99"/>
    <w:semiHidden/>
    <w:rsid w:val="00F86DFD"/>
    <w:pPr>
      <w:widowControl/>
    </w:pPr>
  </w:style>
  <w:style w:type="character" w:customStyle="1" w:styleId="UnresolvedMention">
    <w:name w:val="Unresolved Mention"/>
    <w:basedOn w:val="a0"/>
    <w:uiPriority w:val="99"/>
    <w:semiHidden/>
    <w:unhideWhenUsed/>
    <w:rsid w:val="0092203A"/>
    <w:rPr>
      <w:color w:val="605E5C"/>
      <w:shd w:val="clear" w:color="auto" w:fill="E1DFDD"/>
    </w:rPr>
  </w:style>
  <w:style w:type="character" w:styleId="aa">
    <w:name w:val="annotation reference"/>
    <w:basedOn w:val="a0"/>
    <w:uiPriority w:val="99"/>
    <w:semiHidden/>
    <w:unhideWhenUsed/>
    <w:rsid w:val="000112AD"/>
    <w:rPr>
      <w:sz w:val="21"/>
      <w:szCs w:val="21"/>
    </w:rPr>
  </w:style>
  <w:style w:type="paragraph" w:styleId="ab">
    <w:name w:val="annotation text"/>
    <w:basedOn w:val="a"/>
    <w:link w:val="Char2"/>
    <w:uiPriority w:val="99"/>
    <w:semiHidden/>
    <w:unhideWhenUsed/>
    <w:rsid w:val="000112AD"/>
  </w:style>
  <w:style w:type="character" w:customStyle="1" w:styleId="Char2">
    <w:name w:val="批注文字 Char"/>
    <w:basedOn w:val="a0"/>
    <w:link w:val="ab"/>
    <w:uiPriority w:val="99"/>
    <w:semiHidden/>
    <w:rsid w:val="000112AD"/>
  </w:style>
  <w:style w:type="paragraph" w:styleId="ac">
    <w:name w:val="annotation subject"/>
    <w:basedOn w:val="ab"/>
    <w:next w:val="ab"/>
    <w:link w:val="Char3"/>
    <w:uiPriority w:val="99"/>
    <w:semiHidden/>
    <w:unhideWhenUsed/>
    <w:rsid w:val="000112AD"/>
    <w:rPr>
      <w:b/>
      <w:bCs/>
    </w:rPr>
  </w:style>
  <w:style w:type="character" w:customStyle="1" w:styleId="Char3">
    <w:name w:val="批注主题 Char"/>
    <w:basedOn w:val="Char2"/>
    <w:link w:val="ac"/>
    <w:uiPriority w:val="99"/>
    <w:semiHidden/>
    <w:rsid w:val="000112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Char"/>
    <w:uiPriority w:val="1"/>
    <w:qFormat/>
    <w:pPr>
      <w:ind w:left="1180" w:hanging="1080"/>
      <w:outlineLvl w:val="0"/>
    </w:pPr>
    <w:rPr>
      <w:rFonts w:ascii="Times New Roman" w:eastAsia="Times New Roman" w:hAnsi="Times New Roman"/>
      <w:b/>
      <w:bCs/>
      <w:sz w:val="36"/>
      <w:szCs w:val="36"/>
    </w:rPr>
  </w:style>
  <w:style w:type="paragraph" w:styleId="2">
    <w:name w:val="heading 2"/>
    <w:basedOn w:val="a"/>
    <w:link w:val="2Char"/>
    <w:uiPriority w:val="1"/>
    <w:qFormat/>
    <w:pPr>
      <w:ind w:left="460" w:hanging="360"/>
      <w:outlineLvl w:val="1"/>
    </w:pPr>
    <w:rPr>
      <w:rFonts w:ascii="Times New Roman" w:eastAsia="Times New Roman" w:hAnsi="Times New Roman"/>
      <w:b/>
      <w:bCs/>
      <w:i/>
      <w:sz w:val="28"/>
      <w:szCs w:val="28"/>
    </w:rPr>
  </w:style>
  <w:style w:type="paragraph" w:styleId="3">
    <w:name w:val="heading 3"/>
    <w:basedOn w:val="a"/>
    <w:uiPriority w:val="1"/>
    <w:qFormat/>
    <w:pPr>
      <w:ind w:left="459" w:hanging="360"/>
      <w:outlineLvl w:val="2"/>
    </w:pPr>
    <w:rPr>
      <w:rFonts w:ascii="Times New Roman" w:eastAsia="Times New Roman" w:hAnsi="Times New Roman"/>
      <w:b/>
      <w:bCs/>
      <w:sz w:val="24"/>
      <w:szCs w:val="24"/>
    </w:rPr>
  </w:style>
  <w:style w:type="paragraph" w:styleId="4">
    <w:name w:val="heading 4"/>
    <w:basedOn w:val="a"/>
    <w:link w:val="4Char"/>
    <w:uiPriority w:val="1"/>
    <w:qFormat/>
    <w:pPr>
      <w:ind w:left="800" w:hanging="360"/>
      <w:outlineLvl w:val="3"/>
    </w:pPr>
    <w:rPr>
      <w:rFonts w:ascii="Times New Roman" w:eastAsia="Times New Roman" w:hAnsi="Times New Roman"/>
      <w:b/>
      <w:bCs/>
      <w:i/>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39"/>
      <w:ind w:left="700" w:hanging="600"/>
    </w:pPr>
    <w:rPr>
      <w:rFonts w:ascii="Times New Roman" w:eastAsia="Times New Roman" w:hAnsi="Times New Roman"/>
      <w:b/>
      <w:bCs/>
      <w:sz w:val="20"/>
      <w:szCs w:val="20"/>
    </w:rPr>
  </w:style>
  <w:style w:type="paragraph" w:styleId="20">
    <w:name w:val="toc 2"/>
    <w:basedOn w:val="a"/>
    <w:uiPriority w:val="39"/>
    <w:qFormat/>
    <w:pPr>
      <w:ind w:left="900" w:hanging="600"/>
    </w:pPr>
    <w:rPr>
      <w:rFonts w:ascii="Times New Roman" w:eastAsia="Times New Roman" w:hAnsi="Times New Roman"/>
      <w:sz w:val="16"/>
      <w:szCs w:val="16"/>
    </w:rPr>
  </w:style>
  <w:style w:type="paragraph" w:styleId="30">
    <w:name w:val="toc 3"/>
    <w:basedOn w:val="a"/>
    <w:uiPriority w:val="39"/>
    <w:qFormat/>
    <w:pPr>
      <w:ind w:left="900" w:hanging="600"/>
    </w:pPr>
    <w:rPr>
      <w:rFonts w:ascii="Times New Roman" w:eastAsia="Times New Roman" w:hAnsi="Times New Roman"/>
      <w:b/>
      <w:bCs/>
      <w:i/>
    </w:rPr>
  </w:style>
  <w:style w:type="paragraph" w:styleId="40">
    <w:name w:val="toc 4"/>
    <w:basedOn w:val="a"/>
    <w:uiPriority w:val="1"/>
    <w:qFormat/>
    <w:pPr>
      <w:ind w:left="900" w:hanging="401"/>
    </w:pPr>
    <w:rPr>
      <w:rFonts w:ascii="Times New Roman" w:eastAsia="Times New Roman" w:hAnsi="Times New Roman"/>
      <w:b/>
      <w:bCs/>
      <w:i/>
      <w:sz w:val="20"/>
      <w:szCs w:val="20"/>
    </w:rPr>
  </w:style>
  <w:style w:type="paragraph" w:styleId="5">
    <w:name w:val="toc 5"/>
    <w:basedOn w:val="a"/>
    <w:uiPriority w:val="1"/>
    <w:qFormat/>
    <w:pPr>
      <w:ind w:left="900" w:hanging="401"/>
    </w:pPr>
    <w:rPr>
      <w:rFonts w:ascii="Times New Roman" w:eastAsia="Times New Roman" w:hAnsi="Times New Roman"/>
      <w:b/>
      <w:bCs/>
      <w:i/>
    </w:rPr>
  </w:style>
  <w:style w:type="paragraph" w:styleId="a3">
    <w:name w:val="Balloon Text"/>
    <w:basedOn w:val="a"/>
    <w:link w:val="Char"/>
    <w:uiPriority w:val="99"/>
    <w:semiHidden/>
    <w:unhideWhenUsed/>
    <w:rsid w:val="0050117E"/>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Char">
    <w:name w:val="批注框文本 Char"/>
    <w:basedOn w:val="a0"/>
    <w:link w:val="a3"/>
    <w:uiPriority w:val="99"/>
    <w:semiHidden/>
    <w:rsid w:val="0050117E"/>
    <w:rPr>
      <w:sz w:val="18"/>
      <w:szCs w:val="18"/>
    </w:rPr>
  </w:style>
  <w:style w:type="table" w:styleId="a5">
    <w:name w:val="Table Grid"/>
    <w:basedOn w:val="a1"/>
    <w:uiPriority w:val="59"/>
    <w:rsid w:val="0050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5011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0117E"/>
    <w:rPr>
      <w:sz w:val="18"/>
      <w:szCs w:val="18"/>
    </w:rPr>
  </w:style>
  <w:style w:type="paragraph" w:styleId="a7">
    <w:name w:val="footer"/>
    <w:basedOn w:val="a"/>
    <w:link w:val="Char1"/>
    <w:uiPriority w:val="99"/>
    <w:unhideWhenUsed/>
    <w:rsid w:val="0050117E"/>
    <w:pPr>
      <w:tabs>
        <w:tab w:val="center" w:pos="4153"/>
        <w:tab w:val="right" w:pos="8306"/>
      </w:tabs>
      <w:snapToGrid w:val="0"/>
    </w:pPr>
    <w:rPr>
      <w:sz w:val="18"/>
      <w:szCs w:val="18"/>
    </w:rPr>
  </w:style>
  <w:style w:type="character" w:customStyle="1" w:styleId="Char1">
    <w:name w:val="页脚 Char"/>
    <w:basedOn w:val="a0"/>
    <w:link w:val="a7"/>
    <w:uiPriority w:val="99"/>
    <w:rsid w:val="0050117E"/>
    <w:rPr>
      <w:sz w:val="18"/>
      <w:szCs w:val="18"/>
    </w:rPr>
  </w:style>
  <w:style w:type="paragraph" w:customStyle="1" w:styleId="11">
    <w:name w:val="样式1"/>
    <w:basedOn w:val="1"/>
    <w:link w:val="1Char0"/>
    <w:uiPriority w:val="1"/>
    <w:qFormat/>
    <w:rsid w:val="00B8550C"/>
    <w:pPr>
      <w:tabs>
        <w:tab w:val="left" w:pos="1134"/>
      </w:tabs>
      <w:adjustRightInd w:val="0"/>
      <w:snapToGrid w:val="0"/>
      <w:spacing w:beforeLines="50" w:before="120" w:line="300" w:lineRule="auto"/>
      <w:ind w:left="0" w:firstLine="0"/>
      <w:jc w:val="both"/>
    </w:pPr>
    <w:rPr>
      <w:rFonts w:cs="Times New Roman"/>
      <w:snapToGrid w:val="0"/>
      <w:sz w:val="32"/>
      <w:szCs w:val="32"/>
    </w:rPr>
  </w:style>
  <w:style w:type="paragraph" w:customStyle="1" w:styleId="21">
    <w:name w:val="样式2"/>
    <w:basedOn w:val="2"/>
    <w:link w:val="2Char0"/>
    <w:uiPriority w:val="1"/>
    <w:qFormat/>
    <w:rsid w:val="00A275E1"/>
    <w:pPr>
      <w:adjustRightInd w:val="0"/>
      <w:snapToGrid w:val="0"/>
      <w:spacing w:beforeLines="50" w:before="120" w:line="300" w:lineRule="auto"/>
      <w:ind w:left="424" w:hangingChars="151" w:hanging="424"/>
      <w:jc w:val="both"/>
    </w:pPr>
    <w:rPr>
      <w:rFonts w:cs="Times New Roman"/>
      <w:snapToGrid w:val="0"/>
    </w:rPr>
  </w:style>
  <w:style w:type="character" w:customStyle="1" w:styleId="1Char">
    <w:name w:val="标题 1 Char"/>
    <w:basedOn w:val="a0"/>
    <w:link w:val="1"/>
    <w:uiPriority w:val="1"/>
    <w:rsid w:val="00B8550C"/>
    <w:rPr>
      <w:rFonts w:ascii="Times New Roman" w:eastAsia="Times New Roman" w:hAnsi="Times New Roman"/>
      <w:b/>
      <w:bCs/>
      <w:sz w:val="36"/>
      <w:szCs w:val="36"/>
    </w:rPr>
  </w:style>
  <w:style w:type="character" w:customStyle="1" w:styleId="1Char0">
    <w:name w:val="样式1 Char"/>
    <w:basedOn w:val="1Char"/>
    <w:link w:val="11"/>
    <w:uiPriority w:val="1"/>
    <w:rsid w:val="00B8550C"/>
    <w:rPr>
      <w:rFonts w:ascii="Times New Roman" w:eastAsia="Times New Roman" w:hAnsi="Times New Roman" w:cs="Times New Roman"/>
      <w:b/>
      <w:bCs/>
      <w:snapToGrid w:val="0"/>
      <w:sz w:val="32"/>
      <w:szCs w:val="32"/>
    </w:rPr>
  </w:style>
  <w:style w:type="paragraph" w:customStyle="1" w:styleId="31">
    <w:name w:val="样式3"/>
    <w:basedOn w:val="4"/>
    <w:link w:val="3Char"/>
    <w:uiPriority w:val="1"/>
    <w:qFormat/>
    <w:rsid w:val="00A66084"/>
    <w:pPr>
      <w:tabs>
        <w:tab w:val="left" w:pos="820"/>
      </w:tabs>
      <w:adjustRightInd w:val="0"/>
      <w:snapToGrid w:val="0"/>
      <w:spacing w:beforeLines="50" w:before="120" w:line="300" w:lineRule="auto"/>
      <w:ind w:leftChars="193" w:left="425" w:firstLine="0"/>
      <w:jc w:val="both"/>
    </w:pPr>
    <w:rPr>
      <w:rFonts w:cs="Times New Roman"/>
      <w:snapToGrid w:val="0"/>
      <w:u w:val="none"/>
    </w:rPr>
  </w:style>
  <w:style w:type="character" w:customStyle="1" w:styleId="2Char">
    <w:name w:val="标题 2 Char"/>
    <w:basedOn w:val="a0"/>
    <w:link w:val="2"/>
    <w:uiPriority w:val="1"/>
    <w:rsid w:val="00A275E1"/>
    <w:rPr>
      <w:rFonts w:ascii="Times New Roman" w:eastAsia="Times New Roman" w:hAnsi="Times New Roman"/>
      <w:b/>
      <w:bCs/>
      <w:i/>
      <w:sz w:val="28"/>
      <w:szCs w:val="28"/>
    </w:rPr>
  </w:style>
  <w:style w:type="character" w:customStyle="1" w:styleId="2Char0">
    <w:name w:val="样式2 Char"/>
    <w:basedOn w:val="2Char"/>
    <w:link w:val="21"/>
    <w:uiPriority w:val="1"/>
    <w:rsid w:val="00A275E1"/>
    <w:rPr>
      <w:rFonts w:ascii="Times New Roman" w:eastAsia="Times New Roman" w:hAnsi="Times New Roman" w:cs="Times New Roman"/>
      <w:b/>
      <w:bCs/>
      <w:i/>
      <w:snapToGrid w:val="0"/>
      <w:sz w:val="28"/>
      <w:szCs w:val="28"/>
    </w:rPr>
  </w:style>
  <w:style w:type="character" w:styleId="a8">
    <w:name w:val="Hyperlink"/>
    <w:basedOn w:val="a0"/>
    <w:uiPriority w:val="99"/>
    <w:unhideWhenUsed/>
    <w:rsid w:val="00A951CF"/>
    <w:rPr>
      <w:color w:val="0000FF" w:themeColor="hyperlink"/>
      <w:u w:val="single"/>
    </w:rPr>
  </w:style>
  <w:style w:type="character" w:customStyle="1" w:styleId="4Char">
    <w:name w:val="标题 4 Char"/>
    <w:basedOn w:val="a0"/>
    <w:link w:val="4"/>
    <w:uiPriority w:val="1"/>
    <w:rsid w:val="00A66084"/>
    <w:rPr>
      <w:rFonts w:ascii="Times New Roman" w:eastAsia="Times New Roman" w:hAnsi="Times New Roman"/>
      <w:b/>
      <w:bCs/>
      <w:i/>
      <w:sz w:val="24"/>
      <w:szCs w:val="24"/>
      <w:u w:val="single"/>
    </w:rPr>
  </w:style>
  <w:style w:type="character" w:customStyle="1" w:styleId="3Char">
    <w:name w:val="样式3 Char"/>
    <w:basedOn w:val="4Char"/>
    <w:link w:val="31"/>
    <w:uiPriority w:val="1"/>
    <w:rsid w:val="00A66084"/>
    <w:rPr>
      <w:rFonts w:ascii="Times New Roman" w:eastAsia="Times New Roman" w:hAnsi="Times New Roman" w:cs="Times New Roman"/>
      <w:b/>
      <w:bCs/>
      <w:i/>
      <w:snapToGrid w:val="0"/>
      <w:sz w:val="24"/>
      <w:szCs w:val="24"/>
      <w:u w:val="single"/>
    </w:rPr>
  </w:style>
  <w:style w:type="paragraph" w:styleId="a9">
    <w:name w:val="Revision"/>
    <w:hidden/>
    <w:uiPriority w:val="99"/>
    <w:semiHidden/>
    <w:rsid w:val="00F86DFD"/>
    <w:pPr>
      <w:widowControl/>
    </w:pPr>
  </w:style>
  <w:style w:type="character" w:customStyle="1" w:styleId="UnresolvedMention">
    <w:name w:val="Unresolved Mention"/>
    <w:basedOn w:val="a0"/>
    <w:uiPriority w:val="99"/>
    <w:semiHidden/>
    <w:unhideWhenUsed/>
    <w:rsid w:val="0092203A"/>
    <w:rPr>
      <w:color w:val="605E5C"/>
      <w:shd w:val="clear" w:color="auto" w:fill="E1DFDD"/>
    </w:rPr>
  </w:style>
  <w:style w:type="character" w:styleId="aa">
    <w:name w:val="annotation reference"/>
    <w:basedOn w:val="a0"/>
    <w:uiPriority w:val="99"/>
    <w:semiHidden/>
    <w:unhideWhenUsed/>
    <w:rsid w:val="000112AD"/>
    <w:rPr>
      <w:sz w:val="21"/>
      <w:szCs w:val="21"/>
    </w:rPr>
  </w:style>
  <w:style w:type="paragraph" w:styleId="ab">
    <w:name w:val="annotation text"/>
    <w:basedOn w:val="a"/>
    <w:link w:val="Char2"/>
    <w:uiPriority w:val="99"/>
    <w:semiHidden/>
    <w:unhideWhenUsed/>
    <w:rsid w:val="000112AD"/>
  </w:style>
  <w:style w:type="character" w:customStyle="1" w:styleId="Char2">
    <w:name w:val="批注文字 Char"/>
    <w:basedOn w:val="a0"/>
    <w:link w:val="ab"/>
    <w:uiPriority w:val="99"/>
    <w:semiHidden/>
    <w:rsid w:val="000112AD"/>
  </w:style>
  <w:style w:type="paragraph" w:styleId="ac">
    <w:name w:val="annotation subject"/>
    <w:basedOn w:val="ab"/>
    <w:next w:val="ab"/>
    <w:link w:val="Char3"/>
    <w:uiPriority w:val="99"/>
    <w:semiHidden/>
    <w:unhideWhenUsed/>
    <w:rsid w:val="000112AD"/>
    <w:rPr>
      <w:b/>
      <w:bCs/>
    </w:rPr>
  </w:style>
  <w:style w:type="character" w:customStyle="1" w:styleId="Char3">
    <w:name w:val="批注主题 Char"/>
    <w:basedOn w:val="Char2"/>
    <w:link w:val="ac"/>
    <w:uiPriority w:val="99"/>
    <w:semiHidden/>
    <w:rsid w:val="00011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cessdata.fda.gov/scripts/cdrh/cfdocs/cfStandards/search.cfm" TargetMode="External"/><Relationship Id="rId18" Type="http://schemas.openxmlformats.org/officeDocument/2006/relationships/hyperlink" Target="https://www.fda.gov/regulatory-information/search-fda-guidance-documents/requests-feedback-and-meetings-medical-device-submissions-q-submission-program" TargetMode="External"/><Relationship Id="rId26" Type="http://schemas.openxmlformats.org/officeDocument/2006/relationships/hyperlink" Target="https://www.fda.gov/regulatory-information/search-fda-guidance-documents/postmarket-management-cybersecurity-medical-devic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da.gov/regulatory-information/search-fda-guidance-documents/%20guidance-content-" TargetMode="External"/><Relationship Id="rId34" Type="http://schemas.openxmlformats.org/officeDocument/2006/relationships/hyperlink" Target="https://www.fda.gov/medical-devices/premarket-notification-510k/how-prepare-special-510k" TargetMode="External"/><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fda.gov/regulatory-information/search-fda-guidance-documents/blood-glucose-monitoring-test-systems-prescription-point-care-use" TargetMode="External"/><Relationship Id="rId17" Type="http://schemas.openxmlformats.org/officeDocument/2006/relationships/hyperlink" Target="https://www.fda.gov/regulatory-information/search-fda-guidance-documents/requests-feedback-and-meetings-medical-device-submissions-q-submission-program" TargetMode="External"/><Relationship Id="rId25" Type="http://schemas.openxmlformats.org/officeDocument/2006/relationships/hyperlink" Target="https://www.fda.gov/media/123052/download" TargetMode="External"/><Relationship Id="rId33" Type="http://schemas.openxmlformats.org/officeDocument/2006/relationships/hyperlink" Target="https://www.fda.gov/regulatory-information/search-fda-guidance-documents/new-510k-paradigm-alternate-approaches-demonstrating-substantial-equivalence-premarket-notification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injectionsafety/blood-glucose-monitoring.html" TargetMode="External"/><Relationship Id="rId20" Type="http://schemas.openxmlformats.org/officeDocument/2006/relationships/hyperlink" Target="https://www.fda.gov/regulatory-information/search-fda-guidance-documents/guidance-content-premarket-submissions-software-contained-medical-devices" TargetMode="External"/><Relationship Id="rId29" Type="http://schemas.openxmlformats.org/officeDocument/2006/relationships/hyperlink" Target="https://www.fda.gov/medical-devices/device-labeling/vitro-diagnostic-device-labeling-requirements"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fda.gov/regulatory-information/search-fda-guidance-documents/content-premarket-submissions-management-cybersecurity-medical-devices-0" TargetMode="External"/><Relationship Id="rId32" Type="http://schemas.openxmlformats.org/officeDocument/2006/relationships/hyperlink" Target="http://www.cdc.gov/injectionsafety/blood-glucose-monitoring.html" TargetMode="External"/><Relationship Id="rId37" Type="http://schemas.openxmlformats.org/officeDocument/2006/relationships/hyperlink" Target="https://www.fda.gov/medical-devices/premarket-notification-510k/how-prepare-special-510k"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da.gov/regulatory-information/search-fda-guidance-documents/appropriate-use-voluntary-consensus-standards-premarket-submissions-medical-devices" TargetMode="External"/><Relationship Id="rId23" Type="http://schemas.openxmlformats.org/officeDocument/2006/relationships/hyperlink" Target="https://www.fda.gov/regulatory-information/search-fda-guidance-documents/%20content-premarket-" TargetMode="External"/><Relationship Id="rId28" Type="http://schemas.openxmlformats.org/officeDocument/2006/relationships/hyperlink" Target="https://www.fda.gov/regulatory-information/search-fda-guidance-documents/guidance-medical-device-patient-labeling" TargetMode="External"/><Relationship Id="rId36" Type="http://schemas.openxmlformats.org/officeDocument/2006/relationships/hyperlink" Target="https://www.fda.gov/regulatory-information/search-fda-guidance-documents/new-510k-paradigm-alternate-approaches-demonstrating-substantial-equivalence-premarket-notifications" TargetMode="External"/><Relationship Id="rId10" Type="http://schemas.openxmlformats.org/officeDocument/2006/relationships/hyperlink" Target="https://www.regulations.gov/" TargetMode="External"/><Relationship Id="rId19" Type="http://schemas.openxmlformats.org/officeDocument/2006/relationships/hyperlink" Target="https://www.fda.gov/regulatory-information/search-fda-guidance-documents/requests-feedback-and-meetings-medical-device-submissions-q-submission-program" TargetMode="External"/><Relationship Id="rId31" Type="http://schemas.openxmlformats.org/officeDocument/2006/relationships/hyperlink" Target="http://www.fda.gov/%20MedicalDevices/Safety/AlertsandNotices/ucm224025.htm"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da.gov/regulatory-information/search-fda-guidance-documents/appropriate-use-voluntary-consensus-standards-premarket-submissions-medical-devices" TargetMode="External"/><Relationship Id="rId22" Type="http://schemas.openxmlformats.org/officeDocument/2006/relationships/hyperlink" Target="https://www.fda.gov/regulatory-information/search-fda-guidance-documents/guidance-content-premarket-submissions-software-contained-medical-devices" TargetMode="External"/><Relationship Id="rId27" Type="http://schemas.openxmlformats.org/officeDocument/2006/relationships/hyperlink" Target="https://www.fda.gov/media/123052/download" TargetMode="External"/><Relationship Id="rId30" Type="http://schemas.openxmlformats.org/officeDocument/2006/relationships/hyperlink" Target="https://www.fda.gov/medical-devices/device-labeling/vitro-diagnostic-device-labeling-requirements" TargetMode="External"/><Relationship Id="rId35" Type="http://schemas.openxmlformats.org/officeDocument/2006/relationships/hyperlink" Target="https://www.fda.gov/regulatory-information/search-fda-guidance-documents/new-510k-" TargetMode="Externa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4C8AE-5FEC-4A4C-8211-A848B9D8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5640</Words>
  <Characters>32149</Characters>
  <Application>Microsoft Office Word</Application>
  <DocSecurity>0</DocSecurity>
  <Lines>267</Lines>
  <Paragraphs>75</Paragraphs>
  <ScaleCrop>false</ScaleCrop>
  <Company/>
  <LinksUpToDate>false</LinksUpToDate>
  <CharactersWithSpaces>37714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Self-Monitoring Blood Glucose Test Systems for Over-the-Counter Use - Guidance for Industry and Food and Drug Administration Staff</dc:title>
  <dc:creator>CDRH</dc:creator>
  <cp:lastModifiedBy>EDY</cp:lastModifiedBy>
  <cp:revision>12</cp:revision>
  <dcterms:created xsi:type="dcterms:W3CDTF">2022-03-07T07:45:00Z</dcterms:created>
  <dcterms:modified xsi:type="dcterms:W3CDTF">2022-06-08T01:58:00Z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LastSaved">
    <vt:filetime>2021-11-10T00:00:00Z</vt:filetime>
  </property>
</Properties>
</file>