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17CE0" w14:textId="267B7BE5" w:rsidR="002D1398" w:rsidRDefault="002D1398" w:rsidP="002D1398">
      <w:pPr>
        <w:pBdr>
          <w:top w:val="single" w:sz="18" w:space="1" w:color="auto"/>
        </w:pBdr>
        <w:adjustRightInd w:val="0"/>
        <w:snapToGrid w:val="0"/>
        <w:spacing w:beforeLines="50" w:before="120" w:line="300" w:lineRule="auto"/>
        <w:jc w:val="center"/>
        <w:rPr>
          <w:rFonts w:ascii="Times New Roman" w:hAnsi="Times New Roman" w:cs="Times New Roman"/>
          <w:snapToGrid w:val="0"/>
          <w:sz w:val="44"/>
          <w:szCs w:val="44"/>
          <w:lang w:eastAsia="zh-CN"/>
        </w:rPr>
      </w:pPr>
      <w:r w:rsidRPr="00742C75">
        <w:rPr>
          <w:rFonts w:ascii="Times New Roman" w:eastAsia="宋体" w:hAnsi="Times New Roman" w:cs="宋体"/>
          <w:b/>
          <w:sz w:val="44"/>
          <w:lang w:eastAsia="zh-CN"/>
        </w:rPr>
        <w:t>限制性给药系统：</w:t>
      </w:r>
      <w:r w:rsidRPr="009E1A2C">
        <w:rPr>
          <w:rFonts w:ascii="Times New Roman" w:eastAsia="宋体" w:hAnsi="Times New Roman" w:cs="宋体" w:hint="eastAsia"/>
          <w:b/>
          <w:sz w:val="44"/>
          <w:lang w:eastAsia="zh-CN"/>
        </w:rPr>
        <w:t>口服液</w:t>
      </w:r>
      <w:r w:rsidR="00EB5F76">
        <w:rPr>
          <w:rFonts w:ascii="Times New Roman" w:eastAsia="宋体" w:hAnsi="Times New Roman" w:cs="宋体" w:hint="eastAsia"/>
          <w:b/>
          <w:sz w:val="44"/>
          <w:lang w:eastAsia="zh-CN"/>
        </w:rPr>
        <w:t>药物</w:t>
      </w:r>
      <w:r w:rsidR="009020AE" w:rsidRPr="009E1A2C">
        <w:rPr>
          <w:rFonts w:ascii="Times New Roman" w:eastAsia="宋体" w:hAnsi="Times New Roman" w:cs="宋体" w:hint="eastAsia"/>
          <w:b/>
          <w:sz w:val="44"/>
          <w:lang w:eastAsia="zh-CN"/>
        </w:rPr>
        <w:t>体药物的</w:t>
      </w:r>
      <w:r w:rsidRPr="009E1A2C">
        <w:rPr>
          <w:rFonts w:ascii="Times New Roman" w:eastAsia="宋体" w:hAnsi="Times New Roman" w:cs="宋体" w:hint="eastAsia"/>
          <w:b/>
          <w:sz w:val="44"/>
          <w:lang w:eastAsia="zh-CN"/>
        </w:rPr>
        <w:t>限流器</w:t>
      </w:r>
    </w:p>
    <w:p w14:paraId="25A0A7D8" w14:textId="77777777" w:rsidR="002D1398" w:rsidRDefault="002D1398" w:rsidP="002D1398">
      <w:pPr>
        <w:adjustRightInd w:val="0"/>
        <w:snapToGrid w:val="0"/>
        <w:spacing w:beforeLines="50" w:before="120" w:line="300" w:lineRule="auto"/>
        <w:jc w:val="center"/>
        <w:rPr>
          <w:rFonts w:ascii="Times New Roman" w:hAnsi="Times New Roman" w:cs="Times New Roman"/>
          <w:snapToGrid w:val="0"/>
          <w:sz w:val="44"/>
          <w:szCs w:val="44"/>
          <w:lang w:eastAsia="zh-CN"/>
        </w:rPr>
      </w:pPr>
    </w:p>
    <w:p w14:paraId="1F53D6B9" w14:textId="77777777" w:rsidR="002D1398" w:rsidRDefault="0044021B" w:rsidP="002D1398">
      <w:pPr>
        <w:adjustRightInd w:val="0"/>
        <w:snapToGrid w:val="0"/>
        <w:spacing w:beforeLines="50" w:before="120" w:line="300" w:lineRule="auto"/>
        <w:jc w:val="center"/>
        <w:rPr>
          <w:rFonts w:ascii="Times New Roman" w:eastAsia="Times New Roman" w:hAnsi="Times New Roman" w:cs="Times New Roman"/>
          <w:snapToGrid w:val="0"/>
          <w:sz w:val="44"/>
          <w:szCs w:val="44"/>
          <w:lang w:eastAsia="zh-CN"/>
        </w:rPr>
      </w:pPr>
      <w:r w:rsidRPr="00742C75">
        <w:rPr>
          <w:rFonts w:ascii="Times New Roman" w:eastAsia="宋体" w:hAnsi="Times New Roman" w:cs="宋体"/>
          <w:sz w:val="44"/>
          <w:lang w:eastAsia="zh-CN"/>
        </w:rPr>
        <w:t>行业指南</w:t>
      </w:r>
    </w:p>
    <w:p w14:paraId="6E613518" w14:textId="77777777" w:rsidR="00CF33E5" w:rsidRPr="002D1398" w:rsidRDefault="00CF33E5" w:rsidP="002D139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23EDB46" w14:textId="77777777" w:rsidR="002D1398" w:rsidRDefault="0044021B" w:rsidP="002D1398">
      <w:pPr>
        <w:adjustRightInd w:val="0"/>
        <w:snapToGrid w:val="0"/>
        <w:spacing w:beforeLines="50" w:before="120" w:line="300" w:lineRule="auto"/>
        <w:jc w:val="center"/>
        <w:rPr>
          <w:rFonts w:ascii="Times New Roman" w:eastAsia="Times New Roman" w:hAnsi="Times New Roman" w:cs="Times New Roman"/>
          <w:snapToGrid w:val="0"/>
          <w:sz w:val="24"/>
          <w:szCs w:val="24"/>
          <w:lang w:eastAsia="zh-CN"/>
        </w:rPr>
      </w:pPr>
      <w:r w:rsidRPr="00742C75">
        <w:rPr>
          <w:rFonts w:ascii="Times New Roman" w:eastAsia="宋体" w:hAnsi="Times New Roman" w:cs="宋体"/>
          <w:b/>
          <w:i/>
          <w:sz w:val="24"/>
          <w:lang w:eastAsia="zh-CN"/>
        </w:rPr>
        <w:t>指南草案</w:t>
      </w:r>
    </w:p>
    <w:p w14:paraId="606EC227" w14:textId="7628E970" w:rsidR="002D1398" w:rsidRDefault="00352F18" w:rsidP="002D1398">
      <w:pPr>
        <w:pStyle w:val="3"/>
        <w:adjustRightInd w:val="0"/>
        <w:snapToGrid w:val="0"/>
        <w:spacing w:beforeLines="50" w:before="120" w:line="300" w:lineRule="auto"/>
        <w:ind w:left="0"/>
        <w:jc w:val="center"/>
        <w:rPr>
          <w:rFonts w:cs="Times New Roman"/>
          <w:b w:val="0"/>
          <w:bCs w:val="0"/>
          <w:snapToGrid w:val="0"/>
          <w:lang w:eastAsia="zh-CN"/>
        </w:rPr>
      </w:pPr>
      <w:r>
        <w:rPr>
          <w:rFonts w:eastAsia="宋体" w:cs="宋体"/>
          <w:lang w:eastAsia="zh-CN"/>
        </w:rPr>
        <w:t>本指南文件仅供征求意见</w:t>
      </w:r>
    </w:p>
    <w:p w14:paraId="141B3514" w14:textId="5709C5F1" w:rsidR="002D1398" w:rsidRDefault="0044021B" w:rsidP="002D1398">
      <w:pPr>
        <w:adjustRightInd w:val="0"/>
        <w:snapToGrid w:val="0"/>
        <w:spacing w:beforeLines="50" w:before="120" w:line="300" w:lineRule="auto"/>
        <w:jc w:val="both"/>
        <w:rPr>
          <w:rFonts w:ascii="Times New Roman" w:hAnsi="Times New Roman" w:cs="Times New Roman"/>
          <w:snapToGrid w:val="0"/>
          <w:sz w:val="24"/>
          <w:szCs w:val="24"/>
          <w:lang w:eastAsia="zh-CN"/>
        </w:rPr>
      </w:pPr>
      <w:r w:rsidRPr="00742C75">
        <w:rPr>
          <w:rFonts w:ascii="Times New Roman" w:eastAsia="宋体" w:hAnsi="Times New Roman" w:cs="宋体"/>
          <w:sz w:val="24"/>
          <w:lang w:eastAsia="zh-CN"/>
        </w:rPr>
        <w:t>应在《联邦公报》刊登通知向公众宣布已发布本草案指南后的</w:t>
      </w:r>
      <w:r w:rsidRPr="00742C75">
        <w:rPr>
          <w:rFonts w:ascii="Times New Roman" w:eastAsia="宋体" w:hAnsi="Times New Roman" w:cs="宋体"/>
          <w:sz w:val="24"/>
          <w:lang w:eastAsia="zh-CN"/>
        </w:rPr>
        <w:t>60</w:t>
      </w:r>
      <w:r w:rsidRPr="00742C75">
        <w:rPr>
          <w:rFonts w:ascii="Times New Roman" w:eastAsia="宋体" w:hAnsi="Times New Roman" w:cs="宋体"/>
          <w:sz w:val="24"/>
          <w:lang w:eastAsia="zh-CN"/>
        </w:rPr>
        <w:t>天内提出针对本文件草案的意见和建议。</w:t>
      </w:r>
      <w:r w:rsidRPr="00742C75">
        <w:rPr>
          <w:rFonts w:ascii="Times New Roman" w:eastAsia="宋体" w:hAnsi="Times New Roman" w:cs="宋体"/>
          <w:sz w:val="24"/>
        </w:rPr>
        <w:t>可将电子版意见或建议提交至</w:t>
      </w:r>
      <w:r w:rsidRPr="00742C75">
        <w:rPr>
          <w:rFonts w:ascii="Times New Roman" w:eastAsia="宋体" w:hAnsi="Times New Roman" w:cs="宋体"/>
          <w:color w:val="0000FF"/>
          <w:sz w:val="24"/>
          <w:u w:val="single"/>
        </w:rPr>
        <w:t>https://www.regulations.gov</w:t>
      </w:r>
      <w:r w:rsidRPr="00742C75">
        <w:rPr>
          <w:rFonts w:ascii="Times New Roman" w:eastAsia="宋体" w:hAnsi="Times New Roman" w:cs="宋体"/>
          <w:sz w:val="24"/>
        </w:rPr>
        <w:t>，亦可将书面意见提交至</w:t>
      </w:r>
      <w:r w:rsidR="0013406F">
        <w:rPr>
          <w:rFonts w:ascii="Times New Roman" w:eastAsia="宋体" w:hAnsi="Times New Roman" w:cs="宋体"/>
          <w:sz w:val="24"/>
        </w:rPr>
        <w:t>美国食品药品监督管理局</w:t>
      </w:r>
      <w:r w:rsidRPr="00742C75">
        <w:rPr>
          <w:rFonts w:ascii="Times New Roman" w:eastAsia="宋体" w:hAnsi="Times New Roman" w:cs="宋体"/>
          <w:sz w:val="24"/>
        </w:rPr>
        <w:t>备案文件管理部</w:t>
      </w:r>
      <w:r w:rsidR="009E1A2C">
        <w:rPr>
          <w:rFonts w:ascii="Times New Roman" w:eastAsia="宋体" w:hAnsi="Times New Roman" w:cs="宋体"/>
          <w:sz w:val="24"/>
        </w:rPr>
        <w:t>，</w:t>
      </w:r>
      <w:r w:rsidR="009E1A2C" w:rsidRPr="009E1A2C">
        <w:rPr>
          <w:rFonts w:ascii="Times New Roman" w:eastAsia="宋体" w:hAnsi="Times New Roman" w:cs="宋体" w:hint="eastAsia"/>
          <w:sz w:val="24"/>
          <w:lang w:eastAsia="zh-CN"/>
        </w:rPr>
        <w:t>地址为</w:t>
      </w:r>
      <w:r w:rsidR="009E1A2C" w:rsidRPr="009E1A2C">
        <w:rPr>
          <w:rFonts w:ascii="Times New Roman" w:eastAsia="宋体" w:hAnsi="Times New Roman" w:cs="宋体" w:hint="eastAsia"/>
          <w:sz w:val="24"/>
          <w:lang w:eastAsia="zh-CN"/>
        </w:rPr>
        <w:t>5630 Fishers Lane, Room 1061, (HFA-305), Rockville, MD 20852</w:t>
      </w:r>
      <w:r w:rsidRPr="00742C75">
        <w:rPr>
          <w:rFonts w:ascii="Times New Roman" w:eastAsia="宋体" w:hAnsi="Times New Roman" w:cs="宋体"/>
          <w:sz w:val="24"/>
        </w:rPr>
        <w:t>。</w:t>
      </w:r>
      <w:r w:rsidRPr="00742C75">
        <w:rPr>
          <w:rFonts w:ascii="Times New Roman" w:eastAsia="宋体" w:hAnsi="Times New Roman" w:cs="宋体"/>
          <w:sz w:val="24"/>
          <w:lang w:eastAsia="zh-CN"/>
        </w:rPr>
        <w:t>所有意见或建议均应注明</w:t>
      </w:r>
      <w:r w:rsidRPr="00742C75">
        <w:rPr>
          <w:rFonts w:ascii="Times New Roman" w:eastAsia="宋体" w:hAnsi="Times New Roman" w:cs="宋体"/>
          <w:color w:val="000000"/>
          <w:sz w:val="24"/>
          <w:lang w:eastAsia="zh-CN"/>
        </w:rPr>
        <w:t>《联邦公报》所</w:t>
      </w:r>
      <w:r w:rsidRPr="00742C75">
        <w:rPr>
          <w:rFonts w:ascii="Times New Roman" w:eastAsia="宋体" w:hAnsi="Times New Roman" w:cs="宋体"/>
          <w:sz w:val="24"/>
          <w:lang w:eastAsia="zh-CN"/>
        </w:rPr>
        <w:t>发布的可用性通知中列出的档案编号。</w:t>
      </w:r>
    </w:p>
    <w:p w14:paraId="72CFEABF" w14:textId="77777777" w:rsidR="002D1398" w:rsidRDefault="0044021B" w:rsidP="002D1398">
      <w:pPr>
        <w:adjustRightInd w:val="0"/>
        <w:snapToGrid w:val="0"/>
        <w:spacing w:beforeLines="50" w:before="120" w:line="300" w:lineRule="auto"/>
        <w:jc w:val="both"/>
        <w:rPr>
          <w:rFonts w:ascii="Times New Roman" w:hAnsi="Times New Roman" w:cs="Times New Roman"/>
          <w:snapToGrid w:val="0"/>
          <w:sz w:val="24"/>
          <w:szCs w:val="24"/>
          <w:lang w:eastAsia="zh-CN"/>
        </w:rPr>
      </w:pPr>
      <w:r w:rsidRPr="00742C75">
        <w:rPr>
          <w:rFonts w:ascii="Times New Roman" w:eastAsia="宋体" w:hAnsi="Times New Roman" w:cs="宋体"/>
          <w:sz w:val="24"/>
          <w:lang w:eastAsia="zh-CN"/>
        </w:rPr>
        <w:t>如对本文件草案有任何疑问，请致电</w:t>
      </w:r>
      <w:r w:rsidRPr="00742C75">
        <w:rPr>
          <w:rFonts w:ascii="Times New Roman" w:eastAsia="宋体" w:hAnsi="Times New Roman" w:cs="宋体"/>
          <w:sz w:val="24"/>
          <w:lang w:eastAsia="zh-CN"/>
        </w:rPr>
        <w:t>240-402-5998</w:t>
      </w:r>
      <w:r w:rsidRPr="00742C75">
        <w:rPr>
          <w:rFonts w:ascii="Times New Roman" w:eastAsia="宋体" w:hAnsi="Times New Roman" w:cs="宋体"/>
          <w:sz w:val="24"/>
          <w:lang w:eastAsia="zh-CN"/>
        </w:rPr>
        <w:t>联系</w:t>
      </w:r>
      <w:r w:rsidRPr="00742C75">
        <w:rPr>
          <w:rFonts w:ascii="Times New Roman" w:eastAsia="宋体" w:hAnsi="Times New Roman" w:cs="宋体"/>
          <w:sz w:val="24"/>
          <w:lang w:eastAsia="zh-CN"/>
        </w:rPr>
        <w:t xml:space="preserve">Rhiannon </w:t>
      </w:r>
      <w:proofErr w:type="spellStart"/>
      <w:r w:rsidRPr="00742C75">
        <w:rPr>
          <w:rFonts w:ascii="Times New Roman" w:eastAsia="宋体" w:hAnsi="Times New Roman" w:cs="宋体"/>
          <w:sz w:val="24"/>
          <w:lang w:eastAsia="zh-CN"/>
        </w:rPr>
        <w:t>Leutner</w:t>
      </w:r>
      <w:proofErr w:type="spellEnd"/>
      <w:r w:rsidRPr="00742C75">
        <w:rPr>
          <w:rFonts w:ascii="Times New Roman" w:eastAsia="宋体" w:hAnsi="Times New Roman" w:cs="宋体"/>
          <w:sz w:val="24"/>
          <w:lang w:eastAsia="zh-CN"/>
        </w:rPr>
        <w:t>（</w:t>
      </w:r>
      <w:r w:rsidRPr="00742C75">
        <w:rPr>
          <w:rFonts w:ascii="Times New Roman" w:eastAsia="宋体" w:hAnsi="Times New Roman" w:cs="宋体"/>
          <w:sz w:val="24"/>
          <w:lang w:eastAsia="zh-CN"/>
        </w:rPr>
        <w:t>CDER</w:t>
      </w:r>
      <w:r w:rsidRPr="00742C75">
        <w:rPr>
          <w:rFonts w:ascii="Times New Roman" w:eastAsia="宋体" w:hAnsi="Times New Roman" w:cs="宋体"/>
          <w:sz w:val="24"/>
          <w:lang w:eastAsia="zh-CN"/>
        </w:rPr>
        <w:t>）。</w:t>
      </w:r>
    </w:p>
    <w:p w14:paraId="2D6DA137" w14:textId="3BBE378A" w:rsidR="002D1398" w:rsidRDefault="0044021B" w:rsidP="002D1398">
      <w:pPr>
        <w:adjustRightInd w:val="0"/>
        <w:snapToGrid w:val="0"/>
        <w:spacing w:beforeLines="50" w:before="120" w:line="300" w:lineRule="auto"/>
        <w:jc w:val="both"/>
        <w:rPr>
          <w:rFonts w:ascii="Times New Roman" w:hAnsi="Times New Roman" w:cs="Times New Roman"/>
          <w:snapToGrid w:val="0"/>
          <w:sz w:val="24"/>
          <w:szCs w:val="24"/>
          <w:lang w:eastAsia="zh-CN"/>
        </w:rPr>
      </w:pPr>
      <w:r w:rsidRPr="00742C75">
        <w:rPr>
          <w:rFonts w:ascii="Times New Roman" w:eastAsia="宋体" w:hAnsi="Times New Roman" w:cs="宋体"/>
          <w:sz w:val="24"/>
          <w:lang w:eastAsia="zh-CN"/>
        </w:rPr>
        <w:t>对于本文件中与</w:t>
      </w:r>
      <w:r w:rsidRPr="00742C75">
        <w:rPr>
          <w:rFonts w:ascii="Times New Roman" w:eastAsia="宋体" w:hAnsi="Times New Roman" w:cs="宋体"/>
          <w:sz w:val="24"/>
          <w:lang w:eastAsia="zh-CN"/>
        </w:rPr>
        <w:t>CBER</w:t>
      </w:r>
      <w:r w:rsidRPr="00742C75">
        <w:rPr>
          <w:rFonts w:ascii="Times New Roman" w:eastAsia="宋体" w:hAnsi="Times New Roman" w:cs="宋体"/>
          <w:sz w:val="24"/>
          <w:lang w:eastAsia="zh-CN"/>
        </w:rPr>
        <w:t>监管产品相关的问题，请致电</w:t>
      </w:r>
      <w:r w:rsidRPr="00742C75">
        <w:rPr>
          <w:rFonts w:ascii="Times New Roman" w:eastAsia="宋体" w:hAnsi="Times New Roman" w:cs="宋体"/>
          <w:sz w:val="24"/>
          <w:lang w:eastAsia="zh-CN"/>
        </w:rPr>
        <w:t>1-800-835-4709</w:t>
      </w:r>
      <w:r w:rsidRPr="00742C75">
        <w:rPr>
          <w:rFonts w:ascii="Times New Roman" w:eastAsia="宋体" w:hAnsi="Times New Roman" w:cs="宋体"/>
          <w:sz w:val="24"/>
          <w:lang w:eastAsia="zh-CN"/>
        </w:rPr>
        <w:t>或</w:t>
      </w:r>
      <w:r w:rsidRPr="00742C75">
        <w:rPr>
          <w:rFonts w:ascii="Times New Roman" w:eastAsia="宋体" w:hAnsi="Times New Roman" w:cs="宋体"/>
          <w:sz w:val="24"/>
          <w:lang w:eastAsia="zh-CN"/>
        </w:rPr>
        <w:t>240-402-8010</w:t>
      </w:r>
      <w:r w:rsidRPr="00742C75">
        <w:rPr>
          <w:rFonts w:ascii="Times New Roman" w:eastAsia="宋体" w:hAnsi="Times New Roman" w:cs="宋体"/>
          <w:sz w:val="24"/>
          <w:lang w:eastAsia="zh-CN"/>
        </w:rPr>
        <w:t>联系</w:t>
      </w:r>
      <w:r w:rsidR="00F00765">
        <w:rPr>
          <w:rFonts w:ascii="Times New Roman" w:eastAsia="宋体" w:hAnsi="Times New Roman" w:cs="宋体"/>
          <w:sz w:val="24"/>
          <w:lang w:eastAsia="zh-CN"/>
        </w:rPr>
        <w:t>交流、外联和发展办公室</w:t>
      </w:r>
      <w:r w:rsidRPr="00742C75">
        <w:rPr>
          <w:rFonts w:ascii="Times New Roman" w:eastAsia="宋体" w:hAnsi="Times New Roman" w:cs="宋体"/>
          <w:sz w:val="24"/>
          <w:lang w:eastAsia="zh-CN"/>
        </w:rPr>
        <w:t>（</w:t>
      </w:r>
      <w:r w:rsidRPr="00742C75">
        <w:rPr>
          <w:rFonts w:ascii="Times New Roman" w:eastAsia="宋体" w:hAnsi="Times New Roman" w:cs="宋体"/>
          <w:sz w:val="24"/>
          <w:lang w:eastAsia="zh-CN"/>
        </w:rPr>
        <w:t>OCOD</w:t>
      </w:r>
      <w:r w:rsidRPr="00742C75">
        <w:rPr>
          <w:rFonts w:ascii="Times New Roman" w:eastAsia="宋体" w:hAnsi="Times New Roman" w:cs="宋体"/>
          <w:sz w:val="24"/>
          <w:lang w:eastAsia="zh-CN"/>
        </w:rPr>
        <w:t>）。</w:t>
      </w:r>
    </w:p>
    <w:p w14:paraId="61CE9052" w14:textId="77777777" w:rsidR="002D1398" w:rsidRPr="002D1398" w:rsidRDefault="002D1398" w:rsidP="002D1398">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4C8395B8" w14:textId="77777777" w:rsidR="002D1398" w:rsidRPr="002D1398" w:rsidRDefault="00FE6D7B" w:rsidP="002D1398">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742C75">
        <w:rPr>
          <w:rFonts w:ascii="Times New Roman" w:eastAsia="宋体" w:hAnsi="Times New Roman" w:cs="宋体"/>
          <w:b/>
          <w:sz w:val="24"/>
          <w:lang w:eastAsia="zh-CN"/>
        </w:rPr>
        <w:t>美国卫生与公共服务部</w:t>
      </w:r>
    </w:p>
    <w:p w14:paraId="6F139E50" w14:textId="4F4A688B" w:rsidR="002D1398" w:rsidRPr="002D1398" w:rsidRDefault="0013406F" w:rsidP="002D1398">
      <w:pPr>
        <w:adjustRightInd w:val="0"/>
        <w:snapToGrid w:val="0"/>
        <w:spacing w:beforeLines="50" w:before="120" w:line="300" w:lineRule="auto"/>
        <w:jc w:val="center"/>
        <w:rPr>
          <w:rFonts w:ascii="Times New Roman" w:hAnsi="Times New Roman" w:cs="Times New Roman"/>
          <w:snapToGrid w:val="0"/>
          <w:sz w:val="24"/>
          <w:szCs w:val="24"/>
          <w:lang w:eastAsia="zh-CN"/>
        </w:rPr>
      </w:pPr>
      <w:r>
        <w:rPr>
          <w:rFonts w:ascii="Times New Roman" w:eastAsia="宋体" w:hAnsi="Times New Roman" w:cs="宋体"/>
          <w:b/>
          <w:sz w:val="24"/>
          <w:lang w:eastAsia="zh-CN"/>
        </w:rPr>
        <w:t>美国食品药品监督管理局</w:t>
      </w:r>
    </w:p>
    <w:p w14:paraId="5EAD6789" w14:textId="77777777" w:rsidR="002D1398" w:rsidRPr="002D1398" w:rsidRDefault="002D1398" w:rsidP="002D1398">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742C75">
        <w:rPr>
          <w:rFonts w:ascii="Times New Roman" w:eastAsia="宋体" w:hAnsi="Times New Roman" w:cs="宋体"/>
          <w:b/>
          <w:sz w:val="24"/>
          <w:lang w:eastAsia="zh-CN"/>
        </w:rPr>
        <w:t>药品评价与研究中心（</w:t>
      </w:r>
      <w:r w:rsidRPr="00742C75">
        <w:rPr>
          <w:rFonts w:ascii="Times New Roman" w:eastAsia="宋体" w:hAnsi="Times New Roman" w:cs="宋体"/>
          <w:b/>
          <w:sz w:val="24"/>
          <w:lang w:eastAsia="zh-CN"/>
        </w:rPr>
        <w:t>CDER</w:t>
      </w:r>
      <w:r w:rsidRPr="00742C75">
        <w:rPr>
          <w:rFonts w:ascii="Times New Roman" w:eastAsia="宋体" w:hAnsi="Times New Roman" w:cs="宋体"/>
          <w:b/>
          <w:sz w:val="24"/>
          <w:lang w:eastAsia="zh-CN"/>
        </w:rPr>
        <w:t>）</w:t>
      </w:r>
    </w:p>
    <w:p w14:paraId="3D69D201" w14:textId="749981DF" w:rsidR="002D1398" w:rsidRPr="002D1398" w:rsidRDefault="00F00765" w:rsidP="002D1398">
      <w:pPr>
        <w:adjustRightInd w:val="0"/>
        <w:snapToGrid w:val="0"/>
        <w:spacing w:beforeLines="50" w:before="120" w:line="300" w:lineRule="auto"/>
        <w:jc w:val="center"/>
        <w:rPr>
          <w:rFonts w:ascii="Times New Roman" w:hAnsi="Times New Roman" w:cs="Times New Roman"/>
          <w:snapToGrid w:val="0"/>
          <w:sz w:val="24"/>
          <w:szCs w:val="24"/>
          <w:lang w:eastAsia="zh-CN"/>
        </w:rPr>
      </w:pPr>
      <w:r>
        <w:rPr>
          <w:rFonts w:ascii="Times New Roman" w:eastAsia="宋体" w:hAnsi="Times New Roman" w:cs="宋体"/>
          <w:b/>
          <w:sz w:val="24"/>
          <w:lang w:eastAsia="zh-CN"/>
        </w:rPr>
        <w:t>生物制品评价与研究中心</w:t>
      </w:r>
      <w:r w:rsidR="002D1398" w:rsidRPr="00742C75">
        <w:rPr>
          <w:rFonts w:ascii="Times New Roman" w:eastAsia="宋体" w:hAnsi="Times New Roman" w:cs="宋体"/>
          <w:b/>
          <w:sz w:val="24"/>
          <w:lang w:eastAsia="zh-CN"/>
        </w:rPr>
        <w:t>（</w:t>
      </w:r>
      <w:r w:rsidR="002D1398" w:rsidRPr="00742C75">
        <w:rPr>
          <w:rFonts w:ascii="Times New Roman" w:eastAsia="宋体" w:hAnsi="Times New Roman" w:cs="宋体"/>
          <w:b/>
          <w:sz w:val="24"/>
          <w:lang w:eastAsia="zh-CN"/>
        </w:rPr>
        <w:t>CBER</w:t>
      </w:r>
      <w:r w:rsidR="002D1398" w:rsidRPr="00742C75">
        <w:rPr>
          <w:rFonts w:ascii="Times New Roman" w:eastAsia="宋体" w:hAnsi="Times New Roman" w:cs="宋体"/>
          <w:b/>
          <w:sz w:val="24"/>
          <w:lang w:eastAsia="zh-CN"/>
        </w:rPr>
        <w:t>）</w:t>
      </w:r>
    </w:p>
    <w:p w14:paraId="1FAA4509" w14:textId="40183F00" w:rsidR="002D1398" w:rsidRPr="002D1398" w:rsidRDefault="00F00765" w:rsidP="002D1398">
      <w:pPr>
        <w:adjustRightInd w:val="0"/>
        <w:snapToGrid w:val="0"/>
        <w:spacing w:beforeLines="50" w:before="120" w:line="300" w:lineRule="auto"/>
        <w:jc w:val="center"/>
        <w:rPr>
          <w:rFonts w:ascii="Times New Roman" w:hAnsi="Times New Roman" w:cs="Times New Roman"/>
          <w:snapToGrid w:val="0"/>
          <w:sz w:val="24"/>
          <w:szCs w:val="24"/>
          <w:lang w:eastAsia="zh-CN"/>
        </w:rPr>
      </w:pPr>
      <w:r>
        <w:rPr>
          <w:rFonts w:ascii="Times New Roman" w:eastAsia="宋体" w:hAnsi="Times New Roman" w:cs="宋体"/>
          <w:b/>
          <w:sz w:val="24"/>
          <w:lang w:eastAsia="zh-CN"/>
        </w:rPr>
        <w:t>医疗器械和辐射健康中心</w:t>
      </w:r>
      <w:r w:rsidR="002D1398" w:rsidRPr="00742C75">
        <w:rPr>
          <w:rFonts w:ascii="Times New Roman" w:eastAsia="宋体" w:hAnsi="Times New Roman" w:cs="宋体"/>
          <w:b/>
          <w:sz w:val="24"/>
          <w:lang w:eastAsia="zh-CN"/>
        </w:rPr>
        <w:t>（</w:t>
      </w:r>
      <w:r w:rsidR="002D1398" w:rsidRPr="00742C75">
        <w:rPr>
          <w:rFonts w:ascii="Times New Roman" w:eastAsia="宋体" w:hAnsi="Times New Roman" w:cs="宋体"/>
          <w:b/>
          <w:sz w:val="24"/>
          <w:lang w:eastAsia="zh-CN"/>
        </w:rPr>
        <w:t>CDRH</w:t>
      </w:r>
      <w:r w:rsidR="002D1398" w:rsidRPr="00742C75">
        <w:rPr>
          <w:rFonts w:ascii="Times New Roman" w:eastAsia="宋体" w:hAnsi="Times New Roman" w:cs="宋体"/>
          <w:b/>
          <w:sz w:val="24"/>
          <w:lang w:eastAsia="zh-CN"/>
        </w:rPr>
        <w:t>）</w:t>
      </w:r>
    </w:p>
    <w:p w14:paraId="6227277C" w14:textId="77777777" w:rsidR="002D1398" w:rsidRDefault="002D1398" w:rsidP="002D1398">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742C75">
        <w:rPr>
          <w:rFonts w:ascii="Times New Roman" w:eastAsia="宋体" w:hAnsi="Times New Roman" w:cs="宋体"/>
          <w:b/>
          <w:sz w:val="24"/>
          <w:lang w:eastAsia="zh-CN"/>
        </w:rPr>
        <w:t>组合产品办公室（</w:t>
      </w:r>
      <w:r w:rsidRPr="00742C75">
        <w:rPr>
          <w:rFonts w:ascii="Times New Roman" w:eastAsia="宋体" w:hAnsi="Times New Roman" w:cs="宋体"/>
          <w:b/>
          <w:sz w:val="24"/>
          <w:lang w:eastAsia="zh-CN"/>
        </w:rPr>
        <w:t>OCP</w:t>
      </w:r>
      <w:r w:rsidRPr="00742C75">
        <w:rPr>
          <w:rFonts w:ascii="Times New Roman" w:eastAsia="宋体" w:hAnsi="Times New Roman" w:cs="宋体"/>
          <w:b/>
          <w:sz w:val="24"/>
          <w:lang w:eastAsia="zh-CN"/>
        </w:rPr>
        <w:t>）</w:t>
      </w:r>
    </w:p>
    <w:p w14:paraId="1322A940" w14:textId="77777777" w:rsidR="002D1398" w:rsidRPr="002D1398" w:rsidRDefault="002D1398" w:rsidP="002D1398">
      <w:pPr>
        <w:adjustRightInd w:val="0"/>
        <w:snapToGrid w:val="0"/>
        <w:spacing w:beforeLines="50" w:before="120" w:line="300" w:lineRule="auto"/>
        <w:jc w:val="center"/>
        <w:rPr>
          <w:rFonts w:ascii="Times New Roman" w:hAnsi="Times New Roman" w:cs="Times New Roman"/>
          <w:snapToGrid w:val="0"/>
          <w:sz w:val="24"/>
          <w:szCs w:val="24"/>
          <w:lang w:eastAsia="zh-CN"/>
        </w:rPr>
      </w:pPr>
    </w:p>
    <w:p w14:paraId="33C3B0A0" w14:textId="77777777" w:rsidR="002D1398" w:rsidRPr="002D1398" w:rsidRDefault="002D1398" w:rsidP="002D1398">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742C75">
        <w:rPr>
          <w:rFonts w:ascii="Times New Roman" w:eastAsia="宋体" w:hAnsi="Times New Roman" w:cs="宋体"/>
          <w:b/>
          <w:sz w:val="24"/>
          <w:lang w:eastAsia="zh-CN"/>
        </w:rPr>
        <w:t>2020</w:t>
      </w:r>
      <w:r w:rsidRPr="00742C75">
        <w:rPr>
          <w:rFonts w:ascii="Times New Roman" w:eastAsia="宋体" w:hAnsi="Times New Roman" w:cs="宋体"/>
          <w:b/>
          <w:sz w:val="24"/>
          <w:lang w:eastAsia="zh-CN"/>
        </w:rPr>
        <w:t>年</w:t>
      </w:r>
      <w:r w:rsidRPr="00742C75">
        <w:rPr>
          <w:rFonts w:ascii="Times New Roman" w:eastAsia="宋体" w:hAnsi="Times New Roman" w:cs="宋体"/>
          <w:b/>
          <w:sz w:val="24"/>
          <w:lang w:eastAsia="zh-CN"/>
        </w:rPr>
        <w:t>3</w:t>
      </w:r>
      <w:r w:rsidRPr="00742C75">
        <w:rPr>
          <w:rFonts w:ascii="Times New Roman" w:eastAsia="宋体" w:hAnsi="Times New Roman" w:cs="宋体"/>
          <w:b/>
          <w:sz w:val="24"/>
          <w:lang w:eastAsia="zh-CN"/>
        </w:rPr>
        <w:t>月</w:t>
      </w:r>
    </w:p>
    <w:p w14:paraId="755BC2B0" w14:textId="77777777" w:rsidR="002D1398" w:rsidRPr="002D1398" w:rsidRDefault="002D1398" w:rsidP="002D1398">
      <w:pPr>
        <w:pBdr>
          <w:bottom w:val="single" w:sz="18" w:space="1" w:color="auto"/>
        </w:pBdr>
        <w:adjustRightInd w:val="0"/>
        <w:snapToGrid w:val="0"/>
        <w:spacing w:beforeLines="50" w:before="120" w:line="300" w:lineRule="auto"/>
        <w:jc w:val="center"/>
        <w:rPr>
          <w:rFonts w:ascii="Times New Roman" w:hAnsi="Times New Roman" w:cs="Times New Roman"/>
          <w:snapToGrid w:val="0"/>
          <w:sz w:val="24"/>
          <w:szCs w:val="24"/>
          <w:lang w:eastAsia="zh-CN"/>
        </w:rPr>
      </w:pPr>
      <w:r w:rsidRPr="00742C75">
        <w:rPr>
          <w:rFonts w:ascii="Times New Roman" w:eastAsia="宋体" w:hAnsi="Times New Roman" w:cs="宋体"/>
          <w:b/>
          <w:sz w:val="24"/>
          <w:lang w:eastAsia="zh-CN"/>
        </w:rPr>
        <w:t>药物安全性</w:t>
      </w:r>
    </w:p>
    <w:p w14:paraId="5C48CE99" w14:textId="77777777" w:rsidR="002D1398" w:rsidRDefault="002D1398">
      <w:pPr>
        <w:rPr>
          <w:rFonts w:ascii="Times New Roman" w:hAnsi="Times New Roman" w:cs="Times New Roman"/>
          <w:snapToGrid w:val="0"/>
          <w:sz w:val="24"/>
          <w:szCs w:val="24"/>
          <w:lang w:eastAsia="zh-CN"/>
        </w:rPr>
      </w:pPr>
      <w:r w:rsidRPr="00742C75">
        <w:rPr>
          <w:rFonts w:ascii="Times New Roman" w:eastAsia="宋体" w:hAnsi="Times New Roman" w:cs="宋体"/>
          <w:sz w:val="24"/>
          <w:lang w:eastAsia="zh-CN"/>
        </w:rPr>
        <w:br w:type="page"/>
      </w:r>
    </w:p>
    <w:p w14:paraId="702ABCBD" w14:textId="0E69FA82" w:rsidR="002D1398" w:rsidRPr="002D1398" w:rsidRDefault="002D1398" w:rsidP="002D1398">
      <w:pPr>
        <w:adjustRightInd w:val="0"/>
        <w:snapToGrid w:val="0"/>
        <w:spacing w:beforeLines="50" w:before="120" w:line="300" w:lineRule="auto"/>
        <w:jc w:val="center"/>
        <w:rPr>
          <w:rFonts w:ascii="Times New Roman" w:hAnsi="Times New Roman" w:cs="Times New Roman"/>
          <w:snapToGrid w:val="0"/>
          <w:sz w:val="44"/>
          <w:szCs w:val="44"/>
          <w:lang w:eastAsia="zh-CN"/>
        </w:rPr>
      </w:pPr>
      <w:r w:rsidRPr="00742C75">
        <w:rPr>
          <w:rFonts w:ascii="Times New Roman" w:eastAsia="宋体" w:hAnsi="Times New Roman" w:cs="宋体"/>
          <w:b/>
          <w:sz w:val="44"/>
          <w:lang w:eastAsia="zh-CN"/>
        </w:rPr>
        <w:lastRenderedPageBreak/>
        <w:t>限制性给药系统：</w:t>
      </w:r>
      <w:r w:rsidRPr="009E1A2C">
        <w:rPr>
          <w:rFonts w:ascii="Times New Roman" w:eastAsia="宋体" w:hAnsi="Times New Roman" w:cs="宋体"/>
          <w:b/>
          <w:sz w:val="44"/>
          <w:lang w:eastAsia="zh-CN"/>
        </w:rPr>
        <w:t>口服液</w:t>
      </w:r>
      <w:r w:rsidR="00EB5F76" w:rsidRPr="009E1A2C">
        <w:rPr>
          <w:rFonts w:ascii="Times New Roman" w:eastAsia="宋体" w:hAnsi="Times New Roman" w:cs="宋体" w:hint="eastAsia"/>
          <w:b/>
          <w:sz w:val="44"/>
          <w:lang w:eastAsia="zh-CN"/>
        </w:rPr>
        <w:t>药物</w:t>
      </w:r>
      <w:r w:rsidR="009020AE" w:rsidRPr="009E1A2C">
        <w:rPr>
          <w:rFonts w:ascii="Times New Roman" w:eastAsia="宋体" w:hAnsi="Times New Roman" w:cs="宋体" w:hint="eastAsia"/>
          <w:b/>
          <w:sz w:val="44"/>
          <w:lang w:eastAsia="zh-CN"/>
        </w:rPr>
        <w:t>体药物的</w:t>
      </w:r>
      <w:r w:rsidRPr="009E1A2C">
        <w:rPr>
          <w:rFonts w:ascii="Times New Roman" w:eastAsia="宋体" w:hAnsi="Times New Roman" w:cs="宋体"/>
          <w:b/>
          <w:sz w:val="44"/>
          <w:lang w:eastAsia="zh-CN"/>
        </w:rPr>
        <w:t>限流器</w:t>
      </w:r>
    </w:p>
    <w:p w14:paraId="329793D9" w14:textId="77777777" w:rsidR="002D1398" w:rsidRPr="002D1398" w:rsidRDefault="0044021B" w:rsidP="002D1398">
      <w:pPr>
        <w:pStyle w:val="1"/>
        <w:adjustRightInd w:val="0"/>
        <w:snapToGrid w:val="0"/>
        <w:spacing w:beforeLines="50" w:before="120" w:line="300" w:lineRule="auto"/>
        <w:jc w:val="center"/>
        <w:rPr>
          <w:rFonts w:eastAsiaTheme="minorEastAsia" w:cs="Times New Roman"/>
          <w:snapToGrid w:val="0"/>
          <w:sz w:val="44"/>
          <w:szCs w:val="44"/>
          <w:lang w:eastAsia="zh-CN"/>
        </w:rPr>
      </w:pPr>
      <w:r w:rsidRPr="00742C75">
        <w:rPr>
          <w:rFonts w:eastAsia="宋体" w:cs="宋体"/>
          <w:sz w:val="44"/>
          <w:lang w:eastAsia="zh-CN"/>
        </w:rPr>
        <w:t>行业指南</w:t>
      </w:r>
    </w:p>
    <w:p w14:paraId="7C0FC8F7" w14:textId="77777777" w:rsidR="00CF33E5" w:rsidRPr="002D1398"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lang w:eastAsia="zh-CN"/>
        </w:rPr>
      </w:pPr>
      <w:r w:rsidRPr="00742C75">
        <w:rPr>
          <w:rFonts w:ascii="Times New Roman" w:eastAsia="宋体" w:hAnsi="Times New Roman" w:cs="宋体"/>
          <w:i/>
          <w:sz w:val="24"/>
          <w:lang w:eastAsia="zh-CN"/>
        </w:rPr>
        <w:t>如需获取更多副本，请联系：</w:t>
      </w:r>
    </w:p>
    <w:p w14:paraId="049DA378" w14:textId="77777777" w:rsidR="002D1398" w:rsidRDefault="0044021B" w:rsidP="00742C75">
      <w:pPr>
        <w:adjustRightInd w:val="0"/>
        <w:snapToGrid w:val="0"/>
        <w:spacing w:beforeLines="5" w:before="12" w:line="252" w:lineRule="auto"/>
        <w:jc w:val="center"/>
        <w:rPr>
          <w:rFonts w:ascii="Times New Roman" w:hAnsi="Times New Roman" w:cs="Times New Roman"/>
          <w:i/>
          <w:snapToGrid w:val="0"/>
          <w:sz w:val="24"/>
          <w:szCs w:val="24"/>
          <w:lang w:eastAsia="zh-CN"/>
        </w:rPr>
      </w:pPr>
      <w:r w:rsidRPr="00742C75">
        <w:rPr>
          <w:rFonts w:ascii="Times New Roman" w:eastAsia="宋体" w:hAnsi="Times New Roman" w:cs="宋体"/>
          <w:i/>
          <w:sz w:val="24"/>
          <w:lang w:eastAsia="zh-CN"/>
        </w:rPr>
        <w:t>药品信息部通讯办公室</w:t>
      </w:r>
    </w:p>
    <w:p w14:paraId="2E94F043" w14:textId="77777777" w:rsidR="00CF33E5" w:rsidRPr="002D1398"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lang w:eastAsia="zh-CN"/>
        </w:rPr>
      </w:pPr>
      <w:r w:rsidRPr="00742C75">
        <w:rPr>
          <w:rFonts w:ascii="Times New Roman" w:eastAsia="宋体" w:hAnsi="Times New Roman" w:cs="宋体"/>
          <w:i/>
          <w:sz w:val="24"/>
          <w:lang w:eastAsia="zh-CN"/>
        </w:rPr>
        <w:t>药品评价和研究中心</w:t>
      </w:r>
    </w:p>
    <w:p w14:paraId="22D200A0" w14:textId="544DEA36" w:rsidR="00CF33E5" w:rsidRPr="002D1398" w:rsidRDefault="0013406F" w:rsidP="00742C75">
      <w:pPr>
        <w:adjustRightInd w:val="0"/>
        <w:snapToGrid w:val="0"/>
        <w:spacing w:beforeLines="5" w:before="12" w:line="252" w:lineRule="auto"/>
        <w:jc w:val="center"/>
        <w:rPr>
          <w:rFonts w:ascii="Times New Roman" w:eastAsia="Times New Roman" w:hAnsi="Times New Roman" w:cs="Times New Roman"/>
          <w:snapToGrid w:val="0"/>
          <w:sz w:val="24"/>
          <w:szCs w:val="24"/>
          <w:lang w:eastAsia="zh-CN"/>
        </w:rPr>
      </w:pPr>
      <w:r>
        <w:rPr>
          <w:rFonts w:ascii="Times New Roman" w:eastAsia="宋体" w:hAnsi="Times New Roman" w:cs="宋体"/>
          <w:i/>
          <w:sz w:val="24"/>
          <w:lang w:eastAsia="zh-CN"/>
        </w:rPr>
        <w:t>美国食品药品监督管理局</w:t>
      </w:r>
    </w:p>
    <w:p w14:paraId="6D6EBC22" w14:textId="77777777" w:rsidR="002D1398" w:rsidRPr="00742C75" w:rsidRDefault="0044021B" w:rsidP="00742C75">
      <w:pPr>
        <w:adjustRightInd w:val="0"/>
        <w:snapToGrid w:val="0"/>
        <w:spacing w:beforeLines="5" w:before="12" w:line="252" w:lineRule="auto"/>
        <w:jc w:val="center"/>
        <w:rPr>
          <w:rFonts w:ascii="Times New Roman" w:hAnsi="Times New Roman" w:cs="Times New Roman"/>
          <w:i/>
          <w:snapToGrid w:val="0"/>
          <w:sz w:val="24"/>
          <w:szCs w:val="24"/>
          <w:lang w:eastAsia="zh-CN"/>
        </w:rPr>
      </w:pPr>
      <w:r w:rsidRPr="00742C75">
        <w:rPr>
          <w:rFonts w:ascii="Times New Roman" w:eastAsia="Times New Roman" w:hAnsi="Times New Roman" w:cs="Times New Roman"/>
          <w:i/>
          <w:snapToGrid w:val="0"/>
          <w:sz w:val="24"/>
          <w:szCs w:val="24"/>
        </w:rPr>
        <w:t>10001</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New</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Hampshire</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Ave.,</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Hillandale</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Bldg.,</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4</w:t>
      </w:r>
      <w:r w:rsidRPr="00742C75">
        <w:rPr>
          <w:rFonts w:ascii="Times New Roman" w:eastAsia="Times New Roman" w:hAnsi="Times New Roman" w:cs="Times New Roman"/>
          <w:i/>
          <w:snapToGrid w:val="0"/>
          <w:sz w:val="24"/>
          <w:szCs w:val="24"/>
          <w:vertAlign w:val="superscript"/>
        </w:rPr>
        <w:t>th</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Floor</w:t>
      </w:r>
    </w:p>
    <w:p w14:paraId="4C346587" w14:textId="77777777" w:rsidR="00CF33E5" w:rsidRPr="00742C75"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rPr>
      </w:pPr>
      <w:r w:rsidRPr="00742C75">
        <w:rPr>
          <w:rFonts w:ascii="Times New Roman" w:eastAsia="Times New Roman" w:hAnsi="Times New Roman" w:cs="Times New Roman"/>
          <w:i/>
          <w:snapToGrid w:val="0"/>
          <w:sz w:val="24"/>
          <w:szCs w:val="24"/>
        </w:rPr>
        <w:t>Silver</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Spring,</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MD</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20993-0002</w:t>
      </w:r>
    </w:p>
    <w:p w14:paraId="1127CB94" w14:textId="77777777" w:rsidR="00CF33E5" w:rsidRPr="002D1398"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rPr>
      </w:pPr>
      <w:r w:rsidRPr="00742C75">
        <w:rPr>
          <w:rFonts w:ascii="Times New Roman" w:eastAsia="宋体" w:hAnsi="Times New Roman" w:cs="宋体"/>
          <w:i/>
          <w:sz w:val="24"/>
        </w:rPr>
        <w:t>电话：</w:t>
      </w:r>
      <w:r w:rsidRPr="00742C75">
        <w:rPr>
          <w:rFonts w:ascii="Times New Roman" w:eastAsia="宋体" w:hAnsi="Times New Roman" w:cs="宋体"/>
          <w:i/>
          <w:sz w:val="24"/>
        </w:rPr>
        <w:t>855-543-3784</w:t>
      </w:r>
      <w:r w:rsidRPr="00742C75">
        <w:rPr>
          <w:rFonts w:ascii="Times New Roman" w:eastAsia="宋体" w:hAnsi="Times New Roman" w:cs="宋体"/>
          <w:i/>
          <w:sz w:val="24"/>
        </w:rPr>
        <w:t>或</w:t>
      </w:r>
      <w:r w:rsidRPr="00742C75">
        <w:rPr>
          <w:rFonts w:ascii="Times New Roman" w:eastAsia="宋体" w:hAnsi="Times New Roman" w:cs="宋体"/>
          <w:i/>
          <w:sz w:val="24"/>
        </w:rPr>
        <w:t>301-796-3400</w:t>
      </w:r>
      <w:r w:rsidRPr="00742C75">
        <w:rPr>
          <w:rFonts w:ascii="Times New Roman" w:eastAsia="宋体" w:hAnsi="Times New Roman" w:cs="宋体"/>
          <w:i/>
          <w:sz w:val="24"/>
        </w:rPr>
        <w:t>；传真：</w:t>
      </w:r>
      <w:r w:rsidRPr="00742C75">
        <w:rPr>
          <w:rFonts w:ascii="Times New Roman" w:eastAsia="宋体" w:hAnsi="Times New Roman" w:cs="宋体"/>
          <w:i/>
          <w:sz w:val="24"/>
        </w:rPr>
        <w:t>301-431-6353</w:t>
      </w:r>
    </w:p>
    <w:p w14:paraId="3EB9B6F2" w14:textId="77777777" w:rsidR="00CF33E5" w:rsidRPr="002D1398"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rPr>
      </w:pPr>
      <w:r w:rsidRPr="00742C75">
        <w:rPr>
          <w:rFonts w:ascii="Times New Roman" w:eastAsia="宋体" w:hAnsi="Times New Roman" w:cs="宋体"/>
          <w:i/>
          <w:sz w:val="24"/>
        </w:rPr>
        <w:t>电子邮箱：</w:t>
      </w:r>
      <w:r w:rsidRPr="00742C75">
        <w:rPr>
          <w:rFonts w:ascii="Times New Roman" w:eastAsia="宋体" w:hAnsi="Times New Roman" w:cs="宋体"/>
          <w:i/>
          <w:sz w:val="24"/>
        </w:rPr>
        <w:t>druginfo@fda.hhs.gov</w:t>
      </w:r>
    </w:p>
    <w:p w14:paraId="75AC3502" w14:textId="77777777" w:rsidR="00CF33E5" w:rsidRPr="00742C75"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rPr>
      </w:pPr>
      <w:r w:rsidRPr="00742C75">
        <w:rPr>
          <w:rFonts w:ascii="Times New Roman" w:eastAsia="Times New Roman" w:hAnsi="Times New Roman" w:cs="Times New Roman"/>
          <w:i/>
          <w:snapToGrid w:val="0"/>
          <w:color w:val="800080"/>
          <w:sz w:val="24"/>
          <w:szCs w:val="24"/>
          <w:u w:val="single" w:color="800080"/>
        </w:rPr>
        <w:t>https://www.fda.gov/drugs/guidance-compliance-regulatory-information/guidances-drugs</w:t>
      </w:r>
    </w:p>
    <w:p w14:paraId="6A7A786C" w14:textId="77777777" w:rsidR="00CF33E5" w:rsidRPr="002D1398"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lang w:eastAsia="zh-CN"/>
        </w:rPr>
      </w:pPr>
      <w:r w:rsidRPr="00742C75">
        <w:rPr>
          <w:rFonts w:ascii="Times New Roman" w:eastAsia="宋体" w:hAnsi="Times New Roman" w:cs="宋体"/>
          <w:i/>
          <w:sz w:val="24"/>
          <w:lang w:eastAsia="zh-CN"/>
        </w:rPr>
        <w:t>和</w:t>
      </w:r>
      <w:r w:rsidRPr="00742C75">
        <w:rPr>
          <w:rFonts w:ascii="Times New Roman" w:eastAsia="宋体" w:hAnsi="Times New Roman" w:cs="宋体"/>
          <w:i/>
          <w:sz w:val="24"/>
          <w:lang w:eastAsia="zh-CN"/>
        </w:rPr>
        <w:t>/</w:t>
      </w:r>
      <w:r w:rsidRPr="00742C75">
        <w:rPr>
          <w:rFonts w:ascii="Times New Roman" w:eastAsia="宋体" w:hAnsi="Times New Roman" w:cs="宋体"/>
          <w:i/>
          <w:sz w:val="24"/>
          <w:lang w:eastAsia="zh-CN"/>
        </w:rPr>
        <w:t>或</w:t>
      </w:r>
    </w:p>
    <w:p w14:paraId="776ABA3F" w14:textId="5E79729E" w:rsidR="002D1398" w:rsidRDefault="00F00765" w:rsidP="00742C75">
      <w:pPr>
        <w:adjustRightInd w:val="0"/>
        <w:snapToGrid w:val="0"/>
        <w:spacing w:beforeLines="5" w:before="12" w:line="252" w:lineRule="auto"/>
        <w:jc w:val="center"/>
        <w:rPr>
          <w:rFonts w:ascii="Times New Roman" w:hAnsi="Times New Roman" w:cs="Times New Roman"/>
          <w:i/>
          <w:snapToGrid w:val="0"/>
          <w:sz w:val="24"/>
          <w:szCs w:val="24"/>
          <w:lang w:eastAsia="zh-CN"/>
        </w:rPr>
      </w:pPr>
      <w:r>
        <w:rPr>
          <w:rFonts w:ascii="Times New Roman" w:eastAsia="宋体" w:hAnsi="Times New Roman" w:cs="宋体"/>
          <w:i/>
          <w:sz w:val="24"/>
          <w:lang w:eastAsia="zh-CN"/>
        </w:rPr>
        <w:t>交流、外联和发展办公室</w:t>
      </w:r>
    </w:p>
    <w:p w14:paraId="5477FC1F" w14:textId="742EFD5F" w:rsidR="00CF33E5" w:rsidRPr="002D1398" w:rsidRDefault="00F00765" w:rsidP="00742C75">
      <w:pPr>
        <w:adjustRightInd w:val="0"/>
        <w:snapToGrid w:val="0"/>
        <w:spacing w:beforeLines="5" w:before="12" w:line="252" w:lineRule="auto"/>
        <w:jc w:val="center"/>
        <w:rPr>
          <w:rFonts w:ascii="Times New Roman" w:eastAsia="Times New Roman" w:hAnsi="Times New Roman" w:cs="Times New Roman"/>
          <w:snapToGrid w:val="0"/>
          <w:sz w:val="24"/>
          <w:szCs w:val="24"/>
          <w:lang w:eastAsia="zh-CN"/>
        </w:rPr>
      </w:pPr>
      <w:r>
        <w:rPr>
          <w:rFonts w:ascii="Times New Roman" w:eastAsia="宋体" w:hAnsi="Times New Roman" w:cs="宋体"/>
          <w:i/>
          <w:sz w:val="24"/>
          <w:lang w:eastAsia="zh-CN"/>
        </w:rPr>
        <w:t>生物制品评价与研究中心</w:t>
      </w:r>
    </w:p>
    <w:p w14:paraId="1A100735" w14:textId="2CDC010F" w:rsidR="00CF33E5" w:rsidRPr="002D1398" w:rsidRDefault="0013406F" w:rsidP="00742C75">
      <w:pPr>
        <w:adjustRightInd w:val="0"/>
        <w:snapToGrid w:val="0"/>
        <w:spacing w:beforeLines="5" w:before="12" w:line="252" w:lineRule="auto"/>
        <w:jc w:val="center"/>
        <w:rPr>
          <w:rFonts w:ascii="Times New Roman" w:eastAsia="Times New Roman" w:hAnsi="Times New Roman" w:cs="Times New Roman"/>
          <w:snapToGrid w:val="0"/>
          <w:sz w:val="24"/>
          <w:szCs w:val="24"/>
          <w:lang w:eastAsia="zh-CN"/>
        </w:rPr>
      </w:pPr>
      <w:r>
        <w:rPr>
          <w:rFonts w:ascii="Times New Roman" w:eastAsia="宋体" w:hAnsi="Times New Roman" w:cs="宋体"/>
          <w:i/>
          <w:sz w:val="24"/>
          <w:lang w:eastAsia="zh-CN"/>
        </w:rPr>
        <w:t>美国食品药品监督管理局</w:t>
      </w:r>
    </w:p>
    <w:p w14:paraId="73F13CD7" w14:textId="77777777" w:rsidR="002D1398" w:rsidRPr="00742C75" w:rsidRDefault="0044021B" w:rsidP="00742C75">
      <w:pPr>
        <w:adjustRightInd w:val="0"/>
        <w:snapToGrid w:val="0"/>
        <w:spacing w:beforeLines="5" w:before="12" w:line="252" w:lineRule="auto"/>
        <w:jc w:val="center"/>
        <w:rPr>
          <w:rFonts w:ascii="Times New Roman" w:hAnsi="Times New Roman" w:cs="Times New Roman"/>
          <w:i/>
          <w:snapToGrid w:val="0"/>
          <w:sz w:val="24"/>
          <w:szCs w:val="24"/>
          <w:lang w:eastAsia="zh-CN"/>
        </w:rPr>
      </w:pPr>
      <w:r w:rsidRPr="00742C75">
        <w:rPr>
          <w:rFonts w:ascii="Times New Roman" w:eastAsia="Times New Roman" w:hAnsi="Times New Roman" w:cs="Times New Roman"/>
          <w:i/>
          <w:snapToGrid w:val="0"/>
          <w:sz w:val="24"/>
          <w:szCs w:val="24"/>
        </w:rPr>
        <w:t>10903</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New</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Hampshire</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Ave.,</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Bldg.</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71,</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Room</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3128</w:t>
      </w:r>
      <w:r w:rsidR="002D1398" w:rsidRPr="00742C75">
        <w:rPr>
          <w:rFonts w:ascii="Times New Roman" w:eastAsia="Times New Roman" w:hAnsi="Times New Roman" w:cs="Times New Roman"/>
          <w:i/>
          <w:snapToGrid w:val="0"/>
          <w:sz w:val="24"/>
          <w:szCs w:val="24"/>
        </w:rPr>
        <w:t xml:space="preserve"> </w:t>
      </w:r>
    </w:p>
    <w:p w14:paraId="08B7F3FA" w14:textId="77777777" w:rsidR="00CF33E5" w:rsidRPr="00742C75"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rPr>
      </w:pPr>
      <w:r w:rsidRPr="00742C75">
        <w:rPr>
          <w:rFonts w:ascii="Times New Roman" w:eastAsia="Times New Roman" w:hAnsi="Times New Roman" w:cs="Times New Roman"/>
          <w:i/>
          <w:snapToGrid w:val="0"/>
          <w:sz w:val="24"/>
          <w:szCs w:val="24"/>
        </w:rPr>
        <w:t>Silver</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Spring,</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MD</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20993-0002</w:t>
      </w:r>
    </w:p>
    <w:p w14:paraId="141778A4" w14:textId="77777777" w:rsidR="00CF33E5" w:rsidRPr="002D1398"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rPr>
      </w:pPr>
      <w:r w:rsidRPr="00742C75">
        <w:rPr>
          <w:rFonts w:ascii="Times New Roman" w:eastAsia="宋体" w:hAnsi="Times New Roman" w:cs="宋体"/>
          <w:i/>
          <w:sz w:val="24"/>
        </w:rPr>
        <w:t>电话：</w:t>
      </w:r>
      <w:r w:rsidRPr="00742C75">
        <w:rPr>
          <w:rFonts w:ascii="Times New Roman" w:eastAsia="宋体" w:hAnsi="Times New Roman" w:cs="宋体"/>
          <w:i/>
          <w:sz w:val="24"/>
        </w:rPr>
        <w:t>800-835-4709</w:t>
      </w:r>
      <w:r w:rsidRPr="00742C75">
        <w:rPr>
          <w:rFonts w:ascii="Times New Roman" w:eastAsia="宋体" w:hAnsi="Times New Roman" w:cs="宋体"/>
          <w:i/>
          <w:sz w:val="24"/>
        </w:rPr>
        <w:t>或</w:t>
      </w:r>
      <w:r w:rsidRPr="00742C75">
        <w:rPr>
          <w:rFonts w:ascii="Times New Roman" w:eastAsia="宋体" w:hAnsi="Times New Roman" w:cs="宋体"/>
          <w:i/>
          <w:sz w:val="24"/>
        </w:rPr>
        <w:t>240-402-8010</w:t>
      </w:r>
    </w:p>
    <w:p w14:paraId="637BF59B" w14:textId="77777777" w:rsidR="00CF33E5" w:rsidRPr="002D1398"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rPr>
      </w:pPr>
      <w:r w:rsidRPr="00742C75">
        <w:rPr>
          <w:rFonts w:ascii="Times New Roman" w:eastAsia="宋体" w:hAnsi="Times New Roman" w:cs="宋体"/>
          <w:i/>
          <w:sz w:val="24"/>
        </w:rPr>
        <w:t>电子邮箱：</w:t>
      </w:r>
      <w:r w:rsidRPr="00742C75">
        <w:rPr>
          <w:rFonts w:ascii="Times New Roman" w:eastAsia="宋体" w:hAnsi="Times New Roman" w:cs="宋体"/>
          <w:i/>
          <w:sz w:val="24"/>
        </w:rPr>
        <w:t>ocod@fda.hhs.gov</w:t>
      </w:r>
    </w:p>
    <w:p w14:paraId="258A26D5" w14:textId="77777777" w:rsidR="00CF33E5" w:rsidRPr="00742C75"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rPr>
      </w:pPr>
      <w:r w:rsidRPr="00742C75">
        <w:rPr>
          <w:rFonts w:ascii="Times New Roman" w:eastAsia="Times New Roman" w:hAnsi="Times New Roman" w:cs="Times New Roman"/>
          <w:i/>
          <w:snapToGrid w:val="0"/>
          <w:color w:val="800080"/>
          <w:sz w:val="24"/>
          <w:szCs w:val="24"/>
          <w:u w:val="single" w:color="800080"/>
        </w:rPr>
        <w:t>https://www.fda.gov/vaccines-blood-biologics/guidance-compliance-regulatory-information-biologics/biologics-guidances</w:t>
      </w:r>
    </w:p>
    <w:p w14:paraId="400085F5" w14:textId="77777777" w:rsidR="002D1398" w:rsidRPr="00FE6D7B" w:rsidRDefault="0044021B" w:rsidP="00742C75">
      <w:pPr>
        <w:adjustRightInd w:val="0"/>
        <w:snapToGrid w:val="0"/>
        <w:spacing w:beforeLines="5" w:before="12" w:line="252" w:lineRule="auto"/>
        <w:jc w:val="center"/>
        <w:rPr>
          <w:rFonts w:ascii="Times New Roman" w:hAnsi="Times New Roman" w:cs="Times New Roman"/>
          <w:i/>
          <w:snapToGrid w:val="0"/>
          <w:sz w:val="24"/>
          <w:szCs w:val="24"/>
          <w:lang w:eastAsia="zh-CN"/>
        </w:rPr>
      </w:pPr>
      <w:r w:rsidRPr="00742C75">
        <w:rPr>
          <w:rFonts w:ascii="Times New Roman" w:eastAsia="宋体" w:hAnsi="Times New Roman" w:cs="宋体"/>
          <w:i/>
          <w:sz w:val="24"/>
          <w:lang w:eastAsia="zh-CN"/>
        </w:rPr>
        <w:t>和</w:t>
      </w:r>
      <w:r w:rsidRPr="00742C75">
        <w:rPr>
          <w:rFonts w:ascii="Times New Roman" w:eastAsia="宋体" w:hAnsi="Times New Roman" w:cs="宋体"/>
          <w:i/>
          <w:sz w:val="24"/>
          <w:lang w:eastAsia="zh-CN"/>
        </w:rPr>
        <w:t>/</w:t>
      </w:r>
      <w:r w:rsidRPr="00742C75">
        <w:rPr>
          <w:rFonts w:ascii="Times New Roman" w:eastAsia="宋体" w:hAnsi="Times New Roman" w:cs="宋体"/>
          <w:i/>
          <w:sz w:val="24"/>
          <w:lang w:eastAsia="zh-CN"/>
        </w:rPr>
        <w:t>或</w:t>
      </w:r>
    </w:p>
    <w:p w14:paraId="6F1FD3E7" w14:textId="77777777" w:rsidR="00CF33E5" w:rsidRPr="002D1398"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lang w:eastAsia="zh-CN"/>
        </w:rPr>
      </w:pPr>
      <w:r w:rsidRPr="00742C75">
        <w:rPr>
          <w:rFonts w:ascii="Times New Roman" w:eastAsia="宋体" w:hAnsi="Times New Roman" w:cs="宋体"/>
          <w:i/>
          <w:sz w:val="24"/>
          <w:lang w:eastAsia="zh-CN"/>
        </w:rPr>
        <w:t>政策办公室</w:t>
      </w:r>
    </w:p>
    <w:p w14:paraId="33114532" w14:textId="0D9F1648" w:rsidR="002D1398" w:rsidRDefault="00F00765" w:rsidP="00742C75">
      <w:pPr>
        <w:adjustRightInd w:val="0"/>
        <w:snapToGrid w:val="0"/>
        <w:spacing w:beforeLines="5" w:before="12" w:line="252" w:lineRule="auto"/>
        <w:jc w:val="center"/>
        <w:rPr>
          <w:rFonts w:ascii="Times New Roman" w:hAnsi="Times New Roman" w:cs="Times New Roman"/>
          <w:i/>
          <w:snapToGrid w:val="0"/>
          <w:sz w:val="24"/>
          <w:szCs w:val="24"/>
          <w:lang w:eastAsia="zh-CN"/>
        </w:rPr>
      </w:pPr>
      <w:r>
        <w:rPr>
          <w:rFonts w:ascii="Times New Roman" w:eastAsia="宋体" w:hAnsi="Times New Roman" w:cs="宋体"/>
          <w:i/>
          <w:sz w:val="24"/>
          <w:lang w:eastAsia="zh-CN"/>
        </w:rPr>
        <w:t>医疗器械和辐射健康中心</w:t>
      </w:r>
    </w:p>
    <w:p w14:paraId="389867CE" w14:textId="7C3CC039" w:rsidR="00CF33E5" w:rsidRPr="002D1398" w:rsidRDefault="0013406F" w:rsidP="00742C75">
      <w:pPr>
        <w:adjustRightInd w:val="0"/>
        <w:snapToGrid w:val="0"/>
        <w:spacing w:beforeLines="5" w:before="12" w:line="252" w:lineRule="auto"/>
        <w:jc w:val="center"/>
        <w:rPr>
          <w:rFonts w:ascii="Times New Roman" w:eastAsia="Times New Roman" w:hAnsi="Times New Roman" w:cs="Times New Roman"/>
          <w:snapToGrid w:val="0"/>
          <w:sz w:val="24"/>
          <w:szCs w:val="24"/>
          <w:lang w:eastAsia="zh-CN"/>
        </w:rPr>
      </w:pPr>
      <w:r>
        <w:rPr>
          <w:rFonts w:ascii="Times New Roman" w:eastAsia="宋体" w:hAnsi="Times New Roman" w:cs="宋体"/>
          <w:i/>
          <w:sz w:val="24"/>
          <w:lang w:eastAsia="zh-CN"/>
        </w:rPr>
        <w:t>美国食品药品监督管理局</w:t>
      </w:r>
    </w:p>
    <w:p w14:paraId="49D31F1B" w14:textId="77777777" w:rsidR="002D1398" w:rsidRPr="00742C75" w:rsidRDefault="0044021B" w:rsidP="00742C75">
      <w:pPr>
        <w:adjustRightInd w:val="0"/>
        <w:snapToGrid w:val="0"/>
        <w:spacing w:beforeLines="5" w:before="12" w:line="252" w:lineRule="auto"/>
        <w:jc w:val="center"/>
        <w:rPr>
          <w:rFonts w:ascii="Times New Roman" w:hAnsi="Times New Roman" w:cs="Times New Roman"/>
          <w:i/>
          <w:snapToGrid w:val="0"/>
          <w:sz w:val="24"/>
          <w:szCs w:val="24"/>
          <w:lang w:eastAsia="zh-CN"/>
        </w:rPr>
      </w:pPr>
      <w:r w:rsidRPr="00742C75">
        <w:rPr>
          <w:rFonts w:ascii="Times New Roman" w:eastAsia="Times New Roman" w:hAnsi="Times New Roman" w:cs="Times New Roman"/>
          <w:i/>
          <w:snapToGrid w:val="0"/>
          <w:sz w:val="24"/>
          <w:szCs w:val="24"/>
        </w:rPr>
        <w:t>10903</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New</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Hampshire</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Ave.,</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Bldg.</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66,</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Room</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5431</w:t>
      </w:r>
    </w:p>
    <w:p w14:paraId="435D1D69" w14:textId="77777777" w:rsidR="00CF33E5" w:rsidRPr="00742C75"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rPr>
      </w:pPr>
      <w:r w:rsidRPr="00742C75">
        <w:rPr>
          <w:rFonts w:ascii="Times New Roman" w:eastAsia="Times New Roman" w:hAnsi="Times New Roman" w:cs="Times New Roman"/>
          <w:i/>
          <w:snapToGrid w:val="0"/>
          <w:sz w:val="24"/>
          <w:szCs w:val="24"/>
        </w:rPr>
        <w:t>Silver</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Spring,</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MD</w:t>
      </w:r>
      <w:r w:rsidR="002D1398" w:rsidRPr="00742C75">
        <w:rPr>
          <w:rFonts w:ascii="Times New Roman" w:eastAsia="Times New Roman" w:hAnsi="Times New Roman" w:cs="Times New Roman"/>
          <w:i/>
          <w:snapToGrid w:val="0"/>
          <w:sz w:val="24"/>
          <w:szCs w:val="24"/>
        </w:rPr>
        <w:t xml:space="preserve"> </w:t>
      </w:r>
      <w:r w:rsidRPr="00742C75">
        <w:rPr>
          <w:rFonts w:ascii="Times New Roman" w:eastAsia="Times New Roman" w:hAnsi="Times New Roman" w:cs="Times New Roman"/>
          <w:i/>
          <w:snapToGrid w:val="0"/>
          <w:sz w:val="24"/>
          <w:szCs w:val="24"/>
        </w:rPr>
        <w:t>20993-0002</w:t>
      </w:r>
    </w:p>
    <w:p w14:paraId="663E0D60" w14:textId="77777777" w:rsidR="00CF33E5" w:rsidRPr="002D1398"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rPr>
      </w:pPr>
      <w:r w:rsidRPr="00742C75">
        <w:rPr>
          <w:rFonts w:ascii="Times New Roman" w:eastAsia="宋体" w:hAnsi="Times New Roman" w:cs="宋体"/>
          <w:i/>
          <w:sz w:val="24"/>
        </w:rPr>
        <w:t>电子邮箱：</w:t>
      </w:r>
      <w:r w:rsidRPr="00742C75">
        <w:rPr>
          <w:rFonts w:ascii="Times New Roman" w:eastAsia="宋体" w:hAnsi="Times New Roman" w:cs="宋体"/>
          <w:i/>
          <w:sz w:val="24"/>
        </w:rPr>
        <w:t>CDRH-Guidance@fda.hhs.gov</w:t>
      </w:r>
    </w:p>
    <w:p w14:paraId="7593F99B" w14:textId="77777777" w:rsidR="002D1398" w:rsidRPr="00742C75" w:rsidRDefault="0044021B" w:rsidP="00742C75">
      <w:pPr>
        <w:adjustRightInd w:val="0"/>
        <w:snapToGrid w:val="0"/>
        <w:spacing w:beforeLines="5" w:before="12" w:line="252" w:lineRule="auto"/>
        <w:jc w:val="center"/>
        <w:rPr>
          <w:rFonts w:ascii="Times New Roman" w:eastAsia="Times New Roman" w:hAnsi="Times New Roman" w:cs="Times New Roman"/>
          <w:snapToGrid w:val="0"/>
          <w:sz w:val="24"/>
          <w:szCs w:val="24"/>
        </w:rPr>
      </w:pPr>
      <w:r w:rsidRPr="00742C75">
        <w:rPr>
          <w:rFonts w:ascii="Times New Roman" w:eastAsia="Times New Roman" w:hAnsi="Times New Roman" w:cs="Times New Roman"/>
          <w:i/>
          <w:snapToGrid w:val="0"/>
          <w:color w:val="800080"/>
          <w:sz w:val="24"/>
          <w:szCs w:val="24"/>
          <w:u w:val="single" w:color="800080"/>
        </w:rPr>
        <w:t>https://www.fda.gov/medical-devices/device-advice-comprehensive-regulatory-assistance/guidance-documents-medical-devices-and-radiation-emitting-products</w:t>
      </w:r>
    </w:p>
    <w:p w14:paraId="48DBB86D" w14:textId="77777777" w:rsidR="002D1398" w:rsidRPr="002D1398" w:rsidRDefault="00FE6D7B" w:rsidP="00742C75">
      <w:pPr>
        <w:pStyle w:val="3"/>
        <w:snapToGrid w:val="0"/>
        <w:spacing w:beforeLines="5" w:before="12" w:line="252" w:lineRule="auto"/>
        <w:jc w:val="center"/>
        <w:rPr>
          <w:rFonts w:cs="Times New Roman"/>
          <w:snapToGrid w:val="0"/>
          <w:lang w:eastAsia="zh-CN"/>
        </w:rPr>
      </w:pPr>
      <w:r w:rsidRPr="00742C75">
        <w:rPr>
          <w:rFonts w:eastAsia="宋体" w:cs="宋体"/>
          <w:lang w:eastAsia="zh-CN"/>
        </w:rPr>
        <w:t>美国卫生与公共服务部</w:t>
      </w:r>
    </w:p>
    <w:p w14:paraId="303F1706" w14:textId="471A5F09" w:rsidR="002D1398" w:rsidRPr="002D1398" w:rsidRDefault="0013406F" w:rsidP="00742C75">
      <w:pPr>
        <w:pStyle w:val="3"/>
        <w:snapToGrid w:val="0"/>
        <w:spacing w:beforeLines="5" w:before="12" w:line="252" w:lineRule="auto"/>
        <w:ind w:left="23"/>
        <w:jc w:val="center"/>
        <w:rPr>
          <w:rFonts w:cs="Times New Roman"/>
          <w:snapToGrid w:val="0"/>
          <w:lang w:eastAsia="zh-CN"/>
        </w:rPr>
      </w:pPr>
      <w:r>
        <w:rPr>
          <w:rFonts w:eastAsia="宋体" w:cs="宋体"/>
          <w:lang w:eastAsia="zh-CN"/>
        </w:rPr>
        <w:t>美国食品药品监督管理局</w:t>
      </w:r>
    </w:p>
    <w:p w14:paraId="7F630A75" w14:textId="77777777" w:rsidR="002D1398" w:rsidRPr="002D1398" w:rsidRDefault="002D1398" w:rsidP="00742C75">
      <w:pPr>
        <w:pStyle w:val="3"/>
        <w:snapToGrid w:val="0"/>
        <w:spacing w:beforeLines="5" w:before="12" w:line="252" w:lineRule="auto"/>
        <w:ind w:left="23"/>
        <w:jc w:val="center"/>
        <w:rPr>
          <w:rFonts w:cs="Times New Roman"/>
          <w:snapToGrid w:val="0"/>
          <w:lang w:eastAsia="zh-CN"/>
        </w:rPr>
      </w:pPr>
      <w:r w:rsidRPr="00742C75">
        <w:rPr>
          <w:rFonts w:eastAsia="宋体" w:cs="宋体"/>
          <w:lang w:eastAsia="zh-CN"/>
        </w:rPr>
        <w:t>药品评价与研究中心（</w:t>
      </w:r>
      <w:r w:rsidRPr="00742C75">
        <w:rPr>
          <w:rFonts w:eastAsia="宋体" w:cs="宋体"/>
          <w:lang w:eastAsia="zh-CN"/>
        </w:rPr>
        <w:t>CDER</w:t>
      </w:r>
      <w:r w:rsidRPr="00742C75">
        <w:rPr>
          <w:rFonts w:eastAsia="宋体" w:cs="宋体"/>
          <w:lang w:eastAsia="zh-CN"/>
        </w:rPr>
        <w:t>）</w:t>
      </w:r>
    </w:p>
    <w:p w14:paraId="15951D12" w14:textId="59BCBC7A" w:rsidR="002D1398" w:rsidRPr="002D1398" w:rsidRDefault="00F00765" w:rsidP="00742C75">
      <w:pPr>
        <w:pStyle w:val="3"/>
        <w:snapToGrid w:val="0"/>
        <w:spacing w:beforeLines="5" w:before="12" w:line="252" w:lineRule="auto"/>
        <w:ind w:left="23"/>
        <w:jc w:val="center"/>
        <w:rPr>
          <w:rFonts w:cs="Times New Roman"/>
          <w:snapToGrid w:val="0"/>
          <w:lang w:eastAsia="zh-CN"/>
        </w:rPr>
      </w:pPr>
      <w:r>
        <w:rPr>
          <w:rFonts w:eastAsia="宋体" w:cs="宋体"/>
          <w:lang w:eastAsia="zh-CN"/>
        </w:rPr>
        <w:t>生物制品评价与研究中心</w:t>
      </w:r>
      <w:r w:rsidR="002D1398" w:rsidRPr="00742C75">
        <w:rPr>
          <w:rFonts w:eastAsia="宋体" w:cs="宋体"/>
          <w:lang w:eastAsia="zh-CN"/>
        </w:rPr>
        <w:t>（</w:t>
      </w:r>
      <w:r w:rsidR="002D1398" w:rsidRPr="00742C75">
        <w:rPr>
          <w:rFonts w:eastAsia="宋体" w:cs="宋体"/>
          <w:lang w:eastAsia="zh-CN"/>
        </w:rPr>
        <w:t>CBER</w:t>
      </w:r>
      <w:r w:rsidR="002D1398" w:rsidRPr="00742C75">
        <w:rPr>
          <w:rFonts w:eastAsia="宋体" w:cs="宋体"/>
          <w:lang w:eastAsia="zh-CN"/>
        </w:rPr>
        <w:t>）</w:t>
      </w:r>
    </w:p>
    <w:p w14:paraId="14890B0A" w14:textId="389776DA" w:rsidR="002D1398" w:rsidRPr="002D1398" w:rsidRDefault="00F00765" w:rsidP="00742C75">
      <w:pPr>
        <w:pStyle w:val="3"/>
        <w:snapToGrid w:val="0"/>
        <w:spacing w:beforeLines="5" w:before="12" w:line="252" w:lineRule="auto"/>
        <w:ind w:left="23"/>
        <w:jc w:val="center"/>
        <w:rPr>
          <w:rFonts w:cs="Times New Roman"/>
          <w:snapToGrid w:val="0"/>
          <w:lang w:eastAsia="zh-CN"/>
        </w:rPr>
      </w:pPr>
      <w:r>
        <w:rPr>
          <w:rFonts w:eastAsia="宋体" w:cs="宋体"/>
          <w:lang w:eastAsia="zh-CN"/>
        </w:rPr>
        <w:t>医疗器械和辐射健康中心</w:t>
      </w:r>
      <w:r w:rsidR="002D1398" w:rsidRPr="00742C75">
        <w:rPr>
          <w:rFonts w:eastAsia="宋体" w:cs="宋体"/>
          <w:lang w:eastAsia="zh-CN"/>
        </w:rPr>
        <w:t>（</w:t>
      </w:r>
      <w:r w:rsidR="002D1398" w:rsidRPr="00742C75">
        <w:rPr>
          <w:rFonts w:eastAsia="宋体" w:cs="宋体"/>
          <w:lang w:eastAsia="zh-CN"/>
        </w:rPr>
        <w:t>CDRH</w:t>
      </w:r>
      <w:r w:rsidR="002D1398" w:rsidRPr="00742C75">
        <w:rPr>
          <w:rFonts w:eastAsia="宋体" w:cs="宋体"/>
          <w:lang w:eastAsia="zh-CN"/>
        </w:rPr>
        <w:t>）</w:t>
      </w:r>
    </w:p>
    <w:p w14:paraId="68794DC1" w14:textId="77777777" w:rsidR="002D1398" w:rsidRPr="002D1398" w:rsidRDefault="002D1398" w:rsidP="00742C75">
      <w:pPr>
        <w:pStyle w:val="3"/>
        <w:snapToGrid w:val="0"/>
        <w:spacing w:beforeLines="5" w:before="12" w:line="252" w:lineRule="auto"/>
        <w:ind w:left="23"/>
        <w:jc w:val="center"/>
        <w:rPr>
          <w:rFonts w:cs="Times New Roman"/>
          <w:snapToGrid w:val="0"/>
          <w:lang w:eastAsia="zh-CN"/>
        </w:rPr>
      </w:pPr>
      <w:r w:rsidRPr="00742C75">
        <w:rPr>
          <w:rFonts w:eastAsia="宋体" w:cs="宋体"/>
          <w:lang w:eastAsia="zh-CN"/>
        </w:rPr>
        <w:t>组合产品办公室（</w:t>
      </w:r>
      <w:r w:rsidRPr="00742C75">
        <w:rPr>
          <w:rFonts w:eastAsia="宋体" w:cs="宋体"/>
          <w:lang w:eastAsia="zh-CN"/>
        </w:rPr>
        <w:t>OCP</w:t>
      </w:r>
      <w:r w:rsidRPr="00742C75">
        <w:rPr>
          <w:rFonts w:eastAsia="宋体" w:cs="宋体"/>
          <w:lang w:eastAsia="zh-CN"/>
        </w:rPr>
        <w:t>）</w:t>
      </w:r>
    </w:p>
    <w:p w14:paraId="10A8DE20" w14:textId="77777777" w:rsidR="002D1398" w:rsidRPr="002D1398" w:rsidRDefault="002D1398" w:rsidP="00742C75">
      <w:pPr>
        <w:pStyle w:val="3"/>
        <w:snapToGrid w:val="0"/>
        <w:spacing w:beforeLines="5" w:before="12" w:line="252" w:lineRule="auto"/>
        <w:ind w:left="23"/>
        <w:jc w:val="center"/>
        <w:rPr>
          <w:rFonts w:cs="Times New Roman"/>
          <w:snapToGrid w:val="0"/>
          <w:lang w:eastAsia="zh-CN"/>
        </w:rPr>
      </w:pPr>
      <w:r w:rsidRPr="00742C75">
        <w:rPr>
          <w:rFonts w:eastAsia="宋体" w:cs="宋体"/>
        </w:rPr>
        <w:t>2020</w:t>
      </w:r>
      <w:r w:rsidRPr="00742C75">
        <w:rPr>
          <w:rFonts w:eastAsia="宋体" w:cs="宋体"/>
        </w:rPr>
        <w:t>年</w:t>
      </w:r>
      <w:r w:rsidRPr="00742C75">
        <w:rPr>
          <w:rFonts w:eastAsia="宋体" w:cs="宋体"/>
        </w:rPr>
        <w:t>3</w:t>
      </w:r>
      <w:r w:rsidRPr="00742C75">
        <w:rPr>
          <w:rFonts w:eastAsia="宋体" w:cs="宋体"/>
        </w:rPr>
        <w:t>月</w:t>
      </w:r>
    </w:p>
    <w:p w14:paraId="395E3283" w14:textId="77777777" w:rsidR="002D1398" w:rsidRDefault="002D1398" w:rsidP="00742C75">
      <w:pPr>
        <w:pStyle w:val="3"/>
        <w:adjustRightInd w:val="0"/>
        <w:snapToGrid w:val="0"/>
        <w:spacing w:beforeLines="5" w:before="12" w:line="252" w:lineRule="auto"/>
        <w:ind w:left="0"/>
        <w:jc w:val="center"/>
        <w:rPr>
          <w:rFonts w:eastAsiaTheme="minorEastAsia" w:cs="Times New Roman"/>
          <w:snapToGrid w:val="0"/>
          <w:lang w:eastAsia="zh-CN"/>
        </w:rPr>
      </w:pPr>
      <w:proofErr w:type="spellStart"/>
      <w:r w:rsidRPr="00742C75">
        <w:rPr>
          <w:rFonts w:eastAsia="宋体" w:cs="宋体"/>
        </w:rPr>
        <w:t>药物安全性</w:t>
      </w:r>
      <w:proofErr w:type="spellEnd"/>
    </w:p>
    <w:p w14:paraId="6DC4B0F7" w14:textId="77777777" w:rsidR="002D1398" w:rsidRDefault="002D1398" w:rsidP="002D1398">
      <w:pPr>
        <w:pStyle w:val="3"/>
        <w:adjustRightInd w:val="0"/>
        <w:snapToGrid w:val="0"/>
        <w:ind w:left="0"/>
        <w:rPr>
          <w:rFonts w:eastAsiaTheme="minorEastAsia" w:cs="Times New Roman"/>
          <w:snapToGrid w:val="0"/>
          <w:sz w:val="13"/>
          <w:szCs w:val="13"/>
          <w:lang w:eastAsia="zh-CN"/>
        </w:rPr>
        <w:sectPr w:rsidR="002D1398" w:rsidSect="002D1398">
          <w:type w:val="continuous"/>
          <w:pgSz w:w="11907" w:h="16839" w:code="9"/>
          <w:pgMar w:top="1418" w:right="1418" w:bottom="1418" w:left="1418" w:header="720" w:footer="720" w:gutter="0"/>
          <w:cols w:space="720"/>
          <w:docGrid w:linePitch="299"/>
        </w:sectPr>
      </w:pPr>
      <w:r w:rsidRPr="00742C75">
        <w:rPr>
          <w:rFonts w:eastAsia="宋体" w:cs="宋体"/>
          <w:sz w:val="12"/>
        </w:rPr>
        <w:br w:type="page"/>
      </w:r>
    </w:p>
    <w:p w14:paraId="2DC5EAB8" w14:textId="77777777" w:rsidR="00CF33E5" w:rsidRPr="002D1398" w:rsidRDefault="0044021B" w:rsidP="002D1398">
      <w:pPr>
        <w:pStyle w:val="3"/>
        <w:adjustRightInd w:val="0"/>
        <w:snapToGrid w:val="0"/>
        <w:spacing w:beforeLines="50" w:before="120" w:line="300" w:lineRule="auto"/>
        <w:ind w:left="0"/>
        <w:jc w:val="center"/>
        <w:rPr>
          <w:rFonts w:cs="Times New Roman"/>
          <w:b w:val="0"/>
          <w:bCs w:val="0"/>
          <w:snapToGrid w:val="0"/>
          <w:sz w:val="32"/>
          <w:szCs w:val="32"/>
        </w:rPr>
      </w:pPr>
      <w:proofErr w:type="spellStart"/>
      <w:r w:rsidRPr="00742C75">
        <w:rPr>
          <w:rFonts w:eastAsia="宋体" w:cs="宋体"/>
          <w:sz w:val="32"/>
        </w:rPr>
        <w:lastRenderedPageBreak/>
        <w:t>目录</w:t>
      </w:r>
      <w:proofErr w:type="spellEnd"/>
    </w:p>
    <w:p w14:paraId="1CCA5968" w14:textId="77777777" w:rsidR="00742C75" w:rsidRDefault="00FF57D1">
      <w:pPr>
        <w:pStyle w:val="10"/>
        <w:tabs>
          <w:tab w:val="left" w:pos="840"/>
          <w:tab w:val="right" w:leader="dot" w:pos="9061"/>
        </w:tabs>
        <w:rPr>
          <w:rFonts w:asciiTheme="minorHAnsi" w:eastAsiaTheme="minorEastAsia" w:hAnsiTheme="minorHAnsi"/>
          <w:b w:val="0"/>
          <w:bCs w:val="0"/>
          <w:noProof/>
          <w:kern w:val="2"/>
          <w:sz w:val="21"/>
          <w:szCs w:val="22"/>
          <w:lang w:eastAsia="zh-CN"/>
        </w:rPr>
      </w:pPr>
      <w:r>
        <w:rPr>
          <w:rFonts w:cs="Times New Roman"/>
          <w:snapToGrid w:val="0"/>
        </w:rPr>
        <w:fldChar w:fldCharType="begin"/>
      </w:r>
      <w:r>
        <w:rPr>
          <w:rFonts w:cs="Times New Roman"/>
          <w:snapToGrid w:val="0"/>
        </w:rPr>
        <w:instrText xml:space="preserve"> TOC \h \z \t "样式1,1,样式2,2" </w:instrText>
      </w:r>
      <w:r>
        <w:rPr>
          <w:rFonts w:cs="Times New Roman"/>
          <w:snapToGrid w:val="0"/>
        </w:rPr>
        <w:fldChar w:fldCharType="separate"/>
      </w:r>
      <w:hyperlink w:anchor="_Toc91867160" w:history="1">
        <w:r w:rsidR="00742C75" w:rsidRPr="00F32A01">
          <w:rPr>
            <w:rStyle w:val="a8"/>
            <w:rFonts w:eastAsia="宋体" w:cs="宋体"/>
            <w:noProof/>
            <w:lang w:eastAsia="zh-CN"/>
          </w:rPr>
          <w:t>I.</w:t>
        </w:r>
        <w:r w:rsidR="00742C75">
          <w:rPr>
            <w:rFonts w:asciiTheme="minorHAnsi" w:eastAsiaTheme="minorEastAsia" w:hAnsiTheme="minorHAnsi"/>
            <w:b w:val="0"/>
            <w:bCs w:val="0"/>
            <w:noProof/>
            <w:kern w:val="2"/>
            <w:sz w:val="21"/>
            <w:szCs w:val="22"/>
            <w:lang w:eastAsia="zh-CN"/>
          </w:rPr>
          <w:tab/>
        </w:r>
        <w:r w:rsidR="00742C75" w:rsidRPr="00F32A01">
          <w:rPr>
            <w:rStyle w:val="a8"/>
            <w:rFonts w:eastAsia="宋体" w:cs="宋体" w:hint="eastAsia"/>
            <w:noProof/>
            <w:lang w:eastAsia="zh-CN"/>
          </w:rPr>
          <w:t>引言</w:t>
        </w:r>
        <w:r w:rsidR="00742C75">
          <w:rPr>
            <w:noProof/>
            <w:webHidden/>
          </w:rPr>
          <w:tab/>
        </w:r>
        <w:r w:rsidR="00742C75">
          <w:rPr>
            <w:noProof/>
            <w:webHidden/>
          </w:rPr>
          <w:fldChar w:fldCharType="begin"/>
        </w:r>
        <w:r w:rsidR="00742C75">
          <w:rPr>
            <w:noProof/>
            <w:webHidden/>
          </w:rPr>
          <w:instrText xml:space="preserve"> PAGEREF _Toc91867160 \h </w:instrText>
        </w:r>
        <w:r w:rsidR="00742C75">
          <w:rPr>
            <w:noProof/>
            <w:webHidden/>
          </w:rPr>
        </w:r>
        <w:r w:rsidR="00742C75">
          <w:rPr>
            <w:noProof/>
            <w:webHidden/>
          </w:rPr>
          <w:fldChar w:fldCharType="separate"/>
        </w:r>
        <w:r w:rsidR="00742C75">
          <w:rPr>
            <w:noProof/>
            <w:webHidden/>
          </w:rPr>
          <w:t>1</w:t>
        </w:r>
        <w:r w:rsidR="00742C75">
          <w:rPr>
            <w:noProof/>
            <w:webHidden/>
          </w:rPr>
          <w:fldChar w:fldCharType="end"/>
        </w:r>
      </w:hyperlink>
    </w:p>
    <w:p w14:paraId="19D4A5FA" w14:textId="77777777" w:rsidR="00742C75" w:rsidRDefault="00015ED6">
      <w:pPr>
        <w:pStyle w:val="10"/>
        <w:tabs>
          <w:tab w:val="left" w:pos="840"/>
          <w:tab w:val="right" w:leader="dot" w:pos="9061"/>
        </w:tabs>
        <w:rPr>
          <w:rFonts w:asciiTheme="minorHAnsi" w:eastAsiaTheme="minorEastAsia" w:hAnsiTheme="minorHAnsi"/>
          <w:b w:val="0"/>
          <w:bCs w:val="0"/>
          <w:noProof/>
          <w:kern w:val="2"/>
          <w:sz w:val="21"/>
          <w:szCs w:val="22"/>
          <w:lang w:eastAsia="zh-CN"/>
        </w:rPr>
      </w:pPr>
      <w:hyperlink w:anchor="_Toc91867161" w:history="1">
        <w:r w:rsidR="00742C75" w:rsidRPr="00F32A01">
          <w:rPr>
            <w:rStyle w:val="a8"/>
            <w:rFonts w:eastAsia="宋体" w:cs="宋体"/>
            <w:noProof/>
            <w:lang w:eastAsia="zh-CN"/>
          </w:rPr>
          <w:t>II.</w:t>
        </w:r>
        <w:r w:rsidR="00742C75">
          <w:rPr>
            <w:rFonts w:asciiTheme="minorHAnsi" w:eastAsiaTheme="minorEastAsia" w:hAnsiTheme="minorHAnsi"/>
            <w:b w:val="0"/>
            <w:bCs w:val="0"/>
            <w:noProof/>
            <w:kern w:val="2"/>
            <w:sz w:val="21"/>
            <w:szCs w:val="22"/>
            <w:lang w:eastAsia="zh-CN"/>
          </w:rPr>
          <w:tab/>
        </w:r>
        <w:r w:rsidR="00742C75" w:rsidRPr="00F32A01">
          <w:rPr>
            <w:rStyle w:val="a8"/>
            <w:rFonts w:eastAsia="宋体" w:cs="宋体" w:hint="eastAsia"/>
            <w:noProof/>
            <w:lang w:eastAsia="zh-CN"/>
          </w:rPr>
          <w:t>背景</w:t>
        </w:r>
        <w:r w:rsidR="00742C75">
          <w:rPr>
            <w:noProof/>
            <w:webHidden/>
          </w:rPr>
          <w:tab/>
        </w:r>
        <w:r w:rsidR="00742C75">
          <w:rPr>
            <w:noProof/>
            <w:webHidden/>
          </w:rPr>
          <w:fldChar w:fldCharType="begin"/>
        </w:r>
        <w:r w:rsidR="00742C75">
          <w:rPr>
            <w:noProof/>
            <w:webHidden/>
          </w:rPr>
          <w:instrText xml:space="preserve"> PAGEREF _Toc91867161 \h </w:instrText>
        </w:r>
        <w:r w:rsidR="00742C75">
          <w:rPr>
            <w:noProof/>
            <w:webHidden/>
          </w:rPr>
        </w:r>
        <w:r w:rsidR="00742C75">
          <w:rPr>
            <w:noProof/>
            <w:webHidden/>
          </w:rPr>
          <w:fldChar w:fldCharType="separate"/>
        </w:r>
        <w:r w:rsidR="00742C75">
          <w:rPr>
            <w:noProof/>
            <w:webHidden/>
          </w:rPr>
          <w:t>3</w:t>
        </w:r>
        <w:r w:rsidR="00742C75">
          <w:rPr>
            <w:noProof/>
            <w:webHidden/>
          </w:rPr>
          <w:fldChar w:fldCharType="end"/>
        </w:r>
      </w:hyperlink>
    </w:p>
    <w:p w14:paraId="0DF02E55" w14:textId="77777777" w:rsidR="00742C75" w:rsidRDefault="00015ED6">
      <w:pPr>
        <w:pStyle w:val="10"/>
        <w:tabs>
          <w:tab w:val="left" w:pos="840"/>
          <w:tab w:val="right" w:leader="dot" w:pos="9061"/>
        </w:tabs>
        <w:rPr>
          <w:rFonts w:asciiTheme="minorHAnsi" w:eastAsiaTheme="minorEastAsia" w:hAnsiTheme="minorHAnsi"/>
          <w:b w:val="0"/>
          <w:bCs w:val="0"/>
          <w:noProof/>
          <w:kern w:val="2"/>
          <w:sz w:val="21"/>
          <w:szCs w:val="22"/>
          <w:lang w:eastAsia="zh-CN"/>
        </w:rPr>
      </w:pPr>
      <w:hyperlink w:anchor="_Toc91867162" w:history="1">
        <w:r w:rsidR="00742C75" w:rsidRPr="00F32A01">
          <w:rPr>
            <w:rStyle w:val="a8"/>
            <w:rFonts w:eastAsia="宋体" w:cs="宋体"/>
            <w:noProof/>
            <w:lang w:eastAsia="zh-CN"/>
          </w:rPr>
          <w:t>III.</w:t>
        </w:r>
        <w:r w:rsidR="00742C75">
          <w:rPr>
            <w:rFonts w:asciiTheme="minorHAnsi" w:eastAsiaTheme="minorEastAsia" w:hAnsiTheme="minorHAnsi"/>
            <w:b w:val="0"/>
            <w:bCs w:val="0"/>
            <w:noProof/>
            <w:kern w:val="2"/>
            <w:sz w:val="21"/>
            <w:szCs w:val="22"/>
            <w:lang w:eastAsia="zh-CN"/>
          </w:rPr>
          <w:tab/>
        </w:r>
        <w:r w:rsidR="00742C75" w:rsidRPr="00F32A01">
          <w:rPr>
            <w:rStyle w:val="a8"/>
            <w:rFonts w:eastAsia="宋体" w:cs="宋体" w:hint="eastAsia"/>
            <w:noProof/>
            <w:lang w:eastAsia="zh-CN"/>
          </w:rPr>
          <w:t>关于限流器的讨论</w:t>
        </w:r>
        <w:r w:rsidR="00742C75">
          <w:rPr>
            <w:noProof/>
            <w:webHidden/>
          </w:rPr>
          <w:tab/>
        </w:r>
        <w:r w:rsidR="00742C75">
          <w:rPr>
            <w:noProof/>
            <w:webHidden/>
          </w:rPr>
          <w:fldChar w:fldCharType="begin"/>
        </w:r>
        <w:r w:rsidR="00742C75">
          <w:rPr>
            <w:noProof/>
            <w:webHidden/>
          </w:rPr>
          <w:instrText xml:space="preserve"> PAGEREF _Toc91867162 \h </w:instrText>
        </w:r>
        <w:r w:rsidR="00742C75">
          <w:rPr>
            <w:noProof/>
            <w:webHidden/>
          </w:rPr>
        </w:r>
        <w:r w:rsidR="00742C75">
          <w:rPr>
            <w:noProof/>
            <w:webHidden/>
          </w:rPr>
          <w:fldChar w:fldCharType="separate"/>
        </w:r>
        <w:r w:rsidR="00742C75">
          <w:rPr>
            <w:noProof/>
            <w:webHidden/>
          </w:rPr>
          <w:t>4</w:t>
        </w:r>
        <w:r w:rsidR="00742C75">
          <w:rPr>
            <w:noProof/>
            <w:webHidden/>
          </w:rPr>
          <w:fldChar w:fldCharType="end"/>
        </w:r>
      </w:hyperlink>
    </w:p>
    <w:p w14:paraId="522E236F" w14:textId="77777777" w:rsidR="00742C75" w:rsidRDefault="00015ED6">
      <w:pPr>
        <w:pStyle w:val="10"/>
        <w:tabs>
          <w:tab w:val="left" w:pos="840"/>
          <w:tab w:val="right" w:leader="dot" w:pos="9061"/>
        </w:tabs>
        <w:rPr>
          <w:rFonts w:asciiTheme="minorHAnsi" w:eastAsiaTheme="minorEastAsia" w:hAnsiTheme="minorHAnsi"/>
          <w:b w:val="0"/>
          <w:bCs w:val="0"/>
          <w:noProof/>
          <w:kern w:val="2"/>
          <w:sz w:val="21"/>
          <w:szCs w:val="22"/>
          <w:lang w:eastAsia="zh-CN"/>
        </w:rPr>
      </w:pPr>
      <w:hyperlink w:anchor="_Toc91867163" w:history="1">
        <w:r w:rsidR="00742C75" w:rsidRPr="00F32A01">
          <w:rPr>
            <w:rStyle w:val="a8"/>
            <w:rFonts w:eastAsia="宋体" w:cs="宋体"/>
            <w:noProof/>
            <w:lang w:eastAsia="zh-CN"/>
          </w:rPr>
          <w:t>IV.</w:t>
        </w:r>
        <w:r w:rsidR="00742C75">
          <w:rPr>
            <w:rFonts w:asciiTheme="minorHAnsi" w:eastAsiaTheme="minorEastAsia" w:hAnsiTheme="minorHAnsi"/>
            <w:b w:val="0"/>
            <w:bCs w:val="0"/>
            <w:noProof/>
            <w:kern w:val="2"/>
            <w:sz w:val="21"/>
            <w:szCs w:val="22"/>
            <w:lang w:eastAsia="zh-CN"/>
          </w:rPr>
          <w:tab/>
        </w:r>
        <w:r w:rsidR="00742C75" w:rsidRPr="00F32A01">
          <w:rPr>
            <w:rStyle w:val="a8"/>
            <w:rFonts w:eastAsia="宋体" w:cs="宋体" w:hint="eastAsia"/>
            <w:noProof/>
            <w:lang w:eastAsia="zh-CN"/>
          </w:rPr>
          <w:t>一般建议</w:t>
        </w:r>
        <w:r w:rsidR="00742C75">
          <w:rPr>
            <w:noProof/>
            <w:webHidden/>
          </w:rPr>
          <w:tab/>
        </w:r>
        <w:r w:rsidR="00742C75">
          <w:rPr>
            <w:noProof/>
            <w:webHidden/>
          </w:rPr>
          <w:fldChar w:fldCharType="begin"/>
        </w:r>
        <w:r w:rsidR="00742C75">
          <w:rPr>
            <w:noProof/>
            <w:webHidden/>
          </w:rPr>
          <w:instrText xml:space="preserve"> PAGEREF _Toc91867163 \h </w:instrText>
        </w:r>
        <w:r w:rsidR="00742C75">
          <w:rPr>
            <w:noProof/>
            <w:webHidden/>
          </w:rPr>
        </w:r>
        <w:r w:rsidR="00742C75">
          <w:rPr>
            <w:noProof/>
            <w:webHidden/>
          </w:rPr>
          <w:fldChar w:fldCharType="separate"/>
        </w:r>
        <w:r w:rsidR="00742C75">
          <w:rPr>
            <w:noProof/>
            <w:webHidden/>
          </w:rPr>
          <w:t>6</w:t>
        </w:r>
        <w:r w:rsidR="00742C75">
          <w:rPr>
            <w:noProof/>
            <w:webHidden/>
          </w:rPr>
          <w:fldChar w:fldCharType="end"/>
        </w:r>
      </w:hyperlink>
    </w:p>
    <w:p w14:paraId="4F1227C6" w14:textId="77777777" w:rsidR="00742C75" w:rsidRDefault="00015ED6">
      <w:pPr>
        <w:pStyle w:val="20"/>
        <w:tabs>
          <w:tab w:val="right" w:leader="dot" w:pos="9061"/>
        </w:tabs>
        <w:rPr>
          <w:rFonts w:asciiTheme="minorHAnsi" w:eastAsiaTheme="minorEastAsia" w:hAnsiTheme="minorHAnsi"/>
          <w:b w:val="0"/>
          <w:bCs w:val="0"/>
          <w:noProof/>
          <w:kern w:val="2"/>
          <w:sz w:val="21"/>
          <w:szCs w:val="22"/>
          <w:lang w:eastAsia="zh-CN"/>
        </w:rPr>
      </w:pPr>
      <w:hyperlink w:anchor="_Toc91867164" w:history="1">
        <w:r w:rsidR="00742C75" w:rsidRPr="00F32A01">
          <w:rPr>
            <w:rStyle w:val="a8"/>
            <w:rFonts w:eastAsia="宋体" w:cs="宋体"/>
            <w:noProof/>
            <w:lang w:bidi="en-US"/>
          </w:rPr>
          <w:t>A.</w:t>
        </w:r>
        <w:r w:rsidR="00742C75">
          <w:rPr>
            <w:rFonts w:asciiTheme="minorHAnsi" w:eastAsiaTheme="minorEastAsia" w:hAnsiTheme="minorHAnsi"/>
            <w:b w:val="0"/>
            <w:bCs w:val="0"/>
            <w:noProof/>
            <w:kern w:val="2"/>
            <w:sz w:val="21"/>
            <w:szCs w:val="22"/>
            <w:lang w:eastAsia="zh-CN"/>
          </w:rPr>
          <w:tab/>
        </w:r>
        <w:r w:rsidR="00742C75" w:rsidRPr="00F32A01">
          <w:rPr>
            <w:rStyle w:val="a8"/>
            <w:rFonts w:eastAsia="宋体" w:cs="宋体" w:hint="eastAsia"/>
            <w:noProof/>
            <w:lang w:bidi="en-US"/>
          </w:rPr>
          <w:t>限制作用</w:t>
        </w:r>
        <w:r w:rsidR="00742C75" w:rsidRPr="00F32A01">
          <w:rPr>
            <w:rStyle w:val="a8"/>
            <w:rFonts w:eastAsia="宋体" w:cs="宋体"/>
            <w:noProof/>
            <w:vertAlign w:val="superscript"/>
            <w:lang w:bidi="en-US"/>
          </w:rPr>
          <w:t>25</w:t>
        </w:r>
        <w:r w:rsidR="00742C75">
          <w:rPr>
            <w:noProof/>
            <w:webHidden/>
          </w:rPr>
          <w:tab/>
        </w:r>
        <w:r w:rsidR="00742C75">
          <w:rPr>
            <w:noProof/>
            <w:webHidden/>
          </w:rPr>
          <w:fldChar w:fldCharType="begin"/>
        </w:r>
        <w:r w:rsidR="00742C75">
          <w:rPr>
            <w:noProof/>
            <w:webHidden/>
          </w:rPr>
          <w:instrText xml:space="preserve"> PAGEREF _Toc91867164 \h </w:instrText>
        </w:r>
        <w:r w:rsidR="00742C75">
          <w:rPr>
            <w:noProof/>
            <w:webHidden/>
          </w:rPr>
        </w:r>
        <w:r w:rsidR="00742C75">
          <w:rPr>
            <w:noProof/>
            <w:webHidden/>
          </w:rPr>
          <w:fldChar w:fldCharType="separate"/>
        </w:r>
        <w:r w:rsidR="00742C75">
          <w:rPr>
            <w:noProof/>
            <w:webHidden/>
          </w:rPr>
          <w:t>6</w:t>
        </w:r>
        <w:r w:rsidR="00742C75">
          <w:rPr>
            <w:noProof/>
            <w:webHidden/>
          </w:rPr>
          <w:fldChar w:fldCharType="end"/>
        </w:r>
      </w:hyperlink>
    </w:p>
    <w:p w14:paraId="068CB797" w14:textId="77777777" w:rsidR="00742C75" w:rsidRDefault="00015ED6">
      <w:pPr>
        <w:pStyle w:val="20"/>
        <w:tabs>
          <w:tab w:val="right" w:leader="dot" w:pos="9061"/>
        </w:tabs>
        <w:rPr>
          <w:rFonts w:asciiTheme="minorHAnsi" w:eastAsiaTheme="minorEastAsia" w:hAnsiTheme="minorHAnsi"/>
          <w:b w:val="0"/>
          <w:bCs w:val="0"/>
          <w:noProof/>
          <w:kern w:val="2"/>
          <w:sz w:val="21"/>
          <w:szCs w:val="22"/>
          <w:lang w:eastAsia="zh-CN"/>
        </w:rPr>
      </w:pPr>
      <w:hyperlink w:anchor="_Toc91867165" w:history="1">
        <w:r w:rsidR="00742C75" w:rsidRPr="00F32A01">
          <w:rPr>
            <w:rStyle w:val="a8"/>
            <w:rFonts w:eastAsia="宋体" w:cs="宋体"/>
            <w:noProof/>
            <w:lang w:bidi="en-US"/>
          </w:rPr>
          <w:t>B.</w:t>
        </w:r>
        <w:r w:rsidR="00742C75">
          <w:rPr>
            <w:rFonts w:asciiTheme="minorHAnsi" w:eastAsiaTheme="minorEastAsia" w:hAnsiTheme="minorHAnsi"/>
            <w:b w:val="0"/>
            <w:bCs w:val="0"/>
            <w:noProof/>
            <w:kern w:val="2"/>
            <w:sz w:val="21"/>
            <w:szCs w:val="22"/>
            <w:lang w:eastAsia="zh-CN"/>
          </w:rPr>
          <w:tab/>
        </w:r>
        <w:r w:rsidR="00742C75" w:rsidRPr="00F32A01">
          <w:rPr>
            <w:rStyle w:val="a8"/>
            <w:rFonts w:eastAsia="宋体" w:cs="宋体" w:hint="eastAsia"/>
            <w:noProof/>
            <w:lang w:bidi="en-US"/>
          </w:rPr>
          <w:t>人为因素和设计考量</w:t>
        </w:r>
        <w:r w:rsidR="00742C75">
          <w:rPr>
            <w:noProof/>
            <w:webHidden/>
          </w:rPr>
          <w:tab/>
        </w:r>
        <w:r w:rsidR="00742C75">
          <w:rPr>
            <w:noProof/>
            <w:webHidden/>
          </w:rPr>
          <w:fldChar w:fldCharType="begin"/>
        </w:r>
        <w:r w:rsidR="00742C75">
          <w:rPr>
            <w:noProof/>
            <w:webHidden/>
          </w:rPr>
          <w:instrText xml:space="preserve"> PAGEREF _Toc91867165 \h </w:instrText>
        </w:r>
        <w:r w:rsidR="00742C75">
          <w:rPr>
            <w:noProof/>
            <w:webHidden/>
          </w:rPr>
        </w:r>
        <w:r w:rsidR="00742C75">
          <w:rPr>
            <w:noProof/>
            <w:webHidden/>
          </w:rPr>
          <w:fldChar w:fldCharType="separate"/>
        </w:r>
        <w:r w:rsidR="00742C75">
          <w:rPr>
            <w:noProof/>
            <w:webHidden/>
          </w:rPr>
          <w:t>7</w:t>
        </w:r>
        <w:r w:rsidR="00742C75">
          <w:rPr>
            <w:noProof/>
            <w:webHidden/>
          </w:rPr>
          <w:fldChar w:fldCharType="end"/>
        </w:r>
      </w:hyperlink>
    </w:p>
    <w:p w14:paraId="5F6BDB78" w14:textId="77777777" w:rsidR="00742C75" w:rsidRDefault="00015ED6">
      <w:pPr>
        <w:pStyle w:val="20"/>
        <w:tabs>
          <w:tab w:val="right" w:leader="dot" w:pos="9061"/>
        </w:tabs>
        <w:rPr>
          <w:rFonts w:asciiTheme="minorHAnsi" w:eastAsiaTheme="minorEastAsia" w:hAnsiTheme="minorHAnsi"/>
          <w:b w:val="0"/>
          <w:bCs w:val="0"/>
          <w:noProof/>
          <w:kern w:val="2"/>
          <w:sz w:val="21"/>
          <w:szCs w:val="22"/>
          <w:lang w:eastAsia="zh-CN"/>
        </w:rPr>
      </w:pPr>
      <w:hyperlink w:anchor="_Toc91867166" w:history="1">
        <w:r w:rsidR="00742C75" w:rsidRPr="00F32A01">
          <w:rPr>
            <w:rStyle w:val="a8"/>
            <w:rFonts w:eastAsia="宋体" w:cs="宋体"/>
            <w:noProof/>
            <w:lang w:bidi="en-US"/>
          </w:rPr>
          <w:t>C.</w:t>
        </w:r>
        <w:r w:rsidR="00742C75">
          <w:rPr>
            <w:rFonts w:asciiTheme="minorHAnsi" w:eastAsiaTheme="minorEastAsia" w:hAnsiTheme="minorHAnsi"/>
            <w:b w:val="0"/>
            <w:bCs w:val="0"/>
            <w:noProof/>
            <w:kern w:val="2"/>
            <w:sz w:val="21"/>
            <w:szCs w:val="22"/>
            <w:lang w:eastAsia="zh-CN"/>
          </w:rPr>
          <w:tab/>
        </w:r>
        <w:r w:rsidR="00742C75" w:rsidRPr="00F32A01">
          <w:rPr>
            <w:rStyle w:val="a8"/>
            <w:rFonts w:eastAsia="宋体" w:cs="宋体" w:hint="eastAsia"/>
            <w:noProof/>
            <w:lang w:bidi="en-US"/>
          </w:rPr>
          <w:t>使用说明</w:t>
        </w:r>
        <w:r w:rsidR="00742C75">
          <w:rPr>
            <w:noProof/>
            <w:webHidden/>
          </w:rPr>
          <w:tab/>
        </w:r>
        <w:r w:rsidR="00742C75">
          <w:rPr>
            <w:noProof/>
            <w:webHidden/>
          </w:rPr>
          <w:fldChar w:fldCharType="begin"/>
        </w:r>
        <w:r w:rsidR="00742C75">
          <w:rPr>
            <w:noProof/>
            <w:webHidden/>
          </w:rPr>
          <w:instrText xml:space="preserve"> PAGEREF _Toc91867166 \h </w:instrText>
        </w:r>
        <w:r w:rsidR="00742C75">
          <w:rPr>
            <w:noProof/>
            <w:webHidden/>
          </w:rPr>
        </w:r>
        <w:r w:rsidR="00742C75">
          <w:rPr>
            <w:noProof/>
            <w:webHidden/>
          </w:rPr>
          <w:fldChar w:fldCharType="separate"/>
        </w:r>
        <w:r w:rsidR="00742C75">
          <w:rPr>
            <w:noProof/>
            <w:webHidden/>
          </w:rPr>
          <w:t>8</w:t>
        </w:r>
        <w:r w:rsidR="00742C75">
          <w:rPr>
            <w:noProof/>
            <w:webHidden/>
          </w:rPr>
          <w:fldChar w:fldCharType="end"/>
        </w:r>
      </w:hyperlink>
    </w:p>
    <w:p w14:paraId="47CF6C9A" w14:textId="77777777" w:rsidR="00742C75" w:rsidRDefault="00015ED6">
      <w:pPr>
        <w:pStyle w:val="10"/>
        <w:tabs>
          <w:tab w:val="right" w:leader="dot" w:pos="9061"/>
        </w:tabs>
        <w:rPr>
          <w:rFonts w:asciiTheme="minorHAnsi" w:eastAsiaTheme="minorEastAsia" w:hAnsiTheme="minorHAnsi"/>
          <w:b w:val="0"/>
          <w:bCs w:val="0"/>
          <w:noProof/>
          <w:kern w:val="2"/>
          <w:sz w:val="21"/>
          <w:szCs w:val="22"/>
          <w:lang w:eastAsia="zh-CN"/>
        </w:rPr>
      </w:pPr>
      <w:hyperlink w:anchor="_Toc91867167" w:history="1">
        <w:r w:rsidR="00742C75" w:rsidRPr="00F32A01">
          <w:rPr>
            <w:rStyle w:val="a8"/>
            <w:rFonts w:eastAsia="宋体" w:cs="宋体" w:hint="eastAsia"/>
            <w:noProof/>
            <w:lang w:eastAsia="zh-CN"/>
          </w:rPr>
          <w:t>附录</w:t>
        </w:r>
        <w:r w:rsidR="00742C75" w:rsidRPr="00F32A01">
          <w:rPr>
            <w:rStyle w:val="a8"/>
            <w:rFonts w:eastAsia="宋体" w:cs="宋体"/>
            <w:noProof/>
            <w:lang w:eastAsia="zh-CN"/>
          </w:rPr>
          <w:t>A</w:t>
        </w:r>
        <w:r w:rsidR="00742C75" w:rsidRPr="00F32A01">
          <w:rPr>
            <w:rStyle w:val="a8"/>
            <w:rFonts w:eastAsia="宋体" w:cs="宋体" w:hint="eastAsia"/>
            <w:noProof/>
            <w:lang w:eastAsia="zh-CN"/>
          </w:rPr>
          <w:t>：针对特定产品推荐的限制作用</w:t>
        </w:r>
        <w:r w:rsidR="00742C75">
          <w:rPr>
            <w:noProof/>
            <w:webHidden/>
          </w:rPr>
          <w:tab/>
        </w:r>
        <w:r w:rsidR="00742C75">
          <w:rPr>
            <w:noProof/>
            <w:webHidden/>
          </w:rPr>
          <w:fldChar w:fldCharType="begin"/>
        </w:r>
        <w:r w:rsidR="00742C75">
          <w:rPr>
            <w:noProof/>
            <w:webHidden/>
          </w:rPr>
          <w:instrText xml:space="preserve"> PAGEREF _Toc91867167 \h </w:instrText>
        </w:r>
        <w:r w:rsidR="00742C75">
          <w:rPr>
            <w:noProof/>
            <w:webHidden/>
          </w:rPr>
        </w:r>
        <w:r w:rsidR="00742C75">
          <w:rPr>
            <w:noProof/>
            <w:webHidden/>
          </w:rPr>
          <w:fldChar w:fldCharType="separate"/>
        </w:r>
        <w:r w:rsidR="00742C75">
          <w:rPr>
            <w:noProof/>
            <w:webHidden/>
          </w:rPr>
          <w:t>11</w:t>
        </w:r>
        <w:r w:rsidR="00742C75">
          <w:rPr>
            <w:noProof/>
            <w:webHidden/>
          </w:rPr>
          <w:fldChar w:fldCharType="end"/>
        </w:r>
      </w:hyperlink>
    </w:p>
    <w:p w14:paraId="7B8619E5" w14:textId="77777777" w:rsidR="002D1398" w:rsidRPr="002D1398" w:rsidRDefault="00FF57D1" w:rsidP="00FF57D1">
      <w:pPr>
        <w:pStyle w:val="20"/>
        <w:tabs>
          <w:tab w:val="left" w:pos="730"/>
          <w:tab w:val="left" w:pos="840"/>
          <w:tab w:val="right" w:leader="dot" w:pos="9360"/>
        </w:tabs>
        <w:adjustRightInd w:val="0"/>
        <w:snapToGrid w:val="0"/>
        <w:spacing w:beforeLines="50" w:line="300" w:lineRule="auto"/>
        <w:ind w:left="0" w:firstLine="0"/>
        <w:jc w:val="both"/>
        <w:rPr>
          <w:rFonts w:cs="Times New Roman"/>
          <w:snapToGrid w:val="0"/>
        </w:rPr>
      </w:pPr>
      <w:r>
        <w:rPr>
          <w:rFonts w:cs="Times New Roman"/>
          <w:snapToGrid w:val="0"/>
        </w:rPr>
        <w:fldChar w:fldCharType="end"/>
      </w:r>
    </w:p>
    <w:p w14:paraId="629C711B" w14:textId="77777777" w:rsidR="00CF33E5" w:rsidRDefault="00CF33E5" w:rsidP="002D1398">
      <w:pPr>
        <w:adjustRightInd w:val="0"/>
        <w:snapToGrid w:val="0"/>
        <w:spacing w:beforeLines="50" w:before="120" w:line="300" w:lineRule="auto"/>
        <w:jc w:val="both"/>
        <w:rPr>
          <w:rFonts w:ascii="Times New Roman" w:hAnsi="Times New Roman" w:cs="Times New Roman"/>
          <w:b/>
          <w:bCs/>
          <w:snapToGrid w:val="0"/>
          <w:sz w:val="24"/>
          <w:szCs w:val="24"/>
          <w:lang w:eastAsia="zh-CN"/>
        </w:rPr>
      </w:pPr>
    </w:p>
    <w:p w14:paraId="26AC1005" w14:textId="77777777" w:rsidR="009D01EE" w:rsidRDefault="002D1398">
      <w:pPr>
        <w:rPr>
          <w:rFonts w:ascii="Times New Roman" w:hAnsi="Times New Roman" w:cs="Times New Roman"/>
          <w:b/>
          <w:bCs/>
          <w:snapToGrid w:val="0"/>
          <w:sz w:val="24"/>
          <w:szCs w:val="24"/>
          <w:lang w:eastAsia="zh-CN"/>
        </w:rPr>
        <w:sectPr w:rsidR="009D01EE" w:rsidSect="002D1398">
          <w:headerReference w:type="default" r:id="rId9"/>
          <w:pgSz w:w="11907" w:h="16839" w:code="9"/>
          <w:pgMar w:top="1418" w:right="1418" w:bottom="1418" w:left="1418" w:header="720" w:footer="720" w:gutter="0"/>
          <w:cols w:space="720"/>
          <w:docGrid w:linePitch="299"/>
        </w:sectPr>
      </w:pPr>
      <w:r w:rsidRPr="00742C75">
        <w:rPr>
          <w:rFonts w:ascii="Times New Roman" w:eastAsia="宋体" w:hAnsi="Times New Roman" w:cs="宋体"/>
          <w:b/>
          <w:sz w:val="24"/>
        </w:rPr>
        <w:br w:type="page"/>
      </w:r>
    </w:p>
    <w:p w14:paraId="31EF6948" w14:textId="7591C1EB" w:rsidR="00CF33E5" w:rsidRPr="002D1398" w:rsidRDefault="0044021B" w:rsidP="002D1398">
      <w:pPr>
        <w:tabs>
          <w:tab w:val="left" w:pos="1516"/>
        </w:tabs>
        <w:adjustRightInd w:val="0"/>
        <w:snapToGrid w:val="0"/>
        <w:spacing w:beforeLines="50" w:before="120" w:line="300" w:lineRule="auto"/>
        <w:jc w:val="center"/>
        <w:rPr>
          <w:rFonts w:ascii="Times New Roman" w:eastAsia="Times New Roman" w:hAnsi="Times New Roman" w:cs="Times New Roman"/>
          <w:snapToGrid w:val="0"/>
          <w:sz w:val="32"/>
          <w:szCs w:val="32"/>
          <w:lang w:eastAsia="zh-CN"/>
        </w:rPr>
      </w:pPr>
      <w:r w:rsidRPr="00742C75">
        <w:rPr>
          <w:rFonts w:ascii="Times New Roman" w:eastAsia="宋体" w:hAnsi="Times New Roman" w:cs="宋体"/>
          <w:b/>
          <w:sz w:val="32"/>
          <w:lang w:eastAsia="zh-CN"/>
        </w:rPr>
        <w:lastRenderedPageBreak/>
        <w:t>限制性给药系统：</w:t>
      </w:r>
      <w:r w:rsidRPr="009E1A2C">
        <w:rPr>
          <w:rFonts w:ascii="Times New Roman" w:eastAsia="宋体" w:hAnsi="Times New Roman" w:cs="宋体" w:hint="eastAsia"/>
          <w:b/>
          <w:sz w:val="32"/>
          <w:lang w:eastAsia="zh-CN"/>
        </w:rPr>
        <w:t>口服液</w:t>
      </w:r>
      <w:r w:rsidR="00EB5F76">
        <w:rPr>
          <w:rFonts w:ascii="Times New Roman" w:eastAsia="宋体" w:hAnsi="Times New Roman" w:cs="宋体" w:hint="eastAsia"/>
          <w:b/>
          <w:sz w:val="32"/>
          <w:lang w:eastAsia="zh-CN"/>
        </w:rPr>
        <w:t>药物</w:t>
      </w:r>
      <w:r w:rsidR="009020AE" w:rsidRPr="009E1A2C">
        <w:rPr>
          <w:rFonts w:ascii="Times New Roman" w:eastAsia="宋体" w:hAnsi="Times New Roman" w:cs="宋体" w:hint="eastAsia"/>
          <w:b/>
          <w:sz w:val="32"/>
          <w:lang w:eastAsia="zh-CN"/>
        </w:rPr>
        <w:t>体药物的</w:t>
      </w:r>
      <w:r w:rsidRPr="009E1A2C">
        <w:rPr>
          <w:rFonts w:ascii="Times New Roman" w:eastAsia="宋体" w:hAnsi="Times New Roman" w:cs="宋体" w:hint="eastAsia"/>
          <w:b/>
          <w:sz w:val="32"/>
          <w:lang w:eastAsia="zh-CN"/>
        </w:rPr>
        <w:t>限流器</w:t>
      </w:r>
    </w:p>
    <w:p w14:paraId="48A6C459" w14:textId="77777777" w:rsidR="00CF33E5" w:rsidRPr="002D1398" w:rsidRDefault="0044021B" w:rsidP="002D1398">
      <w:pPr>
        <w:tabs>
          <w:tab w:val="left" w:pos="3803"/>
        </w:tabs>
        <w:adjustRightInd w:val="0"/>
        <w:snapToGrid w:val="0"/>
        <w:spacing w:beforeLines="50" w:before="120" w:line="300" w:lineRule="auto"/>
        <w:jc w:val="center"/>
        <w:rPr>
          <w:rFonts w:ascii="Times New Roman" w:eastAsia="Times New Roman" w:hAnsi="Times New Roman" w:cs="Times New Roman"/>
          <w:snapToGrid w:val="0"/>
          <w:sz w:val="32"/>
          <w:szCs w:val="32"/>
        </w:rPr>
      </w:pPr>
      <w:r w:rsidRPr="00742C75">
        <w:rPr>
          <w:rFonts w:ascii="Times New Roman" w:eastAsia="宋体" w:hAnsi="Times New Roman" w:cs="宋体"/>
          <w:b/>
          <w:sz w:val="32"/>
        </w:rPr>
        <w:t>行业指南</w:t>
      </w:r>
      <w:r w:rsidRPr="00742C75">
        <w:rPr>
          <w:rFonts w:ascii="Times New Roman" w:eastAsia="宋体" w:hAnsi="Times New Roman" w:cs="宋体"/>
          <w:b/>
          <w:sz w:val="32"/>
          <w:vertAlign w:val="superscript"/>
        </w:rPr>
        <w:t>1</w:t>
      </w:r>
    </w:p>
    <w:tbl>
      <w:tblPr>
        <w:tblStyle w:val="a7"/>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87"/>
      </w:tblGrid>
      <w:tr w:rsidR="00BA41F4" w:rsidRPr="00BA41F4" w14:paraId="3F5FFADE" w14:textId="77777777" w:rsidTr="00BA41F4">
        <w:tc>
          <w:tcPr>
            <w:tcW w:w="9287" w:type="dxa"/>
          </w:tcPr>
          <w:p w14:paraId="40C77854" w14:textId="49548A95" w:rsidR="00BA41F4" w:rsidRPr="00670F08" w:rsidRDefault="00670F08" w:rsidP="00535721">
            <w:pPr>
              <w:pStyle w:val="3"/>
              <w:tabs>
                <w:tab w:val="left" w:pos="719"/>
                <w:tab w:val="left" w:pos="1439"/>
              </w:tabs>
              <w:adjustRightInd w:val="0"/>
              <w:snapToGrid w:val="0"/>
              <w:spacing w:beforeLines="50" w:before="120" w:line="300" w:lineRule="auto"/>
              <w:ind w:left="0"/>
              <w:jc w:val="both"/>
              <w:rPr>
                <w:rFonts w:eastAsiaTheme="minorEastAsia" w:cs="Times New Roman"/>
                <w:b w:val="0"/>
                <w:bCs w:val="0"/>
                <w:snapToGrid w:val="0"/>
                <w:sz w:val="21"/>
                <w:szCs w:val="21"/>
                <w:lang w:eastAsia="zh-CN"/>
              </w:rPr>
            </w:pPr>
            <w:r>
              <w:rPr>
                <w:rFonts w:eastAsia="宋体" w:cs="宋体" w:hint="eastAsia"/>
                <w:b w:val="0"/>
                <w:bCs w:val="0"/>
                <w:sz w:val="20"/>
                <w:lang w:eastAsia="zh-CN"/>
              </w:rPr>
              <w:t>本</w:t>
            </w:r>
            <w:r w:rsidR="00BA41F4" w:rsidRPr="00670F08">
              <w:rPr>
                <w:rFonts w:eastAsia="宋体" w:cs="宋体"/>
                <w:b w:val="0"/>
                <w:bCs w:val="0"/>
                <w:sz w:val="20"/>
                <w:lang w:eastAsia="zh-CN"/>
              </w:rPr>
              <w:t>指南草案</w:t>
            </w:r>
            <w:r w:rsidR="00535721">
              <w:rPr>
                <w:rFonts w:eastAsia="宋体" w:cs="宋体"/>
                <w:b w:val="0"/>
                <w:bCs w:val="0"/>
                <w:sz w:val="20"/>
                <w:lang w:eastAsia="zh-CN"/>
              </w:rPr>
              <w:t>的</w:t>
            </w:r>
            <w:r w:rsidR="00BA41F4" w:rsidRPr="00670F08">
              <w:rPr>
                <w:rFonts w:eastAsia="宋体" w:cs="宋体"/>
                <w:b w:val="0"/>
                <w:bCs w:val="0"/>
                <w:sz w:val="20"/>
                <w:lang w:eastAsia="zh-CN"/>
              </w:rPr>
              <w:t>定稿将代表</w:t>
            </w:r>
            <w:r w:rsidR="0013406F">
              <w:rPr>
                <w:rFonts w:eastAsia="宋体" w:cs="宋体"/>
                <w:b w:val="0"/>
                <w:bCs w:val="0"/>
                <w:sz w:val="20"/>
                <w:lang w:eastAsia="zh-CN"/>
              </w:rPr>
              <w:t>美国</w:t>
            </w:r>
            <w:r w:rsidR="009277B9" w:rsidRPr="009277B9">
              <w:rPr>
                <w:rFonts w:eastAsia="宋体" w:cs="宋体" w:hint="eastAsia"/>
                <w:b w:val="0"/>
                <w:bCs w:val="0"/>
                <w:sz w:val="20"/>
                <w:lang w:eastAsia="zh-CN"/>
              </w:rPr>
              <w:t>食品药品</w:t>
            </w:r>
            <w:r w:rsidR="0013406F">
              <w:rPr>
                <w:rFonts w:eastAsia="宋体" w:cs="宋体" w:hint="eastAsia"/>
                <w:b w:val="0"/>
                <w:bCs w:val="0"/>
                <w:sz w:val="20"/>
                <w:lang w:eastAsia="zh-CN"/>
              </w:rPr>
              <w:t>监督</w:t>
            </w:r>
            <w:r w:rsidR="009277B9" w:rsidRPr="009277B9">
              <w:rPr>
                <w:rFonts w:eastAsia="宋体" w:cs="宋体" w:hint="eastAsia"/>
                <w:b w:val="0"/>
                <w:bCs w:val="0"/>
                <w:sz w:val="20"/>
                <w:lang w:eastAsia="zh-CN"/>
              </w:rPr>
              <w:t>管理局（</w:t>
            </w:r>
            <w:r w:rsidR="009277B9" w:rsidRPr="009277B9">
              <w:rPr>
                <w:rFonts w:eastAsia="宋体" w:cs="宋体" w:hint="eastAsia"/>
                <w:b w:val="0"/>
                <w:bCs w:val="0"/>
                <w:sz w:val="20"/>
                <w:lang w:eastAsia="zh-CN"/>
              </w:rPr>
              <w:t>FDA</w:t>
            </w:r>
            <w:r w:rsidR="00482EE7">
              <w:rPr>
                <w:rFonts w:eastAsia="宋体" w:cs="宋体" w:hint="eastAsia"/>
                <w:b w:val="0"/>
                <w:bCs w:val="0"/>
                <w:sz w:val="20"/>
                <w:lang w:eastAsia="zh-CN"/>
              </w:rPr>
              <w:t>或本机构</w:t>
            </w:r>
            <w:r w:rsidR="009277B9" w:rsidRPr="009277B9">
              <w:rPr>
                <w:rFonts w:eastAsia="宋体" w:cs="宋体" w:hint="eastAsia"/>
                <w:b w:val="0"/>
                <w:bCs w:val="0"/>
                <w:sz w:val="20"/>
                <w:lang w:eastAsia="zh-CN"/>
              </w:rPr>
              <w:t>）目前关于该主题的思考。其不会为任何人创造或赋予任何权利，也不会对</w:t>
            </w:r>
            <w:r w:rsidR="009277B9" w:rsidRPr="009277B9">
              <w:rPr>
                <w:rFonts w:eastAsia="宋体" w:cs="宋体" w:hint="eastAsia"/>
                <w:b w:val="0"/>
                <w:bCs w:val="0"/>
                <w:sz w:val="20"/>
                <w:lang w:eastAsia="zh-CN"/>
              </w:rPr>
              <w:t>FDA</w:t>
            </w:r>
            <w:r w:rsidR="009277B9" w:rsidRPr="009277B9">
              <w:rPr>
                <w:rFonts w:eastAsia="宋体" w:cs="宋体" w:hint="eastAsia"/>
                <w:b w:val="0"/>
                <w:bCs w:val="0"/>
                <w:sz w:val="20"/>
                <w:lang w:eastAsia="zh-CN"/>
              </w:rPr>
              <w:t>或公众产生约束。如果替代方法满足适用的法律法规的要求，则可以使用该方法。如需讨论替代方法，请联系标题页负责实施本指南文件的</w:t>
            </w:r>
            <w:r w:rsidR="009277B9" w:rsidRPr="009277B9">
              <w:rPr>
                <w:rFonts w:eastAsia="宋体" w:cs="宋体" w:hint="eastAsia"/>
                <w:b w:val="0"/>
                <w:bCs w:val="0"/>
                <w:sz w:val="20"/>
                <w:lang w:eastAsia="zh-CN"/>
              </w:rPr>
              <w:t>FDA</w:t>
            </w:r>
            <w:r w:rsidR="009277B9" w:rsidRPr="009277B9">
              <w:rPr>
                <w:rFonts w:eastAsia="宋体" w:cs="宋体" w:hint="eastAsia"/>
                <w:b w:val="0"/>
                <w:bCs w:val="0"/>
                <w:sz w:val="20"/>
                <w:lang w:eastAsia="zh-CN"/>
              </w:rPr>
              <w:t>工作人员或办公室。</w:t>
            </w:r>
          </w:p>
        </w:tc>
      </w:tr>
    </w:tbl>
    <w:p w14:paraId="6027F402" w14:textId="77777777" w:rsidR="002D1398" w:rsidRDefault="002D1398" w:rsidP="002D1398">
      <w:pPr>
        <w:pStyle w:val="3"/>
        <w:tabs>
          <w:tab w:val="left" w:pos="719"/>
          <w:tab w:val="left" w:pos="1439"/>
        </w:tabs>
        <w:adjustRightInd w:val="0"/>
        <w:snapToGrid w:val="0"/>
        <w:spacing w:beforeLines="50" w:before="120" w:line="300" w:lineRule="auto"/>
        <w:ind w:left="0"/>
        <w:jc w:val="both"/>
        <w:rPr>
          <w:rFonts w:eastAsiaTheme="minorEastAsia" w:cs="Times New Roman"/>
          <w:b w:val="0"/>
          <w:bCs w:val="0"/>
          <w:snapToGrid w:val="0"/>
          <w:lang w:eastAsia="zh-CN"/>
        </w:rPr>
      </w:pPr>
    </w:p>
    <w:p w14:paraId="77C8D700" w14:textId="77777777" w:rsidR="00CF33E5" w:rsidRPr="002D1398" w:rsidRDefault="0044021B" w:rsidP="009D01EE">
      <w:pPr>
        <w:pStyle w:val="11"/>
        <w:rPr>
          <w:lang w:eastAsia="zh-CN"/>
        </w:rPr>
      </w:pPr>
      <w:bookmarkStart w:id="0" w:name="_Toc91867160"/>
      <w:r w:rsidRPr="00742C75">
        <w:rPr>
          <w:rFonts w:eastAsia="宋体" w:cs="宋体"/>
          <w:lang w:eastAsia="zh-CN"/>
        </w:rPr>
        <w:t>I.</w:t>
      </w:r>
      <w:r w:rsidRPr="00742C75">
        <w:rPr>
          <w:rFonts w:eastAsia="宋体" w:cs="宋体"/>
          <w:lang w:eastAsia="zh-CN"/>
        </w:rPr>
        <w:tab/>
      </w:r>
      <w:r w:rsidRPr="00742C75">
        <w:rPr>
          <w:rFonts w:eastAsia="宋体" w:cs="宋体"/>
          <w:lang w:eastAsia="zh-CN"/>
        </w:rPr>
        <w:t>引言</w:t>
      </w:r>
      <w:bookmarkEnd w:id="0"/>
    </w:p>
    <w:p w14:paraId="32532C24" w14:textId="61D62A30" w:rsidR="00482EE7" w:rsidRDefault="0044021B" w:rsidP="00482EE7">
      <w:pPr>
        <w:tabs>
          <w:tab w:val="left" w:pos="719"/>
        </w:tabs>
        <w:adjustRightInd w:val="0"/>
        <w:snapToGrid w:val="0"/>
        <w:spacing w:beforeLines="50" w:before="120" w:line="300" w:lineRule="auto"/>
        <w:jc w:val="both"/>
        <w:rPr>
          <w:rFonts w:ascii="Times New Roman" w:eastAsia="宋体" w:hAnsi="Times New Roman" w:cs="宋体" w:hint="eastAsia"/>
          <w:sz w:val="24"/>
          <w:lang w:eastAsia="zh-CN"/>
        </w:rPr>
      </w:pPr>
      <w:r w:rsidRPr="00742C75">
        <w:rPr>
          <w:rFonts w:ascii="Times New Roman" w:eastAsia="宋体" w:hAnsi="Times New Roman" w:cs="宋体"/>
          <w:sz w:val="24"/>
          <w:lang w:eastAsia="zh-CN"/>
        </w:rPr>
        <w:t>本指南就限制性给药系统</w:t>
      </w:r>
      <w:r w:rsidR="00482EE7">
        <w:rPr>
          <w:rFonts w:ascii="Times New Roman" w:eastAsia="宋体" w:hAnsi="Times New Roman" w:cs="宋体"/>
          <w:sz w:val="24"/>
          <w:lang w:eastAsia="zh-CN"/>
        </w:rPr>
        <w:t>的</w:t>
      </w:r>
      <w:r w:rsidRPr="00742C75">
        <w:rPr>
          <w:rFonts w:ascii="Times New Roman" w:eastAsia="宋体" w:hAnsi="Times New Roman" w:cs="宋体"/>
          <w:sz w:val="24"/>
          <w:lang w:eastAsia="zh-CN"/>
        </w:rPr>
        <w:t>使用提供了各种建议</w:t>
      </w:r>
      <w:r w:rsidRPr="00742C75">
        <w:rPr>
          <w:rFonts w:ascii="Times New Roman" w:eastAsia="宋体" w:hAnsi="Times New Roman" w:cs="宋体"/>
          <w:sz w:val="24"/>
          <w:vertAlign w:val="superscript"/>
          <w:lang w:eastAsia="zh-CN"/>
        </w:rPr>
        <w:t>2,3</w:t>
      </w:r>
      <w:r w:rsidRPr="00742C75">
        <w:rPr>
          <w:rFonts w:ascii="Times New Roman" w:eastAsia="宋体" w:hAnsi="Times New Roman" w:cs="宋体"/>
          <w:sz w:val="24"/>
          <w:lang w:eastAsia="zh-CN"/>
        </w:rPr>
        <w:t>，以限制儿童意外摄入</w:t>
      </w:r>
      <w:r w:rsidRPr="00742C75">
        <w:rPr>
          <w:rFonts w:ascii="Times New Roman" w:eastAsia="宋体" w:hAnsi="Times New Roman" w:cs="宋体"/>
          <w:sz w:val="24"/>
          <w:vertAlign w:val="superscript"/>
          <w:lang w:eastAsia="zh-CN"/>
        </w:rPr>
        <w:t>4</w:t>
      </w:r>
      <w:r w:rsidRPr="00742C75">
        <w:rPr>
          <w:rFonts w:ascii="Times New Roman" w:eastAsia="宋体" w:hAnsi="Times New Roman" w:cs="宋体"/>
          <w:sz w:val="24"/>
          <w:lang w:eastAsia="zh-CN"/>
        </w:rPr>
        <w:t>口服液</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（例如口服溶液、口服混悬剂）。</w:t>
      </w:r>
      <w:r w:rsidRPr="00742C75">
        <w:rPr>
          <w:rFonts w:ascii="Times New Roman" w:eastAsia="宋体" w:hAnsi="Times New Roman" w:cs="宋体"/>
          <w:sz w:val="24"/>
          <w:vertAlign w:val="superscript"/>
          <w:lang w:eastAsia="zh-CN"/>
        </w:rPr>
        <w:t>5</w:t>
      </w:r>
      <w:r w:rsidRPr="00742C75">
        <w:rPr>
          <w:rFonts w:ascii="Times New Roman" w:eastAsia="宋体" w:hAnsi="Times New Roman" w:cs="宋体"/>
          <w:sz w:val="24"/>
          <w:lang w:eastAsia="zh-CN"/>
        </w:rPr>
        <w:t>本指南中的建议广泛适用于口服液</w:t>
      </w:r>
      <w:r w:rsidR="00EB5F76">
        <w:rPr>
          <w:rFonts w:ascii="Times New Roman" w:eastAsia="宋体" w:hAnsi="Times New Roman" w:cs="宋体" w:hint="eastAsia"/>
          <w:sz w:val="24"/>
          <w:lang w:eastAsia="zh-CN"/>
        </w:rPr>
        <w:t>药物</w:t>
      </w:r>
      <w:r w:rsidR="009020AE">
        <w:rPr>
          <w:rFonts w:ascii="Times New Roman" w:eastAsia="宋体" w:hAnsi="Times New Roman" w:cs="宋体" w:hint="eastAsia"/>
          <w:sz w:val="24"/>
          <w:lang w:eastAsia="zh-CN"/>
        </w:rPr>
        <w:t>体药物</w:t>
      </w:r>
      <w:r w:rsidRPr="00742C75">
        <w:rPr>
          <w:rFonts w:ascii="Times New Roman" w:eastAsia="宋体" w:hAnsi="Times New Roman" w:cs="宋体"/>
          <w:sz w:val="24"/>
          <w:lang w:eastAsia="zh-CN"/>
        </w:rPr>
        <w:t>和生物制品。</w:t>
      </w:r>
      <w:r w:rsidRPr="00742C75">
        <w:rPr>
          <w:rFonts w:ascii="Times New Roman" w:eastAsia="宋体" w:hAnsi="Times New Roman" w:cs="宋体"/>
          <w:sz w:val="24"/>
          <w:vertAlign w:val="superscript"/>
          <w:lang w:eastAsia="zh-CN"/>
        </w:rPr>
        <w:t>6,7</w:t>
      </w:r>
      <w:r w:rsidRPr="00742C75">
        <w:rPr>
          <w:rFonts w:ascii="Times New Roman" w:eastAsia="宋体" w:hAnsi="Times New Roman" w:cs="宋体"/>
          <w:sz w:val="24"/>
          <w:lang w:eastAsia="zh-CN"/>
        </w:rPr>
        <w:t>因此，本指南旨在供口服液</w:t>
      </w:r>
      <w:r w:rsidR="00EB5F76">
        <w:rPr>
          <w:rFonts w:ascii="Times New Roman" w:eastAsia="宋体" w:hAnsi="Times New Roman" w:cs="宋体" w:hint="eastAsia"/>
          <w:sz w:val="24"/>
          <w:lang w:eastAsia="zh-CN"/>
        </w:rPr>
        <w:t>药物</w:t>
      </w:r>
      <w:r w:rsidR="009020AE">
        <w:rPr>
          <w:rFonts w:ascii="Times New Roman" w:eastAsia="宋体" w:hAnsi="Times New Roman" w:cs="宋体" w:hint="eastAsia"/>
          <w:sz w:val="24"/>
          <w:lang w:eastAsia="zh-CN"/>
        </w:rPr>
        <w:t>体药物</w:t>
      </w:r>
      <w:r w:rsidRPr="00742C75">
        <w:rPr>
          <w:rFonts w:ascii="Times New Roman" w:eastAsia="宋体" w:hAnsi="Times New Roman" w:cs="宋体"/>
          <w:sz w:val="24"/>
          <w:lang w:eastAsia="zh-CN"/>
        </w:rPr>
        <w:t>和生物制品的制造商参考使用。在本指南中，术语</w:t>
      </w:r>
      <w:r w:rsidRPr="00742C75">
        <w:rPr>
          <w:rFonts w:ascii="Times New Roman" w:eastAsia="宋体" w:hAnsi="Times New Roman" w:cs="宋体"/>
          <w:sz w:val="24"/>
          <w:lang w:eastAsia="zh-CN"/>
        </w:rPr>
        <w:t>“</w:t>
      </w:r>
      <w:r w:rsidRPr="00742C75">
        <w:rPr>
          <w:rFonts w:ascii="Times New Roman" w:eastAsia="宋体" w:hAnsi="Times New Roman" w:cs="宋体"/>
          <w:i/>
          <w:sz w:val="24"/>
          <w:lang w:eastAsia="zh-CN"/>
        </w:rPr>
        <w:t>制造商</w:t>
      </w:r>
      <w:r w:rsidRPr="00742C75">
        <w:rPr>
          <w:rFonts w:ascii="Times New Roman" w:eastAsia="宋体" w:hAnsi="Times New Roman" w:cs="宋体"/>
          <w:sz w:val="24"/>
          <w:lang w:eastAsia="zh-CN"/>
        </w:rPr>
        <w:t>”</w:t>
      </w:r>
      <w:r w:rsidRPr="00742C75">
        <w:rPr>
          <w:rFonts w:ascii="Times New Roman" w:eastAsia="宋体" w:hAnsi="Times New Roman" w:cs="宋体"/>
          <w:sz w:val="24"/>
          <w:lang w:eastAsia="zh-CN"/>
        </w:rPr>
        <w:t>广泛用于包括根据非处方药（</w:t>
      </w:r>
      <w:r w:rsidRPr="00742C75">
        <w:rPr>
          <w:rFonts w:ascii="Times New Roman" w:eastAsia="宋体" w:hAnsi="Times New Roman" w:cs="宋体"/>
          <w:sz w:val="24"/>
          <w:lang w:eastAsia="zh-CN"/>
        </w:rPr>
        <w:t>OTC</w:t>
      </w:r>
      <w:r w:rsidRPr="00742C75">
        <w:rPr>
          <w:rFonts w:ascii="Times New Roman" w:eastAsia="宋体" w:hAnsi="Times New Roman" w:cs="宋体"/>
          <w:sz w:val="24"/>
          <w:lang w:eastAsia="zh-CN"/>
        </w:rPr>
        <w:t>）审评上市药品的公司；新药申请（</w:t>
      </w:r>
      <w:r w:rsidRPr="00742C75">
        <w:rPr>
          <w:rFonts w:ascii="Times New Roman" w:eastAsia="宋体" w:hAnsi="Times New Roman" w:cs="宋体"/>
          <w:sz w:val="24"/>
          <w:lang w:eastAsia="zh-CN"/>
        </w:rPr>
        <w:t>NDA</w:t>
      </w:r>
      <w:r w:rsidRPr="00742C75">
        <w:rPr>
          <w:rFonts w:ascii="Times New Roman" w:eastAsia="宋体" w:hAnsi="Times New Roman" w:cs="宋体"/>
          <w:sz w:val="24"/>
          <w:lang w:eastAsia="zh-CN"/>
        </w:rPr>
        <w:t>）、生物制品许可申（</w:t>
      </w:r>
      <w:r w:rsidRPr="00742C75">
        <w:rPr>
          <w:rFonts w:ascii="Times New Roman" w:eastAsia="宋体" w:hAnsi="Times New Roman" w:cs="宋体"/>
          <w:sz w:val="24"/>
          <w:lang w:eastAsia="zh-CN"/>
        </w:rPr>
        <w:t>BLA</w:t>
      </w:r>
      <w:r w:rsidRPr="00742C75">
        <w:rPr>
          <w:rFonts w:ascii="Times New Roman" w:eastAsia="宋体" w:hAnsi="Times New Roman" w:cs="宋体"/>
          <w:sz w:val="24"/>
          <w:lang w:eastAsia="zh-CN"/>
        </w:rPr>
        <w:t>）和简化新药申请（</w:t>
      </w:r>
      <w:r w:rsidRPr="00742C75">
        <w:rPr>
          <w:rFonts w:ascii="Times New Roman" w:eastAsia="宋体" w:hAnsi="Times New Roman" w:cs="宋体"/>
          <w:sz w:val="24"/>
          <w:lang w:eastAsia="zh-CN"/>
        </w:rPr>
        <w:t>ANDA</w:t>
      </w:r>
      <w:r w:rsidRPr="00742C75">
        <w:rPr>
          <w:rFonts w:ascii="Times New Roman" w:eastAsia="宋体" w:hAnsi="Times New Roman" w:cs="宋体"/>
          <w:sz w:val="24"/>
          <w:lang w:eastAsia="zh-CN"/>
        </w:rPr>
        <w:t>）的持有人；以及生产包装或贴标用于口服液</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商业分销</w:t>
      </w:r>
      <w:r w:rsidR="004B53A0">
        <w:rPr>
          <w:rFonts w:ascii="Times New Roman" w:eastAsia="宋体" w:hAnsi="Times New Roman" w:cs="宋体" w:hint="eastAsia"/>
          <w:sz w:val="24"/>
          <w:lang w:eastAsia="zh-CN"/>
        </w:rPr>
        <w:t>成分</w:t>
      </w:r>
      <w:r w:rsidRPr="00742C75">
        <w:rPr>
          <w:rFonts w:ascii="Times New Roman" w:eastAsia="宋体" w:hAnsi="Times New Roman" w:cs="宋体"/>
          <w:sz w:val="24"/>
          <w:lang w:eastAsia="zh-CN"/>
        </w:rPr>
        <w:t>的公司，包括</w:t>
      </w:r>
      <w:r w:rsidRPr="00742C75">
        <w:rPr>
          <w:rFonts w:ascii="Times New Roman" w:eastAsia="宋体" w:hAnsi="Times New Roman" w:cs="宋体" w:hint="eastAsia"/>
          <w:sz w:val="24"/>
          <w:lang w:eastAsia="zh-CN"/>
        </w:rPr>
        <w:t>购买散装</w:t>
      </w:r>
      <w:r w:rsidRPr="00742C75">
        <w:rPr>
          <w:rFonts w:ascii="Times New Roman" w:eastAsia="宋体" w:hAnsi="Times New Roman" w:cs="宋体"/>
          <w:sz w:val="24"/>
          <w:lang w:eastAsia="zh-CN"/>
        </w:rPr>
        <w:t>产品</w:t>
      </w:r>
      <w:r w:rsidR="00E362D2" w:rsidRPr="004B53A0">
        <w:rPr>
          <w:rFonts w:ascii="Times New Roman" w:eastAsia="宋体" w:hAnsi="Times New Roman" w:cs="宋体" w:hint="eastAsia"/>
          <w:sz w:val="24"/>
          <w:lang w:eastAsia="zh-CN"/>
        </w:rPr>
        <w:t>并在其自有标签下销售的公司</w:t>
      </w:r>
      <w:r w:rsidRPr="00742C75">
        <w:rPr>
          <w:rFonts w:ascii="Times New Roman" w:eastAsia="宋体" w:hAnsi="Times New Roman" w:cs="宋体"/>
          <w:sz w:val="24"/>
          <w:lang w:eastAsia="zh-CN"/>
        </w:rPr>
        <w:t>，</w:t>
      </w:r>
      <w:r w:rsidR="00E362D2">
        <w:rPr>
          <w:rFonts w:ascii="Times New Roman" w:eastAsia="宋体" w:hAnsi="Times New Roman" w:cs="宋体" w:hint="eastAsia"/>
          <w:sz w:val="24"/>
          <w:lang w:eastAsia="zh-CN"/>
        </w:rPr>
        <w:t>以及</w:t>
      </w:r>
      <w:r w:rsidRPr="00742C75">
        <w:rPr>
          <w:rFonts w:ascii="Times New Roman" w:eastAsia="宋体" w:hAnsi="Times New Roman" w:cs="宋体"/>
          <w:sz w:val="24"/>
          <w:lang w:eastAsia="zh-CN"/>
        </w:rPr>
        <w:t>在将散装产品灌装至直接面向消费者的包装时为产品添加限流器</w:t>
      </w:r>
      <w:r w:rsidR="00E362D2">
        <w:rPr>
          <w:rFonts w:ascii="Times New Roman" w:eastAsia="宋体" w:hAnsi="Times New Roman" w:cs="宋体" w:hint="eastAsia"/>
          <w:sz w:val="24"/>
          <w:lang w:eastAsia="zh-CN"/>
        </w:rPr>
        <w:t>的公司</w:t>
      </w:r>
      <w:r w:rsidRPr="00742C75">
        <w:rPr>
          <w:rFonts w:ascii="Times New Roman" w:eastAsia="宋体" w:hAnsi="Times New Roman" w:cs="宋体"/>
          <w:sz w:val="24"/>
          <w:lang w:eastAsia="zh-CN"/>
        </w:rPr>
        <w:t>。</w:t>
      </w:r>
    </w:p>
    <w:p w14:paraId="18E04F93" w14:textId="3BD13B5E" w:rsidR="00CF33E5" w:rsidRPr="002D1398" w:rsidRDefault="009D01EE" w:rsidP="00482EE7">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742C75">
        <w:rPr>
          <w:rFonts w:ascii="Times New Roman" w:eastAsia="宋体" w:hAnsi="Times New Roman" w:cs="宋体"/>
          <w:sz w:val="24"/>
          <w:lang w:eastAsia="zh-CN"/>
        </w:rPr>
        <w:t>_____________________</w:t>
      </w:r>
    </w:p>
    <w:p w14:paraId="70597A2A" w14:textId="628B37E8" w:rsidR="00CF33E5" w:rsidRPr="00482EE7" w:rsidRDefault="002D1398" w:rsidP="00670F08">
      <w:pPr>
        <w:pStyle w:val="a9"/>
        <w:tabs>
          <w:tab w:val="clear" w:pos="835"/>
        </w:tabs>
        <w:rPr>
          <w:sz w:val="18"/>
          <w:szCs w:val="18"/>
          <w:lang w:eastAsia="zh-CN"/>
        </w:rPr>
      </w:pPr>
      <w:r w:rsidRPr="00482EE7">
        <w:rPr>
          <w:rFonts w:eastAsia="宋体" w:cs="宋体"/>
          <w:sz w:val="18"/>
          <w:szCs w:val="18"/>
          <w:vertAlign w:val="superscript"/>
          <w:lang w:eastAsia="zh-CN"/>
        </w:rPr>
        <w:t>1</w:t>
      </w:r>
      <w:r w:rsidRPr="00482EE7">
        <w:rPr>
          <w:rFonts w:eastAsia="宋体" w:cs="宋体"/>
          <w:sz w:val="18"/>
          <w:szCs w:val="18"/>
          <w:lang w:eastAsia="zh-CN"/>
        </w:rPr>
        <w:t>本指南由药物评价和研究中心（</w:t>
      </w:r>
      <w:r w:rsidRPr="00482EE7">
        <w:rPr>
          <w:rFonts w:eastAsia="宋体" w:cs="宋体"/>
          <w:sz w:val="18"/>
          <w:szCs w:val="18"/>
          <w:lang w:eastAsia="zh-CN"/>
        </w:rPr>
        <w:t>CDER</w:t>
      </w:r>
      <w:r w:rsidRPr="00482EE7">
        <w:rPr>
          <w:rFonts w:eastAsia="宋体" w:cs="宋体"/>
          <w:sz w:val="18"/>
          <w:szCs w:val="18"/>
          <w:lang w:eastAsia="zh-CN"/>
        </w:rPr>
        <w:t>）的监测和流行病学办公室、非处方药产品部和儿科和</w:t>
      </w:r>
      <w:proofErr w:type="gramStart"/>
      <w:r w:rsidRPr="00482EE7">
        <w:rPr>
          <w:rFonts w:eastAsia="宋体" w:cs="宋体"/>
          <w:sz w:val="18"/>
          <w:szCs w:val="18"/>
          <w:lang w:eastAsia="zh-CN"/>
        </w:rPr>
        <w:t>孕产妇</w:t>
      </w:r>
      <w:proofErr w:type="gramEnd"/>
      <w:r w:rsidRPr="00482EE7">
        <w:rPr>
          <w:rFonts w:eastAsia="宋体" w:cs="宋体"/>
          <w:sz w:val="18"/>
          <w:szCs w:val="18"/>
          <w:lang w:eastAsia="zh-CN"/>
        </w:rPr>
        <w:t>健康部编制，</w:t>
      </w:r>
      <w:r w:rsidR="00F00765" w:rsidRPr="00482EE7">
        <w:rPr>
          <w:rFonts w:eastAsia="宋体" w:cs="宋体"/>
          <w:sz w:val="18"/>
          <w:szCs w:val="18"/>
          <w:lang w:eastAsia="zh-CN"/>
        </w:rPr>
        <w:t>医疗器械和辐射健康中心</w:t>
      </w:r>
      <w:r w:rsidRPr="00482EE7">
        <w:rPr>
          <w:rFonts w:eastAsia="宋体" w:cs="宋体"/>
          <w:sz w:val="18"/>
          <w:szCs w:val="18"/>
          <w:lang w:eastAsia="zh-CN"/>
        </w:rPr>
        <w:t>（</w:t>
      </w:r>
      <w:r w:rsidRPr="00482EE7">
        <w:rPr>
          <w:rFonts w:eastAsia="宋体" w:cs="宋体"/>
          <w:sz w:val="18"/>
          <w:szCs w:val="18"/>
          <w:lang w:eastAsia="zh-CN"/>
        </w:rPr>
        <w:t>CDRH</w:t>
      </w:r>
      <w:r w:rsidRPr="00482EE7">
        <w:rPr>
          <w:rFonts w:eastAsia="宋体" w:cs="宋体"/>
          <w:sz w:val="18"/>
          <w:szCs w:val="18"/>
          <w:lang w:eastAsia="zh-CN"/>
        </w:rPr>
        <w:t>）、</w:t>
      </w:r>
      <w:r w:rsidR="00F00765" w:rsidRPr="00482EE7">
        <w:rPr>
          <w:rFonts w:eastAsia="宋体" w:cs="宋体"/>
          <w:sz w:val="18"/>
          <w:szCs w:val="18"/>
          <w:lang w:eastAsia="zh-CN"/>
        </w:rPr>
        <w:t>生物制品评价与研究中心</w:t>
      </w:r>
      <w:r w:rsidRPr="00482EE7">
        <w:rPr>
          <w:rFonts w:eastAsia="宋体" w:cs="宋体"/>
          <w:sz w:val="18"/>
          <w:szCs w:val="18"/>
          <w:lang w:eastAsia="zh-CN"/>
        </w:rPr>
        <w:t>（</w:t>
      </w:r>
      <w:r w:rsidRPr="00482EE7">
        <w:rPr>
          <w:rFonts w:eastAsia="宋体" w:cs="宋体"/>
          <w:sz w:val="18"/>
          <w:szCs w:val="18"/>
          <w:lang w:eastAsia="zh-CN"/>
        </w:rPr>
        <w:t>CBER</w:t>
      </w:r>
      <w:r w:rsidRPr="00482EE7">
        <w:rPr>
          <w:rFonts w:eastAsia="宋体" w:cs="宋体"/>
          <w:sz w:val="18"/>
          <w:szCs w:val="18"/>
          <w:lang w:eastAsia="zh-CN"/>
        </w:rPr>
        <w:t>）和</w:t>
      </w:r>
      <w:r w:rsidR="0013406F" w:rsidRPr="00482EE7">
        <w:rPr>
          <w:rFonts w:eastAsia="宋体" w:cs="宋体"/>
          <w:sz w:val="18"/>
          <w:szCs w:val="18"/>
          <w:lang w:eastAsia="zh-CN"/>
        </w:rPr>
        <w:t>美国食品药品监督管理局</w:t>
      </w:r>
      <w:r w:rsidRPr="00482EE7">
        <w:rPr>
          <w:rFonts w:eastAsia="宋体" w:cs="宋体"/>
          <w:sz w:val="18"/>
          <w:szCs w:val="18"/>
          <w:lang w:eastAsia="zh-CN"/>
        </w:rPr>
        <w:t>组合产品办公室参与合作。</w:t>
      </w:r>
    </w:p>
    <w:p w14:paraId="33B08D34" w14:textId="1F256EDE" w:rsidR="00CF33E5" w:rsidRPr="00482EE7" w:rsidRDefault="002D1398" w:rsidP="00670F08">
      <w:pPr>
        <w:adjustRightInd w:val="0"/>
        <w:snapToGrid w:val="0"/>
        <w:spacing w:beforeLines="15" w:before="36" w:line="276" w:lineRule="auto"/>
        <w:jc w:val="both"/>
        <w:rPr>
          <w:rFonts w:ascii="Times New Roman" w:eastAsia="Times New Roman" w:hAnsi="Times New Roman" w:cs="Times New Roman"/>
          <w:snapToGrid w:val="0"/>
          <w:sz w:val="18"/>
          <w:szCs w:val="18"/>
          <w:lang w:eastAsia="zh-CN"/>
        </w:rPr>
      </w:pPr>
      <w:r w:rsidRPr="00482EE7">
        <w:rPr>
          <w:rFonts w:ascii="Times New Roman" w:eastAsia="宋体" w:hAnsi="Times New Roman" w:cs="宋体"/>
          <w:sz w:val="18"/>
          <w:szCs w:val="18"/>
          <w:vertAlign w:val="superscript"/>
          <w:lang w:eastAsia="zh-CN"/>
        </w:rPr>
        <w:t>2</w:t>
      </w:r>
      <w:r w:rsidRPr="00482EE7">
        <w:rPr>
          <w:rFonts w:ascii="Times New Roman" w:eastAsia="宋体" w:hAnsi="Times New Roman" w:cs="宋体"/>
          <w:sz w:val="18"/>
          <w:szCs w:val="18"/>
          <w:lang w:eastAsia="zh-CN"/>
        </w:rPr>
        <w:t>在本指南中，限制性给药系统的定义为</w:t>
      </w:r>
      <w:r w:rsidRPr="00482EE7">
        <w:rPr>
          <w:rFonts w:ascii="Times New Roman" w:eastAsia="宋体" w:hAnsi="Times New Roman" w:cs="宋体"/>
          <w:sz w:val="18"/>
          <w:szCs w:val="18"/>
          <w:lang w:eastAsia="zh-CN"/>
        </w:rPr>
        <w:t>“</w:t>
      </w:r>
      <w:r w:rsidRPr="00482EE7">
        <w:rPr>
          <w:rFonts w:ascii="Times New Roman" w:eastAsia="宋体" w:hAnsi="Times New Roman" w:cs="宋体"/>
          <w:sz w:val="18"/>
          <w:szCs w:val="18"/>
          <w:lang w:eastAsia="zh-CN"/>
        </w:rPr>
        <w:t>设计或构造的包装系统，用于限制（控制）可能输送的</w:t>
      </w:r>
      <w:r w:rsidR="00EB5F76" w:rsidRPr="00482EE7">
        <w:rPr>
          <w:rFonts w:ascii="Times New Roman" w:eastAsia="宋体" w:hAnsi="Times New Roman" w:cs="宋体" w:hint="eastAsia"/>
          <w:sz w:val="18"/>
          <w:szCs w:val="18"/>
          <w:lang w:eastAsia="zh-CN"/>
        </w:rPr>
        <w:t>药物</w:t>
      </w:r>
      <w:r w:rsidRPr="00482EE7">
        <w:rPr>
          <w:rFonts w:ascii="Times New Roman" w:eastAsia="宋体" w:hAnsi="Times New Roman" w:cs="宋体"/>
          <w:sz w:val="18"/>
          <w:szCs w:val="18"/>
          <w:lang w:eastAsia="zh-CN"/>
        </w:rPr>
        <w:t>量，以限制儿童和其他类似弱势群体的意外用药。</w:t>
      </w:r>
      <w:r w:rsidRPr="00482EE7">
        <w:rPr>
          <w:rFonts w:ascii="Times New Roman" w:eastAsia="宋体" w:hAnsi="Times New Roman" w:cs="宋体"/>
          <w:sz w:val="18"/>
          <w:szCs w:val="18"/>
          <w:lang w:eastAsia="zh-CN"/>
        </w:rPr>
        <w:t>[...]</w:t>
      </w:r>
      <w:r w:rsidRPr="00482EE7">
        <w:rPr>
          <w:rFonts w:ascii="Times New Roman" w:eastAsia="宋体" w:hAnsi="Times New Roman" w:cs="宋体"/>
          <w:sz w:val="18"/>
          <w:szCs w:val="18"/>
          <w:lang w:eastAsia="zh-CN"/>
        </w:rPr>
        <w:t>限制性给药系统的其中一个组件是限流器，它是限制液体流动的包装组件。限流器可以用作限制性给药系统的一部分，或者用作方便口服药液的测量装置使用的适配器。限流器不应影响美国消费品安全委员会针对特殊包装的标准</w:t>
      </w:r>
      <w:r w:rsidRPr="00482EE7">
        <w:rPr>
          <w:rFonts w:ascii="Times New Roman" w:eastAsia="宋体" w:hAnsi="Times New Roman" w:cs="宋体"/>
          <w:sz w:val="18"/>
          <w:szCs w:val="18"/>
          <w:lang w:eastAsia="zh-CN"/>
        </w:rPr>
        <w:t>[</w:t>
      </w:r>
      <w:r w:rsidRPr="00482EE7">
        <w:rPr>
          <w:rFonts w:ascii="Times New Roman" w:eastAsia="宋体" w:hAnsi="Times New Roman" w:cs="宋体"/>
          <w:sz w:val="18"/>
          <w:szCs w:val="18"/>
          <w:lang w:eastAsia="zh-CN"/>
        </w:rPr>
        <w:t>防儿童开启和方便老人开启包装（《美国联邦法规》第</w:t>
      </w:r>
      <w:r w:rsidRPr="00482EE7">
        <w:rPr>
          <w:rFonts w:ascii="Times New Roman" w:eastAsia="宋体" w:hAnsi="Times New Roman" w:cs="宋体"/>
          <w:sz w:val="18"/>
          <w:szCs w:val="18"/>
          <w:lang w:eastAsia="zh-CN"/>
        </w:rPr>
        <w:t>16</w:t>
      </w:r>
      <w:r w:rsidRPr="00482EE7">
        <w:rPr>
          <w:rFonts w:ascii="Times New Roman" w:eastAsia="宋体" w:hAnsi="Times New Roman" w:cs="宋体"/>
          <w:sz w:val="18"/>
          <w:szCs w:val="18"/>
          <w:lang w:eastAsia="zh-CN"/>
        </w:rPr>
        <w:t>篇</w:t>
      </w:r>
      <w:r w:rsidRPr="00482EE7">
        <w:rPr>
          <w:rFonts w:ascii="Times New Roman" w:eastAsia="宋体" w:hAnsi="Times New Roman" w:cs="宋体"/>
          <w:sz w:val="18"/>
          <w:szCs w:val="18"/>
          <w:lang w:eastAsia="zh-CN"/>
        </w:rPr>
        <w:t>§1700.15</w:t>
      </w:r>
      <w:r w:rsidRPr="00482EE7">
        <w:rPr>
          <w:rFonts w:ascii="Times New Roman" w:eastAsia="宋体" w:hAnsi="Times New Roman" w:cs="宋体"/>
          <w:sz w:val="18"/>
          <w:szCs w:val="18"/>
          <w:lang w:eastAsia="zh-CN"/>
        </w:rPr>
        <w:t>及以下）</w:t>
      </w:r>
      <w:r w:rsidRPr="00482EE7">
        <w:rPr>
          <w:rFonts w:ascii="Times New Roman" w:eastAsia="宋体" w:hAnsi="Times New Roman" w:cs="宋体"/>
          <w:sz w:val="18"/>
          <w:szCs w:val="18"/>
          <w:lang w:eastAsia="zh-CN"/>
        </w:rPr>
        <w:t>]</w:t>
      </w:r>
      <w:r w:rsidRPr="00482EE7">
        <w:rPr>
          <w:rFonts w:ascii="Times New Roman" w:eastAsia="宋体" w:hAnsi="Times New Roman" w:cs="宋体"/>
          <w:sz w:val="18"/>
          <w:szCs w:val="18"/>
          <w:lang w:eastAsia="zh-CN"/>
        </w:rPr>
        <w:t>。</w:t>
      </w:r>
      <w:r w:rsidRPr="00482EE7">
        <w:rPr>
          <w:rFonts w:ascii="Times New Roman" w:eastAsia="宋体" w:hAnsi="Times New Roman" w:cs="宋体"/>
          <w:sz w:val="18"/>
          <w:szCs w:val="18"/>
          <w:lang w:eastAsia="zh-CN"/>
        </w:rPr>
        <w:t>”</w:t>
      </w:r>
      <w:r w:rsidRPr="00482EE7">
        <w:rPr>
          <w:rFonts w:ascii="Times New Roman" w:eastAsia="宋体" w:hAnsi="Times New Roman" w:cs="宋体"/>
          <w:sz w:val="18"/>
          <w:szCs w:val="18"/>
          <w:lang w:eastAsia="zh-CN"/>
        </w:rPr>
        <w:t>总则</w:t>
      </w:r>
      <w:r w:rsidRPr="00482EE7">
        <w:rPr>
          <w:rFonts w:ascii="Times New Roman" w:eastAsia="宋体" w:hAnsi="Times New Roman" w:cs="宋体"/>
          <w:sz w:val="18"/>
          <w:szCs w:val="18"/>
          <w:lang w:eastAsia="zh-CN"/>
        </w:rPr>
        <w:t>&lt;659&gt;</w:t>
      </w:r>
      <w:r w:rsidRPr="00482EE7">
        <w:rPr>
          <w:rFonts w:ascii="Times New Roman" w:eastAsia="宋体" w:hAnsi="Times New Roman" w:cs="宋体"/>
          <w:sz w:val="18"/>
          <w:szCs w:val="18"/>
          <w:lang w:eastAsia="zh-CN"/>
        </w:rPr>
        <w:t>包装和储存要求，美国药典（</w:t>
      </w:r>
      <w:r w:rsidRPr="00482EE7">
        <w:rPr>
          <w:rFonts w:ascii="Times New Roman" w:eastAsia="宋体" w:hAnsi="Times New Roman" w:cs="宋体"/>
          <w:sz w:val="18"/>
          <w:szCs w:val="18"/>
          <w:lang w:eastAsia="zh-CN"/>
        </w:rPr>
        <w:t>USP</w:t>
      </w:r>
      <w:r w:rsidRPr="00482EE7">
        <w:rPr>
          <w:rFonts w:ascii="Times New Roman" w:eastAsia="宋体" w:hAnsi="Times New Roman" w:cs="宋体"/>
          <w:sz w:val="18"/>
          <w:szCs w:val="18"/>
          <w:lang w:eastAsia="zh-CN"/>
        </w:rPr>
        <w:t>）</w:t>
      </w:r>
      <w:r w:rsidRPr="00482EE7">
        <w:rPr>
          <w:rFonts w:ascii="Times New Roman" w:eastAsia="宋体" w:hAnsi="Times New Roman" w:cs="宋体"/>
          <w:sz w:val="18"/>
          <w:szCs w:val="18"/>
          <w:lang w:eastAsia="zh-CN"/>
        </w:rPr>
        <w:t>40-NF 35</w:t>
      </w:r>
      <w:r w:rsidRPr="00482EE7">
        <w:rPr>
          <w:rFonts w:ascii="Times New Roman" w:eastAsia="宋体" w:hAnsi="Times New Roman" w:cs="宋体"/>
          <w:sz w:val="18"/>
          <w:szCs w:val="18"/>
          <w:lang w:eastAsia="zh-CN"/>
        </w:rPr>
        <w:t>。本指南中使用的术语</w:t>
      </w:r>
      <w:r w:rsidRPr="00482EE7">
        <w:rPr>
          <w:rFonts w:ascii="Times New Roman" w:eastAsia="宋体" w:hAnsi="Times New Roman" w:cs="宋体"/>
          <w:sz w:val="18"/>
          <w:szCs w:val="18"/>
          <w:lang w:eastAsia="zh-CN"/>
        </w:rPr>
        <w:t>“</w:t>
      </w:r>
      <w:r w:rsidRPr="00482EE7">
        <w:rPr>
          <w:rFonts w:ascii="Times New Roman" w:eastAsia="宋体" w:hAnsi="Times New Roman" w:cs="宋体"/>
          <w:i/>
          <w:sz w:val="18"/>
          <w:szCs w:val="18"/>
          <w:lang w:eastAsia="zh-CN"/>
        </w:rPr>
        <w:t>限制性给药系统</w:t>
      </w:r>
      <w:r w:rsidRPr="00482EE7">
        <w:rPr>
          <w:rFonts w:ascii="Times New Roman" w:eastAsia="宋体" w:hAnsi="Times New Roman" w:cs="宋体"/>
          <w:sz w:val="18"/>
          <w:szCs w:val="18"/>
          <w:lang w:eastAsia="zh-CN"/>
        </w:rPr>
        <w:t>”</w:t>
      </w:r>
      <w:r w:rsidRPr="00482EE7">
        <w:rPr>
          <w:rFonts w:ascii="Times New Roman" w:eastAsia="宋体" w:hAnsi="Times New Roman" w:cs="宋体"/>
          <w:sz w:val="18"/>
          <w:szCs w:val="18"/>
          <w:lang w:eastAsia="zh-CN"/>
        </w:rPr>
        <w:t>与《美国联邦法规》第</w:t>
      </w:r>
      <w:r w:rsidRPr="00482EE7">
        <w:rPr>
          <w:rFonts w:ascii="Times New Roman" w:eastAsia="宋体" w:hAnsi="Times New Roman" w:cs="宋体"/>
          <w:sz w:val="18"/>
          <w:szCs w:val="18"/>
          <w:lang w:eastAsia="zh-CN"/>
        </w:rPr>
        <w:t>21</w:t>
      </w:r>
      <w:r w:rsidRPr="00482EE7">
        <w:rPr>
          <w:rFonts w:ascii="Times New Roman" w:eastAsia="宋体" w:hAnsi="Times New Roman" w:cs="宋体"/>
          <w:sz w:val="18"/>
          <w:szCs w:val="18"/>
          <w:lang w:eastAsia="zh-CN"/>
        </w:rPr>
        <w:t>篇</w:t>
      </w:r>
      <w:r w:rsidRPr="00482EE7">
        <w:rPr>
          <w:rFonts w:ascii="Times New Roman" w:eastAsia="宋体" w:hAnsi="Times New Roman" w:cs="宋体"/>
          <w:sz w:val="18"/>
          <w:szCs w:val="18"/>
          <w:lang w:eastAsia="zh-CN"/>
        </w:rPr>
        <w:t>807.3(</w:t>
      </w:r>
      <w:proofErr w:type="spellStart"/>
      <w:r w:rsidRPr="00482EE7">
        <w:rPr>
          <w:rFonts w:ascii="Times New Roman" w:eastAsia="宋体" w:hAnsi="Times New Roman" w:cs="宋体"/>
          <w:sz w:val="18"/>
          <w:szCs w:val="18"/>
          <w:lang w:eastAsia="zh-CN"/>
        </w:rPr>
        <w:t>i</w:t>
      </w:r>
      <w:proofErr w:type="spellEnd"/>
      <w:r w:rsidRPr="00482EE7">
        <w:rPr>
          <w:rFonts w:ascii="Times New Roman" w:eastAsia="宋体" w:hAnsi="Times New Roman" w:cs="宋体"/>
          <w:sz w:val="18"/>
          <w:szCs w:val="18"/>
          <w:lang w:eastAsia="zh-CN"/>
        </w:rPr>
        <w:t>)</w:t>
      </w:r>
      <w:r w:rsidRPr="00482EE7">
        <w:rPr>
          <w:rFonts w:ascii="Times New Roman" w:eastAsia="宋体" w:hAnsi="Times New Roman" w:cs="宋体"/>
          <w:sz w:val="18"/>
          <w:szCs w:val="18"/>
          <w:lang w:eastAsia="zh-CN"/>
        </w:rPr>
        <w:t>中定义的术语</w:t>
      </w:r>
      <w:r w:rsidRPr="00482EE7">
        <w:rPr>
          <w:rFonts w:ascii="Times New Roman" w:eastAsia="宋体" w:hAnsi="Times New Roman" w:cs="宋体"/>
          <w:sz w:val="18"/>
          <w:szCs w:val="18"/>
          <w:lang w:eastAsia="zh-CN"/>
        </w:rPr>
        <w:t>“</w:t>
      </w:r>
      <w:r w:rsidRPr="00482EE7">
        <w:rPr>
          <w:rFonts w:ascii="Times New Roman" w:eastAsia="宋体" w:hAnsi="Times New Roman" w:cs="宋体"/>
          <w:i/>
          <w:sz w:val="18"/>
          <w:szCs w:val="18"/>
          <w:lang w:eastAsia="zh-CN"/>
        </w:rPr>
        <w:t>受限器械</w:t>
      </w:r>
      <w:r w:rsidRPr="00482EE7">
        <w:rPr>
          <w:rFonts w:ascii="Times New Roman" w:eastAsia="宋体" w:hAnsi="Times New Roman" w:cs="宋体"/>
          <w:sz w:val="18"/>
          <w:szCs w:val="18"/>
          <w:lang w:eastAsia="zh-CN"/>
        </w:rPr>
        <w:t>”</w:t>
      </w:r>
      <w:r w:rsidRPr="00482EE7">
        <w:rPr>
          <w:rFonts w:ascii="Times New Roman" w:eastAsia="宋体" w:hAnsi="Times New Roman" w:cs="宋体"/>
          <w:sz w:val="18"/>
          <w:szCs w:val="18"/>
          <w:lang w:eastAsia="zh-CN"/>
        </w:rPr>
        <w:t>不同。</w:t>
      </w:r>
    </w:p>
    <w:p w14:paraId="1725C5C1" w14:textId="5B7A8C5E" w:rsidR="00CF33E5" w:rsidRPr="00482EE7" w:rsidRDefault="002D1398" w:rsidP="009D01EE">
      <w:pPr>
        <w:tabs>
          <w:tab w:val="left" w:pos="832"/>
        </w:tabs>
        <w:adjustRightInd w:val="0"/>
        <w:snapToGrid w:val="0"/>
        <w:spacing w:beforeLines="15" w:before="36" w:line="276" w:lineRule="auto"/>
        <w:jc w:val="both"/>
        <w:rPr>
          <w:rFonts w:ascii="Times New Roman" w:eastAsia="Times New Roman" w:hAnsi="Times New Roman" w:cs="Times New Roman"/>
          <w:snapToGrid w:val="0"/>
          <w:sz w:val="18"/>
          <w:szCs w:val="18"/>
          <w:lang w:eastAsia="zh-CN"/>
        </w:rPr>
      </w:pPr>
      <w:r w:rsidRPr="00482EE7">
        <w:rPr>
          <w:rFonts w:ascii="Times New Roman" w:eastAsia="宋体" w:hAnsi="Times New Roman" w:cs="宋体"/>
          <w:sz w:val="18"/>
          <w:szCs w:val="18"/>
          <w:vertAlign w:val="superscript"/>
          <w:lang w:eastAsia="zh-CN"/>
        </w:rPr>
        <w:t>3</w:t>
      </w:r>
      <w:r w:rsidRPr="00482EE7">
        <w:rPr>
          <w:rFonts w:ascii="Times New Roman" w:eastAsia="宋体" w:hAnsi="Times New Roman" w:cs="宋体"/>
          <w:sz w:val="18"/>
          <w:szCs w:val="18"/>
          <w:lang w:eastAsia="zh-CN"/>
        </w:rPr>
        <w:t>本指南提供了限流器的具体建议以及适用于一系列限制性给药系统（包括限流器）的一般建议。</w:t>
      </w:r>
      <w:r w:rsidRPr="00482EE7">
        <w:rPr>
          <w:rFonts w:ascii="Times New Roman" w:eastAsia="宋体" w:hAnsi="Times New Roman" w:cs="宋体"/>
          <w:sz w:val="18"/>
          <w:szCs w:val="18"/>
          <w:lang w:eastAsia="zh-CN"/>
        </w:rPr>
        <w:t>FDA</w:t>
      </w:r>
      <w:r w:rsidRPr="00482EE7">
        <w:rPr>
          <w:rFonts w:ascii="Times New Roman" w:eastAsia="宋体" w:hAnsi="Times New Roman" w:cs="宋体"/>
          <w:sz w:val="18"/>
          <w:szCs w:val="18"/>
          <w:lang w:eastAsia="zh-CN"/>
        </w:rPr>
        <w:t>承认开发新限制性给药系统的可能性，并包括一般考虑建议。</w:t>
      </w:r>
    </w:p>
    <w:p w14:paraId="1F2049FE" w14:textId="7A1B0054" w:rsidR="00CF33E5" w:rsidRPr="00482EE7" w:rsidRDefault="002D1398" w:rsidP="00670F08">
      <w:pPr>
        <w:adjustRightInd w:val="0"/>
        <w:snapToGrid w:val="0"/>
        <w:spacing w:beforeLines="15" w:before="36" w:line="276" w:lineRule="auto"/>
        <w:jc w:val="both"/>
        <w:rPr>
          <w:rFonts w:ascii="Times New Roman" w:eastAsia="Times New Roman" w:hAnsi="Times New Roman" w:cs="Times New Roman"/>
          <w:snapToGrid w:val="0"/>
          <w:sz w:val="18"/>
          <w:szCs w:val="18"/>
          <w:lang w:eastAsia="zh-CN"/>
        </w:rPr>
      </w:pPr>
      <w:r w:rsidRPr="00482EE7">
        <w:rPr>
          <w:rFonts w:ascii="Times New Roman" w:eastAsia="宋体" w:hAnsi="Times New Roman" w:cs="宋体"/>
          <w:sz w:val="18"/>
          <w:szCs w:val="18"/>
          <w:vertAlign w:val="superscript"/>
          <w:lang w:eastAsia="zh-CN"/>
        </w:rPr>
        <w:t>4</w:t>
      </w:r>
      <w:r w:rsidRPr="00482EE7">
        <w:rPr>
          <w:rFonts w:ascii="Times New Roman" w:eastAsia="宋体" w:hAnsi="Times New Roman" w:cs="宋体"/>
          <w:sz w:val="18"/>
          <w:szCs w:val="18"/>
          <w:lang w:eastAsia="zh-CN"/>
        </w:rPr>
        <w:t>在本指南中，未经</w:t>
      </w:r>
      <w:r w:rsidR="009020AE" w:rsidRPr="00482EE7">
        <w:rPr>
          <w:rFonts w:ascii="Times New Roman" w:eastAsia="宋体" w:hAnsi="Times New Roman" w:cs="宋体" w:hint="eastAsia"/>
          <w:sz w:val="18"/>
          <w:szCs w:val="18"/>
          <w:lang w:eastAsia="zh-CN"/>
        </w:rPr>
        <w:t>看护</w:t>
      </w:r>
      <w:r w:rsidRPr="00482EE7">
        <w:rPr>
          <w:rFonts w:ascii="Times New Roman" w:eastAsia="宋体" w:hAnsi="Times New Roman" w:cs="宋体"/>
          <w:sz w:val="18"/>
          <w:szCs w:val="18"/>
          <w:lang w:eastAsia="zh-CN"/>
        </w:rPr>
        <w:t>者许可或监督而获取药物也被称为</w:t>
      </w:r>
      <w:r w:rsidRPr="00482EE7">
        <w:rPr>
          <w:rFonts w:ascii="Times New Roman" w:eastAsia="宋体" w:hAnsi="Times New Roman" w:cs="宋体"/>
          <w:i/>
          <w:sz w:val="18"/>
          <w:szCs w:val="18"/>
          <w:lang w:eastAsia="zh-CN"/>
        </w:rPr>
        <w:t>意外暴露、无监督摄入、无监督暴露和意外摄入</w:t>
      </w:r>
      <w:r w:rsidRPr="00482EE7">
        <w:rPr>
          <w:rFonts w:ascii="Times New Roman" w:eastAsia="宋体" w:hAnsi="Times New Roman" w:cs="宋体"/>
          <w:sz w:val="18"/>
          <w:szCs w:val="18"/>
          <w:lang w:eastAsia="zh-CN"/>
        </w:rPr>
        <w:t>。</w:t>
      </w:r>
    </w:p>
    <w:p w14:paraId="34C356B0" w14:textId="32547163" w:rsidR="00CF33E5" w:rsidRPr="00482EE7" w:rsidRDefault="002D1398" w:rsidP="00670F08">
      <w:pPr>
        <w:adjustRightInd w:val="0"/>
        <w:snapToGrid w:val="0"/>
        <w:spacing w:beforeLines="15" w:before="36" w:line="276" w:lineRule="auto"/>
        <w:jc w:val="both"/>
        <w:rPr>
          <w:rFonts w:ascii="Times New Roman" w:eastAsia="Times New Roman" w:hAnsi="Times New Roman" w:cs="Times New Roman"/>
          <w:snapToGrid w:val="0"/>
          <w:sz w:val="18"/>
          <w:szCs w:val="18"/>
          <w:lang w:eastAsia="zh-CN"/>
        </w:rPr>
      </w:pPr>
      <w:r w:rsidRPr="00482EE7">
        <w:rPr>
          <w:rFonts w:ascii="Times New Roman" w:eastAsia="宋体" w:hAnsi="Times New Roman" w:cs="宋体"/>
          <w:sz w:val="18"/>
          <w:szCs w:val="18"/>
          <w:vertAlign w:val="superscript"/>
          <w:lang w:eastAsia="zh-CN"/>
        </w:rPr>
        <w:t>5</w:t>
      </w:r>
      <w:r w:rsidRPr="00482EE7">
        <w:rPr>
          <w:rFonts w:ascii="Times New Roman" w:eastAsia="宋体" w:hAnsi="Times New Roman" w:cs="宋体"/>
          <w:sz w:val="18"/>
          <w:szCs w:val="18"/>
          <w:lang w:eastAsia="zh-CN"/>
        </w:rPr>
        <w:t>本指南中的原则也适用于其他类似弱势群体。</w:t>
      </w:r>
    </w:p>
    <w:p w14:paraId="44E1675E" w14:textId="78E893DE" w:rsidR="00CF33E5" w:rsidRPr="00482EE7" w:rsidRDefault="002D1398" w:rsidP="00670F08">
      <w:pPr>
        <w:adjustRightInd w:val="0"/>
        <w:snapToGrid w:val="0"/>
        <w:spacing w:beforeLines="15" w:before="36" w:line="276" w:lineRule="auto"/>
        <w:jc w:val="both"/>
        <w:rPr>
          <w:rFonts w:ascii="Times New Roman" w:eastAsia="Times New Roman" w:hAnsi="Times New Roman" w:cs="Times New Roman"/>
          <w:snapToGrid w:val="0"/>
          <w:sz w:val="18"/>
          <w:szCs w:val="18"/>
          <w:lang w:eastAsia="zh-CN"/>
        </w:rPr>
      </w:pPr>
      <w:r w:rsidRPr="00482EE7">
        <w:rPr>
          <w:rFonts w:ascii="Times New Roman" w:eastAsia="宋体" w:hAnsi="Times New Roman" w:cs="宋体"/>
          <w:sz w:val="18"/>
          <w:szCs w:val="18"/>
          <w:vertAlign w:val="superscript"/>
          <w:lang w:eastAsia="zh-CN"/>
        </w:rPr>
        <w:t>6</w:t>
      </w:r>
      <w:r w:rsidRPr="00482EE7">
        <w:rPr>
          <w:rFonts w:ascii="Times New Roman" w:eastAsia="宋体" w:hAnsi="Times New Roman" w:cs="宋体"/>
          <w:i/>
          <w:sz w:val="18"/>
          <w:szCs w:val="18"/>
          <w:lang w:eastAsia="zh-CN"/>
        </w:rPr>
        <w:t>药品</w:t>
      </w:r>
      <w:r w:rsidRPr="00482EE7">
        <w:rPr>
          <w:rFonts w:ascii="Times New Roman" w:eastAsia="宋体" w:hAnsi="Times New Roman" w:cs="宋体"/>
          <w:sz w:val="18"/>
          <w:szCs w:val="18"/>
          <w:lang w:eastAsia="zh-CN"/>
        </w:rPr>
        <w:t>和</w:t>
      </w:r>
      <w:r w:rsidRPr="00482EE7">
        <w:rPr>
          <w:rFonts w:ascii="Times New Roman" w:eastAsia="宋体" w:hAnsi="Times New Roman" w:cs="宋体"/>
          <w:i/>
          <w:sz w:val="18"/>
          <w:szCs w:val="18"/>
          <w:lang w:eastAsia="zh-CN"/>
        </w:rPr>
        <w:t>生物制品</w:t>
      </w:r>
      <w:r w:rsidRPr="00482EE7">
        <w:rPr>
          <w:rFonts w:ascii="Times New Roman" w:eastAsia="宋体" w:hAnsi="Times New Roman" w:cs="宋体"/>
          <w:sz w:val="18"/>
          <w:szCs w:val="18"/>
          <w:lang w:eastAsia="zh-CN"/>
        </w:rPr>
        <w:t>的参考文件包括根据《联邦食品、药品和化妆品法案》（</w:t>
      </w:r>
      <w:r w:rsidRPr="00482EE7">
        <w:rPr>
          <w:rFonts w:ascii="Times New Roman" w:eastAsia="宋体" w:hAnsi="Times New Roman" w:cs="宋体"/>
          <w:sz w:val="18"/>
          <w:szCs w:val="18"/>
          <w:lang w:eastAsia="zh-CN"/>
        </w:rPr>
        <w:t>21 U.S.C.355</w:t>
      </w:r>
      <w:r w:rsidRPr="00482EE7">
        <w:rPr>
          <w:rFonts w:ascii="Times New Roman" w:eastAsia="宋体" w:hAnsi="Times New Roman" w:cs="宋体"/>
          <w:sz w:val="18"/>
          <w:szCs w:val="18"/>
          <w:lang w:eastAsia="zh-CN"/>
        </w:rPr>
        <w:t>）第</w:t>
      </w:r>
      <w:r w:rsidRPr="00482EE7">
        <w:rPr>
          <w:rFonts w:ascii="Times New Roman" w:eastAsia="宋体" w:hAnsi="Times New Roman" w:cs="宋体"/>
          <w:sz w:val="18"/>
          <w:szCs w:val="18"/>
          <w:lang w:eastAsia="zh-CN"/>
        </w:rPr>
        <w:t>505</w:t>
      </w:r>
      <w:r w:rsidRPr="00482EE7">
        <w:rPr>
          <w:rFonts w:ascii="Times New Roman" w:eastAsia="宋体" w:hAnsi="Times New Roman" w:cs="宋体"/>
          <w:sz w:val="18"/>
          <w:szCs w:val="18"/>
          <w:lang w:eastAsia="zh-CN"/>
        </w:rPr>
        <w:t>节批准的药品和根据《公共卫生服务法案》（</w:t>
      </w:r>
      <w:r w:rsidRPr="00482EE7">
        <w:rPr>
          <w:rFonts w:ascii="Times New Roman" w:eastAsia="宋体" w:hAnsi="Times New Roman" w:cs="宋体"/>
          <w:sz w:val="18"/>
          <w:szCs w:val="18"/>
          <w:lang w:eastAsia="zh-CN"/>
        </w:rPr>
        <w:t>42 U.S.C.262</w:t>
      </w:r>
      <w:r w:rsidRPr="00482EE7">
        <w:rPr>
          <w:rFonts w:ascii="Times New Roman" w:eastAsia="宋体" w:hAnsi="Times New Roman" w:cs="宋体"/>
          <w:sz w:val="18"/>
          <w:szCs w:val="18"/>
          <w:lang w:eastAsia="zh-CN"/>
        </w:rPr>
        <w:t>）第</w:t>
      </w:r>
      <w:r w:rsidRPr="00482EE7">
        <w:rPr>
          <w:rFonts w:ascii="Times New Roman" w:eastAsia="宋体" w:hAnsi="Times New Roman" w:cs="宋体"/>
          <w:sz w:val="18"/>
          <w:szCs w:val="18"/>
          <w:lang w:eastAsia="zh-CN"/>
        </w:rPr>
        <w:t>351</w:t>
      </w:r>
      <w:r w:rsidRPr="00482EE7">
        <w:rPr>
          <w:rFonts w:ascii="Times New Roman" w:eastAsia="宋体" w:hAnsi="Times New Roman" w:cs="宋体"/>
          <w:sz w:val="18"/>
          <w:szCs w:val="18"/>
          <w:lang w:eastAsia="zh-CN"/>
        </w:rPr>
        <w:t>节获得许可的药品生物制品。出于本指南目的，</w:t>
      </w:r>
      <w:r w:rsidR="00EB5F76" w:rsidRPr="00482EE7">
        <w:rPr>
          <w:rFonts w:ascii="Times New Roman" w:eastAsia="宋体" w:hAnsi="Times New Roman" w:cs="宋体"/>
          <w:i/>
          <w:sz w:val="18"/>
          <w:szCs w:val="18"/>
          <w:lang w:eastAsia="zh-CN"/>
        </w:rPr>
        <w:t>药物</w:t>
      </w:r>
      <w:r w:rsidRPr="00482EE7">
        <w:rPr>
          <w:rFonts w:ascii="Times New Roman" w:eastAsia="宋体" w:hAnsi="Times New Roman" w:cs="宋体"/>
          <w:sz w:val="18"/>
          <w:szCs w:val="18"/>
          <w:lang w:eastAsia="zh-CN"/>
        </w:rPr>
        <w:t>或</w:t>
      </w:r>
      <w:r w:rsidRPr="00482EE7">
        <w:rPr>
          <w:rFonts w:ascii="Times New Roman" w:eastAsia="宋体" w:hAnsi="Times New Roman" w:cs="宋体"/>
          <w:i/>
          <w:sz w:val="18"/>
          <w:szCs w:val="18"/>
          <w:lang w:eastAsia="zh-CN"/>
        </w:rPr>
        <w:t>药品</w:t>
      </w:r>
      <w:r w:rsidRPr="00482EE7">
        <w:rPr>
          <w:rFonts w:ascii="Times New Roman" w:eastAsia="宋体" w:hAnsi="Times New Roman" w:cs="宋体"/>
          <w:sz w:val="18"/>
          <w:szCs w:val="18"/>
          <w:lang w:eastAsia="zh-CN"/>
        </w:rPr>
        <w:t>将用于指代人类处方药品和作为药品监管的生物制品。</w:t>
      </w:r>
    </w:p>
    <w:p w14:paraId="16475B4A" w14:textId="4E502D22" w:rsidR="009D01EE" w:rsidRPr="00742C75" w:rsidRDefault="002D1398" w:rsidP="00670F08">
      <w:pPr>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482EE7">
        <w:rPr>
          <w:rFonts w:ascii="Times New Roman" w:eastAsia="宋体" w:hAnsi="Times New Roman" w:cs="宋体"/>
          <w:sz w:val="18"/>
          <w:szCs w:val="18"/>
          <w:vertAlign w:val="superscript"/>
          <w:lang w:eastAsia="zh-CN"/>
        </w:rPr>
        <w:t>7</w:t>
      </w:r>
      <w:r w:rsidRPr="00482EE7">
        <w:rPr>
          <w:rFonts w:ascii="Times New Roman" w:eastAsia="宋体" w:hAnsi="Times New Roman" w:cs="宋体"/>
          <w:sz w:val="18"/>
          <w:szCs w:val="18"/>
          <w:lang w:eastAsia="zh-CN"/>
        </w:rPr>
        <w:t>制造商应确定限制性给药系统是否适合与其产品一起使用。限制性给药系统可能不适用于某些产品（例如活性炭溶液、口服葡萄糖溶液或散装瓶）。</w:t>
      </w:r>
      <w:r w:rsidR="009D01EE" w:rsidRPr="00742C75">
        <w:rPr>
          <w:rFonts w:ascii="Times New Roman" w:eastAsia="宋体" w:hAnsi="Times New Roman" w:cs="宋体"/>
          <w:sz w:val="24"/>
          <w:lang w:eastAsia="zh-CN"/>
        </w:rPr>
        <w:br w:type="page"/>
      </w:r>
    </w:p>
    <w:p w14:paraId="4A85ED10" w14:textId="402808F1" w:rsidR="00CF33E5" w:rsidRPr="002D1398" w:rsidRDefault="004D35A7" w:rsidP="002D1398">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4D35A7">
        <w:rPr>
          <w:rFonts w:ascii="Times New Roman" w:eastAsia="宋体" w:hAnsi="Times New Roman" w:cs="宋体" w:hint="eastAsia"/>
          <w:sz w:val="24"/>
          <w:lang w:eastAsia="zh-CN"/>
        </w:rPr>
        <w:lastRenderedPageBreak/>
        <w:t>FDA</w:t>
      </w:r>
      <w:r w:rsidRPr="004D35A7">
        <w:rPr>
          <w:rFonts w:ascii="Times New Roman" w:eastAsia="宋体" w:hAnsi="Times New Roman" w:cs="宋体" w:hint="eastAsia"/>
          <w:sz w:val="24"/>
          <w:lang w:eastAsia="zh-CN"/>
        </w:rPr>
        <w:t>指导性文件，包括本指南在内，不具有法律强制责任。相反，指南表明了该机构目前关于该主题的思考，除非引用具体的法规或法律要求，否则只应视为建议。在本机</w:t>
      </w:r>
      <w:r>
        <w:rPr>
          <w:rFonts w:ascii="Times New Roman" w:eastAsia="宋体" w:hAnsi="Times New Roman" w:cs="宋体" w:hint="eastAsia"/>
          <w:sz w:val="24"/>
          <w:lang w:eastAsia="zh-CN"/>
        </w:rPr>
        <w:t>构指南中使用词语“应”是指建议或推荐进行某一事项，并非强制要求</w:t>
      </w:r>
      <w:r w:rsidR="0044021B" w:rsidRPr="00742C75">
        <w:rPr>
          <w:rFonts w:ascii="Times New Roman" w:eastAsia="宋体" w:hAnsi="Times New Roman" w:cs="宋体"/>
          <w:sz w:val="24"/>
          <w:lang w:eastAsia="zh-CN"/>
        </w:rPr>
        <w:t>。</w:t>
      </w:r>
    </w:p>
    <w:p w14:paraId="0EE46E16" w14:textId="77777777" w:rsidR="00CF33E5" w:rsidRPr="002D1398" w:rsidRDefault="0044021B" w:rsidP="009D01EE">
      <w:pPr>
        <w:pStyle w:val="11"/>
        <w:rPr>
          <w:lang w:eastAsia="zh-CN"/>
        </w:rPr>
      </w:pPr>
      <w:bookmarkStart w:id="1" w:name="_Toc91867161"/>
      <w:r w:rsidRPr="00742C75">
        <w:rPr>
          <w:rFonts w:eastAsia="宋体" w:cs="宋体"/>
          <w:lang w:eastAsia="zh-CN"/>
        </w:rPr>
        <w:t>II.</w:t>
      </w:r>
      <w:r w:rsidRPr="00742C75">
        <w:rPr>
          <w:rFonts w:eastAsia="宋体" w:cs="宋体"/>
          <w:lang w:eastAsia="zh-CN"/>
        </w:rPr>
        <w:tab/>
      </w:r>
      <w:r w:rsidRPr="00742C75">
        <w:rPr>
          <w:rFonts w:eastAsia="宋体" w:cs="宋体"/>
          <w:lang w:eastAsia="zh-CN"/>
        </w:rPr>
        <w:t>背景</w:t>
      </w:r>
      <w:bookmarkEnd w:id="1"/>
    </w:p>
    <w:p w14:paraId="6C5FEB5A" w14:textId="59950601"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1970</w:t>
      </w:r>
      <w:r w:rsidRPr="00742C75">
        <w:rPr>
          <w:rFonts w:ascii="Times New Roman" w:eastAsia="宋体" w:hAnsi="Times New Roman" w:cs="宋体"/>
          <w:sz w:val="24"/>
          <w:lang w:eastAsia="zh-CN"/>
        </w:rPr>
        <w:t>年，颁布了《毒物预防包装法案》（</w:t>
      </w:r>
      <w:r w:rsidRPr="00742C75">
        <w:rPr>
          <w:rFonts w:ascii="Times New Roman" w:eastAsia="宋体" w:hAnsi="Times New Roman" w:cs="宋体"/>
          <w:sz w:val="24"/>
          <w:lang w:eastAsia="zh-CN"/>
        </w:rPr>
        <w:t>PPPA</w:t>
      </w:r>
      <w:r w:rsidRPr="00742C75">
        <w:rPr>
          <w:rFonts w:ascii="Times New Roman" w:eastAsia="宋体" w:hAnsi="Times New Roman" w:cs="宋体"/>
          <w:sz w:val="24"/>
          <w:lang w:eastAsia="zh-CN"/>
        </w:rPr>
        <w:t>）</w:t>
      </w:r>
      <w:r w:rsidR="00F4364A">
        <w:rPr>
          <w:rFonts w:ascii="Times New Roman" w:eastAsia="宋体" w:hAnsi="Times New Roman" w:cs="宋体" w:hint="eastAsia"/>
          <w:sz w:val="24"/>
          <w:lang w:eastAsia="zh-CN"/>
        </w:rPr>
        <w:t>从而</w:t>
      </w:r>
      <w:r w:rsidRPr="00742C75">
        <w:rPr>
          <w:rFonts w:ascii="Times New Roman" w:eastAsia="宋体" w:hAnsi="Times New Roman" w:cs="宋体"/>
          <w:sz w:val="24"/>
          <w:lang w:eastAsia="zh-CN"/>
        </w:rPr>
        <w:t>保护（</w:t>
      </w:r>
      <w:r w:rsidRPr="00742C75">
        <w:rPr>
          <w:rFonts w:ascii="Times New Roman" w:eastAsia="宋体" w:hAnsi="Times New Roman" w:cs="宋体"/>
          <w:sz w:val="24"/>
          <w:lang w:eastAsia="zh-CN"/>
        </w:rPr>
        <w:t>5</w:t>
      </w:r>
      <w:r w:rsidRPr="00742C75">
        <w:rPr>
          <w:rFonts w:ascii="Times New Roman" w:eastAsia="宋体" w:hAnsi="Times New Roman" w:cs="宋体"/>
          <w:sz w:val="24"/>
          <w:lang w:eastAsia="zh-CN"/>
        </w:rPr>
        <w:t>岁以下）儿童免于意外暴露于某些家庭物质，包括食品、药品和化妆品。</w:t>
      </w:r>
      <w:r w:rsidRPr="00742C75">
        <w:rPr>
          <w:rFonts w:ascii="Times New Roman" w:eastAsia="宋体" w:hAnsi="Times New Roman" w:cs="宋体"/>
          <w:sz w:val="24"/>
          <w:vertAlign w:val="superscript"/>
          <w:lang w:eastAsia="zh-CN"/>
        </w:rPr>
        <w:t>8</w:t>
      </w:r>
      <w:r w:rsidRPr="00742C75">
        <w:rPr>
          <w:rFonts w:ascii="Times New Roman" w:eastAsia="宋体" w:hAnsi="Times New Roman" w:cs="宋体"/>
          <w:sz w:val="24"/>
          <w:lang w:eastAsia="zh-CN"/>
        </w:rPr>
        <w:t>根据《联邦食品、药品和化妆品法案》（《</w:t>
      </w:r>
      <w:r w:rsidRPr="00742C75">
        <w:rPr>
          <w:rFonts w:ascii="Times New Roman" w:eastAsia="宋体" w:hAnsi="Times New Roman" w:cs="宋体"/>
          <w:sz w:val="24"/>
          <w:lang w:eastAsia="zh-CN"/>
        </w:rPr>
        <w:t>FD&amp;C</w:t>
      </w:r>
      <w:r w:rsidRPr="00742C75">
        <w:rPr>
          <w:rFonts w:ascii="Times New Roman" w:eastAsia="宋体" w:hAnsi="Times New Roman" w:cs="宋体"/>
          <w:sz w:val="24"/>
          <w:lang w:eastAsia="zh-CN"/>
        </w:rPr>
        <w:t>法案》）的规定，包装或标签违反根据《毒物预防包装法案》第</w:t>
      </w:r>
      <w:r w:rsidRPr="00742C75">
        <w:rPr>
          <w:rFonts w:ascii="Times New Roman" w:eastAsia="宋体" w:hAnsi="Times New Roman" w:cs="宋体"/>
          <w:sz w:val="24"/>
          <w:lang w:eastAsia="zh-CN"/>
        </w:rPr>
        <w:t>3</w:t>
      </w:r>
      <w:r w:rsidRPr="00742C75">
        <w:rPr>
          <w:rFonts w:ascii="Times New Roman" w:eastAsia="宋体" w:hAnsi="Times New Roman" w:cs="宋体"/>
          <w:sz w:val="24"/>
          <w:lang w:eastAsia="zh-CN"/>
        </w:rPr>
        <w:t>节或第</w:t>
      </w:r>
      <w:r w:rsidRPr="00742C75">
        <w:rPr>
          <w:rFonts w:ascii="Times New Roman" w:eastAsia="宋体" w:hAnsi="Times New Roman" w:cs="宋体"/>
          <w:sz w:val="24"/>
          <w:lang w:eastAsia="zh-CN"/>
        </w:rPr>
        <w:t>4</w:t>
      </w:r>
      <w:r w:rsidRPr="00742C75">
        <w:rPr>
          <w:rFonts w:ascii="Times New Roman" w:eastAsia="宋体" w:hAnsi="Times New Roman" w:cs="宋体"/>
          <w:sz w:val="24"/>
          <w:lang w:eastAsia="zh-CN"/>
        </w:rPr>
        <w:t>节发布的适用法规的药物被视为假冒药物。</w:t>
      </w:r>
      <w:r w:rsidRPr="00742C75">
        <w:rPr>
          <w:rFonts w:ascii="Times New Roman" w:eastAsia="宋体" w:hAnsi="Times New Roman" w:cs="宋体"/>
          <w:sz w:val="24"/>
          <w:vertAlign w:val="superscript"/>
          <w:lang w:eastAsia="zh-CN"/>
        </w:rPr>
        <w:t>9</w:t>
      </w:r>
      <w:r w:rsidRPr="00742C75">
        <w:rPr>
          <w:rFonts w:ascii="Times New Roman" w:eastAsia="宋体" w:hAnsi="Times New Roman" w:cs="宋体"/>
          <w:sz w:val="24"/>
          <w:lang w:eastAsia="zh-CN"/>
        </w:rPr>
        <w:t>FDA</w:t>
      </w:r>
      <w:r w:rsidRPr="00742C75">
        <w:rPr>
          <w:rFonts w:ascii="Times New Roman" w:eastAsia="宋体" w:hAnsi="Times New Roman" w:cs="宋体"/>
          <w:sz w:val="24"/>
          <w:lang w:eastAsia="zh-CN"/>
        </w:rPr>
        <w:t>负责执行《毒物预防包装法案》，直至</w:t>
      </w:r>
      <w:r w:rsidRPr="00742C75">
        <w:rPr>
          <w:rFonts w:ascii="Times New Roman" w:eastAsia="宋体" w:hAnsi="Times New Roman" w:cs="宋体"/>
          <w:sz w:val="24"/>
          <w:lang w:eastAsia="zh-CN"/>
        </w:rPr>
        <w:t>1973</w:t>
      </w:r>
      <w:r w:rsidRPr="00742C75">
        <w:rPr>
          <w:rFonts w:ascii="Times New Roman" w:eastAsia="宋体" w:hAnsi="Times New Roman" w:cs="宋体"/>
          <w:sz w:val="24"/>
          <w:lang w:eastAsia="zh-CN"/>
        </w:rPr>
        <w:t>年将管辖权移交给美国消费品安全委员会（</w:t>
      </w:r>
      <w:r w:rsidRPr="00742C75">
        <w:rPr>
          <w:rFonts w:ascii="Times New Roman" w:eastAsia="宋体" w:hAnsi="Times New Roman" w:cs="宋体"/>
          <w:sz w:val="24"/>
          <w:lang w:eastAsia="zh-CN"/>
        </w:rPr>
        <w:t>CPSC</w:t>
      </w:r>
      <w:r w:rsidRPr="00742C75">
        <w:rPr>
          <w:rFonts w:ascii="Times New Roman" w:eastAsia="宋体" w:hAnsi="Times New Roman" w:cs="宋体"/>
          <w:sz w:val="24"/>
          <w:lang w:eastAsia="zh-CN"/>
        </w:rPr>
        <w:t>）。</w:t>
      </w:r>
      <w:r w:rsidRPr="00742C75">
        <w:rPr>
          <w:rFonts w:ascii="Times New Roman" w:eastAsia="宋体" w:hAnsi="Times New Roman" w:cs="宋体"/>
          <w:sz w:val="24"/>
          <w:vertAlign w:val="superscript"/>
          <w:lang w:eastAsia="zh-CN"/>
        </w:rPr>
        <w:t>10</w:t>
      </w:r>
    </w:p>
    <w:p w14:paraId="36D4BFBA" w14:textId="0D7DA782" w:rsid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美国消费品安全委员会法规列出了各种家用产品的</w:t>
      </w:r>
      <w:r w:rsidRPr="00742C75">
        <w:rPr>
          <w:rFonts w:ascii="Times New Roman" w:eastAsia="宋体" w:hAnsi="Times New Roman" w:cs="宋体"/>
          <w:sz w:val="24"/>
          <w:lang w:eastAsia="zh-CN"/>
        </w:rPr>
        <w:t>“</w:t>
      </w:r>
      <w:r w:rsidRPr="00742C75">
        <w:rPr>
          <w:rFonts w:ascii="Times New Roman" w:eastAsia="宋体" w:hAnsi="Times New Roman" w:cs="宋体"/>
          <w:sz w:val="24"/>
          <w:lang w:eastAsia="zh-CN"/>
        </w:rPr>
        <w:t>特殊包装标准</w:t>
      </w:r>
      <w:r w:rsidRPr="00742C75">
        <w:rPr>
          <w:rFonts w:ascii="Times New Roman" w:eastAsia="宋体" w:hAnsi="Times New Roman" w:cs="宋体"/>
          <w:sz w:val="24"/>
          <w:lang w:eastAsia="zh-CN"/>
        </w:rPr>
        <w:t>”</w:t>
      </w:r>
      <w:r w:rsidRPr="00742C75">
        <w:rPr>
          <w:rFonts w:ascii="Times New Roman" w:eastAsia="宋体" w:hAnsi="Times New Roman" w:cs="宋体"/>
          <w:sz w:val="24"/>
          <w:vertAlign w:val="superscript"/>
          <w:lang w:eastAsia="zh-CN"/>
        </w:rPr>
        <w:t>11,12</w:t>
      </w:r>
      <w:r w:rsidRPr="00742C75">
        <w:rPr>
          <w:rFonts w:ascii="Times New Roman" w:eastAsia="宋体" w:hAnsi="Times New Roman" w:cs="宋体"/>
          <w:sz w:val="24"/>
          <w:lang w:eastAsia="zh-CN"/>
        </w:rPr>
        <w:t>（在本指南中也称为</w:t>
      </w:r>
      <w:r w:rsidRPr="00742C75">
        <w:rPr>
          <w:rFonts w:ascii="Times New Roman" w:eastAsia="宋体" w:hAnsi="Times New Roman" w:cs="宋体"/>
          <w:i/>
          <w:sz w:val="24"/>
          <w:lang w:eastAsia="zh-CN"/>
        </w:rPr>
        <w:t>防儿童开启包装（</w:t>
      </w:r>
      <w:r w:rsidRPr="00742C75">
        <w:rPr>
          <w:rFonts w:ascii="Times New Roman" w:eastAsia="宋体" w:hAnsi="Times New Roman" w:cs="宋体"/>
          <w:sz w:val="24"/>
          <w:lang w:eastAsia="zh-CN"/>
        </w:rPr>
        <w:t>CRP</w:t>
      </w:r>
      <w:r w:rsidRPr="00742C75">
        <w:rPr>
          <w:rFonts w:ascii="Times New Roman" w:eastAsia="宋体" w:hAnsi="Times New Roman" w:cs="宋体"/>
          <w:sz w:val="24"/>
          <w:lang w:eastAsia="zh-CN"/>
        </w:rPr>
        <w:t>）），包括大多数口服处方药和许多非处方药。</w:t>
      </w:r>
      <w:r w:rsidRPr="00742C75">
        <w:rPr>
          <w:rFonts w:ascii="Times New Roman" w:eastAsia="宋体" w:hAnsi="Times New Roman" w:cs="宋体"/>
          <w:sz w:val="24"/>
          <w:vertAlign w:val="superscript"/>
          <w:lang w:eastAsia="zh-CN"/>
        </w:rPr>
        <w:t>13</w:t>
      </w:r>
      <w:r w:rsidRPr="00742C75">
        <w:rPr>
          <w:rFonts w:ascii="Times New Roman" w:eastAsia="宋体" w:hAnsi="Times New Roman" w:cs="宋体"/>
          <w:sz w:val="24"/>
          <w:lang w:eastAsia="zh-CN"/>
        </w:rPr>
        <w:t>制造具有防儿童开启功能的包装存在不同的方式，最常见的形式是防儿童开启密封件（例如</w:t>
      </w:r>
      <w:r w:rsidRPr="00742C75">
        <w:rPr>
          <w:rFonts w:ascii="Times New Roman" w:eastAsia="宋体" w:hAnsi="Times New Roman" w:cs="宋体"/>
          <w:i/>
          <w:sz w:val="24"/>
          <w:lang w:eastAsia="zh-CN"/>
        </w:rPr>
        <w:t>安全帽</w:t>
      </w:r>
      <w:r w:rsidRPr="00742C75">
        <w:rPr>
          <w:rFonts w:ascii="Times New Roman" w:eastAsia="宋体" w:hAnsi="Times New Roman" w:cs="宋体"/>
          <w:sz w:val="24"/>
          <w:lang w:eastAsia="zh-CN"/>
        </w:rPr>
        <w:t>）和特定的使用单位泡罩包装（例如防穿刺和剥离</w:t>
      </w:r>
      <w:r w:rsidRPr="00742C75">
        <w:rPr>
          <w:rFonts w:ascii="Times New Roman" w:eastAsia="宋体" w:hAnsi="Times New Roman" w:cs="宋体"/>
          <w:sz w:val="24"/>
          <w:lang w:eastAsia="zh-CN"/>
        </w:rPr>
        <w:t>-</w:t>
      </w:r>
      <w:r w:rsidRPr="00742C75">
        <w:rPr>
          <w:rFonts w:ascii="Times New Roman" w:eastAsia="宋体" w:hAnsi="Times New Roman" w:cs="宋体"/>
          <w:sz w:val="24"/>
          <w:lang w:eastAsia="zh-CN"/>
        </w:rPr>
        <w:t>推开</w:t>
      </w:r>
      <w:r w:rsidRPr="00385790">
        <w:rPr>
          <w:rFonts w:ascii="Times New Roman" w:eastAsia="宋体" w:hAnsi="Times New Roman" w:cs="宋体" w:hint="eastAsia"/>
          <w:sz w:val="24"/>
          <w:lang w:eastAsia="zh-CN"/>
        </w:rPr>
        <w:t>泡罩</w:t>
      </w:r>
      <w:r w:rsidRPr="00742C75">
        <w:rPr>
          <w:rFonts w:ascii="Times New Roman" w:eastAsia="宋体" w:hAnsi="Times New Roman" w:cs="宋体"/>
          <w:sz w:val="24"/>
          <w:lang w:eastAsia="zh-CN"/>
        </w:rPr>
        <w:t>）。然而，并非所有容器密封件（即容纳和保护</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的包装组件）（包括使用单位包装）均可以防儿童开启。此外，</w:t>
      </w:r>
      <w:r w:rsidRPr="00742C75">
        <w:rPr>
          <w:rFonts w:ascii="Times New Roman" w:eastAsia="宋体" w:hAnsi="Times New Roman" w:cs="宋体"/>
          <w:i/>
          <w:sz w:val="24"/>
          <w:lang w:eastAsia="zh-CN"/>
        </w:rPr>
        <w:t>防儿童开启</w:t>
      </w:r>
      <w:r w:rsidRPr="00742C75">
        <w:rPr>
          <w:rFonts w:ascii="Times New Roman" w:eastAsia="宋体" w:hAnsi="Times New Roman" w:cs="宋体"/>
          <w:sz w:val="24"/>
          <w:lang w:eastAsia="zh-CN"/>
        </w:rPr>
        <w:t>不应等同于</w:t>
      </w:r>
      <w:r w:rsidRPr="00742C75">
        <w:rPr>
          <w:rFonts w:ascii="Times New Roman" w:eastAsia="宋体" w:hAnsi="Times New Roman" w:cs="宋体"/>
          <w:i/>
          <w:sz w:val="24"/>
          <w:lang w:eastAsia="zh-CN"/>
        </w:rPr>
        <w:t>儿童安全</w:t>
      </w:r>
      <w:r w:rsidRPr="00742C75">
        <w:rPr>
          <w:rFonts w:ascii="Times New Roman" w:eastAsia="宋体" w:hAnsi="Times New Roman" w:cs="宋体"/>
          <w:sz w:val="24"/>
          <w:lang w:eastAsia="zh-CN"/>
        </w:rPr>
        <w:t>，因为防儿童开启包装的设计不能完全消除儿童意外摄入的可能性。它只能阻止接触有害产品。</w:t>
      </w:r>
    </w:p>
    <w:p w14:paraId="1ACC08EE" w14:textId="77777777" w:rsidR="00CE3E13" w:rsidRPr="00E851F7"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207F5B71" w14:textId="77777777" w:rsidR="00CE3E13" w:rsidRPr="00E851F7"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50E3D4BE" w14:textId="77777777" w:rsidR="00CE3E13" w:rsidRPr="00E851F7"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4F655CEE" w14:textId="77777777" w:rsidR="00CE3E13" w:rsidRPr="00E851F7"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7EAB037A" w14:textId="77777777"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_____________________</w:t>
      </w:r>
    </w:p>
    <w:p w14:paraId="01B16A8B" w14:textId="288FE372" w:rsidR="00CE3E13" w:rsidRPr="00CE3E13" w:rsidRDefault="00CE3E13" w:rsidP="00670F08">
      <w:pPr>
        <w:pStyle w:val="a9"/>
        <w:tabs>
          <w:tab w:val="clear" w:pos="835"/>
          <w:tab w:val="left" w:pos="630"/>
        </w:tabs>
        <w:rPr>
          <w:lang w:eastAsia="zh-CN" w:bidi="en-US"/>
        </w:rPr>
      </w:pPr>
      <w:r w:rsidRPr="00742C75">
        <w:rPr>
          <w:rFonts w:eastAsia="宋体" w:cs="宋体"/>
          <w:vertAlign w:val="superscript"/>
          <w:lang w:eastAsia="zh-CN"/>
        </w:rPr>
        <w:t>8</w:t>
      </w:r>
      <w:r w:rsidRPr="00742C75">
        <w:rPr>
          <w:rFonts w:eastAsia="宋体" w:cs="宋体"/>
          <w:lang w:eastAsia="zh-CN"/>
        </w:rPr>
        <w:t>1970</w:t>
      </w:r>
      <w:r w:rsidRPr="00742C75">
        <w:rPr>
          <w:rFonts w:eastAsia="宋体" w:cs="宋体"/>
          <w:lang w:eastAsia="zh-CN"/>
        </w:rPr>
        <w:t>年《</w:t>
      </w:r>
      <w:bookmarkStart w:id="2" w:name="OLE_LINK1"/>
      <w:r w:rsidRPr="00742C75">
        <w:rPr>
          <w:rFonts w:eastAsia="宋体" w:cs="宋体"/>
          <w:lang w:eastAsia="zh-CN"/>
        </w:rPr>
        <w:t>毒物预防包装法</w:t>
      </w:r>
      <w:bookmarkEnd w:id="2"/>
      <w:r w:rsidRPr="00742C75">
        <w:rPr>
          <w:rFonts w:eastAsia="宋体" w:cs="宋体"/>
          <w:lang w:eastAsia="zh-CN"/>
        </w:rPr>
        <w:t>》</w:t>
      </w:r>
      <w:r w:rsidRPr="00742C75">
        <w:rPr>
          <w:rFonts w:eastAsia="宋体" w:cs="宋体"/>
          <w:lang w:eastAsia="zh-CN"/>
        </w:rPr>
        <w:t>(PPPA)</w:t>
      </w:r>
      <w:r w:rsidRPr="00742C75">
        <w:rPr>
          <w:rFonts w:eastAsia="宋体" w:cs="宋体"/>
          <w:lang w:eastAsia="zh-CN"/>
        </w:rPr>
        <w:t>（</w:t>
      </w:r>
      <w:r w:rsidR="0011029D">
        <w:rPr>
          <w:rFonts w:eastAsia="宋体" w:cs="宋体" w:hint="eastAsia"/>
          <w:lang w:eastAsia="zh-CN"/>
        </w:rPr>
        <w:t>公法</w:t>
      </w:r>
      <w:r w:rsidRPr="00742C75">
        <w:rPr>
          <w:rFonts w:eastAsia="宋体" w:cs="宋体"/>
          <w:lang w:eastAsia="zh-CN"/>
        </w:rPr>
        <w:t>91-601, 84 Stat.1670</w:t>
      </w:r>
      <w:r w:rsidRPr="00742C75">
        <w:rPr>
          <w:rFonts w:eastAsia="宋体" w:cs="宋体"/>
          <w:lang w:eastAsia="zh-CN"/>
        </w:rPr>
        <w:t>）于</w:t>
      </w:r>
      <w:r w:rsidRPr="00742C75">
        <w:rPr>
          <w:rFonts w:eastAsia="宋体" w:cs="宋体"/>
          <w:lang w:eastAsia="zh-CN"/>
        </w:rPr>
        <w:t>1970</w:t>
      </w:r>
      <w:r w:rsidRPr="00742C75">
        <w:rPr>
          <w:rFonts w:eastAsia="宋体" w:cs="宋体"/>
          <w:lang w:eastAsia="zh-CN"/>
        </w:rPr>
        <w:t>年</w:t>
      </w:r>
      <w:r w:rsidRPr="00742C75">
        <w:rPr>
          <w:rFonts w:eastAsia="宋体" w:cs="宋体"/>
          <w:lang w:eastAsia="zh-CN"/>
        </w:rPr>
        <w:t>12</w:t>
      </w:r>
      <w:r w:rsidRPr="00742C75">
        <w:rPr>
          <w:rFonts w:eastAsia="宋体" w:cs="宋体"/>
          <w:lang w:eastAsia="zh-CN"/>
        </w:rPr>
        <w:t>月</w:t>
      </w:r>
      <w:r w:rsidRPr="00742C75">
        <w:rPr>
          <w:rFonts w:eastAsia="宋体" w:cs="宋体"/>
          <w:lang w:eastAsia="zh-CN"/>
        </w:rPr>
        <w:t>30</w:t>
      </w:r>
      <w:r w:rsidRPr="00742C75">
        <w:rPr>
          <w:rFonts w:eastAsia="宋体" w:cs="宋体"/>
          <w:lang w:eastAsia="zh-CN"/>
        </w:rPr>
        <w:t>日颁布。</w:t>
      </w:r>
    </w:p>
    <w:p w14:paraId="0E50F67E" w14:textId="1BFAB0C7"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9</w:t>
      </w:r>
      <w:r w:rsidRPr="00742C75">
        <w:rPr>
          <w:rFonts w:eastAsia="宋体" w:cs="宋体"/>
          <w:lang w:eastAsia="zh-CN"/>
        </w:rPr>
        <w:t>请参见《</w:t>
      </w:r>
      <w:r w:rsidRPr="00742C75">
        <w:rPr>
          <w:rFonts w:eastAsia="宋体" w:cs="宋体"/>
          <w:lang w:eastAsia="zh-CN"/>
        </w:rPr>
        <w:t>FD&amp;C</w:t>
      </w:r>
      <w:r w:rsidRPr="00742C75">
        <w:rPr>
          <w:rFonts w:eastAsia="宋体" w:cs="宋体"/>
          <w:lang w:eastAsia="zh-CN"/>
        </w:rPr>
        <w:t>法案》（</w:t>
      </w:r>
      <w:r w:rsidRPr="00742C75">
        <w:rPr>
          <w:rFonts w:eastAsia="宋体" w:cs="宋体"/>
          <w:lang w:eastAsia="zh-CN"/>
        </w:rPr>
        <w:t>21 U.S.C.352(p)</w:t>
      </w:r>
      <w:r w:rsidRPr="00742C75">
        <w:rPr>
          <w:rFonts w:eastAsia="宋体" w:cs="宋体"/>
          <w:lang w:eastAsia="zh-CN"/>
        </w:rPr>
        <w:t>）第</w:t>
      </w:r>
      <w:r w:rsidRPr="00742C75">
        <w:rPr>
          <w:rFonts w:eastAsia="宋体" w:cs="宋体"/>
          <w:lang w:eastAsia="zh-CN"/>
        </w:rPr>
        <w:t>502(p)</w:t>
      </w:r>
      <w:r w:rsidRPr="00742C75">
        <w:rPr>
          <w:rFonts w:eastAsia="宋体" w:cs="宋体"/>
          <w:lang w:eastAsia="zh-CN"/>
        </w:rPr>
        <w:t>节。</w:t>
      </w:r>
    </w:p>
    <w:p w14:paraId="530D08C1" w14:textId="33154F40"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10</w:t>
      </w:r>
      <w:r w:rsidRPr="00742C75">
        <w:rPr>
          <w:rFonts w:eastAsia="宋体" w:cs="宋体"/>
          <w:lang w:eastAsia="zh-CN"/>
        </w:rPr>
        <w:t>《消费者产品安全改善法案》（</w:t>
      </w:r>
      <w:r w:rsidR="0011029D">
        <w:rPr>
          <w:rFonts w:eastAsia="宋体" w:cs="宋体" w:hint="eastAsia"/>
          <w:lang w:eastAsia="zh-CN"/>
        </w:rPr>
        <w:t>公法</w:t>
      </w:r>
      <w:r w:rsidRPr="00742C75">
        <w:rPr>
          <w:rFonts w:eastAsia="宋体" w:cs="宋体"/>
          <w:lang w:eastAsia="zh-CN"/>
        </w:rPr>
        <w:t>92-573, 86 Stat.1207</w:t>
      </w:r>
      <w:r w:rsidRPr="00742C75">
        <w:rPr>
          <w:rFonts w:eastAsia="宋体" w:cs="宋体"/>
          <w:lang w:eastAsia="zh-CN"/>
        </w:rPr>
        <w:t>）</w:t>
      </w:r>
      <w:r w:rsidRPr="00742C75">
        <w:rPr>
          <w:rFonts w:eastAsia="宋体" w:cs="宋体"/>
          <w:lang w:eastAsia="zh-CN"/>
        </w:rPr>
        <w:t>1972</w:t>
      </w:r>
      <w:r w:rsidRPr="00742C75">
        <w:rPr>
          <w:rFonts w:eastAsia="宋体" w:cs="宋体"/>
          <w:lang w:eastAsia="zh-CN"/>
        </w:rPr>
        <w:t>年</w:t>
      </w:r>
      <w:r w:rsidRPr="00742C75">
        <w:rPr>
          <w:rFonts w:eastAsia="宋体" w:cs="宋体"/>
          <w:lang w:eastAsia="zh-CN"/>
        </w:rPr>
        <w:t>10</w:t>
      </w:r>
      <w:r w:rsidRPr="00742C75">
        <w:rPr>
          <w:rFonts w:eastAsia="宋体" w:cs="宋体"/>
          <w:lang w:eastAsia="zh-CN"/>
        </w:rPr>
        <w:t>月</w:t>
      </w:r>
      <w:r w:rsidRPr="00742C75">
        <w:rPr>
          <w:rFonts w:eastAsia="宋体" w:cs="宋体"/>
          <w:lang w:eastAsia="zh-CN"/>
        </w:rPr>
        <w:t>27</w:t>
      </w:r>
      <w:r w:rsidRPr="00742C75">
        <w:rPr>
          <w:rFonts w:eastAsia="宋体" w:cs="宋体"/>
          <w:lang w:eastAsia="zh-CN"/>
        </w:rPr>
        <w:t>日。</w:t>
      </w:r>
      <w:proofErr w:type="gramStart"/>
      <w:r w:rsidR="0011029D" w:rsidRPr="0011029D">
        <w:rPr>
          <w:rFonts w:eastAsia="宋体" w:cs="宋体"/>
          <w:lang w:eastAsia="zh-CN"/>
        </w:rPr>
        <w:t xml:space="preserve">Sec. </w:t>
      </w:r>
      <w:r w:rsidRPr="00742C75">
        <w:rPr>
          <w:rFonts w:eastAsia="宋体" w:cs="宋体"/>
          <w:lang w:eastAsia="zh-CN"/>
        </w:rPr>
        <w:t>30.</w:t>
      </w:r>
      <w:proofErr w:type="gramEnd"/>
    </w:p>
    <w:p w14:paraId="3615C1CF" w14:textId="0BD42EA5" w:rsidR="00CE3E13" w:rsidRPr="00CE3E13" w:rsidRDefault="00CE3E13" w:rsidP="00670F08">
      <w:pPr>
        <w:pStyle w:val="a9"/>
        <w:tabs>
          <w:tab w:val="clear" w:pos="835"/>
          <w:tab w:val="left" w:pos="222"/>
        </w:tabs>
        <w:rPr>
          <w:lang w:eastAsia="zh-CN" w:bidi="en-US"/>
        </w:rPr>
      </w:pPr>
      <w:r w:rsidRPr="00742C75">
        <w:rPr>
          <w:rFonts w:eastAsia="宋体" w:cs="宋体"/>
          <w:vertAlign w:val="superscript"/>
          <w:lang w:eastAsia="zh-CN"/>
        </w:rPr>
        <w:t>11</w:t>
      </w:r>
      <w:r w:rsidRPr="00742C75">
        <w:rPr>
          <w:rFonts w:eastAsia="宋体" w:cs="宋体"/>
          <w:lang w:eastAsia="zh-CN"/>
        </w:rPr>
        <w:t xml:space="preserve"> </w:t>
      </w:r>
      <w:r w:rsidRPr="00742C75">
        <w:rPr>
          <w:rFonts w:eastAsia="宋体" w:cs="宋体"/>
          <w:lang w:eastAsia="zh-CN"/>
        </w:rPr>
        <w:t>参见《美国联邦法规》第</w:t>
      </w:r>
      <w:r w:rsidRPr="00742C75">
        <w:rPr>
          <w:rFonts w:eastAsia="宋体" w:cs="宋体"/>
          <w:lang w:eastAsia="zh-CN"/>
        </w:rPr>
        <w:t>16</w:t>
      </w:r>
      <w:r w:rsidRPr="00742C75">
        <w:rPr>
          <w:rFonts w:eastAsia="宋体" w:cs="宋体"/>
          <w:lang w:eastAsia="zh-CN"/>
        </w:rPr>
        <w:t>篇第</w:t>
      </w:r>
      <w:r w:rsidRPr="00742C75">
        <w:rPr>
          <w:rFonts w:eastAsia="宋体" w:cs="宋体"/>
          <w:lang w:eastAsia="zh-CN"/>
        </w:rPr>
        <w:t>1700</w:t>
      </w:r>
      <w:r w:rsidRPr="00742C75">
        <w:rPr>
          <w:rFonts w:eastAsia="宋体" w:cs="宋体"/>
          <w:lang w:eastAsia="zh-CN"/>
        </w:rPr>
        <w:t>部分。也可参见《毒物预防包装法案》第</w:t>
      </w:r>
      <w:r w:rsidRPr="00742C75">
        <w:rPr>
          <w:rFonts w:eastAsia="宋体" w:cs="宋体"/>
          <w:lang w:eastAsia="zh-CN"/>
        </w:rPr>
        <w:t>2(4)</w:t>
      </w:r>
      <w:r w:rsidRPr="00742C75">
        <w:rPr>
          <w:rFonts w:eastAsia="宋体" w:cs="宋体"/>
          <w:lang w:eastAsia="zh-CN"/>
        </w:rPr>
        <w:t>节中的定义。</w:t>
      </w:r>
    </w:p>
    <w:p w14:paraId="7BB8F90A" w14:textId="4740B3BE"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12</w:t>
      </w:r>
      <w:r w:rsidRPr="00742C75">
        <w:rPr>
          <w:rFonts w:eastAsia="宋体" w:cs="宋体"/>
          <w:i/>
          <w:lang w:eastAsia="zh-CN"/>
        </w:rPr>
        <w:t>特殊包装</w:t>
      </w:r>
      <w:r w:rsidRPr="00742C75">
        <w:rPr>
          <w:rFonts w:eastAsia="宋体" w:cs="宋体"/>
          <w:lang w:eastAsia="zh-CN"/>
        </w:rPr>
        <w:t>和</w:t>
      </w:r>
      <w:r w:rsidRPr="00742C75">
        <w:rPr>
          <w:rFonts w:eastAsia="宋体" w:cs="宋体"/>
          <w:i/>
          <w:lang w:eastAsia="zh-CN"/>
        </w:rPr>
        <w:t>防儿童开启包装</w:t>
      </w:r>
      <w:r w:rsidRPr="00742C75">
        <w:rPr>
          <w:rFonts w:eastAsia="宋体" w:cs="宋体"/>
          <w:lang w:eastAsia="zh-CN"/>
        </w:rPr>
        <w:t>在本指南中可互换使用。</w:t>
      </w:r>
    </w:p>
    <w:p w14:paraId="0236E27B" w14:textId="5D3F313E"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13</w:t>
      </w:r>
      <w:r w:rsidRPr="00742C75">
        <w:rPr>
          <w:rFonts w:eastAsia="宋体" w:cs="宋体"/>
          <w:lang w:eastAsia="zh-CN"/>
        </w:rPr>
        <w:t>关于需要特殊包装的物质及相关包装标准和试验程序，请参见《美国联邦法规》第</w:t>
      </w:r>
      <w:r w:rsidRPr="00742C75">
        <w:rPr>
          <w:rFonts w:eastAsia="宋体" w:cs="宋体"/>
          <w:lang w:eastAsia="zh-CN"/>
        </w:rPr>
        <w:t>16</w:t>
      </w:r>
      <w:r w:rsidRPr="00742C75">
        <w:rPr>
          <w:rFonts w:eastAsia="宋体" w:cs="宋体"/>
          <w:lang w:eastAsia="zh-CN"/>
        </w:rPr>
        <w:t>篇第</w:t>
      </w:r>
      <w:r w:rsidRPr="00742C75">
        <w:rPr>
          <w:rFonts w:eastAsia="宋体" w:cs="宋体"/>
          <w:lang w:eastAsia="zh-CN"/>
        </w:rPr>
        <w:t>1700</w:t>
      </w:r>
      <w:r w:rsidRPr="00742C75">
        <w:rPr>
          <w:rFonts w:eastAsia="宋体" w:cs="宋体"/>
          <w:lang w:eastAsia="zh-CN"/>
        </w:rPr>
        <w:t>部分。</w:t>
      </w:r>
    </w:p>
    <w:p w14:paraId="0E9B4741" w14:textId="77777777" w:rsidR="00CE3E13" w:rsidRDefault="00CE3E13">
      <w:pPr>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br w:type="page"/>
      </w:r>
    </w:p>
    <w:p w14:paraId="76092F6D" w14:textId="3F3EC143"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lastRenderedPageBreak/>
        <w:t>CRP</w:t>
      </w:r>
      <w:r w:rsidRPr="00742C75">
        <w:rPr>
          <w:rFonts w:ascii="Times New Roman" w:eastAsia="宋体" w:hAnsi="Times New Roman" w:cs="宋体"/>
          <w:sz w:val="24"/>
          <w:lang w:eastAsia="zh-CN"/>
        </w:rPr>
        <w:t>（防儿童开启包装）被当做一种重要的公共卫生安全工具，可降低意外摄入引起的有害健康结局的发生率。</w:t>
      </w:r>
      <w:r w:rsidRPr="00742C75">
        <w:rPr>
          <w:rFonts w:ascii="Times New Roman" w:eastAsia="宋体" w:hAnsi="Times New Roman" w:cs="宋体"/>
          <w:sz w:val="24"/>
          <w:vertAlign w:val="superscript"/>
          <w:lang w:eastAsia="zh-CN"/>
        </w:rPr>
        <w:t>14</w:t>
      </w:r>
      <w:r w:rsidRPr="00742C75">
        <w:rPr>
          <w:rFonts w:ascii="Times New Roman" w:eastAsia="宋体" w:hAnsi="Times New Roman" w:cs="宋体"/>
          <w:sz w:val="24"/>
          <w:lang w:eastAsia="zh-CN"/>
        </w:rPr>
        <w:t>上市的许多口服液</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都具有</w:t>
      </w:r>
      <w:proofErr w:type="gramStart"/>
      <w:r w:rsidRPr="00742C75">
        <w:rPr>
          <w:rFonts w:ascii="Times New Roman" w:eastAsia="宋体" w:hAnsi="Times New Roman" w:cs="宋体"/>
          <w:sz w:val="24"/>
          <w:lang w:eastAsia="zh-CN"/>
        </w:rPr>
        <w:t>防儿童</w:t>
      </w:r>
      <w:proofErr w:type="gramEnd"/>
      <w:r w:rsidRPr="00742C75">
        <w:rPr>
          <w:rFonts w:ascii="Times New Roman" w:eastAsia="宋体" w:hAnsi="Times New Roman" w:cs="宋体"/>
          <w:sz w:val="24"/>
          <w:lang w:eastAsia="zh-CN"/>
        </w:rPr>
        <w:t>开启包装的特征。然而，即使该安全性工具</w:t>
      </w:r>
      <w:r w:rsidR="00E851F7">
        <w:rPr>
          <w:rFonts w:ascii="Times New Roman" w:eastAsia="宋体" w:hAnsi="Times New Roman" w:cs="宋体" w:hint="eastAsia"/>
          <w:sz w:val="24"/>
          <w:lang w:eastAsia="zh-CN"/>
        </w:rPr>
        <w:t>存在</w:t>
      </w:r>
      <w:r w:rsidRPr="00742C75">
        <w:rPr>
          <w:rFonts w:ascii="Times New Roman" w:eastAsia="宋体" w:hAnsi="Times New Roman" w:cs="宋体"/>
          <w:sz w:val="24"/>
          <w:lang w:eastAsia="zh-CN"/>
        </w:rPr>
        <w:t>，</w:t>
      </w:r>
      <w:r w:rsidR="00E851F7" w:rsidRPr="00E851F7">
        <w:rPr>
          <w:rFonts w:ascii="Times New Roman" w:eastAsia="宋体" w:hAnsi="Times New Roman" w:cs="宋体" w:hint="eastAsia"/>
          <w:sz w:val="24"/>
          <w:lang w:eastAsia="zh-CN"/>
        </w:rPr>
        <w:t>与意外摄入药品（包括口服液</w:t>
      </w:r>
      <w:r w:rsidR="00EB5F76">
        <w:rPr>
          <w:rFonts w:ascii="Times New Roman" w:eastAsia="宋体" w:hAnsi="Times New Roman" w:cs="宋体" w:hint="eastAsia"/>
          <w:sz w:val="24"/>
          <w:lang w:eastAsia="zh-CN"/>
        </w:rPr>
        <w:t>药物</w:t>
      </w:r>
      <w:r w:rsidR="00E851F7" w:rsidRPr="00E851F7">
        <w:rPr>
          <w:rFonts w:ascii="Times New Roman" w:eastAsia="宋体" w:hAnsi="Times New Roman" w:cs="宋体" w:hint="eastAsia"/>
          <w:sz w:val="24"/>
          <w:lang w:eastAsia="zh-CN"/>
        </w:rPr>
        <w:t>）有关的不良事件仍在不断报告</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。对国家电子</w:t>
      </w:r>
      <w:r w:rsidRPr="00742C75">
        <w:rPr>
          <w:rFonts w:ascii="Times New Roman" w:eastAsia="宋体" w:hAnsi="Times New Roman" w:cs="宋体" w:hint="eastAsia"/>
          <w:sz w:val="24"/>
          <w:lang w:eastAsia="zh-CN"/>
        </w:rPr>
        <w:t>损伤</w:t>
      </w:r>
      <w:r w:rsidRPr="00742C75">
        <w:rPr>
          <w:rFonts w:ascii="Times New Roman" w:eastAsia="宋体" w:hAnsi="Times New Roman" w:cs="宋体"/>
          <w:sz w:val="24"/>
          <w:lang w:eastAsia="zh-CN"/>
        </w:rPr>
        <w:t>监测系统</w:t>
      </w:r>
      <w:r w:rsidRPr="00742C75">
        <w:rPr>
          <w:rFonts w:ascii="Times New Roman" w:eastAsia="宋体" w:hAnsi="Times New Roman" w:cs="宋体"/>
          <w:sz w:val="24"/>
          <w:lang w:eastAsia="zh-CN"/>
        </w:rPr>
        <w:t>-</w:t>
      </w:r>
      <w:r w:rsidRPr="00742C75">
        <w:rPr>
          <w:rFonts w:ascii="Times New Roman" w:eastAsia="宋体" w:hAnsi="Times New Roman" w:cs="宋体"/>
          <w:sz w:val="24"/>
          <w:lang w:eastAsia="zh-CN"/>
        </w:rPr>
        <w:t>药物不良事件监测（</w:t>
      </w:r>
      <w:r w:rsidRPr="00742C75">
        <w:rPr>
          <w:rFonts w:ascii="Times New Roman" w:eastAsia="宋体" w:hAnsi="Times New Roman" w:cs="宋体"/>
          <w:sz w:val="24"/>
          <w:lang w:eastAsia="zh-CN"/>
        </w:rPr>
        <w:t>NEISS-CADES</w:t>
      </w:r>
      <w:r w:rsidRPr="00742C75">
        <w:rPr>
          <w:rFonts w:ascii="Times New Roman" w:eastAsia="宋体" w:hAnsi="Times New Roman" w:cs="宋体"/>
          <w:sz w:val="24"/>
          <w:lang w:eastAsia="zh-CN"/>
        </w:rPr>
        <w:t>）</w:t>
      </w:r>
      <w:r w:rsidRPr="00742C75">
        <w:rPr>
          <w:rFonts w:ascii="Times New Roman" w:eastAsia="宋体" w:hAnsi="Times New Roman" w:cs="宋体"/>
          <w:sz w:val="24"/>
          <w:vertAlign w:val="superscript"/>
          <w:lang w:eastAsia="zh-CN"/>
        </w:rPr>
        <w:t>15</w:t>
      </w:r>
      <w:r w:rsidRPr="00742C75">
        <w:rPr>
          <w:rFonts w:ascii="Times New Roman" w:eastAsia="宋体" w:hAnsi="Times New Roman" w:cs="宋体"/>
          <w:sz w:val="24"/>
          <w:lang w:eastAsia="zh-CN"/>
        </w:rPr>
        <w:t>数据的一项分析估计，</w:t>
      </w:r>
      <w:r w:rsidRPr="00742C75">
        <w:rPr>
          <w:rFonts w:ascii="Times New Roman" w:eastAsia="宋体" w:hAnsi="Times New Roman" w:cs="宋体"/>
          <w:sz w:val="24"/>
          <w:lang w:eastAsia="zh-CN"/>
        </w:rPr>
        <w:t>6</w:t>
      </w:r>
      <w:r w:rsidRPr="00742C75">
        <w:rPr>
          <w:rFonts w:ascii="Times New Roman" w:eastAsia="宋体" w:hAnsi="Times New Roman" w:cs="宋体"/>
          <w:sz w:val="24"/>
          <w:lang w:eastAsia="zh-CN"/>
        </w:rPr>
        <w:t>岁以下儿童每年因意外摄入口服液</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而前往急诊科（</w:t>
      </w:r>
      <w:r w:rsidRPr="00742C75">
        <w:rPr>
          <w:rFonts w:ascii="Times New Roman" w:eastAsia="宋体" w:hAnsi="Times New Roman" w:cs="宋体"/>
          <w:sz w:val="24"/>
          <w:lang w:eastAsia="zh-CN"/>
        </w:rPr>
        <w:t>ED</w:t>
      </w:r>
      <w:r w:rsidRPr="00742C75">
        <w:rPr>
          <w:rFonts w:ascii="Times New Roman" w:eastAsia="宋体" w:hAnsi="Times New Roman" w:cs="宋体"/>
          <w:sz w:val="24"/>
          <w:lang w:eastAsia="zh-CN"/>
        </w:rPr>
        <w:t>）就诊的人数超过</w:t>
      </w:r>
      <w:r w:rsidRPr="00742C75">
        <w:rPr>
          <w:rFonts w:ascii="Times New Roman" w:eastAsia="宋体" w:hAnsi="Times New Roman" w:cs="宋体"/>
          <w:sz w:val="24"/>
          <w:lang w:eastAsia="zh-CN"/>
        </w:rPr>
        <w:t>9,500</w:t>
      </w:r>
      <w:r w:rsidRPr="00742C75">
        <w:rPr>
          <w:rFonts w:ascii="Times New Roman" w:eastAsia="宋体" w:hAnsi="Times New Roman" w:cs="宋体"/>
          <w:sz w:val="24"/>
          <w:lang w:eastAsia="zh-CN"/>
        </w:rPr>
        <w:t>例。</w:t>
      </w:r>
      <w:r w:rsidRPr="00742C75">
        <w:rPr>
          <w:rFonts w:ascii="Times New Roman" w:eastAsia="宋体" w:hAnsi="Times New Roman" w:cs="宋体"/>
          <w:sz w:val="24"/>
          <w:vertAlign w:val="superscript"/>
          <w:lang w:eastAsia="zh-CN"/>
        </w:rPr>
        <w:t>16</w:t>
      </w:r>
    </w:p>
    <w:p w14:paraId="596D5CE3" w14:textId="54E7DFA3"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还应考虑其他措施，以帮助减少意外摄入口服液</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，包括安全和保障的产品储存。</w:t>
      </w:r>
      <w:r w:rsidRPr="00742C75">
        <w:rPr>
          <w:rFonts w:ascii="Times New Roman" w:eastAsia="宋体" w:hAnsi="Times New Roman" w:cs="宋体"/>
          <w:sz w:val="24"/>
          <w:vertAlign w:val="superscript"/>
          <w:lang w:eastAsia="zh-CN"/>
        </w:rPr>
        <w:t>17</w:t>
      </w:r>
      <w:r w:rsidRPr="00742C75">
        <w:rPr>
          <w:rFonts w:ascii="Times New Roman" w:eastAsia="宋体" w:hAnsi="Times New Roman" w:cs="宋体"/>
          <w:sz w:val="24"/>
          <w:lang w:eastAsia="zh-CN"/>
        </w:rPr>
        <w:t>限制暴露包装，例如限制性给药系统，是补充</w:t>
      </w:r>
      <w:proofErr w:type="gramStart"/>
      <w:r w:rsidRPr="00742C75">
        <w:rPr>
          <w:rFonts w:ascii="Times New Roman" w:eastAsia="宋体" w:hAnsi="Times New Roman" w:cs="宋体"/>
          <w:sz w:val="24"/>
          <w:lang w:eastAsia="zh-CN"/>
        </w:rPr>
        <w:t>防儿童</w:t>
      </w:r>
      <w:proofErr w:type="gramEnd"/>
      <w:r w:rsidRPr="00742C75">
        <w:rPr>
          <w:rFonts w:ascii="Times New Roman" w:eastAsia="宋体" w:hAnsi="Times New Roman" w:cs="宋体"/>
          <w:sz w:val="24"/>
          <w:lang w:eastAsia="zh-CN"/>
        </w:rPr>
        <w:t>开启包装的一种措施。具体地说，限制性给药系统用来限制液体从容器的开口流出。限制性给药系统不是防儿童开启包装的替代品，使用限制性给药系统不得影响防儿童开启包装。相反，制造商应考虑联合使用</w:t>
      </w:r>
      <w:proofErr w:type="gramStart"/>
      <w:r w:rsidRPr="00742C75">
        <w:rPr>
          <w:rFonts w:ascii="Times New Roman" w:eastAsia="宋体" w:hAnsi="Times New Roman" w:cs="宋体"/>
          <w:sz w:val="24"/>
          <w:lang w:eastAsia="zh-CN"/>
        </w:rPr>
        <w:t>防儿童</w:t>
      </w:r>
      <w:proofErr w:type="gramEnd"/>
      <w:r w:rsidRPr="00742C75">
        <w:rPr>
          <w:rFonts w:ascii="Times New Roman" w:eastAsia="宋体" w:hAnsi="Times New Roman" w:cs="宋体"/>
          <w:sz w:val="24"/>
          <w:lang w:eastAsia="zh-CN"/>
        </w:rPr>
        <w:t>开启包装和限制性给药系统，以进一步减少意外摄入口服液</w:t>
      </w:r>
      <w:r w:rsidR="00EB5F76">
        <w:rPr>
          <w:rFonts w:ascii="Times New Roman" w:eastAsia="宋体" w:hAnsi="Times New Roman" w:cs="宋体" w:hint="eastAsia"/>
          <w:sz w:val="24"/>
          <w:lang w:eastAsia="zh-CN"/>
        </w:rPr>
        <w:t>药物</w:t>
      </w:r>
      <w:r w:rsidRPr="00742C75">
        <w:rPr>
          <w:rFonts w:ascii="Times New Roman" w:eastAsia="宋体" w:hAnsi="Times New Roman" w:cs="宋体"/>
          <w:sz w:val="24"/>
          <w:lang w:eastAsia="zh-CN"/>
        </w:rPr>
        <w:t>。</w:t>
      </w:r>
    </w:p>
    <w:p w14:paraId="539146B5" w14:textId="77777777" w:rsidR="00CE3E13" w:rsidRPr="00CE3E13" w:rsidRDefault="00CE3E13" w:rsidP="00CE3E13">
      <w:pPr>
        <w:pStyle w:val="11"/>
        <w:rPr>
          <w:lang w:eastAsia="zh-CN" w:bidi="en-US"/>
        </w:rPr>
      </w:pPr>
      <w:bookmarkStart w:id="3" w:name="_Toc91867162"/>
      <w:r w:rsidRPr="00742C75">
        <w:rPr>
          <w:rFonts w:eastAsia="宋体" w:cs="宋体"/>
          <w:lang w:eastAsia="zh-CN"/>
        </w:rPr>
        <w:t>III.</w:t>
      </w:r>
      <w:r w:rsidRPr="00742C75">
        <w:rPr>
          <w:rFonts w:eastAsia="宋体" w:cs="宋体"/>
          <w:lang w:eastAsia="zh-CN"/>
        </w:rPr>
        <w:tab/>
      </w:r>
      <w:r w:rsidRPr="00742C75">
        <w:rPr>
          <w:rFonts w:eastAsia="宋体" w:cs="宋体"/>
          <w:lang w:eastAsia="zh-CN"/>
        </w:rPr>
        <w:t>关于限流器的讨论</w:t>
      </w:r>
      <w:bookmarkEnd w:id="3"/>
    </w:p>
    <w:p w14:paraId="07526A38" w14:textId="3A9E2F37" w:rsidR="00CE3E13" w:rsidRPr="00CE3E13" w:rsidRDefault="004D35A7"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限流器</w:t>
      </w:r>
      <w:r>
        <w:rPr>
          <w:rFonts w:ascii="Times New Roman" w:eastAsia="宋体" w:hAnsi="Times New Roman" w:cs="宋体"/>
          <w:sz w:val="24"/>
          <w:lang w:eastAsia="zh-CN"/>
        </w:rPr>
        <w:t>可作为限制性给药系统的一个示例</w:t>
      </w:r>
      <w:r w:rsidR="00CE3E13" w:rsidRPr="00742C75">
        <w:rPr>
          <w:rFonts w:ascii="Times New Roman" w:eastAsia="宋体" w:hAnsi="Times New Roman" w:cs="宋体"/>
          <w:sz w:val="24"/>
          <w:lang w:eastAsia="zh-CN"/>
        </w:rPr>
        <w:t>，它可以添加在瓶颈部以限制或控制液体流动。限流器可以在生产现场添加到容器上，或者它们可以与</w:t>
      </w:r>
      <w:r w:rsidR="00EB5F76">
        <w:rPr>
          <w:rFonts w:ascii="Times New Roman" w:eastAsia="宋体" w:hAnsi="Times New Roman" w:cs="宋体"/>
          <w:sz w:val="24"/>
          <w:lang w:eastAsia="zh-CN"/>
        </w:rPr>
        <w:t>药物</w:t>
      </w:r>
      <w:r w:rsidR="00CE3E13" w:rsidRPr="00742C75">
        <w:rPr>
          <w:rFonts w:ascii="Times New Roman" w:eastAsia="宋体" w:hAnsi="Times New Roman" w:cs="宋体"/>
          <w:sz w:val="24"/>
          <w:lang w:eastAsia="zh-CN"/>
        </w:rPr>
        <w:t>共同包装并在使用时添加到容器上。或者，容器的设计可以使得限流器被模制并集成到瓶颈部位，且不能从瓶身分离。含有限流器的药瓶可能需要给药装置，例如口腔注射器，以提取</w:t>
      </w:r>
      <w:r w:rsidR="00EB5F76">
        <w:rPr>
          <w:rFonts w:ascii="Times New Roman" w:eastAsia="宋体" w:hAnsi="Times New Roman" w:cs="宋体"/>
          <w:sz w:val="24"/>
          <w:lang w:eastAsia="zh-CN"/>
        </w:rPr>
        <w:t>药物</w:t>
      </w:r>
      <w:r w:rsidR="00CE3E13" w:rsidRPr="00742C75">
        <w:rPr>
          <w:rFonts w:ascii="Times New Roman" w:eastAsia="宋体" w:hAnsi="Times New Roman" w:cs="宋体"/>
          <w:sz w:val="24"/>
          <w:lang w:eastAsia="zh-CN"/>
        </w:rPr>
        <w:t>。限流器取决于设计和技术可以是开放或者封闭类型。</w:t>
      </w:r>
    </w:p>
    <w:p w14:paraId="7FC19F5C" w14:textId="77777777" w:rsidR="00446F91" w:rsidRDefault="00446F91" w:rsidP="00CE3E13">
      <w:pPr>
        <w:pStyle w:val="a9"/>
        <w:rPr>
          <w:rFonts w:eastAsiaTheme="minorEastAsia"/>
          <w:vertAlign w:val="superscript"/>
          <w:lang w:eastAsia="zh-CN" w:bidi="en-US"/>
        </w:rPr>
      </w:pPr>
      <w:r w:rsidRPr="00742C75">
        <w:rPr>
          <w:rFonts w:eastAsia="宋体" w:cs="宋体"/>
          <w:sz w:val="24"/>
          <w:lang w:eastAsia="zh-CN"/>
        </w:rPr>
        <w:t>_____________________</w:t>
      </w:r>
    </w:p>
    <w:p w14:paraId="420B9564" w14:textId="5C50F8C7" w:rsidR="00CE3E13" w:rsidRPr="00446F91" w:rsidRDefault="00CE3E13" w:rsidP="00670F08">
      <w:pPr>
        <w:pStyle w:val="a9"/>
        <w:tabs>
          <w:tab w:val="clear" w:pos="835"/>
          <w:tab w:val="left" w:pos="222"/>
        </w:tabs>
        <w:rPr>
          <w:lang w:eastAsia="zh-CN"/>
        </w:rPr>
      </w:pPr>
      <w:r w:rsidRPr="00742C75">
        <w:rPr>
          <w:rFonts w:eastAsia="宋体" w:cs="宋体"/>
          <w:vertAlign w:val="superscript"/>
          <w:lang w:eastAsia="zh-CN"/>
        </w:rPr>
        <w:t xml:space="preserve">14 </w:t>
      </w:r>
      <w:r w:rsidRPr="00742C75">
        <w:rPr>
          <w:rFonts w:eastAsia="宋体" w:cs="宋体"/>
          <w:lang w:eastAsia="zh-CN"/>
        </w:rPr>
        <w:t>20</w:t>
      </w:r>
      <w:r w:rsidRPr="00742C75">
        <w:rPr>
          <w:rFonts w:eastAsia="宋体" w:cs="宋体"/>
          <w:lang w:eastAsia="zh-CN"/>
        </w:rPr>
        <w:t>世纪</w:t>
      </w:r>
      <w:r w:rsidRPr="00742C75">
        <w:rPr>
          <w:rFonts w:eastAsia="宋体" w:cs="宋体"/>
          <w:lang w:eastAsia="zh-CN"/>
        </w:rPr>
        <w:t>60</w:t>
      </w:r>
      <w:r w:rsidRPr="00742C75">
        <w:rPr>
          <w:rFonts w:eastAsia="宋体" w:cs="宋体"/>
          <w:lang w:eastAsia="zh-CN"/>
        </w:rPr>
        <w:t>年代的早期研究表明，从华盛顿刘易斯堡和麦克乔德空军基地（</w:t>
      </w:r>
      <w:r w:rsidRPr="00742C75">
        <w:rPr>
          <w:rFonts w:eastAsia="宋体" w:cs="宋体"/>
          <w:lang w:eastAsia="zh-CN"/>
        </w:rPr>
        <w:t>Ford Lewis-McChord</w:t>
      </w:r>
      <w:r w:rsidRPr="00742C75">
        <w:rPr>
          <w:rFonts w:eastAsia="宋体" w:cs="宋体"/>
          <w:lang w:eastAsia="zh-CN"/>
        </w:rPr>
        <w:t>）分发的特殊包装药物将无监督情况下的儿科摄入减少了近十倍。在过去几年中，防儿童开启包装被用于包装药物、化妆品和家用化学品，因摄入有毒家用物质而死亡的儿童人数显著下降。参见网址：</w:t>
      </w:r>
      <w:r w:rsidRPr="00742C75">
        <w:rPr>
          <w:rFonts w:eastAsia="宋体" w:cs="宋体"/>
          <w:lang w:eastAsia="zh-CN"/>
        </w:rPr>
        <w:t>https://www.cpsc.gov/Regulations-Laws--Standards/Statutes/Poison-Prevention-Packaging-Act/</w:t>
      </w:r>
      <w:r w:rsidRPr="00742C75">
        <w:rPr>
          <w:rFonts w:eastAsia="宋体" w:cs="宋体"/>
          <w:lang w:eastAsia="zh-CN"/>
        </w:rPr>
        <w:t>。</w:t>
      </w:r>
    </w:p>
    <w:p w14:paraId="516EF8AA" w14:textId="63CED4BE" w:rsidR="00CE3E13" w:rsidRPr="00446F91" w:rsidRDefault="00CE3E13" w:rsidP="00670F08">
      <w:pPr>
        <w:pStyle w:val="a9"/>
        <w:tabs>
          <w:tab w:val="clear" w:pos="835"/>
        </w:tabs>
        <w:rPr>
          <w:lang w:eastAsia="zh-CN" w:bidi="en-US"/>
        </w:rPr>
      </w:pPr>
      <w:r w:rsidRPr="00742C75">
        <w:rPr>
          <w:rFonts w:eastAsia="宋体" w:cs="宋体"/>
          <w:vertAlign w:val="superscript"/>
          <w:lang w:eastAsia="zh-CN"/>
        </w:rPr>
        <w:t>15</w:t>
      </w:r>
      <w:r w:rsidRPr="00742C75">
        <w:rPr>
          <w:rFonts w:eastAsia="宋体" w:cs="宋体"/>
          <w:lang w:eastAsia="zh-CN"/>
        </w:rPr>
        <w:t xml:space="preserve"> </w:t>
      </w:r>
      <w:r w:rsidRPr="00742C75">
        <w:rPr>
          <w:rFonts w:eastAsia="宋体" w:cs="宋体"/>
          <w:lang w:eastAsia="zh-CN"/>
        </w:rPr>
        <w:t>国家电子损伤监测系统</w:t>
      </w:r>
      <w:r w:rsidRPr="00742C75">
        <w:rPr>
          <w:rFonts w:eastAsia="宋体" w:cs="宋体"/>
          <w:lang w:eastAsia="zh-CN"/>
        </w:rPr>
        <w:t>-</w:t>
      </w:r>
      <w:r w:rsidRPr="00742C75">
        <w:rPr>
          <w:rFonts w:eastAsia="宋体" w:cs="宋体"/>
          <w:lang w:eastAsia="zh-CN"/>
        </w:rPr>
        <w:t>药物不良事件监测是在美国消费品安全委员会国家电子损伤监测系统（</w:t>
      </w:r>
      <w:r w:rsidRPr="00742C75">
        <w:rPr>
          <w:rFonts w:eastAsia="宋体" w:cs="宋体"/>
          <w:lang w:eastAsia="zh-CN"/>
        </w:rPr>
        <w:t>NEISS</w:t>
      </w:r>
      <w:r w:rsidRPr="00742C75">
        <w:rPr>
          <w:rFonts w:eastAsia="宋体" w:cs="宋体"/>
          <w:lang w:eastAsia="zh-CN"/>
        </w:rPr>
        <w:t>）基础上的扩展，用于监测与消费产品相关的损伤。国家电子损伤监测系统</w:t>
      </w:r>
      <w:r w:rsidRPr="00742C75">
        <w:rPr>
          <w:rFonts w:eastAsia="宋体" w:cs="宋体"/>
          <w:lang w:eastAsia="zh-CN"/>
        </w:rPr>
        <w:t>-</w:t>
      </w:r>
      <w:r w:rsidRPr="00742C75">
        <w:rPr>
          <w:rFonts w:eastAsia="宋体" w:cs="宋体"/>
          <w:lang w:eastAsia="zh-CN"/>
        </w:rPr>
        <w:t>药物不良事件监测收集在美国医院急诊科治疗的所有药物不良事件的数据，无论其是否与消费品相关。国家电子损伤监测系统数据采集自美国医院急诊科的全国代表性样本；国家电子损伤监测系统</w:t>
      </w:r>
      <w:r w:rsidRPr="00742C75">
        <w:rPr>
          <w:rFonts w:eastAsia="宋体" w:cs="宋体"/>
          <w:lang w:eastAsia="zh-CN"/>
        </w:rPr>
        <w:t>-</w:t>
      </w:r>
      <w:r w:rsidRPr="00742C75">
        <w:rPr>
          <w:rFonts w:eastAsia="宋体" w:cs="宋体"/>
          <w:lang w:eastAsia="zh-CN"/>
        </w:rPr>
        <w:t>药物不良事件监测将这些急诊科的子样本用于数据采集。参见网址：</w:t>
      </w:r>
      <w:r w:rsidRPr="00742C75">
        <w:rPr>
          <w:rFonts w:eastAsia="宋体" w:cs="宋体"/>
          <w:lang w:eastAsia="zh-CN"/>
        </w:rPr>
        <w:t>https://www.cpsc.gov/Research--Statistics/NEISS-Injury-Data</w:t>
      </w:r>
      <w:r w:rsidRPr="00742C75">
        <w:rPr>
          <w:rFonts w:eastAsia="宋体" w:cs="宋体"/>
          <w:lang w:eastAsia="zh-CN"/>
        </w:rPr>
        <w:t>。</w:t>
      </w:r>
    </w:p>
    <w:p w14:paraId="29467BB5" w14:textId="10C460C2" w:rsidR="00CE3E13" w:rsidRPr="00446F91" w:rsidRDefault="00CE3E13" w:rsidP="00446F91">
      <w:pPr>
        <w:pStyle w:val="a9"/>
        <w:rPr>
          <w:lang w:eastAsia="zh-CN" w:bidi="en-US"/>
        </w:rPr>
      </w:pPr>
      <w:r w:rsidRPr="00742C75">
        <w:rPr>
          <w:rFonts w:eastAsia="宋体" w:cs="宋体"/>
          <w:vertAlign w:val="superscript"/>
        </w:rPr>
        <w:t>16</w:t>
      </w:r>
      <w:r w:rsidR="00670F08">
        <w:rPr>
          <w:rFonts w:eastAsia="宋体" w:cs="宋体"/>
        </w:rPr>
        <w:t xml:space="preserve"> </w:t>
      </w:r>
      <w:proofErr w:type="spellStart"/>
      <w:r w:rsidRPr="00742C75">
        <w:rPr>
          <w:rFonts w:eastAsia="宋体" w:cs="宋体"/>
        </w:rPr>
        <w:t>Lovegrove</w:t>
      </w:r>
      <w:proofErr w:type="spellEnd"/>
      <w:r w:rsidRPr="00742C75">
        <w:rPr>
          <w:rFonts w:eastAsia="宋体" w:cs="宋体"/>
        </w:rPr>
        <w:t xml:space="preserve"> MC, </w:t>
      </w:r>
      <w:proofErr w:type="spellStart"/>
      <w:r w:rsidRPr="00742C75">
        <w:rPr>
          <w:rFonts w:eastAsia="宋体" w:cs="宋体"/>
        </w:rPr>
        <w:t>Weidle</w:t>
      </w:r>
      <w:proofErr w:type="spellEnd"/>
      <w:r w:rsidRPr="00742C75">
        <w:rPr>
          <w:rFonts w:eastAsia="宋体" w:cs="宋体"/>
        </w:rPr>
        <w:t xml:space="preserve"> NJ, </w:t>
      </w:r>
      <w:proofErr w:type="spellStart"/>
      <w:r w:rsidRPr="00742C75">
        <w:rPr>
          <w:rFonts w:eastAsia="宋体" w:cs="宋体"/>
        </w:rPr>
        <w:t>Budnitz</w:t>
      </w:r>
      <w:proofErr w:type="spellEnd"/>
      <w:r w:rsidRPr="00742C75">
        <w:rPr>
          <w:rFonts w:eastAsia="宋体" w:cs="宋体"/>
        </w:rPr>
        <w:t xml:space="preserve"> DS</w:t>
      </w:r>
      <w:r w:rsidRPr="00742C75">
        <w:rPr>
          <w:rFonts w:eastAsia="宋体" w:cs="宋体"/>
        </w:rPr>
        <w:t>。</w:t>
      </w:r>
      <w:r w:rsidRPr="00742C75">
        <w:rPr>
          <w:rFonts w:eastAsia="宋体" w:cs="宋体"/>
          <w:lang w:eastAsia="zh-CN"/>
        </w:rPr>
        <w:t>2004-2013</w:t>
      </w:r>
      <w:r w:rsidRPr="00742C75">
        <w:rPr>
          <w:rFonts w:eastAsia="宋体" w:cs="宋体"/>
          <w:lang w:eastAsia="zh-CN"/>
        </w:rPr>
        <w:t>年无监督儿科药物暴露的急诊就诊趋势。儿科学</w:t>
      </w:r>
      <w:r w:rsidRPr="00742C75">
        <w:rPr>
          <w:rFonts w:eastAsia="宋体" w:cs="宋体"/>
          <w:lang w:eastAsia="zh-CN"/>
        </w:rPr>
        <w:t>2015</w:t>
      </w:r>
      <w:r w:rsidRPr="00742C75">
        <w:rPr>
          <w:rFonts w:eastAsia="宋体" w:cs="宋体"/>
          <w:lang w:eastAsia="zh-CN"/>
        </w:rPr>
        <w:t>年</w:t>
      </w:r>
      <w:r w:rsidRPr="00742C75">
        <w:rPr>
          <w:rFonts w:eastAsia="宋体" w:cs="宋体"/>
          <w:lang w:eastAsia="zh-CN"/>
        </w:rPr>
        <w:t>10</w:t>
      </w:r>
      <w:r w:rsidRPr="00742C75">
        <w:rPr>
          <w:rFonts w:eastAsia="宋体" w:cs="宋体"/>
          <w:lang w:eastAsia="zh-CN"/>
        </w:rPr>
        <w:t>月；</w:t>
      </w:r>
      <w:r w:rsidRPr="00742C75">
        <w:rPr>
          <w:rFonts w:eastAsia="宋体" w:cs="宋体"/>
          <w:lang w:eastAsia="zh-CN"/>
        </w:rPr>
        <w:t>136(4): e821-829</w:t>
      </w:r>
      <w:r w:rsidRPr="00742C75">
        <w:rPr>
          <w:rFonts w:eastAsia="宋体" w:cs="宋体"/>
          <w:lang w:eastAsia="zh-CN"/>
        </w:rPr>
        <w:t>（</w:t>
      </w:r>
      <w:r w:rsidRPr="00742C75">
        <w:rPr>
          <w:rFonts w:eastAsia="宋体" w:cs="宋体"/>
          <w:lang w:eastAsia="zh-CN"/>
        </w:rPr>
        <w:t>2010</w:t>
      </w:r>
      <w:r w:rsidRPr="00742C75">
        <w:rPr>
          <w:rFonts w:eastAsia="宋体" w:cs="宋体"/>
          <w:lang w:eastAsia="zh-CN"/>
        </w:rPr>
        <w:t>年至</w:t>
      </w:r>
      <w:r w:rsidRPr="00742C75">
        <w:rPr>
          <w:rFonts w:eastAsia="宋体" w:cs="宋体"/>
          <w:lang w:eastAsia="zh-CN"/>
        </w:rPr>
        <w:t>2013</w:t>
      </w:r>
      <w:r w:rsidRPr="00742C75">
        <w:rPr>
          <w:rFonts w:eastAsia="宋体" w:cs="宋体"/>
          <w:lang w:eastAsia="zh-CN"/>
        </w:rPr>
        <w:t>年之间涉及口服</w:t>
      </w:r>
      <w:r w:rsidR="00EB5F76">
        <w:rPr>
          <w:rFonts w:eastAsia="宋体" w:cs="宋体"/>
          <w:lang w:eastAsia="zh-CN"/>
        </w:rPr>
        <w:t>药物</w:t>
      </w:r>
      <w:r w:rsidRPr="00742C75">
        <w:rPr>
          <w:rFonts w:eastAsia="宋体" w:cs="宋体"/>
          <w:lang w:eastAsia="zh-CN"/>
        </w:rPr>
        <w:t>无监督暴露的</w:t>
      </w:r>
      <w:r w:rsidRPr="00742C75">
        <w:rPr>
          <w:rFonts w:eastAsia="宋体" w:cs="宋体"/>
          <w:lang w:eastAsia="zh-CN"/>
        </w:rPr>
        <w:t>6</w:t>
      </w:r>
      <w:r w:rsidRPr="00742C75">
        <w:rPr>
          <w:rFonts w:eastAsia="宋体" w:cs="宋体"/>
          <w:lang w:eastAsia="zh-CN"/>
        </w:rPr>
        <w:t>岁以下儿童急诊就诊量年度国家估计值）。</w:t>
      </w:r>
    </w:p>
    <w:p w14:paraId="1004A274" w14:textId="704F82F5" w:rsidR="00CE3E13" w:rsidRPr="00CE3E13" w:rsidRDefault="00CE3E13" w:rsidP="00670F08">
      <w:pPr>
        <w:pStyle w:val="a9"/>
        <w:tabs>
          <w:tab w:val="clear" w:pos="835"/>
        </w:tabs>
        <w:rPr>
          <w:sz w:val="24"/>
          <w:szCs w:val="24"/>
          <w:lang w:eastAsia="zh-CN" w:bidi="en-US"/>
        </w:rPr>
      </w:pPr>
      <w:r w:rsidRPr="00742C75">
        <w:rPr>
          <w:rFonts w:eastAsia="宋体" w:cs="宋体"/>
          <w:vertAlign w:val="superscript"/>
          <w:lang w:eastAsia="zh-CN"/>
        </w:rPr>
        <w:t>17</w:t>
      </w:r>
      <w:r w:rsidRPr="00742C75">
        <w:rPr>
          <w:rFonts w:eastAsia="宋体" w:cs="宋体"/>
          <w:lang w:eastAsia="zh-CN"/>
        </w:rPr>
        <w:t xml:space="preserve"> </w:t>
      </w:r>
      <w:r w:rsidRPr="00742C75">
        <w:rPr>
          <w:rFonts w:eastAsia="宋体" w:cs="宋体"/>
          <w:lang w:eastAsia="zh-CN"/>
        </w:rPr>
        <w:t>需要牢记的是，安全可靠的产品存储是一种补充的安全措施。当药物储存在儿童可触及和看到的地方时，儿童在某些情况下能够接触和破解防儿童开启包装或限制性给药系统，从而降低这些包装措施的有效性。因此，</w:t>
      </w:r>
      <w:r w:rsidRPr="00742C75">
        <w:rPr>
          <w:rFonts w:eastAsia="宋体" w:cs="宋体"/>
          <w:lang w:eastAsia="zh-CN"/>
        </w:rPr>
        <w:t>FDA</w:t>
      </w:r>
      <w:r w:rsidRPr="00742C75">
        <w:rPr>
          <w:rFonts w:eastAsia="宋体" w:cs="宋体"/>
          <w:lang w:eastAsia="zh-CN"/>
        </w:rPr>
        <w:t>建议，所有</w:t>
      </w:r>
      <w:r w:rsidR="00EB5F76">
        <w:rPr>
          <w:rFonts w:eastAsia="宋体" w:cs="宋体"/>
          <w:lang w:eastAsia="zh-CN"/>
        </w:rPr>
        <w:t>药物</w:t>
      </w:r>
      <w:r w:rsidRPr="00742C75">
        <w:rPr>
          <w:rFonts w:eastAsia="宋体" w:cs="宋体"/>
          <w:lang w:eastAsia="zh-CN"/>
        </w:rPr>
        <w:t>，无论包装类型如何，均应在儿童无法接触和看到的条件下安全贮存，以促进整体公共卫生水平，解决意外摄入</w:t>
      </w:r>
      <w:r w:rsidR="00EB5F76">
        <w:rPr>
          <w:rFonts w:eastAsia="宋体" w:cs="宋体"/>
          <w:lang w:eastAsia="zh-CN"/>
        </w:rPr>
        <w:t>药物</w:t>
      </w:r>
      <w:r w:rsidRPr="00742C75">
        <w:rPr>
          <w:rFonts w:eastAsia="宋体" w:cs="宋体"/>
          <w:lang w:eastAsia="zh-CN"/>
        </w:rPr>
        <w:t>的问题。</w:t>
      </w:r>
    </w:p>
    <w:p w14:paraId="2CFB8B3D" w14:textId="77777777" w:rsidR="009E1A2C" w:rsidRDefault="009E1A2C" w:rsidP="00446F91">
      <w:pPr>
        <w:adjustRightInd w:val="0"/>
        <w:snapToGrid w:val="0"/>
        <w:spacing w:beforeLines="50" w:before="120" w:line="300" w:lineRule="auto"/>
        <w:ind w:leftChars="200" w:left="920" w:hangingChars="200" w:hanging="480"/>
        <w:jc w:val="both"/>
        <w:rPr>
          <w:rFonts w:ascii="Times New Roman" w:eastAsia="宋体" w:hAnsi="Times New Roman" w:cs="宋体"/>
          <w:sz w:val="24"/>
          <w:lang w:eastAsia="zh-CN"/>
        </w:rPr>
      </w:pPr>
    </w:p>
    <w:p w14:paraId="48CF392F" w14:textId="355FF0AF" w:rsidR="00CE3E13" w:rsidRPr="00CE3E13" w:rsidRDefault="00446F91" w:rsidP="00446F91">
      <w:p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lastRenderedPageBreak/>
        <w:t xml:space="preserve">1. </w:t>
      </w:r>
      <w:r w:rsidRPr="00742C75">
        <w:rPr>
          <w:rFonts w:ascii="Times New Roman" w:eastAsia="宋体" w:hAnsi="Times New Roman" w:cs="宋体"/>
          <w:sz w:val="24"/>
          <w:lang w:eastAsia="zh-CN"/>
        </w:rPr>
        <w:tab/>
      </w:r>
      <w:r w:rsidRPr="00742C75">
        <w:rPr>
          <w:rFonts w:ascii="Times New Roman" w:eastAsia="宋体" w:hAnsi="Times New Roman" w:cs="宋体"/>
          <w:b/>
          <w:i/>
          <w:sz w:val="24"/>
          <w:lang w:eastAsia="zh-CN"/>
        </w:rPr>
        <w:t>封闭式限流器</w:t>
      </w:r>
      <w:r w:rsidRPr="00742C75">
        <w:rPr>
          <w:rFonts w:ascii="Times New Roman" w:eastAsia="宋体" w:hAnsi="Times New Roman" w:cs="宋体"/>
          <w:sz w:val="24"/>
          <w:lang w:eastAsia="zh-CN"/>
        </w:rPr>
        <w:t>。通常，封闭式限流器一次</w:t>
      </w:r>
      <w:r w:rsidR="00472D77">
        <w:rPr>
          <w:rFonts w:ascii="Times New Roman" w:eastAsia="宋体" w:hAnsi="Times New Roman" w:cs="宋体" w:hint="eastAsia"/>
          <w:sz w:val="24"/>
          <w:lang w:eastAsia="zh-CN"/>
        </w:rPr>
        <w:t>只能</w:t>
      </w:r>
      <w:r w:rsidRPr="00742C75">
        <w:rPr>
          <w:rFonts w:ascii="Times New Roman" w:eastAsia="宋体" w:hAnsi="Times New Roman" w:cs="宋体"/>
          <w:sz w:val="24"/>
          <w:lang w:eastAsia="zh-CN"/>
        </w:rPr>
        <w:t>获取单个单元体积。封闭式限流器可以设计带有一个自关闭阀，当插入剂量分配装置时，该自关闭阀打开，并且在剂量分配装置移除后重新密封。封闭式限流器的设计使得阀孔与相应的剂量分配装置可以匹配，并且在一些情况下，该设计可以是具体到包括需要指定剂量分配装置的锁钥机制。</w:t>
      </w:r>
    </w:p>
    <w:p w14:paraId="50D195F1" w14:textId="77777777" w:rsidR="00CE3E13" w:rsidRPr="00CE3E13" w:rsidRDefault="00CE3E13" w:rsidP="00446F91">
      <w:p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 xml:space="preserve">2. </w:t>
      </w:r>
      <w:r w:rsidRPr="00742C75">
        <w:rPr>
          <w:rFonts w:ascii="Times New Roman" w:eastAsia="宋体" w:hAnsi="Times New Roman" w:cs="宋体"/>
          <w:sz w:val="24"/>
          <w:lang w:eastAsia="zh-CN"/>
        </w:rPr>
        <w:tab/>
      </w:r>
      <w:r w:rsidRPr="00742C75">
        <w:rPr>
          <w:rFonts w:ascii="Times New Roman" w:eastAsia="宋体" w:hAnsi="Times New Roman" w:cs="宋体"/>
          <w:b/>
          <w:i/>
          <w:sz w:val="24"/>
          <w:lang w:eastAsia="zh-CN"/>
        </w:rPr>
        <w:t>开放式限流器。</w:t>
      </w:r>
      <w:r w:rsidRPr="00742C75">
        <w:rPr>
          <w:rFonts w:ascii="Times New Roman" w:eastAsia="宋体" w:hAnsi="Times New Roman" w:cs="宋体"/>
          <w:sz w:val="24"/>
          <w:lang w:eastAsia="zh-CN"/>
        </w:rPr>
        <w:t>开放式限流器允许连续的受控体积。使用口腔注射器时，在口腔注射器移除之后，开放式限流器不会重新密封，并且当将药瓶倒置时，其允许液体从容器缓慢流出。</w:t>
      </w:r>
    </w:p>
    <w:p w14:paraId="13721E89" w14:textId="3CA130D5"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限流器的有效性已在儿科人群中得到证实。</w:t>
      </w:r>
      <w:r w:rsidRPr="00742C75">
        <w:rPr>
          <w:rFonts w:ascii="Times New Roman" w:eastAsia="宋体" w:hAnsi="Times New Roman" w:cs="宋体"/>
          <w:sz w:val="24"/>
          <w:vertAlign w:val="superscript"/>
          <w:lang w:eastAsia="zh-CN"/>
        </w:rPr>
        <w:t>18,19</w:t>
      </w:r>
      <w:r w:rsidR="004D35A7">
        <w:rPr>
          <w:rFonts w:ascii="Times New Roman" w:eastAsia="宋体" w:hAnsi="Times New Roman" w:cs="宋体" w:hint="eastAsia"/>
          <w:sz w:val="24"/>
          <w:vertAlign w:val="superscript"/>
          <w:lang w:eastAsia="zh-CN"/>
        </w:rPr>
        <w:t xml:space="preserve"> </w:t>
      </w:r>
      <w:r w:rsidRPr="00742C75">
        <w:rPr>
          <w:rFonts w:ascii="Times New Roman" w:eastAsia="宋体" w:hAnsi="Times New Roman" w:cs="宋体"/>
          <w:sz w:val="24"/>
          <w:lang w:eastAsia="zh-CN"/>
        </w:rPr>
        <w:t>3</w:t>
      </w:r>
      <w:r w:rsidRPr="00742C75">
        <w:rPr>
          <w:rFonts w:ascii="Times New Roman" w:eastAsia="宋体" w:hAnsi="Times New Roman" w:cs="宋体"/>
          <w:sz w:val="24"/>
          <w:lang w:eastAsia="zh-CN"/>
        </w:rPr>
        <w:t>至</w:t>
      </w:r>
      <w:r w:rsidRPr="00742C75">
        <w:rPr>
          <w:rFonts w:ascii="Times New Roman" w:eastAsia="宋体" w:hAnsi="Times New Roman" w:cs="宋体"/>
          <w:sz w:val="24"/>
          <w:lang w:eastAsia="zh-CN"/>
        </w:rPr>
        <w:t>4</w:t>
      </w:r>
      <w:r w:rsidRPr="00742C75">
        <w:rPr>
          <w:rFonts w:ascii="Times New Roman" w:eastAsia="宋体" w:hAnsi="Times New Roman" w:cs="宋体"/>
          <w:sz w:val="24"/>
          <w:lang w:eastAsia="zh-CN"/>
        </w:rPr>
        <w:t>岁的儿童通常能够在</w:t>
      </w:r>
      <w:r w:rsidRPr="00742C75">
        <w:rPr>
          <w:rFonts w:ascii="Times New Roman" w:eastAsia="宋体" w:hAnsi="Times New Roman" w:cs="宋体"/>
          <w:sz w:val="24"/>
          <w:lang w:eastAsia="zh-CN"/>
        </w:rPr>
        <w:t>2</w:t>
      </w:r>
      <w:r w:rsidRPr="00742C75">
        <w:rPr>
          <w:rFonts w:ascii="Times New Roman" w:eastAsia="宋体" w:hAnsi="Times New Roman" w:cs="宋体"/>
          <w:sz w:val="24"/>
          <w:lang w:eastAsia="zh-CN"/>
        </w:rPr>
        <w:t>分钟内清空无限流器的药瓶中的全部内容物；然而，当药瓶安装限流器时，同龄儿童则受到阻止，无法在</w:t>
      </w:r>
      <w:r w:rsidRPr="00742C75">
        <w:rPr>
          <w:rFonts w:ascii="Times New Roman" w:eastAsia="宋体" w:hAnsi="Times New Roman" w:cs="宋体"/>
          <w:sz w:val="24"/>
          <w:lang w:eastAsia="zh-CN"/>
        </w:rPr>
        <w:t>6</w:t>
      </w:r>
      <w:r w:rsidRPr="00742C75">
        <w:rPr>
          <w:rFonts w:ascii="Times New Roman" w:eastAsia="宋体" w:hAnsi="Times New Roman" w:cs="宋体"/>
          <w:sz w:val="24"/>
          <w:lang w:eastAsia="zh-CN"/>
        </w:rPr>
        <w:t>分钟内完全清空瓶中的内容物。</w:t>
      </w:r>
      <w:r w:rsidRPr="00742C75">
        <w:rPr>
          <w:rFonts w:ascii="Times New Roman" w:eastAsia="宋体" w:hAnsi="Times New Roman" w:cs="宋体"/>
          <w:sz w:val="24"/>
          <w:vertAlign w:val="superscript"/>
          <w:lang w:eastAsia="zh-CN"/>
        </w:rPr>
        <w:t>20</w:t>
      </w:r>
      <w:r w:rsidRPr="00742C75">
        <w:rPr>
          <w:rFonts w:ascii="Times New Roman" w:eastAsia="宋体" w:hAnsi="Times New Roman" w:cs="宋体"/>
          <w:sz w:val="24"/>
          <w:lang w:eastAsia="zh-CN"/>
        </w:rPr>
        <w:t>在意外摄入液体对乙酰氨基酚的各个病例中，如果涉及装有限流器的药瓶，平均个体摄入剂量较低。</w:t>
      </w:r>
      <w:r w:rsidRPr="00742C75">
        <w:rPr>
          <w:rFonts w:ascii="Times New Roman" w:eastAsia="宋体" w:hAnsi="Times New Roman" w:cs="宋体"/>
          <w:sz w:val="24"/>
          <w:vertAlign w:val="superscript"/>
          <w:lang w:eastAsia="zh-CN"/>
        </w:rPr>
        <w:t>21</w:t>
      </w:r>
      <w:r w:rsidRPr="00742C75">
        <w:rPr>
          <w:rFonts w:ascii="Times New Roman" w:eastAsia="宋体" w:hAnsi="Times New Roman" w:cs="宋体"/>
          <w:sz w:val="24"/>
          <w:lang w:eastAsia="zh-CN"/>
        </w:rPr>
        <w:t>通常，限流器的采用减少了儿童能够从液体</w:t>
      </w:r>
      <w:r w:rsidR="00EB5F76">
        <w:rPr>
          <w:rFonts w:ascii="Times New Roman" w:eastAsia="宋体" w:hAnsi="Times New Roman" w:cs="宋体"/>
          <w:sz w:val="24"/>
          <w:lang w:eastAsia="zh-CN"/>
        </w:rPr>
        <w:t>药</w:t>
      </w:r>
      <w:r w:rsidRPr="00742C75">
        <w:rPr>
          <w:rFonts w:ascii="Times New Roman" w:eastAsia="宋体" w:hAnsi="Times New Roman" w:cs="宋体"/>
          <w:sz w:val="24"/>
          <w:lang w:eastAsia="zh-CN"/>
        </w:rPr>
        <w:t>瓶中抽取的液体总体积，这可以降低由于无意摄入而造成伤害的风险。</w:t>
      </w:r>
    </w:p>
    <w:p w14:paraId="1C0A3B66" w14:textId="77777777" w:rsidR="00446F91" w:rsidRDefault="00446F91"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r w:rsidRPr="00742C75">
        <w:rPr>
          <w:rFonts w:ascii="Times New Roman" w:eastAsia="宋体" w:hAnsi="Times New Roman" w:cs="宋体"/>
          <w:sz w:val="24"/>
        </w:rPr>
        <w:t>_____________________</w:t>
      </w:r>
    </w:p>
    <w:p w14:paraId="4F95726C" w14:textId="0EDB2B41" w:rsidR="00CE3E13" w:rsidRPr="00CE3E13" w:rsidRDefault="00CE3E13" w:rsidP="00670F08">
      <w:pPr>
        <w:pStyle w:val="a9"/>
        <w:tabs>
          <w:tab w:val="clear" w:pos="835"/>
        </w:tabs>
        <w:rPr>
          <w:lang w:eastAsia="zh-CN" w:bidi="en-US"/>
        </w:rPr>
      </w:pPr>
      <w:r w:rsidRPr="00742C75">
        <w:rPr>
          <w:rFonts w:eastAsia="宋体" w:cs="宋体"/>
          <w:vertAlign w:val="superscript"/>
        </w:rPr>
        <w:t>18</w:t>
      </w:r>
      <w:r w:rsidRPr="00742C75">
        <w:rPr>
          <w:rFonts w:eastAsia="宋体" w:cs="宋体"/>
        </w:rPr>
        <w:t xml:space="preserve"> Lovegrove MC, Hon S, Geller RJ, Rose KO, Hampton LM, Bradley J, </w:t>
      </w:r>
      <w:proofErr w:type="spellStart"/>
      <w:r w:rsidRPr="00742C75">
        <w:rPr>
          <w:rFonts w:eastAsia="宋体" w:cs="宋体"/>
        </w:rPr>
        <w:t>Budnitz</w:t>
      </w:r>
      <w:proofErr w:type="spellEnd"/>
      <w:r w:rsidRPr="00742C75">
        <w:rPr>
          <w:rFonts w:eastAsia="宋体" w:cs="宋体"/>
        </w:rPr>
        <w:t xml:space="preserve"> DS</w:t>
      </w:r>
      <w:r w:rsidRPr="00742C75">
        <w:rPr>
          <w:rFonts w:eastAsia="宋体" w:cs="宋体"/>
        </w:rPr>
        <w:t>。</w:t>
      </w:r>
      <w:r w:rsidRPr="00742C75">
        <w:rPr>
          <w:rFonts w:eastAsia="宋体" w:cs="宋体"/>
          <w:lang w:eastAsia="zh-CN"/>
        </w:rPr>
        <w:t>限流</w:t>
      </w:r>
      <w:proofErr w:type="gramStart"/>
      <w:r w:rsidRPr="00742C75">
        <w:rPr>
          <w:rFonts w:eastAsia="宋体" w:cs="宋体"/>
          <w:lang w:eastAsia="zh-CN"/>
        </w:rPr>
        <w:t>器限制</w:t>
      </w:r>
      <w:proofErr w:type="gramEnd"/>
      <w:r w:rsidRPr="00742C75">
        <w:rPr>
          <w:rFonts w:eastAsia="宋体" w:cs="宋体"/>
          <w:lang w:eastAsia="zh-CN"/>
        </w:rPr>
        <w:t>幼儿使用液体</w:t>
      </w:r>
      <w:r w:rsidR="00EB5F76">
        <w:rPr>
          <w:rFonts w:eastAsia="宋体" w:cs="宋体"/>
          <w:lang w:eastAsia="zh-CN"/>
        </w:rPr>
        <w:t>药物</w:t>
      </w:r>
      <w:r w:rsidRPr="00742C75">
        <w:rPr>
          <w:rFonts w:eastAsia="宋体" w:cs="宋体"/>
          <w:lang w:eastAsia="zh-CN"/>
        </w:rPr>
        <w:t>的有效性。儿科学杂志</w:t>
      </w:r>
      <w:r w:rsidRPr="00742C75">
        <w:rPr>
          <w:rFonts w:eastAsia="宋体" w:cs="宋体"/>
          <w:lang w:eastAsia="zh-CN"/>
        </w:rPr>
        <w:t>2013</w:t>
      </w:r>
      <w:r w:rsidRPr="00742C75">
        <w:rPr>
          <w:rFonts w:eastAsia="宋体" w:cs="宋体"/>
          <w:lang w:eastAsia="zh-CN"/>
        </w:rPr>
        <w:t>年</w:t>
      </w:r>
      <w:r w:rsidRPr="00742C75">
        <w:rPr>
          <w:rFonts w:eastAsia="宋体" w:cs="宋体"/>
          <w:lang w:eastAsia="zh-CN"/>
        </w:rPr>
        <w:t>10</w:t>
      </w:r>
      <w:r w:rsidRPr="00742C75">
        <w:rPr>
          <w:rFonts w:eastAsia="宋体" w:cs="宋体"/>
          <w:lang w:eastAsia="zh-CN"/>
        </w:rPr>
        <w:t>月；</w:t>
      </w:r>
      <w:r w:rsidRPr="00742C75">
        <w:rPr>
          <w:rFonts w:eastAsia="宋体" w:cs="宋体"/>
          <w:lang w:eastAsia="zh-CN"/>
        </w:rPr>
        <w:t>163(4): 1134-1139</w:t>
      </w:r>
      <w:r w:rsidRPr="00742C75">
        <w:rPr>
          <w:rFonts w:eastAsia="宋体" w:cs="宋体"/>
          <w:lang w:eastAsia="zh-CN"/>
        </w:rPr>
        <w:t>。</w:t>
      </w:r>
    </w:p>
    <w:p w14:paraId="3353862E" w14:textId="5E2C605A" w:rsidR="00CE3E13" w:rsidRPr="00CE3E13" w:rsidRDefault="00CE3E13" w:rsidP="00670F08">
      <w:pPr>
        <w:pStyle w:val="a9"/>
        <w:tabs>
          <w:tab w:val="clear" w:pos="835"/>
        </w:tabs>
        <w:rPr>
          <w:lang w:eastAsia="zh-CN" w:bidi="en-US"/>
        </w:rPr>
      </w:pPr>
      <w:r w:rsidRPr="00742C75">
        <w:rPr>
          <w:rFonts w:eastAsia="宋体" w:cs="宋体"/>
          <w:vertAlign w:val="superscript"/>
        </w:rPr>
        <w:t>19</w:t>
      </w:r>
      <w:r w:rsidRPr="00742C75">
        <w:rPr>
          <w:rFonts w:eastAsia="宋体" w:cs="宋体"/>
        </w:rPr>
        <w:t xml:space="preserve"> Geller RJ, Hon SL, Reynolds KM, Burnham RI, Badillo R, Ketcham S, Muresan N, Peters ME, </w:t>
      </w:r>
      <w:proofErr w:type="spellStart"/>
      <w:r w:rsidRPr="00742C75">
        <w:rPr>
          <w:rFonts w:eastAsia="宋体" w:cs="宋体"/>
        </w:rPr>
        <w:t>Stokkeland</w:t>
      </w:r>
      <w:proofErr w:type="spellEnd"/>
      <w:r w:rsidRPr="00742C75">
        <w:rPr>
          <w:rFonts w:eastAsia="宋体" w:cs="宋体"/>
        </w:rPr>
        <w:t xml:space="preserve"> KL, Green JL</w:t>
      </w:r>
      <w:r w:rsidRPr="00742C75">
        <w:rPr>
          <w:rFonts w:eastAsia="宋体" w:cs="宋体"/>
        </w:rPr>
        <w:t>。</w:t>
      </w:r>
      <w:r w:rsidRPr="00742C75">
        <w:rPr>
          <w:rFonts w:eastAsia="宋体" w:cs="宋体"/>
          <w:lang w:eastAsia="zh-CN"/>
        </w:rPr>
        <w:t>新防儿童开启密封件是否能减少意外摄入后的损伤？北美临床毒理学大会（</w:t>
      </w:r>
      <w:r w:rsidRPr="00742C75">
        <w:rPr>
          <w:rFonts w:eastAsia="宋体" w:cs="宋体"/>
          <w:lang w:eastAsia="zh-CN"/>
        </w:rPr>
        <w:t>NACCT</w:t>
      </w:r>
      <w:r w:rsidRPr="00742C75">
        <w:rPr>
          <w:rFonts w:eastAsia="宋体" w:cs="宋体"/>
          <w:lang w:eastAsia="zh-CN"/>
        </w:rPr>
        <w:t>）</w:t>
      </w:r>
      <w:r w:rsidRPr="00742C75">
        <w:rPr>
          <w:rFonts w:eastAsia="宋体" w:cs="宋体"/>
          <w:lang w:eastAsia="zh-CN"/>
        </w:rPr>
        <w:t>2015</w:t>
      </w:r>
      <w:r w:rsidRPr="00742C75">
        <w:rPr>
          <w:rFonts w:eastAsia="宋体" w:cs="宋体"/>
          <w:lang w:eastAsia="zh-CN"/>
        </w:rPr>
        <w:t>年年会，临床毒理学</w:t>
      </w:r>
      <w:r w:rsidRPr="00742C75">
        <w:rPr>
          <w:rFonts w:eastAsia="宋体" w:cs="宋体"/>
          <w:lang w:eastAsia="zh-CN"/>
        </w:rPr>
        <w:t>2015: 53:639-777</w:t>
      </w:r>
      <w:r w:rsidRPr="00742C75">
        <w:rPr>
          <w:rFonts w:eastAsia="宋体" w:cs="宋体"/>
          <w:lang w:eastAsia="zh-CN"/>
        </w:rPr>
        <w:t>。</w:t>
      </w:r>
    </w:p>
    <w:p w14:paraId="264F7099" w14:textId="09172838"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20</w:t>
      </w:r>
      <w:r w:rsidRPr="00742C75">
        <w:rPr>
          <w:rFonts w:eastAsia="宋体" w:cs="宋体"/>
          <w:lang w:eastAsia="zh-CN"/>
        </w:rPr>
        <w:t xml:space="preserve"> </w:t>
      </w:r>
      <w:proofErr w:type="spellStart"/>
      <w:r w:rsidRPr="00742C75">
        <w:rPr>
          <w:rFonts w:eastAsia="宋体" w:cs="宋体"/>
          <w:lang w:eastAsia="zh-CN"/>
        </w:rPr>
        <w:t>Lovegrove</w:t>
      </w:r>
      <w:proofErr w:type="spellEnd"/>
      <w:r w:rsidRPr="00742C75">
        <w:rPr>
          <w:rFonts w:eastAsia="宋体" w:cs="宋体"/>
          <w:lang w:eastAsia="zh-CN"/>
        </w:rPr>
        <w:t>等人在一项区组随机试验中，使用</w:t>
      </w:r>
      <w:r w:rsidRPr="00742C75">
        <w:rPr>
          <w:rFonts w:eastAsia="宋体" w:cs="宋体"/>
          <w:lang w:eastAsia="zh-CN"/>
        </w:rPr>
        <w:t>5</w:t>
      </w:r>
      <w:r w:rsidRPr="00742C75">
        <w:rPr>
          <w:rFonts w:eastAsia="宋体" w:cs="宋体"/>
          <w:lang w:eastAsia="zh-CN"/>
        </w:rPr>
        <w:t>个幼儿园的便利样本，在</w:t>
      </w:r>
      <w:r w:rsidRPr="00742C75">
        <w:rPr>
          <w:rFonts w:eastAsia="宋体" w:cs="宋体"/>
          <w:lang w:eastAsia="zh-CN"/>
        </w:rPr>
        <w:t>110</w:t>
      </w:r>
      <w:r w:rsidRPr="00742C75">
        <w:rPr>
          <w:rFonts w:eastAsia="宋体" w:cs="宋体"/>
          <w:lang w:eastAsia="zh-CN"/>
        </w:rPr>
        <w:t>名</w:t>
      </w:r>
      <w:r w:rsidRPr="00742C75">
        <w:rPr>
          <w:rFonts w:eastAsia="宋体" w:cs="宋体"/>
          <w:lang w:eastAsia="zh-CN"/>
        </w:rPr>
        <w:t>36</w:t>
      </w:r>
      <w:r w:rsidRPr="00742C75">
        <w:rPr>
          <w:rFonts w:eastAsia="宋体" w:cs="宋体"/>
          <w:lang w:eastAsia="zh-CN"/>
        </w:rPr>
        <w:t>至</w:t>
      </w:r>
      <w:r w:rsidRPr="00742C75">
        <w:rPr>
          <w:rFonts w:eastAsia="宋体" w:cs="宋体"/>
          <w:lang w:eastAsia="zh-CN"/>
        </w:rPr>
        <w:t>59</w:t>
      </w:r>
      <w:r w:rsidRPr="00742C75">
        <w:rPr>
          <w:rFonts w:eastAsia="宋体" w:cs="宋体"/>
          <w:lang w:eastAsia="zh-CN"/>
        </w:rPr>
        <w:t>个月大儿童中评估了限流器的有效性。</w:t>
      </w:r>
      <w:r w:rsidR="007A31E8">
        <w:rPr>
          <w:rFonts w:eastAsia="宋体" w:cs="宋体" w:hint="eastAsia"/>
          <w:lang w:eastAsia="zh-CN"/>
        </w:rPr>
        <w:t>作者</w:t>
      </w:r>
      <w:r w:rsidRPr="00742C75">
        <w:rPr>
          <w:rFonts w:eastAsia="宋体" w:cs="宋体"/>
          <w:lang w:eastAsia="zh-CN"/>
        </w:rPr>
        <w:t>指出，与没有限流器的开盖或部分打开的药瓶相比，开盖（打开）的药瓶上的限流</w:t>
      </w:r>
      <w:proofErr w:type="gramStart"/>
      <w:r w:rsidRPr="00742C75">
        <w:rPr>
          <w:rFonts w:eastAsia="宋体" w:cs="宋体"/>
          <w:lang w:eastAsia="zh-CN"/>
        </w:rPr>
        <w:t>器降低</w:t>
      </w:r>
      <w:proofErr w:type="gramEnd"/>
      <w:r w:rsidRPr="00742C75">
        <w:rPr>
          <w:rFonts w:eastAsia="宋体" w:cs="宋体"/>
          <w:lang w:eastAsia="zh-CN"/>
        </w:rPr>
        <w:t>了幼儿获取瓶中药液的能力。在这项随机研究中，</w:t>
      </w:r>
      <w:r w:rsidRPr="00742C75">
        <w:rPr>
          <w:rFonts w:eastAsia="宋体" w:cs="宋体"/>
          <w:lang w:eastAsia="zh-CN"/>
        </w:rPr>
        <w:t>3</w:t>
      </w:r>
      <w:r w:rsidRPr="00742C75">
        <w:rPr>
          <w:rFonts w:eastAsia="宋体" w:cs="宋体"/>
          <w:lang w:eastAsia="zh-CN"/>
        </w:rPr>
        <w:t>岁和</w:t>
      </w:r>
      <w:r w:rsidRPr="00742C75">
        <w:rPr>
          <w:rFonts w:eastAsia="宋体" w:cs="宋体"/>
          <w:lang w:eastAsia="zh-CN"/>
        </w:rPr>
        <w:t>4</w:t>
      </w:r>
      <w:r w:rsidRPr="00742C75">
        <w:rPr>
          <w:rFonts w:eastAsia="宋体" w:cs="宋体"/>
          <w:lang w:eastAsia="zh-CN"/>
        </w:rPr>
        <w:t>岁儿童能够在</w:t>
      </w:r>
      <w:r w:rsidRPr="00742C75">
        <w:rPr>
          <w:rFonts w:eastAsia="宋体" w:cs="宋体"/>
          <w:lang w:eastAsia="zh-CN"/>
        </w:rPr>
        <w:t>2</w:t>
      </w:r>
      <w:r w:rsidRPr="00742C75">
        <w:rPr>
          <w:rFonts w:eastAsia="宋体" w:cs="宋体"/>
          <w:lang w:eastAsia="zh-CN"/>
        </w:rPr>
        <w:t>分钟内取出几乎所有无限流器的药瓶的全部内容物，这些限流器要么为打开状态（</w:t>
      </w:r>
      <w:r w:rsidRPr="00742C75">
        <w:rPr>
          <w:rFonts w:eastAsia="宋体" w:cs="宋体"/>
          <w:lang w:eastAsia="zh-CN"/>
        </w:rPr>
        <w:t>96%</w:t>
      </w:r>
      <w:r w:rsidRPr="00742C75">
        <w:rPr>
          <w:rFonts w:eastAsia="宋体" w:cs="宋体"/>
          <w:lang w:eastAsia="zh-CN"/>
        </w:rPr>
        <w:t>；</w:t>
      </w:r>
      <w:r w:rsidRPr="00742C75">
        <w:rPr>
          <w:rFonts w:eastAsia="宋体" w:cs="宋体"/>
          <w:lang w:eastAsia="zh-CN"/>
        </w:rPr>
        <w:t>26</w:t>
      </w:r>
      <w:r w:rsidRPr="00742C75">
        <w:rPr>
          <w:rFonts w:eastAsia="宋体" w:cs="宋体"/>
          <w:lang w:eastAsia="zh-CN"/>
        </w:rPr>
        <w:t>名儿童中的</w:t>
      </w:r>
      <w:r w:rsidRPr="00742C75">
        <w:rPr>
          <w:rFonts w:eastAsia="宋体" w:cs="宋体"/>
          <w:lang w:eastAsia="zh-CN"/>
        </w:rPr>
        <w:t>25</w:t>
      </w:r>
      <w:r w:rsidRPr="00742C75">
        <w:rPr>
          <w:rFonts w:eastAsia="宋体" w:cs="宋体"/>
          <w:lang w:eastAsia="zh-CN"/>
        </w:rPr>
        <w:t>名），要么为不完全关闭状态（</w:t>
      </w:r>
      <w:r w:rsidRPr="00742C75">
        <w:rPr>
          <w:rFonts w:eastAsia="宋体" w:cs="宋体"/>
          <w:lang w:eastAsia="zh-CN"/>
        </w:rPr>
        <w:t>82%</w:t>
      </w:r>
      <w:r w:rsidRPr="00742C75">
        <w:rPr>
          <w:rFonts w:eastAsia="宋体" w:cs="宋体"/>
          <w:lang w:eastAsia="zh-CN"/>
        </w:rPr>
        <w:t>；</w:t>
      </w:r>
      <w:r w:rsidRPr="00742C75">
        <w:rPr>
          <w:rFonts w:eastAsia="宋体" w:cs="宋体"/>
          <w:lang w:eastAsia="zh-CN"/>
        </w:rPr>
        <w:t>83</w:t>
      </w:r>
      <w:r w:rsidRPr="00742C75">
        <w:rPr>
          <w:rFonts w:eastAsia="宋体" w:cs="宋体"/>
          <w:lang w:eastAsia="zh-CN"/>
        </w:rPr>
        <w:t>名儿童中的</w:t>
      </w:r>
      <w:r w:rsidRPr="00742C75">
        <w:rPr>
          <w:rFonts w:eastAsia="宋体" w:cs="宋体"/>
          <w:lang w:eastAsia="zh-CN"/>
        </w:rPr>
        <w:t>68</w:t>
      </w:r>
      <w:r w:rsidRPr="00742C75">
        <w:rPr>
          <w:rFonts w:eastAsia="宋体" w:cs="宋体"/>
          <w:lang w:eastAsia="zh-CN"/>
        </w:rPr>
        <w:t>名）。然而，没有一名儿童在不到</w:t>
      </w:r>
      <w:r w:rsidRPr="00742C75">
        <w:rPr>
          <w:rFonts w:eastAsia="宋体" w:cs="宋体"/>
          <w:lang w:eastAsia="zh-CN"/>
        </w:rPr>
        <w:t>6</w:t>
      </w:r>
      <w:r w:rsidRPr="00742C75">
        <w:rPr>
          <w:rFonts w:eastAsia="宋体" w:cs="宋体"/>
          <w:lang w:eastAsia="zh-CN"/>
        </w:rPr>
        <w:t>分钟的时间内用限流器排空了一个药瓶，只有</w:t>
      </w:r>
      <w:r w:rsidRPr="00742C75">
        <w:rPr>
          <w:rFonts w:eastAsia="宋体" w:cs="宋体"/>
          <w:lang w:eastAsia="zh-CN"/>
        </w:rPr>
        <w:t>6%</w:t>
      </w:r>
      <w:r w:rsidRPr="00742C75">
        <w:rPr>
          <w:rFonts w:eastAsia="宋体" w:cs="宋体"/>
          <w:lang w:eastAsia="zh-CN"/>
        </w:rPr>
        <w:t>（</w:t>
      </w:r>
      <w:r w:rsidRPr="00742C75">
        <w:rPr>
          <w:rFonts w:eastAsia="宋体" w:cs="宋体"/>
          <w:lang w:eastAsia="zh-CN"/>
        </w:rPr>
        <w:t>110</w:t>
      </w:r>
      <w:r w:rsidRPr="00742C75">
        <w:rPr>
          <w:rFonts w:eastAsia="宋体" w:cs="宋体"/>
          <w:lang w:eastAsia="zh-CN"/>
        </w:rPr>
        <w:t>名儿童中的</w:t>
      </w:r>
      <w:r w:rsidRPr="00742C75">
        <w:rPr>
          <w:rFonts w:eastAsia="宋体" w:cs="宋体"/>
          <w:lang w:eastAsia="zh-CN"/>
        </w:rPr>
        <w:t>7</w:t>
      </w:r>
      <w:r w:rsidRPr="00742C75">
        <w:rPr>
          <w:rFonts w:eastAsia="宋体" w:cs="宋体"/>
          <w:lang w:eastAsia="zh-CN"/>
        </w:rPr>
        <w:t>名）在完整的</w:t>
      </w:r>
      <w:r w:rsidRPr="00742C75">
        <w:rPr>
          <w:rFonts w:eastAsia="宋体" w:cs="宋体"/>
          <w:lang w:eastAsia="zh-CN"/>
        </w:rPr>
        <w:t>10</w:t>
      </w:r>
      <w:r w:rsidRPr="00742C75">
        <w:rPr>
          <w:rFonts w:eastAsia="宋体" w:cs="宋体"/>
          <w:lang w:eastAsia="zh-CN"/>
        </w:rPr>
        <w:t>分钟测试期内用限流器排空了一个药瓶。此外，研究对象中最年幼的儿童（年龄</w:t>
      </w:r>
      <w:r w:rsidRPr="00742C75">
        <w:rPr>
          <w:rFonts w:eastAsia="宋体" w:cs="宋体"/>
          <w:lang w:eastAsia="zh-CN"/>
        </w:rPr>
        <w:t>36</w:t>
      </w:r>
      <w:r w:rsidRPr="00742C75">
        <w:rPr>
          <w:rFonts w:eastAsia="宋体" w:cs="宋体"/>
          <w:lang w:eastAsia="zh-CN"/>
        </w:rPr>
        <w:t>至</w:t>
      </w:r>
      <w:r w:rsidRPr="00742C75">
        <w:rPr>
          <w:rFonts w:eastAsia="宋体" w:cs="宋体"/>
          <w:lang w:eastAsia="zh-CN"/>
        </w:rPr>
        <w:t>41</w:t>
      </w:r>
      <w:r w:rsidRPr="00742C75">
        <w:rPr>
          <w:rFonts w:eastAsia="宋体" w:cs="宋体"/>
          <w:lang w:eastAsia="zh-CN"/>
        </w:rPr>
        <w:t>个月）能够移除的液体的最大量小于</w:t>
      </w:r>
      <w:r w:rsidRPr="00742C75">
        <w:rPr>
          <w:rFonts w:eastAsia="宋体" w:cs="宋体"/>
          <w:lang w:eastAsia="zh-CN"/>
        </w:rPr>
        <w:t>5</w:t>
      </w:r>
      <w:r w:rsidRPr="00742C75">
        <w:rPr>
          <w:rFonts w:eastAsia="宋体" w:cs="宋体"/>
          <w:lang w:eastAsia="zh-CN"/>
        </w:rPr>
        <w:t>毫升。总体而言，研究结果表明，与打开或未完全关闭的对照药瓶相比，儿童从带有限流器的瓶中移除的液体总量较少。</w:t>
      </w:r>
    </w:p>
    <w:p w14:paraId="509F67E9" w14:textId="288B5ABA" w:rsidR="00CE3E13" w:rsidRPr="00CE3E13" w:rsidRDefault="00CE3E13" w:rsidP="00670F08">
      <w:pPr>
        <w:pStyle w:val="a9"/>
        <w:tabs>
          <w:tab w:val="clear" w:pos="835"/>
          <w:tab w:val="left" w:pos="426"/>
        </w:tabs>
        <w:rPr>
          <w:lang w:eastAsia="zh-CN" w:bidi="en-US"/>
        </w:rPr>
      </w:pPr>
      <w:r w:rsidRPr="00742C75">
        <w:rPr>
          <w:rFonts w:eastAsia="宋体" w:cs="宋体"/>
          <w:vertAlign w:val="superscript"/>
          <w:lang w:eastAsia="zh-CN"/>
        </w:rPr>
        <w:t>21</w:t>
      </w:r>
      <w:r w:rsidR="00670F08">
        <w:rPr>
          <w:rFonts w:eastAsia="宋体" w:cs="宋体"/>
          <w:lang w:eastAsia="zh-CN"/>
        </w:rPr>
        <w:t xml:space="preserve"> </w:t>
      </w:r>
      <w:r w:rsidRPr="00742C75">
        <w:rPr>
          <w:rFonts w:eastAsia="宋体" w:cs="宋体"/>
          <w:lang w:eastAsia="zh-CN"/>
        </w:rPr>
        <w:t>Geller</w:t>
      </w:r>
      <w:r w:rsidRPr="00742C75">
        <w:rPr>
          <w:rFonts w:eastAsia="宋体" w:cs="宋体"/>
          <w:lang w:eastAsia="zh-CN"/>
        </w:rPr>
        <w:t>等人对</w:t>
      </w:r>
      <w:r w:rsidRPr="00742C75">
        <w:rPr>
          <w:rFonts w:eastAsia="宋体" w:cs="宋体"/>
          <w:lang w:eastAsia="zh-CN"/>
        </w:rPr>
        <w:t>1,952</w:t>
      </w:r>
      <w:r w:rsidRPr="00742C75">
        <w:rPr>
          <w:rFonts w:eastAsia="宋体" w:cs="宋体"/>
          <w:lang w:eastAsia="zh-CN"/>
        </w:rPr>
        <w:t>名无意中摄入液体</w:t>
      </w:r>
      <w:r w:rsidR="00EB5F76">
        <w:rPr>
          <w:rFonts w:eastAsia="宋体" w:cs="宋体"/>
          <w:lang w:eastAsia="zh-CN"/>
        </w:rPr>
        <w:t>药物</w:t>
      </w:r>
      <w:r w:rsidRPr="00742C75">
        <w:rPr>
          <w:rFonts w:eastAsia="宋体" w:cs="宋体"/>
          <w:lang w:eastAsia="zh-CN"/>
        </w:rPr>
        <w:t>的儿童父母进行了为期</w:t>
      </w:r>
      <w:r w:rsidRPr="00742C75">
        <w:rPr>
          <w:rFonts w:eastAsia="宋体" w:cs="宋体"/>
          <w:lang w:eastAsia="zh-CN"/>
        </w:rPr>
        <w:t>6</w:t>
      </w:r>
      <w:r w:rsidRPr="00742C75">
        <w:rPr>
          <w:rFonts w:eastAsia="宋体" w:cs="宋体"/>
          <w:lang w:eastAsia="zh-CN"/>
        </w:rPr>
        <w:t>个月的毒物中心电话调查，证明了限流器在</w:t>
      </w:r>
      <w:r w:rsidRPr="00742C75">
        <w:rPr>
          <w:rFonts w:eastAsia="宋体" w:cs="宋体"/>
          <w:lang w:eastAsia="zh-CN"/>
        </w:rPr>
        <w:t>12</w:t>
      </w:r>
      <w:r w:rsidRPr="00742C75">
        <w:rPr>
          <w:rFonts w:eastAsia="宋体" w:cs="宋体"/>
          <w:lang w:eastAsia="zh-CN"/>
        </w:rPr>
        <w:t>岁以下儿童中的潜在疗效。在完成调查的</w:t>
      </w:r>
      <w:r w:rsidRPr="00742C75">
        <w:rPr>
          <w:rFonts w:eastAsia="宋体" w:cs="宋体"/>
          <w:lang w:eastAsia="zh-CN"/>
        </w:rPr>
        <w:t>528</w:t>
      </w:r>
      <w:r w:rsidRPr="00742C75">
        <w:rPr>
          <w:rFonts w:eastAsia="宋体" w:cs="宋体"/>
          <w:lang w:eastAsia="zh-CN"/>
        </w:rPr>
        <w:t>名父母中，该调查确定了</w:t>
      </w:r>
      <w:r w:rsidRPr="00742C75">
        <w:rPr>
          <w:rFonts w:eastAsia="宋体" w:cs="宋体"/>
          <w:lang w:eastAsia="zh-CN"/>
        </w:rPr>
        <w:t>289</w:t>
      </w:r>
      <w:r w:rsidRPr="00742C75">
        <w:rPr>
          <w:rFonts w:eastAsia="宋体" w:cs="宋体"/>
          <w:lang w:eastAsia="zh-CN"/>
        </w:rPr>
        <w:t>例儿童意外摄入单成分对乙酰氨基酚的情况。这些儿童中大多数（</w:t>
      </w:r>
      <w:r w:rsidRPr="00742C75">
        <w:rPr>
          <w:rFonts w:eastAsia="宋体" w:cs="宋体"/>
          <w:lang w:eastAsia="zh-CN"/>
        </w:rPr>
        <w:t>88.1%</w:t>
      </w:r>
      <w:r w:rsidRPr="00742C75">
        <w:rPr>
          <w:rFonts w:eastAsia="宋体" w:cs="宋体"/>
          <w:lang w:eastAsia="zh-CN"/>
        </w:rPr>
        <w:t>）年龄小于</w:t>
      </w:r>
      <w:r w:rsidRPr="00742C75">
        <w:rPr>
          <w:rFonts w:eastAsia="宋体" w:cs="宋体"/>
          <w:lang w:eastAsia="zh-CN"/>
        </w:rPr>
        <w:t>3</w:t>
      </w:r>
      <w:r w:rsidRPr="00742C75">
        <w:rPr>
          <w:rFonts w:eastAsia="宋体" w:cs="宋体"/>
          <w:lang w:eastAsia="zh-CN"/>
        </w:rPr>
        <w:t>岁。</w:t>
      </w:r>
      <w:r w:rsidR="006A0B2B">
        <w:rPr>
          <w:rFonts w:eastAsia="宋体" w:cs="宋体" w:hint="eastAsia"/>
          <w:lang w:eastAsia="zh-CN"/>
        </w:rPr>
        <w:t>作者</w:t>
      </w:r>
      <w:r w:rsidRPr="00742C75">
        <w:rPr>
          <w:rFonts w:eastAsia="宋体" w:cs="宋体"/>
          <w:lang w:eastAsia="zh-CN"/>
        </w:rPr>
        <w:t>指出，意外</w:t>
      </w:r>
      <w:proofErr w:type="gramStart"/>
      <w:r w:rsidRPr="00742C75">
        <w:rPr>
          <w:rFonts w:eastAsia="宋体" w:cs="宋体"/>
          <w:lang w:eastAsia="zh-CN"/>
        </w:rPr>
        <w:t>摄入带限</w:t>
      </w:r>
      <w:proofErr w:type="gramEnd"/>
      <w:r w:rsidRPr="00742C75">
        <w:rPr>
          <w:rFonts w:eastAsia="宋体" w:cs="宋体"/>
          <w:lang w:eastAsia="zh-CN"/>
        </w:rPr>
        <w:t>流器包装的液体对乙酰氨基</w:t>
      </w:r>
      <w:proofErr w:type="gramStart"/>
      <w:r w:rsidRPr="00742C75">
        <w:rPr>
          <w:rFonts w:eastAsia="宋体" w:cs="宋体"/>
          <w:lang w:eastAsia="zh-CN"/>
        </w:rPr>
        <w:t>酚</w:t>
      </w:r>
      <w:proofErr w:type="gramEnd"/>
      <w:r w:rsidRPr="00742C75">
        <w:rPr>
          <w:rFonts w:eastAsia="宋体" w:cs="宋体"/>
          <w:lang w:eastAsia="zh-CN"/>
        </w:rPr>
        <w:t>导致的平均剂量估计值较低，而意外摄入不带限流器包装产品导致暴露的估计值大于</w:t>
      </w:r>
      <w:r w:rsidRPr="00742C75">
        <w:rPr>
          <w:rFonts w:eastAsia="宋体" w:cs="宋体"/>
          <w:lang w:eastAsia="zh-CN"/>
        </w:rPr>
        <w:t>150</w:t>
      </w:r>
      <w:r w:rsidRPr="00742C75">
        <w:rPr>
          <w:rFonts w:eastAsia="宋体" w:cs="宋体"/>
          <w:lang w:eastAsia="zh-CN"/>
        </w:rPr>
        <w:t>毫克（</w:t>
      </w:r>
      <w:r w:rsidRPr="00742C75">
        <w:rPr>
          <w:rFonts w:eastAsia="宋体" w:cs="宋体"/>
          <w:lang w:eastAsia="zh-CN"/>
        </w:rPr>
        <w:t>mg</w:t>
      </w:r>
      <w:r w:rsidRPr="00742C75">
        <w:rPr>
          <w:rFonts w:eastAsia="宋体" w:cs="宋体"/>
          <w:lang w:eastAsia="zh-CN"/>
        </w:rPr>
        <w:t>）</w:t>
      </w:r>
      <w:r w:rsidRPr="00742C75">
        <w:rPr>
          <w:rFonts w:eastAsia="宋体" w:cs="宋体"/>
          <w:lang w:eastAsia="zh-CN"/>
        </w:rPr>
        <w:t>/</w:t>
      </w:r>
      <w:r w:rsidRPr="00742C75">
        <w:rPr>
          <w:rFonts w:eastAsia="宋体" w:cs="宋体"/>
          <w:lang w:eastAsia="zh-CN"/>
        </w:rPr>
        <w:t>千克（</w:t>
      </w:r>
      <w:r w:rsidRPr="00742C75">
        <w:rPr>
          <w:rFonts w:eastAsia="宋体" w:cs="宋体"/>
          <w:lang w:eastAsia="zh-CN"/>
        </w:rPr>
        <w:t>kg</w:t>
      </w:r>
      <w:r w:rsidRPr="00742C75">
        <w:rPr>
          <w:rFonts w:eastAsia="宋体" w:cs="宋体"/>
          <w:lang w:eastAsia="zh-CN"/>
        </w:rPr>
        <w:t>）的风险高</w:t>
      </w:r>
      <w:r w:rsidRPr="00742C75">
        <w:rPr>
          <w:rFonts w:eastAsia="宋体" w:cs="宋体"/>
          <w:lang w:eastAsia="zh-CN"/>
        </w:rPr>
        <w:t>2.5</w:t>
      </w:r>
      <w:r w:rsidRPr="00742C75">
        <w:rPr>
          <w:rFonts w:eastAsia="宋体" w:cs="宋体"/>
          <w:lang w:eastAsia="zh-CN"/>
        </w:rPr>
        <w:t>倍，这是一些毒物中心转诊至医疗保健机构采用的阈值剂量。美国临床毒理学学会（</w:t>
      </w:r>
      <w:r w:rsidRPr="00742C75">
        <w:rPr>
          <w:rFonts w:eastAsia="宋体" w:cs="宋体"/>
          <w:lang w:eastAsia="zh-CN"/>
        </w:rPr>
        <w:t>ACCT</w:t>
      </w:r>
      <w:r w:rsidRPr="00742C75">
        <w:rPr>
          <w:rFonts w:eastAsia="宋体" w:cs="宋体"/>
          <w:lang w:eastAsia="zh-CN"/>
        </w:rPr>
        <w:t>）指南和</w:t>
      </w:r>
      <w:r w:rsidRPr="00742C75">
        <w:rPr>
          <w:rFonts w:eastAsia="宋体" w:cs="宋体"/>
          <w:lang w:eastAsia="zh-CN"/>
        </w:rPr>
        <w:t>POISINDEX</w:t>
      </w:r>
      <w:r w:rsidRPr="00742C75">
        <w:rPr>
          <w:rFonts w:eastAsia="宋体" w:cs="宋体"/>
          <w:lang w:eastAsia="zh-CN"/>
        </w:rPr>
        <w:t>（</w:t>
      </w:r>
      <w:r w:rsidRPr="00742C75">
        <w:rPr>
          <w:rFonts w:eastAsia="宋体" w:cs="宋体"/>
          <w:lang w:eastAsia="zh-CN"/>
        </w:rPr>
        <w:t>POIINDEX</w:t>
      </w:r>
      <w:r w:rsidRPr="00742C75">
        <w:rPr>
          <w:rFonts w:eastAsia="宋体" w:cs="宋体"/>
          <w:lang w:eastAsia="zh-CN"/>
        </w:rPr>
        <w:t>）建议在对乙酰氨基酚毒性案例下将</w:t>
      </w:r>
      <w:r w:rsidRPr="00742C75">
        <w:rPr>
          <w:rFonts w:eastAsia="宋体" w:cs="宋体"/>
          <w:lang w:eastAsia="zh-CN"/>
        </w:rPr>
        <w:t>200 mg/kg</w:t>
      </w:r>
      <w:r w:rsidRPr="00742C75">
        <w:rPr>
          <w:rFonts w:eastAsia="宋体" w:cs="宋体"/>
          <w:lang w:eastAsia="zh-CN"/>
        </w:rPr>
        <w:t>作为转诊至急诊的阈值剂量。</w:t>
      </w:r>
    </w:p>
    <w:p w14:paraId="0E6236AE" w14:textId="77777777" w:rsidR="00446F91" w:rsidRDefault="00446F91"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68D86D4D" w14:textId="77777777" w:rsidR="00446F91" w:rsidRDefault="00446F91">
      <w:pPr>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br w:type="page"/>
      </w:r>
    </w:p>
    <w:p w14:paraId="51E616BC" w14:textId="77777777" w:rsidR="00CE3E13" w:rsidRPr="00CE3E13" w:rsidRDefault="00CE3E13" w:rsidP="00446F91">
      <w:pPr>
        <w:pStyle w:val="11"/>
        <w:rPr>
          <w:lang w:eastAsia="zh-CN" w:bidi="en-US"/>
        </w:rPr>
      </w:pPr>
      <w:bookmarkStart w:id="4" w:name="_Toc91867163"/>
      <w:r w:rsidRPr="00742C75">
        <w:rPr>
          <w:rFonts w:eastAsia="宋体" w:cs="宋体"/>
          <w:lang w:eastAsia="zh-CN"/>
        </w:rPr>
        <w:lastRenderedPageBreak/>
        <w:t>IV.</w:t>
      </w:r>
      <w:r w:rsidRPr="00742C75">
        <w:rPr>
          <w:rFonts w:eastAsia="宋体" w:cs="宋体"/>
          <w:lang w:eastAsia="zh-CN"/>
        </w:rPr>
        <w:tab/>
      </w:r>
      <w:r w:rsidRPr="00742C75">
        <w:rPr>
          <w:rFonts w:eastAsia="宋体" w:cs="宋体"/>
          <w:lang w:eastAsia="zh-CN"/>
        </w:rPr>
        <w:t>一般建议</w:t>
      </w:r>
      <w:bookmarkEnd w:id="4"/>
    </w:p>
    <w:p w14:paraId="03031C7E" w14:textId="05246558"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制造商应考虑使用限制性给药系统（如限流器）作为进一步降低意外摄入口服液</w:t>
      </w:r>
      <w:r w:rsidR="005C67F1">
        <w:rPr>
          <w:rFonts w:ascii="Times New Roman" w:eastAsia="宋体" w:hAnsi="Times New Roman" w:cs="宋体"/>
          <w:sz w:val="24"/>
          <w:lang w:eastAsia="zh-CN"/>
        </w:rPr>
        <w:t>体</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风险的额外措施。</w:t>
      </w:r>
    </w:p>
    <w:p w14:paraId="2968BA5C" w14:textId="77777777"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随着制造商寻求开发限制性给药系统，</w:t>
      </w:r>
      <w:r w:rsidRPr="00742C75">
        <w:rPr>
          <w:rFonts w:ascii="Times New Roman" w:eastAsia="宋体" w:hAnsi="Times New Roman" w:cs="宋体"/>
          <w:sz w:val="24"/>
          <w:lang w:eastAsia="zh-CN"/>
        </w:rPr>
        <w:t>FDA</w:t>
      </w:r>
      <w:r w:rsidRPr="00742C75">
        <w:rPr>
          <w:rFonts w:ascii="Times New Roman" w:eastAsia="宋体" w:hAnsi="Times New Roman" w:cs="宋体"/>
          <w:sz w:val="24"/>
          <w:lang w:eastAsia="zh-CN"/>
        </w:rPr>
        <w:t>强烈鼓励他们在开发过程早期就与</w:t>
      </w:r>
      <w:r w:rsidRPr="00742C75">
        <w:rPr>
          <w:rFonts w:ascii="Times New Roman" w:eastAsia="宋体" w:hAnsi="Times New Roman" w:cs="宋体"/>
          <w:sz w:val="24"/>
          <w:lang w:eastAsia="zh-CN"/>
        </w:rPr>
        <w:t>FDA</w:t>
      </w:r>
      <w:r w:rsidRPr="00742C75">
        <w:rPr>
          <w:rFonts w:ascii="Times New Roman" w:eastAsia="宋体" w:hAnsi="Times New Roman" w:cs="宋体"/>
          <w:sz w:val="24"/>
          <w:lang w:eastAsia="zh-CN"/>
        </w:rPr>
        <w:t>讨论任何拟定的限制性给药系统。</w:t>
      </w:r>
      <w:r w:rsidRPr="00742C75">
        <w:rPr>
          <w:rFonts w:ascii="Times New Roman" w:eastAsia="宋体" w:hAnsi="Times New Roman" w:cs="宋体"/>
          <w:sz w:val="24"/>
          <w:vertAlign w:val="superscript"/>
          <w:lang w:eastAsia="zh-CN"/>
        </w:rPr>
        <w:t>22</w:t>
      </w:r>
    </w:p>
    <w:p w14:paraId="31C211D3" w14:textId="4C32FC3A"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目前正在开发用于评估液体</w:t>
      </w:r>
      <w:r w:rsidR="004A1678" w:rsidRPr="009E1A2C">
        <w:rPr>
          <w:rFonts w:ascii="Times New Roman" w:eastAsia="宋体" w:hAnsi="Times New Roman" w:cs="宋体" w:hint="eastAsia"/>
          <w:sz w:val="24"/>
          <w:lang w:eastAsia="zh-CN"/>
        </w:rPr>
        <w:t>药物</w:t>
      </w:r>
      <w:r w:rsidRPr="00742C75">
        <w:rPr>
          <w:rFonts w:ascii="Times New Roman" w:eastAsia="宋体" w:hAnsi="Times New Roman" w:cs="宋体"/>
          <w:sz w:val="24"/>
          <w:lang w:eastAsia="zh-CN"/>
        </w:rPr>
        <w:t>限制性给药系统的标准化试验方法</w:t>
      </w:r>
      <w:r w:rsidRPr="00742C75">
        <w:rPr>
          <w:rFonts w:ascii="Times New Roman" w:eastAsia="宋体" w:hAnsi="Times New Roman" w:cs="宋体"/>
          <w:sz w:val="24"/>
          <w:vertAlign w:val="superscript"/>
          <w:lang w:eastAsia="zh-CN"/>
        </w:rPr>
        <w:t>23,24</w:t>
      </w:r>
      <w:r w:rsidRPr="00742C75">
        <w:rPr>
          <w:rFonts w:ascii="Times New Roman" w:eastAsia="宋体" w:hAnsi="Times New Roman" w:cs="宋体"/>
          <w:sz w:val="24"/>
          <w:lang w:eastAsia="zh-CN"/>
        </w:rPr>
        <w:t>。本机构建议制造商考虑一般测试方法和参数，以评估产品标签使用功能，并评估防止意外摄入所需的性能。在开发口服液</w:t>
      </w:r>
      <w:r w:rsidR="001A0AF1">
        <w:rPr>
          <w:rFonts w:ascii="Times New Roman" w:eastAsia="宋体" w:hAnsi="Times New Roman" w:cs="宋体" w:hint="eastAsia"/>
          <w:sz w:val="24"/>
          <w:lang w:eastAsia="zh-CN"/>
        </w:rPr>
        <w:t>体</w:t>
      </w:r>
      <w:r w:rsidR="00EB5F76">
        <w:rPr>
          <w:rFonts w:ascii="Times New Roman" w:eastAsia="宋体" w:hAnsi="Times New Roman" w:cs="宋体" w:hint="eastAsia"/>
          <w:sz w:val="24"/>
          <w:lang w:eastAsia="zh-CN"/>
        </w:rPr>
        <w:t>药物</w:t>
      </w:r>
      <w:r w:rsidRPr="00742C75">
        <w:rPr>
          <w:rFonts w:ascii="Times New Roman" w:eastAsia="宋体" w:hAnsi="Times New Roman" w:cs="宋体"/>
          <w:sz w:val="24"/>
          <w:lang w:eastAsia="zh-CN"/>
        </w:rPr>
        <w:t>的限制性给药系统时，制造商还应考虑以下讨论的要素。</w:t>
      </w:r>
    </w:p>
    <w:p w14:paraId="7D32912F" w14:textId="77777777" w:rsidR="00CE3E13" w:rsidRPr="00CE3E13" w:rsidRDefault="00CE3E13" w:rsidP="00203E1B">
      <w:pPr>
        <w:pStyle w:val="21"/>
      </w:pPr>
      <w:bookmarkStart w:id="5" w:name="_Toc91867164"/>
      <w:r w:rsidRPr="00742C75">
        <w:rPr>
          <w:rFonts w:eastAsia="宋体" w:cs="宋体"/>
        </w:rPr>
        <w:t>A.</w:t>
      </w:r>
      <w:r w:rsidRPr="00742C75">
        <w:rPr>
          <w:rFonts w:eastAsia="宋体" w:cs="宋体"/>
        </w:rPr>
        <w:tab/>
      </w:r>
      <w:r w:rsidRPr="00742C75">
        <w:rPr>
          <w:rFonts w:eastAsia="宋体" w:cs="宋体"/>
        </w:rPr>
        <w:t>限制作用</w:t>
      </w:r>
      <w:r w:rsidRPr="00742C75">
        <w:rPr>
          <w:rFonts w:eastAsia="宋体" w:cs="宋体"/>
          <w:vertAlign w:val="superscript"/>
        </w:rPr>
        <w:t>25</w:t>
      </w:r>
      <w:bookmarkEnd w:id="5"/>
    </w:p>
    <w:p w14:paraId="17F8A77F" w14:textId="4BA308FD"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FDA</w:t>
      </w:r>
      <w:r w:rsidRPr="00742C75">
        <w:rPr>
          <w:rFonts w:ascii="Times New Roman" w:eastAsia="宋体" w:hAnsi="Times New Roman" w:cs="宋体"/>
          <w:sz w:val="24"/>
          <w:lang w:eastAsia="zh-CN"/>
        </w:rPr>
        <w:t>建议定向限制作用，以限制可在一段时间内输送的口服液</w:t>
      </w:r>
      <w:r w:rsidR="004A1678">
        <w:rPr>
          <w:rFonts w:ascii="Times New Roman" w:eastAsia="宋体" w:hAnsi="Times New Roman" w:cs="宋体" w:hint="eastAsia"/>
          <w:sz w:val="24"/>
          <w:lang w:eastAsia="zh-CN"/>
        </w:rPr>
        <w:t>的</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量。大部分意外摄入病例发生在接触药品后</w:t>
      </w:r>
      <w:r w:rsidRPr="00742C75">
        <w:rPr>
          <w:rFonts w:ascii="Times New Roman" w:eastAsia="宋体" w:hAnsi="Times New Roman" w:cs="宋体"/>
          <w:sz w:val="24"/>
          <w:lang w:eastAsia="zh-CN"/>
        </w:rPr>
        <w:t>5</w:t>
      </w:r>
      <w:r w:rsidRPr="00742C75">
        <w:rPr>
          <w:rFonts w:ascii="Times New Roman" w:eastAsia="宋体" w:hAnsi="Times New Roman" w:cs="宋体"/>
          <w:sz w:val="24"/>
          <w:lang w:eastAsia="zh-CN"/>
        </w:rPr>
        <w:t>分钟内，</w:t>
      </w:r>
      <w:r w:rsidRPr="00742C75">
        <w:rPr>
          <w:rFonts w:ascii="Times New Roman" w:eastAsia="宋体" w:hAnsi="Times New Roman" w:cs="宋体"/>
          <w:sz w:val="24"/>
          <w:vertAlign w:val="superscript"/>
          <w:lang w:eastAsia="zh-CN"/>
        </w:rPr>
        <w:t>26</w:t>
      </w:r>
      <w:r w:rsidRPr="00742C75">
        <w:rPr>
          <w:rFonts w:ascii="Times New Roman" w:eastAsia="宋体" w:hAnsi="Times New Roman" w:cs="宋体"/>
          <w:sz w:val="24"/>
          <w:lang w:eastAsia="zh-CN"/>
        </w:rPr>
        <w:t>根据对国家电子损伤监测系统</w:t>
      </w:r>
      <w:r w:rsidRPr="00742C75">
        <w:rPr>
          <w:rFonts w:ascii="Times New Roman" w:eastAsia="宋体" w:hAnsi="Times New Roman" w:cs="宋体"/>
          <w:sz w:val="24"/>
          <w:lang w:eastAsia="zh-CN"/>
        </w:rPr>
        <w:t>-</w:t>
      </w:r>
      <w:r w:rsidRPr="00742C75">
        <w:rPr>
          <w:rFonts w:ascii="Times New Roman" w:eastAsia="宋体" w:hAnsi="Times New Roman" w:cs="宋体"/>
          <w:sz w:val="24"/>
          <w:lang w:eastAsia="zh-CN"/>
        </w:rPr>
        <w:t>药物不良事件合监测数据的分析报告，意外摄入非处方药液体</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的情况中</w:t>
      </w:r>
      <w:r w:rsidRPr="00742C75">
        <w:rPr>
          <w:rFonts w:ascii="Times New Roman" w:eastAsia="宋体" w:hAnsi="Times New Roman" w:cs="宋体"/>
          <w:sz w:val="24"/>
          <w:lang w:eastAsia="zh-CN"/>
        </w:rPr>
        <w:t>60%</w:t>
      </w:r>
      <w:r w:rsidRPr="00742C75">
        <w:rPr>
          <w:rFonts w:ascii="Times New Roman" w:eastAsia="宋体" w:hAnsi="Times New Roman" w:cs="宋体"/>
          <w:sz w:val="24"/>
          <w:lang w:eastAsia="zh-CN"/>
        </w:rPr>
        <w:t>涉及</w:t>
      </w:r>
      <w:r w:rsidRPr="00742C75">
        <w:rPr>
          <w:rFonts w:ascii="Times New Roman" w:eastAsia="宋体" w:hAnsi="Times New Roman" w:cs="宋体"/>
          <w:sz w:val="24"/>
          <w:lang w:eastAsia="zh-CN"/>
        </w:rPr>
        <w:t>2</w:t>
      </w:r>
      <w:r w:rsidRPr="00742C75">
        <w:rPr>
          <w:rFonts w:ascii="Times New Roman" w:eastAsia="宋体" w:hAnsi="Times New Roman" w:cs="宋体"/>
          <w:sz w:val="24"/>
          <w:lang w:eastAsia="zh-CN"/>
        </w:rPr>
        <w:t>岁及以下儿童。</w:t>
      </w:r>
      <w:r w:rsidRPr="00742C75">
        <w:rPr>
          <w:rFonts w:ascii="Times New Roman" w:eastAsia="宋体" w:hAnsi="Times New Roman" w:cs="宋体"/>
          <w:sz w:val="24"/>
          <w:vertAlign w:val="superscript"/>
          <w:lang w:eastAsia="zh-CN"/>
        </w:rPr>
        <w:t>27</w:t>
      </w:r>
      <w:r w:rsidRPr="00742C75">
        <w:rPr>
          <w:rFonts w:ascii="Times New Roman" w:eastAsia="宋体" w:hAnsi="Times New Roman" w:cs="宋体"/>
          <w:sz w:val="24"/>
          <w:lang w:eastAsia="zh-CN"/>
        </w:rPr>
        <w:t>因此，根据药品对</w:t>
      </w:r>
      <w:r w:rsidRPr="00742C75">
        <w:rPr>
          <w:rFonts w:ascii="Times New Roman" w:eastAsia="宋体" w:hAnsi="Times New Roman" w:cs="宋体"/>
          <w:sz w:val="24"/>
          <w:lang w:eastAsia="zh-CN"/>
        </w:rPr>
        <w:t>2</w:t>
      </w:r>
      <w:r w:rsidRPr="00742C75">
        <w:rPr>
          <w:rFonts w:ascii="Times New Roman" w:eastAsia="宋体" w:hAnsi="Times New Roman" w:cs="宋体"/>
          <w:sz w:val="24"/>
          <w:lang w:eastAsia="zh-CN"/>
        </w:rPr>
        <w:t>岁儿童的毒性剂量，推荐限制性给药系统的靶向限制作用应在</w:t>
      </w:r>
      <w:r w:rsidRPr="00742C75">
        <w:rPr>
          <w:rFonts w:ascii="Times New Roman" w:eastAsia="宋体" w:hAnsi="Times New Roman" w:cs="宋体"/>
          <w:sz w:val="24"/>
          <w:lang w:eastAsia="zh-CN"/>
        </w:rPr>
        <w:t>5</w:t>
      </w:r>
      <w:r w:rsidRPr="00742C75">
        <w:rPr>
          <w:rFonts w:ascii="Times New Roman" w:eastAsia="宋体" w:hAnsi="Times New Roman" w:cs="宋体"/>
          <w:sz w:val="24"/>
          <w:lang w:eastAsia="zh-CN"/>
        </w:rPr>
        <w:t>分钟内减少瓶中流出的液体量。</w:t>
      </w:r>
      <w:r w:rsidRPr="00742C75">
        <w:rPr>
          <w:rFonts w:ascii="Times New Roman" w:eastAsia="宋体" w:hAnsi="Times New Roman" w:cs="宋体"/>
          <w:sz w:val="24"/>
          <w:vertAlign w:val="superscript"/>
          <w:lang w:eastAsia="zh-CN"/>
        </w:rPr>
        <w:t>28,29</w:t>
      </w:r>
    </w:p>
    <w:p w14:paraId="393E6A82" w14:textId="77777777" w:rsidR="00446F91" w:rsidRDefault="00446F91"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r w:rsidRPr="00742C75">
        <w:rPr>
          <w:rFonts w:ascii="Times New Roman" w:eastAsia="宋体" w:hAnsi="Times New Roman" w:cs="宋体"/>
          <w:sz w:val="24"/>
          <w:lang w:eastAsia="zh-CN"/>
        </w:rPr>
        <w:t>_____________________</w:t>
      </w:r>
    </w:p>
    <w:p w14:paraId="2A88DFFC" w14:textId="17C62E40" w:rsidR="00CE3E13" w:rsidRPr="00CE3E13" w:rsidRDefault="00CE3E13" w:rsidP="00670F08">
      <w:pPr>
        <w:pStyle w:val="a9"/>
        <w:tabs>
          <w:tab w:val="clear" w:pos="835"/>
          <w:tab w:val="left" w:pos="222"/>
        </w:tabs>
        <w:rPr>
          <w:lang w:eastAsia="zh-CN" w:bidi="en-US"/>
        </w:rPr>
      </w:pPr>
      <w:r w:rsidRPr="00742C75">
        <w:rPr>
          <w:rFonts w:eastAsia="宋体" w:cs="宋体"/>
          <w:vertAlign w:val="superscript"/>
          <w:lang w:eastAsia="zh-CN"/>
        </w:rPr>
        <w:t>22</w:t>
      </w:r>
      <w:r w:rsidRPr="00742C75">
        <w:rPr>
          <w:rFonts w:eastAsia="宋体" w:cs="宋体"/>
          <w:lang w:eastAsia="zh-CN"/>
        </w:rPr>
        <w:t xml:space="preserve"> </w:t>
      </w:r>
      <w:r w:rsidRPr="00742C75">
        <w:rPr>
          <w:rFonts w:eastAsia="宋体" w:cs="宋体"/>
          <w:lang w:eastAsia="zh-CN"/>
        </w:rPr>
        <w:t>对于根据非处方药物审评上市的产品，请联系药品评价和研究中心新药办公室的非处方药产品部。对于需要进行上市前审评的产品（即《</w:t>
      </w:r>
      <w:r w:rsidRPr="00742C75">
        <w:rPr>
          <w:rFonts w:eastAsia="宋体" w:cs="宋体"/>
          <w:lang w:eastAsia="zh-CN"/>
        </w:rPr>
        <w:t>FD&amp;C</w:t>
      </w:r>
      <w:r w:rsidRPr="00742C75">
        <w:rPr>
          <w:rFonts w:eastAsia="宋体" w:cs="宋体"/>
          <w:lang w:eastAsia="zh-CN"/>
        </w:rPr>
        <w:t>法案》（</w:t>
      </w:r>
      <w:r w:rsidRPr="00742C75">
        <w:rPr>
          <w:rFonts w:eastAsia="宋体" w:cs="宋体"/>
          <w:lang w:eastAsia="zh-CN"/>
        </w:rPr>
        <w:t>21 U.S.C.321(p)</w:t>
      </w:r>
      <w:r w:rsidRPr="00742C75">
        <w:rPr>
          <w:rFonts w:eastAsia="宋体" w:cs="宋体"/>
          <w:lang w:eastAsia="zh-CN"/>
        </w:rPr>
        <w:t>）第</w:t>
      </w:r>
      <w:r w:rsidRPr="00742C75">
        <w:rPr>
          <w:rFonts w:eastAsia="宋体" w:cs="宋体"/>
          <w:lang w:eastAsia="zh-CN"/>
        </w:rPr>
        <w:t>201(p)</w:t>
      </w:r>
      <w:r w:rsidRPr="00742C75">
        <w:rPr>
          <w:rFonts w:eastAsia="宋体" w:cs="宋体"/>
          <w:lang w:eastAsia="zh-CN"/>
        </w:rPr>
        <w:t>节中的</w:t>
      </w:r>
      <w:r w:rsidRPr="00742C75">
        <w:rPr>
          <w:rFonts w:eastAsia="宋体" w:cs="宋体"/>
          <w:lang w:eastAsia="zh-CN"/>
        </w:rPr>
        <w:t>“</w:t>
      </w:r>
      <w:r w:rsidRPr="00742C75">
        <w:rPr>
          <w:rFonts w:eastAsia="宋体" w:cs="宋体"/>
          <w:lang w:eastAsia="zh-CN"/>
        </w:rPr>
        <w:t>新药</w:t>
      </w:r>
      <w:r w:rsidRPr="00742C75">
        <w:rPr>
          <w:rFonts w:eastAsia="宋体" w:cs="宋体"/>
          <w:lang w:eastAsia="zh-CN"/>
        </w:rPr>
        <w:t>”</w:t>
      </w:r>
      <w:r w:rsidRPr="00742C75">
        <w:rPr>
          <w:rFonts w:eastAsia="宋体" w:cs="宋体"/>
          <w:lang w:eastAsia="zh-CN"/>
        </w:rPr>
        <w:t>，请联系</w:t>
      </w:r>
      <w:r w:rsidRPr="00742C75">
        <w:rPr>
          <w:rFonts w:eastAsia="宋体" w:cs="宋体"/>
          <w:lang w:eastAsia="zh-CN"/>
        </w:rPr>
        <w:t>FDA</w:t>
      </w:r>
      <w:r w:rsidRPr="00742C75">
        <w:rPr>
          <w:rFonts w:eastAsia="宋体" w:cs="宋体"/>
          <w:lang w:eastAsia="zh-CN"/>
        </w:rPr>
        <w:t>的相应审查部门。</w:t>
      </w:r>
    </w:p>
    <w:p w14:paraId="60058975" w14:textId="489CAD3F" w:rsidR="00CE3E13" w:rsidRPr="00CE3E13" w:rsidRDefault="00CE3E13" w:rsidP="00670F08">
      <w:pPr>
        <w:pStyle w:val="a9"/>
        <w:tabs>
          <w:tab w:val="clear" w:pos="835"/>
        </w:tabs>
        <w:rPr>
          <w:lang w:eastAsia="zh-CN" w:bidi="en-US"/>
        </w:rPr>
      </w:pPr>
      <w:r w:rsidRPr="00742C75">
        <w:rPr>
          <w:rFonts w:eastAsia="宋体" w:cs="宋体"/>
          <w:vertAlign w:val="superscript"/>
        </w:rPr>
        <w:t>23</w:t>
      </w:r>
      <w:r w:rsidRPr="00742C75">
        <w:rPr>
          <w:rFonts w:eastAsia="宋体" w:cs="宋体"/>
        </w:rPr>
        <w:t>参见美国材料与试验协会（</w:t>
      </w:r>
      <w:r w:rsidRPr="00742C75">
        <w:rPr>
          <w:rFonts w:eastAsia="宋体" w:cs="宋体"/>
        </w:rPr>
        <w:t>ASTM</w:t>
      </w:r>
      <w:r w:rsidRPr="00742C75">
        <w:rPr>
          <w:rFonts w:eastAsia="宋体" w:cs="宋体"/>
        </w:rPr>
        <w:t>）标准</w:t>
      </w:r>
      <w:r w:rsidRPr="00742C75">
        <w:rPr>
          <w:rFonts w:eastAsia="宋体" w:cs="宋体"/>
        </w:rPr>
        <w:t>F3375-19</w:t>
      </w:r>
      <w:r w:rsidRPr="00742C75">
        <w:rPr>
          <w:rFonts w:eastAsia="宋体" w:cs="宋体"/>
        </w:rPr>
        <w:t>评估液体</w:t>
      </w:r>
      <w:r w:rsidR="004A1678">
        <w:rPr>
          <w:rFonts w:eastAsia="宋体" w:cs="宋体" w:hint="eastAsia"/>
          <w:lang w:eastAsia="zh-CN"/>
        </w:rPr>
        <w:t>药物</w:t>
      </w:r>
      <w:proofErr w:type="spellStart"/>
      <w:r w:rsidRPr="00742C75">
        <w:rPr>
          <w:rFonts w:eastAsia="宋体" w:cs="宋体"/>
        </w:rPr>
        <w:t>非计量限制性给药系统的试验方法：</w:t>
      </w:r>
      <w:r w:rsidRPr="00742C75">
        <w:rPr>
          <w:rFonts w:eastAsia="宋体" w:cs="宋体"/>
        </w:rPr>
        <w:t>https</w:t>
      </w:r>
      <w:proofErr w:type="spellEnd"/>
      <w:r w:rsidRPr="00742C75">
        <w:rPr>
          <w:rFonts w:eastAsia="宋体" w:cs="宋体"/>
        </w:rPr>
        <w:t>://www.astm.org/Standards/F3375.htm</w:t>
      </w:r>
      <w:r w:rsidRPr="00742C75">
        <w:rPr>
          <w:rFonts w:eastAsia="宋体" w:cs="宋体"/>
        </w:rPr>
        <w:t>。</w:t>
      </w:r>
    </w:p>
    <w:p w14:paraId="4F772F36" w14:textId="05646C71"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24</w:t>
      </w:r>
      <w:r w:rsidRPr="00742C75">
        <w:rPr>
          <w:rFonts w:eastAsia="宋体" w:cs="宋体"/>
          <w:lang w:eastAsia="zh-CN"/>
        </w:rPr>
        <w:t>美国材料与试验协会新闻稿，新标准旨在限制儿童获取液体</w:t>
      </w:r>
      <w:r w:rsidR="00EB5F76">
        <w:rPr>
          <w:rFonts w:eastAsia="宋体" w:cs="宋体" w:hint="eastAsia"/>
          <w:lang w:eastAsia="zh-CN"/>
        </w:rPr>
        <w:t>药物</w:t>
      </w:r>
      <w:r w:rsidRPr="00742C75">
        <w:rPr>
          <w:rFonts w:eastAsia="宋体" w:cs="宋体"/>
          <w:lang w:eastAsia="zh-CN"/>
        </w:rPr>
        <w:t>和其他产品。</w:t>
      </w:r>
      <w:r w:rsidRPr="00742C75">
        <w:rPr>
          <w:rFonts w:eastAsia="宋体" w:cs="宋体"/>
        </w:rPr>
        <w:t>参见链接：</w:t>
      </w:r>
      <w:r w:rsidRPr="00742C75">
        <w:rPr>
          <w:rFonts w:eastAsia="宋体" w:cs="宋体"/>
        </w:rPr>
        <w:t>https://www.astm.org/cms/drupal-7.51/newsroom/new-standard-aims-limit-children%E2%80%99s-access- liquid-medicines-other-products</w:t>
      </w:r>
      <w:r w:rsidRPr="00742C75">
        <w:rPr>
          <w:rFonts w:eastAsia="宋体" w:cs="宋体"/>
        </w:rPr>
        <w:t>。</w:t>
      </w:r>
    </w:p>
    <w:p w14:paraId="2A5AFF10" w14:textId="670DB0F4"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25</w:t>
      </w:r>
      <w:r w:rsidRPr="00742C75">
        <w:rPr>
          <w:rFonts w:eastAsia="宋体" w:cs="宋体"/>
          <w:lang w:eastAsia="zh-CN"/>
        </w:rPr>
        <w:t>在本指南中，限制作用是指可能在一段时间内输送的液体</w:t>
      </w:r>
      <w:r w:rsidR="00EB5F76">
        <w:rPr>
          <w:rFonts w:eastAsia="宋体" w:cs="宋体" w:hint="eastAsia"/>
          <w:lang w:eastAsia="zh-CN"/>
        </w:rPr>
        <w:t>药物</w:t>
      </w:r>
      <w:r w:rsidRPr="00742C75">
        <w:rPr>
          <w:rFonts w:eastAsia="宋体" w:cs="宋体"/>
          <w:lang w:eastAsia="zh-CN"/>
        </w:rPr>
        <w:t>量的各种变化，以限制儿童和其他类似弱势群体获取液体</w:t>
      </w:r>
      <w:r w:rsidR="00EB5F76">
        <w:rPr>
          <w:rFonts w:eastAsia="宋体" w:cs="宋体" w:hint="eastAsia"/>
          <w:lang w:eastAsia="zh-CN"/>
        </w:rPr>
        <w:t>药物</w:t>
      </w:r>
      <w:r w:rsidRPr="00742C75">
        <w:rPr>
          <w:rFonts w:eastAsia="宋体" w:cs="宋体"/>
          <w:lang w:eastAsia="zh-CN"/>
        </w:rPr>
        <w:t>。</w:t>
      </w:r>
    </w:p>
    <w:p w14:paraId="7FF7D77C" w14:textId="25E2C0BA" w:rsidR="00CE3E13" w:rsidRPr="00CE3E13" w:rsidRDefault="00CE3E13" w:rsidP="00670F08">
      <w:pPr>
        <w:pStyle w:val="a9"/>
        <w:tabs>
          <w:tab w:val="clear" w:pos="835"/>
        </w:tabs>
        <w:rPr>
          <w:lang w:eastAsia="zh-CN" w:bidi="en-US"/>
        </w:rPr>
      </w:pPr>
      <w:r w:rsidRPr="00742C75">
        <w:rPr>
          <w:rFonts w:eastAsia="宋体" w:cs="宋体"/>
          <w:vertAlign w:val="superscript"/>
        </w:rPr>
        <w:t>26</w:t>
      </w:r>
      <w:r w:rsidRPr="00742C75">
        <w:rPr>
          <w:rFonts w:eastAsia="宋体" w:cs="宋体"/>
        </w:rPr>
        <w:t xml:space="preserve"> </w:t>
      </w:r>
      <w:proofErr w:type="spellStart"/>
      <w:r w:rsidRPr="00742C75">
        <w:rPr>
          <w:rFonts w:eastAsia="宋体" w:cs="宋体"/>
        </w:rPr>
        <w:t>Ozanne</w:t>
      </w:r>
      <w:proofErr w:type="spellEnd"/>
      <w:r w:rsidRPr="00742C75">
        <w:rPr>
          <w:rFonts w:eastAsia="宋体" w:cs="宋体"/>
        </w:rPr>
        <w:t xml:space="preserve">-Smith J, Day L, Parsons B, </w:t>
      </w:r>
      <w:proofErr w:type="spellStart"/>
      <w:r w:rsidRPr="00742C75">
        <w:rPr>
          <w:rFonts w:eastAsia="宋体" w:cs="宋体"/>
        </w:rPr>
        <w:t>Tibballs</w:t>
      </w:r>
      <w:proofErr w:type="spellEnd"/>
      <w:r w:rsidRPr="00742C75">
        <w:rPr>
          <w:rFonts w:eastAsia="宋体" w:cs="宋体"/>
        </w:rPr>
        <w:t xml:space="preserve"> J, and Dobbin M</w:t>
      </w:r>
      <w:r w:rsidRPr="00742C75">
        <w:rPr>
          <w:rFonts w:eastAsia="宋体" w:cs="宋体"/>
        </w:rPr>
        <w:t>。</w:t>
      </w:r>
      <w:r w:rsidRPr="00742C75">
        <w:rPr>
          <w:rFonts w:eastAsia="宋体" w:cs="宋体"/>
          <w:lang w:eastAsia="zh-CN"/>
        </w:rPr>
        <w:t>儿童中毒：获取和预防。儿科学儿童健康杂志。</w:t>
      </w:r>
      <w:r w:rsidRPr="00742C75">
        <w:rPr>
          <w:rFonts w:eastAsia="宋体" w:cs="宋体"/>
          <w:lang w:eastAsia="zh-CN"/>
        </w:rPr>
        <w:t>2001; 37: 262-265.</w:t>
      </w:r>
    </w:p>
    <w:p w14:paraId="6212A59C" w14:textId="5EFBAC4C" w:rsidR="00CE3E13" w:rsidRPr="00CE3E13" w:rsidRDefault="00CE3E13" w:rsidP="00446F91">
      <w:pPr>
        <w:pStyle w:val="a9"/>
        <w:rPr>
          <w:lang w:eastAsia="zh-CN" w:bidi="en-US"/>
        </w:rPr>
      </w:pPr>
      <w:r w:rsidRPr="00742C75">
        <w:rPr>
          <w:rFonts w:eastAsia="宋体" w:cs="宋体"/>
          <w:vertAlign w:val="superscript"/>
          <w:lang w:eastAsia="zh-CN"/>
        </w:rPr>
        <w:t>27</w:t>
      </w:r>
      <w:r w:rsidR="00670F08">
        <w:rPr>
          <w:rFonts w:eastAsia="宋体" w:cs="宋体"/>
          <w:lang w:eastAsia="zh-CN"/>
        </w:rPr>
        <w:t xml:space="preserve"> </w:t>
      </w:r>
      <w:proofErr w:type="spellStart"/>
      <w:r w:rsidRPr="00742C75">
        <w:rPr>
          <w:rFonts w:eastAsia="宋体" w:cs="宋体"/>
          <w:lang w:eastAsia="zh-CN"/>
        </w:rPr>
        <w:t>Lovegrove</w:t>
      </w:r>
      <w:proofErr w:type="spellEnd"/>
      <w:r w:rsidRPr="00742C75">
        <w:rPr>
          <w:rFonts w:eastAsia="宋体" w:cs="宋体"/>
          <w:lang w:eastAsia="zh-CN"/>
        </w:rPr>
        <w:t xml:space="preserve"> MC, </w:t>
      </w:r>
      <w:proofErr w:type="spellStart"/>
      <w:r w:rsidRPr="00742C75">
        <w:rPr>
          <w:rFonts w:eastAsia="宋体" w:cs="宋体"/>
          <w:lang w:eastAsia="zh-CN"/>
        </w:rPr>
        <w:t>Weidle</w:t>
      </w:r>
      <w:proofErr w:type="spellEnd"/>
      <w:r w:rsidRPr="00742C75">
        <w:rPr>
          <w:rFonts w:eastAsia="宋体" w:cs="宋体"/>
          <w:lang w:eastAsia="zh-CN"/>
        </w:rPr>
        <w:t xml:space="preserve"> NJ, </w:t>
      </w:r>
      <w:proofErr w:type="spellStart"/>
      <w:r w:rsidRPr="00742C75">
        <w:rPr>
          <w:rFonts w:eastAsia="宋体" w:cs="宋体"/>
          <w:lang w:eastAsia="zh-CN"/>
        </w:rPr>
        <w:t>Budnitz</w:t>
      </w:r>
      <w:proofErr w:type="spellEnd"/>
      <w:r w:rsidRPr="00742C75">
        <w:rPr>
          <w:rFonts w:eastAsia="宋体" w:cs="宋体"/>
          <w:lang w:eastAsia="zh-CN"/>
        </w:rPr>
        <w:t xml:space="preserve"> DS</w:t>
      </w:r>
      <w:r w:rsidRPr="00742C75">
        <w:rPr>
          <w:rFonts w:eastAsia="宋体" w:cs="宋体"/>
          <w:lang w:eastAsia="zh-CN"/>
        </w:rPr>
        <w:t>。</w:t>
      </w:r>
      <w:r w:rsidRPr="00742C75">
        <w:rPr>
          <w:rFonts w:eastAsia="宋体" w:cs="宋体"/>
          <w:lang w:eastAsia="zh-CN"/>
        </w:rPr>
        <w:t>2004-2013</w:t>
      </w:r>
      <w:r w:rsidRPr="00742C75">
        <w:rPr>
          <w:rFonts w:eastAsia="宋体" w:cs="宋体"/>
          <w:lang w:eastAsia="zh-CN"/>
        </w:rPr>
        <w:t>年无监督儿科药物暴露的急诊就诊趋势。儿科学</w:t>
      </w:r>
      <w:r w:rsidRPr="00742C75">
        <w:rPr>
          <w:rFonts w:eastAsia="宋体" w:cs="宋体"/>
          <w:lang w:eastAsia="zh-CN"/>
        </w:rPr>
        <w:t>2015</w:t>
      </w:r>
      <w:r w:rsidRPr="00742C75">
        <w:rPr>
          <w:rFonts w:eastAsia="宋体" w:cs="宋体"/>
          <w:lang w:eastAsia="zh-CN"/>
        </w:rPr>
        <w:t>年</w:t>
      </w:r>
      <w:r w:rsidRPr="00742C75">
        <w:rPr>
          <w:rFonts w:eastAsia="宋体" w:cs="宋体"/>
          <w:lang w:eastAsia="zh-CN"/>
        </w:rPr>
        <w:t>; 136</w:t>
      </w:r>
      <w:r w:rsidRPr="00742C75">
        <w:rPr>
          <w:rFonts w:eastAsia="宋体" w:cs="宋体"/>
          <w:lang w:eastAsia="zh-CN"/>
        </w:rPr>
        <w:t>。</w:t>
      </w:r>
    </w:p>
    <w:p w14:paraId="00682B5E" w14:textId="77777777" w:rsidR="00CE3E13" w:rsidRPr="00CE3E13" w:rsidRDefault="00CE3E13" w:rsidP="00670F08">
      <w:pPr>
        <w:pStyle w:val="a9"/>
        <w:tabs>
          <w:tab w:val="clear" w:pos="835"/>
          <w:tab w:val="left" w:pos="222"/>
        </w:tabs>
        <w:rPr>
          <w:lang w:eastAsia="zh-CN" w:bidi="en-US"/>
        </w:rPr>
      </w:pPr>
      <w:r w:rsidRPr="00742C75">
        <w:rPr>
          <w:rFonts w:eastAsia="宋体" w:cs="宋体"/>
          <w:vertAlign w:val="superscript"/>
          <w:lang w:eastAsia="zh-CN"/>
        </w:rPr>
        <w:t>28</w:t>
      </w:r>
      <w:r w:rsidRPr="00742C75">
        <w:rPr>
          <w:rFonts w:eastAsia="宋体" w:cs="宋体"/>
          <w:lang w:eastAsia="zh-CN"/>
        </w:rPr>
        <w:t xml:space="preserve"> </w:t>
      </w:r>
      <w:r w:rsidRPr="00742C75">
        <w:rPr>
          <w:rFonts w:eastAsia="宋体" w:cs="宋体"/>
          <w:lang w:eastAsia="zh-CN"/>
        </w:rPr>
        <w:tab/>
        <w:t>FDA</w:t>
      </w:r>
      <w:r w:rsidRPr="00742C75">
        <w:rPr>
          <w:rFonts w:eastAsia="宋体" w:cs="宋体"/>
          <w:lang w:eastAsia="zh-CN"/>
        </w:rPr>
        <w:t>建议在毒性剂量计算中使用第</w:t>
      </w:r>
      <w:r w:rsidRPr="00742C75">
        <w:rPr>
          <w:rFonts w:eastAsia="宋体" w:cs="宋体"/>
          <w:lang w:eastAsia="zh-CN"/>
        </w:rPr>
        <w:t>50</w:t>
      </w:r>
      <w:r w:rsidRPr="00742C75">
        <w:rPr>
          <w:rFonts w:eastAsia="宋体" w:cs="宋体"/>
          <w:lang w:eastAsia="zh-CN"/>
        </w:rPr>
        <w:t>百分位体重进行年龄估计；参见疾病预防控制中心（</w:t>
      </w:r>
      <w:r w:rsidRPr="00742C75">
        <w:rPr>
          <w:rFonts w:eastAsia="宋体" w:cs="宋体"/>
          <w:lang w:eastAsia="zh-CN"/>
        </w:rPr>
        <w:t>CDC</w:t>
      </w:r>
      <w:r w:rsidRPr="00742C75">
        <w:rPr>
          <w:rFonts w:eastAsia="宋体" w:cs="宋体"/>
          <w:lang w:eastAsia="zh-CN"/>
        </w:rPr>
        <w:t>）生长图表</w:t>
      </w:r>
      <w:r w:rsidRPr="00742C75">
        <w:rPr>
          <w:rFonts w:eastAsia="宋体" w:cs="宋体"/>
          <w:lang w:eastAsia="zh-CN"/>
        </w:rPr>
        <w:t xml:space="preserve">https://www. </w:t>
      </w:r>
      <w:proofErr w:type="spellStart"/>
      <w:r w:rsidRPr="00742C75">
        <w:rPr>
          <w:rFonts w:eastAsia="宋体" w:cs="宋体"/>
          <w:lang w:eastAsia="zh-CN"/>
        </w:rPr>
        <w:t>cdc</w:t>
      </w:r>
      <w:proofErr w:type="spellEnd"/>
      <w:r w:rsidRPr="00742C75">
        <w:rPr>
          <w:rFonts w:eastAsia="宋体" w:cs="宋体"/>
          <w:lang w:eastAsia="zh-CN"/>
        </w:rPr>
        <w:t xml:space="preserve">. </w:t>
      </w:r>
      <w:proofErr w:type="spellStart"/>
      <w:r w:rsidRPr="00742C75">
        <w:rPr>
          <w:rFonts w:eastAsia="宋体" w:cs="宋体"/>
          <w:lang w:eastAsia="zh-CN"/>
        </w:rPr>
        <w:t>gov</w:t>
      </w:r>
      <w:proofErr w:type="spellEnd"/>
      <w:r w:rsidRPr="00742C75">
        <w:rPr>
          <w:rFonts w:eastAsia="宋体" w:cs="宋体"/>
          <w:lang w:eastAsia="zh-CN"/>
        </w:rPr>
        <w:t>/</w:t>
      </w:r>
      <w:proofErr w:type="spellStart"/>
      <w:r w:rsidRPr="00742C75">
        <w:rPr>
          <w:rFonts w:eastAsia="宋体" w:cs="宋体"/>
          <w:lang w:eastAsia="zh-CN"/>
        </w:rPr>
        <w:t>growthcharts</w:t>
      </w:r>
      <w:proofErr w:type="spellEnd"/>
      <w:r w:rsidRPr="00742C75">
        <w:rPr>
          <w:rFonts w:eastAsia="宋体" w:cs="宋体"/>
          <w:lang w:eastAsia="zh-CN"/>
        </w:rPr>
        <w:t>/</w:t>
      </w:r>
      <w:r w:rsidRPr="00742C75">
        <w:rPr>
          <w:rFonts w:eastAsia="宋体" w:cs="宋体"/>
          <w:lang w:eastAsia="zh-CN"/>
        </w:rPr>
        <w:t>。</w:t>
      </w:r>
    </w:p>
    <w:p w14:paraId="37545285" w14:textId="780DD0D3"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29</w:t>
      </w:r>
      <w:r w:rsidRPr="00742C75">
        <w:rPr>
          <w:rFonts w:eastAsia="宋体" w:cs="宋体"/>
          <w:lang w:eastAsia="zh-CN"/>
        </w:rPr>
        <w:t xml:space="preserve"> </w:t>
      </w:r>
      <w:proofErr w:type="spellStart"/>
      <w:r w:rsidRPr="00742C75">
        <w:rPr>
          <w:rFonts w:eastAsia="宋体" w:cs="宋体"/>
          <w:lang w:eastAsia="zh-CN"/>
        </w:rPr>
        <w:t>Lovegrove</w:t>
      </w:r>
      <w:proofErr w:type="spellEnd"/>
      <w:r w:rsidRPr="00742C75">
        <w:rPr>
          <w:rFonts w:eastAsia="宋体" w:cs="宋体"/>
          <w:lang w:eastAsia="zh-CN"/>
        </w:rPr>
        <w:t xml:space="preserve">, </w:t>
      </w:r>
      <w:proofErr w:type="spellStart"/>
      <w:r w:rsidRPr="00742C75">
        <w:rPr>
          <w:rFonts w:eastAsia="宋体" w:cs="宋体"/>
          <w:lang w:eastAsia="zh-CN"/>
        </w:rPr>
        <w:t>Weidle</w:t>
      </w:r>
      <w:proofErr w:type="spellEnd"/>
      <w:r w:rsidRPr="00742C75">
        <w:rPr>
          <w:rFonts w:eastAsia="宋体" w:cs="宋体"/>
          <w:lang w:eastAsia="zh-CN"/>
        </w:rPr>
        <w:t xml:space="preserve">, </w:t>
      </w:r>
      <w:proofErr w:type="spellStart"/>
      <w:r w:rsidRPr="00742C75">
        <w:rPr>
          <w:rFonts w:eastAsia="宋体" w:cs="宋体"/>
          <w:lang w:eastAsia="zh-CN"/>
        </w:rPr>
        <w:t>Budnitz</w:t>
      </w:r>
      <w:proofErr w:type="spellEnd"/>
      <w:r w:rsidRPr="00742C75">
        <w:rPr>
          <w:rFonts w:eastAsia="宋体" w:cs="宋体"/>
          <w:lang w:eastAsia="zh-CN"/>
        </w:rPr>
        <w:t>（儿科学</w:t>
      </w:r>
      <w:r w:rsidRPr="00742C75">
        <w:rPr>
          <w:rFonts w:eastAsia="宋体" w:cs="宋体"/>
          <w:lang w:eastAsia="zh-CN"/>
        </w:rPr>
        <w:t>2015</w:t>
      </w:r>
      <w:r w:rsidRPr="00742C75">
        <w:rPr>
          <w:rFonts w:eastAsia="宋体" w:cs="宋体"/>
          <w:lang w:eastAsia="zh-CN"/>
        </w:rPr>
        <w:t>年</w:t>
      </w:r>
      <w:r w:rsidRPr="00742C75">
        <w:rPr>
          <w:rFonts w:eastAsia="宋体" w:cs="宋体"/>
          <w:lang w:eastAsia="zh-CN"/>
        </w:rPr>
        <w:t>; 136</w:t>
      </w:r>
      <w:r w:rsidRPr="00742C75">
        <w:rPr>
          <w:rFonts w:eastAsia="宋体" w:cs="宋体"/>
          <w:lang w:eastAsia="zh-CN"/>
        </w:rPr>
        <w:t>）还指出，</w:t>
      </w:r>
      <w:r w:rsidRPr="00742C75">
        <w:rPr>
          <w:rFonts w:eastAsia="宋体" w:cs="宋体"/>
          <w:lang w:eastAsia="zh-CN"/>
        </w:rPr>
        <w:t>1</w:t>
      </w:r>
      <w:r w:rsidRPr="00742C75">
        <w:rPr>
          <w:rFonts w:eastAsia="宋体" w:cs="宋体"/>
          <w:lang w:eastAsia="zh-CN"/>
        </w:rPr>
        <w:t>岁以下儿童占无监督摄入急诊门诊的</w:t>
      </w:r>
      <w:r w:rsidRPr="00742C75">
        <w:rPr>
          <w:rFonts w:eastAsia="宋体" w:cs="宋体"/>
          <w:lang w:eastAsia="zh-CN"/>
        </w:rPr>
        <w:t>5%</w:t>
      </w:r>
      <w:r w:rsidRPr="00742C75">
        <w:rPr>
          <w:rFonts w:eastAsia="宋体" w:cs="宋体"/>
          <w:lang w:eastAsia="zh-CN"/>
        </w:rPr>
        <w:t>。</w:t>
      </w:r>
      <w:r w:rsidRPr="00742C75">
        <w:rPr>
          <w:rFonts w:eastAsia="宋体" w:cs="宋体"/>
          <w:lang w:eastAsia="zh-CN"/>
        </w:rPr>
        <w:t>1</w:t>
      </w:r>
      <w:r w:rsidRPr="00742C75">
        <w:rPr>
          <w:rFonts w:eastAsia="宋体" w:cs="宋体"/>
          <w:lang w:eastAsia="zh-CN"/>
        </w:rPr>
        <w:t>岁和</w:t>
      </w:r>
      <w:r w:rsidRPr="00742C75">
        <w:rPr>
          <w:rFonts w:eastAsia="宋体" w:cs="宋体"/>
          <w:lang w:eastAsia="zh-CN"/>
        </w:rPr>
        <w:t>2</w:t>
      </w:r>
      <w:r w:rsidRPr="00742C75">
        <w:rPr>
          <w:rFonts w:eastAsia="宋体" w:cs="宋体"/>
          <w:lang w:eastAsia="zh-CN"/>
        </w:rPr>
        <w:t>岁儿童就诊占大多数就诊（包括因意外摄入固体和液体口服剂型的就诊）。然而，非处方药口服液暴露门诊涉及的</w:t>
      </w:r>
      <w:r w:rsidRPr="00742C75">
        <w:rPr>
          <w:rFonts w:eastAsia="宋体" w:cs="宋体"/>
          <w:lang w:eastAsia="zh-CN"/>
        </w:rPr>
        <w:t>2</w:t>
      </w:r>
      <w:r w:rsidRPr="00742C75">
        <w:rPr>
          <w:rFonts w:eastAsia="宋体" w:cs="宋体"/>
          <w:lang w:eastAsia="zh-CN"/>
        </w:rPr>
        <w:t>岁以上儿童比例更高，这是</w:t>
      </w:r>
      <w:r w:rsidRPr="00742C75">
        <w:rPr>
          <w:rFonts w:eastAsia="宋体" w:cs="宋体"/>
          <w:lang w:eastAsia="zh-CN"/>
        </w:rPr>
        <w:t>FDA</w:t>
      </w:r>
      <w:r w:rsidRPr="00742C75">
        <w:rPr>
          <w:rFonts w:eastAsia="宋体" w:cs="宋体"/>
          <w:lang w:eastAsia="zh-CN"/>
        </w:rPr>
        <w:t>选择</w:t>
      </w:r>
      <w:r w:rsidRPr="00742C75">
        <w:rPr>
          <w:rFonts w:eastAsia="宋体" w:cs="宋体"/>
          <w:lang w:eastAsia="zh-CN"/>
        </w:rPr>
        <w:t>2</w:t>
      </w:r>
      <w:r w:rsidRPr="00742C75">
        <w:rPr>
          <w:rFonts w:eastAsia="宋体" w:cs="宋体"/>
          <w:lang w:eastAsia="zh-CN"/>
        </w:rPr>
        <w:t>岁儿童推荐靶向限制作用的原因之一。</w:t>
      </w:r>
    </w:p>
    <w:p w14:paraId="49197116" w14:textId="77777777" w:rsidR="009E1A2C" w:rsidRDefault="009E1A2C" w:rsidP="00CE3E13">
      <w:pPr>
        <w:tabs>
          <w:tab w:val="left" w:pos="719"/>
        </w:tabs>
        <w:adjustRightInd w:val="0"/>
        <w:snapToGrid w:val="0"/>
        <w:spacing w:beforeLines="50" w:before="120" w:line="300" w:lineRule="auto"/>
        <w:jc w:val="both"/>
        <w:rPr>
          <w:rFonts w:ascii="Times New Roman" w:eastAsia="宋体" w:hAnsi="Times New Roman" w:cs="宋体"/>
          <w:sz w:val="24"/>
          <w:lang w:eastAsia="zh-CN"/>
        </w:rPr>
      </w:pPr>
    </w:p>
    <w:p w14:paraId="3494DB24" w14:textId="0ACC1706"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lastRenderedPageBreak/>
        <w:t>附录</w:t>
      </w:r>
      <w:r w:rsidRPr="00742C75">
        <w:rPr>
          <w:rFonts w:ascii="Times New Roman" w:eastAsia="宋体" w:hAnsi="Times New Roman" w:cs="宋体"/>
          <w:sz w:val="24"/>
          <w:lang w:eastAsia="zh-CN"/>
        </w:rPr>
        <w:t>A</w:t>
      </w:r>
      <w:r w:rsidRPr="00742C75">
        <w:rPr>
          <w:rFonts w:ascii="Times New Roman" w:eastAsia="宋体" w:hAnsi="Times New Roman" w:cs="宋体"/>
          <w:sz w:val="24"/>
          <w:lang w:eastAsia="zh-CN"/>
        </w:rPr>
        <w:t>中描述了一些常见的口服液</w:t>
      </w:r>
      <w:r w:rsidR="0025027A">
        <w:rPr>
          <w:rFonts w:ascii="Times New Roman" w:eastAsia="宋体" w:hAnsi="Times New Roman" w:cs="宋体" w:hint="eastAsia"/>
          <w:sz w:val="24"/>
          <w:lang w:eastAsia="zh-CN"/>
        </w:rPr>
        <w:t>体</w:t>
      </w:r>
      <w:r w:rsidR="00EB5F76">
        <w:rPr>
          <w:rFonts w:ascii="Times New Roman" w:eastAsia="宋体" w:hAnsi="Times New Roman" w:cs="宋体" w:hint="eastAsia"/>
          <w:sz w:val="24"/>
          <w:lang w:eastAsia="zh-CN"/>
        </w:rPr>
        <w:t>药物</w:t>
      </w:r>
      <w:r w:rsidRPr="00742C75">
        <w:rPr>
          <w:rFonts w:ascii="Times New Roman" w:eastAsia="宋体" w:hAnsi="Times New Roman" w:cs="宋体"/>
          <w:sz w:val="24"/>
          <w:lang w:eastAsia="zh-CN"/>
        </w:rPr>
        <w:t>的推荐限制作用，这些口服液</w:t>
      </w:r>
      <w:r w:rsidR="005F319C">
        <w:rPr>
          <w:rFonts w:ascii="Times New Roman" w:eastAsia="宋体" w:hAnsi="Times New Roman" w:cs="宋体" w:hint="eastAsia"/>
          <w:sz w:val="24"/>
          <w:lang w:eastAsia="zh-CN"/>
        </w:rPr>
        <w:t>体</w:t>
      </w:r>
      <w:r w:rsidR="00EB5F76">
        <w:rPr>
          <w:rFonts w:ascii="Times New Roman" w:eastAsia="宋体" w:hAnsi="Times New Roman" w:cs="宋体" w:hint="eastAsia"/>
          <w:sz w:val="24"/>
          <w:lang w:eastAsia="zh-CN"/>
        </w:rPr>
        <w:t>药物</w:t>
      </w:r>
      <w:r w:rsidRPr="00742C75">
        <w:rPr>
          <w:rFonts w:ascii="Times New Roman" w:eastAsia="宋体" w:hAnsi="Times New Roman" w:cs="宋体"/>
          <w:sz w:val="24"/>
          <w:lang w:eastAsia="zh-CN"/>
        </w:rPr>
        <w:t>由于无意摄入导致急诊就诊。附录</w:t>
      </w:r>
      <w:r w:rsidRPr="00742C75">
        <w:rPr>
          <w:rFonts w:ascii="Times New Roman" w:eastAsia="宋体" w:hAnsi="Times New Roman" w:cs="宋体"/>
          <w:sz w:val="24"/>
          <w:lang w:eastAsia="zh-CN"/>
        </w:rPr>
        <w:t>A</w:t>
      </w:r>
      <w:r w:rsidRPr="00742C75">
        <w:rPr>
          <w:rFonts w:ascii="Times New Roman" w:eastAsia="宋体" w:hAnsi="Times New Roman" w:cs="宋体"/>
          <w:sz w:val="24"/>
          <w:lang w:eastAsia="zh-CN"/>
        </w:rPr>
        <w:t>中的限制作用包括上述（关于</w:t>
      </w:r>
      <w:r w:rsidRPr="00742C75">
        <w:rPr>
          <w:rFonts w:ascii="Times New Roman" w:eastAsia="宋体" w:hAnsi="Times New Roman" w:cs="宋体"/>
          <w:sz w:val="24"/>
          <w:lang w:eastAsia="zh-CN"/>
        </w:rPr>
        <w:t>5</w:t>
      </w:r>
      <w:r w:rsidRPr="00742C75">
        <w:rPr>
          <w:rFonts w:ascii="Times New Roman" w:eastAsia="宋体" w:hAnsi="Times New Roman" w:cs="宋体"/>
          <w:sz w:val="24"/>
          <w:lang w:eastAsia="zh-CN"/>
        </w:rPr>
        <w:t>分钟内和</w:t>
      </w:r>
      <w:r w:rsidRPr="00742C75">
        <w:rPr>
          <w:rFonts w:ascii="Times New Roman" w:eastAsia="宋体" w:hAnsi="Times New Roman" w:cs="宋体"/>
          <w:sz w:val="24"/>
          <w:lang w:eastAsia="zh-CN"/>
        </w:rPr>
        <w:t>2</w:t>
      </w:r>
      <w:r w:rsidRPr="00742C75">
        <w:rPr>
          <w:rFonts w:ascii="Times New Roman" w:eastAsia="宋体" w:hAnsi="Times New Roman" w:cs="宋体"/>
          <w:sz w:val="24"/>
          <w:lang w:eastAsia="zh-CN"/>
        </w:rPr>
        <w:t>岁儿童）建议，并且以中毒中心专业人员在确定需要紧急评价的阈值剂量时使用的一般参数（例如</w:t>
      </w:r>
      <w:r w:rsidRPr="00742C75">
        <w:rPr>
          <w:rFonts w:ascii="Times New Roman" w:eastAsia="宋体" w:hAnsi="Times New Roman" w:cs="宋体"/>
          <w:sz w:val="24"/>
          <w:lang w:eastAsia="zh-CN"/>
        </w:rPr>
        <w:t>POISINDEX</w:t>
      </w:r>
      <w:r w:rsidRPr="00742C75">
        <w:rPr>
          <w:rFonts w:ascii="Times New Roman" w:eastAsia="宋体" w:hAnsi="Times New Roman" w:cs="宋体"/>
          <w:sz w:val="24"/>
          <w:lang w:eastAsia="zh-CN"/>
        </w:rPr>
        <w:t>）以及基于美国临床毒理学会（</w:t>
      </w:r>
      <w:r w:rsidRPr="00742C75">
        <w:rPr>
          <w:rFonts w:ascii="Times New Roman" w:eastAsia="宋体" w:hAnsi="Times New Roman" w:cs="宋体"/>
          <w:sz w:val="24"/>
          <w:lang w:eastAsia="zh-CN"/>
        </w:rPr>
        <w:t>AACT</w:t>
      </w:r>
      <w:r w:rsidRPr="00742C75">
        <w:rPr>
          <w:rFonts w:ascii="Times New Roman" w:eastAsia="宋体" w:hAnsi="Times New Roman" w:cs="宋体"/>
          <w:sz w:val="24"/>
          <w:lang w:eastAsia="zh-CN"/>
        </w:rPr>
        <w:t>）制定的实践指南为依据。</w:t>
      </w:r>
      <w:r w:rsidRPr="00742C75">
        <w:rPr>
          <w:rFonts w:ascii="Times New Roman" w:eastAsia="宋体" w:hAnsi="Times New Roman" w:cs="宋体"/>
          <w:sz w:val="24"/>
          <w:vertAlign w:val="superscript"/>
          <w:lang w:eastAsia="zh-CN"/>
        </w:rPr>
        <w:t>30,31</w:t>
      </w:r>
    </w:p>
    <w:p w14:paraId="4DA7C214" w14:textId="1A088628"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385790">
        <w:rPr>
          <w:rFonts w:ascii="Times New Roman" w:eastAsia="宋体" w:hAnsi="Times New Roman" w:cs="宋体" w:hint="eastAsia"/>
          <w:sz w:val="24"/>
          <w:lang w:eastAsia="zh-CN"/>
        </w:rPr>
        <w:t>对于治疗指数</w:t>
      </w:r>
      <w:r w:rsidRPr="00385790">
        <w:rPr>
          <w:rFonts w:ascii="Times New Roman" w:eastAsia="宋体" w:hAnsi="Times New Roman" w:cs="宋体"/>
          <w:sz w:val="24"/>
          <w:vertAlign w:val="superscript"/>
          <w:lang w:eastAsia="zh-CN"/>
        </w:rPr>
        <w:t>32</w:t>
      </w:r>
      <w:r w:rsidRPr="00385790">
        <w:rPr>
          <w:rFonts w:ascii="Times New Roman" w:eastAsia="宋体" w:hAnsi="Times New Roman" w:cs="宋体" w:hint="eastAsia"/>
          <w:sz w:val="24"/>
          <w:lang w:eastAsia="zh-CN"/>
        </w:rPr>
        <w:t>较窄的</w:t>
      </w:r>
      <w:r w:rsidR="00EB5F76">
        <w:rPr>
          <w:rFonts w:ascii="Times New Roman" w:eastAsia="宋体" w:hAnsi="Times New Roman" w:cs="宋体" w:hint="eastAsia"/>
          <w:sz w:val="24"/>
          <w:lang w:eastAsia="zh-CN"/>
        </w:rPr>
        <w:t>药物</w:t>
      </w:r>
      <w:r w:rsidRPr="00742C75">
        <w:rPr>
          <w:rFonts w:ascii="Times New Roman" w:eastAsia="宋体" w:hAnsi="Times New Roman" w:cs="宋体"/>
          <w:sz w:val="24"/>
          <w:lang w:eastAsia="zh-CN"/>
        </w:rPr>
        <w:t>，需要使用限制</w:t>
      </w:r>
      <w:r w:rsidR="00CC706B">
        <w:rPr>
          <w:rFonts w:ascii="Times New Roman" w:eastAsia="宋体" w:hAnsi="Times New Roman" w:cs="宋体" w:hint="eastAsia"/>
          <w:sz w:val="24"/>
          <w:lang w:eastAsia="zh-CN"/>
        </w:rPr>
        <w:t>单次</w:t>
      </w:r>
      <w:r w:rsidRPr="00742C75">
        <w:rPr>
          <w:rFonts w:ascii="Times New Roman" w:eastAsia="宋体" w:hAnsi="Times New Roman" w:cs="宋体"/>
          <w:sz w:val="24"/>
          <w:lang w:eastAsia="zh-CN"/>
        </w:rPr>
        <w:t>进入单个单位体积的限制性给药系统，例如封闭限流器，因为治疗剂量和毒性剂量之间存在微小差异。对于在接近治疗剂量下具有显著毒性的口服液</w:t>
      </w:r>
      <w:r w:rsidR="005F319C">
        <w:rPr>
          <w:rFonts w:ascii="Times New Roman" w:eastAsia="宋体" w:hAnsi="Times New Roman" w:cs="宋体" w:hint="eastAsia"/>
          <w:sz w:val="24"/>
          <w:lang w:eastAsia="zh-CN"/>
        </w:rPr>
        <w:t>体</w:t>
      </w:r>
      <w:r w:rsidR="00EB5F76">
        <w:rPr>
          <w:rFonts w:ascii="Times New Roman" w:eastAsia="宋体" w:hAnsi="Times New Roman" w:cs="宋体" w:hint="eastAsia"/>
          <w:sz w:val="24"/>
          <w:lang w:eastAsia="zh-CN"/>
        </w:rPr>
        <w:t>药物</w:t>
      </w:r>
      <w:r w:rsidRPr="00742C75">
        <w:rPr>
          <w:rFonts w:ascii="Times New Roman" w:eastAsia="宋体" w:hAnsi="Times New Roman" w:cs="宋体"/>
          <w:sz w:val="24"/>
          <w:lang w:eastAsia="zh-CN"/>
        </w:rPr>
        <w:t>，也应考虑使用这种类型的限制性给药系统。对于药物组合，制造商在确定所需的限制作用时，应考虑组合中毒性最强的物质以及所有产品成分的组合毒性。</w:t>
      </w:r>
    </w:p>
    <w:p w14:paraId="37CD567A" w14:textId="540F5A3D"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液体的粘度是另一个重要的考虑因素，因为它将确定液体流动的速率，并影响限制性给药系统的性能。限制性给药系统应适合与具有特定配方粘度的液体一起使用，以方便目标消费者</w:t>
      </w:r>
      <w:r w:rsidRPr="00742C75">
        <w:rPr>
          <w:rFonts w:ascii="Times New Roman" w:eastAsia="宋体" w:hAnsi="Times New Roman" w:cs="宋体"/>
          <w:sz w:val="24"/>
          <w:lang w:eastAsia="zh-CN"/>
        </w:rPr>
        <w:t>/</w:t>
      </w:r>
      <w:r w:rsidRPr="00742C75">
        <w:rPr>
          <w:rFonts w:ascii="Times New Roman" w:eastAsia="宋体" w:hAnsi="Times New Roman" w:cs="宋体"/>
          <w:sz w:val="24"/>
          <w:lang w:eastAsia="zh-CN"/>
        </w:rPr>
        <w:t>患者</w:t>
      </w:r>
      <w:r w:rsidRPr="00742C75">
        <w:rPr>
          <w:rFonts w:ascii="Times New Roman" w:eastAsia="宋体" w:hAnsi="Times New Roman" w:cs="宋体"/>
          <w:sz w:val="24"/>
          <w:lang w:eastAsia="zh-CN"/>
        </w:rPr>
        <w:t>/</w:t>
      </w:r>
      <w:r w:rsidRPr="00742C75">
        <w:rPr>
          <w:rFonts w:ascii="Times New Roman" w:eastAsia="宋体" w:hAnsi="Times New Roman" w:cs="宋体"/>
          <w:sz w:val="24"/>
          <w:lang w:eastAsia="zh-CN"/>
        </w:rPr>
        <w:t>护理人员人群可以合理分配典型体积。对于父母或</w:t>
      </w:r>
      <w:r w:rsidR="00AA2328">
        <w:rPr>
          <w:rFonts w:ascii="Times New Roman" w:eastAsia="宋体" w:hAnsi="Times New Roman" w:cs="宋体" w:hint="eastAsia"/>
          <w:sz w:val="24"/>
          <w:lang w:eastAsia="zh-CN"/>
        </w:rPr>
        <w:t>看护</w:t>
      </w:r>
      <w:r w:rsidRPr="00742C75">
        <w:rPr>
          <w:rFonts w:ascii="Times New Roman" w:eastAsia="宋体" w:hAnsi="Times New Roman" w:cs="宋体"/>
          <w:sz w:val="24"/>
          <w:lang w:eastAsia="zh-CN"/>
        </w:rPr>
        <w:t>者来说，一些限制性给药系统设计可能使得高粘度产品很难取出。相反，自由流动的低粘度产品可以受益于更严格的限制性包装设计。</w:t>
      </w:r>
    </w:p>
    <w:p w14:paraId="5B7B5EA9" w14:textId="77777777" w:rsidR="00CE3E13" w:rsidRPr="00203E1B" w:rsidRDefault="00CE3E13" w:rsidP="00203E1B">
      <w:pPr>
        <w:pStyle w:val="21"/>
      </w:pPr>
      <w:bookmarkStart w:id="6" w:name="_Toc91867165"/>
      <w:r w:rsidRPr="00742C75">
        <w:rPr>
          <w:rFonts w:eastAsia="宋体" w:cs="宋体"/>
        </w:rPr>
        <w:t>B.</w:t>
      </w:r>
      <w:r w:rsidRPr="00742C75">
        <w:rPr>
          <w:rFonts w:eastAsia="宋体" w:cs="宋体"/>
        </w:rPr>
        <w:tab/>
      </w:r>
      <w:r w:rsidRPr="00742C75">
        <w:rPr>
          <w:rFonts w:eastAsia="宋体" w:cs="宋体"/>
        </w:rPr>
        <w:t>人为因素和设计考量</w:t>
      </w:r>
      <w:bookmarkEnd w:id="6"/>
    </w:p>
    <w:p w14:paraId="26EB5928" w14:textId="6C05A85B"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除上述信息外，在选择最适合的口服液体</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给药系统时应注意以下设计</w:t>
      </w:r>
      <w:proofErr w:type="gramStart"/>
      <w:r w:rsidRPr="00742C75">
        <w:rPr>
          <w:rFonts w:ascii="Times New Roman" w:eastAsia="宋体" w:hAnsi="Times New Roman" w:cs="宋体"/>
          <w:sz w:val="24"/>
          <w:lang w:eastAsia="zh-CN"/>
        </w:rPr>
        <w:t>考量</w:t>
      </w:r>
      <w:proofErr w:type="gramEnd"/>
      <w:r w:rsidRPr="00742C75">
        <w:rPr>
          <w:rFonts w:ascii="Times New Roman" w:eastAsia="宋体" w:hAnsi="Times New Roman" w:cs="宋体"/>
          <w:sz w:val="24"/>
          <w:lang w:eastAsia="zh-CN"/>
        </w:rPr>
        <w:t>：</w:t>
      </w:r>
    </w:p>
    <w:p w14:paraId="2DC80C41" w14:textId="77777777" w:rsidR="00CE3E13" w:rsidRPr="00203E1B" w:rsidRDefault="00CE3E13" w:rsidP="00203E1B">
      <w:pPr>
        <w:pStyle w:val="a4"/>
        <w:numPr>
          <w:ilvl w:val="0"/>
          <w:numId w:val="14"/>
        </w:numPr>
        <w:adjustRightInd w:val="0"/>
        <w:snapToGrid w:val="0"/>
        <w:spacing w:beforeLines="50" w:before="120" w:line="300" w:lineRule="auto"/>
        <w:ind w:left="851"/>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限制性给药系统应采用可口腔、皮肤使用和粘膜接触安全的以及与药物配方兼容的材料制成。</w:t>
      </w:r>
      <w:r w:rsidRPr="00742C75">
        <w:rPr>
          <w:rFonts w:ascii="Times New Roman" w:eastAsia="宋体" w:hAnsi="Times New Roman" w:cs="宋体"/>
          <w:sz w:val="24"/>
          <w:vertAlign w:val="superscript"/>
        </w:rPr>
        <w:t>33</w:t>
      </w:r>
    </w:p>
    <w:p w14:paraId="6E8AE058"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r w:rsidRPr="00742C75">
        <w:rPr>
          <w:rFonts w:ascii="Times New Roman" w:eastAsia="宋体" w:hAnsi="Times New Roman" w:cs="宋体"/>
          <w:sz w:val="24"/>
        </w:rPr>
        <w:t>_____________________</w:t>
      </w:r>
    </w:p>
    <w:p w14:paraId="60CD7BCA" w14:textId="45111A19" w:rsidR="00CE3E13" w:rsidRPr="00CE3E13" w:rsidRDefault="00CE3E13" w:rsidP="00670F08">
      <w:pPr>
        <w:pStyle w:val="a9"/>
        <w:tabs>
          <w:tab w:val="clear" w:pos="835"/>
        </w:tabs>
        <w:rPr>
          <w:lang w:eastAsia="zh-CN" w:bidi="en-US"/>
        </w:rPr>
      </w:pPr>
      <w:r w:rsidRPr="00742C75">
        <w:rPr>
          <w:rFonts w:eastAsia="宋体" w:cs="宋体"/>
          <w:vertAlign w:val="superscript"/>
        </w:rPr>
        <w:t>30</w:t>
      </w:r>
      <w:r w:rsidRPr="00742C75">
        <w:rPr>
          <w:rFonts w:eastAsia="宋体" w:cs="宋体"/>
        </w:rPr>
        <w:t xml:space="preserve"> Chyka PA, Erdman AR, </w:t>
      </w:r>
      <w:proofErr w:type="spellStart"/>
      <w:r w:rsidRPr="00742C75">
        <w:rPr>
          <w:rFonts w:eastAsia="宋体" w:cs="宋体"/>
        </w:rPr>
        <w:t>Manoguerra</w:t>
      </w:r>
      <w:proofErr w:type="spellEnd"/>
      <w:r w:rsidRPr="00742C75">
        <w:rPr>
          <w:rFonts w:eastAsia="宋体" w:cs="宋体"/>
        </w:rPr>
        <w:t xml:space="preserve"> AS, Christianson G, Booze LL, Nelson LS, Woolf AD, </w:t>
      </w:r>
      <w:proofErr w:type="spellStart"/>
      <w:r w:rsidRPr="00742C75">
        <w:rPr>
          <w:rFonts w:eastAsia="宋体" w:cs="宋体"/>
        </w:rPr>
        <w:t>Cobaugh</w:t>
      </w:r>
      <w:proofErr w:type="spellEnd"/>
      <w:r w:rsidRPr="00742C75">
        <w:rPr>
          <w:rFonts w:eastAsia="宋体" w:cs="宋体"/>
        </w:rPr>
        <w:t xml:space="preserve"> DJ, </w:t>
      </w:r>
      <w:proofErr w:type="spellStart"/>
      <w:r w:rsidRPr="00742C75">
        <w:rPr>
          <w:rFonts w:eastAsia="宋体" w:cs="宋体"/>
        </w:rPr>
        <w:t>Caravati</w:t>
      </w:r>
      <w:proofErr w:type="spellEnd"/>
      <w:r w:rsidRPr="00742C75">
        <w:rPr>
          <w:rFonts w:eastAsia="宋体" w:cs="宋体"/>
        </w:rPr>
        <w:t xml:space="preserve"> EM, </w:t>
      </w:r>
      <w:proofErr w:type="spellStart"/>
      <w:r w:rsidRPr="00742C75">
        <w:rPr>
          <w:rFonts w:eastAsia="宋体" w:cs="宋体"/>
        </w:rPr>
        <w:t>Scharman</w:t>
      </w:r>
      <w:proofErr w:type="spellEnd"/>
      <w:r w:rsidRPr="00742C75">
        <w:rPr>
          <w:rFonts w:eastAsia="宋体" w:cs="宋体"/>
        </w:rPr>
        <w:t xml:space="preserve"> EJ, Troutman WD</w:t>
      </w:r>
      <w:r w:rsidRPr="00742C75">
        <w:rPr>
          <w:rFonts w:eastAsia="宋体" w:cs="宋体"/>
        </w:rPr>
        <w:t>。</w:t>
      </w:r>
      <w:r w:rsidRPr="00742C75">
        <w:rPr>
          <w:rFonts w:eastAsia="宋体" w:cs="宋体"/>
          <w:lang w:eastAsia="zh-CN"/>
        </w:rPr>
        <w:t>右美沙芬中毒：院外管理的循证共识指南。临床毒理学</w:t>
      </w:r>
      <w:r w:rsidRPr="00742C75">
        <w:rPr>
          <w:rFonts w:eastAsia="宋体" w:cs="宋体"/>
          <w:lang w:eastAsia="zh-CN"/>
        </w:rPr>
        <w:t>2008</w:t>
      </w:r>
      <w:r w:rsidRPr="00742C75">
        <w:rPr>
          <w:rFonts w:eastAsia="宋体" w:cs="宋体"/>
          <w:lang w:eastAsia="zh-CN"/>
        </w:rPr>
        <w:t>年</w:t>
      </w:r>
      <w:r w:rsidRPr="00742C75">
        <w:rPr>
          <w:rFonts w:eastAsia="宋体" w:cs="宋体"/>
          <w:lang w:eastAsia="zh-CN"/>
        </w:rPr>
        <w:t>; 45(6): 662-677, DOI: 10.1080/15563650701606443</w:t>
      </w:r>
      <w:r w:rsidRPr="00742C75">
        <w:rPr>
          <w:rFonts w:eastAsia="宋体" w:cs="宋体"/>
          <w:lang w:eastAsia="zh-CN"/>
        </w:rPr>
        <w:t>。</w:t>
      </w:r>
    </w:p>
    <w:p w14:paraId="4612DCE8" w14:textId="3C231D34" w:rsidR="00CE3E13" w:rsidRPr="00CE3E13" w:rsidRDefault="00CE3E13" w:rsidP="00670F08">
      <w:pPr>
        <w:pStyle w:val="a9"/>
        <w:tabs>
          <w:tab w:val="clear" w:pos="835"/>
        </w:tabs>
        <w:rPr>
          <w:lang w:eastAsia="zh-CN" w:bidi="en-US"/>
        </w:rPr>
      </w:pPr>
      <w:r w:rsidRPr="00742C75">
        <w:rPr>
          <w:rFonts w:eastAsia="宋体" w:cs="宋体"/>
          <w:vertAlign w:val="superscript"/>
        </w:rPr>
        <w:t>31</w:t>
      </w:r>
      <w:r w:rsidRPr="00742C75">
        <w:rPr>
          <w:rFonts w:eastAsia="宋体" w:cs="宋体"/>
        </w:rPr>
        <w:t xml:space="preserve"> </w:t>
      </w:r>
      <w:proofErr w:type="spellStart"/>
      <w:r w:rsidRPr="00742C75">
        <w:rPr>
          <w:rFonts w:eastAsia="宋体" w:cs="宋体"/>
        </w:rPr>
        <w:t>Scharman</w:t>
      </w:r>
      <w:proofErr w:type="spellEnd"/>
      <w:r w:rsidRPr="00742C75">
        <w:rPr>
          <w:rFonts w:eastAsia="宋体" w:cs="宋体"/>
        </w:rPr>
        <w:t xml:space="preserve"> EJ, Erdman AR, Wax PM, Chyka PA, </w:t>
      </w:r>
      <w:proofErr w:type="spellStart"/>
      <w:r w:rsidRPr="00742C75">
        <w:rPr>
          <w:rFonts w:eastAsia="宋体" w:cs="宋体"/>
        </w:rPr>
        <w:t>Caravati</w:t>
      </w:r>
      <w:proofErr w:type="spellEnd"/>
      <w:r w:rsidRPr="00742C75">
        <w:rPr>
          <w:rFonts w:eastAsia="宋体" w:cs="宋体"/>
        </w:rPr>
        <w:t xml:space="preserve"> EM, Nelson LS, </w:t>
      </w:r>
      <w:proofErr w:type="spellStart"/>
      <w:r w:rsidRPr="00742C75">
        <w:rPr>
          <w:rFonts w:eastAsia="宋体" w:cs="宋体"/>
        </w:rPr>
        <w:t>Manoguerra</w:t>
      </w:r>
      <w:proofErr w:type="spellEnd"/>
      <w:r w:rsidRPr="00742C75">
        <w:rPr>
          <w:rFonts w:eastAsia="宋体" w:cs="宋体"/>
        </w:rPr>
        <w:t xml:space="preserve"> AS, Christianson G, Olson KR, Woolf AD, Keyes DC, Booze LL, Troutman WG</w:t>
      </w:r>
      <w:r w:rsidRPr="00742C75">
        <w:rPr>
          <w:rFonts w:eastAsia="宋体" w:cs="宋体"/>
        </w:rPr>
        <w:t>。</w:t>
      </w:r>
      <w:r w:rsidRPr="00742C75">
        <w:rPr>
          <w:rFonts w:eastAsia="宋体" w:cs="宋体"/>
          <w:lang w:eastAsia="zh-CN"/>
        </w:rPr>
        <w:t>苯海拉明和茶苯海明中毒：院外管理的循证共识指南。临床毒理学</w:t>
      </w:r>
      <w:r w:rsidRPr="00742C75">
        <w:rPr>
          <w:rFonts w:eastAsia="宋体" w:cs="宋体"/>
          <w:lang w:eastAsia="zh-CN"/>
        </w:rPr>
        <w:t>2008</w:t>
      </w:r>
      <w:r w:rsidRPr="00742C75">
        <w:rPr>
          <w:rFonts w:eastAsia="宋体" w:cs="宋体"/>
          <w:lang w:eastAsia="zh-CN"/>
        </w:rPr>
        <w:t>年</w:t>
      </w:r>
      <w:r w:rsidRPr="00742C75">
        <w:rPr>
          <w:rFonts w:eastAsia="宋体" w:cs="宋体"/>
          <w:lang w:eastAsia="zh-CN"/>
        </w:rPr>
        <w:t>; 44(3): 205-223, DOI: 10.1080/15563650600585920</w:t>
      </w:r>
      <w:r w:rsidRPr="00742C75">
        <w:rPr>
          <w:rFonts w:eastAsia="宋体" w:cs="宋体"/>
          <w:lang w:eastAsia="zh-CN"/>
        </w:rPr>
        <w:t>。</w:t>
      </w:r>
    </w:p>
    <w:p w14:paraId="5CB19908" w14:textId="4999497E"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32</w:t>
      </w:r>
      <w:r w:rsidRPr="00742C75">
        <w:rPr>
          <w:rFonts w:eastAsia="宋体" w:cs="宋体"/>
          <w:lang w:eastAsia="zh-CN"/>
        </w:rPr>
        <w:t>将</w:t>
      </w:r>
      <w:r w:rsidRPr="00742C75">
        <w:rPr>
          <w:rFonts w:eastAsia="宋体" w:cs="宋体"/>
          <w:i/>
          <w:lang w:eastAsia="zh-CN"/>
        </w:rPr>
        <w:t>狭窄治疗指数药物</w:t>
      </w:r>
      <w:r w:rsidRPr="00742C75">
        <w:rPr>
          <w:rFonts w:eastAsia="宋体" w:cs="宋体"/>
          <w:lang w:eastAsia="zh-CN"/>
        </w:rPr>
        <w:t>定义为剂量或血药浓度微小差异可能导致严重治疗失败和</w:t>
      </w:r>
      <w:r w:rsidRPr="00742C75">
        <w:rPr>
          <w:rFonts w:eastAsia="宋体" w:cs="宋体"/>
          <w:lang w:eastAsia="zh-CN"/>
        </w:rPr>
        <w:t>/</w:t>
      </w:r>
      <w:r w:rsidRPr="00742C75">
        <w:rPr>
          <w:rFonts w:eastAsia="宋体" w:cs="宋体"/>
          <w:lang w:eastAsia="zh-CN"/>
        </w:rPr>
        <w:t>或危及生命或导致持续或显著残疾或失能的药物不良反应的药物。参见：</w:t>
      </w:r>
      <w:r w:rsidRPr="00742C75">
        <w:rPr>
          <w:rFonts w:eastAsia="宋体" w:cs="宋体"/>
          <w:lang w:eastAsia="zh-CN"/>
        </w:rPr>
        <w:t xml:space="preserve">Yu LX, Jiang W, Zhang X, </w:t>
      </w:r>
      <w:proofErr w:type="spellStart"/>
      <w:r w:rsidRPr="00742C75">
        <w:rPr>
          <w:rFonts w:eastAsia="宋体" w:cs="宋体"/>
          <w:lang w:eastAsia="zh-CN"/>
        </w:rPr>
        <w:t>Lionberger</w:t>
      </w:r>
      <w:proofErr w:type="spellEnd"/>
      <w:r w:rsidRPr="00742C75">
        <w:rPr>
          <w:rFonts w:eastAsia="宋体" w:cs="宋体"/>
          <w:lang w:eastAsia="zh-CN"/>
        </w:rPr>
        <w:t xml:space="preserve"> R, </w:t>
      </w:r>
      <w:proofErr w:type="spellStart"/>
      <w:r w:rsidRPr="00742C75">
        <w:rPr>
          <w:rFonts w:eastAsia="宋体" w:cs="宋体"/>
          <w:lang w:eastAsia="zh-CN"/>
        </w:rPr>
        <w:t>Makhlouf</w:t>
      </w:r>
      <w:proofErr w:type="spellEnd"/>
      <w:r w:rsidRPr="00742C75">
        <w:rPr>
          <w:rFonts w:eastAsia="宋体" w:cs="宋体"/>
          <w:lang w:eastAsia="zh-CN"/>
        </w:rPr>
        <w:t xml:space="preserve"> F, </w:t>
      </w:r>
      <w:proofErr w:type="spellStart"/>
      <w:r w:rsidRPr="00742C75">
        <w:rPr>
          <w:rFonts w:eastAsia="宋体" w:cs="宋体"/>
          <w:lang w:eastAsia="zh-CN"/>
        </w:rPr>
        <w:t>Schuhmann</w:t>
      </w:r>
      <w:proofErr w:type="spellEnd"/>
      <w:r w:rsidRPr="00742C75">
        <w:rPr>
          <w:rFonts w:eastAsia="宋体" w:cs="宋体"/>
          <w:lang w:eastAsia="zh-CN"/>
        </w:rPr>
        <w:t xml:space="preserve"> DJ, </w:t>
      </w:r>
      <w:proofErr w:type="spellStart"/>
      <w:r w:rsidRPr="00742C75">
        <w:rPr>
          <w:rFonts w:eastAsia="宋体" w:cs="宋体"/>
          <w:lang w:eastAsia="zh-CN"/>
        </w:rPr>
        <w:t>Muldowney</w:t>
      </w:r>
      <w:proofErr w:type="spellEnd"/>
      <w:r w:rsidRPr="00742C75">
        <w:rPr>
          <w:rFonts w:eastAsia="宋体" w:cs="宋体"/>
          <w:lang w:eastAsia="zh-CN"/>
        </w:rPr>
        <w:t xml:space="preserve"> L, Chen ML, Davit B, Conner D, Woodcock J</w:t>
      </w:r>
      <w:r w:rsidRPr="00742C75">
        <w:rPr>
          <w:rFonts w:eastAsia="宋体" w:cs="宋体"/>
          <w:lang w:eastAsia="zh-CN"/>
        </w:rPr>
        <w:t>。狭窄治疗指数药物的新型生物等效性方法。临床药理学和治疗方法</w:t>
      </w:r>
      <w:r w:rsidRPr="00742C75">
        <w:rPr>
          <w:rFonts w:eastAsia="宋体" w:cs="宋体"/>
          <w:lang w:eastAsia="zh-CN"/>
        </w:rPr>
        <w:t>2015</w:t>
      </w:r>
      <w:r w:rsidRPr="00742C75">
        <w:rPr>
          <w:rFonts w:eastAsia="宋体" w:cs="宋体"/>
          <w:lang w:eastAsia="zh-CN"/>
        </w:rPr>
        <w:t>年</w:t>
      </w:r>
      <w:r w:rsidRPr="00742C75">
        <w:rPr>
          <w:rFonts w:eastAsia="宋体" w:cs="宋体"/>
          <w:lang w:eastAsia="zh-CN"/>
        </w:rPr>
        <w:t>; 97(3): 286-291</w:t>
      </w:r>
      <w:r w:rsidRPr="00742C75">
        <w:rPr>
          <w:rFonts w:eastAsia="宋体" w:cs="宋体"/>
          <w:lang w:eastAsia="zh-CN"/>
        </w:rPr>
        <w:t>。</w:t>
      </w:r>
    </w:p>
    <w:p w14:paraId="24489F33" w14:textId="30188EDD" w:rsidR="00CE3E13" w:rsidRPr="00CE3E13" w:rsidRDefault="00CE3E13" w:rsidP="00670F08">
      <w:pPr>
        <w:pStyle w:val="a9"/>
        <w:tabs>
          <w:tab w:val="clear" w:pos="835"/>
          <w:tab w:val="left" w:pos="426"/>
        </w:tabs>
        <w:rPr>
          <w:lang w:eastAsia="zh-CN" w:bidi="en-US"/>
        </w:rPr>
      </w:pPr>
      <w:r w:rsidRPr="00742C75">
        <w:rPr>
          <w:rFonts w:eastAsia="宋体" w:cs="宋体"/>
          <w:vertAlign w:val="superscript"/>
          <w:lang w:eastAsia="zh-CN"/>
        </w:rPr>
        <w:t>33</w:t>
      </w:r>
      <w:r w:rsidRPr="00742C75">
        <w:rPr>
          <w:rFonts w:eastAsia="宋体" w:cs="宋体"/>
          <w:lang w:eastAsia="zh-CN"/>
        </w:rPr>
        <w:t>《人用药品和生物制品包装用容器密封系统行业指南》（</w:t>
      </w:r>
      <w:r w:rsidRPr="00742C75">
        <w:rPr>
          <w:rFonts w:eastAsia="宋体" w:cs="宋体"/>
          <w:lang w:eastAsia="zh-CN"/>
        </w:rPr>
        <w:t>1999</w:t>
      </w:r>
      <w:r w:rsidRPr="00742C75">
        <w:rPr>
          <w:rFonts w:eastAsia="宋体" w:cs="宋体"/>
          <w:lang w:eastAsia="zh-CN"/>
        </w:rPr>
        <w:t>年</w:t>
      </w:r>
      <w:r w:rsidRPr="00742C75">
        <w:rPr>
          <w:rFonts w:eastAsia="宋体" w:cs="宋体"/>
          <w:lang w:eastAsia="zh-CN"/>
        </w:rPr>
        <w:t>5</w:t>
      </w:r>
      <w:r w:rsidRPr="00742C75">
        <w:rPr>
          <w:rFonts w:eastAsia="宋体" w:cs="宋体"/>
          <w:lang w:eastAsia="zh-CN"/>
        </w:rPr>
        <w:t>月）。</w:t>
      </w:r>
      <w:r w:rsidR="000D4700">
        <w:rPr>
          <w:rFonts w:eastAsia="宋体" w:cs="宋体" w:hint="eastAsia"/>
          <w:lang w:eastAsia="zh-CN"/>
        </w:rPr>
        <w:t>本机构</w:t>
      </w:r>
      <w:r w:rsidRPr="00742C75">
        <w:rPr>
          <w:rFonts w:eastAsia="宋体" w:cs="宋体"/>
          <w:lang w:eastAsia="zh-CN"/>
        </w:rPr>
        <w:t>会定期更新指南。对于最新版本的指南，可登录</w:t>
      </w:r>
      <w:r w:rsidRPr="00742C75">
        <w:rPr>
          <w:rFonts w:eastAsia="宋体" w:cs="宋体"/>
          <w:lang w:eastAsia="zh-CN"/>
        </w:rPr>
        <w:t>FDA</w:t>
      </w:r>
      <w:r w:rsidRPr="00742C75">
        <w:rPr>
          <w:rFonts w:eastAsia="宋体" w:cs="宋体"/>
          <w:lang w:eastAsia="zh-CN"/>
        </w:rPr>
        <w:t>指南网页获取：</w:t>
      </w:r>
      <w:r w:rsidRPr="00742C75">
        <w:rPr>
          <w:rFonts w:eastAsia="宋体" w:cs="宋体"/>
          <w:lang w:eastAsia="zh-CN"/>
        </w:rPr>
        <w:t>https://www.fda.gov/RegulatoryInformation/Guidances/default.htm</w:t>
      </w:r>
      <w:r w:rsidRPr="00742C75">
        <w:rPr>
          <w:rFonts w:eastAsia="宋体" w:cs="宋体"/>
          <w:lang w:eastAsia="zh-CN"/>
        </w:rPr>
        <w:t>。</w:t>
      </w:r>
    </w:p>
    <w:p w14:paraId="11103275" w14:textId="77777777" w:rsidR="00203E1B" w:rsidRDefault="00203E1B">
      <w:pPr>
        <w:rPr>
          <w:rFonts w:ascii="Times New Roman" w:hAnsi="Times New Roman" w:cs="Times New Roman"/>
          <w:b/>
          <w:bCs/>
          <w:i/>
          <w:iCs/>
          <w:snapToGrid w:val="0"/>
          <w:sz w:val="24"/>
          <w:szCs w:val="24"/>
          <w:lang w:eastAsia="zh-CN" w:bidi="en-US"/>
        </w:rPr>
      </w:pPr>
      <w:r w:rsidRPr="00742C75">
        <w:rPr>
          <w:rFonts w:ascii="Times New Roman" w:eastAsia="宋体" w:hAnsi="Times New Roman" w:cs="宋体"/>
          <w:b/>
          <w:i/>
          <w:sz w:val="24"/>
          <w:lang w:eastAsia="zh-CN"/>
        </w:rPr>
        <w:br w:type="page"/>
      </w:r>
    </w:p>
    <w:p w14:paraId="356C7E8F" w14:textId="77777777" w:rsidR="00CE3E13" w:rsidRPr="00203E1B" w:rsidRDefault="00CE3E13" w:rsidP="00742C75">
      <w:pPr>
        <w:pStyle w:val="a4"/>
        <w:numPr>
          <w:ilvl w:val="0"/>
          <w:numId w:val="14"/>
        </w:numPr>
        <w:adjustRightInd w:val="0"/>
        <w:snapToGrid w:val="0"/>
        <w:spacing w:beforeLines="15" w:before="36" w:line="276" w:lineRule="auto"/>
        <w:ind w:left="851"/>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lastRenderedPageBreak/>
        <w:t>如果给药装置应用于限制性给药系统，产品包装中应包括兼容的给药装置。</w:t>
      </w:r>
    </w:p>
    <w:p w14:paraId="1E3FF570" w14:textId="77777777" w:rsidR="00CE3E13" w:rsidRPr="00CE3E13" w:rsidRDefault="00CE3E13" w:rsidP="00742C75">
      <w:pPr>
        <w:tabs>
          <w:tab w:val="left" w:pos="719"/>
        </w:tabs>
        <w:adjustRightInd w:val="0"/>
        <w:snapToGrid w:val="0"/>
        <w:spacing w:beforeLines="15" w:before="36" w:line="276"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以下考量特别适用于限流器：</w:t>
      </w:r>
    </w:p>
    <w:p w14:paraId="16B79A17" w14:textId="77777777" w:rsidR="00CE3E13" w:rsidRPr="00203E1B" w:rsidRDefault="00CE3E13" w:rsidP="00742C75">
      <w:pPr>
        <w:pStyle w:val="a4"/>
        <w:numPr>
          <w:ilvl w:val="0"/>
          <w:numId w:val="16"/>
        </w:numPr>
        <w:adjustRightInd w:val="0"/>
        <w:snapToGrid w:val="0"/>
        <w:spacing w:beforeLines="15" w:before="36" w:line="276" w:lineRule="auto"/>
        <w:ind w:left="851"/>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应考虑不同类型的限流器（例如开放型或封闭型），并应使用最佳限流器。</w:t>
      </w:r>
    </w:p>
    <w:p w14:paraId="1C9F1403" w14:textId="77777777" w:rsidR="00CE3E13" w:rsidRPr="00203E1B" w:rsidRDefault="00CE3E13" w:rsidP="00742C75">
      <w:pPr>
        <w:pStyle w:val="a4"/>
        <w:numPr>
          <w:ilvl w:val="0"/>
          <w:numId w:val="16"/>
        </w:numPr>
        <w:adjustRightInd w:val="0"/>
        <w:snapToGrid w:val="0"/>
        <w:spacing w:beforeLines="15" w:before="36" w:line="276" w:lineRule="auto"/>
        <w:ind w:left="851"/>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限流器在使用时不应泄漏。</w:t>
      </w:r>
    </w:p>
    <w:p w14:paraId="1DCF7EA6" w14:textId="3203CFDC" w:rsidR="00CE3E13" w:rsidRPr="00203E1B" w:rsidRDefault="00CE3E13" w:rsidP="00742C75">
      <w:pPr>
        <w:pStyle w:val="a4"/>
        <w:numPr>
          <w:ilvl w:val="0"/>
          <w:numId w:val="16"/>
        </w:numPr>
        <w:adjustRightInd w:val="0"/>
        <w:snapToGrid w:val="0"/>
        <w:spacing w:beforeLines="15" w:before="36" w:line="276" w:lineRule="auto"/>
        <w:ind w:left="851"/>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性能测试应包括液体药物容器中可用的最大剂量乘以系数</w:t>
      </w:r>
      <w:r w:rsidRPr="00742C75">
        <w:rPr>
          <w:rFonts w:ascii="Times New Roman" w:eastAsia="宋体" w:hAnsi="Times New Roman" w:cs="宋体"/>
          <w:sz w:val="24"/>
          <w:lang w:eastAsia="zh-CN"/>
        </w:rPr>
        <w:t>1.5</w:t>
      </w:r>
      <w:r w:rsidRPr="00742C75">
        <w:rPr>
          <w:rFonts w:ascii="Times New Roman" w:eastAsia="宋体" w:hAnsi="Times New Roman" w:cs="宋体"/>
          <w:sz w:val="24"/>
          <w:lang w:eastAsia="zh-CN"/>
        </w:rPr>
        <w:t>的测试。例如，预期递送</w:t>
      </w:r>
      <w:r w:rsidRPr="00742C75">
        <w:rPr>
          <w:rFonts w:ascii="Times New Roman" w:eastAsia="宋体" w:hAnsi="Times New Roman" w:cs="宋体"/>
          <w:sz w:val="24"/>
          <w:lang w:eastAsia="zh-CN"/>
        </w:rPr>
        <w:t>5 mL</w:t>
      </w:r>
      <w:r w:rsidRPr="00742C75">
        <w:rPr>
          <w:rFonts w:ascii="Times New Roman" w:eastAsia="宋体" w:hAnsi="Times New Roman" w:cs="宋体"/>
          <w:sz w:val="24"/>
          <w:lang w:eastAsia="zh-CN"/>
        </w:rPr>
        <w:t>剂量的</w:t>
      </w:r>
      <w:r w:rsidRPr="00742C75">
        <w:rPr>
          <w:rFonts w:ascii="Times New Roman" w:eastAsia="宋体" w:hAnsi="Times New Roman" w:cs="宋体"/>
          <w:sz w:val="24"/>
          <w:lang w:eastAsia="zh-CN"/>
        </w:rPr>
        <w:t>100 mL</w:t>
      </w:r>
      <w:r w:rsidRPr="00742C75">
        <w:rPr>
          <w:rFonts w:ascii="Times New Roman" w:eastAsia="宋体" w:hAnsi="Times New Roman" w:cs="宋体"/>
          <w:sz w:val="24"/>
          <w:lang w:eastAsia="zh-CN"/>
        </w:rPr>
        <w:t>的药瓶（共含有</w:t>
      </w:r>
      <w:r w:rsidRPr="00742C75">
        <w:rPr>
          <w:rFonts w:ascii="Times New Roman" w:eastAsia="宋体" w:hAnsi="Times New Roman" w:cs="宋体"/>
          <w:sz w:val="24"/>
          <w:lang w:eastAsia="zh-CN"/>
        </w:rPr>
        <w:t>20</w:t>
      </w:r>
      <w:r w:rsidRPr="00742C75">
        <w:rPr>
          <w:rFonts w:ascii="Times New Roman" w:eastAsia="宋体" w:hAnsi="Times New Roman" w:cs="宋体"/>
          <w:sz w:val="24"/>
          <w:lang w:eastAsia="zh-CN"/>
        </w:rPr>
        <w:t>剂</w:t>
      </w:r>
      <w:r w:rsidRPr="00742C75">
        <w:rPr>
          <w:rFonts w:ascii="Times New Roman" w:eastAsia="宋体" w:hAnsi="Times New Roman" w:cs="宋体"/>
          <w:sz w:val="24"/>
          <w:lang w:eastAsia="zh-CN"/>
        </w:rPr>
        <w:t>5 mL</w:t>
      </w:r>
      <w:r w:rsidRPr="00742C75">
        <w:rPr>
          <w:rFonts w:ascii="Times New Roman" w:eastAsia="宋体" w:hAnsi="Times New Roman" w:cs="宋体"/>
          <w:sz w:val="24"/>
          <w:lang w:eastAsia="zh-CN"/>
        </w:rPr>
        <w:t>的剂量）应检测</w:t>
      </w:r>
      <w:r w:rsidRPr="00742C75">
        <w:rPr>
          <w:rFonts w:ascii="Times New Roman" w:eastAsia="宋体" w:hAnsi="Times New Roman" w:cs="宋体"/>
          <w:sz w:val="24"/>
          <w:lang w:eastAsia="zh-CN"/>
        </w:rPr>
        <w:t>30</w:t>
      </w:r>
      <w:r w:rsidRPr="00742C75">
        <w:rPr>
          <w:rFonts w:ascii="Times New Roman" w:eastAsia="宋体" w:hAnsi="Times New Roman" w:cs="宋体"/>
          <w:sz w:val="24"/>
          <w:lang w:eastAsia="zh-CN"/>
        </w:rPr>
        <w:t>次（可用的</w:t>
      </w:r>
      <w:r w:rsidRPr="00742C75">
        <w:rPr>
          <w:rFonts w:ascii="Times New Roman" w:eastAsia="宋体" w:hAnsi="Times New Roman" w:cs="宋体"/>
          <w:sz w:val="24"/>
          <w:lang w:eastAsia="zh-CN"/>
        </w:rPr>
        <w:t>20</w:t>
      </w:r>
      <w:r w:rsidR="000F02FA">
        <w:rPr>
          <w:rFonts w:ascii="Times New Roman" w:eastAsia="宋体" w:hAnsi="Times New Roman" w:cs="宋体"/>
          <w:sz w:val="24"/>
          <w:lang w:eastAsia="zh-CN"/>
        </w:rPr>
        <w:t>剂</w:t>
      </w:r>
      <w:r w:rsidR="000F02FA">
        <w:rPr>
          <w:rFonts w:ascii="Times New Roman" w:eastAsia="宋体" w:hAnsi="Times New Roman" w:cs="宋体"/>
          <w:sz w:val="24"/>
          <w:lang w:eastAsia="zh-CN"/>
        </w:rPr>
        <w:t>×</w:t>
      </w:r>
      <w:r w:rsidR="000F02FA">
        <w:rPr>
          <w:rFonts w:ascii="Times New Roman" w:eastAsia="宋体" w:hAnsi="Times New Roman" w:cs="宋体" w:hint="eastAsia"/>
          <w:sz w:val="24"/>
          <w:lang w:eastAsia="zh-CN"/>
        </w:rPr>
        <w:t xml:space="preserve"> </w:t>
      </w:r>
      <w:r w:rsidRPr="00742C75">
        <w:rPr>
          <w:rFonts w:ascii="Times New Roman" w:eastAsia="宋体" w:hAnsi="Times New Roman" w:cs="宋体"/>
          <w:sz w:val="24"/>
          <w:lang w:eastAsia="zh-CN"/>
        </w:rPr>
        <w:t>1.5</w:t>
      </w:r>
      <w:r w:rsidRPr="00742C75">
        <w:rPr>
          <w:rFonts w:ascii="Times New Roman" w:eastAsia="宋体" w:hAnsi="Times New Roman" w:cs="宋体"/>
          <w:sz w:val="24"/>
          <w:lang w:eastAsia="zh-CN"/>
        </w:rPr>
        <w:t>安全裕度</w:t>
      </w:r>
      <w:r w:rsidRPr="00742C75">
        <w:rPr>
          <w:rFonts w:ascii="Times New Roman" w:eastAsia="宋体" w:hAnsi="Times New Roman" w:cs="宋体"/>
          <w:sz w:val="24"/>
          <w:lang w:eastAsia="zh-CN"/>
        </w:rPr>
        <w:t>= 30</w:t>
      </w:r>
      <w:r w:rsidRPr="00742C75">
        <w:rPr>
          <w:rFonts w:ascii="Times New Roman" w:eastAsia="宋体" w:hAnsi="Times New Roman" w:cs="宋体"/>
          <w:sz w:val="24"/>
          <w:lang w:eastAsia="zh-CN"/>
        </w:rPr>
        <w:t>次性能检测）。这些性能测试应按照所有指定的方向进行，或者在没有指定的情况下，按照产品标签定义的所有可能容器方向进行。</w:t>
      </w:r>
      <w:r w:rsidRPr="00742C75">
        <w:rPr>
          <w:rFonts w:ascii="Times New Roman" w:eastAsia="宋体" w:hAnsi="Times New Roman" w:cs="宋体"/>
          <w:sz w:val="24"/>
          <w:vertAlign w:val="superscript"/>
          <w:lang w:eastAsia="zh-CN"/>
        </w:rPr>
        <w:t>34</w:t>
      </w:r>
      <w:r w:rsidRPr="00742C75">
        <w:rPr>
          <w:rFonts w:ascii="Times New Roman" w:eastAsia="宋体" w:hAnsi="Times New Roman" w:cs="宋体"/>
          <w:sz w:val="24"/>
          <w:lang w:eastAsia="zh-CN"/>
        </w:rPr>
        <w:t>在设计过程中，应仔细考量并评价给药装置（例如经校准和贴标的口腔注射器）与限制性给药系统的相容性。</w:t>
      </w:r>
    </w:p>
    <w:p w14:paraId="3C3A6BB0" w14:textId="76B32F0F" w:rsidR="00CE3E13" w:rsidRPr="00CE3E13" w:rsidRDefault="00CE3E13" w:rsidP="00742C75">
      <w:pPr>
        <w:tabs>
          <w:tab w:val="left" w:pos="719"/>
        </w:tabs>
        <w:adjustRightInd w:val="0"/>
        <w:snapToGrid w:val="0"/>
        <w:spacing w:beforeLines="15" w:before="36" w:line="276"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在设</w:t>
      </w:r>
      <w:bookmarkStart w:id="7" w:name="_GoBack"/>
      <w:r w:rsidRPr="00742C75">
        <w:rPr>
          <w:rFonts w:ascii="Times New Roman" w:eastAsia="宋体" w:hAnsi="Times New Roman" w:cs="宋体"/>
          <w:sz w:val="24"/>
          <w:lang w:eastAsia="zh-CN"/>
        </w:rPr>
        <w:t>计或选择适当的限制性给药系统时，制造商应在限制程度与确保易用性需求之间保持平衡。例如，限制性给药系统不应过于阻碍产品使用或鼓励不适当使用。此外，限制性给药系统不易移除或不易推过瓶口至关重要，以避免污染</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或对儿童造成窒息危险。</w:t>
      </w:r>
    </w:p>
    <w:p w14:paraId="2842206C" w14:textId="77777777" w:rsidR="00CE3E13" w:rsidRPr="00CE3E13" w:rsidRDefault="00CE3E13" w:rsidP="00742C75">
      <w:pPr>
        <w:tabs>
          <w:tab w:val="left" w:pos="719"/>
        </w:tabs>
        <w:adjustRightInd w:val="0"/>
        <w:snapToGrid w:val="0"/>
        <w:spacing w:beforeLines="15" w:before="36" w:line="276"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本机构鼓励与</w:t>
      </w:r>
      <w:r w:rsidRPr="00742C75">
        <w:rPr>
          <w:rFonts w:ascii="Times New Roman" w:eastAsia="宋体" w:hAnsi="Times New Roman" w:cs="宋体"/>
          <w:sz w:val="24"/>
          <w:lang w:eastAsia="zh-CN"/>
        </w:rPr>
        <w:t>FDA</w:t>
      </w:r>
      <w:r w:rsidRPr="00742C75">
        <w:rPr>
          <w:rFonts w:ascii="Times New Roman" w:eastAsia="宋体" w:hAnsi="Times New Roman" w:cs="宋体"/>
          <w:sz w:val="24"/>
          <w:lang w:eastAsia="zh-CN"/>
        </w:rPr>
        <w:t>的相应审评部门合作，以确定需要进行上市前审评的产品所需的申请信息和研究类型。本机构建议制造商将人为因素原则和可用性研究作为其开发项目的一部分。</w:t>
      </w:r>
      <w:r w:rsidRPr="00742C75">
        <w:rPr>
          <w:rFonts w:ascii="Times New Roman" w:eastAsia="宋体" w:hAnsi="Times New Roman" w:cs="宋体"/>
          <w:sz w:val="24"/>
          <w:vertAlign w:val="superscript"/>
          <w:lang w:eastAsia="zh-CN"/>
        </w:rPr>
        <w:t>35</w:t>
      </w:r>
    </w:p>
    <w:p w14:paraId="0BE28EC7" w14:textId="77777777" w:rsidR="00CE3E13" w:rsidRPr="00CE3E13" w:rsidRDefault="00CE3E13" w:rsidP="00742C75">
      <w:pPr>
        <w:pStyle w:val="21"/>
        <w:spacing w:beforeLines="15" w:before="36" w:line="276" w:lineRule="auto"/>
      </w:pPr>
      <w:bookmarkStart w:id="8" w:name="_Toc91867166"/>
      <w:bookmarkEnd w:id="7"/>
      <w:r w:rsidRPr="00742C75">
        <w:rPr>
          <w:rFonts w:eastAsia="宋体" w:cs="宋体"/>
        </w:rPr>
        <w:t>C.</w:t>
      </w:r>
      <w:r w:rsidRPr="00742C75">
        <w:rPr>
          <w:rFonts w:eastAsia="宋体" w:cs="宋体"/>
        </w:rPr>
        <w:tab/>
      </w:r>
      <w:r w:rsidRPr="00742C75">
        <w:rPr>
          <w:rFonts w:eastAsia="宋体" w:cs="宋体"/>
        </w:rPr>
        <w:t>使用说明</w:t>
      </w:r>
      <w:bookmarkEnd w:id="8"/>
    </w:p>
    <w:p w14:paraId="0D8C1CF9" w14:textId="3D1CA87E" w:rsidR="00203E1B" w:rsidRPr="00CE3E13" w:rsidRDefault="00CE3E13" w:rsidP="00742C75">
      <w:pPr>
        <w:tabs>
          <w:tab w:val="left" w:pos="719"/>
        </w:tabs>
        <w:adjustRightInd w:val="0"/>
        <w:snapToGrid w:val="0"/>
        <w:spacing w:beforeLines="15" w:before="36" w:line="276"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药品标签必须包含充分的使用说明，</w:t>
      </w:r>
      <w:r w:rsidRPr="00742C75">
        <w:rPr>
          <w:rFonts w:ascii="Times New Roman" w:eastAsia="宋体" w:hAnsi="Times New Roman" w:cs="宋体"/>
          <w:sz w:val="24"/>
          <w:vertAlign w:val="superscript"/>
          <w:lang w:eastAsia="zh-CN"/>
        </w:rPr>
        <w:t>36</w:t>
      </w:r>
      <w:r w:rsidRPr="00742C75">
        <w:rPr>
          <w:rFonts w:ascii="Times New Roman" w:eastAsia="宋体" w:hAnsi="Times New Roman" w:cs="宋体"/>
          <w:sz w:val="24"/>
          <w:lang w:eastAsia="zh-CN"/>
        </w:rPr>
        <w:t xml:space="preserve"> </w:t>
      </w:r>
      <w:r w:rsidRPr="00742C75">
        <w:rPr>
          <w:rFonts w:ascii="Times New Roman" w:eastAsia="宋体" w:hAnsi="Times New Roman" w:cs="宋体"/>
          <w:sz w:val="24"/>
          <w:lang w:eastAsia="zh-CN"/>
        </w:rPr>
        <w:t>但也存在个别例外情况；</w:t>
      </w:r>
      <w:r w:rsidRPr="00742C75">
        <w:rPr>
          <w:rFonts w:ascii="Times New Roman" w:eastAsia="宋体" w:hAnsi="Times New Roman" w:cs="宋体"/>
          <w:sz w:val="24"/>
          <w:vertAlign w:val="superscript"/>
          <w:lang w:eastAsia="zh-CN"/>
        </w:rPr>
        <w:t>37</w:t>
      </w:r>
      <w:r w:rsidRPr="00742C75">
        <w:rPr>
          <w:rFonts w:ascii="Times New Roman" w:eastAsia="宋体" w:hAnsi="Times New Roman" w:cs="宋体"/>
          <w:sz w:val="24"/>
          <w:lang w:eastAsia="zh-CN"/>
        </w:rPr>
        <w:t xml:space="preserve"> </w:t>
      </w:r>
      <w:r w:rsidRPr="00742C75">
        <w:rPr>
          <w:rFonts w:ascii="Times New Roman" w:eastAsia="宋体" w:hAnsi="Times New Roman" w:cs="宋体"/>
          <w:sz w:val="24"/>
          <w:lang w:eastAsia="zh-CN"/>
        </w:rPr>
        <w:t>当制造商选择对药品使用限制性给药系统时，该要求包括提供在限制性给药系统下使用药品的适当说明。</w:t>
      </w:r>
      <w:r w:rsidRPr="00742C75">
        <w:rPr>
          <w:rFonts w:ascii="Times New Roman" w:eastAsia="宋体" w:hAnsi="Times New Roman" w:cs="宋体"/>
          <w:sz w:val="24"/>
          <w:vertAlign w:val="superscript"/>
          <w:lang w:eastAsia="zh-CN"/>
        </w:rPr>
        <w:t>38</w:t>
      </w:r>
      <w:r w:rsidRPr="00742C75">
        <w:rPr>
          <w:rFonts w:ascii="Times New Roman" w:eastAsia="宋体" w:hAnsi="Times New Roman" w:cs="宋体"/>
          <w:sz w:val="24"/>
          <w:lang w:eastAsia="zh-CN"/>
        </w:rPr>
        <w:t>除了满足</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标签的一般要求以提供足够的使用说明外，</w:t>
      </w:r>
      <w:r w:rsidRPr="00742C75">
        <w:rPr>
          <w:rFonts w:ascii="Times New Roman" w:eastAsia="宋体" w:hAnsi="Times New Roman" w:cs="宋体"/>
          <w:sz w:val="24"/>
          <w:lang w:eastAsia="zh-CN"/>
        </w:rPr>
        <w:t>FDA</w:t>
      </w:r>
      <w:r w:rsidRPr="00742C75">
        <w:rPr>
          <w:rFonts w:ascii="Times New Roman" w:eastAsia="宋体" w:hAnsi="Times New Roman" w:cs="宋体"/>
          <w:sz w:val="24"/>
          <w:lang w:eastAsia="zh-CN"/>
        </w:rPr>
        <w:t>建议，如果需要使用部件（如注射器）来确保限制性给药系统的最佳性能，则使用限制性给药系统的</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标签应包括消费者、患者或护理人员的免费电话号码或电子邮件地址，以获取用于替换的部件。</w:t>
      </w:r>
    </w:p>
    <w:p w14:paraId="5340242B" w14:textId="77777777" w:rsidR="00203E1B" w:rsidRPr="00CE3E13"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_____________________</w:t>
      </w:r>
    </w:p>
    <w:p w14:paraId="5EB869CC" w14:textId="1081FEFC"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34</w:t>
      </w:r>
      <w:r w:rsidRPr="00742C75">
        <w:rPr>
          <w:rFonts w:eastAsia="宋体" w:cs="宋体"/>
          <w:lang w:eastAsia="zh-CN"/>
        </w:rPr>
        <w:t>由药典试验或诸如美国材料与试验协会（</w:t>
      </w:r>
      <w:r w:rsidRPr="00742C75">
        <w:rPr>
          <w:rFonts w:eastAsia="宋体" w:cs="宋体"/>
          <w:lang w:eastAsia="zh-CN"/>
        </w:rPr>
        <w:t>ASTM</w:t>
      </w:r>
      <w:r w:rsidRPr="00742C75">
        <w:rPr>
          <w:rFonts w:eastAsia="宋体" w:cs="宋体"/>
          <w:lang w:eastAsia="zh-CN"/>
        </w:rPr>
        <w:t>）或国际标准化组织（</w:t>
      </w:r>
      <w:r w:rsidRPr="00742C75">
        <w:rPr>
          <w:rFonts w:eastAsia="宋体" w:cs="宋体"/>
          <w:lang w:eastAsia="zh-CN"/>
        </w:rPr>
        <w:t>ISO</w:t>
      </w:r>
      <w:r w:rsidRPr="00742C75">
        <w:rPr>
          <w:rFonts w:eastAsia="宋体" w:cs="宋体"/>
          <w:lang w:eastAsia="zh-CN"/>
        </w:rPr>
        <w:t>）之类试验机构的标准化试验指定。</w:t>
      </w:r>
    </w:p>
    <w:p w14:paraId="63BFB1B1" w14:textId="69E2C984" w:rsidR="00CE3E13" w:rsidRPr="00CE3E13" w:rsidRDefault="00CE3E13" w:rsidP="00670F08">
      <w:pPr>
        <w:pStyle w:val="a9"/>
        <w:tabs>
          <w:tab w:val="clear" w:pos="835"/>
          <w:tab w:val="left" w:pos="222"/>
        </w:tabs>
        <w:rPr>
          <w:lang w:eastAsia="zh-CN" w:bidi="en-US"/>
        </w:rPr>
      </w:pPr>
      <w:r w:rsidRPr="00742C75">
        <w:rPr>
          <w:rFonts w:eastAsia="宋体" w:cs="宋体"/>
          <w:vertAlign w:val="superscript"/>
          <w:lang w:eastAsia="zh-CN"/>
        </w:rPr>
        <w:t>35</w:t>
      </w:r>
      <w:r w:rsidRPr="00742C75">
        <w:rPr>
          <w:rFonts w:eastAsia="宋体" w:cs="宋体"/>
          <w:lang w:eastAsia="zh-CN"/>
        </w:rPr>
        <w:t>参见行业和</w:t>
      </w:r>
      <w:r w:rsidRPr="00742C75">
        <w:rPr>
          <w:rFonts w:eastAsia="宋体" w:cs="宋体"/>
          <w:lang w:eastAsia="zh-CN"/>
        </w:rPr>
        <w:t>FDA</w:t>
      </w:r>
      <w:r w:rsidRPr="00742C75">
        <w:rPr>
          <w:rFonts w:eastAsia="宋体" w:cs="宋体"/>
          <w:lang w:eastAsia="zh-CN"/>
        </w:rPr>
        <w:t>工作人员指南《应用人为因素和可用性工程优化医疗器械设计》（</w:t>
      </w:r>
      <w:r w:rsidRPr="00742C75">
        <w:rPr>
          <w:rFonts w:eastAsia="宋体" w:cs="宋体"/>
          <w:lang w:eastAsia="zh-CN"/>
        </w:rPr>
        <w:t>2016</w:t>
      </w:r>
      <w:r w:rsidRPr="00742C75">
        <w:rPr>
          <w:rFonts w:eastAsia="宋体" w:cs="宋体"/>
          <w:lang w:eastAsia="zh-CN"/>
        </w:rPr>
        <w:t>年</w:t>
      </w:r>
      <w:r w:rsidRPr="00742C75">
        <w:rPr>
          <w:rFonts w:eastAsia="宋体" w:cs="宋体"/>
          <w:lang w:eastAsia="zh-CN"/>
        </w:rPr>
        <w:t>2</w:t>
      </w:r>
      <w:r w:rsidRPr="00742C75">
        <w:rPr>
          <w:rFonts w:eastAsia="宋体" w:cs="宋体"/>
          <w:lang w:eastAsia="zh-CN"/>
        </w:rPr>
        <w:t>月）和行业指南《产品设计的安全考量以最大限度减少用药错误》（</w:t>
      </w:r>
      <w:r w:rsidRPr="00742C75">
        <w:rPr>
          <w:rFonts w:eastAsia="宋体" w:cs="宋体"/>
          <w:lang w:eastAsia="zh-CN"/>
        </w:rPr>
        <w:t>2016</w:t>
      </w:r>
      <w:r w:rsidRPr="00742C75">
        <w:rPr>
          <w:rFonts w:eastAsia="宋体" w:cs="宋体"/>
          <w:lang w:eastAsia="zh-CN"/>
        </w:rPr>
        <w:t>年</w:t>
      </w:r>
      <w:r w:rsidRPr="00742C75">
        <w:rPr>
          <w:rFonts w:eastAsia="宋体" w:cs="宋体"/>
          <w:lang w:eastAsia="zh-CN"/>
        </w:rPr>
        <w:t>4</w:t>
      </w:r>
      <w:r w:rsidRPr="00742C75">
        <w:rPr>
          <w:rFonts w:eastAsia="宋体" w:cs="宋体"/>
          <w:lang w:eastAsia="zh-CN"/>
        </w:rPr>
        <w:t>月）。另参见行业和</w:t>
      </w:r>
      <w:r w:rsidRPr="00742C75">
        <w:rPr>
          <w:rFonts w:eastAsia="宋体" w:cs="宋体"/>
          <w:lang w:eastAsia="zh-CN"/>
        </w:rPr>
        <w:t>FDA</w:t>
      </w:r>
      <w:r w:rsidRPr="00742C75">
        <w:rPr>
          <w:rFonts w:eastAsia="宋体" w:cs="宋体"/>
          <w:lang w:eastAsia="zh-CN"/>
        </w:rPr>
        <w:t>工作人员指南草案《将人为因素和可用性工程应用于医疗器械》（</w:t>
      </w:r>
      <w:r w:rsidRPr="00742C75">
        <w:rPr>
          <w:rFonts w:eastAsia="宋体" w:cs="宋体"/>
          <w:lang w:eastAsia="zh-CN"/>
        </w:rPr>
        <w:t>2011</w:t>
      </w:r>
      <w:r w:rsidRPr="00742C75">
        <w:rPr>
          <w:rFonts w:eastAsia="宋体" w:cs="宋体"/>
          <w:lang w:eastAsia="zh-CN"/>
        </w:rPr>
        <w:t>年</w:t>
      </w:r>
      <w:r w:rsidRPr="00742C75">
        <w:rPr>
          <w:rFonts w:eastAsia="宋体" w:cs="宋体"/>
          <w:lang w:eastAsia="zh-CN"/>
        </w:rPr>
        <w:t>6</w:t>
      </w:r>
      <w:r w:rsidRPr="00742C75">
        <w:rPr>
          <w:rFonts w:eastAsia="宋体" w:cs="宋体"/>
          <w:lang w:eastAsia="zh-CN"/>
        </w:rPr>
        <w:t>月）和《组合产品设计和开发中的人为因素研究和相关临床研究考量》（</w:t>
      </w:r>
      <w:r w:rsidRPr="00742C75">
        <w:rPr>
          <w:rFonts w:eastAsia="宋体" w:cs="宋体"/>
          <w:lang w:eastAsia="zh-CN"/>
        </w:rPr>
        <w:t>2016</w:t>
      </w:r>
      <w:r w:rsidRPr="00742C75">
        <w:rPr>
          <w:rFonts w:eastAsia="宋体" w:cs="宋体"/>
          <w:lang w:eastAsia="zh-CN"/>
        </w:rPr>
        <w:t>年</w:t>
      </w:r>
      <w:r w:rsidRPr="00742C75">
        <w:rPr>
          <w:rFonts w:eastAsia="宋体" w:cs="宋体"/>
          <w:lang w:eastAsia="zh-CN"/>
        </w:rPr>
        <w:t>2</w:t>
      </w:r>
      <w:r w:rsidRPr="00742C75">
        <w:rPr>
          <w:rFonts w:eastAsia="宋体" w:cs="宋体"/>
          <w:lang w:eastAsia="zh-CN"/>
        </w:rPr>
        <w:t>月）。</w:t>
      </w:r>
    </w:p>
    <w:p w14:paraId="4C10B36F" w14:textId="57719F22"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36</w:t>
      </w:r>
      <w:r w:rsidRPr="00742C75">
        <w:rPr>
          <w:rFonts w:eastAsia="宋体" w:cs="宋体"/>
          <w:lang w:eastAsia="zh-CN"/>
        </w:rPr>
        <w:t>《</w:t>
      </w:r>
      <w:r w:rsidRPr="00742C75">
        <w:rPr>
          <w:rFonts w:eastAsia="宋体" w:cs="宋体"/>
          <w:lang w:eastAsia="zh-CN"/>
        </w:rPr>
        <w:t>FD&amp;C</w:t>
      </w:r>
      <w:r w:rsidRPr="00742C75">
        <w:rPr>
          <w:rFonts w:eastAsia="宋体" w:cs="宋体"/>
          <w:lang w:eastAsia="zh-CN"/>
        </w:rPr>
        <w:t>法案》第</w:t>
      </w:r>
      <w:r w:rsidRPr="00742C75">
        <w:rPr>
          <w:rFonts w:eastAsia="宋体" w:cs="宋体"/>
          <w:lang w:eastAsia="zh-CN"/>
        </w:rPr>
        <w:t>502(f)(1)</w:t>
      </w:r>
      <w:r w:rsidRPr="00742C75">
        <w:rPr>
          <w:rFonts w:eastAsia="宋体" w:cs="宋体"/>
          <w:lang w:eastAsia="zh-CN"/>
        </w:rPr>
        <w:t>节。</w:t>
      </w:r>
    </w:p>
    <w:p w14:paraId="37C084E3" w14:textId="44DED8D4"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37</w:t>
      </w:r>
      <w:r w:rsidRPr="00742C75">
        <w:rPr>
          <w:rFonts w:eastAsia="宋体" w:cs="宋体"/>
          <w:lang w:eastAsia="zh-CN"/>
        </w:rPr>
        <w:t>参见例如</w:t>
      </w:r>
      <w:r w:rsidRPr="00742C75">
        <w:rPr>
          <w:rFonts w:eastAsia="宋体" w:cs="宋体"/>
          <w:lang w:eastAsia="zh-CN"/>
        </w:rPr>
        <w:t>21 CFR 201.100</w:t>
      </w:r>
      <w:r w:rsidRPr="00742C75">
        <w:rPr>
          <w:rFonts w:eastAsia="宋体" w:cs="宋体"/>
          <w:lang w:eastAsia="zh-CN"/>
        </w:rPr>
        <w:t>（人用处方药）。</w:t>
      </w:r>
    </w:p>
    <w:p w14:paraId="6FB6D0F4" w14:textId="13D1CC30" w:rsidR="00203E1B" w:rsidRPr="00742C75" w:rsidRDefault="00203E1B" w:rsidP="00670F08">
      <w:pPr>
        <w:pStyle w:val="a9"/>
        <w:tabs>
          <w:tab w:val="clear" w:pos="835"/>
        </w:tabs>
        <w:rPr>
          <w:lang w:eastAsia="zh-CN" w:bidi="en-US"/>
        </w:rPr>
      </w:pPr>
      <w:r w:rsidRPr="00742C75">
        <w:rPr>
          <w:rFonts w:eastAsia="宋体" w:cs="宋体"/>
          <w:vertAlign w:val="superscript"/>
          <w:lang w:eastAsia="zh-CN"/>
        </w:rPr>
        <w:t>38</w:t>
      </w:r>
      <w:r w:rsidRPr="00742C75">
        <w:rPr>
          <w:rFonts w:eastAsia="宋体" w:cs="宋体"/>
          <w:lang w:eastAsia="zh-CN"/>
        </w:rPr>
        <w:t>《</w:t>
      </w:r>
      <w:r w:rsidRPr="00742C75">
        <w:rPr>
          <w:rFonts w:eastAsia="宋体" w:cs="宋体"/>
          <w:lang w:eastAsia="zh-CN"/>
        </w:rPr>
        <w:t>FD&amp;C</w:t>
      </w:r>
      <w:r w:rsidRPr="00742C75">
        <w:rPr>
          <w:rFonts w:eastAsia="宋体" w:cs="宋体"/>
          <w:lang w:eastAsia="zh-CN"/>
        </w:rPr>
        <w:t>法案》第</w:t>
      </w:r>
      <w:r w:rsidRPr="00742C75">
        <w:rPr>
          <w:rFonts w:eastAsia="宋体" w:cs="宋体"/>
          <w:lang w:eastAsia="zh-CN"/>
        </w:rPr>
        <w:t>502(f)(1)</w:t>
      </w:r>
      <w:r w:rsidRPr="00742C75">
        <w:rPr>
          <w:rFonts w:eastAsia="宋体" w:cs="宋体"/>
          <w:lang w:eastAsia="zh-CN"/>
        </w:rPr>
        <w:t>节。此外，一般而言，简化新药申请需要包含一定信息，以证明仿制药的拟定标签与参比</w:t>
      </w:r>
      <w:r w:rsidR="002E1733">
        <w:rPr>
          <w:rFonts w:eastAsia="宋体" w:cs="宋体" w:hint="eastAsia"/>
          <w:lang w:eastAsia="zh-CN"/>
        </w:rPr>
        <w:t>制剂</w:t>
      </w:r>
      <w:r w:rsidRPr="00742C75">
        <w:rPr>
          <w:rFonts w:eastAsia="宋体" w:cs="宋体"/>
          <w:lang w:eastAsia="zh-CN"/>
        </w:rPr>
        <w:t>（</w:t>
      </w:r>
      <w:r w:rsidRPr="00742C75">
        <w:rPr>
          <w:rFonts w:eastAsia="宋体" w:cs="宋体"/>
          <w:lang w:eastAsia="zh-CN"/>
        </w:rPr>
        <w:t>RLD</w:t>
      </w:r>
      <w:r w:rsidRPr="00742C75">
        <w:rPr>
          <w:rFonts w:eastAsia="宋体" w:cs="宋体"/>
          <w:lang w:eastAsia="zh-CN"/>
        </w:rPr>
        <w:t>）的标签相同，因适用性申请批准的差异（参见《</w:t>
      </w:r>
      <w:r w:rsidRPr="00742C75">
        <w:rPr>
          <w:rFonts w:eastAsia="宋体" w:cs="宋体"/>
          <w:lang w:eastAsia="zh-CN"/>
        </w:rPr>
        <w:t>FD&amp;C</w:t>
      </w:r>
      <w:r w:rsidRPr="00742C75">
        <w:rPr>
          <w:rFonts w:eastAsia="宋体" w:cs="宋体"/>
          <w:lang w:eastAsia="zh-CN"/>
        </w:rPr>
        <w:t>法案》第</w:t>
      </w:r>
      <w:r w:rsidRPr="00742C75">
        <w:rPr>
          <w:rFonts w:eastAsia="宋体" w:cs="宋体"/>
          <w:lang w:eastAsia="zh-CN"/>
        </w:rPr>
        <w:t>505(j)(2)(C)</w:t>
      </w:r>
      <w:r w:rsidRPr="00742C75">
        <w:rPr>
          <w:rFonts w:eastAsia="宋体" w:cs="宋体"/>
          <w:lang w:eastAsia="zh-CN"/>
        </w:rPr>
        <w:t>节和</w:t>
      </w:r>
      <w:r w:rsidRPr="00742C75">
        <w:rPr>
          <w:rFonts w:eastAsia="宋体" w:cs="宋体"/>
          <w:lang w:eastAsia="zh-CN"/>
        </w:rPr>
        <w:t>21 CFR 314.93</w:t>
      </w:r>
      <w:r w:rsidRPr="00742C75">
        <w:rPr>
          <w:rFonts w:eastAsia="宋体" w:cs="宋体"/>
          <w:lang w:eastAsia="zh-CN"/>
        </w:rPr>
        <w:t>）；或因仿制药和</w:t>
      </w:r>
      <w:proofErr w:type="gramStart"/>
      <w:r w:rsidRPr="00742C75">
        <w:rPr>
          <w:rFonts w:eastAsia="宋体" w:cs="宋体"/>
          <w:lang w:eastAsia="zh-CN"/>
        </w:rPr>
        <w:t>参比</w:t>
      </w:r>
      <w:proofErr w:type="gramEnd"/>
      <w:r w:rsidR="00626B02">
        <w:rPr>
          <w:rFonts w:eastAsia="宋体" w:cs="宋体" w:hint="eastAsia"/>
          <w:lang w:eastAsia="zh-CN"/>
        </w:rPr>
        <w:t>制剂</w:t>
      </w:r>
      <w:r w:rsidRPr="00742C75">
        <w:rPr>
          <w:rFonts w:eastAsia="宋体" w:cs="宋体"/>
          <w:lang w:eastAsia="zh-CN"/>
        </w:rPr>
        <w:t>由不同制造商生产或分销（参见《</w:t>
      </w:r>
      <w:r w:rsidRPr="00742C75">
        <w:rPr>
          <w:rFonts w:eastAsia="宋体" w:cs="宋体"/>
          <w:lang w:eastAsia="zh-CN"/>
        </w:rPr>
        <w:t>FD&amp;C</w:t>
      </w:r>
      <w:r w:rsidRPr="00742C75">
        <w:rPr>
          <w:rFonts w:eastAsia="宋体" w:cs="宋体"/>
          <w:lang w:eastAsia="zh-CN"/>
        </w:rPr>
        <w:t>法案》第</w:t>
      </w:r>
      <w:r w:rsidRPr="00742C75">
        <w:rPr>
          <w:rFonts w:eastAsia="宋体" w:cs="宋体"/>
          <w:lang w:eastAsia="zh-CN"/>
        </w:rPr>
        <w:t>505(j)(2)(A)(v)</w:t>
      </w:r>
      <w:r w:rsidRPr="00742C75">
        <w:rPr>
          <w:rFonts w:eastAsia="宋体" w:cs="宋体"/>
          <w:lang w:eastAsia="zh-CN"/>
        </w:rPr>
        <w:t>节）而要求的变更除外。另参见</w:t>
      </w:r>
      <w:r w:rsidRPr="00742C75">
        <w:rPr>
          <w:rFonts w:eastAsia="宋体" w:cs="宋体"/>
          <w:lang w:eastAsia="zh-CN"/>
        </w:rPr>
        <w:t>FDA</w:t>
      </w:r>
      <w:r w:rsidRPr="00742C75">
        <w:rPr>
          <w:rFonts w:eastAsia="宋体" w:cs="宋体"/>
          <w:lang w:eastAsia="zh-CN"/>
        </w:rPr>
        <w:t>指南草案《</w:t>
      </w:r>
      <w:r w:rsidRPr="00F4364A">
        <w:rPr>
          <w:rFonts w:eastAsia="宋体" w:cs="宋体"/>
          <w:iCs/>
          <w:lang w:eastAsia="zh-CN"/>
        </w:rPr>
        <w:t>简化新药申请中提交的药物</w:t>
      </w:r>
      <w:r w:rsidRPr="00F4364A">
        <w:rPr>
          <w:rFonts w:eastAsia="宋体" w:cs="宋体"/>
          <w:iCs/>
          <w:lang w:eastAsia="zh-CN"/>
        </w:rPr>
        <w:t>-</w:t>
      </w:r>
      <w:r w:rsidRPr="00F4364A">
        <w:rPr>
          <w:rFonts w:eastAsia="宋体" w:cs="宋体"/>
          <w:iCs/>
          <w:lang w:eastAsia="zh-CN"/>
        </w:rPr>
        <w:t>器械组合产品的比较分析和相关比较使用人为因素研究》。</w:t>
      </w:r>
      <w:r w:rsidRPr="00742C75">
        <w:rPr>
          <w:rFonts w:eastAsia="宋体" w:cs="宋体"/>
          <w:sz w:val="24"/>
          <w:lang w:eastAsia="zh-CN"/>
        </w:rPr>
        <w:br w:type="page"/>
      </w:r>
    </w:p>
    <w:p w14:paraId="537B0E56" w14:textId="72930435"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lastRenderedPageBreak/>
        <w:t>为了将限制性给药系统纳入正在进行上市前审查的药品包装中，本机构建议联系适当的审评部门工作人员，讨论向</w:t>
      </w:r>
      <w:r w:rsidRPr="00742C75">
        <w:rPr>
          <w:rFonts w:ascii="Times New Roman" w:eastAsia="宋体" w:hAnsi="Times New Roman" w:cs="宋体"/>
          <w:sz w:val="24"/>
          <w:lang w:eastAsia="zh-CN"/>
        </w:rPr>
        <w:t>FDA</w:t>
      </w:r>
      <w:r w:rsidRPr="00742C75">
        <w:rPr>
          <w:rFonts w:ascii="Times New Roman" w:eastAsia="宋体" w:hAnsi="Times New Roman" w:cs="宋体"/>
          <w:sz w:val="24"/>
          <w:lang w:eastAsia="zh-CN"/>
        </w:rPr>
        <w:t>提交的信息，以确保药品标签上包含在限制性给药系统中使用</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的相关充分指导。</w:t>
      </w:r>
    </w:p>
    <w:p w14:paraId="32E1D016" w14:textId="0D155CFE"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对于根据非处方药物审评上市的口服液</w:t>
      </w:r>
      <w:r w:rsidR="00EB5F76">
        <w:rPr>
          <w:rFonts w:ascii="Times New Roman" w:eastAsia="宋体" w:hAnsi="Times New Roman" w:cs="宋体"/>
          <w:sz w:val="24"/>
          <w:lang w:eastAsia="zh-CN"/>
        </w:rPr>
        <w:t>药物</w:t>
      </w:r>
      <w:r w:rsidRPr="00742C75">
        <w:rPr>
          <w:rFonts w:ascii="Times New Roman" w:eastAsia="宋体" w:hAnsi="Times New Roman" w:cs="宋体"/>
          <w:sz w:val="24"/>
          <w:lang w:eastAsia="zh-CN"/>
        </w:rPr>
        <w:t>，基于本机构目前对这些产品风险的理解，</w:t>
      </w:r>
      <w:r w:rsidRPr="00742C75">
        <w:rPr>
          <w:rFonts w:ascii="Times New Roman" w:eastAsia="宋体" w:hAnsi="Times New Roman" w:cs="宋体"/>
          <w:sz w:val="24"/>
          <w:lang w:eastAsia="zh-CN"/>
        </w:rPr>
        <w:t>FDA</w:t>
      </w:r>
      <w:r w:rsidRPr="00742C75">
        <w:rPr>
          <w:rFonts w:ascii="Times New Roman" w:eastAsia="宋体" w:hAnsi="Times New Roman" w:cs="宋体"/>
          <w:sz w:val="24"/>
          <w:lang w:eastAsia="zh-CN"/>
        </w:rPr>
        <w:t>预期不反对使用适当的限制性给药系统，只要标签包括药品说明书中的非图示说明（解释如何正确使用限制性给药系统）以及适用的非处方药物各论指导，并且标签满足所有其他适用的标签要求。</w:t>
      </w:r>
      <w:r w:rsidRPr="00742C75">
        <w:rPr>
          <w:rFonts w:ascii="Times New Roman" w:eastAsia="宋体" w:hAnsi="Times New Roman" w:cs="宋体"/>
          <w:sz w:val="24"/>
          <w:vertAlign w:val="superscript"/>
          <w:lang w:eastAsia="zh-CN"/>
        </w:rPr>
        <w:t>39</w:t>
      </w:r>
      <w:r w:rsidRPr="00742C75">
        <w:rPr>
          <w:rFonts w:ascii="Times New Roman" w:eastAsia="宋体" w:hAnsi="Times New Roman" w:cs="宋体"/>
          <w:sz w:val="24"/>
          <w:lang w:eastAsia="zh-CN"/>
        </w:rPr>
        <w:t>其他非图形说明应仅限于描述如何使用限制性给药系统输送适当剂量。如果需要图片以确保限制性给药系统的有效使用，包装中可包含标签插页，从而向消费者、患者或护理者提供必要的信息。如果在药品说明书标签中添加了其他语言或在非处方药物审评下上市的产品包装中包含了单独的标签说明书，本机构建议制造商要确定目标消费者</w:t>
      </w:r>
      <w:r w:rsidRPr="00742C75">
        <w:rPr>
          <w:rFonts w:ascii="Times New Roman" w:eastAsia="宋体" w:hAnsi="Times New Roman" w:cs="宋体"/>
          <w:sz w:val="24"/>
          <w:lang w:eastAsia="zh-CN"/>
        </w:rPr>
        <w:t>/</w:t>
      </w:r>
      <w:r w:rsidRPr="00742C75">
        <w:rPr>
          <w:rFonts w:ascii="Times New Roman" w:eastAsia="宋体" w:hAnsi="Times New Roman" w:cs="宋体"/>
          <w:sz w:val="24"/>
          <w:lang w:eastAsia="zh-CN"/>
        </w:rPr>
        <w:t>患者</w:t>
      </w:r>
      <w:r w:rsidRPr="00742C75">
        <w:rPr>
          <w:rFonts w:ascii="Times New Roman" w:eastAsia="宋体" w:hAnsi="Times New Roman" w:cs="宋体"/>
          <w:sz w:val="24"/>
          <w:lang w:eastAsia="zh-CN"/>
        </w:rPr>
        <w:t>/</w:t>
      </w:r>
      <w:r w:rsidRPr="00742C75">
        <w:rPr>
          <w:rFonts w:ascii="Times New Roman" w:eastAsia="宋体" w:hAnsi="Times New Roman" w:cs="宋体"/>
          <w:sz w:val="24"/>
          <w:lang w:eastAsia="zh-CN"/>
        </w:rPr>
        <w:t>护理者人群能够理解其他语言。</w:t>
      </w:r>
      <w:r w:rsidRPr="00742C75">
        <w:rPr>
          <w:rFonts w:ascii="Times New Roman" w:eastAsia="宋体" w:hAnsi="Times New Roman" w:cs="宋体"/>
          <w:sz w:val="24"/>
          <w:vertAlign w:val="superscript"/>
          <w:lang w:eastAsia="zh-CN"/>
        </w:rPr>
        <w:t>40</w:t>
      </w:r>
    </w:p>
    <w:p w14:paraId="1BF8A37A"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2CA43DBD"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33E13AE7"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629D6F15"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4CBB5730"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4A0CAF1E"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63A6F434"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16F354B9"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1005EAEB"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4E11E534"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1F92DFB3"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609C8767"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p>
    <w:p w14:paraId="70036F27"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vertAlign w:val="superscript"/>
          <w:lang w:eastAsia="zh-CN" w:bidi="en-US"/>
        </w:rPr>
      </w:pPr>
      <w:r w:rsidRPr="00742C75">
        <w:rPr>
          <w:rFonts w:ascii="Times New Roman" w:eastAsia="宋体" w:hAnsi="Times New Roman" w:cs="宋体"/>
          <w:sz w:val="24"/>
          <w:lang w:eastAsia="zh-CN"/>
        </w:rPr>
        <w:t>_____________________</w:t>
      </w:r>
    </w:p>
    <w:p w14:paraId="4ECC2B38" w14:textId="004390BF" w:rsidR="00CE3E13" w:rsidRPr="00CE3E13" w:rsidRDefault="00CE3E13" w:rsidP="00203E1B">
      <w:pPr>
        <w:pStyle w:val="a9"/>
        <w:rPr>
          <w:lang w:eastAsia="zh-CN" w:bidi="en-US"/>
        </w:rPr>
      </w:pPr>
      <w:r w:rsidRPr="00742C75">
        <w:rPr>
          <w:rFonts w:eastAsia="宋体" w:cs="宋体"/>
          <w:vertAlign w:val="superscript"/>
          <w:lang w:eastAsia="zh-CN"/>
        </w:rPr>
        <w:t>39</w:t>
      </w:r>
      <w:r w:rsidRPr="00742C75">
        <w:rPr>
          <w:rFonts w:eastAsia="宋体" w:cs="宋体"/>
          <w:lang w:eastAsia="zh-CN"/>
        </w:rPr>
        <w:t>参见例如《美国联邦法规》第</w:t>
      </w:r>
      <w:r w:rsidRPr="00742C75">
        <w:rPr>
          <w:rFonts w:eastAsia="宋体" w:cs="宋体"/>
          <w:lang w:eastAsia="zh-CN"/>
        </w:rPr>
        <w:t>21</w:t>
      </w:r>
      <w:r w:rsidRPr="00742C75">
        <w:rPr>
          <w:rFonts w:eastAsia="宋体" w:cs="宋体"/>
          <w:lang w:eastAsia="zh-CN"/>
        </w:rPr>
        <w:t>篇第</w:t>
      </w:r>
      <w:r w:rsidRPr="00742C75">
        <w:rPr>
          <w:rFonts w:eastAsia="宋体" w:cs="宋体"/>
          <w:lang w:eastAsia="zh-CN"/>
        </w:rPr>
        <w:t>201</w:t>
      </w:r>
      <w:r w:rsidRPr="00742C75">
        <w:rPr>
          <w:rFonts w:eastAsia="宋体" w:cs="宋体"/>
          <w:lang w:eastAsia="zh-CN"/>
        </w:rPr>
        <w:t>部分和《美国联邦法规》第</w:t>
      </w:r>
      <w:r w:rsidRPr="00742C75">
        <w:rPr>
          <w:rFonts w:eastAsia="宋体" w:cs="宋体"/>
          <w:lang w:eastAsia="zh-CN"/>
        </w:rPr>
        <w:t>21</w:t>
      </w:r>
      <w:r w:rsidRPr="00742C75">
        <w:rPr>
          <w:rFonts w:eastAsia="宋体" w:cs="宋体"/>
          <w:lang w:eastAsia="zh-CN"/>
        </w:rPr>
        <w:t>篇第</w:t>
      </w:r>
      <w:r w:rsidRPr="00742C75">
        <w:rPr>
          <w:rFonts w:eastAsia="宋体" w:cs="宋体"/>
          <w:lang w:eastAsia="zh-CN"/>
        </w:rPr>
        <w:t>330.1</w:t>
      </w:r>
      <w:r w:rsidRPr="00742C75">
        <w:rPr>
          <w:rFonts w:eastAsia="宋体" w:cs="宋体"/>
          <w:lang w:eastAsia="zh-CN"/>
        </w:rPr>
        <w:t>部分。</w:t>
      </w:r>
    </w:p>
    <w:p w14:paraId="09A2ED85" w14:textId="079D39CB" w:rsidR="00203E1B" w:rsidRDefault="00CE3E13" w:rsidP="00670F08">
      <w:pPr>
        <w:pStyle w:val="a9"/>
        <w:tabs>
          <w:tab w:val="clear" w:pos="835"/>
        </w:tabs>
        <w:rPr>
          <w:lang w:eastAsia="zh-CN" w:bidi="en-US"/>
        </w:rPr>
      </w:pPr>
      <w:r w:rsidRPr="00742C75">
        <w:rPr>
          <w:rFonts w:eastAsia="宋体" w:cs="宋体"/>
          <w:vertAlign w:val="superscript"/>
          <w:lang w:eastAsia="zh-CN"/>
        </w:rPr>
        <w:t>40</w:t>
      </w:r>
      <w:r w:rsidRPr="00742C75">
        <w:rPr>
          <w:rFonts w:eastAsia="宋体" w:cs="宋体"/>
          <w:lang w:eastAsia="zh-CN"/>
        </w:rPr>
        <w:t>参见行业指南《非处方药</w:t>
      </w:r>
      <w:r w:rsidR="009D186A">
        <w:rPr>
          <w:rFonts w:eastAsia="宋体" w:cs="宋体" w:hint="eastAsia"/>
          <w:lang w:eastAsia="zh-CN"/>
        </w:rPr>
        <w:t>制剂</w:t>
      </w:r>
      <w:r w:rsidRPr="00742C75">
        <w:rPr>
          <w:rFonts w:eastAsia="宋体" w:cs="宋体"/>
          <w:lang w:eastAsia="zh-CN"/>
        </w:rPr>
        <w:t>的标签理解研究》（</w:t>
      </w:r>
      <w:r w:rsidRPr="00742C75">
        <w:rPr>
          <w:rFonts w:eastAsia="宋体" w:cs="宋体"/>
          <w:lang w:eastAsia="zh-CN"/>
        </w:rPr>
        <w:t>2010</w:t>
      </w:r>
      <w:r w:rsidRPr="00742C75">
        <w:rPr>
          <w:rFonts w:eastAsia="宋体" w:cs="宋体"/>
          <w:lang w:eastAsia="zh-CN"/>
        </w:rPr>
        <w:t>年</w:t>
      </w:r>
      <w:r w:rsidRPr="00742C75">
        <w:rPr>
          <w:rFonts w:eastAsia="宋体" w:cs="宋体"/>
          <w:lang w:eastAsia="zh-CN"/>
        </w:rPr>
        <w:t>8</w:t>
      </w:r>
      <w:r w:rsidRPr="00742C75">
        <w:rPr>
          <w:rFonts w:eastAsia="宋体" w:cs="宋体"/>
          <w:lang w:eastAsia="zh-CN"/>
        </w:rPr>
        <w:t>月）。</w:t>
      </w:r>
    </w:p>
    <w:p w14:paraId="4A7EC98D" w14:textId="77777777" w:rsidR="00203E1B" w:rsidRDefault="00203E1B">
      <w:pPr>
        <w:rPr>
          <w:rFonts w:ascii="Times New Roman" w:eastAsia="Times New Roman" w:hAnsi="Times New Roman" w:cs="Times New Roman"/>
          <w:snapToGrid w:val="0"/>
          <w:sz w:val="21"/>
          <w:szCs w:val="21"/>
          <w:lang w:eastAsia="zh-CN" w:bidi="en-US"/>
        </w:rPr>
      </w:pPr>
      <w:r w:rsidRPr="00742C75">
        <w:rPr>
          <w:rFonts w:ascii="Times New Roman" w:eastAsia="宋体" w:hAnsi="Times New Roman" w:cs="宋体"/>
          <w:lang w:eastAsia="zh-CN"/>
        </w:rPr>
        <w:br w:type="page"/>
      </w:r>
    </w:p>
    <w:p w14:paraId="7D0715F0" w14:textId="77777777" w:rsidR="00CE3E13" w:rsidRPr="00CE3E13" w:rsidRDefault="00CE3E13" w:rsidP="00203E1B">
      <w:pPr>
        <w:pStyle w:val="11"/>
        <w:rPr>
          <w:lang w:eastAsia="zh-CN" w:bidi="en-US"/>
        </w:rPr>
      </w:pPr>
      <w:bookmarkStart w:id="9" w:name="_Toc91867167"/>
      <w:r w:rsidRPr="00742C75">
        <w:rPr>
          <w:rFonts w:eastAsia="宋体" w:cs="宋体"/>
          <w:lang w:eastAsia="zh-CN"/>
        </w:rPr>
        <w:lastRenderedPageBreak/>
        <w:t>附录</w:t>
      </w:r>
      <w:r w:rsidRPr="00742C75">
        <w:rPr>
          <w:rFonts w:eastAsia="宋体" w:cs="宋体"/>
          <w:lang w:eastAsia="zh-CN"/>
        </w:rPr>
        <w:t>A</w:t>
      </w:r>
      <w:r w:rsidRPr="00742C75">
        <w:rPr>
          <w:rFonts w:eastAsia="宋体" w:cs="宋体"/>
          <w:lang w:eastAsia="zh-CN"/>
        </w:rPr>
        <w:t>：针对特定产品推荐的限制作用</w:t>
      </w:r>
      <w:bookmarkEnd w:id="9"/>
    </w:p>
    <w:p w14:paraId="13E191B9" w14:textId="35BED918"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使用限制性给药系统时，可以考虑以下流程图。</w:t>
      </w:r>
    </w:p>
    <w:p w14:paraId="4FA031A9" w14:textId="77777777" w:rsidR="00CE3E13" w:rsidRDefault="00015ED6" w:rsidP="00203E1B">
      <w:pPr>
        <w:tabs>
          <w:tab w:val="left" w:pos="719"/>
        </w:tabs>
        <w:adjustRightInd w:val="0"/>
        <w:snapToGrid w:val="0"/>
        <w:spacing w:beforeLines="50" w:before="120" w:line="300" w:lineRule="auto"/>
        <w:jc w:val="center"/>
        <w:rPr>
          <w:rFonts w:ascii="Times New Roman" w:hAnsi="Times New Roman" w:cs="Times New Roman"/>
          <w:snapToGrid w:val="0"/>
          <w:sz w:val="24"/>
          <w:szCs w:val="24"/>
          <w:lang w:eastAsia="zh-CN" w:bidi="en-US"/>
        </w:rPr>
      </w:pPr>
      <w:r>
        <w:rPr>
          <w:noProof/>
          <w:lang w:eastAsia="zh-CN"/>
        </w:rPr>
        <w:pict w14:anchorId="6991A37C">
          <v:group id="_x0000_s1038" style="position:absolute;left:0;text-align:left;margin-left:77.6pt;margin-top:11.35pt;width:299.25pt;height:286.35pt;z-index:251670528" coordorigin="2970,3273" coordsize="5985,5727">
            <v:shapetype id="_x0000_t202" coordsize="21600,21600" o:spt="202" path="m,l,21600r21600,l21600,xe">
              <v:stroke joinstyle="miter"/>
              <v:path gradientshapeok="t" o:connecttype="rect"/>
            </v:shapetype>
            <v:shape id="_x0000_s1026" type="#_x0000_t202" style="position:absolute;left:3075;top:3273;width:1575;height:390;mso-position-vertical:absolute;v-text-anchor:middle" stroked="f">
              <v:textbox inset="0,0,0,0">
                <w:txbxContent>
                  <w:p w14:paraId="3FB86A70" w14:textId="77777777" w:rsidR="00203E1B" w:rsidRPr="00203E1B" w:rsidRDefault="00203E1B" w:rsidP="00203E1B">
                    <w:pPr>
                      <w:jc w:val="center"/>
                      <w:rPr>
                        <w:rFonts w:ascii="Times New Roman" w:hAnsi="Times New Roman" w:cs="Times New Roman"/>
                        <w:sz w:val="15"/>
                        <w:szCs w:val="15"/>
                      </w:rPr>
                    </w:pPr>
                    <w:proofErr w:type="spellStart"/>
                    <w:r w:rsidRPr="00742C75">
                      <w:rPr>
                        <w:rFonts w:ascii="Times New Roman" w:eastAsia="宋体" w:hAnsi="Times New Roman" w:cs="宋体"/>
                        <w:sz w:val="14"/>
                      </w:rPr>
                      <w:t>单一成分产品</w:t>
                    </w:r>
                    <w:proofErr w:type="spellEnd"/>
                  </w:p>
                </w:txbxContent>
              </v:textbox>
            </v:shape>
            <v:shape id="_x0000_s1027" type="#_x0000_t202" style="position:absolute;left:5715;top:4620;width:2145;height:765;v-text-anchor:middle" stroked="f">
              <v:textbox inset="0,0,0,0">
                <w:txbxContent>
                  <w:p w14:paraId="21232804" w14:textId="77777777" w:rsidR="00203E1B" w:rsidRPr="00203E1B" w:rsidRDefault="00203E1B" w:rsidP="00203E1B">
                    <w:pPr>
                      <w:rPr>
                        <w:rFonts w:ascii="Times New Roman" w:hAnsi="Times New Roman" w:cs="Times New Roman"/>
                        <w:sz w:val="15"/>
                        <w:szCs w:val="15"/>
                        <w:lang w:eastAsia="zh-CN"/>
                      </w:rPr>
                    </w:pPr>
                    <w:r w:rsidRPr="00742C75">
                      <w:rPr>
                        <w:rFonts w:ascii="Times New Roman" w:eastAsia="宋体" w:hAnsi="Times New Roman" w:cs="宋体"/>
                        <w:sz w:val="14"/>
                        <w:lang w:eastAsia="zh-CN"/>
                      </w:rPr>
                      <w:t>考虑联合用药中毒性最大的药物以及所有成分对</w:t>
                    </w:r>
                    <w:r w:rsidRPr="00742C75">
                      <w:rPr>
                        <w:rFonts w:ascii="Times New Roman" w:eastAsia="宋体" w:hAnsi="Times New Roman" w:cs="宋体"/>
                        <w:sz w:val="14"/>
                        <w:lang w:eastAsia="zh-CN"/>
                      </w:rPr>
                      <w:t>2</w:t>
                    </w:r>
                    <w:r w:rsidRPr="00742C75">
                      <w:rPr>
                        <w:rFonts w:ascii="Times New Roman" w:eastAsia="宋体" w:hAnsi="Times New Roman" w:cs="宋体"/>
                        <w:sz w:val="14"/>
                        <w:lang w:eastAsia="zh-CN"/>
                      </w:rPr>
                      <w:t>岁儿童的联合毒性</w:t>
                    </w:r>
                  </w:p>
                </w:txbxContent>
              </v:textbox>
            </v:shape>
            <v:shape id="_x0000_s1028" type="#_x0000_t202" style="position:absolute;left:2970;top:4620;width:1785;height:390;v-text-anchor:middle" stroked="f">
              <v:textbox inset="0,0,0,0">
                <w:txbxContent>
                  <w:p w14:paraId="3C2440F7" w14:textId="77777777" w:rsidR="00203E1B" w:rsidRPr="00203E1B" w:rsidRDefault="00203E1B" w:rsidP="00203E1B">
                    <w:pPr>
                      <w:rPr>
                        <w:rFonts w:ascii="Times New Roman" w:hAnsi="Times New Roman" w:cs="Times New Roman"/>
                        <w:sz w:val="15"/>
                        <w:szCs w:val="15"/>
                        <w:lang w:eastAsia="zh-CN"/>
                      </w:rPr>
                    </w:pPr>
                    <w:r w:rsidRPr="00742C75">
                      <w:rPr>
                        <w:rFonts w:ascii="Times New Roman" w:eastAsia="宋体" w:hAnsi="Times New Roman" w:cs="宋体"/>
                        <w:sz w:val="14"/>
                        <w:lang w:eastAsia="zh-CN"/>
                      </w:rPr>
                      <w:t>考虑产品对</w:t>
                    </w:r>
                    <w:r w:rsidRPr="00742C75">
                      <w:rPr>
                        <w:rFonts w:ascii="Times New Roman" w:eastAsia="宋体" w:hAnsi="Times New Roman" w:cs="宋体"/>
                        <w:sz w:val="14"/>
                        <w:lang w:eastAsia="zh-CN"/>
                      </w:rPr>
                      <w:t>2</w:t>
                    </w:r>
                    <w:r w:rsidRPr="00742C75">
                      <w:rPr>
                        <w:rFonts w:ascii="Times New Roman" w:eastAsia="宋体" w:hAnsi="Times New Roman" w:cs="宋体"/>
                        <w:sz w:val="14"/>
                        <w:lang w:eastAsia="zh-CN"/>
                      </w:rPr>
                      <w:t>岁儿童的毒性</w:t>
                    </w:r>
                  </w:p>
                </w:txbxContent>
              </v:textbox>
            </v:shape>
            <v:shape id="_x0000_s1029" type="#_x0000_t202" style="position:absolute;left:6075;top:3273;width:1575;height:240;v-text-anchor:middle" stroked="f">
              <v:textbox inset="0,0,0,0">
                <w:txbxContent>
                  <w:p w14:paraId="1F56D51E" w14:textId="77777777" w:rsidR="00203E1B" w:rsidRPr="00203E1B" w:rsidRDefault="00203E1B" w:rsidP="00203E1B">
                    <w:pPr>
                      <w:jc w:val="center"/>
                      <w:rPr>
                        <w:rFonts w:ascii="Times New Roman" w:hAnsi="Times New Roman" w:cs="Times New Roman"/>
                        <w:sz w:val="15"/>
                        <w:szCs w:val="15"/>
                      </w:rPr>
                    </w:pPr>
                    <w:proofErr w:type="spellStart"/>
                    <w:r w:rsidRPr="00742C75">
                      <w:rPr>
                        <w:rFonts w:ascii="Times New Roman" w:eastAsia="宋体" w:hAnsi="Times New Roman" w:cs="宋体"/>
                        <w:sz w:val="14"/>
                      </w:rPr>
                      <w:t>固定组合药物</w:t>
                    </w:r>
                    <w:proofErr w:type="spellEnd"/>
                  </w:p>
                </w:txbxContent>
              </v:textbox>
            </v:shape>
            <v:shape id="_x0000_s1030" type="#_x0000_t202" style="position:absolute;left:4110;top:6780;width:2400;height:960;v-text-anchor:middle" stroked="f">
              <v:textbox inset="0,0,0,0">
                <w:txbxContent>
                  <w:p w14:paraId="2222D9CC" w14:textId="77777777" w:rsidR="00203E1B" w:rsidRPr="00203E1B" w:rsidRDefault="00191D0D" w:rsidP="00203E1B">
                    <w:pPr>
                      <w:jc w:val="center"/>
                      <w:rPr>
                        <w:rFonts w:ascii="Times New Roman" w:hAnsi="Times New Roman" w:cs="Times New Roman"/>
                        <w:sz w:val="15"/>
                        <w:szCs w:val="15"/>
                        <w:lang w:eastAsia="zh-CN"/>
                      </w:rPr>
                    </w:pPr>
                    <w:r w:rsidRPr="00742C75">
                      <w:rPr>
                        <w:rFonts w:ascii="Times New Roman" w:eastAsia="宋体" w:hAnsi="Times New Roman" w:cs="宋体"/>
                        <w:sz w:val="14"/>
                        <w:lang w:eastAsia="zh-CN"/>
                      </w:rPr>
                      <w:t>确定对</w:t>
                    </w:r>
                    <w:r w:rsidRPr="00742C75">
                      <w:rPr>
                        <w:rFonts w:ascii="Times New Roman" w:eastAsia="宋体" w:hAnsi="Times New Roman" w:cs="宋体"/>
                        <w:sz w:val="14"/>
                        <w:lang w:eastAsia="zh-CN"/>
                      </w:rPr>
                      <w:t>2</w:t>
                    </w:r>
                    <w:r w:rsidRPr="00742C75">
                      <w:rPr>
                        <w:rFonts w:ascii="Times New Roman" w:eastAsia="宋体" w:hAnsi="Times New Roman" w:cs="宋体"/>
                        <w:sz w:val="14"/>
                        <w:lang w:eastAsia="zh-CN"/>
                      </w:rPr>
                      <w:t>岁儿童有害的剂量（例如足以需要医疗护理和</w:t>
                    </w:r>
                    <w:r w:rsidRPr="00742C75">
                      <w:rPr>
                        <w:rFonts w:ascii="Times New Roman" w:eastAsia="宋体" w:hAnsi="Times New Roman" w:cs="宋体"/>
                        <w:sz w:val="14"/>
                        <w:lang w:eastAsia="zh-CN"/>
                      </w:rPr>
                      <w:t>/</w:t>
                    </w:r>
                    <w:r w:rsidRPr="00742C75">
                      <w:rPr>
                        <w:rFonts w:ascii="Times New Roman" w:eastAsia="宋体" w:hAnsi="Times New Roman" w:cs="宋体"/>
                        <w:sz w:val="14"/>
                        <w:lang w:eastAsia="zh-CN"/>
                      </w:rPr>
                      <w:t>或观察的剂量，</w:t>
                    </w:r>
                    <w:r w:rsidRPr="00742C75">
                      <w:rPr>
                        <w:rFonts w:ascii="Times New Roman" w:eastAsia="宋体" w:hAnsi="Times New Roman" w:cs="宋体"/>
                        <w:sz w:val="14"/>
                        <w:lang w:eastAsia="zh-CN"/>
                      </w:rPr>
                      <w:t>POISINDEX/AACT</w:t>
                    </w:r>
                    <w:r w:rsidRPr="00742C75">
                      <w:rPr>
                        <w:rFonts w:ascii="Times New Roman" w:eastAsia="宋体" w:hAnsi="Times New Roman" w:cs="宋体"/>
                        <w:sz w:val="14"/>
                        <w:lang w:eastAsia="zh-CN"/>
                      </w:rPr>
                      <w:t>指南）</w:t>
                    </w:r>
                  </w:p>
                </w:txbxContent>
              </v:textbox>
            </v:shape>
            <v:shape id="_x0000_s1031" type="#_x0000_t202" style="position:absolute;left:6705;top:5700;width:2250;height:765;v-text-anchor:middle" stroked="f">
              <v:textbox inset="0,0,0,0">
                <w:txbxContent>
                  <w:p w14:paraId="5462E165" w14:textId="77777777" w:rsidR="00203E1B" w:rsidRPr="00203E1B" w:rsidRDefault="00191D0D" w:rsidP="00203E1B">
                    <w:pPr>
                      <w:jc w:val="center"/>
                      <w:rPr>
                        <w:rFonts w:ascii="Times New Roman" w:hAnsi="Times New Roman" w:cs="Times New Roman"/>
                        <w:sz w:val="15"/>
                        <w:szCs w:val="15"/>
                        <w:lang w:eastAsia="zh-CN"/>
                      </w:rPr>
                    </w:pPr>
                    <w:r w:rsidRPr="00742C75">
                      <w:rPr>
                        <w:rFonts w:ascii="Times New Roman" w:eastAsia="宋体" w:hAnsi="Times New Roman" w:cs="宋体"/>
                        <w:sz w:val="14"/>
                        <w:lang w:eastAsia="zh-CN"/>
                      </w:rPr>
                      <w:t>需要使用限制一次获取单个装置体积的限制性给药系统（例如封闭式限流器）</w:t>
                    </w:r>
                  </w:p>
                </w:txbxContent>
              </v:textbox>
            </v:shape>
            <v:shape id="_x0000_s1032" type="#_x0000_t202" style="position:absolute;left:4395;top:5820;width:1425;height:390;v-text-anchor:middle" stroked="f">
              <v:textbox inset="0,0,0,0">
                <w:txbxContent>
                  <w:p w14:paraId="40531B76" w14:textId="77777777" w:rsidR="00203E1B" w:rsidRPr="00203E1B" w:rsidRDefault="00191D0D" w:rsidP="00203E1B">
                    <w:pPr>
                      <w:jc w:val="center"/>
                      <w:rPr>
                        <w:rFonts w:ascii="Times New Roman" w:hAnsi="Times New Roman" w:cs="Times New Roman"/>
                        <w:sz w:val="15"/>
                        <w:szCs w:val="15"/>
                      </w:rPr>
                    </w:pPr>
                    <w:proofErr w:type="spellStart"/>
                    <w:r w:rsidRPr="00385790">
                      <w:rPr>
                        <w:rFonts w:ascii="Times New Roman" w:eastAsia="宋体" w:hAnsi="Times New Roman" w:cs="宋体" w:hint="eastAsia"/>
                        <w:sz w:val="14"/>
                      </w:rPr>
                      <w:t>狭窄治疗指数</w:t>
                    </w:r>
                    <w:proofErr w:type="spellEnd"/>
                  </w:p>
                </w:txbxContent>
              </v:textbox>
            </v:shape>
            <v:shape id="_x0000_s1033" type="#_x0000_t202" style="position:absolute;left:4125;top:8250;width:2400;height:750;v-text-anchor:middle" stroked="f">
              <v:textbox inset="0,0,0,0">
                <w:txbxContent>
                  <w:p w14:paraId="7E371114" w14:textId="77777777" w:rsidR="00191D0D" w:rsidRPr="00203E1B" w:rsidRDefault="00191D0D" w:rsidP="00191D0D">
                    <w:pPr>
                      <w:jc w:val="center"/>
                      <w:rPr>
                        <w:rFonts w:ascii="Times New Roman" w:hAnsi="Times New Roman" w:cs="Times New Roman"/>
                        <w:sz w:val="15"/>
                        <w:szCs w:val="15"/>
                        <w:lang w:eastAsia="zh-CN"/>
                      </w:rPr>
                    </w:pPr>
                    <w:r w:rsidRPr="00742C75">
                      <w:rPr>
                        <w:rFonts w:ascii="Times New Roman" w:eastAsia="宋体" w:hAnsi="Times New Roman" w:cs="宋体"/>
                        <w:sz w:val="14"/>
                        <w:lang w:eastAsia="zh-CN"/>
                      </w:rPr>
                      <w:t>考虑使用限制性给药系统，该系统在不少于</w:t>
                    </w:r>
                    <w:r w:rsidRPr="00742C75">
                      <w:rPr>
                        <w:rFonts w:ascii="Times New Roman" w:eastAsia="宋体" w:hAnsi="Times New Roman" w:cs="宋体"/>
                        <w:sz w:val="14"/>
                        <w:lang w:eastAsia="zh-CN"/>
                      </w:rPr>
                      <w:t>5</w:t>
                    </w:r>
                    <w:r w:rsidRPr="00742C75">
                      <w:rPr>
                        <w:rFonts w:ascii="Times New Roman" w:eastAsia="宋体" w:hAnsi="Times New Roman" w:cs="宋体"/>
                        <w:sz w:val="14"/>
                        <w:lang w:eastAsia="zh-CN"/>
                      </w:rPr>
                      <w:t>分钟内限制该有害剂量（液体量）的流出</w:t>
                    </w:r>
                  </w:p>
                </w:txbxContent>
              </v:textbox>
            </v:shape>
            <v:shape id="_x0000_s1034" type="#_x0000_t202" style="position:absolute;left:4980;top:3273;width:405;height:150;v-text-anchor:middle" stroked="f">
              <v:textbox inset="0,0,0,0">
                <w:txbxContent>
                  <w:p w14:paraId="3EBD12E9" w14:textId="77777777" w:rsidR="00191D0D" w:rsidRPr="00203E1B" w:rsidRDefault="00191D0D" w:rsidP="00191D0D">
                    <w:pPr>
                      <w:jc w:val="center"/>
                      <w:rPr>
                        <w:rFonts w:ascii="Times New Roman" w:hAnsi="Times New Roman" w:cs="Times New Roman"/>
                        <w:sz w:val="15"/>
                        <w:szCs w:val="15"/>
                        <w:lang w:eastAsia="zh-CN"/>
                      </w:rPr>
                    </w:pPr>
                    <w:r w:rsidRPr="00742C75">
                      <w:rPr>
                        <w:rFonts w:ascii="Times New Roman" w:eastAsia="宋体" w:hAnsi="Times New Roman" w:cs="宋体"/>
                        <w:sz w:val="14"/>
                      </w:rPr>
                      <w:t>否</w:t>
                    </w:r>
                  </w:p>
                </w:txbxContent>
              </v:textbox>
            </v:shape>
            <v:shape id="_x0000_s1035" type="#_x0000_t202" style="position:absolute;left:4650;top:6405;width:405;height:150;v-text-anchor:middle" stroked="f">
              <v:textbox inset="0,0,0,0">
                <w:txbxContent>
                  <w:p w14:paraId="59FE14D4" w14:textId="77777777" w:rsidR="00191D0D" w:rsidRPr="00203E1B" w:rsidRDefault="00191D0D" w:rsidP="00191D0D">
                    <w:pPr>
                      <w:jc w:val="right"/>
                      <w:rPr>
                        <w:rFonts w:ascii="Times New Roman" w:hAnsi="Times New Roman" w:cs="Times New Roman"/>
                        <w:sz w:val="15"/>
                        <w:szCs w:val="15"/>
                        <w:lang w:eastAsia="zh-CN"/>
                      </w:rPr>
                    </w:pPr>
                    <w:r w:rsidRPr="00742C75">
                      <w:rPr>
                        <w:rFonts w:ascii="Times New Roman" w:eastAsia="宋体" w:hAnsi="Times New Roman" w:cs="宋体"/>
                        <w:sz w:val="14"/>
                      </w:rPr>
                      <w:t>否</w:t>
                    </w:r>
                  </w:p>
                </w:txbxContent>
              </v:textbox>
            </v:shape>
            <v:shape id="_x0000_s1036" type="#_x0000_t202" style="position:absolute;left:3420;top:3843;width:405;height:252;v-text-anchor:middle" stroked="f">
              <v:textbox inset="0,0,0,0">
                <w:txbxContent>
                  <w:p w14:paraId="459CA043" w14:textId="77777777" w:rsidR="00191D0D" w:rsidRPr="00203E1B" w:rsidRDefault="00191D0D" w:rsidP="00191D0D">
                    <w:pPr>
                      <w:jc w:val="center"/>
                      <w:rPr>
                        <w:rFonts w:ascii="Times New Roman" w:hAnsi="Times New Roman" w:cs="Times New Roman"/>
                        <w:sz w:val="15"/>
                        <w:szCs w:val="15"/>
                        <w:lang w:eastAsia="zh-CN"/>
                      </w:rPr>
                    </w:pPr>
                    <w:r w:rsidRPr="00742C75">
                      <w:rPr>
                        <w:rFonts w:ascii="Times New Roman" w:eastAsia="宋体" w:hAnsi="Times New Roman" w:cs="宋体"/>
                        <w:sz w:val="14"/>
                      </w:rPr>
                      <w:t>是</w:t>
                    </w:r>
                  </w:p>
                </w:txbxContent>
              </v:textbox>
            </v:shape>
            <v:shape id="_x0000_s1037" type="#_x0000_t202" style="position:absolute;left:6075;top:5730;width:405;height:252;v-text-anchor:middle" stroked="f">
              <v:textbox inset="0,0,0,0">
                <w:txbxContent>
                  <w:p w14:paraId="01E8EF4D" w14:textId="77777777" w:rsidR="00191D0D" w:rsidRPr="00203E1B" w:rsidRDefault="00191D0D" w:rsidP="00191D0D">
                    <w:pPr>
                      <w:jc w:val="center"/>
                      <w:rPr>
                        <w:rFonts w:ascii="Times New Roman" w:hAnsi="Times New Roman" w:cs="Times New Roman"/>
                        <w:sz w:val="15"/>
                        <w:szCs w:val="15"/>
                        <w:lang w:eastAsia="zh-CN"/>
                      </w:rPr>
                    </w:pPr>
                    <w:r w:rsidRPr="00742C75">
                      <w:rPr>
                        <w:rFonts w:ascii="Times New Roman" w:eastAsia="宋体" w:hAnsi="Times New Roman" w:cs="宋体"/>
                        <w:sz w:val="14"/>
                      </w:rPr>
                      <w:t>是</w:t>
                    </w:r>
                  </w:p>
                </w:txbxContent>
              </v:textbox>
            </v:shape>
          </v:group>
        </w:pict>
      </w:r>
      <w:r w:rsidR="00FE6D7B" w:rsidRPr="00742C75">
        <w:rPr>
          <w:rFonts w:ascii="Times New Roman" w:eastAsia="宋体" w:hAnsi="Times New Roman" w:cs="宋体"/>
          <w:noProof/>
          <w:lang w:eastAsia="zh-CN"/>
        </w:rPr>
        <w:drawing>
          <wp:inline distT="0" distB="0" distL="0" distR="0" wp14:anchorId="1339C150" wp14:editId="29B9D7CE">
            <wp:extent cx="3940711" cy="376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945368" cy="3766821"/>
                    </a:xfrm>
                    <a:prstGeom prst="rect">
                      <a:avLst/>
                    </a:prstGeom>
                  </pic:spPr>
                </pic:pic>
              </a:graphicData>
            </a:graphic>
          </wp:inline>
        </w:drawing>
      </w:r>
    </w:p>
    <w:p w14:paraId="4F9DF6DC" w14:textId="660F45E4"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提供了以下</w:t>
      </w:r>
      <w:r w:rsidR="00EB5F76">
        <w:rPr>
          <w:rFonts w:ascii="Times New Roman" w:eastAsia="宋体" w:hAnsi="Times New Roman" w:cs="宋体" w:hint="eastAsia"/>
          <w:sz w:val="24"/>
          <w:lang w:eastAsia="zh-CN"/>
        </w:rPr>
        <w:t>药物</w:t>
      </w:r>
      <w:r w:rsidRPr="00742C75">
        <w:rPr>
          <w:rFonts w:ascii="Times New Roman" w:eastAsia="宋体" w:hAnsi="Times New Roman" w:cs="宋体"/>
          <w:sz w:val="24"/>
          <w:lang w:eastAsia="zh-CN"/>
        </w:rPr>
        <w:t>示例</w:t>
      </w:r>
      <w:r w:rsidRPr="00742C75">
        <w:rPr>
          <w:rFonts w:ascii="Times New Roman" w:eastAsia="宋体" w:hAnsi="Times New Roman" w:cs="宋体"/>
          <w:sz w:val="24"/>
          <w:vertAlign w:val="superscript"/>
          <w:lang w:eastAsia="zh-CN"/>
        </w:rPr>
        <w:t>1</w:t>
      </w:r>
      <w:r w:rsidRPr="00742C75">
        <w:rPr>
          <w:rFonts w:ascii="Times New Roman" w:eastAsia="宋体" w:hAnsi="Times New Roman" w:cs="宋体"/>
          <w:sz w:val="24"/>
          <w:lang w:eastAsia="zh-CN"/>
        </w:rPr>
        <w:t>，以说明限制儿童在</w:t>
      </w:r>
      <w:r w:rsidRPr="00742C75">
        <w:rPr>
          <w:rFonts w:ascii="Times New Roman" w:eastAsia="宋体" w:hAnsi="Times New Roman" w:cs="宋体"/>
          <w:sz w:val="24"/>
          <w:lang w:eastAsia="zh-CN"/>
        </w:rPr>
        <w:t>5</w:t>
      </w:r>
      <w:r w:rsidRPr="00742C75">
        <w:rPr>
          <w:rFonts w:ascii="Times New Roman" w:eastAsia="宋体" w:hAnsi="Times New Roman" w:cs="宋体"/>
          <w:sz w:val="24"/>
          <w:lang w:eastAsia="zh-CN"/>
        </w:rPr>
        <w:t>分钟内可获得的有毒或有害液体体积（基于</w:t>
      </w:r>
      <w:r w:rsidRPr="00742C75">
        <w:rPr>
          <w:rFonts w:ascii="Times New Roman" w:eastAsia="宋体" w:hAnsi="Times New Roman" w:cs="宋体"/>
          <w:sz w:val="24"/>
          <w:lang w:eastAsia="zh-CN"/>
        </w:rPr>
        <w:t>2</w:t>
      </w:r>
      <w:r w:rsidRPr="00742C75">
        <w:rPr>
          <w:rFonts w:ascii="Times New Roman" w:eastAsia="宋体" w:hAnsi="Times New Roman" w:cs="宋体"/>
          <w:sz w:val="24"/>
          <w:lang w:eastAsia="zh-CN"/>
        </w:rPr>
        <w:t>岁儿童的第</w:t>
      </w:r>
      <w:r w:rsidRPr="00742C75">
        <w:rPr>
          <w:rFonts w:ascii="Times New Roman" w:eastAsia="宋体" w:hAnsi="Times New Roman" w:cs="宋体"/>
          <w:sz w:val="24"/>
          <w:lang w:eastAsia="zh-CN"/>
        </w:rPr>
        <w:t>50</w:t>
      </w:r>
      <w:proofErr w:type="gramStart"/>
      <w:r w:rsidRPr="00742C75">
        <w:rPr>
          <w:rFonts w:ascii="Times New Roman" w:eastAsia="宋体" w:hAnsi="Times New Roman" w:cs="宋体"/>
          <w:sz w:val="24"/>
          <w:lang w:eastAsia="zh-CN"/>
        </w:rPr>
        <w:t>百</w:t>
      </w:r>
      <w:proofErr w:type="gramEnd"/>
      <w:r w:rsidRPr="00742C75">
        <w:rPr>
          <w:rFonts w:ascii="Times New Roman" w:eastAsia="宋体" w:hAnsi="Times New Roman" w:cs="宋体"/>
          <w:sz w:val="24"/>
          <w:lang w:eastAsia="zh-CN"/>
        </w:rPr>
        <w:t>分位体重估计值）</w:t>
      </w:r>
      <w:r w:rsidRPr="00742C75">
        <w:rPr>
          <w:rFonts w:ascii="Times New Roman" w:eastAsia="宋体" w:hAnsi="Times New Roman" w:cs="宋体"/>
          <w:sz w:val="24"/>
          <w:vertAlign w:val="superscript"/>
          <w:lang w:eastAsia="zh-CN"/>
        </w:rPr>
        <w:t xml:space="preserve">2 </w:t>
      </w:r>
      <w:r w:rsidRPr="00742C75">
        <w:rPr>
          <w:rFonts w:ascii="Times New Roman" w:eastAsia="宋体" w:hAnsi="Times New Roman" w:cs="宋体"/>
          <w:sz w:val="24"/>
          <w:lang w:eastAsia="zh-CN"/>
        </w:rPr>
        <w:t>的目标。</w:t>
      </w:r>
    </w:p>
    <w:p w14:paraId="7A144749" w14:textId="77777777" w:rsid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b/>
          <w:sz w:val="24"/>
          <w:lang w:eastAsia="zh-CN"/>
        </w:rPr>
        <w:t>对乙酰氨基酚</w:t>
      </w:r>
      <w:r w:rsidRPr="00742C75">
        <w:rPr>
          <w:rFonts w:ascii="Times New Roman" w:eastAsia="宋体" w:hAnsi="Times New Roman" w:cs="宋体"/>
          <w:b/>
          <w:sz w:val="24"/>
          <w:vertAlign w:val="superscript"/>
          <w:lang w:eastAsia="zh-CN"/>
        </w:rPr>
        <w:t>3</w:t>
      </w:r>
      <w:r w:rsidRPr="00742C75">
        <w:rPr>
          <w:rFonts w:ascii="Times New Roman" w:eastAsia="宋体" w:hAnsi="Times New Roman" w:cs="宋体"/>
          <w:sz w:val="24"/>
          <w:lang w:eastAsia="zh-CN"/>
        </w:rPr>
        <w:t>：含对乙酰氨基酚产品的限制性给药系统应限制液体流速，在</w:t>
      </w:r>
      <w:r w:rsidRPr="00742C75">
        <w:rPr>
          <w:rFonts w:ascii="Times New Roman" w:eastAsia="宋体" w:hAnsi="Times New Roman" w:cs="宋体"/>
          <w:sz w:val="24"/>
          <w:lang w:eastAsia="zh-CN"/>
        </w:rPr>
        <w:t>5</w:t>
      </w:r>
      <w:r w:rsidRPr="00742C75">
        <w:rPr>
          <w:rFonts w:ascii="Times New Roman" w:eastAsia="宋体" w:hAnsi="Times New Roman" w:cs="宋体"/>
          <w:sz w:val="24"/>
          <w:lang w:eastAsia="zh-CN"/>
        </w:rPr>
        <w:t>分钟间隔内给药量不得超过</w:t>
      </w:r>
      <w:r w:rsidRPr="00742C75">
        <w:rPr>
          <w:rFonts w:ascii="Times New Roman" w:eastAsia="宋体" w:hAnsi="Times New Roman" w:cs="宋体"/>
          <w:sz w:val="24"/>
          <w:lang w:eastAsia="zh-CN"/>
        </w:rPr>
        <w:t>2,400</w:t>
      </w:r>
      <w:r w:rsidRPr="00742C75">
        <w:rPr>
          <w:rFonts w:ascii="Times New Roman" w:eastAsia="宋体" w:hAnsi="Times New Roman" w:cs="宋体"/>
          <w:sz w:val="24"/>
          <w:lang w:eastAsia="zh-CN"/>
        </w:rPr>
        <w:t>毫克（</w:t>
      </w:r>
      <w:r w:rsidRPr="00742C75">
        <w:rPr>
          <w:rFonts w:ascii="Times New Roman" w:eastAsia="宋体" w:hAnsi="Times New Roman" w:cs="宋体"/>
          <w:sz w:val="24"/>
          <w:lang w:eastAsia="zh-CN"/>
        </w:rPr>
        <w:t>mg</w:t>
      </w:r>
      <w:r w:rsidRPr="00742C75">
        <w:rPr>
          <w:rFonts w:ascii="Times New Roman" w:eastAsia="宋体" w:hAnsi="Times New Roman" w:cs="宋体"/>
          <w:sz w:val="24"/>
          <w:lang w:eastAsia="zh-CN"/>
        </w:rPr>
        <w:t>）对乙酰氨基酚。由于肝脏衰竭的风险，考虑使用限制一次获取单个装置体积的限制性给药系统，例如闭合式限流器。</w:t>
      </w:r>
    </w:p>
    <w:p w14:paraId="76FFB4E6" w14:textId="77777777" w:rsidR="00203E1B" w:rsidRPr="00CE3E13"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_____________________</w:t>
      </w:r>
    </w:p>
    <w:p w14:paraId="4ACBE5A6" w14:textId="6A7953D9" w:rsidR="00CE3E13" w:rsidRPr="00CE3E13" w:rsidRDefault="00CE3E13" w:rsidP="00670F08">
      <w:pPr>
        <w:pStyle w:val="a9"/>
        <w:tabs>
          <w:tab w:val="clear" w:pos="835"/>
          <w:tab w:val="left" w:pos="426"/>
        </w:tabs>
        <w:rPr>
          <w:lang w:eastAsia="zh-CN" w:bidi="en-US"/>
        </w:rPr>
      </w:pPr>
      <w:r w:rsidRPr="00742C75">
        <w:rPr>
          <w:rFonts w:eastAsia="宋体" w:cs="宋体"/>
          <w:vertAlign w:val="superscript"/>
          <w:lang w:eastAsia="zh-CN"/>
        </w:rPr>
        <w:t>1</w:t>
      </w:r>
      <w:r w:rsidRPr="00742C75">
        <w:rPr>
          <w:rFonts w:eastAsia="宋体" w:cs="宋体"/>
          <w:lang w:eastAsia="zh-CN"/>
        </w:rPr>
        <w:t>选择这些示例是因为</w:t>
      </w:r>
      <w:r w:rsidRPr="00742C75">
        <w:rPr>
          <w:rFonts w:eastAsia="宋体" w:cs="宋体"/>
          <w:lang w:eastAsia="zh-CN"/>
        </w:rPr>
        <w:t>91%</w:t>
      </w:r>
      <w:r w:rsidRPr="00742C75">
        <w:rPr>
          <w:rFonts w:eastAsia="宋体" w:cs="宋体"/>
          <w:lang w:eastAsia="zh-CN"/>
        </w:rPr>
        <w:t>的非处方药液体药物暴露急诊门诊涉及对乙酰氨基酚、咳嗽和感冒药、布洛芬或苯海拉明。参见</w:t>
      </w:r>
      <w:proofErr w:type="spellStart"/>
      <w:r w:rsidRPr="00742C75">
        <w:rPr>
          <w:rFonts w:eastAsia="宋体" w:cs="宋体"/>
          <w:lang w:eastAsia="zh-CN"/>
        </w:rPr>
        <w:t>Lovegrove</w:t>
      </w:r>
      <w:proofErr w:type="spellEnd"/>
      <w:r w:rsidRPr="00742C75">
        <w:rPr>
          <w:rFonts w:eastAsia="宋体" w:cs="宋体"/>
          <w:lang w:eastAsia="zh-CN"/>
        </w:rPr>
        <w:t xml:space="preserve"> MC, </w:t>
      </w:r>
      <w:proofErr w:type="spellStart"/>
      <w:r w:rsidRPr="00742C75">
        <w:rPr>
          <w:rFonts w:eastAsia="宋体" w:cs="宋体"/>
          <w:lang w:eastAsia="zh-CN"/>
        </w:rPr>
        <w:t>Weidle</w:t>
      </w:r>
      <w:proofErr w:type="spellEnd"/>
      <w:r w:rsidRPr="00742C75">
        <w:rPr>
          <w:rFonts w:eastAsia="宋体" w:cs="宋体"/>
          <w:lang w:eastAsia="zh-CN"/>
        </w:rPr>
        <w:t xml:space="preserve"> NJ, </w:t>
      </w:r>
      <w:proofErr w:type="spellStart"/>
      <w:r w:rsidRPr="00742C75">
        <w:rPr>
          <w:rFonts w:eastAsia="宋体" w:cs="宋体"/>
          <w:lang w:eastAsia="zh-CN"/>
        </w:rPr>
        <w:t>Budnitz</w:t>
      </w:r>
      <w:proofErr w:type="spellEnd"/>
      <w:r w:rsidRPr="00742C75">
        <w:rPr>
          <w:rFonts w:eastAsia="宋体" w:cs="宋体"/>
          <w:lang w:eastAsia="zh-CN"/>
        </w:rPr>
        <w:t xml:space="preserve"> DS</w:t>
      </w:r>
      <w:r w:rsidRPr="00742C75">
        <w:rPr>
          <w:rFonts w:eastAsia="宋体" w:cs="宋体"/>
          <w:lang w:eastAsia="zh-CN"/>
        </w:rPr>
        <w:t>。</w:t>
      </w:r>
      <w:r w:rsidRPr="00742C75">
        <w:rPr>
          <w:rFonts w:eastAsia="宋体" w:cs="宋体"/>
          <w:lang w:eastAsia="zh-CN"/>
        </w:rPr>
        <w:t>2004-2013</w:t>
      </w:r>
      <w:r w:rsidRPr="00742C75">
        <w:rPr>
          <w:rFonts w:eastAsia="宋体" w:cs="宋体"/>
          <w:lang w:eastAsia="zh-CN"/>
        </w:rPr>
        <w:t>年无监督儿科药物暴露的急诊就诊趋势。儿科学</w:t>
      </w:r>
      <w:r w:rsidRPr="00742C75">
        <w:rPr>
          <w:rFonts w:eastAsia="宋体" w:cs="宋体"/>
          <w:lang w:eastAsia="zh-CN"/>
        </w:rPr>
        <w:t>2015</w:t>
      </w:r>
      <w:r w:rsidRPr="00742C75">
        <w:rPr>
          <w:rFonts w:eastAsia="宋体" w:cs="宋体"/>
          <w:lang w:eastAsia="zh-CN"/>
        </w:rPr>
        <w:t>年</w:t>
      </w:r>
      <w:r w:rsidRPr="00742C75">
        <w:rPr>
          <w:rFonts w:eastAsia="宋体" w:cs="宋体"/>
          <w:lang w:eastAsia="zh-CN"/>
        </w:rPr>
        <w:t>; 136</w:t>
      </w:r>
      <w:r w:rsidRPr="00742C75">
        <w:rPr>
          <w:rFonts w:eastAsia="宋体" w:cs="宋体"/>
          <w:lang w:eastAsia="zh-CN"/>
        </w:rPr>
        <w:t>。</w:t>
      </w:r>
    </w:p>
    <w:p w14:paraId="0B35E228" w14:textId="543DAE2F"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2</w:t>
      </w:r>
      <w:r w:rsidRPr="00742C75">
        <w:rPr>
          <w:rFonts w:eastAsia="宋体" w:cs="宋体"/>
          <w:lang w:eastAsia="zh-CN"/>
        </w:rPr>
        <w:t>参见脚注</w:t>
      </w:r>
      <w:r w:rsidRPr="00742C75">
        <w:rPr>
          <w:rFonts w:eastAsia="宋体" w:cs="宋体"/>
          <w:lang w:eastAsia="zh-CN"/>
        </w:rPr>
        <w:t>27</w:t>
      </w:r>
      <w:r w:rsidRPr="00742C75">
        <w:rPr>
          <w:rFonts w:eastAsia="宋体" w:cs="宋体"/>
          <w:lang w:eastAsia="zh-CN"/>
        </w:rPr>
        <w:t>。</w:t>
      </w:r>
    </w:p>
    <w:p w14:paraId="2D31CBA2" w14:textId="72F92F37" w:rsidR="00CE3E13" w:rsidRPr="00CE3E13" w:rsidRDefault="00CE3E13" w:rsidP="00670F08">
      <w:pPr>
        <w:pStyle w:val="a9"/>
        <w:tabs>
          <w:tab w:val="clear" w:pos="835"/>
          <w:tab w:val="left" w:pos="630"/>
        </w:tabs>
        <w:rPr>
          <w:lang w:eastAsia="zh-CN" w:bidi="en-US"/>
        </w:rPr>
      </w:pPr>
      <w:r w:rsidRPr="00742C75">
        <w:rPr>
          <w:rFonts w:eastAsia="宋体" w:cs="宋体"/>
          <w:vertAlign w:val="superscript"/>
          <w:lang w:eastAsia="zh-CN"/>
        </w:rPr>
        <w:t>3</w:t>
      </w:r>
      <w:r w:rsidRPr="00742C75">
        <w:rPr>
          <w:rFonts w:eastAsia="宋体" w:cs="宋体"/>
          <w:lang w:eastAsia="zh-CN"/>
        </w:rPr>
        <w:t>假设阈值为</w:t>
      </w:r>
      <w:r w:rsidRPr="00742C75">
        <w:rPr>
          <w:rFonts w:eastAsia="宋体" w:cs="宋体"/>
          <w:lang w:eastAsia="zh-CN"/>
        </w:rPr>
        <w:t>200 mg/kg</w:t>
      </w:r>
      <w:r w:rsidRPr="00742C75">
        <w:rPr>
          <w:rFonts w:eastAsia="宋体" w:cs="宋体"/>
          <w:lang w:eastAsia="zh-CN"/>
        </w:rPr>
        <w:t>，儿童体重为</w:t>
      </w:r>
      <w:r w:rsidRPr="00742C75">
        <w:rPr>
          <w:rFonts w:eastAsia="宋体" w:cs="宋体"/>
          <w:lang w:eastAsia="zh-CN"/>
        </w:rPr>
        <w:t>12 kg</w:t>
      </w:r>
      <w:r w:rsidRPr="00742C75">
        <w:rPr>
          <w:rFonts w:eastAsia="宋体" w:cs="宋体"/>
          <w:lang w:eastAsia="zh-CN"/>
        </w:rPr>
        <w:t>。对于</w:t>
      </w:r>
      <w:r w:rsidRPr="00742C75">
        <w:rPr>
          <w:rFonts w:eastAsia="宋体" w:cs="宋体"/>
          <w:lang w:eastAsia="zh-CN"/>
        </w:rPr>
        <w:t>160 mg/5 mL</w:t>
      </w:r>
      <w:r w:rsidRPr="00742C75">
        <w:rPr>
          <w:rFonts w:eastAsia="宋体" w:cs="宋体"/>
          <w:lang w:eastAsia="zh-CN"/>
        </w:rPr>
        <w:t>的浓度，这导致</w:t>
      </w:r>
      <w:r w:rsidRPr="00742C75">
        <w:rPr>
          <w:rFonts w:eastAsia="宋体" w:cs="宋体"/>
          <w:lang w:eastAsia="zh-CN"/>
        </w:rPr>
        <w:t>5</w:t>
      </w:r>
      <w:r w:rsidRPr="00742C75">
        <w:rPr>
          <w:rFonts w:eastAsia="宋体" w:cs="宋体"/>
          <w:lang w:eastAsia="zh-CN"/>
        </w:rPr>
        <w:t>分钟内不超过（</w:t>
      </w:r>
      <w:r w:rsidRPr="00742C75">
        <w:rPr>
          <w:rFonts w:eastAsia="宋体" w:cs="宋体"/>
          <w:lang w:eastAsia="zh-CN"/>
        </w:rPr>
        <w:t>NTE</w:t>
      </w:r>
      <w:r w:rsidRPr="00742C75">
        <w:rPr>
          <w:rFonts w:eastAsia="宋体" w:cs="宋体"/>
          <w:lang w:eastAsia="zh-CN"/>
        </w:rPr>
        <w:t>）</w:t>
      </w:r>
      <w:r w:rsidRPr="00742C75">
        <w:rPr>
          <w:rFonts w:eastAsia="宋体" w:cs="宋体"/>
          <w:lang w:eastAsia="zh-CN"/>
        </w:rPr>
        <w:t>75 mL</w:t>
      </w:r>
      <w:r w:rsidRPr="00742C75">
        <w:rPr>
          <w:rFonts w:eastAsia="宋体" w:cs="宋体"/>
          <w:lang w:eastAsia="zh-CN"/>
        </w:rPr>
        <w:t>。资料来源：</w:t>
      </w:r>
      <w:r w:rsidRPr="00742C75">
        <w:rPr>
          <w:rFonts w:eastAsia="宋体" w:cs="宋体"/>
          <w:lang w:eastAsia="zh-CN"/>
        </w:rPr>
        <w:t>200 mg/kg</w:t>
      </w:r>
      <w:r w:rsidRPr="00742C75">
        <w:rPr>
          <w:rFonts w:eastAsia="宋体" w:cs="宋体"/>
          <w:lang w:eastAsia="zh-CN"/>
        </w:rPr>
        <w:t>美国临床毒理学学会指南（</w:t>
      </w:r>
      <w:r w:rsidRPr="00742C75">
        <w:rPr>
          <w:rFonts w:eastAsia="宋体" w:cs="宋体"/>
          <w:lang w:eastAsia="zh-CN"/>
        </w:rPr>
        <w:t>2,400 mg</w:t>
      </w:r>
      <w:r w:rsidRPr="00742C75">
        <w:rPr>
          <w:rFonts w:eastAsia="宋体" w:cs="宋体"/>
          <w:lang w:eastAsia="zh-CN"/>
        </w:rPr>
        <w:t>）</w:t>
      </w:r>
      <w:r w:rsidRPr="00742C75">
        <w:rPr>
          <w:rFonts w:eastAsia="宋体" w:cs="宋体"/>
          <w:lang w:eastAsia="zh-CN"/>
        </w:rPr>
        <w:t>; 200 mg/kg POISINDEX</w:t>
      </w:r>
      <w:r w:rsidRPr="00742C75">
        <w:rPr>
          <w:rFonts w:eastAsia="宋体" w:cs="宋体"/>
          <w:lang w:eastAsia="zh-CN"/>
        </w:rPr>
        <w:t>（</w:t>
      </w:r>
      <w:r w:rsidRPr="00742C75">
        <w:rPr>
          <w:rFonts w:eastAsia="宋体" w:cs="宋体"/>
          <w:lang w:eastAsia="zh-CN"/>
        </w:rPr>
        <w:t>2,400 mg</w:t>
      </w:r>
      <w:r w:rsidRPr="00742C75">
        <w:rPr>
          <w:rFonts w:eastAsia="宋体" w:cs="宋体"/>
          <w:lang w:eastAsia="zh-CN"/>
        </w:rPr>
        <w:t>）。</w:t>
      </w:r>
    </w:p>
    <w:p w14:paraId="6A5DDB0B" w14:textId="77777777" w:rsidR="00203E1B" w:rsidRDefault="00203E1B">
      <w:pPr>
        <w:rPr>
          <w:rFonts w:ascii="Times New Roman" w:hAnsi="Times New Roman" w:cs="Times New Roman"/>
          <w:b/>
          <w:bCs/>
          <w:i/>
          <w:iCs/>
          <w:snapToGrid w:val="0"/>
          <w:sz w:val="24"/>
          <w:szCs w:val="24"/>
          <w:lang w:eastAsia="zh-CN" w:bidi="en-US"/>
        </w:rPr>
      </w:pPr>
      <w:r w:rsidRPr="00742C75">
        <w:rPr>
          <w:rFonts w:ascii="Times New Roman" w:eastAsia="宋体" w:hAnsi="Times New Roman" w:cs="宋体"/>
          <w:b/>
          <w:i/>
          <w:sz w:val="24"/>
          <w:lang w:eastAsia="zh-CN"/>
        </w:rPr>
        <w:br w:type="page"/>
      </w:r>
    </w:p>
    <w:p w14:paraId="2DA922FE" w14:textId="77777777"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b/>
          <w:sz w:val="24"/>
          <w:lang w:eastAsia="zh-CN"/>
        </w:rPr>
        <w:lastRenderedPageBreak/>
        <w:t>右美沙芬</w:t>
      </w:r>
      <w:r w:rsidRPr="00742C75">
        <w:rPr>
          <w:rFonts w:ascii="Times New Roman" w:eastAsia="宋体" w:hAnsi="Times New Roman" w:cs="宋体"/>
          <w:b/>
          <w:sz w:val="24"/>
          <w:vertAlign w:val="superscript"/>
          <w:lang w:eastAsia="zh-CN"/>
        </w:rPr>
        <w:t>4</w:t>
      </w:r>
      <w:r w:rsidRPr="00742C75">
        <w:rPr>
          <w:rFonts w:ascii="Times New Roman" w:eastAsia="宋体" w:hAnsi="Times New Roman" w:cs="宋体"/>
          <w:sz w:val="24"/>
          <w:lang w:eastAsia="zh-CN"/>
        </w:rPr>
        <w:t>：含右美沙芬产品的限制性给药系统应限制液体流速，在</w:t>
      </w:r>
      <w:r w:rsidRPr="00742C75">
        <w:rPr>
          <w:rFonts w:ascii="Times New Roman" w:eastAsia="宋体" w:hAnsi="Times New Roman" w:cs="宋体"/>
          <w:sz w:val="24"/>
          <w:lang w:eastAsia="zh-CN"/>
        </w:rPr>
        <w:t>5</w:t>
      </w:r>
      <w:r w:rsidRPr="00742C75">
        <w:rPr>
          <w:rFonts w:ascii="Times New Roman" w:eastAsia="宋体" w:hAnsi="Times New Roman" w:cs="宋体"/>
          <w:sz w:val="24"/>
          <w:lang w:eastAsia="zh-CN"/>
        </w:rPr>
        <w:t>分钟间隔内给药量不得超过</w:t>
      </w:r>
      <w:r w:rsidRPr="00742C75">
        <w:rPr>
          <w:rFonts w:ascii="Times New Roman" w:eastAsia="宋体" w:hAnsi="Times New Roman" w:cs="宋体"/>
          <w:sz w:val="24"/>
          <w:lang w:eastAsia="zh-CN"/>
        </w:rPr>
        <w:t>90 mg</w:t>
      </w:r>
      <w:r w:rsidRPr="00742C75">
        <w:rPr>
          <w:rFonts w:ascii="Times New Roman" w:eastAsia="宋体" w:hAnsi="Times New Roman" w:cs="宋体"/>
          <w:sz w:val="24"/>
          <w:lang w:eastAsia="zh-CN"/>
        </w:rPr>
        <w:t>右美沙芬。</w:t>
      </w:r>
    </w:p>
    <w:p w14:paraId="4CB036A0" w14:textId="77777777"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b/>
          <w:sz w:val="24"/>
          <w:lang w:eastAsia="zh-CN"/>
        </w:rPr>
        <w:t>苯海拉明</w:t>
      </w:r>
      <w:r w:rsidRPr="00742C75">
        <w:rPr>
          <w:rFonts w:ascii="Times New Roman" w:eastAsia="宋体" w:hAnsi="Times New Roman" w:cs="宋体"/>
          <w:b/>
          <w:sz w:val="24"/>
          <w:vertAlign w:val="superscript"/>
          <w:lang w:eastAsia="zh-CN"/>
        </w:rPr>
        <w:t>5</w:t>
      </w:r>
      <w:r w:rsidRPr="00742C75">
        <w:rPr>
          <w:rFonts w:ascii="Times New Roman" w:eastAsia="宋体" w:hAnsi="Times New Roman" w:cs="宋体"/>
          <w:sz w:val="24"/>
          <w:lang w:eastAsia="zh-CN"/>
        </w:rPr>
        <w:t>：含苯海拉明产品的限制性给药系统应限制液体流速，在</w:t>
      </w:r>
      <w:r w:rsidRPr="00742C75">
        <w:rPr>
          <w:rFonts w:ascii="Times New Roman" w:eastAsia="宋体" w:hAnsi="Times New Roman" w:cs="宋体"/>
          <w:sz w:val="24"/>
          <w:lang w:eastAsia="zh-CN"/>
        </w:rPr>
        <w:t>5</w:t>
      </w:r>
      <w:r w:rsidRPr="00742C75">
        <w:rPr>
          <w:rFonts w:ascii="Times New Roman" w:eastAsia="宋体" w:hAnsi="Times New Roman" w:cs="宋体"/>
          <w:sz w:val="24"/>
          <w:lang w:eastAsia="zh-CN"/>
        </w:rPr>
        <w:t>分钟间隔内给药量不得超过</w:t>
      </w:r>
      <w:r w:rsidRPr="00742C75">
        <w:rPr>
          <w:rFonts w:ascii="Times New Roman" w:eastAsia="宋体" w:hAnsi="Times New Roman" w:cs="宋体"/>
          <w:sz w:val="24"/>
          <w:lang w:eastAsia="zh-CN"/>
        </w:rPr>
        <w:t>90 mg</w:t>
      </w:r>
      <w:r w:rsidRPr="00742C75">
        <w:rPr>
          <w:rFonts w:ascii="Times New Roman" w:eastAsia="宋体" w:hAnsi="Times New Roman" w:cs="宋体"/>
          <w:sz w:val="24"/>
          <w:lang w:eastAsia="zh-CN"/>
        </w:rPr>
        <w:t>苯海拉明。</w:t>
      </w:r>
    </w:p>
    <w:p w14:paraId="1F2C757D" w14:textId="77777777" w:rsidR="00CE3E13" w:rsidRP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b/>
          <w:sz w:val="24"/>
          <w:lang w:eastAsia="zh-CN"/>
        </w:rPr>
        <w:t>布洛芬</w:t>
      </w:r>
      <w:r w:rsidRPr="00742C75">
        <w:rPr>
          <w:rFonts w:ascii="Times New Roman" w:eastAsia="宋体" w:hAnsi="Times New Roman" w:cs="宋体"/>
          <w:b/>
          <w:sz w:val="24"/>
          <w:vertAlign w:val="superscript"/>
          <w:lang w:eastAsia="zh-CN"/>
        </w:rPr>
        <w:t>6</w:t>
      </w:r>
      <w:r w:rsidRPr="00742C75">
        <w:rPr>
          <w:rFonts w:ascii="Times New Roman" w:eastAsia="宋体" w:hAnsi="Times New Roman" w:cs="宋体"/>
          <w:sz w:val="24"/>
          <w:lang w:eastAsia="zh-CN"/>
        </w:rPr>
        <w:t>：含布洛芬产品的限制性给药系统应限制液体流速，在</w:t>
      </w:r>
      <w:r w:rsidRPr="00742C75">
        <w:rPr>
          <w:rFonts w:ascii="Times New Roman" w:eastAsia="宋体" w:hAnsi="Times New Roman" w:cs="宋体"/>
          <w:sz w:val="24"/>
          <w:lang w:eastAsia="zh-CN"/>
        </w:rPr>
        <w:t>5</w:t>
      </w:r>
      <w:r w:rsidRPr="00742C75">
        <w:rPr>
          <w:rFonts w:ascii="Times New Roman" w:eastAsia="宋体" w:hAnsi="Times New Roman" w:cs="宋体"/>
          <w:sz w:val="24"/>
          <w:lang w:eastAsia="zh-CN"/>
        </w:rPr>
        <w:t>分钟间隔内给药量不得超过</w:t>
      </w:r>
      <w:r w:rsidRPr="00742C75">
        <w:rPr>
          <w:rFonts w:ascii="Times New Roman" w:eastAsia="宋体" w:hAnsi="Times New Roman" w:cs="宋体"/>
          <w:sz w:val="24"/>
          <w:lang w:eastAsia="zh-CN"/>
        </w:rPr>
        <w:t>2,400 mg</w:t>
      </w:r>
      <w:r w:rsidRPr="00742C75">
        <w:rPr>
          <w:rFonts w:ascii="Times New Roman" w:eastAsia="宋体" w:hAnsi="Times New Roman" w:cs="宋体"/>
          <w:sz w:val="24"/>
          <w:lang w:eastAsia="zh-CN"/>
        </w:rPr>
        <w:t>布洛芬。</w:t>
      </w:r>
    </w:p>
    <w:p w14:paraId="07A3FC54" w14:textId="77777777" w:rsidR="00CE3E13" w:rsidRDefault="00CE3E13"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b/>
          <w:sz w:val="24"/>
          <w:lang w:eastAsia="zh-CN"/>
        </w:rPr>
        <w:t>伪麻黄碱</w:t>
      </w:r>
      <w:r w:rsidRPr="00742C75">
        <w:rPr>
          <w:rFonts w:ascii="Times New Roman" w:eastAsia="宋体" w:hAnsi="Times New Roman" w:cs="宋体"/>
          <w:b/>
          <w:sz w:val="24"/>
          <w:vertAlign w:val="superscript"/>
          <w:lang w:eastAsia="zh-CN"/>
        </w:rPr>
        <w:t>7</w:t>
      </w:r>
      <w:r w:rsidRPr="00742C75">
        <w:rPr>
          <w:rFonts w:ascii="Times New Roman" w:eastAsia="宋体" w:hAnsi="Times New Roman" w:cs="宋体"/>
          <w:sz w:val="24"/>
          <w:lang w:eastAsia="zh-CN"/>
        </w:rPr>
        <w:t>：含伪麻黄碱产品的限制性给药系统应限制液体流速，在</w:t>
      </w:r>
      <w:r w:rsidRPr="00742C75">
        <w:rPr>
          <w:rFonts w:ascii="Times New Roman" w:eastAsia="宋体" w:hAnsi="Times New Roman" w:cs="宋体"/>
          <w:sz w:val="24"/>
          <w:lang w:eastAsia="zh-CN"/>
        </w:rPr>
        <w:t>5</w:t>
      </w:r>
      <w:r w:rsidRPr="00742C75">
        <w:rPr>
          <w:rFonts w:ascii="Times New Roman" w:eastAsia="宋体" w:hAnsi="Times New Roman" w:cs="宋体"/>
          <w:sz w:val="24"/>
          <w:lang w:eastAsia="zh-CN"/>
        </w:rPr>
        <w:t>分钟间隔内给药量不得超过</w:t>
      </w:r>
      <w:r w:rsidRPr="00742C75">
        <w:rPr>
          <w:rFonts w:ascii="Times New Roman" w:eastAsia="宋体" w:hAnsi="Times New Roman" w:cs="宋体"/>
          <w:sz w:val="24"/>
          <w:lang w:eastAsia="zh-CN"/>
        </w:rPr>
        <w:t>144 mg</w:t>
      </w:r>
      <w:r w:rsidRPr="00742C75">
        <w:rPr>
          <w:rFonts w:ascii="Times New Roman" w:eastAsia="宋体" w:hAnsi="Times New Roman" w:cs="宋体"/>
          <w:sz w:val="24"/>
          <w:lang w:eastAsia="zh-CN"/>
        </w:rPr>
        <w:t>伪麻黄碱。</w:t>
      </w:r>
    </w:p>
    <w:p w14:paraId="3913D3AB"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48AC26F4"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0F5F44B2"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54DB2346"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75E520A0"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72217F0D"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0A140957"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3DB70C92"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326A1F32"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2C3B990E"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056B8A67" w14:textId="77777777" w:rsidR="00203E1B"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p>
    <w:p w14:paraId="09A93C81" w14:textId="77777777" w:rsidR="00203E1B" w:rsidRPr="00CE3E13" w:rsidRDefault="00203E1B" w:rsidP="00CE3E13">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bidi="en-US"/>
        </w:rPr>
      </w:pPr>
      <w:r w:rsidRPr="00742C75">
        <w:rPr>
          <w:rFonts w:ascii="Times New Roman" w:eastAsia="宋体" w:hAnsi="Times New Roman" w:cs="宋体"/>
          <w:sz w:val="24"/>
          <w:lang w:eastAsia="zh-CN"/>
        </w:rPr>
        <w:t>_____________________</w:t>
      </w:r>
    </w:p>
    <w:p w14:paraId="3C82E559" w14:textId="4FB3219D"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4</w:t>
      </w:r>
      <w:r w:rsidRPr="00742C75">
        <w:rPr>
          <w:rFonts w:eastAsia="宋体" w:cs="宋体"/>
          <w:lang w:eastAsia="zh-CN"/>
        </w:rPr>
        <w:t>假设阈值为</w:t>
      </w:r>
      <w:r w:rsidRPr="00742C75">
        <w:rPr>
          <w:rFonts w:eastAsia="宋体" w:cs="宋体"/>
          <w:lang w:eastAsia="zh-CN"/>
        </w:rPr>
        <w:t>7.5 mg/kg</w:t>
      </w:r>
      <w:r w:rsidRPr="00742C75">
        <w:rPr>
          <w:rFonts w:eastAsia="宋体" w:cs="宋体"/>
          <w:lang w:eastAsia="zh-CN"/>
        </w:rPr>
        <w:t>，儿童体重为</w:t>
      </w:r>
      <w:r w:rsidRPr="00742C75">
        <w:rPr>
          <w:rFonts w:eastAsia="宋体" w:cs="宋体"/>
          <w:lang w:eastAsia="zh-CN"/>
        </w:rPr>
        <w:t>12 kg</w:t>
      </w:r>
      <w:r w:rsidRPr="00742C75">
        <w:rPr>
          <w:rFonts w:eastAsia="宋体" w:cs="宋体"/>
          <w:lang w:eastAsia="zh-CN"/>
        </w:rPr>
        <w:t>。对于</w:t>
      </w:r>
      <w:r w:rsidRPr="00742C75">
        <w:rPr>
          <w:rFonts w:eastAsia="宋体" w:cs="宋体"/>
          <w:lang w:eastAsia="zh-CN"/>
        </w:rPr>
        <w:t>30 mg/5 mL</w:t>
      </w:r>
      <w:r w:rsidRPr="00742C75">
        <w:rPr>
          <w:rFonts w:eastAsia="宋体" w:cs="宋体"/>
          <w:lang w:eastAsia="zh-CN"/>
        </w:rPr>
        <w:t>浓度，这导致</w:t>
      </w:r>
      <w:r w:rsidRPr="00742C75">
        <w:rPr>
          <w:rFonts w:eastAsia="宋体" w:cs="宋体"/>
          <w:lang w:eastAsia="zh-CN"/>
        </w:rPr>
        <w:t>5</w:t>
      </w:r>
      <w:r w:rsidRPr="00742C75">
        <w:rPr>
          <w:rFonts w:eastAsia="宋体" w:cs="宋体"/>
          <w:lang w:eastAsia="zh-CN"/>
        </w:rPr>
        <w:t>分钟内</w:t>
      </w:r>
      <w:r w:rsidRPr="00742C75">
        <w:rPr>
          <w:rFonts w:eastAsia="宋体" w:cs="宋体"/>
          <w:lang w:eastAsia="zh-CN"/>
        </w:rPr>
        <w:t>NTE</w:t>
      </w:r>
      <w:r w:rsidRPr="00742C75">
        <w:rPr>
          <w:rFonts w:eastAsia="宋体" w:cs="宋体"/>
          <w:lang w:eastAsia="zh-CN"/>
        </w:rPr>
        <w:t>为</w:t>
      </w:r>
      <w:r w:rsidRPr="00742C75">
        <w:rPr>
          <w:rFonts w:eastAsia="宋体" w:cs="宋体"/>
          <w:lang w:eastAsia="zh-CN"/>
        </w:rPr>
        <w:t>15 mL</w:t>
      </w:r>
      <w:r w:rsidRPr="00742C75">
        <w:rPr>
          <w:rFonts w:eastAsia="宋体" w:cs="宋体"/>
          <w:lang w:eastAsia="zh-CN"/>
        </w:rPr>
        <w:t>。对于</w:t>
      </w:r>
      <w:r w:rsidRPr="00742C75">
        <w:rPr>
          <w:rFonts w:eastAsia="宋体" w:cs="宋体"/>
          <w:lang w:eastAsia="zh-CN"/>
        </w:rPr>
        <w:t>15 mg/5 mL</w:t>
      </w:r>
      <w:r w:rsidRPr="00742C75">
        <w:rPr>
          <w:rFonts w:eastAsia="宋体" w:cs="宋体"/>
          <w:lang w:eastAsia="zh-CN"/>
        </w:rPr>
        <w:t>浓度，这导致</w:t>
      </w:r>
      <w:r w:rsidRPr="00742C75">
        <w:rPr>
          <w:rFonts w:eastAsia="宋体" w:cs="宋体"/>
          <w:lang w:eastAsia="zh-CN"/>
        </w:rPr>
        <w:t>5</w:t>
      </w:r>
      <w:r w:rsidRPr="00742C75">
        <w:rPr>
          <w:rFonts w:eastAsia="宋体" w:cs="宋体"/>
          <w:lang w:eastAsia="zh-CN"/>
        </w:rPr>
        <w:t>分钟内</w:t>
      </w:r>
      <w:r w:rsidRPr="00742C75">
        <w:rPr>
          <w:rFonts w:eastAsia="宋体" w:cs="宋体"/>
          <w:lang w:eastAsia="zh-CN"/>
        </w:rPr>
        <w:t>NTE</w:t>
      </w:r>
      <w:r w:rsidRPr="00742C75">
        <w:rPr>
          <w:rFonts w:eastAsia="宋体" w:cs="宋体"/>
          <w:lang w:eastAsia="zh-CN"/>
        </w:rPr>
        <w:t>为</w:t>
      </w:r>
      <w:r w:rsidRPr="00742C75">
        <w:rPr>
          <w:rFonts w:eastAsia="宋体" w:cs="宋体"/>
          <w:lang w:eastAsia="zh-CN"/>
        </w:rPr>
        <w:t>30mL</w:t>
      </w:r>
      <w:r w:rsidRPr="00742C75">
        <w:rPr>
          <w:rFonts w:eastAsia="宋体" w:cs="宋体"/>
          <w:lang w:eastAsia="zh-CN"/>
        </w:rPr>
        <w:t>。资料来源：</w:t>
      </w:r>
      <w:r w:rsidRPr="00742C75">
        <w:rPr>
          <w:rFonts w:eastAsia="宋体" w:cs="宋体"/>
          <w:lang w:eastAsia="zh-CN"/>
        </w:rPr>
        <w:t>7.5 mg/kg AACT</w:t>
      </w:r>
      <w:r w:rsidRPr="00742C75">
        <w:rPr>
          <w:rFonts w:eastAsia="宋体" w:cs="宋体"/>
          <w:lang w:eastAsia="zh-CN"/>
        </w:rPr>
        <w:t>指南（</w:t>
      </w:r>
      <w:r w:rsidRPr="00742C75">
        <w:rPr>
          <w:rFonts w:eastAsia="宋体" w:cs="宋体"/>
          <w:lang w:eastAsia="zh-CN"/>
        </w:rPr>
        <w:t>90 mg</w:t>
      </w:r>
      <w:r w:rsidRPr="00742C75">
        <w:rPr>
          <w:rFonts w:eastAsia="宋体" w:cs="宋体"/>
          <w:lang w:eastAsia="zh-CN"/>
        </w:rPr>
        <w:t>）；</w:t>
      </w:r>
      <w:r w:rsidRPr="00742C75">
        <w:rPr>
          <w:rFonts w:eastAsia="宋体" w:cs="宋体"/>
          <w:lang w:eastAsia="zh-CN"/>
        </w:rPr>
        <w:t>10 mg/kg POISINDEX</w:t>
      </w:r>
      <w:r w:rsidRPr="00742C75">
        <w:rPr>
          <w:rFonts w:eastAsia="宋体" w:cs="宋体"/>
          <w:lang w:eastAsia="zh-CN"/>
        </w:rPr>
        <w:t>（</w:t>
      </w:r>
      <w:r w:rsidRPr="00742C75">
        <w:rPr>
          <w:rFonts w:eastAsia="宋体" w:cs="宋体"/>
          <w:lang w:eastAsia="zh-CN"/>
        </w:rPr>
        <w:t>120 mg</w:t>
      </w:r>
      <w:r w:rsidRPr="00742C75">
        <w:rPr>
          <w:rFonts w:eastAsia="宋体" w:cs="宋体"/>
          <w:lang w:eastAsia="zh-CN"/>
        </w:rPr>
        <w:t>）。</w:t>
      </w:r>
    </w:p>
    <w:p w14:paraId="04A561ED" w14:textId="5C9546B1"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5</w:t>
      </w:r>
      <w:r w:rsidRPr="00742C75">
        <w:rPr>
          <w:rFonts w:eastAsia="宋体" w:cs="宋体"/>
          <w:lang w:eastAsia="zh-CN"/>
        </w:rPr>
        <w:t>假设阈值为</w:t>
      </w:r>
      <w:r w:rsidRPr="00742C75">
        <w:rPr>
          <w:rFonts w:eastAsia="宋体" w:cs="宋体"/>
          <w:lang w:eastAsia="zh-CN"/>
        </w:rPr>
        <w:t>7.5 mg/kg</w:t>
      </w:r>
      <w:r w:rsidRPr="00742C75">
        <w:rPr>
          <w:rFonts w:eastAsia="宋体" w:cs="宋体"/>
          <w:lang w:eastAsia="zh-CN"/>
        </w:rPr>
        <w:t>，儿童体重为</w:t>
      </w:r>
      <w:r w:rsidRPr="00742C75">
        <w:rPr>
          <w:rFonts w:eastAsia="宋体" w:cs="宋体"/>
          <w:lang w:eastAsia="zh-CN"/>
        </w:rPr>
        <w:t>12 kg</w:t>
      </w:r>
      <w:r w:rsidRPr="00742C75">
        <w:rPr>
          <w:rFonts w:eastAsia="宋体" w:cs="宋体"/>
          <w:lang w:eastAsia="zh-CN"/>
        </w:rPr>
        <w:t>。对于</w:t>
      </w:r>
      <w:r w:rsidRPr="00742C75">
        <w:rPr>
          <w:rFonts w:eastAsia="宋体" w:cs="宋体"/>
          <w:lang w:eastAsia="zh-CN"/>
        </w:rPr>
        <w:t>12.5 mg/5 mL</w:t>
      </w:r>
      <w:r w:rsidRPr="00742C75">
        <w:rPr>
          <w:rFonts w:eastAsia="宋体" w:cs="宋体"/>
          <w:lang w:eastAsia="zh-CN"/>
        </w:rPr>
        <w:t>浓度，这导致</w:t>
      </w:r>
      <w:r w:rsidRPr="00742C75">
        <w:rPr>
          <w:rFonts w:eastAsia="宋体" w:cs="宋体"/>
          <w:lang w:eastAsia="zh-CN"/>
        </w:rPr>
        <w:t>5</w:t>
      </w:r>
      <w:r w:rsidRPr="00742C75">
        <w:rPr>
          <w:rFonts w:eastAsia="宋体" w:cs="宋体"/>
          <w:lang w:eastAsia="zh-CN"/>
        </w:rPr>
        <w:t>分钟内</w:t>
      </w:r>
      <w:r w:rsidRPr="00742C75">
        <w:rPr>
          <w:rFonts w:eastAsia="宋体" w:cs="宋体"/>
          <w:lang w:eastAsia="zh-CN"/>
        </w:rPr>
        <w:t>NTE</w:t>
      </w:r>
      <w:r w:rsidRPr="00742C75">
        <w:rPr>
          <w:rFonts w:eastAsia="宋体" w:cs="宋体"/>
          <w:lang w:eastAsia="zh-CN"/>
        </w:rPr>
        <w:t>为</w:t>
      </w:r>
      <w:r w:rsidRPr="00742C75">
        <w:rPr>
          <w:rFonts w:eastAsia="宋体" w:cs="宋体"/>
          <w:lang w:eastAsia="zh-CN"/>
        </w:rPr>
        <w:t>36 mL</w:t>
      </w:r>
      <w:r w:rsidRPr="00742C75">
        <w:rPr>
          <w:rFonts w:eastAsia="宋体" w:cs="宋体"/>
          <w:lang w:eastAsia="zh-CN"/>
        </w:rPr>
        <w:t>。资料来源：</w:t>
      </w:r>
      <w:r w:rsidRPr="00742C75">
        <w:rPr>
          <w:rFonts w:eastAsia="宋体" w:cs="宋体"/>
          <w:lang w:eastAsia="zh-CN"/>
        </w:rPr>
        <w:t>7.5 mg/kg AACT</w:t>
      </w:r>
      <w:r w:rsidRPr="00742C75">
        <w:rPr>
          <w:rFonts w:eastAsia="宋体" w:cs="宋体"/>
          <w:lang w:eastAsia="zh-CN"/>
        </w:rPr>
        <w:t>（</w:t>
      </w:r>
      <w:r w:rsidRPr="00742C75">
        <w:rPr>
          <w:rFonts w:eastAsia="宋体" w:cs="宋体"/>
          <w:lang w:eastAsia="zh-CN"/>
        </w:rPr>
        <w:t>90 mg</w:t>
      </w:r>
      <w:r w:rsidRPr="00742C75">
        <w:rPr>
          <w:rFonts w:eastAsia="宋体" w:cs="宋体"/>
          <w:lang w:eastAsia="zh-CN"/>
        </w:rPr>
        <w:t>）；</w:t>
      </w:r>
      <w:r w:rsidRPr="00742C75">
        <w:rPr>
          <w:rFonts w:eastAsia="宋体" w:cs="宋体"/>
          <w:lang w:eastAsia="zh-CN"/>
        </w:rPr>
        <w:t>7.5 mg/kg POISINDEX</w:t>
      </w:r>
      <w:r w:rsidRPr="00742C75">
        <w:rPr>
          <w:rFonts w:eastAsia="宋体" w:cs="宋体"/>
          <w:lang w:eastAsia="zh-CN"/>
        </w:rPr>
        <w:t>（</w:t>
      </w:r>
      <w:r w:rsidRPr="00742C75">
        <w:rPr>
          <w:rFonts w:eastAsia="宋体" w:cs="宋体"/>
          <w:lang w:eastAsia="zh-CN"/>
        </w:rPr>
        <w:t>90 mg</w:t>
      </w:r>
      <w:r w:rsidRPr="00742C75">
        <w:rPr>
          <w:rFonts w:eastAsia="宋体" w:cs="宋体"/>
          <w:lang w:eastAsia="zh-CN"/>
        </w:rPr>
        <w:t>）。</w:t>
      </w:r>
    </w:p>
    <w:p w14:paraId="57AA655D" w14:textId="65C5DBED" w:rsidR="00CE3E13" w:rsidRPr="00CE3E13" w:rsidRDefault="00CE3E13" w:rsidP="00670F08">
      <w:pPr>
        <w:pStyle w:val="a9"/>
        <w:tabs>
          <w:tab w:val="clear" w:pos="835"/>
        </w:tabs>
        <w:rPr>
          <w:lang w:eastAsia="zh-CN" w:bidi="en-US"/>
        </w:rPr>
      </w:pPr>
      <w:r w:rsidRPr="00742C75">
        <w:rPr>
          <w:rFonts w:eastAsia="宋体" w:cs="宋体"/>
          <w:vertAlign w:val="superscript"/>
          <w:lang w:eastAsia="zh-CN"/>
        </w:rPr>
        <w:t>6</w:t>
      </w:r>
      <w:r w:rsidRPr="00742C75">
        <w:rPr>
          <w:rFonts w:eastAsia="宋体" w:cs="宋体"/>
          <w:lang w:eastAsia="zh-CN"/>
        </w:rPr>
        <w:t>假设阈值为</w:t>
      </w:r>
      <w:r w:rsidRPr="00742C75">
        <w:rPr>
          <w:rFonts w:eastAsia="宋体" w:cs="宋体"/>
          <w:lang w:eastAsia="zh-CN"/>
        </w:rPr>
        <w:t>200 mg/kg</w:t>
      </w:r>
      <w:r w:rsidRPr="00742C75">
        <w:rPr>
          <w:rFonts w:eastAsia="宋体" w:cs="宋体"/>
          <w:lang w:eastAsia="zh-CN"/>
        </w:rPr>
        <w:t>，儿童体重为</w:t>
      </w:r>
      <w:r w:rsidRPr="00742C75">
        <w:rPr>
          <w:rFonts w:eastAsia="宋体" w:cs="宋体"/>
          <w:lang w:eastAsia="zh-CN"/>
        </w:rPr>
        <w:t>12 kg</w:t>
      </w:r>
      <w:r w:rsidRPr="00742C75">
        <w:rPr>
          <w:rFonts w:eastAsia="宋体" w:cs="宋体"/>
          <w:lang w:eastAsia="zh-CN"/>
        </w:rPr>
        <w:t>。对于</w:t>
      </w:r>
      <w:r w:rsidRPr="00742C75">
        <w:rPr>
          <w:rFonts w:eastAsia="宋体" w:cs="宋体"/>
          <w:lang w:eastAsia="zh-CN"/>
        </w:rPr>
        <w:t>100 mg/5 mL</w:t>
      </w:r>
      <w:r w:rsidRPr="00742C75">
        <w:rPr>
          <w:rFonts w:eastAsia="宋体" w:cs="宋体"/>
          <w:lang w:eastAsia="zh-CN"/>
        </w:rPr>
        <w:t>浓度，这导致</w:t>
      </w:r>
      <w:r w:rsidRPr="00742C75">
        <w:rPr>
          <w:rFonts w:eastAsia="宋体" w:cs="宋体"/>
          <w:lang w:eastAsia="zh-CN"/>
        </w:rPr>
        <w:t>5</w:t>
      </w:r>
      <w:r w:rsidRPr="00742C75">
        <w:rPr>
          <w:rFonts w:eastAsia="宋体" w:cs="宋体"/>
          <w:lang w:eastAsia="zh-CN"/>
        </w:rPr>
        <w:t>分钟内</w:t>
      </w:r>
      <w:r w:rsidRPr="00742C75">
        <w:rPr>
          <w:rFonts w:eastAsia="宋体" w:cs="宋体"/>
          <w:lang w:eastAsia="zh-CN"/>
        </w:rPr>
        <w:t>NTE</w:t>
      </w:r>
      <w:r w:rsidRPr="00742C75">
        <w:rPr>
          <w:rFonts w:eastAsia="宋体" w:cs="宋体"/>
          <w:lang w:eastAsia="zh-CN"/>
        </w:rPr>
        <w:t>为</w:t>
      </w:r>
      <w:r w:rsidRPr="00742C75">
        <w:rPr>
          <w:rFonts w:eastAsia="宋体" w:cs="宋体"/>
          <w:lang w:eastAsia="zh-CN"/>
        </w:rPr>
        <w:t>120 mL</w:t>
      </w:r>
      <w:r w:rsidRPr="00742C75">
        <w:rPr>
          <w:rFonts w:eastAsia="宋体" w:cs="宋体"/>
          <w:lang w:eastAsia="zh-CN"/>
        </w:rPr>
        <w:t>。资料来源：</w:t>
      </w:r>
      <w:r w:rsidRPr="00742C75">
        <w:rPr>
          <w:rFonts w:eastAsia="宋体" w:cs="宋体"/>
          <w:lang w:eastAsia="zh-CN"/>
        </w:rPr>
        <w:t>200 mg/kg POISINDEX</w:t>
      </w:r>
      <w:r w:rsidRPr="00742C75">
        <w:rPr>
          <w:rFonts w:eastAsia="宋体" w:cs="宋体"/>
          <w:lang w:eastAsia="zh-CN"/>
        </w:rPr>
        <w:t>（</w:t>
      </w:r>
      <w:r w:rsidRPr="00742C75">
        <w:rPr>
          <w:rFonts w:eastAsia="宋体" w:cs="宋体"/>
          <w:lang w:eastAsia="zh-CN"/>
        </w:rPr>
        <w:t>2400 mg</w:t>
      </w:r>
      <w:r w:rsidRPr="00742C75">
        <w:rPr>
          <w:rFonts w:eastAsia="宋体" w:cs="宋体"/>
          <w:lang w:eastAsia="zh-CN"/>
        </w:rPr>
        <w:t>）。</w:t>
      </w:r>
    </w:p>
    <w:p w14:paraId="3EFF7754" w14:textId="13B248D8" w:rsidR="00CF33E5" w:rsidRPr="002D1398" w:rsidRDefault="00CE3E13" w:rsidP="00670F08">
      <w:pPr>
        <w:pStyle w:val="a9"/>
        <w:tabs>
          <w:tab w:val="clear" w:pos="835"/>
        </w:tabs>
        <w:rPr>
          <w:sz w:val="24"/>
          <w:szCs w:val="24"/>
        </w:rPr>
      </w:pPr>
      <w:r w:rsidRPr="00742C75">
        <w:rPr>
          <w:rFonts w:eastAsia="宋体" w:cs="宋体"/>
          <w:vertAlign w:val="superscript"/>
          <w:lang w:eastAsia="zh-CN"/>
        </w:rPr>
        <w:t>7</w:t>
      </w:r>
      <w:r w:rsidRPr="00742C75">
        <w:rPr>
          <w:rFonts w:eastAsia="宋体" w:cs="宋体"/>
          <w:lang w:eastAsia="zh-CN"/>
        </w:rPr>
        <w:t>假设阈值为</w:t>
      </w:r>
      <w:r w:rsidRPr="00742C75">
        <w:rPr>
          <w:rFonts w:eastAsia="宋体" w:cs="宋体"/>
          <w:lang w:eastAsia="zh-CN"/>
        </w:rPr>
        <w:t>12 mg/kg</w:t>
      </w:r>
      <w:r w:rsidRPr="00742C75">
        <w:rPr>
          <w:rFonts w:eastAsia="宋体" w:cs="宋体"/>
          <w:lang w:eastAsia="zh-CN"/>
        </w:rPr>
        <w:t>，儿童体重为</w:t>
      </w:r>
      <w:r w:rsidRPr="00742C75">
        <w:rPr>
          <w:rFonts w:eastAsia="宋体" w:cs="宋体"/>
          <w:lang w:eastAsia="zh-CN"/>
        </w:rPr>
        <w:t>12 kg</w:t>
      </w:r>
      <w:r w:rsidRPr="00742C75">
        <w:rPr>
          <w:rFonts w:eastAsia="宋体" w:cs="宋体"/>
          <w:lang w:eastAsia="zh-CN"/>
        </w:rPr>
        <w:t>。对于</w:t>
      </w:r>
      <w:r w:rsidRPr="00742C75">
        <w:rPr>
          <w:rFonts w:eastAsia="宋体" w:cs="宋体"/>
          <w:lang w:eastAsia="zh-CN"/>
        </w:rPr>
        <w:t>30 mg/5 mL</w:t>
      </w:r>
      <w:r w:rsidRPr="00742C75">
        <w:rPr>
          <w:rFonts w:eastAsia="宋体" w:cs="宋体"/>
          <w:lang w:eastAsia="zh-CN"/>
        </w:rPr>
        <w:t>浓度，这导致</w:t>
      </w:r>
      <w:r w:rsidRPr="00742C75">
        <w:rPr>
          <w:rFonts w:eastAsia="宋体" w:cs="宋体"/>
          <w:lang w:eastAsia="zh-CN"/>
        </w:rPr>
        <w:t>5</w:t>
      </w:r>
      <w:r w:rsidRPr="00742C75">
        <w:rPr>
          <w:rFonts w:eastAsia="宋体" w:cs="宋体"/>
          <w:lang w:eastAsia="zh-CN"/>
        </w:rPr>
        <w:t>分钟内</w:t>
      </w:r>
      <w:r w:rsidRPr="00742C75">
        <w:rPr>
          <w:rFonts w:eastAsia="宋体" w:cs="宋体"/>
          <w:lang w:eastAsia="zh-CN"/>
        </w:rPr>
        <w:t>NTE</w:t>
      </w:r>
      <w:r w:rsidRPr="00742C75">
        <w:rPr>
          <w:rFonts w:eastAsia="宋体" w:cs="宋体"/>
          <w:lang w:eastAsia="zh-CN"/>
        </w:rPr>
        <w:t>为</w:t>
      </w:r>
      <w:r w:rsidRPr="00742C75">
        <w:rPr>
          <w:rFonts w:eastAsia="宋体" w:cs="宋体"/>
          <w:lang w:eastAsia="zh-CN"/>
        </w:rPr>
        <w:t>24 mL</w:t>
      </w:r>
      <w:r w:rsidRPr="00742C75">
        <w:rPr>
          <w:rFonts w:eastAsia="宋体" w:cs="宋体"/>
          <w:lang w:eastAsia="zh-CN"/>
        </w:rPr>
        <w:t>。</w:t>
      </w:r>
      <w:r w:rsidRPr="00742C75">
        <w:rPr>
          <w:rFonts w:eastAsia="宋体" w:cs="宋体"/>
        </w:rPr>
        <w:t>资料来源：</w:t>
      </w:r>
      <w:r w:rsidRPr="00742C75">
        <w:rPr>
          <w:rFonts w:eastAsia="宋体" w:cs="宋体"/>
        </w:rPr>
        <w:t>12 mg/kg POISINDEX</w:t>
      </w:r>
      <w:r w:rsidRPr="00742C75">
        <w:rPr>
          <w:rFonts w:eastAsia="宋体" w:cs="宋体"/>
        </w:rPr>
        <w:t>。</w:t>
      </w:r>
    </w:p>
    <w:sectPr w:rsidR="00CF33E5" w:rsidRPr="002D1398" w:rsidSect="009D01EE">
      <w:footerReference w:type="default" r:id="rId11"/>
      <w:pgSz w:w="11907" w:h="16839" w:code="9"/>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C6399" w14:textId="77777777" w:rsidR="00015ED6" w:rsidRDefault="00015ED6">
      <w:r>
        <w:separator/>
      </w:r>
    </w:p>
  </w:endnote>
  <w:endnote w:type="continuationSeparator" w:id="0">
    <w:p w14:paraId="46B8ADB4" w14:textId="77777777" w:rsidR="00015ED6" w:rsidRDefault="0001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1088B" w14:textId="77777777" w:rsidR="00446F91" w:rsidRPr="00742C75" w:rsidRDefault="00446F91" w:rsidP="009D01EE">
    <w:pPr>
      <w:pStyle w:val="a6"/>
      <w:jc w:val="center"/>
      <w:rPr>
        <w:rFonts w:ascii="Times New Roman" w:hAnsi="Times New Roman" w:cs="Times New Roman"/>
      </w:rPr>
    </w:pPr>
    <w:r w:rsidRPr="00742C75">
      <w:rPr>
        <w:rFonts w:ascii="Times New Roman" w:hAnsi="Times New Roman" w:cs="Times New Roman"/>
      </w:rPr>
      <w:fldChar w:fldCharType="begin"/>
    </w:r>
    <w:r w:rsidRPr="00742C75">
      <w:rPr>
        <w:rFonts w:ascii="Times New Roman" w:hAnsi="Times New Roman" w:cs="Times New Roman"/>
      </w:rPr>
      <w:instrText>PAGE   \* MERGEFORMAT</w:instrText>
    </w:r>
    <w:r w:rsidRPr="00742C75">
      <w:rPr>
        <w:rFonts w:ascii="Times New Roman" w:hAnsi="Times New Roman" w:cs="Times New Roman"/>
      </w:rPr>
      <w:fldChar w:fldCharType="separate"/>
    </w:r>
    <w:r w:rsidR="000F02FA" w:rsidRPr="000F02FA">
      <w:rPr>
        <w:rFonts w:ascii="Times New Roman" w:hAnsi="Times New Roman" w:cs="Times New Roman"/>
        <w:noProof/>
        <w:lang w:val="zh-CN" w:eastAsia="zh-CN"/>
      </w:rPr>
      <w:t>10</w:t>
    </w:r>
    <w:r w:rsidRPr="00742C75">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CF9D4" w14:textId="77777777" w:rsidR="00015ED6" w:rsidRDefault="00015ED6">
      <w:r>
        <w:separator/>
      </w:r>
    </w:p>
  </w:footnote>
  <w:footnote w:type="continuationSeparator" w:id="0">
    <w:p w14:paraId="415DE979" w14:textId="77777777" w:rsidR="00015ED6" w:rsidRDefault="00015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CE1F9" w14:textId="67A1F410" w:rsidR="00446F91" w:rsidRDefault="009277B9" w:rsidP="002D1398">
    <w:pPr>
      <w:pStyle w:val="a3"/>
      <w:pBdr>
        <w:bottom w:val="none" w:sz="0" w:space="0" w:color="auto"/>
      </w:pBdr>
      <w:adjustRightInd w:val="0"/>
      <w:spacing w:beforeLines="15" w:before="36" w:line="276" w:lineRule="auto"/>
      <w:rPr>
        <w:rFonts w:ascii="Times New Roman" w:hAnsi="Times New Roman" w:cs="Times New Roman"/>
        <w:b/>
        <w:bCs/>
        <w:i/>
        <w:iCs/>
        <w:sz w:val="21"/>
        <w:szCs w:val="21"/>
        <w:lang w:eastAsia="zh-CN"/>
      </w:rPr>
    </w:pPr>
    <w:r w:rsidRPr="009277B9">
      <w:rPr>
        <w:rFonts w:ascii="Times New Roman" w:eastAsia="宋体" w:hAnsi="Times New Roman" w:cs="宋体" w:hint="eastAsia"/>
        <w:b/>
        <w:i/>
        <w:sz w:val="20"/>
        <w:lang w:eastAsia="zh-CN"/>
      </w:rPr>
      <w:t>所含建议不具约束力</w:t>
    </w:r>
  </w:p>
  <w:p w14:paraId="08F5D8B0" w14:textId="77777777" w:rsidR="00446F91" w:rsidRDefault="00446F91" w:rsidP="002D1398">
    <w:pPr>
      <w:pStyle w:val="a3"/>
      <w:pBdr>
        <w:bottom w:val="none" w:sz="0" w:space="0" w:color="auto"/>
      </w:pBdr>
      <w:adjustRightInd w:val="0"/>
      <w:spacing w:beforeLines="15" w:before="36" w:line="276" w:lineRule="auto"/>
      <w:rPr>
        <w:rFonts w:ascii="Times New Roman" w:hAnsi="Times New Roman" w:cs="Times New Roman"/>
        <w:i/>
        <w:iCs/>
        <w:sz w:val="21"/>
        <w:szCs w:val="21"/>
        <w:lang w:eastAsia="zh-CN"/>
      </w:rPr>
    </w:pPr>
    <w:r w:rsidRPr="00742C75">
      <w:rPr>
        <w:rFonts w:ascii="Times New Roman" w:eastAsia="宋体" w:hAnsi="Times New Roman" w:cs="宋体"/>
        <w:i/>
        <w:sz w:val="20"/>
        <w:lang w:eastAsia="zh-CN"/>
      </w:rPr>
      <w:t>草案</w:t>
    </w:r>
    <w:r w:rsidRPr="00742C75">
      <w:rPr>
        <w:rFonts w:ascii="Times New Roman" w:eastAsia="宋体" w:hAnsi="Times New Roman" w:cs="宋体"/>
        <w:i/>
        <w:sz w:val="20"/>
        <w:lang w:eastAsia="zh-CN"/>
      </w:rPr>
      <w:t>—</w:t>
    </w:r>
    <w:r w:rsidRPr="00742C75">
      <w:rPr>
        <w:rFonts w:ascii="Times New Roman" w:eastAsia="宋体" w:hAnsi="Times New Roman" w:cs="宋体"/>
        <w:i/>
        <w:sz w:val="20"/>
        <w:lang w:eastAsia="zh-CN"/>
      </w:rPr>
      <w:t>非执行版</w:t>
    </w:r>
  </w:p>
  <w:p w14:paraId="5A869980" w14:textId="77777777" w:rsidR="00446F91" w:rsidRPr="002D1398" w:rsidRDefault="00446F91" w:rsidP="002D1398">
    <w:pPr>
      <w:pStyle w:val="a3"/>
      <w:pBdr>
        <w:bottom w:val="none" w:sz="0" w:space="0" w:color="auto"/>
      </w:pBdr>
      <w:adjustRightInd w:val="0"/>
      <w:spacing w:beforeLines="15" w:before="36" w:line="276" w:lineRule="auto"/>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01184"/>
    <w:multiLevelType w:val="hybridMultilevel"/>
    <w:tmpl w:val="511C14F2"/>
    <w:lvl w:ilvl="0" w:tplc="E8327CEC">
      <w:start w:val="65"/>
      <w:numFmt w:val="decimal"/>
      <w:lvlText w:val="%1"/>
      <w:lvlJc w:val="left"/>
      <w:pPr>
        <w:ind w:hanging="600"/>
      </w:pPr>
      <w:rPr>
        <w:rFonts w:ascii="Times New Roman" w:eastAsia="Times New Roman" w:hAnsi="Times New Roman" w:hint="default"/>
        <w:sz w:val="24"/>
        <w:szCs w:val="24"/>
      </w:rPr>
    </w:lvl>
    <w:lvl w:ilvl="1" w:tplc="F1E809DA">
      <w:start w:val="1"/>
      <w:numFmt w:val="bullet"/>
      <w:lvlText w:val="•"/>
      <w:lvlJc w:val="left"/>
      <w:rPr>
        <w:rFonts w:hint="default"/>
      </w:rPr>
    </w:lvl>
    <w:lvl w:ilvl="2" w:tplc="67488A44">
      <w:start w:val="1"/>
      <w:numFmt w:val="bullet"/>
      <w:lvlText w:val="•"/>
      <w:lvlJc w:val="left"/>
      <w:rPr>
        <w:rFonts w:hint="default"/>
      </w:rPr>
    </w:lvl>
    <w:lvl w:ilvl="3" w:tplc="B5C602FC">
      <w:start w:val="1"/>
      <w:numFmt w:val="bullet"/>
      <w:lvlText w:val="•"/>
      <w:lvlJc w:val="left"/>
      <w:rPr>
        <w:rFonts w:hint="default"/>
      </w:rPr>
    </w:lvl>
    <w:lvl w:ilvl="4" w:tplc="F6CA3D70">
      <w:start w:val="1"/>
      <w:numFmt w:val="bullet"/>
      <w:lvlText w:val="•"/>
      <w:lvlJc w:val="left"/>
      <w:rPr>
        <w:rFonts w:hint="default"/>
      </w:rPr>
    </w:lvl>
    <w:lvl w:ilvl="5" w:tplc="80D27320">
      <w:start w:val="1"/>
      <w:numFmt w:val="bullet"/>
      <w:lvlText w:val="•"/>
      <w:lvlJc w:val="left"/>
      <w:rPr>
        <w:rFonts w:hint="default"/>
      </w:rPr>
    </w:lvl>
    <w:lvl w:ilvl="6" w:tplc="1EF4D26E">
      <w:start w:val="1"/>
      <w:numFmt w:val="bullet"/>
      <w:lvlText w:val="•"/>
      <w:lvlJc w:val="left"/>
      <w:rPr>
        <w:rFonts w:hint="default"/>
      </w:rPr>
    </w:lvl>
    <w:lvl w:ilvl="7" w:tplc="587AD30C">
      <w:start w:val="1"/>
      <w:numFmt w:val="bullet"/>
      <w:lvlText w:val="•"/>
      <w:lvlJc w:val="left"/>
      <w:rPr>
        <w:rFonts w:hint="default"/>
      </w:rPr>
    </w:lvl>
    <w:lvl w:ilvl="8" w:tplc="2E3891B8">
      <w:start w:val="1"/>
      <w:numFmt w:val="bullet"/>
      <w:lvlText w:val="•"/>
      <w:lvlJc w:val="left"/>
      <w:rPr>
        <w:rFonts w:hint="default"/>
      </w:rPr>
    </w:lvl>
  </w:abstractNum>
  <w:abstractNum w:abstractNumId="1">
    <w:nsid w:val="140A7336"/>
    <w:multiLevelType w:val="hybridMultilevel"/>
    <w:tmpl w:val="648E0832"/>
    <w:lvl w:ilvl="0" w:tplc="CD2A801C">
      <w:start w:val="37"/>
      <w:numFmt w:val="decimal"/>
      <w:lvlText w:val="%1"/>
      <w:lvlJc w:val="left"/>
      <w:pPr>
        <w:ind w:hanging="600"/>
      </w:pPr>
      <w:rPr>
        <w:rFonts w:ascii="Times New Roman" w:eastAsia="Times New Roman" w:hAnsi="Times New Roman" w:hint="default"/>
        <w:sz w:val="24"/>
        <w:szCs w:val="24"/>
      </w:rPr>
    </w:lvl>
    <w:lvl w:ilvl="1" w:tplc="1FD80386">
      <w:start w:val="1"/>
      <w:numFmt w:val="bullet"/>
      <w:lvlText w:val="•"/>
      <w:lvlJc w:val="left"/>
      <w:rPr>
        <w:rFonts w:hint="default"/>
      </w:rPr>
    </w:lvl>
    <w:lvl w:ilvl="2" w:tplc="87B49EFE">
      <w:start w:val="1"/>
      <w:numFmt w:val="bullet"/>
      <w:lvlText w:val="•"/>
      <w:lvlJc w:val="left"/>
      <w:rPr>
        <w:rFonts w:hint="default"/>
      </w:rPr>
    </w:lvl>
    <w:lvl w:ilvl="3" w:tplc="F8C2D600">
      <w:start w:val="1"/>
      <w:numFmt w:val="bullet"/>
      <w:lvlText w:val="•"/>
      <w:lvlJc w:val="left"/>
      <w:rPr>
        <w:rFonts w:hint="default"/>
      </w:rPr>
    </w:lvl>
    <w:lvl w:ilvl="4" w:tplc="3A4E413C">
      <w:start w:val="1"/>
      <w:numFmt w:val="bullet"/>
      <w:lvlText w:val="•"/>
      <w:lvlJc w:val="left"/>
      <w:rPr>
        <w:rFonts w:hint="default"/>
      </w:rPr>
    </w:lvl>
    <w:lvl w:ilvl="5" w:tplc="185E254C">
      <w:start w:val="1"/>
      <w:numFmt w:val="bullet"/>
      <w:lvlText w:val="•"/>
      <w:lvlJc w:val="left"/>
      <w:rPr>
        <w:rFonts w:hint="default"/>
      </w:rPr>
    </w:lvl>
    <w:lvl w:ilvl="6" w:tplc="24BCC844">
      <w:start w:val="1"/>
      <w:numFmt w:val="bullet"/>
      <w:lvlText w:val="•"/>
      <w:lvlJc w:val="left"/>
      <w:rPr>
        <w:rFonts w:hint="default"/>
      </w:rPr>
    </w:lvl>
    <w:lvl w:ilvl="7" w:tplc="63A2AD76">
      <w:start w:val="1"/>
      <w:numFmt w:val="bullet"/>
      <w:lvlText w:val="•"/>
      <w:lvlJc w:val="left"/>
      <w:rPr>
        <w:rFonts w:hint="default"/>
      </w:rPr>
    </w:lvl>
    <w:lvl w:ilvl="8" w:tplc="FE2C9022">
      <w:start w:val="1"/>
      <w:numFmt w:val="bullet"/>
      <w:lvlText w:val="•"/>
      <w:lvlJc w:val="left"/>
      <w:rPr>
        <w:rFonts w:hint="default"/>
      </w:rPr>
    </w:lvl>
  </w:abstractNum>
  <w:abstractNum w:abstractNumId="2">
    <w:nsid w:val="18B177DC"/>
    <w:multiLevelType w:val="hybridMultilevel"/>
    <w:tmpl w:val="1EE824EA"/>
    <w:lvl w:ilvl="0" w:tplc="AE78CBEE">
      <w:start w:val="32"/>
      <w:numFmt w:val="decimal"/>
      <w:lvlText w:val="%1"/>
      <w:lvlJc w:val="left"/>
      <w:pPr>
        <w:ind w:hanging="180"/>
      </w:pPr>
      <w:rPr>
        <w:rFonts w:ascii="Times New Roman" w:eastAsia="Times New Roman" w:hAnsi="Times New Roman" w:hint="default"/>
        <w:w w:val="99"/>
        <w:position w:val="7"/>
        <w:sz w:val="13"/>
        <w:szCs w:val="13"/>
      </w:rPr>
    </w:lvl>
    <w:lvl w:ilvl="1" w:tplc="1B4CB9FC">
      <w:start w:val="1"/>
      <w:numFmt w:val="decimal"/>
      <w:lvlText w:val="%2"/>
      <w:lvlJc w:val="left"/>
      <w:pPr>
        <w:ind w:hanging="116"/>
        <w:jc w:val="right"/>
      </w:pPr>
      <w:rPr>
        <w:rFonts w:ascii="Times New Roman" w:eastAsia="Times New Roman" w:hAnsi="Times New Roman" w:hint="default"/>
        <w:w w:val="99"/>
        <w:position w:val="7"/>
        <w:sz w:val="13"/>
        <w:szCs w:val="13"/>
      </w:rPr>
    </w:lvl>
    <w:lvl w:ilvl="2" w:tplc="6F86F404">
      <w:start w:val="1"/>
      <w:numFmt w:val="bullet"/>
      <w:lvlText w:val="•"/>
      <w:lvlJc w:val="left"/>
      <w:rPr>
        <w:rFonts w:hint="default"/>
      </w:rPr>
    </w:lvl>
    <w:lvl w:ilvl="3" w:tplc="CA746378">
      <w:start w:val="1"/>
      <w:numFmt w:val="bullet"/>
      <w:lvlText w:val="•"/>
      <w:lvlJc w:val="left"/>
      <w:rPr>
        <w:rFonts w:hint="default"/>
      </w:rPr>
    </w:lvl>
    <w:lvl w:ilvl="4" w:tplc="6BCE2782">
      <w:start w:val="1"/>
      <w:numFmt w:val="bullet"/>
      <w:lvlText w:val="•"/>
      <w:lvlJc w:val="left"/>
      <w:rPr>
        <w:rFonts w:hint="default"/>
      </w:rPr>
    </w:lvl>
    <w:lvl w:ilvl="5" w:tplc="18027276">
      <w:start w:val="1"/>
      <w:numFmt w:val="bullet"/>
      <w:lvlText w:val="•"/>
      <w:lvlJc w:val="left"/>
      <w:rPr>
        <w:rFonts w:hint="default"/>
      </w:rPr>
    </w:lvl>
    <w:lvl w:ilvl="6" w:tplc="90CC5710">
      <w:start w:val="1"/>
      <w:numFmt w:val="bullet"/>
      <w:lvlText w:val="•"/>
      <w:lvlJc w:val="left"/>
      <w:rPr>
        <w:rFonts w:hint="default"/>
      </w:rPr>
    </w:lvl>
    <w:lvl w:ilvl="7" w:tplc="8A54567E">
      <w:start w:val="1"/>
      <w:numFmt w:val="bullet"/>
      <w:lvlText w:val="•"/>
      <w:lvlJc w:val="left"/>
      <w:rPr>
        <w:rFonts w:hint="default"/>
      </w:rPr>
    </w:lvl>
    <w:lvl w:ilvl="8" w:tplc="8B825C40">
      <w:start w:val="1"/>
      <w:numFmt w:val="bullet"/>
      <w:lvlText w:val="•"/>
      <w:lvlJc w:val="left"/>
      <w:rPr>
        <w:rFonts w:hint="default"/>
      </w:rPr>
    </w:lvl>
  </w:abstractNum>
  <w:abstractNum w:abstractNumId="3">
    <w:nsid w:val="1A0726C3"/>
    <w:multiLevelType w:val="hybridMultilevel"/>
    <w:tmpl w:val="63F4FBCA"/>
    <w:lvl w:ilvl="0" w:tplc="19367736">
      <w:start w:val="1"/>
      <w:numFmt w:val="decimal"/>
      <w:lvlText w:val="%1"/>
      <w:lvlJc w:val="left"/>
      <w:pPr>
        <w:ind w:hanging="1277"/>
      </w:pPr>
      <w:rPr>
        <w:rFonts w:ascii="Times New Roman" w:eastAsia="Times New Roman" w:hAnsi="Times New Roman" w:hint="default"/>
        <w:sz w:val="24"/>
        <w:szCs w:val="24"/>
      </w:rPr>
    </w:lvl>
    <w:lvl w:ilvl="1" w:tplc="E83E0FD6">
      <w:start w:val="1"/>
      <w:numFmt w:val="bullet"/>
      <w:lvlText w:val="•"/>
      <w:lvlJc w:val="left"/>
      <w:rPr>
        <w:rFonts w:hint="default"/>
      </w:rPr>
    </w:lvl>
    <w:lvl w:ilvl="2" w:tplc="EC064FEA">
      <w:start w:val="1"/>
      <w:numFmt w:val="bullet"/>
      <w:lvlText w:val="•"/>
      <w:lvlJc w:val="left"/>
      <w:rPr>
        <w:rFonts w:hint="default"/>
      </w:rPr>
    </w:lvl>
    <w:lvl w:ilvl="3" w:tplc="36083E84">
      <w:start w:val="1"/>
      <w:numFmt w:val="bullet"/>
      <w:lvlText w:val="•"/>
      <w:lvlJc w:val="left"/>
      <w:rPr>
        <w:rFonts w:hint="default"/>
      </w:rPr>
    </w:lvl>
    <w:lvl w:ilvl="4" w:tplc="BC0E10AA">
      <w:start w:val="1"/>
      <w:numFmt w:val="bullet"/>
      <w:lvlText w:val="•"/>
      <w:lvlJc w:val="left"/>
      <w:rPr>
        <w:rFonts w:hint="default"/>
      </w:rPr>
    </w:lvl>
    <w:lvl w:ilvl="5" w:tplc="A8F41D22">
      <w:start w:val="1"/>
      <w:numFmt w:val="bullet"/>
      <w:lvlText w:val="•"/>
      <w:lvlJc w:val="left"/>
      <w:rPr>
        <w:rFonts w:hint="default"/>
      </w:rPr>
    </w:lvl>
    <w:lvl w:ilvl="6" w:tplc="F3603DC6">
      <w:start w:val="1"/>
      <w:numFmt w:val="bullet"/>
      <w:lvlText w:val="•"/>
      <w:lvlJc w:val="left"/>
      <w:rPr>
        <w:rFonts w:hint="default"/>
      </w:rPr>
    </w:lvl>
    <w:lvl w:ilvl="7" w:tplc="4810EF42">
      <w:start w:val="1"/>
      <w:numFmt w:val="bullet"/>
      <w:lvlText w:val="•"/>
      <w:lvlJc w:val="left"/>
      <w:rPr>
        <w:rFonts w:hint="default"/>
      </w:rPr>
    </w:lvl>
    <w:lvl w:ilvl="8" w:tplc="7FC8942A">
      <w:start w:val="1"/>
      <w:numFmt w:val="bullet"/>
      <w:lvlText w:val="•"/>
      <w:lvlJc w:val="left"/>
      <w:rPr>
        <w:rFonts w:hint="default"/>
      </w:rPr>
    </w:lvl>
  </w:abstractNum>
  <w:abstractNum w:abstractNumId="4">
    <w:nsid w:val="1B205093"/>
    <w:multiLevelType w:val="hybridMultilevel"/>
    <w:tmpl w:val="C288923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D127ADA"/>
    <w:multiLevelType w:val="hybridMultilevel"/>
    <w:tmpl w:val="921E1F10"/>
    <w:lvl w:ilvl="0" w:tplc="F51CCB16">
      <w:start w:val="86"/>
      <w:numFmt w:val="decimal"/>
      <w:lvlText w:val="%1"/>
      <w:lvlJc w:val="left"/>
      <w:pPr>
        <w:ind w:hanging="960"/>
      </w:pPr>
      <w:rPr>
        <w:rFonts w:ascii="Times New Roman" w:eastAsia="Times New Roman" w:hAnsi="Times New Roman" w:hint="default"/>
        <w:sz w:val="24"/>
        <w:szCs w:val="24"/>
      </w:rPr>
    </w:lvl>
    <w:lvl w:ilvl="1" w:tplc="B2FE5722">
      <w:start w:val="15"/>
      <w:numFmt w:val="decimal"/>
      <w:lvlText w:val="%2"/>
      <w:lvlJc w:val="left"/>
      <w:pPr>
        <w:ind w:hanging="180"/>
        <w:jc w:val="right"/>
      </w:pPr>
      <w:rPr>
        <w:rFonts w:ascii="Times New Roman" w:eastAsia="Times New Roman" w:hAnsi="Times New Roman" w:hint="default"/>
        <w:w w:val="99"/>
        <w:position w:val="7"/>
        <w:sz w:val="13"/>
        <w:szCs w:val="13"/>
      </w:rPr>
    </w:lvl>
    <w:lvl w:ilvl="2" w:tplc="4A88DC48">
      <w:start w:val="1"/>
      <w:numFmt w:val="bullet"/>
      <w:lvlText w:val="•"/>
      <w:lvlJc w:val="left"/>
      <w:rPr>
        <w:rFonts w:hint="default"/>
      </w:rPr>
    </w:lvl>
    <w:lvl w:ilvl="3" w:tplc="46405E3A">
      <w:start w:val="1"/>
      <w:numFmt w:val="bullet"/>
      <w:lvlText w:val="•"/>
      <w:lvlJc w:val="left"/>
      <w:rPr>
        <w:rFonts w:hint="default"/>
      </w:rPr>
    </w:lvl>
    <w:lvl w:ilvl="4" w:tplc="4D808988">
      <w:start w:val="1"/>
      <w:numFmt w:val="bullet"/>
      <w:lvlText w:val="•"/>
      <w:lvlJc w:val="left"/>
      <w:rPr>
        <w:rFonts w:hint="default"/>
      </w:rPr>
    </w:lvl>
    <w:lvl w:ilvl="5" w:tplc="8EB0890A">
      <w:start w:val="1"/>
      <w:numFmt w:val="bullet"/>
      <w:lvlText w:val="•"/>
      <w:lvlJc w:val="left"/>
      <w:rPr>
        <w:rFonts w:hint="default"/>
      </w:rPr>
    </w:lvl>
    <w:lvl w:ilvl="6" w:tplc="CD6AF1DA">
      <w:start w:val="1"/>
      <w:numFmt w:val="bullet"/>
      <w:lvlText w:val="•"/>
      <w:lvlJc w:val="left"/>
      <w:rPr>
        <w:rFonts w:hint="default"/>
      </w:rPr>
    </w:lvl>
    <w:lvl w:ilvl="7" w:tplc="EA22D9D4">
      <w:start w:val="1"/>
      <w:numFmt w:val="bullet"/>
      <w:lvlText w:val="•"/>
      <w:lvlJc w:val="left"/>
      <w:rPr>
        <w:rFonts w:hint="default"/>
      </w:rPr>
    </w:lvl>
    <w:lvl w:ilvl="8" w:tplc="14D6ABBA">
      <w:start w:val="1"/>
      <w:numFmt w:val="bullet"/>
      <w:lvlText w:val="•"/>
      <w:lvlJc w:val="left"/>
      <w:rPr>
        <w:rFonts w:hint="default"/>
      </w:rPr>
    </w:lvl>
  </w:abstractNum>
  <w:abstractNum w:abstractNumId="6">
    <w:nsid w:val="2F9E78F8"/>
    <w:multiLevelType w:val="hybridMultilevel"/>
    <w:tmpl w:val="0AC46D74"/>
    <w:lvl w:ilvl="0" w:tplc="6DFE48AE">
      <w:start w:val="45"/>
      <w:numFmt w:val="decimal"/>
      <w:lvlText w:val="%1"/>
      <w:lvlJc w:val="left"/>
      <w:pPr>
        <w:ind w:hanging="600"/>
      </w:pPr>
      <w:rPr>
        <w:rFonts w:ascii="Times New Roman" w:eastAsia="Times New Roman" w:hAnsi="Times New Roman" w:hint="default"/>
        <w:sz w:val="24"/>
        <w:szCs w:val="24"/>
      </w:rPr>
    </w:lvl>
    <w:lvl w:ilvl="1" w:tplc="99EC6304">
      <w:start w:val="1"/>
      <w:numFmt w:val="bullet"/>
      <w:lvlText w:val="•"/>
      <w:lvlJc w:val="left"/>
      <w:rPr>
        <w:rFonts w:hint="default"/>
      </w:rPr>
    </w:lvl>
    <w:lvl w:ilvl="2" w:tplc="0FD85286">
      <w:start w:val="1"/>
      <w:numFmt w:val="bullet"/>
      <w:lvlText w:val="•"/>
      <w:lvlJc w:val="left"/>
      <w:rPr>
        <w:rFonts w:hint="default"/>
      </w:rPr>
    </w:lvl>
    <w:lvl w:ilvl="3" w:tplc="3A58B6E0">
      <w:start w:val="1"/>
      <w:numFmt w:val="bullet"/>
      <w:lvlText w:val="•"/>
      <w:lvlJc w:val="left"/>
      <w:rPr>
        <w:rFonts w:hint="default"/>
      </w:rPr>
    </w:lvl>
    <w:lvl w:ilvl="4" w:tplc="57BE84E2">
      <w:start w:val="1"/>
      <w:numFmt w:val="bullet"/>
      <w:lvlText w:val="•"/>
      <w:lvlJc w:val="left"/>
      <w:rPr>
        <w:rFonts w:hint="default"/>
      </w:rPr>
    </w:lvl>
    <w:lvl w:ilvl="5" w:tplc="7BEEB9A8">
      <w:start w:val="1"/>
      <w:numFmt w:val="bullet"/>
      <w:lvlText w:val="•"/>
      <w:lvlJc w:val="left"/>
      <w:rPr>
        <w:rFonts w:hint="default"/>
      </w:rPr>
    </w:lvl>
    <w:lvl w:ilvl="6" w:tplc="DB0CD9F0">
      <w:start w:val="1"/>
      <w:numFmt w:val="bullet"/>
      <w:lvlText w:val="•"/>
      <w:lvlJc w:val="left"/>
      <w:rPr>
        <w:rFonts w:hint="default"/>
      </w:rPr>
    </w:lvl>
    <w:lvl w:ilvl="7" w:tplc="4BBE4684">
      <w:start w:val="1"/>
      <w:numFmt w:val="bullet"/>
      <w:lvlText w:val="•"/>
      <w:lvlJc w:val="left"/>
      <w:rPr>
        <w:rFonts w:hint="default"/>
      </w:rPr>
    </w:lvl>
    <w:lvl w:ilvl="8" w:tplc="9788BD34">
      <w:start w:val="1"/>
      <w:numFmt w:val="bullet"/>
      <w:lvlText w:val="•"/>
      <w:lvlJc w:val="left"/>
      <w:rPr>
        <w:rFonts w:hint="default"/>
      </w:rPr>
    </w:lvl>
  </w:abstractNum>
  <w:abstractNum w:abstractNumId="7">
    <w:nsid w:val="38AE2186"/>
    <w:multiLevelType w:val="hybridMultilevel"/>
    <w:tmpl w:val="9170DC4A"/>
    <w:lvl w:ilvl="0" w:tplc="A3A44C36">
      <w:start w:val="77"/>
      <w:numFmt w:val="decimal"/>
      <w:lvlText w:val="%1"/>
      <w:lvlJc w:val="left"/>
      <w:pPr>
        <w:ind w:hanging="600"/>
      </w:pPr>
      <w:rPr>
        <w:rFonts w:ascii="Times New Roman" w:eastAsia="Times New Roman" w:hAnsi="Times New Roman" w:hint="default"/>
        <w:sz w:val="24"/>
        <w:szCs w:val="24"/>
      </w:rPr>
    </w:lvl>
    <w:lvl w:ilvl="1" w:tplc="367C8CAE">
      <w:start w:val="1"/>
      <w:numFmt w:val="bullet"/>
      <w:lvlText w:val="•"/>
      <w:lvlJc w:val="left"/>
      <w:rPr>
        <w:rFonts w:hint="default"/>
      </w:rPr>
    </w:lvl>
    <w:lvl w:ilvl="2" w:tplc="89B2E370">
      <w:start w:val="1"/>
      <w:numFmt w:val="bullet"/>
      <w:lvlText w:val="•"/>
      <w:lvlJc w:val="left"/>
      <w:rPr>
        <w:rFonts w:hint="default"/>
      </w:rPr>
    </w:lvl>
    <w:lvl w:ilvl="3" w:tplc="024EB76C">
      <w:start w:val="1"/>
      <w:numFmt w:val="bullet"/>
      <w:lvlText w:val="•"/>
      <w:lvlJc w:val="left"/>
      <w:rPr>
        <w:rFonts w:hint="default"/>
      </w:rPr>
    </w:lvl>
    <w:lvl w:ilvl="4" w:tplc="2AAC7CE8">
      <w:start w:val="1"/>
      <w:numFmt w:val="bullet"/>
      <w:lvlText w:val="•"/>
      <w:lvlJc w:val="left"/>
      <w:rPr>
        <w:rFonts w:hint="default"/>
      </w:rPr>
    </w:lvl>
    <w:lvl w:ilvl="5" w:tplc="42A04676">
      <w:start w:val="1"/>
      <w:numFmt w:val="bullet"/>
      <w:lvlText w:val="•"/>
      <w:lvlJc w:val="left"/>
      <w:rPr>
        <w:rFonts w:hint="default"/>
      </w:rPr>
    </w:lvl>
    <w:lvl w:ilvl="6" w:tplc="6C1E119C">
      <w:start w:val="1"/>
      <w:numFmt w:val="bullet"/>
      <w:lvlText w:val="•"/>
      <w:lvlJc w:val="left"/>
      <w:rPr>
        <w:rFonts w:hint="default"/>
      </w:rPr>
    </w:lvl>
    <w:lvl w:ilvl="7" w:tplc="CF4E6052">
      <w:start w:val="1"/>
      <w:numFmt w:val="bullet"/>
      <w:lvlText w:val="•"/>
      <w:lvlJc w:val="left"/>
      <w:rPr>
        <w:rFonts w:hint="default"/>
      </w:rPr>
    </w:lvl>
    <w:lvl w:ilvl="8" w:tplc="825813B4">
      <w:start w:val="1"/>
      <w:numFmt w:val="bullet"/>
      <w:lvlText w:val="•"/>
      <w:lvlJc w:val="left"/>
      <w:rPr>
        <w:rFonts w:hint="default"/>
      </w:rPr>
    </w:lvl>
  </w:abstractNum>
  <w:abstractNum w:abstractNumId="8">
    <w:nsid w:val="44676A04"/>
    <w:multiLevelType w:val="hybridMultilevel"/>
    <w:tmpl w:val="F41806BE"/>
    <w:lvl w:ilvl="0" w:tplc="0196246C">
      <w:start w:val="1"/>
      <w:numFmt w:val="upperRoman"/>
      <w:lvlText w:val="%1."/>
      <w:lvlJc w:val="left"/>
      <w:pPr>
        <w:ind w:hanging="720"/>
      </w:pPr>
      <w:rPr>
        <w:rFonts w:ascii="Times New Roman" w:eastAsia="Times New Roman" w:hAnsi="Times New Roman" w:hint="default"/>
        <w:b/>
        <w:bCs/>
        <w:sz w:val="24"/>
        <w:szCs w:val="24"/>
      </w:rPr>
    </w:lvl>
    <w:lvl w:ilvl="1" w:tplc="BCC6968C">
      <w:start w:val="1"/>
      <w:numFmt w:val="upperLetter"/>
      <w:lvlText w:val="%2."/>
      <w:lvlJc w:val="left"/>
      <w:pPr>
        <w:ind w:hanging="476"/>
      </w:pPr>
      <w:rPr>
        <w:rFonts w:ascii="Times New Roman" w:eastAsia="Times New Roman" w:hAnsi="Times New Roman" w:hint="default"/>
        <w:b/>
        <w:bCs/>
        <w:spacing w:val="-2"/>
        <w:sz w:val="22"/>
        <w:szCs w:val="22"/>
      </w:rPr>
    </w:lvl>
    <w:lvl w:ilvl="2" w:tplc="10028C84">
      <w:start w:val="1"/>
      <w:numFmt w:val="bullet"/>
      <w:lvlText w:val="•"/>
      <w:lvlJc w:val="left"/>
      <w:rPr>
        <w:rFonts w:hint="default"/>
      </w:rPr>
    </w:lvl>
    <w:lvl w:ilvl="3" w:tplc="26DE8316">
      <w:start w:val="1"/>
      <w:numFmt w:val="bullet"/>
      <w:lvlText w:val="•"/>
      <w:lvlJc w:val="left"/>
      <w:rPr>
        <w:rFonts w:hint="default"/>
      </w:rPr>
    </w:lvl>
    <w:lvl w:ilvl="4" w:tplc="6AC22252">
      <w:start w:val="1"/>
      <w:numFmt w:val="bullet"/>
      <w:lvlText w:val="•"/>
      <w:lvlJc w:val="left"/>
      <w:rPr>
        <w:rFonts w:hint="default"/>
      </w:rPr>
    </w:lvl>
    <w:lvl w:ilvl="5" w:tplc="F1AAB3BC">
      <w:start w:val="1"/>
      <w:numFmt w:val="bullet"/>
      <w:lvlText w:val="•"/>
      <w:lvlJc w:val="left"/>
      <w:rPr>
        <w:rFonts w:hint="default"/>
      </w:rPr>
    </w:lvl>
    <w:lvl w:ilvl="6" w:tplc="B4F47ACA">
      <w:start w:val="1"/>
      <w:numFmt w:val="bullet"/>
      <w:lvlText w:val="•"/>
      <w:lvlJc w:val="left"/>
      <w:rPr>
        <w:rFonts w:hint="default"/>
      </w:rPr>
    </w:lvl>
    <w:lvl w:ilvl="7" w:tplc="0410335C">
      <w:start w:val="1"/>
      <w:numFmt w:val="bullet"/>
      <w:lvlText w:val="•"/>
      <w:lvlJc w:val="left"/>
      <w:rPr>
        <w:rFonts w:hint="default"/>
      </w:rPr>
    </w:lvl>
    <w:lvl w:ilvl="8" w:tplc="C0FE4630">
      <w:start w:val="1"/>
      <w:numFmt w:val="bullet"/>
      <w:lvlText w:val="•"/>
      <w:lvlJc w:val="left"/>
      <w:rPr>
        <w:rFonts w:hint="default"/>
      </w:rPr>
    </w:lvl>
  </w:abstractNum>
  <w:abstractNum w:abstractNumId="9">
    <w:nsid w:val="46A0288F"/>
    <w:multiLevelType w:val="hybridMultilevel"/>
    <w:tmpl w:val="672C5846"/>
    <w:lvl w:ilvl="0" w:tplc="077EB5BA">
      <w:start w:val="4"/>
      <w:numFmt w:val="upperRoman"/>
      <w:lvlText w:val="%1."/>
      <w:lvlJc w:val="left"/>
      <w:pPr>
        <w:ind w:hanging="720"/>
      </w:pPr>
      <w:rPr>
        <w:rFonts w:ascii="Times New Roman" w:eastAsia="Times New Roman" w:hAnsi="Times New Roman" w:hint="default"/>
        <w:b/>
        <w:bCs/>
        <w:sz w:val="24"/>
        <w:szCs w:val="24"/>
      </w:rPr>
    </w:lvl>
    <w:lvl w:ilvl="1" w:tplc="49942840">
      <w:start w:val="1"/>
      <w:numFmt w:val="upperLetter"/>
      <w:lvlText w:val="%2."/>
      <w:lvlJc w:val="left"/>
      <w:pPr>
        <w:ind w:hanging="720"/>
      </w:pPr>
      <w:rPr>
        <w:rFonts w:ascii="Times New Roman" w:eastAsia="Times New Roman" w:hAnsi="Times New Roman" w:hint="default"/>
        <w:b/>
        <w:bCs/>
        <w:spacing w:val="-1"/>
        <w:sz w:val="24"/>
        <w:szCs w:val="24"/>
      </w:rPr>
    </w:lvl>
    <w:lvl w:ilvl="2" w:tplc="A1E68BC4">
      <w:start w:val="1"/>
      <w:numFmt w:val="bullet"/>
      <w:lvlText w:val="•"/>
      <w:lvlJc w:val="left"/>
      <w:rPr>
        <w:rFonts w:hint="default"/>
      </w:rPr>
    </w:lvl>
    <w:lvl w:ilvl="3" w:tplc="44584324">
      <w:start w:val="1"/>
      <w:numFmt w:val="bullet"/>
      <w:lvlText w:val="•"/>
      <w:lvlJc w:val="left"/>
      <w:rPr>
        <w:rFonts w:hint="default"/>
      </w:rPr>
    </w:lvl>
    <w:lvl w:ilvl="4" w:tplc="2F1226A8">
      <w:start w:val="1"/>
      <w:numFmt w:val="bullet"/>
      <w:lvlText w:val="•"/>
      <w:lvlJc w:val="left"/>
      <w:rPr>
        <w:rFonts w:hint="default"/>
      </w:rPr>
    </w:lvl>
    <w:lvl w:ilvl="5" w:tplc="435EC968">
      <w:start w:val="1"/>
      <w:numFmt w:val="bullet"/>
      <w:lvlText w:val="•"/>
      <w:lvlJc w:val="left"/>
      <w:rPr>
        <w:rFonts w:hint="default"/>
      </w:rPr>
    </w:lvl>
    <w:lvl w:ilvl="6" w:tplc="2002451A">
      <w:start w:val="1"/>
      <w:numFmt w:val="bullet"/>
      <w:lvlText w:val="•"/>
      <w:lvlJc w:val="left"/>
      <w:rPr>
        <w:rFonts w:hint="default"/>
      </w:rPr>
    </w:lvl>
    <w:lvl w:ilvl="7" w:tplc="4FEEE04E">
      <w:start w:val="1"/>
      <w:numFmt w:val="bullet"/>
      <w:lvlText w:val="•"/>
      <w:lvlJc w:val="left"/>
      <w:rPr>
        <w:rFonts w:hint="default"/>
      </w:rPr>
    </w:lvl>
    <w:lvl w:ilvl="8" w:tplc="9B1AC154">
      <w:start w:val="1"/>
      <w:numFmt w:val="bullet"/>
      <w:lvlText w:val="•"/>
      <w:lvlJc w:val="left"/>
      <w:rPr>
        <w:rFonts w:hint="default"/>
      </w:rPr>
    </w:lvl>
  </w:abstractNum>
  <w:abstractNum w:abstractNumId="10">
    <w:nsid w:val="4E3A5F06"/>
    <w:multiLevelType w:val="hybridMultilevel"/>
    <w:tmpl w:val="54F6B612"/>
    <w:lvl w:ilvl="0" w:tplc="5B46214C">
      <w:start w:val="1"/>
      <w:numFmt w:val="bullet"/>
      <w:lvlText w:val="•"/>
      <w:lvlJc w:val="left"/>
      <w:pPr>
        <w:ind w:hanging="360"/>
      </w:pPr>
      <w:rPr>
        <w:rFonts w:ascii="Arial" w:eastAsia="Arial" w:hAnsi="Arial" w:hint="default"/>
        <w:w w:val="131"/>
        <w:sz w:val="24"/>
        <w:szCs w:val="24"/>
      </w:rPr>
    </w:lvl>
    <w:lvl w:ilvl="1" w:tplc="C87A8030">
      <w:start w:val="1"/>
      <w:numFmt w:val="bullet"/>
      <w:lvlText w:val="•"/>
      <w:lvlJc w:val="left"/>
      <w:rPr>
        <w:rFonts w:hint="default"/>
      </w:rPr>
    </w:lvl>
    <w:lvl w:ilvl="2" w:tplc="17BE3790">
      <w:start w:val="1"/>
      <w:numFmt w:val="bullet"/>
      <w:lvlText w:val="•"/>
      <w:lvlJc w:val="left"/>
      <w:rPr>
        <w:rFonts w:hint="default"/>
      </w:rPr>
    </w:lvl>
    <w:lvl w:ilvl="3" w:tplc="F17CDD10">
      <w:start w:val="1"/>
      <w:numFmt w:val="bullet"/>
      <w:lvlText w:val="•"/>
      <w:lvlJc w:val="left"/>
      <w:rPr>
        <w:rFonts w:hint="default"/>
      </w:rPr>
    </w:lvl>
    <w:lvl w:ilvl="4" w:tplc="50F2DC72">
      <w:start w:val="1"/>
      <w:numFmt w:val="bullet"/>
      <w:lvlText w:val="•"/>
      <w:lvlJc w:val="left"/>
      <w:rPr>
        <w:rFonts w:hint="default"/>
      </w:rPr>
    </w:lvl>
    <w:lvl w:ilvl="5" w:tplc="A66884A4">
      <w:start w:val="1"/>
      <w:numFmt w:val="bullet"/>
      <w:lvlText w:val="•"/>
      <w:lvlJc w:val="left"/>
      <w:rPr>
        <w:rFonts w:hint="default"/>
      </w:rPr>
    </w:lvl>
    <w:lvl w:ilvl="6" w:tplc="2214BF90">
      <w:start w:val="1"/>
      <w:numFmt w:val="bullet"/>
      <w:lvlText w:val="•"/>
      <w:lvlJc w:val="left"/>
      <w:rPr>
        <w:rFonts w:hint="default"/>
      </w:rPr>
    </w:lvl>
    <w:lvl w:ilvl="7" w:tplc="97E0066C">
      <w:start w:val="1"/>
      <w:numFmt w:val="bullet"/>
      <w:lvlText w:val="•"/>
      <w:lvlJc w:val="left"/>
      <w:rPr>
        <w:rFonts w:hint="default"/>
      </w:rPr>
    </w:lvl>
    <w:lvl w:ilvl="8" w:tplc="C1766EAE">
      <w:start w:val="1"/>
      <w:numFmt w:val="bullet"/>
      <w:lvlText w:val="•"/>
      <w:lvlJc w:val="left"/>
      <w:rPr>
        <w:rFonts w:hint="default"/>
      </w:rPr>
    </w:lvl>
  </w:abstractNum>
  <w:abstractNum w:abstractNumId="11">
    <w:nsid w:val="4F1928C9"/>
    <w:multiLevelType w:val="hybridMultilevel"/>
    <w:tmpl w:val="D8EC7FA8"/>
    <w:lvl w:ilvl="0" w:tplc="C024BF16">
      <w:start w:val="16"/>
      <w:numFmt w:val="decimal"/>
      <w:lvlText w:val="%1"/>
      <w:lvlJc w:val="left"/>
      <w:pPr>
        <w:ind w:hanging="600"/>
      </w:pPr>
      <w:rPr>
        <w:rFonts w:ascii="Times New Roman" w:eastAsia="Times New Roman" w:hAnsi="Times New Roman" w:hint="default"/>
        <w:sz w:val="24"/>
        <w:szCs w:val="24"/>
      </w:rPr>
    </w:lvl>
    <w:lvl w:ilvl="1" w:tplc="26503A22">
      <w:start w:val="1"/>
      <w:numFmt w:val="decimal"/>
      <w:lvlText w:val="%2"/>
      <w:lvlJc w:val="left"/>
      <w:pPr>
        <w:ind w:hanging="116"/>
      </w:pPr>
      <w:rPr>
        <w:rFonts w:ascii="Times New Roman" w:eastAsia="Times New Roman" w:hAnsi="Times New Roman" w:hint="default"/>
        <w:w w:val="99"/>
        <w:position w:val="7"/>
        <w:sz w:val="13"/>
        <w:szCs w:val="13"/>
      </w:rPr>
    </w:lvl>
    <w:lvl w:ilvl="2" w:tplc="84B0E73A">
      <w:start w:val="1"/>
      <w:numFmt w:val="bullet"/>
      <w:lvlText w:val="•"/>
      <w:lvlJc w:val="left"/>
      <w:rPr>
        <w:rFonts w:hint="default"/>
      </w:rPr>
    </w:lvl>
    <w:lvl w:ilvl="3" w:tplc="601C8B38">
      <w:start w:val="1"/>
      <w:numFmt w:val="bullet"/>
      <w:lvlText w:val="•"/>
      <w:lvlJc w:val="left"/>
      <w:rPr>
        <w:rFonts w:hint="default"/>
      </w:rPr>
    </w:lvl>
    <w:lvl w:ilvl="4" w:tplc="8A8A40E8">
      <w:start w:val="1"/>
      <w:numFmt w:val="bullet"/>
      <w:lvlText w:val="•"/>
      <w:lvlJc w:val="left"/>
      <w:rPr>
        <w:rFonts w:hint="default"/>
      </w:rPr>
    </w:lvl>
    <w:lvl w:ilvl="5" w:tplc="935A5DD0">
      <w:start w:val="1"/>
      <w:numFmt w:val="bullet"/>
      <w:lvlText w:val="•"/>
      <w:lvlJc w:val="left"/>
      <w:rPr>
        <w:rFonts w:hint="default"/>
      </w:rPr>
    </w:lvl>
    <w:lvl w:ilvl="6" w:tplc="56A2D674">
      <w:start w:val="1"/>
      <w:numFmt w:val="bullet"/>
      <w:lvlText w:val="•"/>
      <w:lvlJc w:val="left"/>
      <w:rPr>
        <w:rFonts w:hint="default"/>
      </w:rPr>
    </w:lvl>
    <w:lvl w:ilvl="7" w:tplc="A076736A">
      <w:start w:val="1"/>
      <w:numFmt w:val="bullet"/>
      <w:lvlText w:val="•"/>
      <w:lvlJc w:val="left"/>
      <w:rPr>
        <w:rFonts w:hint="default"/>
      </w:rPr>
    </w:lvl>
    <w:lvl w:ilvl="8" w:tplc="1CD0BAF0">
      <w:start w:val="1"/>
      <w:numFmt w:val="bullet"/>
      <w:lvlText w:val="•"/>
      <w:lvlJc w:val="left"/>
      <w:rPr>
        <w:rFonts w:hint="default"/>
      </w:rPr>
    </w:lvl>
  </w:abstractNum>
  <w:abstractNum w:abstractNumId="12">
    <w:nsid w:val="637A12EF"/>
    <w:multiLevelType w:val="hybridMultilevel"/>
    <w:tmpl w:val="232E2490"/>
    <w:lvl w:ilvl="0" w:tplc="3014EB0C">
      <w:start w:val="56"/>
      <w:numFmt w:val="decimal"/>
      <w:lvlText w:val="%1"/>
      <w:lvlJc w:val="left"/>
      <w:pPr>
        <w:ind w:hanging="600"/>
      </w:pPr>
      <w:rPr>
        <w:rFonts w:ascii="Times New Roman" w:eastAsia="Times New Roman" w:hAnsi="Times New Roman" w:hint="default"/>
        <w:sz w:val="24"/>
        <w:szCs w:val="24"/>
      </w:rPr>
    </w:lvl>
    <w:lvl w:ilvl="1" w:tplc="BEC4E6FE">
      <w:start w:val="8"/>
      <w:numFmt w:val="decimal"/>
      <w:lvlText w:val="%2"/>
      <w:lvlJc w:val="left"/>
      <w:pPr>
        <w:ind w:hanging="116"/>
      </w:pPr>
      <w:rPr>
        <w:rFonts w:ascii="Times New Roman" w:eastAsia="Times New Roman" w:hAnsi="Times New Roman" w:hint="default"/>
        <w:w w:val="99"/>
        <w:position w:val="7"/>
        <w:sz w:val="13"/>
        <w:szCs w:val="13"/>
      </w:rPr>
    </w:lvl>
    <w:lvl w:ilvl="2" w:tplc="28A479EC">
      <w:start w:val="1"/>
      <w:numFmt w:val="bullet"/>
      <w:lvlText w:val="•"/>
      <w:lvlJc w:val="left"/>
      <w:rPr>
        <w:rFonts w:hint="default"/>
      </w:rPr>
    </w:lvl>
    <w:lvl w:ilvl="3" w:tplc="D55243E2">
      <w:start w:val="1"/>
      <w:numFmt w:val="bullet"/>
      <w:lvlText w:val="•"/>
      <w:lvlJc w:val="left"/>
      <w:rPr>
        <w:rFonts w:hint="default"/>
      </w:rPr>
    </w:lvl>
    <w:lvl w:ilvl="4" w:tplc="92D808C6">
      <w:start w:val="1"/>
      <w:numFmt w:val="bullet"/>
      <w:lvlText w:val="•"/>
      <w:lvlJc w:val="left"/>
      <w:rPr>
        <w:rFonts w:hint="default"/>
      </w:rPr>
    </w:lvl>
    <w:lvl w:ilvl="5" w:tplc="0EF646C4">
      <w:start w:val="1"/>
      <w:numFmt w:val="bullet"/>
      <w:lvlText w:val="•"/>
      <w:lvlJc w:val="left"/>
      <w:rPr>
        <w:rFonts w:hint="default"/>
      </w:rPr>
    </w:lvl>
    <w:lvl w:ilvl="6" w:tplc="3308078A">
      <w:start w:val="1"/>
      <w:numFmt w:val="bullet"/>
      <w:lvlText w:val="•"/>
      <w:lvlJc w:val="left"/>
      <w:rPr>
        <w:rFonts w:hint="default"/>
      </w:rPr>
    </w:lvl>
    <w:lvl w:ilvl="7" w:tplc="B0AC5B46">
      <w:start w:val="1"/>
      <w:numFmt w:val="bullet"/>
      <w:lvlText w:val="•"/>
      <w:lvlJc w:val="left"/>
      <w:rPr>
        <w:rFonts w:hint="default"/>
      </w:rPr>
    </w:lvl>
    <w:lvl w:ilvl="8" w:tplc="00C24D4A">
      <w:start w:val="1"/>
      <w:numFmt w:val="bullet"/>
      <w:lvlText w:val="•"/>
      <w:lvlJc w:val="left"/>
      <w:rPr>
        <w:rFonts w:hint="default"/>
      </w:rPr>
    </w:lvl>
  </w:abstractNum>
  <w:abstractNum w:abstractNumId="13">
    <w:nsid w:val="6AC26045"/>
    <w:multiLevelType w:val="hybridMultilevel"/>
    <w:tmpl w:val="0C2C5E42"/>
    <w:lvl w:ilvl="0" w:tplc="A39C31AA">
      <w:start w:val="28"/>
      <w:numFmt w:val="decimal"/>
      <w:lvlText w:val="%1"/>
      <w:lvlJc w:val="left"/>
      <w:pPr>
        <w:ind w:hanging="600"/>
      </w:pPr>
      <w:rPr>
        <w:rFonts w:ascii="Times New Roman" w:eastAsia="Times New Roman" w:hAnsi="Times New Roman" w:hint="default"/>
        <w:sz w:val="24"/>
        <w:szCs w:val="24"/>
      </w:rPr>
    </w:lvl>
    <w:lvl w:ilvl="1" w:tplc="9E42D918">
      <w:start w:val="1"/>
      <w:numFmt w:val="bullet"/>
      <w:lvlText w:val="•"/>
      <w:lvlJc w:val="left"/>
      <w:rPr>
        <w:rFonts w:hint="default"/>
      </w:rPr>
    </w:lvl>
    <w:lvl w:ilvl="2" w:tplc="EF06669A">
      <w:start w:val="1"/>
      <w:numFmt w:val="bullet"/>
      <w:lvlText w:val="•"/>
      <w:lvlJc w:val="left"/>
      <w:rPr>
        <w:rFonts w:hint="default"/>
      </w:rPr>
    </w:lvl>
    <w:lvl w:ilvl="3" w:tplc="B7C82334">
      <w:start w:val="1"/>
      <w:numFmt w:val="bullet"/>
      <w:lvlText w:val="•"/>
      <w:lvlJc w:val="left"/>
      <w:rPr>
        <w:rFonts w:hint="default"/>
      </w:rPr>
    </w:lvl>
    <w:lvl w:ilvl="4" w:tplc="CDCC8642">
      <w:start w:val="1"/>
      <w:numFmt w:val="bullet"/>
      <w:lvlText w:val="•"/>
      <w:lvlJc w:val="left"/>
      <w:rPr>
        <w:rFonts w:hint="default"/>
      </w:rPr>
    </w:lvl>
    <w:lvl w:ilvl="5" w:tplc="2C508656">
      <w:start w:val="1"/>
      <w:numFmt w:val="bullet"/>
      <w:lvlText w:val="•"/>
      <w:lvlJc w:val="left"/>
      <w:rPr>
        <w:rFonts w:hint="default"/>
      </w:rPr>
    </w:lvl>
    <w:lvl w:ilvl="6" w:tplc="315CEED4">
      <w:start w:val="1"/>
      <w:numFmt w:val="bullet"/>
      <w:lvlText w:val="•"/>
      <w:lvlJc w:val="left"/>
      <w:rPr>
        <w:rFonts w:hint="default"/>
      </w:rPr>
    </w:lvl>
    <w:lvl w:ilvl="7" w:tplc="C452288C">
      <w:start w:val="1"/>
      <w:numFmt w:val="bullet"/>
      <w:lvlText w:val="•"/>
      <w:lvlJc w:val="left"/>
      <w:rPr>
        <w:rFonts w:hint="default"/>
      </w:rPr>
    </w:lvl>
    <w:lvl w:ilvl="8" w:tplc="FD22BF04">
      <w:start w:val="1"/>
      <w:numFmt w:val="bullet"/>
      <w:lvlText w:val="•"/>
      <w:lvlJc w:val="left"/>
      <w:rPr>
        <w:rFonts w:hint="default"/>
      </w:rPr>
    </w:lvl>
  </w:abstractNum>
  <w:abstractNum w:abstractNumId="14">
    <w:nsid w:val="73097A0E"/>
    <w:multiLevelType w:val="hybridMultilevel"/>
    <w:tmpl w:val="60B8F540"/>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15">
    <w:nsid w:val="76A6105F"/>
    <w:multiLevelType w:val="hybridMultilevel"/>
    <w:tmpl w:val="E48A2502"/>
    <w:lvl w:ilvl="0" w:tplc="F2B820F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B1650C0"/>
    <w:multiLevelType w:val="hybridMultilevel"/>
    <w:tmpl w:val="F42A9D02"/>
    <w:lvl w:ilvl="0" w:tplc="A5A08D3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9"/>
  </w:num>
  <w:num w:numId="4">
    <w:abstractNumId w:val="5"/>
  </w:num>
  <w:num w:numId="5">
    <w:abstractNumId w:val="7"/>
  </w:num>
  <w:num w:numId="6">
    <w:abstractNumId w:val="0"/>
  </w:num>
  <w:num w:numId="7">
    <w:abstractNumId w:val="12"/>
  </w:num>
  <w:num w:numId="8">
    <w:abstractNumId w:val="6"/>
  </w:num>
  <w:num w:numId="9">
    <w:abstractNumId w:val="1"/>
  </w:num>
  <w:num w:numId="10">
    <w:abstractNumId w:val="13"/>
  </w:num>
  <w:num w:numId="11">
    <w:abstractNumId w:val="11"/>
  </w:num>
  <w:num w:numId="12">
    <w:abstractNumId w:val="3"/>
  </w:num>
  <w:num w:numId="13">
    <w:abstractNumId w:val="8"/>
  </w:num>
  <w:num w:numId="14">
    <w:abstractNumId w:val="14"/>
  </w:num>
  <w:num w:numId="15">
    <w:abstractNumId w:val="15"/>
  </w:num>
  <w:num w:numId="16">
    <w:abstractNumId w:val="4"/>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ng, Jia Hui">
    <w15:presenceInfo w15:providerId="AD" w15:userId="S::jiahui.gong@siemens-healthineers.com::0888bfc1-e420-407b-866d-1dffabd199c3"/>
  </w15:person>
  <w15:person w15:author="Zhan, Xiao Ling">
    <w15:presenceInfo w15:providerId="AD" w15:userId="S::xiaoling.zhan@siemens-healthineers.com::7ff90925-64e3-48d4-a1ad-c086346bcf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CF33E5"/>
    <w:rsid w:val="00015ED6"/>
    <w:rsid w:val="00057E9A"/>
    <w:rsid w:val="00067C8A"/>
    <w:rsid w:val="000D4700"/>
    <w:rsid w:val="000F02FA"/>
    <w:rsid w:val="0011029D"/>
    <w:rsid w:val="0012123E"/>
    <w:rsid w:val="0013406F"/>
    <w:rsid w:val="00191D0D"/>
    <w:rsid w:val="001A0AF1"/>
    <w:rsid w:val="00203E1B"/>
    <w:rsid w:val="0021420D"/>
    <w:rsid w:val="00224C0F"/>
    <w:rsid w:val="0025027A"/>
    <w:rsid w:val="002614AC"/>
    <w:rsid w:val="00277578"/>
    <w:rsid w:val="002D1398"/>
    <w:rsid w:val="002D583D"/>
    <w:rsid w:val="002E1733"/>
    <w:rsid w:val="002E44B7"/>
    <w:rsid w:val="00334CEE"/>
    <w:rsid w:val="00352F18"/>
    <w:rsid w:val="00385790"/>
    <w:rsid w:val="003B02DC"/>
    <w:rsid w:val="00425A9B"/>
    <w:rsid w:val="00437D73"/>
    <w:rsid w:val="0044021B"/>
    <w:rsid w:val="00446F91"/>
    <w:rsid w:val="00472D77"/>
    <w:rsid w:val="00482EE7"/>
    <w:rsid w:val="004A1678"/>
    <w:rsid w:val="004B53A0"/>
    <w:rsid w:val="004D35A7"/>
    <w:rsid w:val="00535721"/>
    <w:rsid w:val="0053756A"/>
    <w:rsid w:val="005C67F1"/>
    <w:rsid w:val="005F24A4"/>
    <w:rsid w:val="005F319C"/>
    <w:rsid w:val="00626B02"/>
    <w:rsid w:val="00660133"/>
    <w:rsid w:val="00670F08"/>
    <w:rsid w:val="006A0B2B"/>
    <w:rsid w:val="006F38C4"/>
    <w:rsid w:val="00742C75"/>
    <w:rsid w:val="007A0E4C"/>
    <w:rsid w:val="007A31E8"/>
    <w:rsid w:val="007E0074"/>
    <w:rsid w:val="008611F3"/>
    <w:rsid w:val="008C56AC"/>
    <w:rsid w:val="009020AE"/>
    <w:rsid w:val="009277B9"/>
    <w:rsid w:val="009A60E7"/>
    <w:rsid w:val="009C6B5E"/>
    <w:rsid w:val="009D01EE"/>
    <w:rsid w:val="009D186A"/>
    <w:rsid w:val="009E1A2C"/>
    <w:rsid w:val="00A47895"/>
    <w:rsid w:val="00A570D4"/>
    <w:rsid w:val="00AA2328"/>
    <w:rsid w:val="00AA68E9"/>
    <w:rsid w:val="00BA41F4"/>
    <w:rsid w:val="00BC02E7"/>
    <w:rsid w:val="00BD0B59"/>
    <w:rsid w:val="00BD1E44"/>
    <w:rsid w:val="00BE63A5"/>
    <w:rsid w:val="00C438D9"/>
    <w:rsid w:val="00CC706B"/>
    <w:rsid w:val="00CE1B4D"/>
    <w:rsid w:val="00CE3E13"/>
    <w:rsid w:val="00CF33E5"/>
    <w:rsid w:val="00DC4BBF"/>
    <w:rsid w:val="00E362D2"/>
    <w:rsid w:val="00E851F7"/>
    <w:rsid w:val="00EA7BD4"/>
    <w:rsid w:val="00EB5F76"/>
    <w:rsid w:val="00F00765"/>
    <w:rsid w:val="00F4364A"/>
    <w:rsid w:val="00FE6D7B"/>
    <w:rsid w:val="00FF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3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7"/>
      <w:outlineLvl w:val="0"/>
    </w:pPr>
    <w:rPr>
      <w:rFonts w:ascii="Times New Roman" w:eastAsia="Times New Roman" w:hAnsi="Times New Roman"/>
      <w:sz w:val="72"/>
      <w:szCs w:val="72"/>
    </w:rPr>
  </w:style>
  <w:style w:type="paragraph" w:styleId="2">
    <w:name w:val="heading 2"/>
    <w:basedOn w:val="a"/>
    <w:uiPriority w:val="1"/>
    <w:qFormat/>
    <w:pPr>
      <w:ind w:left="1516" w:hanging="4152"/>
      <w:outlineLvl w:val="1"/>
    </w:pPr>
    <w:rPr>
      <w:rFonts w:ascii="Times New Roman" w:eastAsia="Times New Roman" w:hAnsi="Times New Roman"/>
      <w:b/>
      <w:bCs/>
      <w:sz w:val="32"/>
      <w:szCs w:val="32"/>
    </w:rPr>
  </w:style>
  <w:style w:type="paragraph" w:styleId="3">
    <w:name w:val="heading 3"/>
    <w:basedOn w:val="a"/>
    <w:link w:val="3Char"/>
    <w:uiPriority w:val="1"/>
    <w:qFormat/>
    <w:pPr>
      <w:ind w:left="20"/>
      <w:outlineLvl w:val="2"/>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4"/>
      <w:ind w:left="10"/>
    </w:pPr>
    <w:rPr>
      <w:rFonts w:ascii="Times New Roman" w:eastAsia="Times New Roman" w:hAnsi="Times New Roman"/>
      <w:b/>
      <w:bCs/>
      <w:sz w:val="24"/>
      <w:szCs w:val="24"/>
    </w:rPr>
  </w:style>
  <w:style w:type="paragraph" w:styleId="20">
    <w:name w:val="toc 2"/>
    <w:basedOn w:val="a"/>
    <w:uiPriority w:val="39"/>
    <w:qFormat/>
    <w:pPr>
      <w:spacing w:before="120"/>
      <w:ind w:left="840" w:hanging="720"/>
    </w:pPr>
    <w:rPr>
      <w:rFonts w:ascii="Times New Roman" w:eastAsia="Times New Roman" w:hAnsi="Times New Roman"/>
      <w:b/>
      <w:bCs/>
      <w:sz w:val="24"/>
      <w:szCs w:val="24"/>
    </w:rPr>
  </w:style>
  <w:style w:type="paragraph" w:styleId="30">
    <w:name w:val="toc 3"/>
    <w:basedOn w:val="a"/>
    <w:uiPriority w:val="1"/>
    <w:qFormat/>
    <w:pPr>
      <w:spacing w:before="126"/>
      <w:ind w:left="840" w:hanging="476"/>
    </w:pPr>
    <w:rPr>
      <w:rFonts w:ascii="Times New Roman" w:eastAsia="Times New Roman" w:hAnsi="Times New Roman"/>
      <w:b/>
      <w:bCs/>
    </w:rPr>
  </w:style>
  <w:style w:type="paragraph" w:styleId="a3">
    <w:name w:val="header"/>
    <w:basedOn w:val="a"/>
    <w:link w:val="Char"/>
    <w:uiPriority w:val="99"/>
    <w:unhideWhenUsed/>
    <w:rsid w:val="002D1398"/>
    <w:pPr>
      <w:pBdr>
        <w:bottom w:val="single" w:sz="6" w:space="1" w:color="auto"/>
      </w:pBdr>
      <w:tabs>
        <w:tab w:val="center" w:pos="4153"/>
        <w:tab w:val="right" w:pos="8306"/>
      </w:tabs>
      <w:snapToGrid w:val="0"/>
      <w:jc w:val="center"/>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2D1398"/>
    <w:rPr>
      <w:sz w:val="18"/>
      <w:szCs w:val="18"/>
    </w:rPr>
  </w:style>
  <w:style w:type="character" w:customStyle="1" w:styleId="Char0">
    <w:name w:val="批注框文本 Char"/>
    <w:basedOn w:val="a0"/>
    <w:link w:val="a5"/>
    <w:uiPriority w:val="99"/>
    <w:semiHidden/>
    <w:rsid w:val="002D1398"/>
    <w:rPr>
      <w:sz w:val="18"/>
      <w:szCs w:val="18"/>
    </w:rPr>
  </w:style>
  <w:style w:type="character" w:customStyle="1" w:styleId="Char">
    <w:name w:val="页眉 Char"/>
    <w:basedOn w:val="a0"/>
    <w:link w:val="a3"/>
    <w:uiPriority w:val="99"/>
    <w:rsid w:val="002D1398"/>
    <w:rPr>
      <w:sz w:val="18"/>
      <w:szCs w:val="18"/>
    </w:rPr>
  </w:style>
  <w:style w:type="paragraph" w:styleId="a6">
    <w:name w:val="footer"/>
    <w:basedOn w:val="a"/>
    <w:link w:val="Char1"/>
    <w:uiPriority w:val="99"/>
    <w:unhideWhenUsed/>
    <w:rsid w:val="002D1398"/>
    <w:pPr>
      <w:tabs>
        <w:tab w:val="center" w:pos="4153"/>
        <w:tab w:val="right" w:pos="8306"/>
      </w:tabs>
      <w:snapToGrid w:val="0"/>
    </w:pPr>
    <w:rPr>
      <w:sz w:val="18"/>
      <w:szCs w:val="18"/>
    </w:rPr>
  </w:style>
  <w:style w:type="character" w:customStyle="1" w:styleId="Char1">
    <w:name w:val="页脚 Char"/>
    <w:basedOn w:val="a0"/>
    <w:link w:val="a6"/>
    <w:uiPriority w:val="99"/>
    <w:rsid w:val="002D1398"/>
    <w:rPr>
      <w:sz w:val="18"/>
      <w:szCs w:val="18"/>
    </w:rPr>
  </w:style>
  <w:style w:type="table" w:styleId="a7">
    <w:name w:val="Table Grid"/>
    <w:basedOn w:val="a1"/>
    <w:uiPriority w:val="59"/>
    <w:rsid w:val="00BA4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1"/>
    <w:basedOn w:val="3"/>
    <w:link w:val="1Char"/>
    <w:uiPriority w:val="1"/>
    <w:qFormat/>
    <w:rsid w:val="009D01EE"/>
    <w:pPr>
      <w:tabs>
        <w:tab w:val="left" w:pos="567"/>
        <w:tab w:val="left" w:pos="1439"/>
      </w:tabs>
      <w:adjustRightInd w:val="0"/>
      <w:snapToGrid w:val="0"/>
      <w:spacing w:beforeLines="50" w:before="120" w:line="300" w:lineRule="auto"/>
      <w:ind w:left="0"/>
      <w:jc w:val="both"/>
    </w:pPr>
    <w:rPr>
      <w:rFonts w:cs="Times New Roman"/>
      <w:snapToGrid w:val="0"/>
      <w:sz w:val="32"/>
      <w:szCs w:val="32"/>
    </w:rPr>
  </w:style>
  <w:style w:type="character" w:customStyle="1" w:styleId="3Char">
    <w:name w:val="标题 3 Char"/>
    <w:basedOn w:val="a0"/>
    <w:link w:val="3"/>
    <w:uiPriority w:val="1"/>
    <w:rsid w:val="009D01EE"/>
    <w:rPr>
      <w:rFonts w:ascii="Times New Roman" w:eastAsia="Times New Roman" w:hAnsi="Times New Roman"/>
      <w:b/>
      <w:bCs/>
      <w:sz w:val="24"/>
      <w:szCs w:val="24"/>
    </w:rPr>
  </w:style>
  <w:style w:type="character" w:customStyle="1" w:styleId="1Char">
    <w:name w:val="样式1 Char"/>
    <w:basedOn w:val="3Char"/>
    <w:link w:val="11"/>
    <w:uiPriority w:val="1"/>
    <w:rsid w:val="009D01EE"/>
    <w:rPr>
      <w:rFonts w:ascii="Times New Roman" w:eastAsia="Times New Roman" w:hAnsi="Times New Roman" w:cs="Times New Roman"/>
      <w:b/>
      <w:bCs/>
      <w:snapToGrid w:val="0"/>
      <w:sz w:val="32"/>
      <w:szCs w:val="32"/>
    </w:rPr>
  </w:style>
  <w:style w:type="character" w:styleId="a8">
    <w:name w:val="Hyperlink"/>
    <w:basedOn w:val="a0"/>
    <w:uiPriority w:val="99"/>
    <w:unhideWhenUsed/>
    <w:rsid w:val="00CE3E13"/>
    <w:rPr>
      <w:color w:val="0000FF" w:themeColor="hyperlink"/>
      <w:u w:val="single"/>
    </w:rPr>
  </w:style>
  <w:style w:type="paragraph" w:customStyle="1" w:styleId="a9">
    <w:name w:val="脚注"/>
    <w:basedOn w:val="a"/>
    <w:link w:val="Char2"/>
    <w:uiPriority w:val="1"/>
    <w:qFormat/>
    <w:rsid w:val="00CE3E13"/>
    <w:pPr>
      <w:tabs>
        <w:tab w:val="left" w:pos="835"/>
      </w:tabs>
      <w:adjustRightInd w:val="0"/>
      <w:snapToGrid w:val="0"/>
      <w:spacing w:beforeLines="15" w:before="36" w:line="276" w:lineRule="auto"/>
      <w:jc w:val="both"/>
    </w:pPr>
    <w:rPr>
      <w:rFonts w:ascii="Times New Roman" w:eastAsia="Times New Roman" w:hAnsi="Times New Roman" w:cs="Times New Roman"/>
      <w:snapToGrid w:val="0"/>
      <w:sz w:val="21"/>
      <w:szCs w:val="21"/>
    </w:rPr>
  </w:style>
  <w:style w:type="paragraph" w:customStyle="1" w:styleId="21">
    <w:name w:val="样式2"/>
    <w:basedOn w:val="a"/>
    <w:link w:val="2Char"/>
    <w:uiPriority w:val="1"/>
    <w:qFormat/>
    <w:rsid w:val="00203E1B"/>
    <w:pPr>
      <w:tabs>
        <w:tab w:val="left" w:pos="1134"/>
      </w:tabs>
      <w:adjustRightInd w:val="0"/>
      <w:snapToGrid w:val="0"/>
      <w:spacing w:beforeLines="50" w:before="120" w:line="300" w:lineRule="auto"/>
      <w:ind w:leftChars="257" w:left="565"/>
      <w:jc w:val="both"/>
    </w:pPr>
    <w:rPr>
      <w:rFonts w:ascii="Times New Roman" w:hAnsi="Times New Roman" w:cs="Times New Roman"/>
      <w:b/>
      <w:bCs/>
      <w:snapToGrid w:val="0"/>
      <w:sz w:val="28"/>
      <w:szCs w:val="28"/>
      <w:lang w:eastAsia="zh-CN" w:bidi="en-US"/>
    </w:rPr>
  </w:style>
  <w:style w:type="character" w:customStyle="1" w:styleId="Char2">
    <w:name w:val="脚注 Char"/>
    <w:basedOn w:val="a0"/>
    <w:link w:val="a9"/>
    <w:uiPriority w:val="1"/>
    <w:rsid w:val="00CE3E13"/>
    <w:rPr>
      <w:rFonts w:ascii="Times New Roman" w:eastAsia="Times New Roman" w:hAnsi="Times New Roman" w:cs="Times New Roman"/>
      <w:snapToGrid w:val="0"/>
      <w:sz w:val="21"/>
      <w:szCs w:val="21"/>
    </w:rPr>
  </w:style>
  <w:style w:type="character" w:customStyle="1" w:styleId="2Char">
    <w:name w:val="样式2 Char"/>
    <w:basedOn w:val="a0"/>
    <w:link w:val="21"/>
    <w:uiPriority w:val="1"/>
    <w:rsid w:val="00203E1B"/>
    <w:rPr>
      <w:rFonts w:ascii="Times New Roman" w:hAnsi="Times New Roman" w:cs="Times New Roman"/>
      <w:b/>
      <w:bCs/>
      <w:snapToGrid w:val="0"/>
      <w:sz w:val="28"/>
      <w:szCs w:val="28"/>
      <w:lang w:eastAsia="zh-CN" w:bidi="en-US"/>
    </w:rPr>
  </w:style>
  <w:style w:type="paragraph" w:styleId="aa">
    <w:name w:val="Revision"/>
    <w:hidden/>
    <w:uiPriority w:val="99"/>
    <w:semiHidden/>
    <w:rsid w:val="004B53A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2D3D2-8F5A-4BD9-AF31-5A23436B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Restricted Delivery Systems: Flow Restrictors for Oral Liquid Drug Products</vt:lpstr>
    </vt:vector>
  </TitlesOfParts>
  <Company/>
  <LinksUpToDate>false</LinksUpToDate>
  <CharactersWithSpaces>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Delivery Systems: Flow Restrictors for Oral Liquid Drug Products</dc:title>
  <dc:subject>Guidance for Industry</dc:subject>
  <dc:creator>FDA/CDER/"Purdie, Florine P"</dc:creator>
  <cp:keywords>Restricted Delivery Systems: Flow Restrictors for Oral Liquid Drug Products</cp:keywords>
  <cp:lastModifiedBy>EDY</cp:lastModifiedBy>
  <cp:revision>63</cp:revision>
  <dcterms:created xsi:type="dcterms:W3CDTF">2021-11-10T08:19:00Z</dcterms:created>
  <dcterms:modified xsi:type="dcterms:W3CDTF">2022-06-08T07:58:00Z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LastSaved">
    <vt:filetime>2021-11-09T00:00:00Z</vt:filetime>
  </property>
  <property fmtid="{D5CDD505-2E9C-101B-9397-08002B2CF9AE}" pid="4" name="MSIP_Label_ff6dbec8-95a8-4638-9f5f-bd076536645c_Enabled">
    <vt:lpwstr>true</vt:lpwstr>
  </property>
  <property fmtid="{D5CDD505-2E9C-101B-9397-08002B2CF9AE}" pid="5" name="MSIP_Label_ff6dbec8-95a8-4638-9f5f-bd076536645c_SetDate">
    <vt:lpwstr>2022-03-03T03:47:21Z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d9c361f8-c634-4572-bb7d-69c92d4ceb74</vt:lpwstr>
  </property>
  <property fmtid="{D5CDD505-2E9C-101B-9397-08002B2CF9AE}" pid="10" name="MSIP_Label_ff6dbec8-95a8-4638-9f5f-bd076536645c_ContentBits">
    <vt:lpwstr>0</vt:lpwstr>
  </property>
</Properties>
</file>