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73A" w:rsidRPr="00C277C0" w:rsidRDefault="00C1273A" w:rsidP="00C1273A">
      <w:pPr>
        <w:autoSpaceDE/>
        <w:autoSpaceDN/>
        <w:snapToGrid w:val="0"/>
        <w:jc w:val="center"/>
        <w:rPr>
          <w:rFonts w:eastAsia="宋体"/>
          <w:b/>
          <w:snapToGrid w:val="0"/>
          <w:sz w:val="44"/>
          <w:lang w:eastAsia="zh-CN"/>
        </w:rPr>
      </w:pPr>
    </w:p>
    <w:p w:rsidR="00C1273A" w:rsidRPr="00C277C0" w:rsidRDefault="00C1273A" w:rsidP="00C1273A">
      <w:pPr>
        <w:autoSpaceDE/>
        <w:autoSpaceDN/>
        <w:snapToGrid w:val="0"/>
        <w:jc w:val="center"/>
        <w:rPr>
          <w:rFonts w:eastAsia="宋体"/>
          <w:b/>
          <w:snapToGrid w:val="0"/>
          <w:sz w:val="44"/>
          <w:lang w:eastAsia="zh-CN"/>
        </w:rPr>
      </w:pPr>
    </w:p>
    <w:p w:rsidR="00D83601" w:rsidRPr="00C277C0" w:rsidRDefault="00097329" w:rsidP="00B403CB">
      <w:pPr>
        <w:autoSpaceDE/>
        <w:autoSpaceDN/>
        <w:snapToGrid w:val="0"/>
        <w:jc w:val="center"/>
        <w:rPr>
          <w:rFonts w:eastAsia="宋体"/>
          <w:b/>
          <w:snapToGrid w:val="0"/>
          <w:sz w:val="44"/>
          <w:szCs w:val="44"/>
          <w:lang w:eastAsia="zh-CN"/>
        </w:rPr>
      </w:pPr>
      <w:r w:rsidRPr="00C277C0">
        <w:rPr>
          <w:rFonts w:eastAsia="宋体" w:hint="eastAsia"/>
          <w:b/>
          <w:snapToGrid w:val="0"/>
          <w:sz w:val="44"/>
          <w:lang w:eastAsia="zh-CN"/>
        </w:rPr>
        <w:t>组合产品上市后安全性报告</w:t>
      </w:r>
      <w:r w:rsidR="00C1273A" w:rsidRPr="00C277C0">
        <w:rPr>
          <w:rFonts w:eastAsia="宋体" w:hint="eastAsia"/>
          <w:b/>
          <w:snapToGrid w:val="0"/>
          <w:sz w:val="44"/>
          <w:szCs w:val="44"/>
          <w:lang w:eastAsia="zh-CN"/>
        </w:rPr>
        <w:br/>
      </w:r>
      <w:r w:rsidR="00EE1C23">
        <w:rPr>
          <w:rFonts w:eastAsia="宋体" w:hint="eastAsia"/>
          <w:b/>
          <w:snapToGrid w:val="0"/>
          <w:sz w:val="44"/>
          <w:lang w:eastAsia="zh-CN"/>
        </w:rPr>
        <w:t>面向</w:t>
      </w:r>
      <w:r w:rsidRPr="00C277C0">
        <w:rPr>
          <w:rFonts w:eastAsia="宋体" w:hint="eastAsia"/>
          <w:b/>
          <w:snapToGrid w:val="0"/>
          <w:sz w:val="44"/>
          <w:lang w:eastAsia="zh-CN"/>
        </w:rPr>
        <w:t>行业和</w:t>
      </w:r>
      <w:r w:rsidRPr="00C277C0">
        <w:rPr>
          <w:rFonts w:eastAsia="宋体" w:hint="eastAsia"/>
          <w:b/>
          <w:snapToGrid w:val="0"/>
          <w:sz w:val="44"/>
          <w:lang w:eastAsia="zh-CN"/>
        </w:rPr>
        <w:t>FDA</w:t>
      </w:r>
      <w:r w:rsidRPr="00C277C0">
        <w:rPr>
          <w:rFonts w:eastAsia="宋体" w:hint="eastAsia"/>
          <w:b/>
          <w:snapToGrid w:val="0"/>
          <w:sz w:val="44"/>
          <w:lang w:eastAsia="zh-CN"/>
        </w:rPr>
        <w:t>工作人员</w:t>
      </w:r>
      <w:r w:rsidR="000D15D7">
        <w:rPr>
          <w:rFonts w:eastAsia="宋体" w:hint="eastAsia"/>
          <w:b/>
          <w:snapToGrid w:val="0"/>
          <w:sz w:val="44"/>
          <w:lang w:eastAsia="zh-CN"/>
        </w:rPr>
        <w:t>的</w:t>
      </w:r>
      <w:r w:rsidRPr="00C277C0">
        <w:rPr>
          <w:rFonts w:eastAsia="宋体" w:hint="eastAsia"/>
          <w:b/>
          <w:snapToGrid w:val="0"/>
          <w:sz w:val="44"/>
          <w:lang w:eastAsia="zh-CN"/>
        </w:rPr>
        <w:t>指南</w:t>
      </w:r>
    </w:p>
    <w:p w:rsidR="00D83601" w:rsidRPr="00B403CB" w:rsidRDefault="00097329" w:rsidP="00B403CB">
      <w:pPr>
        <w:autoSpaceDE/>
        <w:autoSpaceDN/>
        <w:snapToGrid w:val="0"/>
        <w:jc w:val="center"/>
        <w:rPr>
          <w:rFonts w:eastAsia="宋体"/>
          <w:b/>
          <w:i/>
          <w:sz w:val="36"/>
          <w:lang w:eastAsia="zh-CN"/>
        </w:rPr>
      </w:pPr>
      <w:r w:rsidRPr="00B403CB">
        <w:rPr>
          <w:rFonts w:eastAsia="宋体" w:hint="eastAsia"/>
          <w:b/>
          <w:i/>
          <w:sz w:val="36"/>
          <w:lang w:eastAsia="zh-CN"/>
        </w:rPr>
        <w:t>最终指南</w:t>
      </w:r>
    </w:p>
    <w:p w:rsidR="00CB2C74" w:rsidRPr="00B403CB" w:rsidRDefault="00CB2C74" w:rsidP="00B403CB">
      <w:pPr>
        <w:autoSpaceDE/>
        <w:autoSpaceDN/>
        <w:snapToGrid w:val="0"/>
        <w:jc w:val="center"/>
        <w:rPr>
          <w:rFonts w:eastAsia="宋体"/>
          <w:b/>
          <w:sz w:val="28"/>
          <w:lang w:eastAsia="zh-CN"/>
        </w:rPr>
      </w:pPr>
    </w:p>
    <w:p w:rsidR="00CB2C74" w:rsidRPr="00B403CB" w:rsidRDefault="00CB2C74" w:rsidP="00B403CB">
      <w:pPr>
        <w:autoSpaceDE/>
        <w:autoSpaceDN/>
        <w:snapToGrid w:val="0"/>
        <w:jc w:val="center"/>
        <w:rPr>
          <w:rFonts w:eastAsia="宋体"/>
          <w:b/>
          <w:sz w:val="28"/>
          <w:lang w:eastAsia="zh-CN"/>
        </w:rPr>
      </w:pPr>
    </w:p>
    <w:p w:rsidR="00C1273A" w:rsidRPr="00C277C0" w:rsidRDefault="00C1273A" w:rsidP="00C1273A">
      <w:pPr>
        <w:autoSpaceDE/>
        <w:autoSpaceDN/>
        <w:snapToGrid w:val="0"/>
        <w:jc w:val="center"/>
        <w:rPr>
          <w:rFonts w:eastAsia="宋体"/>
          <w:b/>
          <w:snapToGrid w:val="0"/>
          <w:sz w:val="28"/>
          <w:szCs w:val="24"/>
          <w:lang w:eastAsia="zh-CN"/>
        </w:rPr>
      </w:pPr>
    </w:p>
    <w:p w:rsidR="00C1273A" w:rsidRPr="00C277C0" w:rsidRDefault="00C1273A" w:rsidP="00C1273A">
      <w:pPr>
        <w:autoSpaceDE/>
        <w:autoSpaceDN/>
        <w:snapToGrid w:val="0"/>
        <w:jc w:val="center"/>
        <w:rPr>
          <w:rFonts w:eastAsia="宋体"/>
          <w:b/>
          <w:snapToGrid w:val="0"/>
          <w:sz w:val="28"/>
          <w:szCs w:val="24"/>
          <w:lang w:eastAsia="zh-CN"/>
        </w:rPr>
      </w:pPr>
    </w:p>
    <w:p w:rsidR="00090943" w:rsidRPr="00C277C0" w:rsidRDefault="00097329" w:rsidP="00C1273A">
      <w:pPr>
        <w:autoSpaceDE/>
        <w:autoSpaceDN/>
        <w:snapToGrid w:val="0"/>
        <w:jc w:val="center"/>
        <w:rPr>
          <w:rFonts w:eastAsia="宋体"/>
          <w:i/>
          <w:snapToGrid w:val="0"/>
          <w:sz w:val="24"/>
          <w:szCs w:val="24"/>
          <w:lang w:eastAsia="zh-CN"/>
        </w:rPr>
      </w:pPr>
      <w:r w:rsidRPr="00C277C0">
        <w:rPr>
          <w:rFonts w:eastAsia="宋体" w:hint="eastAsia"/>
          <w:i/>
          <w:snapToGrid w:val="0"/>
          <w:sz w:val="24"/>
          <w:szCs w:val="24"/>
          <w:lang w:eastAsia="zh-CN"/>
        </w:rPr>
        <w:t>其他副本可从以下地址</w:t>
      </w:r>
      <w:r w:rsidR="002A45A2">
        <w:rPr>
          <w:rFonts w:eastAsia="宋体" w:hint="eastAsia"/>
          <w:i/>
          <w:snapToGrid w:val="0"/>
          <w:sz w:val="24"/>
          <w:szCs w:val="24"/>
          <w:lang w:eastAsia="zh-CN"/>
        </w:rPr>
        <w:t>获取</w:t>
      </w:r>
      <w:r w:rsidRPr="00C277C0">
        <w:rPr>
          <w:rFonts w:eastAsia="宋体" w:hint="eastAsia"/>
          <w:i/>
          <w:snapToGrid w:val="0"/>
          <w:sz w:val="24"/>
          <w:szCs w:val="24"/>
          <w:lang w:eastAsia="zh-CN"/>
        </w:rPr>
        <w:t>：</w:t>
      </w:r>
    </w:p>
    <w:p w:rsidR="00FA5CED" w:rsidRPr="00C277C0" w:rsidRDefault="007267DD" w:rsidP="00C1273A">
      <w:pPr>
        <w:autoSpaceDE/>
        <w:autoSpaceDN/>
        <w:snapToGrid w:val="0"/>
        <w:jc w:val="center"/>
        <w:rPr>
          <w:rFonts w:eastAsia="宋体"/>
          <w:i/>
          <w:snapToGrid w:val="0"/>
          <w:sz w:val="24"/>
          <w:szCs w:val="24"/>
          <w:lang w:eastAsia="zh-CN"/>
        </w:rPr>
      </w:pPr>
      <w:r w:rsidRPr="00C277C0">
        <w:rPr>
          <w:rFonts w:eastAsia="宋体" w:hint="eastAsia"/>
          <w:i/>
          <w:snapToGrid w:val="0"/>
          <w:sz w:val="24"/>
          <w:szCs w:val="24"/>
          <w:lang w:eastAsia="zh-CN"/>
        </w:rPr>
        <w:t>美国食品药品</w:t>
      </w:r>
      <w:r w:rsidR="00A97A05">
        <w:rPr>
          <w:rFonts w:eastAsia="宋体" w:hint="eastAsia"/>
          <w:i/>
          <w:snapToGrid w:val="0"/>
          <w:sz w:val="24"/>
          <w:szCs w:val="24"/>
          <w:lang w:eastAsia="zh-CN"/>
        </w:rPr>
        <w:t>监督</w:t>
      </w:r>
      <w:r w:rsidRPr="00C277C0">
        <w:rPr>
          <w:rFonts w:eastAsia="宋体" w:hint="eastAsia"/>
          <w:i/>
          <w:snapToGrid w:val="0"/>
          <w:sz w:val="24"/>
          <w:szCs w:val="24"/>
          <w:lang w:eastAsia="zh-CN"/>
        </w:rPr>
        <w:t>管理局</w:t>
      </w:r>
      <w:r w:rsidR="00097329" w:rsidRPr="00C277C0">
        <w:rPr>
          <w:rFonts w:eastAsia="宋体" w:hint="eastAsia"/>
          <w:i/>
          <w:snapToGrid w:val="0"/>
          <w:sz w:val="24"/>
          <w:szCs w:val="24"/>
          <w:lang w:eastAsia="zh-CN"/>
        </w:rPr>
        <w:t>组合产品办公室</w:t>
      </w:r>
      <w:r w:rsidR="00FA5CED" w:rsidRPr="00C277C0">
        <w:rPr>
          <w:rFonts w:eastAsia="宋体" w:hint="eastAsia"/>
          <w:i/>
          <w:snapToGrid w:val="0"/>
          <w:sz w:val="24"/>
          <w:szCs w:val="24"/>
          <w:lang w:eastAsia="zh-CN"/>
        </w:rPr>
        <w:br/>
      </w:r>
      <w:r w:rsidR="00097329" w:rsidRPr="00C277C0">
        <w:rPr>
          <w:rFonts w:eastAsia="宋体" w:hint="eastAsia"/>
          <w:i/>
          <w:snapToGrid w:val="0"/>
          <w:sz w:val="24"/>
          <w:szCs w:val="24"/>
          <w:lang w:eastAsia="zh-CN"/>
        </w:rPr>
        <w:t>WO32</w:t>
      </w:r>
      <w:r w:rsidR="00097329" w:rsidRPr="00C277C0">
        <w:rPr>
          <w:rFonts w:eastAsia="宋体" w:hint="eastAsia"/>
          <w:i/>
          <w:snapToGrid w:val="0"/>
          <w:sz w:val="24"/>
          <w:szCs w:val="24"/>
          <w:lang w:eastAsia="zh-CN"/>
        </w:rPr>
        <w:t>，</w:t>
      </w:r>
      <w:r w:rsidR="00097329" w:rsidRPr="00C277C0">
        <w:rPr>
          <w:rFonts w:eastAsia="宋体" w:hint="eastAsia"/>
          <w:i/>
          <w:snapToGrid w:val="0"/>
          <w:sz w:val="24"/>
          <w:szCs w:val="24"/>
          <w:lang w:eastAsia="zh-CN"/>
        </w:rPr>
        <w:t>Hub/Mail Room #5129</w:t>
      </w:r>
    </w:p>
    <w:p w:rsidR="00D83601" w:rsidRPr="00C277C0" w:rsidRDefault="00097329" w:rsidP="00B403CB">
      <w:pPr>
        <w:autoSpaceDE/>
        <w:autoSpaceDN/>
        <w:snapToGrid w:val="0"/>
        <w:jc w:val="center"/>
        <w:rPr>
          <w:rFonts w:eastAsia="宋体"/>
          <w:i/>
          <w:snapToGrid w:val="0"/>
          <w:sz w:val="24"/>
          <w:szCs w:val="24"/>
          <w:lang w:eastAsia="zh-CN"/>
        </w:rPr>
      </w:pPr>
      <w:r w:rsidRPr="00C277C0">
        <w:rPr>
          <w:rFonts w:eastAsia="宋体" w:hint="eastAsia"/>
          <w:i/>
          <w:snapToGrid w:val="0"/>
          <w:sz w:val="24"/>
          <w:szCs w:val="24"/>
          <w:lang w:eastAsia="zh-CN"/>
        </w:rPr>
        <w:t>10903 New Hampshire Avenue</w:t>
      </w:r>
    </w:p>
    <w:p w:rsidR="00FA5CED" w:rsidRPr="00C277C0" w:rsidRDefault="00097329" w:rsidP="00C1273A">
      <w:pPr>
        <w:autoSpaceDE/>
        <w:autoSpaceDN/>
        <w:snapToGrid w:val="0"/>
        <w:jc w:val="center"/>
        <w:rPr>
          <w:rFonts w:eastAsia="宋体"/>
          <w:i/>
          <w:snapToGrid w:val="0"/>
          <w:sz w:val="24"/>
          <w:szCs w:val="24"/>
          <w:lang w:eastAsia="zh-CN"/>
        </w:rPr>
      </w:pPr>
      <w:r w:rsidRPr="00C277C0">
        <w:rPr>
          <w:rFonts w:eastAsia="宋体" w:hint="eastAsia"/>
          <w:i/>
          <w:snapToGrid w:val="0"/>
          <w:sz w:val="24"/>
          <w:szCs w:val="24"/>
          <w:lang w:eastAsia="zh-CN"/>
        </w:rPr>
        <w:t>Silver Spring, MD 20993</w:t>
      </w:r>
    </w:p>
    <w:p w:rsidR="00D83601" w:rsidRPr="00C277C0" w:rsidRDefault="00090943" w:rsidP="00B403CB">
      <w:pPr>
        <w:autoSpaceDE/>
        <w:autoSpaceDN/>
        <w:snapToGrid w:val="0"/>
        <w:jc w:val="center"/>
        <w:rPr>
          <w:rFonts w:eastAsia="宋体"/>
          <w:i/>
          <w:snapToGrid w:val="0"/>
          <w:sz w:val="24"/>
          <w:szCs w:val="24"/>
          <w:lang w:eastAsia="zh-CN"/>
        </w:rPr>
      </w:pPr>
      <w:r w:rsidRPr="00C277C0">
        <w:rPr>
          <w:rFonts w:eastAsia="宋体" w:hint="eastAsia"/>
          <w:i/>
          <w:snapToGrid w:val="0"/>
          <w:sz w:val="24"/>
          <w:szCs w:val="24"/>
          <w:lang w:eastAsia="zh-CN"/>
        </w:rPr>
        <w:t>（电话）</w:t>
      </w:r>
      <w:r w:rsidR="00097329" w:rsidRPr="00C277C0">
        <w:rPr>
          <w:rFonts w:eastAsia="宋体" w:hint="eastAsia"/>
          <w:i/>
          <w:snapToGrid w:val="0"/>
          <w:sz w:val="24"/>
          <w:szCs w:val="24"/>
          <w:lang w:eastAsia="zh-CN"/>
        </w:rPr>
        <w:t>301-796-8930</w:t>
      </w:r>
    </w:p>
    <w:p w:rsidR="00D83601" w:rsidRPr="00C277C0" w:rsidRDefault="00182081" w:rsidP="00B403CB">
      <w:pPr>
        <w:autoSpaceDE/>
        <w:autoSpaceDN/>
        <w:snapToGrid w:val="0"/>
        <w:jc w:val="center"/>
        <w:rPr>
          <w:rFonts w:eastAsia="宋体"/>
          <w:i/>
          <w:snapToGrid w:val="0"/>
          <w:sz w:val="24"/>
          <w:szCs w:val="24"/>
          <w:lang w:eastAsia="zh-CN"/>
        </w:rPr>
      </w:pPr>
      <w:r w:rsidRPr="00C277C0">
        <w:rPr>
          <w:rFonts w:eastAsia="宋体" w:hint="eastAsia"/>
          <w:i/>
          <w:snapToGrid w:val="0"/>
          <w:sz w:val="24"/>
          <w:szCs w:val="24"/>
          <w:lang w:eastAsia="zh-CN"/>
        </w:rPr>
        <w:t>（传真）</w:t>
      </w:r>
      <w:r w:rsidR="00097329" w:rsidRPr="00C277C0">
        <w:rPr>
          <w:rFonts w:eastAsia="宋体" w:hint="eastAsia"/>
          <w:i/>
          <w:snapToGrid w:val="0"/>
          <w:sz w:val="24"/>
          <w:szCs w:val="24"/>
          <w:lang w:eastAsia="zh-CN"/>
        </w:rPr>
        <w:t>301-847-8619</w:t>
      </w:r>
    </w:p>
    <w:p w:rsidR="00D83601" w:rsidRPr="00B403CB" w:rsidRDefault="005E79D4" w:rsidP="00B403CB">
      <w:pPr>
        <w:autoSpaceDE/>
        <w:autoSpaceDN/>
        <w:snapToGrid w:val="0"/>
        <w:jc w:val="center"/>
        <w:rPr>
          <w:rFonts w:eastAsia="宋体"/>
          <w:color w:val="0000FF"/>
          <w:sz w:val="24"/>
          <w:u w:val="single" w:color="0000FF"/>
        </w:rPr>
      </w:pPr>
      <w:hyperlink r:id="rId8">
        <w:r w:rsidR="00097329" w:rsidRPr="00C277C0">
          <w:rPr>
            <w:rFonts w:eastAsia="宋体" w:hint="eastAsia"/>
            <w:i/>
            <w:snapToGrid w:val="0"/>
            <w:color w:val="0000FF"/>
            <w:sz w:val="24"/>
            <w:szCs w:val="24"/>
            <w:u w:val="single" w:color="0000FF"/>
            <w:lang w:eastAsia="zh-CN"/>
          </w:rPr>
          <w:t>https://www.fda.gov/combination-products</w:t>
        </w:r>
      </w:hyperlink>
    </w:p>
    <w:p w:rsidR="00CB2C74" w:rsidRPr="00B403CB" w:rsidRDefault="00CB2C74" w:rsidP="00B403CB">
      <w:pPr>
        <w:autoSpaceDE/>
        <w:autoSpaceDN/>
        <w:snapToGrid w:val="0"/>
        <w:jc w:val="center"/>
        <w:rPr>
          <w:rFonts w:eastAsia="宋体"/>
          <w:sz w:val="24"/>
        </w:rPr>
      </w:pPr>
    </w:p>
    <w:p w:rsidR="00D83601" w:rsidRPr="00C277C0" w:rsidRDefault="00097329" w:rsidP="00B403CB">
      <w:pPr>
        <w:pStyle w:val="a3"/>
        <w:autoSpaceDE/>
        <w:autoSpaceDN/>
        <w:snapToGrid w:val="0"/>
        <w:jc w:val="center"/>
        <w:rPr>
          <w:rFonts w:eastAsia="宋体"/>
          <w:snapToGrid w:val="0"/>
          <w:lang w:eastAsia="zh-CN"/>
        </w:rPr>
      </w:pPr>
      <w:r w:rsidRPr="00C277C0">
        <w:rPr>
          <w:rFonts w:eastAsia="宋体" w:hint="eastAsia"/>
          <w:snapToGrid w:val="0"/>
          <w:lang w:eastAsia="zh-CN"/>
        </w:rPr>
        <w:t>如对本文件有疑问，请联系</w:t>
      </w:r>
      <w:r w:rsidR="00C1273A" w:rsidRPr="00C277C0">
        <w:rPr>
          <w:rFonts w:eastAsia="宋体" w:hint="eastAsia"/>
          <w:snapToGrid w:val="0"/>
          <w:lang w:eastAsia="zh-CN"/>
        </w:rPr>
        <w:br/>
      </w:r>
      <w:r w:rsidRPr="00C277C0">
        <w:rPr>
          <w:rFonts w:eastAsia="宋体" w:hint="eastAsia"/>
          <w:snapToGrid w:val="0"/>
          <w:lang w:eastAsia="zh-CN"/>
        </w:rPr>
        <w:t>组合产品办公室</w:t>
      </w:r>
      <w:r w:rsidR="00C74F6C" w:rsidRPr="00C277C0">
        <w:rPr>
          <w:rFonts w:eastAsia="宋体" w:hint="eastAsia"/>
          <w:snapToGrid w:val="0"/>
          <w:lang w:eastAsia="zh-CN"/>
        </w:rPr>
        <w:t>（</w:t>
      </w:r>
      <w:r w:rsidR="00C74F6C" w:rsidRPr="00C277C0">
        <w:rPr>
          <w:rFonts w:eastAsia="宋体" w:hint="eastAsia"/>
          <w:snapToGrid w:val="0"/>
          <w:lang w:eastAsia="zh-CN"/>
        </w:rPr>
        <w:t>301-796-8930</w:t>
      </w:r>
      <w:r w:rsidR="00C74F6C" w:rsidRPr="00C277C0">
        <w:rPr>
          <w:rFonts w:eastAsia="宋体" w:hint="eastAsia"/>
          <w:snapToGrid w:val="0"/>
          <w:lang w:eastAsia="zh-CN"/>
        </w:rPr>
        <w:t>）</w:t>
      </w:r>
      <w:r w:rsidRPr="00C277C0">
        <w:rPr>
          <w:rFonts w:eastAsia="宋体" w:hint="eastAsia"/>
          <w:snapToGrid w:val="0"/>
          <w:lang w:eastAsia="zh-CN"/>
        </w:rPr>
        <w:t>或</w:t>
      </w:r>
      <w:r w:rsidR="00C74F6C" w:rsidRPr="00C277C0">
        <w:rPr>
          <w:rFonts w:eastAsia="宋体" w:hint="eastAsia"/>
          <w:snapToGrid w:val="0"/>
          <w:lang w:eastAsia="zh-CN"/>
        </w:rPr>
        <w:t>访问网址</w:t>
      </w:r>
      <w:hyperlink r:id="rId9">
        <w:r w:rsidRPr="00C277C0">
          <w:rPr>
            <w:rFonts w:eastAsia="宋体" w:hint="eastAsia"/>
            <w:snapToGrid w:val="0"/>
            <w:color w:val="0000FF"/>
            <w:u w:val="single" w:color="0000FF"/>
            <w:lang w:eastAsia="zh-CN"/>
          </w:rPr>
          <w:t>combination@fda.gov.</w:t>
        </w:r>
      </w:hyperlink>
    </w:p>
    <w:p w:rsidR="00CB2C74" w:rsidRPr="00C277C0" w:rsidRDefault="00CB2C74" w:rsidP="00C1273A">
      <w:pPr>
        <w:pStyle w:val="a3"/>
        <w:autoSpaceDE/>
        <w:autoSpaceDN/>
        <w:snapToGrid w:val="0"/>
        <w:jc w:val="center"/>
        <w:rPr>
          <w:rFonts w:eastAsia="宋体"/>
          <w:snapToGrid w:val="0"/>
          <w:lang w:eastAsia="zh-CN"/>
        </w:rPr>
      </w:pPr>
    </w:p>
    <w:p w:rsidR="00CB2C74" w:rsidRPr="00C277C0" w:rsidRDefault="00CB2C74" w:rsidP="00C1273A">
      <w:pPr>
        <w:pStyle w:val="a3"/>
        <w:autoSpaceDE/>
        <w:autoSpaceDN/>
        <w:snapToGrid w:val="0"/>
        <w:jc w:val="center"/>
        <w:rPr>
          <w:rFonts w:eastAsia="宋体"/>
          <w:snapToGrid w:val="0"/>
          <w:lang w:eastAsia="zh-CN"/>
        </w:rPr>
      </w:pPr>
    </w:p>
    <w:p w:rsidR="00C1273A" w:rsidRPr="00C277C0" w:rsidRDefault="00C1273A" w:rsidP="00C1273A">
      <w:pPr>
        <w:pStyle w:val="a3"/>
        <w:autoSpaceDE/>
        <w:autoSpaceDN/>
        <w:snapToGrid w:val="0"/>
        <w:jc w:val="center"/>
        <w:rPr>
          <w:rFonts w:eastAsia="宋体"/>
          <w:snapToGrid w:val="0"/>
          <w:lang w:eastAsia="zh-CN"/>
        </w:rPr>
      </w:pPr>
    </w:p>
    <w:p w:rsidR="00C1273A" w:rsidRPr="00C277C0" w:rsidRDefault="00C1273A" w:rsidP="00C1273A">
      <w:pPr>
        <w:pStyle w:val="a3"/>
        <w:autoSpaceDE/>
        <w:autoSpaceDN/>
        <w:snapToGrid w:val="0"/>
        <w:jc w:val="center"/>
        <w:rPr>
          <w:rFonts w:eastAsia="宋体"/>
          <w:snapToGrid w:val="0"/>
          <w:lang w:eastAsia="zh-CN"/>
        </w:rPr>
      </w:pPr>
    </w:p>
    <w:p w:rsidR="00C1273A" w:rsidRPr="00C277C0" w:rsidRDefault="00C1273A" w:rsidP="00C1273A">
      <w:pPr>
        <w:pStyle w:val="a3"/>
        <w:autoSpaceDE/>
        <w:autoSpaceDN/>
        <w:snapToGrid w:val="0"/>
        <w:jc w:val="center"/>
        <w:rPr>
          <w:rFonts w:eastAsia="宋体"/>
          <w:snapToGrid w:val="0"/>
          <w:lang w:eastAsia="zh-CN"/>
        </w:rPr>
      </w:pPr>
    </w:p>
    <w:p w:rsidR="00C1273A" w:rsidRPr="00C277C0" w:rsidRDefault="00C1273A" w:rsidP="00C1273A">
      <w:pPr>
        <w:pStyle w:val="a3"/>
        <w:autoSpaceDE/>
        <w:autoSpaceDN/>
        <w:snapToGrid w:val="0"/>
        <w:jc w:val="center"/>
        <w:rPr>
          <w:rFonts w:eastAsia="宋体"/>
          <w:snapToGrid w:val="0"/>
          <w:lang w:eastAsia="zh-CN"/>
        </w:rPr>
      </w:pPr>
    </w:p>
    <w:p w:rsidR="00C1273A" w:rsidRPr="00C277C0" w:rsidRDefault="00C1273A" w:rsidP="00C1273A">
      <w:pPr>
        <w:pStyle w:val="a3"/>
        <w:autoSpaceDE/>
        <w:autoSpaceDN/>
        <w:snapToGrid w:val="0"/>
        <w:jc w:val="center"/>
        <w:rPr>
          <w:rFonts w:eastAsia="宋体"/>
          <w:snapToGrid w:val="0"/>
          <w:lang w:eastAsia="zh-CN"/>
        </w:rPr>
      </w:pPr>
    </w:p>
    <w:p w:rsidR="00C1273A" w:rsidRPr="00C277C0" w:rsidRDefault="00C1273A" w:rsidP="00B403CB">
      <w:pPr>
        <w:pStyle w:val="a3"/>
        <w:autoSpaceDE/>
        <w:autoSpaceDN/>
        <w:snapToGrid w:val="0"/>
        <w:jc w:val="center"/>
        <w:rPr>
          <w:rFonts w:eastAsia="宋体"/>
          <w:snapToGrid w:val="0"/>
          <w:lang w:eastAsia="zh-CN"/>
        </w:rPr>
      </w:pPr>
    </w:p>
    <w:p w:rsidR="00C1273A" w:rsidRPr="00C277C0" w:rsidRDefault="00C1273A" w:rsidP="00B403CB">
      <w:pPr>
        <w:pStyle w:val="a3"/>
        <w:autoSpaceDE/>
        <w:autoSpaceDN/>
        <w:snapToGrid w:val="0"/>
        <w:jc w:val="center"/>
        <w:rPr>
          <w:rFonts w:eastAsia="宋体"/>
          <w:snapToGrid w:val="0"/>
          <w:lang w:eastAsia="zh-CN"/>
        </w:rPr>
      </w:pPr>
    </w:p>
    <w:p w:rsidR="00CB2C74" w:rsidRPr="00C277C0" w:rsidRDefault="00CB2C74" w:rsidP="00B403CB">
      <w:pPr>
        <w:pStyle w:val="a3"/>
        <w:autoSpaceDE/>
        <w:autoSpaceDN/>
        <w:snapToGrid w:val="0"/>
        <w:jc w:val="center"/>
        <w:rPr>
          <w:rFonts w:eastAsia="宋体"/>
          <w:snapToGrid w:val="0"/>
          <w:lang w:eastAsia="zh-CN"/>
        </w:rPr>
      </w:pPr>
    </w:p>
    <w:p w:rsidR="00CB2C74" w:rsidRPr="00C277C0" w:rsidRDefault="00B26AD5" w:rsidP="00B403CB">
      <w:pPr>
        <w:autoSpaceDE/>
        <w:autoSpaceDN/>
        <w:snapToGrid w:val="0"/>
        <w:jc w:val="center"/>
        <w:rPr>
          <w:rFonts w:eastAsia="宋体"/>
          <w:b/>
          <w:snapToGrid w:val="0"/>
          <w:sz w:val="24"/>
          <w:szCs w:val="24"/>
          <w:lang w:eastAsia="zh-CN"/>
        </w:rPr>
      </w:pPr>
      <w:r w:rsidRPr="00C277C0">
        <w:rPr>
          <w:rFonts w:eastAsia="宋体" w:hint="eastAsia"/>
          <w:b/>
          <w:snapToGrid w:val="0"/>
          <w:sz w:val="24"/>
          <w:szCs w:val="24"/>
          <w:lang w:eastAsia="zh-CN"/>
        </w:rPr>
        <w:t>美国卫生与公共服务部</w:t>
      </w:r>
    </w:p>
    <w:p w:rsidR="00D83601" w:rsidRPr="00C277C0" w:rsidRDefault="00097329" w:rsidP="00C1273A">
      <w:pPr>
        <w:autoSpaceDE/>
        <w:autoSpaceDN/>
        <w:snapToGrid w:val="0"/>
        <w:jc w:val="center"/>
        <w:rPr>
          <w:rFonts w:eastAsia="宋体"/>
          <w:b/>
          <w:snapToGrid w:val="0"/>
          <w:sz w:val="24"/>
          <w:szCs w:val="24"/>
          <w:lang w:eastAsia="zh-CN"/>
        </w:rPr>
      </w:pPr>
      <w:r w:rsidRPr="00C277C0">
        <w:rPr>
          <w:rFonts w:eastAsia="宋体" w:hint="eastAsia"/>
          <w:b/>
          <w:snapToGrid w:val="0"/>
          <w:sz w:val="24"/>
          <w:szCs w:val="24"/>
          <w:lang w:eastAsia="zh-CN"/>
        </w:rPr>
        <w:t>美国食品</w:t>
      </w:r>
      <w:r w:rsidR="00B3362B" w:rsidRPr="00C277C0">
        <w:rPr>
          <w:rFonts w:eastAsia="宋体" w:hint="eastAsia"/>
          <w:b/>
          <w:snapToGrid w:val="0"/>
          <w:sz w:val="24"/>
          <w:szCs w:val="24"/>
          <w:lang w:eastAsia="zh-CN"/>
        </w:rPr>
        <w:t>药品</w:t>
      </w:r>
      <w:r w:rsidR="00721DA5" w:rsidRPr="00C277C0">
        <w:rPr>
          <w:rFonts w:eastAsia="宋体" w:hint="eastAsia"/>
          <w:b/>
          <w:snapToGrid w:val="0"/>
          <w:sz w:val="24"/>
          <w:szCs w:val="24"/>
          <w:lang w:eastAsia="zh-CN"/>
        </w:rPr>
        <w:t>监督</w:t>
      </w:r>
      <w:r w:rsidR="00B3362B" w:rsidRPr="00C277C0">
        <w:rPr>
          <w:rFonts w:eastAsia="宋体" w:hint="eastAsia"/>
          <w:b/>
          <w:snapToGrid w:val="0"/>
          <w:sz w:val="24"/>
          <w:szCs w:val="24"/>
          <w:lang w:eastAsia="zh-CN"/>
        </w:rPr>
        <w:t>管理局</w:t>
      </w:r>
    </w:p>
    <w:p w:rsidR="00D83601" w:rsidRPr="00C277C0" w:rsidRDefault="00097329" w:rsidP="00B403CB">
      <w:pPr>
        <w:autoSpaceDE/>
        <w:autoSpaceDN/>
        <w:snapToGrid w:val="0"/>
        <w:jc w:val="center"/>
        <w:rPr>
          <w:rFonts w:eastAsia="宋体"/>
          <w:b/>
          <w:snapToGrid w:val="0"/>
          <w:sz w:val="24"/>
          <w:szCs w:val="24"/>
          <w:lang w:eastAsia="zh-CN"/>
        </w:rPr>
      </w:pPr>
      <w:r w:rsidRPr="00C277C0">
        <w:rPr>
          <w:rFonts w:eastAsia="宋体" w:hint="eastAsia"/>
          <w:b/>
          <w:snapToGrid w:val="0"/>
          <w:sz w:val="24"/>
          <w:lang w:eastAsia="zh-CN"/>
        </w:rPr>
        <w:t>组合产品办公室（</w:t>
      </w:r>
      <w:r w:rsidRPr="00C277C0">
        <w:rPr>
          <w:rFonts w:eastAsia="宋体" w:hint="eastAsia"/>
          <w:b/>
          <w:snapToGrid w:val="0"/>
          <w:sz w:val="24"/>
          <w:lang w:eastAsia="zh-CN"/>
        </w:rPr>
        <w:t>OCP</w:t>
      </w:r>
      <w:r w:rsidRPr="00C277C0">
        <w:rPr>
          <w:rFonts w:eastAsia="宋体" w:hint="eastAsia"/>
          <w:b/>
          <w:snapToGrid w:val="0"/>
          <w:sz w:val="24"/>
          <w:lang w:eastAsia="zh-CN"/>
        </w:rPr>
        <w:t>）</w:t>
      </w:r>
    </w:p>
    <w:p w:rsidR="00CB2C74" w:rsidRPr="00C277C0" w:rsidRDefault="00097329" w:rsidP="00B403CB">
      <w:pPr>
        <w:autoSpaceDE/>
        <w:autoSpaceDN/>
        <w:snapToGrid w:val="0"/>
        <w:jc w:val="center"/>
        <w:rPr>
          <w:rFonts w:eastAsia="宋体"/>
          <w:b/>
          <w:snapToGrid w:val="0"/>
          <w:sz w:val="24"/>
          <w:szCs w:val="24"/>
          <w:lang w:eastAsia="zh-CN"/>
        </w:rPr>
      </w:pPr>
      <w:r w:rsidRPr="00C277C0">
        <w:rPr>
          <w:rFonts w:eastAsia="宋体" w:hint="eastAsia"/>
          <w:b/>
          <w:snapToGrid w:val="0"/>
          <w:sz w:val="24"/>
          <w:lang w:eastAsia="zh-CN"/>
        </w:rPr>
        <w:t>生物制品评价与研究中心（</w:t>
      </w:r>
      <w:r w:rsidRPr="00C277C0">
        <w:rPr>
          <w:rFonts w:eastAsia="宋体" w:hint="eastAsia"/>
          <w:b/>
          <w:snapToGrid w:val="0"/>
          <w:sz w:val="24"/>
          <w:lang w:eastAsia="zh-CN"/>
        </w:rPr>
        <w:t>CBER</w:t>
      </w:r>
      <w:r w:rsidRPr="00C277C0">
        <w:rPr>
          <w:rFonts w:eastAsia="宋体" w:hint="eastAsia"/>
          <w:b/>
          <w:snapToGrid w:val="0"/>
          <w:sz w:val="24"/>
          <w:lang w:eastAsia="zh-CN"/>
        </w:rPr>
        <w:t>）</w:t>
      </w:r>
    </w:p>
    <w:p w:rsidR="00CB2C74" w:rsidRPr="00C277C0" w:rsidRDefault="00097329" w:rsidP="00B403CB">
      <w:pPr>
        <w:autoSpaceDE/>
        <w:autoSpaceDN/>
        <w:snapToGrid w:val="0"/>
        <w:jc w:val="center"/>
        <w:rPr>
          <w:rFonts w:eastAsia="宋体"/>
          <w:b/>
          <w:snapToGrid w:val="0"/>
          <w:sz w:val="24"/>
          <w:szCs w:val="24"/>
          <w:lang w:eastAsia="zh-CN"/>
        </w:rPr>
      </w:pPr>
      <w:r w:rsidRPr="00C277C0">
        <w:rPr>
          <w:rFonts w:eastAsia="宋体" w:hint="eastAsia"/>
          <w:b/>
          <w:snapToGrid w:val="0"/>
          <w:sz w:val="24"/>
          <w:lang w:eastAsia="zh-CN"/>
        </w:rPr>
        <w:t>药品评价与研究中心（</w:t>
      </w:r>
      <w:r w:rsidRPr="00C277C0">
        <w:rPr>
          <w:rFonts w:eastAsia="宋体" w:hint="eastAsia"/>
          <w:b/>
          <w:snapToGrid w:val="0"/>
          <w:sz w:val="24"/>
          <w:lang w:eastAsia="zh-CN"/>
        </w:rPr>
        <w:t>CDER</w:t>
      </w:r>
      <w:r w:rsidRPr="00C277C0">
        <w:rPr>
          <w:rFonts w:eastAsia="宋体" w:hint="eastAsia"/>
          <w:b/>
          <w:snapToGrid w:val="0"/>
          <w:sz w:val="24"/>
          <w:lang w:eastAsia="zh-CN"/>
        </w:rPr>
        <w:t>）</w:t>
      </w:r>
    </w:p>
    <w:p w:rsidR="00D83601" w:rsidRPr="00C277C0" w:rsidRDefault="00A97A05" w:rsidP="00B403CB">
      <w:pPr>
        <w:autoSpaceDE/>
        <w:autoSpaceDN/>
        <w:snapToGrid w:val="0"/>
        <w:jc w:val="center"/>
        <w:rPr>
          <w:rFonts w:eastAsia="宋体"/>
          <w:b/>
          <w:snapToGrid w:val="0"/>
          <w:sz w:val="24"/>
          <w:szCs w:val="24"/>
          <w:lang w:eastAsia="zh-CN"/>
        </w:rPr>
      </w:pPr>
      <w:r>
        <w:rPr>
          <w:rFonts w:eastAsia="宋体" w:hint="eastAsia"/>
          <w:b/>
          <w:snapToGrid w:val="0"/>
          <w:sz w:val="24"/>
          <w:lang w:eastAsia="zh-CN"/>
        </w:rPr>
        <w:t>医疗</w:t>
      </w:r>
      <w:r w:rsidR="00857C08" w:rsidRPr="00C277C0">
        <w:rPr>
          <w:rFonts w:eastAsia="宋体" w:hint="eastAsia"/>
          <w:b/>
          <w:snapToGrid w:val="0"/>
          <w:sz w:val="24"/>
          <w:lang w:eastAsia="zh-CN"/>
        </w:rPr>
        <w:t>器械和</w:t>
      </w:r>
      <w:r>
        <w:rPr>
          <w:rFonts w:eastAsia="宋体" w:hint="eastAsia"/>
          <w:b/>
          <w:snapToGrid w:val="0"/>
          <w:sz w:val="24"/>
          <w:lang w:eastAsia="zh-CN"/>
        </w:rPr>
        <w:t>辐射</w:t>
      </w:r>
      <w:r w:rsidR="00302318" w:rsidRPr="00C277C0">
        <w:rPr>
          <w:rFonts w:eastAsia="宋体" w:hint="eastAsia"/>
          <w:b/>
          <w:snapToGrid w:val="0"/>
          <w:sz w:val="24"/>
          <w:lang w:eastAsia="zh-CN"/>
        </w:rPr>
        <w:t>健康</w:t>
      </w:r>
      <w:r w:rsidR="00857C08" w:rsidRPr="00C277C0">
        <w:rPr>
          <w:rFonts w:eastAsia="宋体" w:hint="eastAsia"/>
          <w:b/>
          <w:snapToGrid w:val="0"/>
          <w:sz w:val="24"/>
          <w:lang w:eastAsia="zh-CN"/>
        </w:rPr>
        <w:t>中心</w:t>
      </w:r>
      <w:r w:rsidR="00097329" w:rsidRPr="00C277C0">
        <w:rPr>
          <w:rFonts w:eastAsia="宋体" w:hint="eastAsia"/>
          <w:b/>
          <w:snapToGrid w:val="0"/>
          <w:sz w:val="24"/>
          <w:lang w:eastAsia="zh-CN"/>
        </w:rPr>
        <w:t>（</w:t>
      </w:r>
      <w:r w:rsidR="00097329" w:rsidRPr="00C277C0">
        <w:rPr>
          <w:rFonts w:eastAsia="宋体" w:hint="eastAsia"/>
          <w:b/>
          <w:snapToGrid w:val="0"/>
          <w:sz w:val="24"/>
          <w:lang w:eastAsia="zh-CN"/>
        </w:rPr>
        <w:t>CDRH</w:t>
      </w:r>
      <w:r w:rsidR="00097329" w:rsidRPr="00C277C0">
        <w:rPr>
          <w:rFonts w:eastAsia="宋体" w:hint="eastAsia"/>
          <w:b/>
          <w:snapToGrid w:val="0"/>
          <w:sz w:val="24"/>
          <w:lang w:eastAsia="zh-CN"/>
        </w:rPr>
        <w:t>）</w:t>
      </w:r>
    </w:p>
    <w:p w:rsidR="005637AD" w:rsidRPr="00C277C0" w:rsidRDefault="005637AD" w:rsidP="00C1273A">
      <w:pPr>
        <w:autoSpaceDE/>
        <w:autoSpaceDN/>
        <w:snapToGrid w:val="0"/>
        <w:jc w:val="center"/>
        <w:rPr>
          <w:rFonts w:eastAsia="宋体"/>
          <w:b/>
          <w:snapToGrid w:val="0"/>
          <w:sz w:val="24"/>
          <w:lang w:eastAsia="zh-CN"/>
        </w:rPr>
      </w:pPr>
    </w:p>
    <w:p w:rsidR="00C1273A" w:rsidRPr="00C277C0" w:rsidRDefault="00C1273A" w:rsidP="00B403CB">
      <w:pPr>
        <w:autoSpaceDE/>
        <w:autoSpaceDN/>
        <w:snapToGrid w:val="0"/>
        <w:jc w:val="center"/>
        <w:rPr>
          <w:rFonts w:eastAsia="宋体"/>
          <w:b/>
          <w:snapToGrid w:val="0"/>
          <w:sz w:val="24"/>
          <w:lang w:eastAsia="zh-CN"/>
        </w:rPr>
      </w:pPr>
    </w:p>
    <w:p w:rsidR="00CB2C74" w:rsidRPr="00C277C0" w:rsidRDefault="00097329" w:rsidP="00B403CB">
      <w:pPr>
        <w:autoSpaceDE/>
        <w:autoSpaceDN/>
        <w:snapToGrid w:val="0"/>
        <w:jc w:val="center"/>
        <w:rPr>
          <w:rFonts w:eastAsia="宋体"/>
          <w:b/>
          <w:snapToGrid w:val="0"/>
          <w:sz w:val="24"/>
          <w:szCs w:val="24"/>
          <w:lang w:eastAsia="zh-CN"/>
        </w:rPr>
      </w:pPr>
      <w:r w:rsidRPr="00C277C0">
        <w:rPr>
          <w:rFonts w:eastAsia="宋体" w:hint="eastAsia"/>
          <w:b/>
          <w:snapToGrid w:val="0"/>
          <w:sz w:val="24"/>
          <w:lang w:eastAsia="zh-CN"/>
        </w:rPr>
        <w:t>2019</w:t>
      </w:r>
      <w:r w:rsidRPr="00C277C0">
        <w:rPr>
          <w:rFonts w:eastAsia="宋体" w:hint="eastAsia"/>
          <w:b/>
          <w:snapToGrid w:val="0"/>
          <w:sz w:val="24"/>
          <w:lang w:eastAsia="zh-CN"/>
        </w:rPr>
        <w:t>年</w:t>
      </w:r>
      <w:r w:rsidRPr="00C277C0">
        <w:rPr>
          <w:rFonts w:eastAsia="宋体" w:hint="eastAsia"/>
          <w:b/>
          <w:snapToGrid w:val="0"/>
          <w:sz w:val="24"/>
          <w:lang w:eastAsia="zh-CN"/>
        </w:rPr>
        <w:t>7</w:t>
      </w:r>
      <w:r w:rsidRPr="00C277C0">
        <w:rPr>
          <w:rFonts w:eastAsia="宋体" w:hint="eastAsia"/>
          <w:b/>
          <w:snapToGrid w:val="0"/>
          <w:sz w:val="24"/>
          <w:lang w:eastAsia="zh-CN"/>
        </w:rPr>
        <w:t>月</w:t>
      </w:r>
    </w:p>
    <w:p w:rsidR="006223B4" w:rsidRPr="00C277C0" w:rsidRDefault="006223B4" w:rsidP="00B403CB">
      <w:pPr>
        <w:autoSpaceDE/>
        <w:autoSpaceDN/>
        <w:snapToGrid w:val="0"/>
        <w:jc w:val="both"/>
        <w:rPr>
          <w:rFonts w:eastAsia="宋体"/>
          <w:b/>
          <w:snapToGrid w:val="0"/>
          <w:sz w:val="24"/>
          <w:szCs w:val="24"/>
          <w:lang w:eastAsia="zh-CN"/>
        </w:rPr>
        <w:sectPr w:rsidR="006223B4" w:rsidRPr="00C277C0" w:rsidSect="00B403CB">
          <w:headerReference w:type="default" r:id="rId10"/>
          <w:pgSz w:w="11907" w:h="16840" w:code="9"/>
          <w:pgMar w:top="1134" w:right="1134" w:bottom="1134" w:left="1418" w:header="567" w:footer="567" w:gutter="0"/>
          <w:cols w:space="720"/>
          <w:docGrid w:linePitch="299"/>
        </w:sectPr>
      </w:pPr>
    </w:p>
    <w:p w:rsidR="00D83601" w:rsidRPr="00B403CB" w:rsidRDefault="00CB2C74" w:rsidP="00B403CB">
      <w:pPr>
        <w:autoSpaceDE/>
        <w:autoSpaceDN/>
        <w:snapToGrid w:val="0"/>
        <w:jc w:val="center"/>
        <w:rPr>
          <w:rFonts w:eastAsia="宋体"/>
          <w:b/>
          <w:sz w:val="28"/>
        </w:rPr>
      </w:pPr>
      <w:r w:rsidRPr="00B403CB">
        <w:rPr>
          <w:rFonts w:eastAsia="宋体" w:hint="eastAsia"/>
          <w:b/>
          <w:sz w:val="28"/>
        </w:rPr>
        <w:lastRenderedPageBreak/>
        <w:t>目录</w:t>
      </w:r>
    </w:p>
    <w:p w:rsidR="00C1273A" w:rsidRPr="00C277C0" w:rsidRDefault="00C1273A" w:rsidP="00C1273A">
      <w:pPr>
        <w:autoSpaceDE/>
        <w:autoSpaceDN/>
        <w:snapToGrid w:val="0"/>
        <w:jc w:val="center"/>
        <w:rPr>
          <w:rFonts w:eastAsia="宋体"/>
          <w:b/>
          <w:snapToGrid w:val="0"/>
          <w:sz w:val="32"/>
          <w:szCs w:val="24"/>
          <w:lang w:eastAsia="zh-CN"/>
        </w:rPr>
      </w:pPr>
    </w:p>
    <w:p w:rsidR="00C8689A" w:rsidRPr="00C277C0" w:rsidRDefault="00FA5CED" w:rsidP="00CB13B1">
      <w:pPr>
        <w:pStyle w:val="11"/>
        <w:tabs>
          <w:tab w:val="left" w:pos="812"/>
          <w:tab w:val="right" w:leader="dot" w:pos="9345"/>
        </w:tabs>
        <w:spacing w:after="120"/>
        <w:ind w:left="480" w:hanging="480"/>
        <w:rPr>
          <w:rFonts w:ascii="Calibri" w:hAnsi="Calibri"/>
          <w:b w:val="0"/>
          <w:bCs w:val="0"/>
          <w:i w:val="0"/>
          <w:noProof/>
          <w:kern w:val="2"/>
          <w:sz w:val="21"/>
          <w:szCs w:val="22"/>
          <w:lang w:eastAsia="zh-CN" w:bidi="ar-SA"/>
        </w:rPr>
      </w:pPr>
      <w:r w:rsidRPr="00B403CB">
        <w:rPr>
          <w:rFonts w:hint="eastAsia"/>
          <w:b w:val="0"/>
        </w:rPr>
        <w:fldChar w:fldCharType="begin"/>
      </w:r>
      <w:r w:rsidRPr="00C277C0">
        <w:rPr>
          <w:rFonts w:hint="eastAsia"/>
          <w:b w:val="0"/>
          <w:bCs w:val="0"/>
          <w:noProof/>
          <w:snapToGrid w:val="0"/>
          <w:lang w:eastAsia="zh-CN" w:bidi="ar-SA"/>
        </w:rPr>
        <w:instrText xml:space="preserve"> TOC \o "1-2" \h \z \u </w:instrText>
      </w:r>
      <w:r w:rsidRPr="00B403CB">
        <w:rPr>
          <w:rFonts w:hint="eastAsia"/>
          <w:b w:val="0"/>
        </w:rPr>
        <w:fldChar w:fldCharType="separate"/>
      </w:r>
      <w:hyperlink w:anchor="_Toc97551494" w:history="1">
        <w:r w:rsidR="00C8689A" w:rsidRPr="00C277C0">
          <w:rPr>
            <w:rStyle w:val="a9"/>
            <w:rFonts w:hint="eastAsia"/>
            <w:noProof/>
            <w:snapToGrid w:val="0"/>
            <w:lang w:eastAsia="zh-CN"/>
          </w:rPr>
          <w:t>I.</w:t>
        </w:r>
        <w:r w:rsidR="00C8689A" w:rsidRPr="00C277C0">
          <w:rPr>
            <w:rFonts w:ascii="Calibri" w:hAnsi="Calibri" w:hint="eastAsia"/>
            <w:b w:val="0"/>
            <w:bCs w:val="0"/>
            <w:i w:val="0"/>
            <w:noProof/>
            <w:kern w:val="2"/>
            <w:sz w:val="21"/>
            <w:szCs w:val="22"/>
            <w:lang w:eastAsia="zh-CN" w:bidi="ar-SA"/>
          </w:rPr>
          <w:tab/>
        </w:r>
        <w:r w:rsidR="00C8689A" w:rsidRPr="00C277C0">
          <w:rPr>
            <w:rStyle w:val="a9"/>
            <w:rFonts w:hint="eastAsia"/>
            <w:noProof/>
            <w:snapToGrid w:val="0"/>
            <w:lang w:eastAsia="zh-CN"/>
          </w:rPr>
          <w:t>引言</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_Toc97551494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2</w:t>
        </w:r>
        <w:r w:rsidR="00C8689A" w:rsidRPr="00C277C0">
          <w:rPr>
            <w:rFonts w:hint="eastAsia"/>
            <w:noProof/>
            <w:webHidden/>
            <w:lang w:eastAsia="zh-CN"/>
          </w:rPr>
          <w:fldChar w:fldCharType="end"/>
        </w:r>
      </w:hyperlink>
    </w:p>
    <w:p w:rsidR="00C8689A" w:rsidRPr="00C277C0" w:rsidRDefault="005E79D4" w:rsidP="00CB13B1">
      <w:pPr>
        <w:pStyle w:val="11"/>
        <w:tabs>
          <w:tab w:val="left" w:pos="812"/>
          <w:tab w:val="right" w:leader="dot" w:pos="9345"/>
        </w:tabs>
        <w:spacing w:after="120"/>
        <w:ind w:left="480" w:hanging="480"/>
        <w:rPr>
          <w:rFonts w:ascii="Calibri" w:hAnsi="Calibri"/>
          <w:b w:val="0"/>
          <w:bCs w:val="0"/>
          <w:i w:val="0"/>
          <w:noProof/>
          <w:kern w:val="2"/>
          <w:sz w:val="21"/>
          <w:szCs w:val="22"/>
          <w:lang w:eastAsia="zh-CN" w:bidi="ar-SA"/>
        </w:rPr>
      </w:pPr>
      <w:hyperlink w:anchor="_Toc97551495" w:history="1">
        <w:r w:rsidR="00C8689A" w:rsidRPr="00C277C0">
          <w:rPr>
            <w:rStyle w:val="a9"/>
            <w:rFonts w:hint="eastAsia"/>
            <w:noProof/>
            <w:snapToGrid w:val="0"/>
            <w:lang w:eastAsia="zh-CN"/>
          </w:rPr>
          <w:t>II.</w:t>
        </w:r>
        <w:r w:rsidR="00C8689A" w:rsidRPr="00C277C0">
          <w:rPr>
            <w:rFonts w:ascii="Calibri" w:hAnsi="Calibri" w:hint="eastAsia"/>
            <w:b w:val="0"/>
            <w:bCs w:val="0"/>
            <w:i w:val="0"/>
            <w:noProof/>
            <w:kern w:val="2"/>
            <w:sz w:val="21"/>
            <w:szCs w:val="22"/>
            <w:lang w:eastAsia="zh-CN" w:bidi="ar-SA"/>
          </w:rPr>
          <w:tab/>
        </w:r>
        <w:r w:rsidR="00C8689A" w:rsidRPr="00C277C0">
          <w:rPr>
            <w:rStyle w:val="a9"/>
            <w:rFonts w:hint="eastAsia"/>
            <w:noProof/>
            <w:snapToGrid w:val="0"/>
            <w:lang w:eastAsia="zh-CN"/>
          </w:rPr>
          <w:t>背景</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_Toc97551495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3</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496" w:history="1">
        <w:r w:rsidR="00C8689A" w:rsidRPr="00C277C0">
          <w:rPr>
            <w:rStyle w:val="a9"/>
            <w:rFonts w:hint="eastAsia"/>
            <w:noProof/>
            <w:snapToGrid w:val="0"/>
            <w:lang w:eastAsia="zh-CN"/>
          </w:rPr>
          <w:t>A.</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组合产品定义？</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_Toc97551496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3</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497" w:history="1">
        <w:r w:rsidR="00C8689A" w:rsidRPr="00C277C0">
          <w:rPr>
            <w:rStyle w:val="a9"/>
            <w:rFonts w:hint="eastAsia"/>
            <w:noProof/>
            <w:snapToGrid w:val="0"/>
            <w:lang w:eastAsia="zh-CN"/>
          </w:rPr>
          <w:t>B.</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FDA</w:t>
        </w:r>
        <w:r w:rsidR="00C8689A" w:rsidRPr="00C277C0">
          <w:rPr>
            <w:rStyle w:val="a9"/>
            <w:rFonts w:hint="eastAsia"/>
            <w:noProof/>
            <w:snapToGrid w:val="0"/>
            <w:lang w:eastAsia="zh-CN"/>
          </w:rPr>
          <w:t>审查和监管组合产品的方式？</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_Toc97551497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4</w:t>
        </w:r>
        <w:r w:rsidR="00C8689A" w:rsidRPr="00C277C0">
          <w:rPr>
            <w:rFonts w:hint="eastAsia"/>
            <w:noProof/>
            <w:webHidden/>
            <w:lang w:eastAsia="zh-CN"/>
          </w:rPr>
          <w:fldChar w:fldCharType="end"/>
        </w:r>
      </w:hyperlink>
    </w:p>
    <w:p w:rsidR="00C8689A" w:rsidRPr="00C277C0" w:rsidRDefault="005E79D4" w:rsidP="00CB13B1">
      <w:pPr>
        <w:pStyle w:val="11"/>
        <w:tabs>
          <w:tab w:val="left" w:pos="812"/>
          <w:tab w:val="right" w:leader="dot" w:pos="9345"/>
        </w:tabs>
        <w:spacing w:after="120"/>
        <w:ind w:left="480" w:hanging="480"/>
        <w:rPr>
          <w:rFonts w:ascii="Calibri" w:hAnsi="Calibri"/>
          <w:b w:val="0"/>
          <w:bCs w:val="0"/>
          <w:i w:val="0"/>
          <w:noProof/>
          <w:kern w:val="2"/>
          <w:sz w:val="21"/>
          <w:szCs w:val="22"/>
          <w:lang w:eastAsia="zh-CN" w:bidi="ar-SA"/>
        </w:rPr>
      </w:pPr>
      <w:hyperlink w:anchor="_Toc97551498" w:history="1">
        <w:r w:rsidR="00C8689A" w:rsidRPr="00C277C0">
          <w:rPr>
            <w:rStyle w:val="a9"/>
            <w:rFonts w:hint="eastAsia"/>
            <w:noProof/>
            <w:snapToGrid w:val="0"/>
            <w:lang w:eastAsia="zh-CN"/>
          </w:rPr>
          <w:t>III.</w:t>
        </w:r>
        <w:r w:rsidR="00C8689A" w:rsidRPr="00C277C0">
          <w:rPr>
            <w:rFonts w:ascii="Calibri" w:hAnsi="Calibri" w:hint="eastAsia"/>
            <w:b w:val="0"/>
            <w:bCs w:val="0"/>
            <w:i w:val="0"/>
            <w:noProof/>
            <w:kern w:val="2"/>
            <w:sz w:val="21"/>
            <w:szCs w:val="22"/>
            <w:lang w:eastAsia="zh-CN" w:bidi="ar-SA"/>
          </w:rPr>
          <w:tab/>
        </w:r>
        <w:r w:rsidR="00C8689A" w:rsidRPr="00C277C0">
          <w:rPr>
            <w:rStyle w:val="a9"/>
            <w:rFonts w:hint="eastAsia"/>
            <w:noProof/>
            <w:snapToGrid w:val="0"/>
            <w:lang w:eastAsia="zh-CN"/>
          </w:rPr>
          <w:t>组合产品</w:t>
        </w:r>
        <w:r w:rsidR="00C8689A" w:rsidRPr="00C277C0">
          <w:rPr>
            <w:rStyle w:val="a9"/>
            <w:rFonts w:hint="eastAsia"/>
            <w:noProof/>
            <w:snapToGrid w:val="0"/>
            <w:lang w:eastAsia="zh-CN"/>
          </w:rPr>
          <w:t>PMSR</w:t>
        </w:r>
        <w:r w:rsidR="00C8689A" w:rsidRPr="00C277C0">
          <w:rPr>
            <w:rStyle w:val="a9"/>
            <w:rFonts w:hint="eastAsia"/>
            <w:noProof/>
            <w:snapToGrid w:val="0"/>
            <w:lang w:eastAsia="zh-CN"/>
          </w:rPr>
          <w:t>合规性的一般考虑因素</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_Toc97551498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4</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499" w:history="1">
        <w:r w:rsidR="00C8689A" w:rsidRPr="00C277C0">
          <w:rPr>
            <w:rStyle w:val="a9"/>
            <w:rFonts w:hint="eastAsia"/>
            <w:noProof/>
            <w:snapToGrid w:val="0"/>
            <w:lang w:eastAsia="zh-CN"/>
          </w:rPr>
          <w:t>A.</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组合产品</w:t>
        </w:r>
        <w:r w:rsidR="00C8689A" w:rsidRPr="00C277C0">
          <w:rPr>
            <w:rStyle w:val="a9"/>
            <w:rFonts w:hint="eastAsia"/>
            <w:noProof/>
            <w:snapToGrid w:val="0"/>
            <w:lang w:eastAsia="zh-CN"/>
          </w:rPr>
          <w:t>PMSR</w:t>
        </w:r>
        <w:r w:rsidR="00C8689A" w:rsidRPr="00C277C0">
          <w:rPr>
            <w:rStyle w:val="a9"/>
            <w:rFonts w:hint="eastAsia"/>
            <w:noProof/>
            <w:snapToGrid w:val="0"/>
            <w:lang w:eastAsia="zh-CN"/>
          </w:rPr>
          <w:t>最终规则的约束方？</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_Toc97551499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5</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500" w:history="1">
        <w:r w:rsidR="00C8689A" w:rsidRPr="00C277C0">
          <w:rPr>
            <w:rStyle w:val="a9"/>
            <w:rFonts w:hint="eastAsia"/>
            <w:noProof/>
            <w:snapToGrid w:val="0"/>
            <w:lang w:eastAsia="zh-CN"/>
          </w:rPr>
          <w:t>B.</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如果我是组合产品申请人或组成部分申请人，有何种安全报告要求适用？</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_Toc97551500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7</w:t>
        </w:r>
        <w:r w:rsidR="00C8689A" w:rsidRPr="00C277C0">
          <w:rPr>
            <w:rFonts w:hint="eastAsia"/>
            <w:noProof/>
            <w:webHidden/>
            <w:lang w:eastAsia="zh-CN"/>
          </w:rPr>
          <w:fldChar w:fldCharType="end"/>
        </w:r>
      </w:hyperlink>
    </w:p>
    <w:p w:rsidR="00C8689A" w:rsidRPr="00C277C0" w:rsidRDefault="005E79D4" w:rsidP="00CB13B1">
      <w:pPr>
        <w:pStyle w:val="11"/>
        <w:tabs>
          <w:tab w:val="left" w:pos="812"/>
          <w:tab w:val="right" w:leader="dot" w:pos="9345"/>
        </w:tabs>
        <w:spacing w:after="120"/>
        <w:ind w:left="480" w:hanging="480"/>
        <w:rPr>
          <w:rFonts w:ascii="Calibri" w:hAnsi="Calibri"/>
          <w:b w:val="0"/>
          <w:bCs w:val="0"/>
          <w:i w:val="0"/>
          <w:noProof/>
          <w:kern w:val="2"/>
          <w:sz w:val="21"/>
          <w:szCs w:val="22"/>
          <w:lang w:eastAsia="zh-CN" w:bidi="ar-SA"/>
        </w:rPr>
      </w:pPr>
      <w:hyperlink w:anchor="_Toc97551501" w:history="1">
        <w:r w:rsidR="00C8689A" w:rsidRPr="00C277C0">
          <w:rPr>
            <w:rStyle w:val="a9"/>
            <w:rFonts w:hint="eastAsia"/>
            <w:noProof/>
            <w:snapToGrid w:val="0"/>
            <w:lang w:eastAsia="zh-CN"/>
          </w:rPr>
          <w:t>IV.</w:t>
        </w:r>
        <w:r w:rsidR="00C8689A" w:rsidRPr="00C277C0">
          <w:rPr>
            <w:rFonts w:ascii="Calibri" w:hAnsi="Calibri" w:hint="eastAsia"/>
            <w:b w:val="0"/>
            <w:bCs w:val="0"/>
            <w:i w:val="0"/>
            <w:noProof/>
            <w:kern w:val="2"/>
            <w:sz w:val="21"/>
            <w:szCs w:val="22"/>
            <w:lang w:eastAsia="zh-CN" w:bidi="ar-SA"/>
          </w:rPr>
          <w:tab/>
        </w:r>
        <w:r w:rsidR="00C8689A" w:rsidRPr="00C277C0">
          <w:rPr>
            <w:rStyle w:val="a9"/>
            <w:rFonts w:hint="eastAsia"/>
            <w:noProof/>
            <w:snapToGrid w:val="0"/>
            <w:lang w:eastAsia="zh-CN"/>
          </w:rPr>
          <w:t>具体</w:t>
        </w:r>
        <w:r w:rsidR="00C8689A" w:rsidRPr="00C277C0">
          <w:rPr>
            <w:rStyle w:val="a9"/>
            <w:rFonts w:hint="eastAsia"/>
            <w:noProof/>
            <w:snapToGrid w:val="0"/>
            <w:lang w:eastAsia="zh-CN"/>
          </w:rPr>
          <w:t>PMSR</w:t>
        </w:r>
        <w:r w:rsidR="00C8689A" w:rsidRPr="00C277C0">
          <w:rPr>
            <w:rStyle w:val="a9"/>
            <w:rFonts w:hint="eastAsia"/>
            <w:noProof/>
            <w:snapToGrid w:val="0"/>
            <w:lang w:eastAsia="zh-CN"/>
          </w:rPr>
          <w:t>要求</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_Toc97551501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9</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502" w:history="1">
        <w:r w:rsidR="00C8689A" w:rsidRPr="00C277C0">
          <w:rPr>
            <w:rStyle w:val="a9"/>
            <w:rFonts w:hint="eastAsia"/>
            <w:noProof/>
            <w:snapToGrid w:val="0"/>
            <w:lang w:eastAsia="zh-CN"/>
          </w:rPr>
          <w:t>A.</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组合产品申请人个例安全性报告</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_Toc97551502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10</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503" w:history="1">
        <w:r w:rsidR="00C8689A" w:rsidRPr="00C277C0">
          <w:rPr>
            <w:rStyle w:val="a9"/>
            <w:rFonts w:hint="eastAsia"/>
            <w:noProof/>
            <w:snapToGrid w:val="0"/>
            <w:lang w:eastAsia="zh-CN"/>
          </w:rPr>
          <w:t>B.</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组合产品申请人的其他（非</w:t>
        </w:r>
        <w:r w:rsidR="00C8689A" w:rsidRPr="00C277C0">
          <w:rPr>
            <w:rStyle w:val="a9"/>
            <w:rFonts w:hint="eastAsia"/>
            <w:noProof/>
            <w:snapToGrid w:val="0"/>
            <w:lang w:eastAsia="zh-CN"/>
          </w:rPr>
          <w:t>ICSR</w:t>
        </w:r>
        <w:r w:rsidR="00C8689A" w:rsidRPr="00C277C0">
          <w:rPr>
            <w:rStyle w:val="a9"/>
            <w:rFonts w:hint="eastAsia"/>
            <w:noProof/>
            <w:snapToGrid w:val="0"/>
            <w:lang w:eastAsia="zh-CN"/>
          </w:rPr>
          <w:t>）组合产品</w:t>
        </w:r>
        <w:r w:rsidR="00C8689A" w:rsidRPr="00C277C0">
          <w:rPr>
            <w:rStyle w:val="a9"/>
            <w:rFonts w:hint="eastAsia"/>
            <w:noProof/>
            <w:snapToGrid w:val="0"/>
            <w:lang w:eastAsia="zh-CN"/>
          </w:rPr>
          <w:t>PMSR</w:t>
        </w:r>
        <w:r w:rsidR="00C8689A" w:rsidRPr="00C277C0">
          <w:rPr>
            <w:rStyle w:val="a9"/>
            <w:rFonts w:hint="eastAsia"/>
            <w:noProof/>
            <w:snapToGrid w:val="0"/>
            <w:lang w:eastAsia="zh-CN"/>
          </w:rPr>
          <w:t>报告类型</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_Toc97551503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20</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504" w:history="1">
        <w:r w:rsidR="00C8689A" w:rsidRPr="00C277C0">
          <w:rPr>
            <w:rStyle w:val="a9"/>
            <w:rFonts w:hint="eastAsia"/>
            <w:noProof/>
            <w:snapToGrid w:val="0"/>
            <w:lang w:eastAsia="zh-CN"/>
          </w:rPr>
          <w:t>C.</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组合产品申请人的简化报告</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_Toc97551504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23</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505" w:history="1">
        <w:r w:rsidR="00C8689A" w:rsidRPr="00C277C0">
          <w:rPr>
            <w:rStyle w:val="a9"/>
            <w:rFonts w:hint="eastAsia"/>
            <w:noProof/>
            <w:snapToGrid w:val="0"/>
            <w:lang w:eastAsia="zh-CN"/>
          </w:rPr>
          <w:t>D.</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组成部分申请人之间的信息共享</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_Toc97551505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23</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506" w:history="1">
        <w:r w:rsidR="00C8689A" w:rsidRPr="00C277C0">
          <w:rPr>
            <w:rStyle w:val="a9"/>
            <w:rFonts w:hint="eastAsia"/>
            <w:noProof/>
            <w:snapToGrid w:val="0"/>
            <w:lang w:eastAsia="zh-CN"/>
          </w:rPr>
          <w:t>E.</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组合产品和组成部分申请人的记录保存要求</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_Toc97551506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24</w:t>
        </w:r>
        <w:r w:rsidR="00C8689A" w:rsidRPr="00C277C0">
          <w:rPr>
            <w:rFonts w:hint="eastAsia"/>
            <w:noProof/>
            <w:webHidden/>
            <w:lang w:eastAsia="zh-CN"/>
          </w:rPr>
          <w:fldChar w:fldCharType="end"/>
        </w:r>
      </w:hyperlink>
    </w:p>
    <w:p w:rsidR="00C8689A" w:rsidRPr="00C277C0" w:rsidRDefault="005E79D4" w:rsidP="00CB13B1">
      <w:pPr>
        <w:pStyle w:val="11"/>
        <w:tabs>
          <w:tab w:val="left" w:pos="812"/>
          <w:tab w:val="right" w:leader="dot" w:pos="9345"/>
        </w:tabs>
        <w:spacing w:after="120"/>
        <w:ind w:left="480" w:hanging="480"/>
        <w:rPr>
          <w:rFonts w:ascii="Calibri" w:hAnsi="Calibri"/>
          <w:b w:val="0"/>
          <w:bCs w:val="0"/>
          <w:i w:val="0"/>
          <w:noProof/>
          <w:kern w:val="2"/>
          <w:sz w:val="21"/>
          <w:szCs w:val="22"/>
          <w:lang w:eastAsia="zh-CN" w:bidi="ar-SA"/>
        </w:rPr>
      </w:pPr>
      <w:hyperlink w:anchor="_Toc97551507" w:history="1">
        <w:r w:rsidR="00C8689A" w:rsidRPr="00C277C0">
          <w:rPr>
            <w:rStyle w:val="a9"/>
            <w:rFonts w:hint="eastAsia"/>
            <w:noProof/>
            <w:snapToGrid w:val="0"/>
            <w:lang w:eastAsia="zh-CN"/>
          </w:rPr>
          <w:t>V.</w:t>
        </w:r>
        <w:r w:rsidR="00C8689A" w:rsidRPr="00C277C0">
          <w:rPr>
            <w:rFonts w:ascii="Calibri" w:hAnsi="Calibri" w:hint="eastAsia"/>
            <w:b w:val="0"/>
            <w:bCs w:val="0"/>
            <w:i w:val="0"/>
            <w:noProof/>
            <w:kern w:val="2"/>
            <w:sz w:val="21"/>
            <w:szCs w:val="22"/>
            <w:lang w:eastAsia="zh-CN" w:bidi="ar-SA"/>
          </w:rPr>
          <w:tab/>
        </w:r>
        <w:r w:rsidR="00C8689A" w:rsidRPr="00C277C0">
          <w:rPr>
            <w:rStyle w:val="a9"/>
            <w:rFonts w:hint="eastAsia"/>
            <w:noProof/>
            <w:snapToGrid w:val="0"/>
            <w:lang w:eastAsia="zh-CN"/>
          </w:rPr>
          <w:t>组合产品申请人的流程考虑事项</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_Toc97551507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26</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508" w:history="1">
        <w:r w:rsidR="00C8689A" w:rsidRPr="00C277C0">
          <w:rPr>
            <w:rStyle w:val="a9"/>
            <w:rFonts w:hint="eastAsia"/>
            <w:noProof/>
            <w:snapToGrid w:val="0"/>
            <w:lang w:eastAsia="zh-CN"/>
          </w:rPr>
          <w:t>A.</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向</w:t>
        </w:r>
        <w:r w:rsidR="00C8689A" w:rsidRPr="00C277C0">
          <w:rPr>
            <w:rStyle w:val="a9"/>
            <w:rFonts w:hint="eastAsia"/>
            <w:noProof/>
            <w:snapToGrid w:val="0"/>
            <w:lang w:eastAsia="zh-CN"/>
          </w:rPr>
          <w:t>FDA</w:t>
        </w:r>
        <w:r w:rsidR="00C8689A" w:rsidRPr="00C277C0">
          <w:rPr>
            <w:rStyle w:val="a9"/>
            <w:rFonts w:hint="eastAsia"/>
            <w:noProof/>
            <w:snapToGrid w:val="0"/>
            <w:lang w:eastAsia="zh-CN"/>
          </w:rPr>
          <w:t>提交组合产品</w:t>
        </w:r>
        <w:r w:rsidR="00C8689A" w:rsidRPr="00C277C0">
          <w:rPr>
            <w:rStyle w:val="a9"/>
            <w:rFonts w:hint="eastAsia"/>
            <w:noProof/>
            <w:snapToGrid w:val="0"/>
            <w:lang w:eastAsia="zh-CN"/>
          </w:rPr>
          <w:t>PMSR</w:t>
        </w:r>
        <w:r w:rsidR="00C8689A" w:rsidRPr="00C277C0">
          <w:rPr>
            <w:rStyle w:val="a9"/>
            <w:rFonts w:hint="eastAsia"/>
            <w:noProof/>
            <w:snapToGrid w:val="0"/>
            <w:lang w:eastAsia="zh-CN"/>
          </w:rPr>
          <w:t>信息的方式</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_Toc97551508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26</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509" w:history="1">
        <w:r w:rsidR="00C8689A" w:rsidRPr="00C277C0">
          <w:rPr>
            <w:rStyle w:val="a9"/>
            <w:rFonts w:hint="eastAsia"/>
            <w:noProof/>
            <w:snapToGrid w:val="0"/>
            <w:lang w:eastAsia="zh-CN"/>
          </w:rPr>
          <w:t>B.</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组合产品</w:t>
        </w:r>
        <w:r w:rsidR="00C8689A" w:rsidRPr="00C277C0">
          <w:rPr>
            <w:rStyle w:val="a9"/>
            <w:rFonts w:hint="eastAsia"/>
            <w:noProof/>
            <w:snapToGrid w:val="0"/>
            <w:lang w:eastAsia="zh-CN"/>
          </w:rPr>
          <w:t>PMSR</w:t>
        </w:r>
        <w:r w:rsidR="00C8689A" w:rsidRPr="00C277C0">
          <w:rPr>
            <w:rStyle w:val="a9"/>
            <w:rFonts w:hint="eastAsia"/>
            <w:noProof/>
            <w:snapToGrid w:val="0"/>
            <w:lang w:eastAsia="zh-CN"/>
          </w:rPr>
          <w:t>报告中应包含何种信息</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_Toc97551509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30</w:t>
        </w:r>
        <w:r w:rsidR="00C8689A" w:rsidRPr="00C277C0">
          <w:rPr>
            <w:rFonts w:hint="eastAsia"/>
            <w:noProof/>
            <w:webHidden/>
            <w:lang w:eastAsia="zh-CN"/>
          </w:rPr>
          <w:fldChar w:fldCharType="end"/>
        </w:r>
      </w:hyperlink>
    </w:p>
    <w:p w:rsidR="00C8689A" w:rsidRPr="00C277C0" w:rsidRDefault="005E79D4" w:rsidP="00CB13B1">
      <w:pPr>
        <w:pStyle w:val="11"/>
        <w:tabs>
          <w:tab w:val="left" w:pos="812"/>
          <w:tab w:val="right" w:leader="dot" w:pos="9345"/>
        </w:tabs>
        <w:spacing w:after="120"/>
        <w:ind w:left="480" w:hanging="480"/>
        <w:rPr>
          <w:rFonts w:ascii="Calibri" w:hAnsi="Calibri"/>
          <w:b w:val="0"/>
          <w:bCs w:val="0"/>
          <w:i w:val="0"/>
          <w:noProof/>
          <w:kern w:val="2"/>
          <w:sz w:val="21"/>
          <w:szCs w:val="22"/>
          <w:lang w:eastAsia="zh-CN" w:bidi="ar-SA"/>
        </w:rPr>
      </w:pPr>
      <w:hyperlink w:anchor="_Toc97551510" w:history="1">
        <w:r w:rsidR="00C8689A" w:rsidRPr="00C277C0">
          <w:rPr>
            <w:rStyle w:val="a9"/>
            <w:rFonts w:hint="eastAsia"/>
            <w:noProof/>
            <w:snapToGrid w:val="0"/>
            <w:lang w:eastAsia="zh-CN"/>
          </w:rPr>
          <w:t>VI.</w:t>
        </w:r>
        <w:r w:rsidR="00C8689A" w:rsidRPr="00C277C0">
          <w:rPr>
            <w:rFonts w:ascii="Calibri" w:hAnsi="Calibri" w:hint="eastAsia"/>
            <w:b w:val="0"/>
            <w:bCs w:val="0"/>
            <w:i w:val="0"/>
            <w:noProof/>
            <w:kern w:val="2"/>
            <w:sz w:val="21"/>
            <w:szCs w:val="22"/>
            <w:lang w:eastAsia="zh-CN" w:bidi="ar-SA"/>
          </w:rPr>
          <w:tab/>
        </w:r>
        <w:r w:rsidR="00C8689A" w:rsidRPr="00C277C0">
          <w:rPr>
            <w:rStyle w:val="a9"/>
            <w:rFonts w:hint="eastAsia"/>
            <w:noProof/>
            <w:snapToGrid w:val="0"/>
            <w:lang w:eastAsia="zh-CN"/>
          </w:rPr>
          <w:t>示例</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_Toc97551510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35</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511" w:history="1">
        <w:r w:rsidR="00C8689A" w:rsidRPr="00C277C0">
          <w:rPr>
            <w:rStyle w:val="a9"/>
            <w:rFonts w:hint="eastAsia"/>
            <w:noProof/>
            <w:snapToGrid w:val="0"/>
            <w:lang w:eastAsia="zh-CN"/>
          </w:rPr>
          <w:t>A.</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药品申请组合产品</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_Toc97551511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35</w:t>
        </w:r>
        <w:r w:rsidR="00C8689A" w:rsidRPr="00C277C0">
          <w:rPr>
            <w:rFonts w:hint="eastAsia"/>
            <w:noProof/>
            <w:webHidden/>
            <w:lang w:eastAsia="zh-CN"/>
          </w:rPr>
          <w:fldChar w:fldCharType="end"/>
        </w:r>
      </w:hyperlink>
    </w:p>
    <w:p w:rsidR="00C8689A" w:rsidRPr="00C277C0" w:rsidRDefault="005E79D4" w:rsidP="00CB13B1">
      <w:pPr>
        <w:pStyle w:val="20"/>
        <w:tabs>
          <w:tab w:val="left" w:pos="1260"/>
          <w:tab w:val="right" w:leader="dot" w:pos="9345"/>
        </w:tabs>
        <w:spacing w:after="120"/>
        <w:ind w:left="330"/>
        <w:rPr>
          <w:rFonts w:ascii="Calibri" w:hAnsi="Calibri"/>
          <w:b w:val="0"/>
          <w:bCs w:val="0"/>
          <w:noProof/>
          <w:kern w:val="2"/>
          <w:sz w:val="21"/>
          <w:lang w:eastAsia="zh-CN" w:bidi="ar-SA"/>
        </w:rPr>
      </w:pPr>
      <w:hyperlink w:anchor="_Toc97551512" w:history="1">
        <w:r w:rsidR="00C8689A" w:rsidRPr="00C277C0">
          <w:rPr>
            <w:rStyle w:val="a9"/>
            <w:rFonts w:hint="eastAsia"/>
            <w:noProof/>
            <w:snapToGrid w:val="0"/>
            <w:lang w:eastAsia="zh-CN"/>
          </w:rPr>
          <w:t>B.</w:t>
        </w:r>
        <w:r w:rsidR="00C8689A" w:rsidRPr="00C277C0">
          <w:rPr>
            <w:rFonts w:ascii="Calibri" w:hAnsi="Calibri" w:hint="eastAsia"/>
            <w:b w:val="0"/>
            <w:bCs w:val="0"/>
            <w:noProof/>
            <w:kern w:val="2"/>
            <w:sz w:val="21"/>
            <w:lang w:eastAsia="zh-CN" w:bidi="ar-SA"/>
          </w:rPr>
          <w:tab/>
        </w:r>
        <w:r w:rsidR="00C8689A" w:rsidRPr="00C277C0">
          <w:rPr>
            <w:rStyle w:val="a9"/>
            <w:rFonts w:hint="eastAsia"/>
            <w:noProof/>
            <w:snapToGrid w:val="0"/>
            <w:lang w:eastAsia="zh-CN"/>
          </w:rPr>
          <w:t>器械申请组合产品</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_Toc97551512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37</w:t>
        </w:r>
        <w:r w:rsidR="00C8689A" w:rsidRPr="00C277C0">
          <w:rPr>
            <w:rFonts w:hint="eastAsia"/>
            <w:noProof/>
            <w:webHidden/>
            <w:lang w:eastAsia="zh-CN"/>
          </w:rPr>
          <w:fldChar w:fldCharType="end"/>
        </w:r>
      </w:hyperlink>
    </w:p>
    <w:p w:rsidR="00C8689A" w:rsidRPr="00C277C0" w:rsidRDefault="005E79D4" w:rsidP="00CB13B1">
      <w:pPr>
        <w:pStyle w:val="11"/>
        <w:tabs>
          <w:tab w:val="right" w:leader="dot" w:pos="9345"/>
        </w:tabs>
        <w:spacing w:after="120"/>
        <w:ind w:left="480" w:hanging="480"/>
        <w:rPr>
          <w:rFonts w:ascii="Calibri" w:hAnsi="Calibri"/>
          <w:b w:val="0"/>
          <w:bCs w:val="0"/>
          <w:i w:val="0"/>
          <w:noProof/>
          <w:kern w:val="2"/>
          <w:sz w:val="21"/>
          <w:szCs w:val="22"/>
          <w:lang w:eastAsia="zh-CN" w:bidi="ar-SA"/>
        </w:rPr>
      </w:pPr>
      <w:hyperlink w:anchor="_Toc97551513" w:history="1">
        <w:r w:rsidR="00C8689A" w:rsidRPr="00C277C0">
          <w:rPr>
            <w:rStyle w:val="a9"/>
            <w:rFonts w:hint="eastAsia"/>
            <w:noProof/>
            <w:snapToGrid w:val="0"/>
            <w:lang w:eastAsia="zh-CN"/>
          </w:rPr>
          <w:t>附录</w:t>
        </w:r>
        <w:r w:rsidR="00C8689A" w:rsidRPr="00C277C0">
          <w:rPr>
            <w:rStyle w:val="a9"/>
            <w:rFonts w:hint="eastAsia"/>
            <w:noProof/>
            <w:snapToGrid w:val="0"/>
            <w:lang w:eastAsia="zh-CN"/>
          </w:rPr>
          <w:t>1.</w:t>
        </w:r>
        <w:r w:rsidR="00C8689A" w:rsidRPr="00C277C0">
          <w:rPr>
            <w:rStyle w:val="a9"/>
            <w:rFonts w:hint="eastAsia"/>
            <w:noProof/>
            <w:snapToGrid w:val="0"/>
            <w:lang w:eastAsia="zh-CN"/>
          </w:rPr>
          <w:t>按申请和产品类型列出的组合产品（</w:t>
        </w:r>
        <w:r w:rsidR="00C8689A" w:rsidRPr="00C277C0">
          <w:rPr>
            <w:rStyle w:val="a9"/>
            <w:rFonts w:hint="eastAsia"/>
            <w:noProof/>
            <w:snapToGrid w:val="0"/>
            <w:lang w:eastAsia="zh-CN"/>
          </w:rPr>
          <w:t>CP</w:t>
        </w:r>
        <w:r w:rsidR="00C8689A" w:rsidRPr="00C277C0">
          <w:rPr>
            <w:rStyle w:val="a9"/>
            <w:rFonts w:hint="eastAsia"/>
            <w:noProof/>
            <w:snapToGrid w:val="0"/>
            <w:lang w:eastAsia="zh-CN"/>
          </w:rPr>
          <w:t>）</w:t>
        </w:r>
        <w:r w:rsidR="00C8689A" w:rsidRPr="00C277C0">
          <w:rPr>
            <w:rStyle w:val="a9"/>
            <w:rFonts w:hint="eastAsia"/>
            <w:noProof/>
            <w:snapToGrid w:val="0"/>
            <w:lang w:eastAsia="zh-CN"/>
          </w:rPr>
          <w:t>PMSR</w:t>
        </w:r>
        <w:r w:rsidR="00C8689A" w:rsidRPr="00C277C0">
          <w:rPr>
            <w:rStyle w:val="a9"/>
            <w:rFonts w:hint="eastAsia"/>
            <w:noProof/>
            <w:snapToGrid w:val="0"/>
            <w:lang w:eastAsia="zh-CN"/>
          </w:rPr>
          <w:t>要求</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_Toc97551513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39</w:t>
        </w:r>
        <w:r w:rsidR="00C8689A" w:rsidRPr="00C277C0">
          <w:rPr>
            <w:rFonts w:hint="eastAsia"/>
            <w:noProof/>
            <w:webHidden/>
            <w:lang w:eastAsia="zh-CN"/>
          </w:rPr>
          <w:fldChar w:fldCharType="end"/>
        </w:r>
      </w:hyperlink>
    </w:p>
    <w:p w:rsidR="00C8689A" w:rsidRPr="00C277C0" w:rsidRDefault="005E79D4" w:rsidP="00CB13B1">
      <w:pPr>
        <w:pStyle w:val="11"/>
        <w:tabs>
          <w:tab w:val="right" w:leader="dot" w:pos="9345"/>
        </w:tabs>
        <w:spacing w:after="120"/>
        <w:ind w:left="480" w:hanging="480"/>
        <w:rPr>
          <w:rFonts w:ascii="Calibri" w:hAnsi="Calibri"/>
          <w:b w:val="0"/>
          <w:bCs w:val="0"/>
          <w:i w:val="0"/>
          <w:noProof/>
          <w:kern w:val="2"/>
          <w:sz w:val="21"/>
          <w:szCs w:val="22"/>
          <w:lang w:eastAsia="zh-CN" w:bidi="ar-SA"/>
        </w:rPr>
      </w:pPr>
      <w:hyperlink w:anchor="_Toc97551514" w:history="1">
        <w:r w:rsidR="00C8689A" w:rsidRPr="00C277C0">
          <w:rPr>
            <w:rStyle w:val="a9"/>
            <w:rFonts w:hint="eastAsia"/>
            <w:noProof/>
            <w:snapToGrid w:val="0"/>
            <w:lang w:eastAsia="zh-CN"/>
          </w:rPr>
          <w:t>附录</w:t>
        </w:r>
        <w:r w:rsidR="00C8689A" w:rsidRPr="00C277C0">
          <w:rPr>
            <w:rStyle w:val="a9"/>
            <w:rFonts w:hint="eastAsia"/>
            <w:noProof/>
            <w:snapToGrid w:val="0"/>
            <w:lang w:eastAsia="zh-CN"/>
          </w:rPr>
          <w:t>2.</w:t>
        </w:r>
        <w:r w:rsidR="00C8689A" w:rsidRPr="00C277C0">
          <w:rPr>
            <w:rStyle w:val="a9"/>
            <w:rFonts w:hint="eastAsia"/>
            <w:noProof/>
            <w:snapToGrid w:val="0"/>
            <w:lang w:eastAsia="zh-CN"/>
          </w:rPr>
          <w:t>组合产品</w:t>
        </w:r>
        <w:r w:rsidR="00C8689A" w:rsidRPr="00C277C0">
          <w:rPr>
            <w:rStyle w:val="a9"/>
            <w:rFonts w:hint="eastAsia"/>
            <w:noProof/>
            <w:snapToGrid w:val="0"/>
            <w:lang w:eastAsia="zh-CN"/>
          </w:rPr>
          <w:t>ICSR</w:t>
        </w:r>
        <w:r w:rsidR="00C8689A" w:rsidRPr="00C277C0">
          <w:rPr>
            <w:rStyle w:val="a9"/>
            <w:rFonts w:hint="eastAsia"/>
            <w:noProof/>
            <w:snapToGrid w:val="0"/>
            <w:lang w:eastAsia="zh-CN"/>
          </w:rPr>
          <w:t>要求的流程图</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_Toc97551514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40</w:t>
        </w:r>
        <w:r w:rsidR="00C8689A" w:rsidRPr="00C277C0">
          <w:rPr>
            <w:rFonts w:hint="eastAsia"/>
            <w:noProof/>
            <w:webHidden/>
            <w:lang w:eastAsia="zh-CN"/>
          </w:rPr>
          <w:fldChar w:fldCharType="end"/>
        </w:r>
      </w:hyperlink>
    </w:p>
    <w:p w:rsidR="00C8689A" w:rsidRPr="00C277C0" w:rsidRDefault="005E79D4" w:rsidP="00CB13B1">
      <w:pPr>
        <w:pStyle w:val="11"/>
        <w:tabs>
          <w:tab w:val="right" w:leader="dot" w:pos="9345"/>
        </w:tabs>
        <w:spacing w:after="120"/>
        <w:ind w:left="480" w:hanging="480"/>
        <w:rPr>
          <w:rFonts w:ascii="Calibri" w:hAnsi="Calibri"/>
          <w:b w:val="0"/>
          <w:bCs w:val="0"/>
          <w:i w:val="0"/>
          <w:noProof/>
          <w:kern w:val="2"/>
          <w:sz w:val="21"/>
          <w:szCs w:val="22"/>
          <w:lang w:eastAsia="zh-CN" w:bidi="ar-SA"/>
        </w:rPr>
      </w:pPr>
      <w:hyperlink w:anchor="_Toc97551515" w:history="1">
        <w:r w:rsidR="00C8689A" w:rsidRPr="00C277C0">
          <w:rPr>
            <w:rStyle w:val="a9"/>
            <w:rFonts w:hint="eastAsia"/>
            <w:noProof/>
            <w:snapToGrid w:val="0"/>
            <w:lang w:eastAsia="zh-CN"/>
          </w:rPr>
          <w:t>附录</w:t>
        </w:r>
        <w:r w:rsidR="00C8689A" w:rsidRPr="00C277C0">
          <w:rPr>
            <w:rStyle w:val="a9"/>
            <w:rFonts w:hint="eastAsia"/>
            <w:noProof/>
            <w:snapToGrid w:val="0"/>
            <w:lang w:eastAsia="zh-CN"/>
          </w:rPr>
          <w:t>3.</w:t>
        </w:r>
        <w:r w:rsidR="00C8689A" w:rsidRPr="00C277C0">
          <w:rPr>
            <w:rStyle w:val="a9"/>
            <w:rFonts w:hint="eastAsia"/>
            <w:noProof/>
            <w:snapToGrid w:val="0"/>
            <w:lang w:eastAsia="zh-CN"/>
          </w:rPr>
          <w:t>非</w:t>
        </w:r>
        <w:r w:rsidR="00C8689A" w:rsidRPr="00C277C0">
          <w:rPr>
            <w:rStyle w:val="a9"/>
            <w:rFonts w:ascii="宋体" w:hAnsi="宋体" w:hint="eastAsia"/>
            <w:noProof/>
            <w:snapToGrid w:val="0"/>
            <w:lang w:eastAsia="zh-CN"/>
          </w:rPr>
          <w:t>“</w:t>
        </w:r>
        <w:r w:rsidR="00C8689A" w:rsidRPr="00C277C0">
          <w:rPr>
            <w:rStyle w:val="a9"/>
            <w:rFonts w:hint="eastAsia"/>
            <w:noProof/>
            <w:snapToGrid w:val="0"/>
            <w:lang w:eastAsia="zh-CN"/>
          </w:rPr>
          <w:t>申请人</w:t>
        </w:r>
        <w:r w:rsidR="00C8689A" w:rsidRPr="00C277C0">
          <w:rPr>
            <w:rStyle w:val="a9"/>
            <w:rFonts w:ascii="宋体" w:hAnsi="宋体" w:hint="eastAsia"/>
            <w:noProof/>
            <w:snapToGrid w:val="0"/>
            <w:lang w:eastAsia="zh-CN"/>
          </w:rPr>
          <w:t>”</w:t>
        </w:r>
        <w:r w:rsidR="00C8689A" w:rsidRPr="00C277C0">
          <w:rPr>
            <w:rStyle w:val="a9"/>
            <w:rFonts w:hint="eastAsia"/>
            <w:noProof/>
            <w:snapToGrid w:val="0"/>
            <w:lang w:eastAsia="zh-CN"/>
          </w:rPr>
          <w:t>实体的组合产品上市后安全性报告考虑事项</w:t>
        </w:r>
        <w:r w:rsidR="00C8689A" w:rsidRPr="00C277C0">
          <w:rPr>
            <w:rFonts w:hint="eastAsia"/>
            <w:noProof/>
            <w:webHidden/>
            <w:lang w:eastAsia="zh-CN"/>
          </w:rPr>
          <w:tab/>
        </w:r>
        <w:r w:rsidR="00C8689A" w:rsidRPr="00C277C0">
          <w:rPr>
            <w:rFonts w:hint="eastAsia"/>
            <w:noProof/>
            <w:webHidden/>
            <w:lang w:eastAsia="zh-CN"/>
          </w:rPr>
          <w:fldChar w:fldCharType="begin"/>
        </w:r>
        <w:r w:rsidR="00C8689A" w:rsidRPr="00C277C0">
          <w:rPr>
            <w:rFonts w:hint="eastAsia"/>
            <w:noProof/>
            <w:webHidden/>
            <w:lang w:eastAsia="zh-CN"/>
          </w:rPr>
          <w:instrText xml:space="preserve"> PAGEREF _Toc97551515 \h </w:instrText>
        </w:r>
        <w:r w:rsidR="00C8689A" w:rsidRPr="00C277C0">
          <w:rPr>
            <w:rFonts w:hint="eastAsia"/>
            <w:noProof/>
            <w:webHidden/>
            <w:lang w:eastAsia="zh-CN"/>
          </w:rPr>
        </w:r>
        <w:r w:rsidR="00C8689A" w:rsidRPr="00C277C0">
          <w:rPr>
            <w:rFonts w:hint="eastAsia"/>
            <w:noProof/>
            <w:webHidden/>
            <w:lang w:eastAsia="zh-CN"/>
          </w:rPr>
          <w:fldChar w:fldCharType="separate"/>
        </w:r>
        <w:r w:rsidR="00C8689A" w:rsidRPr="00C277C0">
          <w:rPr>
            <w:rFonts w:hint="eastAsia"/>
            <w:noProof/>
            <w:webHidden/>
            <w:lang w:eastAsia="zh-CN"/>
          </w:rPr>
          <w:t>42</w:t>
        </w:r>
        <w:r w:rsidR="00C8689A" w:rsidRPr="00C277C0">
          <w:rPr>
            <w:rFonts w:hint="eastAsia"/>
            <w:noProof/>
            <w:webHidden/>
            <w:lang w:eastAsia="zh-CN"/>
          </w:rPr>
          <w:fldChar w:fldCharType="end"/>
        </w:r>
      </w:hyperlink>
    </w:p>
    <w:p w:rsidR="001412DE" w:rsidRPr="00B403CB" w:rsidRDefault="00FA5CED" w:rsidP="00B403CB">
      <w:pPr>
        <w:pStyle w:val="20"/>
        <w:tabs>
          <w:tab w:val="left" w:pos="1260"/>
          <w:tab w:val="right" w:leader="dot" w:pos="9394"/>
        </w:tabs>
        <w:autoSpaceDE/>
        <w:autoSpaceDN/>
        <w:spacing w:after="120"/>
        <w:ind w:leftChars="0" w:left="0"/>
        <w:rPr>
          <w:b w:val="0"/>
          <w:sz w:val="21"/>
        </w:rPr>
      </w:pPr>
      <w:r w:rsidRPr="00B403CB">
        <w:rPr>
          <w:rFonts w:hint="eastAsia"/>
          <w:b w:val="0"/>
        </w:rPr>
        <w:fldChar w:fldCharType="end"/>
      </w:r>
    </w:p>
    <w:p w:rsidR="006223B4" w:rsidRPr="00C277C0" w:rsidRDefault="006223B4" w:rsidP="00B403CB">
      <w:pPr>
        <w:autoSpaceDE/>
        <w:autoSpaceDN/>
        <w:snapToGrid w:val="0"/>
        <w:jc w:val="both"/>
        <w:rPr>
          <w:rFonts w:eastAsia="宋体"/>
          <w:b/>
          <w:snapToGrid w:val="0"/>
          <w:sz w:val="24"/>
          <w:szCs w:val="24"/>
          <w:lang w:eastAsia="zh-CN"/>
        </w:rPr>
      </w:pPr>
      <w:r w:rsidRPr="00C277C0">
        <w:rPr>
          <w:rFonts w:eastAsia="宋体" w:hint="eastAsia"/>
          <w:b/>
          <w:snapToGrid w:val="0"/>
          <w:sz w:val="24"/>
          <w:lang w:eastAsia="zh-CN"/>
        </w:rPr>
        <w:br w:type="page"/>
      </w:r>
    </w:p>
    <w:p w:rsidR="00CB2C74" w:rsidRPr="00C277C0" w:rsidRDefault="00CB1519" w:rsidP="00B403CB">
      <w:pPr>
        <w:autoSpaceDE/>
        <w:autoSpaceDN/>
        <w:snapToGrid w:val="0"/>
        <w:jc w:val="center"/>
        <w:rPr>
          <w:rFonts w:eastAsia="宋体"/>
          <w:b/>
          <w:snapToGrid w:val="0"/>
          <w:sz w:val="44"/>
          <w:szCs w:val="44"/>
          <w:lang w:eastAsia="zh-CN"/>
        </w:rPr>
      </w:pPr>
      <w:r>
        <w:rPr>
          <w:rFonts w:eastAsia="宋体" w:hint="eastAsia"/>
          <w:b/>
          <w:snapToGrid w:val="0"/>
          <w:sz w:val="44"/>
          <w:lang w:eastAsia="zh-CN"/>
        </w:rPr>
        <w:t>面向</w:t>
      </w:r>
      <w:r w:rsidR="00097329" w:rsidRPr="00C277C0">
        <w:rPr>
          <w:rFonts w:eastAsia="宋体" w:hint="eastAsia"/>
          <w:b/>
          <w:snapToGrid w:val="0"/>
          <w:sz w:val="44"/>
          <w:lang w:eastAsia="zh-CN"/>
        </w:rPr>
        <w:t>行业和</w:t>
      </w:r>
      <w:r w:rsidR="00097329" w:rsidRPr="00C277C0">
        <w:rPr>
          <w:rFonts w:eastAsia="宋体" w:hint="eastAsia"/>
          <w:b/>
          <w:snapToGrid w:val="0"/>
          <w:sz w:val="44"/>
          <w:lang w:eastAsia="zh-CN"/>
        </w:rPr>
        <w:t>FDA</w:t>
      </w:r>
      <w:r w:rsidR="00097329" w:rsidRPr="00C277C0">
        <w:rPr>
          <w:rFonts w:eastAsia="宋体" w:hint="eastAsia"/>
          <w:b/>
          <w:snapToGrid w:val="0"/>
          <w:sz w:val="44"/>
          <w:lang w:eastAsia="zh-CN"/>
        </w:rPr>
        <w:t>工作人员</w:t>
      </w:r>
      <w:r>
        <w:rPr>
          <w:rFonts w:eastAsia="宋体" w:hint="eastAsia"/>
          <w:b/>
          <w:snapToGrid w:val="0"/>
          <w:sz w:val="44"/>
          <w:lang w:eastAsia="zh-CN"/>
        </w:rPr>
        <w:t>的</w:t>
      </w:r>
      <w:r w:rsidR="00097329" w:rsidRPr="00C277C0">
        <w:rPr>
          <w:rFonts w:eastAsia="宋体" w:hint="eastAsia"/>
          <w:b/>
          <w:snapToGrid w:val="0"/>
          <w:sz w:val="44"/>
          <w:lang w:eastAsia="zh-CN"/>
        </w:rPr>
        <w:t>指南：</w:t>
      </w:r>
    </w:p>
    <w:p w:rsidR="00D83601" w:rsidRPr="00C277C0" w:rsidRDefault="00097329" w:rsidP="00B403CB">
      <w:pPr>
        <w:autoSpaceDE/>
        <w:autoSpaceDN/>
        <w:snapToGrid w:val="0"/>
        <w:jc w:val="center"/>
        <w:rPr>
          <w:rFonts w:eastAsia="宋体"/>
          <w:b/>
          <w:snapToGrid w:val="0"/>
          <w:sz w:val="44"/>
          <w:lang w:eastAsia="zh-CN"/>
        </w:rPr>
      </w:pPr>
      <w:r w:rsidRPr="00C277C0">
        <w:rPr>
          <w:rFonts w:eastAsia="宋体" w:hint="eastAsia"/>
          <w:b/>
          <w:snapToGrid w:val="0"/>
          <w:sz w:val="44"/>
          <w:lang w:eastAsia="zh-CN"/>
        </w:rPr>
        <w:t>组合产品上市后安全性报告</w:t>
      </w:r>
    </w:p>
    <w:p w:rsidR="00C1273A" w:rsidRPr="00C277C0" w:rsidRDefault="00C1273A" w:rsidP="00C1273A">
      <w:pPr>
        <w:autoSpaceDE/>
        <w:autoSpaceDN/>
        <w:snapToGrid w:val="0"/>
        <w:jc w:val="center"/>
        <w:rPr>
          <w:rFonts w:eastAsia="宋体"/>
          <w:b/>
          <w:snapToGrid w:val="0"/>
          <w:sz w:val="44"/>
          <w:szCs w:val="44"/>
          <w:lang w:eastAsia="zh-CN"/>
        </w:rPr>
      </w:pPr>
      <w:bookmarkStart w:id="0" w:name="_Toc95145693"/>
    </w:p>
    <w:p w:rsidR="00C1273A" w:rsidRPr="00C277C0" w:rsidRDefault="00C277C0" w:rsidP="00C1273A">
      <w:pPr>
        <w:pStyle w:val="a3"/>
        <w:pBdr>
          <w:top w:val="thinThickThinSmallGap" w:sz="24" w:space="1" w:color="auto"/>
          <w:left w:val="thinThickThinSmallGap" w:sz="24" w:space="4" w:color="auto"/>
          <w:bottom w:val="thinThickThinSmallGap" w:sz="24" w:space="1" w:color="auto"/>
          <w:right w:val="thinThickThinSmallGap" w:sz="24" w:space="4" w:color="auto"/>
        </w:pBdr>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本指南代表美国食品药品监督管理局（</w:t>
      </w:r>
      <w:r w:rsidRPr="00C277C0">
        <w:rPr>
          <w:rFonts w:eastAsia="宋体"/>
          <w:snapToGrid w:val="0"/>
          <w:lang w:eastAsia="zh-CN"/>
        </w:rPr>
        <w:t>FDA</w:t>
      </w:r>
      <w:r w:rsidR="00B6762B">
        <w:rPr>
          <w:rFonts w:eastAsia="宋体" w:hint="eastAsia"/>
          <w:snapToGrid w:val="0"/>
          <w:lang w:eastAsia="zh-CN"/>
        </w:rPr>
        <w:t>或本机构</w:t>
      </w:r>
      <w:r w:rsidRPr="00C277C0">
        <w:rPr>
          <w:rFonts w:eastAsia="宋体" w:hint="eastAsia"/>
          <w:snapToGrid w:val="0"/>
          <w:lang w:eastAsia="zh-CN"/>
        </w:rPr>
        <w:t>）目前关于该主题的思考。其不会为任何人创造或赋予任何权利，也不</w:t>
      </w:r>
      <w:r w:rsidR="00C20A69">
        <w:rPr>
          <w:rFonts w:eastAsia="宋体" w:hint="eastAsia"/>
          <w:snapToGrid w:val="0"/>
          <w:lang w:eastAsia="zh-CN"/>
        </w:rPr>
        <w:t>会</w:t>
      </w:r>
      <w:r w:rsidRPr="00C277C0">
        <w:rPr>
          <w:rFonts w:eastAsia="宋体" w:hint="eastAsia"/>
          <w:snapToGrid w:val="0"/>
          <w:lang w:eastAsia="zh-CN"/>
        </w:rPr>
        <w:t>对</w:t>
      </w:r>
      <w:r w:rsidRPr="00C277C0">
        <w:rPr>
          <w:rFonts w:eastAsia="宋体"/>
          <w:snapToGrid w:val="0"/>
          <w:lang w:eastAsia="zh-CN"/>
        </w:rPr>
        <w:t>FDA</w:t>
      </w:r>
      <w:r w:rsidRPr="00C277C0">
        <w:rPr>
          <w:rFonts w:eastAsia="宋体" w:hint="eastAsia"/>
          <w:snapToGrid w:val="0"/>
          <w:lang w:eastAsia="zh-CN"/>
        </w:rPr>
        <w:t>或公众产生约束。如果替代方法满足适用的法律法规要求，则可以使用该</w:t>
      </w:r>
      <w:r w:rsidR="00C20A69">
        <w:rPr>
          <w:rFonts w:eastAsia="宋体" w:hint="eastAsia"/>
          <w:snapToGrid w:val="0"/>
          <w:lang w:eastAsia="zh-CN"/>
        </w:rPr>
        <w:t>替代</w:t>
      </w:r>
      <w:r w:rsidRPr="00C277C0">
        <w:rPr>
          <w:rFonts w:eastAsia="宋体" w:hint="eastAsia"/>
          <w:snapToGrid w:val="0"/>
          <w:lang w:eastAsia="zh-CN"/>
        </w:rPr>
        <w:t>方法。如需讨论替代方法，请联系标题页</w:t>
      </w:r>
      <w:r w:rsidR="00807B59">
        <w:rPr>
          <w:rFonts w:eastAsia="宋体" w:hint="eastAsia"/>
          <w:snapToGrid w:val="0"/>
          <w:lang w:eastAsia="zh-CN"/>
        </w:rPr>
        <w:t>列出的</w:t>
      </w:r>
      <w:r w:rsidRPr="00C277C0">
        <w:rPr>
          <w:rFonts w:eastAsia="宋体" w:hint="eastAsia"/>
          <w:snapToGrid w:val="0"/>
          <w:lang w:eastAsia="zh-CN"/>
        </w:rPr>
        <w:t>负责实施本指南文件的</w:t>
      </w:r>
      <w:r w:rsidRPr="00C277C0">
        <w:rPr>
          <w:rFonts w:eastAsia="宋体"/>
          <w:snapToGrid w:val="0"/>
          <w:lang w:eastAsia="zh-CN"/>
        </w:rPr>
        <w:t>FDA</w:t>
      </w:r>
      <w:r w:rsidRPr="00C277C0">
        <w:rPr>
          <w:rFonts w:eastAsia="宋体" w:hint="eastAsia"/>
          <w:snapToGrid w:val="0"/>
          <w:lang w:eastAsia="zh-CN"/>
        </w:rPr>
        <w:t>工作人员或办公室。</w:t>
      </w:r>
    </w:p>
    <w:p w:rsidR="00C1273A" w:rsidRPr="00C277C0" w:rsidRDefault="00C1273A" w:rsidP="00C1273A">
      <w:pPr>
        <w:pStyle w:val="a3"/>
        <w:autoSpaceDE/>
        <w:autoSpaceDN/>
        <w:snapToGrid w:val="0"/>
        <w:jc w:val="both"/>
        <w:rPr>
          <w:rFonts w:eastAsia="宋体"/>
          <w:snapToGrid w:val="0"/>
          <w:lang w:eastAsia="zh-CN"/>
        </w:rPr>
      </w:pPr>
    </w:p>
    <w:p w:rsidR="00D83601" w:rsidRPr="00B403CB" w:rsidRDefault="00CB2C74" w:rsidP="00B403CB">
      <w:pPr>
        <w:pStyle w:val="1"/>
        <w:numPr>
          <w:ilvl w:val="0"/>
          <w:numId w:val="43"/>
        </w:numPr>
        <w:tabs>
          <w:tab w:val="left" w:pos="868"/>
        </w:tabs>
        <w:autoSpaceDE/>
        <w:autoSpaceDN/>
        <w:spacing w:beforeLines="0" w:before="0" w:line="240" w:lineRule="auto"/>
        <w:ind w:left="880" w:hangingChars="313" w:hanging="880"/>
        <w:rPr>
          <w:sz w:val="28"/>
        </w:rPr>
      </w:pPr>
      <w:bookmarkStart w:id="1" w:name="_Toc97551494"/>
      <w:r w:rsidRPr="00B403CB">
        <w:rPr>
          <w:rFonts w:hint="eastAsia"/>
          <w:sz w:val="28"/>
        </w:rPr>
        <w:t>引言</w:t>
      </w:r>
      <w:bookmarkEnd w:id="0"/>
      <w:bookmarkEnd w:id="1"/>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C1273A">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本指南阐述了遵守</w:t>
      </w:r>
      <w:r w:rsidRPr="00C277C0">
        <w:rPr>
          <w:rFonts w:eastAsia="宋体" w:hint="eastAsia"/>
          <w:snapToGrid w:val="0"/>
          <w:lang w:eastAsia="zh-CN"/>
        </w:rPr>
        <w:t>FDA</w:t>
      </w:r>
      <w:r w:rsidRPr="00C277C0">
        <w:rPr>
          <w:rFonts w:eastAsia="宋体" w:hint="eastAsia"/>
          <w:snapToGrid w:val="0"/>
          <w:lang w:eastAsia="zh-CN"/>
        </w:rPr>
        <w:t>于</w:t>
      </w:r>
      <w:r w:rsidRPr="00C277C0">
        <w:rPr>
          <w:rFonts w:eastAsia="宋体" w:hint="eastAsia"/>
          <w:snapToGrid w:val="0"/>
          <w:lang w:eastAsia="zh-CN"/>
        </w:rPr>
        <w:t>2016</w:t>
      </w:r>
      <w:r w:rsidRPr="00C277C0">
        <w:rPr>
          <w:rFonts w:eastAsia="宋体" w:hint="eastAsia"/>
          <w:snapToGrid w:val="0"/>
          <w:lang w:eastAsia="zh-CN"/>
        </w:rPr>
        <w:t>年</w:t>
      </w:r>
      <w:r w:rsidRPr="00C277C0">
        <w:rPr>
          <w:rFonts w:eastAsia="宋体" w:hint="eastAsia"/>
          <w:snapToGrid w:val="0"/>
          <w:lang w:eastAsia="zh-CN"/>
        </w:rPr>
        <w:t>12</w:t>
      </w:r>
      <w:r w:rsidRPr="00C277C0">
        <w:rPr>
          <w:rFonts w:eastAsia="宋体" w:hint="eastAsia"/>
          <w:snapToGrid w:val="0"/>
          <w:lang w:eastAsia="zh-CN"/>
        </w:rPr>
        <w:t>月</w:t>
      </w:r>
      <w:r w:rsidRPr="00C277C0">
        <w:rPr>
          <w:rFonts w:eastAsia="宋体" w:hint="eastAsia"/>
          <w:snapToGrid w:val="0"/>
          <w:lang w:eastAsia="zh-CN"/>
        </w:rPr>
        <w:t>20</w:t>
      </w:r>
      <w:r w:rsidRPr="00C277C0">
        <w:rPr>
          <w:rFonts w:eastAsia="宋体" w:hint="eastAsia"/>
          <w:snapToGrid w:val="0"/>
          <w:lang w:eastAsia="zh-CN"/>
        </w:rPr>
        <w:t>日发布（</w:t>
      </w:r>
      <w:r w:rsidRPr="00C277C0">
        <w:rPr>
          <w:rFonts w:eastAsia="宋体" w:hint="eastAsia"/>
          <w:snapToGrid w:val="0"/>
          <w:lang w:eastAsia="zh-CN"/>
        </w:rPr>
        <w:t>81 FR 92603</w:t>
      </w:r>
      <w:r w:rsidRPr="00C277C0">
        <w:rPr>
          <w:rFonts w:eastAsia="宋体" w:hint="eastAsia"/>
          <w:snapToGrid w:val="0"/>
          <w:lang w:eastAsia="zh-CN"/>
        </w:rPr>
        <w:t>）的组合产品上市后安全性</w:t>
      </w:r>
      <w:r w:rsidR="00FE2212" w:rsidRPr="00C277C0">
        <w:rPr>
          <w:rStyle w:val="af4"/>
          <w:rFonts w:eastAsia="宋体" w:hint="eastAsia"/>
          <w:snapToGrid w:val="0"/>
          <w:lang w:eastAsia="zh-CN"/>
        </w:rPr>
        <w:footnoteReference w:id="2"/>
      </w:r>
      <w:r w:rsidRPr="00C277C0">
        <w:rPr>
          <w:rFonts w:eastAsia="宋体" w:hint="eastAsia"/>
          <w:snapToGrid w:val="0"/>
          <w:vertAlign w:val="superscript"/>
          <w:lang w:eastAsia="zh-CN"/>
        </w:rPr>
        <w:t>,</w:t>
      </w:r>
      <w:r w:rsidR="00FE2212" w:rsidRPr="00C277C0">
        <w:rPr>
          <w:rStyle w:val="af4"/>
          <w:rFonts w:eastAsia="宋体" w:hint="eastAsia"/>
          <w:snapToGrid w:val="0"/>
          <w:lang w:eastAsia="zh-CN"/>
        </w:rPr>
        <w:footnoteReference w:id="3"/>
      </w:r>
      <w:r w:rsidRPr="00C277C0">
        <w:rPr>
          <w:rFonts w:eastAsia="宋体" w:hint="eastAsia"/>
          <w:snapToGrid w:val="0"/>
          <w:lang w:eastAsia="zh-CN"/>
        </w:rPr>
        <w:t>报告（</w:t>
      </w:r>
      <w:r w:rsidRPr="00C277C0">
        <w:rPr>
          <w:rFonts w:eastAsia="宋体" w:hint="eastAsia"/>
          <w:snapToGrid w:val="0"/>
          <w:lang w:eastAsia="zh-CN"/>
        </w:rPr>
        <w:t>PMSR</w:t>
      </w:r>
      <w:r w:rsidRPr="00C277C0">
        <w:rPr>
          <w:rFonts w:eastAsia="宋体" w:hint="eastAsia"/>
          <w:snapToGrid w:val="0"/>
          <w:lang w:eastAsia="zh-CN"/>
        </w:rPr>
        <w:t>）要求的某些方法，并已编入</w:t>
      </w:r>
      <w:r w:rsidR="007267DD" w:rsidRPr="00C277C0">
        <w:rPr>
          <w:rFonts w:eastAsia="宋体" w:hint="eastAsia"/>
          <w:snapToGrid w:val="0"/>
          <w:lang w:eastAsia="zh-CN"/>
        </w:rPr>
        <w:t>《美国联邦法规》</w:t>
      </w:r>
      <w:r w:rsidRPr="00C277C0">
        <w:rPr>
          <w:rFonts w:eastAsia="宋体" w:hint="eastAsia"/>
          <w:snapToGrid w:val="0"/>
          <w:lang w:eastAsia="zh-CN"/>
        </w:rPr>
        <w:t>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第</w:t>
      </w:r>
      <w:r w:rsidRPr="00C277C0">
        <w:rPr>
          <w:rFonts w:eastAsia="宋体" w:hint="eastAsia"/>
          <w:snapToGrid w:val="0"/>
          <w:lang w:eastAsia="zh-CN"/>
        </w:rPr>
        <w:t>4</w:t>
      </w:r>
      <w:r w:rsidR="00111159">
        <w:rPr>
          <w:rFonts w:eastAsia="宋体" w:hint="eastAsia"/>
          <w:snapToGrid w:val="0"/>
          <w:lang w:eastAsia="zh-CN"/>
        </w:rPr>
        <w:t>部分</w:t>
      </w:r>
      <w:r w:rsidRPr="00C277C0">
        <w:rPr>
          <w:rFonts w:eastAsia="宋体" w:hint="eastAsia"/>
          <w:snapToGrid w:val="0"/>
          <w:lang w:eastAsia="zh-CN"/>
        </w:rPr>
        <w:t>B</w:t>
      </w:r>
      <w:r w:rsidRPr="00C277C0">
        <w:rPr>
          <w:rFonts w:eastAsia="宋体" w:hint="eastAsia"/>
          <w:snapToGrid w:val="0"/>
          <w:lang w:eastAsia="zh-CN"/>
        </w:rPr>
        <w:t>子</w:t>
      </w:r>
      <w:r w:rsidR="00C55B83" w:rsidRPr="00C277C0">
        <w:rPr>
          <w:rFonts w:eastAsia="宋体" w:hint="eastAsia"/>
          <w:snapToGrid w:val="0"/>
          <w:lang w:eastAsia="zh-CN"/>
        </w:rPr>
        <w:t>节</w:t>
      </w:r>
      <w:r w:rsidRPr="00C277C0">
        <w:rPr>
          <w:rFonts w:eastAsia="宋体" w:hint="eastAsia"/>
          <w:snapToGrid w:val="0"/>
          <w:lang w:eastAsia="zh-CN"/>
        </w:rPr>
        <w:t>（以下简称</w:t>
      </w:r>
      <w:r w:rsidR="002C66D7" w:rsidRPr="00B403CB">
        <w:rPr>
          <w:rFonts w:ascii="宋体" w:eastAsia="宋体" w:hAnsi="宋体" w:hint="eastAsia"/>
          <w:lang w:eastAsia="zh-CN"/>
        </w:rPr>
        <w:t>“</w:t>
      </w:r>
      <w:r w:rsidRPr="00C277C0">
        <w:rPr>
          <w:rFonts w:eastAsia="宋体" w:hint="eastAsia"/>
          <w:snapToGrid w:val="0"/>
          <w:lang w:eastAsia="zh-CN"/>
        </w:rPr>
        <w:t>组合产品</w:t>
      </w:r>
      <w:r w:rsidRPr="00C277C0">
        <w:rPr>
          <w:rFonts w:eastAsia="宋体" w:hint="eastAsia"/>
          <w:snapToGrid w:val="0"/>
          <w:lang w:eastAsia="zh-CN"/>
        </w:rPr>
        <w:t>PMSR</w:t>
      </w:r>
      <w:r w:rsidRPr="00C277C0">
        <w:rPr>
          <w:rFonts w:eastAsia="宋体" w:hint="eastAsia"/>
          <w:snapToGrid w:val="0"/>
          <w:lang w:eastAsia="zh-CN"/>
        </w:rPr>
        <w:t>最终规则</w:t>
      </w:r>
      <w:r w:rsidR="002C66D7" w:rsidRPr="00B403CB">
        <w:rPr>
          <w:rFonts w:ascii="宋体" w:eastAsia="宋体" w:hAnsi="宋体" w:hint="eastAsia"/>
          <w:lang w:eastAsia="zh-CN"/>
        </w:rPr>
        <w:t>”</w:t>
      </w:r>
      <w:r w:rsidRPr="00C277C0">
        <w:rPr>
          <w:rFonts w:eastAsia="宋体" w:hint="eastAsia"/>
          <w:snapToGrid w:val="0"/>
          <w:lang w:eastAsia="zh-CN"/>
        </w:rPr>
        <w:t>、</w:t>
      </w:r>
      <w:r w:rsidR="002C66D7" w:rsidRPr="00B403CB">
        <w:rPr>
          <w:rFonts w:ascii="宋体" w:eastAsia="宋体" w:hAnsi="宋体" w:hint="eastAsia"/>
          <w:lang w:eastAsia="zh-CN"/>
        </w:rPr>
        <w:t>“</w:t>
      </w:r>
      <w:r w:rsidRPr="00C277C0">
        <w:rPr>
          <w:rFonts w:eastAsia="宋体" w:hint="eastAsia"/>
          <w:snapToGrid w:val="0"/>
          <w:lang w:eastAsia="zh-CN"/>
        </w:rPr>
        <w:t>最终规则</w:t>
      </w:r>
      <w:r w:rsidR="002C66D7" w:rsidRPr="00B403CB">
        <w:rPr>
          <w:rFonts w:ascii="宋体" w:eastAsia="宋体" w:hAnsi="宋体" w:hint="eastAsia"/>
          <w:lang w:eastAsia="zh-CN"/>
        </w:rPr>
        <w:t>”</w:t>
      </w:r>
      <w:r w:rsidRPr="00C277C0">
        <w:rPr>
          <w:rFonts w:eastAsia="宋体" w:hint="eastAsia"/>
          <w:snapToGrid w:val="0"/>
          <w:lang w:eastAsia="zh-CN"/>
        </w:rPr>
        <w:t>或</w:t>
      </w:r>
      <w:r w:rsidR="002C66D7" w:rsidRPr="00B403CB">
        <w:rPr>
          <w:rFonts w:ascii="宋体" w:eastAsia="宋体" w:hAnsi="宋体" w:hint="eastAsia"/>
          <w:lang w:eastAsia="zh-CN"/>
        </w:rPr>
        <w:t>“</w:t>
      </w:r>
      <w:r w:rsidRPr="00C277C0">
        <w:rPr>
          <w:rFonts w:eastAsia="宋体" w:hint="eastAsia"/>
          <w:snapToGrid w:val="0"/>
          <w:lang w:eastAsia="zh-CN"/>
        </w:rPr>
        <w:t>规则</w:t>
      </w:r>
      <w:r w:rsidR="002C66D7" w:rsidRPr="00B403CB">
        <w:rPr>
          <w:rFonts w:ascii="宋体" w:eastAsia="宋体" w:hAnsi="宋体" w:hint="eastAsia"/>
          <w:lang w:eastAsia="zh-CN"/>
        </w:rPr>
        <w:t>”</w:t>
      </w:r>
      <w:r w:rsidRPr="00C277C0">
        <w:rPr>
          <w:rFonts w:eastAsia="宋体" w:hint="eastAsia"/>
          <w:snapToGrid w:val="0"/>
          <w:lang w:eastAsia="zh-CN"/>
        </w:rPr>
        <w:t>）。虽然药品、器械和生物制品的</w:t>
      </w:r>
      <w:r w:rsidRPr="00C277C0">
        <w:rPr>
          <w:rFonts w:eastAsia="宋体" w:hint="eastAsia"/>
          <w:snapToGrid w:val="0"/>
          <w:lang w:eastAsia="zh-CN"/>
        </w:rPr>
        <w:t>PMSR</w:t>
      </w:r>
      <w:r w:rsidRPr="00C277C0">
        <w:rPr>
          <w:rFonts w:eastAsia="宋体" w:hint="eastAsia"/>
          <w:snapToGrid w:val="0"/>
          <w:lang w:eastAsia="zh-CN"/>
        </w:rPr>
        <w:t>法规有许多相似之处，但每一套法规都确立了不同的报告要求，包括报告触发因素和时间范围。该规则阐述了已获得</w:t>
      </w:r>
      <w:r w:rsidRPr="00C277C0">
        <w:rPr>
          <w:rFonts w:eastAsia="宋体" w:hint="eastAsia"/>
          <w:snapToGrid w:val="0"/>
          <w:lang w:eastAsia="zh-CN"/>
        </w:rPr>
        <w:t>FDA</w:t>
      </w:r>
      <w:r w:rsidRPr="00C277C0">
        <w:rPr>
          <w:rFonts w:eastAsia="宋体" w:hint="eastAsia"/>
          <w:snapToGrid w:val="0"/>
          <w:lang w:eastAsia="zh-CN"/>
        </w:rPr>
        <w:t>上市许可的组合产品</w:t>
      </w:r>
      <w:r w:rsidRPr="00C277C0">
        <w:rPr>
          <w:rFonts w:eastAsia="宋体" w:hint="eastAsia"/>
          <w:snapToGrid w:val="0"/>
          <w:lang w:eastAsia="zh-CN"/>
        </w:rPr>
        <w:t>PMSR</w:t>
      </w:r>
      <w:r w:rsidRPr="00C277C0">
        <w:rPr>
          <w:rFonts w:eastAsia="宋体" w:hint="eastAsia"/>
          <w:snapToGrid w:val="0"/>
          <w:lang w:eastAsia="zh-CN"/>
        </w:rPr>
        <w:t>要求，以确保报告</w:t>
      </w:r>
      <w:r w:rsidR="00671EF7" w:rsidRPr="00C277C0">
        <w:rPr>
          <w:rFonts w:eastAsia="宋体" w:hint="eastAsia"/>
          <w:snapToGrid w:val="0"/>
          <w:lang w:eastAsia="zh-CN"/>
        </w:rPr>
        <w:t>的一致性和完整性</w:t>
      </w:r>
      <w:r w:rsidRPr="00C277C0">
        <w:rPr>
          <w:rFonts w:eastAsia="宋体" w:hint="eastAsia"/>
          <w:snapToGrid w:val="0"/>
          <w:lang w:eastAsia="zh-CN"/>
        </w:rPr>
        <w:t>，同时避免重复。</w:t>
      </w:r>
    </w:p>
    <w:p w:rsidR="00C1273A" w:rsidRPr="00C277C0" w:rsidRDefault="00C1273A" w:rsidP="00B403CB">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本指南第</w:t>
      </w:r>
      <w:r w:rsidR="00C8689A" w:rsidRPr="00C277C0">
        <w:rPr>
          <w:rFonts w:eastAsia="宋体" w:hint="eastAsia"/>
          <w:snapToGrid w:val="0"/>
          <w:lang w:eastAsia="zh-CN"/>
        </w:rPr>
        <w:t>II</w:t>
      </w:r>
      <w:r w:rsidRPr="00C277C0">
        <w:rPr>
          <w:rFonts w:eastAsia="宋体" w:hint="eastAsia"/>
          <w:snapToGrid w:val="0"/>
          <w:lang w:eastAsia="zh-CN"/>
        </w:rPr>
        <w:t>节提供了有关组合产品的基本信息以及</w:t>
      </w:r>
      <w:r w:rsidRPr="00C277C0">
        <w:rPr>
          <w:rFonts w:eastAsia="宋体" w:hint="eastAsia"/>
          <w:snapToGrid w:val="0"/>
          <w:lang w:eastAsia="zh-CN"/>
        </w:rPr>
        <w:t>FDA</w:t>
      </w:r>
      <w:r w:rsidRPr="00C277C0">
        <w:rPr>
          <w:rFonts w:eastAsia="宋体" w:hint="eastAsia"/>
          <w:snapToGrid w:val="0"/>
          <w:lang w:eastAsia="zh-CN"/>
        </w:rPr>
        <w:t>如何对其进行监管。</w:t>
      </w:r>
      <w:r w:rsidR="00C8689A" w:rsidRPr="00C277C0">
        <w:rPr>
          <w:rFonts w:eastAsia="宋体" w:hint="eastAsia"/>
          <w:snapToGrid w:val="0"/>
          <w:lang w:eastAsia="zh-CN"/>
        </w:rPr>
        <w:t>第</w:t>
      </w:r>
      <w:r w:rsidR="00C8689A" w:rsidRPr="00C277C0">
        <w:rPr>
          <w:rFonts w:eastAsia="宋体" w:hint="eastAsia"/>
          <w:snapToGrid w:val="0"/>
          <w:lang w:eastAsia="zh-CN"/>
        </w:rPr>
        <w:t>III</w:t>
      </w:r>
      <w:r w:rsidR="00C8689A" w:rsidRPr="00C277C0">
        <w:rPr>
          <w:rFonts w:eastAsia="宋体" w:hint="eastAsia"/>
          <w:snapToGrid w:val="0"/>
          <w:lang w:eastAsia="zh-CN"/>
        </w:rPr>
        <w:t>节</w:t>
      </w:r>
      <w:r w:rsidRPr="00C277C0">
        <w:rPr>
          <w:rFonts w:eastAsia="宋体" w:hint="eastAsia"/>
          <w:snapToGrid w:val="0"/>
          <w:lang w:eastAsia="zh-CN"/>
        </w:rPr>
        <w:t>提供了组合产品</w:t>
      </w:r>
      <w:r w:rsidRPr="00C277C0">
        <w:rPr>
          <w:rFonts w:eastAsia="宋体" w:hint="eastAsia"/>
          <w:snapToGrid w:val="0"/>
          <w:lang w:eastAsia="zh-CN"/>
        </w:rPr>
        <w:t>PMSR</w:t>
      </w:r>
      <w:r w:rsidRPr="00C277C0">
        <w:rPr>
          <w:rFonts w:eastAsia="宋体" w:hint="eastAsia"/>
          <w:snapToGrid w:val="0"/>
          <w:lang w:eastAsia="zh-CN"/>
        </w:rPr>
        <w:t>最终规则的概要，概述了实体必须符合最终规则</w:t>
      </w:r>
      <w:r w:rsidR="00400ABB" w:rsidRPr="00C277C0">
        <w:rPr>
          <w:rFonts w:eastAsia="宋体" w:hint="eastAsia"/>
          <w:snapToGrid w:val="0"/>
          <w:lang w:eastAsia="zh-CN"/>
        </w:rPr>
        <w:t>的类别</w:t>
      </w:r>
      <w:r w:rsidRPr="00C277C0">
        <w:rPr>
          <w:rFonts w:eastAsia="宋体" w:hint="eastAsia"/>
          <w:snapToGrid w:val="0"/>
          <w:lang w:eastAsia="zh-CN"/>
        </w:rPr>
        <w:t>，以及</w:t>
      </w:r>
      <w:r w:rsidR="00400ABB" w:rsidRPr="00C277C0">
        <w:rPr>
          <w:rFonts w:eastAsia="宋体" w:hint="eastAsia"/>
          <w:snapToGrid w:val="0"/>
          <w:lang w:eastAsia="zh-CN"/>
        </w:rPr>
        <w:t>相关适用</w:t>
      </w:r>
      <w:r w:rsidRPr="00C277C0">
        <w:rPr>
          <w:rFonts w:eastAsia="宋体" w:hint="eastAsia"/>
          <w:snapToGrid w:val="0"/>
          <w:lang w:eastAsia="zh-CN"/>
        </w:rPr>
        <w:t>安全性报告要求。第</w:t>
      </w:r>
      <w:r w:rsidR="00C8689A" w:rsidRPr="00C277C0">
        <w:rPr>
          <w:rFonts w:eastAsia="宋体" w:hint="eastAsia"/>
          <w:snapToGrid w:val="0"/>
          <w:lang w:eastAsia="zh-CN"/>
        </w:rPr>
        <w:t>IV</w:t>
      </w:r>
      <w:r w:rsidRPr="00C277C0">
        <w:rPr>
          <w:rFonts w:eastAsia="宋体" w:hint="eastAsia"/>
          <w:snapToGrid w:val="0"/>
          <w:lang w:eastAsia="zh-CN"/>
        </w:rPr>
        <w:t>节提供了特定组合产品</w:t>
      </w:r>
      <w:r w:rsidRPr="00C277C0">
        <w:rPr>
          <w:rFonts w:eastAsia="宋体" w:hint="eastAsia"/>
          <w:snapToGrid w:val="0"/>
          <w:lang w:eastAsia="zh-CN"/>
        </w:rPr>
        <w:t>PMSR</w:t>
      </w:r>
      <w:r w:rsidRPr="00C277C0">
        <w:rPr>
          <w:rFonts w:eastAsia="宋体" w:hint="eastAsia"/>
          <w:snapToGrid w:val="0"/>
          <w:lang w:eastAsia="zh-CN"/>
        </w:rPr>
        <w:t>报告类型的更详细讨论。第</w:t>
      </w:r>
      <w:r w:rsidR="00C8689A" w:rsidRPr="00C277C0">
        <w:rPr>
          <w:rFonts w:eastAsia="宋体" w:hint="eastAsia"/>
          <w:snapToGrid w:val="0"/>
          <w:lang w:eastAsia="zh-CN"/>
        </w:rPr>
        <w:t>V</w:t>
      </w:r>
      <w:r w:rsidRPr="00C277C0">
        <w:rPr>
          <w:rFonts w:eastAsia="宋体" w:hint="eastAsia"/>
          <w:snapToGrid w:val="0"/>
          <w:lang w:eastAsia="zh-CN"/>
        </w:rPr>
        <w:t>节提供了向</w:t>
      </w:r>
      <w:r w:rsidRPr="00C277C0">
        <w:rPr>
          <w:rFonts w:eastAsia="宋体" w:hint="eastAsia"/>
          <w:snapToGrid w:val="0"/>
          <w:lang w:eastAsia="zh-CN"/>
        </w:rPr>
        <w:t>FDA</w:t>
      </w:r>
      <w:r w:rsidRPr="00C277C0">
        <w:rPr>
          <w:rFonts w:eastAsia="宋体" w:hint="eastAsia"/>
          <w:snapToGrid w:val="0"/>
          <w:lang w:eastAsia="zh-CN"/>
        </w:rPr>
        <w:t>提交</w:t>
      </w:r>
      <w:r w:rsidRPr="00C277C0">
        <w:rPr>
          <w:rFonts w:eastAsia="宋体" w:hint="eastAsia"/>
          <w:snapToGrid w:val="0"/>
          <w:lang w:eastAsia="zh-CN"/>
        </w:rPr>
        <w:t>PMSR</w:t>
      </w:r>
      <w:r w:rsidRPr="00C277C0">
        <w:rPr>
          <w:rFonts w:eastAsia="宋体" w:hint="eastAsia"/>
          <w:snapToGrid w:val="0"/>
          <w:lang w:eastAsia="zh-CN"/>
        </w:rPr>
        <w:t>报告的地点、方式和时间的指南。第</w:t>
      </w:r>
      <w:r w:rsidR="00C8689A" w:rsidRPr="00C277C0">
        <w:rPr>
          <w:rFonts w:eastAsia="宋体" w:hint="eastAsia"/>
          <w:snapToGrid w:val="0"/>
          <w:lang w:eastAsia="zh-CN"/>
        </w:rPr>
        <w:t>VI</w:t>
      </w:r>
      <w:r w:rsidRPr="00C277C0">
        <w:rPr>
          <w:rFonts w:eastAsia="宋体" w:hint="eastAsia"/>
          <w:snapToGrid w:val="0"/>
          <w:lang w:eastAsia="zh-CN"/>
        </w:rPr>
        <w:t>节提供了假设情形，阐明符合特定组合产品</w:t>
      </w:r>
      <w:r w:rsidRPr="00C277C0">
        <w:rPr>
          <w:rFonts w:eastAsia="宋体" w:hint="eastAsia"/>
          <w:snapToGrid w:val="0"/>
          <w:lang w:eastAsia="zh-CN"/>
        </w:rPr>
        <w:t>PMSR</w:t>
      </w:r>
      <w:r w:rsidRPr="00C277C0">
        <w:rPr>
          <w:rFonts w:eastAsia="宋体" w:hint="eastAsia"/>
          <w:snapToGrid w:val="0"/>
          <w:lang w:eastAsia="zh-CN"/>
        </w:rPr>
        <w:t>要求的某些方法。虽然本指南侧重于组合产品</w:t>
      </w:r>
      <w:r w:rsidRPr="00C277C0">
        <w:rPr>
          <w:rFonts w:eastAsia="宋体" w:hint="eastAsia"/>
          <w:snapToGrid w:val="0"/>
          <w:lang w:eastAsia="zh-CN"/>
        </w:rPr>
        <w:t>PMSR</w:t>
      </w:r>
      <w:r w:rsidRPr="00C277C0">
        <w:rPr>
          <w:rFonts w:eastAsia="宋体" w:hint="eastAsia"/>
          <w:snapToGrid w:val="0"/>
          <w:lang w:eastAsia="zh-CN"/>
        </w:rPr>
        <w:t>最终规则，但也涉及相关主题，包括适用于规则未涵盖实体的上市后安全性报告要求（见附录</w:t>
      </w:r>
      <w:r w:rsidRPr="00C277C0">
        <w:rPr>
          <w:rFonts w:eastAsia="宋体" w:hint="eastAsia"/>
          <w:snapToGrid w:val="0"/>
          <w:lang w:eastAsia="zh-CN"/>
        </w:rPr>
        <w:t>3</w:t>
      </w:r>
      <w:r w:rsidRPr="00C277C0">
        <w:rPr>
          <w:rFonts w:eastAsia="宋体" w:hint="eastAsia"/>
          <w:snapToGrid w:val="0"/>
          <w:lang w:eastAsia="zh-CN"/>
        </w:rPr>
        <w:t>）。</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B0097C" w:rsidRPr="001F4299" w:rsidRDefault="00B0097C" w:rsidP="00B0097C">
      <w:pPr>
        <w:snapToGrid w:val="0"/>
        <w:spacing w:afterLines="50" w:after="120"/>
        <w:ind w:firstLineChars="200" w:firstLine="440"/>
        <w:jc w:val="both"/>
        <w:rPr>
          <w:rFonts w:eastAsiaTheme="minorEastAsia"/>
          <w:lang w:eastAsia="zh-CN"/>
        </w:rPr>
      </w:pPr>
      <w:r w:rsidRPr="00EB0B13">
        <w:rPr>
          <w:rFonts w:eastAsia="宋体"/>
          <w:snapToGrid w:val="0"/>
          <w:lang w:eastAsia="zh-CN"/>
        </w:rPr>
        <w:t>一般来说，</w:t>
      </w:r>
      <w:r w:rsidRPr="00EB0B13">
        <w:rPr>
          <w:rFonts w:eastAsia="宋体"/>
          <w:snapToGrid w:val="0"/>
          <w:lang w:eastAsia="zh-CN"/>
        </w:rPr>
        <w:t>FDA</w:t>
      </w:r>
      <w:r w:rsidRPr="00EB0B13">
        <w:rPr>
          <w:rFonts w:eastAsia="宋体"/>
          <w:snapToGrid w:val="0"/>
          <w:lang w:eastAsia="zh-CN"/>
        </w:rPr>
        <w:t>指南文件，包括本指南在内，不具有法律强制责任。相反，指南表明了本机构关于这一主题的最新见解，除非引用具体的法规或法律要求，否则只应视为建议。</w:t>
      </w:r>
      <w:r w:rsidRPr="001F4299">
        <w:rPr>
          <w:rFonts w:hint="eastAsia"/>
          <w:lang w:eastAsia="zh-CN"/>
        </w:rPr>
        <w:t>FDA</w:t>
      </w:r>
      <w:r w:rsidRPr="001F4299">
        <w:rPr>
          <w:rFonts w:ascii="宋体" w:eastAsia="宋体" w:hAnsi="宋体" w:cs="宋体" w:hint="eastAsia"/>
          <w:lang w:eastAsia="zh-CN"/>
        </w:rPr>
        <w:t>指南中出现的</w:t>
      </w:r>
      <w:r w:rsidRPr="001F4299">
        <w:rPr>
          <w:lang w:eastAsia="zh-CN"/>
        </w:rPr>
        <w:t>“</w:t>
      </w:r>
      <w:r w:rsidRPr="001F4299">
        <w:rPr>
          <w:rFonts w:ascii="宋体" w:eastAsia="宋体" w:hAnsi="宋体" w:cs="宋体" w:hint="eastAsia"/>
          <w:lang w:eastAsia="zh-CN"/>
        </w:rPr>
        <w:t>应（当）</w:t>
      </w:r>
      <w:r w:rsidRPr="001F4299">
        <w:rPr>
          <w:lang w:eastAsia="zh-CN"/>
        </w:rPr>
        <w:t>”</w:t>
      </w:r>
      <w:r w:rsidRPr="001F4299">
        <w:rPr>
          <w:rFonts w:ascii="宋体" w:eastAsia="宋体" w:hAnsi="宋体" w:cs="宋体" w:hint="eastAsia"/>
          <w:lang w:eastAsia="zh-CN"/>
        </w:rPr>
        <w:t>的词义是指建议或推荐，而非要求。</w:t>
      </w:r>
    </w:p>
    <w:p w:rsidR="00C1273A" w:rsidRPr="00C277C0" w:rsidRDefault="00097329" w:rsidP="00C1273A">
      <w:pPr>
        <w:autoSpaceDE/>
        <w:autoSpaceDN/>
        <w:snapToGrid w:val="0"/>
        <w:jc w:val="both"/>
        <w:rPr>
          <w:rFonts w:eastAsia="宋体"/>
          <w:snapToGrid w:val="0"/>
          <w:sz w:val="24"/>
          <w:szCs w:val="24"/>
          <w:lang w:eastAsia="zh-CN"/>
        </w:rPr>
      </w:pPr>
      <w:bookmarkStart w:id="2" w:name="_Toc95145694"/>
      <w:r w:rsidRPr="00C277C0">
        <w:rPr>
          <w:rFonts w:eastAsia="宋体" w:hint="eastAsia"/>
          <w:snapToGrid w:val="0"/>
          <w:sz w:val="24"/>
          <w:szCs w:val="24"/>
          <w:lang w:eastAsia="zh-CN"/>
        </w:rPr>
        <w:br w:type="page"/>
      </w:r>
    </w:p>
    <w:p w:rsidR="00C1273A" w:rsidRPr="00B403CB" w:rsidRDefault="00CB2C74" w:rsidP="00B403CB">
      <w:pPr>
        <w:pStyle w:val="1"/>
        <w:numPr>
          <w:ilvl w:val="0"/>
          <w:numId w:val="43"/>
        </w:numPr>
        <w:tabs>
          <w:tab w:val="left" w:pos="868"/>
        </w:tabs>
        <w:autoSpaceDE/>
        <w:autoSpaceDN/>
        <w:spacing w:beforeLines="0" w:before="0" w:line="240" w:lineRule="auto"/>
        <w:ind w:left="880" w:hangingChars="313" w:hanging="880"/>
        <w:rPr>
          <w:sz w:val="28"/>
        </w:rPr>
      </w:pPr>
      <w:bookmarkStart w:id="3" w:name="_Toc97551495"/>
      <w:r w:rsidRPr="00B403CB">
        <w:rPr>
          <w:rFonts w:hint="eastAsia"/>
          <w:sz w:val="28"/>
        </w:rPr>
        <w:t>背景</w:t>
      </w:r>
      <w:bookmarkEnd w:id="2"/>
      <w:bookmarkEnd w:id="3"/>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4" w:name="_Toc97551496"/>
      <w:bookmarkStart w:id="5" w:name="_Toc95145695"/>
      <w:r w:rsidRPr="00C277C0">
        <w:rPr>
          <w:rFonts w:hint="eastAsia"/>
          <w:snapToGrid w:val="0"/>
          <w:szCs w:val="24"/>
          <w:lang w:eastAsia="zh-CN"/>
        </w:rPr>
        <w:t>A.</w:t>
      </w:r>
      <w:r w:rsidRPr="00C277C0">
        <w:rPr>
          <w:rFonts w:hint="eastAsia"/>
          <w:snapToGrid w:val="0"/>
          <w:szCs w:val="24"/>
          <w:lang w:eastAsia="zh-CN"/>
        </w:rPr>
        <w:tab/>
      </w:r>
      <w:r w:rsidRPr="00C277C0">
        <w:rPr>
          <w:rFonts w:hint="eastAsia"/>
          <w:snapToGrid w:val="0"/>
          <w:szCs w:val="24"/>
          <w:lang w:eastAsia="zh-CN"/>
        </w:rPr>
        <w:t>组合产品</w:t>
      </w:r>
      <w:r w:rsidR="00400ABB" w:rsidRPr="00C277C0">
        <w:rPr>
          <w:rFonts w:hint="eastAsia"/>
          <w:snapToGrid w:val="0"/>
          <w:szCs w:val="24"/>
          <w:lang w:eastAsia="zh-CN"/>
        </w:rPr>
        <w:t>定义</w:t>
      </w:r>
      <w:r w:rsidRPr="00C277C0">
        <w:rPr>
          <w:rFonts w:hint="eastAsia"/>
          <w:snapToGrid w:val="0"/>
          <w:szCs w:val="24"/>
          <w:lang w:eastAsia="zh-CN"/>
        </w:rPr>
        <w:t>？</w:t>
      </w:r>
      <w:bookmarkEnd w:id="4"/>
      <w:bookmarkEnd w:id="5"/>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组合产品是一种由药品、器械、生物制品的任意组合组成的产品。</w:t>
      </w:r>
      <w:r w:rsidR="00FE2212" w:rsidRPr="00C277C0">
        <w:rPr>
          <w:rStyle w:val="af4"/>
          <w:rFonts w:eastAsia="宋体" w:hint="eastAsia"/>
          <w:snapToGrid w:val="0"/>
          <w:lang w:eastAsia="zh-CN"/>
        </w:rPr>
        <w:footnoteReference w:id="4"/>
      </w:r>
      <w:r w:rsidRPr="00C277C0">
        <w:rPr>
          <w:rFonts w:eastAsia="宋体" w:hint="eastAsia"/>
          <w:snapToGrid w:val="0"/>
          <w:lang w:eastAsia="zh-CN"/>
        </w:rPr>
        <w:t>组合产品中的</w:t>
      </w:r>
      <w:r w:rsidR="00ED68B9" w:rsidRPr="00C277C0">
        <w:rPr>
          <w:rFonts w:eastAsia="宋体" w:hint="eastAsia"/>
          <w:snapToGrid w:val="0"/>
          <w:lang w:eastAsia="zh-CN"/>
        </w:rPr>
        <w:t>所有</w:t>
      </w:r>
      <w:r w:rsidRPr="00C277C0">
        <w:rPr>
          <w:rFonts w:eastAsia="宋体" w:hint="eastAsia"/>
          <w:snapToGrid w:val="0"/>
          <w:lang w:eastAsia="zh-CN"/>
        </w:rPr>
        <w:t>药品、器械、生物制品称为组合产品的</w:t>
      </w:r>
      <w:r w:rsidR="002C66D7" w:rsidRPr="00B403CB">
        <w:rPr>
          <w:rFonts w:ascii="宋体" w:eastAsia="宋体" w:hAnsi="宋体" w:hint="eastAsia"/>
          <w:lang w:eastAsia="zh-CN"/>
        </w:rPr>
        <w:t>“</w:t>
      </w:r>
      <w:r w:rsidRPr="00C277C0">
        <w:rPr>
          <w:rFonts w:eastAsia="宋体" w:hint="eastAsia"/>
          <w:snapToGrid w:val="0"/>
          <w:lang w:eastAsia="zh-CN"/>
        </w:rPr>
        <w:t>组成部分</w:t>
      </w:r>
      <w:r w:rsidR="002C66D7" w:rsidRPr="00B403CB">
        <w:rPr>
          <w:rFonts w:ascii="宋体" w:eastAsia="宋体" w:hAnsi="宋体" w:hint="eastAsia"/>
          <w:lang w:eastAsia="zh-CN"/>
        </w:rPr>
        <w:t>”</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C1273A">
      <w:pPr>
        <w:pStyle w:val="a3"/>
        <w:autoSpaceDE/>
        <w:autoSpaceDN/>
        <w:snapToGrid w:val="0"/>
        <w:jc w:val="both"/>
        <w:rPr>
          <w:rFonts w:eastAsia="宋体"/>
          <w:snapToGrid w:val="0"/>
          <w:lang w:eastAsia="zh-CN"/>
        </w:rPr>
      </w:pPr>
      <w:r w:rsidRPr="00C277C0">
        <w:rPr>
          <w:rFonts w:eastAsia="宋体" w:hint="eastAsia"/>
          <w:snapToGrid w:val="0"/>
          <w:lang w:eastAsia="zh-CN"/>
        </w:rPr>
        <w:t>根据</w:t>
      </w:r>
      <w:r w:rsidR="007267DD" w:rsidRPr="00C277C0">
        <w:rPr>
          <w:rFonts w:eastAsia="宋体" w:hint="eastAsia"/>
          <w:snapToGrid w:val="0"/>
          <w:lang w:eastAsia="zh-CN"/>
        </w:rPr>
        <w:t>《美国联邦法规》</w:t>
      </w:r>
      <w:r w:rsidR="00ED68B9" w:rsidRPr="00C277C0">
        <w:rPr>
          <w:rFonts w:eastAsia="宋体" w:hint="eastAsia"/>
          <w:snapToGrid w:val="0"/>
          <w:lang w:eastAsia="zh-CN"/>
        </w:rPr>
        <w:t>第</w:t>
      </w:r>
      <w:r w:rsidR="00286DB1">
        <w:rPr>
          <w:rFonts w:eastAsia="宋体" w:hint="eastAsia"/>
          <w:snapToGrid w:val="0"/>
          <w:lang w:eastAsia="zh-CN"/>
        </w:rPr>
        <w:t>21</w:t>
      </w:r>
      <w:r w:rsidR="00286DB1">
        <w:rPr>
          <w:rFonts w:eastAsia="宋体" w:hint="eastAsia"/>
          <w:snapToGrid w:val="0"/>
          <w:lang w:eastAsia="zh-CN"/>
        </w:rPr>
        <w:t>篇</w:t>
      </w:r>
      <w:r w:rsidR="00ED68B9" w:rsidRPr="00C277C0">
        <w:rPr>
          <w:rFonts w:eastAsia="宋体" w:hint="eastAsia"/>
          <w:snapToGrid w:val="0"/>
          <w:lang w:eastAsia="zh-CN"/>
        </w:rPr>
        <w:t>第</w:t>
      </w:r>
      <w:r w:rsidRPr="00C277C0">
        <w:rPr>
          <w:rFonts w:eastAsia="宋体" w:hint="eastAsia"/>
          <w:snapToGrid w:val="0"/>
          <w:lang w:eastAsia="zh-CN"/>
        </w:rPr>
        <w:t>3.2</w:t>
      </w:r>
      <w:r w:rsidR="002C66D7" w:rsidRPr="00C277C0">
        <w:rPr>
          <w:rFonts w:eastAsia="宋体" w:hint="eastAsia"/>
          <w:snapToGrid w:val="0"/>
          <w:lang w:eastAsia="zh-CN"/>
        </w:rPr>
        <w:t>（</w:t>
      </w:r>
      <w:r w:rsidRPr="00C277C0">
        <w:rPr>
          <w:rFonts w:eastAsia="宋体" w:hint="eastAsia"/>
          <w:snapToGrid w:val="0"/>
          <w:lang w:eastAsia="zh-CN"/>
        </w:rPr>
        <w:t>e</w:t>
      </w:r>
      <w:r w:rsidR="002C66D7" w:rsidRPr="00C277C0">
        <w:rPr>
          <w:rFonts w:eastAsia="宋体" w:hint="eastAsia"/>
          <w:snapToGrid w:val="0"/>
          <w:lang w:eastAsia="zh-CN"/>
        </w:rPr>
        <w:t>）</w:t>
      </w:r>
      <w:r w:rsidR="00ED68B9" w:rsidRPr="00C277C0">
        <w:rPr>
          <w:rFonts w:eastAsia="宋体" w:hint="eastAsia"/>
          <w:snapToGrid w:val="0"/>
          <w:lang w:eastAsia="zh-CN"/>
        </w:rPr>
        <w:t>节</w:t>
      </w:r>
      <w:r w:rsidRPr="00C277C0">
        <w:rPr>
          <w:rFonts w:eastAsia="宋体" w:hint="eastAsia"/>
          <w:snapToGrid w:val="0"/>
          <w:lang w:eastAsia="zh-CN"/>
        </w:rPr>
        <w:t>，组合产品包括：</w:t>
      </w:r>
    </w:p>
    <w:p w:rsidR="00C1273A" w:rsidRPr="00C277C0" w:rsidRDefault="00C1273A" w:rsidP="00B403CB">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1"/>
        </w:numPr>
        <w:tabs>
          <w:tab w:val="left" w:pos="1358"/>
        </w:tabs>
        <w:autoSpaceDE/>
        <w:autoSpaceDN/>
        <w:snapToGrid w:val="0"/>
        <w:ind w:leftChars="400" w:left="1360" w:hangingChars="200" w:hanging="480"/>
        <w:jc w:val="both"/>
        <w:rPr>
          <w:rFonts w:eastAsia="宋体"/>
          <w:snapToGrid w:val="0"/>
          <w:sz w:val="24"/>
          <w:szCs w:val="24"/>
          <w:lang w:eastAsia="zh-CN"/>
        </w:rPr>
      </w:pPr>
      <w:r w:rsidRPr="00C277C0">
        <w:rPr>
          <w:rFonts w:eastAsia="宋体" w:hint="eastAsia"/>
          <w:snapToGrid w:val="0"/>
          <w:sz w:val="24"/>
          <w:szCs w:val="24"/>
          <w:lang w:eastAsia="zh-CN"/>
        </w:rPr>
        <w:t>由两种或多种受管制成分组成的产品，即药物</w:t>
      </w:r>
      <w:r w:rsidRPr="00C277C0">
        <w:rPr>
          <w:rFonts w:eastAsia="宋体" w:hint="eastAsia"/>
          <w:snapToGrid w:val="0"/>
          <w:sz w:val="24"/>
          <w:szCs w:val="24"/>
          <w:lang w:eastAsia="zh-CN"/>
        </w:rPr>
        <w:t>/</w:t>
      </w:r>
      <w:r w:rsidRPr="00C277C0">
        <w:rPr>
          <w:rFonts w:eastAsia="宋体" w:hint="eastAsia"/>
          <w:snapToGrid w:val="0"/>
          <w:sz w:val="24"/>
          <w:szCs w:val="24"/>
          <w:lang w:eastAsia="zh-CN"/>
        </w:rPr>
        <w:t>器械、生物制品</w:t>
      </w:r>
      <w:r w:rsidRPr="00C277C0">
        <w:rPr>
          <w:rFonts w:eastAsia="宋体" w:hint="eastAsia"/>
          <w:snapToGrid w:val="0"/>
          <w:sz w:val="24"/>
          <w:szCs w:val="24"/>
          <w:lang w:eastAsia="zh-CN"/>
        </w:rPr>
        <w:t>/</w:t>
      </w:r>
      <w:r w:rsidRPr="00C277C0">
        <w:rPr>
          <w:rFonts w:eastAsia="宋体" w:hint="eastAsia"/>
          <w:snapToGrid w:val="0"/>
          <w:sz w:val="24"/>
          <w:szCs w:val="24"/>
          <w:lang w:eastAsia="zh-CN"/>
        </w:rPr>
        <w:t>器械、药物</w:t>
      </w:r>
      <w:r w:rsidRPr="00C277C0">
        <w:rPr>
          <w:rFonts w:eastAsia="宋体" w:hint="eastAsia"/>
          <w:snapToGrid w:val="0"/>
          <w:sz w:val="24"/>
          <w:szCs w:val="24"/>
          <w:lang w:eastAsia="zh-CN"/>
        </w:rPr>
        <w:t>/</w:t>
      </w:r>
      <w:r w:rsidRPr="00C277C0">
        <w:rPr>
          <w:rFonts w:eastAsia="宋体" w:hint="eastAsia"/>
          <w:snapToGrid w:val="0"/>
          <w:sz w:val="24"/>
          <w:szCs w:val="24"/>
          <w:lang w:eastAsia="zh-CN"/>
        </w:rPr>
        <w:t>生物制品或药物</w:t>
      </w:r>
      <w:r w:rsidRPr="00C277C0">
        <w:rPr>
          <w:rFonts w:eastAsia="宋体" w:hint="eastAsia"/>
          <w:snapToGrid w:val="0"/>
          <w:sz w:val="24"/>
          <w:szCs w:val="24"/>
          <w:lang w:eastAsia="zh-CN"/>
        </w:rPr>
        <w:t>/</w:t>
      </w:r>
      <w:r w:rsidRPr="00C277C0">
        <w:rPr>
          <w:rFonts w:eastAsia="宋体" w:hint="eastAsia"/>
          <w:snapToGrid w:val="0"/>
          <w:sz w:val="24"/>
          <w:szCs w:val="24"/>
          <w:lang w:eastAsia="zh-CN"/>
        </w:rPr>
        <w:t>器械</w:t>
      </w:r>
      <w:r w:rsidRPr="00C277C0">
        <w:rPr>
          <w:rFonts w:eastAsia="宋体" w:hint="eastAsia"/>
          <w:snapToGrid w:val="0"/>
          <w:sz w:val="24"/>
          <w:szCs w:val="24"/>
          <w:lang w:eastAsia="zh-CN"/>
        </w:rPr>
        <w:t>/</w:t>
      </w:r>
      <w:r w:rsidRPr="00C277C0">
        <w:rPr>
          <w:rFonts w:eastAsia="宋体" w:hint="eastAsia"/>
          <w:snapToGrid w:val="0"/>
          <w:sz w:val="24"/>
          <w:szCs w:val="24"/>
          <w:lang w:eastAsia="zh-CN"/>
        </w:rPr>
        <w:t>生物制品，它们以物理、化学或其他方式组合或混合并作为单一实体生产。</w:t>
      </w:r>
      <w:r w:rsidR="002C66D7" w:rsidRPr="00B403CB">
        <w:rPr>
          <w:rFonts w:ascii="宋体" w:eastAsia="宋体" w:hAnsi="宋体" w:hint="eastAsia"/>
          <w:sz w:val="24"/>
          <w:lang w:eastAsia="zh-CN"/>
        </w:rPr>
        <w:t>“</w:t>
      </w:r>
      <w:r w:rsidRPr="00C277C0">
        <w:rPr>
          <w:rFonts w:eastAsia="宋体" w:hint="eastAsia"/>
          <w:snapToGrid w:val="0"/>
          <w:sz w:val="24"/>
          <w:szCs w:val="24"/>
          <w:lang w:eastAsia="zh-CN"/>
        </w:rPr>
        <w:t>单一实体</w:t>
      </w:r>
      <w:r w:rsidR="002C66D7" w:rsidRPr="00B403CB">
        <w:rPr>
          <w:rFonts w:ascii="宋体" w:eastAsia="宋体" w:hAnsi="宋体" w:hint="eastAsia"/>
          <w:sz w:val="24"/>
          <w:lang w:eastAsia="zh-CN"/>
        </w:rPr>
        <w:t>”</w:t>
      </w:r>
      <w:r w:rsidRPr="00C277C0">
        <w:rPr>
          <w:rFonts w:eastAsia="宋体" w:hint="eastAsia"/>
          <w:snapToGrid w:val="0"/>
          <w:sz w:val="24"/>
          <w:szCs w:val="24"/>
          <w:lang w:eastAsia="zh-CN"/>
        </w:rPr>
        <w:t>组合产品的示例包括预充式注射器、透皮贴片或药物洗脱支架。</w:t>
      </w:r>
    </w:p>
    <w:p w:rsidR="00C1273A" w:rsidRPr="00C277C0" w:rsidRDefault="00C1273A" w:rsidP="00072C5E">
      <w:pPr>
        <w:pStyle w:val="a4"/>
        <w:tabs>
          <w:tab w:val="left" w:pos="1358"/>
        </w:tabs>
        <w:autoSpaceDE/>
        <w:autoSpaceDN/>
        <w:snapToGrid w:val="0"/>
        <w:ind w:leftChars="400" w:left="880" w:firstLine="0"/>
        <w:jc w:val="both"/>
        <w:rPr>
          <w:rFonts w:eastAsia="宋体"/>
          <w:snapToGrid w:val="0"/>
          <w:sz w:val="24"/>
          <w:szCs w:val="24"/>
          <w:lang w:eastAsia="zh-CN"/>
        </w:rPr>
      </w:pPr>
    </w:p>
    <w:p w:rsidR="00C1273A" w:rsidRPr="00C277C0" w:rsidRDefault="00097329" w:rsidP="00B403CB">
      <w:pPr>
        <w:pStyle w:val="a4"/>
        <w:numPr>
          <w:ilvl w:val="0"/>
          <w:numId w:val="1"/>
        </w:numPr>
        <w:tabs>
          <w:tab w:val="left" w:pos="1358"/>
        </w:tabs>
        <w:autoSpaceDE/>
        <w:autoSpaceDN/>
        <w:snapToGrid w:val="0"/>
        <w:ind w:leftChars="400" w:left="1360" w:hangingChars="200" w:hanging="480"/>
        <w:jc w:val="both"/>
        <w:rPr>
          <w:rFonts w:eastAsia="宋体"/>
          <w:snapToGrid w:val="0"/>
          <w:sz w:val="24"/>
          <w:szCs w:val="24"/>
          <w:lang w:eastAsia="zh-CN"/>
        </w:rPr>
      </w:pPr>
      <w:r w:rsidRPr="00C277C0">
        <w:rPr>
          <w:rFonts w:eastAsia="宋体" w:hint="eastAsia"/>
          <w:snapToGrid w:val="0"/>
          <w:sz w:val="24"/>
          <w:szCs w:val="24"/>
          <w:lang w:eastAsia="zh-CN"/>
        </w:rPr>
        <w:t>两种或两种以上独立的产品在一个包装里或作为一个单元包装在一起，且由药品和器械、器械和生物制品、或生物制品和药品组成的产品。</w:t>
      </w:r>
      <w:r w:rsidR="002C66D7" w:rsidRPr="00B403CB">
        <w:rPr>
          <w:rFonts w:ascii="宋体" w:eastAsia="宋体" w:hAnsi="宋体" w:hint="eastAsia"/>
          <w:sz w:val="24"/>
          <w:lang w:eastAsia="zh-CN"/>
        </w:rPr>
        <w:t>“</w:t>
      </w:r>
      <w:r w:rsidRPr="00C277C0">
        <w:rPr>
          <w:rFonts w:eastAsia="宋体" w:hint="eastAsia"/>
          <w:snapToGrid w:val="0"/>
          <w:sz w:val="24"/>
          <w:szCs w:val="24"/>
          <w:lang w:eastAsia="zh-CN"/>
        </w:rPr>
        <w:t>组合包装</w:t>
      </w:r>
      <w:r w:rsidR="002C66D7" w:rsidRPr="00B403CB">
        <w:rPr>
          <w:rFonts w:ascii="宋体" w:eastAsia="宋体" w:hAnsi="宋体" w:hint="eastAsia"/>
          <w:sz w:val="24"/>
          <w:lang w:eastAsia="zh-CN"/>
        </w:rPr>
        <w:t>”</w:t>
      </w:r>
      <w:r w:rsidRPr="00C277C0">
        <w:rPr>
          <w:rFonts w:eastAsia="宋体" w:hint="eastAsia"/>
          <w:snapToGrid w:val="0"/>
          <w:sz w:val="24"/>
          <w:szCs w:val="24"/>
          <w:lang w:eastAsia="zh-CN"/>
        </w:rPr>
        <w:t>的组合产品示例包括手术包和急救箱。</w:t>
      </w:r>
    </w:p>
    <w:p w:rsidR="00C1273A" w:rsidRPr="00C277C0" w:rsidRDefault="00C1273A" w:rsidP="00072C5E">
      <w:pPr>
        <w:pStyle w:val="a4"/>
        <w:tabs>
          <w:tab w:val="left" w:pos="1358"/>
        </w:tabs>
        <w:autoSpaceDE/>
        <w:autoSpaceDN/>
        <w:snapToGrid w:val="0"/>
        <w:ind w:leftChars="400" w:left="880" w:firstLine="0"/>
        <w:jc w:val="both"/>
        <w:rPr>
          <w:rFonts w:eastAsia="宋体"/>
          <w:snapToGrid w:val="0"/>
          <w:sz w:val="24"/>
          <w:szCs w:val="24"/>
          <w:lang w:eastAsia="zh-CN"/>
        </w:rPr>
      </w:pPr>
    </w:p>
    <w:p w:rsidR="00C1273A" w:rsidRPr="00C277C0" w:rsidRDefault="00097329" w:rsidP="00B403CB">
      <w:pPr>
        <w:pStyle w:val="a4"/>
        <w:numPr>
          <w:ilvl w:val="0"/>
          <w:numId w:val="1"/>
        </w:numPr>
        <w:tabs>
          <w:tab w:val="left" w:pos="1358"/>
        </w:tabs>
        <w:autoSpaceDE/>
        <w:autoSpaceDN/>
        <w:snapToGrid w:val="0"/>
        <w:ind w:leftChars="400" w:left="1360" w:hangingChars="200" w:hanging="480"/>
        <w:jc w:val="both"/>
        <w:rPr>
          <w:rFonts w:eastAsia="宋体"/>
          <w:snapToGrid w:val="0"/>
          <w:sz w:val="24"/>
          <w:szCs w:val="24"/>
          <w:lang w:eastAsia="zh-CN"/>
        </w:rPr>
      </w:pPr>
      <w:r w:rsidRPr="00C277C0">
        <w:rPr>
          <w:rFonts w:eastAsia="宋体" w:hint="eastAsia"/>
          <w:snapToGrid w:val="0"/>
          <w:sz w:val="24"/>
          <w:szCs w:val="24"/>
          <w:lang w:eastAsia="zh-CN"/>
        </w:rPr>
        <w:t>单独包装的药品、器械或生物制品，</w:t>
      </w:r>
      <w:r w:rsidR="0001316C" w:rsidRPr="00C277C0">
        <w:rPr>
          <w:rFonts w:eastAsia="宋体" w:hint="eastAsia"/>
          <w:snapToGrid w:val="0"/>
          <w:sz w:val="24"/>
          <w:szCs w:val="24"/>
          <w:lang w:eastAsia="zh-CN"/>
        </w:rPr>
        <w:t>根据其研究计划或拟定标签，</w:t>
      </w:r>
      <w:r w:rsidRPr="00C277C0">
        <w:rPr>
          <w:rFonts w:eastAsia="宋体" w:hint="eastAsia"/>
          <w:snapToGrid w:val="0"/>
          <w:sz w:val="24"/>
          <w:szCs w:val="24"/>
          <w:lang w:eastAsia="zh-CN"/>
        </w:rPr>
        <w:t>仅与已单独获批的指定药品、器械或生物制品一起使用，两者都需要</w:t>
      </w:r>
      <w:r w:rsidR="00227323" w:rsidRPr="00C277C0">
        <w:rPr>
          <w:rFonts w:eastAsia="宋体" w:hint="eastAsia"/>
          <w:snapToGrid w:val="0"/>
          <w:sz w:val="24"/>
          <w:szCs w:val="24"/>
          <w:lang w:eastAsia="zh-CN"/>
        </w:rPr>
        <w:t>实现</w:t>
      </w:r>
      <w:r w:rsidRPr="00C277C0">
        <w:rPr>
          <w:rFonts w:eastAsia="宋体" w:hint="eastAsia"/>
          <w:snapToGrid w:val="0"/>
          <w:sz w:val="24"/>
          <w:szCs w:val="24"/>
          <w:lang w:eastAsia="zh-CN"/>
        </w:rPr>
        <w:t>预期用途、适应症或</w:t>
      </w:r>
      <w:r w:rsidR="0065196D" w:rsidRPr="00C277C0">
        <w:rPr>
          <w:rFonts w:eastAsia="宋体" w:hint="eastAsia"/>
          <w:snapToGrid w:val="0"/>
          <w:sz w:val="24"/>
          <w:szCs w:val="24"/>
          <w:lang w:eastAsia="zh-CN"/>
        </w:rPr>
        <w:t>疗效</w:t>
      </w:r>
      <w:r w:rsidR="00227323" w:rsidRPr="00C277C0">
        <w:rPr>
          <w:rFonts w:eastAsia="宋体" w:hint="eastAsia"/>
          <w:snapToGrid w:val="0"/>
          <w:sz w:val="24"/>
          <w:szCs w:val="24"/>
          <w:lang w:eastAsia="zh-CN"/>
        </w:rPr>
        <w:t>。</w:t>
      </w:r>
      <w:r w:rsidRPr="00C277C0">
        <w:rPr>
          <w:rFonts w:eastAsia="宋体" w:hint="eastAsia"/>
          <w:snapToGrid w:val="0"/>
          <w:sz w:val="24"/>
          <w:szCs w:val="24"/>
          <w:lang w:eastAsia="zh-CN"/>
        </w:rPr>
        <w:t>该申报产品</w:t>
      </w:r>
      <w:r w:rsidR="00ED68B9" w:rsidRPr="00C277C0">
        <w:rPr>
          <w:rFonts w:eastAsia="宋体" w:hint="eastAsia"/>
          <w:snapToGrid w:val="0"/>
          <w:sz w:val="24"/>
          <w:szCs w:val="24"/>
          <w:lang w:eastAsia="zh-CN"/>
        </w:rPr>
        <w:t>在</w:t>
      </w:r>
      <w:r w:rsidRPr="00C277C0">
        <w:rPr>
          <w:rFonts w:eastAsia="宋体" w:hint="eastAsia"/>
          <w:snapToGrid w:val="0"/>
          <w:sz w:val="24"/>
          <w:szCs w:val="24"/>
          <w:lang w:eastAsia="zh-CN"/>
        </w:rPr>
        <w:t>获批</w:t>
      </w:r>
      <w:r w:rsidR="00ED68B9" w:rsidRPr="00C277C0">
        <w:rPr>
          <w:rFonts w:eastAsia="宋体" w:hint="eastAsia"/>
          <w:snapToGrid w:val="0"/>
          <w:sz w:val="24"/>
          <w:szCs w:val="24"/>
          <w:lang w:eastAsia="zh-CN"/>
        </w:rPr>
        <w:t>后</w:t>
      </w:r>
      <w:r w:rsidRPr="00C277C0">
        <w:rPr>
          <w:rFonts w:eastAsia="宋体" w:hint="eastAsia"/>
          <w:snapToGrid w:val="0"/>
          <w:sz w:val="24"/>
          <w:szCs w:val="24"/>
          <w:lang w:eastAsia="zh-CN"/>
        </w:rPr>
        <w:t>，则需变更已批准产品的标签，如</w:t>
      </w:r>
      <w:r w:rsidR="006840A3" w:rsidRPr="00C277C0">
        <w:rPr>
          <w:rFonts w:eastAsia="宋体" w:hint="eastAsia"/>
          <w:snapToGrid w:val="0"/>
          <w:sz w:val="24"/>
          <w:szCs w:val="24"/>
          <w:lang w:eastAsia="zh-CN"/>
        </w:rPr>
        <w:t>：</w:t>
      </w:r>
      <w:r w:rsidRPr="00C277C0">
        <w:rPr>
          <w:rFonts w:eastAsia="宋体" w:hint="eastAsia"/>
          <w:snapToGrid w:val="0"/>
          <w:sz w:val="24"/>
          <w:szCs w:val="24"/>
          <w:lang w:eastAsia="zh-CN"/>
        </w:rPr>
        <w:t>需要反映预期用途、剂型、规格、给药途径的变更或剂量的重大变更。此类</w:t>
      </w:r>
      <w:r w:rsidR="002C66D7" w:rsidRPr="00B403CB">
        <w:rPr>
          <w:rFonts w:ascii="宋体" w:eastAsia="宋体" w:hAnsi="宋体" w:hint="eastAsia"/>
          <w:sz w:val="24"/>
          <w:lang w:eastAsia="zh-CN"/>
        </w:rPr>
        <w:t>“</w:t>
      </w:r>
      <w:r w:rsidRPr="00C277C0">
        <w:rPr>
          <w:rFonts w:eastAsia="宋体" w:hint="eastAsia"/>
          <w:snapToGrid w:val="0"/>
          <w:sz w:val="24"/>
          <w:szCs w:val="24"/>
          <w:lang w:eastAsia="zh-CN"/>
        </w:rPr>
        <w:t>交叉标签</w:t>
      </w:r>
      <w:r w:rsidR="002C66D7" w:rsidRPr="00B403CB">
        <w:rPr>
          <w:rFonts w:ascii="宋体" w:eastAsia="宋体" w:hAnsi="宋体" w:hint="eastAsia"/>
          <w:sz w:val="24"/>
          <w:lang w:eastAsia="zh-CN"/>
        </w:rPr>
        <w:t>”</w:t>
      </w:r>
      <w:r w:rsidRPr="00C277C0">
        <w:rPr>
          <w:rFonts w:eastAsia="宋体" w:hint="eastAsia"/>
          <w:snapToGrid w:val="0"/>
          <w:sz w:val="24"/>
          <w:szCs w:val="24"/>
          <w:lang w:eastAsia="zh-CN"/>
        </w:rPr>
        <w:t>组合产品的示例为预期与特定的光激活药品一起使用的发光器械。</w:t>
      </w:r>
    </w:p>
    <w:p w:rsidR="00C1273A" w:rsidRPr="00C277C0" w:rsidRDefault="00C1273A" w:rsidP="00072C5E">
      <w:pPr>
        <w:pStyle w:val="a4"/>
        <w:tabs>
          <w:tab w:val="left" w:pos="1358"/>
        </w:tabs>
        <w:autoSpaceDE/>
        <w:autoSpaceDN/>
        <w:snapToGrid w:val="0"/>
        <w:ind w:leftChars="400" w:left="880" w:firstLine="0"/>
        <w:jc w:val="both"/>
        <w:rPr>
          <w:rFonts w:eastAsia="宋体"/>
          <w:snapToGrid w:val="0"/>
          <w:sz w:val="24"/>
          <w:szCs w:val="24"/>
          <w:lang w:eastAsia="zh-CN"/>
        </w:rPr>
      </w:pPr>
    </w:p>
    <w:p w:rsidR="00C1273A" w:rsidRPr="00C277C0" w:rsidRDefault="00097329" w:rsidP="00B403CB">
      <w:pPr>
        <w:pStyle w:val="a4"/>
        <w:numPr>
          <w:ilvl w:val="0"/>
          <w:numId w:val="1"/>
        </w:numPr>
        <w:tabs>
          <w:tab w:val="left" w:pos="1358"/>
        </w:tabs>
        <w:autoSpaceDE/>
        <w:autoSpaceDN/>
        <w:snapToGrid w:val="0"/>
        <w:ind w:leftChars="400" w:left="1360" w:hangingChars="200" w:hanging="480"/>
        <w:jc w:val="both"/>
        <w:rPr>
          <w:rFonts w:eastAsia="宋体"/>
          <w:snapToGrid w:val="0"/>
          <w:sz w:val="24"/>
          <w:szCs w:val="24"/>
          <w:lang w:eastAsia="zh-CN"/>
        </w:rPr>
      </w:pPr>
      <w:r w:rsidRPr="00C277C0">
        <w:rPr>
          <w:rFonts w:eastAsia="宋体" w:hint="eastAsia"/>
          <w:snapToGrid w:val="0"/>
          <w:sz w:val="24"/>
          <w:szCs w:val="24"/>
          <w:lang w:eastAsia="zh-CN"/>
        </w:rPr>
        <w:t>任何单独包装的研究药物、器械或生物制品，根据其拟定标签，仅与另一种指定的研究药物、器械或生物制品一起使用，两者均需</w:t>
      </w:r>
      <w:r w:rsidR="00E51F3A" w:rsidRPr="00C277C0">
        <w:rPr>
          <w:rFonts w:eastAsia="宋体" w:hint="eastAsia"/>
          <w:snapToGrid w:val="0"/>
          <w:sz w:val="24"/>
          <w:szCs w:val="24"/>
          <w:lang w:eastAsia="zh-CN"/>
        </w:rPr>
        <w:t>实现</w:t>
      </w:r>
      <w:r w:rsidRPr="00C277C0">
        <w:rPr>
          <w:rFonts w:eastAsia="宋体" w:hint="eastAsia"/>
          <w:snapToGrid w:val="0"/>
          <w:sz w:val="24"/>
          <w:szCs w:val="24"/>
          <w:lang w:eastAsia="zh-CN"/>
        </w:rPr>
        <w:t>预期用途、适应症或</w:t>
      </w:r>
      <w:r w:rsidR="0065196D" w:rsidRPr="00C277C0">
        <w:rPr>
          <w:rFonts w:eastAsia="宋体" w:hint="eastAsia"/>
          <w:snapToGrid w:val="0"/>
          <w:sz w:val="24"/>
          <w:szCs w:val="24"/>
          <w:lang w:eastAsia="zh-CN"/>
        </w:rPr>
        <w:t>疗效</w:t>
      </w:r>
      <w:r w:rsidRPr="00C277C0">
        <w:rPr>
          <w:rFonts w:eastAsia="宋体" w:hint="eastAsia"/>
          <w:snapToGrid w:val="0"/>
          <w:sz w:val="24"/>
          <w:szCs w:val="24"/>
          <w:lang w:eastAsia="zh-CN"/>
        </w:rPr>
        <w:t>（交叉标签组合产品状态的另一个依据）。</w:t>
      </w:r>
    </w:p>
    <w:p w:rsidR="006223B4" w:rsidRPr="00C277C0" w:rsidRDefault="006223B4" w:rsidP="006223B4">
      <w:pPr>
        <w:autoSpaceDE/>
        <w:autoSpaceDN/>
        <w:snapToGrid w:val="0"/>
        <w:jc w:val="both"/>
        <w:rPr>
          <w:rFonts w:eastAsia="宋体"/>
          <w:snapToGrid w:val="0"/>
          <w:sz w:val="24"/>
          <w:szCs w:val="24"/>
          <w:lang w:eastAsia="zh-CN"/>
        </w:rPr>
      </w:pPr>
      <w:r w:rsidRPr="00B403CB">
        <w:rPr>
          <w:rFonts w:eastAsia="宋体" w:hint="eastAsia"/>
          <w:sz w:val="24"/>
          <w:szCs w:val="24"/>
          <w:lang w:eastAsia="zh-CN"/>
        </w:rPr>
        <w:br w:type="page"/>
      </w:r>
    </w:p>
    <w:p w:rsidR="006223B4" w:rsidRPr="00C277C0" w:rsidRDefault="006223B4" w:rsidP="006223B4">
      <w:pPr>
        <w:autoSpaceDE/>
        <w:autoSpaceDN/>
        <w:snapToGrid w:val="0"/>
        <w:jc w:val="both"/>
        <w:rPr>
          <w:rFonts w:eastAsia="宋体"/>
          <w:snapToGrid w:val="0"/>
          <w:sz w:val="24"/>
          <w:szCs w:val="24"/>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6" w:name="_Toc97551497"/>
      <w:bookmarkStart w:id="7" w:name="_Toc95145696"/>
      <w:r w:rsidRPr="00C277C0">
        <w:rPr>
          <w:rFonts w:hint="eastAsia"/>
          <w:snapToGrid w:val="0"/>
          <w:szCs w:val="24"/>
          <w:lang w:eastAsia="zh-CN"/>
        </w:rPr>
        <w:t>B.</w:t>
      </w:r>
      <w:r w:rsidRPr="00C277C0">
        <w:rPr>
          <w:rFonts w:hint="eastAsia"/>
          <w:snapToGrid w:val="0"/>
          <w:szCs w:val="24"/>
          <w:lang w:eastAsia="zh-CN"/>
        </w:rPr>
        <w:tab/>
        <w:t>FDA</w:t>
      </w:r>
      <w:r w:rsidRPr="00C277C0">
        <w:rPr>
          <w:rFonts w:hint="eastAsia"/>
          <w:snapToGrid w:val="0"/>
          <w:szCs w:val="24"/>
          <w:lang w:eastAsia="zh-CN"/>
        </w:rPr>
        <w:t>审查和监管组合产品</w:t>
      </w:r>
      <w:r w:rsidR="00056517" w:rsidRPr="00C277C0">
        <w:rPr>
          <w:rFonts w:hint="eastAsia"/>
          <w:snapToGrid w:val="0"/>
          <w:szCs w:val="24"/>
          <w:lang w:eastAsia="zh-CN"/>
        </w:rPr>
        <w:t>的方式</w:t>
      </w:r>
      <w:r w:rsidRPr="00C277C0">
        <w:rPr>
          <w:rFonts w:hint="eastAsia"/>
          <w:snapToGrid w:val="0"/>
          <w:szCs w:val="24"/>
          <w:lang w:eastAsia="zh-CN"/>
        </w:rPr>
        <w:t>？</w:t>
      </w:r>
      <w:bookmarkEnd w:id="6"/>
      <w:bookmarkEnd w:id="7"/>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C1273A">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将组合产品分配给对该组合产品负主要管辖权（包括确保符合上市后监管要求）的</w:t>
      </w:r>
      <w:r w:rsidRPr="00C277C0">
        <w:rPr>
          <w:rFonts w:eastAsia="宋体" w:hint="eastAsia"/>
          <w:snapToGrid w:val="0"/>
          <w:lang w:eastAsia="zh-CN"/>
        </w:rPr>
        <w:t>FDA</w:t>
      </w:r>
      <w:r w:rsidRPr="00C277C0">
        <w:rPr>
          <w:rFonts w:eastAsia="宋体" w:hint="eastAsia"/>
          <w:snapToGrid w:val="0"/>
          <w:lang w:eastAsia="zh-CN"/>
        </w:rPr>
        <w:t>中心（即</w:t>
      </w:r>
      <w:r w:rsidR="002C66D7" w:rsidRPr="00B403CB">
        <w:rPr>
          <w:rFonts w:ascii="宋体" w:eastAsia="宋体" w:hAnsi="宋体" w:hint="eastAsia"/>
          <w:lang w:eastAsia="zh-CN"/>
        </w:rPr>
        <w:t>“</w:t>
      </w:r>
      <w:r w:rsidRPr="00C277C0">
        <w:rPr>
          <w:rFonts w:eastAsia="宋体" w:hint="eastAsia"/>
          <w:snapToGrid w:val="0"/>
          <w:lang w:eastAsia="zh-CN"/>
        </w:rPr>
        <w:t>牵头中心</w:t>
      </w:r>
      <w:r w:rsidR="002C66D7" w:rsidRPr="00B403CB">
        <w:rPr>
          <w:rFonts w:ascii="宋体" w:eastAsia="宋体" w:hAnsi="宋体" w:hint="eastAsia"/>
          <w:lang w:eastAsia="zh-CN"/>
        </w:rPr>
        <w:t>”</w:t>
      </w:r>
      <w:r w:rsidRPr="00C277C0">
        <w:rPr>
          <w:rFonts w:eastAsia="宋体" w:hint="eastAsia"/>
          <w:snapToGrid w:val="0"/>
          <w:lang w:eastAsia="zh-CN"/>
        </w:rPr>
        <w:t>）。根据《联邦食品、药品和化妆品法案》（《</w:t>
      </w:r>
      <w:r w:rsidRPr="00C277C0">
        <w:rPr>
          <w:rFonts w:eastAsia="宋体" w:hint="eastAsia"/>
          <w:snapToGrid w:val="0"/>
          <w:lang w:eastAsia="zh-CN"/>
        </w:rPr>
        <w:t>FD&amp;C</w:t>
      </w:r>
      <w:r w:rsidRPr="00C277C0">
        <w:rPr>
          <w:rFonts w:eastAsia="宋体" w:hint="eastAsia"/>
          <w:snapToGrid w:val="0"/>
          <w:lang w:eastAsia="zh-CN"/>
        </w:rPr>
        <w:t>法案》）（</w:t>
      </w:r>
      <w:r w:rsidRPr="00C277C0">
        <w:rPr>
          <w:rFonts w:eastAsia="宋体" w:hint="eastAsia"/>
          <w:snapToGrid w:val="0"/>
          <w:lang w:eastAsia="zh-CN"/>
        </w:rPr>
        <w:t>21 U.S.C.353</w:t>
      </w:r>
      <w:r w:rsidR="00BD2801" w:rsidRPr="00C277C0">
        <w:rPr>
          <w:rFonts w:eastAsia="宋体" w:hint="eastAsia"/>
          <w:snapToGrid w:val="0"/>
          <w:lang w:eastAsia="zh-CN"/>
        </w:rPr>
        <w:t>（</w:t>
      </w:r>
      <w:r w:rsidRPr="00C277C0">
        <w:rPr>
          <w:rFonts w:eastAsia="宋体" w:hint="eastAsia"/>
          <w:snapToGrid w:val="0"/>
          <w:lang w:eastAsia="zh-CN"/>
        </w:rPr>
        <w:t>g</w:t>
      </w:r>
      <w:r w:rsidR="00BD2801" w:rsidRPr="00C277C0">
        <w:rPr>
          <w:rFonts w:eastAsia="宋体" w:hint="eastAsia"/>
          <w:snapToGrid w:val="0"/>
          <w:lang w:eastAsia="zh-CN"/>
        </w:rPr>
        <w:t>）（</w:t>
      </w:r>
      <w:r w:rsidRPr="00C277C0">
        <w:rPr>
          <w:rFonts w:eastAsia="宋体" w:hint="eastAsia"/>
          <w:snapToGrid w:val="0"/>
          <w:lang w:eastAsia="zh-CN"/>
        </w:rPr>
        <w:t>1</w:t>
      </w:r>
      <w:r w:rsidR="00BD2801" w:rsidRPr="00C277C0">
        <w:rPr>
          <w:rFonts w:eastAsia="宋体" w:hint="eastAsia"/>
          <w:snapToGrid w:val="0"/>
          <w:lang w:eastAsia="zh-CN"/>
        </w:rPr>
        <w:t>）</w:t>
      </w:r>
      <w:r w:rsidRPr="00C277C0">
        <w:rPr>
          <w:rFonts w:eastAsia="宋体" w:hint="eastAsia"/>
          <w:snapToGrid w:val="0"/>
          <w:lang w:eastAsia="zh-CN"/>
        </w:rPr>
        <w:t>）第</w:t>
      </w:r>
      <w:r w:rsidRPr="00C277C0">
        <w:rPr>
          <w:rFonts w:eastAsia="宋体" w:hint="eastAsia"/>
          <w:snapToGrid w:val="0"/>
          <w:lang w:eastAsia="zh-CN"/>
        </w:rPr>
        <w:t>503</w:t>
      </w:r>
      <w:r w:rsidR="00BD2801" w:rsidRPr="00C277C0">
        <w:rPr>
          <w:rFonts w:eastAsia="宋体" w:hint="eastAsia"/>
          <w:snapToGrid w:val="0"/>
          <w:lang w:eastAsia="zh-CN"/>
        </w:rPr>
        <w:t>（</w:t>
      </w:r>
      <w:r w:rsidRPr="00C277C0">
        <w:rPr>
          <w:rFonts w:eastAsia="宋体" w:hint="eastAsia"/>
          <w:snapToGrid w:val="0"/>
          <w:lang w:eastAsia="zh-CN"/>
        </w:rPr>
        <w:t>g</w:t>
      </w:r>
      <w:r w:rsidR="00BD2801" w:rsidRPr="00C277C0">
        <w:rPr>
          <w:rFonts w:eastAsia="宋体" w:hint="eastAsia"/>
          <w:snapToGrid w:val="0"/>
          <w:lang w:eastAsia="zh-CN"/>
        </w:rPr>
        <w:t>）（</w:t>
      </w:r>
      <w:r w:rsidRPr="00C277C0">
        <w:rPr>
          <w:rFonts w:eastAsia="宋体" w:hint="eastAsia"/>
          <w:snapToGrid w:val="0"/>
          <w:lang w:eastAsia="zh-CN"/>
        </w:rPr>
        <w:t>1</w:t>
      </w:r>
      <w:r w:rsidR="00BD2801" w:rsidRPr="00C277C0">
        <w:rPr>
          <w:rFonts w:eastAsia="宋体" w:hint="eastAsia"/>
          <w:snapToGrid w:val="0"/>
          <w:lang w:eastAsia="zh-CN"/>
        </w:rPr>
        <w:t>）</w:t>
      </w:r>
      <w:r w:rsidRPr="00C277C0">
        <w:rPr>
          <w:rFonts w:eastAsia="宋体" w:hint="eastAsia"/>
          <w:snapToGrid w:val="0"/>
          <w:lang w:eastAsia="zh-CN"/>
        </w:rPr>
        <w:t>节，组合产品分配给牵头中心是基于确定</w:t>
      </w:r>
      <w:r w:rsidR="00056517" w:rsidRPr="00C277C0">
        <w:rPr>
          <w:rFonts w:eastAsia="宋体" w:hint="eastAsia"/>
          <w:snapToGrid w:val="0"/>
          <w:lang w:eastAsia="zh-CN"/>
        </w:rPr>
        <w:t>何种</w:t>
      </w:r>
      <w:r w:rsidRPr="00C277C0">
        <w:rPr>
          <w:rFonts w:eastAsia="宋体" w:hint="eastAsia"/>
          <w:snapToGrid w:val="0"/>
          <w:lang w:eastAsia="zh-CN"/>
        </w:rPr>
        <w:t>组成部分提供了该组合产品的主要作用模式（</w:t>
      </w:r>
      <w:r w:rsidRPr="00C277C0">
        <w:rPr>
          <w:rFonts w:eastAsia="宋体" w:hint="eastAsia"/>
          <w:snapToGrid w:val="0"/>
          <w:lang w:eastAsia="zh-CN"/>
        </w:rPr>
        <w:t>PMOA</w:t>
      </w:r>
      <w:r w:rsidRPr="00C277C0">
        <w:rPr>
          <w:rFonts w:eastAsia="宋体" w:hint="eastAsia"/>
          <w:snapToGrid w:val="0"/>
          <w:lang w:eastAsia="zh-CN"/>
        </w:rPr>
        <w:t>）。</w:t>
      </w:r>
      <w:r w:rsidR="00FE2212" w:rsidRPr="00C277C0">
        <w:rPr>
          <w:rStyle w:val="af4"/>
          <w:rFonts w:eastAsia="宋体" w:hint="eastAsia"/>
          <w:snapToGrid w:val="0"/>
          <w:lang w:eastAsia="zh-CN"/>
        </w:rPr>
        <w:footnoteReference w:id="5"/>
      </w:r>
      <w:r w:rsidRPr="00C277C0">
        <w:rPr>
          <w:rFonts w:eastAsia="宋体" w:hint="eastAsia"/>
          <w:snapToGrid w:val="0"/>
          <w:lang w:eastAsia="zh-CN"/>
        </w:rPr>
        <w:t>例如，若器械</w:t>
      </w:r>
      <w:r w:rsidRPr="00C277C0">
        <w:rPr>
          <w:rFonts w:eastAsia="宋体" w:hint="eastAsia"/>
          <w:snapToGrid w:val="0"/>
          <w:lang w:eastAsia="zh-CN"/>
        </w:rPr>
        <w:t>-</w:t>
      </w:r>
      <w:r w:rsidRPr="00C277C0">
        <w:rPr>
          <w:rFonts w:eastAsia="宋体" w:hint="eastAsia"/>
          <w:snapToGrid w:val="0"/>
          <w:lang w:eastAsia="zh-CN"/>
        </w:rPr>
        <w:t>生物制品组合产品的</w:t>
      </w:r>
      <w:r w:rsidRPr="00C277C0">
        <w:rPr>
          <w:rFonts w:eastAsia="宋体" w:hint="eastAsia"/>
          <w:snapToGrid w:val="0"/>
          <w:lang w:eastAsia="zh-CN"/>
        </w:rPr>
        <w:t>PMOA</w:t>
      </w:r>
      <w:r w:rsidRPr="00C277C0">
        <w:rPr>
          <w:rFonts w:eastAsia="宋体" w:hint="eastAsia"/>
          <w:snapToGrid w:val="0"/>
          <w:lang w:eastAsia="zh-CN"/>
        </w:rPr>
        <w:t>归因于生物制品组成部分，则负责此类生物制品上市前审查的中心对该组合产品的监管具有主要管辖权。</w:t>
      </w:r>
    </w:p>
    <w:p w:rsidR="00C1273A" w:rsidRPr="00C277C0" w:rsidRDefault="00C1273A" w:rsidP="00B403CB">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无论</w:t>
      </w:r>
      <w:r w:rsidRPr="00C277C0">
        <w:rPr>
          <w:rFonts w:eastAsia="宋体" w:hint="eastAsia"/>
          <w:snapToGrid w:val="0"/>
          <w:lang w:eastAsia="zh-CN"/>
        </w:rPr>
        <w:t>PMOA</w:t>
      </w:r>
      <w:r w:rsidRPr="00C277C0">
        <w:rPr>
          <w:rFonts w:eastAsia="宋体" w:hint="eastAsia"/>
          <w:snapToGrid w:val="0"/>
          <w:lang w:eastAsia="zh-CN"/>
        </w:rPr>
        <w:t>如何，</w:t>
      </w:r>
      <w:r w:rsidRPr="00C277C0">
        <w:rPr>
          <w:rFonts w:eastAsia="宋体" w:hint="eastAsia"/>
          <w:snapToGrid w:val="0"/>
          <w:lang w:eastAsia="zh-CN"/>
        </w:rPr>
        <w:t>FDA</w:t>
      </w:r>
      <w:r w:rsidRPr="00C277C0">
        <w:rPr>
          <w:rFonts w:eastAsia="宋体" w:hint="eastAsia"/>
          <w:snapToGrid w:val="0"/>
          <w:lang w:eastAsia="zh-CN"/>
        </w:rPr>
        <w:t>各部门将酌情进行协调，以确保高效、有效、适当一致的</w:t>
      </w:r>
      <w:r w:rsidRPr="00C277C0">
        <w:rPr>
          <w:rFonts w:eastAsia="宋体" w:hint="eastAsia"/>
          <w:snapToGrid w:val="0"/>
          <w:lang w:eastAsia="zh-CN"/>
        </w:rPr>
        <w:t>PMSR</w:t>
      </w:r>
      <w:r w:rsidRPr="00C277C0">
        <w:rPr>
          <w:rFonts w:eastAsia="宋体" w:hint="eastAsia"/>
          <w:snapToGrid w:val="0"/>
          <w:lang w:eastAsia="zh-CN"/>
        </w:rPr>
        <w:t>政策和</w:t>
      </w:r>
      <w:r w:rsidRPr="00C277C0">
        <w:rPr>
          <w:rFonts w:eastAsia="宋体" w:hint="eastAsia"/>
          <w:snapToGrid w:val="0"/>
          <w:lang w:eastAsia="zh-CN"/>
        </w:rPr>
        <w:t>PMSR</w:t>
      </w:r>
      <w:r w:rsidRPr="00C277C0">
        <w:rPr>
          <w:rFonts w:eastAsia="宋体" w:hint="eastAsia"/>
          <w:snapToGrid w:val="0"/>
          <w:lang w:eastAsia="zh-CN"/>
        </w:rPr>
        <w:t>信息审查。对于组合产品</w:t>
      </w:r>
      <w:r w:rsidRPr="00C277C0">
        <w:rPr>
          <w:rFonts w:eastAsia="宋体" w:hint="eastAsia"/>
          <w:snapToGrid w:val="0"/>
          <w:lang w:eastAsia="zh-CN"/>
        </w:rPr>
        <w:t>PMSR</w:t>
      </w:r>
      <w:r w:rsidRPr="00C277C0">
        <w:rPr>
          <w:rFonts w:eastAsia="宋体" w:hint="eastAsia"/>
          <w:snapToGrid w:val="0"/>
          <w:lang w:eastAsia="zh-CN"/>
        </w:rPr>
        <w:t>，牵头中心将根据提出的问题和所需的专业知识，酌情与其他中心和组合产品办公室（</w:t>
      </w:r>
      <w:r w:rsidRPr="00C277C0">
        <w:rPr>
          <w:rFonts w:eastAsia="宋体" w:hint="eastAsia"/>
          <w:snapToGrid w:val="0"/>
          <w:lang w:eastAsia="zh-CN"/>
        </w:rPr>
        <w:t>OCP</w:t>
      </w:r>
      <w:r w:rsidRPr="00C277C0">
        <w:rPr>
          <w:rFonts w:eastAsia="宋体" w:hint="eastAsia"/>
          <w:snapToGrid w:val="0"/>
          <w:lang w:eastAsia="zh-CN"/>
        </w:rPr>
        <w:t>）协调</w:t>
      </w:r>
      <w:r w:rsidRPr="00C277C0">
        <w:rPr>
          <w:rFonts w:eastAsia="宋体" w:hint="eastAsia"/>
          <w:snapToGrid w:val="0"/>
          <w:lang w:eastAsia="zh-CN"/>
        </w:rPr>
        <w:t>PMSR</w:t>
      </w:r>
      <w:r w:rsidRPr="00C277C0">
        <w:rPr>
          <w:rFonts w:eastAsia="宋体" w:hint="eastAsia"/>
          <w:snapToGrid w:val="0"/>
          <w:lang w:eastAsia="zh-CN"/>
        </w:rPr>
        <w:t>信息审查和对提交人的任何回复。</w:t>
      </w:r>
    </w:p>
    <w:p w:rsidR="00C1273A" w:rsidRPr="00C277C0" w:rsidRDefault="00C1273A" w:rsidP="00C1273A">
      <w:pPr>
        <w:pStyle w:val="a3"/>
        <w:autoSpaceDE/>
        <w:autoSpaceDN/>
        <w:snapToGrid w:val="0"/>
        <w:jc w:val="both"/>
        <w:rPr>
          <w:rFonts w:eastAsia="宋体"/>
          <w:snapToGrid w:val="0"/>
          <w:lang w:eastAsia="zh-CN"/>
        </w:rPr>
      </w:pPr>
      <w:bookmarkStart w:id="8" w:name="_Toc95145697"/>
    </w:p>
    <w:p w:rsidR="00C1273A" w:rsidRPr="00B403CB" w:rsidRDefault="00CB2C74" w:rsidP="00B403CB">
      <w:pPr>
        <w:pStyle w:val="1"/>
        <w:numPr>
          <w:ilvl w:val="0"/>
          <w:numId w:val="43"/>
        </w:numPr>
        <w:tabs>
          <w:tab w:val="left" w:pos="868"/>
        </w:tabs>
        <w:autoSpaceDE/>
        <w:autoSpaceDN/>
        <w:spacing w:beforeLines="0" w:before="0" w:line="240" w:lineRule="auto"/>
        <w:ind w:left="880" w:hangingChars="313" w:hanging="880"/>
        <w:rPr>
          <w:sz w:val="28"/>
          <w:lang w:eastAsia="zh-CN"/>
        </w:rPr>
      </w:pPr>
      <w:bookmarkStart w:id="9" w:name="_Toc97551498"/>
      <w:r w:rsidRPr="00B403CB">
        <w:rPr>
          <w:rFonts w:hint="eastAsia"/>
          <w:sz w:val="28"/>
          <w:lang w:eastAsia="zh-CN"/>
        </w:rPr>
        <w:t>组合产品</w:t>
      </w:r>
      <w:r w:rsidRPr="00B403CB">
        <w:rPr>
          <w:sz w:val="28"/>
          <w:lang w:eastAsia="zh-CN"/>
        </w:rPr>
        <w:t>PMSR</w:t>
      </w:r>
      <w:r w:rsidRPr="00B403CB">
        <w:rPr>
          <w:rFonts w:hint="eastAsia"/>
          <w:sz w:val="28"/>
          <w:lang w:eastAsia="zh-CN"/>
        </w:rPr>
        <w:t>合规性的一般考虑因素</w:t>
      </w:r>
      <w:bookmarkEnd w:id="8"/>
      <w:bookmarkEnd w:id="9"/>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w:t>
      </w:r>
      <w:r w:rsidRPr="00C277C0">
        <w:rPr>
          <w:rFonts w:eastAsia="宋体" w:hint="eastAsia"/>
          <w:snapToGrid w:val="0"/>
          <w:lang w:eastAsia="zh-CN"/>
        </w:rPr>
        <w:t>PMSR</w:t>
      </w:r>
      <w:r w:rsidRPr="00C277C0">
        <w:rPr>
          <w:rFonts w:eastAsia="宋体" w:hint="eastAsia"/>
          <w:snapToGrid w:val="0"/>
          <w:lang w:eastAsia="zh-CN"/>
        </w:rPr>
        <w:t>最终规则</w:t>
      </w:r>
      <w:r w:rsidR="00A1704A" w:rsidRPr="00C277C0">
        <w:rPr>
          <w:rFonts w:eastAsia="宋体" w:hint="eastAsia"/>
          <w:snapToGrid w:val="0"/>
          <w:lang w:eastAsia="zh-CN"/>
        </w:rPr>
        <w:t>涉及</w:t>
      </w:r>
      <w:r w:rsidRPr="00C277C0">
        <w:rPr>
          <w:rFonts w:eastAsia="宋体" w:hint="eastAsia"/>
          <w:snapToGrid w:val="0"/>
          <w:lang w:eastAsia="zh-CN"/>
        </w:rPr>
        <w:t>需要</w:t>
      </w:r>
      <w:r w:rsidR="00A1704A" w:rsidRPr="00C277C0">
        <w:rPr>
          <w:rFonts w:eastAsia="宋体" w:hint="eastAsia"/>
          <w:snapToGrid w:val="0"/>
          <w:lang w:eastAsia="zh-CN"/>
        </w:rPr>
        <w:t>接受</w:t>
      </w:r>
      <w:r w:rsidRPr="00C277C0">
        <w:rPr>
          <w:rFonts w:eastAsia="宋体" w:hint="eastAsia"/>
          <w:snapToGrid w:val="0"/>
          <w:lang w:eastAsia="zh-CN"/>
        </w:rPr>
        <w:t>FDA</w:t>
      </w:r>
      <w:r w:rsidRPr="00C277C0">
        <w:rPr>
          <w:rFonts w:eastAsia="宋体" w:hint="eastAsia"/>
          <w:snapToGrid w:val="0"/>
          <w:lang w:eastAsia="zh-CN"/>
        </w:rPr>
        <w:t>上市前审查的组合产品。必须符合最终规则的实体为</w:t>
      </w:r>
      <w:r w:rsidR="002C66D7" w:rsidRPr="00B403CB">
        <w:rPr>
          <w:rFonts w:ascii="宋体" w:eastAsia="宋体" w:hAnsi="宋体" w:hint="eastAsia"/>
          <w:lang w:eastAsia="zh-CN"/>
        </w:rPr>
        <w:t>“</w:t>
      </w:r>
      <w:r w:rsidRPr="00C277C0">
        <w:rPr>
          <w:rFonts w:eastAsia="宋体" w:hint="eastAsia"/>
          <w:snapToGrid w:val="0"/>
          <w:lang w:eastAsia="zh-CN"/>
        </w:rPr>
        <w:t>组合产品申请人</w:t>
      </w:r>
      <w:r w:rsidR="002C66D7" w:rsidRPr="00B403CB">
        <w:rPr>
          <w:rFonts w:ascii="宋体" w:eastAsia="宋体" w:hAnsi="宋体" w:hint="eastAsia"/>
          <w:lang w:eastAsia="zh-CN"/>
        </w:rPr>
        <w:t>”</w:t>
      </w:r>
      <w:r w:rsidRPr="00C277C0">
        <w:rPr>
          <w:rFonts w:eastAsia="宋体" w:hint="eastAsia"/>
          <w:snapToGrid w:val="0"/>
          <w:lang w:eastAsia="zh-CN"/>
        </w:rPr>
        <w:t>和</w:t>
      </w:r>
      <w:r w:rsidR="002C66D7" w:rsidRPr="00B403CB">
        <w:rPr>
          <w:rFonts w:ascii="宋体" w:eastAsia="宋体" w:hAnsi="宋体" w:hint="eastAsia"/>
          <w:lang w:eastAsia="zh-CN"/>
        </w:rPr>
        <w:t>“</w:t>
      </w:r>
      <w:r w:rsidRPr="00C277C0">
        <w:rPr>
          <w:rFonts w:eastAsia="宋体" w:hint="eastAsia"/>
          <w:snapToGrid w:val="0"/>
          <w:lang w:eastAsia="zh-CN"/>
        </w:rPr>
        <w:t>组成部分申请人</w:t>
      </w:r>
      <w:r w:rsidR="002C66D7" w:rsidRPr="00B403CB">
        <w:rPr>
          <w:rFonts w:ascii="宋体" w:eastAsia="宋体" w:hAnsi="宋体" w:hint="eastAsia"/>
          <w:lang w:eastAsia="zh-CN"/>
        </w:rPr>
        <w:t>”</w:t>
      </w:r>
      <w:r w:rsidRPr="00C277C0">
        <w:rPr>
          <w:rFonts w:eastAsia="宋体" w:hint="eastAsia"/>
          <w:snapToGrid w:val="0"/>
          <w:lang w:eastAsia="zh-CN"/>
        </w:rPr>
        <w:t>（</w:t>
      </w:r>
      <w:r w:rsidR="00ED68B9" w:rsidRPr="00C277C0">
        <w:rPr>
          <w:rFonts w:eastAsia="宋体" w:hint="eastAsia"/>
          <w:snapToGrid w:val="0"/>
          <w:lang w:eastAsia="zh-CN"/>
        </w:rPr>
        <w:t>有关</w:t>
      </w:r>
      <w:r w:rsidRPr="00C277C0">
        <w:rPr>
          <w:rFonts w:eastAsia="宋体" w:hint="eastAsia"/>
          <w:snapToGrid w:val="0"/>
          <w:lang w:eastAsia="zh-CN"/>
        </w:rPr>
        <w:t>这两类实体的</w:t>
      </w:r>
      <w:r w:rsidR="00ED68B9" w:rsidRPr="00C277C0">
        <w:rPr>
          <w:rFonts w:eastAsia="宋体" w:hint="eastAsia"/>
          <w:snapToGrid w:val="0"/>
          <w:lang w:eastAsia="zh-CN"/>
        </w:rPr>
        <w:t>详细</w:t>
      </w:r>
      <w:r w:rsidRPr="00C277C0">
        <w:rPr>
          <w:rFonts w:eastAsia="宋体" w:hint="eastAsia"/>
          <w:snapToGrid w:val="0"/>
          <w:lang w:eastAsia="zh-CN"/>
        </w:rPr>
        <w:t>解释，请</w:t>
      </w:r>
      <w:r w:rsidR="00A00C22">
        <w:rPr>
          <w:rFonts w:eastAsia="宋体" w:hint="eastAsia"/>
          <w:snapToGrid w:val="0"/>
          <w:lang w:eastAsia="zh-CN"/>
        </w:rPr>
        <w:t>参</w:t>
      </w:r>
      <w:r w:rsidRPr="00C277C0">
        <w:rPr>
          <w:rFonts w:eastAsia="宋体" w:hint="eastAsia"/>
          <w:snapToGrid w:val="0"/>
          <w:lang w:eastAsia="zh-CN"/>
        </w:rPr>
        <w:t>见下文第</w:t>
      </w:r>
      <w:bookmarkStart w:id="10" w:name="OLE_LINK1"/>
      <w:bookmarkStart w:id="11" w:name="OLE_LINK2"/>
      <w:r w:rsidR="00C8689A" w:rsidRPr="00C277C0">
        <w:rPr>
          <w:rFonts w:eastAsia="宋体" w:hint="eastAsia"/>
          <w:snapToGrid w:val="0"/>
          <w:lang w:eastAsia="zh-CN"/>
        </w:rPr>
        <w:t>III</w:t>
      </w:r>
      <w:bookmarkEnd w:id="10"/>
      <w:bookmarkEnd w:id="11"/>
      <w:r w:rsidR="0086378E" w:rsidRPr="00C277C0">
        <w:rPr>
          <w:rFonts w:eastAsia="宋体" w:hint="eastAsia"/>
          <w:snapToGrid w:val="0"/>
          <w:lang w:eastAsia="zh-CN"/>
        </w:rPr>
        <w:t>.</w:t>
      </w:r>
      <w:r w:rsidRPr="00C277C0">
        <w:rPr>
          <w:rFonts w:eastAsia="宋体" w:hint="eastAsia"/>
          <w:snapToGrid w:val="0"/>
          <w:lang w:eastAsia="zh-CN"/>
        </w:rPr>
        <w:t>A</w:t>
      </w:r>
      <w:r w:rsidRPr="00C277C0">
        <w:rPr>
          <w:rFonts w:eastAsia="宋体" w:hint="eastAsia"/>
          <w:snapToGrid w:val="0"/>
          <w:lang w:eastAsia="zh-CN"/>
        </w:rPr>
        <w:t>节）。最终规则的主要元素包括：</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基于申请类型的报告要求。</w:t>
      </w:r>
      <w:r w:rsidRPr="00C277C0">
        <w:rPr>
          <w:rFonts w:eastAsia="宋体" w:hint="eastAsia"/>
          <w:snapToGrid w:val="0"/>
          <w:sz w:val="24"/>
          <w:szCs w:val="24"/>
          <w:lang w:eastAsia="zh-CN"/>
        </w:rPr>
        <w:t>根据组合产品或组成部分获得上市许可的申请类型，这些要求</w:t>
      </w:r>
      <w:r w:rsidRPr="00C277C0">
        <w:rPr>
          <w:rFonts w:eastAsia="宋体" w:hint="eastAsia"/>
          <w:i/>
          <w:snapToGrid w:val="0"/>
          <w:sz w:val="24"/>
          <w:szCs w:val="24"/>
          <w:lang w:eastAsia="zh-CN"/>
        </w:rPr>
        <w:t>同时</w:t>
      </w:r>
      <w:r w:rsidRPr="00C277C0">
        <w:rPr>
          <w:rFonts w:eastAsia="宋体" w:hint="eastAsia"/>
          <w:snapToGrid w:val="0"/>
          <w:sz w:val="24"/>
          <w:szCs w:val="24"/>
          <w:lang w:eastAsia="zh-CN"/>
        </w:rPr>
        <w:t>适用于组合产品申请人和组成部分申请人（基于申请类型的报告要求的详细讨论，请</w:t>
      </w:r>
      <w:r w:rsidR="00F92681">
        <w:rPr>
          <w:rFonts w:eastAsia="宋体" w:hint="eastAsia"/>
          <w:snapToGrid w:val="0"/>
          <w:sz w:val="24"/>
          <w:szCs w:val="24"/>
          <w:lang w:eastAsia="zh-CN"/>
        </w:rPr>
        <w:t>参</w:t>
      </w:r>
      <w:r w:rsidRPr="00C277C0">
        <w:rPr>
          <w:rFonts w:eastAsia="宋体" w:hint="eastAsia"/>
          <w:snapToGrid w:val="0"/>
          <w:sz w:val="24"/>
          <w:szCs w:val="24"/>
          <w:lang w:eastAsia="zh-CN"/>
        </w:rPr>
        <w:t>见第</w:t>
      </w:r>
      <w:r w:rsidR="00C8689A" w:rsidRPr="00C277C0">
        <w:rPr>
          <w:rFonts w:eastAsia="宋体" w:hint="eastAsia"/>
          <w:snapToGrid w:val="0"/>
          <w:sz w:val="24"/>
          <w:lang w:eastAsia="zh-CN"/>
        </w:rPr>
        <w:t>III</w:t>
      </w:r>
      <w:r w:rsidR="0086378E" w:rsidRPr="00C277C0">
        <w:rPr>
          <w:rFonts w:eastAsia="宋体" w:hint="eastAsia"/>
          <w:snapToGrid w:val="0"/>
          <w:sz w:val="24"/>
          <w:szCs w:val="24"/>
          <w:lang w:eastAsia="zh-CN"/>
        </w:rPr>
        <w:t>.</w:t>
      </w:r>
      <w:r w:rsidRPr="00C277C0">
        <w:rPr>
          <w:rFonts w:eastAsia="宋体" w:hint="eastAsia"/>
          <w:snapToGrid w:val="0"/>
          <w:sz w:val="24"/>
          <w:szCs w:val="24"/>
          <w:lang w:eastAsia="zh-CN"/>
        </w:rPr>
        <w:t>B.1</w:t>
      </w:r>
      <w:r w:rsidRPr="00C277C0">
        <w:rPr>
          <w:rFonts w:eastAsia="宋体" w:hint="eastAsia"/>
          <w:snapToGrid w:val="0"/>
          <w:sz w:val="24"/>
          <w:szCs w:val="24"/>
          <w:lang w:eastAsia="zh-CN"/>
        </w:rPr>
        <w:t>节。）</w:t>
      </w:r>
    </w:p>
    <w:p w:rsidR="00C1273A" w:rsidRPr="00C277C0" w:rsidRDefault="00C1273A" w:rsidP="0051347A">
      <w:pPr>
        <w:pStyle w:val="a4"/>
        <w:autoSpaceDE/>
        <w:autoSpaceDN/>
        <w:snapToGrid w:val="0"/>
        <w:ind w:left="86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基于组成部分的报告要求。</w:t>
      </w:r>
      <w:r w:rsidRPr="00C277C0">
        <w:rPr>
          <w:rFonts w:eastAsia="宋体" w:hint="eastAsia"/>
          <w:snapToGrid w:val="0"/>
          <w:sz w:val="24"/>
          <w:szCs w:val="24"/>
          <w:lang w:eastAsia="zh-CN"/>
        </w:rPr>
        <w:t>基于组成部分的报告要求</w:t>
      </w:r>
      <w:r w:rsidRPr="00C277C0">
        <w:rPr>
          <w:rFonts w:eastAsia="宋体" w:hint="eastAsia"/>
          <w:i/>
          <w:snapToGrid w:val="0"/>
          <w:sz w:val="24"/>
          <w:szCs w:val="24"/>
          <w:lang w:eastAsia="zh-CN"/>
        </w:rPr>
        <w:t>仅</w:t>
      </w:r>
      <w:r w:rsidRPr="00C277C0">
        <w:rPr>
          <w:rFonts w:eastAsia="宋体" w:hint="eastAsia"/>
          <w:snapToGrid w:val="0"/>
          <w:sz w:val="24"/>
          <w:szCs w:val="24"/>
          <w:lang w:eastAsia="zh-CN"/>
        </w:rPr>
        <w:t>适用于组合产品申请人，且基于组合产品中包含的组成部分类型。（上述要求的详细讨论，请</w:t>
      </w:r>
      <w:r w:rsidR="00F92681">
        <w:rPr>
          <w:rFonts w:eastAsia="宋体" w:hint="eastAsia"/>
          <w:snapToGrid w:val="0"/>
          <w:sz w:val="24"/>
          <w:szCs w:val="24"/>
          <w:lang w:eastAsia="zh-CN"/>
        </w:rPr>
        <w:t>参</w:t>
      </w:r>
      <w:r w:rsidRPr="00C277C0">
        <w:rPr>
          <w:rFonts w:eastAsia="宋体" w:hint="eastAsia"/>
          <w:snapToGrid w:val="0"/>
          <w:sz w:val="24"/>
          <w:szCs w:val="24"/>
          <w:lang w:eastAsia="zh-CN"/>
        </w:rPr>
        <w:t>见下文第</w:t>
      </w:r>
      <w:r w:rsidR="00C8689A" w:rsidRPr="00C277C0">
        <w:rPr>
          <w:rFonts w:eastAsia="宋体" w:hint="eastAsia"/>
          <w:snapToGrid w:val="0"/>
          <w:sz w:val="24"/>
          <w:szCs w:val="24"/>
          <w:lang w:eastAsia="zh-CN"/>
        </w:rPr>
        <w:t>III</w:t>
      </w:r>
      <w:r w:rsidR="0086378E" w:rsidRPr="00C277C0">
        <w:rPr>
          <w:rFonts w:eastAsia="宋体" w:hint="eastAsia"/>
          <w:snapToGrid w:val="0"/>
          <w:sz w:val="24"/>
          <w:szCs w:val="24"/>
          <w:lang w:eastAsia="zh-CN"/>
        </w:rPr>
        <w:t>.</w:t>
      </w:r>
      <w:r w:rsidRPr="00C277C0">
        <w:rPr>
          <w:rFonts w:eastAsia="宋体" w:hint="eastAsia"/>
          <w:snapToGrid w:val="0"/>
          <w:sz w:val="24"/>
          <w:szCs w:val="24"/>
          <w:lang w:eastAsia="zh-CN"/>
        </w:rPr>
        <w:t>B.2</w:t>
      </w:r>
      <w:r w:rsidRPr="00C277C0">
        <w:rPr>
          <w:rFonts w:eastAsia="宋体" w:hint="eastAsia"/>
          <w:snapToGrid w:val="0"/>
          <w:sz w:val="24"/>
          <w:szCs w:val="24"/>
          <w:lang w:eastAsia="zh-CN"/>
        </w:rPr>
        <w:t>节和第</w:t>
      </w:r>
      <w:r w:rsidR="00C8689A" w:rsidRPr="00C277C0">
        <w:rPr>
          <w:rFonts w:eastAsia="宋体" w:hint="eastAsia"/>
          <w:snapToGrid w:val="0"/>
          <w:sz w:val="24"/>
          <w:szCs w:val="24"/>
          <w:lang w:eastAsia="zh-CN"/>
        </w:rPr>
        <w:t>IV</w:t>
      </w:r>
      <w:r w:rsidRPr="00C277C0">
        <w:rPr>
          <w:rFonts w:eastAsia="宋体" w:hint="eastAsia"/>
          <w:snapToGrid w:val="0"/>
          <w:sz w:val="24"/>
          <w:szCs w:val="24"/>
          <w:lang w:eastAsia="zh-CN"/>
        </w:rPr>
        <w:t>节。）</w:t>
      </w:r>
    </w:p>
    <w:p w:rsidR="006223B4" w:rsidRPr="00C277C0" w:rsidRDefault="006223B4" w:rsidP="006223B4">
      <w:pPr>
        <w:autoSpaceDE/>
        <w:autoSpaceDN/>
        <w:snapToGrid w:val="0"/>
        <w:jc w:val="both"/>
        <w:rPr>
          <w:rFonts w:eastAsia="宋体"/>
          <w:snapToGrid w:val="0"/>
          <w:color w:val="0000FF"/>
          <w:sz w:val="24"/>
          <w:szCs w:val="24"/>
          <w:lang w:eastAsia="zh-CN"/>
        </w:rPr>
      </w:pPr>
      <w:r w:rsidRPr="00C277C0">
        <w:rPr>
          <w:rFonts w:eastAsia="宋体" w:hint="eastAsia"/>
          <w:snapToGrid w:val="0"/>
          <w:color w:val="0000FF"/>
          <w:sz w:val="24"/>
          <w:szCs w:val="24"/>
          <w:lang w:eastAsia="zh-CN"/>
        </w:rPr>
        <w:br w:type="page"/>
      </w:r>
    </w:p>
    <w:p w:rsidR="006223B4" w:rsidRPr="00C277C0" w:rsidRDefault="006223B4" w:rsidP="00B403CB">
      <w:pPr>
        <w:autoSpaceDE/>
        <w:autoSpaceDN/>
        <w:snapToGrid w:val="0"/>
        <w:jc w:val="both"/>
        <w:rPr>
          <w:rFonts w:eastAsia="宋体"/>
          <w:snapToGrid w:val="0"/>
          <w:color w:val="0000FF"/>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信息共享。</w:t>
      </w:r>
      <w:r w:rsidRPr="00C277C0">
        <w:rPr>
          <w:rFonts w:eastAsia="宋体" w:hint="eastAsia"/>
          <w:snapToGrid w:val="0"/>
          <w:sz w:val="24"/>
          <w:szCs w:val="24"/>
          <w:lang w:eastAsia="zh-CN"/>
        </w:rPr>
        <w:t>该规则要求组成部分申请人相互分享他们收到的某些上市后安全性信息（详细讨论请</w:t>
      </w:r>
      <w:r w:rsidR="00866562">
        <w:rPr>
          <w:rFonts w:eastAsia="宋体" w:hint="eastAsia"/>
          <w:snapToGrid w:val="0"/>
          <w:sz w:val="24"/>
          <w:szCs w:val="24"/>
          <w:lang w:eastAsia="zh-CN"/>
        </w:rPr>
        <w:t>参</w:t>
      </w:r>
      <w:r w:rsidRPr="00C277C0">
        <w:rPr>
          <w:rFonts w:eastAsia="宋体" w:hint="eastAsia"/>
          <w:snapToGrid w:val="0"/>
          <w:sz w:val="24"/>
          <w:szCs w:val="24"/>
          <w:lang w:eastAsia="zh-CN"/>
        </w:rPr>
        <w:t>见下文第</w:t>
      </w:r>
      <w:r w:rsidR="00C8689A" w:rsidRPr="00C277C0">
        <w:rPr>
          <w:rFonts w:eastAsia="宋体" w:hint="eastAsia"/>
          <w:snapToGrid w:val="0"/>
          <w:sz w:val="24"/>
          <w:szCs w:val="24"/>
          <w:lang w:eastAsia="zh-CN"/>
        </w:rPr>
        <w:t>IV</w:t>
      </w:r>
      <w:r w:rsidR="00C0232D" w:rsidRPr="00C277C0">
        <w:rPr>
          <w:rFonts w:eastAsia="宋体" w:hint="eastAsia"/>
          <w:snapToGrid w:val="0"/>
          <w:sz w:val="24"/>
          <w:szCs w:val="24"/>
          <w:lang w:eastAsia="zh-CN"/>
        </w:rPr>
        <w:t>.</w:t>
      </w:r>
      <w:r w:rsidRPr="00C277C0">
        <w:rPr>
          <w:rFonts w:eastAsia="宋体" w:hint="eastAsia"/>
          <w:snapToGrid w:val="0"/>
          <w:sz w:val="24"/>
          <w:szCs w:val="24"/>
          <w:lang w:eastAsia="zh-CN"/>
        </w:rPr>
        <w:t>D</w:t>
      </w:r>
      <w:r w:rsidRPr="00C277C0">
        <w:rPr>
          <w:rFonts w:eastAsia="宋体" w:hint="eastAsia"/>
          <w:snapToGrid w:val="0"/>
          <w:sz w:val="24"/>
          <w:szCs w:val="24"/>
          <w:lang w:eastAsia="zh-CN"/>
        </w:rPr>
        <w:t>节。）</w:t>
      </w:r>
    </w:p>
    <w:p w:rsidR="00C1273A" w:rsidRPr="00C277C0" w:rsidRDefault="00C1273A" w:rsidP="0051347A">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提交程序。</w:t>
      </w:r>
      <w:r w:rsidRPr="00C277C0">
        <w:rPr>
          <w:rFonts w:eastAsia="宋体" w:hint="eastAsia"/>
          <w:snapToGrid w:val="0"/>
          <w:sz w:val="24"/>
          <w:szCs w:val="24"/>
          <w:lang w:eastAsia="zh-CN"/>
        </w:rPr>
        <w:t>该规则规定了组合产品和组成部分申请人必须</w:t>
      </w:r>
      <w:r w:rsidR="00291779" w:rsidRPr="00C277C0">
        <w:rPr>
          <w:rFonts w:eastAsia="宋体" w:hint="eastAsia"/>
          <w:snapToGrid w:val="0"/>
          <w:sz w:val="24"/>
          <w:szCs w:val="24"/>
          <w:lang w:eastAsia="zh-CN"/>
        </w:rPr>
        <w:t>以何种方式</w:t>
      </w:r>
      <w:r w:rsidRPr="00C277C0">
        <w:rPr>
          <w:rFonts w:eastAsia="宋体" w:hint="eastAsia"/>
          <w:snapToGrid w:val="0"/>
          <w:sz w:val="24"/>
          <w:szCs w:val="24"/>
          <w:lang w:eastAsia="zh-CN"/>
        </w:rPr>
        <w:t>向</w:t>
      </w:r>
      <w:r w:rsidRPr="00C277C0">
        <w:rPr>
          <w:rFonts w:eastAsia="宋体" w:hint="eastAsia"/>
          <w:snapToGrid w:val="0"/>
          <w:sz w:val="24"/>
          <w:szCs w:val="24"/>
          <w:lang w:eastAsia="zh-CN"/>
        </w:rPr>
        <w:t>FDA</w:t>
      </w:r>
      <w:r w:rsidRPr="00C277C0">
        <w:rPr>
          <w:rFonts w:eastAsia="宋体" w:hint="eastAsia"/>
          <w:snapToGrid w:val="0"/>
          <w:sz w:val="24"/>
          <w:szCs w:val="24"/>
          <w:lang w:eastAsia="zh-CN"/>
        </w:rPr>
        <w:t>提交</w:t>
      </w:r>
      <w:r w:rsidRPr="00C277C0">
        <w:rPr>
          <w:rFonts w:eastAsia="宋体" w:hint="eastAsia"/>
          <w:snapToGrid w:val="0"/>
          <w:sz w:val="24"/>
          <w:szCs w:val="24"/>
          <w:lang w:eastAsia="zh-CN"/>
        </w:rPr>
        <w:t>PMSR</w:t>
      </w:r>
      <w:r w:rsidRPr="00C277C0">
        <w:rPr>
          <w:rFonts w:eastAsia="宋体" w:hint="eastAsia"/>
          <w:snapToGrid w:val="0"/>
          <w:sz w:val="24"/>
          <w:szCs w:val="24"/>
          <w:lang w:eastAsia="zh-CN"/>
        </w:rPr>
        <w:t>信息（如何向</w:t>
      </w:r>
      <w:r w:rsidRPr="00C277C0">
        <w:rPr>
          <w:rFonts w:eastAsia="宋体" w:hint="eastAsia"/>
          <w:snapToGrid w:val="0"/>
          <w:sz w:val="24"/>
          <w:szCs w:val="24"/>
          <w:lang w:eastAsia="zh-CN"/>
        </w:rPr>
        <w:t>FDA</w:t>
      </w:r>
      <w:r w:rsidRPr="00C277C0">
        <w:rPr>
          <w:rFonts w:eastAsia="宋体" w:hint="eastAsia"/>
          <w:snapToGrid w:val="0"/>
          <w:sz w:val="24"/>
          <w:szCs w:val="24"/>
          <w:lang w:eastAsia="zh-CN"/>
        </w:rPr>
        <w:t>提交信息的详细讨论，请</w:t>
      </w:r>
      <w:r w:rsidR="00866562">
        <w:rPr>
          <w:rFonts w:eastAsia="宋体" w:hint="eastAsia"/>
          <w:snapToGrid w:val="0"/>
          <w:sz w:val="24"/>
          <w:szCs w:val="24"/>
          <w:lang w:eastAsia="zh-CN"/>
        </w:rPr>
        <w:t>参</w:t>
      </w:r>
      <w:r w:rsidRPr="00C277C0">
        <w:rPr>
          <w:rFonts w:eastAsia="宋体" w:hint="eastAsia"/>
          <w:snapToGrid w:val="0"/>
          <w:sz w:val="24"/>
          <w:szCs w:val="24"/>
          <w:lang w:eastAsia="zh-CN"/>
        </w:rPr>
        <w:t>见第</w:t>
      </w:r>
      <w:r w:rsidR="00C8689A" w:rsidRPr="00C277C0">
        <w:rPr>
          <w:rFonts w:eastAsia="宋体" w:hint="eastAsia"/>
          <w:snapToGrid w:val="0"/>
          <w:sz w:val="24"/>
          <w:szCs w:val="24"/>
          <w:lang w:eastAsia="zh-CN"/>
        </w:rPr>
        <w:t>V</w:t>
      </w:r>
      <w:r w:rsidR="00C0232D" w:rsidRPr="00C277C0">
        <w:rPr>
          <w:rFonts w:eastAsia="宋体" w:hint="eastAsia"/>
          <w:snapToGrid w:val="0"/>
          <w:sz w:val="24"/>
          <w:szCs w:val="24"/>
          <w:lang w:eastAsia="zh-CN"/>
        </w:rPr>
        <w:t>.</w:t>
      </w:r>
      <w:r w:rsidRPr="00C277C0">
        <w:rPr>
          <w:rFonts w:eastAsia="宋体" w:hint="eastAsia"/>
          <w:snapToGrid w:val="0"/>
          <w:sz w:val="24"/>
          <w:szCs w:val="24"/>
          <w:lang w:eastAsia="zh-CN"/>
        </w:rPr>
        <w:t>A</w:t>
      </w:r>
      <w:r w:rsidRPr="00C277C0">
        <w:rPr>
          <w:rFonts w:eastAsia="宋体" w:hint="eastAsia"/>
          <w:snapToGrid w:val="0"/>
          <w:sz w:val="24"/>
          <w:szCs w:val="24"/>
          <w:lang w:eastAsia="zh-CN"/>
        </w:rPr>
        <w:t>节。）</w:t>
      </w:r>
    </w:p>
    <w:p w:rsidR="00C1273A" w:rsidRPr="00C277C0" w:rsidRDefault="00C1273A" w:rsidP="0051347A">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简化报告。</w:t>
      </w:r>
      <w:r w:rsidRPr="00C277C0">
        <w:rPr>
          <w:rFonts w:eastAsia="宋体" w:hint="eastAsia"/>
          <w:snapToGrid w:val="0"/>
          <w:sz w:val="24"/>
          <w:szCs w:val="24"/>
          <w:lang w:eastAsia="zh-CN"/>
        </w:rPr>
        <w:t>该规则提供了在同一份报告中同时满足某些报告要求的方法。（简化报告的机会和方法的详细讨论，请</w:t>
      </w:r>
      <w:r w:rsidR="00866562">
        <w:rPr>
          <w:rFonts w:eastAsia="宋体" w:hint="eastAsia"/>
          <w:snapToGrid w:val="0"/>
          <w:sz w:val="24"/>
          <w:szCs w:val="24"/>
          <w:lang w:eastAsia="zh-CN"/>
        </w:rPr>
        <w:t>参</w:t>
      </w:r>
      <w:r w:rsidRPr="00C277C0">
        <w:rPr>
          <w:rFonts w:eastAsia="宋体" w:hint="eastAsia"/>
          <w:snapToGrid w:val="0"/>
          <w:sz w:val="24"/>
          <w:szCs w:val="24"/>
          <w:lang w:eastAsia="zh-CN"/>
        </w:rPr>
        <w:t>见第</w:t>
      </w:r>
      <w:r w:rsidR="00C8689A" w:rsidRPr="00C277C0">
        <w:rPr>
          <w:rFonts w:eastAsia="宋体" w:hint="eastAsia"/>
          <w:snapToGrid w:val="0"/>
          <w:sz w:val="24"/>
          <w:szCs w:val="24"/>
          <w:lang w:eastAsia="zh-CN"/>
        </w:rPr>
        <w:t>IV</w:t>
      </w:r>
      <w:r w:rsidR="00C0232D" w:rsidRPr="00C277C0">
        <w:rPr>
          <w:rFonts w:eastAsia="宋体" w:hint="eastAsia"/>
          <w:snapToGrid w:val="0"/>
          <w:sz w:val="24"/>
          <w:szCs w:val="24"/>
          <w:lang w:eastAsia="zh-CN"/>
        </w:rPr>
        <w:t>.</w:t>
      </w:r>
      <w:r w:rsidRPr="00C277C0">
        <w:rPr>
          <w:rFonts w:eastAsia="宋体" w:hint="eastAsia"/>
          <w:snapToGrid w:val="0"/>
          <w:sz w:val="24"/>
          <w:szCs w:val="24"/>
          <w:lang w:eastAsia="zh-CN"/>
        </w:rPr>
        <w:t>C</w:t>
      </w:r>
      <w:r w:rsidRPr="00C277C0">
        <w:rPr>
          <w:rFonts w:eastAsia="宋体" w:hint="eastAsia"/>
          <w:snapToGrid w:val="0"/>
          <w:sz w:val="24"/>
          <w:szCs w:val="24"/>
          <w:lang w:eastAsia="zh-CN"/>
        </w:rPr>
        <w:t>节和第</w:t>
      </w:r>
      <w:r w:rsidR="00C8689A" w:rsidRPr="00C277C0">
        <w:rPr>
          <w:rFonts w:eastAsia="宋体" w:hint="eastAsia"/>
          <w:snapToGrid w:val="0"/>
          <w:sz w:val="24"/>
          <w:szCs w:val="24"/>
          <w:lang w:eastAsia="zh-CN"/>
        </w:rPr>
        <w:t>V</w:t>
      </w:r>
      <w:r w:rsidR="00C0232D" w:rsidRPr="00C277C0">
        <w:rPr>
          <w:rFonts w:eastAsia="宋体" w:hint="eastAsia"/>
          <w:snapToGrid w:val="0"/>
          <w:sz w:val="24"/>
          <w:szCs w:val="24"/>
          <w:lang w:eastAsia="zh-CN"/>
        </w:rPr>
        <w:t>.</w:t>
      </w:r>
      <w:r w:rsidRPr="00C277C0">
        <w:rPr>
          <w:rFonts w:eastAsia="宋体" w:hint="eastAsia"/>
          <w:snapToGrid w:val="0"/>
          <w:sz w:val="24"/>
          <w:szCs w:val="24"/>
          <w:lang w:eastAsia="zh-CN"/>
        </w:rPr>
        <w:t>A.3</w:t>
      </w:r>
      <w:r w:rsidRPr="00C277C0">
        <w:rPr>
          <w:rFonts w:eastAsia="宋体" w:hint="eastAsia"/>
          <w:snapToGrid w:val="0"/>
          <w:sz w:val="24"/>
          <w:szCs w:val="24"/>
          <w:lang w:eastAsia="zh-CN"/>
        </w:rPr>
        <w:t>节。）</w:t>
      </w:r>
    </w:p>
    <w:p w:rsidR="00C1273A" w:rsidRPr="00C277C0" w:rsidRDefault="00C1273A" w:rsidP="0051347A">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记录保存。</w:t>
      </w:r>
      <w:r w:rsidRPr="00C277C0">
        <w:rPr>
          <w:rFonts w:eastAsia="宋体" w:hint="eastAsia"/>
          <w:snapToGrid w:val="0"/>
          <w:sz w:val="24"/>
          <w:szCs w:val="24"/>
          <w:lang w:eastAsia="zh-CN"/>
        </w:rPr>
        <w:t>该规则规定了组合产品和组成部分申请人必须保留的记录以及保留时间（详细讨论请</w:t>
      </w:r>
      <w:r w:rsidR="00866562">
        <w:rPr>
          <w:rFonts w:eastAsia="宋体" w:hint="eastAsia"/>
          <w:snapToGrid w:val="0"/>
          <w:sz w:val="24"/>
          <w:szCs w:val="24"/>
          <w:lang w:eastAsia="zh-CN"/>
        </w:rPr>
        <w:t>参</w:t>
      </w:r>
      <w:r w:rsidRPr="00C277C0">
        <w:rPr>
          <w:rFonts w:eastAsia="宋体" w:hint="eastAsia"/>
          <w:snapToGrid w:val="0"/>
          <w:sz w:val="24"/>
          <w:szCs w:val="24"/>
          <w:lang w:eastAsia="zh-CN"/>
        </w:rPr>
        <w:t>见下文第</w:t>
      </w:r>
      <w:r w:rsidR="00C8689A" w:rsidRPr="00C277C0">
        <w:rPr>
          <w:rFonts w:eastAsia="宋体" w:hint="eastAsia"/>
          <w:snapToGrid w:val="0"/>
          <w:sz w:val="24"/>
          <w:szCs w:val="24"/>
          <w:lang w:eastAsia="zh-CN"/>
        </w:rPr>
        <w:t>IV</w:t>
      </w:r>
      <w:r w:rsidR="00C0232D" w:rsidRPr="00C277C0">
        <w:rPr>
          <w:rFonts w:eastAsia="宋体" w:hint="eastAsia"/>
          <w:snapToGrid w:val="0"/>
          <w:sz w:val="24"/>
          <w:szCs w:val="24"/>
          <w:lang w:eastAsia="zh-CN"/>
        </w:rPr>
        <w:t>.</w:t>
      </w:r>
      <w:r w:rsidRPr="00C277C0">
        <w:rPr>
          <w:rFonts w:eastAsia="宋体" w:hint="eastAsia"/>
          <w:snapToGrid w:val="0"/>
          <w:sz w:val="24"/>
          <w:szCs w:val="24"/>
          <w:lang w:eastAsia="zh-CN"/>
        </w:rPr>
        <w:t>E</w:t>
      </w:r>
      <w:r w:rsidRPr="00C277C0">
        <w:rPr>
          <w:rFonts w:eastAsia="宋体" w:hint="eastAsia"/>
          <w:snapToGrid w:val="0"/>
          <w:sz w:val="24"/>
          <w:szCs w:val="24"/>
          <w:lang w:eastAsia="zh-CN"/>
        </w:rPr>
        <w:t>节。）</w:t>
      </w:r>
    </w:p>
    <w:p w:rsidR="00C1273A" w:rsidRPr="00C277C0" w:rsidRDefault="00C1273A" w:rsidP="0051347A">
      <w:pPr>
        <w:pStyle w:val="a4"/>
        <w:autoSpaceDE/>
        <w:autoSpaceDN/>
        <w:snapToGrid w:val="0"/>
        <w:ind w:left="920" w:firstLine="0"/>
        <w:jc w:val="both"/>
        <w:rPr>
          <w:rFonts w:eastAsia="宋体"/>
          <w:snapToGrid w:val="0"/>
          <w:sz w:val="24"/>
          <w:szCs w:val="24"/>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12" w:name="_Toc97551499"/>
      <w:bookmarkStart w:id="13" w:name="_Toc95145698"/>
      <w:r w:rsidRPr="00C277C0">
        <w:rPr>
          <w:rFonts w:hint="eastAsia"/>
          <w:snapToGrid w:val="0"/>
          <w:szCs w:val="24"/>
          <w:lang w:eastAsia="zh-CN"/>
        </w:rPr>
        <w:t>A.</w:t>
      </w:r>
      <w:r w:rsidRPr="00C277C0">
        <w:rPr>
          <w:rFonts w:hint="eastAsia"/>
          <w:snapToGrid w:val="0"/>
          <w:szCs w:val="24"/>
          <w:lang w:eastAsia="zh-CN"/>
        </w:rPr>
        <w:tab/>
      </w:r>
      <w:r w:rsidRPr="00C277C0">
        <w:rPr>
          <w:rFonts w:hint="eastAsia"/>
          <w:snapToGrid w:val="0"/>
          <w:szCs w:val="24"/>
          <w:lang w:eastAsia="zh-CN"/>
        </w:rPr>
        <w:t>组合产品</w:t>
      </w:r>
      <w:r w:rsidRPr="00C277C0">
        <w:rPr>
          <w:rFonts w:hint="eastAsia"/>
          <w:snapToGrid w:val="0"/>
          <w:szCs w:val="24"/>
          <w:lang w:eastAsia="zh-CN"/>
        </w:rPr>
        <w:t>PMSR</w:t>
      </w:r>
      <w:r w:rsidRPr="00C277C0">
        <w:rPr>
          <w:rFonts w:hint="eastAsia"/>
          <w:snapToGrid w:val="0"/>
          <w:szCs w:val="24"/>
          <w:lang w:eastAsia="zh-CN"/>
        </w:rPr>
        <w:t>最终规则的约束</w:t>
      </w:r>
      <w:r w:rsidR="004D207A" w:rsidRPr="00C277C0">
        <w:rPr>
          <w:rFonts w:hint="eastAsia"/>
          <w:snapToGrid w:val="0"/>
          <w:szCs w:val="24"/>
          <w:lang w:eastAsia="zh-CN"/>
        </w:rPr>
        <w:t>方</w:t>
      </w:r>
      <w:r w:rsidRPr="00C277C0">
        <w:rPr>
          <w:rFonts w:hint="eastAsia"/>
          <w:snapToGrid w:val="0"/>
          <w:szCs w:val="24"/>
          <w:lang w:eastAsia="zh-CN"/>
        </w:rPr>
        <w:t>？</w:t>
      </w:r>
      <w:bookmarkEnd w:id="12"/>
      <w:bookmarkEnd w:id="13"/>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C1273A">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w:t>
      </w:r>
      <w:r w:rsidRPr="00C277C0">
        <w:rPr>
          <w:rFonts w:eastAsia="宋体" w:hint="eastAsia"/>
          <w:snapToGrid w:val="0"/>
          <w:lang w:eastAsia="zh-CN"/>
        </w:rPr>
        <w:t>PMSR</w:t>
      </w:r>
      <w:r w:rsidRPr="00C277C0">
        <w:rPr>
          <w:rFonts w:eastAsia="宋体" w:hint="eastAsia"/>
          <w:snapToGrid w:val="0"/>
          <w:lang w:eastAsia="zh-CN"/>
        </w:rPr>
        <w:t>最终规则适用于两类</w:t>
      </w:r>
      <w:r w:rsidR="002C66D7" w:rsidRPr="00B403CB">
        <w:rPr>
          <w:rFonts w:ascii="宋体" w:eastAsia="宋体" w:hAnsi="宋体" w:hint="eastAsia"/>
          <w:lang w:eastAsia="zh-CN"/>
        </w:rPr>
        <w:t>“</w:t>
      </w:r>
      <w:r w:rsidRPr="00C277C0">
        <w:rPr>
          <w:rFonts w:eastAsia="宋体" w:hint="eastAsia"/>
          <w:snapToGrid w:val="0"/>
          <w:lang w:eastAsia="zh-CN"/>
        </w:rPr>
        <w:t>申请人</w:t>
      </w:r>
      <w:r w:rsidR="002C66D7" w:rsidRPr="00B403CB">
        <w:rPr>
          <w:rFonts w:ascii="宋体" w:eastAsia="宋体" w:hAnsi="宋体" w:hint="eastAsia"/>
          <w:lang w:eastAsia="zh-CN"/>
        </w:rPr>
        <w:t>”</w:t>
      </w:r>
      <w:r w:rsidRPr="00C277C0">
        <w:rPr>
          <w:rFonts w:eastAsia="宋体" w:hint="eastAsia"/>
          <w:snapToGrid w:val="0"/>
          <w:lang w:eastAsia="zh-CN"/>
        </w:rPr>
        <w:t>，即组合产品申请人和组成部分申请人（</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4.100</w:t>
      </w:r>
      <w:r w:rsidR="00BD2801" w:rsidRPr="00C277C0">
        <w:rPr>
          <w:rFonts w:eastAsia="宋体" w:hint="eastAsia"/>
          <w:snapToGrid w:val="0"/>
          <w:lang w:eastAsia="zh-CN"/>
        </w:rPr>
        <w:t>（</w:t>
      </w:r>
      <w:r w:rsidRPr="00C277C0">
        <w:rPr>
          <w:rFonts w:eastAsia="宋体" w:hint="eastAsia"/>
          <w:snapToGrid w:val="0"/>
          <w:lang w:eastAsia="zh-CN"/>
        </w:rPr>
        <w:t>a</w:t>
      </w:r>
      <w:r w:rsidR="00BD2801" w:rsidRPr="00C277C0">
        <w:rPr>
          <w:rFonts w:eastAsia="宋体" w:hint="eastAsia"/>
          <w:snapToGrid w:val="0"/>
          <w:lang w:eastAsia="zh-CN"/>
        </w:rPr>
        <w:t>）</w:t>
      </w:r>
      <w:r w:rsidRPr="00C277C0">
        <w:rPr>
          <w:rFonts w:eastAsia="宋体" w:hint="eastAsia"/>
          <w:snapToGrid w:val="0"/>
          <w:lang w:eastAsia="zh-CN"/>
        </w:rPr>
        <w:t>）</w:t>
      </w:r>
      <w:r w:rsidR="00142BD0">
        <w:rPr>
          <w:rFonts w:eastAsia="宋体" w:hint="eastAsia"/>
          <w:snapToGrid w:val="0"/>
          <w:lang w:eastAsia="zh-CN"/>
        </w:rPr>
        <w:t>节</w:t>
      </w:r>
      <w:r w:rsidRPr="00C277C0">
        <w:rPr>
          <w:rFonts w:eastAsia="宋体" w:hint="eastAsia"/>
          <w:snapToGrid w:val="0"/>
          <w:lang w:eastAsia="zh-CN"/>
        </w:rPr>
        <w:t>。</w:t>
      </w:r>
      <w:r w:rsidR="00FE2212" w:rsidRPr="00C277C0">
        <w:rPr>
          <w:rStyle w:val="af4"/>
          <w:rFonts w:eastAsia="宋体" w:hint="eastAsia"/>
          <w:snapToGrid w:val="0"/>
          <w:lang w:eastAsia="zh-CN"/>
        </w:rPr>
        <w:footnoteReference w:id="6"/>
      </w:r>
      <w:r w:rsidRPr="00C277C0">
        <w:rPr>
          <w:rFonts w:eastAsia="宋体" w:hint="eastAsia"/>
          <w:snapToGrid w:val="0"/>
          <w:lang w:eastAsia="zh-CN"/>
        </w:rPr>
        <w:t>这些术语和相关术语</w:t>
      </w:r>
      <w:r w:rsidRPr="00B403CB">
        <w:rPr>
          <w:rFonts w:ascii="宋体" w:eastAsia="宋体" w:hAnsi="宋体" w:hint="eastAsia"/>
          <w:lang w:eastAsia="zh-CN"/>
        </w:rPr>
        <w:t>“</w:t>
      </w:r>
      <w:r w:rsidRPr="00C277C0">
        <w:rPr>
          <w:rFonts w:eastAsia="宋体" w:hint="eastAsia"/>
          <w:snapToGrid w:val="0"/>
          <w:lang w:eastAsia="zh-CN"/>
        </w:rPr>
        <w:t>申请人</w:t>
      </w:r>
      <w:r w:rsidRPr="00B403CB">
        <w:rPr>
          <w:rFonts w:ascii="宋体" w:eastAsia="宋体" w:hAnsi="宋体" w:hint="eastAsia"/>
          <w:lang w:eastAsia="zh-CN"/>
        </w:rPr>
        <w:t>”</w:t>
      </w:r>
      <w:r w:rsidRPr="00C277C0">
        <w:rPr>
          <w:rFonts w:eastAsia="宋体" w:hint="eastAsia"/>
          <w:snapToGrid w:val="0"/>
          <w:lang w:eastAsia="zh-CN"/>
        </w:rPr>
        <w:t>和</w:t>
      </w:r>
      <w:r w:rsidRPr="00B403CB">
        <w:rPr>
          <w:rFonts w:ascii="宋体" w:eastAsia="宋体" w:hAnsi="宋体" w:hint="eastAsia"/>
          <w:lang w:eastAsia="zh-CN"/>
        </w:rPr>
        <w:t>“</w:t>
      </w:r>
      <w:r w:rsidRPr="00C277C0">
        <w:rPr>
          <w:rFonts w:eastAsia="宋体" w:hint="eastAsia"/>
          <w:snapToGrid w:val="0"/>
          <w:lang w:eastAsia="zh-CN"/>
        </w:rPr>
        <w:t>申请</w:t>
      </w:r>
      <w:r w:rsidRPr="00B403CB">
        <w:rPr>
          <w:rFonts w:ascii="宋体" w:eastAsia="宋体" w:hAnsi="宋体" w:hint="eastAsia"/>
          <w:lang w:eastAsia="zh-CN"/>
        </w:rPr>
        <w:t>”</w:t>
      </w:r>
      <w:r w:rsidRPr="00C277C0">
        <w:rPr>
          <w:rFonts w:eastAsia="宋体" w:hint="eastAsia"/>
          <w:snapToGrid w:val="0"/>
          <w:lang w:eastAsia="zh-CN"/>
        </w:rPr>
        <w:t>的定义</w:t>
      </w:r>
      <w:r w:rsidR="009640C6">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4.101</w:t>
      </w:r>
      <w:r w:rsidR="00DB474C"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B403CB">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申请人和申请。</w:t>
      </w:r>
      <w:r w:rsidRPr="00C277C0">
        <w:rPr>
          <w:rFonts w:eastAsia="宋体" w:hint="eastAsia"/>
          <w:snapToGrid w:val="0"/>
          <w:sz w:val="24"/>
          <w:szCs w:val="24"/>
          <w:lang w:eastAsia="zh-CN"/>
        </w:rPr>
        <w:t>申请人是指</w:t>
      </w:r>
      <w:r w:rsidR="002C66D7" w:rsidRPr="00B403CB">
        <w:rPr>
          <w:rFonts w:ascii="宋体" w:eastAsia="宋体" w:hAnsi="宋体" w:hint="eastAsia"/>
          <w:sz w:val="24"/>
          <w:lang w:eastAsia="zh-CN"/>
        </w:rPr>
        <w:t>“</w:t>
      </w:r>
      <w:r w:rsidRPr="00C277C0">
        <w:rPr>
          <w:rFonts w:eastAsia="宋体" w:hint="eastAsia"/>
          <w:snapToGrid w:val="0"/>
          <w:sz w:val="24"/>
          <w:szCs w:val="24"/>
          <w:lang w:eastAsia="zh-CN"/>
        </w:rPr>
        <w:t>持有已获得上市许可（如批准、特许、或许可）的组合产品或组合产品组成部分的申请的人</w:t>
      </w:r>
      <w:r w:rsidR="002C66D7" w:rsidRPr="00B403CB">
        <w:rPr>
          <w:rFonts w:ascii="宋体" w:eastAsia="宋体" w:hAnsi="宋体" w:hint="eastAsia"/>
          <w:sz w:val="24"/>
          <w:lang w:eastAsia="zh-CN"/>
        </w:rPr>
        <w:t>”</w:t>
      </w:r>
      <w:r w:rsidRPr="00C277C0">
        <w:rPr>
          <w:rFonts w:eastAsia="宋体" w:hint="eastAsia"/>
          <w:snapToGrid w:val="0"/>
          <w:sz w:val="24"/>
          <w:szCs w:val="24"/>
          <w:lang w:eastAsia="zh-CN"/>
        </w:rPr>
        <w:t>。本规则下的申请包括：新药申请（</w:t>
      </w:r>
      <w:r w:rsidRPr="00C277C0">
        <w:rPr>
          <w:rFonts w:eastAsia="宋体" w:hint="eastAsia"/>
          <w:snapToGrid w:val="0"/>
          <w:sz w:val="24"/>
          <w:szCs w:val="24"/>
          <w:lang w:eastAsia="zh-CN"/>
        </w:rPr>
        <w:t>NDA</w:t>
      </w:r>
      <w:r w:rsidRPr="00C277C0">
        <w:rPr>
          <w:rFonts w:eastAsia="宋体" w:hint="eastAsia"/>
          <w:snapToGrid w:val="0"/>
          <w:sz w:val="24"/>
          <w:szCs w:val="24"/>
          <w:lang w:eastAsia="zh-CN"/>
        </w:rPr>
        <w:t>）、简化新药申请（</w:t>
      </w:r>
      <w:r w:rsidRPr="00C277C0">
        <w:rPr>
          <w:rFonts w:eastAsia="宋体" w:hint="eastAsia"/>
          <w:snapToGrid w:val="0"/>
          <w:sz w:val="24"/>
          <w:szCs w:val="24"/>
          <w:lang w:eastAsia="zh-CN"/>
        </w:rPr>
        <w:t>ANDA</w:t>
      </w:r>
      <w:r w:rsidRPr="00C277C0">
        <w:rPr>
          <w:rFonts w:eastAsia="宋体" w:hint="eastAsia"/>
          <w:snapToGrid w:val="0"/>
          <w:sz w:val="24"/>
          <w:szCs w:val="24"/>
          <w:lang w:eastAsia="zh-CN"/>
        </w:rPr>
        <w:t>）、生物制品许可申请（</w:t>
      </w:r>
      <w:r w:rsidRPr="00C277C0">
        <w:rPr>
          <w:rFonts w:eastAsia="宋体" w:hint="eastAsia"/>
          <w:snapToGrid w:val="0"/>
          <w:sz w:val="24"/>
          <w:szCs w:val="24"/>
          <w:lang w:eastAsia="zh-CN"/>
        </w:rPr>
        <w:t>BLA</w:t>
      </w:r>
      <w:r w:rsidRPr="00C277C0">
        <w:rPr>
          <w:rFonts w:eastAsia="宋体" w:hint="eastAsia"/>
          <w:snapToGrid w:val="0"/>
          <w:sz w:val="24"/>
          <w:szCs w:val="24"/>
          <w:lang w:eastAsia="zh-CN"/>
        </w:rPr>
        <w:t>）和</w:t>
      </w:r>
      <w:r w:rsidR="002C66D7" w:rsidRPr="00B403CB">
        <w:rPr>
          <w:rFonts w:ascii="宋体" w:eastAsia="宋体" w:hAnsi="宋体" w:hint="eastAsia"/>
          <w:sz w:val="24"/>
          <w:lang w:eastAsia="zh-CN"/>
        </w:rPr>
        <w:t>“</w:t>
      </w:r>
      <w:r w:rsidRPr="00C277C0">
        <w:rPr>
          <w:rFonts w:eastAsia="宋体" w:hint="eastAsia"/>
          <w:snapToGrid w:val="0"/>
          <w:sz w:val="24"/>
          <w:szCs w:val="24"/>
          <w:lang w:eastAsia="zh-CN"/>
        </w:rPr>
        <w:t>器械申请</w:t>
      </w:r>
      <w:r w:rsidR="002C66D7" w:rsidRPr="00B403CB">
        <w:rPr>
          <w:rFonts w:ascii="宋体" w:eastAsia="宋体" w:hAnsi="宋体" w:hint="eastAsia"/>
          <w:sz w:val="24"/>
          <w:lang w:eastAsia="zh-CN"/>
        </w:rPr>
        <w:t>”</w:t>
      </w:r>
      <w:r w:rsidR="00FE2212" w:rsidRPr="00C277C0">
        <w:rPr>
          <w:rStyle w:val="af4"/>
          <w:rFonts w:ascii="宋体" w:eastAsia="宋体" w:hAnsi="宋体" w:hint="eastAsia"/>
          <w:snapToGrid w:val="0"/>
          <w:sz w:val="24"/>
          <w:szCs w:val="24"/>
          <w:lang w:eastAsia="zh-CN"/>
        </w:rPr>
        <w:footnoteReference w:id="7"/>
      </w:r>
      <w:r w:rsidRPr="00C277C0">
        <w:rPr>
          <w:rFonts w:eastAsia="宋体" w:hint="eastAsia"/>
          <w:snapToGrid w:val="0"/>
          <w:sz w:val="24"/>
          <w:szCs w:val="24"/>
          <w:lang w:eastAsia="zh-CN"/>
        </w:rPr>
        <w:t>（上市前批准申请（</w:t>
      </w:r>
      <w:r w:rsidRPr="00C277C0">
        <w:rPr>
          <w:rFonts w:eastAsia="宋体" w:hint="eastAsia"/>
          <w:snapToGrid w:val="0"/>
          <w:sz w:val="24"/>
          <w:szCs w:val="24"/>
          <w:lang w:eastAsia="zh-CN"/>
        </w:rPr>
        <w:t>PMA</w:t>
      </w:r>
      <w:r w:rsidRPr="00C277C0">
        <w:rPr>
          <w:rFonts w:eastAsia="宋体" w:hint="eastAsia"/>
          <w:snapToGrid w:val="0"/>
          <w:sz w:val="24"/>
          <w:szCs w:val="24"/>
          <w:lang w:eastAsia="zh-CN"/>
        </w:rPr>
        <w:t>）、产品开发方案（</w:t>
      </w:r>
      <w:r w:rsidRPr="00C277C0">
        <w:rPr>
          <w:rFonts w:eastAsia="宋体" w:hint="eastAsia"/>
          <w:snapToGrid w:val="0"/>
          <w:sz w:val="24"/>
          <w:szCs w:val="24"/>
          <w:lang w:eastAsia="zh-CN"/>
        </w:rPr>
        <w:t>PDP</w:t>
      </w:r>
      <w:r w:rsidRPr="00C277C0">
        <w:rPr>
          <w:rFonts w:eastAsia="宋体" w:hint="eastAsia"/>
          <w:snapToGrid w:val="0"/>
          <w:sz w:val="24"/>
          <w:szCs w:val="24"/>
          <w:lang w:eastAsia="zh-CN"/>
        </w:rPr>
        <w:t>）、人道主义器械豁免（</w:t>
      </w:r>
      <w:r w:rsidRPr="00C277C0">
        <w:rPr>
          <w:rFonts w:eastAsia="宋体" w:hint="eastAsia"/>
          <w:snapToGrid w:val="0"/>
          <w:sz w:val="24"/>
          <w:szCs w:val="24"/>
          <w:lang w:eastAsia="zh-CN"/>
        </w:rPr>
        <w:t>HDE</w:t>
      </w:r>
      <w:r w:rsidRPr="00C277C0">
        <w:rPr>
          <w:rFonts w:eastAsia="宋体" w:hint="eastAsia"/>
          <w:snapToGrid w:val="0"/>
          <w:sz w:val="24"/>
          <w:szCs w:val="24"/>
          <w:lang w:eastAsia="zh-CN"/>
        </w:rPr>
        <w:t>）、</w:t>
      </w:r>
      <w:r w:rsidR="00B3362B" w:rsidRPr="00C277C0">
        <w:rPr>
          <w:rFonts w:eastAsia="宋体" w:hint="eastAsia"/>
          <w:snapToGrid w:val="0"/>
          <w:sz w:val="24"/>
          <w:szCs w:val="24"/>
          <w:lang w:eastAsia="zh-CN"/>
        </w:rPr>
        <w:t>重</w:t>
      </w:r>
      <w:r w:rsidRPr="00C277C0">
        <w:rPr>
          <w:rFonts w:eastAsia="宋体" w:hint="eastAsia"/>
          <w:snapToGrid w:val="0"/>
          <w:sz w:val="24"/>
          <w:szCs w:val="24"/>
          <w:lang w:eastAsia="zh-CN"/>
        </w:rPr>
        <w:t>新分类申请（</w:t>
      </w:r>
      <w:r w:rsidRPr="00C277C0">
        <w:rPr>
          <w:rFonts w:eastAsia="宋体" w:hint="eastAsia"/>
          <w:snapToGrid w:val="0"/>
          <w:sz w:val="24"/>
          <w:szCs w:val="24"/>
          <w:lang w:eastAsia="zh-CN"/>
        </w:rPr>
        <w:t>De Novo</w:t>
      </w:r>
      <w:r w:rsidRPr="00C277C0">
        <w:rPr>
          <w:rFonts w:eastAsia="宋体" w:hint="eastAsia"/>
          <w:snapToGrid w:val="0"/>
          <w:sz w:val="24"/>
          <w:szCs w:val="24"/>
          <w:lang w:eastAsia="zh-CN"/>
        </w:rPr>
        <w:t>），以及上市前通知提交（</w:t>
      </w:r>
      <w:r w:rsidRPr="00C277C0">
        <w:rPr>
          <w:rFonts w:eastAsia="宋体" w:hint="eastAsia"/>
          <w:snapToGrid w:val="0"/>
          <w:sz w:val="24"/>
          <w:szCs w:val="24"/>
          <w:lang w:eastAsia="zh-CN"/>
        </w:rPr>
        <w:t>510</w:t>
      </w:r>
      <w:r w:rsidR="00BD2801" w:rsidRPr="00C277C0">
        <w:rPr>
          <w:rFonts w:eastAsia="宋体" w:hint="eastAsia"/>
          <w:snapToGrid w:val="0"/>
          <w:sz w:val="24"/>
          <w:szCs w:val="24"/>
          <w:lang w:eastAsia="zh-CN"/>
        </w:rPr>
        <w:t>（</w:t>
      </w:r>
      <w:r w:rsidRPr="00C277C0">
        <w:rPr>
          <w:rFonts w:eastAsia="宋体" w:hint="eastAsia"/>
          <w:snapToGrid w:val="0"/>
          <w:sz w:val="24"/>
          <w:szCs w:val="24"/>
          <w:lang w:eastAsia="zh-CN"/>
        </w:rPr>
        <w:t>k</w:t>
      </w:r>
      <w:r w:rsidR="00BD2801" w:rsidRPr="00C277C0">
        <w:rPr>
          <w:rFonts w:eastAsia="宋体" w:hint="eastAsia"/>
          <w:snapToGrid w:val="0"/>
          <w:sz w:val="24"/>
          <w:szCs w:val="24"/>
          <w:lang w:eastAsia="zh-CN"/>
        </w:rPr>
        <w:t>）</w:t>
      </w:r>
      <w:r w:rsidRPr="00C277C0">
        <w:rPr>
          <w:rFonts w:eastAsia="宋体" w:hint="eastAsia"/>
          <w:snapToGrid w:val="0"/>
          <w:sz w:val="24"/>
          <w:szCs w:val="24"/>
          <w:lang w:eastAsia="zh-CN"/>
        </w:rPr>
        <w:t>）。</w:t>
      </w:r>
    </w:p>
    <w:p w:rsidR="00C1273A" w:rsidRPr="00C277C0" w:rsidRDefault="00C1273A" w:rsidP="0051347A">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组合产品申请人</w:t>
      </w:r>
      <w:r w:rsidRPr="00C277C0">
        <w:rPr>
          <w:rFonts w:eastAsia="宋体" w:hint="eastAsia"/>
          <w:snapToGrid w:val="0"/>
          <w:sz w:val="24"/>
          <w:szCs w:val="24"/>
          <w:lang w:eastAsia="zh-CN"/>
        </w:rPr>
        <w:t>是指持有组合产品唯一申请或所有申请的申请人。</w:t>
      </w:r>
      <w:r w:rsidR="00FE2212" w:rsidRPr="00C277C0">
        <w:rPr>
          <w:rStyle w:val="af4"/>
          <w:rFonts w:eastAsia="宋体" w:hint="eastAsia"/>
          <w:snapToGrid w:val="0"/>
          <w:sz w:val="24"/>
          <w:szCs w:val="24"/>
          <w:lang w:eastAsia="zh-CN"/>
        </w:rPr>
        <w:footnoteReference w:id="8"/>
      </w:r>
      <w:r w:rsidRPr="00C277C0">
        <w:rPr>
          <w:rFonts w:eastAsia="宋体" w:hint="eastAsia"/>
          <w:snapToGrid w:val="0"/>
          <w:sz w:val="24"/>
          <w:szCs w:val="24"/>
          <w:lang w:eastAsia="zh-CN"/>
        </w:rPr>
        <w:t>（请注意组合产品申请人持有该申请，但可能不是生产商，如</w:t>
      </w:r>
      <w:r w:rsidR="00C136DF" w:rsidRPr="00C277C0">
        <w:rPr>
          <w:rFonts w:eastAsia="宋体" w:hint="eastAsia"/>
          <w:snapToGrid w:val="0"/>
          <w:sz w:val="24"/>
          <w:szCs w:val="24"/>
          <w:lang w:eastAsia="zh-CN"/>
        </w:rPr>
        <w:t>：</w:t>
      </w:r>
      <w:r w:rsidRPr="00C277C0">
        <w:rPr>
          <w:rFonts w:eastAsia="宋体" w:hint="eastAsia"/>
          <w:snapToGrid w:val="0"/>
          <w:sz w:val="24"/>
          <w:szCs w:val="24"/>
          <w:lang w:eastAsia="zh-CN"/>
        </w:rPr>
        <w:t>组合产品由合同生产商生产。）组合产品申请人示例如下：</w:t>
      </w:r>
    </w:p>
    <w:p w:rsidR="00C1273A" w:rsidRPr="00C277C0" w:rsidRDefault="00C1273A" w:rsidP="0051347A">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1"/>
          <w:numId w:val="4"/>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持有药物洗脱支架（单一实体组合产品）</w:t>
      </w:r>
      <w:r w:rsidRPr="00C277C0">
        <w:rPr>
          <w:rFonts w:eastAsia="宋体" w:hint="eastAsia"/>
          <w:snapToGrid w:val="0"/>
          <w:sz w:val="24"/>
          <w:szCs w:val="24"/>
          <w:lang w:eastAsia="zh-CN"/>
        </w:rPr>
        <w:t>PMA</w:t>
      </w:r>
      <w:r w:rsidRPr="00C277C0">
        <w:rPr>
          <w:rFonts w:eastAsia="宋体" w:hint="eastAsia"/>
          <w:snapToGrid w:val="0"/>
          <w:sz w:val="24"/>
          <w:szCs w:val="24"/>
          <w:lang w:eastAsia="zh-CN"/>
        </w:rPr>
        <w:t>批件的公司。</w:t>
      </w:r>
    </w:p>
    <w:p w:rsidR="006223B4" w:rsidRPr="00C277C0" w:rsidRDefault="006223B4" w:rsidP="006223B4">
      <w:pPr>
        <w:autoSpaceDE/>
        <w:autoSpaceDN/>
        <w:snapToGrid w:val="0"/>
        <w:jc w:val="both"/>
        <w:rPr>
          <w:rFonts w:eastAsia="宋体"/>
          <w:snapToGrid w:val="0"/>
          <w:sz w:val="24"/>
          <w:szCs w:val="24"/>
          <w:lang w:eastAsia="zh-CN"/>
        </w:rPr>
      </w:pPr>
      <w:bookmarkStart w:id="14" w:name="_bookmark12"/>
      <w:bookmarkStart w:id="15" w:name="_bookmark13"/>
      <w:bookmarkEnd w:id="14"/>
      <w:bookmarkEnd w:id="15"/>
      <w:r w:rsidRPr="00C277C0">
        <w:rPr>
          <w:rFonts w:eastAsia="宋体" w:hint="eastAsia"/>
          <w:snapToGrid w:val="0"/>
          <w:sz w:val="24"/>
          <w:szCs w:val="24"/>
          <w:lang w:eastAsia="zh-CN"/>
        </w:rPr>
        <w:br w:type="page"/>
      </w:r>
    </w:p>
    <w:p w:rsidR="006223B4" w:rsidRPr="00C277C0" w:rsidRDefault="006223B4" w:rsidP="00B403CB">
      <w:pPr>
        <w:autoSpaceDE/>
        <w:autoSpaceDN/>
        <w:snapToGrid w:val="0"/>
        <w:jc w:val="both"/>
        <w:rPr>
          <w:rFonts w:eastAsia="宋体"/>
          <w:snapToGrid w:val="0"/>
          <w:sz w:val="24"/>
          <w:szCs w:val="24"/>
          <w:lang w:eastAsia="zh-CN"/>
        </w:rPr>
      </w:pPr>
    </w:p>
    <w:p w:rsidR="00C1273A" w:rsidRPr="00C277C0" w:rsidRDefault="00097329" w:rsidP="00B403CB">
      <w:pPr>
        <w:pStyle w:val="a4"/>
        <w:numPr>
          <w:ilvl w:val="1"/>
          <w:numId w:val="4"/>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持有预计量干粉吸入器与填充药品盒组合包装（组合包装的组合产品）</w:t>
      </w:r>
      <w:r w:rsidRPr="00C277C0">
        <w:rPr>
          <w:rFonts w:eastAsia="宋体" w:hint="eastAsia"/>
          <w:snapToGrid w:val="0"/>
          <w:sz w:val="24"/>
          <w:szCs w:val="24"/>
          <w:lang w:eastAsia="zh-CN"/>
        </w:rPr>
        <w:t>NDA</w:t>
      </w:r>
      <w:r w:rsidRPr="00C277C0">
        <w:rPr>
          <w:rFonts w:eastAsia="宋体" w:hint="eastAsia"/>
          <w:snapToGrid w:val="0"/>
          <w:sz w:val="24"/>
          <w:szCs w:val="24"/>
          <w:lang w:eastAsia="zh-CN"/>
        </w:rPr>
        <w:t>批件的公司。</w:t>
      </w:r>
    </w:p>
    <w:p w:rsidR="00C1273A" w:rsidRPr="00C277C0" w:rsidRDefault="00097329" w:rsidP="00B403CB">
      <w:pPr>
        <w:pStyle w:val="a4"/>
        <w:numPr>
          <w:ilvl w:val="1"/>
          <w:numId w:val="4"/>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持有预充式注射器配置供应的疫苗（单一实体组合产品）</w:t>
      </w:r>
      <w:r w:rsidRPr="00C277C0">
        <w:rPr>
          <w:rFonts w:eastAsia="宋体" w:hint="eastAsia"/>
          <w:snapToGrid w:val="0"/>
          <w:sz w:val="24"/>
          <w:szCs w:val="24"/>
          <w:lang w:eastAsia="zh-CN"/>
        </w:rPr>
        <w:t>BLA</w:t>
      </w:r>
      <w:r w:rsidRPr="00C277C0">
        <w:rPr>
          <w:rFonts w:eastAsia="宋体" w:hint="eastAsia"/>
          <w:snapToGrid w:val="0"/>
          <w:sz w:val="24"/>
          <w:szCs w:val="24"/>
          <w:lang w:eastAsia="zh-CN"/>
        </w:rPr>
        <w:t>批件的公司。</w:t>
      </w:r>
    </w:p>
    <w:p w:rsidR="00C1273A" w:rsidRPr="00C277C0" w:rsidRDefault="00097329" w:rsidP="00B403CB">
      <w:pPr>
        <w:pStyle w:val="a4"/>
        <w:numPr>
          <w:ilvl w:val="1"/>
          <w:numId w:val="4"/>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同时持有激光系统（适用于特定药品光活化）</w:t>
      </w:r>
      <w:r w:rsidRPr="00C277C0">
        <w:rPr>
          <w:rFonts w:eastAsia="宋体" w:hint="eastAsia"/>
          <w:snapToGrid w:val="0"/>
          <w:sz w:val="24"/>
          <w:szCs w:val="24"/>
          <w:lang w:eastAsia="zh-CN"/>
        </w:rPr>
        <w:t>PMA</w:t>
      </w:r>
      <w:r w:rsidRPr="00C277C0">
        <w:rPr>
          <w:rFonts w:eastAsia="宋体" w:hint="eastAsia"/>
          <w:snapToGrid w:val="0"/>
          <w:sz w:val="24"/>
          <w:szCs w:val="24"/>
          <w:lang w:eastAsia="zh-CN"/>
        </w:rPr>
        <w:t>批件</w:t>
      </w:r>
      <w:r w:rsidRPr="00C277C0">
        <w:rPr>
          <w:rFonts w:eastAsia="宋体" w:hint="eastAsia"/>
          <w:i/>
          <w:snapToGrid w:val="0"/>
          <w:sz w:val="24"/>
          <w:szCs w:val="24"/>
          <w:lang w:eastAsia="zh-CN"/>
        </w:rPr>
        <w:t>和</w:t>
      </w:r>
      <w:r w:rsidRPr="00C277C0">
        <w:rPr>
          <w:rFonts w:eastAsia="宋体" w:hint="eastAsia"/>
          <w:snapToGrid w:val="0"/>
          <w:sz w:val="24"/>
          <w:szCs w:val="24"/>
          <w:lang w:eastAsia="zh-CN"/>
        </w:rPr>
        <w:t>需要通过该激光系统光活化的特定药品（共同组成交叉标签的组合产品）</w:t>
      </w:r>
      <w:r w:rsidRPr="00C277C0">
        <w:rPr>
          <w:rFonts w:eastAsia="宋体" w:hint="eastAsia"/>
          <w:snapToGrid w:val="0"/>
          <w:sz w:val="24"/>
          <w:szCs w:val="24"/>
          <w:lang w:eastAsia="zh-CN"/>
        </w:rPr>
        <w:t>NDA</w:t>
      </w:r>
      <w:r w:rsidRPr="00C277C0">
        <w:rPr>
          <w:rFonts w:eastAsia="宋体" w:hint="eastAsia"/>
          <w:snapToGrid w:val="0"/>
          <w:sz w:val="24"/>
          <w:szCs w:val="24"/>
          <w:lang w:eastAsia="zh-CN"/>
        </w:rPr>
        <w:t>批件的公司。</w:t>
      </w:r>
    </w:p>
    <w:p w:rsidR="00C1273A" w:rsidRPr="00C277C0" w:rsidRDefault="00C1273A" w:rsidP="0051347A">
      <w:pPr>
        <w:pStyle w:val="a4"/>
        <w:autoSpaceDE/>
        <w:autoSpaceDN/>
        <w:snapToGrid w:val="0"/>
        <w:ind w:left="180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组成部分申请人</w:t>
      </w:r>
      <w:r w:rsidRPr="00C277C0">
        <w:rPr>
          <w:rFonts w:eastAsia="宋体" w:hint="eastAsia"/>
          <w:snapToGrid w:val="0"/>
          <w:sz w:val="24"/>
          <w:szCs w:val="24"/>
          <w:lang w:eastAsia="zh-CN"/>
        </w:rPr>
        <w:t>是指持有组合产品组成部分申请的申请人，该组合产品的其他组成部分根据不同申请人持有的申请上市。</w:t>
      </w:r>
      <w:r w:rsidR="00FE2212" w:rsidRPr="00C277C0">
        <w:rPr>
          <w:rStyle w:val="af4"/>
          <w:rFonts w:eastAsia="宋体" w:hint="eastAsia"/>
          <w:snapToGrid w:val="0"/>
          <w:sz w:val="24"/>
          <w:szCs w:val="24"/>
          <w:lang w:eastAsia="zh-CN"/>
        </w:rPr>
        <w:footnoteReference w:id="9"/>
      </w:r>
      <w:r w:rsidRPr="00C277C0">
        <w:rPr>
          <w:rFonts w:eastAsia="宋体" w:hint="eastAsia"/>
          <w:snapToGrid w:val="0"/>
          <w:sz w:val="24"/>
          <w:szCs w:val="24"/>
          <w:lang w:eastAsia="zh-CN"/>
        </w:rPr>
        <w:t>通常，如果组合产品由两个不同实体以交叉标签的配置上市，则会有组成部分申请人。例如，如果激光系统（器械）和光激活药品构成交叉标签的组合产品（</w:t>
      </w:r>
      <w:r w:rsidR="00DD165D">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3.2</w:t>
      </w:r>
      <w:r w:rsidR="00BD2801" w:rsidRPr="00C277C0">
        <w:rPr>
          <w:rFonts w:eastAsia="宋体" w:hint="eastAsia"/>
          <w:snapToGrid w:val="0"/>
          <w:sz w:val="24"/>
          <w:szCs w:val="24"/>
          <w:lang w:eastAsia="zh-CN"/>
        </w:rPr>
        <w:t>（</w:t>
      </w:r>
      <w:r w:rsidRPr="00C277C0">
        <w:rPr>
          <w:rFonts w:eastAsia="宋体" w:hint="eastAsia"/>
          <w:snapToGrid w:val="0"/>
          <w:sz w:val="24"/>
          <w:szCs w:val="24"/>
          <w:lang w:eastAsia="zh-CN"/>
        </w:rPr>
        <w:t>e</w:t>
      </w:r>
      <w:r w:rsidR="00BD2801" w:rsidRPr="00C277C0">
        <w:rPr>
          <w:rFonts w:eastAsia="宋体" w:hint="eastAsia"/>
          <w:snapToGrid w:val="0"/>
          <w:sz w:val="24"/>
          <w:szCs w:val="24"/>
          <w:lang w:eastAsia="zh-CN"/>
        </w:rPr>
        <w:t>）</w:t>
      </w:r>
      <w:r w:rsidRPr="00C277C0">
        <w:rPr>
          <w:rFonts w:eastAsia="宋体" w:hint="eastAsia"/>
          <w:snapToGrid w:val="0"/>
          <w:sz w:val="24"/>
          <w:szCs w:val="24"/>
          <w:lang w:eastAsia="zh-CN"/>
        </w:rPr>
        <w:t>）</w:t>
      </w:r>
      <w:r w:rsidR="00ED68B9" w:rsidRPr="00C277C0">
        <w:rPr>
          <w:rFonts w:eastAsia="宋体" w:hint="eastAsia"/>
          <w:snapToGrid w:val="0"/>
          <w:sz w:val="24"/>
          <w:szCs w:val="24"/>
          <w:lang w:eastAsia="zh-CN"/>
        </w:rPr>
        <w:t>节</w:t>
      </w:r>
      <w:r w:rsidRPr="00C277C0">
        <w:rPr>
          <w:rFonts w:eastAsia="宋体" w:hint="eastAsia"/>
          <w:snapToGrid w:val="0"/>
          <w:sz w:val="24"/>
          <w:szCs w:val="24"/>
          <w:lang w:eastAsia="zh-CN"/>
        </w:rPr>
        <w:t>，则组成部分申请人如下：</w:t>
      </w:r>
    </w:p>
    <w:p w:rsidR="00C1273A" w:rsidRPr="00C277C0" w:rsidRDefault="00097329" w:rsidP="00B403CB">
      <w:pPr>
        <w:pStyle w:val="a4"/>
        <w:numPr>
          <w:ilvl w:val="1"/>
          <w:numId w:val="4"/>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持有该组合使用激光系统</w:t>
      </w:r>
      <w:r w:rsidRPr="00C277C0">
        <w:rPr>
          <w:rFonts w:eastAsia="宋体" w:hint="eastAsia"/>
          <w:snapToGrid w:val="0"/>
          <w:sz w:val="24"/>
          <w:szCs w:val="24"/>
          <w:lang w:eastAsia="zh-CN"/>
        </w:rPr>
        <w:t>PMA</w:t>
      </w:r>
      <w:r w:rsidRPr="00C277C0">
        <w:rPr>
          <w:rFonts w:eastAsia="宋体" w:hint="eastAsia"/>
          <w:snapToGrid w:val="0"/>
          <w:sz w:val="24"/>
          <w:szCs w:val="24"/>
          <w:lang w:eastAsia="zh-CN"/>
        </w:rPr>
        <w:t>批件的实体。</w:t>
      </w:r>
    </w:p>
    <w:p w:rsidR="00C1273A" w:rsidRPr="00C277C0" w:rsidRDefault="00097329" w:rsidP="00B403CB">
      <w:pPr>
        <w:pStyle w:val="a4"/>
        <w:numPr>
          <w:ilvl w:val="1"/>
          <w:numId w:val="4"/>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持有该组合使用光激活药品</w:t>
      </w:r>
      <w:r w:rsidRPr="00C277C0">
        <w:rPr>
          <w:rFonts w:eastAsia="宋体" w:hint="eastAsia"/>
          <w:snapToGrid w:val="0"/>
          <w:sz w:val="24"/>
          <w:szCs w:val="24"/>
          <w:lang w:eastAsia="zh-CN"/>
        </w:rPr>
        <w:t>NDA</w:t>
      </w:r>
      <w:r w:rsidRPr="00C277C0">
        <w:rPr>
          <w:rFonts w:eastAsia="宋体" w:hint="eastAsia"/>
          <w:snapToGrid w:val="0"/>
          <w:sz w:val="24"/>
          <w:szCs w:val="24"/>
          <w:lang w:eastAsia="zh-CN"/>
        </w:rPr>
        <w:t>批件的独立实体。</w:t>
      </w:r>
    </w:p>
    <w:p w:rsidR="00C1273A" w:rsidRPr="00C277C0" w:rsidRDefault="00C1273A" w:rsidP="0051347A">
      <w:pPr>
        <w:pStyle w:val="a4"/>
        <w:autoSpaceDE/>
        <w:autoSpaceDN/>
        <w:snapToGrid w:val="0"/>
        <w:ind w:left="1800" w:firstLine="0"/>
        <w:jc w:val="both"/>
        <w:rPr>
          <w:rFonts w:eastAsia="宋体"/>
          <w:snapToGrid w:val="0"/>
          <w:sz w:val="24"/>
          <w:szCs w:val="24"/>
          <w:lang w:eastAsia="zh-CN"/>
        </w:rPr>
      </w:pPr>
    </w:p>
    <w:p w:rsidR="00C1273A" w:rsidRPr="00B403CB" w:rsidRDefault="00A50F4F" w:rsidP="00B403CB">
      <w:pPr>
        <w:pStyle w:val="a3"/>
        <w:autoSpaceDE/>
        <w:autoSpaceDN/>
        <w:snapToGrid w:val="0"/>
        <w:jc w:val="both"/>
        <w:rPr>
          <w:rFonts w:eastAsia="宋体"/>
        </w:rPr>
      </w:pPr>
      <w:r w:rsidRPr="00B403CB">
        <w:rPr>
          <w:rFonts w:eastAsia="宋体" w:hint="eastAsia"/>
        </w:rPr>
        <w:t>结论</w:t>
      </w:r>
      <w:r w:rsidR="00097329" w:rsidRPr="00B403CB">
        <w:rPr>
          <w:rFonts w:eastAsia="宋体" w:hint="eastAsia"/>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如果一家公司是根据单一申请（如，药物洗脱支架）上市销售组合产品的申请人，则该实体是组合产品申请人，并且该产品没有组成部分申请人。</w:t>
      </w:r>
    </w:p>
    <w:p w:rsidR="00C1273A" w:rsidRPr="00C277C0" w:rsidRDefault="00C1273A" w:rsidP="0051347A">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如果一家公司持有作为组合产品的组成部分联合使用的产品上市申请（如，该公司持有特定光激活药品</w:t>
      </w:r>
      <w:r w:rsidRPr="00C277C0">
        <w:rPr>
          <w:rFonts w:eastAsia="宋体" w:hint="eastAsia"/>
          <w:snapToGrid w:val="0"/>
          <w:sz w:val="24"/>
          <w:szCs w:val="24"/>
          <w:lang w:eastAsia="zh-CN"/>
        </w:rPr>
        <w:t>NDA</w:t>
      </w:r>
      <w:r w:rsidRPr="00C277C0">
        <w:rPr>
          <w:rFonts w:eastAsia="宋体" w:hint="eastAsia"/>
          <w:snapToGrid w:val="0"/>
          <w:sz w:val="24"/>
          <w:szCs w:val="24"/>
          <w:lang w:eastAsia="zh-CN"/>
        </w:rPr>
        <w:t>和用于激活该药品的器械</w:t>
      </w:r>
      <w:r w:rsidRPr="00C277C0">
        <w:rPr>
          <w:rFonts w:eastAsia="宋体" w:hint="eastAsia"/>
          <w:snapToGrid w:val="0"/>
          <w:sz w:val="24"/>
          <w:szCs w:val="24"/>
          <w:lang w:eastAsia="zh-CN"/>
        </w:rPr>
        <w:t>PMA</w:t>
      </w:r>
      <w:r w:rsidRPr="00C277C0">
        <w:rPr>
          <w:rFonts w:eastAsia="宋体" w:hint="eastAsia"/>
          <w:snapToGrid w:val="0"/>
          <w:sz w:val="24"/>
          <w:szCs w:val="24"/>
          <w:lang w:eastAsia="zh-CN"/>
        </w:rPr>
        <w:t>，这两种产品构成交叉标签的组合产品），则该公司是组合产品申请人，并且没有组成部分申请人。</w:t>
      </w:r>
    </w:p>
    <w:p w:rsidR="00C1273A" w:rsidRPr="00C277C0" w:rsidRDefault="00C1273A" w:rsidP="0051347A">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如果一个实体持有交叉标签组合产品药品组成部分的</w:t>
      </w:r>
      <w:r w:rsidRPr="00C277C0">
        <w:rPr>
          <w:rFonts w:eastAsia="宋体" w:hint="eastAsia"/>
          <w:snapToGrid w:val="0"/>
          <w:sz w:val="24"/>
          <w:szCs w:val="24"/>
          <w:lang w:eastAsia="zh-CN"/>
        </w:rPr>
        <w:t>NDA</w:t>
      </w:r>
      <w:r w:rsidRPr="00C277C0">
        <w:rPr>
          <w:rFonts w:eastAsia="宋体" w:hint="eastAsia"/>
          <w:snapToGrid w:val="0"/>
          <w:sz w:val="24"/>
          <w:szCs w:val="24"/>
          <w:lang w:eastAsia="zh-CN"/>
        </w:rPr>
        <w:t>，而另一个实体持有器械组成部分的</w:t>
      </w:r>
      <w:r w:rsidRPr="00C277C0">
        <w:rPr>
          <w:rFonts w:eastAsia="宋体" w:hint="eastAsia"/>
          <w:snapToGrid w:val="0"/>
          <w:sz w:val="24"/>
          <w:szCs w:val="24"/>
          <w:lang w:eastAsia="zh-CN"/>
        </w:rPr>
        <w:t>PMA</w:t>
      </w:r>
      <w:r w:rsidRPr="00C277C0">
        <w:rPr>
          <w:rFonts w:eastAsia="宋体" w:hint="eastAsia"/>
          <w:snapToGrid w:val="0"/>
          <w:sz w:val="24"/>
          <w:szCs w:val="24"/>
          <w:lang w:eastAsia="zh-CN"/>
        </w:rPr>
        <w:t>，则这两个实体将是该组合产品的组成部分申请人，并且该产品没有组合产品申请人。</w:t>
      </w:r>
    </w:p>
    <w:p w:rsidR="00C1273A" w:rsidRPr="00C277C0" w:rsidRDefault="00C1273A" w:rsidP="0051347A">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i/>
          <w:snapToGrid w:val="0"/>
          <w:sz w:val="24"/>
          <w:szCs w:val="24"/>
          <w:lang w:eastAsia="zh-CN"/>
        </w:rPr>
        <w:t>只有当某个实体持有作为组合产品组成部分的产品上市申请时</w:t>
      </w:r>
      <w:r w:rsidRPr="00C277C0">
        <w:rPr>
          <w:rFonts w:eastAsia="宋体" w:hint="eastAsia"/>
          <w:snapToGrid w:val="0"/>
          <w:sz w:val="24"/>
          <w:szCs w:val="24"/>
          <w:lang w:eastAsia="zh-CN"/>
        </w:rPr>
        <w:t>，该公司才是组成部分申请人。</w:t>
      </w:r>
    </w:p>
    <w:p w:rsidR="006223B4" w:rsidRPr="00C277C0" w:rsidRDefault="006223B4" w:rsidP="006223B4">
      <w:pPr>
        <w:autoSpaceDE/>
        <w:autoSpaceDN/>
        <w:snapToGrid w:val="0"/>
        <w:jc w:val="both"/>
        <w:rPr>
          <w:rFonts w:eastAsia="宋体"/>
          <w:snapToGrid w:val="0"/>
          <w:sz w:val="24"/>
          <w:szCs w:val="24"/>
          <w:lang w:eastAsia="zh-CN"/>
        </w:rPr>
      </w:pPr>
      <w:r w:rsidRPr="00C277C0">
        <w:rPr>
          <w:rFonts w:eastAsia="宋体" w:hint="eastAsia"/>
          <w:snapToGrid w:val="0"/>
          <w:sz w:val="24"/>
          <w:szCs w:val="24"/>
          <w:lang w:eastAsia="zh-CN"/>
        </w:rPr>
        <w:br w:type="page"/>
      </w:r>
    </w:p>
    <w:p w:rsidR="006223B4" w:rsidRPr="00C277C0" w:rsidRDefault="006223B4" w:rsidP="006223B4">
      <w:pPr>
        <w:autoSpaceDE/>
        <w:autoSpaceDN/>
        <w:snapToGrid w:val="0"/>
        <w:jc w:val="both"/>
        <w:rPr>
          <w:rFonts w:eastAsia="宋体"/>
          <w:snapToGrid w:val="0"/>
          <w:sz w:val="24"/>
          <w:szCs w:val="24"/>
          <w:lang w:eastAsia="zh-CN"/>
        </w:rPr>
      </w:pPr>
    </w:p>
    <w:p w:rsidR="00C1273A" w:rsidRPr="00C277C0" w:rsidRDefault="0051347A" w:rsidP="00B403CB">
      <w:pPr>
        <w:pStyle w:val="a3"/>
        <w:autoSpaceDE/>
        <w:autoSpaceDN/>
        <w:snapToGrid w:val="0"/>
        <w:ind w:leftChars="400" w:left="880" w:firstLineChars="200" w:firstLine="480"/>
        <w:jc w:val="both"/>
        <w:rPr>
          <w:rFonts w:eastAsia="宋体"/>
          <w:snapToGrid w:val="0"/>
          <w:lang w:eastAsia="zh-CN"/>
        </w:rPr>
      </w:pPr>
      <w:r w:rsidRPr="00C277C0">
        <w:rPr>
          <w:rFonts w:eastAsia="宋体" w:hint="eastAsia"/>
          <w:snapToGrid w:val="0"/>
          <w:lang w:eastAsia="zh-CN"/>
        </w:rPr>
        <w:t>例如，注射器公司持有用于注射的通用注射器</w:t>
      </w:r>
      <w:r w:rsidRPr="00C277C0">
        <w:rPr>
          <w:rFonts w:eastAsia="宋体" w:hint="eastAsia"/>
          <w:snapToGrid w:val="0"/>
          <w:lang w:eastAsia="zh-CN"/>
        </w:rPr>
        <w:t>510</w:t>
      </w:r>
      <w:r w:rsidRPr="00C277C0">
        <w:rPr>
          <w:rFonts w:eastAsia="宋体" w:hint="eastAsia"/>
          <w:snapToGrid w:val="0"/>
          <w:lang w:eastAsia="zh-CN"/>
        </w:rPr>
        <w:t>（</w:t>
      </w:r>
      <w:r w:rsidRPr="00C277C0">
        <w:rPr>
          <w:rFonts w:eastAsia="宋体" w:hint="eastAsia"/>
          <w:snapToGrid w:val="0"/>
          <w:lang w:eastAsia="zh-CN"/>
        </w:rPr>
        <w:t>k</w:t>
      </w:r>
      <w:r w:rsidRPr="00C277C0">
        <w:rPr>
          <w:rFonts w:eastAsia="宋体" w:hint="eastAsia"/>
          <w:snapToGrid w:val="0"/>
          <w:lang w:eastAsia="zh-CN"/>
        </w:rPr>
        <w:t>），并根据该</w:t>
      </w:r>
      <w:r w:rsidRPr="00C277C0">
        <w:rPr>
          <w:rFonts w:eastAsia="宋体" w:hint="eastAsia"/>
          <w:snapToGrid w:val="0"/>
          <w:lang w:eastAsia="zh-CN"/>
        </w:rPr>
        <w:t>510</w:t>
      </w:r>
      <w:r w:rsidRPr="00C277C0">
        <w:rPr>
          <w:rFonts w:eastAsia="宋体" w:hint="eastAsia"/>
          <w:snapToGrid w:val="0"/>
          <w:lang w:eastAsia="zh-CN"/>
        </w:rPr>
        <w:t>（</w:t>
      </w:r>
      <w:r w:rsidRPr="00C277C0">
        <w:rPr>
          <w:rFonts w:eastAsia="宋体" w:hint="eastAsia"/>
          <w:snapToGrid w:val="0"/>
          <w:lang w:eastAsia="zh-CN"/>
        </w:rPr>
        <w:t>k</w:t>
      </w:r>
      <w:r w:rsidRPr="00C277C0">
        <w:rPr>
          <w:rFonts w:eastAsia="宋体" w:hint="eastAsia"/>
          <w:snapToGrid w:val="0"/>
          <w:lang w:eastAsia="zh-CN"/>
        </w:rPr>
        <w:t>）销售空注射器。制药公司</w:t>
      </w:r>
      <w:r w:rsidR="00097329" w:rsidRPr="00C277C0">
        <w:rPr>
          <w:rFonts w:eastAsia="宋体" w:hint="eastAsia"/>
          <w:snapToGrid w:val="0"/>
          <w:lang w:eastAsia="zh-CN"/>
        </w:rPr>
        <w:t>从注射器公司购买注射器，将其与药品瓶一起装入组合包装的组合产品中，制药公司持有该组合产品的</w:t>
      </w:r>
      <w:r w:rsidR="00097329" w:rsidRPr="00C277C0">
        <w:rPr>
          <w:rFonts w:eastAsia="宋体" w:hint="eastAsia"/>
          <w:snapToGrid w:val="0"/>
          <w:lang w:eastAsia="zh-CN"/>
        </w:rPr>
        <w:t>NDA</w:t>
      </w:r>
      <w:r w:rsidR="00097329" w:rsidRPr="00C277C0">
        <w:rPr>
          <w:rFonts w:eastAsia="宋体" w:hint="eastAsia"/>
          <w:snapToGrid w:val="0"/>
          <w:lang w:eastAsia="zh-CN"/>
        </w:rPr>
        <w:t>批件。由于注射器公司</w:t>
      </w:r>
      <w:r w:rsidR="00097329" w:rsidRPr="00B403CB">
        <w:rPr>
          <w:rFonts w:eastAsia="宋体" w:hint="eastAsia"/>
          <w:lang w:eastAsia="zh-CN"/>
        </w:rPr>
        <w:t>不</w:t>
      </w:r>
      <w:r w:rsidR="00097329" w:rsidRPr="00C277C0">
        <w:rPr>
          <w:rFonts w:eastAsia="宋体" w:hint="eastAsia"/>
          <w:snapToGrid w:val="0"/>
          <w:lang w:eastAsia="zh-CN"/>
        </w:rPr>
        <w:t>持有作为组合产品组成部分的注射器上市申请，因此注射器公司</w:t>
      </w:r>
      <w:r w:rsidR="00097329" w:rsidRPr="00B403CB">
        <w:rPr>
          <w:rFonts w:eastAsia="宋体" w:hint="eastAsia"/>
          <w:lang w:eastAsia="zh-CN"/>
        </w:rPr>
        <w:t>不是</w:t>
      </w:r>
      <w:r w:rsidR="00097329" w:rsidRPr="00C277C0">
        <w:rPr>
          <w:rFonts w:eastAsia="宋体" w:hint="eastAsia"/>
          <w:snapToGrid w:val="0"/>
          <w:lang w:eastAsia="zh-CN"/>
        </w:rPr>
        <w:t>组合产品组成部分申请人。</w:t>
      </w:r>
      <w:r w:rsidR="00FE2212" w:rsidRPr="00C277C0">
        <w:rPr>
          <w:rStyle w:val="af4"/>
          <w:rFonts w:eastAsia="宋体" w:hint="eastAsia"/>
          <w:snapToGrid w:val="0"/>
          <w:lang w:eastAsia="zh-CN"/>
        </w:rPr>
        <w:footnoteReference w:id="10"/>
      </w:r>
      <w:r w:rsidR="00097329" w:rsidRPr="00C277C0">
        <w:rPr>
          <w:rFonts w:eastAsia="宋体" w:hint="eastAsia"/>
          <w:snapToGrid w:val="0"/>
          <w:lang w:eastAsia="zh-CN"/>
        </w:rPr>
        <w:t>相反，制药公司是组合包装的组合产品的组合产品申请人，并且该组合产品</w:t>
      </w:r>
      <w:r w:rsidR="00097329" w:rsidRPr="00B403CB">
        <w:rPr>
          <w:rFonts w:eastAsia="宋体" w:hint="eastAsia"/>
          <w:lang w:eastAsia="zh-CN"/>
        </w:rPr>
        <w:t>没有</w:t>
      </w:r>
      <w:r w:rsidR="00097329" w:rsidRPr="00C277C0">
        <w:rPr>
          <w:rFonts w:eastAsia="宋体" w:hint="eastAsia"/>
          <w:snapToGrid w:val="0"/>
          <w:lang w:eastAsia="zh-CN"/>
        </w:rPr>
        <w:t>组成部分申请人。</w:t>
      </w:r>
      <w:r w:rsidR="00FE2212" w:rsidRPr="00C277C0">
        <w:rPr>
          <w:rStyle w:val="af4"/>
          <w:rFonts w:eastAsia="宋体" w:hint="eastAsia"/>
          <w:snapToGrid w:val="0"/>
          <w:lang w:eastAsia="zh-CN"/>
        </w:rPr>
        <w:footnoteReference w:id="11"/>
      </w:r>
    </w:p>
    <w:p w:rsidR="00C1273A" w:rsidRPr="00C277C0" w:rsidRDefault="00C1273A" w:rsidP="00C1273A">
      <w:pPr>
        <w:pStyle w:val="a3"/>
        <w:autoSpaceDE/>
        <w:autoSpaceDN/>
        <w:snapToGrid w:val="0"/>
        <w:ind w:leftChars="400" w:left="880"/>
        <w:jc w:val="both"/>
        <w:rPr>
          <w:rFonts w:eastAsia="宋体"/>
          <w:snapToGrid w:val="0"/>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16" w:name="_Toc97551500"/>
      <w:bookmarkStart w:id="17" w:name="_Toc95145699"/>
      <w:r w:rsidRPr="00C277C0">
        <w:rPr>
          <w:rFonts w:hint="eastAsia"/>
          <w:snapToGrid w:val="0"/>
          <w:szCs w:val="24"/>
          <w:lang w:eastAsia="zh-CN"/>
        </w:rPr>
        <w:t>B.</w:t>
      </w:r>
      <w:r w:rsidRPr="00C277C0">
        <w:rPr>
          <w:rFonts w:hint="eastAsia"/>
          <w:snapToGrid w:val="0"/>
          <w:szCs w:val="24"/>
          <w:lang w:eastAsia="zh-CN"/>
        </w:rPr>
        <w:tab/>
      </w:r>
      <w:r w:rsidRPr="00C277C0">
        <w:rPr>
          <w:rFonts w:hint="eastAsia"/>
          <w:snapToGrid w:val="0"/>
          <w:szCs w:val="24"/>
          <w:lang w:eastAsia="zh-CN"/>
        </w:rPr>
        <w:t>如果我是组合产品申请人或组成部分申请人，有</w:t>
      </w:r>
      <w:r w:rsidR="00A50F4F" w:rsidRPr="00C277C0">
        <w:rPr>
          <w:rFonts w:hint="eastAsia"/>
          <w:snapToGrid w:val="0"/>
          <w:szCs w:val="24"/>
          <w:lang w:eastAsia="zh-CN"/>
        </w:rPr>
        <w:t>何种</w:t>
      </w:r>
      <w:r w:rsidRPr="00C277C0">
        <w:rPr>
          <w:rFonts w:hint="eastAsia"/>
          <w:snapToGrid w:val="0"/>
          <w:szCs w:val="24"/>
          <w:lang w:eastAsia="zh-CN"/>
        </w:rPr>
        <w:t>安全报告要求适用？</w:t>
      </w:r>
      <w:bookmarkEnd w:id="16"/>
      <w:bookmarkEnd w:id="17"/>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本节总结了与组合产品组成部分相关的安全性报告要求（即</w:t>
      </w:r>
      <w:r w:rsidR="007267DD" w:rsidRPr="00C277C0">
        <w:rPr>
          <w:rFonts w:eastAsia="宋体" w:hint="eastAsia"/>
          <w:snapToGrid w:val="0"/>
          <w:lang w:eastAsia="zh-CN"/>
        </w:rPr>
        <w:t>《美国联邦法规》</w:t>
      </w:r>
      <w:r w:rsidRPr="00C277C0">
        <w:rPr>
          <w:rFonts w:eastAsia="宋体" w:hint="eastAsia"/>
          <w:snapToGrid w:val="0"/>
          <w:lang w:eastAsia="zh-CN"/>
        </w:rPr>
        <w:t>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314</w:t>
      </w:r>
      <w:r w:rsidR="00ED68B9" w:rsidRPr="00C277C0">
        <w:rPr>
          <w:rFonts w:eastAsia="宋体" w:hint="eastAsia"/>
          <w:snapToGrid w:val="0"/>
          <w:lang w:eastAsia="zh-CN"/>
        </w:rPr>
        <w:t>节</w:t>
      </w:r>
      <w:r w:rsidRPr="00C277C0">
        <w:rPr>
          <w:rFonts w:eastAsia="宋体" w:hint="eastAsia"/>
          <w:snapToGrid w:val="0"/>
          <w:lang w:eastAsia="zh-CN"/>
        </w:rPr>
        <w:t>药品要求、</w:t>
      </w:r>
      <w:r w:rsidR="007267DD" w:rsidRPr="00C277C0">
        <w:rPr>
          <w:rFonts w:eastAsia="宋体" w:hint="eastAsia"/>
          <w:snapToGrid w:val="0"/>
          <w:lang w:eastAsia="zh-CN"/>
        </w:rPr>
        <w:t>《美国联邦法规》</w:t>
      </w:r>
      <w:r w:rsidRPr="00C277C0">
        <w:rPr>
          <w:rFonts w:eastAsia="宋体" w:hint="eastAsia"/>
          <w:snapToGrid w:val="0"/>
          <w:lang w:eastAsia="zh-CN"/>
        </w:rPr>
        <w:t>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600</w:t>
      </w:r>
      <w:r w:rsidRPr="00C277C0">
        <w:rPr>
          <w:rFonts w:eastAsia="宋体" w:hint="eastAsia"/>
          <w:snapToGrid w:val="0"/>
          <w:lang w:eastAsia="zh-CN"/>
        </w:rPr>
        <w:t>和</w:t>
      </w:r>
      <w:r w:rsidRPr="00C277C0">
        <w:rPr>
          <w:rFonts w:eastAsia="宋体" w:hint="eastAsia"/>
          <w:snapToGrid w:val="0"/>
          <w:lang w:eastAsia="zh-CN"/>
        </w:rPr>
        <w:t>606</w:t>
      </w:r>
      <w:r w:rsidR="00ED68B9" w:rsidRPr="00C277C0">
        <w:rPr>
          <w:rFonts w:eastAsia="宋体" w:hint="eastAsia"/>
          <w:snapToGrid w:val="0"/>
          <w:lang w:eastAsia="zh-CN"/>
        </w:rPr>
        <w:t>节</w:t>
      </w:r>
      <w:r w:rsidRPr="00C277C0">
        <w:rPr>
          <w:rFonts w:eastAsia="宋体" w:hint="eastAsia"/>
          <w:snapToGrid w:val="0"/>
          <w:lang w:eastAsia="zh-CN"/>
        </w:rPr>
        <w:t>生物制品要求、</w:t>
      </w:r>
      <w:r w:rsidR="007267DD" w:rsidRPr="00C277C0">
        <w:rPr>
          <w:rFonts w:eastAsia="宋体" w:hint="eastAsia"/>
          <w:snapToGrid w:val="0"/>
          <w:lang w:eastAsia="zh-CN"/>
        </w:rPr>
        <w:t>《美国联邦法规》</w:t>
      </w:r>
      <w:r w:rsidRPr="00C277C0">
        <w:rPr>
          <w:rFonts w:eastAsia="宋体" w:hint="eastAsia"/>
          <w:snapToGrid w:val="0"/>
          <w:lang w:eastAsia="zh-CN"/>
        </w:rPr>
        <w:t>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803</w:t>
      </w:r>
      <w:r w:rsidRPr="00C277C0">
        <w:rPr>
          <w:rFonts w:eastAsia="宋体" w:hint="eastAsia"/>
          <w:snapToGrid w:val="0"/>
          <w:lang w:eastAsia="zh-CN"/>
        </w:rPr>
        <w:t>和</w:t>
      </w:r>
      <w:r w:rsidRPr="00C277C0">
        <w:rPr>
          <w:rFonts w:eastAsia="宋体" w:hint="eastAsia"/>
          <w:snapToGrid w:val="0"/>
          <w:lang w:eastAsia="zh-CN"/>
        </w:rPr>
        <w:t>806</w:t>
      </w:r>
      <w:r w:rsidR="00ED68B9" w:rsidRPr="00C277C0">
        <w:rPr>
          <w:rFonts w:eastAsia="宋体" w:hint="eastAsia"/>
          <w:snapToGrid w:val="0"/>
          <w:lang w:eastAsia="zh-CN"/>
        </w:rPr>
        <w:t>节</w:t>
      </w:r>
      <w:r w:rsidRPr="00C277C0">
        <w:rPr>
          <w:rFonts w:eastAsia="宋体" w:hint="eastAsia"/>
          <w:snapToGrid w:val="0"/>
          <w:lang w:eastAsia="zh-CN"/>
        </w:rPr>
        <w:t>器械要求），以及根据规则适用于组成部分申请人的信息共享要求。</w:t>
      </w:r>
      <w:r w:rsidR="00FE2212" w:rsidRPr="00C277C0">
        <w:rPr>
          <w:rStyle w:val="af4"/>
          <w:rFonts w:eastAsia="宋体" w:hint="eastAsia"/>
          <w:snapToGrid w:val="0"/>
          <w:lang w:eastAsia="zh-CN"/>
        </w:rPr>
        <w:footnoteReference w:id="12"/>
      </w:r>
      <w:r w:rsidR="00FE2212" w:rsidRPr="00C277C0">
        <w:rPr>
          <w:rFonts w:eastAsia="宋体" w:hint="eastAsia"/>
          <w:snapToGrid w:val="0"/>
          <w:vertAlign w:val="superscript"/>
          <w:lang w:eastAsia="zh-CN"/>
        </w:rPr>
        <w:t>,</w:t>
      </w:r>
      <w:r w:rsidR="00FE2212" w:rsidRPr="00C277C0">
        <w:rPr>
          <w:rStyle w:val="af4"/>
          <w:rFonts w:eastAsia="宋体" w:hint="eastAsia"/>
          <w:snapToGrid w:val="0"/>
          <w:lang w:eastAsia="zh-CN"/>
        </w:rPr>
        <w:footnoteReference w:id="13"/>
      </w:r>
      <w:r w:rsidRPr="00C277C0">
        <w:rPr>
          <w:rFonts w:eastAsia="宋体" w:hint="eastAsia"/>
          <w:snapToGrid w:val="0"/>
          <w:lang w:eastAsia="zh-CN"/>
        </w:rPr>
        <w:t>（另</w:t>
      </w:r>
      <w:r w:rsidR="000B2350">
        <w:rPr>
          <w:rFonts w:eastAsia="宋体" w:hint="eastAsia"/>
          <w:snapToGrid w:val="0"/>
          <w:lang w:eastAsia="zh-CN"/>
        </w:rPr>
        <w:t>参</w:t>
      </w:r>
      <w:r w:rsidRPr="00C277C0">
        <w:rPr>
          <w:rFonts w:eastAsia="宋体" w:hint="eastAsia"/>
          <w:snapToGrid w:val="0"/>
          <w:lang w:eastAsia="zh-CN"/>
        </w:rPr>
        <w:t>见附录</w:t>
      </w:r>
      <w:r w:rsidRPr="00C277C0">
        <w:rPr>
          <w:rFonts w:eastAsia="宋体" w:hint="eastAsia"/>
          <w:snapToGrid w:val="0"/>
          <w:lang w:eastAsia="zh-CN"/>
        </w:rPr>
        <w:t>1</w:t>
      </w:r>
      <w:r w:rsidRPr="00C277C0">
        <w:rPr>
          <w:rFonts w:eastAsia="宋体" w:hint="eastAsia"/>
          <w:snapToGrid w:val="0"/>
          <w:lang w:eastAsia="zh-CN"/>
        </w:rPr>
        <w:t>，该附录提供了最终规则中适用于各种类型组合产品和组成部分申请人的</w:t>
      </w:r>
      <w:r w:rsidRPr="00C277C0">
        <w:rPr>
          <w:rFonts w:eastAsia="宋体" w:hint="eastAsia"/>
          <w:snapToGrid w:val="0"/>
          <w:lang w:eastAsia="zh-CN"/>
        </w:rPr>
        <w:t>PMSR</w:t>
      </w:r>
      <w:r w:rsidRPr="00C277C0">
        <w:rPr>
          <w:rFonts w:eastAsia="宋体" w:hint="eastAsia"/>
          <w:snapToGrid w:val="0"/>
          <w:lang w:eastAsia="zh-CN"/>
        </w:rPr>
        <w:t>要求的汇总表，第</w:t>
      </w:r>
      <w:r w:rsidR="00C8689A" w:rsidRPr="00C277C0">
        <w:rPr>
          <w:rFonts w:eastAsia="宋体" w:hint="eastAsia"/>
          <w:snapToGrid w:val="0"/>
          <w:lang w:eastAsia="zh-CN"/>
        </w:rPr>
        <w:t>IV</w:t>
      </w:r>
      <w:r w:rsidRPr="00C277C0">
        <w:rPr>
          <w:rFonts w:eastAsia="宋体" w:hint="eastAsia"/>
          <w:snapToGrid w:val="0"/>
          <w:lang w:eastAsia="zh-CN"/>
        </w:rPr>
        <w:t>节提供了规则中对于组合产品申请人的</w:t>
      </w:r>
      <w:r w:rsidRPr="00C277C0">
        <w:rPr>
          <w:rFonts w:eastAsia="宋体" w:hint="eastAsia"/>
          <w:snapToGrid w:val="0"/>
          <w:lang w:eastAsia="zh-CN"/>
        </w:rPr>
        <w:t>PMSR</w:t>
      </w:r>
      <w:r w:rsidRPr="00C277C0">
        <w:rPr>
          <w:rFonts w:eastAsia="宋体" w:hint="eastAsia"/>
          <w:snapToGrid w:val="0"/>
          <w:lang w:eastAsia="zh-CN"/>
        </w:rPr>
        <w:t>要求的</w:t>
      </w:r>
      <w:r w:rsidR="00ED68B9" w:rsidRPr="00C277C0">
        <w:rPr>
          <w:rFonts w:eastAsia="宋体" w:hint="eastAsia"/>
          <w:snapToGrid w:val="0"/>
          <w:lang w:eastAsia="zh-CN"/>
        </w:rPr>
        <w:t>详细</w:t>
      </w:r>
      <w:r w:rsidRPr="00C277C0">
        <w:rPr>
          <w:rFonts w:eastAsia="宋体" w:hint="eastAsia"/>
          <w:snapToGrid w:val="0"/>
          <w:lang w:eastAsia="zh-CN"/>
        </w:rPr>
        <w:t>讨论。）</w:t>
      </w:r>
    </w:p>
    <w:p w:rsidR="00C1273A" w:rsidRPr="00C277C0" w:rsidRDefault="00706A3E" w:rsidP="00C1273A">
      <w:pPr>
        <w:autoSpaceDE/>
        <w:autoSpaceDN/>
        <w:snapToGrid w:val="0"/>
        <w:jc w:val="both"/>
        <w:rPr>
          <w:rFonts w:eastAsia="宋体"/>
          <w:snapToGrid w:val="0"/>
          <w:sz w:val="24"/>
          <w:szCs w:val="24"/>
          <w:lang w:eastAsia="zh-CN"/>
        </w:rPr>
      </w:pPr>
      <w:bookmarkStart w:id="18" w:name="_bookmark16"/>
      <w:bookmarkEnd w:id="18"/>
      <w:r w:rsidRPr="00C277C0">
        <w:rPr>
          <w:rFonts w:eastAsia="宋体" w:hint="eastAsia"/>
          <w:snapToGrid w:val="0"/>
          <w:sz w:val="24"/>
          <w:szCs w:val="24"/>
          <w:lang w:eastAsia="zh-CN"/>
        </w:rPr>
        <w:br w:type="page"/>
      </w:r>
    </w:p>
    <w:p w:rsidR="00C1273A" w:rsidRPr="00C277C0" w:rsidRDefault="00C1273A" w:rsidP="00C1273A">
      <w:pPr>
        <w:autoSpaceDE/>
        <w:autoSpaceDN/>
        <w:snapToGrid w:val="0"/>
        <w:jc w:val="both"/>
        <w:rPr>
          <w:rFonts w:eastAsia="宋体"/>
          <w:snapToGrid w:val="0"/>
          <w:sz w:val="24"/>
          <w:szCs w:val="24"/>
          <w:lang w:eastAsia="zh-CN"/>
        </w:rPr>
      </w:pPr>
    </w:p>
    <w:p w:rsidR="00C1273A" w:rsidRPr="00B403CB" w:rsidRDefault="00CB2C74" w:rsidP="00B403CB">
      <w:pPr>
        <w:pStyle w:val="4"/>
        <w:autoSpaceDE/>
        <w:autoSpaceDN/>
        <w:spacing w:beforeLines="0" w:before="0" w:line="240" w:lineRule="auto"/>
        <w:ind w:leftChars="650" w:left="1912"/>
        <w:rPr>
          <w:i w:val="0"/>
          <w:lang w:eastAsia="zh-CN"/>
        </w:rPr>
      </w:pPr>
      <w:r w:rsidRPr="00C277C0">
        <w:rPr>
          <w:rFonts w:hint="eastAsia"/>
          <w:snapToGrid w:val="0"/>
          <w:lang w:eastAsia="zh-CN"/>
        </w:rPr>
        <w:t>1.</w:t>
      </w:r>
      <w:r w:rsidRPr="00B403CB">
        <w:rPr>
          <w:i w:val="0"/>
          <w:lang w:eastAsia="zh-CN"/>
        </w:rPr>
        <w:tab/>
      </w:r>
      <w:r w:rsidRPr="00C277C0">
        <w:rPr>
          <w:rFonts w:hint="eastAsia"/>
          <w:snapToGrid w:val="0"/>
          <w:lang w:eastAsia="zh-CN"/>
        </w:rPr>
        <w:t>基于申请类型的报告要求适用于组合产品申请人和组成部分申请人</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组合产品申请人和组成部分申请人</w:t>
      </w:r>
      <w:r w:rsidRPr="00C277C0">
        <w:rPr>
          <w:rFonts w:eastAsia="宋体" w:hint="eastAsia"/>
          <w:i/>
          <w:snapToGrid w:val="0"/>
          <w:lang w:eastAsia="zh-CN"/>
        </w:rPr>
        <w:t>均</w:t>
      </w:r>
      <w:r w:rsidRPr="00C277C0">
        <w:rPr>
          <w:rFonts w:eastAsia="宋体" w:hint="eastAsia"/>
          <w:snapToGrid w:val="0"/>
          <w:lang w:eastAsia="zh-CN"/>
        </w:rPr>
        <w:t>必须满足与其组合产品或组成部分获批上市的申请类型相关的安全性报告要求（</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ED68B9" w:rsidRPr="00C277C0">
        <w:rPr>
          <w:rFonts w:eastAsia="宋体" w:hint="eastAsia"/>
          <w:snapToGrid w:val="0"/>
          <w:lang w:eastAsia="zh-CN"/>
        </w:rPr>
        <w:t>第</w:t>
      </w:r>
      <w:r w:rsidRPr="00C277C0">
        <w:rPr>
          <w:rFonts w:eastAsia="宋体" w:hint="eastAsia"/>
          <w:snapToGrid w:val="0"/>
          <w:lang w:eastAsia="zh-CN"/>
        </w:rPr>
        <w:t>4.102</w:t>
      </w:r>
      <w:r w:rsidR="00CC6A14" w:rsidRPr="00C277C0">
        <w:rPr>
          <w:rFonts w:eastAsia="宋体" w:hint="eastAsia"/>
          <w:snapToGrid w:val="0"/>
          <w:lang w:eastAsia="zh-CN"/>
        </w:rPr>
        <w:t>（</w:t>
      </w:r>
      <w:r w:rsidRPr="00C277C0">
        <w:rPr>
          <w:rFonts w:eastAsia="宋体" w:hint="eastAsia"/>
          <w:snapToGrid w:val="0"/>
          <w:lang w:eastAsia="zh-CN"/>
        </w:rPr>
        <w:t>b</w:t>
      </w:r>
      <w:r w:rsidR="00CC6A14" w:rsidRPr="00C277C0">
        <w:rPr>
          <w:rFonts w:eastAsia="宋体" w:hint="eastAsia"/>
          <w:snapToGrid w:val="0"/>
          <w:lang w:eastAsia="zh-CN"/>
        </w:rPr>
        <w:t>）</w:t>
      </w:r>
      <w:r w:rsidR="00ED68B9" w:rsidRPr="00C277C0">
        <w:rPr>
          <w:rFonts w:eastAsia="宋体" w:hint="eastAsia"/>
          <w:snapToGrid w:val="0"/>
          <w:lang w:eastAsia="zh-CN"/>
        </w:rPr>
        <w:t>节</w:t>
      </w:r>
      <w:r w:rsidRPr="00C277C0">
        <w:rPr>
          <w:rFonts w:eastAsia="宋体" w:hint="eastAsia"/>
          <w:snapToGrid w:val="0"/>
          <w:lang w:eastAsia="zh-CN"/>
        </w:rPr>
        <w:t>）。根据</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ED68B9" w:rsidRPr="00C277C0">
        <w:rPr>
          <w:rFonts w:eastAsia="宋体" w:hint="eastAsia"/>
          <w:snapToGrid w:val="0"/>
          <w:lang w:eastAsia="zh-CN"/>
        </w:rPr>
        <w:t>第</w:t>
      </w:r>
      <w:r w:rsidRPr="00C277C0">
        <w:rPr>
          <w:rFonts w:eastAsia="宋体" w:hint="eastAsia"/>
          <w:snapToGrid w:val="0"/>
          <w:lang w:eastAsia="zh-CN"/>
        </w:rPr>
        <w:t>4.102</w:t>
      </w:r>
      <w:r w:rsidR="00CC6A14" w:rsidRPr="00C277C0">
        <w:rPr>
          <w:rFonts w:eastAsia="宋体" w:hint="eastAsia"/>
          <w:snapToGrid w:val="0"/>
          <w:lang w:eastAsia="zh-CN"/>
        </w:rPr>
        <w:t>（</w:t>
      </w:r>
      <w:r w:rsidRPr="00C277C0">
        <w:rPr>
          <w:rFonts w:eastAsia="宋体" w:hint="eastAsia"/>
          <w:snapToGrid w:val="0"/>
          <w:lang w:eastAsia="zh-CN"/>
        </w:rPr>
        <w:t>b</w:t>
      </w:r>
      <w:r w:rsidR="00CC6A14" w:rsidRPr="00C277C0">
        <w:rPr>
          <w:rFonts w:eastAsia="宋体" w:hint="eastAsia"/>
          <w:snapToGrid w:val="0"/>
          <w:lang w:eastAsia="zh-CN"/>
        </w:rPr>
        <w:t>）</w:t>
      </w:r>
      <w:r w:rsidR="00ED68B9" w:rsidRPr="00C277C0">
        <w:rPr>
          <w:rFonts w:eastAsia="宋体" w:hint="eastAsia"/>
          <w:snapToGrid w:val="0"/>
          <w:lang w:eastAsia="zh-CN"/>
        </w:rPr>
        <w:t>节</w:t>
      </w:r>
      <w:r w:rsidRPr="00C277C0">
        <w:rPr>
          <w:rFonts w:eastAsia="宋体" w:hint="eastAsia"/>
          <w:snapToGrid w:val="0"/>
          <w:lang w:eastAsia="zh-CN"/>
        </w:rPr>
        <w:t>，持有以下批件的组合产品和组成部分申请人：</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NDA/ANDA</w:t>
      </w:r>
      <w:r w:rsidRPr="00C277C0">
        <w:rPr>
          <w:rFonts w:eastAsia="宋体" w:hint="eastAsia"/>
          <w:snapToGrid w:val="0"/>
          <w:sz w:val="24"/>
          <w:szCs w:val="24"/>
          <w:lang w:eastAsia="zh-CN"/>
        </w:rPr>
        <w:t>应符合</w:t>
      </w:r>
      <w:r w:rsidR="007267DD" w:rsidRPr="00C277C0">
        <w:rPr>
          <w:rFonts w:eastAsia="宋体" w:hint="eastAsia"/>
          <w:snapToGrid w:val="0"/>
          <w:sz w:val="24"/>
          <w:szCs w:val="24"/>
          <w:lang w:eastAsia="zh-CN"/>
        </w:rPr>
        <w:t>《美国联邦法规》</w:t>
      </w:r>
      <w:r w:rsidRPr="00C277C0">
        <w:rPr>
          <w:rFonts w:eastAsia="宋体" w:hint="eastAsia"/>
          <w:snapToGrid w:val="0"/>
          <w:sz w:val="24"/>
          <w:szCs w:val="24"/>
          <w:lang w:eastAsia="zh-CN"/>
        </w:rPr>
        <w:t>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Pr="00C277C0">
        <w:rPr>
          <w:rFonts w:eastAsia="宋体" w:hint="eastAsia"/>
          <w:snapToGrid w:val="0"/>
          <w:sz w:val="24"/>
          <w:szCs w:val="24"/>
          <w:lang w:eastAsia="zh-CN"/>
        </w:rPr>
        <w:t>第</w:t>
      </w:r>
      <w:r w:rsidRPr="00C277C0">
        <w:rPr>
          <w:rFonts w:eastAsia="宋体" w:hint="eastAsia"/>
          <w:snapToGrid w:val="0"/>
          <w:sz w:val="24"/>
          <w:szCs w:val="24"/>
          <w:lang w:eastAsia="zh-CN"/>
        </w:rPr>
        <w:t>314</w:t>
      </w:r>
      <w:r w:rsidR="00ED68B9" w:rsidRPr="00C277C0">
        <w:rPr>
          <w:rFonts w:eastAsia="宋体" w:hint="eastAsia"/>
          <w:snapToGrid w:val="0"/>
          <w:sz w:val="24"/>
          <w:szCs w:val="24"/>
          <w:lang w:eastAsia="zh-CN"/>
        </w:rPr>
        <w:t>节</w:t>
      </w:r>
      <w:r w:rsidRPr="00C277C0">
        <w:rPr>
          <w:rFonts w:eastAsia="宋体" w:hint="eastAsia"/>
          <w:snapToGrid w:val="0"/>
          <w:sz w:val="24"/>
          <w:szCs w:val="24"/>
          <w:lang w:eastAsia="zh-CN"/>
        </w:rPr>
        <w:t>所述安全性报告要求</w:t>
      </w:r>
      <w:r w:rsidR="00126E91">
        <w:rPr>
          <w:rFonts w:eastAsia="宋体" w:hint="eastAsia"/>
          <w:snapToGrid w:val="0"/>
          <w:sz w:val="24"/>
          <w:szCs w:val="24"/>
          <w:lang w:eastAsia="zh-CN"/>
        </w:rPr>
        <w:t>；</w:t>
      </w:r>
    </w:p>
    <w:p w:rsidR="00C1273A" w:rsidRPr="00C277C0" w:rsidRDefault="00C1273A" w:rsidP="00682B6C">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BLA</w:t>
      </w:r>
      <w:r w:rsidRPr="00C277C0">
        <w:rPr>
          <w:rFonts w:eastAsia="宋体" w:hint="eastAsia"/>
          <w:snapToGrid w:val="0"/>
          <w:sz w:val="24"/>
          <w:szCs w:val="24"/>
          <w:lang w:eastAsia="zh-CN"/>
        </w:rPr>
        <w:t>应符合</w:t>
      </w:r>
      <w:r w:rsidR="007267DD" w:rsidRPr="00C277C0">
        <w:rPr>
          <w:rFonts w:eastAsia="宋体" w:hint="eastAsia"/>
          <w:snapToGrid w:val="0"/>
          <w:sz w:val="24"/>
          <w:szCs w:val="24"/>
          <w:lang w:eastAsia="zh-CN"/>
        </w:rPr>
        <w:t>《美国联邦法规》</w:t>
      </w:r>
      <w:r w:rsidRPr="00C277C0">
        <w:rPr>
          <w:rFonts w:eastAsia="宋体" w:hint="eastAsia"/>
          <w:snapToGrid w:val="0"/>
          <w:sz w:val="24"/>
          <w:szCs w:val="24"/>
          <w:lang w:eastAsia="zh-CN"/>
        </w:rPr>
        <w:t>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Pr="00C277C0">
        <w:rPr>
          <w:rFonts w:eastAsia="宋体" w:hint="eastAsia"/>
          <w:snapToGrid w:val="0"/>
          <w:sz w:val="24"/>
          <w:szCs w:val="24"/>
          <w:lang w:eastAsia="zh-CN"/>
        </w:rPr>
        <w:t>第</w:t>
      </w:r>
      <w:r w:rsidRPr="00C277C0">
        <w:rPr>
          <w:rFonts w:eastAsia="宋体" w:hint="eastAsia"/>
          <w:snapToGrid w:val="0"/>
          <w:sz w:val="24"/>
          <w:szCs w:val="24"/>
          <w:lang w:eastAsia="zh-CN"/>
        </w:rPr>
        <w:t>600</w:t>
      </w:r>
      <w:r w:rsidRPr="00C277C0">
        <w:rPr>
          <w:rFonts w:eastAsia="宋体" w:hint="eastAsia"/>
          <w:snapToGrid w:val="0"/>
          <w:sz w:val="24"/>
          <w:szCs w:val="24"/>
          <w:lang w:eastAsia="zh-CN"/>
        </w:rPr>
        <w:t>和</w:t>
      </w:r>
      <w:r w:rsidRPr="00C277C0">
        <w:rPr>
          <w:rFonts w:eastAsia="宋体" w:hint="eastAsia"/>
          <w:snapToGrid w:val="0"/>
          <w:sz w:val="24"/>
          <w:szCs w:val="24"/>
          <w:lang w:eastAsia="zh-CN"/>
        </w:rPr>
        <w:t>606</w:t>
      </w:r>
      <w:r w:rsidR="00ED68B9" w:rsidRPr="00C277C0">
        <w:rPr>
          <w:rFonts w:eastAsia="宋体" w:hint="eastAsia"/>
          <w:snapToGrid w:val="0"/>
          <w:sz w:val="24"/>
          <w:szCs w:val="24"/>
          <w:lang w:eastAsia="zh-CN"/>
        </w:rPr>
        <w:t>节</w:t>
      </w:r>
      <w:r w:rsidRPr="00C277C0">
        <w:rPr>
          <w:rFonts w:eastAsia="宋体" w:hint="eastAsia"/>
          <w:snapToGrid w:val="0"/>
          <w:sz w:val="24"/>
          <w:szCs w:val="24"/>
          <w:lang w:eastAsia="zh-CN"/>
        </w:rPr>
        <w:t>所述安全性报告要求</w:t>
      </w:r>
      <w:r w:rsidR="00126E91">
        <w:rPr>
          <w:rFonts w:eastAsia="宋体" w:hint="eastAsia"/>
          <w:snapToGrid w:val="0"/>
          <w:sz w:val="24"/>
          <w:szCs w:val="24"/>
          <w:lang w:eastAsia="zh-CN"/>
        </w:rPr>
        <w:t>；</w:t>
      </w:r>
    </w:p>
    <w:p w:rsidR="00C1273A" w:rsidRPr="00C277C0" w:rsidRDefault="00C1273A" w:rsidP="00682B6C">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器械申请应符合</w:t>
      </w:r>
      <w:r w:rsidR="007267DD" w:rsidRPr="00C277C0">
        <w:rPr>
          <w:rFonts w:eastAsia="宋体" w:hint="eastAsia"/>
          <w:snapToGrid w:val="0"/>
          <w:sz w:val="24"/>
          <w:szCs w:val="24"/>
          <w:lang w:eastAsia="zh-CN"/>
        </w:rPr>
        <w:t>《美国联邦法规》</w:t>
      </w:r>
      <w:r w:rsidRPr="00C277C0">
        <w:rPr>
          <w:rFonts w:eastAsia="宋体" w:hint="eastAsia"/>
          <w:snapToGrid w:val="0"/>
          <w:sz w:val="24"/>
          <w:szCs w:val="24"/>
          <w:lang w:eastAsia="zh-CN"/>
        </w:rPr>
        <w:t>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Pr="00C277C0">
        <w:rPr>
          <w:rFonts w:eastAsia="宋体" w:hint="eastAsia"/>
          <w:snapToGrid w:val="0"/>
          <w:sz w:val="24"/>
          <w:szCs w:val="24"/>
          <w:lang w:eastAsia="zh-CN"/>
        </w:rPr>
        <w:t>第</w:t>
      </w:r>
      <w:r w:rsidRPr="00C277C0">
        <w:rPr>
          <w:rFonts w:eastAsia="宋体" w:hint="eastAsia"/>
          <w:snapToGrid w:val="0"/>
          <w:sz w:val="24"/>
          <w:szCs w:val="24"/>
          <w:lang w:eastAsia="zh-CN"/>
        </w:rPr>
        <w:t>803</w:t>
      </w:r>
      <w:r w:rsidRPr="00C277C0">
        <w:rPr>
          <w:rFonts w:eastAsia="宋体" w:hint="eastAsia"/>
          <w:snapToGrid w:val="0"/>
          <w:sz w:val="24"/>
          <w:szCs w:val="24"/>
          <w:lang w:eastAsia="zh-CN"/>
        </w:rPr>
        <w:t>和</w:t>
      </w:r>
      <w:r w:rsidRPr="00C277C0">
        <w:rPr>
          <w:rFonts w:eastAsia="宋体" w:hint="eastAsia"/>
          <w:snapToGrid w:val="0"/>
          <w:sz w:val="24"/>
          <w:szCs w:val="24"/>
          <w:lang w:eastAsia="zh-CN"/>
        </w:rPr>
        <w:t>806</w:t>
      </w:r>
      <w:r w:rsidR="00ED68B9" w:rsidRPr="00C277C0">
        <w:rPr>
          <w:rFonts w:eastAsia="宋体" w:hint="eastAsia"/>
          <w:snapToGrid w:val="0"/>
          <w:sz w:val="24"/>
          <w:szCs w:val="24"/>
          <w:lang w:eastAsia="zh-CN"/>
        </w:rPr>
        <w:t>节</w:t>
      </w:r>
      <w:r w:rsidRPr="00C277C0">
        <w:rPr>
          <w:rFonts w:eastAsia="宋体" w:hint="eastAsia"/>
          <w:snapToGrid w:val="0"/>
          <w:sz w:val="24"/>
          <w:szCs w:val="24"/>
          <w:lang w:eastAsia="zh-CN"/>
        </w:rPr>
        <w:t>所述安全性报告要求</w:t>
      </w:r>
      <w:r w:rsidR="00126E91">
        <w:rPr>
          <w:rFonts w:eastAsia="宋体" w:hint="eastAsia"/>
          <w:snapToGrid w:val="0"/>
          <w:sz w:val="24"/>
          <w:szCs w:val="24"/>
          <w:lang w:eastAsia="zh-CN"/>
        </w:rPr>
        <w:t>。</w:t>
      </w:r>
    </w:p>
    <w:p w:rsidR="00C1273A" w:rsidRPr="00C277C0" w:rsidRDefault="00C1273A" w:rsidP="00682B6C">
      <w:pPr>
        <w:pStyle w:val="a4"/>
        <w:autoSpaceDE/>
        <w:autoSpaceDN/>
        <w:snapToGrid w:val="0"/>
        <w:ind w:left="920" w:firstLine="0"/>
        <w:jc w:val="both"/>
        <w:rPr>
          <w:rFonts w:eastAsia="宋体"/>
          <w:snapToGrid w:val="0"/>
          <w:sz w:val="24"/>
          <w:szCs w:val="24"/>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2.</w:t>
      </w:r>
      <w:r w:rsidRPr="00C277C0">
        <w:rPr>
          <w:rFonts w:hint="eastAsia"/>
          <w:snapToGrid w:val="0"/>
          <w:lang w:eastAsia="zh-CN"/>
        </w:rPr>
        <w:tab/>
      </w:r>
      <w:r w:rsidRPr="00C277C0">
        <w:rPr>
          <w:rFonts w:hint="eastAsia"/>
          <w:snapToGrid w:val="0"/>
          <w:lang w:eastAsia="zh-CN"/>
        </w:rPr>
        <w:t>基于组成部分的报告要求仅适用于组合产品申请人</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除了基于申请类型的报告要求外，</w:t>
      </w:r>
      <w:r w:rsidRPr="00B403CB">
        <w:rPr>
          <w:rFonts w:eastAsia="宋体" w:hint="eastAsia"/>
          <w:lang w:eastAsia="zh-CN"/>
        </w:rPr>
        <w:t>仅</w:t>
      </w:r>
      <w:r w:rsidRPr="00C277C0">
        <w:rPr>
          <w:rFonts w:eastAsia="宋体" w:hint="eastAsia"/>
          <w:snapToGrid w:val="0"/>
          <w:lang w:eastAsia="zh-CN"/>
        </w:rPr>
        <w:t>组合产品申请人还需要符合与组合产品组成部分相关的某些安全性报告要求（</w:t>
      </w:r>
      <w:r w:rsidR="00126E91">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ED68B9" w:rsidRPr="00C277C0">
        <w:rPr>
          <w:rFonts w:eastAsia="宋体" w:hint="eastAsia"/>
          <w:snapToGrid w:val="0"/>
          <w:lang w:eastAsia="zh-CN"/>
        </w:rPr>
        <w:t>第</w:t>
      </w:r>
      <w:r w:rsidRPr="00C277C0">
        <w:rPr>
          <w:rFonts w:eastAsia="宋体" w:hint="eastAsia"/>
          <w:snapToGrid w:val="0"/>
          <w:lang w:eastAsia="zh-CN"/>
        </w:rPr>
        <w:t>4.102</w:t>
      </w:r>
      <w:r w:rsidR="00CC6A14" w:rsidRPr="00C277C0">
        <w:rPr>
          <w:rFonts w:eastAsia="宋体" w:hint="eastAsia"/>
          <w:snapToGrid w:val="0"/>
          <w:lang w:eastAsia="zh-CN"/>
        </w:rPr>
        <w:t>（</w:t>
      </w:r>
      <w:r w:rsidRPr="00C277C0">
        <w:rPr>
          <w:rFonts w:eastAsia="宋体" w:hint="eastAsia"/>
          <w:snapToGrid w:val="0"/>
          <w:lang w:eastAsia="zh-CN"/>
        </w:rPr>
        <w:t>c</w:t>
      </w:r>
      <w:r w:rsidR="00CC6A14" w:rsidRPr="00C277C0">
        <w:rPr>
          <w:rFonts w:eastAsia="宋体" w:hint="eastAsia"/>
          <w:snapToGrid w:val="0"/>
          <w:lang w:eastAsia="zh-CN"/>
        </w:rPr>
        <w:t>）</w:t>
      </w:r>
      <w:r w:rsidR="00ED68B9" w:rsidRPr="00C277C0">
        <w:rPr>
          <w:rFonts w:eastAsia="宋体" w:hint="eastAsia"/>
          <w:snapToGrid w:val="0"/>
          <w:lang w:eastAsia="zh-CN"/>
        </w:rPr>
        <w:t>节</w:t>
      </w:r>
      <w:r w:rsidRPr="00C277C0">
        <w:rPr>
          <w:rFonts w:eastAsia="宋体" w:hint="eastAsia"/>
          <w:snapToGrid w:val="0"/>
          <w:lang w:eastAsia="zh-CN"/>
        </w:rPr>
        <w:t>）（</w:t>
      </w:r>
      <w:r w:rsidR="00ED68B9" w:rsidRPr="00C277C0">
        <w:rPr>
          <w:rFonts w:eastAsia="宋体" w:hint="eastAsia"/>
          <w:snapToGrid w:val="0"/>
          <w:lang w:eastAsia="zh-CN"/>
        </w:rPr>
        <w:t>有关</w:t>
      </w:r>
      <w:r w:rsidRPr="00C277C0">
        <w:rPr>
          <w:rFonts w:eastAsia="宋体" w:hint="eastAsia"/>
          <w:snapToGrid w:val="0"/>
          <w:lang w:eastAsia="zh-CN"/>
        </w:rPr>
        <w:t>详细讨论，包括简化报告的机会，请</w:t>
      </w:r>
      <w:r w:rsidR="00A00C22">
        <w:rPr>
          <w:rFonts w:eastAsia="宋体" w:hint="eastAsia"/>
          <w:snapToGrid w:val="0"/>
          <w:lang w:eastAsia="zh-CN"/>
        </w:rPr>
        <w:t>参</w:t>
      </w:r>
      <w:r w:rsidRPr="00C277C0">
        <w:rPr>
          <w:rFonts w:eastAsia="宋体" w:hint="eastAsia"/>
          <w:snapToGrid w:val="0"/>
          <w:lang w:eastAsia="zh-CN"/>
        </w:rPr>
        <w:t>见下文第</w:t>
      </w:r>
      <w:r w:rsidR="00C8689A" w:rsidRPr="00C277C0">
        <w:rPr>
          <w:rFonts w:eastAsia="宋体" w:hint="eastAsia"/>
          <w:snapToGrid w:val="0"/>
          <w:lang w:eastAsia="zh-CN"/>
        </w:rPr>
        <w:t>IV</w:t>
      </w:r>
      <w:r w:rsidRPr="00C277C0">
        <w:rPr>
          <w:rFonts w:eastAsia="宋体" w:hint="eastAsia"/>
          <w:snapToGrid w:val="0"/>
          <w:lang w:eastAsia="zh-CN"/>
        </w:rPr>
        <w:t>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根据单一申请的报告。</w:t>
      </w:r>
      <w:r w:rsidRPr="00C277C0">
        <w:rPr>
          <w:rFonts w:eastAsia="宋体" w:hint="eastAsia"/>
          <w:snapToGrid w:val="0"/>
          <w:lang w:eastAsia="zh-CN"/>
        </w:rPr>
        <w:t>以下列出了组合产品申请人根据组合产品的组成部分类型和组合产品的申请类型必须满足的其他报告要求：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包含器械组成部分的组合产品</w:t>
      </w:r>
      <w:r w:rsidRPr="00C277C0">
        <w:rPr>
          <w:rFonts w:eastAsia="宋体" w:hint="eastAsia"/>
          <w:snapToGrid w:val="0"/>
          <w:sz w:val="24"/>
          <w:szCs w:val="24"/>
          <w:u w:val="single"/>
          <w:lang w:eastAsia="zh-CN"/>
        </w:rPr>
        <w:t>NDA/ANDA/BLA</w:t>
      </w:r>
      <w:r w:rsidRPr="00C277C0">
        <w:rPr>
          <w:rFonts w:eastAsia="宋体" w:hint="eastAsia"/>
          <w:snapToGrid w:val="0"/>
          <w:sz w:val="24"/>
          <w:szCs w:val="24"/>
          <w:lang w:eastAsia="zh-CN"/>
        </w:rPr>
        <w:t>。组合产品申请人还必须符合（</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ED68B9" w:rsidRPr="00C277C0">
        <w:rPr>
          <w:rFonts w:eastAsia="宋体" w:hint="eastAsia"/>
          <w:snapToGrid w:val="0"/>
          <w:sz w:val="24"/>
          <w:szCs w:val="24"/>
          <w:lang w:eastAsia="zh-CN"/>
        </w:rPr>
        <w:t>第</w:t>
      </w:r>
      <w:r w:rsidRPr="00C277C0">
        <w:rPr>
          <w:rFonts w:eastAsia="宋体" w:hint="eastAsia"/>
          <w:snapToGrid w:val="0"/>
          <w:sz w:val="24"/>
          <w:szCs w:val="24"/>
          <w:lang w:eastAsia="zh-CN"/>
        </w:rPr>
        <w:t>4.102</w:t>
      </w:r>
      <w:r w:rsidR="00CC6A14" w:rsidRPr="00C277C0">
        <w:rPr>
          <w:rFonts w:eastAsia="宋体" w:hint="eastAsia"/>
          <w:snapToGrid w:val="0"/>
          <w:sz w:val="24"/>
          <w:szCs w:val="24"/>
          <w:lang w:eastAsia="zh-CN"/>
        </w:rPr>
        <w:t>（</w:t>
      </w:r>
      <w:r w:rsidRPr="00C277C0">
        <w:rPr>
          <w:rFonts w:eastAsia="宋体" w:hint="eastAsia"/>
          <w:snapToGrid w:val="0"/>
          <w:sz w:val="24"/>
          <w:szCs w:val="24"/>
          <w:lang w:eastAsia="zh-CN"/>
        </w:rPr>
        <w:t>c</w:t>
      </w:r>
      <w:r w:rsidR="00CC6A14" w:rsidRPr="00C277C0">
        <w:rPr>
          <w:rFonts w:eastAsia="宋体" w:hint="eastAsia"/>
          <w:snapToGrid w:val="0"/>
          <w:sz w:val="24"/>
          <w:szCs w:val="24"/>
          <w:lang w:eastAsia="zh-CN"/>
        </w:rPr>
        <w:t>）（</w:t>
      </w:r>
      <w:r w:rsidRPr="00C277C0">
        <w:rPr>
          <w:rFonts w:eastAsia="宋体" w:hint="eastAsia"/>
          <w:snapToGrid w:val="0"/>
          <w:sz w:val="24"/>
          <w:szCs w:val="24"/>
          <w:lang w:eastAsia="zh-CN"/>
        </w:rPr>
        <w:t>1</w:t>
      </w:r>
      <w:r w:rsidR="00CC6A14" w:rsidRPr="00C277C0">
        <w:rPr>
          <w:rFonts w:eastAsia="宋体" w:hint="eastAsia"/>
          <w:snapToGrid w:val="0"/>
          <w:sz w:val="24"/>
          <w:szCs w:val="24"/>
          <w:lang w:eastAsia="zh-CN"/>
        </w:rPr>
        <w:t>）</w:t>
      </w:r>
      <w:r w:rsidR="00ED68B9"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097329" w:rsidP="00B403CB">
      <w:pPr>
        <w:pStyle w:val="a4"/>
        <w:numPr>
          <w:ilvl w:val="1"/>
          <w:numId w:val="12"/>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5</w:t>
      </w:r>
      <w:r w:rsidRPr="00C277C0">
        <w:rPr>
          <w:rFonts w:eastAsia="宋体" w:hint="eastAsia"/>
          <w:snapToGrid w:val="0"/>
          <w:sz w:val="24"/>
          <w:szCs w:val="24"/>
          <w:lang w:eastAsia="zh-CN"/>
        </w:rPr>
        <w:t>天报告要求（</w:t>
      </w:r>
      <w:r w:rsidR="00126E91">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ED68B9" w:rsidRPr="00C277C0">
        <w:rPr>
          <w:rFonts w:eastAsia="宋体" w:hint="eastAsia"/>
          <w:snapToGrid w:val="0"/>
          <w:sz w:val="24"/>
          <w:szCs w:val="24"/>
          <w:lang w:eastAsia="zh-CN"/>
        </w:rPr>
        <w:t>第</w:t>
      </w:r>
      <w:r w:rsidRPr="00C277C0">
        <w:rPr>
          <w:rFonts w:eastAsia="宋体" w:hint="eastAsia"/>
          <w:snapToGrid w:val="0"/>
          <w:sz w:val="24"/>
          <w:szCs w:val="24"/>
          <w:lang w:eastAsia="zh-CN"/>
        </w:rPr>
        <w:t>803.3</w:t>
      </w:r>
      <w:r w:rsidRPr="00C277C0">
        <w:rPr>
          <w:rFonts w:eastAsia="宋体" w:hint="eastAsia"/>
          <w:snapToGrid w:val="0"/>
          <w:sz w:val="24"/>
          <w:szCs w:val="24"/>
          <w:lang w:eastAsia="zh-CN"/>
        </w:rPr>
        <w:t>、</w:t>
      </w:r>
      <w:r w:rsidRPr="00C277C0">
        <w:rPr>
          <w:rFonts w:eastAsia="宋体" w:hint="eastAsia"/>
          <w:snapToGrid w:val="0"/>
          <w:sz w:val="24"/>
          <w:szCs w:val="24"/>
          <w:lang w:eastAsia="zh-CN"/>
        </w:rPr>
        <w:t>803.53</w:t>
      </w:r>
      <w:r w:rsidRPr="00C277C0">
        <w:rPr>
          <w:rFonts w:eastAsia="宋体" w:hint="eastAsia"/>
          <w:snapToGrid w:val="0"/>
          <w:sz w:val="24"/>
          <w:szCs w:val="24"/>
          <w:lang w:eastAsia="zh-CN"/>
        </w:rPr>
        <w:t>和</w:t>
      </w:r>
      <w:r w:rsidRPr="00C277C0">
        <w:rPr>
          <w:rFonts w:eastAsia="宋体" w:hint="eastAsia"/>
          <w:snapToGrid w:val="0"/>
          <w:sz w:val="24"/>
          <w:szCs w:val="24"/>
          <w:lang w:eastAsia="zh-CN"/>
        </w:rPr>
        <w:t>803.56</w:t>
      </w:r>
      <w:r w:rsidR="00ED68B9"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B2087C" w:rsidP="00B403CB">
      <w:pPr>
        <w:pStyle w:val="a4"/>
        <w:numPr>
          <w:ilvl w:val="1"/>
          <w:numId w:val="12"/>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故障</w:t>
      </w:r>
      <w:r w:rsidR="00C55B83" w:rsidRPr="00C277C0">
        <w:rPr>
          <w:rFonts w:eastAsia="宋体" w:hint="eastAsia"/>
          <w:snapToGrid w:val="0"/>
          <w:sz w:val="24"/>
          <w:szCs w:val="24"/>
          <w:lang w:eastAsia="zh-CN"/>
        </w:rPr>
        <w:t>报告</w:t>
      </w:r>
      <w:r w:rsidR="00097329" w:rsidRPr="00C277C0">
        <w:rPr>
          <w:rFonts w:eastAsia="宋体" w:hint="eastAsia"/>
          <w:snapToGrid w:val="0"/>
          <w:sz w:val="24"/>
          <w:szCs w:val="24"/>
          <w:lang w:eastAsia="zh-CN"/>
        </w:rPr>
        <w:t>要求（</w:t>
      </w:r>
      <w:r w:rsidR="00310665">
        <w:rPr>
          <w:rFonts w:eastAsia="宋体" w:hint="eastAsia"/>
          <w:snapToGrid w:val="0"/>
          <w:sz w:val="24"/>
          <w:szCs w:val="24"/>
          <w:lang w:eastAsia="zh-CN"/>
        </w:rPr>
        <w:t>参</w:t>
      </w:r>
      <w:r w:rsidR="00097329"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00097329" w:rsidRPr="00C277C0">
        <w:rPr>
          <w:rFonts w:eastAsia="宋体" w:hint="eastAsia"/>
          <w:snapToGrid w:val="0"/>
          <w:sz w:val="24"/>
          <w:szCs w:val="24"/>
          <w:lang w:eastAsia="zh-CN"/>
        </w:rPr>
        <w:t>803.50</w:t>
      </w:r>
      <w:r w:rsidR="00097329" w:rsidRPr="00C277C0">
        <w:rPr>
          <w:rFonts w:eastAsia="宋体" w:hint="eastAsia"/>
          <w:snapToGrid w:val="0"/>
          <w:sz w:val="24"/>
          <w:szCs w:val="24"/>
          <w:lang w:eastAsia="zh-CN"/>
        </w:rPr>
        <w:t>和</w:t>
      </w:r>
      <w:r w:rsidR="00097329" w:rsidRPr="00C277C0">
        <w:rPr>
          <w:rFonts w:eastAsia="宋体" w:hint="eastAsia"/>
          <w:snapToGrid w:val="0"/>
          <w:sz w:val="24"/>
          <w:szCs w:val="24"/>
          <w:lang w:eastAsia="zh-CN"/>
        </w:rPr>
        <w:t>803.56</w:t>
      </w:r>
      <w:r w:rsidR="00375702" w:rsidRPr="00C277C0">
        <w:rPr>
          <w:rFonts w:eastAsia="宋体" w:hint="eastAsia"/>
          <w:snapToGrid w:val="0"/>
          <w:sz w:val="24"/>
          <w:szCs w:val="24"/>
          <w:lang w:eastAsia="zh-CN"/>
        </w:rPr>
        <w:t>节</w:t>
      </w:r>
      <w:r w:rsidR="00097329" w:rsidRPr="00C277C0">
        <w:rPr>
          <w:rFonts w:eastAsia="宋体" w:hint="eastAsia"/>
          <w:snapToGrid w:val="0"/>
          <w:sz w:val="24"/>
          <w:szCs w:val="24"/>
          <w:lang w:eastAsia="zh-CN"/>
        </w:rPr>
        <w:t>）</w:t>
      </w:r>
    </w:p>
    <w:p w:rsidR="00C1273A" w:rsidRPr="00C277C0" w:rsidRDefault="00097329" w:rsidP="00B403CB">
      <w:pPr>
        <w:pStyle w:val="a4"/>
        <w:numPr>
          <w:ilvl w:val="1"/>
          <w:numId w:val="12"/>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无需报告的事件的更正和移除报告</w:t>
      </w:r>
      <w:r w:rsidR="00014B66" w:rsidRPr="00C277C0">
        <w:rPr>
          <w:rFonts w:eastAsia="宋体" w:hint="eastAsia"/>
          <w:snapToGrid w:val="0"/>
          <w:sz w:val="24"/>
          <w:szCs w:val="24"/>
          <w:lang w:eastAsia="zh-CN"/>
        </w:rPr>
        <w:t>及</w:t>
      </w:r>
      <w:r w:rsidRPr="00C277C0">
        <w:rPr>
          <w:rFonts w:eastAsia="宋体" w:hint="eastAsia"/>
          <w:snapToGrid w:val="0"/>
          <w:sz w:val="24"/>
          <w:szCs w:val="24"/>
          <w:lang w:eastAsia="zh-CN"/>
        </w:rPr>
        <w:t>记录保存要求（</w:t>
      </w:r>
      <w:r w:rsidR="00310665">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Pr="00C277C0">
        <w:rPr>
          <w:rFonts w:eastAsia="宋体" w:hint="eastAsia"/>
          <w:snapToGrid w:val="0"/>
          <w:sz w:val="24"/>
          <w:szCs w:val="24"/>
          <w:lang w:eastAsia="zh-CN"/>
        </w:rPr>
        <w:t>806.10</w:t>
      </w:r>
      <w:r w:rsidRPr="00C277C0">
        <w:rPr>
          <w:rFonts w:eastAsia="宋体" w:hint="eastAsia"/>
          <w:snapToGrid w:val="0"/>
          <w:sz w:val="24"/>
          <w:szCs w:val="24"/>
          <w:lang w:eastAsia="zh-CN"/>
        </w:rPr>
        <w:t>和</w:t>
      </w:r>
      <w:r w:rsidRPr="00C277C0">
        <w:rPr>
          <w:rFonts w:eastAsia="宋体" w:hint="eastAsia"/>
          <w:snapToGrid w:val="0"/>
          <w:sz w:val="24"/>
          <w:szCs w:val="24"/>
          <w:lang w:eastAsia="zh-CN"/>
        </w:rPr>
        <w:t>806.20</w:t>
      </w:r>
      <w:r w:rsidR="00375702"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C1273A" w:rsidP="00682B6C">
      <w:pPr>
        <w:pStyle w:val="a4"/>
        <w:autoSpaceDE/>
        <w:autoSpaceDN/>
        <w:snapToGrid w:val="0"/>
        <w:ind w:left="1800" w:firstLine="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包含药品组成部分的组合产品</w:t>
      </w:r>
      <w:r w:rsidRPr="00C277C0">
        <w:rPr>
          <w:rFonts w:eastAsia="宋体" w:hint="eastAsia"/>
          <w:snapToGrid w:val="0"/>
          <w:sz w:val="24"/>
          <w:szCs w:val="24"/>
          <w:u w:val="single"/>
          <w:lang w:eastAsia="zh-CN"/>
        </w:rPr>
        <w:t>BLA</w:t>
      </w:r>
      <w:r w:rsidRPr="00C277C0">
        <w:rPr>
          <w:rFonts w:eastAsia="宋体" w:hint="eastAsia"/>
          <w:snapToGrid w:val="0"/>
          <w:sz w:val="24"/>
          <w:szCs w:val="24"/>
          <w:u w:val="single"/>
          <w:lang w:eastAsia="zh-CN"/>
        </w:rPr>
        <w:t>或器械申请</w:t>
      </w:r>
      <w:r w:rsidR="00682B6C" w:rsidRPr="00C277C0">
        <w:rPr>
          <w:rFonts w:eastAsia="宋体" w:hint="eastAsia"/>
          <w:snapToGrid w:val="0"/>
          <w:sz w:val="24"/>
          <w:szCs w:val="24"/>
          <w:lang w:eastAsia="zh-CN"/>
        </w:rPr>
        <w:t>。</w:t>
      </w:r>
      <w:r w:rsidRPr="00C277C0">
        <w:rPr>
          <w:rFonts w:eastAsia="宋体" w:hint="eastAsia"/>
          <w:snapToGrid w:val="0"/>
          <w:sz w:val="24"/>
          <w:szCs w:val="24"/>
          <w:lang w:eastAsia="zh-CN"/>
        </w:rPr>
        <w:t>组合产品申请人还必须符合（</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Pr="00C277C0">
        <w:rPr>
          <w:rFonts w:eastAsia="宋体" w:hint="eastAsia"/>
          <w:snapToGrid w:val="0"/>
          <w:sz w:val="24"/>
          <w:szCs w:val="24"/>
          <w:lang w:eastAsia="zh-CN"/>
        </w:rPr>
        <w:t>4.102</w:t>
      </w:r>
      <w:r w:rsidR="00CC6A14" w:rsidRPr="00C277C0">
        <w:rPr>
          <w:rFonts w:eastAsia="宋体" w:hint="eastAsia"/>
          <w:snapToGrid w:val="0"/>
          <w:sz w:val="24"/>
          <w:szCs w:val="24"/>
          <w:lang w:eastAsia="zh-CN"/>
        </w:rPr>
        <w:t>（</w:t>
      </w:r>
      <w:r w:rsidRPr="00C277C0">
        <w:rPr>
          <w:rFonts w:eastAsia="宋体" w:hint="eastAsia"/>
          <w:snapToGrid w:val="0"/>
          <w:sz w:val="24"/>
          <w:szCs w:val="24"/>
          <w:lang w:eastAsia="zh-CN"/>
        </w:rPr>
        <w:t>c</w:t>
      </w:r>
      <w:r w:rsidR="00CC6A14" w:rsidRPr="00C277C0">
        <w:rPr>
          <w:rFonts w:eastAsia="宋体" w:hint="eastAsia"/>
          <w:snapToGrid w:val="0"/>
          <w:sz w:val="24"/>
          <w:szCs w:val="24"/>
          <w:lang w:eastAsia="zh-CN"/>
        </w:rPr>
        <w:t>）（</w:t>
      </w:r>
      <w:r w:rsidRPr="00C277C0">
        <w:rPr>
          <w:rFonts w:eastAsia="宋体" w:hint="eastAsia"/>
          <w:snapToGrid w:val="0"/>
          <w:sz w:val="24"/>
          <w:szCs w:val="24"/>
          <w:lang w:eastAsia="zh-CN"/>
        </w:rPr>
        <w:t>2</w:t>
      </w:r>
      <w:r w:rsidR="00CC6A14" w:rsidRPr="00C277C0">
        <w:rPr>
          <w:rFonts w:eastAsia="宋体" w:hint="eastAsia"/>
          <w:snapToGrid w:val="0"/>
          <w:sz w:val="24"/>
          <w:szCs w:val="24"/>
          <w:lang w:eastAsia="zh-CN"/>
        </w:rPr>
        <w:t>）</w:t>
      </w:r>
      <w:r w:rsidR="00375702"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75567A" w:rsidP="00B403CB">
      <w:pPr>
        <w:pStyle w:val="a4"/>
        <w:numPr>
          <w:ilvl w:val="1"/>
          <w:numId w:val="12"/>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现场警示报告</w:t>
      </w:r>
      <w:r w:rsidR="001D2767" w:rsidRPr="00C277C0">
        <w:rPr>
          <w:rFonts w:eastAsia="宋体" w:hint="eastAsia"/>
          <w:snapToGrid w:val="0"/>
          <w:sz w:val="24"/>
          <w:szCs w:val="24"/>
          <w:lang w:eastAsia="zh-CN"/>
        </w:rPr>
        <w:t>（</w:t>
      </w:r>
      <w:r w:rsidR="001D2767" w:rsidRPr="00C277C0">
        <w:rPr>
          <w:rFonts w:eastAsia="宋体" w:hint="eastAsia"/>
          <w:snapToGrid w:val="0"/>
          <w:sz w:val="24"/>
          <w:szCs w:val="24"/>
          <w:lang w:eastAsia="zh-CN"/>
        </w:rPr>
        <w:t>FAR</w:t>
      </w:r>
      <w:r w:rsidR="001D2767" w:rsidRPr="00C277C0">
        <w:rPr>
          <w:rFonts w:eastAsia="宋体" w:hint="eastAsia"/>
          <w:snapToGrid w:val="0"/>
          <w:sz w:val="24"/>
          <w:szCs w:val="24"/>
          <w:lang w:eastAsia="zh-CN"/>
        </w:rPr>
        <w:t>）要求</w:t>
      </w:r>
      <w:r w:rsidR="00097329" w:rsidRPr="00C277C0">
        <w:rPr>
          <w:rFonts w:eastAsia="宋体" w:hint="eastAsia"/>
          <w:snapToGrid w:val="0"/>
          <w:sz w:val="24"/>
          <w:szCs w:val="24"/>
          <w:lang w:eastAsia="zh-CN"/>
        </w:rPr>
        <w:t>（</w:t>
      </w:r>
      <w:r w:rsidR="00310665">
        <w:rPr>
          <w:rFonts w:eastAsia="宋体" w:hint="eastAsia"/>
          <w:snapToGrid w:val="0"/>
          <w:sz w:val="24"/>
          <w:szCs w:val="24"/>
          <w:lang w:eastAsia="zh-CN"/>
        </w:rPr>
        <w:t>参</w:t>
      </w:r>
      <w:r w:rsidR="00097329"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00097329" w:rsidRPr="00C277C0">
        <w:rPr>
          <w:rFonts w:eastAsia="宋体" w:hint="eastAsia"/>
          <w:snapToGrid w:val="0"/>
          <w:sz w:val="24"/>
          <w:szCs w:val="24"/>
          <w:lang w:eastAsia="zh-CN"/>
        </w:rPr>
        <w:t>314.81</w:t>
      </w:r>
      <w:r w:rsidR="00375702" w:rsidRPr="00C277C0">
        <w:rPr>
          <w:rFonts w:eastAsia="宋体" w:hint="eastAsia"/>
          <w:snapToGrid w:val="0"/>
          <w:sz w:val="24"/>
          <w:szCs w:val="24"/>
          <w:lang w:eastAsia="zh-CN"/>
        </w:rPr>
        <w:t>节</w:t>
      </w:r>
      <w:r w:rsidR="00097329" w:rsidRPr="00C277C0">
        <w:rPr>
          <w:rFonts w:eastAsia="宋体" w:hint="eastAsia"/>
          <w:snapToGrid w:val="0"/>
          <w:sz w:val="24"/>
          <w:szCs w:val="24"/>
          <w:lang w:eastAsia="zh-CN"/>
        </w:rPr>
        <w:t>）</w:t>
      </w:r>
    </w:p>
    <w:p w:rsidR="00C1273A" w:rsidRPr="00C277C0" w:rsidRDefault="00097329" w:rsidP="00B403CB">
      <w:pPr>
        <w:pStyle w:val="a4"/>
        <w:numPr>
          <w:ilvl w:val="1"/>
          <w:numId w:val="12"/>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15</w:t>
      </w:r>
      <w:r w:rsidRPr="00C277C0">
        <w:rPr>
          <w:rFonts w:eastAsia="宋体" w:hint="eastAsia"/>
          <w:snapToGrid w:val="0"/>
          <w:sz w:val="24"/>
          <w:szCs w:val="24"/>
          <w:lang w:eastAsia="zh-CN"/>
        </w:rPr>
        <w:t>天报告要求（</w:t>
      </w:r>
      <w:r w:rsidR="00310665">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Pr="00C277C0">
        <w:rPr>
          <w:rFonts w:eastAsia="宋体" w:hint="eastAsia"/>
          <w:snapToGrid w:val="0"/>
          <w:sz w:val="24"/>
          <w:szCs w:val="24"/>
          <w:lang w:eastAsia="zh-CN"/>
        </w:rPr>
        <w:t>314.80</w:t>
      </w:r>
      <w:r w:rsidR="00375702" w:rsidRPr="00C277C0">
        <w:rPr>
          <w:rFonts w:eastAsia="宋体" w:hint="eastAsia"/>
          <w:snapToGrid w:val="0"/>
          <w:sz w:val="24"/>
          <w:szCs w:val="24"/>
          <w:lang w:eastAsia="zh-CN"/>
        </w:rPr>
        <w:t>节</w:t>
      </w:r>
      <w:r w:rsidR="00FE2212" w:rsidRPr="00C277C0">
        <w:rPr>
          <w:rStyle w:val="af4"/>
          <w:rFonts w:eastAsia="宋体" w:hint="eastAsia"/>
          <w:snapToGrid w:val="0"/>
          <w:sz w:val="24"/>
          <w:szCs w:val="24"/>
          <w:lang w:eastAsia="zh-CN"/>
        </w:rPr>
        <w:footnoteReference w:id="14"/>
      </w:r>
      <w:r w:rsidRPr="00C277C0">
        <w:rPr>
          <w:rFonts w:eastAsia="宋体" w:hint="eastAsia"/>
          <w:snapToGrid w:val="0"/>
          <w:sz w:val="24"/>
          <w:szCs w:val="24"/>
          <w:lang w:eastAsia="zh-CN"/>
        </w:rPr>
        <w:t>）</w:t>
      </w:r>
    </w:p>
    <w:p w:rsidR="006223B4" w:rsidRPr="00C277C0" w:rsidRDefault="006223B4" w:rsidP="006223B4">
      <w:pPr>
        <w:autoSpaceDE/>
        <w:autoSpaceDN/>
        <w:snapToGrid w:val="0"/>
        <w:jc w:val="both"/>
        <w:rPr>
          <w:rFonts w:eastAsia="宋体"/>
          <w:snapToGrid w:val="0"/>
          <w:sz w:val="24"/>
          <w:szCs w:val="24"/>
          <w:lang w:eastAsia="zh-CN"/>
        </w:rPr>
      </w:pPr>
      <w:bookmarkStart w:id="19" w:name="_bookmark22"/>
      <w:bookmarkEnd w:id="19"/>
      <w:r w:rsidRPr="00C277C0">
        <w:rPr>
          <w:rFonts w:eastAsia="宋体" w:hint="eastAsia"/>
          <w:snapToGrid w:val="0"/>
          <w:sz w:val="24"/>
          <w:szCs w:val="24"/>
          <w:lang w:eastAsia="zh-CN"/>
        </w:rPr>
        <w:br w:type="page"/>
      </w:r>
    </w:p>
    <w:p w:rsidR="006223B4" w:rsidRPr="00C277C0" w:rsidRDefault="006223B4" w:rsidP="00B403CB">
      <w:pPr>
        <w:autoSpaceDE/>
        <w:autoSpaceDN/>
        <w:snapToGrid w:val="0"/>
        <w:jc w:val="both"/>
        <w:rPr>
          <w:rFonts w:eastAsia="宋体"/>
          <w:snapToGrid w:val="0"/>
          <w:sz w:val="24"/>
          <w:szCs w:val="24"/>
          <w:lang w:eastAsia="zh-CN"/>
        </w:rPr>
      </w:pP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包含生物制品组成部分的组合产品</w:t>
      </w:r>
      <w:r w:rsidRPr="00C277C0">
        <w:rPr>
          <w:rFonts w:eastAsia="宋体" w:hint="eastAsia"/>
          <w:snapToGrid w:val="0"/>
          <w:sz w:val="24"/>
          <w:szCs w:val="24"/>
          <w:u w:val="single"/>
          <w:lang w:eastAsia="zh-CN"/>
        </w:rPr>
        <w:t>ANDA/NDA</w:t>
      </w:r>
      <w:r w:rsidRPr="00C277C0">
        <w:rPr>
          <w:rFonts w:eastAsia="宋体" w:hint="eastAsia"/>
          <w:snapToGrid w:val="0"/>
          <w:sz w:val="24"/>
          <w:szCs w:val="24"/>
          <w:u w:val="single"/>
          <w:lang w:eastAsia="zh-CN"/>
        </w:rPr>
        <w:t>或器械申请</w:t>
      </w:r>
      <w:r w:rsidRPr="00B403CB">
        <w:rPr>
          <w:rFonts w:eastAsia="宋体" w:hint="eastAsia"/>
          <w:sz w:val="24"/>
          <w:lang w:eastAsia="zh-CN"/>
        </w:rPr>
        <w:t>。</w:t>
      </w:r>
      <w:r w:rsidRPr="00C277C0">
        <w:rPr>
          <w:rFonts w:eastAsia="宋体" w:hint="eastAsia"/>
          <w:snapToGrid w:val="0"/>
          <w:sz w:val="24"/>
          <w:szCs w:val="24"/>
          <w:lang w:eastAsia="zh-CN"/>
        </w:rPr>
        <w:t>组合产品申请人还必须符合（</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Pr="00C277C0">
        <w:rPr>
          <w:rFonts w:eastAsia="宋体" w:hint="eastAsia"/>
          <w:snapToGrid w:val="0"/>
          <w:sz w:val="24"/>
          <w:szCs w:val="24"/>
          <w:lang w:eastAsia="zh-CN"/>
        </w:rPr>
        <w:t>4.102</w:t>
      </w:r>
      <w:r w:rsidR="00CC6A14" w:rsidRPr="00C277C0">
        <w:rPr>
          <w:rFonts w:eastAsia="宋体" w:hint="eastAsia"/>
          <w:snapToGrid w:val="0"/>
          <w:sz w:val="24"/>
          <w:szCs w:val="24"/>
          <w:lang w:eastAsia="zh-CN"/>
        </w:rPr>
        <w:t>（</w:t>
      </w:r>
      <w:r w:rsidRPr="00C277C0">
        <w:rPr>
          <w:rFonts w:eastAsia="宋体" w:hint="eastAsia"/>
          <w:snapToGrid w:val="0"/>
          <w:sz w:val="24"/>
          <w:szCs w:val="24"/>
          <w:lang w:eastAsia="zh-CN"/>
        </w:rPr>
        <w:t>c</w:t>
      </w:r>
      <w:r w:rsidR="00CC6A14" w:rsidRPr="00C277C0">
        <w:rPr>
          <w:rFonts w:eastAsia="宋体" w:hint="eastAsia"/>
          <w:snapToGrid w:val="0"/>
          <w:sz w:val="24"/>
          <w:szCs w:val="24"/>
          <w:lang w:eastAsia="zh-CN"/>
        </w:rPr>
        <w:t>）（</w:t>
      </w:r>
      <w:r w:rsidRPr="00C277C0">
        <w:rPr>
          <w:rFonts w:eastAsia="宋体" w:hint="eastAsia"/>
          <w:snapToGrid w:val="0"/>
          <w:sz w:val="24"/>
          <w:szCs w:val="24"/>
          <w:lang w:eastAsia="zh-CN"/>
        </w:rPr>
        <w:t>3</w:t>
      </w:r>
      <w:r w:rsidR="00CC6A14" w:rsidRPr="00C277C0">
        <w:rPr>
          <w:rFonts w:eastAsia="宋体" w:hint="eastAsia"/>
          <w:snapToGrid w:val="0"/>
          <w:sz w:val="24"/>
          <w:szCs w:val="24"/>
          <w:lang w:eastAsia="zh-CN"/>
        </w:rPr>
        <w:t>）</w:t>
      </w:r>
      <w:r w:rsidR="00375702"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097329" w:rsidP="00B403CB">
      <w:pPr>
        <w:pStyle w:val="a4"/>
        <w:numPr>
          <w:ilvl w:val="1"/>
          <w:numId w:val="12"/>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生物制品偏差报告（</w:t>
      </w:r>
      <w:r w:rsidRPr="00C277C0">
        <w:rPr>
          <w:rFonts w:eastAsia="宋体" w:hint="eastAsia"/>
          <w:snapToGrid w:val="0"/>
          <w:sz w:val="24"/>
          <w:szCs w:val="24"/>
          <w:lang w:eastAsia="zh-CN"/>
        </w:rPr>
        <w:t>BPDR</w:t>
      </w:r>
      <w:r w:rsidRPr="00C277C0">
        <w:rPr>
          <w:rFonts w:eastAsia="宋体" w:hint="eastAsia"/>
          <w:snapToGrid w:val="0"/>
          <w:sz w:val="24"/>
          <w:szCs w:val="24"/>
          <w:lang w:eastAsia="zh-CN"/>
        </w:rPr>
        <w:t>）要求（</w:t>
      </w:r>
      <w:r w:rsidR="00910245">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Pr="00C277C0">
        <w:rPr>
          <w:rFonts w:eastAsia="宋体" w:hint="eastAsia"/>
          <w:snapToGrid w:val="0"/>
          <w:sz w:val="24"/>
          <w:szCs w:val="24"/>
          <w:lang w:eastAsia="zh-CN"/>
        </w:rPr>
        <w:t>600.14</w:t>
      </w:r>
      <w:r w:rsidRPr="00C277C0">
        <w:rPr>
          <w:rFonts w:eastAsia="宋体" w:hint="eastAsia"/>
          <w:snapToGrid w:val="0"/>
          <w:sz w:val="24"/>
          <w:szCs w:val="24"/>
          <w:lang w:eastAsia="zh-CN"/>
        </w:rPr>
        <w:t>和</w:t>
      </w:r>
      <w:r w:rsidRPr="00C277C0">
        <w:rPr>
          <w:rFonts w:eastAsia="宋体" w:hint="eastAsia"/>
          <w:snapToGrid w:val="0"/>
          <w:sz w:val="24"/>
          <w:szCs w:val="24"/>
          <w:lang w:eastAsia="zh-CN"/>
        </w:rPr>
        <w:t>606.171</w:t>
      </w:r>
      <w:r w:rsidR="00375702"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097329" w:rsidP="0051347A">
      <w:pPr>
        <w:pStyle w:val="a4"/>
        <w:numPr>
          <w:ilvl w:val="1"/>
          <w:numId w:val="12"/>
        </w:numPr>
        <w:tabs>
          <w:tab w:val="left" w:pos="1806"/>
        </w:tabs>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15</w:t>
      </w:r>
      <w:r w:rsidRPr="00C277C0">
        <w:rPr>
          <w:rFonts w:eastAsia="宋体" w:hint="eastAsia"/>
          <w:snapToGrid w:val="0"/>
          <w:sz w:val="24"/>
          <w:szCs w:val="24"/>
          <w:lang w:eastAsia="zh-CN"/>
        </w:rPr>
        <w:t>天报告要求（见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Pr="00C277C0">
        <w:rPr>
          <w:rFonts w:eastAsia="宋体" w:hint="eastAsia"/>
          <w:snapToGrid w:val="0"/>
          <w:sz w:val="24"/>
          <w:szCs w:val="24"/>
          <w:lang w:eastAsia="zh-CN"/>
        </w:rPr>
        <w:t>600.80</w:t>
      </w:r>
      <w:r w:rsidR="00375702" w:rsidRPr="00C277C0">
        <w:rPr>
          <w:rFonts w:eastAsia="宋体" w:hint="eastAsia"/>
          <w:snapToGrid w:val="0"/>
          <w:sz w:val="24"/>
          <w:szCs w:val="24"/>
          <w:lang w:eastAsia="zh-CN"/>
        </w:rPr>
        <w:t>节</w:t>
      </w:r>
      <w:r w:rsidRPr="00C277C0">
        <w:rPr>
          <w:rFonts w:eastAsia="宋体" w:hint="eastAsia"/>
          <w:snapToGrid w:val="0"/>
          <w:sz w:val="24"/>
          <w:szCs w:val="24"/>
          <w:vertAlign w:val="superscript"/>
          <w:lang w:eastAsia="zh-CN"/>
        </w:rPr>
        <w:t>13</w:t>
      </w:r>
      <w:r w:rsidRPr="00C277C0">
        <w:rPr>
          <w:rFonts w:eastAsia="宋体" w:hint="eastAsia"/>
          <w:snapToGrid w:val="0"/>
          <w:sz w:val="24"/>
          <w:szCs w:val="24"/>
          <w:lang w:eastAsia="zh-CN"/>
        </w:rPr>
        <w:t>）</w:t>
      </w:r>
    </w:p>
    <w:p w:rsidR="00C1273A" w:rsidRPr="00C277C0" w:rsidRDefault="00C1273A" w:rsidP="00B403CB">
      <w:pPr>
        <w:pStyle w:val="a4"/>
        <w:autoSpaceDE/>
        <w:autoSpaceDN/>
        <w:snapToGrid w:val="0"/>
        <w:ind w:left="1800" w:firstLine="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根据单独申请的报告</w:t>
      </w:r>
      <w:r w:rsidRPr="00B403CB">
        <w:rPr>
          <w:rFonts w:eastAsia="宋体" w:hint="eastAsia"/>
          <w:i/>
          <w:lang w:eastAsia="zh-CN"/>
        </w:rPr>
        <w:t>。</w:t>
      </w:r>
      <w:r w:rsidRPr="00C277C0">
        <w:rPr>
          <w:rFonts w:eastAsia="宋体" w:hint="eastAsia"/>
          <w:snapToGrid w:val="0"/>
          <w:lang w:eastAsia="zh-CN"/>
        </w:rPr>
        <w:t>如果组合产品申请人根据单独申请上市销售组合产品的组成部分，则根据</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Pr="00C277C0">
        <w:rPr>
          <w:rFonts w:eastAsia="宋体" w:hint="eastAsia"/>
          <w:snapToGrid w:val="0"/>
          <w:lang w:eastAsia="zh-CN"/>
        </w:rPr>
        <w:t>4.102</w:t>
      </w:r>
      <w:r w:rsidR="00CC6A14" w:rsidRPr="00C277C0">
        <w:rPr>
          <w:rFonts w:eastAsia="宋体" w:hint="eastAsia"/>
          <w:snapToGrid w:val="0"/>
          <w:lang w:eastAsia="zh-CN"/>
        </w:rPr>
        <w:t>（</w:t>
      </w:r>
      <w:r w:rsidRPr="00C277C0">
        <w:rPr>
          <w:rFonts w:eastAsia="宋体" w:hint="eastAsia"/>
          <w:snapToGrid w:val="0"/>
          <w:lang w:eastAsia="zh-CN"/>
        </w:rPr>
        <w:t>b</w:t>
      </w:r>
      <w:r w:rsidR="00CC6A14" w:rsidRPr="00C277C0">
        <w:rPr>
          <w:rFonts w:eastAsia="宋体" w:hint="eastAsia"/>
          <w:snapToGrid w:val="0"/>
          <w:lang w:eastAsia="zh-CN"/>
        </w:rPr>
        <w:t>）</w:t>
      </w:r>
      <w:r w:rsidR="00375702" w:rsidRPr="00C277C0">
        <w:rPr>
          <w:rFonts w:eastAsia="宋体" w:hint="eastAsia"/>
          <w:snapToGrid w:val="0"/>
          <w:lang w:eastAsia="zh-CN"/>
        </w:rPr>
        <w:t>节</w:t>
      </w:r>
      <w:r w:rsidRPr="00C277C0">
        <w:rPr>
          <w:rFonts w:eastAsia="宋体" w:hint="eastAsia"/>
          <w:snapToGrid w:val="0"/>
          <w:lang w:eastAsia="zh-CN"/>
        </w:rPr>
        <w:t>，组合产品申请人必须符合各申请类型相关的</w:t>
      </w:r>
      <w:r w:rsidRPr="00C277C0">
        <w:rPr>
          <w:rFonts w:eastAsia="宋体" w:hint="eastAsia"/>
          <w:snapToGrid w:val="0"/>
          <w:lang w:eastAsia="zh-CN"/>
        </w:rPr>
        <w:t>PMSR</w:t>
      </w:r>
      <w:r w:rsidRPr="00C277C0">
        <w:rPr>
          <w:rFonts w:eastAsia="宋体" w:hint="eastAsia"/>
          <w:snapToGrid w:val="0"/>
          <w:lang w:eastAsia="zh-CN"/>
        </w:rPr>
        <w:t>要求。组合产品申请人应根据与该组成部分申请类型相关的要求和流程，对各组成部分分别报告，以适当满足</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Pr="00C277C0">
        <w:rPr>
          <w:rFonts w:eastAsia="宋体" w:hint="eastAsia"/>
          <w:snapToGrid w:val="0"/>
          <w:lang w:eastAsia="zh-CN"/>
        </w:rPr>
        <w:t>4.102</w:t>
      </w:r>
      <w:r w:rsidR="00CC6A14" w:rsidRPr="00C277C0">
        <w:rPr>
          <w:rFonts w:eastAsia="宋体" w:hint="eastAsia"/>
          <w:snapToGrid w:val="0"/>
          <w:lang w:eastAsia="zh-CN"/>
        </w:rPr>
        <w:t>（</w:t>
      </w:r>
      <w:r w:rsidRPr="00C277C0">
        <w:rPr>
          <w:rFonts w:eastAsia="宋体" w:hint="eastAsia"/>
          <w:snapToGrid w:val="0"/>
          <w:lang w:eastAsia="zh-CN"/>
        </w:rPr>
        <w:t>b</w:t>
      </w:r>
      <w:r w:rsidR="00CC6A14" w:rsidRPr="00C277C0">
        <w:rPr>
          <w:rFonts w:eastAsia="宋体" w:hint="eastAsia"/>
          <w:snapToGrid w:val="0"/>
          <w:lang w:eastAsia="zh-CN"/>
        </w:rPr>
        <w:t>）</w:t>
      </w:r>
      <w:r w:rsidR="00375702" w:rsidRPr="00C277C0">
        <w:rPr>
          <w:rFonts w:eastAsia="宋体" w:hint="eastAsia"/>
          <w:snapToGrid w:val="0"/>
          <w:lang w:eastAsia="zh-CN"/>
        </w:rPr>
        <w:t>节</w:t>
      </w:r>
      <w:r w:rsidRPr="00C277C0">
        <w:rPr>
          <w:rFonts w:eastAsia="宋体" w:hint="eastAsia"/>
          <w:snapToGrid w:val="0"/>
          <w:lang w:eastAsia="zh-CN"/>
        </w:rPr>
        <w:t>中的报告要求。在此类信息的可用范围内，此类报告应说明事件与组成部分和组合产品的整体关系。</w:t>
      </w:r>
      <w:r w:rsidR="00FE2212" w:rsidRPr="00C277C0">
        <w:rPr>
          <w:rStyle w:val="af4"/>
          <w:rFonts w:eastAsia="宋体" w:hint="eastAsia"/>
          <w:snapToGrid w:val="0"/>
          <w:lang w:eastAsia="zh-CN"/>
        </w:rPr>
        <w:footnoteReference w:id="15"/>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3.</w:t>
      </w:r>
      <w:r w:rsidRPr="00C277C0">
        <w:rPr>
          <w:rFonts w:hint="eastAsia"/>
          <w:snapToGrid w:val="0"/>
          <w:lang w:eastAsia="zh-CN"/>
        </w:rPr>
        <w:tab/>
      </w:r>
      <w:r w:rsidRPr="00C277C0">
        <w:rPr>
          <w:rFonts w:hint="eastAsia"/>
          <w:snapToGrid w:val="0"/>
          <w:lang w:eastAsia="zh-CN"/>
        </w:rPr>
        <w:t>信息共享要求仅适用于组成部分申请人</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组成部分申请人必须在收到后的</w:t>
      </w:r>
      <w:r w:rsidRPr="00C277C0">
        <w:rPr>
          <w:rFonts w:eastAsia="宋体" w:hint="eastAsia"/>
          <w:snapToGrid w:val="0"/>
          <w:lang w:eastAsia="zh-CN"/>
        </w:rPr>
        <w:t>5</w:t>
      </w:r>
      <w:r w:rsidRPr="00C277C0">
        <w:rPr>
          <w:rFonts w:eastAsia="宋体" w:hint="eastAsia"/>
          <w:snapToGrid w:val="0"/>
          <w:lang w:eastAsia="zh-CN"/>
        </w:rPr>
        <w:t>个日历日内，与组合产品的其他组成部分申请人分享收到的与组合产品相关的以下事件的初始信息（更多详细讨论，请</w:t>
      </w:r>
      <w:r w:rsidR="00B24160">
        <w:rPr>
          <w:rFonts w:eastAsia="宋体" w:hint="eastAsia"/>
          <w:snapToGrid w:val="0"/>
          <w:lang w:eastAsia="zh-CN"/>
        </w:rPr>
        <w:t>参</w:t>
      </w:r>
      <w:r w:rsidRPr="00C277C0">
        <w:rPr>
          <w:rFonts w:eastAsia="宋体" w:hint="eastAsia"/>
          <w:snapToGrid w:val="0"/>
          <w:lang w:eastAsia="zh-CN"/>
        </w:rPr>
        <w:t>见第</w:t>
      </w:r>
      <w:r w:rsidR="00C0232D" w:rsidRPr="00C277C0">
        <w:rPr>
          <w:rFonts w:eastAsia="宋体" w:hint="eastAsia"/>
          <w:snapToGrid w:val="0"/>
          <w:lang w:eastAsia="zh-CN"/>
        </w:rPr>
        <w:t>4.</w:t>
      </w:r>
      <w:r w:rsidRPr="00C277C0">
        <w:rPr>
          <w:rFonts w:eastAsia="宋体" w:hint="eastAsia"/>
          <w:snapToGrid w:val="0"/>
          <w:lang w:eastAsia="zh-CN"/>
        </w:rPr>
        <w:t>D</w:t>
      </w:r>
      <w:r w:rsidRPr="00C277C0">
        <w:rPr>
          <w:rFonts w:eastAsia="宋体" w:hint="eastAsia"/>
          <w:snapToGrid w:val="0"/>
          <w:lang w:eastAsia="zh-CN"/>
        </w:rPr>
        <w:t>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7267DD"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00097329" w:rsidRPr="00C277C0">
        <w:rPr>
          <w:rFonts w:eastAsia="宋体" w:hint="eastAsia"/>
          <w:snapToGrid w:val="0"/>
          <w:sz w:val="24"/>
          <w:szCs w:val="24"/>
          <w:lang w:eastAsia="zh-CN"/>
        </w:rPr>
        <w:t>803.3</w:t>
      </w:r>
      <w:r w:rsidR="00375702" w:rsidRPr="00C277C0">
        <w:rPr>
          <w:rFonts w:eastAsia="宋体" w:hint="eastAsia"/>
          <w:snapToGrid w:val="0"/>
          <w:sz w:val="24"/>
          <w:szCs w:val="24"/>
          <w:lang w:eastAsia="zh-CN"/>
        </w:rPr>
        <w:t>节</w:t>
      </w:r>
      <w:r w:rsidR="00097329" w:rsidRPr="00C277C0">
        <w:rPr>
          <w:rFonts w:eastAsia="宋体" w:hint="eastAsia"/>
          <w:snapToGrid w:val="0"/>
          <w:sz w:val="24"/>
          <w:szCs w:val="24"/>
          <w:lang w:eastAsia="zh-CN"/>
        </w:rPr>
        <w:t>中所述</w:t>
      </w:r>
      <w:r w:rsidR="008048B2" w:rsidRPr="00C277C0">
        <w:rPr>
          <w:rFonts w:eastAsia="宋体" w:hint="eastAsia"/>
          <w:snapToGrid w:val="0"/>
          <w:sz w:val="24"/>
          <w:szCs w:val="24"/>
          <w:lang w:eastAsia="zh-CN"/>
        </w:rPr>
        <w:t>的</w:t>
      </w:r>
      <w:r w:rsidR="00097329" w:rsidRPr="00C277C0">
        <w:rPr>
          <w:rFonts w:eastAsia="宋体" w:hint="eastAsia"/>
          <w:snapToGrid w:val="0"/>
          <w:sz w:val="24"/>
          <w:szCs w:val="24"/>
          <w:lang w:eastAsia="zh-CN"/>
        </w:rPr>
        <w:t>死亡或重伤，以及</w:t>
      </w:r>
    </w:p>
    <w:p w:rsidR="00C1273A" w:rsidRPr="00C277C0" w:rsidRDefault="00C1273A" w:rsidP="00682B6C">
      <w:pPr>
        <w:pStyle w:val="a4"/>
        <w:autoSpaceDE/>
        <w:autoSpaceDN/>
        <w:snapToGrid w:val="0"/>
        <w:ind w:left="920" w:firstLine="0"/>
        <w:jc w:val="both"/>
        <w:rPr>
          <w:rFonts w:eastAsia="宋体"/>
          <w:snapToGrid w:val="0"/>
          <w:sz w:val="24"/>
          <w:szCs w:val="24"/>
          <w:lang w:eastAsia="zh-CN"/>
        </w:rPr>
      </w:pPr>
    </w:p>
    <w:p w:rsidR="00C1273A" w:rsidRPr="00C277C0" w:rsidRDefault="007267DD"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00097329" w:rsidRPr="00C277C0">
        <w:rPr>
          <w:rFonts w:eastAsia="宋体" w:hint="eastAsia"/>
          <w:snapToGrid w:val="0"/>
          <w:sz w:val="24"/>
          <w:szCs w:val="24"/>
          <w:lang w:eastAsia="zh-CN"/>
        </w:rPr>
        <w:t>314.80</w:t>
      </w:r>
      <w:r w:rsidR="00CC6A14"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a</w:t>
      </w:r>
      <w:r w:rsidR="00CC6A14"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或</w:t>
      </w:r>
      <w:r w:rsidR="00097329" w:rsidRPr="00C277C0">
        <w:rPr>
          <w:rFonts w:eastAsia="宋体" w:hint="eastAsia"/>
          <w:snapToGrid w:val="0"/>
          <w:sz w:val="24"/>
          <w:szCs w:val="24"/>
          <w:lang w:eastAsia="zh-CN"/>
        </w:rPr>
        <w:t>600.80</w:t>
      </w:r>
      <w:r w:rsidR="00CC6A14"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a</w:t>
      </w:r>
      <w:r w:rsidR="00CC6A14" w:rsidRPr="00C277C0">
        <w:rPr>
          <w:rFonts w:eastAsia="宋体" w:hint="eastAsia"/>
          <w:snapToGrid w:val="0"/>
          <w:sz w:val="24"/>
          <w:szCs w:val="24"/>
          <w:lang w:eastAsia="zh-CN"/>
        </w:rPr>
        <w:t>）</w:t>
      </w:r>
      <w:r w:rsidR="00375702" w:rsidRPr="00C277C0">
        <w:rPr>
          <w:rFonts w:eastAsia="宋体" w:hint="eastAsia"/>
          <w:snapToGrid w:val="0"/>
          <w:sz w:val="24"/>
          <w:szCs w:val="24"/>
          <w:lang w:eastAsia="zh-CN"/>
        </w:rPr>
        <w:t>节</w:t>
      </w:r>
      <w:r w:rsidR="00AC1B74" w:rsidRPr="00C277C0">
        <w:rPr>
          <w:rFonts w:eastAsia="宋体" w:hint="eastAsia"/>
          <w:snapToGrid w:val="0"/>
          <w:sz w:val="24"/>
          <w:szCs w:val="24"/>
          <w:lang w:eastAsia="zh-CN"/>
        </w:rPr>
        <w:t>中</w:t>
      </w:r>
      <w:r w:rsidR="00097329" w:rsidRPr="00C277C0">
        <w:rPr>
          <w:rFonts w:eastAsia="宋体" w:hint="eastAsia"/>
          <w:snapToGrid w:val="0"/>
          <w:sz w:val="24"/>
          <w:szCs w:val="24"/>
          <w:lang w:eastAsia="zh-CN"/>
        </w:rPr>
        <w:t>所述</w:t>
      </w:r>
      <w:r w:rsidR="008048B2" w:rsidRPr="00C277C0">
        <w:rPr>
          <w:rFonts w:eastAsia="宋体" w:hint="eastAsia"/>
          <w:snapToGrid w:val="0"/>
          <w:sz w:val="24"/>
          <w:szCs w:val="24"/>
          <w:lang w:eastAsia="zh-CN"/>
        </w:rPr>
        <w:t>的</w:t>
      </w:r>
      <w:r w:rsidR="00097329" w:rsidRPr="00C277C0">
        <w:rPr>
          <w:rFonts w:eastAsia="宋体" w:hint="eastAsia"/>
          <w:snapToGrid w:val="0"/>
          <w:sz w:val="24"/>
          <w:szCs w:val="24"/>
          <w:lang w:eastAsia="zh-CN"/>
        </w:rPr>
        <w:t>不良经历。</w:t>
      </w:r>
    </w:p>
    <w:p w:rsidR="00C1273A" w:rsidRPr="00C277C0" w:rsidRDefault="00C1273A" w:rsidP="00682B6C">
      <w:pPr>
        <w:pStyle w:val="a4"/>
        <w:autoSpaceDE/>
        <w:autoSpaceDN/>
        <w:snapToGrid w:val="0"/>
        <w:ind w:left="920" w:firstLine="0"/>
        <w:jc w:val="both"/>
        <w:rPr>
          <w:rFonts w:eastAsia="宋体"/>
          <w:snapToGrid w:val="0"/>
          <w:sz w:val="24"/>
          <w:szCs w:val="24"/>
          <w:lang w:eastAsia="zh-CN"/>
        </w:rPr>
      </w:pPr>
    </w:p>
    <w:p w:rsidR="00C1273A" w:rsidRPr="00B403CB" w:rsidRDefault="00097329" w:rsidP="00B403CB">
      <w:pPr>
        <w:autoSpaceDE/>
        <w:autoSpaceDN/>
        <w:snapToGrid w:val="0"/>
        <w:jc w:val="both"/>
        <w:rPr>
          <w:rFonts w:eastAsia="宋体"/>
          <w:sz w:val="24"/>
          <w:lang w:eastAsia="zh-CN"/>
        </w:rPr>
      </w:pPr>
      <w:r w:rsidRPr="00B403CB">
        <w:rPr>
          <w:rFonts w:eastAsia="宋体" w:hint="eastAsia"/>
          <w:sz w:val="24"/>
          <w:lang w:eastAsia="zh-CN"/>
        </w:rPr>
        <w:t>（</w:t>
      </w:r>
      <w:r w:rsidR="009B0338">
        <w:rPr>
          <w:rFonts w:eastAsia="宋体" w:hint="eastAsia"/>
          <w:sz w:val="24"/>
          <w:lang w:eastAsia="zh-CN"/>
        </w:rPr>
        <w:t>参</w:t>
      </w:r>
      <w:r w:rsidRPr="00B403CB">
        <w:rPr>
          <w:rFonts w:eastAsia="宋体" w:hint="eastAsia"/>
          <w:sz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375702" w:rsidRPr="00C277C0">
        <w:rPr>
          <w:rFonts w:eastAsia="宋体" w:hint="eastAsia"/>
          <w:snapToGrid w:val="0"/>
          <w:sz w:val="24"/>
          <w:szCs w:val="24"/>
          <w:lang w:eastAsia="zh-CN"/>
        </w:rPr>
        <w:t>第</w:t>
      </w:r>
      <w:r w:rsidRPr="00C277C0">
        <w:rPr>
          <w:rFonts w:eastAsia="宋体" w:hint="eastAsia"/>
          <w:snapToGrid w:val="0"/>
          <w:sz w:val="24"/>
          <w:szCs w:val="24"/>
          <w:lang w:eastAsia="zh-CN"/>
        </w:rPr>
        <w:t>4</w:t>
      </w:r>
      <w:r w:rsidRPr="00B403CB">
        <w:rPr>
          <w:rFonts w:eastAsia="宋体"/>
          <w:sz w:val="24"/>
          <w:lang w:eastAsia="zh-CN"/>
        </w:rPr>
        <w:t>.103</w:t>
      </w:r>
      <w:r w:rsidR="00375702" w:rsidRPr="00C277C0">
        <w:rPr>
          <w:rFonts w:eastAsia="宋体" w:hint="eastAsia"/>
          <w:snapToGrid w:val="0"/>
          <w:sz w:val="24"/>
          <w:szCs w:val="24"/>
          <w:lang w:eastAsia="zh-CN"/>
        </w:rPr>
        <w:t>节</w:t>
      </w:r>
      <w:r w:rsidRPr="00B403CB">
        <w:rPr>
          <w:rFonts w:eastAsia="宋体" w:hint="eastAsia"/>
          <w:sz w:val="24"/>
          <w:lang w:eastAsia="zh-CN"/>
        </w:rPr>
        <w:t>）</w:t>
      </w:r>
    </w:p>
    <w:p w:rsidR="00C1273A" w:rsidRPr="00C277C0" w:rsidRDefault="00C1273A" w:rsidP="00C1273A">
      <w:pPr>
        <w:autoSpaceDE/>
        <w:autoSpaceDN/>
        <w:snapToGrid w:val="0"/>
        <w:jc w:val="both"/>
        <w:rPr>
          <w:rFonts w:eastAsia="宋体"/>
          <w:snapToGrid w:val="0"/>
          <w:sz w:val="24"/>
          <w:szCs w:val="24"/>
          <w:lang w:eastAsia="zh-CN"/>
        </w:rPr>
      </w:pPr>
      <w:bookmarkStart w:id="20" w:name="_Toc95145700"/>
    </w:p>
    <w:p w:rsidR="00C1273A" w:rsidRPr="00B403CB" w:rsidRDefault="00CB2C74" w:rsidP="00B403CB">
      <w:pPr>
        <w:pStyle w:val="1"/>
        <w:numPr>
          <w:ilvl w:val="0"/>
          <w:numId w:val="43"/>
        </w:numPr>
        <w:tabs>
          <w:tab w:val="left" w:pos="868"/>
        </w:tabs>
        <w:autoSpaceDE/>
        <w:autoSpaceDN/>
        <w:spacing w:beforeLines="0" w:before="0" w:line="240" w:lineRule="auto"/>
        <w:ind w:left="880" w:hangingChars="313" w:hanging="880"/>
        <w:rPr>
          <w:sz w:val="28"/>
        </w:rPr>
      </w:pPr>
      <w:bookmarkStart w:id="21" w:name="_Toc97551501"/>
      <w:r w:rsidRPr="00B403CB">
        <w:rPr>
          <w:rFonts w:hint="eastAsia"/>
          <w:sz w:val="28"/>
        </w:rPr>
        <w:t>具体</w:t>
      </w:r>
      <w:r w:rsidRPr="00B403CB">
        <w:rPr>
          <w:sz w:val="28"/>
        </w:rPr>
        <w:t>PMSR</w:t>
      </w:r>
      <w:r w:rsidRPr="00B403CB">
        <w:rPr>
          <w:rFonts w:hint="eastAsia"/>
          <w:sz w:val="28"/>
        </w:rPr>
        <w:t>要求</w:t>
      </w:r>
      <w:bookmarkEnd w:id="20"/>
      <w:bookmarkEnd w:id="21"/>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本节更详细地讨论了最终规则下的某些</w:t>
      </w:r>
      <w:r w:rsidRPr="00C277C0">
        <w:rPr>
          <w:rFonts w:eastAsia="宋体" w:hint="eastAsia"/>
          <w:snapToGrid w:val="0"/>
          <w:lang w:eastAsia="zh-CN"/>
        </w:rPr>
        <w:t>PMSR</w:t>
      </w:r>
      <w:r w:rsidRPr="00C277C0">
        <w:rPr>
          <w:rFonts w:eastAsia="宋体" w:hint="eastAsia"/>
          <w:snapToGrid w:val="0"/>
          <w:lang w:eastAsia="zh-CN"/>
        </w:rPr>
        <w:t>要求。第</w:t>
      </w:r>
      <w:r w:rsidR="00C8689A" w:rsidRPr="00C277C0">
        <w:rPr>
          <w:rFonts w:eastAsia="宋体" w:hint="eastAsia"/>
          <w:snapToGrid w:val="0"/>
          <w:lang w:eastAsia="zh-CN"/>
        </w:rPr>
        <w:t>IV</w:t>
      </w:r>
      <w:r w:rsidR="00C0232D" w:rsidRPr="00C277C0">
        <w:rPr>
          <w:rFonts w:eastAsia="宋体" w:hint="eastAsia"/>
          <w:snapToGrid w:val="0"/>
          <w:lang w:eastAsia="zh-CN"/>
        </w:rPr>
        <w:t>.</w:t>
      </w:r>
      <w:r w:rsidR="00D434DC" w:rsidRPr="00C277C0">
        <w:rPr>
          <w:rFonts w:eastAsia="宋体" w:hint="eastAsia"/>
          <w:snapToGrid w:val="0"/>
          <w:lang w:eastAsia="zh-CN"/>
        </w:rPr>
        <w:t>A</w:t>
      </w:r>
      <w:r w:rsidR="00D434DC" w:rsidRPr="00C277C0">
        <w:rPr>
          <w:rFonts w:eastAsia="宋体" w:hint="eastAsia"/>
          <w:snapToGrid w:val="0"/>
          <w:lang w:eastAsia="zh-CN"/>
        </w:rPr>
        <w:t>和</w:t>
      </w:r>
      <w:r w:rsidR="00C8689A" w:rsidRPr="00C277C0">
        <w:rPr>
          <w:rFonts w:eastAsia="宋体" w:hint="eastAsia"/>
          <w:snapToGrid w:val="0"/>
          <w:lang w:eastAsia="zh-CN"/>
        </w:rPr>
        <w:t>IV</w:t>
      </w:r>
      <w:r w:rsidR="00C0232D" w:rsidRPr="00C277C0">
        <w:rPr>
          <w:rFonts w:eastAsia="宋体" w:hint="eastAsia"/>
          <w:snapToGrid w:val="0"/>
          <w:lang w:eastAsia="zh-CN"/>
        </w:rPr>
        <w:t>.</w:t>
      </w:r>
      <w:r w:rsidR="00D434DC" w:rsidRPr="00C277C0">
        <w:rPr>
          <w:rFonts w:eastAsia="宋体" w:hint="eastAsia"/>
          <w:snapToGrid w:val="0"/>
          <w:lang w:eastAsia="zh-CN"/>
        </w:rPr>
        <w:t>B</w:t>
      </w:r>
      <w:r w:rsidR="00D434DC" w:rsidRPr="00C277C0">
        <w:rPr>
          <w:rFonts w:eastAsia="宋体" w:hint="eastAsia"/>
          <w:snapToGrid w:val="0"/>
          <w:lang w:eastAsia="zh-CN"/>
        </w:rPr>
        <w:t>节描述了适用于组合产品申请人的基于组成部分的报告要求（</w:t>
      </w:r>
      <w:r w:rsidR="009B0338">
        <w:rPr>
          <w:rFonts w:eastAsia="宋体" w:hint="eastAsia"/>
          <w:snapToGrid w:val="0"/>
          <w:lang w:eastAsia="zh-CN"/>
        </w:rPr>
        <w:t>参</w:t>
      </w:r>
      <w:r w:rsidR="00D434DC"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00D434DC" w:rsidRPr="00C277C0">
        <w:rPr>
          <w:rFonts w:eastAsia="宋体" w:hint="eastAsia"/>
          <w:snapToGrid w:val="0"/>
          <w:lang w:eastAsia="zh-CN"/>
        </w:rPr>
        <w:t>4.102</w:t>
      </w:r>
      <w:r w:rsidR="00375702" w:rsidRPr="00C277C0">
        <w:rPr>
          <w:rFonts w:eastAsia="宋体" w:hint="eastAsia"/>
          <w:snapToGrid w:val="0"/>
          <w:lang w:eastAsia="zh-CN"/>
        </w:rPr>
        <w:t>节</w:t>
      </w:r>
      <w:r w:rsidR="00D434DC" w:rsidRPr="00C277C0">
        <w:rPr>
          <w:rFonts w:eastAsia="宋体" w:hint="eastAsia"/>
          <w:snapToGrid w:val="0"/>
          <w:lang w:eastAsia="zh-CN"/>
        </w:rPr>
        <w:t>）。第</w:t>
      </w:r>
      <w:r w:rsidR="00C8689A" w:rsidRPr="00C277C0">
        <w:rPr>
          <w:rFonts w:eastAsia="宋体" w:hint="eastAsia"/>
          <w:snapToGrid w:val="0"/>
          <w:lang w:eastAsia="zh-CN"/>
        </w:rPr>
        <w:t>IV</w:t>
      </w:r>
      <w:r w:rsidR="00C0232D" w:rsidRPr="00C277C0">
        <w:rPr>
          <w:rFonts w:eastAsia="宋体" w:hint="eastAsia"/>
          <w:snapToGrid w:val="0"/>
          <w:lang w:eastAsia="zh-CN"/>
        </w:rPr>
        <w:t>.</w:t>
      </w:r>
      <w:r w:rsidR="00D434DC" w:rsidRPr="00C277C0">
        <w:rPr>
          <w:rFonts w:eastAsia="宋体" w:hint="eastAsia"/>
          <w:snapToGrid w:val="0"/>
          <w:lang w:eastAsia="zh-CN"/>
        </w:rPr>
        <w:t>C</w:t>
      </w:r>
      <w:r w:rsidR="00D434DC" w:rsidRPr="00C277C0">
        <w:rPr>
          <w:rFonts w:eastAsia="宋体" w:hint="eastAsia"/>
          <w:snapToGrid w:val="0"/>
          <w:lang w:eastAsia="zh-CN"/>
        </w:rPr>
        <w:t>节描述了组合产品申请人简化报告的方法（</w:t>
      </w:r>
      <w:r w:rsidR="009B0338">
        <w:rPr>
          <w:rFonts w:eastAsia="宋体" w:hint="eastAsia"/>
          <w:snapToGrid w:val="0"/>
          <w:lang w:eastAsia="zh-CN"/>
        </w:rPr>
        <w:t>参</w:t>
      </w:r>
      <w:r w:rsidR="00D434DC"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00D434DC" w:rsidRPr="00C277C0">
        <w:rPr>
          <w:rFonts w:eastAsia="宋体" w:hint="eastAsia"/>
          <w:snapToGrid w:val="0"/>
          <w:lang w:eastAsia="zh-CN"/>
        </w:rPr>
        <w:t>4.102</w:t>
      </w:r>
      <w:r w:rsidR="00375702" w:rsidRPr="00C277C0">
        <w:rPr>
          <w:rFonts w:eastAsia="宋体" w:hint="eastAsia"/>
          <w:snapToGrid w:val="0"/>
          <w:lang w:eastAsia="zh-CN"/>
        </w:rPr>
        <w:t>节</w:t>
      </w:r>
      <w:r w:rsidR="00D434DC" w:rsidRPr="00C277C0">
        <w:rPr>
          <w:rFonts w:eastAsia="宋体" w:hint="eastAsia"/>
          <w:snapToGrid w:val="0"/>
          <w:lang w:eastAsia="zh-CN"/>
        </w:rPr>
        <w:t>）。第</w:t>
      </w:r>
      <w:r w:rsidR="00C8689A" w:rsidRPr="00C277C0">
        <w:rPr>
          <w:rFonts w:eastAsia="宋体" w:hint="eastAsia"/>
          <w:snapToGrid w:val="0"/>
          <w:lang w:eastAsia="zh-CN"/>
        </w:rPr>
        <w:t>IV</w:t>
      </w:r>
      <w:r w:rsidR="00C0232D" w:rsidRPr="00C277C0">
        <w:rPr>
          <w:rFonts w:eastAsia="宋体" w:hint="eastAsia"/>
          <w:snapToGrid w:val="0"/>
          <w:lang w:eastAsia="zh-CN"/>
        </w:rPr>
        <w:t>.</w:t>
      </w:r>
      <w:r w:rsidR="00D434DC" w:rsidRPr="00C277C0">
        <w:rPr>
          <w:rFonts w:eastAsia="宋体" w:hint="eastAsia"/>
          <w:snapToGrid w:val="0"/>
          <w:lang w:eastAsia="zh-CN"/>
        </w:rPr>
        <w:t>D</w:t>
      </w:r>
      <w:r w:rsidR="00D434DC" w:rsidRPr="00C277C0">
        <w:rPr>
          <w:rFonts w:eastAsia="宋体" w:hint="eastAsia"/>
          <w:snapToGrid w:val="0"/>
          <w:lang w:eastAsia="zh-CN"/>
        </w:rPr>
        <w:t>节描述了组成部分申请人的信息共享要求（</w:t>
      </w:r>
      <w:r w:rsidR="00AE4962">
        <w:rPr>
          <w:rFonts w:eastAsia="宋体" w:hint="eastAsia"/>
          <w:snapToGrid w:val="0"/>
          <w:lang w:eastAsia="zh-CN"/>
        </w:rPr>
        <w:t>参</w:t>
      </w:r>
      <w:r w:rsidR="00D434DC"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00D434DC" w:rsidRPr="00C277C0">
        <w:rPr>
          <w:rFonts w:eastAsia="宋体" w:hint="eastAsia"/>
          <w:snapToGrid w:val="0"/>
          <w:lang w:eastAsia="zh-CN"/>
        </w:rPr>
        <w:t>4.103</w:t>
      </w:r>
      <w:r w:rsidR="00375702" w:rsidRPr="00C277C0">
        <w:rPr>
          <w:rFonts w:eastAsia="宋体" w:hint="eastAsia"/>
          <w:snapToGrid w:val="0"/>
          <w:lang w:eastAsia="zh-CN"/>
        </w:rPr>
        <w:t>节</w:t>
      </w:r>
      <w:r w:rsidR="00D434DC" w:rsidRPr="00C277C0">
        <w:rPr>
          <w:rFonts w:eastAsia="宋体" w:hint="eastAsia"/>
          <w:snapToGrid w:val="0"/>
          <w:lang w:eastAsia="zh-CN"/>
        </w:rPr>
        <w:t>），第</w:t>
      </w:r>
      <w:r w:rsidR="00C8689A" w:rsidRPr="00C277C0">
        <w:rPr>
          <w:rFonts w:eastAsia="宋体" w:hint="eastAsia"/>
          <w:snapToGrid w:val="0"/>
          <w:lang w:eastAsia="zh-CN"/>
        </w:rPr>
        <w:t>IV</w:t>
      </w:r>
      <w:r w:rsidR="00C0232D" w:rsidRPr="00C277C0">
        <w:rPr>
          <w:rFonts w:eastAsia="宋体" w:hint="eastAsia"/>
          <w:snapToGrid w:val="0"/>
          <w:lang w:eastAsia="zh-CN"/>
        </w:rPr>
        <w:t>.</w:t>
      </w:r>
      <w:r w:rsidR="00D434DC" w:rsidRPr="00C277C0">
        <w:rPr>
          <w:rFonts w:eastAsia="宋体" w:hint="eastAsia"/>
          <w:snapToGrid w:val="0"/>
          <w:lang w:eastAsia="zh-CN"/>
        </w:rPr>
        <w:t>E</w:t>
      </w:r>
      <w:r w:rsidR="00D434DC" w:rsidRPr="00C277C0">
        <w:rPr>
          <w:rFonts w:eastAsia="宋体" w:hint="eastAsia"/>
          <w:snapToGrid w:val="0"/>
          <w:lang w:eastAsia="zh-CN"/>
        </w:rPr>
        <w:t>节描述了组合产品申请人和组成部分申请人的记录保存要求（</w:t>
      </w:r>
      <w:r w:rsidR="00AE4962">
        <w:rPr>
          <w:rFonts w:eastAsia="宋体" w:hint="eastAsia"/>
          <w:snapToGrid w:val="0"/>
          <w:lang w:eastAsia="zh-CN"/>
        </w:rPr>
        <w:t>参</w:t>
      </w:r>
      <w:r w:rsidR="00D434DC"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00D434DC" w:rsidRPr="00C277C0">
        <w:rPr>
          <w:rFonts w:eastAsia="宋体" w:hint="eastAsia"/>
          <w:snapToGrid w:val="0"/>
          <w:lang w:eastAsia="zh-CN"/>
        </w:rPr>
        <w:t>4.105</w:t>
      </w:r>
      <w:r w:rsidR="00375702" w:rsidRPr="00C277C0">
        <w:rPr>
          <w:rFonts w:eastAsia="宋体" w:hint="eastAsia"/>
          <w:snapToGrid w:val="0"/>
          <w:lang w:eastAsia="zh-CN"/>
        </w:rPr>
        <w:t>节</w:t>
      </w:r>
      <w:r w:rsidR="00D434DC" w:rsidRPr="00C277C0">
        <w:rPr>
          <w:rFonts w:eastAsia="宋体" w:hint="eastAsia"/>
          <w:snapToGrid w:val="0"/>
          <w:lang w:eastAsia="zh-CN"/>
        </w:rPr>
        <w:t>）。（根据</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00D434DC" w:rsidRPr="00C277C0">
        <w:rPr>
          <w:rFonts w:eastAsia="宋体" w:hint="eastAsia"/>
          <w:snapToGrid w:val="0"/>
          <w:lang w:eastAsia="zh-CN"/>
        </w:rPr>
        <w:t>4.104</w:t>
      </w:r>
      <w:r w:rsidR="00375702" w:rsidRPr="00C277C0">
        <w:rPr>
          <w:rFonts w:eastAsia="宋体" w:hint="eastAsia"/>
          <w:snapToGrid w:val="0"/>
          <w:lang w:eastAsia="zh-CN"/>
        </w:rPr>
        <w:t>节</w:t>
      </w:r>
      <w:r w:rsidR="00D434DC" w:rsidRPr="00C277C0">
        <w:rPr>
          <w:rFonts w:eastAsia="宋体" w:hint="eastAsia"/>
          <w:snapToGrid w:val="0"/>
          <w:lang w:eastAsia="zh-CN"/>
        </w:rPr>
        <w:t>提交报告的流程要求请</w:t>
      </w:r>
      <w:r w:rsidR="00AE4962">
        <w:rPr>
          <w:rFonts w:eastAsia="宋体" w:hint="eastAsia"/>
          <w:snapToGrid w:val="0"/>
          <w:lang w:eastAsia="zh-CN"/>
        </w:rPr>
        <w:t>参</w:t>
      </w:r>
      <w:r w:rsidR="00D434DC" w:rsidRPr="00C277C0">
        <w:rPr>
          <w:rFonts w:eastAsia="宋体" w:hint="eastAsia"/>
          <w:snapToGrid w:val="0"/>
          <w:lang w:eastAsia="zh-CN"/>
        </w:rPr>
        <w:t>见第</w:t>
      </w:r>
      <w:r w:rsidR="00C8689A" w:rsidRPr="00C277C0">
        <w:rPr>
          <w:rFonts w:eastAsia="宋体" w:hint="eastAsia"/>
          <w:snapToGrid w:val="0"/>
          <w:lang w:eastAsia="zh-CN"/>
        </w:rPr>
        <w:t>V</w:t>
      </w:r>
      <w:r w:rsidR="00D434DC" w:rsidRPr="00C277C0">
        <w:rPr>
          <w:rFonts w:eastAsia="宋体" w:hint="eastAsia"/>
          <w:snapToGrid w:val="0"/>
          <w:lang w:eastAsia="zh-CN"/>
        </w:rPr>
        <w:t>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关于组合产品申请人的</w:t>
      </w:r>
      <w:r w:rsidRPr="00C277C0">
        <w:rPr>
          <w:rFonts w:eastAsia="宋体" w:hint="eastAsia"/>
          <w:snapToGrid w:val="0"/>
          <w:lang w:eastAsia="zh-CN"/>
        </w:rPr>
        <w:t>PMSR</w:t>
      </w:r>
      <w:r w:rsidRPr="00C277C0">
        <w:rPr>
          <w:rFonts w:eastAsia="宋体" w:hint="eastAsia"/>
          <w:snapToGrid w:val="0"/>
          <w:lang w:eastAsia="zh-CN"/>
        </w:rPr>
        <w:t>，本讨论并非旨在描述每项报告要求，而是帮助这些实体了解</w:t>
      </w:r>
      <w:r w:rsidR="005F473F" w:rsidRPr="00C277C0">
        <w:rPr>
          <w:rFonts w:eastAsia="宋体" w:hint="eastAsia"/>
          <w:snapToGrid w:val="0"/>
          <w:lang w:eastAsia="zh-CN"/>
        </w:rPr>
        <w:t>他们可能不太熟悉的</w:t>
      </w:r>
      <w:r w:rsidRPr="00C277C0">
        <w:rPr>
          <w:rFonts w:eastAsia="宋体" w:hint="eastAsia"/>
          <w:snapToGrid w:val="0"/>
          <w:lang w:eastAsia="zh-CN"/>
        </w:rPr>
        <w:t>与其产品申请类型无关的</w:t>
      </w:r>
      <w:r w:rsidRPr="00C277C0">
        <w:rPr>
          <w:rFonts w:eastAsia="宋体" w:hint="eastAsia"/>
          <w:snapToGrid w:val="0"/>
          <w:lang w:eastAsia="zh-CN"/>
        </w:rPr>
        <w:t>PMSR</w:t>
      </w:r>
      <w:r w:rsidRPr="00C277C0">
        <w:rPr>
          <w:rFonts w:eastAsia="宋体" w:hint="eastAsia"/>
          <w:snapToGrid w:val="0"/>
          <w:lang w:eastAsia="zh-CN"/>
        </w:rPr>
        <w:t>要求，并强调了组合产品符合</w:t>
      </w:r>
      <w:r w:rsidRPr="00C277C0">
        <w:rPr>
          <w:rFonts w:eastAsia="宋体" w:hint="eastAsia"/>
          <w:snapToGrid w:val="0"/>
          <w:lang w:eastAsia="zh-CN"/>
        </w:rPr>
        <w:t>PMSR</w:t>
      </w:r>
      <w:r w:rsidRPr="00C277C0">
        <w:rPr>
          <w:rFonts w:eastAsia="宋体" w:hint="eastAsia"/>
          <w:snapToGrid w:val="0"/>
          <w:lang w:eastAsia="zh-CN"/>
        </w:rPr>
        <w:t>要求的特定注意事项。</w:t>
      </w:r>
      <w:r w:rsidR="00682B6C" w:rsidRPr="00C277C0">
        <w:rPr>
          <w:rFonts w:eastAsia="宋体" w:hint="eastAsia"/>
          <w:snapToGrid w:val="0"/>
          <w:lang w:eastAsia="zh-CN"/>
        </w:rPr>
        <w:t>由于预期组成部分申请人已熟悉适用于其产品类型（药品、器械或生物制品）的报告规定，因此组成部分申请人报告的具体考虑事项不是本讨论的重点。</w:t>
      </w:r>
      <w:r w:rsidR="00682B6C" w:rsidRPr="00C277C0">
        <w:rPr>
          <w:rStyle w:val="af4"/>
          <w:rFonts w:eastAsia="宋体" w:hint="eastAsia"/>
          <w:snapToGrid w:val="0"/>
          <w:lang w:eastAsia="zh-CN"/>
        </w:rPr>
        <w:footnoteReference w:id="16"/>
      </w:r>
      <w:r w:rsidR="00682B6C" w:rsidRPr="00C277C0">
        <w:rPr>
          <w:rFonts w:eastAsia="宋体" w:hint="eastAsia"/>
          <w:snapToGrid w:val="0"/>
          <w:lang w:eastAsia="zh-CN"/>
        </w:rPr>
        <w:t>本节侧重于这些申请人的信息共享和记录保存要求。</w:t>
      </w:r>
    </w:p>
    <w:p w:rsidR="006223B4" w:rsidRPr="00C277C0" w:rsidRDefault="006223B4" w:rsidP="006223B4">
      <w:pPr>
        <w:autoSpaceDE/>
        <w:autoSpaceDN/>
        <w:snapToGrid w:val="0"/>
        <w:jc w:val="both"/>
        <w:rPr>
          <w:rFonts w:eastAsia="宋体"/>
          <w:snapToGrid w:val="0"/>
          <w:lang w:eastAsia="zh-CN"/>
        </w:rPr>
      </w:pPr>
      <w:r w:rsidRPr="00C277C0">
        <w:rPr>
          <w:rFonts w:eastAsia="宋体" w:hint="eastAsia"/>
          <w:snapToGrid w:val="0"/>
          <w:sz w:val="24"/>
          <w:szCs w:val="24"/>
          <w:lang w:eastAsia="zh-CN"/>
        </w:rPr>
        <w:br w:type="page"/>
      </w:r>
    </w:p>
    <w:p w:rsidR="00C1273A" w:rsidRPr="00C277C0" w:rsidRDefault="007267DD"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00097329" w:rsidRPr="00C277C0">
        <w:rPr>
          <w:rFonts w:eastAsia="宋体" w:hint="eastAsia"/>
          <w:snapToGrid w:val="0"/>
          <w:lang w:eastAsia="zh-CN"/>
        </w:rPr>
        <w:t>4.102</w:t>
      </w:r>
      <w:r w:rsidR="00CC6A14" w:rsidRPr="00C277C0">
        <w:rPr>
          <w:rFonts w:eastAsia="宋体" w:hint="eastAsia"/>
          <w:snapToGrid w:val="0"/>
          <w:lang w:eastAsia="zh-CN"/>
        </w:rPr>
        <w:t>（</w:t>
      </w:r>
      <w:r w:rsidR="00097329" w:rsidRPr="00C277C0">
        <w:rPr>
          <w:rFonts w:eastAsia="宋体" w:hint="eastAsia"/>
          <w:snapToGrid w:val="0"/>
          <w:lang w:eastAsia="zh-CN"/>
        </w:rPr>
        <w:t>a</w:t>
      </w:r>
      <w:r w:rsidR="00CC6A14" w:rsidRPr="00C277C0">
        <w:rPr>
          <w:rFonts w:eastAsia="宋体" w:hint="eastAsia"/>
          <w:snapToGrid w:val="0"/>
          <w:lang w:eastAsia="zh-CN"/>
        </w:rPr>
        <w:t>）</w:t>
      </w:r>
      <w:r w:rsidR="00375702" w:rsidRPr="00C277C0">
        <w:rPr>
          <w:rFonts w:eastAsia="宋体" w:hint="eastAsia"/>
          <w:snapToGrid w:val="0"/>
          <w:lang w:eastAsia="zh-CN"/>
        </w:rPr>
        <w:t>节</w:t>
      </w:r>
      <w:r w:rsidR="00097329" w:rsidRPr="00C277C0">
        <w:rPr>
          <w:rFonts w:eastAsia="宋体" w:hint="eastAsia"/>
          <w:snapToGrid w:val="0"/>
          <w:lang w:eastAsia="zh-CN"/>
        </w:rPr>
        <w:t>规定，对于组合产品申请人，</w:t>
      </w:r>
      <w:r w:rsidR="00375702" w:rsidRPr="00C277C0">
        <w:rPr>
          <w:rFonts w:eastAsia="宋体" w:hint="eastAsia"/>
          <w:snapToGrid w:val="0"/>
          <w:lang w:eastAsia="zh-CN"/>
        </w:rPr>
        <w:t>第</w:t>
      </w:r>
      <w:r w:rsidR="00097329" w:rsidRPr="00C277C0">
        <w:rPr>
          <w:rFonts w:eastAsia="宋体" w:hint="eastAsia"/>
          <w:snapToGrid w:val="0"/>
          <w:lang w:eastAsia="zh-CN"/>
        </w:rPr>
        <w:t>4.102</w:t>
      </w:r>
      <w:r w:rsidR="00CC6A14" w:rsidRPr="00C277C0">
        <w:rPr>
          <w:rFonts w:eastAsia="宋体" w:hint="eastAsia"/>
          <w:snapToGrid w:val="0"/>
          <w:lang w:eastAsia="zh-CN"/>
        </w:rPr>
        <w:t>（</w:t>
      </w:r>
      <w:r w:rsidR="00097329" w:rsidRPr="00C277C0">
        <w:rPr>
          <w:rFonts w:eastAsia="宋体" w:hint="eastAsia"/>
          <w:snapToGrid w:val="0"/>
          <w:lang w:eastAsia="zh-CN"/>
        </w:rPr>
        <w:t>b</w:t>
      </w:r>
      <w:r w:rsidR="00CC6A14" w:rsidRPr="00C277C0">
        <w:rPr>
          <w:rFonts w:eastAsia="宋体" w:hint="eastAsia"/>
          <w:snapToGrid w:val="0"/>
          <w:lang w:eastAsia="zh-CN"/>
        </w:rPr>
        <w:t>）</w:t>
      </w:r>
      <w:r w:rsidR="00375702" w:rsidRPr="00C277C0">
        <w:rPr>
          <w:rFonts w:eastAsia="宋体" w:hint="eastAsia"/>
          <w:snapToGrid w:val="0"/>
          <w:lang w:eastAsia="zh-CN"/>
        </w:rPr>
        <w:t>节</w:t>
      </w:r>
      <w:r w:rsidR="00097329" w:rsidRPr="00C277C0">
        <w:rPr>
          <w:rFonts w:eastAsia="宋体" w:hint="eastAsia"/>
          <w:snapToGrid w:val="0"/>
          <w:lang w:eastAsia="zh-CN"/>
        </w:rPr>
        <w:t>中基于申请类型的安全性报告要求和</w:t>
      </w:r>
      <w:r w:rsidR="00375702" w:rsidRPr="00C277C0">
        <w:rPr>
          <w:rFonts w:eastAsia="宋体" w:hint="eastAsia"/>
          <w:snapToGrid w:val="0"/>
          <w:lang w:eastAsia="zh-CN"/>
        </w:rPr>
        <w:t>第</w:t>
      </w:r>
      <w:r w:rsidR="00097329" w:rsidRPr="00C277C0">
        <w:rPr>
          <w:rFonts w:eastAsia="宋体" w:hint="eastAsia"/>
          <w:snapToGrid w:val="0"/>
          <w:lang w:eastAsia="zh-CN"/>
        </w:rPr>
        <w:t>4.102</w:t>
      </w:r>
      <w:r w:rsidR="00CC6A14" w:rsidRPr="00C277C0">
        <w:rPr>
          <w:rFonts w:eastAsia="宋体" w:hint="eastAsia"/>
          <w:snapToGrid w:val="0"/>
          <w:lang w:eastAsia="zh-CN"/>
        </w:rPr>
        <w:t>（</w:t>
      </w:r>
      <w:r w:rsidR="00097329" w:rsidRPr="00C277C0">
        <w:rPr>
          <w:rFonts w:eastAsia="宋体" w:hint="eastAsia"/>
          <w:snapToGrid w:val="0"/>
          <w:lang w:eastAsia="zh-CN"/>
        </w:rPr>
        <w:t>c</w:t>
      </w:r>
      <w:r w:rsidR="00CC6A14" w:rsidRPr="00C277C0">
        <w:rPr>
          <w:rFonts w:eastAsia="宋体" w:hint="eastAsia"/>
          <w:snapToGrid w:val="0"/>
          <w:lang w:eastAsia="zh-CN"/>
        </w:rPr>
        <w:t>）</w:t>
      </w:r>
      <w:r w:rsidR="00375702" w:rsidRPr="00C277C0">
        <w:rPr>
          <w:rFonts w:eastAsia="宋体" w:hint="eastAsia"/>
          <w:snapToGrid w:val="0"/>
          <w:lang w:eastAsia="zh-CN"/>
        </w:rPr>
        <w:t>节</w:t>
      </w:r>
      <w:r w:rsidR="00097329" w:rsidRPr="00C277C0">
        <w:rPr>
          <w:rFonts w:eastAsia="宋体" w:hint="eastAsia"/>
          <w:snapToGrid w:val="0"/>
          <w:lang w:eastAsia="zh-CN"/>
        </w:rPr>
        <w:t>中基于组合产品组成部分的安全性报告要求适用于整个组合产品。因此，在确定是否需要报告以及包含哪些信息时，应考虑整个组合产品和各个组成部分。为澄清说明，在下文第</w:t>
      </w:r>
      <w:r w:rsidR="00C8689A" w:rsidRPr="00C277C0">
        <w:rPr>
          <w:rFonts w:eastAsia="宋体" w:hint="eastAsia"/>
          <w:snapToGrid w:val="0"/>
          <w:lang w:eastAsia="zh-CN"/>
        </w:rPr>
        <w:t>IV</w:t>
      </w:r>
      <w:r w:rsidR="00C0232D" w:rsidRPr="00C277C0">
        <w:rPr>
          <w:rFonts w:eastAsia="宋体" w:hint="eastAsia"/>
          <w:snapToGrid w:val="0"/>
          <w:lang w:eastAsia="zh-CN"/>
        </w:rPr>
        <w:t>.</w:t>
      </w:r>
      <w:r w:rsidR="00097329" w:rsidRPr="00C277C0">
        <w:rPr>
          <w:rFonts w:eastAsia="宋体" w:hint="eastAsia"/>
          <w:snapToGrid w:val="0"/>
          <w:lang w:eastAsia="zh-CN"/>
        </w:rPr>
        <w:t>A</w:t>
      </w:r>
      <w:r w:rsidR="00097329" w:rsidRPr="00C277C0">
        <w:rPr>
          <w:rFonts w:eastAsia="宋体" w:hint="eastAsia"/>
          <w:snapToGrid w:val="0"/>
          <w:lang w:eastAsia="zh-CN"/>
        </w:rPr>
        <w:t>和</w:t>
      </w:r>
      <w:r w:rsidR="00097329" w:rsidRPr="00C277C0">
        <w:rPr>
          <w:rFonts w:eastAsia="宋体" w:hint="eastAsia"/>
          <w:snapToGrid w:val="0"/>
          <w:lang w:eastAsia="zh-CN"/>
        </w:rPr>
        <w:t>B</w:t>
      </w:r>
      <w:r w:rsidR="00097329" w:rsidRPr="00C277C0">
        <w:rPr>
          <w:rFonts w:eastAsia="宋体" w:hint="eastAsia"/>
          <w:snapToGrid w:val="0"/>
          <w:lang w:eastAsia="zh-CN"/>
        </w:rPr>
        <w:t>节中讨论这些要求时进行了调整，例如使用术语</w:t>
      </w:r>
      <w:r w:rsidR="00CC6A14" w:rsidRPr="00B403CB">
        <w:rPr>
          <w:rFonts w:ascii="宋体" w:eastAsia="宋体" w:hAnsi="宋体" w:hint="eastAsia"/>
          <w:lang w:eastAsia="zh-CN"/>
        </w:rPr>
        <w:t>“</w:t>
      </w:r>
      <w:r w:rsidR="00097329" w:rsidRPr="00C277C0">
        <w:rPr>
          <w:rFonts w:eastAsia="宋体" w:hint="eastAsia"/>
          <w:snapToGrid w:val="0"/>
          <w:lang w:eastAsia="zh-CN"/>
        </w:rPr>
        <w:t>产品</w:t>
      </w:r>
      <w:r w:rsidR="00CC6A14" w:rsidRPr="00B403CB">
        <w:rPr>
          <w:rFonts w:ascii="宋体" w:eastAsia="宋体" w:hAnsi="宋体" w:hint="eastAsia"/>
          <w:lang w:eastAsia="zh-CN"/>
        </w:rPr>
        <w:t>”</w:t>
      </w:r>
      <w:r w:rsidR="00097329" w:rsidRPr="00C277C0">
        <w:rPr>
          <w:rFonts w:eastAsia="宋体" w:hint="eastAsia"/>
          <w:snapToGrid w:val="0"/>
          <w:lang w:eastAsia="zh-CN"/>
        </w:rPr>
        <w:t>代替术语</w:t>
      </w:r>
      <w:r w:rsidR="00CC6A14" w:rsidRPr="00B403CB">
        <w:rPr>
          <w:rFonts w:ascii="宋体" w:eastAsia="宋体" w:hAnsi="宋体" w:hint="eastAsia"/>
          <w:lang w:eastAsia="zh-CN"/>
        </w:rPr>
        <w:t>“</w:t>
      </w:r>
      <w:r w:rsidR="00097329" w:rsidRPr="00C277C0">
        <w:rPr>
          <w:rFonts w:eastAsia="宋体" w:hint="eastAsia"/>
          <w:snapToGrid w:val="0"/>
          <w:lang w:eastAsia="zh-CN"/>
        </w:rPr>
        <w:t>药品</w:t>
      </w:r>
      <w:r w:rsidR="00CC6A14" w:rsidRPr="00B403CB">
        <w:rPr>
          <w:rFonts w:ascii="宋体" w:eastAsia="宋体" w:hAnsi="宋体" w:hint="eastAsia"/>
          <w:lang w:eastAsia="zh-CN"/>
        </w:rPr>
        <w:t>”</w:t>
      </w:r>
      <w:r w:rsidR="00097329" w:rsidRPr="00C277C0">
        <w:rPr>
          <w:rFonts w:eastAsia="宋体" w:hint="eastAsia"/>
          <w:snapToGrid w:val="0"/>
          <w:lang w:eastAsia="zh-CN"/>
        </w:rPr>
        <w:t>、</w:t>
      </w:r>
      <w:r w:rsidR="00CC6A14" w:rsidRPr="00B403CB">
        <w:rPr>
          <w:rFonts w:ascii="宋体" w:eastAsia="宋体" w:hAnsi="宋体" w:hint="eastAsia"/>
          <w:lang w:eastAsia="zh-CN"/>
        </w:rPr>
        <w:t>“</w:t>
      </w:r>
      <w:r w:rsidR="00097329" w:rsidRPr="00C277C0">
        <w:rPr>
          <w:rFonts w:eastAsia="宋体" w:hint="eastAsia"/>
          <w:snapToGrid w:val="0"/>
          <w:lang w:eastAsia="zh-CN"/>
        </w:rPr>
        <w:t>生物制品</w:t>
      </w:r>
      <w:r w:rsidR="00CC6A14" w:rsidRPr="00B403CB">
        <w:rPr>
          <w:rFonts w:ascii="宋体" w:eastAsia="宋体" w:hAnsi="宋体" w:hint="eastAsia"/>
          <w:lang w:eastAsia="zh-CN"/>
        </w:rPr>
        <w:t>”</w:t>
      </w:r>
      <w:r w:rsidR="00097329" w:rsidRPr="00C277C0">
        <w:rPr>
          <w:rFonts w:eastAsia="宋体" w:hint="eastAsia"/>
          <w:snapToGrid w:val="0"/>
          <w:lang w:eastAsia="zh-CN"/>
        </w:rPr>
        <w:t>或</w:t>
      </w:r>
      <w:r w:rsidR="00CC6A14" w:rsidRPr="00B403CB">
        <w:rPr>
          <w:rFonts w:ascii="宋体" w:eastAsia="宋体" w:hAnsi="宋体" w:hint="eastAsia"/>
          <w:lang w:eastAsia="zh-CN"/>
        </w:rPr>
        <w:t>“</w:t>
      </w:r>
      <w:r w:rsidR="00097329" w:rsidRPr="00C277C0">
        <w:rPr>
          <w:rFonts w:eastAsia="宋体" w:hint="eastAsia"/>
          <w:snapToGrid w:val="0"/>
          <w:lang w:eastAsia="zh-CN"/>
        </w:rPr>
        <w:t>器械</w:t>
      </w:r>
      <w:r w:rsidR="00CC6A14" w:rsidRPr="00B403CB">
        <w:rPr>
          <w:rFonts w:ascii="宋体" w:eastAsia="宋体" w:hAnsi="宋体" w:hint="eastAsia"/>
          <w:lang w:eastAsia="zh-CN"/>
        </w:rPr>
        <w:t>”</w:t>
      </w:r>
      <w:r w:rsidR="00097329"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22" w:name="_Toc97551502"/>
      <w:bookmarkStart w:id="23" w:name="_Toc95145701"/>
      <w:r w:rsidRPr="00C277C0">
        <w:rPr>
          <w:rFonts w:hint="eastAsia"/>
          <w:snapToGrid w:val="0"/>
          <w:szCs w:val="24"/>
          <w:lang w:eastAsia="zh-CN"/>
        </w:rPr>
        <w:t>A.</w:t>
      </w:r>
      <w:r w:rsidRPr="00C277C0">
        <w:rPr>
          <w:rFonts w:hint="eastAsia"/>
          <w:snapToGrid w:val="0"/>
          <w:szCs w:val="24"/>
          <w:lang w:eastAsia="zh-CN"/>
        </w:rPr>
        <w:tab/>
      </w:r>
      <w:r w:rsidRPr="00C277C0">
        <w:rPr>
          <w:rFonts w:hint="eastAsia"/>
          <w:snapToGrid w:val="0"/>
          <w:szCs w:val="24"/>
          <w:lang w:eastAsia="zh-CN"/>
        </w:rPr>
        <w:t>组合产品申请人个例安全性报告</w:t>
      </w:r>
      <w:bookmarkEnd w:id="22"/>
      <w:bookmarkEnd w:id="23"/>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C1273A">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本指南中，使用</w:t>
      </w:r>
      <w:r w:rsidR="00CC6A14" w:rsidRPr="00B403CB">
        <w:rPr>
          <w:rFonts w:ascii="宋体" w:eastAsia="宋体" w:hAnsi="宋体" w:hint="eastAsia"/>
          <w:lang w:eastAsia="zh-CN"/>
        </w:rPr>
        <w:t>“</w:t>
      </w:r>
      <w:r w:rsidRPr="00C277C0">
        <w:rPr>
          <w:rFonts w:eastAsia="宋体" w:hint="eastAsia"/>
          <w:snapToGrid w:val="0"/>
          <w:lang w:eastAsia="zh-CN"/>
        </w:rPr>
        <w:t>个例安全性报告</w:t>
      </w:r>
      <w:r w:rsidR="00CC6A14" w:rsidRPr="00B403CB">
        <w:rPr>
          <w:rFonts w:ascii="宋体" w:eastAsia="宋体" w:hAnsi="宋体" w:hint="eastAsia"/>
          <w:lang w:eastAsia="zh-CN"/>
        </w:rPr>
        <w:t>”</w:t>
      </w:r>
      <w:r w:rsidRPr="00C277C0">
        <w:rPr>
          <w:rFonts w:eastAsia="宋体" w:hint="eastAsia"/>
          <w:snapToGrid w:val="0"/>
          <w:lang w:eastAsia="zh-CN"/>
        </w:rPr>
        <w:t>（</w:t>
      </w:r>
      <w:r w:rsidRPr="00C277C0">
        <w:rPr>
          <w:rFonts w:eastAsia="宋体" w:hint="eastAsia"/>
          <w:snapToGrid w:val="0"/>
          <w:lang w:eastAsia="zh-CN"/>
        </w:rPr>
        <w:t>ICSR</w:t>
      </w:r>
      <w:r w:rsidRPr="00C277C0">
        <w:rPr>
          <w:rFonts w:eastAsia="宋体" w:hint="eastAsia"/>
          <w:snapToGrid w:val="0"/>
          <w:lang w:eastAsia="zh-CN"/>
        </w:rPr>
        <w:t>）一词描述组合产品的个例用户出现</w:t>
      </w:r>
      <w:r w:rsidR="00375702" w:rsidRPr="00C277C0">
        <w:rPr>
          <w:rFonts w:eastAsia="宋体" w:hint="eastAsia"/>
          <w:snapToGrid w:val="0"/>
          <w:lang w:eastAsia="zh-CN"/>
        </w:rPr>
        <w:t>事故</w:t>
      </w:r>
      <w:r w:rsidRPr="00C277C0">
        <w:rPr>
          <w:rFonts w:eastAsia="宋体" w:hint="eastAsia"/>
          <w:snapToGrid w:val="0"/>
          <w:lang w:eastAsia="zh-CN"/>
        </w:rPr>
        <w:t>的报告，包括不良事件和</w:t>
      </w:r>
      <w:r w:rsidR="00DC5551" w:rsidRPr="00C277C0">
        <w:rPr>
          <w:rFonts w:eastAsia="宋体" w:hint="eastAsia"/>
          <w:snapToGrid w:val="0"/>
          <w:lang w:eastAsia="zh-CN"/>
        </w:rPr>
        <w:t>故障</w:t>
      </w:r>
      <w:r w:rsidRPr="00C277C0">
        <w:rPr>
          <w:rFonts w:eastAsia="宋体" w:hint="eastAsia"/>
          <w:snapToGrid w:val="0"/>
          <w:lang w:eastAsia="zh-CN"/>
        </w:rPr>
        <w:t>。出于组合产品</w:t>
      </w:r>
      <w:r w:rsidRPr="00C277C0">
        <w:rPr>
          <w:rFonts w:eastAsia="宋体" w:hint="eastAsia"/>
          <w:snapToGrid w:val="0"/>
          <w:lang w:eastAsia="zh-CN"/>
        </w:rPr>
        <w:t>PMSR</w:t>
      </w:r>
      <w:r w:rsidRPr="00C277C0">
        <w:rPr>
          <w:rFonts w:eastAsia="宋体" w:hint="eastAsia"/>
          <w:snapToGrid w:val="0"/>
          <w:lang w:eastAsia="zh-CN"/>
        </w:rPr>
        <w:t>最终规则和本指南的目的，</w:t>
      </w:r>
      <w:r w:rsidRPr="00C277C0">
        <w:rPr>
          <w:rFonts w:eastAsia="宋体" w:hint="eastAsia"/>
          <w:snapToGrid w:val="0"/>
          <w:lang w:eastAsia="zh-CN"/>
        </w:rPr>
        <w:t>ICSR</w:t>
      </w:r>
      <w:r w:rsidRPr="00C277C0">
        <w:rPr>
          <w:rFonts w:eastAsia="宋体" w:hint="eastAsia"/>
          <w:snapToGrid w:val="0"/>
          <w:lang w:eastAsia="zh-CN"/>
        </w:rPr>
        <w:t>包括</w:t>
      </w:r>
      <w:r w:rsidRPr="00C277C0">
        <w:rPr>
          <w:rFonts w:eastAsia="宋体" w:hint="eastAsia"/>
          <w:snapToGrid w:val="0"/>
          <w:lang w:eastAsia="zh-CN"/>
        </w:rPr>
        <w:t>15</w:t>
      </w:r>
      <w:r w:rsidRPr="00C277C0">
        <w:rPr>
          <w:rFonts w:eastAsia="宋体" w:hint="eastAsia"/>
          <w:snapToGrid w:val="0"/>
          <w:lang w:eastAsia="zh-CN"/>
        </w:rPr>
        <w:t>天报告（</w:t>
      </w:r>
      <w:r w:rsidR="005D18E5">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Pr="00C277C0">
        <w:rPr>
          <w:rFonts w:eastAsia="宋体" w:hint="eastAsia"/>
          <w:snapToGrid w:val="0"/>
          <w:lang w:eastAsia="zh-CN"/>
        </w:rPr>
        <w:t>314.80</w:t>
      </w:r>
      <w:r w:rsidRPr="00C277C0">
        <w:rPr>
          <w:rFonts w:eastAsia="宋体" w:hint="eastAsia"/>
          <w:snapToGrid w:val="0"/>
          <w:lang w:eastAsia="zh-CN"/>
        </w:rPr>
        <w:t>和</w:t>
      </w:r>
      <w:r w:rsidRPr="00C277C0">
        <w:rPr>
          <w:rFonts w:eastAsia="宋体" w:hint="eastAsia"/>
          <w:snapToGrid w:val="0"/>
          <w:lang w:eastAsia="zh-CN"/>
        </w:rPr>
        <w:t>600.80</w:t>
      </w:r>
      <w:r w:rsidRPr="00C277C0">
        <w:rPr>
          <w:rFonts w:eastAsia="宋体" w:hint="eastAsia"/>
          <w:snapToGrid w:val="0"/>
          <w:lang w:eastAsia="zh-CN"/>
        </w:rPr>
        <w:t>）</w:t>
      </w:r>
      <w:r w:rsidR="00375702" w:rsidRPr="00C277C0">
        <w:rPr>
          <w:rFonts w:eastAsia="宋体" w:hint="eastAsia"/>
          <w:snapToGrid w:val="0"/>
          <w:lang w:eastAsia="zh-CN"/>
        </w:rPr>
        <w:t>节</w:t>
      </w:r>
      <w:r w:rsidRPr="00C277C0">
        <w:rPr>
          <w:rFonts w:eastAsia="宋体" w:hint="eastAsia"/>
          <w:snapToGrid w:val="0"/>
          <w:lang w:eastAsia="zh-CN"/>
        </w:rPr>
        <w:t>、</w:t>
      </w:r>
      <w:r w:rsidRPr="00C277C0">
        <w:rPr>
          <w:rFonts w:eastAsia="宋体" w:hint="eastAsia"/>
          <w:snapToGrid w:val="0"/>
          <w:lang w:eastAsia="zh-CN"/>
        </w:rPr>
        <w:t>5</w:t>
      </w:r>
      <w:r w:rsidRPr="00C277C0">
        <w:rPr>
          <w:rFonts w:eastAsia="宋体" w:hint="eastAsia"/>
          <w:snapToGrid w:val="0"/>
          <w:lang w:eastAsia="zh-CN"/>
        </w:rPr>
        <w:t>天报告（</w:t>
      </w:r>
      <w:r w:rsidR="005D18E5">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Pr="00C277C0">
        <w:rPr>
          <w:rFonts w:eastAsia="宋体" w:hint="eastAsia"/>
          <w:snapToGrid w:val="0"/>
          <w:lang w:eastAsia="zh-CN"/>
        </w:rPr>
        <w:t>803.3</w:t>
      </w:r>
      <w:r w:rsidRPr="00C277C0">
        <w:rPr>
          <w:rFonts w:eastAsia="宋体" w:hint="eastAsia"/>
          <w:snapToGrid w:val="0"/>
          <w:lang w:eastAsia="zh-CN"/>
        </w:rPr>
        <w:t>、</w:t>
      </w:r>
      <w:r w:rsidRPr="00C277C0">
        <w:rPr>
          <w:rFonts w:eastAsia="宋体" w:hint="eastAsia"/>
          <w:snapToGrid w:val="0"/>
          <w:lang w:eastAsia="zh-CN"/>
        </w:rPr>
        <w:t>803.53</w:t>
      </w:r>
      <w:r w:rsidRPr="00C277C0">
        <w:rPr>
          <w:rFonts w:eastAsia="宋体" w:hint="eastAsia"/>
          <w:snapToGrid w:val="0"/>
          <w:lang w:eastAsia="zh-CN"/>
        </w:rPr>
        <w:t>和</w:t>
      </w:r>
      <w:r w:rsidRPr="00C277C0">
        <w:rPr>
          <w:rFonts w:eastAsia="宋体" w:hint="eastAsia"/>
          <w:snapToGrid w:val="0"/>
          <w:lang w:eastAsia="zh-CN"/>
        </w:rPr>
        <w:t>803.56</w:t>
      </w:r>
      <w:r w:rsidR="00375702" w:rsidRPr="00C277C0">
        <w:rPr>
          <w:rFonts w:eastAsia="宋体" w:hint="eastAsia"/>
          <w:snapToGrid w:val="0"/>
          <w:lang w:eastAsia="zh-CN"/>
        </w:rPr>
        <w:t>节</w:t>
      </w:r>
      <w:r w:rsidRPr="00C277C0">
        <w:rPr>
          <w:rFonts w:eastAsia="宋体" w:hint="eastAsia"/>
          <w:snapToGrid w:val="0"/>
          <w:lang w:eastAsia="zh-CN"/>
        </w:rPr>
        <w:t>）、</w:t>
      </w:r>
      <w:r w:rsidR="00DC5551"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w:t>
      </w:r>
      <w:r w:rsidR="005D18E5">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Pr="00C277C0">
        <w:rPr>
          <w:rFonts w:eastAsia="宋体" w:hint="eastAsia"/>
          <w:snapToGrid w:val="0"/>
          <w:lang w:eastAsia="zh-CN"/>
        </w:rPr>
        <w:t>803.50</w:t>
      </w:r>
      <w:r w:rsidRPr="00C277C0">
        <w:rPr>
          <w:rFonts w:eastAsia="宋体" w:hint="eastAsia"/>
          <w:snapToGrid w:val="0"/>
          <w:lang w:eastAsia="zh-CN"/>
        </w:rPr>
        <w:t>和</w:t>
      </w:r>
      <w:r w:rsidRPr="00C277C0">
        <w:rPr>
          <w:rFonts w:eastAsia="宋体" w:hint="eastAsia"/>
          <w:snapToGrid w:val="0"/>
          <w:lang w:eastAsia="zh-CN"/>
        </w:rPr>
        <w:t>803.56</w:t>
      </w:r>
      <w:r w:rsidR="00375702" w:rsidRPr="00C277C0">
        <w:rPr>
          <w:rFonts w:eastAsia="宋体" w:hint="eastAsia"/>
          <w:snapToGrid w:val="0"/>
          <w:lang w:eastAsia="zh-CN"/>
        </w:rPr>
        <w:t>节</w:t>
      </w:r>
      <w:r w:rsidRPr="00C277C0">
        <w:rPr>
          <w:rFonts w:eastAsia="宋体" w:hint="eastAsia"/>
          <w:snapToGrid w:val="0"/>
          <w:lang w:eastAsia="zh-CN"/>
        </w:rPr>
        <w:t>）以及死亡或重伤报告（</w:t>
      </w:r>
      <w:r w:rsidR="005D18E5">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w:t>
      </w:r>
      <w:r w:rsidRPr="00C277C0">
        <w:rPr>
          <w:rFonts w:eastAsia="宋体" w:hint="eastAsia"/>
          <w:snapToGrid w:val="0"/>
          <w:lang w:eastAsia="zh-CN"/>
        </w:rPr>
        <w:t>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第</w:t>
      </w:r>
      <w:r w:rsidRPr="00C277C0">
        <w:rPr>
          <w:rFonts w:eastAsia="宋体" w:hint="eastAsia"/>
          <w:snapToGrid w:val="0"/>
          <w:lang w:eastAsia="zh-CN"/>
        </w:rPr>
        <w:t>803</w:t>
      </w:r>
      <w:r w:rsidR="00375702" w:rsidRPr="00C277C0">
        <w:rPr>
          <w:rFonts w:eastAsia="宋体" w:hint="eastAsia"/>
          <w:snapToGrid w:val="0"/>
          <w:lang w:eastAsia="zh-CN"/>
        </w:rPr>
        <w:t>节</w:t>
      </w:r>
      <w:r w:rsidRPr="00C277C0">
        <w:rPr>
          <w:rFonts w:eastAsia="宋体" w:hint="eastAsia"/>
          <w:snapToGrid w:val="0"/>
          <w:lang w:eastAsia="zh-CN"/>
        </w:rPr>
        <w:t>）。</w:t>
      </w:r>
      <w:r w:rsidR="00FE2212" w:rsidRPr="00C277C0">
        <w:rPr>
          <w:rStyle w:val="af4"/>
          <w:rFonts w:eastAsia="宋体" w:hint="eastAsia"/>
          <w:snapToGrid w:val="0"/>
          <w:lang w:eastAsia="zh-CN"/>
        </w:rPr>
        <w:footnoteReference w:id="17"/>
      </w:r>
    </w:p>
    <w:p w:rsidR="00C1273A" w:rsidRPr="00C277C0" w:rsidRDefault="00C1273A" w:rsidP="00B403CB">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请注意，以下各章节讨论了组合产品申请人可能需要指定报告类型的情况。这些讨论并非旨在确定所描述事件可能需要的所有报告，根据具体情况，所描述的类似事件可能需要不同报告。如下文所述，在某些情况下，可能需要多种报告类型，并且可能需要在同一份提交文件中满足多项报告要求，如下文第</w:t>
      </w:r>
      <w:r w:rsidR="00C8689A" w:rsidRPr="00C277C0">
        <w:rPr>
          <w:rFonts w:eastAsia="宋体" w:hint="eastAsia"/>
          <w:snapToGrid w:val="0"/>
          <w:lang w:eastAsia="zh-CN"/>
        </w:rPr>
        <w:t>IV</w:t>
      </w:r>
      <w:r w:rsidR="00C0232D" w:rsidRPr="00C277C0">
        <w:rPr>
          <w:rFonts w:eastAsia="宋体" w:hint="eastAsia"/>
          <w:snapToGrid w:val="0"/>
          <w:lang w:eastAsia="zh-CN"/>
        </w:rPr>
        <w:t>.</w:t>
      </w:r>
      <w:r w:rsidRPr="00C277C0">
        <w:rPr>
          <w:rFonts w:eastAsia="宋体" w:hint="eastAsia"/>
          <w:snapToGrid w:val="0"/>
          <w:lang w:eastAsia="zh-CN"/>
        </w:rPr>
        <w:t>C</w:t>
      </w:r>
      <w:r w:rsidRPr="00C277C0">
        <w:rPr>
          <w:rFonts w:eastAsia="宋体" w:hint="eastAsia"/>
          <w:snapToGrid w:val="0"/>
          <w:lang w:eastAsia="zh-CN"/>
        </w:rPr>
        <w:t>节和第</w:t>
      </w:r>
      <w:r w:rsidR="00C8689A"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A.3</w:t>
      </w:r>
      <w:r w:rsidRPr="00C277C0">
        <w:rPr>
          <w:rFonts w:eastAsia="宋体" w:hint="eastAsia"/>
          <w:snapToGrid w:val="0"/>
          <w:lang w:eastAsia="zh-CN"/>
        </w:rPr>
        <w:t>节所述。</w:t>
      </w:r>
    </w:p>
    <w:p w:rsidR="006223B4" w:rsidRPr="00C277C0" w:rsidRDefault="006223B4" w:rsidP="00B403CB">
      <w:pPr>
        <w:autoSpaceDE/>
        <w:autoSpaceDN/>
        <w:snapToGrid w:val="0"/>
        <w:jc w:val="both"/>
        <w:rPr>
          <w:rFonts w:eastAsia="宋体"/>
          <w:snapToGrid w:val="0"/>
          <w:sz w:val="24"/>
          <w:szCs w:val="24"/>
          <w:lang w:eastAsia="zh-CN"/>
        </w:rPr>
      </w:pPr>
      <w:r w:rsidRPr="00B403CB">
        <w:rPr>
          <w:rFonts w:eastAsia="宋体"/>
          <w:sz w:val="24"/>
          <w:lang w:eastAsia="zh-CN"/>
        </w:rPr>
        <w:br w:type="page"/>
      </w: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（另</w:t>
      </w:r>
      <w:r w:rsidR="00A20225">
        <w:rPr>
          <w:rFonts w:eastAsia="宋体" w:hint="eastAsia"/>
          <w:snapToGrid w:val="0"/>
          <w:lang w:eastAsia="zh-CN"/>
        </w:rPr>
        <w:t>参</w:t>
      </w:r>
      <w:r w:rsidRPr="00C277C0">
        <w:rPr>
          <w:rFonts w:eastAsia="宋体" w:hint="eastAsia"/>
          <w:snapToGrid w:val="0"/>
          <w:lang w:eastAsia="zh-CN"/>
        </w:rPr>
        <w:t>见附录</w:t>
      </w:r>
      <w:r w:rsidRPr="00C277C0">
        <w:rPr>
          <w:rFonts w:eastAsia="宋体" w:hint="eastAsia"/>
          <w:snapToGrid w:val="0"/>
          <w:lang w:eastAsia="zh-CN"/>
        </w:rPr>
        <w:t>2</w:t>
      </w:r>
      <w:r w:rsidRPr="00C277C0">
        <w:rPr>
          <w:rFonts w:eastAsia="宋体" w:hint="eastAsia"/>
          <w:snapToGrid w:val="0"/>
          <w:lang w:eastAsia="zh-CN"/>
        </w:rPr>
        <w:t>，提供了流程图说明如何根据组合产品</w:t>
      </w:r>
      <w:r w:rsidRPr="00C277C0">
        <w:rPr>
          <w:rFonts w:eastAsia="宋体" w:hint="eastAsia"/>
          <w:snapToGrid w:val="0"/>
          <w:lang w:eastAsia="zh-CN"/>
        </w:rPr>
        <w:t>PMSR</w:t>
      </w:r>
      <w:r w:rsidRPr="00C277C0">
        <w:rPr>
          <w:rFonts w:eastAsia="宋体" w:hint="eastAsia"/>
          <w:snapToGrid w:val="0"/>
          <w:lang w:eastAsia="zh-CN"/>
        </w:rPr>
        <w:t>最终规则确定组合产品申请人是否必须提交</w:t>
      </w:r>
      <w:r w:rsidRPr="00C277C0">
        <w:rPr>
          <w:rFonts w:eastAsia="宋体" w:hint="eastAsia"/>
          <w:snapToGrid w:val="0"/>
          <w:lang w:eastAsia="zh-CN"/>
        </w:rPr>
        <w:t>ICSR</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1.</w:t>
      </w:r>
      <w:r w:rsidRPr="00C277C0">
        <w:rPr>
          <w:rFonts w:hint="eastAsia"/>
          <w:snapToGrid w:val="0"/>
          <w:lang w:eastAsia="zh-CN"/>
        </w:rPr>
        <w:tab/>
        <w:t>15</w:t>
      </w:r>
      <w:r w:rsidRPr="00C277C0">
        <w:rPr>
          <w:rFonts w:hint="eastAsia"/>
          <w:snapToGrid w:val="0"/>
          <w:lang w:eastAsia="zh-CN"/>
        </w:rPr>
        <w:t>天报告（</w:t>
      </w:r>
      <w:r w:rsidR="00A20225">
        <w:rPr>
          <w:rFonts w:hint="eastAsia"/>
          <w:snapToGrid w:val="0"/>
          <w:lang w:eastAsia="zh-CN"/>
        </w:rPr>
        <w:t>参</w:t>
      </w:r>
      <w:r w:rsidRPr="00C277C0">
        <w:rPr>
          <w:rFonts w:hint="eastAsia"/>
          <w:snapToGrid w:val="0"/>
          <w:lang w:eastAsia="zh-CN"/>
        </w:rPr>
        <w:t>见</w:t>
      </w:r>
      <w:r w:rsidR="007267DD" w:rsidRPr="00C277C0">
        <w:rPr>
          <w:rFonts w:hint="eastAsia"/>
          <w:snapToGrid w:val="0"/>
          <w:lang w:eastAsia="zh-CN"/>
        </w:rPr>
        <w:t>《美国联邦法规》第</w:t>
      </w:r>
      <w:r w:rsidR="00286DB1">
        <w:rPr>
          <w:rFonts w:hint="eastAsia"/>
          <w:snapToGrid w:val="0"/>
          <w:lang w:eastAsia="zh-CN"/>
        </w:rPr>
        <w:t>21</w:t>
      </w:r>
      <w:r w:rsidR="00286DB1">
        <w:rPr>
          <w:rFonts w:hint="eastAsia"/>
          <w:snapToGrid w:val="0"/>
          <w:lang w:eastAsia="zh-CN"/>
        </w:rPr>
        <w:t>篇</w:t>
      </w:r>
      <w:r w:rsidR="00375702" w:rsidRPr="00C277C0">
        <w:rPr>
          <w:rFonts w:hint="eastAsia"/>
          <w:snapToGrid w:val="0"/>
          <w:lang w:eastAsia="zh-CN"/>
        </w:rPr>
        <w:t>第</w:t>
      </w:r>
      <w:r w:rsidRPr="00C277C0">
        <w:rPr>
          <w:rFonts w:hint="eastAsia"/>
          <w:snapToGrid w:val="0"/>
          <w:lang w:eastAsia="zh-CN"/>
        </w:rPr>
        <w:t>314.80</w:t>
      </w:r>
      <w:r w:rsidRPr="00C277C0">
        <w:rPr>
          <w:rFonts w:hint="eastAsia"/>
          <w:snapToGrid w:val="0"/>
          <w:lang w:eastAsia="zh-CN"/>
        </w:rPr>
        <w:t>和</w:t>
      </w:r>
      <w:r w:rsidRPr="00C277C0">
        <w:rPr>
          <w:rFonts w:hint="eastAsia"/>
          <w:snapToGrid w:val="0"/>
          <w:lang w:eastAsia="zh-CN"/>
        </w:rPr>
        <w:t>600.80</w:t>
      </w:r>
      <w:r w:rsidR="00375702" w:rsidRPr="00C277C0">
        <w:rPr>
          <w:rFonts w:hint="eastAsia"/>
          <w:snapToGrid w:val="0"/>
          <w:lang w:eastAsia="zh-CN"/>
        </w:rPr>
        <w:t>节</w:t>
      </w:r>
      <w:r w:rsidRPr="00C277C0">
        <w:rPr>
          <w:rFonts w:hint="eastAsia"/>
          <w:snapToGrid w:val="0"/>
          <w:lang w:eastAsia="zh-CN"/>
        </w:rPr>
        <w:t>）</w:t>
      </w:r>
      <w:r w:rsidR="00FE2212" w:rsidRPr="00C277C0">
        <w:rPr>
          <w:rStyle w:val="af4"/>
          <w:rFonts w:hint="eastAsia"/>
          <w:snapToGrid w:val="0"/>
          <w:lang w:eastAsia="zh-CN"/>
        </w:rPr>
        <w:footnoteReference w:id="18"/>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15</w:t>
      </w:r>
      <w:r w:rsidRPr="00C277C0">
        <w:rPr>
          <w:rFonts w:eastAsia="宋体" w:hint="eastAsia"/>
          <w:snapToGrid w:val="0"/>
          <w:lang w:eastAsia="zh-CN"/>
        </w:rPr>
        <w:t>天报告要求适用于包含药品或生物制品组成部分的组合产品（</w:t>
      </w:r>
      <w:r w:rsidR="00A20225">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Pr="00C277C0">
        <w:rPr>
          <w:rFonts w:eastAsia="宋体" w:hint="eastAsia"/>
          <w:snapToGrid w:val="0"/>
          <w:lang w:eastAsia="zh-CN"/>
        </w:rPr>
        <w:t>4.102</w:t>
      </w:r>
      <w:r w:rsidR="00FA5CED" w:rsidRPr="00C277C0">
        <w:rPr>
          <w:rFonts w:eastAsia="宋体" w:hint="eastAsia"/>
          <w:snapToGrid w:val="0"/>
          <w:lang w:eastAsia="zh-CN"/>
        </w:rPr>
        <w:t>（</w:t>
      </w:r>
      <w:r w:rsidRPr="00C277C0">
        <w:rPr>
          <w:rFonts w:eastAsia="宋体" w:hint="eastAsia"/>
          <w:snapToGrid w:val="0"/>
          <w:lang w:eastAsia="zh-CN"/>
        </w:rPr>
        <w:t>b</w:t>
      </w:r>
      <w:r w:rsidR="00FA5CED" w:rsidRPr="00C277C0">
        <w:rPr>
          <w:rFonts w:eastAsia="宋体" w:hint="eastAsia"/>
          <w:snapToGrid w:val="0"/>
          <w:lang w:eastAsia="zh-CN"/>
        </w:rPr>
        <w:t>）（</w:t>
      </w:r>
      <w:r w:rsidRPr="00C277C0">
        <w:rPr>
          <w:rFonts w:eastAsia="宋体" w:hint="eastAsia"/>
          <w:snapToGrid w:val="0"/>
          <w:lang w:eastAsia="zh-CN"/>
        </w:rPr>
        <w:t>2</w:t>
      </w:r>
      <w:r w:rsidR="00FA5CED" w:rsidRPr="00C277C0">
        <w:rPr>
          <w:rFonts w:eastAsia="宋体" w:hint="eastAsia"/>
          <w:snapToGrid w:val="0"/>
          <w:lang w:eastAsia="zh-CN"/>
        </w:rPr>
        <w:t>）</w:t>
      </w:r>
      <w:r w:rsidRPr="00C277C0">
        <w:rPr>
          <w:rFonts w:eastAsia="宋体" w:hint="eastAsia"/>
          <w:snapToGrid w:val="0"/>
          <w:lang w:eastAsia="zh-CN"/>
        </w:rPr>
        <w:t>和</w:t>
      </w:r>
      <w:r w:rsidR="00FA5CED" w:rsidRPr="00C277C0">
        <w:rPr>
          <w:rFonts w:eastAsia="宋体" w:hint="eastAsia"/>
          <w:snapToGrid w:val="0"/>
          <w:lang w:eastAsia="zh-CN"/>
        </w:rPr>
        <w:t>（</w:t>
      </w:r>
      <w:r w:rsidRPr="00C277C0">
        <w:rPr>
          <w:rFonts w:eastAsia="宋体" w:hint="eastAsia"/>
          <w:snapToGrid w:val="0"/>
          <w:lang w:eastAsia="zh-CN"/>
        </w:rPr>
        <w:t>b</w:t>
      </w:r>
      <w:r w:rsidR="00FA5CED" w:rsidRPr="00C277C0">
        <w:rPr>
          <w:rFonts w:eastAsia="宋体" w:hint="eastAsia"/>
          <w:snapToGrid w:val="0"/>
          <w:lang w:eastAsia="zh-CN"/>
        </w:rPr>
        <w:t>）（</w:t>
      </w:r>
      <w:r w:rsidRPr="00C277C0">
        <w:rPr>
          <w:rFonts w:eastAsia="宋体" w:hint="eastAsia"/>
          <w:snapToGrid w:val="0"/>
          <w:lang w:eastAsia="zh-CN"/>
        </w:rPr>
        <w:t>3</w:t>
      </w:r>
      <w:r w:rsidR="00FA5CED" w:rsidRPr="00C277C0">
        <w:rPr>
          <w:rFonts w:eastAsia="宋体" w:hint="eastAsia"/>
          <w:snapToGrid w:val="0"/>
          <w:lang w:eastAsia="zh-CN"/>
        </w:rPr>
        <w:t>）</w:t>
      </w:r>
      <w:r w:rsidR="00375702" w:rsidRPr="00C277C0">
        <w:rPr>
          <w:rFonts w:eastAsia="宋体" w:hint="eastAsia"/>
          <w:snapToGrid w:val="0"/>
          <w:lang w:eastAsia="zh-CN"/>
        </w:rPr>
        <w:t>节</w:t>
      </w:r>
      <w:r w:rsidRPr="00C277C0">
        <w:rPr>
          <w:rFonts w:eastAsia="宋体" w:hint="eastAsia"/>
          <w:snapToGrid w:val="0"/>
          <w:lang w:eastAsia="zh-CN"/>
        </w:rPr>
        <w:t>以及</w:t>
      </w:r>
      <w:r w:rsidR="00375702" w:rsidRPr="00C277C0">
        <w:rPr>
          <w:rFonts w:eastAsia="宋体" w:hint="eastAsia"/>
          <w:snapToGrid w:val="0"/>
          <w:lang w:eastAsia="zh-CN"/>
        </w:rPr>
        <w:t>第</w:t>
      </w:r>
      <w:r w:rsidRPr="00C277C0">
        <w:rPr>
          <w:rFonts w:eastAsia="宋体" w:hint="eastAsia"/>
          <w:snapToGrid w:val="0"/>
          <w:lang w:eastAsia="zh-CN"/>
        </w:rPr>
        <w:t>4.102</w:t>
      </w:r>
      <w:r w:rsidR="00FA5CED" w:rsidRPr="00C277C0">
        <w:rPr>
          <w:rFonts w:eastAsia="宋体" w:hint="eastAsia"/>
          <w:snapToGrid w:val="0"/>
          <w:lang w:eastAsia="zh-CN"/>
        </w:rPr>
        <w:t>（</w:t>
      </w:r>
      <w:r w:rsidRPr="00C277C0">
        <w:rPr>
          <w:rFonts w:eastAsia="宋体" w:hint="eastAsia"/>
          <w:snapToGrid w:val="0"/>
          <w:lang w:eastAsia="zh-CN"/>
        </w:rPr>
        <w:t>c</w:t>
      </w:r>
      <w:r w:rsidR="00FA5CED" w:rsidRPr="00C277C0">
        <w:rPr>
          <w:rFonts w:eastAsia="宋体" w:hint="eastAsia"/>
          <w:snapToGrid w:val="0"/>
          <w:lang w:eastAsia="zh-CN"/>
        </w:rPr>
        <w:t>）（</w:t>
      </w:r>
      <w:r w:rsidRPr="00C277C0">
        <w:rPr>
          <w:rFonts w:eastAsia="宋体" w:hint="eastAsia"/>
          <w:snapToGrid w:val="0"/>
          <w:lang w:eastAsia="zh-CN"/>
        </w:rPr>
        <w:t>2</w:t>
      </w:r>
      <w:r w:rsidR="00FA5CED" w:rsidRPr="00C277C0">
        <w:rPr>
          <w:rFonts w:eastAsia="宋体" w:hint="eastAsia"/>
          <w:snapToGrid w:val="0"/>
          <w:lang w:eastAsia="zh-CN"/>
        </w:rPr>
        <w:t>）（</w:t>
      </w:r>
      <w:r w:rsidRPr="00C277C0">
        <w:rPr>
          <w:rFonts w:eastAsia="宋体" w:hint="eastAsia"/>
          <w:snapToGrid w:val="0"/>
          <w:lang w:eastAsia="zh-CN"/>
        </w:rPr>
        <w:t>ii</w:t>
      </w:r>
      <w:r w:rsidR="00FA5CED" w:rsidRPr="00C277C0">
        <w:rPr>
          <w:rFonts w:eastAsia="宋体" w:hint="eastAsia"/>
          <w:snapToGrid w:val="0"/>
          <w:lang w:eastAsia="zh-CN"/>
        </w:rPr>
        <w:t>）</w:t>
      </w:r>
      <w:r w:rsidRPr="00C277C0">
        <w:rPr>
          <w:rFonts w:eastAsia="宋体" w:hint="eastAsia"/>
          <w:snapToGrid w:val="0"/>
          <w:lang w:eastAsia="zh-CN"/>
        </w:rPr>
        <w:t>和</w:t>
      </w:r>
      <w:r w:rsidR="00FA5CED" w:rsidRPr="00C277C0">
        <w:rPr>
          <w:rFonts w:eastAsia="宋体" w:hint="eastAsia"/>
          <w:snapToGrid w:val="0"/>
          <w:lang w:eastAsia="zh-CN"/>
        </w:rPr>
        <w:t>（</w:t>
      </w:r>
      <w:r w:rsidRPr="00C277C0">
        <w:rPr>
          <w:rFonts w:eastAsia="宋体" w:hint="eastAsia"/>
          <w:snapToGrid w:val="0"/>
          <w:lang w:eastAsia="zh-CN"/>
        </w:rPr>
        <w:t>c</w:t>
      </w:r>
      <w:r w:rsidR="00FA5CED" w:rsidRPr="00C277C0">
        <w:rPr>
          <w:rFonts w:eastAsia="宋体" w:hint="eastAsia"/>
          <w:snapToGrid w:val="0"/>
          <w:lang w:eastAsia="zh-CN"/>
        </w:rPr>
        <w:t>）（</w:t>
      </w:r>
      <w:r w:rsidRPr="00C277C0">
        <w:rPr>
          <w:rFonts w:eastAsia="宋体" w:hint="eastAsia"/>
          <w:snapToGrid w:val="0"/>
          <w:lang w:eastAsia="zh-CN"/>
        </w:rPr>
        <w:t>3</w:t>
      </w:r>
      <w:r w:rsidR="00FA5CED" w:rsidRPr="00C277C0">
        <w:rPr>
          <w:rFonts w:eastAsia="宋体" w:hint="eastAsia"/>
          <w:snapToGrid w:val="0"/>
          <w:lang w:eastAsia="zh-CN"/>
        </w:rPr>
        <w:t>）（</w:t>
      </w:r>
      <w:r w:rsidRPr="00C277C0">
        <w:rPr>
          <w:rFonts w:eastAsia="宋体" w:hint="eastAsia"/>
          <w:snapToGrid w:val="0"/>
          <w:lang w:eastAsia="zh-CN"/>
        </w:rPr>
        <w:t>ii</w:t>
      </w:r>
      <w:r w:rsidR="00FA5CED" w:rsidRPr="00C277C0">
        <w:rPr>
          <w:rFonts w:eastAsia="宋体" w:hint="eastAsia"/>
          <w:snapToGrid w:val="0"/>
          <w:lang w:eastAsia="zh-CN"/>
        </w:rPr>
        <w:t>）</w:t>
      </w:r>
      <w:r w:rsidRPr="00C277C0">
        <w:rPr>
          <w:rFonts w:eastAsia="宋体" w:hint="eastAsia"/>
          <w:snapToGrid w:val="0"/>
          <w:lang w:eastAsia="zh-CN"/>
        </w:rPr>
        <w:t>）</w:t>
      </w:r>
      <w:r w:rsidR="00375702" w:rsidRPr="00C277C0">
        <w:rPr>
          <w:rFonts w:eastAsia="宋体" w:hint="eastAsia"/>
          <w:snapToGrid w:val="0"/>
          <w:lang w:eastAsia="zh-CN"/>
        </w:rPr>
        <w:t>节</w:t>
      </w:r>
      <w:r w:rsidRPr="00C277C0">
        <w:rPr>
          <w:rFonts w:eastAsia="宋体" w:hint="eastAsia"/>
          <w:snapToGrid w:val="0"/>
          <w:lang w:eastAsia="zh-CN"/>
        </w:rPr>
        <w:t>。</w:t>
      </w:r>
      <w:r w:rsidR="00FE2212" w:rsidRPr="00C277C0">
        <w:rPr>
          <w:rStyle w:val="af4"/>
          <w:rFonts w:eastAsia="宋体" w:hint="eastAsia"/>
          <w:snapToGrid w:val="0"/>
          <w:lang w:eastAsia="zh-CN"/>
        </w:rPr>
        <w:footnoteReference w:id="19"/>
      </w:r>
      <w:r w:rsidRPr="00C277C0">
        <w:rPr>
          <w:rFonts w:eastAsia="宋体" w:hint="eastAsia"/>
          <w:snapToGrid w:val="0"/>
          <w:lang w:eastAsia="zh-CN"/>
        </w:rPr>
        <w:t>组合产品申请人必须针对以下情况提交</w:t>
      </w:r>
      <w:r w:rsidRPr="00C277C0">
        <w:rPr>
          <w:rFonts w:eastAsia="宋体" w:hint="eastAsia"/>
          <w:snapToGrid w:val="0"/>
          <w:lang w:eastAsia="zh-CN"/>
        </w:rPr>
        <w:t>15</w:t>
      </w:r>
      <w:r w:rsidRPr="00C277C0">
        <w:rPr>
          <w:rFonts w:eastAsia="宋体" w:hint="eastAsia"/>
          <w:snapToGrid w:val="0"/>
          <w:lang w:eastAsia="zh-CN"/>
        </w:rPr>
        <w:t>天报告：</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CC6A14"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严重</w:t>
      </w: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且</w:t>
      </w: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非预期</w:t>
      </w: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的</w:t>
      </w: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不良经历</w:t>
      </w:r>
      <w:r w:rsidRPr="00B403CB">
        <w:rPr>
          <w:rFonts w:ascii="宋体" w:eastAsia="宋体" w:hAnsi="宋体" w:hint="eastAsia"/>
          <w:sz w:val="24"/>
          <w:lang w:eastAsia="zh-CN"/>
        </w:rPr>
        <w:t>”</w:t>
      </w:r>
      <w:r w:rsidR="00FE2212" w:rsidRPr="00C277C0">
        <w:rPr>
          <w:rStyle w:val="af4"/>
          <w:rFonts w:ascii="宋体" w:eastAsia="宋体" w:hAnsi="宋体" w:hint="eastAsia"/>
          <w:snapToGrid w:val="0"/>
          <w:sz w:val="24"/>
          <w:szCs w:val="24"/>
          <w:lang w:eastAsia="zh-CN"/>
        </w:rPr>
        <w:footnoteReference w:id="20"/>
      </w: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根据</w:t>
      </w:r>
      <w:r w:rsidRPr="00C277C0">
        <w:rPr>
          <w:rFonts w:eastAsia="宋体" w:hint="eastAsia"/>
          <w:snapToGrid w:val="0"/>
          <w:sz w:val="24"/>
          <w:szCs w:val="24"/>
          <w:lang w:eastAsia="zh-CN"/>
        </w:rPr>
        <w:t>ANDA</w:t>
      </w:r>
      <w:r w:rsidRPr="00C277C0">
        <w:rPr>
          <w:rFonts w:eastAsia="宋体" w:hint="eastAsia"/>
          <w:snapToGrid w:val="0"/>
          <w:sz w:val="24"/>
          <w:szCs w:val="24"/>
          <w:lang w:eastAsia="zh-CN"/>
        </w:rPr>
        <w:t>、</w:t>
      </w:r>
      <w:r w:rsidRPr="00C277C0">
        <w:rPr>
          <w:rFonts w:eastAsia="宋体" w:hint="eastAsia"/>
          <w:snapToGrid w:val="0"/>
          <w:sz w:val="24"/>
          <w:szCs w:val="24"/>
          <w:lang w:eastAsia="zh-CN"/>
        </w:rPr>
        <w:t>NDA</w:t>
      </w:r>
      <w:r w:rsidRPr="00C277C0">
        <w:rPr>
          <w:rFonts w:eastAsia="宋体" w:hint="eastAsia"/>
          <w:snapToGrid w:val="0"/>
          <w:sz w:val="24"/>
          <w:szCs w:val="24"/>
          <w:lang w:eastAsia="zh-CN"/>
        </w:rPr>
        <w:t>或</w:t>
      </w:r>
      <w:r w:rsidRPr="00C277C0">
        <w:rPr>
          <w:rFonts w:eastAsia="宋体" w:hint="eastAsia"/>
          <w:snapToGrid w:val="0"/>
          <w:sz w:val="24"/>
          <w:szCs w:val="24"/>
          <w:lang w:eastAsia="zh-CN"/>
        </w:rPr>
        <w:t>BLA</w:t>
      </w:r>
      <w:r w:rsidRPr="00C277C0">
        <w:rPr>
          <w:rFonts w:eastAsia="宋体" w:hint="eastAsia"/>
          <w:snapToGrid w:val="0"/>
          <w:sz w:val="24"/>
          <w:szCs w:val="24"/>
          <w:lang w:eastAsia="zh-CN"/>
        </w:rPr>
        <w:t>上市的组合产品在</w:t>
      </w:r>
      <w:r w:rsidRPr="00C277C0">
        <w:rPr>
          <w:rFonts w:eastAsia="宋体" w:hint="eastAsia"/>
          <w:snapToGrid w:val="0"/>
          <w:sz w:val="24"/>
          <w:szCs w:val="24"/>
          <w:lang w:eastAsia="zh-CN"/>
        </w:rPr>
        <w:t>15</w:t>
      </w:r>
      <w:r w:rsidRPr="00C277C0">
        <w:rPr>
          <w:rFonts w:eastAsia="宋体" w:hint="eastAsia"/>
          <w:snapToGrid w:val="0"/>
          <w:sz w:val="24"/>
          <w:szCs w:val="24"/>
          <w:lang w:eastAsia="zh-CN"/>
        </w:rPr>
        <w:t>个日历日内</w:t>
      </w:r>
    </w:p>
    <w:p w:rsidR="00C1273A" w:rsidRPr="00C277C0" w:rsidRDefault="00097329" w:rsidP="00B403CB">
      <w:pPr>
        <w:pStyle w:val="a4"/>
        <w:numPr>
          <w:ilvl w:val="0"/>
          <w:numId w:val="13"/>
        </w:numPr>
        <w:tabs>
          <w:tab w:val="left" w:pos="910"/>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或根据器械申请上市的组合产品，在</w:t>
      </w:r>
      <w:r w:rsidRPr="00C277C0">
        <w:rPr>
          <w:rFonts w:eastAsia="宋体" w:hint="eastAsia"/>
          <w:snapToGrid w:val="0"/>
          <w:sz w:val="24"/>
          <w:szCs w:val="24"/>
          <w:lang w:eastAsia="zh-CN"/>
        </w:rPr>
        <w:t>30</w:t>
      </w:r>
      <w:r w:rsidRPr="00C277C0">
        <w:rPr>
          <w:rFonts w:eastAsia="宋体" w:hint="eastAsia"/>
          <w:snapToGrid w:val="0"/>
          <w:sz w:val="24"/>
          <w:szCs w:val="24"/>
          <w:lang w:eastAsia="zh-CN"/>
        </w:rPr>
        <w:t>个日历日内，如下所述。</w:t>
      </w:r>
      <w:r w:rsidR="00FE2212" w:rsidRPr="00C277C0">
        <w:rPr>
          <w:rStyle w:val="af4"/>
          <w:rFonts w:eastAsia="宋体" w:hint="eastAsia"/>
          <w:snapToGrid w:val="0"/>
          <w:sz w:val="24"/>
          <w:szCs w:val="24"/>
          <w:lang w:eastAsia="zh-CN"/>
        </w:rPr>
        <w:footnoteReference w:id="21"/>
      </w:r>
    </w:p>
    <w:p w:rsidR="00C1273A" w:rsidRPr="00C277C0" w:rsidRDefault="00C1273A" w:rsidP="00682B6C">
      <w:pPr>
        <w:pStyle w:val="a4"/>
        <w:autoSpaceDE/>
        <w:autoSpaceDN/>
        <w:snapToGrid w:val="0"/>
        <w:ind w:left="920" w:firstLine="0"/>
        <w:jc w:val="both"/>
        <w:rPr>
          <w:rFonts w:eastAsia="宋体"/>
          <w:snapToGrid w:val="0"/>
          <w:sz w:val="24"/>
          <w:szCs w:val="24"/>
          <w:lang w:eastAsia="zh-CN"/>
        </w:rPr>
      </w:pPr>
    </w:p>
    <w:p w:rsidR="00C1273A" w:rsidRPr="00C277C0" w:rsidRDefault="009713E3" w:rsidP="00C1273A">
      <w:pPr>
        <w:pStyle w:val="a3"/>
        <w:autoSpaceDE/>
        <w:autoSpaceDN/>
        <w:snapToGrid w:val="0"/>
        <w:ind w:leftChars="400" w:left="880"/>
        <w:jc w:val="both"/>
        <w:rPr>
          <w:rFonts w:eastAsia="宋体"/>
          <w:snapToGrid w:val="0"/>
          <w:lang w:eastAsia="zh-CN"/>
        </w:rPr>
      </w:pPr>
      <w:r w:rsidRPr="00C277C0">
        <w:rPr>
          <w:rFonts w:eastAsia="宋体" w:hint="eastAsia"/>
          <w:snapToGrid w:val="0"/>
          <w:lang w:eastAsia="zh-CN"/>
        </w:rPr>
        <w:t>（</w:t>
      </w:r>
      <w:r w:rsidR="001047B2">
        <w:rPr>
          <w:rFonts w:eastAsia="宋体" w:hint="eastAsia"/>
          <w:snapToGrid w:val="0"/>
          <w:lang w:eastAsia="zh-CN"/>
        </w:rPr>
        <w:t>参</w:t>
      </w:r>
      <w:r w:rsidRPr="00C277C0">
        <w:rPr>
          <w:rFonts w:eastAsia="宋体" w:hint="eastAsia"/>
          <w:snapToGrid w:val="0"/>
          <w:lang w:eastAsia="zh-CN"/>
        </w:rPr>
        <w:t>见</w:t>
      </w:r>
      <w:r w:rsidRPr="00C277C0">
        <w:rPr>
          <w:rFonts w:eastAsia="宋体" w:hint="eastAsia"/>
          <w:snapToGrid w:val="0"/>
          <w:lang w:eastAsia="zh-CN"/>
        </w:rPr>
        <w:t>4.102</w:t>
      </w:r>
      <w:r w:rsidRPr="00C277C0">
        <w:rPr>
          <w:rFonts w:eastAsia="宋体" w:hint="eastAsia"/>
          <w:snapToGrid w:val="0"/>
          <w:lang w:eastAsia="zh-CN"/>
        </w:rPr>
        <w:t>、</w:t>
      </w:r>
      <w:r w:rsidRPr="00C277C0">
        <w:rPr>
          <w:rFonts w:eastAsia="宋体" w:hint="eastAsia"/>
          <w:snapToGrid w:val="0"/>
          <w:lang w:eastAsia="zh-CN"/>
        </w:rPr>
        <w:t>314.80</w:t>
      </w:r>
      <w:r w:rsidR="00CC6A14" w:rsidRPr="00C277C0">
        <w:rPr>
          <w:rFonts w:eastAsia="宋体" w:hint="eastAsia"/>
          <w:snapToGrid w:val="0"/>
          <w:lang w:eastAsia="zh-CN"/>
        </w:rPr>
        <w:t>（</w:t>
      </w:r>
      <w:r w:rsidRPr="00C277C0">
        <w:rPr>
          <w:rFonts w:eastAsia="宋体" w:hint="eastAsia"/>
          <w:snapToGrid w:val="0"/>
          <w:lang w:eastAsia="zh-CN"/>
        </w:rPr>
        <w:t>a</w:t>
      </w:r>
      <w:r w:rsidR="00CC6A14" w:rsidRPr="00C277C0">
        <w:rPr>
          <w:rFonts w:eastAsia="宋体" w:hint="eastAsia"/>
          <w:snapToGrid w:val="0"/>
          <w:lang w:eastAsia="zh-CN"/>
        </w:rPr>
        <w:t>）</w:t>
      </w:r>
      <w:r w:rsidRPr="00C277C0">
        <w:rPr>
          <w:rFonts w:eastAsia="宋体" w:hint="eastAsia"/>
          <w:snapToGrid w:val="0"/>
          <w:lang w:eastAsia="zh-CN"/>
        </w:rPr>
        <w:t>和</w:t>
      </w:r>
      <w:r w:rsidR="00CC6A14" w:rsidRPr="00C277C0">
        <w:rPr>
          <w:rFonts w:eastAsia="宋体" w:hint="eastAsia"/>
          <w:snapToGrid w:val="0"/>
          <w:lang w:eastAsia="zh-CN"/>
        </w:rPr>
        <w:t>（</w:t>
      </w:r>
      <w:r w:rsidRPr="00C277C0">
        <w:rPr>
          <w:rFonts w:eastAsia="宋体" w:hint="eastAsia"/>
          <w:snapToGrid w:val="0"/>
          <w:lang w:eastAsia="zh-CN"/>
        </w:rPr>
        <w:t>c</w:t>
      </w:r>
      <w:r w:rsidR="00CC6A14" w:rsidRPr="00C277C0">
        <w:rPr>
          <w:rFonts w:eastAsia="宋体" w:hint="eastAsia"/>
          <w:snapToGrid w:val="0"/>
          <w:lang w:eastAsia="zh-CN"/>
        </w:rPr>
        <w:t>）</w:t>
      </w:r>
      <w:r w:rsidRPr="00C277C0">
        <w:rPr>
          <w:rFonts w:eastAsia="宋体" w:hint="eastAsia"/>
          <w:snapToGrid w:val="0"/>
          <w:lang w:eastAsia="zh-CN"/>
        </w:rPr>
        <w:t>，以及</w:t>
      </w:r>
      <w:r w:rsidRPr="00C277C0">
        <w:rPr>
          <w:rFonts w:eastAsia="宋体" w:hint="eastAsia"/>
          <w:snapToGrid w:val="0"/>
          <w:lang w:eastAsia="zh-CN"/>
        </w:rPr>
        <w:t>600.80</w:t>
      </w:r>
      <w:r w:rsidR="00CC6A14" w:rsidRPr="00C277C0">
        <w:rPr>
          <w:rFonts w:eastAsia="宋体" w:hint="eastAsia"/>
          <w:snapToGrid w:val="0"/>
          <w:lang w:eastAsia="zh-CN"/>
        </w:rPr>
        <w:t>（</w:t>
      </w:r>
      <w:r w:rsidRPr="00C277C0">
        <w:rPr>
          <w:rFonts w:eastAsia="宋体" w:hint="eastAsia"/>
          <w:snapToGrid w:val="0"/>
          <w:lang w:eastAsia="zh-CN"/>
        </w:rPr>
        <w:t>a</w:t>
      </w:r>
      <w:r w:rsidR="00CC6A14" w:rsidRPr="00C277C0">
        <w:rPr>
          <w:rFonts w:eastAsia="宋体" w:hint="eastAsia"/>
          <w:snapToGrid w:val="0"/>
          <w:lang w:eastAsia="zh-CN"/>
        </w:rPr>
        <w:t>）</w:t>
      </w:r>
      <w:r w:rsidRPr="00C277C0">
        <w:rPr>
          <w:rFonts w:eastAsia="宋体" w:hint="eastAsia"/>
          <w:snapToGrid w:val="0"/>
          <w:lang w:eastAsia="zh-CN"/>
        </w:rPr>
        <w:t>和</w:t>
      </w:r>
      <w:r w:rsidR="00CC6A14" w:rsidRPr="00C277C0">
        <w:rPr>
          <w:rFonts w:eastAsia="宋体" w:hint="eastAsia"/>
          <w:snapToGrid w:val="0"/>
          <w:lang w:eastAsia="zh-CN"/>
        </w:rPr>
        <w:t>（</w:t>
      </w:r>
      <w:r w:rsidRPr="00C277C0">
        <w:rPr>
          <w:rFonts w:eastAsia="宋体" w:hint="eastAsia"/>
          <w:snapToGrid w:val="0"/>
          <w:lang w:eastAsia="zh-CN"/>
        </w:rPr>
        <w:t>c</w:t>
      </w:r>
      <w:r w:rsidR="00CC6A14" w:rsidRPr="00C277C0">
        <w:rPr>
          <w:rFonts w:eastAsia="宋体" w:hint="eastAsia"/>
          <w:snapToGrid w:val="0"/>
          <w:lang w:eastAsia="zh-CN"/>
        </w:rPr>
        <w:t>）</w:t>
      </w:r>
      <w:r w:rsidRPr="00C277C0">
        <w:rPr>
          <w:rFonts w:eastAsia="宋体" w:hint="eastAsia"/>
          <w:snapToGrid w:val="0"/>
          <w:lang w:eastAsia="zh-CN"/>
        </w:rPr>
        <w:t>。）</w:t>
      </w:r>
    </w:p>
    <w:p w:rsidR="00C1273A" w:rsidRPr="00C277C0" w:rsidRDefault="00C1273A" w:rsidP="00B403CB">
      <w:pPr>
        <w:pStyle w:val="a3"/>
        <w:autoSpaceDE/>
        <w:autoSpaceDN/>
        <w:snapToGrid w:val="0"/>
        <w:ind w:leftChars="400" w:left="880"/>
        <w:jc w:val="both"/>
        <w:rPr>
          <w:rFonts w:eastAsia="宋体"/>
          <w:snapToGrid w:val="0"/>
          <w:lang w:eastAsia="zh-CN"/>
        </w:rPr>
      </w:pPr>
    </w:p>
    <w:p w:rsidR="00C1273A" w:rsidRPr="00C277C0" w:rsidRDefault="00097329" w:rsidP="00B403CB">
      <w:pPr>
        <w:pStyle w:val="a3"/>
        <w:autoSpaceDE/>
        <w:autoSpaceDN/>
        <w:snapToGrid w:val="0"/>
        <w:ind w:leftChars="400" w:left="880" w:firstLineChars="200" w:firstLine="480"/>
        <w:jc w:val="both"/>
        <w:rPr>
          <w:rFonts w:eastAsia="宋体"/>
          <w:snapToGrid w:val="0"/>
          <w:lang w:eastAsia="zh-CN"/>
        </w:rPr>
      </w:pPr>
      <w:r w:rsidRPr="00C277C0">
        <w:rPr>
          <w:rFonts w:eastAsia="宋体" w:hint="eastAsia"/>
          <w:snapToGrid w:val="0"/>
          <w:u w:val="single"/>
          <w:lang w:eastAsia="zh-CN"/>
        </w:rPr>
        <w:t>不良经历。</w:t>
      </w:r>
      <w:r w:rsidRPr="00C277C0">
        <w:rPr>
          <w:rFonts w:eastAsia="宋体" w:hint="eastAsia"/>
          <w:snapToGrid w:val="0"/>
          <w:lang w:eastAsia="zh-CN"/>
        </w:rPr>
        <w:t>不良经历是指与组合产品使用相关的任何不良事件，无论是否与产品有关。</w:t>
      </w:r>
      <w:r w:rsidR="00FE2212" w:rsidRPr="00C277C0">
        <w:rPr>
          <w:rStyle w:val="af4"/>
          <w:rFonts w:eastAsia="宋体" w:hint="eastAsia"/>
          <w:snapToGrid w:val="0"/>
          <w:lang w:eastAsia="zh-CN"/>
        </w:rPr>
        <w:footnoteReference w:id="22"/>
      </w:r>
    </w:p>
    <w:p w:rsidR="00C1273A" w:rsidRPr="00C277C0" w:rsidRDefault="00C1273A" w:rsidP="00C1273A">
      <w:pPr>
        <w:pStyle w:val="a3"/>
        <w:autoSpaceDE/>
        <w:autoSpaceDN/>
        <w:snapToGrid w:val="0"/>
        <w:ind w:leftChars="400" w:left="880"/>
        <w:jc w:val="both"/>
        <w:rPr>
          <w:rFonts w:eastAsia="宋体"/>
          <w:snapToGrid w:val="0"/>
          <w:lang w:eastAsia="zh-CN"/>
        </w:rPr>
      </w:pPr>
    </w:p>
    <w:p w:rsidR="00C1273A" w:rsidRPr="00C277C0" w:rsidRDefault="00097329" w:rsidP="00B403CB">
      <w:pPr>
        <w:pStyle w:val="a3"/>
        <w:autoSpaceDE/>
        <w:autoSpaceDN/>
        <w:snapToGrid w:val="0"/>
        <w:ind w:leftChars="400" w:left="880" w:firstLineChars="200" w:firstLine="480"/>
        <w:jc w:val="both"/>
        <w:rPr>
          <w:rFonts w:eastAsia="宋体"/>
          <w:snapToGrid w:val="0"/>
          <w:lang w:eastAsia="zh-CN"/>
        </w:rPr>
      </w:pPr>
      <w:r w:rsidRPr="00C277C0">
        <w:rPr>
          <w:rFonts w:eastAsia="宋体" w:hint="eastAsia"/>
          <w:snapToGrid w:val="0"/>
          <w:u w:val="single"/>
          <w:lang w:eastAsia="zh-CN"/>
        </w:rPr>
        <w:t>严重</w:t>
      </w:r>
      <w:r w:rsidR="00317840" w:rsidRPr="00C277C0">
        <w:rPr>
          <w:rFonts w:eastAsia="宋体" w:hint="eastAsia"/>
          <w:snapToGrid w:val="0"/>
          <w:u w:val="single"/>
          <w:lang w:eastAsia="zh-CN"/>
        </w:rPr>
        <w:t>程度</w:t>
      </w:r>
      <w:r w:rsidRPr="00C277C0">
        <w:rPr>
          <w:rFonts w:eastAsia="宋体" w:hint="eastAsia"/>
          <w:snapToGrid w:val="0"/>
          <w:u w:val="single"/>
          <w:lang w:eastAsia="zh-CN"/>
        </w:rPr>
        <w:t>。</w:t>
      </w:r>
      <w:r w:rsidRPr="00C277C0">
        <w:rPr>
          <w:rFonts w:eastAsia="宋体" w:hint="eastAsia"/>
          <w:snapToGrid w:val="0"/>
          <w:lang w:eastAsia="zh-CN"/>
        </w:rPr>
        <w:t>严重不良经历是指导致以下任何结局的任何不良事件：死亡、危及生命的不良经历、需要住院治疗或延长现有住院时间、持续或者重大残疾</w:t>
      </w:r>
      <w:r w:rsidRPr="00C277C0">
        <w:rPr>
          <w:rFonts w:eastAsia="宋体" w:hint="eastAsia"/>
          <w:snapToGrid w:val="0"/>
          <w:lang w:eastAsia="zh-CN"/>
        </w:rPr>
        <w:t>/</w:t>
      </w:r>
      <w:r w:rsidRPr="00C277C0">
        <w:rPr>
          <w:rFonts w:eastAsia="宋体" w:hint="eastAsia"/>
          <w:snapToGrid w:val="0"/>
          <w:lang w:eastAsia="zh-CN"/>
        </w:rPr>
        <w:t>失能；先天性异常</w:t>
      </w:r>
      <w:r w:rsidRPr="00C277C0">
        <w:rPr>
          <w:rFonts w:eastAsia="宋体" w:hint="eastAsia"/>
          <w:snapToGrid w:val="0"/>
          <w:lang w:eastAsia="zh-CN"/>
        </w:rPr>
        <w:t>/</w:t>
      </w:r>
      <w:r w:rsidRPr="00C277C0">
        <w:rPr>
          <w:rFonts w:eastAsia="宋体" w:hint="eastAsia"/>
          <w:snapToGrid w:val="0"/>
          <w:lang w:eastAsia="zh-CN"/>
        </w:rPr>
        <w:t>出生缺陷。基于合理的医学评价，一些可能不会导致死亡、危及生命或需要住院治疗，但可能会伤害患者或受试者，并可能需要医学或手术干预以预防上述任一结局的重要医学事件，可能被视为严重不良经历（</w:t>
      </w:r>
      <w:r w:rsidR="001047B2">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Pr="00C277C0">
        <w:rPr>
          <w:rFonts w:eastAsia="宋体" w:hint="eastAsia"/>
          <w:snapToGrid w:val="0"/>
          <w:lang w:eastAsia="zh-CN"/>
        </w:rPr>
        <w:t>314.80</w:t>
      </w:r>
      <w:r w:rsidR="00CC6A14" w:rsidRPr="00C277C0">
        <w:rPr>
          <w:rFonts w:eastAsia="宋体" w:hint="eastAsia"/>
          <w:snapToGrid w:val="0"/>
          <w:lang w:eastAsia="zh-CN"/>
        </w:rPr>
        <w:t>（</w:t>
      </w:r>
      <w:r w:rsidRPr="00C277C0">
        <w:rPr>
          <w:rFonts w:eastAsia="宋体" w:hint="eastAsia"/>
          <w:snapToGrid w:val="0"/>
          <w:lang w:eastAsia="zh-CN"/>
        </w:rPr>
        <w:t>a</w:t>
      </w:r>
      <w:r w:rsidR="00CC6A14"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600.80</w:t>
      </w:r>
      <w:r w:rsidR="00CC6A14" w:rsidRPr="00C277C0">
        <w:rPr>
          <w:rFonts w:eastAsia="宋体" w:hint="eastAsia"/>
          <w:snapToGrid w:val="0"/>
          <w:lang w:eastAsia="zh-CN"/>
        </w:rPr>
        <w:t>（</w:t>
      </w:r>
      <w:r w:rsidRPr="00C277C0">
        <w:rPr>
          <w:rFonts w:eastAsia="宋体" w:hint="eastAsia"/>
          <w:snapToGrid w:val="0"/>
          <w:lang w:eastAsia="zh-CN"/>
        </w:rPr>
        <w:t>a</w:t>
      </w:r>
      <w:r w:rsidR="00CC6A14" w:rsidRPr="00C277C0">
        <w:rPr>
          <w:rFonts w:eastAsia="宋体" w:hint="eastAsia"/>
          <w:snapToGrid w:val="0"/>
          <w:lang w:eastAsia="zh-CN"/>
        </w:rPr>
        <w:t>）</w:t>
      </w:r>
      <w:r w:rsidR="00375702" w:rsidRPr="00C277C0">
        <w:rPr>
          <w:rFonts w:eastAsia="宋体" w:hint="eastAsia"/>
          <w:snapToGrid w:val="0"/>
          <w:lang w:eastAsia="zh-CN"/>
        </w:rPr>
        <w:t>节</w:t>
      </w:r>
      <w:r w:rsidRPr="00C277C0">
        <w:rPr>
          <w:rFonts w:eastAsia="宋体" w:hint="eastAsia"/>
          <w:snapToGrid w:val="0"/>
          <w:lang w:eastAsia="zh-CN"/>
        </w:rPr>
        <w:t>）</w:t>
      </w:r>
      <w:r w:rsidR="004C2E94">
        <w:rPr>
          <w:rFonts w:eastAsia="宋体" w:hint="eastAsia"/>
          <w:snapToGrid w:val="0"/>
          <w:lang w:eastAsia="zh-CN"/>
        </w:rPr>
        <w:t>。</w:t>
      </w:r>
    </w:p>
    <w:p w:rsidR="00C1273A" w:rsidRPr="00C277C0" w:rsidRDefault="00EE5FE6" w:rsidP="00C1273A">
      <w:pPr>
        <w:autoSpaceDE/>
        <w:autoSpaceDN/>
        <w:snapToGrid w:val="0"/>
        <w:jc w:val="both"/>
        <w:rPr>
          <w:rFonts w:eastAsia="宋体"/>
          <w:snapToGrid w:val="0"/>
          <w:sz w:val="24"/>
          <w:szCs w:val="24"/>
          <w:lang w:eastAsia="zh-CN"/>
        </w:rPr>
      </w:pPr>
      <w:r w:rsidRPr="00C277C0">
        <w:rPr>
          <w:rFonts w:eastAsia="宋体" w:hint="eastAsia"/>
          <w:snapToGrid w:val="0"/>
          <w:sz w:val="21"/>
          <w:szCs w:val="21"/>
          <w:lang w:eastAsia="zh-CN"/>
        </w:rPr>
        <w:br w:type="page"/>
      </w:r>
    </w:p>
    <w:p w:rsidR="00C1273A" w:rsidRPr="00C277C0" w:rsidRDefault="00097329" w:rsidP="00B403CB">
      <w:pPr>
        <w:pStyle w:val="a3"/>
        <w:autoSpaceDE/>
        <w:autoSpaceDN/>
        <w:snapToGrid w:val="0"/>
        <w:ind w:leftChars="400" w:left="880" w:firstLineChars="200" w:firstLine="480"/>
        <w:jc w:val="both"/>
        <w:rPr>
          <w:rFonts w:eastAsia="宋体"/>
          <w:snapToGrid w:val="0"/>
          <w:lang w:eastAsia="zh-CN"/>
        </w:rPr>
      </w:pPr>
      <w:r w:rsidRPr="00C277C0">
        <w:rPr>
          <w:rFonts w:eastAsia="宋体" w:hint="eastAsia"/>
          <w:snapToGrid w:val="0"/>
          <w:u w:val="single"/>
          <w:lang w:eastAsia="zh-CN"/>
        </w:rPr>
        <w:t>非预期性。</w:t>
      </w:r>
      <w:r w:rsidRPr="00C277C0">
        <w:rPr>
          <w:rFonts w:eastAsia="宋体" w:hint="eastAsia"/>
          <w:snapToGrid w:val="0"/>
          <w:lang w:eastAsia="zh-CN"/>
        </w:rPr>
        <w:t>非预期不良经历是指产品现行版标签中未列出的任何不良经历。这包括可能与标签中列出的事件在症状和病理生理上相关的事件，但由于更严重或更特异而与列出的事件不同（</w:t>
      </w:r>
      <w:r w:rsidR="000D64F9">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Pr="00C277C0">
        <w:rPr>
          <w:rFonts w:eastAsia="宋体" w:hint="eastAsia"/>
          <w:snapToGrid w:val="0"/>
          <w:lang w:eastAsia="zh-CN"/>
        </w:rPr>
        <w:t>314.80</w:t>
      </w:r>
      <w:r w:rsidR="00CC6A14" w:rsidRPr="00C277C0">
        <w:rPr>
          <w:rFonts w:eastAsia="宋体" w:hint="eastAsia"/>
          <w:snapToGrid w:val="0"/>
          <w:lang w:eastAsia="zh-CN"/>
        </w:rPr>
        <w:t>（</w:t>
      </w:r>
      <w:r w:rsidRPr="00C277C0">
        <w:rPr>
          <w:rFonts w:eastAsia="宋体" w:hint="eastAsia"/>
          <w:snapToGrid w:val="0"/>
          <w:lang w:eastAsia="zh-CN"/>
        </w:rPr>
        <w:t>a</w:t>
      </w:r>
      <w:r w:rsidR="00CC6A14"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600.80</w:t>
      </w:r>
      <w:r w:rsidR="00CC6A14" w:rsidRPr="00C277C0">
        <w:rPr>
          <w:rFonts w:eastAsia="宋体" w:hint="eastAsia"/>
          <w:snapToGrid w:val="0"/>
          <w:lang w:eastAsia="zh-CN"/>
        </w:rPr>
        <w:t>（</w:t>
      </w:r>
      <w:r w:rsidRPr="00C277C0">
        <w:rPr>
          <w:rFonts w:eastAsia="宋体" w:hint="eastAsia"/>
          <w:snapToGrid w:val="0"/>
          <w:lang w:eastAsia="zh-CN"/>
        </w:rPr>
        <w:t>a</w:t>
      </w:r>
      <w:r w:rsidR="00CC6A14" w:rsidRPr="00C277C0">
        <w:rPr>
          <w:rFonts w:eastAsia="宋体" w:hint="eastAsia"/>
          <w:snapToGrid w:val="0"/>
          <w:lang w:eastAsia="zh-CN"/>
        </w:rPr>
        <w:t>）</w:t>
      </w:r>
      <w:r w:rsidR="00375702" w:rsidRPr="00C277C0">
        <w:rPr>
          <w:rFonts w:eastAsia="宋体" w:hint="eastAsia"/>
          <w:snapToGrid w:val="0"/>
          <w:lang w:eastAsia="zh-CN"/>
        </w:rPr>
        <w:t>节</w:t>
      </w:r>
      <w:r w:rsidRPr="00C277C0">
        <w:rPr>
          <w:rFonts w:eastAsia="宋体" w:hint="eastAsia"/>
          <w:snapToGrid w:val="0"/>
          <w:lang w:eastAsia="zh-CN"/>
        </w:rPr>
        <w:t>）。出于</w:t>
      </w:r>
      <w:r w:rsidRPr="00C277C0">
        <w:rPr>
          <w:rFonts w:eastAsia="宋体" w:hint="eastAsia"/>
          <w:snapToGrid w:val="0"/>
          <w:lang w:eastAsia="zh-CN"/>
        </w:rPr>
        <w:t>15</w:t>
      </w:r>
      <w:r w:rsidRPr="00C277C0">
        <w:rPr>
          <w:rFonts w:eastAsia="宋体" w:hint="eastAsia"/>
          <w:snapToGrid w:val="0"/>
          <w:lang w:eastAsia="zh-CN"/>
        </w:rPr>
        <w:t>天报告目的，事件是否为</w:t>
      </w:r>
      <w:r w:rsidR="006D76A7" w:rsidRPr="00B403CB">
        <w:rPr>
          <w:rFonts w:ascii="宋体" w:eastAsia="宋体" w:hAnsi="宋体" w:hint="eastAsia"/>
          <w:lang w:eastAsia="zh-CN"/>
        </w:rPr>
        <w:t>“</w:t>
      </w:r>
      <w:r w:rsidRPr="00C277C0">
        <w:rPr>
          <w:rFonts w:eastAsia="宋体" w:hint="eastAsia"/>
          <w:snapToGrid w:val="0"/>
          <w:lang w:eastAsia="zh-CN"/>
        </w:rPr>
        <w:t>预期</w:t>
      </w:r>
      <w:r w:rsidR="006D76A7" w:rsidRPr="00B403CB">
        <w:rPr>
          <w:rFonts w:ascii="宋体" w:eastAsia="宋体" w:hAnsi="宋体" w:hint="eastAsia"/>
          <w:lang w:eastAsia="zh-CN"/>
        </w:rPr>
        <w:t>”</w:t>
      </w:r>
      <w:r w:rsidRPr="00C277C0">
        <w:rPr>
          <w:rFonts w:eastAsia="宋体" w:hint="eastAsia"/>
          <w:snapToGrid w:val="0"/>
          <w:lang w:eastAsia="zh-CN"/>
        </w:rPr>
        <w:t>取决于该事件是否列在组合产品随附的任何现行版标签中，包括各个组成部分随附的任何标签。对于交叉标签的组合产品，如果事件列在任一组成部分的标签中，则该事件被视为预期事件。</w:t>
      </w:r>
    </w:p>
    <w:p w:rsidR="00C1273A" w:rsidRPr="00C277C0" w:rsidRDefault="00C1273A" w:rsidP="00C1273A">
      <w:pPr>
        <w:pStyle w:val="a3"/>
        <w:autoSpaceDE/>
        <w:autoSpaceDN/>
        <w:snapToGrid w:val="0"/>
        <w:ind w:leftChars="200" w:left="44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例如，根据</w:t>
      </w:r>
      <w:r w:rsidRPr="00C277C0">
        <w:rPr>
          <w:rFonts w:eastAsia="宋体" w:hint="eastAsia"/>
          <w:snapToGrid w:val="0"/>
          <w:lang w:eastAsia="zh-CN"/>
        </w:rPr>
        <w:t>NDA</w:t>
      </w:r>
      <w:r w:rsidRPr="00C277C0">
        <w:rPr>
          <w:rFonts w:eastAsia="宋体" w:hint="eastAsia"/>
          <w:snapToGrid w:val="0"/>
          <w:lang w:eastAsia="zh-CN"/>
        </w:rPr>
        <w:t>批准的组合产品，其包含用于将药品组成部分插入体内的递送装置。如果该递送装置在药物递送过程中断裂，导致患者出血并住院进行手术移除器械碎片（未列出的不良事件），组合产品申请人必须提交一份</w:t>
      </w:r>
      <w:r w:rsidRPr="00C277C0">
        <w:rPr>
          <w:rFonts w:eastAsia="宋体" w:hint="eastAsia"/>
          <w:snapToGrid w:val="0"/>
          <w:lang w:eastAsia="zh-CN"/>
        </w:rPr>
        <w:t>15</w:t>
      </w:r>
      <w:r w:rsidRPr="00C277C0">
        <w:rPr>
          <w:rFonts w:eastAsia="宋体" w:hint="eastAsia"/>
          <w:snapToGrid w:val="0"/>
          <w:lang w:eastAsia="zh-CN"/>
        </w:rPr>
        <w:t>天报告，因为出血是与组合产品相关的严重且非预期的不良事件。</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C1273A">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根据器械申请的组合产品</w:t>
      </w:r>
      <w:r w:rsidRPr="00B403CB">
        <w:rPr>
          <w:rFonts w:eastAsia="宋体" w:hint="eastAsia"/>
          <w:i/>
          <w:lang w:eastAsia="zh-CN"/>
        </w:rPr>
        <w:t>。</w:t>
      </w:r>
      <w:r w:rsidRPr="00C277C0">
        <w:rPr>
          <w:rFonts w:eastAsia="宋体" w:hint="eastAsia"/>
          <w:snapToGrid w:val="0"/>
          <w:lang w:eastAsia="zh-CN"/>
        </w:rPr>
        <w:t>对于根据器械申请上市的组合产品，必须在</w:t>
      </w:r>
      <w:r w:rsidRPr="00C277C0">
        <w:rPr>
          <w:rFonts w:eastAsia="宋体" w:hint="eastAsia"/>
          <w:i/>
          <w:snapToGrid w:val="0"/>
          <w:lang w:eastAsia="zh-CN"/>
        </w:rPr>
        <w:t>30</w:t>
      </w:r>
      <w:r w:rsidRPr="00C277C0">
        <w:rPr>
          <w:rFonts w:eastAsia="宋体" w:hint="eastAsia"/>
          <w:i/>
          <w:snapToGrid w:val="0"/>
          <w:lang w:eastAsia="zh-CN"/>
        </w:rPr>
        <w:t>个日历日内</w:t>
      </w:r>
      <w:r w:rsidRPr="00C277C0">
        <w:rPr>
          <w:rFonts w:eastAsia="宋体" w:hint="eastAsia"/>
          <w:snapToGrid w:val="0"/>
          <w:lang w:eastAsia="zh-CN"/>
        </w:rPr>
        <w:t>提交</w:t>
      </w:r>
      <w:r w:rsidRPr="00C277C0">
        <w:rPr>
          <w:rFonts w:eastAsia="宋体" w:hint="eastAsia"/>
          <w:snapToGrid w:val="0"/>
          <w:lang w:eastAsia="zh-CN"/>
        </w:rPr>
        <w:t>15</w:t>
      </w:r>
      <w:r w:rsidRPr="00C277C0">
        <w:rPr>
          <w:rFonts w:eastAsia="宋体" w:hint="eastAsia"/>
          <w:snapToGrid w:val="0"/>
          <w:lang w:eastAsia="zh-CN"/>
        </w:rPr>
        <w:t>天报告，而不是</w:t>
      </w:r>
      <w:r w:rsidRPr="00C277C0">
        <w:rPr>
          <w:rFonts w:eastAsia="宋体" w:hint="eastAsia"/>
          <w:snapToGrid w:val="0"/>
          <w:lang w:eastAsia="zh-CN"/>
        </w:rPr>
        <w:t>15</w:t>
      </w:r>
      <w:r w:rsidRPr="00C277C0">
        <w:rPr>
          <w:rFonts w:eastAsia="宋体" w:hint="eastAsia"/>
          <w:snapToGrid w:val="0"/>
          <w:lang w:eastAsia="zh-CN"/>
        </w:rPr>
        <w:t>天内（</w:t>
      </w:r>
      <w:r w:rsidR="00CE0519">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Pr="00C277C0">
        <w:rPr>
          <w:rFonts w:eastAsia="宋体" w:hint="eastAsia"/>
          <w:snapToGrid w:val="0"/>
          <w:lang w:eastAsia="zh-CN"/>
        </w:rPr>
        <w:t>4.102</w:t>
      </w:r>
      <w:r w:rsidR="006D76A7" w:rsidRPr="00C277C0">
        <w:rPr>
          <w:rFonts w:eastAsia="宋体" w:hint="eastAsia"/>
          <w:snapToGrid w:val="0"/>
          <w:lang w:eastAsia="zh-CN"/>
        </w:rPr>
        <w:t>（</w:t>
      </w:r>
      <w:r w:rsidRPr="00C277C0">
        <w:rPr>
          <w:rFonts w:eastAsia="宋体" w:hint="eastAsia"/>
          <w:snapToGrid w:val="0"/>
          <w:lang w:eastAsia="zh-CN"/>
        </w:rPr>
        <w:t>c</w:t>
      </w:r>
      <w:r w:rsidR="006D76A7" w:rsidRPr="00C277C0">
        <w:rPr>
          <w:rFonts w:eastAsia="宋体" w:hint="eastAsia"/>
          <w:snapToGrid w:val="0"/>
          <w:lang w:eastAsia="zh-CN"/>
        </w:rPr>
        <w:t>）（</w:t>
      </w:r>
      <w:r w:rsidRPr="00C277C0">
        <w:rPr>
          <w:rFonts w:eastAsia="宋体" w:hint="eastAsia"/>
          <w:snapToGrid w:val="0"/>
          <w:lang w:eastAsia="zh-CN"/>
        </w:rPr>
        <w:t>2</w:t>
      </w:r>
      <w:r w:rsidR="006D76A7" w:rsidRPr="00C277C0">
        <w:rPr>
          <w:rFonts w:eastAsia="宋体" w:hint="eastAsia"/>
          <w:snapToGrid w:val="0"/>
          <w:lang w:eastAsia="zh-CN"/>
        </w:rPr>
        <w:t>）（</w:t>
      </w:r>
      <w:r w:rsidRPr="00C277C0">
        <w:rPr>
          <w:rFonts w:eastAsia="宋体" w:hint="eastAsia"/>
          <w:snapToGrid w:val="0"/>
          <w:lang w:eastAsia="zh-CN"/>
        </w:rPr>
        <w:t>ii</w:t>
      </w:r>
      <w:r w:rsidR="006D76A7" w:rsidRPr="00C277C0">
        <w:rPr>
          <w:rFonts w:eastAsia="宋体" w:hint="eastAsia"/>
          <w:snapToGrid w:val="0"/>
          <w:lang w:eastAsia="zh-CN"/>
        </w:rPr>
        <w:t>）</w:t>
      </w:r>
      <w:r w:rsidRPr="00C277C0">
        <w:rPr>
          <w:rFonts w:eastAsia="宋体" w:hint="eastAsia"/>
          <w:snapToGrid w:val="0"/>
          <w:lang w:eastAsia="zh-CN"/>
        </w:rPr>
        <w:t>和</w:t>
      </w:r>
      <w:r w:rsidR="006D76A7" w:rsidRPr="00C277C0">
        <w:rPr>
          <w:rFonts w:eastAsia="宋体" w:hint="eastAsia"/>
          <w:snapToGrid w:val="0"/>
          <w:lang w:eastAsia="zh-CN"/>
        </w:rPr>
        <w:t>（</w:t>
      </w:r>
      <w:r w:rsidRPr="00C277C0">
        <w:rPr>
          <w:rFonts w:eastAsia="宋体" w:hint="eastAsia"/>
          <w:snapToGrid w:val="0"/>
          <w:lang w:eastAsia="zh-CN"/>
        </w:rPr>
        <w:t>c</w:t>
      </w:r>
      <w:r w:rsidR="006D76A7" w:rsidRPr="00C277C0">
        <w:rPr>
          <w:rFonts w:eastAsia="宋体" w:hint="eastAsia"/>
          <w:snapToGrid w:val="0"/>
          <w:lang w:eastAsia="zh-CN"/>
        </w:rPr>
        <w:t>）（</w:t>
      </w:r>
      <w:r w:rsidRPr="00C277C0">
        <w:rPr>
          <w:rFonts w:eastAsia="宋体" w:hint="eastAsia"/>
          <w:snapToGrid w:val="0"/>
          <w:lang w:eastAsia="zh-CN"/>
        </w:rPr>
        <w:t>3</w:t>
      </w:r>
      <w:r w:rsidR="006D76A7" w:rsidRPr="00C277C0">
        <w:rPr>
          <w:rFonts w:eastAsia="宋体" w:hint="eastAsia"/>
          <w:snapToGrid w:val="0"/>
          <w:lang w:eastAsia="zh-CN"/>
        </w:rPr>
        <w:t>）（</w:t>
      </w:r>
      <w:r w:rsidRPr="00C277C0">
        <w:rPr>
          <w:rFonts w:eastAsia="宋体" w:hint="eastAsia"/>
          <w:snapToGrid w:val="0"/>
          <w:lang w:eastAsia="zh-CN"/>
        </w:rPr>
        <w:t>ii</w:t>
      </w:r>
      <w:r w:rsidR="006D76A7" w:rsidRPr="00C277C0">
        <w:rPr>
          <w:rFonts w:eastAsia="宋体" w:hint="eastAsia"/>
          <w:snapToGrid w:val="0"/>
          <w:lang w:eastAsia="zh-CN"/>
        </w:rPr>
        <w:t>）</w:t>
      </w:r>
      <w:r w:rsidRPr="00C277C0">
        <w:rPr>
          <w:rFonts w:eastAsia="宋体" w:hint="eastAsia"/>
          <w:snapToGrid w:val="0"/>
          <w:lang w:eastAsia="zh-CN"/>
        </w:rPr>
        <w:t>）</w:t>
      </w:r>
      <w:r w:rsidR="00375702" w:rsidRPr="00C277C0">
        <w:rPr>
          <w:rFonts w:eastAsia="宋体" w:hint="eastAsia"/>
          <w:snapToGrid w:val="0"/>
          <w:lang w:eastAsia="zh-CN"/>
        </w:rPr>
        <w:t>节</w:t>
      </w:r>
      <w:r w:rsidRPr="00C277C0">
        <w:rPr>
          <w:rFonts w:eastAsia="宋体" w:hint="eastAsia"/>
          <w:snapToGrid w:val="0"/>
          <w:lang w:eastAsia="zh-CN"/>
        </w:rPr>
        <w:t>。如果此类组合产品的组合产品申请人收到一份事件报告，该事件符合</w:t>
      </w:r>
      <w:r w:rsidR="007267DD" w:rsidRPr="00C277C0">
        <w:rPr>
          <w:rFonts w:eastAsia="宋体" w:hint="eastAsia"/>
          <w:snapToGrid w:val="0"/>
          <w:lang w:eastAsia="zh-CN"/>
        </w:rPr>
        <w:t>《美国联邦法规》</w:t>
      </w:r>
      <w:r w:rsidRPr="00C277C0">
        <w:rPr>
          <w:rFonts w:eastAsia="宋体" w:hint="eastAsia"/>
          <w:snapToGrid w:val="0"/>
          <w:lang w:eastAsia="zh-CN"/>
        </w:rPr>
        <w:t>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第</w:t>
      </w:r>
      <w:r w:rsidRPr="00C277C0">
        <w:rPr>
          <w:rFonts w:eastAsia="宋体" w:hint="eastAsia"/>
          <w:snapToGrid w:val="0"/>
          <w:lang w:eastAsia="zh-CN"/>
        </w:rPr>
        <w:t>803</w:t>
      </w:r>
      <w:r w:rsidR="00375702" w:rsidRPr="00C277C0">
        <w:rPr>
          <w:rFonts w:eastAsia="宋体" w:hint="eastAsia"/>
          <w:snapToGrid w:val="0"/>
          <w:lang w:eastAsia="zh-CN"/>
        </w:rPr>
        <w:t>节</w:t>
      </w:r>
      <w:r w:rsidRPr="00C277C0">
        <w:rPr>
          <w:rFonts w:eastAsia="宋体" w:hint="eastAsia"/>
          <w:snapToGrid w:val="0"/>
          <w:lang w:eastAsia="zh-CN"/>
        </w:rPr>
        <w:t>规定的死亡或重伤报告</w:t>
      </w:r>
      <w:r w:rsidR="00B2617F" w:rsidRPr="00C277C0">
        <w:rPr>
          <w:rFonts w:eastAsia="宋体" w:hint="eastAsia"/>
          <w:snapToGrid w:val="0"/>
          <w:lang w:eastAsia="zh-CN"/>
        </w:rPr>
        <w:t>，</w:t>
      </w:r>
      <w:r w:rsidRPr="00C277C0">
        <w:rPr>
          <w:rFonts w:eastAsia="宋体" w:hint="eastAsia"/>
          <w:snapToGrid w:val="0"/>
          <w:lang w:eastAsia="zh-CN"/>
        </w:rPr>
        <w:t>并且因为该事件非预期而作为</w:t>
      </w:r>
      <w:r w:rsidRPr="00C277C0">
        <w:rPr>
          <w:rFonts w:eastAsia="宋体" w:hint="eastAsia"/>
          <w:snapToGrid w:val="0"/>
          <w:lang w:eastAsia="zh-CN"/>
        </w:rPr>
        <w:t>15</w:t>
      </w:r>
      <w:r w:rsidRPr="00C277C0">
        <w:rPr>
          <w:rFonts w:eastAsia="宋体" w:hint="eastAsia"/>
          <w:snapToGrid w:val="0"/>
          <w:lang w:eastAsia="zh-CN"/>
        </w:rPr>
        <w:t>天报告，则组合产品申请人可以在</w:t>
      </w:r>
      <w:r w:rsidRPr="00C277C0">
        <w:rPr>
          <w:rFonts w:eastAsia="宋体" w:hint="eastAsia"/>
          <w:snapToGrid w:val="0"/>
          <w:lang w:eastAsia="zh-CN"/>
        </w:rPr>
        <w:t>30</w:t>
      </w:r>
      <w:r w:rsidRPr="00C277C0">
        <w:rPr>
          <w:rFonts w:eastAsia="宋体" w:hint="eastAsia"/>
          <w:snapToGrid w:val="0"/>
          <w:lang w:eastAsia="zh-CN"/>
        </w:rPr>
        <w:t>个日历日的提交时间表内提交一份确定为死亡或重伤的单一报告并作为</w:t>
      </w:r>
      <w:r w:rsidRPr="00C277C0">
        <w:rPr>
          <w:rFonts w:eastAsia="宋体" w:hint="eastAsia"/>
          <w:snapToGrid w:val="0"/>
          <w:lang w:eastAsia="zh-CN"/>
        </w:rPr>
        <w:t>15</w:t>
      </w:r>
      <w:r w:rsidRPr="00C277C0">
        <w:rPr>
          <w:rFonts w:eastAsia="宋体" w:hint="eastAsia"/>
          <w:snapToGrid w:val="0"/>
          <w:lang w:eastAsia="zh-CN"/>
        </w:rPr>
        <w:t>天报告，来满足这两项报告要求（进一步讨论见下文第</w:t>
      </w:r>
      <w:r w:rsidR="00C8689A" w:rsidRPr="00C277C0">
        <w:rPr>
          <w:rFonts w:eastAsia="宋体" w:hint="eastAsia"/>
          <w:snapToGrid w:val="0"/>
          <w:lang w:eastAsia="zh-CN"/>
        </w:rPr>
        <w:t>IV</w:t>
      </w:r>
      <w:r w:rsidR="00C0232D" w:rsidRPr="00C277C0">
        <w:rPr>
          <w:rFonts w:eastAsia="宋体" w:hint="eastAsia"/>
          <w:snapToGrid w:val="0"/>
          <w:lang w:eastAsia="zh-CN"/>
        </w:rPr>
        <w:t>.</w:t>
      </w:r>
      <w:r w:rsidRPr="00C277C0">
        <w:rPr>
          <w:rFonts w:eastAsia="宋体" w:hint="eastAsia"/>
          <w:snapToGrid w:val="0"/>
          <w:lang w:eastAsia="zh-CN"/>
        </w:rPr>
        <w:t>C</w:t>
      </w:r>
      <w:r w:rsidRPr="00C277C0">
        <w:rPr>
          <w:rFonts w:eastAsia="宋体" w:hint="eastAsia"/>
          <w:snapToGrid w:val="0"/>
          <w:lang w:eastAsia="zh-CN"/>
        </w:rPr>
        <w:t>节和第</w:t>
      </w:r>
      <w:r w:rsidR="00C8689A"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B.2</w:t>
      </w:r>
      <w:r w:rsidRPr="00C277C0">
        <w:rPr>
          <w:rFonts w:eastAsia="宋体" w:hint="eastAsia"/>
          <w:snapToGrid w:val="0"/>
          <w:lang w:eastAsia="zh-CN"/>
        </w:rPr>
        <w:t>节）。</w:t>
      </w:r>
      <w:r w:rsidR="00FE2212" w:rsidRPr="00C277C0">
        <w:rPr>
          <w:rStyle w:val="af4"/>
          <w:rFonts w:eastAsia="宋体" w:hint="eastAsia"/>
          <w:snapToGrid w:val="0"/>
          <w:lang w:eastAsia="zh-CN"/>
        </w:rPr>
        <w:footnoteReference w:id="23"/>
      </w:r>
    </w:p>
    <w:p w:rsidR="00C1273A" w:rsidRPr="00C277C0" w:rsidRDefault="00C1273A" w:rsidP="00B403CB">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同时含有药品和生物制品组成部分的组合产品。</w:t>
      </w:r>
      <w:r w:rsidRPr="00C277C0">
        <w:rPr>
          <w:rFonts w:eastAsia="宋体" w:hint="eastAsia"/>
          <w:snapToGrid w:val="0"/>
          <w:lang w:eastAsia="zh-CN"/>
        </w:rPr>
        <w:t>对于同时含有药品和生物制品组成部分的组合产品，组合产品申请人无需就同一事件提交两份单独的</w:t>
      </w:r>
      <w:r w:rsidRPr="00C277C0">
        <w:rPr>
          <w:rFonts w:eastAsia="宋体" w:hint="eastAsia"/>
          <w:snapToGrid w:val="0"/>
          <w:lang w:eastAsia="zh-CN"/>
        </w:rPr>
        <w:t>15</w:t>
      </w:r>
      <w:r w:rsidRPr="00C277C0">
        <w:rPr>
          <w:rFonts w:eastAsia="宋体" w:hint="eastAsia"/>
          <w:snapToGrid w:val="0"/>
          <w:lang w:eastAsia="zh-CN"/>
        </w:rPr>
        <w:t>天报告。</w:t>
      </w:r>
      <w:r w:rsidRPr="00C277C0">
        <w:rPr>
          <w:rFonts w:eastAsia="宋体" w:hint="eastAsia"/>
          <w:snapToGrid w:val="0"/>
          <w:lang w:eastAsia="zh-CN"/>
        </w:rPr>
        <w:t>15</w:t>
      </w:r>
      <w:r w:rsidRPr="00C277C0">
        <w:rPr>
          <w:rFonts w:eastAsia="宋体" w:hint="eastAsia"/>
          <w:snapToGrid w:val="0"/>
          <w:lang w:eastAsia="zh-CN"/>
        </w:rPr>
        <w:t>天报告要求与</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375702" w:rsidRPr="00C277C0">
        <w:rPr>
          <w:rFonts w:eastAsia="宋体" w:hint="eastAsia"/>
          <w:snapToGrid w:val="0"/>
          <w:lang w:eastAsia="zh-CN"/>
        </w:rPr>
        <w:t>第</w:t>
      </w:r>
      <w:r w:rsidRPr="00C277C0">
        <w:rPr>
          <w:rFonts w:eastAsia="宋体" w:hint="eastAsia"/>
          <w:snapToGrid w:val="0"/>
          <w:lang w:eastAsia="zh-CN"/>
        </w:rPr>
        <w:t>314.80</w:t>
      </w:r>
      <w:r w:rsidRPr="00C277C0">
        <w:rPr>
          <w:rFonts w:eastAsia="宋体" w:hint="eastAsia"/>
          <w:snapToGrid w:val="0"/>
          <w:lang w:eastAsia="zh-CN"/>
        </w:rPr>
        <w:t>和</w:t>
      </w:r>
      <w:r w:rsidRPr="00C277C0">
        <w:rPr>
          <w:rFonts w:eastAsia="宋体" w:hint="eastAsia"/>
          <w:snapToGrid w:val="0"/>
          <w:lang w:eastAsia="zh-CN"/>
        </w:rPr>
        <w:t>600.80</w:t>
      </w:r>
      <w:r w:rsidR="00375702" w:rsidRPr="00C277C0">
        <w:rPr>
          <w:rFonts w:eastAsia="宋体" w:hint="eastAsia"/>
          <w:snapToGrid w:val="0"/>
          <w:lang w:eastAsia="zh-CN"/>
        </w:rPr>
        <w:t>节</w:t>
      </w:r>
      <w:r w:rsidRPr="00C277C0">
        <w:rPr>
          <w:rFonts w:eastAsia="宋体" w:hint="eastAsia"/>
          <w:snapToGrid w:val="0"/>
          <w:lang w:eastAsia="zh-CN"/>
        </w:rPr>
        <w:t>中的要求相同，提交一份包含所需信息的</w:t>
      </w:r>
      <w:r w:rsidRPr="00C277C0">
        <w:rPr>
          <w:rFonts w:eastAsia="宋体" w:hint="eastAsia"/>
          <w:snapToGrid w:val="0"/>
          <w:lang w:eastAsia="zh-CN"/>
        </w:rPr>
        <w:t>15</w:t>
      </w:r>
      <w:r w:rsidRPr="00C277C0">
        <w:rPr>
          <w:rFonts w:eastAsia="宋体" w:hint="eastAsia"/>
          <w:snapToGrid w:val="0"/>
          <w:lang w:eastAsia="zh-CN"/>
        </w:rPr>
        <w:t>天报告</w:t>
      </w:r>
      <w:r w:rsidR="00B5655B" w:rsidRPr="00C277C0">
        <w:rPr>
          <w:rFonts w:eastAsia="宋体" w:hint="eastAsia"/>
          <w:snapToGrid w:val="0"/>
          <w:lang w:eastAsia="zh-CN"/>
        </w:rPr>
        <w:t>即可</w:t>
      </w:r>
      <w:r w:rsidRPr="00C277C0">
        <w:rPr>
          <w:rFonts w:eastAsia="宋体" w:hint="eastAsia"/>
          <w:snapToGrid w:val="0"/>
          <w:lang w:eastAsia="zh-CN"/>
        </w:rPr>
        <w:t>（进一步讨论见下文第</w:t>
      </w:r>
      <w:r w:rsidR="00C8689A" w:rsidRPr="00C277C0">
        <w:rPr>
          <w:rFonts w:eastAsia="宋体" w:hint="eastAsia"/>
          <w:snapToGrid w:val="0"/>
          <w:lang w:eastAsia="zh-CN"/>
        </w:rPr>
        <w:t>IV</w:t>
      </w:r>
      <w:r w:rsidR="00C0232D" w:rsidRPr="00C277C0">
        <w:rPr>
          <w:rFonts w:eastAsia="宋体" w:hint="eastAsia"/>
          <w:snapToGrid w:val="0"/>
          <w:lang w:eastAsia="zh-CN"/>
        </w:rPr>
        <w:t>.</w:t>
      </w:r>
      <w:r w:rsidRPr="00C277C0">
        <w:rPr>
          <w:rFonts w:eastAsia="宋体" w:hint="eastAsia"/>
          <w:snapToGrid w:val="0"/>
          <w:lang w:eastAsia="zh-CN"/>
        </w:rPr>
        <w:t>C</w:t>
      </w:r>
      <w:r w:rsidRPr="00C277C0">
        <w:rPr>
          <w:rFonts w:eastAsia="宋体" w:hint="eastAsia"/>
          <w:snapToGrid w:val="0"/>
          <w:lang w:eastAsia="zh-CN"/>
        </w:rPr>
        <w:t>节和第</w:t>
      </w:r>
      <w:r w:rsidR="00C8689A"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A.3</w:t>
      </w:r>
      <w:r w:rsidRPr="00C277C0">
        <w:rPr>
          <w:rFonts w:eastAsia="宋体" w:hint="eastAsia"/>
          <w:snapToGrid w:val="0"/>
          <w:lang w:eastAsia="zh-CN"/>
        </w:rPr>
        <w:t>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072C5E">
      <w:pPr>
        <w:pStyle w:val="a3"/>
        <w:wordWrap w:val="0"/>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有关药物不良事件报告的</w:t>
      </w:r>
      <w:r w:rsidR="00385690" w:rsidRPr="00C277C0">
        <w:rPr>
          <w:rFonts w:eastAsia="宋体" w:hint="eastAsia"/>
          <w:snapToGrid w:val="0"/>
          <w:lang w:eastAsia="zh-CN"/>
        </w:rPr>
        <w:t>更多</w:t>
      </w:r>
      <w:r w:rsidR="00A961B4" w:rsidRPr="00C277C0">
        <w:rPr>
          <w:rFonts w:eastAsia="宋体" w:hint="eastAsia"/>
          <w:snapToGrid w:val="0"/>
          <w:lang w:eastAsia="zh-CN"/>
        </w:rPr>
        <w:t>信息</w:t>
      </w:r>
      <w:r w:rsidRPr="00C277C0">
        <w:rPr>
          <w:rFonts w:eastAsia="宋体" w:hint="eastAsia"/>
          <w:snapToGrid w:val="0"/>
          <w:lang w:eastAsia="zh-CN"/>
        </w:rPr>
        <w:t>，请访问：</w:t>
      </w:r>
      <w:hyperlink r:id="rId11" w:history="1">
        <w:r w:rsidR="006D76A7" w:rsidRPr="00C277C0">
          <w:rPr>
            <w:rStyle w:val="a9"/>
            <w:rFonts w:eastAsia="宋体" w:hint="eastAsia"/>
            <w:snapToGrid w:val="0"/>
            <w:u w:color="0000FF"/>
            <w:lang w:eastAsia="zh-CN"/>
          </w:rPr>
          <w:t>https://www.fda.gov/drugs/surveillance/postmarketing-surveillance-programs.</w:t>
        </w:r>
      </w:hyperlink>
    </w:p>
    <w:p w:rsidR="006223B4" w:rsidRPr="00B403CB" w:rsidRDefault="006223B4" w:rsidP="00B403CB">
      <w:pPr>
        <w:autoSpaceDE/>
        <w:autoSpaceDN/>
        <w:snapToGrid w:val="0"/>
        <w:jc w:val="both"/>
        <w:rPr>
          <w:rFonts w:eastAsia="宋体"/>
          <w:sz w:val="24"/>
        </w:rPr>
      </w:pPr>
      <w:r w:rsidRPr="00B403CB">
        <w:rPr>
          <w:rFonts w:eastAsia="宋体"/>
          <w:sz w:val="24"/>
        </w:rPr>
        <w:br w:type="page"/>
      </w:r>
    </w:p>
    <w:p w:rsidR="00C1273A" w:rsidRPr="00C277C0" w:rsidRDefault="00097329"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2.</w:t>
      </w:r>
      <w:r w:rsidR="00D246F5" w:rsidRPr="00C277C0">
        <w:rPr>
          <w:rFonts w:hint="eastAsia"/>
          <w:snapToGrid w:val="0"/>
          <w:lang w:eastAsia="zh-CN"/>
        </w:rPr>
        <w:tab/>
      </w:r>
      <w:r w:rsidRPr="00C277C0">
        <w:rPr>
          <w:rFonts w:hint="eastAsia"/>
          <w:snapToGrid w:val="0"/>
          <w:lang w:eastAsia="zh-CN"/>
        </w:rPr>
        <w:t>5</w:t>
      </w:r>
      <w:r w:rsidRPr="00C277C0">
        <w:rPr>
          <w:rFonts w:hint="eastAsia"/>
          <w:snapToGrid w:val="0"/>
          <w:lang w:eastAsia="zh-CN"/>
        </w:rPr>
        <w:t>天报告（</w:t>
      </w:r>
      <w:r w:rsidR="000F115B">
        <w:rPr>
          <w:rFonts w:hint="eastAsia"/>
          <w:snapToGrid w:val="0"/>
          <w:lang w:eastAsia="zh-CN"/>
        </w:rPr>
        <w:t>参</w:t>
      </w:r>
      <w:r w:rsidRPr="00C277C0">
        <w:rPr>
          <w:rFonts w:hint="eastAsia"/>
          <w:snapToGrid w:val="0"/>
          <w:lang w:eastAsia="zh-CN"/>
        </w:rPr>
        <w:t>见</w:t>
      </w:r>
      <w:r w:rsidR="007267DD" w:rsidRPr="00C277C0">
        <w:rPr>
          <w:rFonts w:hint="eastAsia"/>
          <w:snapToGrid w:val="0"/>
          <w:lang w:eastAsia="zh-CN"/>
        </w:rPr>
        <w:t>《美国联邦法规》第</w:t>
      </w:r>
      <w:r w:rsidR="00286DB1">
        <w:rPr>
          <w:rFonts w:hint="eastAsia"/>
          <w:snapToGrid w:val="0"/>
          <w:lang w:eastAsia="zh-CN"/>
        </w:rPr>
        <w:t>21</w:t>
      </w:r>
      <w:r w:rsidR="00286DB1">
        <w:rPr>
          <w:rFonts w:hint="eastAsia"/>
          <w:snapToGrid w:val="0"/>
          <w:lang w:eastAsia="zh-CN"/>
        </w:rPr>
        <w:t>篇</w:t>
      </w:r>
      <w:r w:rsidR="00375702" w:rsidRPr="00C277C0">
        <w:rPr>
          <w:rFonts w:hint="eastAsia"/>
          <w:snapToGrid w:val="0"/>
          <w:lang w:eastAsia="zh-CN"/>
        </w:rPr>
        <w:t>第</w:t>
      </w:r>
      <w:r w:rsidRPr="00C277C0">
        <w:rPr>
          <w:rFonts w:hint="eastAsia"/>
          <w:snapToGrid w:val="0"/>
          <w:lang w:eastAsia="zh-CN"/>
        </w:rPr>
        <w:t>803.3</w:t>
      </w:r>
      <w:r w:rsidRPr="00C277C0">
        <w:rPr>
          <w:rFonts w:hint="eastAsia"/>
          <w:snapToGrid w:val="0"/>
          <w:lang w:eastAsia="zh-CN"/>
        </w:rPr>
        <w:t>、</w:t>
      </w:r>
      <w:r w:rsidRPr="00C277C0">
        <w:rPr>
          <w:rFonts w:hint="eastAsia"/>
          <w:snapToGrid w:val="0"/>
          <w:lang w:eastAsia="zh-CN"/>
        </w:rPr>
        <w:t>803.53</w:t>
      </w:r>
      <w:r w:rsidRPr="00C277C0">
        <w:rPr>
          <w:rFonts w:hint="eastAsia"/>
          <w:snapToGrid w:val="0"/>
          <w:lang w:eastAsia="zh-CN"/>
        </w:rPr>
        <w:t>和</w:t>
      </w:r>
      <w:r w:rsidRPr="00C277C0">
        <w:rPr>
          <w:rFonts w:hint="eastAsia"/>
          <w:snapToGrid w:val="0"/>
          <w:lang w:eastAsia="zh-CN"/>
        </w:rPr>
        <w:t>803.56</w:t>
      </w:r>
      <w:r w:rsidR="00375702" w:rsidRPr="00C277C0">
        <w:rPr>
          <w:rFonts w:hint="eastAsia"/>
          <w:snapToGrid w:val="0"/>
          <w:lang w:eastAsia="zh-CN"/>
        </w:rPr>
        <w:t>节</w:t>
      </w:r>
      <w:r w:rsidRPr="00C277C0">
        <w:rPr>
          <w:rFonts w:hint="eastAsia"/>
          <w:snapToGrid w:val="0"/>
          <w:lang w:eastAsia="zh-CN"/>
        </w:rPr>
        <w:t>）</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5</w:t>
      </w:r>
      <w:r w:rsidRPr="00C277C0">
        <w:rPr>
          <w:rFonts w:eastAsia="宋体" w:hint="eastAsia"/>
          <w:snapToGrid w:val="0"/>
          <w:lang w:eastAsia="zh-CN"/>
        </w:rPr>
        <w:t>天报告要求适用于包含器械组成部分的组合产品（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4.102</w:t>
      </w:r>
      <w:r w:rsidR="006D76A7" w:rsidRPr="00C277C0">
        <w:rPr>
          <w:rFonts w:eastAsia="宋体" w:hint="eastAsia"/>
          <w:snapToGrid w:val="0"/>
          <w:lang w:eastAsia="zh-CN"/>
        </w:rPr>
        <w:t>（</w:t>
      </w:r>
      <w:r w:rsidRPr="00C277C0">
        <w:rPr>
          <w:rFonts w:eastAsia="宋体" w:hint="eastAsia"/>
          <w:snapToGrid w:val="0"/>
          <w:lang w:eastAsia="zh-CN"/>
        </w:rPr>
        <w:t>b</w:t>
      </w:r>
      <w:r w:rsidR="006D76A7" w:rsidRPr="00C277C0">
        <w:rPr>
          <w:rFonts w:eastAsia="宋体" w:hint="eastAsia"/>
          <w:snapToGrid w:val="0"/>
          <w:lang w:eastAsia="zh-CN"/>
        </w:rPr>
        <w:t>）（</w:t>
      </w:r>
      <w:r w:rsidRPr="00C277C0">
        <w:rPr>
          <w:rFonts w:eastAsia="宋体" w:hint="eastAsia"/>
          <w:snapToGrid w:val="0"/>
          <w:lang w:eastAsia="zh-CN"/>
        </w:rPr>
        <w:t>1</w:t>
      </w:r>
      <w:r w:rsidR="006D76A7"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4.102</w:t>
      </w:r>
      <w:r w:rsidR="006D76A7" w:rsidRPr="00C277C0">
        <w:rPr>
          <w:rFonts w:eastAsia="宋体" w:hint="eastAsia"/>
          <w:snapToGrid w:val="0"/>
          <w:lang w:eastAsia="zh-CN"/>
        </w:rPr>
        <w:t>（</w:t>
      </w:r>
      <w:r w:rsidRPr="00C277C0">
        <w:rPr>
          <w:rFonts w:eastAsia="宋体" w:hint="eastAsia"/>
          <w:snapToGrid w:val="0"/>
          <w:lang w:eastAsia="zh-CN"/>
        </w:rPr>
        <w:t>c</w:t>
      </w:r>
      <w:r w:rsidR="006D76A7" w:rsidRPr="00C277C0">
        <w:rPr>
          <w:rFonts w:eastAsia="宋体" w:hint="eastAsia"/>
          <w:snapToGrid w:val="0"/>
          <w:lang w:eastAsia="zh-CN"/>
        </w:rPr>
        <w:t>）（</w:t>
      </w:r>
      <w:r w:rsidRPr="00C277C0">
        <w:rPr>
          <w:rFonts w:eastAsia="宋体" w:hint="eastAsia"/>
          <w:snapToGrid w:val="0"/>
          <w:lang w:eastAsia="zh-CN"/>
        </w:rPr>
        <w:t>1</w:t>
      </w:r>
      <w:r w:rsidR="006D76A7" w:rsidRPr="00C277C0">
        <w:rPr>
          <w:rFonts w:eastAsia="宋体" w:hint="eastAsia"/>
          <w:snapToGrid w:val="0"/>
          <w:lang w:eastAsia="zh-CN"/>
        </w:rPr>
        <w:t>）（</w:t>
      </w:r>
      <w:r w:rsidRPr="00C277C0">
        <w:rPr>
          <w:rFonts w:eastAsia="宋体" w:hint="eastAsia"/>
          <w:snapToGrid w:val="0"/>
          <w:lang w:eastAsia="zh-CN"/>
        </w:rPr>
        <w:t>i</w:t>
      </w:r>
      <w:r w:rsidR="006D76A7" w:rsidRPr="00C277C0">
        <w:rPr>
          <w:rFonts w:eastAsia="宋体" w:hint="eastAsia"/>
          <w:snapToGrid w:val="0"/>
          <w:lang w:eastAsia="zh-CN"/>
        </w:rPr>
        <w:t>）</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此类组合产品的组合产品申请人必须在组合产品申请人获知</w:t>
      </w:r>
      <w:r w:rsidR="00FE2212" w:rsidRPr="00C277C0">
        <w:rPr>
          <w:rStyle w:val="af4"/>
          <w:rFonts w:eastAsia="宋体" w:hint="eastAsia"/>
          <w:snapToGrid w:val="0"/>
          <w:lang w:eastAsia="zh-CN"/>
        </w:rPr>
        <w:footnoteReference w:id="24"/>
      </w:r>
      <w:r w:rsidRPr="00C277C0">
        <w:rPr>
          <w:rFonts w:eastAsia="宋体" w:hint="eastAsia"/>
          <w:snapToGrid w:val="0"/>
          <w:lang w:eastAsia="zh-CN"/>
        </w:rPr>
        <w:t>以下情况之日起五个工作日内提交五天报告：</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14"/>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组合产品的可报告事件</w:t>
      </w:r>
      <w:r w:rsidR="006D76A7" w:rsidRPr="00B403CB">
        <w:rPr>
          <w:rFonts w:ascii="宋体" w:eastAsia="宋体" w:hAnsi="宋体" w:hint="eastAsia"/>
          <w:sz w:val="24"/>
          <w:lang w:eastAsia="zh-CN"/>
        </w:rPr>
        <w:t>“</w:t>
      </w:r>
      <w:r w:rsidRPr="00C277C0">
        <w:rPr>
          <w:rFonts w:eastAsia="宋体" w:hint="eastAsia"/>
          <w:snapToGrid w:val="0"/>
          <w:sz w:val="24"/>
          <w:szCs w:val="24"/>
          <w:lang w:eastAsia="zh-CN"/>
        </w:rPr>
        <w:t>需要采取补救措施以防止对公众健康造成重大伤害的不合理风险</w:t>
      </w:r>
      <w:r w:rsidR="006D76A7" w:rsidRPr="00B403CB">
        <w:rPr>
          <w:rFonts w:ascii="宋体" w:eastAsia="宋体" w:hAnsi="宋体" w:hint="eastAsia"/>
          <w:sz w:val="24"/>
          <w:lang w:eastAsia="zh-CN"/>
        </w:rPr>
        <w:t>”</w:t>
      </w:r>
      <w:r w:rsidRPr="00C277C0">
        <w:rPr>
          <w:rFonts w:eastAsia="宋体" w:hint="eastAsia"/>
          <w:snapToGrid w:val="0"/>
          <w:sz w:val="24"/>
          <w:szCs w:val="24"/>
          <w:lang w:eastAsia="zh-CN"/>
        </w:rPr>
        <w:t>，或者</w:t>
      </w:r>
    </w:p>
    <w:p w:rsidR="00C1273A" w:rsidRPr="00C277C0" w:rsidRDefault="00C1273A" w:rsidP="00072C5E">
      <w:pPr>
        <w:pStyle w:val="a4"/>
        <w:autoSpaceDE/>
        <w:autoSpaceDN/>
        <w:snapToGrid w:val="0"/>
        <w:ind w:left="920" w:firstLine="0"/>
        <w:jc w:val="both"/>
        <w:rPr>
          <w:rFonts w:eastAsia="宋体"/>
          <w:snapToGrid w:val="0"/>
          <w:sz w:val="24"/>
          <w:szCs w:val="24"/>
          <w:lang w:eastAsia="zh-CN"/>
        </w:rPr>
      </w:pPr>
    </w:p>
    <w:p w:rsidR="00C1273A" w:rsidRPr="00C277C0" w:rsidRDefault="000F115B" w:rsidP="00072C5E">
      <w:pPr>
        <w:pStyle w:val="a4"/>
        <w:numPr>
          <w:ilvl w:val="0"/>
          <w:numId w:val="14"/>
        </w:numPr>
        <w:tabs>
          <w:tab w:val="left" w:pos="911"/>
        </w:tabs>
        <w:autoSpaceDE/>
        <w:autoSpaceDN/>
        <w:snapToGrid w:val="0"/>
        <w:ind w:leftChars="200" w:left="920" w:hangingChars="200" w:hanging="480"/>
        <w:jc w:val="both"/>
        <w:rPr>
          <w:rFonts w:eastAsia="宋体"/>
          <w:snapToGrid w:val="0"/>
          <w:sz w:val="24"/>
          <w:szCs w:val="24"/>
          <w:lang w:eastAsia="zh-CN"/>
        </w:rPr>
      </w:pPr>
      <w:r>
        <w:rPr>
          <w:rFonts w:eastAsia="宋体" w:hint="eastAsia"/>
          <w:snapToGrid w:val="0"/>
          <w:sz w:val="24"/>
          <w:szCs w:val="24"/>
          <w:lang w:eastAsia="zh-CN"/>
        </w:rPr>
        <w:t>本机构</w:t>
      </w:r>
      <w:r w:rsidR="00097329"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FDA</w:t>
      </w:r>
      <w:r w:rsidR="00097329" w:rsidRPr="00C277C0">
        <w:rPr>
          <w:rFonts w:eastAsia="宋体" w:hint="eastAsia"/>
          <w:snapToGrid w:val="0"/>
          <w:sz w:val="24"/>
          <w:szCs w:val="24"/>
          <w:lang w:eastAsia="zh-CN"/>
        </w:rPr>
        <w:t>）</w:t>
      </w:r>
      <w:r w:rsidR="006D76A7" w:rsidRPr="00B403CB">
        <w:rPr>
          <w:rFonts w:ascii="宋体" w:eastAsia="宋体" w:hAnsi="宋体" w:hint="eastAsia"/>
          <w:sz w:val="24"/>
          <w:lang w:eastAsia="zh-CN"/>
        </w:rPr>
        <w:t>“</w:t>
      </w:r>
      <w:r w:rsidR="00097329" w:rsidRPr="00C277C0">
        <w:rPr>
          <w:rFonts w:eastAsia="宋体" w:hint="eastAsia"/>
          <w:snapToGrid w:val="0"/>
          <w:sz w:val="24"/>
          <w:szCs w:val="24"/>
          <w:lang w:eastAsia="zh-CN"/>
        </w:rPr>
        <w:t>已书面要求提交</w:t>
      </w:r>
      <w:r w:rsidR="006D76A7"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5</w:t>
      </w:r>
      <w:r w:rsidR="00097329" w:rsidRPr="00C277C0">
        <w:rPr>
          <w:rFonts w:eastAsia="宋体" w:hint="eastAsia"/>
          <w:snapToGrid w:val="0"/>
          <w:sz w:val="24"/>
          <w:szCs w:val="24"/>
          <w:lang w:eastAsia="zh-CN"/>
        </w:rPr>
        <w:t>天</w:t>
      </w:r>
      <w:r w:rsidR="006D76A7"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报告</w:t>
      </w:r>
      <w:r w:rsidR="006D76A7" w:rsidRPr="00B403CB">
        <w:rPr>
          <w:rFonts w:ascii="宋体" w:eastAsia="宋体" w:hAnsi="宋体" w:hint="eastAsia"/>
          <w:sz w:val="24"/>
          <w:lang w:eastAsia="zh-CN"/>
        </w:rPr>
        <w:t>”</w:t>
      </w:r>
      <w:r w:rsidR="00097329" w:rsidRPr="00C277C0">
        <w:rPr>
          <w:rFonts w:eastAsia="宋体" w:hint="eastAsia"/>
          <w:snapToGrid w:val="0"/>
          <w:sz w:val="24"/>
          <w:szCs w:val="24"/>
          <w:lang w:eastAsia="zh-CN"/>
        </w:rPr>
        <w:t>（</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FC6B22" w:rsidRPr="00C277C0">
        <w:rPr>
          <w:rFonts w:eastAsia="宋体" w:hint="eastAsia"/>
          <w:snapToGrid w:val="0"/>
          <w:sz w:val="24"/>
          <w:szCs w:val="24"/>
          <w:lang w:eastAsia="zh-CN"/>
        </w:rPr>
        <w:t>第</w:t>
      </w:r>
      <w:r w:rsidR="00097329" w:rsidRPr="00C277C0">
        <w:rPr>
          <w:rFonts w:eastAsia="宋体" w:hint="eastAsia"/>
          <w:snapToGrid w:val="0"/>
          <w:sz w:val="24"/>
          <w:szCs w:val="24"/>
          <w:lang w:eastAsia="zh-CN"/>
        </w:rPr>
        <w:t>803.53</w:t>
      </w:r>
      <w:r w:rsidR="00FC6B22" w:rsidRPr="00C277C0">
        <w:rPr>
          <w:rFonts w:eastAsia="宋体" w:hint="eastAsia"/>
          <w:snapToGrid w:val="0"/>
          <w:sz w:val="24"/>
          <w:szCs w:val="24"/>
          <w:lang w:eastAsia="zh-CN"/>
        </w:rPr>
        <w:t>节</w:t>
      </w:r>
      <w:r w:rsidR="00097329" w:rsidRPr="00C277C0">
        <w:rPr>
          <w:rFonts w:eastAsia="宋体" w:hint="eastAsia"/>
          <w:snapToGrid w:val="0"/>
          <w:sz w:val="24"/>
          <w:szCs w:val="24"/>
          <w:lang w:eastAsia="zh-CN"/>
        </w:rPr>
        <w:t>）。</w:t>
      </w:r>
    </w:p>
    <w:p w:rsidR="00C1273A" w:rsidRPr="00C277C0" w:rsidRDefault="00C1273A" w:rsidP="00B403CB">
      <w:pPr>
        <w:pStyle w:val="a4"/>
        <w:autoSpaceDE/>
        <w:autoSpaceDN/>
        <w:snapToGrid w:val="0"/>
        <w:ind w:left="920" w:firstLine="0"/>
        <w:jc w:val="both"/>
        <w:rPr>
          <w:rFonts w:eastAsia="宋体"/>
          <w:snapToGrid w:val="0"/>
          <w:sz w:val="24"/>
          <w:szCs w:val="24"/>
          <w:lang w:eastAsia="zh-CN"/>
        </w:rPr>
      </w:pPr>
    </w:p>
    <w:p w:rsidR="00C1273A" w:rsidRPr="00C277C0" w:rsidRDefault="00097329" w:rsidP="00FA5CED">
      <w:pPr>
        <w:pStyle w:val="a3"/>
        <w:tabs>
          <w:tab w:val="left" w:pos="911"/>
        </w:tabs>
        <w:autoSpaceDE/>
        <w:autoSpaceDN/>
        <w:snapToGrid w:val="0"/>
        <w:ind w:leftChars="400" w:left="880" w:firstLineChars="200" w:firstLine="480"/>
        <w:jc w:val="both"/>
        <w:rPr>
          <w:rFonts w:eastAsia="宋体"/>
          <w:snapToGrid w:val="0"/>
          <w:lang w:eastAsia="zh-CN"/>
        </w:rPr>
      </w:pPr>
      <w:r w:rsidRPr="00C277C0">
        <w:rPr>
          <w:rFonts w:eastAsia="宋体" w:hint="eastAsia"/>
          <w:snapToGrid w:val="0"/>
          <w:u w:val="single"/>
          <w:lang w:eastAsia="zh-CN"/>
        </w:rPr>
        <w:t>补救措施</w:t>
      </w:r>
      <w:r w:rsidRPr="00C277C0">
        <w:rPr>
          <w:rFonts w:eastAsia="宋体" w:hint="eastAsia"/>
          <w:snapToGrid w:val="0"/>
          <w:lang w:eastAsia="zh-CN"/>
        </w:rPr>
        <w:t>包括</w:t>
      </w:r>
      <w:r w:rsidR="00CF4633" w:rsidRPr="00B403CB">
        <w:rPr>
          <w:rFonts w:ascii="宋体" w:eastAsia="宋体" w:hAnsi="宋体" w:hint="eastAsia"/>
          <w:lang w:eastAsia="zh-CN"/>
        </w:rPr>
        <w:t>“</w:t>
      </w:r>
      <w:r w:rsidR="00CF4633" w:rsidRPr="00C277C0">
        <w:rPr>
          <w:rFonts w:eastAsia="宋体" w:hint="eastAsia"/>
          <w:snapToGrid w:val="0"/>
          <w:lang w:eastAsia="zh-CN"/>
        </w:rPr>
        <w:t>除日常维护或维修以外的任何措施……如果此类措施是防止可报告事件再次发生的必要措施</w:t>
      </w:r>
      <w:r w:rsidR="00CF4633" w:rsidRPr="00B403CB">
        <w:rPr>
          <w:rFonts w:ascii="宋体" w:eastAsia="宋体" w:hAnsi="宋体" w:hint="eastAsia"/>
          <w:lang w:eastAsia="zh-CN"/>
        </w:rPr>
        <w:t>”</w:t>
      </w:r>
      <w:r w:rsidRPr="00C277C0">
        <w:rPr>
          <w:rFonts w:eastAsia="宋体" w:hint="eastAsia"/>
          <w:snapToGrid w:val="0"/>
          <w:lang w:eastAsia="zh-CN"/>
        </w:rPr>
        <w:t>（</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Pr="00C277C0">
        <w:rPr>
          <w:rFonts w:eastAsia="宋体" w:hint="eastAsia"/>
          <w:snapToGrid w:val="0"/>
          <w:lang w:eastAsia="zh-CN"/>
        </w:rPr>
        <w:t>803.3</w:t>
      </w:r>
      <w:r w:rsidR="006D76A7" w:rsidRPr="00C277C0">
        <w:rPr>
          <w:rFonts w:eastAsia="宋体" w:hint="eastAsia"/>
          <w:snapToGrid w:val="0"/>
          <w:lang w:eastAsia="zh-CN"/>
        </w:rPr>
        <w:t>（</w:t>
      </w:r>
      <w:r w:rsidRPr="00C277C0">
        <w:rPr>
          <w:rFonts w:eastAsia="宋体" w:hint="eastAsia"/>
          <w:snapToGrid w:val="0"/>
          <w:lang w:eastAsia="zh-CN"/>
        </w:rPr>
        <w:t>v</w:t>
      </w:r>
      <w:r w:rsidR="006D76A7" w:rsidRPr="00C277C0">
        <w:rPr>
          <w:rFonts w:eastAsia="宋体" w:hint="eastAsia"/>
          <w:snapToGrid w:val="0"/>
          <w:lang w:eastAsia="zh-CN"/>
        </w:rPr>
        <w:t>）</w:t>
      </w:r>
      <w:r w:rsidR="00FC6B22"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B403CB">
      <w:pPr>
        <w:pStyle w:val="a3"/>
        <w:autoSpaceDE/>
        <w:autoSpaceDN/>
        <w:snapToGrid w:val="0"/>
        <w:ind w:leftChars="400" w:left="8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例如，以下情形需要</w:t>
      </w:r>
      <w:r w:rsidRPr="00C277C0">
        <w:rPr>
          <w:rFonts w:eastAsia="宋体" w:hint="eastAsia"/>
          <w:snapToGrid w:val="0"/>
          <w:lang w:eastAsia="zh-CN"/>
        </w:rPr>
        <w:t>5</w:t>
      </w:r>
      <w:r w:rsidRPr="00C277C0">
        <w:rPr>
          <w:rFonts w:eastAsia="宋体" w:hint="eastAsia"/>
          <w:snapToGrid w:val="0"/>
          <w:lang w:eastAsia="zh-CN"/>
        </w:rPr>
        <w:t>天报告。根据</w:t>
      </w:r>
      <w:r w:rsidRPr="00C277C0">
        <w:rPr>
          <w:rFonts w:eastAsia="宋体" w:hint="eastAsia"/>
          <w:snapToGrid w:val="0"/>
          <w:lang w:eastAsia="zh-CN"/>
        </w:rPr>
        <w:t>NDA</w:t>
      </w:r>
      <w:r w:rsidRPr="00C277C0">
        <w:rPr>
          <w:rFonts w:eastAsia="宋体" w:hint="eastAsia"/>
          <w:snapToGrid w:val="0"/>
          <w:lang w:eastAsia="zh-CN"/>
        </w:rPr>
        <w:t>批准的预充式救援吸入器的申请人确定可报告不良事件是由设计缺陷引起，该缺陷导致吸入器致动器</w:t>
      </w:r>
      <w:r w:rsidR="001678EC" w:rsidRPr="00C277C0">
        <w:rPr>
          <w:rFonts w:eastAsia="宋体" w:hint="eastAsia"/>
          <w:snapToGrid w:val="0"/>
          <w:lang w:eastAsia="zh-CN"/>
        </w:rPr>
        <w:t>失效</w:t>
      </w:r>
      <w:r w:rsidRPr="00C277C0">
        <w:rPr>
          <w:rFonts w:eastAsia="宋体" w:hint="eastAsia"/>
          <w:snapToGrid w:val="0"/>
          <w:lang w:eastAsia="zh-CN"/>
        </w:rPr>
        <w:t>且药物无法递送。已知现场产品存在设计缺陷，且现场产品可能会以相同方式</w:t>
      </w:r>
      <w:r w:rsidR="001678EC" w:rsidRPr="00C277C0">
        <w:rPr>
          <w:rFonts w:eastAsia="宋体" w:hint="eastAsia"/>
          <w:snapToGrid w:val="0"/>
          <w:lang w:eastAsia="zh-CN"/>
        </w:rPr>
        <w:t>失效</w:t>
      </w:r>
      <w:r w:rsidR="00FA2406" w:rsidRPr="00C277C0">
        <w:rPr>
          <w:rFonts w:eastAsia="宋体" w:hint="eastAsia"/>
          <w:snapToGrid w:val="0"/>
          <w:lang w:eastAsia="zh-CN"/>
        </w:rPr>
        <w:t>并</w:t>
      </w:r>
      <w:r w:rsidRPr="00C277C0">
        <w:rPr>
          <w:rFonts w:eastAsia="宋体" w:hint="eastAsia"/>
          <w:snapToGrid w:val="0"/>
          <w:lang w:eastAsia="zh-CN"/>
        </w:rPr>
        <w:t>可能导致危及生命的伤害或死亡（对公众健康造成重大伤害的不合理风险）。</w:t>
      </w:r>
      <w:r w:rsidR="00FC6B22" w:rsidRPr="00C277C0">
        <w:rPr>
          <w:rFonts w:eastAsia="宋体" w:hint="eastAsia"/>
          <w:snapToGrid w:val="0"/>
          <w:lang w:eastAsia="zh-CN"/>
        </w:rPr>
        <w:t>在</w:t>
      </w:r>
      <w:r w:rsidRPr="00C277C0">
        <w:rPr>
          <w:rFonts w:eastAsia="宋体" w:hint="eastAsia"/>
          <w:snapToGrid w:val="0"/>
          <w:lang w:eastAsia="zh-CN"/>
        </w:rPr>
        <w:t>申请人确定有必要在设计更正前将产品撤市</w:t>
      </w:r>
      <w:r w:rsidR="00FC6B22" w:rsidRPr="00C277C0">
        <w:rPr>
          <w:rFonts w:eastAsia="宋体" w:hint="eastAsia"/>
          <w:snapToGrid w:val="0"/>
          <w:lang w:eastAsia="zh-CN"/>
        </w:rPr>
        <w:t>后</w:t>
      </w:r>
      <w:r w:rsidRPr="00C277C0">
        <w:rPr>
          <w:rFonts w:eastAsia="宋体" w:hint="eastAsia"/>
          <w:snapToGrid w:val="0"/>
          <w:lang w:eastAsia="zh-CN"/>
        </w:rPr>
        <w:t>（即，获知有必要采取补救措施以防止对公众健康造成重大伤害的不合理风险），其必须在</w:t>
      </w:r>
      <w:r w:rsidRPr="00C277C0">
        <w:rPr>
          <w:rFonts w:eastAsia="宋体" w:hint="eastAsia"/>
          <w:snapToGrid w:val="0"/>
          <w:lang w:eastAsia="zh-CN"/>
        </w:rPr>
        <w:t>5</w:t>
      </w:r>
      <w:r w:rsidRPr="00C277C0">
        <w:rPr>
          <w:rFonts w:eastAsia="宋体" w:hint="eastAsia"/>
          <w:snapToGrid w:val="0"/>
          <w:lang w:eastAsia="zh-CN"/>
        </w:rPr>
        <w:t>个工作日内提交报告（</w:t>
      </w:r>
      <w:r w:rsidR="00CD13F3">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Pr="00C277C0">
        <w:rPr>
          <w:rFonts w:eastAsia="宋体" w:hint="eastAsia"/>
          <w:snapToGrid w:val="0"/>
          <w:lang w:eastAsia="zh-CN"/>
        </w:rPr>
        <w:t>803.53</w:t>
      </w:r>
      <w:r w:rsidR="00FC6B22"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同样，如果根据</w:t>
      </w:r>
      <w:r w:rsidRPr="00C277C0">
        <w:rPr>
          <w:rFonts w:eastAsia="宋体" w:hint="eastAsia"/>
          <w:snapToGrid w:val="0"/>
          <w:lang w:eastAsia="zh-CN"/>
        </w:rPr>
        <w:t>PMA</w:t>
      </w:r>
      <w:r w:rsidRPr="00C277C0">
        <w:rPr>
          <w:rFonts w:eastAsia="宋体" w:hint="eastAsia"/>
          <w:snapToGrid w:val="0"/>
          <w:lang w:eastAsia="zh-CN"/>
        </w:rPr>
        <w:t>批准的药物涂层导管的申请人确定导管断裂造成的重伤是粘接工艺的生产问题所致，并决定从市场上移除受影响的产品批次（以防止对公众健康造成重大伤害的不合理风险），则需要根据</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Pr="00C277C0">
        <w:rPr>
          <w:rFonts w:eastAsia="宋体" w:hint="eastAsia"/>
          <w:snapToGrid w:val="0"/>
          <w:lang w:eastAsia="zh-CN"/>
        </w:rPr>
        <w:t>803.53</w:t>
      </w:r>
      <w:r w:rsidR="00FC6B22" w:rsidRPr="00C277C0">
        <w:rPr>
          <w:rFonts w:eastAsia="宋体" w:hint="eastAsia"/>
          <w:snapToGrid w:val="0"/>
          <w:lang w:eastAsia="zh-CN"/>
        </w:rPr>
        <w:t>节</w:t>
      </w:r>
      <w:r w:rsidRPr="00C277C0">
        <w:rPr>
          <w:rFonts w:eastAsia="宋体" w:hint="eastAsia"/>
          <w:snapToGrid w:val="0"/>
          <w:lang w:eastAsia="zh-CN"/>
        </w:rPr>
        <w:t>提交</w:t>
      </w:r>
      <w:r w:rsidRPr="00C277C0">
        <w:rPr>
          <w:rFonts w:eastAsia="宋体" w:hint="eastAsia"/>
          <w:snapToGrid w:val="0"/>
          <w:lang w:eastAsia="zh-CN"/>
        </w:rPr>
        <w:t>5</w:t>
      </w:r>
      <w:r w:rsidRPr="00C277C0">
        <w:rPr>
          <w:rFonts w:eastAsia="宋体" w:hint="eastAsia"/>
          <w:snapToGrid w:val="0"/>
          <w:lang w:eastAsia="zh-CN"/>
        </w:rPr>
        <w:t>天报告。</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对于这两个例子，申请人还必须报告移除</w:t>
      </w:r>
      <w:r w:rsidR="00EA050B" w:rsidRPr="00C277C0">
        <w:rPr>
          <w:rFonts w:eastAsia="宋体" w:hint="eastAsia"/>
          <w:snapToGrid w:val="0"/>
          <w:lang w:eastAsia="zh-CN"/>
        </w:rPr>
        <w:t>措施</w:t>
      </w:r>
      <w:r w:rsidRPr="00C277C0">
        <w:rPr>
          <w:rFonts w:eastAsia="宋体" w:hint="eastAsia"/>
          <w:snapToGrid w:val="0"/>
          <w:lang w:eastAsia="zh-CN"/>
        </w:rPr>
        <w:t>（</w:t>
      </w:r>
      <w:r w:rsidR="00236A4C">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Pr="00C277C0">
        <w:rPr>
          <w:rFonts w:eastAsia="宋体" w:hint="eastAsia"/>
          <w:snapToGrid w:val="0"/>
          <w:lang w:eastAsia="zh-CN"/>
        </w:rPr>
        <w:t>4.102</w:t>
      </w:r>
      <w:r w:rsidR="006D76A7" w:rsidRPr="00C277C0">
        <w:rPr>
          <w:rFonts w:eastAsia="宋体" w:hint="eastAsia"/>
          <w:snapToGrid w:val="0"/>
          <w:lang w:eastAsia="zh-CN"/>
        </w:rPr>
        <w:t>（</w:t>
      </w:r>
      <w:r w:rsidRPr="00C277C0">
        <w:rPr>
          <w:rFonts w:eastAsia="宋体" w:hint="eastAsia"/>
          <w:snapToGrid w:val="0"/>
          <w:lang w:eastAsia="zh-CN"/>
        </w:rPr>
        <w:t>b</w:t>
      </w:r>
      <w:r w:rsidR="006D76A7" w:rsidRPr="00C277C0">
        <w:rPr>
          <w:rFonts w:eastAsia="宋体" w:hint="eastAsia"/>
          <w:snapToGrid w:val="0"/>
          <w:lang w:eastAsia="zh-CN"/>
        </w:rPr>
        <w:t>）（</w:t>
      </w:r>
      <w:r w:rsidRPr="00C277C0">
        <w:rPr>
          <w:rFonts w:eastAsia="宋体" w:hint="eastAsia"/>
          <w:snapToGrid w:val="0"/>
          <w:lang w:eastAsia="zh-CN"/>
        </w:rPr>
        <w:t>1</w:t>
      </w:r>
      <w:r w:rsidR="006D76A7" w:rsidRPr="00C277C0">
        <w:rPr>
          <w:rFonts w:eastAsia="宋体" w:hint="eastAsia"/>
          <w:snapToGrid w:val="0"/>
          <w:lang w:eastAsia="zh-CN"/>
        </w:rPr>
        <w:t>）</w:t>
      </w:r>
      <w:r w:rsidRPr="00C277C0">
        <w:rPr>
          <w:rFonts w:eastAsia="宋体" w:hint="eastAsia"/>
          <w:snapToGrid w:val="0"/>
          <w:lang w:eastAsia="zh-CN"/>
        </w:rPr>
        <w:t>、</w:t>
      </w:r>
      <w:r w:rsidR="006D76A7" w:rsidRPr="00C277C0">
        <w:rPr>
          <w:rFonts w:eastAsia="宋体" w:hint="eastAsia"/>
          <w:snapToGrid w:val="0"/>
          <w:lang w:eastAsia="zh-CN"/>
        </w:rPr>
        <w:t>（</w:t>
      </w:r>
      <w:r w:rsidRPr="00C277C0">
        <w:rPr>
          <w:rFonts w:eastAsia="宋体" w:hint="eastAsia"/>
          <w:snapToGrid w:val="0"/>
          <w:lang w:eastAsia="zh-CN"/>
        </w:rPr>
        <w:t>c</w:t>
      </w:r>
      <w:r w:rsidR="006D76A7" w:rsidRPr="00C277C0">
        <w:rPr>
          <w:rFonts w:eastAsia="宋体" w:hint="eastAsia"/>
          <w:snapToGrid w:val="0"/>
          <w:lang w:eastAsia="zh-CN"/>
        </w:rPr>
        <w:t>）（</w:t>
      </w:r>
      <w:r w:rsidRPr="00C277C0">
        <w:rPr>
          <w:rFonts w:eastAsia="宋体" w:hint="eastAsia"/>
          <w:snapToGrid w:val="0"/>
          <w:lang w:eastAsia="zh-CN"/>
        </w:rPr>
        <w:t>1</w:t>
      </w:r>
      <w:r w:rsidR="006D76A7" w:rsidRPr="00C277C0">
        <w:rPr>
          <w:rFonts w:eastAsia="宋体" w:hint="eastAsia"/>
          <w:snapToGrid w:val="0"/>
          <w:lang w:eastAsia="zh-CN"/>
        </w:rPr>
        <w:t>）（</w:t>
      </w:r>
      <w:r w:rsidRPr="00C277C0">
        <w:rPr>
          <w:rFonts w:eastAsia="宋体" w:hint="eastAsia"/>
          <w:snapToGrid w:val="0"/>
          <w:lang w:eastAsia="zh-CN"/>
        </w:rPr>
        <w:t>iii</w:t>
      </w:r>
      <w:r w:rsidR="006D76A7" w:rsidRPr="00C277C0">
        <w:rPr>
          <w:rFonts w:eastAsia="宋体" w:hint="eastAsia"/>
          <w:snapToGrid w:val="0"/>
          <w:lang w:eastAsia="zh-CN"/>
        </w:rPr>
        <w:t>）</w:t>
      </w:r>
      <w:r w:rsidR="00FC6B22" w:rsidRPr="00C277C0">
        <w:rPr>
          <w:rFonts w:eastAsia="宋体" w:hint="eastAsia"/>
          <w:snapToGrid w:val="0"/>
          <w:lang w:eastAsia="zh-CN"/>
        </w:rPr>
        <w:t>节</w:t>
      </w:r>
      <w:r w:rsidRPr="00C277C0">
        <w:rPr>
          <w:rFonts w:eastAsia="宋体" w:hint="eastAsia"/>
          <w:snapToGrid w:val="0"/>
          <w:lang w:eastAsia="zh-CN"/>
        </w:rPr>
        <w:t>和</w:t>
      </w:r>
      <w:r w:rsidR="007267DD" w:rsidRPr="00C277C0">
        <w:rPr>
          <w:rFonts w:eastAsia="宋体" w:hint="eastAsia"/>
          <w:snapToGrid w:val="0"/>
          <w:lang w:eastAsia="zh-CN"/>
        </w:rPr>
        <w:t>《美国联邦法规》</w:t>
      </w:r>
      <w:r w:rsidRPr="00C277C0">
        <w:rPr>
          <w:rFonts w:eastAsia="宋体" w:hint="eastAsia"/>
          <w:snapToGrid w:val="0"/>
          <w:lang w:eastAsia="zh-CN"/>
        </w:rPr>
        <w:t>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第</w:t>
      </w:r>
      <w:r w:rsidRPr="00C277C0">
        <w:rPr>
          <w:rFonts w:eastAsia="宋体" w:hint="eastAsia"/>
          <w:snapToGrid w:val="0"/>
          <w:lang w:eastAsia="zh-CN"/>
        </w:rPr>
        <w:t>806</w:t>
      </w:r>
      <w:r w:rsidR="00FC6B22" w:rsidRPr="00C277C0">
        <w:rPr>
          <w:rFonts w:eastAsia="宋体" w:hint="eastAsia"/>
          <w:snapToGrid w:val="0"/>
          <w:lang w:eastAsia="zh-CN"/>
        </w:rPr>
        <w:t>节</w:t>
      </w:r>
      <w:r w:rsidRPr="00C277C0">
        <w:rPr>
          <w:rFonts w:eastAsia="宋体" w:hint="eastAsia"/>
          <w:snapToGrid w:val="0"/>
          <w:lang w:eastAsia="zh-CN"/>
        </w:rPr>
        <w:t>），并可以作为</w:t>
      </w:r>
      <w:r w:rsidRPr="00C277C0">
        <w:rPr>
          <w:rFonts w:eastAsia="宋体" w:hint="eastAsia"/>
          <w:snapToGrid w:val="0"/>
          <w:lang w:eastAsia="zh-CN"/>
        </w:rPr>
        <w:t>5</w:t>
      </w:r>
      <w:r w:rsidRPr="00C277C0">
        <w:rPr>
          <w:rFonts w:eastAsia="宋体" w:hint="eastAsia"/>
          <w:snapToGrid w:val="0"/>
          <w:lang w:eastAsia="zh-CN"/>
        </w:rPr>
        <w:t>天报告的一部分进行报告（关于更正和移除报告以及用</w:t>
      </w:r>
      <w:r w:rsidRPr="00C277C0">
        <w:rPr>
          <w:rFonts w:eastAsia="宋体" w:hint="eastAsia"/>
          <w:snapToGrid w:val="0"/>
          <w:lang w:eastAsia="zh-CN"/>
        </w:rPr>
        <w:t>5</w:t>
      </w:r>
      <w:r w:rsidRPr="00C277C0">
        <w:rPr>
          <w:rFonts w:eastAsia="宋体" w:hint="eastAsia"/>
          <w:snapToGrid w:val="0"/>
          <w:lang w:eastAsia="zh-CN"/>
        </w:rPr>
        <w:t>天报告简化这些报告的更多讨论，请</w:t>
      </w:r>
      <w:r w:rsidR="00A00C22">
        <w:rPr>
          <w:rFonts w:eastAsia="宋体" w:hint="eastAsia"/>
          <w:snapToGrid w:val="0"/>
          <w:lang w:eastAsia="zh-CN"/>
        </w:rPr>
        <w:t>参</w:t>
      </w:r>
      <w:r w:rsidRPr="00C277C0">
        <w:rPr>
          <w:rFonts w:eastAsia="宋体" w:hint="eastAsia"/>
          <w:snapToGrid w:val="0"/>
          <w:lang w:eastAsia="zh-CN"/>
        </w:rPr>
        <w:t>见下文第</w:t>
      </w:r>
      <w:r w:rsidR="00C8689A" w:rsidRPr="00C277C0">
        <w:rPr>
          <w:rFonts w:eastAsia="宋体" w:hint="eastAsia"/>
          <w:snapToGrid w:val="0"/>
          <w:lang w:eastAsia="zh-CN"/>
        </w:rPr>
        <w:t>IV</w:t>
      </w:r>
      <w:r w:rsidR="00C0232D" w:rsidRPr="00C277C0">
        <w:rPr>
          <w:rFonts w:eastAsia="宋体" w:hint="eastAsia"/>
          <w:snapToGrid w:val="0"/>
          <w:lang w:eastAsia="zh-CN"/>
        </w:rPr>
        <w:t>.</w:t>
      </w:r>
      <w:r w:rsidRPr="00C277C0">
        <w:rPr>
          <w:rFonts w:eastAsia="宋体" w:hint="eastAsia"/>
          <w:snapToGrid w:val="0"/>
          <w:lang w:eastAsia="zh-CN"/>
        </w:rPr>
        <w:t>B.3</w:t>
      </w:r>
      <w:r w:rsidRPr="00C277C0">
        <w:rPr>
          <w:rFonts w:eastAsia="宋体" w:hint="eastAsia"/>
          <w:snapToGrid w:val="0"/>
          <w:lang w:eastAsia="zh-CN"/>
        </w:rPr>
        <w:t>节）。</w:t>
      </w:r>
    </w:p>
    <w:p w:rsidR="00C1273A" w:rsidRPr="00C277C0" w:rsidRDefault="00EE5FE6"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br w:type="page"/>
      </w:r>
      <w:r w:rsidR="007E6D0E" w:rsidRPr="00C277C0">
        <w:rPr>
          <w:rFonts w:eastAsia="宋体" w:hint="eastAsia"/>
          <w:snapToGrid w:val="0"/>
          <w:lang w:eastAsia="zh-CN"/>
        </w:rPr>
        <w:lastRenderedPageBreak/>
        <w:t>请</w:t>
      </w:r>
      <w:r w:rsidR="00097329" w:rsidRPr="00C277C0">
        <w:rPr>
          <w:rFonts w:eastAsia="宋体" w:hint="eastAsia"/>
          <w:snapToGrid w:val="0"/>
          <w:lang w:eastAsia="zh-CN"/>
        </w:rPr>
        <w:t>注意，提交</w:t>
      </w:r>
      <w:r w:rsidR="00097329" w:rsidRPr="00C277C0">
        <w:rPr>
          <w:rFonts w:eastAsia="宋体" w:hint="eastAsia"/>
          <w:snapToGrid w:val="0"/>
          <w:lang w:eastAsia="zh-CN"/>
        </w:rPr>
        <w:t>5</w:t>
      </w:r>
      <w:r w:rsidR="00097329" w:rsidRPr="00C277C0">
        <w:rPr>
          <w:rFonts w:eastAsia="宋体" w:hint="eastAsia"/>
          <w:snapToGrid w:val="0"/>
          <w:lang w:eastAsia="zh-CN"/>
        </w:rPr>
        <w:t>天报告（或更正或移除报告）并不改变申请人提交产品其他上市后安全性报告的义务。申请人必须根据适用于产品的所有</w:t>
      </w:r>
      <w:r w:rsidR="00097329" w:rsidRPr="00C277C0">
        <w:rPr>
          <w:rFonts w:eastAsia="宋体" w:hint="eastAsia"/>
          <w:snapToGrid w:val="0"/>
          <w:lang w:eastAsia="zh-CN"/>
        </w:rPr>
        <w:t>PMSR</w:t>
      </w:r>
      <w:r w:rsidR="00097329" w:rsidRPr="00C277C0">
        <w:rPr>
          <w:rFonts w:eastAsia="宋体" w:hint="eastAsia"/>
          <w:snapToGrid w:val="0"/>
          <w:lang w:eastAsia="zh-CN"/>
        </w:rPr>
        <w:t>要求，继续评估事件，并按要求向</w:t>
      </w:r>
      <w:r w:rsidR="00097329" w:rsidRPr="00C277C0">
        <w:rPr>
          <w:rFonts w:eastAsia="宋体" w:hint="eastAsia"/>
          <w:snapToGrid w:val="0"/>
          <w:lang w:eastAsia="zh-CN"/>
        </w:rPr>
        <w:t>FDA</w:t>
      </w:r>
      <w:r w:rsidR="00097329" w:rsidRPr="00C277C0">
        <w:rPr>
          <w:rFonts w:eastAsia="宋体" w:hint="eastAsia"/>
          <w:snapToGrid w:val="0"/>
          <w:lang w:eastAsia="zh-CN"/>
        </w:rPr>
        <w:t>报告。</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C1273A">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有关</w:t>
      </w:r>
      <w:r w:rsidRPr="00C277C0">
        <w:rPr>
          <w:rFonts w:eastAsia="宋体" w:hint="eastAsia"/>
          <w:snapToGrid w:val="0"/>
          <w:lang w:eastAsia="zh-CN"/>
        </w:rPr>
        <w:t>5</w:t>
      </w:r>
      <w:r w:rsidRPr="00C277C0">
        <w:rPr>
          <w:rFonts w:eastAsia="宋体" w:hint="eastAsia"/>
          <w:snapToGrid w:val="0"/>
          <w:lang w:eastAsia="zh-CN"/>
        </w:rPr>
        <w:t>天报告的</w:t>
      </w:r>
      <w:r w:rsidR="00021C7B" w:rsidRPr="00C277C0">
        <w:rPr>
          <w:rFonts w:eastAsia="宋体" w:hint="eastAsia"/>
          <w:snapToGrid w:val="0"/>
          <w:lang w:eastAsia="zh-CN"/>
        </w:rPr>
        <w:t>更多</w:t>
      </w:r>
      <w:r w:rsidR="00A961B4" w:rsidRPr="00C277C0">
        <w:rPr>
          <w:rFonts w:eastAsia="宋体" w:hint="eastAsia"/>
          <w:snapToGrid w:val="0"/>
          <w:lang w:eastAsia="zh-CN"/>
        </w:rPr>
        <w:t>信息</w:t>
      </w:r>
      <w:r w:rsidRPr="00C277C0">
        <w:rPr>
          <w:rFonts w:eastAsia="宋体" w:hint="eastAsia"/>
          <w:snapToGrid w:val="0"/>
          <w:lang w:eastAsia="zh-CN"/>
        </w:rPr>
        <w:t>，请访问：</w:t>
      </w:r>
      <w:hyperlink r:id="rId12" w:history="1">
        <w:r w:rsidR="006D76A7" w:rsidRPr="00C277C0">
          <w:rPr>
            <w:rStyle w:val="a9"/>
            <w:rFonts w:eastAsia="宋体" w:hint="eastAsia"/>
            <w:snapToGrid w:val="0"/>
            <w:u w:color="0000FF"/>
            <w:lang w:eastAsia="zh-CN"/>
          </w:rPr>
          <w:t>https://www.fda.gov/medical-devices/medical-device-safety/medical-device-reporting-mdr-how-report-medical-device-problems.</w:t>
        </w:r>
      </w:hyperlink>
    </w:p>
    <w:p w:rsidR="006223B4" w:rsidRPr="00C277C0" w:rsidRDefault="006223B4" w:rsidP="006223B4">
      <w:pPr>
        <w:autoSpaceDE/>
        <w:autoSpaceDN/>
        <w:snapToGrid w:val="0"/>
        <w:jc w:val="both"/>
        <w:rPr>
          <w:rFonts w:eastAsia="宋体"/>
          <w:snapToGrid w:val="0"/>
          <w:sz w:val="24"/>
          <w:szCs w:val="24"/>
          <w:lang w:eastAsia="zh-CN"/>
        </w:rPr>
      </w:pPr>
    </w:p>
    <w:p w:rsidR="00C1273A" w:rsidRPr="00C277C0" w:rsidRDefault="00097329"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3.</w:t>
      </w:r>
      <w:r w:rsidR="00D246F5" w:rsidRPr="00C277C0">
        <w:rPr>
          <w:rFonts w:hint="eastAsia"/>
          <w:snapToGrid w:val="0"/>
          <w:lang w:eastAsia="zh-CN"/>
        </w:rPr>
        <w:tab/>
      </w:r>
      <w:r w:rsidR="00021C7B" w:rsidRPr="00C277C0">
        <w:rPr>
          <w:rFonts w:hint="eastAsia"/>
          <w:snapToGrid w:val="0"/>
          <w:lang w:eastAsia="zh-CN"/>
        </w:rPr>
        <w:t>故障</w:t>
      </w:r>
      <w:r w:rsidR="00C55B83" w:rsidRPr="00C277C0">
        <w:rPr>
          <w:rFonts w:hint="eastAsia"/>
          <w:snapToGrid w:val="0"/>
          <w:lang w:eastAsia="zh-CN"/>
        </w:rPr>
        <w:t>报告</w:t>
      </w:r>
      <w:r w:rsidRPr="00C277C0">
        <w:rPr>
          <w:rFonts w:hint="eastAsia"/>
          <w:snapToGrid w:val="0"/>
          <w:lang w:eastAsia="zh-CN"/>
        </w:rPr>
        <w:t>（</w:t>
      </w:r>
      <w:r w:rsidR="00236A4C">
        <w:rPr>
          <w:rFonts w:hint="eastAsia"/>
          <w:snapToGrid w:val="0"/>
          <w:lang w:eastAsia="zh-CN"/>
        </w:rPr>
        <w:t>参</w:t>
      </w:r>
      <w:r w:rsidRPr="00C277C0">
        <w:rPr>
          <w:rFonts w:hint="eastAsia"/>
          <w:snapToGrid w:val="0"/>
          <w:lang w:eastAsia="zh-CN"/>
        </w:rPr>
        <w:t>见</w:t>
      </w:r>
      <w:r w:rsidR="007267DD" w:rsidRPr="00C277C0">
        <w:rPr>
          <w:rFonts w:hint="eastAsia"/>
          <w:snapToGrid w:val="0"/>
          <w:lang w:eastAsia="zh-CN"/>
        </w:rPr>
        <w:t>《美国联邦法规》第</w:t>
      </w:r>
      <w:r w:rsidR="00286DB1">
        <w:rPr>
          <w:rFonts w:hint="eastAsia"/>
          <w:snapToGrid w:val="0"/>
          <w:lang w:eastAsia="zh-CN"/>
        </w:rPr>
        <w:t>21</w:t>
      </w:r>
      <w:r w:rsidR="00286DB1">
        <w:rPr>
          <w:rFonts w:hint="eastAsia"/>
          <w:snapToGrid w:val="0"/>
          <w:lang w:eastAsia="zh-CN"/>
        </w:rPr>
        <w:t>篇</w:t>
      </w:r>
      <w:r w:rsidR="00FC6B22" w:rsidRPr="00C277C0">
        <w:rPr>
          <w:rFonts w:hint="eastAsia"/>
          <w:snapToGrid w:val="0"/>
          <w:lang w:eastAsia="zh-CN"/>
        </w:rPr>
        <w:t>第</w:t>
      </w:r>
      <w:r w:rsidRPr="00C277C0">
        <w:rPr>
          <w:rFonts w:hint="eastAsia"/>
          <w:snapToGrid w:val="0"/>
          <w:lang w:eastAsia="zh-CN"/>
        </w:rPr>
        <w:t>803.50</w:t>
      </w:r>
      <w:r w:rsidRPr="00C277C0">
        <w:rPr>
          <w:rFonts w:hint="eastAsia"/>
          <w:snapToGrid w:val="0"/>
          <w:lang w:eastAsia="zh-CN"/>
        </w:rPr>
        <w:t>和</w:t>
      </w:r>
      <w:r w:rsidRPr="00C277C0">
        <w:rPr>
          <w:rFonts w:hint="eastAsia"/>
          <w:snapToGrid w:val="0"/>
          <w:lang w:eastAsia="zh-CN"/>
        </w:rPr>
        <w:t>803.56</w:t>
      </w:r>
      <w:r w:rsidR="00FC6B22" w:rsidRPr="00C277C0">
        <w:rPr>
          <w:rFonts w:hint="eastAsia"/>
          <w:snapToGrid w:val="0"/>
          <w:lang w:eastAsia="zh-CN"/>
        </w:rPr>
        <w:t>节</w:t>
      </w:r>
      <w:r w:rsidRPr="00C277C0">
        <w:rPr>
          <w:rFonts w:hint="eastAsia"/>
          <w:snapToGrid w:val="0"/>
          <w:lang w:eastAsia="zh-CN"/>
        </w:rPr>
        <w:t>）</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21C7B"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故障</w:t>
      </w:r>
      <w:r w:rsidR="00C55B83" w:rsidRPr="00C277C0">
        <w:rPr>
          <w:rFonts w:eastAsia="宋体" w:hint="eastAsia"/>
          <w:snapToGrid w:val="0"/>
          <w:lang w:eastAsia="zh-CN"/>
        </w:rPr>
        <w:t>报告</w:t>
      </w:r>
      <w:r w:rsidR="00097329" w:rsidRPr="00C277C0">
        <w:rPr>
          <w:rFonts w:eastAsia="宋体" w:hint="eastAsia"/>
          <w:snapToGrid w:val="0"/>
          <w:lang w:eastAsia="zh-CN"/>
        </w:rPr>
        <w:t>要求适用于包含器械组成部分的组合产品（</w:t>
      </w:r>
      <w:r w:rsidR="00236A4C">
        <w:rPr>
          <w:rFonts w:eastAsia="宋体" w:hint="eastAsia"/>
          <w:snapToGrid w:val="0"/>
          <w:lang w:eastAsia="zh-CN"/>
        </w:rPr>
        <w:t>参</w:t>
      </w:r>
      <w:r w:rsidR="00097329"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00097329" w:rsidRPr="00C277C0">
        <w:rPr>
          <w:rFonts w:eastAsia="宋体" w:hint="eastAsia"/>
          <w:snapToGrid w:val="0"/>
          <w:lang w:eastAsia="zh-CN"/>
        </w:rPr>
        <w:t>4.102</w:t>
      </w:r>
      <w:r w:rsidR="006D76A7" w:rsidRPr="00C277C0">
        <w:rPr>
          <w:rFonts w:eastAsia="宋体" w:hint="eastAsia"/>
          <w:snapToGrid w:val="0"/>
          <w:lang w:eastAsia="zh-CN"/>
        </w:rPr>
        <w:t>（</w:t>
      </w:r>
      <w:r w:rsidR="00097329" w:rsidRPr="00C277C0">
        <w:rPr>
          <w:rFonts w:eastAsia="宋体" w:hint="eastAsia"/>
          <w:snapToGrid w:val="0"/>
          <w:lang w:eastAsia="zh-CN"/>
        </w:rPr>
        <w:t>b</w:t>
      </w:r>
      <w:r w:rsidR="006D76A7" w:rsidRPr="00C277C0">
        <w:rPr>
          <w:rFonts w:eastAsia="宋体" w:hint="eastAsia"/>
          <w:snapToGrid w:val="0"/>
          <w:lang w:eastAsia="zh-CN"/>
        </w:rPr>
        <w:t>）（</w:t>
      </w:r>
      <w:r w:rsidR="00097329" w:rsidRPr="00C277C0">
        <w:rPr>
          <w:rFonts w:eastAsia="宋体" w:hint="eastAsia"/>
          <w:snapToGrid w:val="0"/>
          <w:lang w:eastAsia="zh-CN"/>
        </w:rPr>
        <w:t>1</w:t>
      </w:r>
      <w:r w:rsidR="006D76A7" w:rsidRPr="00C277C0">
        <w:rPr>
          <w:rFonts w:eastAsia="宋体" w:hint="eastAsia"/>
          <w:snapToGrid w:val="0"/>
          <w:lang w:eastAsia="zh-CN"/>
        </w:rPr>
        <w:t>）</w:t>
      </w:r>
      <w:r w:rsidR="00097329" w:rsidRPr="00C277C0">
        <w:rPr>
          <w:rFonts w:eastAsia="宋体" w:hint="eastAsia"/>
          <w:snapToGrid w:val="0"/>
          <w:lang w:eastAsia="zh-CN"/>
        </w:rPr>
        <w:t>、</w:t>
      </w:r>
      <w:r w:rsidR="00097329" w:rsidRPr="00C277C0">
        <w:rPr>
          <w:rFonts w:eastAsia="宋体" w:hint="eastAsia"/>
          <w:snapToGrid w:val="0"/>
          <w:lang w:eastAsia="zh-CN"/>
        </w:rPr>
        <w:t>4.102</w:t>
      </w:r>
      <w:r w:rsidR="006D76A7" w:rsidRPr="00C277C0">
        <w:rPr>
          <w:rFonts w:eastAsia="宋体" w:hint="eastAsia"/>
          <w:snapToGrid w:val="0"/>
          <w:lang w:eastAsia="zh-CN"/>
        </w:rPr>
        <w:t>（</w:t>
      </w:r>
      <w:r w:rsidR="00097329" w:rsidRPr="00C277C0">
        <w:rPr>
          <w:rFonts w:eastAsia="宋体" w:hint="eastAsia"/>
          <w:snapToGrid w:val="0"/>
          <w:lang w:eastAsia="zh-CN"/>
        </w:rPr>
        <w:t>c</w:t>
      </w:r>
      <w:r w:rsidR="006D76A7" w:rsidRPr="00C277C0">
        <w:rPr>
          <w:rFonts w:eastAsia="宋体" w:hint="eastAsia"/>
          <w:snapToGrid w:val="0"/>
          <w:lang w:eastAsia="zh-CN"/>
        </w:rPr>
        <w:t>）（</w:t>
      </w:r>
      <w:r w:rsidR="00097329" w:rsidRPr="00C277C0">
        <w:rPr>
          <w:rFonts w:eastAsia="宋体" w:hint="eastAsia"/>
          <w:snapToGrid w:val="0"/>
          <w:lang w:eastAsia="zh-CN"/>
        </w:rPr>
        <w:t>1</w:t>
      </w:r>
      <w:r w:rsidR="006D76A7" w:rsidRPr="00C277C0">
        <w:rPr>
          <w:rFonts w:eastAsia="宋体" w:hint="eastAsia"/>
          <w:snapToGrid w:val="0"/>
          <w:lang w:eastAsia="zh-CN"/>
        </w:rPr>
        <w:t>）（</w:t>
      </w:r>
      <w:r w:rsidR="00097329" w:rsidRPr="00C277C0">
        <w:rPr>
          <w:rFonts w:eastAsia="宋体" w:hint="eastAsia"/>
          <w:snapToGrid w:val="0"/>
          <w:lang w:eastAsia="zh-CN"/>
        </w:rPr>
        <w:t>ii</w:t>
      </w:r>
      <w:r w:rsidR="006D76A7" w:rsidRPr="00C277C0">
        <w:rPr>
          <w:rFonts w:eastAsia="宋体" w:hint="eastAsia"/>
          <w:snapToGrid w:val="0"/>
          <w:lang w:eastAsia="zh-CN"/>
        </w:rPr>
        <w:t>）</w:t>
      </w:r>
      <w:r w:rsidR="00097329" w:rsidRPr="00C277C0">
        <w:rPr>
          <w:rFonts w:eastAsia="宋体" w:hint="eastAsia"/>
          <w:snapToGrid w:val="0"/>
          <w:lang w:eastAsia="zh-CN"/>
        </w:rPr>
        <w:t>、</w:t>
      </w:r>
      <w:r w:rsidR="00097329" w:rsidRPr="00C277C0">
        <w:rPr>
          <w:rFonts w:eastAsia="宋体" w:hint="eastAsia"/>
          <w:snapToGrid w:val="0"/>
          <w:lang w:eastAsia="zh-CN"/>
        </w:rPr>
        <w:t>803.50</w:t>
      </w:r>
      <w:r w:rsidR="00097329" w:rsidRPr="00C277C0">
        <w:rPr>
          <w:rFonts w:eastAsia="宋体" w:hint="eastAsia"/>
          <w:snapToGrid w:val="0"/>
          <w:lang w:eastAsia="zh-CN"/>
        </w:rPr>
        <w:t>和</w:t>
      </w:r>
      <w:r w:rsidR="00097329" w:rsidRPr="00C277C0">
        <w:rPr>
          <w:rFonts w:eastAsia="宋体" w:hint="eastAsia"/>
          <w:snapToGrid w:val="0"/>
          <w:lang w:eastAsia="zh-CN"/>
        </w:rPr>
        <w:t>803.56</w:t>
      </w:r>
      <w:r w:rsidR="00FC6B22" w:rsidRPr="00C277C0">
        <w:rPr>
          <w:rFonts w:eastAsia="宋体" w:hint="eastAsia"/>
          <w:snapToGrid w:val="0"/>
          <w:lang w:eastAsia="zh-CN"/>
        </w:rPr>
        <w:t>节</w:t>
      </w:r>
      <w:r w:rsidR="00097329" w:rsidRPr="00C277C0">
        <w:rPr>
          <w:rFonts w:eastAsia="宋体" w:hint="eastAsia"/>
          <w:snapToGrid w:val="0"/>
          <w:lang w:eastAsia="zh-CN"/>
        </w:rPr>
        <w:t>）。</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此类组合产品的组合产品申请人必须在收到或以其他方式获知以下信息后的</w:t>
      </w:r>
      <w:r w:rsidRPr="00C277C0">
        <w:rPr>
          <w:rFonts w:eastAsia="宋体" w:hint="eastAsia"/>
          <w:snapToGrid w:val="0"/>
          <w:lang w:eastAsia="zh-CN"/>
        </w:rPr>
        <w:t>30</w:t>
      </w:r>
      <w:r w:rsidRPr="00C277C0">
        <w:rPr>
          <w:rFonts w:eastAsia="宋体" w:hint="eastAsia"/>
          <w:snapToGrid w:val="0"/>
          <w:lang w:eastAsia="zh-CN"/>
        </w:rPr>
        <w:t>个日历日内</w:t>
      </w:r>
      <w:r w:rsidR="00FE2212" w:rsidRPr="00C277C0">
        <w:rPr>
          <w:rStyle w:val="af4"/>
          <w:rFonts w:eastAsia="宋体" w:hint="eastAsia"/>
          <w:snapToGrid w:val="0"/>
          <w:lang w:eastAsia="zh-CN"/>
        </w:rPr>
        <w:footnoteReference w:id="25"/>
      </w:r>
      <w:r w:rsidRPr="00C277C0">
        <w:rPr>
          <w:rFonts w:eastAsia="宋体" w:hint="eastAsia"/>
          <w:snapToGrid w:val="0"/>
          <w:lang w:eastAsia="zh-CN"/>
        </w:rPr>
        <w:t>提交</w:t>
      </w:r>
      <w:r w:rsidR="00021C7B"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6D76A7" w:rsidP="00B403CB">
      <w:pPr>
        <w:pStyle w:val="a4"/>
        <w:numPr>
          <w:ilvl w:val="0"/>
          <w:numId w:val="15"/>
        </w:numPr>
        <w:tabs>
          <w:tab w:val="left" w:pos="911"/>
        </w:tabs>
        <w:autoSpaceDE/>
        <w:autoSpaceDN/>
        <w:snapToGrid w:val="0"/>
        <w:ind w:leftChars="200" w:left="920" w:hangingChars="200" w:hanging="480"/>
        <w:jc w:val="both"/>
        <w:rPr>
          <w:rFonts w:eastAsia="宋体"/>
          <w:snapToGrid w:val="0"/>
          <w:sz w:val="24"/>
          <w:szCs w:val="24"/>
          <w:lang w:eastAsia="zh-CN"/>
        </w:rPr>
      </w:pPr>
      <w:r w:rsidRPr="00B403CB">
        <w:rPr>
          <w:rFonts w:ascii="宋体" w:eastAsia="宋体" w:hAnsi="宋体" w:hint="eastAsia"/>
          <w:sz w:val="24"/>
        </w:rPr>
        <w:t>“</w:t>
      </w:r>
      <w:r w:rsidR="00097329" w:rsidRPr="00C277C0">
        <w:rPr>
          <w:rFonts w:eastAsia="宋体" w:hint="eastAsia"/>
          <w:snapToGrid w:val="0"/>
          <w:sz w:val="24"/>
          <w:szCs w:val="24"/>
          <w:lang w:eastAsia="zh-CN"/>
        </w:rPr>
        <w:t>合理建议</w:t>
      </w:r>
      <w:r w:rsidRPr="00B403CB">
        <w:rPr>
          <w:rFonts w:ascii="宋体" w:eastAsia="宋体" w:hAnsi="宋体" w:hint="eastAsia"/>
          <w:sz w:val="24"/>
        </w:rPr>
        <w:t>”</w:t>
      </w:r>
      <w:r w:rsidR="00FE2212" w:rsidRPr="00C277C0">
        <w:rPr>
          <w:rStyle w:val="af4"/>
          <w:rFonts w:ascii="宋体" w:eastAsia="宋体" w:hAnsi="宋体" w:hint="eastAsia"/>
          <w:snapToGrid w:val="0"/>
          <w:sz w:val="24"/>
          <w:szCs w:val="24"/>
          <w:lang w:eastAsia="zh-CN"/>
        </w:rPr>
        <w:footnoteReference w:id="26"/>
      </w:r>
    </w:p>
    <w:p w:rsidR="00C1273A" w:rsidRPr="00C277C0" w:rsidRDefault="00097329" w:rsidP="00B403CB">
      <w:pPr>
        <w:pStyle w:val="a4"/>
        <w:numPr>
          <w:ilvl w:val="0"/>
          <w:numId w:val="15"/>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该产品已出现</w:t>
      </w:r>
      <w:r w:rsidR="00021C7B" w:rsidRPr="00C277C0">
        <w:rPr>
          <w:rFonts w:eastAsia="宋体" w:hint="eastAsia"/>
          <w:snapToGrid w:val="0"/>
          <w:sz w:val="24"/>
          <w:szCs w:val="24"/>
          <w:lang w:eastAsia="zh-CN"/>
        </w:rPr>
        <w:t>故障</w:t>
      </w:r>
      <w:r w:rsidRPr="00C277C0">
        <w:rPr>
          <w:rFonts w:eastAsia="宋体" w:hint="eastAsia"/>
          <w:snapToGrid w:val="0"/>
          <w:sz w:val="24"/>
          <w:szCs w:val="24"/>
          <w:lang w:eastAsia="zh-CN"/>
        </w:rPr>
        <w:t>，并且</w:t>
      </w:r>
    </w:p>
    <w:p w:rsidR="00C1273A" w:rsidRPr="00C277C0" w:rsidRDefault="00097329" w:rsidP="00072C5E">
      <w:pPr>
        <w:pStyle w:val="a4"/>
        <w:numPr>
          <w:ilvl w:val="0"/>
          <w:numId w:val="15"/>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该产品或申请人上市的</w:t>
      </w:r>
      <w:r w:rsidR="00117D73">
        <w:rPr>
          <w:rFonts w:eastAsia="宋体" w:hint="eastAsia"/>
          <w:snapToGrid w:val="0"/>
          <w:sz w:val="24"/>
          <w:szCs w:val="24"/>
          <w:lang w:eastAsia="zh-CN"/>
        </w:rPr>
        <w:t>同品种产品</w:t>
      </w:r>
      <w:r w:rsidRPr="00C277C0">
        <w:rPr>
          <w:rFonts w:eastAsia="宋体" w:hint="eastAsia"/>
          <w:snapToGrid w:val="0"/>
          <w:sz w:val="24"/>
          <w:szCs w:val="24"/>
          <w:lang w:eastAsia="zh-CN"/>
        </w:rPr>
        <w:t>，</w:t>
      </w:r>
      <w:r w:rsidR="006D76A7" w:rsidRPr="00B403CB">
        <w:rPr>
          <w:rFonts w:ascii="宋体" w:eastAsia="宋体" w:hAnsi="宋体" w:hint="eastAsia"/>
          <w:sz w:val="24"/>
          <w:lang w:eastAsia="zh-CN"/>
        </w:rPr>
        <w:t>“</w:t>
      </w:r>
      <w:r w:rsidRPr="00C277C0">
        <w:rPr>
          <w:rFonts w:eastAsia="宋体" w:hint="eastAsia"/>
          <w:snapToGrid w:val="0"/>
          <w:sz w:val="24"/>
          <w:szCs w:val="24"/>
          <w:lang w:eastAsia="zh-CN"/>
        </w:rPr>
        <w:t>如果</w:t>
      </w:r>
      <w:r w:rsidR="00021C7B" w:rsidRPr="00C277C0">
        <w:rPr>
          <w:rFonts w:eastAsia="宋体" w:hint="eastAsia"/>
          <w:snapToGrid w:val="0"/>
          <w:sz w:val="24"/>
          <w:szCs w:val="24"/>
          <w:lang w:eastAsia="zh-CN"/>
        </w:rPr>
        <w:t>故障</w:t>
      </w:r>
      <w:r w:rsidRPr="00C277C0">
        <w:rPr>
          <w:rFonts w:eastAsia="宋体" w:hint="eastAsia"/>
          <w:snapToGrid w:val="0"/>
          <w:sz w:val="24"/>
          <w:szCs w:val="24"/>
          <w:lang w:eastAsia="zh-CN"/>
        </w:rPr>
        <w:t>将会再次发生，可能导致或促成死亡或重伤</w:t>
      </w:r>
      <w:r w:rsidR="006D76A7" w:rsidRPr="00B403CB">
        <w:rPr>
          <w:rFonts w:ascii="宋体" w:eastAsia="宋体" w:hAnsi="宋体" w:hint="eastAsia"/>
          <w:sz w:val="24"/>
          <w:lang w:eastAsia="zh-CN"/>
        </w:rPr>
        <w:t>”</w:t>
      </w:r>
      <w:r w:rsidRPr="00C277C0">
        <w:rPr>
          <w:rFonts w:eastAsia="宋体" w:hint="eastAsia"/>
          <w:snapToGrid w:val="0"/>
          <w:sz w:val="24"/>
          <w:szCs w:val="24"/>
          <w:lang w:eastAsia="zh-CN"/>
        </w:rPr>
        <w:t>（</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FC6B22" w:rsidRPr="00C277C0">
        <w:rPr>
          <w:rFonts w:eastAsia="宋体" w:hint="eastAsia"/>
          <w:snapToGrid w:val="0"/>
          <w:sz w:val="24"/>
          <w:szCs w:val="24"/>
          <w:lang w:eastAsia="zh-CN"/>
        </w:rPr>
        <w:t>第</w:t>
      </w:r>
      <w:r w:rsidRPr="00C277C0">
        <w:rPr>
          <w:rFonts w:eastAsia="宋体" w:hint="eastAsia"/>
          <w:snapToGrid w:val="0"/>
          <w:sz w:val="24"/>
          <w:szCs w:val="24"/>
          <w:lang w:eastAsia="zh-CN"/>
        </w:rPr>
        <w:t>803.3</w:t>
      </w:r>
      <w:r w:rsidR="006D76A7" w:rsidRPr="00C277C0">
        <w:rPr>
          <w:rFonts w:eastAsia="宋体" w:hint="eastAsia"/>
          <w:snapToGrid w:val="0"/>
          <w:sz w:val="24"/>
          <w:szCs w:val="24"/>
          <w:lang w:eastAsia="zh-CN"/>
        </w:rPr>
        <w:t>（</w:t>
      </w:r>
      <w:r w:rsidRPr="00C277C0">
        <w:rPr>
          <w:rFonts w:eastAsia="宋体" w:hint="eastAsia"/>
          <w:snapToGrid w:val="0"/>
          <w:sz w:val="24"/>
          <w:szCs w:val="24"/>
          <w:lang w:eastAsia="zh-CN"/>
        </w:rPr>
        <w:t>o</w:t>
      </w:r>
      <w:r w:rsidR="006D76A7" w:rsidRPr="00C277C0">
        <w:rPr>
          <w:rFonts w:eastAsia="宋体" w:hint="eastAsia"/>
          <w:snapToGrid w:val="0"/>
          <w:sz w:val="24"/>
          <w:szCs w:val="24"/>
          <w:lang w:eastAsia="zh-CN"/>
        </w:rPr>
        <w:t>）（</w:t>
      </w:r>
      <w:r w:rsidRPr="00C277C0">
        <w:rPr>
          <w:rFonts w:eastAsia="宋体" w:hint="eastAsia"/>
          <w:snapToGrid w:val="0"/>
          <w:sz w:val="24"/>
          <w:szCs w:val="24"/>
          <w:lang w:eastAsia="zh-CN"/>
        </w:rPr>
        <w:t>2</w:t>
      </w:r>
      <w:r w:rsidR="006D76A7" w:rsidRPr="00C277C0">
        <w:rPr>
          <w:rFonts w:eastAsia="宋体" w:hint="eastAsia"/>
          <w:snapToGrid w:val="0"/>
          <w:sz w:val="24"/>
          <w:szCs w:val="24"/>
          <w:lang w:eastAsia="zh-CN"/>
        </w:rPr>
        <w:t>）（</w:t>
      </w:r>
      <w:r w:rsidRPr="00C277C0">
        <w:rPr>
          <w:rFonts w:eastAsia="宋体" w:hint="eastAsia"/>
          <w:snapToGrid w:val="0"/>
          <w:sz w:val="24"/>
          <w:szCs w:val="24"/>
          <w:lang w:eastAsia="zh-CN"/>
        </w:rPr>
        <w:t>ii</w:t>
      </w:r>
      <w:r w:rsidR="006D76A7" w:rsidRPr="00C277C0">
        <w:rPr>
          <w:rFonts w:eastAsia="宋体" w:hint="eastAsia"/>
          <w:snapToGrid w:val="0"/>
          <w:sz w:val="24"/>
          <w:szCs w:val="24"/>
          <w:lang w:eastAsia="zh-CN"/>
        </w:rPr>
        <w:t>）</w:t>
      </w:r>
      <w:r w:rsidRPr="00C277C0">
        <w:rPr>
          <w:rFonts w:eastAsia="宋体" w:hint="eastAsia"/>
          <w:snapToGrid w:val="0"/>
          <w:sz w:val="24"/>
          <w:szCs w:val="24"/>
          <w:lang w:eastAsia="zh-CN"/>
        </w:rPr>
        <w:t>和</w:t>
      </w:r>
      <w:r w:rsidRPr="00C277C0">
        <w:rPr>
          <w:rFonts w:eastAsia="宋体" w:hint="eastAsia"/>
          <w:snapToGrid w:val="0"/>
          <w:sz w:val="24"/>
          <w:szCs w:val="24"/>
          <w:lang w:eastAsia="zh-CN"/>
        </w:rPr>
        <w:t>803.50</w:t>
      </w:r>
      <w:r w:rsidR="00FC6B22"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C1273A" w:rsidP="00B403CB">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D52F33" w:rsidP="00FA5CED">
      <w:pPr>
        <w:pStyle w:val="a3"/>
        <w:tabs>
          <w:tab w:val="left" w:pos="911"/>
        </w:tabs>
        <w:autoSpaceDE/>
        <w:autoSpaceDN/>
        <w:snapToGrid w:val="0"/>
        <w:ind w:leftChars="400" w:left="880" w:firstLineChars="200" w:firstLine="480"/>
        <w:jc w:val="both"/>
        <w:rPr>
          <w:rFonts w:eastAsia="宋体"/>
          <w:snapToGrid w:val="0"/>
          <w:lang w:eastAsia="zh-CN"/>
        </w:rPr>
      </w:pPr>
      <w:r w:rsidRPr="00C277C0">
        <w:rPr>
          <w:rFonts w:eastAsia="宋体" w:hint="eastAsia"/>
          <w:snapToGrid w:val="0"/>
          <w:u w:val="single"/>
          <w:lang w:eastAsia="zh-CN"/>
        </w:rPr>
        <w:t>故障</w:t>
      </w:r>
      <w:r w:rsidR="00097329" w:rsidRPr="00C277C0">
        <w:rPr>
          <w:rFonts w:eastAsia="宋体" w:hint="eastAsia"/>
          <w:snapToGrid w:val="0"/>
          <w:lang w:eastAsia="zh-CN"/>
        </w:rPr>
        <w:t>。在组合产品环境中使用时，</w:t>
      </w:r>
      <w:r w:rsidR="006D76A7" w:rsidRPr="00B403CB">
        <w:rPr>
          <w:rFonts w:ascii="宋体" w:eastAsia="宋体" w:hAnsi="宋体" w:hint="eastAsia"/>
          <w:lang w:eastAsia="zh-CN"/>
        </w:rPr>
        <w:t>“</w:t>
      </w:r>
      <w:r w:rsidRPr="00C277C0">
        <w:rPr>
          <w:rFonts w:eastAsia="宋体" w:hint="eastAsia"/>
          <w:snapToGrid w:val="0"/>
          <w:lang w:eastAsia="zh-CN"/>
        </w:rPr>
        <w:t>故障</w:t>
      </w:r>
      <w:r w:rsidR="006D76A7" w:rsidRPr="00B403CB">
        <w:rPr>
          <w:rFonts w:ascii="宋体" w:eastAsia="宋体" w:hAnsi="宋体" w:hint="eastAsia"/>
          <w:lang w:eastAsia="zh-CN"/>
        </w:rPr>
        <w:t>”</w:t>
      </w:r>
      <w:r w:rsidR="00097329" w:rsidRPr="00C277C0">
        <w:rPr>
          <w:rFonts w:eastAsia="宋体" w:hint="eastAsia"/>
          <w:snapToGrid w:val="0"/>
          <w:lang w:eastAsia="zh-CN"/>
        </w:rPr>
        <w:t>指器械组成部分或产品整体未能满足其性能规范或其他预期性能（</w:t>
      </w:r>
      <w:r w:rsidR="00C81103">
        <w:rPr>
          <w:rFonts w:eastAsia="宋体" w:hint="eastAsia"/>
          <w:snapToGrid w:val="0"/>
          <w:lang w:eastAsia="zh-CN"/>
        </w:rPr>
        <w:t>参</w:t>
      </w:r>
      <w:r w:rsidR="00097329"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00097329" w:rsidRPr="00C277C0">
        <w:rPr>
          <w:rFonts w:eastAsia="宋体" w:hint="eastAsia"/>
          <w:snapToGrid w:val="0"/>
          <w:lang w:eastAsia="zh-CN"/>
        </w:rPr>
        <w:t>4.102</w:t>
      </w:r>
      <w:r w:rsidR="006D76A7" w:rsidRPr="00C277C0">
        <w:rPr>
          <w:rFonts w:eastAsia="宋体" w:hint="eastAsia"/>
          <w:snapToGrid w:val="0"/>
          <w:lang w:eastAsia="zh-CN"/>
        </w:rPr>
        <w:t>（</w:t>
      </w:r>
      <w:r w:rsidR="00097329" w:rsidRPr="00C277C0">
        <w:rPr>
          <w:rFonts w:eastAsia="宋体" w:hint="eastAsia"/>
          <w:snapToGrid w:val="0"/>
          <w:lang w:eastAsia="zh-CN"/>
        </w:rPr>
        <w:t>a</w:t>
      </w:r>
      <w:r w:rsidR="006D76A7" w:rsidRPr="00C277C0">
        <w:rPr>
          <w:rFonts w:eastAsia="宋体" w:hint="eastAsia"/>
          <w:snapToGrid w:val="0"/>
          <w:lang w:eastAsia="zh-CN"/>
        </w:rPr>
        <w:t>）</w:t>
      </w:r>
      <w:r w:rsidR="00097329" w:rsidRPr="00C277C0">
        <w:rPr>
          <w:rFonts w:eastAsia="宋体" w:hint="eastAsia"/>
          <w:snapToGrid w:val="0"/>
          <w:lang w:eastAsia="zh-CN"/>
        </w:rPr>
        <w:t>和</w:t>
      </w:r>
      <w:r w:rsidR="00097329" w:rsidRPr="00C277C0">
        <w:rPr>
          <w:rFonts w:eastAsia="宋体" w:hint="eastAsia"/>
          <w:snapToGrid w:val="0"/>
          <w:lang w:eastAsia="zh-CN"/>
        </w:rPr>
        <w:t>803.3</w:t>
      </w:r>
      <w:r w:rsidR="006D76A7" w:rsidRPr="00C277C0">
        <w:rPr>
          <w:rFonts w:eastAsia="宋体" w:hint="eastAsia"/>
          <w:snapToGrid w:val="0"/>
          <w:lang w:eastAsia="zh-CN"/>
        </w:rPr>
        <w:t>（</w:t>
      </w:r>
      <w:r w:rsidR="00097329" w:rsidRPr="00C277C0">
        <w:rPr>
          <w:rFonts w:eastAsia="宋体" w:hint="eastAsia"/>
          <w:snapToGrid w:val="0"/>
          <w:lang w:eastAsia="zh-CN"/>
        </w:rPr>
        <w:t>k</w:t>
      </w:r>
      <w:r w:rsidR="006D76A7" w:rsidRPr="00C277C0">
        <w:rPr>
          <w:rFonts w:eastAsia="宋体" w:hint="eastAsia"/>
          <w:snapToGrid w:val="0"/>
          <w:lang w:eastAsia="zh-CN"/>
        </w:rPr>
        <w:t>）</w:t>
      </w:r>
      <w:r w:rsidR="00FC6B22" w:rsidRPr="00C277C0">
        <w:rPr>
          <w:rFonts w:eastAsia="宋体" w:hint="eastAsia"/>
          <w:snapToGrid w:val="0"/>
          <w:lang w:eastAsia="zh-CN"/>
        </w:rPr>
        <w:t>节</w:t>
      </w:r>
      <w:r w:rsidR="00097329" w:rsidRPr="00C277C0">
        <w:rPr>
          <w:rFonts w:eastAsia="宋体" w:hint="eastAsia"/>
          <w:snapToGrid w:val="0"/>
          <w:lang w:eastAsia="zh-CN"/>
        </w:rPr>
        <w:t>）。性能规范包括器械组成部分或组合产品整体标签中的所有载明内容（</w:t>
      </w:r>
      <w:r w:rsidR="00C81103">
        <w:rPr>
          <w:rFonts w:eastAsia="宋体" w:hint="eastAsia"/>
          <w:snapToGrid w:val="0"/>
          <w:lang w:eastAsia="zh-CN"/>
        </w:rPr>
        <w:t>参</w:t>
      </w:r>
      <w:r w:rsidR="00097329"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00097329" w:rsidRPr="00C277C0">
        <w:rPr>
          <w:rFonts w:eastAsia="宋体" w:hint="eastAsia"/>
          <w:snapToGrid w:val="0"/>
          <w:lang w:eastAsia="zh-CN"/>
        </w:rPr>
        <w:t>4.102</w:t>
      </w:r>
      <w:r w:rsidR="006D76A7" w:rsidRPr="00C277C0">
        <w:rPr>
          <w:rFonts w:eastAsia="宋体" w:hint="eastAsia"/>
          <w:snapToGrid w:val="0"/>
          <w:lang w:eastAsia="zh-CN"/>
        </w:rPr>
        <w:t>（</w:t>
      </w:r>
      <w:r w:rsidR="00097329" w:rsidRPr="00C277C0">
        <w:rPr>
          <w:rFonts w:eastAsia="宋体" w:hint="eastAsia"/>
          <w:snapToGrid w:val="0"/>
          <w:lang w:eastAsia="zh-CN"/>
        </w:rPr>
        <w:t>a</w:t>
      </w:r>
      <w:r w:rsidR="006D76A7" w:rsidRPr="00C277C0">
        <w:rPr>
          <w:rFonts w:eastAsia="宋体" w:hint="eastAsia"/>
          <w:snapToGrid w:val="0"/>
          <w:lang w:eastAsia="zh-CN"/>
        </w:rPr>
        <w:t>）</w:t>
      </w:r>
      <w:r w:rsidR="00097329" w:rsidRPr="00C277C0">
        <w:rPr>
          <w:rFonts w:eastAsia="宋体" w:hint="eastAsia"/>
          <w:snapToGrid w:val="0"/>
          <w:lang w:eastAsia="zh-CN"/>
        </w:rPr>
        <w:t>和</w:t>
      </w:r>
      <w:r w:rsidR="00097329" w:rsidRPr="00C277C0">
        <w:rPr>
          <w:rFonts w:eastAsia="宋体" w:hint="eastAsia"/>
          <w:snapToGrid w:val="0"/>
          <w:lang w:eastAsia="zh-CN"/>
        </w:rPr>
        <w:t>803.3</w:t>
      </w:r>
      <w:r w:rsidR="006D76A7" w:rsidRPr="00C277C0">
        <w:rPr>
          <w:rFonts w:eastAsia="宋体" w:hint="eastAsia"/>
          <w:snapToGrid w:val="0"/>
          <w:lang w:eastAsia="zh-CN"/>
        </w:rPr>
        <w:t>（</w:t>
      </w:r>
      <w:r w:rsidR="00097329" w:rsidRPr="00C277C0">
        <w:rPr>
          <w:rFonts w:eastAsia="宋体" w:hint="eastAsia"/>
          <w:snapToGrid w:val="0"/>
          <w:lang w:eastAsia="zh-CN"/>
        </w:rPr>
        <w:t>k</w:t>
      </w:r>
      <w:r w:rsidR="006D76A7" w:rsidRPr="00C277C0">
        <w:rPr>
          <w:rFonts w:eastAsia="宋体" w:hint="eastAsia"/>
          <w:snapToGrid w:val="0"/>
          <w:lang w:eastAsia="zh-CN"/>
        </w:rPr>
        <w:t>）</w:t>
      </w:r>
      <w:r w:rsidR="00FC6B22" w:rsidRPr="00C277C0">
        <w:rPr>
          <w:rFonts w:eastAsia="宋体" w:hint="eastAsia"/>
          <w:snapToGrid w:val="0"/>
          <w:lang w:eastAsia="zh-CN"/>
        </w:rPr>
        <w:t>节</w:t>
      </w:r>
      <w:r w:rsidR="00097329" w:rsidRPr="00C277C0">
        <w:rPr>
          <w:rFonts w:eastAsia="宋体" w:hint="eastAsia"/>
          <w:snapToGrid w:val="0"/>
          <w:lang w:eastAsia="zh-CN"/>
        </w:rPr>
        <w:t>）。</w:t>
      </w:r>
    </w:p>
    <w:p w:rsidR="00C1273A" w:rsidRPr="00C277C0" w:rsidRDefault="00C1273A" w:rsidP="00B403CB">
      <w:pPr>
        <w:pStyle w:val="a3"/>
        <w:autoSpaceDE/>
        <w:autoSpaceDN/>
        <w:snapToGrid w:val="0"/>
        <w:ind w:leftChars="400" w:left="880"/>
        <w:jc w:val="both"/>
        <w:rPr>
          <w:rFonts w:eastAsia="宋体"/>
          <w:snapToGrid w:val="0"/>
          <w:lang w:eastAsia="zh-CN"/>
        </w:rPr>
      </w:pPr>
    </w:p>
    <w:p w:rsidR="00C1273A" w:rsidRPr="00C277C0" w:rsidRDefault="00097329" w:rsidP="00FA5CED">
      <w:pPr>
        <w:pStyle w:val="a3"/>
        <w:autoSpaceDE/>
        <w:autoSpaceDN/>
        <w:snapToGrid w:val="0"/>
        <w:ind w:leftChars="400" w:left="880" w:firstLineChars="200" w:firstLine="480"/>
        <w:jc w:val="both"/>
        <w:rPr>
          <w:rFonts w:eastAsia="宋体"/>
          <w:snapToGrid w:val="0"/>
          <w:lang w:eastAsia="zh-CN"/>
        </w:rPr>
      </w:pPr>
      <w:r w:rsidRPr="00C277C0">
        <w:rPr>
          <w:rFonts w:eastAsia="宋体" w:hint="eastAsia"/>
          <w:snapToGrid w:val="0"/>
          <w:u w:val="single"/>
          <w:lang w:eastAsia="zh-CN"/>
        </w:rPr>
        <w:t>重伤</w:t>
      </w:r>
      <w:r w:rsidRPr="00C277C0">
        <w:rPr>
          <w:rFonts w:eastAsia="宋体" w:hint="eastAsia"/>
          <w:snapToGrid w:val="0"/>
          <w:lang w:eastAsia="zh-CN"/>
        </w:rPr>
        <w:t>。如</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Pr="00C277C0">
        <w:rPr>
          <w:rFonts w:eastAsia="宋体" w:hint="eastAsia"/>
          <w:snapToGrid w:val="0"/>
          <w:lang w:eastAsia="zh-CN"/>
        </w:rPr>
        <w:t>803.3</w:t>
      </w:r>
      <w:r w:rsidRPr="00C277C0">
        <w:rPr>
          <w:rFonts w:eastAsia="宋体" w:hint="eastAsia"/>
          <w:snapToGrid w:val="0"/>
          <w:lang w:eastAsia="zh-CN"/>
        </w:rPr>
        <w:t>（</w:t>
      </w:r>
      <w:r w:rsidRPr="00C277C0">
        <w:rPr>
          <w:rFonts w:eastAsia="宋体" w:hint="eastAsia"/>
          <w:snapToGrid w:val="0"/>
          <w:lang w:eastAsia="zh-CN"/>
        </w:rPr>
        <w:t>w</w:t>
      </w:r>
      <w:r w:rsidRPr="00C277C0">
        <w:rPr>
          <w:rFonts w:eastAsia="宋体" w:hint="eastAsia"/>
          <w:snapToGrid w:val="0"/>
          <w:lang w:eastAsia="zh-CN"/>
        </w:rPr>
        <w:t>）</w:t>
      </w:r>
      <w:r w:rsidR="00FC6B22" w:rsidRPr="00C277C0">
        <w:rPr>
          <w:rFonts w:eastAsia="宋体" w:hint="eastAsia"/>
          <w:snapToGrid w:val="0"/>
          <w:lang w:eastAsia="zh-CN"/>
        </w:rPr>
        <w:t>节</w:t>
      </w:r>
      <w:r w:rsidRPr="00C277C0">
        <w:rPr>
          <w:rFonts w:eastAsia="宋体" w:hint="eastAsia"/>
          <w:snapToGrid w:val="0"/>
          <w:lang w:eastAsia="zh-CN"/>
        </w:rPr>
        <w:t>所述，</w:t>
      </w:r>
      <w:r w:rsidR="006D76A7" w:rsidRPr="00B403CB">
        <w:rPr>
          <w:rFonts w:ascii="宋体" w:eastAsia="宋体" w:hAnsi="宋体" w:hint="eastAsia"/>
          <w:lang w:eastAsia="zh-CN"/>
        </w:rPr>
        <w:t>“</w:t>
      </w:r>
      <w:r w:rsidRPr="00C277C0">
        <w:rPr>
          <w:rFonts w:eastAsia="宋体" w:hint="eastAsia"/>
          <w:snapToGrid w:val="0"/>
          <w:lang w:eastAsia="zh-CN"/>
        </w:rPr>
        <w:t>重伤</w:t>
      </w:r>
      <w:r w:rsidR="006D76A7" w:rsidRPr="00B403CB">
        <w:rPr>
          <w:rFonts w:ascii="宋体" w:eastAsia="宋体" w:hAnsi="宋体" w:hint="eastAsia"/>
          <w:lang w:eastAsia="zh-CN"/>
        </w:rPr>
        <w:t>”</w:t>
      </w:r>
      <w:r w:rsidRPr="00C277C0">
        <w:rPr>
          <w:rFonts w:eastAsia="宋体" w:hint="eastAsia"/>
          <w:snapToGrid w:val="0"/>
          <w:lang w:eastAsia="zh-CN"/>
        </w:rPr>
        <w:t>是指</w:t>
      </w:r>
      <w:r w:rsidR="006D76A7" w:rsidRPr="00B403CB">
        <w:rPr>
          <w:rFonts w:ascii="宋体" w:eastAsia="宋体" w:hAnsi="宋体" w:hint="eastAsia"/>
          <w:lang w:eastAsia="zh-CN"/>
        </w:rPr>
        <w:t>“</w:t>
      </w:r>
      <w:r w:rsidRPr="00C277C0">
        <w:rPr>
          <w:rFonts w:eastAsia="宋体" w:hint="eastAsia"/>
          <w:snapToGrid w:val="0"/>
          <w:lang w:eastAsia="zh-CN"/>
        </w:rPr>
        <w:t>以下伤害或疾病：（</w:t>
      </w:r>
      <w:r w:rsidRPr="00C277C0">
        <w:rPr>
          <w:rFonts w:eastAsia="宋体" w:hint="eastAsia"/>
          <w:snapToGrid w:val="0"/>
          <w:lang w:eastAsia="zh-CN"/>
        </w:rPr>
        <w:t>1</w:t>
      </w:r>
      <w:r w:rsidRPr="00C277C0">
        <w:rPr>
          <w:rFonts w:eastAsia="宋体" w:hint="eastAsia"/>
          <w:snapToGrid w:val="0"/>
          <w:lang w:eastAsia="zh-CN"/>
        </w:rPr>
        <w:t>）危及生命，（</w:t>
      </w:r>
      <w:r w:rsidRPr="00C277C0">
        <w:rPr>
          <w:rFonts w:eastAsia="宋体" w:hint="eastAsia"/>
          <w:snapToGrid w:val="0"/>
          <w:lang w:eastAsia="zh-CN"/>
        </w:rPr>
        <w:t>2</w:t>
      </w:r>
      <w:r w:rsidRPr="00C277C0">
        <w:rPr>
          <w:rFonts w:eastAsia="宋体" w:hint="eastAsia"/>
          <w:snapToGrid w:val="0"/>
          <w:lang w:eastAsia="zh-CN"/>
        </w:rPr>
        <w:t>）导致身体机能永久性损伤或身体结构永久性损伤，或（</w:t>
      </w:r>
      <w:r w:rsidRPr="00C277C0">
        <w:rPr>
          <w:rFonts w:eastAsia="宋体" w:hint="eastAsia"/>
          <w:snapToGrid w:val="0"/>
          <w:lang w:eastAsia="zh-CN"/>
        </w:rPr>
        <w:t>3</w:t>
      </w:r>
      <w:r w:rsidRPr="00C277C0">
        <w:rPr>
          <w:rFonts w:eastAsia="宋体" w:hint="eastAsia"/>
          <w:snapToGrid w:val="0"/>
          <w:lang w:eastAsia="zh-CN"/>
        </w:rPr>
        <w:t>）需要医疗或手术干预，以防止身体机能的永久性损伤或身体结构的永久性损伤。永久性系指身体结构或机能的不可逆</w:t>
      </w:r>
      <w:r w:rsidR="00AA5008" w:rsidRPr="00C277C0">
        <w:rPr>
          <w:rFonts w:eastAsia="宋体" w:hint="eastAsia"/>
          <w:snapToGrid w:val="0"/>
          <w:lang w:eastAsia="zh-CN"/>
        </w:rPr>
        <w:t>损伤</w:t>
      </w:r>
      <w:r w:rsidRPr="00C277C0">
        <w:rPr>
          <w:rFonts w:eastAsia="宋体" w:hint="eastAsia"/>
          <w:snapToGrid w:val="0"/>
          <w:lang w:eastAsia="zh-CN"/>
        </w:rPr>
        <w:t>或损</w:t>
      </w:r>
      <w:r w:rsidR="00AA5008" w:rsidRPr="00C277C0">
        <w:rPr>
          <w:rFonts w:eastAsia="宋体" w:hint="eastAsia"/>
          <w:snapToGrid w:val="0"/>
          <w:lang w:eastAsia="zh-CN"/>
        </w:rPr>
        <w:t>害</w:t>
      </w:r>
      <w:r w:rsidRPr="00C277C0">
        <w:rPr>
          <w:rFonts w:eastAsia="宋体" w:hint="eastAsia"/>
          <w:snapToGrid w:val="0"/>
          <w:lang w:eastAsia="zh-CN"/>
        </w:rPr>
        <w:t>，不包括小损伤或损害。</w:t>
      </w:r>
      <w:r w:rsidR="006D76A7" w:rsidRPr="00B403CB">
        <w:rPr>
          <w:rFonts w:ascii="宋体" w:eastAsia="宋体" w:hAnsi="宋体" w:hint="eastAsia"/>
          <w:lang w:eastAsia="zh-CN"/>
        </w:rPr>
        <w:t>”</w:t>
      </w:r>
    </w:p>
    <w:p w:rsidR="00C1273A" w:rsidRPr="00C277C0" w:rsidRDefault="00C1273A" w:rsidP="00B403CB">
      <w:pPr>
        <w:pStyle w:val="a3"/>
        <w:autoSpaceDE/>
        <w:autoSpaceDN/>
        <w:snapToGrid w:val="0"/>
        <w:ind w:leftChars="400" w:left="880"/>
        <w:jc w:val="both"/>
        <w:rPr>
          <w:rFonts w:eastAsia="宋体"/>
          <w:snapToGrid w:val="0"/>
          <w:lang w:eastAsia="zh-CN"/>
        </w:rPr>
      </w:pPr>
    </w:p>
    <w:p w:rsidR="00C1273A" w:rsidRPr="00C277C0" w:rsidRDefault="00CD5253"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故障</w:t>
      </w:r>
      <w:r w:rsidR="00C55B83" w:rsidRPr="00C277C0">
        <w:rPr>
          <w:rFonts w:eastAsia="宋体" w:hint="eastAsia"/>
          <w:i/>
          <w:snapToGrid w:val="0"/>
          <w:lang w:eastAsia="zh-CN"/>
        </w:rPr>
        <w:t>报告</w:t>
      </w:r>
      <w:r w:rsidR="00097329" w:rsidRPr="00C277C0">
        <w:rPr>
          <w:rFonts w:eastAsia="宋体" w:hint="eastAsia"/>
          <w:i/>
          <w:snapToGrid w:val="0"/>
          <w:lang w:eastAsia="zh-CN"/>
        </w:rPr>
        <w:t>和</w:t>
      </w:r>
      <w:r w:rsidR="00097329" w:rsidRPr="00C277C0">
        <w:rPr>
          <w:rFonts w:eastAsia="宋体" w:hint="eastAsia"/>
          <w:i/>
          <w:snapToGrid w:val="0"/>
          <w:lang w:eastAsia="zh-CN"/>
        </w:rPr>
        <w:t>15</w:t>
      </w:r>
      <w:r w:rsidR="00097329" w:rsidRPr="00C277C0">
        <w:rPr>
          <w:rFonts w:eastAsia="宋体" w:hint="eastAsia"/>
          <w:i/>
          <w:snapToGrid w:val="0"/>
          <w:lang w:eastAsia="zh-CN"/>
        </w:rPr>
        <w:t>天报告</w:t>
      </w:r>
      <w:r w:rsidR="00097329" w:rsidRPr="00B403CB">
        <w:rPr>
          <w:rFonts w:eastAsia="宋体" w:hint="eastAsia"/>
          <w:i/>
          <w:lang w:eastAsia="zh-CN"/>
        </w:rPr>
        <w:t>。</w:t>
      </w:r>
      <w:r w:rsidR="00097329" w:rsidRPr="00C277C0">
        <w:rPr>
          <w:rFonts w:eastAsia="宋体" w:hint="eastAsia"/>
          <w:snapToGrid w:val="0"/>
          <w:lang w:eastAsia="zh-CN"/>
        </w:rPr>
        <w:t>特别注意，对于包含器械组成部分并根据</w:t>
      </w:r>
      <w:r w:rsidR="00097329" w:rsidRPr="00C277C0">
        <w:rPr>
          <w:rFonts w:eastAsia="宋体" w:hint="eastAsia"/>
          <w:snapToGrid w:val="0"/>
          <w:lang w:eastAsia="zh-CN"/>
        </w:rPr>
        <w:t>ANDA</w:t>
      </w:r>
      <w:r w:rsidR="00097329" w:rsidRPr="00C277C0">
        <w:rPr>
          <w:rFonts w:eastAsia="宋体" w:hint="eastAsia"/>
          <w:snapToGrid w:val="0"/>
          <w:lang w:eastAsia="zh-CN"/>
        </w:rPr>
        <w:t>、</w:t>
      </w:r>
      <w:r w:rsidR="00097329" w:rsidRPr="00C277C0">
        <w:rPr>
          <w:rFonts w:eastAsia="宋体" w:hint="eastAsia"/>
          <w:snapToGrid w:val="0"/>
          <w:lang w:eastAsia="zh-CN"/>
        </w:rPr>
        <w:t>NDA</w:t>
      </w:r>
      <w:r w:rsidR="00097329" w:rsidRPr="00C277C0">
        <w:rPr>
          <w:rFonts w:eastAsia="宋体" w:hint="eastAsia"/>
          <w:snapToGrid w:val="0"/>
          <w:lang w:eastAsia="zh-CN"/>
        </w:rPr>
        <w:t>或</w:t>
      </w:r>
      <w:r w:rsidR="00097329" w:rsidRPr="00C277C0">
        <w:rPr>
          <w:rFonts w:eastAsia="宋体" w:hint="eastAsia"/>
          <w:snapToGrid w:val="0"/>
          <w:lang w:eastAsia="zh-CN"/>
        </w:rPr>
        <w:t>BLA</w:t>
      </w:r>
      <w:r w:rsidR="00097329" w:rsidRPr="00C277C0">
        <w:rPr>
          <w:rFonts w:eastAsia="宋体" w:hint="eastAsia"/>
          <w:snapToGrid w:val="0"/>
          <w:lang w:eastAsia="zh-CN"/>
        </w:rPr>
        <w:t>上市的组合产品，如果信息合理地表明该严重且非预期的不良经历（</w:t>
      </w:r>
      <w:r w:rsidR="00C81103">
        <w:rPr>
          <w:rFonts w:eastAsia="宋体" w:hint="eastAsia"/>
          <w:snapToGrid w:val="0"/>
          <w:lang w:eastAsia="zh-CN"/>
        </w:rPr>
        <w:t>参</w:t>
      </w:r>
      <w:r w:rsidR="00097329" w:rsidRPr="00C277C0">
        <w:rPr>
          <w:rFonts w:eastAsia="宋体" w:hint="eastAsia"/>
          <w:snapToGrid w:val="0"/>
          <w:lang w:eastAsia="zh-CN"/>
        </w:rPr>
        <w:t>见脚注</w:t>
      </w:r>
      <w:r w:rsidR="00097329" w:rsidRPr="00C277C0">
        <w:rPr>
          <w:rFonts w:eastAsia="宋体" w:hint="eastAsia"/>
          <w:snapToGrid w:val="0"/>
          <w:lang w:eastAsia="zh-CN"/>
        </w:rPr>
        <w:t>21</w:t>
      </w:r>
      <w:r w:rsidR="00097329" w:rsidRPr="00C277C0">
        <w:rPr>
          <w:rFonts w:eastAsia="宋体" w:hint="eastAsia"/>
          <w:snapToGrid w:val="0"/>
          <w:lang w:eastAsia="zh-CN"/>
        </w:rPr>
        <w:t>和相关文本）是由</w:t>
      </w:r>
      <w:r w:rsidR="0045208E" w:rsidRPr="00C277C0">
        <w:rPr>
          <w:rFonts w:eastAsia="宋体" w:hint="eastAsia"/>
          <w:snapToGrid w:val="0"/>
          <w:lang w:eastAsia="zh-CN"/>
        </w:rPr>
        <w:t>故障</w:t>
      </w:r>
      <w:r w:rsidR="00097329" w:rsidRPr="00C277C0">
        <w:rPr>
          <w:rFonts w:eastAsia="宋体" w:hint="eastAsia"/>
          <w:snapToGrid w:val="0"/>
          <w:lang w:eastAsia="zh-CN"/>
        </w:rPr>
        <w:t>引起或促成的，则除了</w:t>
      </w:r>
      <w:r w:rsidR="00097329" w:rsidRPr="00C277C0">
        <w:rPr>
          <w:rFonts w:eastAsia="宋体" w:hint="eastAsia"/>
          <w:snapToGrid w:val="0"/>
          <w:lang w:eastAsia="zh-CN"/>
        </w:rPr>
        <w:t>15</w:t>
      </w:r>
      <w:r w:rsidR="00097329" w:rsidRPr="00C277C0">
        <w:rPr>
          <w:rFonts w:eastAsia="宋体" w:hint="eastAsia"/>
          <w:snapToGrid w:val="0"/>
          <w:lang w:eastAsia="zh-CN"/>
        </w:rPr>
        <w:t>天报告外，还需要一份</w:t>
      </w:r>
      <w:r w:rsidR="00BF5FF8" w:rsidRPr="00C277C0">
        <w:rPr>
          <w:rFonts w:eastAsia="宋体" w:hint="eastAsia"/>
          <w:snapToGrid w:val="0"/>
          <w:lang w:eastAsia="zh-CN"/>
        </w:rPr>
        <w:t>故障</w:t>
      </w:r>
      <w:r w:rsidR="00C55B83" w:rsidRPr="00C277C0">
        <w:rPr>
          <w:rFonts w:eastAsia="宋体" w:hint="eastAsia"/>
          <w:snapToGrid w:val="0"/>
          <w:lang w:eastAsia="zh-CN"/>
        </w:rPr>
        <w:t>报告</w:t>
      </w:r>
      <w:r w:rsidR="00097329" w:rsidRPr="00C277C0">
        <w:rPr>
          <w:rFonts w:eastAsia="宋体" w:hint="eastAsia"/>
          <w:snapToGrid w:val="0"/>
          <w:lang w:eastAsia="zh-CN"/>
        </w:rPr>
        <w:t>（</w:t>
      </w:r>
      <w:r w:rsidR="00C81103">
        <w:rPr>
          <w:rFonts w:eastAsia="宋体" w:hint="eastAsia"/>
          <w:snapToGrid w:val="0"/>
          <w:lang w:eastAsia="zh-CN"/>
        </w:rPr>
        <w:t>参</w:t>
      </w:r>
      <w:r w:rsidR="00097329"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00097329" w:rsidRPr="00C277C0">
        <w:rPr>
          <w:rFonts w:eastAsia="宋体" w:hint="eastAsia"/>
          <w:snapToGrid w:val="0"/>
          <w:lang w:eastAsia="zh-CN"/>
        </w:rPr>
        <w:t>4.102</w:t>
      </w:r>
      <w:r w:rsidR="006D76A7" w:rsidRPr="00C277C0">
        <w:rPr>
          <w:rFonts w:eastAsia="宋体" w:hint="eastAsia"/>
          <w:snapToGrid w:val="0"/>
          <w:lang w:eastAsia="zh-CN"/>
        </w:rPr>
        <w:t>（</w:t>
      </w:r>
      <w:r w:rsidR="00097329" w:rsidRPr="00C277C0">
        <w:rPr>
          <w:rFonts w:eastAsia="宋体" w:hint="eastAsia"/>
          <w:snapToGrid w:val="0"/>
          <w:lang w:eastAsia="zh-CN"/>
        </w:rPr>
        <w:t>c</w:t>
      </w:r>
      <w:r w:rsidR="006D76A7" w:rsidRPr="00C277C0">
        <w:rPr>
          <w:rFonts w:eastAsia="宋体" w:hint="eastAsia"/>
          <w:snapToGrid w:val="0"/>
          <w:lang w:eastAsia="zh-CN"/>
        </w:rPr>
        <w:t>）（</w:t>
      </w:r>
      <w:r w:rsidR="00097329" w:rsidRPr="00C277C0">
        <w:rPr>
          <w:rFonts w:eastAsia="宋体" w:hint="eastAsia"/>
          <w:snapToGrid w:val="0"/>
          <w:lang w:eastAsia="zh-CN"/>
        </w:rPr>
        <w:t>1</w:t>
      </w:r>
      <w:r w:rsidR="006D76A7" w:rsidRPr="00C277C0">
        <w:rPr>
          <w:rFonts w:eastAsia="宋体" w:hint="eastAsia"/>
          <w:snapToGrid w:val="0"/>
          <w:lang w:eastAsia="zh-CN"/>
        </w:rPr>
        <w:t>）（</w:t>
      </w:r>
      <w:r w:rsidR="00097329" w:rsidRPr="00C277C0">
        <w:rPr>
          <w:rFonts w:eastAsia="宋体" w:hint="eastAsia"/>
          <w:snapToGrid w:val="0"/>
          <w:lang w:eastAsia="zh-CN"/>
        </w:rPr>
        <w:t>ii</w:t>
      </w:r>
      <w:r w:rsidR="006D76A7" w:rsidRPr="00C277C0">
        <w:rPr>
          <w:rFonts w:eastAsia="宋体" w:hint="eastAsia"/>
          <w:snapToGrid w:val="0"/>
          <w:lang w:eastAsia="zh-CN"/>
        </w:rPr>
        <w:t>）</w:t>
      </w:r>
      <w:r w:rsidR="00097329" w:rsidRPr="00C277C0">
        <w:rPr>
          <w:rFonts w:eastAsia="宋体" w:hint="eastAsia"/>
          <w:snapToGrid w:val="0"/>
          <w:lang w:eastAsia="zh-CN"/>
        </w:rPr>
        <w:t>、</w:t>
      </w:r>
      <w:r w:rsidR="00097329" w:rsidRPr="00C277C0">
        <w:rPr>
          <w:rFonts w:eastAsia="宋体" w:hint="eastAsia"/>
          <w:snapToGrid w:val="0"/>
          <w:lang w:eastAsia="zh-CN"/>
        </w:rPr>
        <w:t>314.80</w:t>
      </w:r>
      <w:r w:rsidR="00097329" w:rsidRPr="00C277C0">
        <w:rPr>
          <w:rFonts w:eastAsia="宋体" w:hint="eastAsia"/>
          <w:snapToGrid w:val="0"/>
          <w:lang w:eastAsia="zh-CN"/>
        </w:rPr>
        <w:t>、</w:t>
      </w:r>
      <w:r w:rsidR="00097329" w:rsidRPr="00C277C0">
        <w:rPr>
          <w:rFonts w:eastAsia="宋体" w:hint="eastAsia"/>
          <w:snapToGrid w:val="0"/>
          <w:lang w:eastAsia="zh-CN"/>
        </w:rPr>
        <w:t>600.80</w:t>
      </w:r>
      <w:r w:rsidR="00097329" w:rsidRPr="00C277C0">
        <w:rPr>
          <w:rFonts w:eastAsia="宋体" w:hint="eastAsia"/>
          <w:snapToGrid w:val="0"/>
          <w:lang w:eastAsia="zh-CN"/>
        </w:rPr>
        <w:t>和</w:t>
      </w:r>
      <w:r w:rsidR="00097329" w:rsidRPr="00C277C0">
        <w:rPr>
          <w:rFonts w:eastAsia="宋体" w:hint="eastAsia"/>
          <w:snapToGrid w:val="0"/>
          <w:lang w:eastAsia="zh-CN"/>
        </w:rPr>
        <w:t>803.50</w:t>
      </w:r>
      <w:r w:rsidR="00FC6B22" w:rsidRPr="00C277C0">
        <w:rPr>
          <w:rFonts w:eastAsia="宋体" w:hint="eastAsia"/>
          <w:snapToGrid w:val="0"/>
          <w:lang w:eastAsia="zh-CN"/>
        </w:rPr>
        <w:t>节</w:t>
      </w:r>
      <w:r w:rsidR="00097329" w:rsidRPr="00C277C0">
        <w:rPr>
          <w:rFonts w:eastAsia="宋体" w:hint="eastAsia"/>
          <w:snapToGrid w:val="0"/>
          <w:lang w:eastAsia="zh-CN"/>
        </w:rPr>
        <w:t>）。</w:t>
      </w:r>
    </w:p>
    <w:p w:rsidR="00C1273A" w:rsidRPr="00C277C0" w:rsidRDefault="00C825F0" w:rsidP="00C1273A">
      <w:pPr>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br w:type="page"/>
      </w:r>
    </w:p>
    <w:p w:rsidR="00C1273A" w:rsidRPr="00C277C0" w:rsidRDefault="00C1273A" w:rsidP="00B403CB">
      <w:pPr>
        <w:autoSpaceDE/>
        <w:autoSpaceDN/>
        <w:snapToGrid w:val="0"/>
        <w:jc w:val="both"/>
        <w:rPr>
          <w:rFonts w:eastAsia="宋体"/>
          <w:snapToGrid w:val="0"/>
          <w:sz w:val="24"/>
          <w:szCs w:val="24"/>
          <w:lang w:eastAsia="zh-CN"/>
        </w:rPr>
      </w:pPr>
    </w:p>
    <w:p w:rsidR="00C1273A" w:rsidRPr="00C277C0" w:rsidRDefault="00097329" w:rsidP="00C1273A">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例如，</w:t>
      </w:r>
      <w:r w:rsidRPr="00C277C0">
        <w:rPr>
          <w:rFonts w:eastAsia="宋体" w:hint="eastAsia"/>
          <w:snapToGrid w:val="0"/>
          <w:lang w:eastAsia="zh-CN"/>
        </w:rPr>
        <w:t>NDA</w:t>
      </w:r>
      <w:r w:rsidRPr="00C277C0">
        <w:rPr>
          <w:rFonts w:eastAsia="宋体" w:hint="eastAsia"/>
          <w:snapToGrid w:val="0"/>
          <w:lang w:eastAsia="zh-CN"/>
        </w:rPr>
        <w:t>批准的药品和输液套件组合包装发生过量输液相关的严重非预期不良事件后，组合产品申请人确定需要提交</w:t>
      </w:r>
      <w:r w:rsidRPr="00C277C0">
        <w:rPr>
          <w:rFonts w:eastAsia="宋体" w:hint="eastAsia"/>
          <w:snapToGrid w:val="0"/>
          <w:lang w:eastAsia="zh-CN"/>
        </w:rPr>
        <w:t>15</w:t>
      </w:r>
      <w:r w:rsidRPr="00C277C0">
        <w:rPr>
          <w:rFonts w:eastAsia="宋体" w:hint="eastAsia"/>
          <w:snapToGrid w:val="0"/>
          <w:lang w:eastAsia="zh-CN"/>
        </w:rPr>
        <w:t>天报告。提交</w:t>
      </w:r>
      <w:r w:rsidRPr="00C277C0">
        <w:rPr>
          <w:rFonts w:eastAsia="宋体" w:hint="eastAsia"/>
          <w:snapToGrid w:val="0"/>
          <w:lang w:eastAsia="zh-CN"/>
        </w:rPr>
        <w:t>15</w:t>
      </w:r>
      <w:r w:rsidRPr="00C277C0">
        <w:rPr>
          <w:rFonts w:eastAsia="宋体" w:hint="eastAsia"/>
          <w:snapToGrid w:val="0"/>
          <w:lang w:eastAsia="zh-CN"/>
        </w:rPr>
        <w:t>天报告后，申请人确定该输液套件不符合其质量标准可能导致或促成了该事件。在这种情况下，还必须提交</w:t>
      </w:r>
      <w:r w:rsidR="00EB0CD9"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w:t>
      </w:r>
      <w:r w:rsidR="004A5688">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Pr="00C277C0">
        <w:rPr>
          <w:rFonts w:eastAsia="宋体" w:hint="eastAsia"/>
          <w:snapToGrid w:val="0"/>
          <w:lang w:eastAsia="zh-CN"/>
        </w:rPr>
        <w:t>803.3</w:t>
      </w:r>
      <w:r w:rsidR="006D76A7" w:rsidRPr="00C277C0">
        <w:rPr>
          <w:rFonts w:eastAsia="宋体" w:hint="eastAsia"/>
          <w:snapToGrid w:val="0"/>
          <w:lang w:eastAsia="zh-CN"/>
        </w:rPr>
        <w:t>（</w:t>
      </w:r>
      <w:r w:rsidRPr="00C277C0">
        <w:rPr>
          <w:rFonts w:eastAsia="宋体" w:hint="eastAsia"/>
          <w:snapToGrid w:val="0"/>
          <w:lang w:eastAsia="zh-CN"/>
        </w:rPr>
        <w:t>k</w:t>
      </w:r>
      <w:r w:rsidR="006D76A7"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803.50</w:t>
      </w:r>
      <w:r w:rsidR="00FC6B22" w:rsidRPr="00C277C0">
        <w:rPr>
          <w:rFonts w:eastAsia="宋体" w:hint="eastAsia"/>
          <w:snapToGrid w:val="0"/>
          <w:lang w:eastAsia="zh-CN"/>
        </w:rPr>
        <w:t>节</w:t>
      </w:r>
      <w:r w:rsidRPr="00C277C0">
        <w:rPr>
          <w:rFonts w:eastAsia="宋体" w:hint="eastAsia"/>
          <w:snapToGrid w:val="0"/>
          <w:lang w:eastAsia="zh-CN"/>
        </w:rPr>
        <w:t>），并应作为首次</w:t>
      </w:r>
      <w:r w:rsidRPr="00C277C0">
        <w:rPr>
          <w:rFonts w:eastAsia="宋体" w:hint="eastAsia"/>
          <w:snapToGrid w:val="0"/>
          <w:lang w:eastAsia="zh-CN"/>
        </w:rPr>
        <w:t>15</w:t>
      </w:r>
      <w:r w:rsidRPr="00C277C0">
        <w:rPr>
          <w:rFonts w:eastAsia="宋体" w:hint="eastAsia"/>
          <w:snapToGrid w:val="0"/>
          <w:lang w:eastAsia="zh-CN"/>
        </w:rPr>
        <w:t>天报告的</w:t>
      </w:r>
      <w:r w:rsidR="00C55B83" w:rsidRPr="00C277C0">
        <w:rPr>
          <w:rFonts w:eastAsia="宋体" w:hint="eastAsia"/>
          <w:snapToGrid w:val="0"/>
          <w:lang w:eastAsia="zh-CN"/>
        </w:rPr>
        <w:t>后续报告</w:t>
      </w:r>
      <w:r w:rsidRPr="00C277C0">
        <w:rPr>
          <w:rFonts w:eastAsia="宋体" w:hint="eastAsia"/>
          <w:snapToGrid w:val="0"/>
          <w:lang w:eastAsia="zh-CN"/>
        </w:rPr>
        <w:t>提交，确定为</w:t>
      </w:r>
      <w:r w:rsidR="00EB0CD9"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w:t>
      </w:r>
      <w:r w:rsidR="00FE2212" w:rsidRPr="00C277C0">
        <w:rPr>
          <w:rStyle w:val="af4"/>
          <w:rFonts w:eastAsia="宋体" w:hint="eastAsia"/>
          <w:snapToGrid w:val="0"/>
          <w:lang w:eastAsia="zh-CN"/>
        </w:rPr>
        <w:footnoteReference w:id="27"/>
      </w:r>
      <w:r w:rsidRPr="00C277C0">
        <w:rPr>
          <w:rFonts w:eastAsia="宋体" w:hint="eastAsia"/>
          <w:snapToGrid w:val="0"/>
          <w:lang w:eastAsia="zh-CN"/>
        </w:rPr>
        <w:t>如果该报告在申请人获知可报告</w:t>
      </w:r>
      <w:r w:rsidR="00A65255" w:rsidRPr="00C277C0">
        <w:rPr>
          <w:rFonts w:eastAsia="宋体" w:hint="eastAsia"/>
          <w:snapToGrid w:val="0"/>
          <w:lang w:eastAsia="zh-CN"/>
        </w:rPr>
        <w:t>故障</w:t>
      </w:r>
      <w:r w:rsidRPr="00C277C0">
        <w:rPr>
          <w:rFonts w:eastAsia="宋体" w:hint="eastAsia"/>
          <w:snapToGrid w:val="0"/>
          <w:lang w:eastAsia="zh-CN"/>
        </w:rPr>
        <w:t>之后</w:t>
      </w:r>
      <w:r w:rsidRPr="00C277C0">
        <w:rPr>
          <w:rFonts w:eastAsia="宋体" w:hint="eastAsia"/>
          <w:snapToGrid w:val="0"/>
          <w:lang w:eastAsia="zh-CN"/>
        </w:rPr>
        <w:t>30</w:t>
      </w:r>
      <w:r w:rsidRPr="00C277C0">
        <w:rPr>
          <w:rFonts w:eastAsia="宋体" w:hint="eastAsia"/>
          <w:snapToGrid w:val="0"/>
          <w:lang w:eastAsia="zh-CN"/>
        </w:rPr>
        <w:t>个日历日内提交，</w:t>
      </w:r>
      <w:r w:rsidRPr="00C277C0">
        <w:rPr>
          <w:rFonts w:eastAsia="宋体" w:hint="eastAsia"/>
          <w:snapToGrid w:val="0"/>
          <w:lang w:eastAsia="zh-CN"/>
        </w:rPr>
        <w:t>FDA</w:t>
      </w:r>
      <w:r w:rsidRPr="00C277C0">
        <w:rPr>
          <w:rFonts w:eastAsia="宋体" w:hint="eastAsia"/>
          <w:snapToGrid w:val="0"/>
          <w:lang w:eastAsia="zh-CN"/>
        </w:rPr>
        <w:t>也不反对（另见下文第</w:t>
      </w:r>
      <w:r w:rsidR="00C8689A" w:rsidRPr="00C277C0">
        <w:rPr>
          <w:rFonts w:eastAsia="宋体" w:hint="eastAsia"/>
          <w:snapToGrid w:val="0"/>
          <w:lang w:eastAsia="zh-CN"/>
        </w:rPr>
        <w:t>IV</w:t>
      </w:r>
      <w:r w:rsidR="00C0232D" w:rsidRPr="00C277C0">
        <w:rPr>
          <w:rFonts w:eastAsia="宋体" w:hint="eastAsia"/>
          <w:snapToGrid w:val="0"/>
          <w:lang w:eastAsia="zh-CN"/>
        </w:rPr>
        <w:t>.</w:t>
      </w:r>
      <w:r w:rsidRPr="00C277C0">
        <w:rPr>
          <w:rFonts w:eastAsia="宋体" w:hint="eastAsia"/>
          <w:snapToGrid w:val="0"/>
          <w:lang w:eastAsia="zh-CN"/>
        </w:rPr>
        <w:t>A.4</w:t>
      </w:r>
      <w:r w:rsidRPr="00C277C0">
        <w:rPr>
          <w:rFonts w:eastAsia="宋体" w:hint="eastAsia"/>
          <w:snapToGrid w:val="0"/>
          <w:lang w:eastAsia="zh-CN"/>
        </w:rPr>
        <w:t>节对后续报告的讨论）。</w:t>
      </w:r>
      <w:r w:rsidR="00FE2212" w:rsidRPr="00C277C0">
        <w:rPr>
          <w:rStyle w:val="af4"/>
          <w:rFonts w:eastAsia="宋体" w:hint="eastAsia"/>
          <w:snapToGrid w:val="0"/>
          <w:lang w:eastAsia="zh-CN"/>
        </w:rPr>
        <w:footnoteReference w:id="28"/>
      </w:r>
    </w:p>
    <w:p w:rsidR="00C1273A" w:rsidRPr="00C277C0" w:rsidRDefault="00C1273A" w:rsidP="00B403CB">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若不需要</w:t>
      </w:r>
      <w:r w:rsidRPr="00C277C0">
        <w:rPr>
          <w:rFonts w:eastAsia="宋体" w:hint="eastAsia"/>
          <w:snapToGrid w:val="0"/>
          <w:lang w:eastAsia="zh-CN"/>
        </w:rPr>
        <w:t>15</w:t>
      </w:r>
      <w:r w:rsidRPr="00C277C0">
        <w:rPr>
          <w:rFonts w:eastAsia="宋体" w:hint="eastAsia"/>
          <w:snapToGrid w:val="0"/>
          <w:lang w:eastAsia="zh-CN"/>
        </w:rPr>
        <w:t>天报告时，也可能需要</w:t>
      </w:r>
      <w:r w:rsidR="00A65255"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。例如，</w:t>
      </w:r>
      <w:r w:rsidRPr="00C277C0">
        <w:rPr>
          <w:rFonts w:eastAsia="宋体" w:hint="eastAsia"/>
          <w:snapToGrid w:val="0"/>
          <w:lang w:eastAsia="zh-CN"/>
        </w:rPr>
        <w:t>NDA</w:t>
      </w:r>
      <w:r w:rsidRPr="00C277C0">
        <w:rPr>
          <w:rFonts w:eastAsia="宋体" w:hint="eastAsia"/>
          <w:snapToGrid w:val="0"/>
          <w:lang w:eastAsia="zh-CN"/>
        </w:rPr>
        <w:t>申请人收到一份报告称医务人员在使用前发现组合包装注射器的无菌屏障受损，并在注射器用于患者前将其丢弃。因为没有不良事件，所以不需要</w:t>
      </w:r>
      <w:r w:rsidRPr="00C277C0">
        <w:rPr>
          <w:rFonts w:eastAsia="宋体" w:hint="eastAsia"/>
          <w:snapToGrid w:val="0"/>
          <w:lang w:eastAsia="zh-CN"/>
        </w:rPr>
        <w:t>15</w:t>
      </w:r>
      <w:r w:rsidRPr="00C277C0">
        <w:rPr>
          <w:rFonts w:eastAsia="宋体" w:hint="eastAsia"/>
          <w:snapToGrid w:val="0"/>
          <w:lang w:eastAsia="zh-CN"/>
        </w:rPr>
        <w:t>天报告；但是，如果无菌屏障破坏</w:t>
      </w:r>
      <w:r w:rsidR="00F80C02" w:rsidRPr="00C277C0">
        <w:rPr>
          <w:rFonts w:eastAsia="宋体" w:hint="eastAsia"/>
          <w:snapToGrid w:val="0"/>
          <w:lang w:eastAsia="zh-CN"/>
        </w:rPr>
        <w:t>再次发生且</w:t>
      </w:r>
      <w:r w:rsidRPr="00C277C0">
        <w:rPr>
          <w:rFonts w:eastAsia="宋体" w:hint="eastAsia"/>
          <w:snapToGrid w:val="0"/>
          <w:lang w:eastAsia="zh-CN"/>
        </w:rPr>
        <w:t>可能导致或促成死亡或重伤（例如需要住院治疗的感染），则需要提交</w:t>
      </w:r>
      <w:r w:rsidR="00F80C02"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w:t>
      </w:r>
      <w:r w:rsidR="004A5688">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Pr="00C277C0">
        <w:rPr>
          <w:rFonts w:eastAsia="宋体" w:hint="eastAsia"/>
          <w:snapToGrid w:val="0"/>
          <w:lang w:eastAsia="zh-CN"/>
        </w:rPr>
        <w:t>4.102</w:t>
      </w:r>
      <w:r w:rsidR="006D76A7" w:rsidRPr="00C277C0">
        <w:rPr>
          <w:rFonts w:eastAsia="宋体" w:hint="eastAsia"/>
          <w:snapToGrid w:val="0"/>
          <w:lang w:eastAsia="zh-CN"/>
        </w:rPr>
        <w:t>（</w:t>
      </w:r>
      <w:r w:rsidRPr="00C277C0">
        <w:rPr>
          <w:rFonts w:eastAsia="宋体" w:hint="eastAsia"/>
          <w:snapToGrid w:val="0"/>
          <w:lang w:eastAsia="zh-CN"/>
        </w:rPr>
        <w:t>c</w:t>
      </w:r>
      <w:r w:rsidR="006D76A7" w:rsidRPr="00C277C0">
        <w:rPr>
          <w:rFonts w:eastAsia="宋体" w:hint="eastAsia"/>
          <w:snapToGrid w:val="0"/>
          <w:lang w:eastAsia="zh-CN"/>
        </w:rPr>
        <w:t>）（</w:t>
      </w:r>
      <w:r w:rsidRPr="00C277C0">
        <w:rPr>
          <w:rFonts w:eastAsia="宋体" w:hint="eastAsia"/>
          <w:snapToGrid w:val="0"/>
          <w:lang w:eastAsia="zh-CN"/>
        </w:rPr>
        <w:t>1</w:t>
      </w:r>
      <w:r w:rsidR="006D76A7" w:rsidRPr="00C277C0">
        <w:rPr>
          <w:rFonts w:eastAsia="宋体" w:hint="eastAsia"/>
          <w:snapToGrid w:val="0"/>
          <w:lang w:eastAsia="zh-CN"/>
        </w:rPr>
        <w:t>）（</w:t>
      </w:r>
      <w:r w:rsidRPr="00C277C0">
        <w:rPr>
          <w:rFonts w:eastAsia="宋体" w:hint="eastAsia"/>
          <w:snapToGrid w:val="0"/>
          <w:lang w:eastAsia="zh-CN"/>
        </w:rPr>
        <w:t>ii</w:t>
      </w:r>
      <w:r w:rsidR="006D76A7"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803.50</w:t>
      </w:r>
      <w:r w:rsidR="00FC6B22" w:rsidRPr="00C277C0">
        <w:rPr>
          <w:rFonts w:eastAsia="宋体" w:hint="eastAsia"/>
          <w:snapToGrid w:val="0"/>
          <w:lang w:eastAsia="zh-CN"/>
        </w:rPr>
        <w:t>节</w:t>
      </w:r>
      <w:r w:rsidRPr="00C277C0">
        <w:rPr>
          <w:rFonts w:eastAsia="宋体" w:hint="eastAsia"/>
          <w:snapToGrid w:val="0"/>
          <w:lang w:eastAsia="zh-CN"/>
        </w:rPr>
        <w:t>）。</w:t>
      </w:r>
      <w:r w:rsidR="007C0B34" w:rsidRPr="00C277C0">
        <w:rPr>
          <w:rFonts w:eastAsia="宋体" w:hint="eastAsia"/>
          <w:snapToGrid w:val="0"/>
          <w:lang w:eastAsia="zh-CN"/>
        </w:rPr>
        <w:t>同样</w:t>
      </w:r>
      <w:r w:rsidRPr="00C277C0">
        <w:rPr>
          <w:rFonts w:eastAsia="宋体" w:hint="eastAsia"/>
          <w:snapToGrid w:val="0"/>
          <w:lang w:eastAsia="zh-CN"/>
        </w:rPr>
        <w:t>，如果</w:t>
      </w:r>
      <w:r w:rsidRPr="00C277C0">
        <w:rPr>
          <w:rFonts w:eastAsia="宋体" w:hint="eastAsia"/>
          <w:snapToGrid w:val="0"/>
          <w:lang w:eastAsia="zh-CN"/>
        </w:rPr>
        <w:t>NDA</w:t>
      </w:r>
      <w:r w:rsidRPr="00C277C0">
        <w:rPr>
          <w:rFonts w:eastAsia="宋体" w:hint="eastAsia"/>
          <w:snapToGrid w:val="0"/>
          <w:lang w:eastAsia="zh-CN"/>
        </w:rPr>
        <w:t>申请人收到一份报告称，自动注射器的针头回缩较早，未给药或部分给药，</w:t>
      </w:r>
      <w:r w:rsidR="00925CD7" w:rsidRPr="00C277C0">
        <w:rPr>
          <w:rFonts w:eastAsia="宋体" w:hint="eastAsia"/>
          <w:snapToGrid w:val="0"/>
          <w:lang w:eastAsia="zh-CN"/>
        </w:rPr>
        <w:t>那么</w:t>
      </w:r>
      <w:r w:rsidRPr="00C277C0">
        <w:rPr>
          <w:rFonts w:eastAsia="宋体" w:hint="eastAsia"/>
          <w:snapToGrid w:val="0"/>
          <w:lang w:eastAsia="zh-CN"/>
        </w:rPr>
        <w:t>如果</w:t>
      </w:r>
      <w:r w:rsidR="007C0B34" w:rsidRPr="00C277C0">
        <w:rPr>
          <w:rFonts w:eastAsia="宋体" w:hint="eastAsia"/>
          <w:snapToGrid w:val="0"/>
          <w:lang w:eastAsia="zh-CN"/>
        </w:rPr>
        <w:t>故障</w:t>
      </w:r>
      <w:r w:rsidRPr="00C277C0">
        <w:rPr>
          <w:rFonts w:eastAsia="宋体" w:hint="eastAsia"/>
          <w:snapToGrid w:val="0"/>
          <w:lang w:eastAsia="zh-CN"/>
        </w:rPr>
        <w:t>再次发生</w:t>
      </w:r>
      <w:r w:rsidR="00925CD7" w:rsidRPr="00C277C0">
        <w:rPr>
          <w:rFonts w:eastAsia="宋体" w:hint="eastAsia"/>
          <w:snapToGrid w:val="0"/>
          <w:lang w:eastAsia="zh-CN"/>
        </w:rPr>
        <w:t>且</w:t>
      </w:r>
      <w:r w:rsidRPr="00C277C0">
        <w:rPr>
          <w:rFonts w:eastAsia="宋体" w:hint="eastAsia"/>
          <w:snapToGrid w:val="0"/>
          <w:lang w:eastAsia="zh-CN"/>
        </w:rPr>
        <w:t>产品可能导致或促成重伤或死亡，则</w:t>
      </w:r>
      <w:r w:rsidRPr="00C277C0">
        <w:rPr>
          <w:rFonts w:eastAsia="宋体" w:hint="eastAsia"/>
          <w:snapToGrid w:val="0"/>
          <w:lang w:eastAsia="zh-CN"/>
        </w:rPr>
        <w:t>NDA</w:t>
      </w:r>
      <w:r w:rsidRPr="00C277C0">
        <w:rPr>
          <w:rFonts w:eastAsia="宋体" w:hint="eastAsia"/>
          <w:snapToGrid w:val="0"/>
          <w:lang w:eastAsia="zh-CN"/>
        </w:rPr>
        <w:t>申请人必须提交一份</w:t>
      </w:r>
      <w:r w:rsidR="000646ED"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，即使报告的</w:t>
      </w:r>
      <w:r w:rsidR="000646ED" w:rsidRPr="00C277C0">
        <w:rPr>
          <w:rFonts w:eastAsia="宋体" w:hint="eastAsia"/>
          <w:snapToGrid w:val="0"/>
          <w:lang w:eastAsia="zh-CN"/>
        </w:rPr>
        <w:t>故障</w:t>
      </w:r>
      <w:r w:rsidRPr="00C277C0">
        <w:rPr>
          <w:rFonts w:eastAsia="宋体" w:hint="eastAsia"/>
          <w:snapToGrid w:val="0"/>
          <w:lang w:eastAsia="zh-CN"/>
        </w:rPr>
        <w:t>事件未导致患者受伤或死亡（</w:t>
      </w:r>
      <w:r w:rsidR="004A5688">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Pr="00C277C0">
        <w:rPr>
          <w:rFonts w:eastAsia="宋体" w:hint="eastAsia"/>
          <w:snapToGrid w:val="0"/>
          <w:lang w:eastAsia="zh-CN"/>
        </w:rPr>
        <w:t>4.102</w:t>
      </w:r>
      <w:r w:rsidR="006D76A7" w:rsidRPr="00C277C0">
        <w:rPr>
          <w:rFonts w:eastAsia="宋体" w:hint="eastAsia"/>
          <w:snapToGrid w:val="0"/>
          <w:lang w:eastAsia="zh-CN"/>
        </w:rPr>
        <w:t>（</w:t>
      </w:r>
      <w:r w:rsidRPr="00C277C0">
        <w:rPr>
          <w:rFonts w:eastAsia="宋体" w:hint="eastAsia"/>
          <w:snapToGrid w:val="0"/>
          <w:lang w:eastAsia="zh-CN"/>
        </w:rPr>
        <w:t>c</w:t>
      </w:r>
      <w:r w:rsidR="006D76A7" w:rsidRPr="00C277C0">
        <w:rPr>
          <w:rFonts w:eastAsia="宋体" w:hint="eastAsia"/>
          <w:snapToGrid w:val="0"/>
          <w:lang w:eastAsia="zh-CN"/>
        </w:rPr>
        <w:t>）（</w:t>
      </w:r>
      <w:r w:rsidRPr="00C277C0">
        <w:rPr>
          <w:rFonts w:eastAsia="宋体" w:hint="eastAsia"/>
          <w:snapToGrid w:val="0"/>
          <w:lang w:eastAsia="zh-CN"/>
        </w:rPr>
        <w:t>1</w:t>
      </w:r>
      <w:r w:rsidR="006D76A7" w:rsidRPr="00C277C0">
        <w:rPr>
          <w:rFonts w:eastAsia="宋体" w:hint="eastAsia"/>
          <w:snapToGrid w:val="0"/>
          <w:lang w:eastAsia="zh-CN"/>
        </w:rPr>
        <w:t>）（</w:t>
      </w:r>
      <w:r w:rsidRPr="00C277C0">
        <w:rPr>
          <w:rFonts w:eastAsia="宋体" w:hint="eastAsia"/>
          <w:snapToGrid w:val="0"/>
          <w:lang w:eastAsia="zh-CN"/>
        </w:rPr>
        <w:t>ii</w:t>
      </w:r>
      <w:r w:rsidR="006D76A7"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803.50</w:t>
      </w:r>
      <w:r w:rsidR="00FC6B22" w:rsidRPr="00C277C0">
        <w:rPr>
          <w:rFonts w:eastAsia="宋体" w:hint="eastAsia"/>
          <w:snapToGrid w:val="0"/>
          <w:lang w:eastAsia="zh-CN"/>
        </w:rPr>
        <w:t>节</w:t>
      </w:r>
      <w:r w:rsidRPr="00C277C0">
        <w:rPr>
          <w:rFonts w:eastAsia="宋体" w:hint="eastAsia"/>
          <w:snapToGrid w:val="0"/>
          <w:lang w:eastAsia="zh-CN"/>
        </w:rPr>
        <w:t>）。</w:t>
      </w:r>
      <w:r w:rsidR="00FE2212" w:rsidRPr="00C277C0">
        <w:rPr>
          <w:rStyle w:val="af4"/>
          <w:rFonts w:eastAsia="宋体" w:hint="eastAsia"/>
          <w:snapToGrid w:val="0"/>
          <w:lang w:eastAsia="zh-CN"/>
        </w:rPr>
        <w:footnoteReference w:id="29"/>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C1273A">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有关</w:t>
      </w:r>
      <w:r w:rsidR="000646ED"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的</w:t>
      </w:r>
      <w:r w:rsidR="000646ED" w:rsidRPr="00C277C0">
        <w:rPr>
          <w:rFonts w:eastAsia="宋体" w:hint="eastAsia"/>
          <w:snapToGrid w:val="0"/>
          <w:lang w:eastAsia="zh-CN"/>
        </w:rPr>
        <w:t>更多</w:t>
      </w:r>
      <w:r w:rsidR="00A961B4" w:rsidRPr="00C277C0">
        <w:rPr>
          <w:rFonts w:eastAsia="宋体" w:hint="eastAsia"/>
          <w:snapToGrid w:val="0"/>
          <w:lang w:eastAsia="zh-CN"/>
        </w:rPr>
        <w:t>信息</w:t>
      </w:r>
      <w:r w:rsidRPr="00C277C0">
        <w:rPr>
          <w:rFonts w:eastAsia="宋体" w:hint="eastAsia"/>
          <w:snapToGrid w:val="0"/>
          <w:lang w:eastAsia="zh-CN"/>
        </w:rPr>
        <w:t>，请访问：</w:t>
      </w:r>
      <w:hyperlink r:id="rId13" w:history="1">
        <w:r w:rsidR="006D76A7" w:rsidRPr="00C277C0">
          <w:rPr>
            <w:rStyle w:val="a9"/>
            <w:rFonts w:eastAsia="宋体" w:hint="eastAsia"/>
            <w:snapToGrid w:val="0"/>
            <w:u w:color="0000FF"/>
            <w:lang w:eastAsia="zh-CN"/>
          </w:rPr>
          <w:t>https://www.fda.gov/medical-devices/medical-device-safety/medical-device-reporting-mdr-how-report-medical-device-problems.</w:t>
        </w:r>
      </w:hyperlink>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4.</w:t>
      </w:r>
      <w:r w:rsidR="00072C5E" w:rsidRPr="00C277C0">
        <w:rPr>
          <w:rFonts w:hint="eastAsia"/>
          <w:snapToGrid w:val="0"/>
          <w:lang w:eastAsia="zh-CN"/>
        </w:rPr>
        <w:tab/>
      </w:r>
      <w:r w:rsidR="00C55B83" w:rsidRPr="00C277C0">
        <w:rPr>
          <w:rFonts w:hint="eastAsia"/>
          <w:snapToGrid w:val="0"/>
          <w:lang w:eastAsia="zh-CN"/>
        </w:rPr>
        <w:t>后续报告</w:t>
      </w:r>
      <w:r w:rsidRPr="00C277C0">
        <w:rPr>
          <w:rFonts w:hint="eastAsia"/>
          <w:snapToGrid w:val="0"/>
          <w:lang w:eastAsia="zh-CN"/>
        </w:rPr>
        <w:t>（</w:t>
      </w:r>
      <w:r w:rsidR="004A5688">
        <w:rPr>
          <w:rFonts w:hint="eastAsia"/>
          <w:snapToGrid w:val="0"/>
          <w:lang w:eastAsia="zh-CN"/>
        </w:rPr>
        <w:t>参</w:t>
      </w:r>
      <w:r w:rsidRPr="00C277C0">
        <w:rPr>
          <w:rFonts w:hint="eastAsia"/>
          <w:snapToGrid w:val="0"/>
          <w:lang w:eastAsia="zh-CN"/>
        </w:rPr>
        <w:t>见</w:t>
      </w:r>
      <w:r w:rsidR="007267DD" w:rsidRPr="00C277C0">
        <w:rPr>
          <w:rFonts w:hint="eastAsia"/>
          <w:snapToGrid w:val="0"/>
          <w:lang w:eastAsia="zh-CN"/>
        </w:rPr>
        <w:t>《美国联邦法规》第</w:t>
      </w:r>
      <w:r w:rsidR="00286DB1">
        <w:rPr>
          <w:rFonts w:hint="eastAsia"/>
          <w:snapToGrid w:val="0"/>
          <w:lang w:eastAsia="zh-CN"/>
        </w:rPr>
        <w:t>21</w:t>
      </w:r>
      <w:r w:rsidR="00286DB1">
        <w:rPr>
          <w:rFonts w:hint="eastAsia"/>
          <w:snapToGrid w:val="0"/>
          <w:lang w:eastAsia="zh-CN"/>
        </w:rPr>
        <w:t>篇</w:t>
      </w:r>
      <w:r w:rsidR="00FC6B22" w:rsidRPr="00C277C0">
        <w:rPr>
          <w:rFonts w:hint="eastAsia"/>
          <w:snapToGrid w:val="0"/>
          <w:lang w:eastAsia="zh-CN"/>
        </w:rPr>
        <w:t>第</w:t>
      </w:r>
      <w:r w:rsidRPr="00C277C0">
        <w:rPr>
          <w:rFonts w:hint="eastAsia"/>
          <w:snapToGrid w:val="0"/>
          <w:lang w:eastAsia="zh-CN"/>
        </w:rPr>
        <w:t>314.80</w:t>
      </w:r>
      <w:r w:rsidRPr="00C277C0">
        <w:rPr>
          <w:rFonts w:hint="eastAsia"/>
          <w:snapToGrid w:val="0"/>
          <w:lang w:eastAsia="zh-CN"/>
        </w:rPr>
        <w:t>、</w:t>
      </w:r>
      <w:r w:rsidRPr="00C277C0">
        <w:rPr>
          <w:rFonts w:hint="eastAsia"/>
          <w:snapToGrid w:val="0"/>
          <w:lang w:eastAsia="zh-CN"/>
        </w:rPr>
        <w:t>600.80</w:t>
      </w:r>
      <w:r w:rsidRPr="00C277C0">
        <w:rPr>
          <w:rFonts w:hint="eastAsia"/>
          <w:snapToGrid w:val="0"/>
          <w:lang w:eastAsia="zh-CN"/>
        </w:rPr>
        <w:t>、</w:t>
      </w:r>
      <w:r w:rsidRPr="00C277C0">
        <w:rPr>
          <w:rFonts w:hint="eastAsia"/>
          <w:snapToGrid w:val="0"/>
          <w:lang w:eastAsia="zh-CN"/>
        </w:rPr>
        <w:t>803.56</w:t>
      </w:r>
      <w:r w:rsidR="00FC6B22" w:rsidRPr="00C277C0">
        <w:rPr>
          <w:rFonts w:hint="eastAsia"/>
          <w:snapToGrid w:val="0"/>
          <w:lang w:eastAsia="zh-CN"/>
        </w:rPr>
        <w:t>节</w:t>
      </w:r>
      <w:r w:rsidRPr="00C277C0">
        <w:rPr>
          <w:rFonts w:hint="eastAsia"/>
          <w:snapToGrid w:val="0"/>
          <w:lang w:eastAsia="zh-CN"/>
        </w:rPr>
        <w:t>）</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如</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FC6B22" w:rsidRPr="00C277C0">
        <w:rPr>
          <w:rFonts w:eastAsia="宋体" w:hint="eastAsia"/>
          <w:snapToGrid w:val="0"/>
          <w:lang w:eastAsia="zh-CN"/>
        </w:rPr>
        <w:t>第</w:t>
      </w:r>
      <w:r w:rsidRPr="00C277C0">
        <w:rPr>
          <w:rFonts w:eastAsia="宋体" w:hint="eastAsia"/>
          <w:snapToGrid w:val="0"/>
          <w:lang w:eastAsia="zh-CN"/>
        </w:rPr>
        <w:t>4.101</w:t>
      </w:r>
      <w:r w:rsidR="00FC6B22" w:rsidRPr="00C277C0">
        <w:rPr>
          <w:rFonts w:eastAsia="宋体" w:hint="eastAsia"/>
          <w:snapToGrid w:val="0"/>
          <w:lang w:eastAsia="zh-CN"/>
        </w:rPr>
        <w:t>节</w:t>
      </w:r>
      <w:r w:rsidRPr="00C277C0">
        <w:rPr>
          <w:rFonts w:eastAsia="宋体" w:hint="eastAsia"/>
          <w:snapToGrid w:val="0"/>
          <w:lang w:eastAsia="zh-CN"/>
        </w:rPr>
        <w:t>所述，组合产品</w:t>
      </w:r>
      <w:r w:rsidRPr="00C277C0">
        <w:rPr>
          <w:rFonts w:eastAsia="宋体" w:hint="eastAsia"/>
          <w:snapToGrid w:val="0"/>
          <w:lang w:eastAsia="zh-CN"/>
        </w:rPr>
        <w:t>15</w:t>
      </w:r>
      <w:r w:rsidRPr="00C277C0">
        <w:rPr>
          <w:rFonts w:eastAsia="宋体" w:hint="eastAsia"/>
          <w:snapToGrid w:val="0"/>
          <w:lang w:eastAsia="zh-CN"/>
        </w:rPr>
        <w:t>天、</w:t>
      </w:r>
      <w:r w:rsidRPr="00C277C0">
        <w:rPr>
          <w:rFonts w:eastAsia="宋体" w:hint="eastAsia"/>
          <w:snapToGrid w:val="0"/>
          <w:lang w:eastAsia="zh-CN"/>
        </w:rPr>
        <w:t>5</w:t>
      </w:r>
      <w:r w:rsidRPr="00C277C0">
        <w:rPr>
          <w:rFonts w:eastAsia="宋体" w:hint="eastAsia"/>
          <w:snapToGrid w:val="0"/>
          <w:lang w:eastAsia="zh-CN"/>
        </w:rPr>
        <w:t>天和</w:t>
      </w:r>
      <w:r w:rsidR="00501A63"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的要求包括了对</w:t>
      </w:r>
      <w:r w:rsidR="00C55B83" w:rsidRPr="00C277C0">
        <w:rPr>
          <w:rFonts w:eastAsia="宋体" w:hint="eastAsia"/>
          <w:snapToGrid w:val="0"/>
          <w:lang w:eastAsia="zh-CN"/>
        </w:rPr>
        <w:t>后续报告</w:t>
      </w:r>
      <w:r w:rsidRPr="00C277C0">
        <w:rPr>
          <w:rFonts w:eastAsia="宋体" w:hint="eastAsia"/>
          <w:snapToGrid w:val="0"/>
          <w:lang w:eastAsia="zh-CN"/>
        </w:rPr>
        <w:t>的要求。</w:t>
      </w:r>
      <w:r w:rsidR="00C55B83" w:rsidRPr="00C277C0">
        <w:rPr>
          <w:rFonts w:eastAsia="宋体" w:hint="eastAsia"/>
          <w:snapToGrid w:val="0"/>
          <w:lang w:eastAsia="zh-CN"/>
        </w:rPr>
        <w:t>后续报告</w:t>
      </w:r>
      <w:r w:rsidRPr="00C277C0">
        <w:rPr>
          <w:rFonts w:eastAsia="宋体" w:hint="eastAsia"/>
          <w:snapToGrid w:val="0"/>
          <w:lang w:eastAsia="zh-CN"/>
        </w:rPr>
        <w:t>要求也适用于根据器械申请获批的组合产品申请人提交的死亡和重伤报告（</w:t>
      </w:r>
      <w:r w:rsidR="00F93768">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4.102</w:t>
      </w:r>
      <w:r w:rsidR="006D76A7" w:rsidRPr="00C277C0">
        <w:rPr>
          <w:rFonts w:eastAsia="宋体" w:hint="eastAsia"/>
          <w:snapToGrid w:val="0"/>
          <w:lang w:eastAsia="zh-CN"/>
        </w:rPr>
        <w:t>（</w:t>
      </w:r>
      <w:r w:rsidRPr="00C277C0">
        <w:rPr>
          <w:rFonts w:eastAsia="宋体" w:hint="eastAsia"/>
          <w:snapToGrid w:val="0"/>
          <w:lang w:eastAsia="zh-CN"/>
        </w:rPr>
        <w:t>c</w:t>
      </w:r>
      <w:r w:rsidR="006D76A7" w:rsidRPr="00C277C0">
        <w:rPr>
          <w:rFonts w:eastAsia="宋体" w:hint="eastAsia"/>
          <w:snapToGrid w:val="0"/>
          <w:lang w:eastAsia="zh-CN"/>
        </w:rPr>
        <w:t>）（</w:t>
      </w:r>
      <w:r w:rsidRPr="00C277C0">
        <w:rPr>
          <w:rFonts w:eastAsia="宋体" w:hint="eastAsia"/>
          <w:snapToGrid w:val="0"/>
          <w:lang w:eastAsia="zh-CN"/>
        </w:rPr>
        <w:t>1</w:t>
      </w:r>
      <w:r w:rsidR="006D76A7" w:rsidRPr="00C277C0">
        <w:rPr>
          <w:rFonts w:eastAsia="宋体" w:hint="eastAsia"/>
          <w:snapToGrid w:val="0"/>
          <w:lang w:eastAsia="zh-CN"/>
        </w:rPr>
        <w:t>）（</w:t>
      </w:r>
      <w:r w:rsidRPr="00C277C0">
        <w:rPr>
          <w:rFonts w:eastAsia="宋体" w:hint="eastAsia"/>
          <w:snapToGrid w:val="0"/>
          <w:lang w:eastAsia="zh-CN"/>
        </w:rPr>
        <w:t>ii</w:t>
      </w:r>
      <w:r w:rsidR="006D76A7" w:rsidRPr="00C277C0">
        <w:rPr>
          <w:rFonts w:eastAsia="宋体" w:hint="eastAsia"/>
          <w:snapToGrid w:val="0"/>
          <w:lang w:eastAsia="zh-CN"/>
        </w:rPr>
        <w:t>）</w:t>
      </w:r>
      <w:r w:rsidR="00AE00AC">
        <w:rPr>
          <w:rFonts w:eastAsia="宋体" w:hint="eastAsia"/>
          <w:snapToGrid w:val="0"/>
          <w:lang w:eastAsia="zh-CN"/>
        </w:rPr>
        <w:t>节</w:t>
      </w:r>
      <w:r w:rsidRPr="00C277C0">
        <w:rPr>
          <w:rFonts w:eastAsia="宋体" w:hint="eastAsia"/>
          <w:snapToGrid w:val="0"/>
          <w:lang w:eastAsia="zh-CN"/>
        </w:rPr>
        <w:t>和</w:t>
      </w:r>
      <w:r w:rsidR="00AE00AC">
        <w:rPr>
          <w:rFonts w:eastAsia="宋体" w:hint="eastAsia"/>
          <w:snapToGrid w:val="0"/>
          <w:lang w:eastAsia="zh-CN"/>
        </w:rPr>
        <w:t>第</w:t>
      </w:r>
      <w:r w:rsidRPr="00C277C0">
        <w:rPr>
          <w:rFonts w:eastAsia="宋体" w:hint="eastAsia"/>
          <w:snapToGrid w:val="0"/>
          <w:lang w:eastAsia="zh-CN"/>
        </w:rPr>
        <w:t>803.56</w:t>
      </w:r>
      <w:r w:rsidR="00AE00AC">
        <w:rPr>
          <w:rFonts w:eastAsia="宋体" w:hint="eastAsia"/>
          <w:snapToGrid w:val="0"/>
          <w:lang w:eastAsia="zh-CN"/>
        </w:rPr>
        <w:t>节</w:t>
      </w:r>
      <w:r w:rsidRPr="00C277C0">
        <w:rPr>
          <w:rFonts w:eastAsia="宋体" w:hint="eastAsia"/>
          <w:snapToGrid w:val="0"/>
          <w:lang w:eastAsia="zh-CN"/>
        </w:rPr>
        <w:t>）。当</w:t>
      </w:r>
      <w:r w:rsidRPr="00C277C0">
        <w:rPr>
          <w:rFonts w:eastAsia="宋体" w:hint="eastAsia"/>
          <w:snapToGrid w:val="0"/>
          <w:lang w:eastAsia="zh-CN"/>
        </w:rPr>
        <w:t>ICSR</w:t>
      </w:r>
      <w:r w:rsidRPr="00C277C0">
        <w:rPr>
          <w:rFonts w:eastAsia="宋体" w:hint="eastAsia"/>
          <w:snapToGrid w:val="0"/>
          <w:lang w:eastAsia="zh-CN"/>
        </w:rPr>
        <w:t>提交人</w:t>
      </w:r>
      <w:r w:rsidR="004B1058" w:rsidRPr="00C277C0">
        <w:rPr>
          <w:rFonts w:eastAsia="宋体" w:hint="eastAsia"/>
          <w:snapToGrid w:val="0"/>
          <w:lang w:eastAsia="zh-CN"/>
        </w:rPr>
        <w:t>获知</w:t>
      </w:r>
      <w:r w:rsidRPr="00C277C0">
        <w:rPr>
          <w:rFonts w:eastAsia="宋体" w:hint="eastAsia"/>
          <w:snapToGrid w:val="0"/>
          <w:lang w:eastAsia="zh-CN"/>
        </w:rPr>
        <w:t>与事件相关</w:t>
      </w:r>
      <w:r w:rsidR="00AA4F55" w:rsidRPr="00C277C0">
        <w:rPr>
          <w:rFonts w:eastAsia="宋体" w:hint="eastAsia"/>
          <w:snapToGrid w:val="0"/>
          <w:lang w:eastAsia="zh-CN"/>
        </w:rPr>
        <w:t>且在首次报告时尚未获得的</w:t>
      </w:r>
      <w:r w:rsidRPr="00C277C0">
        <w:rPr>
          <w:rFonts w:eastAsia="宋体" w:hint="eastAsia"/>
          <w:snapToGrid w:val="0"/>
          <w:lang w:eastAsia="zh-CN"/>
        </w:rPr>
        <w:t>可报告新信息时，需要提交</w:t>
      </w:r>
      <w:r w:rsidR="00C55B83" w:rsidRPr="00C277C0">
        <w:rPr>
          <w:rFonts w:eastAsia="宋体" w:hint="eastAsia"/>
          <w:snapToGrid w:val="0"/>
          <w:lang w:eastAsia="zh-CN"/>
        </w:rPr>
        <w:t>后续报告</w:t>
      </w:r>
      <w:r w:rsidRPr="00C277C0">
        <w:rPr>
          <w:rFonts w:eastAsia="宋体" w:hint="eastAsia"/>
          <w:snapToGrid w:val="0"/>
          <w:lang w:eastAsia="zh-CN"/>
        </w:rPr>
        <w:t>（</w:t>
      </w:r>
      <w:r w:rsidR="00F93768">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314.80</w:t>
      </w:r>
      <w:r w:rsidRPr="00C277C0">
        <w:rPr>
          <w:rFonts w:eastAsia="宋体" w:hint="eastAsia"/>
          <w:snapToGrid w:val="0"/>
          <w:lang w:eastAsia="zh-CN"/>
        </w:rPr>
        <w:t>、</w:t>
      </w:r>
      <w:r w:rsidRPr="00C277C0">
        <w:rPr>
          <w:rFonts w:eastAsia="宋体" w:hint="eastAsia"/>
          <w:snapToGrid w:val="0"/>
          <w:lang w:eastAsia="zh-CN"/>
        </w:rPr>
        <w:t>600.80</w:t>
      </w:r>
      <w:r w:rsidRPr="00C277C0">
        <w:rPr>
          <w:rFonts w:eastAsia="宋体" w:hint="eastAsia"/>
          <w:snapToGrid w:val="0"/>
          <w:lang w:eastAsia="zh-CN"/>
        </w:rPr>
        <w:t>和</w:t>
      </w:r>
      <w:r w:rsidRPr="00C277C0">
        <w:rPr>
          <w:rFonts w:eastAsia="宋体" w:hint="eastAsia"/>
          <w:snapToGrid w:val="0"/>
          <w:lang w:eastAsia="zh-CN"/>
        </w:rPr>
        <w:t>803.56</w:t>
      </w:r>
      <w:r w:rsidR="00AE00AC">
        <w:rPr>
          <w:rFonts w:eastAsia="宋体" w:hint="eastAsia"/>
          <w:snapToGrid w:val="0"/>
          <w:lang w:eastAsia="zh-CN"/>
        </w:rPr>
        <w:t>节</w:t>
      </w:r>
      <w:r w:rsidRPr="00C277C0">
        <w:rPr>
          <w:rFonts w:eastAsia="宋体" w:hint="eastAsia"/>
          <w:snapToGrid w:val="0"/>
          <w:lang w:eastAsia="zh-CN"/>
        </w:rPr>
        <w:t>）。</w:t>
      </w:r>
    </w:p>
    <w:p w:rsidR="006223B4" w:rsidRPr="00B403CB" w:rsidRDefault="006223B4" w:rsidP="00B403CB">
      <w:pPr>
        <w:autoSpaceDE/>
        <w:autoSpaceDN/>
        <w:snapToGrid w:val="0"/>
        <w:jc w:val="both"/>
        <w:rPr>
          <w:rFonts w:eastAsia="宋体"/>
          <w:sz w:val="24"/>
          <w:lang w:eastAsia="zh-CN"/>
        </w:rPr>
      </w:pPr>
      <w:r w:rsidRPr="00B403CB">
        <w:rPr>
          <w:rFonts w:eastAsia="宋体"/>
          <w:sz w:val="24"/>
          <w:lang w:eastAsia="zh-CN"/>
        </w:rPr>
        <w:br w:type="page"/>
      </w: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提交时间表。</w:t>
      </w:r>
      <w:r w:rsidRPr="00C277C0">
        <w:rPr>
          <w:rFonts w:eastAsia="宋体" w:hint="eastAsia"/>
          <w:snapToGrid w:val="0"/>
          <w:lang w:eastAsia="zh-CN"/>
        </w:rPr>
        <w:t>根据</w:t>
      </w:r>
      <w:r w:rsidRPr="00C277C0">
        <w:rPr>
          <w:rFonts w:eastAsia="宋体" w:hint="eastAsia"/>
          <w:snapToGrid w:val="0"/>
          <w:lang w:eastAsia="zh-CN"/>
        </w:rPr>
        <w:t>ANDA</w:t>
      </w:r>
      <w:r w:rsidRPr="00C277C0">
        <w:rPr>
          <w:rFonts w:eastAsia="宋体" w:hint="eastAsia"/>
          <w:snapToGrid w:val="0"/>
          <w:lang w:eastAsia="zh-CN"/>
        </w:rPr>
        <w:t>、</w:t>
      </w:r>
      <w:r w:rsidRPr="00C277C0">
        <w:rPr>
          <w:rFonts w:eastAsia="宋体" w:hint="eastAsia"/>
          <w:snapToGrid w:val="0"/>
          <w:lang w:eastAsia="zh-CN"/>
        </w:rPr>
        <w:t>NDA</w:t>
      </w:r>
      <w:r w:rsidRPr="00C277C0">
        <w:rPr>
          <w:rFonts w:eastAsia="宋体" w:hint="eastAsia"/>
          <w:snapToGrid w:val="0"/>
          <w:lang w:eastAsia="zh-CN"/>
        </w:rPr>
        <w:t>或</w:t>
      </w:r>
      <w:r w:rsidRPr="00C277C0">
        <w:rPr>
          <w:rFonts w:eastAsia="宋体" w:hint="eastAsia"/>
          <w:snapToGrid w:val="0"/>
          <w:lang w:eastAsia="zh-CN"/>
        </w:rPr>
        <w:t>BLA</w:t>
      </w:r>
      <w:r w:rsidRPr="00C277C0">
        <w:rPr>
          <w:rFonts w:eastAsia="宋体" w:hint="eastAsia"/>
          <w:snapToGrid w:val="0"/>
          <w:lang w:eastAsia="zh-CN"/>
        </w:rPr>
        <w:t>（</w:t>
      </w:r>
      <w:r w:rsidR="00B952A8">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314.80</w:t>
      </w:r>
      <w:r w:rsidRPr="00C277C0">
        <w:rPr>
          <w:rFonts w:eastAsia="宋体" w:hint="eastAsia"/>
          <w:snapToGrid w:val="0"/>
          <w:lang w:eastAsia="zh-CN"/>
        </w:rPr>
        <w:t>和</w:t>
      </w:r>
      <w:r w:rsidRPr="00C277C0">
        <w:rPr>
          <w:rFonts w:eastAsia="宋体" w:hint="eastAsia"/>
          <w:snapToGrid w:val="0"/>
          <w:lang w:eastAsia="zh-CN"/>
        </w:rPr>
        <w:t>600.80</w:t>
      </w:r>
      <w:r w:rsidR="00AE00AC">
        <w:rPr>
          <w:rFonts w:eastAsia="宋体" w:hint="eastAsia"/>
          <w:snapToGrid w:val="0"/>
          <w:lang w:eastAsia="zh-CN"/>
        </w:rPr>
        <w:t>节</w:t>
      </w:r>
      <w:r w:rsidRPr="00C277C0">
        <w:rPr>
          <w:rFonts w:eastAsia="宋体" w:hint="eastAsia"/>
          <w:snapToGrid w:val="0"/>
          <w:lang w:eastAsia="zh-CN"/>
        </w:rPr>
        <w:t>）上市的组合产品，必须在收到新信息后</w:t>
      </w:r>
      <w:r w:rsidRPr="00C277C0">
        <w:rPr>
          <w:rFonts w:eastAsia="宋体" w:hint="eastAsia"/>
          <w:snapToGrid w:val="0"/>
          <w:lang w:eastAsia="zh-CN"/>
        </w:rPr>
        <w:t>15</w:t>
      </w:r>
      <w:r w:rsidRPr="00C277C0">
        <w:rPr>
          <w:rFonts w:eastAsia="宋体" w:hint="eastAsia"/>
          <w:snapToGrid w:val="0"/>
          <w:lang w:eastAsia="zh-CN"/>
        </w:rPr>
        <w:t>个日历日内提交</w:t>
      </w:r>
      <w:r w:rsidR="00C55B83" w:rsidRPr="00C277C0">
        <w:rPr>
          <w:rFonts w:eastAsia="宋体" w:hint="eastAsia"/>
          <w:snapToGrid w:val="0"/>
          <w:lang w:eastAsia="zh-CN"/>
        </w:rPr>
        <w:t>后续报告</w:t>
      </w:r>
      <w:r w:rsidRPr="00C277C0">
        <w:rPr>
          <w:rFonts w:eastAsia="宋体" w:hint="eastAsia"/>
          <w:snapToGrid w:val="0"/>
          <w:lang w:eastAsia="zh-CN"/>
        </w:rPr>
        <w:t>（请</w:t>
      </w:r>
      <w:r w:rsidR="00A00C22">
        <w:rPr>
          <w:rFonts w:eastAsia="宋体" w:hint="eastAsia"/>
          <w:snapToGrid w:val="0"/>
          <w:lang w:eastAsia="zh-CN"/>
        </w:rPr>
        <w:t>参</w:t>
      </w:r>
      <w:r w:rsidRPr="00C277C0">
        <w:rPr>
          <w:rFonts w:eastAsia="宋体" w:hint="eastAsia"/>
          <w:snapToGrid w:val="0"/>
          <w:lang w:eastAsia="zh-CN"/>
        </w:rPr>
        <w:t>见下文</w:t>
      </w:r>
      <w:r w:rsidR="006D76A7" w:rsidRPr="00B403CB">
        <w:rPr>
          <w:rFonts w:ascii="宋体" w:eastAsia="宋体" w:hAnsi="宋体" w:hint="eastAsia"/>
          <w:lang w:eastAsia="zh-CN"/>
        </w:rPr>
        <w:t>“</w:t>
      </w:r>
      <w:r w:rsidRPr="00C277C0">
        <w:rPr>
          <w:rFonts w:eastAsia="宋体" w:hint="eastAsia"/>
          <w:snapToGrid w:val="0"/>
          <w:lang w:eastAsia="zh-CN"/>
        </w:rPr>
        <w:t>使用</w:t>
      </w:r>
      <w:r w:rsidR="00C55B83" w:rsidRPr="00C277C0">
        <w:rPr>
          <w:rFonts w:eastAsia="宋体" w:hint="eastAsia"/>
          <w:snapToGrid w:val="0"/>
          <w:lang w:eastAsia="zh-CN"/>
        </w:rPr>
        <w:t>后续报告</w:t>
      </w:r>
      <w:r w:rsidRPr="00C277C0">
        <w:rPr>
          <w:rFonts w:eastAsia="宋体" w:hint="eastAsia"/>
          <w:snapToGrid w:val="0"/>
          <w:lang w:eastAsia="zh-CN"/>
        </w:rPr>
        <w:t>来满足不同类型的</w:t>
      </w:r>
      <w:r w:rsidRPr="00C277C0">
        <w:rPr>
          <w:rFonts w:eastAsia="宋体" w:hint="eastAsia"/>
          <w:snapToGrid w:val="0"/>
          <w:lang w:eastAsia="zh-CN"/>
        </w:rPr>
        <w:t>ICSR</w:t>
      </w:r>
      <w:r w:rsidRPr="00C277C0">
        <w:rPr>
          <w:rFonts w:eastAsia="宋体" w:hint="eastAsia"/>
          <w:snapToGrid w:val="0"/>
          <w:lang w:eastAsia="zh-CN"/>
        </w:rPr>
        <w:t>要求</w:t>
      </w:r>
      <w:r w:rsidR="006D76A7" w:rsidRPr="00B403CB">
        <w:rPr>
          <w:rFonts w:ascii="宋体" w:eastAsia="宋体" w:hAnsi="宋体" w:hint="eastAsia"/>
          <w:lang w:eastAsia="zh-CN"/>
        </w:rPr>
        <w:t>”</w:t>
      </w:r>
      <w:r w:rsidRPr="00C277C0">
        <w:rPr>
          <w:rFonts w:eastAsia="宋体" w:hint="eastAsia"/>
          <w:snapToGrid w:val="0"/>
          <w:lang w:eastAsia="zh-CN"/>
        </w:rPr>
        <w:t>）。例如，如果</w:t>
      </w:r>
      <w:r w:rsidRPr="00C277C0">
        <w:rPr>
          <w:rFonts w:eastAsia="宋体" w:hint="eastAsia"/>
          <w:snapToGrid w:val="0"/>
          <w:lang w:eastAsia="zh-CN"/>
        </w:rPr>
        <w:t>NDA</w:t>
      </w:r>
      <w:r w:rsidRPr="00C277C0">
        <w:rPr>
          <w:rFonts w:eastAsia="宋体" w:hint="eastAsia"/>
          <w:snapToGrid w:val="0"/>
          <w:lang w:eastAsia="zh-CN"/>
        </w:rPr>
        <w:t>批准的组合产品的组合产品申请人收到与先前提交的</w:t>
      </w:r>
      <w:r w:rsidRPr="00C277C0">
        <w:rPr>
          <w:rFonts w:eastAsia="宋体" w:hint="eastAsia"/>
          <w:snapToGrid w:val="0"/>
          <w:lang w:eastAsia="zh-CN"/>
        </w:rPr>
        <w:t>15</w:t>
      </w:r>
      <w:r w:rsidRPr="00C277C0">
        <w:rPr>
          <w:rFonts w:eastAsia="宋体" w:hint="eastAsia"/>
          <w:snapToGrid w:val="0"/>
          <w:lang w:eastAsia="zh-CN"/>
        </w:rPr>
        <w:t>天报告相关的可报告新信息，则必须在收到新信息的</w:t>
      </w:r>
      <w:r w:rsidRPr="00C277C0">
        <w:rPr>
          <w:rFonts w:eastAsia="宋体" w:hint="eastAsia"/>
          <w:snapToGrid w:val="0"/>
          <w:lang w:eastAsia="zh-CN"/>
        </w:rPr>
        <w:t>15</w:t>
      </w:r>
      <w:r w:rsidRPr="00C277C0">
        <w:rPr>
          <w:rFonts w:eastAsia="宋体" w:hint="eastAsia"/>
          <w:snapToGrid w:val="0"/>
          <w:lang w:eastAsia="zh-CN"/>
        </w:rPr>
        <w:t>个日历日内以</w:t>
      </w:r>
      <w:r w:rsidR="00C55B83" w:rsidRPr="00C277C0">
        <w:rPr>
          <w:rFonts w:eastAsia="宋体" w:hint="eastAsia"/>
          <w:snapToGrid w:val="0"/>
          <w:lang w:eastAsia="zh-CN"/>
        </w:rPr>
        <w:t>后续报告</w:t>
      </w:r>
      <w:r w:rsidRPr="00C277C0">
        <w:rPr>
          <w:rFonts w:eastAsia="宋体" w:hint="eastAsia"/>
          <w:snapToGrid w:val="0"/>
          <w:lang w:eastAsia="zh-CN"/>
        </w:rPr>
        <w:t>提交该信息（</w:t>
      </w:r>
      <w:r w:rsidR="00B952A8">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314.80</w:t>
      </w:r>
      <w:r w:rsidR="00AE0101" w:rsidRPr="00C277C0">
        <w:rPr>
          <w:rFonts w:eastAsia="宋体" w:hint="eastAsia"/>
          <w:snapToGrid w:val="0"/>
          <w:lang w:eastAsia="zh-CN"/>
        </w:rPr>
        <w:t>节）</w:t>
      </w:r>
      <w:r w:rsidRPr="00C277C0">
        <w:rPr>
          <w:rFonts w:eastAsia="宋体" w:hint="eastAsia"/>
          <w:snapToGrid w:val="0"/>
          <w:lang w:eastAsia="zh-CN"/>
        </w:rPr>
        <w:t>。根据器械申请上市的组合产品，必须在</w:t>
      </w:r>
      <w:r w:rsidRPr="00C277C0">
        <w:rPr>
          <w:rFonts w:eastAsia="宋体" w:hint="eastAsia"/>
          <w:snapToGrid w:val="0"/>
          <w:lang w:eastAsia="zh-CN"/>
        </w:rPr>
        <w:t>30</w:t>
      </w:r>
      <w:r w:rsidRPr="00C277C0">
        <w:rPr>
          <w:rFonts w:eastAsia="宋体" w:hint="eastAsia"/>
          <w:snapToGrid w:val="0"/>
          <w:lang w:eastAsia="zh-CN"/>
        </w:rPr>
        <w:t>个日历日内提交</w:t>
      </w:r>
      <w:r w:rsidRPr="00C277C0">
        <w:rPr>
          <w:rFonts w:eastAsia="宋体" w:hint="eastAsia"/>
          <w:snapToGrid w:val="0"/>
          <w:lang w:eastAsia="zh-CN"/>
        </w:rPr>
        <w:t>15</w:t>
      </w:r>
      <w:r w:rsidRPr="00C277C0">
        <w:rPr>
          <w:rFonts w:eastAsia="宋体" w:hint="eastAsia"/>
          <w:snapToGrid w:val="0"/>
          <w:lang w:eastAsia="zh-CN"/>
        </w:rPr>
        <w:t>天、</w:t>
      </w:r>
      <w:r w:rsidRPr="00C277C0">
        <w:rPr>
          <w:rFonts w:eastAsia="宋体" w:hint="eastAsia"/>
          <w:snapToGrid w:val="0"/>
          <w:lang w:eastAsia="zh-CN"/>
        </w:rPr>
        <w:t>5</w:t>
      </w:r>
      <w:r w:rsidRPr="00C277C0">
        <w:rPr>
          <w:rFonts w:eastAsia="宋体" w:hint="eastAsia"/>
          <w:snapToGrid w:val="0"/>
          <w:lang w:eastAsia="zh-CN"/>
        </w:rPr>
        <w:t>天、</w:t>
      </w:r>
      <w:r w:rsidR="00E9582C" w:rsidRPr="00C277C0">
        <w:rPr>
          <w:rFonts w:eastAsia="宋体" w:hint="eastAsia"/>
          <w:snapToGrid w:val="0"/>
          <w:lang w:eastAsia="zh-CN"/>
        </w:rPr>
        <w:t>故障</w:t>
      </w:r>
      <w:r w:rsidRPr="00C277C0">
        <w:rPr>
          <w:rFonts w:eastAsia="宋体" w:hint="eastAsia"/>
          <w:snapToGrid w:val="0"/>
          <w:lang w:eastAsia="zh-CN"/>
        </w:rPr>
        <w:t>和死亡或重伤报告的</w:t>
      </w:r>
      <w:r w:rsidR="00C55B83" w:rsidRPr="00C277C0">
        <w:rPr>
          <w:rFonts w:eastAsia="宋体" w:hint="eastAsia"/>
          <w:snapToGrid w:val="0"/>
          <w:lang w:eastAsia="zh-CN"/>
        </w:rPr>
        <w:t>后续报告</w:t>
      </w:r>
      <w:r w:rsidRPr="00C277C0">
        <w:rPr>
          <w:rFonts w:eastAsia="宋体" w:hint="eastAsia"/>
          <w:snapToGrid w:val="0"/>
          <w:lang w:eastAsia="zh-CN"/>
        </w:rPr>
        <w:t>（</w:t>
      </w:r>
      <w:r w:rsidR="00B952A8">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4.102</w:t>
      </w:r>
      <w:r w:rsidR="006D76A7" w:rsidRPr="00C277C0">
        <w:rPr>
          <w:rFonts w:eastAsia="宋体" w:hint="eastAsia"/>
          <w:snapToGrid w:val="0"/>
          <w:lang w:eastAsia="zh-CN"/>
        </w:rPr>
        <w:t>（</w:t>
      </w:r>
      <w:r w:rsidRPr="00C277C0">
        <w:rPr>
          <w:rFonts w:eastAsia="宋体" w:hint="eastAsia"/>
          <w:snapToGrid w:val="0"/>
          <w:lang w:eastAsia="zh-CN"/>
        </w:rPr>
        <w:t>c</w:t>
      </w:r>
      <w:r w:rsidR="006D76A7" w:rsidRPr="00C277C0">
        <w:rPr>
          <w:rFonts w:eastAsia="宋体" w:hint="eastAsia"/>
          <w:snapToGrid w:val="0"/>
          <w:lang w:eastAsia="zh-CN"/>
        </w:rPr>
        <w:t>）（</w:t>
      </w:r>
      <w:r w:rsidRPr="00C277C0">
        <w:rPr>
          <w:rFonts w:eastAsia="宋体" w:hint="eastAsia"/>
          <w:snapToGrid w:val="0"/>
          <w:lang w:eastAsia="zh-CN"/>
        </w:rPr>
        <w:t>2</w:t>
      </w:r>
      <w:r w:rsidR="006D76A7" w:rsidRPr="00C277C0">
        <w:rPr>
          <w:rFonts w:eastAsia="宋体" w:hint="eastAsia"/>
          <w:snapToGrid w:val="0"/>
          <w:lang w:eastAsia="zh-CN"/>
        </w:rPr>
        <w:t>）（</w:t>
      </w:r>
      <w:r w:rsidRPr="00C277C0">
        <w:rPr>
          <w:rFonts w:eastAsia="宋体" w:hint="eastAsia"/>
          <w:snapToGrid w:val="0"/>
          <w:lang w:eastAsia="zh-CN"/>
        </w:rPr>
        <w:t>ii</w:t>
      </w:r>
      <w:r w:rsidR="006D76A7" w:rsidRPr="00C277C0">
        <w:rPr>
          <w:rFonts w:eastAsia="宋体" w:hint="eastAsia"/>
          <w:snapToGrid w:val="0"/>
          <w:lang w:eastAsia="zh-CN"/>
        </w:rPr>
        <w:t>）</w:t>
      </w:r>
      <w:r w:rsidRPr="00C277C0">
        <w:rPr>
          <w:rFonts w:eastAsia="宋体" w:hint="eastAsia"/>
          <w:snapToGrid w:val="0"/>
          <w:lang w:eastAsia="zh-CN"/>
        </w:rPr>
        <w:t>、</w:t>
      </w:r>
      <w:r w:rsidRPr="00C277C0">
        <w:rPr>
          <w:rFonts w:eastAsia="宋体" w:hint="eastAsia"/>
          <w:snapToGrid w:val="0"/>
          <w:lang w:eastAsia="zh-CN"/>
        </w:rPr>
        <w:t>4.102</w:t>
      </w:r>
      <w:r w:rsidR="006D76A7" w:rsidRPr="00C277C0">
        <w:rPr>
          <w:rFonts w:eastAsia="宋体" w:hint="eastAsia"/>
          <w:snapToGrid w:val="0"/>
          <w:lang w:eastAsia="zh-CN"/>
        </w:rPr>
        <w:t>（</w:t>
      </w:r>
      <w:r w:rsidRPr="00C277C0">
        <w:rPr>
          <w:rFonts w:eastAsia="宋体" w:hint="eastAsia"/>
          <w:snapToGrid w:val="0"/>
          <w:lang w:eastAsia="zh-CN"/>
        </w:rPr>
        <w:t>c</w:t>
      </w:r>
      <w:r w:rsidR="006D76A7" w:rsidRPr="00C277C0">
        <w:rPr>
          <w:rFonts w:eastAsia="宋体" w:hint="eastAsia"/>
          <w:snapToGrid w:val="0"/>
          <w:lang w:eastAsia="zh-CN"/>
        </w:rPr>
        <w:t>）（</w:t>
      </w:r>
      <w:r w:rsidRPr="00C277C0">
        <w:rPr>
          <w:rFonts w:eastAsia="宋体" w:hint="eastAsia"/>
          <w:snapToGrid w:val="0"/>
          <w:lang w:eastAsia="zh-CN"/>
        </w:rPr>
        <w:t>3</w:t>
      </w:r>
      <w:r w:rsidR="006D76A7" w:rsidRPr="00C277C0">
        <w:rPr>
          <w:rFonts w:eastAsia="宋体" w:hint="eastAsia"/>
          <w:snapToGrid w:val="0"/>
          <w:lang w:eastAsia="zh-CN"/>
        </w:rPr>
        <w:t>）（</w:t>
      </w:r>
      <w:r w:rsidRPr="00C277C0">
        <w:rPr>
          <w:rFonts w:eastAsia="宋体" w:hint="eastAsia"/>
          <w:snapToGrid w:val="0"/>
          <w:lang w:eastAsia="zh-CN"/>
        </w:rPr>
        <w:t>ii</w:t>
      </w:r>
      <w:r w:rsidR="006D76A7"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803.56</w:t>
      </w:r>
      <w:r w:rsidR="00AE0101" w:rsidRPr="00C277C0">
        <w:rPr>
          <w:rFonts w:eastAsia="宋体" w:hint="eastAsia"/>
          <w:snapToGrid w:val="0"/>
          <w:lang w:eastAsia="zh-CN"/>
        </w:rPr>
        <w:t>节）</w:t>
      </w:r>
      <w:r w:rsidRPr="00C277C0">
        <w:rPr>
          <w:rFonts w:eastAsia="宋体" w:hint="eastAsia"/>
          <w:snapToGrid w:val="0"/>
          <w:lang w:eastAsia="zh-CN"/>
        </w:rPr>
        <w:t>，但组合产品申请人可选择在到期日当天或之前提交</w:t>
      </w:r>
      <w:r w:rsidR="00C55B83" w:rsidRPr="00C277C0">
        <w:rPr>
          <w:rFonts w:eastAsia="宋体" w:hint="eastAsia"/>
          <w:snapToGrid w:val="0"/>
          <w:lang w:eastAsia="zh-CN"/>
        </w:rPr>
        <w:t>后续报告</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使用</w:t>
      </w:r>
      <w:r w:rsidR="00C55B83" w:rsidRPr="00C277C0">
        <w:rPr>
          <w:rFonts w:eastAsia="宋体" w:hint="eastAsia"/>
          <w:i/>
          <w:snapToGrid w:val="0"/>
          <w:lang w:eastAsia="zh-CN"/>
        </w:rPr>
        <w:t>后续报告</w:t>
      </w:r>
      <w:r w:rsidRPr="00C277C0">
        <w:rPr>
          <w:rFonts w:eastAsia="宋体" w:hint="eastAsia"/>
          <w:i/>
          <w:snapToGrid w:val="0"/>
          <w:lang w:eastAsia="zh-CN"/>
        </w:rPr>
        <w:t>来满足不同类型的</w:t>
      </w:r>
      <w:r w:rsidRPr="00C277C0">
        <w:rPr>
          <w:rFonts w:eastAsia="宋体" w:hint="eastAsia"/>
          <w:i/>
          <w:snapToGrid w:val="0"/>
          <w:lang w:eastAsia="zh-CN"/>
        </w:rPr>
        <w:t>ICSR</w:t>
      </w:r>
      <w:r w:rsidRPr="00C277C0">
        <w:rPr>
          <w:rFonts w:eastAsia="宋体" w:hint="eastAsia"/>
          <w:i/>
          <w:snapToGrid w:val="0"/>
          <w:lang w:eastAsia="zh-CN"/>
        </w:rPr>
        <w:t>要求</w:t>
      </w:r>
      <w:r w:rsidRPr="00B403CB">
        <w:rPr>
          <w:rFonts w:eastAsia="宋体" w:hint="eastAsia"/>
          <w:i/>
          <w:lang w:eastAsia="zh-CN"/>
        </w:rPr>
        <w:t>。</w:t>
      </w:r>
      <w:r w:rsidR="00FE2212" w:rsidRPr="00C277C0">
        <w:rPr>
          <w:rStyle w:val="af4"/>
          <w:rFonts w:eastAsia="宋体" w:hint="eastAsia"/>
          <w:snapToGrid w:val="0"/>
          <w:lang w:eastAsia="zh-CN"/>
        </w:rPr>
        <w:footnoteReference w:id="30"/>
      </w:r>
      <w:r w:rsidRPr="00C277C0">
        <w:rPr>
          <w:rFonts w:eastAsia="宋体" w:hint="eastAsia"/>
          <w:snapToGrid w:val="0"/>
          <w:lang w:eastAsia="zh-CN"/>
        </w:rPr>
        <w:t>如果组合产品申请人提交了首次</w:t>
      </w:r>
      <w:r w:rsidR="00F35E33"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，且随后确定还必须提交该事件的</w:t>
      </w:r>
      <w:r w:rsidRPr="00C277C0">
        <w:rPr>
          <w:rFonts w:eastAsia="宋体" w:hint="eastAsia"/>
          <w:snapToGrid w:val="0"/>
          <w:lang w:eastAsia="zh-CN"/>
        </w:rPr>
        <w:t>15</w:t>
      </w:r>
      <w:r w:rsidRPr="00C277C0">
        <w:rPr>
          <w:rFonts w:eastAsia="宋体" w:hint="eastAsia"/>
          <w:snapToGrid w:val="0"/>
          <w:lang w:eastAsia="zh-CN"/>
        </w:rPr>
        <w:t>天报告，则该组合产品申请人应提交</w:t>
      </w:r>
      <w:r w:rsidRPr="00C277C0">
        <w:rPr>
          <w:rFonts w:eastAsia="宋体" w:hint="eastAsia"/>
          <w:snapToGrid w:val="0"/>
          <w:lang w:eastAsia="zh-CN"/>
        </w:rPr>
        <w:t>15</w:t>
      </w:r>
      <w:r w:rsidRPr="00C277C0">
        <w:rPr>
          <w:rFonts w:eastAsia="宋体" w:hint="eastAsia"/>
          <w:snapToGrid w:val="0"/>
          <w:lang w:eastAsia="zh-CN"/>
        </w:rPr>
        <w:t>天报告作为</w:t>
      </w:r>
      <w:r w:rsidR="00F35E33" w:rsidRPr="00C277C0">
        <w:rPr>
          <w:rFonts w:eastAsia="宋体" w:hint="eastAsia"/>
          <w:snapToGrid w:val="0"/>
          <w:lang w:eastAsia="zh-CN"/>
        </w:rPr>
        <w:t>故障</w:t>
      </w:r>
      <w:r w:rsidR="00C55B83" w:rsidRPr="00C277C0">
        <w:rPr>
          <w:rFonts w:eastAsia="宋体" w:hint="eastAsia"/>
          <w:snapToGrid w:val="0"/>
          <w:lang w:eastAsia="zh-CN"/>
        </w:rPr>
        <w:t>事故报告</w:t>
      </w:r>
      <w:r w:rsidRPr="00C277C0">
        <w:rPr>
          <w:rFonts w:eastAsia="宋体" w:hint="eastAsia"/>
          <w:snapToGrid w:val="0"/>
          <w:lang w:eastAsia="zh-CN"/>
        </w:rPr>
        <w:t>的</w:t>
      </w:r>
      <w:r w:rsidR="00C55B83" w:rsidRPr="00C277C0">
        <w:rPr>
          <w:rFonts w:eastAsia="宋体" w:hint="eastAsia"/>
          <w:snapToGrid w:val="0"/>
          <w:lang w:eastAsia="zh-CN"/>
        </w:rPr>
        <w:t>后续报告</w:t>
      </w:r>
      <w:r w:rsidRPr="00C277C0">
        <w:rPr>
          <w:rFonts w:eastAsia="宋体" w:hint="eastAsia"/>
          <w:snapToGrid w:val="0"/>
          <w:lang w:eastAsia="zh-CN"/>
        </w:rPr>
        <w:t>。如果首次提交的报告是</w:t>
      </w:r>
      <w:r w:rsidRPr="00C277C0">
        <w:rPr>
          <w:rFonts w:eastAsia="宋体" w:hint="eastAsia"/>
          <w:snapToGrid w:val="0"/>
          <w:lang w:eastAsia="zh-CN"/>
        </w:rPr>
        <w:t>15</w:t>
      </w:r>
      <w:r w:rsidRPr="00C277C0">
        <w:rPr>
          <w:rFonts w:eastAsia="宋体" w:hint="eastAsia"/>
          <w:snapToGrid w:val="0"/>
          <w:lang w:eastAsia="zh-CN"/>
        </w:rPr>
        <w:t>天报告或根据</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314.80</w:t>
      </w:r>
      <w:r w:rsidR="00FA5CED" w:rsidRPr="00C277C0">
        <w:rPr>
          <w:rFonts w:eastAsia="宋体" w:hint="eastAsia"/>
          <w:snapToGrid w:val="0"/>
          <w:lang w:eastAsia="zh-CN"/>
        </w:rPr>
        <w:t>（</w:t>
      </w:r>
      <w:r w:rsidRPr="00C277C0">
        <w:rPr>
          <w:rFonts w:eastAsia="宋体" w:hint="eastAsia"/>
          <w:snapToGrid w:val="0"/>
          <w:lang w:eastAsia="zh-CN"/>
        </w:rPr>
        <w:t>c</w:t>
      </w:r>
      <w:r w:rsidR="00FA5CED" w:rsidRPr="00C277C0">
        <w:rPr>
          <w:rFonts w:eastAsia="宋体" w:hint="eastAsia"/>
          <w:snapToGrid w:val="0"/>
          <w:lang w:eastAsia="zh-CN"/>
        </w:rPr>
        <w:t>）（</w:t>
      </w:r>
      <w:r w:rsidRPr="00C277C0">
        <w:rPr>
          <w:rFonts w:eastAsia="宋体" w:hint="eastAsia"/>
          <w:snapToGrid w:val="0"/>
          <w:lang w:eastAsia="zh-CN"/>
        </w:rPr>
        <w:t>2</w:t>
      </w:r>
      <w:r w:rsidR="00FA5CED" w:rsidRPr="00C277C0">
        <w:rPr>
          <w:rFonts w:eastAsia="宋体" w:hint="eastAsia"/>
          <w:snapToGrid w:val="0"/>
          <w:lang w:eastAsia="zh-CN"/>
        </w:rPr>
        <w:t>）（</w:t>
      </w:r>
      <w:r w:rsidRPr="00C277C0">
        <w:rPr>
          <w:rFonts w:eastAsia="宋体" w:hint="eastAsia"/>
          <w:snapToGrid w:val="0"/>
          <w:lang w:eastAsia="zh-CN"/>
        </w:rPr>
        <w:t>ii</w:t>
      </w:r>
      <w:r w:rsidR="00FA5CED" w:rsidRPr="00C277C0">
        <w:rPr>
          <w:rFonts w:eastAsia="宋体" w:hint="eastAsia"/>
          <w:snapToGrid w:val="0"/>
          <w:lang w:eastAsia="zh-CN"/>
        </w:rPr>
        <w:t>）（</w:t>
      </w:r>
      <w:r w:rsidRPr="00C277C0">
        <w:rPr>
          <w:rFonts w:eastAsia="宋体" w:hint="eastAsia"/>
          <w:snapToGrid w:val="0"/>
          <w:lang w:eastAsia="zh-CN"/>
        </w:rPr>
        <w:t>B</w:t>
      </w:r>
      <w:r w:rsidR="00FA5CED"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600.80</w:t>
      </w:r>
      <w:r w:rsidR="00FA5CED" w:rsidRPr="00C277C0">
        <w:rPr>
          <w:rFonts w:eastAsia="宋体" w:hint="eastAsia"/>
          <w:snapToGrid w:val="0"/>
          <w:lang w:eastAsia="zh-CN"/>
        </w:rPr>
        <w:t>（</w:t>
      </w:r>
      <w:r w:rsidRPr="00C277C0">
        <w:rPr>
          <w:rFonts w:eastAsia="宋体" w:hint="eastAsia"/>
          <w:snapToGrid w:val="0"/>
          <w:lang w:eastAsia="zh-CN"/>
        </w:rPr>
        <w:t>c</w:t>
      </w:r>
      <w:r w:rsidR="00FA5CED" w:rsidRPr="00C277C0">
        <w:rPr>
          <w:rFonts w:eastAsia="宋体" w:hint="eastAsia"/>
          <w:snapToGrid w:val="0"/>
          <w:lang w:eastAsia="zh-CN"/>
        </w:rPr>
        <w:t>）（</w:t>
      </w:r>
      <w:r w:rsidRPr="00C277C0">
        <w:rPr>
          <w:rFonts w:eastAsia="宋体" w:hint="eastAsia"/>
          <w:snapToGrid w:val="0"/>
          <w:lang w:eastAsia="zh-CN"/>
        </w:rPr>
        <w:t>2</w:t>
      </w:r>
      <w:r w:rsidR="00FA5CED" w:rsidRPr="00C277C0">
        <w:rPr>
          <w:rFonts w:eastAsia="宋体" w:hint="eastAsia"/>
          <w:snapToGrid w:val="0"/>
          <w:lang w:eastAsia="zh-CN"/>
        </w:rPr>
        <w:t>）（</w:t>
      </w:r>
      <w:r w:rsidRPr="00C277C0">
        <w:rPr>
          <w:rFonts w:eastAsia="宋体" w:hint="eastAsia"/>
          <w:snapToGrid w:val="0"/>
          <w:lang w:eastAsia="zh-CN"/>
        </w:rPr>
        <w:t>ii</w:t>
      </w:r>
      <w:r w:rsidR="00FA5CED" w:rsidRPr="00C277C0">
        <w:rPr>
          <w:rFonts w:eastAsia="宋体" w:hint="eastAsia"/>
          <w:snapToGrid w:val="0"/>
          <w:lang w:eastAsia="zh-CN"/>
        </w:rPr>
        <w:t>）（</w:t>
      </w:r>
      <w:r w:rsidRPr="00C277C0">
        <w:rPr>
          <w:rFonts w:eastAsia="宋体" w:hint="eastAsia"/>
          <w:snapToGrid w:val="0"/>
          <w:lang w:eastAsia="zh-CN"/>
        </w:rPr>
        <w:t>B</w:t>
      </w:r>
      <w:r w:rsidR="00FA5CED" w:rsidRPr="00C277C0">
        <w:rPr>
          <w:rFonts w:eastAsia="宋体" w:hint="eastAsia"/>
          <w:snapToGrid w:val="0"/>
          <w:lang w:eastAsia="zh-CN"/>
        </w:rPr>
        <w:t>）</w:t>
      </w:r>
      <w:r w:rsidR="00AE00AC">
        <w:rPr>
          <w:rFonts w:eastAsia="宋体" w:hint="eastAsia"/>
          <w:snapToGrid w:val="0"/>
          <w:lang w:eastAsia="zh-CN"/>
        </w:rPr>
        <w:t>节</w:t>
      </w:r>
      <w:r w:rsidRPr="00C277C0">
        <w:rPr>
          <w:rFonts w:eastAsia="宋体" w:hint="eastAsia"/>
          <w:snapToGrid w:val="0"/>
          <w:lang w:eastAsia="zh-CN"/>
        </w:rPr>
        <w:t>要求的非快速</w:t>
      </w:r>
      <w:r w:rsidRPr="00C277C0">
        <w:rPr>
          <w:rFonts w:eastAsia="宋体" w:hint="eastAsia"/>
          <w:snapToGrid w:val="0"/>
          <w:lang w:eastAsia="zh-CN"/>
        </w:rPr>
        <w:t>ICSR</w:t>
      </w:r>
      <w:r w:rsidRPr="00C277C0">
        <w:rPr>
          <w:rFonts w:eastAsia="宋体" w:hint="eastAsia"/>
          <w:snapToGrid w:val="0"/>
          <w:lang w:eastAsia="zh-CN"/>
        </w:rPr>
        <w:t>（对于严重且预期、非严重的不良经历），且组合产品申请人随后确定还需要</w:t>
      </w:r>
      <w:r w:rsidR="00F35E33"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，则应使用相同的方法；申请人应提交</w:t>
      </w:r>
      <w:r w:rsidR="002D7A90"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作为首次报告的</w:t>
      </w:r>
      <w:r w:rsidR="00C55B83" w:rsidRPr="00C277C0">
        <w:rPr>
          <w:rFonts w:eastAsia="宋体" w:hint="eastAsia"/>
          <w:snapToGrid w:val="0"/>
          <w:lang w:eastAsia="zh-CN"/>
        </w:rPr>
        <w:t>后续报告</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2D7A90"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请</w:t>
      </w:r>
      <w:r w:rsidR="00097329" w:rsidRPr="00C277C0">
        <w:rPr>
          <w:rFonts w:eastAsia="宋体" w:hint="eastAsia"/>
          <w:snapToGrid w:val="0"/>
          <w:lang w:eastAsia="zh-CN"/>
        </w:rPr>
        <w:t>注意，对于药品或生物制品为主的组合产品，如果申请人在获知发生可报告</w:t>
      </w:r>
      <w:r w:rsidR="00D277D2" w:rsidRPr="00C277C0">
        <w:rPr>
          <w:rFonts w:eastAsia="宋体" w:hint="eastAsia"/>
          <w:snapToGrid w:val="0"/>
          <w:lang w:eastAsia="zh-CN"/>
        </w:rPr>
        <w:t>故障</w:t>
      </w:r>
      <w:r w:rsidR="00097329" w:rsidRPr="00C277C0">
        <w:rPr>
          <w:rFonts w:eastAsia="宋体" w:hint="eastAsia"/>
          <w:snapToGrid w:val="0"/>
          <w:lang w:eastAsia="zh-CN"/>
        </w:rPr>
        <w:t>信息的</w:t>
      </w:r>
      <w:r w:rsidR="00097329" w:rsidRPr="00C277C0">
        <w:rPr>
          <w:rFonts w:eastAsia="宋体" w:hint="eastAsia"/>
          <w:snapToGrid w:val="0"/>
          <w:lang w:eastAsia="zh-CN"/>
        </w:rPr>
        <w:t>30</w:t>
      </w:r>
      <w:r w:rsidR="00097329" w:rsidRPr="00C277C0">
        <w:rPr>
          <w:rFonts w:eastAsia="宋体" w:hint="eastAsia"/>
          <w:snapToGrid w:val="0"/>
          <w:lang w:eastAsia="zh-CN"/>
        </w:rPr>
        <w:t>个（而不是</w:t>
      </w:r>
      <w:r w:rsidR="00097329" w:rsidRPr="00C277C0">
        <w:rPr>
          <w:rFonts w:eastAsia="宋体" w:hint="eastAsia"/>
          <w:snapToGrid w:val="0"/>
          <w:lang w:eastAsia="zh-CN"/>
        </w:rPr>
        <w:t>15</w:t>
      </w:r>
      <w:r w:rsidR="00097329" w:rsidRPr="00C277C0">
        <w:rPr>
          <w:rFonts w:eastAsia="宋体" w:hint="eastAsia"/>
          <w:snapToGrid w:val="0"/>
          <w:lang w:eastAsia="zh-CN"/>
        </w:rPr>
        <w:t>个）日历日内提交</w:t>
      </w:r>
      <w:r w:rsidR="00D277D2" w:rsidRPr="00C277C0">
        <w:rPr>
          <w:rFonts w:eastAsia="宋体" w:hint="eastAsia"/>
          <w:snapToGrid w:val="0"/>
          <w:lang w:eastAsia="zh-CN"/>
        </w:rPr>
        <w:t>故障</w:t>
      </w:r>
      <w:r w:rsidR="00C55B83" w:rsidRPr="00C277C0">
        <w:rPr>
          <w:rFonts w:eastAsia="宋体" w:hint="eastAsia"/>
          <w:snapToGrid w:val="0"/>
          <w:lang w:eastAsia="zh-CN"/>
        </w:rPr>
        <w:t>报告</w:t>
      </w:r>
      <w:r w:rsidR="00097329" w:rsidRPr="00C277C0">
        <w:rPr>
          <w:rFonts w:eastAsia="宋体" w:hint="eastAsia"/>
          <w:snapToGrid w:val="0"/>
          <w:lang w:eastAsia="zh-CN"/>
        </w:rPr>
        <w:t>作为先前已提交</w:t>
      </w:r>
      <w:r w:rsidR="00097329" w:rsidRPr="00C277C0">
        <w:rPr>
          <w:rFonts w:eastAsia="宋体" w:hint="eastAsia"/>
          <w:snapToGrid w:val="0"/>
          <w:lang w:eastAsia="zh-CN"/>
        </w:rPr>
        <w:t>15</w:t>
      </w:r>
      <w:r w:rsidR="00097329" w:rsidRPr="00C277C0">
        <w:rPr>
          <w:rFonts w:eastAsia="宋体" w:hint="eastAsia"/>
          <w:snapToGrid w:val="0"/>
          <w:lang w:eastAsia="zh-CN"/>
        </w:rPr>
        <w:t>天报告的</w:t>
      </w:r>
      <w:r w:rsidR="00C55B83" w:rsidRPr="00C277C0">
        <w:rPr>
          <w:rFonts w:eastAsia="宋体" w:hint="eastAsia"/>
          <w:snapToGrid w:val="0"/>
          <w:lang w:eastAsia="zh-CN"/>
        </w:rPr>
        <w:t>后续报告</w:t>
      </w:r>
      <w:r w:rsidR="00097329" w:rsidRPr="00C277C0">
        <w:rPr>
          <w:rFonts w:eastAsia="宋体" w:hint="eastAsia"/>
          <w:snapToGrid w:val="0"/>
          <w:lang w:eastAsia="zh-CN"/>
        </w:rPr>
        <w:t>，</w:t>
      </w:r>
      <w:r w:rsidR="00097329" w:rsidRPr="00C277C0">
        <w:rPr>
          <w:rFonts w:eastAsia="宋体" w:hint="eastAsia"/>
          <w:snapToGrid w:val="0"/>
          <w:lang w:eastAsia="zh-CN"/>
        </w:rPr>
        <w:t>FDA</w:t>
      </w:r>
      <w:r w:rsidR="00097329" w:rsidRPr="00C277C0">
        <w:rPr>
          <w:rFonts w:eastAsia="宋体" w:hint="eastAsia"/>
          <w:snapToGrid w:val="0"/>
          <w:lang w:eastAsia="zh-CN"/>
        </w:rPr>
        <w:t>也不反对。最初在非快速</w:t>
      </w:r>
      <w:r w:rsidR="00097329" w:rsidRPr="00C277C0">
        <w:rPr>
          <w:rFonts w:eastAsia="宋体" w:hint="eastAsia"/>
          <w:snapToGrid w:val="0"/>
          <w:lang w:eastAsia="zh-CN"/>
        </w:rPr>
        <w:t>ICSR</w:t>
      </w:r>
      <w:r w:rsidR="00097329" w:rsidRPr="00C277C0">
        <w:rPr>
          <w:rFonts w:eastAsia="宋体" w:hint="eastAsia"/>
          <w:snapToGrid w:val="0"/>
          <w:lang w:eastAsia="zh-CN"/>
        </w:rPr>
        <w:t>中报告的事件</w:t>
      </w:r>
      <w:r w:rsidR="00D277D2" w:rsidRPr="00C277C0">
        <w:rPr>
          <w:rFonts w:eastAsia="宋体" w:hint="eastAsia"/>
          <w:snapToGrid w:val="0"/>
          <w:lang w:eastAsia="zh-CN"/>
        </w:rPr>
        <w:t>故障</w:t>
      </w:r>
      <w:r w:rsidR="00C55B83" w:rsidRPr="00C277C0">
        <w:rPr>
          <w:rFonts w:eastAsia="宋体" w:hint="eastAsia"/>
          <w:snapToGrid w:val="0"/>
          <w:lang w:eastAsia="zh-CN"/>
        </w:rPr>
        <w:t>报告</w:t>
      </w:r>
      <w:r w:rsidR="00097329" w:rsidRPr="00C277C0">
        <w:rPr>
          <w:rFonts w:eastAsia="宋体" w:hint="eastAsia"/>
          <w:snapToGrid w:val="0"/>
          <w:lang w:eastAsia="zh-CN"/>
        </w:rPr>
        <w:t>必须在申请人获知合理表明发生可报告</w:t>
      </w:r>
      <w:r w:rsidR="00D277D2" w:rsidRPr="00C277C0">
        <w:rPr>
          <w:rFonts w:eastAsia="宋体" w:hint="eastAsia"/>
          <w:snapToGrid w:val="0"/>
          <w:lang w:eastAsia="zh-CN"/>
        </w:rPr>
        <w:t>故障</w:t>
      </w:r>
      <w:r w:rsidR="00097329" w:rsidRPr="00C277C0">
        <w:rPr>
          <w:rFonts w:eastAsia="宋体" w:hint="eastAsia"/>
          <w:snapToGrid w:val="0"/>
          <w:lang w:eastAsia="zh-CN"/>
        </w:rPr>
        <w:t>信息后的</w:t>
      </w:r>
      <w:r w:rsidR="00097329" w:rsidRPr="00C277C0">
        <w:rPr>
          <w:rFonts w:eastAsia="宋体" w:hint="eastAsia"/>
          <w:snapToGrid w:val="0"/>
          <w:lang w:eastAsia="zh-CN"/>
        </w:rPr>
        <w:t>30</w:t>
      </w:r>
      <w:r w:rsidR="00097329" w:rsidRPr="00C277C0">
        <w:rPr>
          <w:rFonts w:eastAsia="宋体" w:hint="eastAsia"/>
          <w:snapToGrid w:val="0"/>
          <w:lang w:eastAsia="zh-CN"/>
        </w:rPr>
        <w:t>个日历日内提交，并且当申请人获知该</w:t>
      </w:r>
      <w:r w:rsidR="00E9582C" w:rsidRPr="00C277C0">
        <w:rPr>
          <w:rFonts w:eastAsia="宋体" w:hint="eastAsia"/>
          <w:snapToGrid w:val="0"/>
          <w:lang w:eastAsia="zh-CN"/>
        </w:rPr>
        <w:t>故障</w:t>
      </w:r>
      <w:r w:rsidR="00097329" w:rsidRPr="00C277C0">
        <w:rPr>
          <w:rFonts w:eastAsia="宋体" w:hint="eastAsia"/>
          <w:snapToGrid w:val="0"/>
          <w:lang w:eastAsia="zh-CN"/>
        </w:rPr>
        <w:t>的可报告新信息时，还需要提交</w:t>
      </w:r>
      <w:r w:rsidR="00D277D2" w:rsidRPr="00C277C0">
        <w:rPr>
          <w:rFonts w:eastAsia="宋体" w:hint="eastAsia"/>
          <w:snapToGrid w:val="0"/>
          <w:lang w:eastAsia="zh-CN"/>
        </w:rPr>
        <w:t>故障</w:t>
      </w:r>
      <w:r w:rsidR="00097329" w:rsidRPr="00C277C0">
        <w:rPr>
          <w:rFonts w:eastAsia="宋体" w:hint="eastAsia"/>
          <w:snapToGrid w:val="0"/>
          <w:lang w:eastAsia="zh-CN"/>
        </w:rPr>
        <w:t>的</w:t>
      </w:r>
      <w:r w:rsidR="00C55B83" w:rsidRPr="00C277C0">
        <w:rPr>
          <w:rFonts w:eastAsia="宋体" w:hint="eastAsia"/>
          <w:snapToGrid w:val="0"/>
          <w:lang w:eastAsia="zh-CN"/>
        </w:rPr>
        <w:t>后续报告</w:t>
      </w:r>
      <w:r w:rsidR="00097329" w:rsidRPr="00C277C0">
        <w:rPr>
          <w:rFonts w:eastAsia="宋体" w:hint="eastAsia"/>
          <w:snapToGrid w:val="0"/>
          <w:lang w:eastAsia="zh-CN"/>
        </w:rPr>
        <w:t>（</w:t>
      </w:r>
      <w:r w:rsidR="008A4884">
        <w:rPr>
          <w:rFonts w:eastAsia="宋体" w:hint="eastAsia"/>
          <w:snapToGrid w:val="0"/>
          <w:lang w:eastAsia="zh-CN"/>
        </w:rPr>
        <w:t>参</w:t>
      </w:r>
      <w:r w:rsidR="00097329"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75567A" w:rsidRPr="00C277C0">
        <w:rPr>
          <w:rFonts w:eastAsia="宋体" w:hint="eastAsia"/>
          <w:snapToGrid w:val="0"/>
          <w:lang w:eastAsia="zh-CN"/>
        </w:rPr>
        <w:t>第</w:t>
      </w:r>
      <w:r w:rsidR="00097329" w:rsidRPr="00C277C0">
        <w:rPr>
          <w:rFonts w:eastAsia="宋体" w:hint="eastAsia"/>
          <w:snapToGrid w:val="0"/>
          <w:lang w:eastAsia="zh-CN"/>
        </w:rPr>
        <w:t>4.102</w:t>
      </w:r>
      <w:r w:rsidR="006D76A7" w:rsidRPr="00C277C0">
        <w:rPr>
          <w:rFonts w:eastAsia="宋体" w:hint="eastAsia"/>
          <w:snapToGrid w:val="0"/>
          <w:lang w:eastAsia="zh-CN"/>
        </w:rPr>
        <w:t>（</w:t>
      </w:r>
      <w:r w:rsidR="00097329" w:rsidRPr="00C277C0">
        <w:rPr>
          <w:rFonts w:eastAsia="宋体" w:hint="eastAsia"/>
          <w:snapToGrid w:val="0"/>
          <w:lang w:eastAsia="zh-CN"/>
        </w:rPr>
        <w:t>c</w:t>
      </w:r>
      <w:r w:rsidR="006D76A7" w:rsidRPr="00C277C0">
        <w:rPr>
          <w:rFonts w:eastAsia="宋体" w:hint="eastAsia"/>
          <w:snapToGrid w:val="0"/>
          <w:lang w:eastAsia="zh-CN"/>
        </w:rPr>
        <w:t>）（</w:t>
      </w:r>
      <w:r w:rsidR="00097329" w:rsidRPr="00C277C0">
        <w:rPr>
          <w:rFonts w:eastAsia="宋体" w:hint="eastAsia"/>
          <w:snapToGrid w:val="0"/>
          <w:lang w:eastAsia="zh-CN"/>
        </w:rPr>
        <w:t>1</w:t>
      </w:r>
      <w:r w:rsidR="006D76A7" w:rsidRPr="00C277C0">
        <w:rPr>
          <w:rFonts w:eastAsia="宋体" w:hint="eastAsia"/>
          <w:snapToGrid w:val="0"/>
          <w:lang w:eastAsia="zh-CN"/>
        </w:rPr>
        <w:t>）</w:t>
      </w:r>
      <w:r w:rsidR="00097329" w:rsidRPr="00C277C0">
        <w:rPr>
          <w:rFonts w:eastAsia="宋体" w:hint="eastAsia"/>
          <w:snapToGrid w:val="0"/>
          <w:lang w:eastAsia="zh-CN"/>
        </w:rPr>
        <w:t>、</w:t>
      </w:r>
      <w:r w:rsidR="00097329" w:rsidRPr="00C277C0">
        <w:rPr>
          <w:rFonts w:eastAsia="宋体" w:hint="eastAsia"/>
          <w:snapToGrid w:val="0"/>
          <w:lang w:eastAsia="zh-CN"/>
        </w:rPr>
        <w:t>803.50</w:t>
      </w:r>
      <w:r w:rsidR="00097329" w:rsidRPr="00C277C0">
        <w:rPr>
          <w:rFonts w:eastAsia="宋体" w:hint="eastAsia"/>
          <w:snapToGrid w:val="0"/>
          <w:lang w:eastAsia="zh-CN"/>
        </w:rPr>
        <w:t>和</w:t>
      </w:r>
      <w:r w:rsidR="00097329" w:rsidRPr="00C277C0">
        <w:rPr>
          <w:rFonts w:eastAsia="宋体" w:hint="eastAsia"/>
          <w:snapToGrid w:val="0"/>
          <w:lang w:eastAsia="zh-CN"/>
        </w:rPr>
        <w:t>803.56</w:t>
      </w:r>
      <w:r w:rsidR="0075567A" w:rsidRPr="00C277C0">
        <w:rPr>
          <w:rFonts w:eastAsia="宋体" w:hint="eastAsia"/>
          <w:snapToGrid w:val="0"/>
          <w:lang w:eastAsia="zh-CN"/>
        </w:rPr>
        <w:t>节</w:t>
      </w:r>
      <w:r w:rsidR="00097329" w:rsidRPr="00C277C0">
        <w:rPr>
          <w:rFonts w:eastAsia="宋体" w:hint="eastAsia"/>
          <w:snapToGrid w:val="0"/>
          <w:lang w:eastAsia="zh-CN"/>
        </w:rPr>
        <w:t>）。（另</w:t>
      </w:r>
      <w:r w:rsidR="008A4884">
        <w:rPr>
          <w:rFonts w:eastAsia="宋体" w:hint="eastAsia"/>
          <w:snapToGrid w:val="0"/>
          <w:lang w:eastAsia="zh-CN"/>
        </w:rPr>
        <w:t>参</w:t>
      </w:r>
      <w:r w:rsidR="00097329" w:rsidRPr="00C277C0">
        <w:rPr>
          <w:rFonts w:eastAsia="宋体" w:hint="eastAsia"/>
          <w:snapToGrid w:val="0"/>
          <w:lang w:eastAsia="zh-CN"/>
        </w:rPr>
        <w:t>见</w:t>
      </w:r>
      <w:r w:rsidR="00C8689A" w:rsidRPr="00C277C0">
        <w:rPr>
          <w:rFonts w:eastAsia="宋体" w:hint="eastAsia"/>
          <w:snapToGrid w:val="0"/>
          <w:lang w:eastAsia="zh-CN"/>
        </w:rPr>
        <w:t>第</w:t>
      </w:r>
      <w:r w:rsidR="00C8689A" w:rsidRPr="00C277C0">
        <w:rPr>
          <w:rFonts w:eastAsia="宋体" w:hint="eastAsia"/>
          <w:snapToGrid w:val="0"/>
          <w:lang w:eastAsia="zh-CN"/>
        </w:rPr>
        <w:t>V.B.3</w:t>
      </w:r>
      <w:r w:rsidR="00C8689A" w:rsidRPr="00C277C0">
        <w:rPr>
          <w:rFonts w:eastAsia="宋体" w:hint="eastAsia"/>
          <w:snapToGrid w:val="0"/>
          <w:lang w:eastAsia="zh-CN"/>
        </w:rPr>
        <w:t>节</w:t>
      </w:r>
      <w:r w:rsidR="00097329" w:rsidRPr="00C277C0">
        <w:rPr>
          <w:rFonts w:eastAsia="宋体" w:hint="eastAsia"/>
          <w:snapToGrid w:val="0"/>
          <w:lang w:eastAsia="zh-CN"/>
        </w:rPr>
        <w:t>，讨论</w:t>
      </w:r>
      <w:r w:rsidR="00C55B83" w:rsidRPr="00C277C0">
        <w:rPr>
          <w:rFonts w:eastAsia="宋体" w:hint="eastAsia"/>
          <w:snapToGrid w:val="0"/>
          <w:lang w:eastAsia="zh-CN"/>
        </w:rPr>
        <w:t>后续报告</w:t>
      </w:r>
      <w:r w:rsidR="00097329" w:rsidRPr="00C277C0">
        <w:rPr>
          <w:rFonts w:eastAsia="宋体" w:hint="eastAsia"/>
          <w:snapToGrid w:val="0"/>
          <w:lang w:eastAsia="zh-CN"/>
        </w:rPr>
        <w:t>中包含的信息。）</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5.</w:t>
      </w:r>
      <w:r w:rsidRPr="00C277C0">
        <w:rPr>
          <w:rFonts w:hint="eastAsia"/>
          <w:snapToGrid w:val="0"/>
          <w:lang w:eastAsia="zh-CN"/>
        </w:rPr>
        <w:tab/>
      </w:r>
      <w:r w:rsidRPr="00C277C0">
        <w:rPr>
          <w:rFonts w:hint="eastAsia"/>
          <w:snapToGrid w:val="0"/>
          <w:lang w:eastAsia="zh-CN"/>
        </w:rPr>
        <w:t>定期安全性报告中包含的组合产品</w:t>
      </w:r>
      <w:r w:rsidRPr="00C277C0">
        <w:rPr>
          <w:rFonts w:hint="eastAsia"/>
          <w:snapToGrid w:val="0"/>
          <w:lang w:eastAsia="zh-CN"/>
        </w:rPr>
        <w:t>ICSR</w:t>
      </w:r>
      <w:r w:rsidRPr="00C277C0">
        <w:rPr>
          <w:rFonts w:hint="eastAsia"/>
          <w:snapToGrid w:val="0"/>
          <w:lang w:eastAsia="zh-CN"/>
        </w:rPr>
        <w:t>信息</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按照组合产品</w:t>
      </w:r>
      <w:r w:rsidRPr="00C277C0">
        <w:rPr>
          <w:rFonts w:eastAsia="宋体" w:hint="eastAsia"/>
          <w:snapToGrid w:val="0"/>
          <w:lang w:eastAsia="zh-CN"/>
        </w:rPr>
        <w:t>PMSR</w:t>
      </w:r>
      <w:r w:rsidRPr="00C277C0">
        <w:rPr>
          <w:rFonts w:eastAsia="宋体" w:hint="eastAsia"/>
          <w:snapToGrid w:val="0"/>
          <w:lang w:eastAsia="zh-CN"/>
        </w:rPr>
        <w:t>规则，根据</w:t>
      </w:r>
      <w:r w:rsidRPr="00C277C0">
        <w:rPr>
          <w:rFonts w:eastAsia="宋体" w:hint="eastAsia"/>
          <w:snapToGrid w:val="0"/>
          <w:lang w:eastAsia="zh-CN"/>
        </w:rPr>
        <w:t>NDA</w:t>
      </w:r>
      <w:r w:rsidRPr="00C277C0">
        <w:rPr>
          <w:rFonts w:eastAsia="宋体" w:hint="eastAsia"/>
          <w:snapToGrid w:val="0"/>
          <w:lang w:eastAsia="zh-CN"/>
        </w:rPr>
        <w:t>、</w:t>
      </w:r>
      <w:r w:rsidRPr="00C277C0">
        <w:rPr>
          <w:rFonts w:eastAsia="宋体" w:hint="eastAsia"/>
          <w:snapToGrid w:val="0"/>
          <w:lang w:eastAsia="zh-CN"/>
        </w:rPr>
        <w:t>ANDA</w:t>
      </w:r>
      <w:r w:rsidRPr="00C277C0">
        <w:rPr>
          <w:rFonts w:eastAsia="宋体" w:hint="eastAsia"/>
          <w:snapToGrid w:val="0"/>
          <w:lang w:eastAsia="zh-CN"/>
        </w:rPr>
        <w:t>或</w:t>
      </w:r>
      <w:r w:rsidRPr="00C277C0">
        <w:rPr>
          <w:rFonts w:eastAsia="宋体" w:hint="eastAsia"/>
          <w:snapToGrid w:val="0"/>
          <w:lang w:eastAsia="zh-CN"/>
        </w:rPr>
        <w:t>BLA</w:t>
      </w:r>
      <w:r w:rsidRPr="00C277C0">
        <w:rPr>
          <w:rFonts w:eastAsia="宋体" w:hint="eastAsia"/>
          <w:snapToGrid w:val="0"/>
          <w:lang w:eastAsia="zh-CN"/>
        </w:rPr>
        <w:t>（</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4.102</w:t>
      </w:r>
      <w:r w:rsidR="00C77DFE" w:rsidRPr="00C277C0">
        <w:rPr>
          <w:rFonts w:eastAsia="宋体" w:hint="eastAsia"/>
          <w:snapToGrid w:val="0"/>
          <w:lang w:eastAsia="zh-CN"/>
        </w:rPr>
        <w:t>（</w:t>
      </w:r>
      <w:r w:rsidRPr="00C277C0">
        <w:rPr>
          <w:rFonts w:eastAsia="宋体" w:hint="eastAsia"/>
          <w:snapToGrid w:val="0"/>
          <w:lang w:eastAsia="zh-CN"/>
        </w:rPr>
        <w:t>d</w:t>
      </w:r>
      <w:r w:rsidR="00C77DFE" w:rsidRPr="00C277C0">
        <w:rPr>
          <w:rFonts w:eastAsia="宋体" w:hint="eastAsia"/>
          <w:snapToGrid w:val="0"/>
          <w:lang w:eastAsia="zh-CN"/>
        </w:rPr>
        <w:t>）（</w:t>
      </w:r>
      <w:r w:rsidRPr="00C277C0">
        <w:rPr>
          <w:rFonts w:eastAsia="宋体" w:hint="eastAsia"/>
          <w:snapToGrid w:val="0"/>
          <w:lang w:eastAsia="zh-CN"/>
        </w:rPr>
        <w:t>1</w:t>
      </w:r>
      <w:r w:rsidR="00C77DFE" w:rsidRPr="00C277C0">
        <w:rPr>
          <w:rFonts w:eastAsia="宋体" w:hint="eastAsia"/>
          <w:snapToGrid w:val="0"/>
          <w:lang w:eastAsia="zh-CN"/>
        </w:rPr>
        <w:t>）</w:t>
      </w:r>
      <w:r w:rsidRPr="00C277C0">
        <w:rPr>
          <w:rFonts w:eastAsia="宋体" w:hint="eastAsia"/>
          <w:snapToGrid w:val="0"/>
          <w:lang w:eastAsia="zh-CN"/>
        </w:rPr>
        <w:t>，</w:t>
      </w:r>
      <w:r w:rsidR="008A4884">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75567A" w:rsidRPr="00C277C0">
        <w:rPr>
          <w:rFonts w:eastAsia="宋体" w:hint="eastAsia"/>
          <w:snapToGrid w:val="0"/>
          <w:lang w:eastAsia="zh-CN"/>
        </w:rPr>
        <w:t>第</w:t>
      </w:r>
      <w:r w:rsidRPr="00C277C0">
        <w:rPr>
          <w:rFonts w:eastAsia="宋体" w:hint="eastAsia"/>
          <w:snapToGrid w:val="0"/>
          <w:lang w:eastAsia="zh-CN"/>
        </w:rPr>
        <w:t>314.80</w:t>
      </w:r>
      <w:r w:rsidR="00C77DFE" w:rsidRPr="00C277C0">
        <w:rPr>
          <w:rFonts w:eastAsia="宋体" w:hint="eastAsia"/>
          <w:snapToGrid w:val="0"/>
          <w:lang w:eastAsia="zh-CN"/>
        </w:rPr>
        <w:t>（</w:t>
      </w:r>
      <w:r w:rsidRPr="00C277C0">
        <w:rPr>
          <w:rFonts w:eastAsia="宋体" w:hint="eastAsia"/>
          <w:snapToGrid w:val="0"/>
          <w:lang w:eastAsia="zh-CN"/>
        </w:rPr>
        <w:t>c</w:t>
      </w:r>
      <w:r w:rsidR="00C77DFE" w:rsidRPr="00C277C0">
        <w:rPr>
          <w:rFonts w:eastAsia="宋体" w:hint="eastAsia"/>
          <w:snapToGrid w:val="0"/>
          <w:lang w:eastAsia="zh-CN"/>
        </w:rPr>
        <w:t>）（</w:t>
      </w:r>
      <w:r w:rsidRPr="00C277C0">
        <w:rPr>
          <w:rFonts w:eastAsia="宋体" w:hint="eastAsia"/>
          <w:snapToGrid w:val="0"/>
          <w:lang w:eastAsia="zh-CN"/>
        </w:rPr>
        <w:t>2</w:t>
      </w:r>
      <w:r w:rsidR="00C77DFE"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600.80</w:t>
      </w:r>
      <w:r w:rsidR="00C77DFE" w:rsidRPr="00C277C0">
        <w:rPr>
          <w:rFonts w:eastAsia="宋体" w:hint="eastAsia"/>
          <w:snapToGrid w:val="0"/>
          <w:lang w:eastAsia="zh-CN"/>
        </w:rPr>
        <w:t>（</w:t>
      </w:r>
      <w:r w:rsidRPr="00C277C0">
        <w:rPr>
          <w:rFonts w:eastAsia="宋体" w:hint="eastAsia"/>
          <w:snapToGrid w:val="0"/>
          <w:lang w:eastAsia="zh-CN"/>
        </w:rPr>
        <w:t>c</w:t>
      </w:r>
      <w:r w:rsidR="00C77DFE" w:rsidRPr="00C277C0">
        <w:rPr>
          <w:rFonts w:eastAsia="宋体" w:hint="eastAsia"/>
          <w:snapToGrid w:val="0"/>
          <w:lang w:eastAsia="zh-CN"/>
        </w:rPr>
        <w:t>）（</w:t>
      </w:r>
      <w:r w:rsidRPr="00C277C0">
        <w:rPr>
          <w:rFonts w:eastAsia="宋体" w:hint="eastAsia"/>
          <w:snapToGrid w:val="0"/>
          <w:lang w:eastAsia="zh-CN"/>
        </w:rPr>
        <w:t>2</w:t>
      </w:r>
      <w:r w:rsidR="00C77DFE" w:rsidRPr="00C277C0">
        <w:rPr>
          <w:rFonts w:eastAsia="宋体" w:hint="eastAsia"/>
          <w:snapToGrid w:val="0"/>
          <w:lang w:eastAsia="zh-CN"/>
        </w:rPr>
        <w:t>）</w:t>
      </w:r>
      <w:r w:rsidR="00164DB9" w:rsidRPr="00C277C0">
        <w:rPr>
          <w:rFonts w:eastAsia="宋体" w:hint="eastAsia"/>
          <w:snapToGrid w:val="0"/>
          <w:lang w:eastAsia="zh-CN"/>
        </w:rPr>
        <w:t>节</w:t>
      </w:r>
      <w:r w:rsidRPr="00C277C0">
        <w:rPr>
          <w:rFonts w:eastAsia="宋体" w:hint="eastAsia"/>
          <w:snapToGrid w:val="0"/>
          <w:lang w:eastAsia="zh-CN"/>
        </w:rPr>
        <w:t>）上市的组合产品需要定期报告。如果此类组合产品包括器械组成部分，则这些定期报告必须包括该定期安全性报告的报告间期内提交的</w:t>
      </w:r>
      <w:r w:rsidRPr="00C277C0">
        <w:rPr>
          <w:rFonts w:eastAsia="宋体" w:hint="eastAsia"/>
          <w:snapToGrid w:val="0"/>
          <w:lang w:eastAsia="zh-CN"/>
        </w:rPr>
        <w:t>5</w:t>
      </w:r>
      <w:r w:rsidRPr="00C277C0">
        <w:rPr>
          <w:rFonts w:eastAsia="宋体" w:hint="eastAsia"/>
          <w:snapToGrid w:val="0"/>
          <w:lang w:eastAsia="zh-CN"/>
        </w:rPr>
        <w:t>天报告和</w:t>
      </w:r>
      <w:r w:rsidR="002D74A4"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的</w:t>
      </w:r>
      <w:r w:rsidR="002D74A4" w:rsidRPr="00C277C0">
        <w:rPr>
          <w:rFonts w:eastAsia="宋体" w:hint="eastAsia"/>
          <w:snapToGrid w:val="0"/>
          <w:lang w:eastAsia="zh-CN"/>
        </w:rPr>
        <w:t>总结</w:t>
      </w:r>
      <w:r w:rsidRPr="00C277C0">
        <w:rPr>
          <w:rFonts w:eastAsia="宋体" w:hint="eastAsia"/>
          <w:snapToGrid w:val="0"/>
          <w:lang w:eastAsia="zh-CN"/>
        </w:rPr>
        <w:t>和分析（</w:t>
      </w:r>
      <w:r w:rsidR="004067FE">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4.102</w:t>
      </w:r>
      <w:r w:rsidR="00C77DFE" w:rsidRPr="00C277C0">
        <w:rPr>
          <w:rFonts w:eastAsia="宋体" w:hint="eastAsia"/>
          <w:snapToGrid w:val="0"/>
          <w:lang w:eastAsia="zh-CN"/>
        </w:rPr>
        <w:t>（</w:t>
      </w:r>
      <w:r w:rsidRPr="00C277C0">
        <w:rPr>
          <w:rFonts w:eastAsia="宋体" w:hint="eastAsia"/>
          <w:snapToGrid w:val="0"/>
          <w:lang w:eastAsia="zh-CN"/>
        </w:rPr>
        <w:t>d</w:t>
      </w:r>
      <w:r w:rsidR="00C77DFE" w:rsidRPr="00C277C0">
        <w:rPr>
          <w:rFonts w:eastAsia="宋体" w:hint="eastAsia"/>
          <w:snapToGrid w:val="0"/>
          <w:lang w:eastAsia="zh-CN"/>
        </w:rPr>
        <w:t>）（</w:t>
      </w:r>
      <w:r w:rsidRPr="00C277C0">
        <w:rPr>
          <w:rFonts w:eastAsia="宋体" w:hint="eastAsia"/>
          <w:snapToGrid w:val="0"/>
          <w:lang w:eastAsia="zh-CN"/>
        </w:rPr>
        <w:t>1</w:t>
      </w:r>
      <w:r w:rsidR="00C77DFE"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。（有关如何在定期安全性报告中提交此类内容的</w:t>
      </w:r>
      <w:r w:rsidR="00A961B4" w:rsidRPr="00C277C0">
        <w:rPr>
          <w:rFonts w:eastAsia="宋体" w:hint="eastAsia"/>
          <w:snapToGrid w:val="0"/>
          <w:lang w:eastAsia="zh-CN"/>
        </w:rPr>
        <w:t>详细信息</w:t>
      </w:r>
      <w:r w:rsidRPr="00C277C0">
        <w:rPr>
          <w:rFonts w:eastAsia="宋体" w:hint="eastAsia"/>
          <w:snapToGrid w:val="0"/>
          <w:lang w:eastAsia="zh-CN"/>
        </w:rPr>
        <w:t>，</w:t>
      </w:r>
      <w:r w:rsidR="00A00C22">
        <w:rPr>
          <w:rFonts w:eastAsia="宋体" w:hint="eastAsia"/>
          <w:snapToGrid w:val="0"/>
          <w:lang w:eastAsia="zh-CN"/>
        </w:rPr>
        <w:t>请参见</w:t>
      </w:r>
      <w:r w:rsidRPr="00C277C0">
        <w:rPr>
          <w:rFonts w:eastAsia="宋体" w:hint="eastAsia"/>
          <w:snapToGrid w:val="0"/>
          <w:lang w:eastAsia="zh-CN"/>
        </w:rPr>
        <w:t>下文第</w:t>
      </w:r>
      <w:r w:rsidR="00C8689A"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B.4</w:t>
      </w:r>
      <w:r w:rsidRPr="00C277C0">
        <w:rPr>
          <w:rFonts w:eastAsia="宋体" w:hint="eastAsia"/>
          <w:snapToGrid w:val="0"/>
          <w:lang w:eastAsia="zh-CN"/>
        </w:rPr>
        <w:t>节。）</w:t>
      </w:r>
    </w:p>
    <w:p w:rsidR="006223B4" w:rsidRPr="00C277C0" w:rsidRDefault="006223B4" w:rsidP="006223B4">
      <w:pPr>
        <w:autoSpaceDE/>
        <w:autoSpaceDN/>
        <w:snapToGrid w:val="0"/>
        <w:jc w:val="both"/>
        <w:rPr>
          <w:rFonts w:eastAsia="宋体"/>
          <w:snapToGrid w:val="0"/>
          <w:lang w:eastAsia="zh-CN"/>
        </w:rPr>
      </w:pPr>
      <w:r w:rsidRPr="00C277C0">
        <w:rPr>
          <w:rFonts w:eastAsia="宋体" w:hint="eastAsia"/>
          <w:snapToGrid w:val="0"/>
          <w:sz w:val="24"/>
          <w:szCs w:val="24"/>
          <w:lang w:eastAsia="zh-CN"/>
        </w:rPr>
        <w:br w:type="page"/>
      </w: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根据器械申请上市的组合产品</w:t>
      </w:r>
      <w:r w:rsidRPr="00B403CB">
        <w:rPr>
          <w:rFonts w:eastAsia="宋体" w:hint="eastAsia"/>
          <w:lang w:eastAsia="zh-CN"/>
        </w:rPr>
        <w:t>不</w:t>
      </w:r>
      <w:r w:rsidRPr="00C277C0">
        <w:rPr>
          <w:rFonts w:eastAsia="宋体" w:hint="eastAsia"/>
          <w:snapToGrid w:val="0"/>
          <w:lang w:eastAsia="zh-CN"/>
        </w:rPr>
        <w:t>需要定期报告。</w:t>
      </w:r>
      <w:r w:rsidRPr="00B403CB">
        <w:rPr>
          <w:rFonts w:eastAsia="宋体" w:hint="eastAsia"/>
          <w:lang w:eastAsia="zh-CN"/>
        </w:rPr>
        <w:t>仅</w:t>
      </w:r>
      <w:r w:rsidRPr="00C277C0">
        <w:rPr>
          <w:rFonts w:eastAsia="宋体" w:hint="eastAsia"/>
          <w:snapToGrid w:val="0"/>
          <w:lang w:eastAsia="zh-CN"/>
        </w:rPr>
        <w:t>当</w:t>
      </w:r>
      <w:r w:rsidRPr="00C277C0">
        <w:rPr>
          <w:rFonts w:eastAsia="宋体" w:hint="eastAsia"/>
          <w:snapToGrid w:val="0"/>
          <w:lang w:eastAsia="zh-CN"/>
        </w:rPr>
        <w:t>FDA</w:t>
      </w:r>
      <w:r w:rsidRPr="00C277C0">
        <w:rPr>
          <w:rFonts w:eastAsia="宋体" w:hint="eastAsia"/>
          <w:snapToGrid w:val="0"/>
          <w:lang w:eastAsia="zh-CN"/>
        </w:rPr>
        <w:t>以书面形式通知组合产品申请人</w:t>
      </w:r>
      <w:r w:rsidRPr="00C277C0">
        <w:rPr>
          <w:rFonts w:eastAsia="宋体" w:hint="eastAsia"/>
          <w:snapToGrid w:val="0"/>
          <w:lang w:eastAsia="zh-CN"/>
        </w:rPr>
        <w:t>FDA</w:t>
      </w:r>
      <w:r w:rsidRPr="00C277C0">
        <w:rPr>
          <w:rFonts w:eastAsia="宋体" w:hint="eastAsia"/>
          <w:snapToGrid w:val="0"/>
          <w:lang w:eastAsia="zh-CN"/>
        </w:rPr>
        <w:t>需要附加信息时，才需要附加报告（</w:t>
      </w:r>
      <w:r w:rsidR="004067FE">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75567A" w:rsidRPr="00C277C0">
        <w:rPr>
          <w:rFonts w:eastAsia="宋体" w:hint="eastAsia"/>
          <w:snapToGrid w:val="0"/>
          <w:lang w:eastAsia="zh-CN"/>
        </w:rPr>
        <w:t>第</w:t>
      </w:r>
      <w:r w:rsidRPr="00C277C0">
        <w:rPr>
          <w:rFonts w:eastAsia="宋体" w:hint="eastAsia"/>
          <w:snapToGrid w:val="0"/>
          <w:lang w:eastAsia="zh-CN"/>
        </w:rPr>
        <w:t>4.102</w:t>
      </w:r>
      <w:r w:rsidR="00C77DFE" w:rsidRPr="00C277C0">
        <w:rPr>
          <w:rFonts w:eastAsia="宋体" w:hint="eastAsia"/>
          <w:snapToGrid w:val="0"/>
          <w:lang w:eastAsia="zh-CN"/>
        </w:rPr>
        <w:t>（</w:t>
      </w:r>
      <w:r w:rsidRPr="00C277C0">
        <w:rPr>
          <w:rFonts w:eastAsia="宋体" w:hint="eastAsia"/>
          <w:snapToGrid w:val="0"/>
          <w:lang w:eastAsia="zh-CN"/>
        </w:rPr>
        <w:t>d</w:t>
      </w:r>
      <w:r w:rsidR="00C77DFE" w:rsidRPr="00C277C0">
        <w:rPr>
          <w:rFonts w:eastAsia="宋体" w:hint="eastAsia"/>
          <w:snapToGrid w:val="0"/>
          <w:lang w:eastAsia="zh-CN"/>
        </w:rPr>
        <w:t>）（</w:t>
      </w:r>
      <w:r w:rsidRPr="00C277C0">
        <w:rPr>
          <w:rFonts w:eastAsia="宋体" w:hint="eastAsia"/>
          <w:snapToGrid w:val="0"/>
          <w:lang w:eastAsia="zh-CN"/>
        </w:rPr>
        <w:t>2</w:t>
      </w:r>
      <w:r w:rsidR="00C77DFE" w:rsidRPr="00C277C0">
        <w:rPr>
          <w:rFonts w:eastAsia="宋体" w:hint="eastAsia"/>
          <w:snapToGrid w:val="0"/>
          <w:lang w:eastAsia="zh-CN"/>
        </w:rPr>
        <w:t>）</w:t>
      </w:r>
      <w:r w:rsidR="0075567A" w:rsidRPr="00C277C0">
        <w:rPr>
          <w:rFonts w:eastAsia="宋体" w:hint="eastAsia"/>
          <w:snapToGrid w:val="0"/>
          <w:lang w:eastAsia="zh-CN"/>
        </w:rPr>
        <w:t>节</w:t>
      </w:r>
      <w:r w:rsidRPr="00C277C0">
        <w:rPr>
          <w:rFonts w:eastAsia="宋体" w:hint="eastAsia"/>
          <w:snapToGrid w:val="0"/>
          <w:lang w:eastAsia="zh-CN"/>
        </w:rPr>
        <w:t>）。组合产品需要此类报告时（</w:t>
      </w:r>
      <w:r w:rsidRPr="00C277C0">
        <w:rPr>
          <w:rFonts w:eastAsia="宋体" w:hint="eastAsia"/>
          <w:snapToGrid w:val="0"/>
          <w:lang w:eastAsia="zh-CN"/>
        </w:rPr>
        <w:t>FDA</w:t>
      </w:r>
      <w:r w:rsidRPr="00C277C0">
        <w:rPr>
          <w:rFonts w:eastAsia="宋体" w:hint="eastAsia"/>
          <w:snapToGrid w:val="0"/>
          <w:lang w:eastAsia="zh-CN"/>
        </w:rPr>
        <w:t>预计此类组合产品很少），</w:t>
      </w:r>
      <w:r w:rsidRPr="00C277C0">
        <w:rPr>
          <w:rFonts w:eastAsia="宋体" w:hint="eastAsia"/>
          <w:snapToGrid w:val="0"/>
          <w:lang w:eastAsia="zh-CN"/>
        </w:rPr>
        <w:t>FDA</w:t>
      </w:r>
      <w:r w:rsidRPr="00C277C0">
        <w:rPr>
          <w:rFonts w:eastAsia="宋体" w:hint="eastAsia"/>
          <w:snapToGrid w:val="0"/>
          <w:lang w:eastAsia="zh-CN"/>
        </w:rPr>
        <w:t>将明确指出需要哪些附加安全性信息（</w:t>
      </w:r>
      <w:r w:rsidR="004067FE">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4.102</w:t>
      </w:r>
      <w:r w:rsidR="00C77DFE" w:rsidRPr="00C277C0">
        <w:rPr>
          <w:rFonts w:eastAsia="宋体" w:hint="eastAsia"/>
          <w:snapToGrid w:val="0"/>
          <w:lang w:eastAsia="zh-CN"/>
        </w:rPr>
        <w:t>（</w:t>
      </w:r>
      <w:r w:rsidRPr="00C277C0">
        <w:rPr>
          <w:rFonts w:eastAsia="宋体" w:hint="eastAsia"/>
          <w:snapToGrid w:val="0"/>
          <w:lang w:eastAsia="zh-CN"/>
        </w:rPr>
        <w:t>d</w:t>
      </w:r>
      <w:r w:rsidR="00C77DFE" w:rsidRPr="00C277C0">
        <w:rPr>
          <w:rFonts w:eastAsia="宋体" w:hint="eastAsia"/>
          <w:snapToGrid w:val="0"/>
          <w:lang w:eastAsia="zh-CN"/>
        </w:rPr>
        <w:t>）（</w:t>
      </w:r>
      <w:r w:rsidRPr="00C277C0">
        <w:rPr>
          <w:rFonts w:eastAsia="宋体" w:hint="eastAsia"/>
          <w:snapToGrid w:val="0"/>
          <w:lang w:eastAsia="zh-CN"/>
        </w:rPr>
        <w:t>2</w:t>
      </w:r>
      <w:r w:rsidR="00C77DFE"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6.</w:t>
      </w:r>
      <w:r w:rsidRPr="00C277C0">
        <w:rPr>
          <w:rFonts w:hint="eastAsia"/>
          <w:snapToGrid w:val="0"/>
          <w:lang w:eastAsia="zh-CN"/>
        </w:rPr>
        <w:tab/>
      </w:r>
      <w:r w:rsidRPr="00C277C0">
        <w:rPr>
          <w:rFonts w:hint="eastAsia"/>
          <w:snapToGrid w:val="0"/>
          <w:lang w:eastAsia="zh-CN"/>
        </w:rPr>
        <w:t>针对境外事件或经历的组合产品</w:t>
      </w:r>
      <w:r w:rsidRPr="00C277C0">
        <w:rPr>
          <w:rFonts w:hint="eastAsia"/>
          <w:snapToGrid w:val="0"/>
          <w:lang w:eastAsia="zh-CN"/>
        </w:rPr>
        <w:t>ICSR</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C1273A">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组合产品境外事件的报告要求与药品、器械和生物制品此类事件的基本监管要求一致（</w:t>
      </w:r>
      <w:r w:rsidR="004067FE">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75567A" w:rsidRPr="00C277C0">
        <w:rPr>
          <w:rFonts w:eastAsia="宋体" w:hint="eastAsia"/>
          <w:snapToGrid w:val="0"/>
          <w:lang w:eastAsia="zh-CN"/>
        </w:rPr>
        <w:t>第</w:t>
      </w:r>
      <w:r w:rsidRPr="00C277C0">
        <w:rPr>
          <w:rFonts w:eastAsia="宋体" w:hint="eastAsia"/>
          <w:snapToGrid w:val="0"/>
          <w:lang w:eastAsia="zh-CN"/>
        </w:rPr>
        <w:t>4.102</w:t>
      </w:r>
      <w:r w:rsidR="0075567A" w:rsidRPr="00C277C0">
        <w:rPr>
          <w:rFonts w:eastAsia="宋体" w:hint="eastAsia"/>
          <w:snapToGrid w:val="0"/>
          <w:lang w:eastAsia="zh-CN"/>
        </w:rPr>
        <w:t>节</w:t>
      </w:r>
      <w:r w:rsidRPr="00C277C0">
        <w:rPr>
          <w:rFonts w:eastAsia="宋体" w:hint="eastAsia"/>
          <w:snapToGrid w:val="0"/>
          <w:lang w:eastAsia="zh-CN"/>
        </w:rPr>
        <w:t>）。此外，即使根据</w:t>
      </w:r>
      <w:r w:rsidRPr="00C277C0">
        <w:rPr>
          <w:rFonts w:eastAsia="宋体" w:hint="eastAsia"/>
          <w:snapToGrid w:val="0"/>
          <w:lang w:eastAsia="zh-CN"/>
        </w:rPr>
        <w:t>FDA</w:t>
      </w:r>
      <w:r w:rsidRPr="00C277C0">
        <w:rPr>
          <w:rFonts w:eastAsia="宋体" w:hint="eastAsia"/>
          <w:snapToGrid w:val="0"/>
          <w:lang w:eastAsia="zh-CN"/>
        </w:rPr>
        <w:t>法规可能不需要报告，</w:t>
      </w:r>
      <w:r w:rsidR="00CD13F3">
        <w:rPr>
          <w:rFonts w:eastAsia="宋体" w:hint="eastAsia"/>
          <w:snapToGrid w:val="0"/>
          <w:lang w:eastAsia="zh-CN"/>
        </w:rPr>
        <w:t>本机构</w:t>
      </w:r>
      <w:r w:rsidRPr="00C277C0">
        <w:rPr>
          <w:rFonts w:eastAsia="宋体" w:hint="eastAsia"/>
          <w:snapToGrid w:val="0"/>
          <w:lang w:eastAsia="zh-CN"/>
        </w:rPr>
        <w:t>仍建议报告在美国境外上市产品的境外事件（如下所述），以提高对可能与美国上市组合产品相关的安全性考虑因素的认识和理解，就像对其他医疗产品一样。</w:t>
      </w:r>
    </w:p>
    <w:p w:rsidR="00C1273A" w:rsidRPr="00C277C0" w:rsidRDefault="00C1273A" w:rsidP="00B403CB">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一般考虑因素。</w:t>
      </w:r>
      <w:r w:rsidRPr="00C277C0">
        <w:rPr>
          <w:rFonts w:eastAsia="宋体" w:hint="eastAsia"/>
          <w:snapToGrid w:val="0"/>
          <w:lang w:eastAsia="zh-CN"/>
        </w:rPr>
        <w:t>组合产品申请人不应报告不涉及其产品的境外事件（例如，如果他们能够确认该事件与另一申请人的产品相关）。当报告仅在美国境外上市产品的事件时，组合产品申请人应包含境外商品名</w:t>
      </w:r>
      <w:r w:rsidRPr="00C277C0">
        <w:rPr>
          <w:rFonts w:eastAsia="宋体" w:hint="eastAsia"/>
          <w:snapToGrid w:val="0"/>
          <w:lang w:eastAsia="zh-CN"/>
        </w:rPr>
        <w:t>/</w:t>
      </w:r>
      <w:r w:rsidRPr="00C277C0">
        <w:rPr>
          <w:rFonts w:eastAsia="宋体" w:hint="eastAsia"/>
          <w:snapToGrid w:val="0"/>
          <w:lang w:eastAsia="zh-CN"/>
        </w:rPr>
        <w:t>品牌名，并应按符合牵头中心流程的方式提交该信息。关于组合产品</w:t>
      </w:r>
      <w:r w:rsidRPr="00C277C0">
        <w:rPr>
          <w:rFonts w:eastAsia="宋体" w:hint="eastAsia"/>
          <w:snapToGrid w:val="0"/>
          <w:lang w:eastAsia="zh-CN"/>
        </w:rPr>
        <w:t>ICSR</w:t>
      </w:r>
      <w:r w:rsidRPr="00C277C0">
        <w:rPr>
          <w:rFonts w:eastAsia="宋体" w:hint="eastAsia"/>
          <w:snapToGrid w:val="0"/>
          <w:lang w:eastAsia="zh-CN"/>
        </w:rPr>
        <w:t>中包含的信息，另见第</w:t>
      </w:r>
      <w:r w:rsidR="00C8689A"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B.2</w:t>
      </w:r>
      <w:r w:rsidRPr="00C277C0">
        <w:rPr>
          <w:rFonts w:eastAsia="宋体" w:hint="eastAsia"/>
          <w:snapToGrid w:val="0"/>
          <w:lang w:eastAsia="zh-CN"/>
        </w:rPr>
        <w:t>节。</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5</w:t>
      </w:r>
      <w:r w:rsidRPr="00C277C0">
        <w:rPr>
          <w:rFonts w:eastAsia="宋体" w:hint="eastAsia"/>
          <w:i/>
          <w:snapToGrid w:val="0"/>
          <w:lang w:eastAsia="zh-CN"/>
        </w:rPr>
        <w:t>天报告</w:t>
      </w:r>
      <w:r w:rsidRPr="00B403CB">
        <w:rPr>
          <w:rFonts w:eastAsia="宋体" w:hint="eastAsia"/>
          <w:i/>
          <w:lang w:eastAsia="zh-CN"/>
        </w:rPr>
        <w:t>。</w:t>
      </w:r>
      <w:r w:rsidRPr="00C277C0">
        <w:rPr>
          <w:rFonts w:eastAsia="宋体" w:hint="eastAsia"/>
          <w:snapToGrid w:val="0"/>
          <w:lang w:eastAsia="zh-CN"/>
        </w:rPr>
        <w:t>组合产品申请人必须提交符合药品和生物制品要求的</w:t>
      </w:r>
      <w:r w:rsidRPr="00C277C0">
        <w:rPr>
          <w:rFonts w:eastAsia="宋体" w:hint="eastAsia"/>
          <w:snapToGrid w:val="0"/>
          <w:lang w:eastAsia="zh-CN"/>
        </w:rPr>
        <w:t>15</w:t>
      </w:r>
      <w:r w:rsidRPr="00C277C0">
        <w:rPr>
          <w:rFonts w:eastAsia="宋体" w:hint="eastAsia"/>
          <w:snapToGrid w:val="0"/>
          <w:lang w:eastAsia="zh-CN"/>
        </w:rPr>
        <w:t>天境外经历报告（</w:t>
      </w:r>
      <w:r w:rsidR="004067FE">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75567A" w:rsidRPr="00C277C0">
        <w:rPr>
          <w:rFonts w:eastAsia="宋体" w:hint="eastAsia"/>
          <w:snapToGrid w:val="0"/>
          <w:lang w:eastAsia="zh-CN"/>
        </w:rPr>
        <w:t>第</w:t>
      </w:r>
      <w:r w:rsidRPr="00C277C0">
        <w:rPr>
          <w:rFonts w:eastAsia="宋体" w:hint="eastAsia"/>
          <w:snapToGrid w:val="0"/>
          <w:lang w:eastAsia="zh-CN"/>
        </w:rPr>
        <w:t>4.102</w:t>
      </w:r>
      <w:r w:rsidR="00C77DFE" w:rsidRPr="00C277C0">
        <w:rPr>
          <w:rFonts w:eastAsia="宋体" w:hint="eastAsia"/>
          <w:snapToGrid w:val="0"/>
          <w:lang w:eastAsia="zh-CN"/>
        </w:rPr>
        <w:t>（</w:t>
      </w:r>
      <w:r w:rsidRPr="00C277C0">
        <w:rPr>
          <w:rFonts w:eastAsia="宋体" w:hint="eastAsia"/>
          <w:snapToGrid w:val="0"/>
          <w:lang w:eastAsia="zh-CN"/>
        </w:rPr>
        <w:t>b</w:t>
      </w:r>
      <w:r w:rsidR="00C77DFE" w:rsidRPr="00C277C0">
        <w:rPr>
          <w:rFonts w:eastAsia="宋体" w:hint="eastAsia"/>
          <w:snapToGrid w:val="0"/>
          <w:lang w:eastAsia="zh-CN"/>
        </w:rPr>
        <w:t>）</w:t>
      </w:r>
      <w:r w:rsidRPr="00C277C0">
        <w:rPr>
          <w:rFonts w:eastAsia="宋体" w:hint="eastAsia"/>
          <w:snapToGrid w:val="0"/>
          <w:lang w:eastAsia="zh-CN"/>
        </w:rPr>
        <w:t>和</w:t>
      </w:r>
      <w:r w:rsidR="00C77DFE" w:rsidRPr="00C277C0">
        <w:rPr>
          <w:rFonts w:eastAsia="宋体" w:hint="eastAsia"/>
          <w:snapToGrid w:val="0"/>
          <w:lang w:eastAsia="zh-CN"/>
        </w:rPr>
        <w:t>（</w:t>
      </w:r>
      <w:r w:rsidRPr="00C277C0">
        <w:rPr>
          <w:rFonts w:eastAsia="宋体" w:hint="eastAsia"/>
          <w:snapToGrid w:val="0"/>
          <w:lang w:eastAsia="zh-CN"/>
        </w:rPr>
        <w:t>c</w:t>
      </w:r>
      <w:r w:rsidR="00C77DFE" w:rsidRPr="00C277C0">
        <w:rPr>
          <w:rFonts w:eastAsia="宋体" w:hint="eastAsia"/>
          <w:snapToGrid w:val="0"/>
          <w:lang w:eastAsia="zh-CN"/>
        </w:rPr>
        <w:t>）</w:t>
      </w:r>
      <w:r w:rsidRPr="00C277C0">
        <w:rPr>
          <w:rFonts w:eastAsia="宋体" w:hint="eastAsia"/>
          <w:snapToGrid w:val="0"/>
          <w:lang w:eastAsia="zh-CN"/>
        </w:rPr>
        <w:t>、</w:t>
      </w:r>
      <w:r w:rsidRPr="00C277C0">
        <w:rPr>
          <w:rFonts w:eastAsia="宋体" w:hint="eastAsia"/>
          <w:snapToGrid w:val="0"/>
          <w:lang w:eastAsia="zh-CN"/>
        </w:rPr>
        <w:t>314.80</w:t>
      </w:r>
      <w:r w:rsidR="00C77DFE" w:rsidRPr="00C277C0">
        <w:rPr>
          <w:rFonts w:eastAsia="宋体" w:hint="eastAsia"/>
          <w:snapToGrid w:val="0"/>
          <w:lang w:eastAsia="zh-CN"/>
        </w:rPr>
        <w:t>（</w:t>
      </w:r>
      <w:r w:rsidRPr="00C277C0">
        <w:rPr>
          <w:rFonts w:eastAsia="宋体" w:hint="eastAsia"/>
          <w:snapToGrid w:val="0"/>
          <w:lang w:eastAsia="zh-CN"/>
        </w:rPr>
        <w:t>c</w:t>
      </w:r>
      <w:r w:rsidR="00C77DFE" w:rsidRPr="00C277C0">
        <w:rPr>
          <w:rFonts w:eastAsia="宋体" w:hint="eastAsia"/>
          <w:snapToGrid w:val="0"/>
          <w:lang w:eastAsia="zh-CN"/>
        </w:rPr>
        <w:t>）（</w:t>
      </w:r>
      <w:r w:rsidRPr="00C277C0">
        <w:rPr>
          <w:rFonts w:eastAsia="宋体" w:hint="eastAsia"/>
          <w:snapToGrid w:val="0"/>
          <w:lang w:eastAsia="zh-CN"/>
        </w:rPr>
        <w:t>1</w:t>
      </w:r>
      <w:r w:rsidR="00C77DFE"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600.80</w:t>
      </w:r>
      <w:r w:rsidR="00C77DFE" w:rsidRPr="00C277C0">
        <w:rPr>
          <w:rFonts w:eastAsia="宋体" w:hint="eastAsia"/>
          <w:snapToGrid w:val="0"/>
          <w:lang w:eastAsia="zh-CN"/>
        </w:rPr>
        <w:t>（</w:t>
      </w:r>
      <w:r w:rsidRPr="00C277C0">
        <w:rPr>
          <w:rFonts w:eastAsia="宋体" w:hint="eastAsia"/>
          <w:snapToGrid w:val="0"/>
          <w:lang w:eastAsia="zh-CN"/>
        </w:rPr>
        <w:t>c</w:t>
      </w:r>
      <w:r w:rsidR="00C77DFE" w:rsidRPr="00C277C0">
        <w:rPr>
          <w:rFonts w:eastAsia="宋体" w:hint="eastAsia"/>
          <w:snapToGrid w:val="0"/>
          <w:lang w:eastAsia="zh-CN"/>
        </w:rPr>
        <w:t>）（</w:t>
      </w:r>
      <w:r w:rsidRPr="00C277C0">
        <w:rPr>
          <w:rFonts w:eastAsia="宋体" w:hint="eastAsia"/>
          <w:snapToGrid w:val="0"/>
          <w:lang w:eastAsia="zh-CN"/>
        </w:rPr>
        <w:t>1</w:t>
      </w:r>
      <w:r w:rsidR="00C77DFE" w:rsidRPr="00C277C0">
        <w:rPr>
          <w:rFonts w:eastAsia="宋体" w:hint="eastAsia"/>
          <w:snapToGrid w:val="0"/>
          <w:lang w:eastAsia="zh-CN"/>
        </w:rPr>
        <w:t>）</w:t>
      </w:r>
      <w:r w:rsidR="0075567A" w:rsidRPr="00C277C0">
        <w:rPr>
          <w:rFonts w:eastAsia="宋体" w:hint="eastAsia"/>
          <w:snapToGrid w:val="0"/>
          <w:lang w:eastAsia="zh-CN"/>
        </w:rPr>
        <w:t>节</w:t>
      </w:r>
      <w:r w:rsidRPr="00C277C0">
        <w:rPr>
          <w:rFonts w:eastAsia="宋体" w:hint="eastAsia"/>
          <w:snapToGrid w:val="0"/>
          <w:lang w:eastAsia="zh-CN"/>
        </w:rPr>
        <w:t>）。具体而言，严重、非预期不良经历的境外报告必须以</w:t>
      </w:r>
      <w:r w:rsidRPr="00C277C0">
        <w:rPr>
          <w:rFonts w:eastAsia="宋体" w:hint="eastAsia"/>
          <w:snapToGrid w:val="0"/>
          <w:lang w:eastAsia="zh-CN"/>
        </w:rPr>
        <w:t>15</w:t>
      </w:r>
      <w:r w:rsidRPr="00C277C0">
        <w:rPr>
          <w:rFonts w:eastAsia="宋体" w:hint="eastAsia"/>
          <w:snapToGrid w:val="0"/>
          <w:lang w:eastAsia="zh-CN"/>
        </w:rPr>
        <w:t>天报告提交（</w:t>
      </w:r>
      <w:r w:rsidR="004916F2">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4.102</w:t>
      </w:r>
      <w:r w:rsidR="00C77DFE" w:rsidRPr="00C277C0">
        <w:rPr>
          <w:rFonts w:eastAsia="宋体" w:hint="eastAsia"/>
          <w:snapToGrid w:val="0"/>
          <w:lang w:eastAsia="zh-CN"/>
        </w:rPr>
        <w:t>（</w:t>
      </w:r>
      <w:r w:rsidRPr="00C277C0">
        <w:rPr>
          <w:rFonts w:eastAsia="宋体" w:hint="eastAsia"/>
          <w:snapToGrid w:val="0"/>
          <w:lang w:eastAsia="zh-CN"/>
        </w:rPr>
        <w:t>b</w:t>
      </w:r>
      <w:r w:rsidR="00C77DFE" w:rsidRPr="00C277C0">
        <w:rPr>
          <w:rFonts w:eastAsia="宋体" w:hint="eastAsia"/>
          <w:snapToGrid w:val="0"/>
          <w:lang w:eastAsia="zh-CN"/>
        </w:rPr>
        <w:t>）</w:t>
      </w:r>
      <w:r w:rsidRPr="00C277C0">
        <w:rPr>
          <w:rFonts w:eastAsia="宋体" w:hint="eastAsia"/>
          <w:snapToGrid w:val="0"/>
          <w:lang w:eastAsia="zh-CN"/>
        </w:rPr>
        <w:t>和</w:t>
      </w:r>
      <w:r w:rsidR="00C77DFE" w:rsidRPr="00C277C0">
        <w:rPr>
          <w:rFonts w:eastAsia="宋体" w:hint="eastAsia"/>
          <w:snapToGrid w:val="0"/>
          <w:lang w:eastAsia="zh-CN"/>
        </w:rPr>
        <w:t>（</w:t>
      </w:r>
      <w:r w:rsidRPr="00C277C0">
        <w:rPr>
          <w:rFonts w:eastAsia="宋体" w:hint="eastAsia"/>
          <w:snapToGrid w:val="0"/>
          <w:lang w:eastAsia="zh-CN"/>
        </w:rPr>
        <w:t>c</w:t>
      </w:r>
      <w:r w:rsidR="00C77DFE" w:rsidRPr="00C277C0">
        <w:rPr>
          <w:rFonts w:eastAsia="宋体" w:hint="eastAsia"/>
          <w:snapToGrid w:val="0"/>
          <w:lang w:eastAsia="zh-CN"/>
        </w:rPr>
        <w:t>）</w:t>
      </w:r>
      <w:r w:rsidRPr="00C277C0">
        <w:rPr>
          <w:rFonts w:eastAsia="宋体" w:hint="eastAsia"/>
          <w:snapToGrid w:val="0"/>
          <w:lang w:eastAsia="zh-CN"/>
        </w:rPr>
        <w:t>、</w:t>
      </w:r>
      <w:r w:rsidRPr="00C277C0">
        <w:rPr>
          <w:rFonts w:eastAsia="宋体" w:hint="eastAsia"/>
          <w:snapToGrid w:val="0"/>
          <w:lang w:eastAsia="zh-CN"/>
        </w:rPr>
        <w:t>314.80</w:t>
      </w:r>
      <w:r w:rsidR="00C77DFE" w:rsidRPr="00C277C0">
        <w:rPr>
          <w:rFonts w:eastAsia="宋体" w:hint="eastAsia"/>
          <w:snapToGrid w:val="0"/>
          <w:lang w:eastAsia="zh-CN"/>
        </w:rPr>
        <w:t>（</w:t>
      </w:r>
      <w:r w:rsidRPr="00C277C0">
        <w:rPr>
          <w:rFonts w:eastAsia="宋体" w:hint="eastAsia"/>
          <w:snapToGrid w:val="0"/>
          <w:lang w:eastAsia="zh-CN"/>
        </w:rPr>
        <w:t>c</w:t>
      </w:r>
      <w:r w:rsidR="00C77DFE" w:rsidRPr="00C277C0">
        <w:rPr>
          <w:rFonts w:eastAsia="宋体" w:hint="eastAsia"/>
          <w:snapToGrid w:val="0"/>
          <w:lang w:eastAsia="zh-CN"/>
        </w:rPr>
        <w:t>）（</w:t>
      </w:r>
      <w:r w:rsidRPr="00C277C0">
        <w:rPr>
          <w:rFonts w:eastAsia="宋体" w:hint="eastAsia"/>
          <w:snapToGrid w:val="0"/>
          <w:lang w:eastAsia="zh-CN"/>
        </w:rPr>
        <w:t>1</w:t>
      </w:r>
      <w:r w:rsidR="00C77DFE"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600.80</w:t>
      </w:r>
      <w:r w:rsidR="00C77DFE" w:rsidRPr="00C277C0">
        <w:rPr>
          <w:rFonts w:eastAsia="宋体" w:hint="eastAsia"/>
          <w:snapToGrid w:val="0"/>
          <w:lang w:eastAsia="zh-CN"/>
        </w:rPr>
        <w:t>（</w:t>
      </w:r>
      <w:r w:rsidRPr="00C277C0">
        <w:rPr>
          <w:rFonts w:eastAsia="宋体" w:hint="eastAsia"/>
          <w:snapToGrid w:val="0"/>
          <w:lang w:eastAsia="zh-CN"/>
        </w:rPr>
        <w:t>c</w:t>
      </w:r>
      <w:r w:rsidR="00C77DFE" w:rsidRPr="00C277C0">
        <w:rPr>
          <w:rFonts w:eastAsia="宋体" w:hint="eastAsia"/>
          <w:snapToGrid w:val="0"/>
          <w:lang w:eastAsia="zh-CN"/>
        </w:rPr>
        <w:t>）（</w:t>
      </w:r>
      <w:r w:rsidRPr="00C277C0">
        <w:rPr>
          <w:rFonts w:eastAsia="宋体" w:hint="eastAsia"/>
          <w:snapToGrid w:val="0"/>
          <w:lang w:eastAsia="zh-CN"/>
        </w:rPr>
        <w:t>1</w:t>
      </w:r>
      <w:r w:rsidR="00C77DFE"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。组合产品申请人还应提交与其上市的境外产品有关的</w:t>
      </w:r>
      <w:r w:rsidRPr="00C277C0">
        <w:rPr>
          <w:rFonts w:eastAsia="宋体" w:hint="eastAsia"/>
          <w:snapToGrid w:val="0"/>
          <w:lang w:eastAsia="zh-CN"/>
        </w:rPr>
        <w:t>15</w:t>
      </w:r>
      <w:r w:rsidRPr="00C277C0">
        <w:rPr>
          <w:rFonts w:eastAsia="宋体" w:hint="eastAsia"/>
          <w:snapToGrid w:val="0"/>
          <w:lang w:eastAsia="zh-CN"/>
        </w:rPr>
        <w:t>天事件报告，这些产品具有与美国上市的产品相同的活性成分（或生物制品组成部分的活性成分），</w:t>
      </w:r>
      <w:r w:rsidR="00FE2212" w:rsidRPr="00C277C0">
        <w:rPr>
          <w:rStyle w:val="af4"/>
          <w:rFonts w:eastAsia="宋体" w:hint="eastAsia"/>
          <w:snapToGrid w:val="0"/>
          <w:lang w:eastAsia="zh-CN"/>
        </w:rPr>
        <w:footnoteReference w:id="31"/>
      </w:r>
      <w:r w:rsidRPr="00C277C0">
        <w:rPr>
          <w:rFonts w:eastAsia="宋体" w:hint="eastAsia"/>
          <w:snapToGrid w:val="0"/>
          <w:lang w:eastAsia="zh-CN"/>
        </w:rPr>
        <w:t>即使境外上市产品的处方、剂型、规格或给药途径与美国上市产品不同。例如，如果申请人在美国仅上市含活性成分药物的预充式注射器，而在美国境外，申请人上市含有相同活性成分的口服剂型，申请人应向</w:t>
      </w:r>
      <w:r w:rsidRPr="00C277C0">
        <w:rPr>
          <w:rFonts w:eastAsia="宋体" w:hint="eastAsia"/>
          <w:snapToGrid w:val="0"/>
          <w:lang w:eastAsia="zh-CN"/>
        </w:rPr>
        <w:t>FDA</w:t>
      </w:r>
      <w:r w:rsidRPr="00C277C0">
        <w:rPr>
          <w:rFonts w:eastAsia="宋体" w:hint="eastAsia"/>
          <w:snapToGrid w:val="0"/>
          <w:lang w:eastAsia="zh-CN"/>
        </w:rPr>
        <w:t>报告该口服剂型严重且非预期的不良事件，并在报告中参考美国产品申请号。</w:t>
      </w:r>
    </w:p>
    <w:p w:rsidR="006223B4" w:rsidRPr="00B403CB" w:rsidRDefault="006223B4" w:rsidP="00B403CB">
      <w:pPr>
        <w:autoSpaceDE/>
        <w:autoSpaceDN/>
        <w:snapToGrid w:val="0"/>
        <w:jc w:val="both"/>
        <w:rPr>
          <w:rFonts w:eastAsia="宋体"/>
          <w:sz w:val="24"/>
          <w:lang w:eastAsia="zh-CN"/>
        </w:rPr>
      </w:pPr>
      <w:r w:rsidRPr="00B403CB">
        <w:rPr>
          <w:rFonts w:eastAsia="宋体"/>
          <w:sz w:val="24"/>
          <w:lang w:eastAsia="zh-CN"/>
        </w:rPr>
        <w:br w:type="page"/>
      </w: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器械</w:t>
      </w:r>
      <w:r w:rsidRPr="00C277C0">
        <w:rPr>
          <w:rFonts w:eastAsia="宋体" w:hint="eastAsia"/>
          <w:i/>
          <w:snapToGrid w:val="0"/>
          <w:lang w:eastAsia="zh-CN"/>
        </w:rPr>
        <w:t>ICSR</w:t>
      </w:r>
      <w:r w:rsidRPr="00B403CB">
        <w:rPr>
          <w:rFonts w:eastAsia="宋体" w:hint="eastAsia"/>
          <w:i/>
          <w:lang w:eastAsia="zh-CN"/>
        </w:rPr>
        <w:t>。</w:t>
      </w:r>
      <w:r w:rsidRPr="00C277C0">
        <w:rPr>
          <w:rFonts w:eastAsia="宋体" w:hint="eastAsia"/>
          <w:snapToGrid w:val="0"/>
          <w:lang w:eastAsia="zh-CN"/>
        </w:rPr>
        <w:t>与器械的方法一致，对于申请人在美国境外上市的器械和组合产品器械组成部分与该申请人在美国上市的组合产品器械组成部分相同或类似，如果美国上市的组合产品中可能会发生该</w:t>
      </w:r>
      <w:r w:rsidR="00961941" w:rsidRPr="00C277C0">
        <w:rPr>
          <w:rFonts w:eastAsia="宋体" w:hint="eastAsia"/>
          <w:snapToGrid w:val="0"/>
          <w:lang w:eastAsia="zh-CN"/>
        </w:rPr>
        <w:t>故障</w:t>
      </w:r>
      <w:r w:rsidRPr="00C277C0">
        <w:rPr>
          <w:rFonts w:eastAsia="宋体" w:hint="eastAsia"/>
          <w:snapToGrid w:val="0"/>
          <w:lang w:eastAsia="zh-CN"/>
        </w:rPr>
        <w:t>，则包含器械组成部分的组合产品的组合产品申请人应向</w:t>
      </w:r>
      <w:r w:rsidRPr="00C277C0">
        <w:rPr>
          <w:rFonts w:eastAsia="宋体" w:hint="eastAsia"/>
          <w:snapToGrid w:val="0"/>
          <w:lang w:eastAsia="zh-CN"/>
        </w:rPr>
        <w:t>FDA</w:t>
      </w:r>
      <w:r w:rsidRPr="00C277C0">
        <w:rPr>
          <w:rFonts w:eastAsia="宋体" w:hint="eastAsia"/>
          <w:snapToGrid w:val="0"/>
          <w:lang w:eastAsia="zh-CN"/>
        </w:rPr>
        <w:t>提交其他可报告</w:t>
      </w:r>
      <w:r w:rsidR="00961941" w:rsidRPr="00C277C0">
        <w:rPr>
          <w:rFonts w:eastAsia="宋体" w:hint="eastAsia"/>
          <w:snapToGrid w:val="0"/>
          <w:lang w:eastAsia="zh-CN"/>
        </w:rPr>
        <w:t>故障</w:t>
      </w:r>
      <w:r w:rsidRPr="00C277C0">
        <w:rPr>
          <w:rFonts w:eastAsia="宋体" w:hint="eastAsia"/>
          <w:snapToGrid w:val="0"/>
          <w:lang w:eastAsia="zh-CN"/>
        </w:rPr>
        <w:t>的</w:t>
      </w:r>
      <w:r w:rsidR="00961941"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w:t>
      </w:r>
      <w:r w:rsidR="00FE2212" w:rsidRPr="00C277C0">
        <w:rPr>
          <w:rStyle w:val="af4"/>
          <w:rFonts w:eastAsia="宋体" w:hint="eastAsia"/>
          <w:snapToGrid w:val="0"/>
          <w:lang w:eastAsia="zh-CN"/>
        </w:rPr>
        <w:footnoteReference w:id="32"/>
      </w:r>
      <w:r w:rsidR="00FE2212" w:rsidRPr="00C277C0">
        <w:rPr>
          <w:rFonts w:eastAsia="宋体" w:hint="eastAsia"/>
          <w:snapToGrid w:val="0"/>
          <w:vertAlign w:val="superscript"/>
          <w:lang w:eastAsia="zh-CN"/>
        </w:rPr>
        <w:t>,</w:t>
      </w:r>
      <w:r w:rsidR="00FE2212" w:rsidRPr="00C277C0">
        <w:rPr>
          <w:rStyle w:val="af4"/>
          <w:rFonts w:eastAsia="宋体" w:hint="eastAsia"/>
          <w:snapToGrid w:val="0"/>
          <w:lang w:eastAsia="zh-CN"/>
        </w:rPr>
        <w:footnoteReference w:id="33"/>
      </w:r>
      <w:r w:rsidRPr="00C277C0">
        <w:rPr>
          <w:rFonts w:eastAsia="宋体" w:hint="eastAsia"/>
          <w:snapToGrid w:val="0"/>
          <w:lang w:eastAsia="zh-CN"/>
        </w:rPr>
        <w:t>对于根据器械申请上市的组合产品，申请人在美国境外上市的组合产品与美国上市的组合产品有相同或类似的器械组成部分，如果美国上市的组合产品可能会发生类似事件，则组合产品申请人还应提交器械和组合产品器械组成部分的死亡和重伤境外事件报告。就本指南而言，</w:t>
      </w:r>
      <w:r w:rsidRPr="00C277C0">
        <w:rPr>
          <w:rFonts w:eastAsia="宋体" w:hint="eastAsia"/>
          <w:snapToGrid w:val="0"/>
          <w:lang w:eastAsia="zh-CN"/>
        </w:rPr>
        <w:t>FDA</w:t>
      </w:r>
      <w:r w:rsidRPr="00C277C0">
        <w:rPr>
          <w:rFonts w:eastAsia="宋体" w:hint="eastAsia"/>
          <w:snapToGrid w:val="0"/>
          <w:lang w:eastAsia="zh-CN"/>
        </w:rPr>
        <w:t>认为申请人在美国境外上市的器械或组合产品器械组成部分与申请人在美国上市的组合产品器械组成部分类似，如果申请人在美国境外上市组合产品的器械或器械组成部分：</w:t>
      </w:r>
      <w:r w:rsidR="00FE2212" w:rsidRPr="00C277C0">
        <w:rPr>
          <w:rStyle w:val="af4"/>
          <w:rFonts w:eastAsia="宋体" w:hint="eastAsia"/>
          <w:snapToGrid w:val="0"/>
          <w:lang w:eastAsia="zh-CN"/>
        </w:rPr>
        <w:footnoteReference w:id="34"/>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16"/>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与申请人在美国上市的组合产品器械组成部分具有相同类型（例如，有相同的产品代码）；</w:t>
      </w:r>
    </w:p>
    <w:p w:rsidR="00C1273A" w:rsidRPr="00C277C0" w:rsidRDefault="00C1273A" w:rsidP="00072C5E">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6"/>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与申请人在美国上市的组合产品器械组成部分具有相同的安全性和有效性相关基本设计和性能特征；以及</w:t>
      </w:r>
    </w:p>
    <w:p w:rsidR="00C1273A" w:rsidRPr="00C277C0" w:rsidRDefault="00C1273A" w:rsidP="00072C5E">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16"/>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与申请人在美国上市的组合产品的器械组成部分具有相同的一般用途和功能。</w:t>
      </w:r>
    </w:p>
    <w:p w:rsidR="00C1273A" w:rsidRPr="00C277C0" w:rsidRDefault="00C1273A" w:rsidP="00072C5E">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在美国境外上市的器械和组合产品器械组成部分，如果仅在安全性或有效性无关的细微特征上存在差异（例如，与美国上市的组合产品器械组成部分尺寸不同或其他微小设计变化），则可视为类似。器械和组合产品器械组成部分可根据略</w:t>
      </w:r>
      <w:r w:rsidR="00B22158" w:rsidRPr="00C277C0">
        <w:rPr>
          <w:rFonts w:eastAsia="宋体" w:hint="eastAsia"/>
          <w:snapToGrid w:val="0"/>
          <w:lang w:eastAsia="zh-CN"/>
        </w:rPr>
        <w:t>微</w:t>
      </w:r>
      <w:r w:rsidRPr="00C277C0">
        <w:rPr>
          <w:rFonts w:eastAsia="宋体" w:hint="eastAsia"/>
          <w:snapToGrid w:val="0"/>
          <w:lang w:eastAsia="zh-CN"/>
        </w:rPr>
        <w:t>修改的质量标准进行生产，以满足不同国家的标准。如上所述，如果此类器械或器械组成部分与美国上市的组合产品器械组成部分相似，</w:t>
      </w:r>
      <w:r w:rsidR="009F2497" w:rsidRPr="00C277C0">
        <w:rPr>
          <w:rFonts w:eastAsia="宋体" w:hint="eastAsia"/>
          <w:snapToGrid w:val="0"/>
          <w:lang w:eastAsia="zh-CN"/>
        </w:rPr>
        <w:t>那么</w:t>
      </w:r>
      <w:r w:rsidRPr="00C277C0">
        <w:rPr>
          <w:rFonts w:eastAsia="宋体" w:hint="eastAsia"/>
          <w:snapToGrid w:val="0"/>
          <w:lang w:eastAsia="zh-CN"/>
        </w:rPr>
        <w:t>如果该事件可能在美国上市的组合产品中发生，则应报告其他需要</w:t>
      </w:r>
      <w:r w:rsidRPr="00C277C0">
        <w:rPr>
          <w:rFonts w:eastAsia="宋体" w:hint="eastAsia"/>
          <w:snapToGrid w:val="0"/>
          <w:lang w:eastAsia="zh-CN"/>
        </w:rPr>
        <w:t>ICSR</w:t>
      </w:r>
      <w:r w:rsidRPr="00C277C0">
        <w:rPr>
          <w:rFonts w:eastAsia="宋体" w:hint="eastAsia"/>
          <w:snapToGrid w:val="0"/>
          <w:lang w:eastAsia="zh-CN"/>
        </w:rPr>
        <w:t>的任何事件。</w:t>
      </w:r>
    </w:p>
    <w:p w:rsidR="006223B4" w:rsidRPr="00C277C0" w:rsidRDefault="006223B4" w:rsidP="006223B4">
      <w:pPr>
        <w:autoSpaceDE/>
        <w:autoSpaceDN/>
        <w:snapToGrid w:val="0"/>
        <w:jc w:val="both"/>
        <w:rPr>
          <w:rFonts w:eastAsia="宋体"/>
          <w:snapToGrid w:val="0"/>
          <w:sz w:val="24"/>
          <w:szCs w:val="24"/>
          <w:lang w:eastAsia="zh-CN"/>
        </w:rPr>
      </w:pPr>
      <w:r w:rsidRPr="00C277C0">
        <w:rPr>
          <w:rFonts w:eastAsia="宋体" w:hint="eastAsia"/>
          <w:snapToGrid w:val="0"/>
          <w:sz w:val="24"/>
          <w:szCs w:val="24"/>
          <w:lang w:eastAsia="zh-CN"/>
        </w:rPr>
        <w:br w:type="page"/>
      </w:r>
    </w:p>
    <w:p w:rsidR="006223B4" w:rsidRPr="00C277C0" w:rsidRDefault="006223B4" w:rsidP="006223B4">
      <w:pPr>
        <w:autoSpaceDE/>
        <w:autoSpaceDN/>
        <w:snapToGrid w:val="0"/>
        <w:jc w:val="both"/>
        <w:rPr>
          <w:rFonts w:eastAsia="宋体"/>
          <w:snapToGrid w:val="0"/>
          <w:sz w:val="24"/>
          <w:szCs w:val="24"/>
          <w:lang w:eastAsia="zh-CN"/>
        </w:rPr>
      </w:pPr>
    </w:p>
    <w:p w:rsidR="00C1273A" w:rsidRPr="00C277C0" w:rsidRDefault="00097329" w:rsidP="00B403CB">
      <w:pPr>
        <w:autoSpaceDE/>
        <w:autoSpaceDN/>
        <w:snapToGrid w:val="0"/>
        <w:jc w:val="both"/>
        <w:rPr>
          <w:rFonts w:eastAsia="宋体"/>
          <w:snapToGrid w:val="0"/>
          <w:sz w:val="24"/>
          <w:szCs w:val="24"/>
          <w:lang w:eastAsia="zh-CN"/>
        </w:rPr>
      </w:pPr>
      <w:r w:rsidRPr="00C277C0">
        <w:rPr>
          <w:rFonts w:eastAsia="宋体" w:hint="eastAsia"/>
          <w:i/>
          <w:snapToGrid w:val="0"/>
          <w:sz w:val="24"/>
          <w:szCs w:val="24"/>
          <w:lang w:eastAsia="zh-CN"/>
        </w:rPr>
        <w:t>示例</w:t>
      </w:r>
      <w:r w:rsidRPr="00C277C0">
        <w:rPr>
          <w:rFonts w:eastAsia="宋体" w:hint="eastAsia"/>
          <w:snapToGrid w:val="0"/>
          <w:sz w:val="24"/>
          <w:szCs w:val="24"/>
          <w:lang w:eastAsia="zh-CN"/>
        </w:rPr>
        <w:t>。组合产品申请人：</w:t>
      </w:r>
    </w:p>
    <w:p w:rsidR="00C1273A" w:rsidRPr="00C277C0" w:rsidRDefault="00C1273A" w:rsidP="00C1273A">
      <w:pPr>
        <w:autoSpaceDE/>
        <w:autoSpaceDN/>
        <w:snapToGrid w:val="0"/>
        <w:jc w:val="both"/>
        <w:rPr>
          <w:rFonts w:eastAsia="宋体"/>
          <w:snapToGrid w:val="0"/>
          <w:sz w:val="24"/>
          <w:szCs w:val="24"/>
          <w:lang w:eastAsia="zh-CN"/>
        </w:rPr>
      </w:pPr>
    </w:p>
    <w:p w:rsidR="00C1273A" w:rsidRPr="00C277C0" w:rsidRDefault="00097329" w:rsidP="00B403CB">
      <w:pPr>
        <w:pStyle w:val="a4"/>
        <w:numPr>
          <w:ilvl w:val="0"/>
          <w:numId w:val="17"/>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在美国上市冠状动脉药物洗脱支架（</w:t>
      </w:r>
      <w:r w:rsidRPr="00C277C0">
        <w:rPr>
          <w:rFonts w:eastAsia="宋体" w:hint="eastAsia"/>
          <w:snapToGrid w:val="0"/>
          <w:sz w:val="24"/>
          <w:szCs w:val="24"/>
          <w:lang w:eastAsia="zh-CN"/>
        </w:rPr>
        <w:t>DES</w:t>
      </w:r>
      <w:r w:rsidRPr="00C277C0">
        <w:rPr>
          <w:rFonts w:eastAsia="宋体" w:hint="eastAsia"/>
          <w:snapToGrid w:val="0"/>
          <w:sz w:val="24"/>
          <w:szCs w:val="24"/>
          <w:lang w:eastAsia="zh-CN"/>
        </w:rPr>
        <w:t>）的申请人应提交</w:t>
      </w:r>
      <w:r w:rsidR="00712333" w:rsidRPr="00C277C0">
        <w:rPr>
          <w:rFonts w:eastAsia="宋体" w:hint="eastAsia"/>
          <w:snapToGrid w:val="0"/>
          <w:sz w:val="24"/>
          <w:szCs w:val="24"/>
          <w:lang w:eastAsia="zh-CN"/>
        </w:rPr>
        <w:t>故障</w:t>
      </w:r>
      <w:r w:rsidR="00C55B83" w:rsidRPr="00C277C0">
        <w:rPr>
          <w:rFonts w:eastAsia="宋体" w:hint="eastAsia"/>
          <w:snapToGrid w:val="0"/>
          <w:sz w:val="24"/>
          <w:szCs w:val="24"/>
          <w:lang w:eastAsia="zh-CN"/>
        </w:rPr>
        <w:t>报告</w:t>
      </w:r>
      <w:r w:rsidRPr="00C277C0">
        <w:rPr>
          <w:rFonts w:eastAsia="宋体" w:hint="eastAsia"/>
          <w:snapToGrid w:val="0"/>
          <w:sz w:val="24"/>
          <w:szCs w:val="24"/>
          <w:lang w:eastAsia="zh-CN"/>
        </w:rPr>
        <w:t>，说明在美国境外上市的涂覆有不同抗增殖药物的冠状动脉</w:t>
      </w:r>
      <w:r w:rsidRPr="00C277C0">
        <w:rPr>
          <w:rFonts w:eastAsia="宋体" w:hint="eastAsia"/>
          <w:snapToGrid w:val="0"/>
          <w:sz w:val="24"/>
          <w:szCs w:val="24"/>
          <w:lang w:eastAsia="zh-CN"/>
        </w:rPr>
        <w:t>DES</w:t>
      </w:r>
      <w:r w:rsidRPr="00C277C0">
        <w:rPr>
          <w:rFonts w:eastAsia="宋体" w:hint="eastAsia"/>
          <w:snapToGrid w:val="0"/>
          <w:sz w:val="24"/>
          <w:szCs w:val="24"/>
          <w:lang w:eastAsia="zh-CN"/>
        </w:rPr>
        <w:t>的</w:t>
      </w:r>
      <w:r w:rsidRPr="00C277C0">
        <w:rPr>
          <w:rFonts w:eastAsia="宋体" w:hint="eastAsia"/>
          <w:snapToGrid w:val="0"/>
          <w:sz w:val="24"/>
          <w:szCs w:val="24"/>
          <w:lang w:eastAsia="zh-CN"/>
        </w:rPr>
        <w:t>DES</w:t>
      </w:r>
      <w:r w:rsidRPr="00C277C0">
        <w:rPr>
          <w:rFonts w:eastAsia="宋体" w:hint="eastAsia"/>
          <w:snapToGrid w:val="0"/>
          <w:sz w:val="24"/>
          <w:szCs w:val="24"/>
          <w:lang w:eastAsia="zh-CN"/>
        </w:rPr>
        <w:t>变形的其他可报告</w:t>
      </w:r>
      <w:r w:rsidR="007F057C" w:rsidRPr="00C277C0">
        <w:rPr>
          <w:rFonts w:eastAsia="宋体" w:hint="eastAsia"/>
          <w:snapToGrid w:val="0"/>
          <w:sz w:val="24"/>
          <w:szCs w:val="24"/>
          <w:lang w:eastAsia="zh-CN"/>
        </w:rPr>
        <w:t>故障</w:t>
      </w:r>
      <w:r w:rsidR="00A032A4" w:rsidRPr="00C277C0">
        <w:rPr>
          <w:rFonts w:eastAsia="宋体" w:hint="eastAsia"/>
          <w:snapToGrid w:val="0"/>
          <w:sz w:val="24"/>
          <w:szCs w:val="24"/>
          <w:lang w:eastAsia="zh-CN"/>
        </w:rPr>
        <w:t>，如果该</w:t>
      </w:r>
      <w:r w:rsidR="00A032A4" w:rsidRPr="00C277C0">
        <w:rPr>
          <w:rFonts w:eastAsia="宋体" w:hint="eastAsia"/>
          <w:snapToGrid w:val="0"/>
          <w:sz w:val="24"/>
          <w:szCs w:val="24"/>
          <w:lang w:eastAsia="zh-CN"/>
        </w:rPr>
        <w:t>DES</w:t>
      </w:r>
      <w:r w:rsidR="00A032A4" w:rsidRPr="00C277C0">
        <w:rPr>
          <w:rFonts w:eastAsia="宋体" w:hint="eastAsia"/>
          <w:snapToGrid w:val="0"/>
          <w:sz w:val="24"/>
          <w:szCs w:val="24"/>
          <w:lang w:eastAsia="zh-CN"/>
        </w:rPr>
        <w:t>仅尺寸与美国上市的</w:t>
      </w:r>
      <w:r w:rsidR="00A032A4" w:rsidRPr="00C277C0">
        <w:rPr>
          <w:rFonts w:eastAsia="宋体" w:hint="eastAsia"/>
          <w:snapToGrid w:val="0"/>
          <w:sz w:val="24"/>
          <w:szCs w:val="24"/>
          <w:lang w:eastAsia="zh-CN"/>
        </w:rPr>
        <w:t>DES</w:t>
      </w:r>
      <w:r w:rsidR="00A032A4" w:rsidRPr="00C277C0">
        <w:rPr>
          <w:rFonts w:eastAsia="宋体" w:hint="eastAsia"/>
          <w:snapToGrid w:val="0"/>
          <w:sz w:val="24"/>
          <w:szCs w:val="24"/>
          <w:lang w:eastAsia="zh-CN"/>
        </w:rPr>
        <w:t>不同但其他类似（如上所述），且该</w:t>
      </w:r>
      <w:r w:rsidR="00E9582C" w:rsidRPr="00C277C0">
        <w:rPr>
          <w:rFonts w:eastAsia="宋体" w:hint="eastAsia"/>
          <w:snapToGrid w:val="0"/>
          <w:sz w:val="24"/>
          <w:szCs w:val="24"/>
          <w:lang w:eastAsia="zh-CN"/>
        </w:rPr>
        <w:t>故障</w:t>
      </w:r>
      <w:r w:rsidR="00A032A4" w:rsidRPr="00C277C0">
        <w:rPr>
          <w:rFonts w:eastAsia="宋体" w:hint="eastAsia"/>
          <w:snapToGrid w:val="0"/>
          <w:sz w:val="24"/>
          <w:szCs w:val="24"/>
          <w:lang w:eastAsia="zh-CN"/>
        </w:rPr>
        <w:t>有可能在美国上市的组合产品中发生。</w:t>
      </w:r>
    </w:p>
    <w:p w:rsidR="00C1273A" w:rsidRPr="006311E7" w:rsidRDefault="00C1273A" w:rsidP="00B403CB">
      <w:pPr>
        <w:pStyle w:val="a4"/>
        <w:tabs>
          <w:tab w:val="left" w:pos="911"/>
        </w:tabs>
        <w:autoSpaceDE/>
        <w:autoSpaceDN/>
        <w:snapToGrid w:val="0"/>
        <w:ind w:left="920" w:firstLine="0"/>
        <w:jc w:val="both"/>
        <w:rPr>
          <w:rFonts w:eastAsia="宋体"/>
          <w:lang w:eastAsia="zh-CN"/>
        </w:rPr>
      </w:pPr>
    </w:p>
    <w:p w:rsidR="00C1273A" w:rsidRPr="00C277C0" w:rsidRDefault="00097329" w:rsidP="00B403CB">
      <w:pPr>
        <w:pStyle w:val="a4"/>
        <w:numPr>
          <w:ilvl w:val="0"/>
          <w:numId w:val="17"/>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应提交该申请人在美国境外上市预充式注射器防刺伤功能其他可报告</w:t>
      </w:r>
      <w:r w:rsidR="00A032A4" w:rsidRPr="00C277C0">
        <w:rPr>
          <w:rFonts w:eastAsia="宋体" w:hint="eastAsia"/>
          <w:snapToGrid w:val="0"/>
          <w:sz w:val="24"/>
          <w:szCs w:val="24"/>
          <w:lang w:eastAsia="zh-CN"/>
        </w:rPr>
        <w:t>故障</w:t>
      </w:r>
      <w:r w:rsidRPr="00C277C0">
        <w:rPr>
          <w:rFonts w:eastAsia="宋体" w:hint="eastAsia"/>
          <w:snapToGrid w:val="0"/>
          <w:sz w:val="24"/>
          <w:szCs w:val="24"/>
          <w:lang w:eastAsia="zh-CN"/>
        </w:rPr>
        <w:t>的境外事件</w:t>
      </w:r>
      <w:r w:rsidR="008D504B" w:rsidRPr="00C277C0">
        <w:rPr>
          <w:rFonts w:eastAsia="宋体" w:hint="eastAsia"/>
          <w:snapToGrid w:val="0"/>
          <w:sz w:val="24"/>
          <w:szCs w:val="24"/>
          <w:lang w:eastAsia="zh-CN"/>
        </w:rPr>
        <w:t>故障</w:t>
      </w:r>
      <w:r w:rsidR="00C55B83" w:rsidRPr="00C277C0">
        <w:rPr>
          <w:rFonts w:eastAsia="宋体" w:hint="eastAsia"/>
          <w:snapToGrid w:val="0"/>
          <w:sz w:val="24"/>
          <w:szCs w:val="24"/>
          <w:lang w:eastAsia="zh-CN"/>
        </w:rPr>
        <w:t>报告</w:t>
      </w:r>
      <w:r w:rsidRPr="00C277C0">
        <w:rPr>
          <w:rFonts w:eastAsia="宋体" w:hint="eastAsia"/>
          <w:snapToGrid w:val="0"/>
          <w:sz w:val="24"/>
          <w:szCs w:val="24"/>
          <w:lang w:eastAsia="zh-CN"/>
        </w:rPr>
        <w:t>，如果（</w:t>
      </w:r>
      <w:r w:rsidRPr="00C277C0">
        <w:rPr>
          <w:rFonts w:eastAsia="宋体" w:hint="eastAsia"/>
          <w:snapToGrid w:val="0"/>
          <w:sz w:val="24"/>
          <w:szCs w:val="24"/>
          <w:lang w:eastAsia="zh-CN"/>
        </w:rPr>
        <w:t>i</w:t>
      </w:r>
      <w:r w:rsidRPr="00C277C0">
        <w:rPr>
          <w:rFonts w:eastAsia="宋体" w:hint="eastAsia"/>
          <w:snapToGrid w:val="0"/>
          <w:sz w:val="24"/>
          <w:szCs w:val="24"/>
          <w:lang w:eastAsia="zh-CN"/>
        </w:rPr>
        <w:t>）与美国上市的预充式注射器防刺伤功能仅微小差异，该差异不会改变注射器与安全性和有效性相关的基本设计和性能特征，以及（</w:t>
      </w:r>
      <w:r w:rsidRPr="00C277C0">
        <w:rPr>
          <w:rFonts w:eastAsia="宋体" w:hint="eastAsia"/>
          <w:snapToGrid w:val="0"/>
          <w:sz w:val="24"/>
          <w:szCs w:val="24"/>
          <w:lang w:eastAsia="zh-CN"/>
        </w:rPr>
        <w:t>ii</w:t>
      </w:r>
      <w:r w:rsidRPr="00C277C0">
        <w:rPr>
          <w:rFonts w:eastAsia="宋体" w:hint="eastAsia"/>
          <w:snapToGrid w:val="0"/>
          <w:sz w:val="24"/>
          <w:szCs w:val="24"/>
          <w:lang w:eastAsia="zh-CN"/>
        </w:rPr>
        <w:t>）该</w:t>
      </w:r>
      <w:r w:rsidR="00E9582C" w:rsidRPr="00C277C0">
        <w:rPr>
          <w:rFonts w:eastAsia="宋体" w:hint="eastAsia"/>
          <w:snapToGrid w:val="0"/>
          <w:sz w:val="24"/>
          <w:szCs w:val="24"/>
          <w:lang w:eastAsia="zh-CN"/>
        </w:rPr>
        <w:t>故障</w:t>
      </w:r>
      <w:r w:rsidRPr="00C277C0">
        <w:rPr>
          <w:rFonts w:eastAsia="宋体" w:hint="eastAsia"/>
          <w:snapToGrid w:val="0"/>
          <w:sz w:val="24"/>
          <w:szCs w:val="24"/>
          <w:lang w:eastAsia="zh-CN"/>
        </w:rPr>
        <w:t>可能在美国上市的组合产品中发生。</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tabs>
          <w:tab w:val="left" w:pos="911"/>
        </w:tabs>
        <w:autoSpaceDE/>
        <w:autoSpaceDN/>
        <w:snapToGrid w:val="0"/>
        <w:ind w:left="919" w:firstLineChars="200" w:firstLine="480"/>
        <w:jc w:val="both"/>
        <w:rPr>
          <w:rFonts w:eastAsia="宋体"/>
          <w:snapToGrid w:val="0"/>
          <w:lang w:eastAsia="zh-CN"/>
        </w:rPr>
      </w:pPr>
      <w:r w:rsidRPr="00C277C0">
        <w:rPr>
          <w:rFonts w:eastAsia="宋体" w:hint="eastAsia"/>
          <w:snapToGrid w:val="0"/>
          <w:lang w:eastAsia="zh-CN"/>
        </w:rPr>
        <w:t>但如果境外上市注射器的防刺伤功能与美国上市组合产品中注射器部分的功能不同或不相似，则提交境外事件</w:t>
      </w:r>
      <w:r w:rsidR="008D504B"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的建议不适用于相关防刺伤功能的</w:t>
      </w:r>
      <w:r w:rsidR="003D2149" w:rsidRPr="00C277C0">
        <w:rPr>
          <w:rFonts w:eastAsia="宋体" w:hint="eastAsia"/>
          <w:snapToGrid w:val="0"/>
          <w:lang w:eastAsia="zh-CN"/>
        </w:rPr>
        <w:t>失效</w:t>
      </w:r>
      <w:r w:rsidRPr="00C277C0">
        <w:rPr>
          <w:rFonts w:eastAsia="宋体" w:hint="eastAsia"/>
          <w:snapToGrid w:val="0"/>
          <w:lang w:eastAsia="zh-CN"/>
        </w:rPr>
        <w:t>。例如，如果境外上市预充式注射器使用铰链式回缩功能，而美国上市组合产品中注射器使用的设计是滑动套管，则涉及境外上市产品铰链式回缩功能</w:t>
      </w:r>
      <w:r w:rsidR="00DE56CA" w:rsidRPr="00C277C0">
        <w:rPr>
          <w:rFonts w:eastAsia="宋体" w:hint="eastAsia"/>
          <w:snapToGrid w:val="0"/>
          <w:lang w:eastAsia="zh-CN"/>
        </w:rPr>
        <w:t>失效</w:t>
      </w:r>
      <w:r w:rsidRPr="00C277C0">
        <w:rPr>
          <w:rFonts w:eastAsia="宋体" w:hint="eastAsia"/>
          <w:snapToGrid w:val="0"/>
          <w:lang w:eastAsia="zh-CN"/>
        </w:rPr>
        <w:t>的</w:t>
      </w:r>
      <w:r w:rsidR="008D504B"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与美国上市的组合产品无关，因此</w:t>
      </w:r>
      <w:r w:rsidR="008D504B"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的建议不适用。</w:t>
      </w:r>
    </w:p>
    <w:p w:rsidR="00C1273A" w:rsidRPr="00C277C0" w:rsidRDefault="00C1273A" w:rsidP="00072C5E">
      <w:pPr>
        <w:pStyle w:val="a3"/>
        <w:tabs>
          <w:tab w:val="left" w:pos="911"/>
        </w:tabs>
        <w:autoSpaceDE/>
        <w:autoSpaceDN/>
        <w:snapToGrid w:val="0"/>
        <w:ind w:left="920"/>
        <w:jc w:val="both"/>
        <w:rPr>
          <w:rFonts w:eastAsia="宋体"/>
          <w:snapToGrid w:val="0"/>
          <w:lang w:eastAsia="zh-CN"/>
        </w:rPr>
      </w:pPr>
    </w:p>
    <w:p w:rsidR="00C1273A" w:rsidRPr="00C277C0" w:rsidRDefault="00097329" w:rsidP="00072C5E">
      <w:pPr>
        <w:pStyle w:val="a4"/>
        <w:numPr>
          <w:ilvl w:val="0"/>
          <w:numId w:val="17"/>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与用户无法给药有关的类似药筒吸入器的其他可报告</w:t>
      </w:r>
      <w:r w:rsidR="008D504B" w:rsidRPr="00C277C0">
        <w:rPr>
          <w:rFonts w:eastAsia="宋体" w:hint="eastAsia"/>
          <w:snapToGrid w:val="0"/>
          <w:sz w:val="24"/>
          <w:szCs w:val="24"/>
          <w:lang w:eastAsia="zh-CN"/>
        </w:rPr>
        <w:t>故障</w:t>
      </w:r>
      <w:r w:rsidRPr="00C277C0">
        <w:rPr>
          <w:rFonts w:eastAsia="宋体" w:hint="eastAsia"/>
          <w:snapToGrid w:val="0"/>
          <w:sz w:val="24"/>
          <w:szCs w:val="24"/>
          <w:lang w:eastAsia="zh-CN"/>
        </w:rPr>
        <w:t>应提交境外事件</w:t>
      </w:r>
      <w:r w:rsidR="008D504B" w:rsidRPr="00C277C0">
        <w:rPr>
          <w:rFonts w:eastAsia="宋体" w:hint="eastAsia"/>
          <w:snapToGrid w:val="0"/>
          <w:sz w:val="24"/>
          <w:szCs w:val="24"/>
          <w:lang w:eastAsia="zh-CN"/>
        </w:rPr>
        <w:t>故障</w:t>
      </w:r>
      <w:r w:rsidR="00C55B83" w:rsidRPr="00C277C0">
        <w:rPr>
          <w:rFonts w:eastAsia="宋体" w:hint="eastAsia"/>
          <w:snapToGrid w:val="0"/>
          <w:sz w:val="24"/>
          <w:szCs w:val="24"/>
          <w:lang w:eastAsia="zh-CN"/>
        </w:rPr>
        <w:t>报告</w:t>
      </w:r>
      <w:r w:rsidRPr="00C277C0">
        <w:rPr>
          <w:rFonts w:eastAsia="宋体" w:hint="eastAsia"/>
          <w:snapToGrid w:val="0"/>
          <w:sz w:val="24"/>
          <w:szCs w:val="24"/>
          <w:lang w:eastAsia="zh-CN"/>
        </w:rPr>
        <w:t>。例如，如果（</w:t>
      </w:r>
      <w:r w:rsidRPr="00C277C0">
        <w:rPr>
          <w:rFonts w:eastAsia="宋体" w:hint="eastAsia"/>
          <w:snapToGrid w:val="0"/>
          <w:sz w:val="24"/>
          <w:szCs w:val="24"/>
          <w:lang w:eastAsia="zh-CN"/>
        </w:rPr>
        <w:t>i</w:t>
      </w:r>
      <w:r w:rsidRPr="00C277C0">
        <w:rPr>
          <w:rFonts w:eastAsia="宋体" w:hint="eastAsia"/>
          <w:snapToGrid w:val="0"/>
          <w:sz w:val="24"/>
          <w:szCs w:val="24"/>
          <w:lang w:eastAsia="zh-CN"/>
        </w:rPr>
        <w:t>）该吸入器与申请人在美国上市的组合产品中使用的吸入器相比仅</w:t>
      </w:r>
      <w:r w:rsidR="008D504B" w:rsidRPr="00C277C0">
        <w:rPr>
          <w:rFonts w:eastAsia="宋体" w:hint="eastAsia"/>
          <w:snapToGrid w:val="0"/>
          <w:sz w:val="24"/>
          <w:szCs w:val="24"/>
          <w:lang w:eastAsia="zh-CN"/>
        </w:rPr>
        <w:t>有</w:t>
      </w:r>
      <w:r w:rsidRPr="00C277C0">
        <w:rPr>
          <w:rFonts w:eastAsia="宋体" w:hint="eastAsia"/>
          <w:snapToGrid w:val="0"/>
          <w:sz w:val="24"/>
          <w:szCs w:val="24"/>
          <w:lang w:eastAsia="zh-CN"/>
        </w:rPr>
        <w:t>微小差异（例如，外壳形状的微小差异），以及（</w:t>
      </w:r>
      <w:r w:rsidRPr="00C277C0">
        <w:rPr>
          <w:rFonts w:eastAsia="宋体" w:hint="eastAsia"/>
          <w:snapToGrid w:val="0"/>
          <w:sz w:val="24"/>
          <w:szCs w:val="24"/>
          <w:lang w:eastAsia="zh-CN"/>
        </w:rPr>
        <w:t>ii</w:t>
      </w:r>
      <w:r w:rsidRPr="00C277C0">
        <w:rPr>
          <w:rFonts w:eastAsia="宋体" w:hint="eastAsia"/>
          <w:snapToGrid w:val="0"/>
          <w:sz w:val="24"/>
          <w:szCs w:val="24"/>
          <w:lang w:eastAsia="zh-CN"/>
        </w:rPr>
        <w:t>）该</w:t>
      </w:r>
      <w:r w:rsidR="008D504B" w:rsidRPr="00C277C0">
        <w:rPr>
          <w:rFonts w:eastAsia="宋体" w:hint="eastAsia"/>
          <w:snapToGrid w:val="0"/>
          <w:sz w:val="24"/>
          <w:szCs w:val="24"/>
          <w:lang w:eastAsia="zh-CN"/>
        </w:rPr>
        <w:t>故障</w:t>
      </w:r>
      <w:r w:rsidRPr="00C277C0">
        <w:rPr>
          <w:rFonts w:eastAsia="宋体" w:hint="eastAsia"/>
          <w:snapToGrid w:val="0"/>
          <w:sz w:val="24"/>
          <w:szCs w:val="24"/>
          <w:lang w:eastAsia="zh-CN"/>
        </w:rPr>
        <w:t>可</w:t>
      </w:r>
      <w:r w:rsidR="00725867" w:rsidRPr="00C277C0">
        <w:rPr>
          <w:rFonts w:eastAsia="宋体" w:hint="eastAsia"/>
          <w:snapToGrid w:val="0"/>
          <w:sz w:val="24"/>
          <w:szCs w:val="24"/>
          <w:lang w:eastAsia="zh-CN"/>
        </w:rPr>
        <w:t>能</w:t>
      </w:r>
      <w:r w:rsidRPr="00C277C0">
        <w:rPr>
          <w:rFonts w:eastAsia="宋体" w:hint="eastAsia"/>
          <w:snapToGrid w:val="0"/>
          <w:sz w:val="24"/>
          <w:szCs w:val="24"/>
          <w:lang w:eastAsia="zh-CN"/>
        </w:rPr>
        <w:t>在美国上市的组合产品中发生，则组合产品申请人应提交一份报告。</w:t>
      </w:r>
    </w:p>
    <w:p w:rsidR="00C1273A" w:rsidRPr="00C277C0" w:rsidRDefault="00C1273A" w:rsidP="00B403CB">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tabs>
          <w:tab w:val="left" w:pos="911"/>
        </w:tabs>
        <w:autoSpaceDE/>
        <w:autoSpaceDN/>
        <w:snapToGrid w:val="0"/>
        <w:ind w:left="919" w:firstLineChars="200" w:firstLine="480"/>
        <w:jc w:val="both"/>
        <w:rPr>
          <w:rFonts w:eastAsia="宋体"/>
          <w:snapToGrid w:val="0"/>
          <w:lang w:eastAsia="zh-CN"/>
        </w:rPr>
      </w:pPr>
      <w:r w:rsidRPr="00C277C0">
        <w:rPr>
          <w:rFonts w:eastAsia="宋体" w:hint="eastAsia"/>
          <w:snapToGrid w:val="0"/>
          <w:lang w:eastAsia="zh-CN"/>
        </w:rPr>
        <w:t>但如果境外上市产品中吸入器的安全性和有效性的基本设计和性能特征不同，则提交境外事件</w:t>
      </w:r>
      <w:r w:rsidR="00725867"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的建议不适用于相关吸入器喷嘴堵塞的</w:t>
      </w:r>
      <w:r w:rsidR="00725867" w:rsidRPr="00C277C0">
        <w:rPr>
          <w:rFonts w:eastAsia="宋体" w:hint="eastAsia"/>
          <w:snapToGrid w:val="0"/>
          <w:lang w:eastAsia="zh-CN"/>
        </w:rPr>
        <w:t>故障</w:t>
      </w:r>
      <w:r w:rsidRPr="00C277C0">
        <w:rPr>
          <w:rFonts w:eastAsia="宋体" w:hint="eastAsia"/>
          <w:snapToGrid w:val="0"/>
          <w:lang w:eastAsia="zh-CN"/>
        </w:rPr>
        <w:t>，因为在这种情况下，该</w:t>
      </w:r>
      <w:r w:rsidR="00725867" w:rsidRPr="00C277C0">
        <w:rPr>
          <w:rFonts w:eastAsia="宋体" w:hint="eastAsia"/>
          <w:snapToGrid w:val="0"/>
          <w:lang w:eastAsia="zh-CN"/>
        </w:rPr>
        <w:t>故障</w:t>
      </w:r>
      <w:r w:rsidRPr="00C277C0">
        <w:rPr>
          <w:rFonts w:eastAsia="宋体" w:hint="eastAsia"/>
          <w:snapToGrid w:val="0"/>
          <w:lang w:eastAsia="zh-CN"/>
        </w:rPr>
        <w:t>不太可能在美国上市组合产品的吸入器中发生。例如，如果致动器喷孔直径明显较小，即与美国上市产品的吸入器相比，境外上市产品的吸入器性能发生了显著变化，则提交</w:t>
      </w:r>
      <w:r w:rsidR="000C1759"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的建议不适用。</w:t>
      </w:r>
    </w:p>
    <w:p w:rsidR="006223B4" w:rsidRPr="00C277C0" w:rsidRDefault="006223B4" w:rsidP="00B403CB">
      <w:pPr>
        <w:autoSpaceDE/>
        <w:autoSpaceDN/>
        <w:snapToGrid w:val="0"/>
        <w:jc w:val="both"/>
        <w:rPr>
          <w:rFonts w:eastAsia="宋体"/>
          <w:snapToGrid w:val="0"/>
          <w:sz w:val="24"/>
          <w:szCs w:val="24"/>
          <w:lang w:eastAsia="zh-CN"/>
        </w:rPr>
      </w:pPr>
      <w:r w:rsidRPr="00B403CB">
        <w:rPr>
          <w:rFonts w:eastAsia="宋体"/>
          <w:sz w:val="24"/>
          <w:lang w:eastAsia="zh-CN"/>
        </w:rPr>
        <w:br w:type="page"/>
      </w:r>
    </w:p>
    <w:p w:rsidR="006223B4" w:rsidRPr="00C277C0" w:rsidRDefault="006223B4" w:rsidP="006223B4">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组合产品申请人如对境外事件的报告要求或报告建议有疑问，应根据需要联系牵头中心或</w:t>
      </w:r>
      <w:r w:rsidRPr="00C277C0">
        <w:rPr>
          <w:rFonts w:eastAsia="宋体" w:hint="eastAsia"/>
          <w:snapToGrid w:val="0"/>
          <w:lang w:eastAsia="zh-CN"/>
        </w:rPr>
        <w:t>OCP</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25" w:name="_Toc97551503"/>
      <w:bookmarkStart w:id="26" w:name="_Toc95145702"/>
      <w:r w:rsidRPr="00C277C0">
        <w:rPr>
          <w:rFonts w:hint="eastAsia"/>
          <w:snapToGrid w:val="0"/>
          <w:szCs w:val="24"/>
          <w:lang w:eastAsia="zh-CN"/>
        </w:rPr>
        <w:t>B.</w:t>
      </w:r>
      <w:r w:rsidRPr="00C277C0">
        <w:rPr>
          <w:rFonts w:hint="eastAsia"/>
          <w:snapToGrid w:val="0"/>
          <w:szCs w:val="24"/>
          <w:lang w:eastAsia="zh-CN"/>
        </w:rPr>
        <w:tab/>
      </w:r>
      <w:r w:rsidRPr="00C277C0">
        <w:rPr>
          <w:rFonts w:hint="eastAsia"/>
          <w:snapToGrid w:val="0"/>
          <w:szCs w:val="24"/>
          <w:lang w:eastAsia="zh-CN"/>
        </w:rPr>
        <w:t>组合产品申请人的其他（非</w:t>
      </w:r>
      <w:r w:rsidRPr="00C277C0">
        <w:rPr>
          <w:rFonts w:hint="eastAsia"/>
          <w:snapToGrid w:val="0"/>
          <w:szCs w:val="24"/>
          <w:lang w:eastAsia="zh-CN"/>
        </w:rPr>
        <w:t>ICSR</w:t>
      </w:r>
      <w:r w:rsidRPr="00C277C0">
        <w:rPr>
          <w:rFonts w:hint="eastAsia"/>
          <w:snapToGrid w:val="0"/>
          <w:szCs w:val="24"/>
          <w:lang w:eastAsia="zh-CN"/>
        </w:rPr>
        <w:t>）组合产品</w:t>
      </w:r>
      <w:r w:rsidRPr="00C277C0">
        <w:rPr>
          <w:rFonts w:hint="eastAsia"/>
          <w:snapToGrid w:val="0"/>
          <w:szCs w:val="24"/>
          <w:lang w:eastAsia="zh-CN"/>
        </w:rPr>
        <w:t>PMSR</w:t>
      </w:r>
      <w:r w:rsidRPr="00C277C0">
        <w:rPr>
          <w:rFonts w:hint="eastAsia"/>
          <w:snapToGrid w:val="0"/>
          <w:szCs w:val="24"/>
          <w:lang w:eastAsia="zh-CN"/>
        </w:rPr>
        <w:t>报告类型</w:t>
      </w:r>
      <w:bookmarkEnd w:id="25"/>
      <w:bookmarkEnd w:id="26"/>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C175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请注意</w:t>
      </w:r>
      <w:r w:rsidR="00097329" w:rsidRPr="00C277C0">
        <w:rPr>
          <w:rFonts w:eastAsia="宋体" w:hint="eastAsia"/>
          <w:snapToGrid w:val="0"/>
          <w:lang w:eastAsia="zh-CN"/>
        </w:rPr>
        <w:t>，以下各节讨论了可能需要指定报告类型的情况。</w:t>
      </w:r>
      <w:r w:rsidR="00FE2212" w:rsidRPr="00C277C0">
        <w:rPr>
          <w:rStyle w:val="af4"/>
          <w:rFonts w:eastAsia="宋体" w:hint="eastAsia"/>
          <w:snapToGrid w:val="0"/>
          <w:lang w:eastAsia="zh-CN"/>
        </w:rPr>
        <w:footnoteReference w:id="35"/>
      </w:r>
      <w:r w:rsidR="00097329" w:rsidRPr="00C277C0">
        <w:rPr>
          <w:rFonts w:eastAsia="宋体" w:hint="eastAsia"/>
          <w:snapToGrid w:val="0"/>
          <w:lang w:eastAsia="zh-CN"/>
        </w:rPr>
        <w:t>这些讨论并非旨在确定与所述事件相关的所有可能需要的报告，而且与所述事件相似的事件所需的报告可能有所不同，视具体情况而定。如下文所述，在某些情况下，可能需要多种报告类型，并且可能需要在同一份提交文件中满足多项报告要求，更多讨论详见下文第</w:t>
      </w:r>
      <w:r w:rsidR="00C8689A" w:rsidRPr="00C277C0">
        <w:rPr>
          <w:rFonts w:eastAsia="宋体" w:hint="eastAsia"/>
          <w:snapToGrid w:val="0"/>
          <w:lang w:eastAsia="zh-CN"/>
        </w:rPr>
        <w:t>V</w:t>
      </w:r>
      <w:r w:rsidR="00C0232D" w:rsidRPr="00C277C0">
        <w:rPr>
          <w:rFonts w:eastAsia="宋体" w:hint="eastAsia"/>
          <w:snapToGrid w:val="0"/>
          <w:lang w:eastAsia="zh-CN"/>
        </w:rPr>
        <w:t>.</w:t>
      </w:r>
      <w:r w:rsidR="00097329" w:rsidRPr="00C277C0">
        <w:rPr>
          <w:rFonts w:eastAsia="宋体" w:hint="eastAsia"/>
          <w:snapToGrid w:val="0"/>
          <w:lang w:eastAsia="zh-CN"/>
        </w:rPr>
        <w:t>A.3</w:t>
      </w:r>
      <w:r w:rsidR="00097329" w:rsidRPr="00C277C0">
        <w:rPr>
          <w:rFonts w:eastAsia="宋体" w:hint="eastAsia"/>
          <w:snapToGrid w:val="0"/>
          <w:lang w:eastAsia="zh-CN"/>
        </w:rPr>
        <w:t>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DF0641">
      <w:pPr>
        <w:pStyle w:val="4"/>
        <w:autoSpaceDE/>
        <w:autoSpaceDN/>
        <w:spacing w:beforeLines="0" w:before="0" w:line="240" w:lineRule="auto"/>
        <w:ind w:leftChars="650" w:left="1912"/>
        <w:rPr>
          <w:snapToGrid w:val="0"/>
          <w:lang w:eastAsia="zh-CN"/>
        </w:rPr>
      </w:pPr>
      <w:r w:rsidRPr="00C277C0">
        <w:rPr>
          <w:rFonts w:hint="eastAsia"/>
          <w:snapToGrid w:val="0"/>
          <w:lang w:eastAsia="zh-CN"/>
        </w:rPr>
        <w:t>1.</w:t>
      </w:r>
      <w:r w:rsidRPr="00C277C0">
        <w:rPr>
          <w:rFonts w:hint="eastAsia"/>
          <w:snapToGrid w:val="0"/>
          <w:lang w:eastAsia="zh-CN"/>
        </w:rPr>
        <w:tab/>
      </w:r>
      <w:r w:rsidR="0075567A" w:rsidRPr="00C277C0">
        <w:rPr>
          <w:rFonts w:hint="eastAsia"/>
          <w:snapToGrid w:val="0"/>
          <w:lang w:eastAsia="zh-CN"/>
        </w:rPr>
        <w:t>现场警示报告</w:t>
      </w:r>
      <w:r w:rsidRPr="00C277C0">
        <w:rPr>
          <w:rFonts w:hint="eastAsia"/>
          <w:snapToGrid w:val="0"/>
          <w:lang w:eastAsia="zh-CN"/>
        </w:rPr>
        <w:t>（</w:t>
      </w:r>
      <w:r w:rsidR="00AF6448">
        <w:rPr>
          <w:rFonts w:hint="eastAsia"/>
          <w:snapToGrid w:val="0"/>
          <w:lang w:eastAsia="zh-CN"/>
        </w:rPr>
        <w:t>参</w:t>
      </w:r>
      <w:r w:rsidRPr="00C277C0">
        <w:rPr>
          <w:rFonts w:hint="eastAsia"/>
          <w:snapToGrid w:val="0"/>
          <w:lang w:eastAsia="zh-CN"/>
        </w:rPr>
        <w:t>见</w:t>
      </w:r>
      <w:r w:rsidR="007267DD" w:rsidRPr="00C277C0">
        <w:rPr>
          <w:rFonts w:hint="eastAsia"/>
          <w:snapToGrid w:val="0"/>
          <w:lang w:eastAsia="zh-CN"/>
        </w:rPr>
        <w:t>《美国联邦法规》第</w:t>
      </w:r>
      <w:r w:rsidR="00286DB1">
        <w:rPr>
          <w:rFonts w:hint="eastAsia"/>
          <w:snapToGrid w:val="0"/>
          <w:lang w:eastAsia="zh-CN"/>
        </w:rPr>
        <w:t>21</w:t>
      </w:r>
      <w:r w:rsidR="00286DB1">
        <w:rPr>
          <w:rFonts w:hint="eastAsia"/>
          <w:snapToGrid w:val="0"/>
          <w:lang w:eastAsia="zh-CN"/>
        </w:rPr>
        <w:t>篇</w:t>
      </w:r>
      <w:r w:rsidR="00AE00AC">
        <w:rPr>
          <w:rFonts w:hint="eastAsia"/>
          <w:snapToGrid w:val="0"/>
          <w:lang w:eastAsia="zh-CN"/>
        </w:rPr>
        <w:t>第</w:t>
      </w:r>
      <w:r w:rsidRPr="00C277C0">
        <w:rPr>
          <w:rFonts w:hint="eastAsia"/>
          <w:snapToGrid w:val="0"/>
          <w:lang w:eastAsia="zh-CN"/>
        </w:rPr>
        <w:t>314.81</w:t>
      </w:r>
      <w:r w:rsidR="00AE0101" w:rsidRPr="00C277C0">
        <w:rPr>
          <w:rFonts w:hint="eastAsia"/>
          <w:snapToGrid w:val="0"/>
          <w:lang w:eastAsia="zh-CN"/>
        </w:rPr>
        <w:t>节）</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75567A"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现场警示报告</w:t>
      </w:r>
      <w:r w:rsidR="00097329" w:rsidRPr="00C277C0">
        <w:rPr>
          <w:rFonts w:eastAsia="宋体" w:hint="eastAsia"/>
          <w:snapToGrid w:val="0"/>
          <w:lang w:eastAsia="zh-CN"/>
        </w:rPr>
        <w:t>要求适用于包含药品组成部分的已分销组合产品（</w:t>
      </w:r>
      <w:r w:rsidR="00AF6448">
        <w:rPr>
          <w:rFonts w:eastAsia="宋体" w:hint="eastAsia"/>
          <w:snapToGrid w:val="0"/>
          <w:lang w:eastAsia="zh-CN"/>
        </w:rPr>
        <w:t>参</w:t>
      </w:r>
      <w:r w:rsidR="00097329"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00097329" w:rsidRPr="00C277C0">
        <w:rPr>
          <w:rFonts w:eastAsia="宋体" w:hint="eastAsia"/>
          <w:snapToGrid w:val="0"/>
          <w:lang w:eastAsia="zh-CN"/>
        </w:rPr>
        <w:t>4.102</w:t>
      </w:r>
      <w:r w:rsidR="00C77DFE" w:rsidRPr="00C277C0">
        <w:rPr>
          <w:rFonts w:eastAsia="宋体" w:hint="eastAsia"/>
          <w:snapToGrid w:val="0"/>
          <w:lang w:eastAsia="zh-CN"/>
        </w:rPr>
        <w:t>（</w:t>
      </w:r>
      <w:r w:rsidR="00097329" w:rsidRPr="00C277C0">
        <w:rPr>
          <w:rFonts w:eastAsia="宋体" w:hint="eastAsia"/>
          <w:snapToGrid w:val="0"/>
          <w:lang w:eastAsia="zh-CN"/>
        </w:rPr>
        <w:t>b</w:t>
      </w:r>
      <w:r w:rsidR="00C77DFE" w:rsidRPr="00C277C0">
        <w:rPr>
          <w:rFonts w:eastAsia="宋体" w:hint="eastAsia"/>
          <w:snapToGrid w:val="0"/>
          <w:lang w:eastAsia="zh-CN"/>
        </w:rPr>
        <w:t>）（</w:t>
      </w:r>
      <w:r w:rsidR="00097329" w:rsidRPr="00C277C0">
        <w:rPr>
          <w:rFonts w:eastAsia="宋体" w:hint="eastAsia"/>
          <w:snapToGrid w:val="0"/>
          <w:lang w:eastAsia="zh-CN"/>
        </w:rPr>
        <w:t>2</w:t>
      </w:r>
      <w:r w:rsidR="00C77DFE" w:rsidRPr="00C277C0">
        <w:rPr>
          <w:rFonts w:eastAsia="宋体" w:hint="eastAsia"/>
          <w:snapToGrid w:val="0"/>
          <w:lang w:eastAsia="zh-CN"/>
        </w:rPr>
        <w:t>）</w:t>
      </w:r>
      <w:r w:rsidR="00097329" w:rsidRPr="00C277C0">
        <w:rPr>
          <w:rFonts w:eastAsia="宋体" w:hint="eastAsia"/>
          <w:snapToGrid w:val="0"/>
          <w:lang w:eastAsia="zh-CN"/>
        </w:rPr>
        <w:t>和</w:t>
      </w:r>
      <w:r w:rsidR="00097329" w:rsidRPr="00C277C0">
        <w:rPr>
          <w:rFonts w:eastAsia="宋体" w:hint="eastAsia"/>
          <w:snapToGrid w:val="0"/>
          <w:lang w:eastAsia="zh-CN"/>
        </w:rPr>
        <w:t>4.102</w:t>
      </w:r>
      <w:r w:rsidR="00C77DFE" w:rsidRPr="00C277C0">
        <w:rPr>
          <w:rFonts w:eastAsia="宋体" w:hint="eastAsia"/>
          <w:snapToGrid w:val="0"/>
          <w:lang w:eastAsia="zh-CN"/>
        </w:rPr>
        <w:t>（</w:t>
      </w:r>
      <w:r w:rsidR="00097329" w:rsidRPr="00C277C0">
        <w:rPr>
          <w:rFonts w:eastAsia="宋体" w:hint="eastAsia"/>
          <w:snapToGrid w:val="0"/>
          <w:lang w:eastAsia="zh-CN"/>
        </w:rPr>
        <w:t>c</w:t>
      </w:r>
      <w:r w:rsidR="00C77DFE" w:rsidRPr="00C277C0">
        <w:rPr>
          <w:rFonts w:eastAsia="宋体" w:hint="eastAsia"/>
          <w:snapToGrid w:val="0"/>
          <w:lang w:eastAsia="zh-CN"/>
        </w:rPr>
        <w:t>）（</w:t>
      </w:r>
      <w:r w:rsidR="00097329" w:rsidRPr="00C277C0">
        <w:rPr>
          <w:rFonts w:eastAsia="宋体" w:hint="eastAsia"/>
          <w:snapToGrid w:val="0"/>
          <w:lang w:eastAsia="zh-CN"/>
        </w:rPr>
        <w:t>2</w:t>
      </w:r>
      <w:r w:rsidR="00C77DFE" w:rsidRPr="00C277C0">
        <w:rPr>
          <w:rFonts w:eastAsia="宋体" w:hint="eastAsia"/>
          <w:snapToGrid w:val="0"/>
          <w:lang w:eastAsia="zh-CN"/>
        </w:rPr>
        <w:t>）（</w:t>
      </w:r>
      <w:r w:rsidR="00097329" w:rsidRPr="00C277C0">
        <w:rPr>
          <w:rFonts w:eastAsia="宋体" w:hint="eastAsia"/>
          <w:snapToGrid w:val="0"/>
          <w:lang w:eastAsia="zh-CN"/>
        </w:rPr>
        <w:t>i</w:t>
      </w:r>
      <w:r w:rsidR="00C77DFE" w:rsidRPr="00C277C0">
        <w:rPr>
          <w:rFonts w:eastAsia="宋体" w:hint="eastAsia"/>
          <w:snapToGrid w:val="0"/>
          <w:lang w:eastAsia="zh-CN"/>
        </w:rPr>
        <w:t>）</w:t>
      </w:r>
      <w:r w:rsidR="00AE0101" w:rsidRPr="00C277C0">
        <w:rPr>
          <w:rFonts w:eastAsia="宋体" w:hint="eastAsia"/>
          <w:snapToGrid w:val="0"/>
          <w:lang w:eastAsia="zh-CN"/>
        </w:rPr>
        <w:t>节）</w:t>
      </w:r>
      <w:r w:rsidR="00097329" w:rsidRPr="00C277C0">
        <w:rPr>
          <w:rFonts w:eastAsia="宋体" w:hint="eastAsia"/>
          <w:snapToGrid w:val="0"/>
          <w:lang w:eastAsia="zh-CN"/>
        </w:rPr>
        <w:t>。有关</w:t>
      </w:r>
      <w:r w:rsidRPr="00C277C0">
        <w:rPr>
          <w:rFonts w:eastAsia="宋体" w:hint="eastAsia"/>
          <w:snapToGrid w:val="0"/>
          <w:lang w:eastAsia="zh-CN"/>
        </w:rPr>
        <w:t>现场警示报告</w:t>
      </w:r>
      <w:r w:rsidR="00097329" w:rsidRPr="00C277C0">
        <w:rPr>
          <w:rFonts w:eastAsia="宋体" w:hint="eastAsia"/>
          <w:snapToGrid w:val="0"/>
          <w:lang w:eastAsia="zh-CN"/>
        </w:rPr>
        <w:t>和</w:t>
      </w:r>
      <w:r w:rsidRPr="00C277C0">
        <w:rPr>
          <w:rFonts w:eastAsia="宋体" w:hint="eastAsia"/>
          <w:snapToGrid w:val="0"/>
          <w:lang w:eastAsia="zh-CN"/>
        </w:rPr>
        <w:t>生物制品偏差报告</w:t>
      </w:r>
      <w:r w:rsidR="00097329" w:rsidRPr="00C277C0">
        <w:rPr>
          <w:rFonts w:eastAsia="宋体" w:hint="eastAsia"/>
          <w:snapToGrid w:val="0"/>
          <w:lang w:eastAsia="zh-CN"/>
        </w:rPr>
        <w:t>报告的简化，另</w:t>
      </w:r>
      <w:r w:rsidR="00AF6448">
        <w:rPr>
          <w:rFonts w:eastAsia="宋体" w:hint="eastAsia"/>
          <w:snapToGrid w:val="0"/>
          <w:lang w:eastAsia="zh-CN"/>
        </w:rPr>
        <w:t>参</w:t>
      </w:r>
      <w:r w:rsidR="00097329" w:rsidRPr="00C277C0">
        <w:rPr>
          <w:rFonts w:eastAsia="宋体" w:hint="eastAsia"/>
          <w:snapToGrid w:val="0"/>
          <w:lang w:eastAsia="zh-CN"/>
        </w:rPr>
        <w:t>见下文第</w:t>
      </w:r>
      <w:r w:rsidR="00C8689A" w:rsidRPr="00C277C0">
        <w:rPr>
          <w:rFonts w:eastAsia="宋体" w:hint="eastAsia"/>
          <w:snapToGrid w:val="0"/>
          <w:lang w:eastAsia="zh-CN"/>
        </w:rPr>
        <w:t>IV</w:t>
      </w:r>
      <w:r w:rsidR="00C0232D" w:rsidRPr="00C277C0">
        <w:rPr>
          <w:rFonts w:eastAsia="宋体" w:hint="eastAsia"/>
          <w:snapToGrid w:val="0"/>
          <w:lang w:eastAsia="zh-CN"/>
        </w:rPr>
        <w:t>.</w:t>
      </w:r>
      <w:r w:rsidR="00097329" w:rsidRPr="00C277C0">
        <w:rPr>
          <w:rFonts w:eastAsia="宋体" w:hint="eastAsia"/>
          <w:snapToGrid w:val="0"/>
          <w:lang w:eastAsia="zh-CN"/>
        </w:rPr>
        <w:t>C</w:t>
      </w:r>
      <w:r w:rsidR="00097329" w:rsidRPr="00C277C0">
        <w:rPr>
          <w:rFonts w:eastAsia="宋体" w:hint="eastAsia"/>
          <w:snapToGrid w:val="0"/>
          <w:lang w:eastAsia="zh-CN"/>
        </w:rPr>
        <w:t>节和第</w:t>
      </w:r>
      <w:r w:rsidR="00C8689A" w:rsidRPr="00C277C0">
        <w:rPr>
          <w:rFonts w:eastAsia="宋体" w:hint="eastAsia"/>
          <w:snapToGrid w:val="0"/>
          <w:lang w:eastAsia="zh-CN"/>
        </w:rPr>
        <w:t>V</w:t>
      </w:r>
      <w:r w:rsidR="00C0232D" w:rsidRPr="00C277C0">
        <w:rPr>
          <w:rFonts w:eastAsia="宋体" w:hint="eastAsia"/>
          <w:snapToGrid w:val="0"/>
          <w:lang w:eastAsia="zh-CN"/>
        </w:rPr>
        <w:t>.</w:t>
      </w:r>
      <w:r w:rsidR="00097329" w:rsidRPr="00C277C0">
        <w:rPr>
          <w:rFonts w:eastAsia="宋体" w:hint="eastAsia"/>
          <w:snapToGrid w:val="0"/>
          <w:lang w:eastAsia="zh-CN"/>
        </w:rPr>
        <w:t>A.3</w:t>
      </w:r>
      <w:r w:rsidR="00097329" w:rsidRPr="00C277C0">
        <w:rPr>
          <w:rFonts w:eastAsia="宋体" w:hint="eastAsia"/>
          <w:snapToGrid w:val="0"/>
          <w:lang w:eastAsia="zh-CN"/>
        </w:rPr>
        <w:t>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此类组合产品的组合产品申请人必须在收到以下信息后</w:t>
      </w:r>
      <w:r w:rsidRPr="00C277C0">
        <w:rPr>
          <w:rFonts w:eastAsia="宋体" w:hint="eastAsia"/>
          <w:snapToGrid w:val="0"/>
          <w:lang w:eastAsia="zh-CN"/>
        </w:rPr>
        <w:t>3</w:t>
      </w:r>
      <w:r w:rsidRPr="00C277C0">
        <w:rPr>
          <w:rFonts w:eastAsia="宋体" w:hint="eastAsia"/>
          <w:snapToGrid w:val="0"/>
          <w:lang w:eastAsia="zh-CN"/>
        </w:rPr>
        <w:t>个工作日内提交</w:t>
      </w:r>
      <w:r w:rsidR="0075567A" w:rsidRPr="00C277C0">
        <w:rPr>
          <w:rFonts w:eastAsia="宋体" w:hint="eastAsia"/>
          <w:snapToGrid w:val="0"/>
          <w:lang w:eastAsia="zh-CN"/>
        </w:rPr>
        <w:t>现场警示报告</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77DFE" w:rsidP="00B403CB">
      <w:pPr>
        <w:pStyle w:val="a4"/>
        <w:numPr>
          <w:ilvl w:val="0"/>
          <w:numId w:val="18"/>
        </w:numPr>
        <w:tabs>
          <w:tab w:val="left" w:pos="911"/>
        </w:tabs>
        <w:autoSpaceDE/>
        <w:autoSpaceDN/>
        <w:snapToGrid w:val="0"/>
        <w:ind w:leftChars="200" w:left="920" w:hangingChars="200" w:hanging="480"/>
        <w:jc w:val="both"/>
        <w:rPr>
          <w:rFonts w:eastAsia="宋体"/>
          <w:snapToGrid w:val="0"/>
          <w:sz w:val="24"/>
          <w:szCs w:val="24"/>
          <w:lang w:eastAsia="zh-CN"/>
        </w:rPr>
      </w:pP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导致</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产品</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或其标签被误认为或应用于另一物品的任何事件，</w:t>
      </w: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或</w:t>
      </w: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分销的</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产品</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涉及任何细菌污染，或任何重大化学、物理或其他变化或变质</w:t>
      </w: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或</w:t>
      </w:r>
    </w:p>
    <w:p w:rsidR="00C1273A" w:rsidRPr="00C277C0" w:rsidRDefault="00C77DFE" w:rsidP="00072C5E">
      <w:pPr>
        <w:pStyle w:val="a4"/>
        <w:numPr>
          <w:ilvl w:val="0"/>
          <w:numId w:val="18"/>
        </w:numPr>
        <w:tabs>
          <w:tab w:val="left" w:pos="911"/>
        </w:tabs>
        <w:autoSpaceDE/>
        <w:autoSpaceDN/>
        <w:snapToGrid w:val="0"/>
        <w:ind w:leftChars="200" w:left="920" w:hangingChars="200" w:hanging="480"/>
        <w:jc w:val="both"/>
        <w:rPr>
          <w:rFonts w:eastAsia="宋体"/>
          <w:snapToGrid w:val="0"/>
          <w:sz w:val="24"/>
          <w:szCs w:val="24"/>
          <w:lang w:eastAsia="zh-CN"/>
        </w:rPr>
      </w:pPr>
      <w:r w:rsidRPr="00B403CB">
        <w:rPr>
          <w:rFonts w:ascii="宋体" w:eastAsia="宋体" w:hAnsi="宋体" w:hint="eastAsia"/>
          <w:sz w:val="24"/>
          <w:lang w:eastAsia="zh-CN"/>
        </w:rPr>
        <w:t>“</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产品</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的一个或多个分销批次不符合其在申请中确立的质量标准</w:t>
      </w: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0AC">
        <w:rPr>
          <w:rFonts w:eastAsia="宋体" w:hint="eastAsia"/>
          <w:snapToGrid w:val="0"/>
          <w:sz w:val="24"/>
          <w:szCs w:val="24"/>
          <w:lang w:eastAsia="zh-CN"/>
        </w:rPr>
        <w:t>第</w:t>
      </w:r>
      <w:r w:rsidR="00097329" w:rsidRPr="00C277C0">
        <w:rPr>
          <w:rFonts w:eastAsia="宋体" w:hint="eastAsia"/>
          <w:snapToGrid w:val="0"/>
          <w:sz w:val="24"/>
          <w:szCs w:val="24"/>
          <w:lang w:eastAsia="zh-CN"/>
        </w:rPr>
        <w:t>314.81</w:t>
      </w:r>
      <w:r w:rsidR="00AE0101" w:rsidRPr="00C277C0">
        <w:rPr>
          <w:rFonts w:eastAsia="宋体" w:hint="eastAsia"/>
          <w:snapToGrid w:val="0"/>
          <w:sz w:val="24"/>
          <w:szCs w:val="24"/>
          <w:lang w:eastAsia="zh-CN"/>
        </w:rPr>
        <w:t>节）</w:t>
      </w:r>
      <w:r w:rsidR="00097329" w:rsidRPr="00C277C0">
        <w:rPr>
          <w:rFonts w:eastAsia="宋体" w:hint="eastAsia"/>
          <w:snapToGrid w:val="0"/>
          <w:sz w:val="24"/>
          <w:szCs w:val="24"/>
          <w:lang w:eastAsia="zh-CN"/>
        </w:rPr>
        <w:t>。</w:t>
      </w:r>
    </w:p>
    <w:p w:rsidR="00C1273A" w:rsidRPr="00C277C0" w:rsidRDefault="00C1273A" w:rsidP="00B403CB">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AF6448" w:rsidP="00B403CB">
      <w:pPr>
        <w:pStyle w:val="a3"/>
        <w:autoSpaceDE/>
        <w:autoSpaceDN/>
        <w:snapToGrid w:val="0"/>
        <w:ind w:firstLineChars="200" w:firstLine="480"/>
        <w:jc w:val="both"/>
        <w:rPr>
          <w:rFonts w:eastAsia="宋体"/>
          <w:snapToGrid w:val="0"/>
          <w:lang w:eastAsia="zh-CN"/>
        </w:rPr>
      </w:pPr>
      <w:r>
        <w:rPr>
          <w:rFonts w:eastAsia="宋体" w:hint="eastAsia"/>
          <w:snapToGrid w:val="0"/>
          <w:lang w:eastAsia="zh-CN"/>
        </w:rPr>
        <w:t>本机构</w:t>
      </w:r>
      <w:r w:rsidR="00097329" w:rsidRPr="00C277C0">
        <w:rPr>
          <w:rFonts w:eastAsia="宋体" w:hint="eastAsia"/>
          <w:snapToGrid w:val="0"/>
          <w:lang w:eastAsia="zh-CN"/>
        </w:rPr>
        <w:t>还建议组合产品申请人提交附加信息，包括可用的更新信息。</w:t>
      </w:r>
      <w:r w:rsidR="00FE2212" w:rsidRPr="00C277C0">
        <w:rPr>
          <w:rStyle w:val="af4"/>
          <w:rFonts w:eastAsia="宋体" w:hint="eastAsia"/>
          <w:snapToGrid w:val="0"/>
          <w:lang w:eastAsia="zh-CN"/>
        </w:rPr>
        <w:footnoteReference w:id="36"/>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C1273A">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上述由组合产品任何组成部分或组合产品生产工艺所导致的任何问题都需要</w:t>
      </w:r>
      <w:r w:rsidR="0075567A" w:rsidRPr="00C277C0">
        <w:rPr>
          <w:rFonts w:eastAsia="宋体" w:hint="eastAsia"/>
          <w:snapToGrid w:val="0"/>
          <w:lang w:eastAsia="zh-CN"/>
        </w:rPr>
        <w:t>现场警示报告</w:t>
      </w:r>
      <w:r w:rsidRPr="00C277C0">
        <w:rPr>
          <w:rFonts w:eastAsia="宋体" w:hint="eastAsia"/>
          <w:snapToGrid w:val="0"/>
          <w:lang w:eastAsia="zh-CN"/>
        </w:rPr>
        <w:t>（</w:t>
      </w:r>
      <w:r w:rsidR="00AF6448">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4.102</w:t>
      </w:r>
      <w:r w:rsidR="00FA5CED" w:rsidRPr="00C277C0">
        <w:rPr>
          <w:rFonts w:eastAsia="宋体" w:hint="eastAsia"/>
          <w:snapToGrid w:val="0"/>
          <w:lang w:eastAsia="zh-CN"/>
        </w:rPr>
        <w:t>（</w:t>
      </w:r>
      <w:r w:rsidRPr="00C277C0">
        <w:rPr>
          <w:rFonts w:eastAsia="宋体" w:hint="eastAsia"/>
          <w:snapToGrid w:val="0"/>
          <w:lang w:eastAsia="zh-CN"/>
        </w:rPr>
        <w:t>a</w:t>
      </w:r>
      <w:r w:rsidR="00FA5CED"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314.81</w:t>
      </w:r>
      <w:r w:rsidR="00AE0101" w:rsidRPr="00C277C0">
        <w:rPr>
          <w:rFonts w:eastAsia="宋体" w:hint="eastAsia"/>
          <w:snapToGrid w:val="0"/>
          <w:lang w:eastAsia="zh-CN"/>
        </w:rPr>
        <w:t>节）</w:t>
      </w:r>
      <w:r w:rsidRPr="00C277C0">
        <w:rPr>
          <w:rFonts w:eastAsia="宋体" w:hint="eastAsia"/>
          <w:snapToGrid w:val="0"/>
          <w:lang w:eastAsia="zh-CN"/>
        </w:rPr>
        <w:t>。即使问题是由另一方提供给申请人的材料所致，也必须提交</w:t>
      </w:r>
      <w:r w:rsidR="0075567A" w:rsidRPr="00C277C0">
        <w:rPr>
          <w:rFonts w:eastAsia="宋体" w:hint="eastAsia"/>
          <w:snapToGrid w:val="0"/>
          <w:lang w:eastAsia="zh-CN"/>
        </w:rPr>
        <w:t>现场警示报告</w:t>
      </w:r>
      <w:r w:rsidRPr="00C277C0">
        <w:rPr>
          <w:rFonts w:eastAsia="宋体" w:hint="eastAsia"/>
          <w:snapToGrid w:val="0"/>
          <w:lang w:eastAsia="zh-CN"/>
        </w:rPr>
        <w:t>（</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75567A" w:rsidRPr="00C277C0">
        <w:rPr>
          <w:rFonts w:eastAsia="宋体" w:hint="eastAsia"/>
          <w:snapToGrid w:val="0"/>
          <w:lang w:eastAsia="zh-CN"/>
        </w:rPr>
        <w:t>第</w:t>
      </w:r>
      <w:r w:rsidRPr="00C277C0">
        <w:rPr>
          <w:rFonts w:eastAsia="宋体" w:hint="eastAsia"/>
          <w:snapToGrid w:val="0"/>
          <w:lang w:eastAsia="zh-CN"/>
        </w:rPr>
        <w:t>314.81</w:t>
      </w:r>
      <w:r w:rsidR="0075567A" w:rsidRPr="00C277C0">
        <w:rPr>
          <w:rFonts w:eastAsia="宋体" w:hint="eastAsia"/>
          <w:snapToGrid w:val="0"/>
          <w:lang w:eastAsia="zh-CN"/>
        </w:rPr>
        <w:t>节</w:t>
      </w:r>
      <w:r w:rsidRPr="00C277C0">
        <w:rPr>
          <w:rFonts w:eastAsia="宋体" w:hint="eastAsia"/>
          <w:snapToGrid w:val="0"/>
          <w:lang w:eastAsia="zh-CN"/>
        </w:rPr>
        <w:t>对此基准没有区别）。</w:t>
      </w:r>
    </w:p>
    <w:p w:rsidR="00C1273A" w:rsidRPr="00C277C0" w:rsidRDefault="00C1273A" w:rsidP="00B403CB">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例如，分销的预充式注射器细菌污染可能是灌装前药物生产过程中污染、灌装前注射器污染或灌装过程中污染所致。在任何情况下，如果产品受到污染，则必须提交</w:t>
      </w:r>
      <w:r w:rsidR="0075567A" w:rsidRPr="00C277C0">
        <w:rPr>
          <w:rFonts w:eastAsia="宋体" w:hint="eastAsia"/>
          <w:snapToGrid w:val="0"/>
          <w:lang w:eastAsia="zh-CN"/>
        </w:rPr>
        <w:t>现场警示报告</w:t>
      </w:r>
      <w:r w:rsidRPr="00C277C0">
        <w:rPr>
          <w:rFonts w:eastAsia="宋体" w:hint="eastAsia"/>
          <w:snapToGrid w:val="0"/>
          <w:lang w:eastAsia="zh-CN"/>
        </w:rPr>
        <w:t>（</w:t>
      </w:r>
      <w:r w:rsidR="00DC15B2">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75567A"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314.81</w:t>
      </w:r>
      <w:r w:rsidR="0075567A" w:rsidRPr="00C277C0">
        <w:rPr>
          <w:rFonts w:eastAsia="宋体" w:hint="eastAsia"/>
          <w:snapToGrid w:val="0"/>
          <w:lang w:eastAsia="zh-CN"/>
        </w:rPr>
        <w:t>节</w:t>
      </w:r>
      <w:r w:rsidRPr="00C277C0">
        <w:rPr>
          <w:rFonts w:eastAsia="宋体" w:hint="eastAsia"/>
          <w:snapToGrid w:val="0"/>
          <w:lang w:eastAsia="zh-CN"/>
        </w:rPr>
        <w:t>）。</w:t>
      </w:r>
    </w:p>
    <w:p w:rsidR="006223B4" w:rsidRPr="00C277C0" w:rsidRDefault="006223B4" w:rsidP="00B403CB">
      <w:pPr>
        <w:autoSpaceDE/>
        <w:autoSpaceDN/>
        <w:snapToGrid w:val="0"/>
        <w:jc w:val="both"/>
        <w:rPr>
          <w:rFonts w:eastAsia="宋体"/>
          <w:snapToGrid w:val="0"/>
          <w:sz w:val="24"/>
          <w:szCs w:val="24"/>
          <w:lang w:eastAsia="zh-CN"/>
        </w:rPr>
      </w:pPr>
      <w:r w:rsidRPr="00B403CB">
        <w:rPr>
          <w:rFonts w:eastAsia="宋体"/>
          <w:sz w:val="24"/>
          <w:lang w:eastAsia="zh-CN"/>
        </w:rPr>
        <w:br w:type="page"/>
      </w: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同样，如果分销的药物洗脱支架涂层因涂层或支架涂层过程中引入的杂质或金属支架上的杂质而不符合质量标准，则必须提交</w:t>
      </w:r>
      <w:r w:rsidR="0075567A" w:rsidRPr="00C277C0">
        <w:rPr>
          <w:rFonts w:eastAsia="宋体" w:hint="eastAsia"/>
          <w:snapToGrid w:val="0"/>
          <w:lang w:eastAsia="zh-CN"/>
        </w:rPr>
        <w:t>现场警示报告</w:t>
      </w:r>
      <w:r w:rsidRPr="00C277C0">
        <w:rPr>
          <w:rFonts w:eastAsia="宋体" w:hint="eastAsia"/>
          <w:snapToGrid w:val="0"/>
          <w:lang w:eastAsia="zh-CN"/>
        </w:rPr>
        <w:t>（</w:t>
      </w:r>
      <w:r w:rsidR="00843388">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314.81</w:t>
      </w:r>
      <w:r w:rsidR="00AE00AC">
        <w:rPr>
          <w:rFonts w:eastAsia="宋体" w:hint="eastAsia"/>
          <w:snapToGrid w:val="0"/>
          <w:lang w:eastAsia="zh-CN"/>
        </w:rPr>
        <w:t>节</w:t>
      </w:r>
      <w:r w:rsidRPr="00C277C0">
        <w:rPr>
          <w:rFonts w:eastAsia="宋体" w:hint="eastAsia"/>
          <w:snapToGrid w:val="0"/>
          <w:lang w:eastAsia="zh-CN"/>
        </w:rPr>
        <w:t>）。此外，如果杂质是由于供应商提供的药品</w:t>
      </w:r>
      <w:r w:rsidR="00C412F1" w:rsidRPr="00C277C0">
        <w:rPr>
          <w:rFonts w:eastAsia="宋体" w:hint="eastAsia"/>
          <w:snapToGrid w:val="0"/>
          <w:lang w:eastAsia="zh-CN"/>
        </w:rPr>
        <w:t>造成</w:t>
      </w:r>
      <w:r w:rsidRPr="00C277C0">
        <w:rPr>
          <w:rFonts w:eastAsia="宋体" w:hint="eastAsia"/>
          <w:snapToGrid w:val="0"/>
          <w:lang w:eastAsia="zh-CN"/>
        </w:rPr>
        <w:t>，则组合产品申请人还应与药品供应商沟通，以便药品供应商酌情采取任何额外措施和报告。</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wordWrap w:val="0"/>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有关</w:t>
      </w:r>
      <w:r w:rsidR="0075567A" w:rsidRPr="00C277C0">
        <w:rPr>
          <w:rFonts w:eastAsia="宋体" w:hint="eastAsia"/>
          <w:snapToGrid w:val="0"/>
          <w:lang w:eastAsia="zh-CN"/>
        </w:rPr>
        <w:t>现场警示报告</w:t>
      </w:r>
      <w:r w:rsidRPr="00C277C0">
        <w:rPr>
          <w:rFonts w:eastAsia="宋体" w:hint="eastAsia"/>
          <w:snapToGrid w:val="0"/>
          <w:lang w:eastAsia="zh-CN"/>
        </w:rPr>
        <w:t>的</w:t>
      </w:r>
      <w:r w:rsidR="00E31100" w:rsidRPr="00C277C0">
        <w:rPr>
          <w:rFonts w:eastAsia="宋体" w:hint="eastAsia"/>
          <w:snapToGrid w:val="0"/>
          <w:lang w:eastAsia="zh-CN"/>
        </w:rPr>
        <w:t>更多</w:t>
      </w:r>
      <w:r w:rsidRPr="00C277C0">
        <w:rPr>
          <w:rFonts w:eastAsia="宋体" w:hint="eastAsia"/>
          <w:snapToGrid w:val="0"/>
          <w:lang w:eastAsia="zh-CN"/>
        </w:rPr>
        <w:t>信息，请访问：</w:t>
      </w:r>
      <w:hyperlink r:id="rId14">
        <w:r w:rsidRPr="00C277C0">
          <w:rPr>
            <w:rFonts w:eastAsia="宋体" w:hint="eastAsia"/>
            <w:snapToGrid w:val="0"/>
            <w:color w:val="0000FF"/>
            <w:u w:val="single" w:color="0000FF"/>
            <w:lang w:eastAsia="zh-CN"/>
          </w:rPr>
          <w:t>https://www.fda.gov/drugs/surveillance/field-alert-report-form-questions-and-answers</w:t>
        </w:r>
      </w:hyperlink>
      <w:r w:rsidRPr="00C277C0">
        <w:rPr>
          <w:rFonts w:eastAsia="宋体" w:hint="eastAsia"/>
          <w:snapToGrid w:val="0"/>
          <w:lang w:eastAsia="zh-CN"/>
        </w:rPr>
        <w:t>和</w:t>
      </w:r>
      <w:r w:rsidRPr="00C277C0">
        <w:rPr>
          <w:rFonts w:eastAsia="宋体" w:hint="eastAsia"/>
          <w:snapToGrid w:val="0"/>
          <w:color w:val="0000FF"/>
          <w:u w:val="single" w:color="0000FF"/>
          <w:lang w:eastAsia="zh-CN"/>
        </w:rPr>
        <w:t>https://www.fda.gov/vaccines-blood-biologics/guidance-compliance-regulatory-information-biologics/submitting-field-alert-reports-fars-cber</w:t>
      </w:r>
      <w:r w:rsidR="00DC6C01">
        <w:rPr>
          <w:rFonts w:eastAsia="宋体" w:hint="eastAsia"/>
          <w:snapToGrid w:val="0"/>
          <w:color w:val="0000FF"/>
          <w:u w:val="single" w:color="0000FF"/>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2.</w:t>
      </w:r>
      <w:r w:rsidRPr="00C277C0">
        <w:rPr>
          <w:rFonts w:hint="eastAsia"/>
          <w:snapToGrid w:val="0"/>
          <w:lang w:eastAsia="zh-CN"/>
        </w:rPr>
        <w:tab/>
      </w:r>
      <w:r w:rsidRPr="00C277C0">
        <w:rPr>
          <w:rFonts w:hint="eastAsia"/>
          <w:snapToGrid w:val="0"/>
          <w:lang w:eastAsia="zh-CN"/>
        </w:rPr>
        <w:t>生物制品偏差报告（</w:t>
      </w:r>
      <w:r w:rsidR="000742D2">
        <w:rPr>
          <w:rFonts w:hint="eastAsia"/>
          <w:snapToGrid w:val="0"/>
          <w:lang w:eastAsia="zh-CN"/>
        </w:rPr>
        <w:t>参</w:t>
      </w:r>
      <w:r w:rsidRPr="00C277C0">
        <w:rPr>
          <w:rFonts w:hint="eastAsia"/>
          <w:snapToGrid w:val="0"/>
          <w:lang w:eastAsia="zh-CN"/>
        </w:rPr>
        <w:t>见</w:t>
      </w:r>
      <w:r w:rsidR="007267DD" w:rsidRPr="00C277C0">
        <w:rPr>
          <w:rFonts w:hint="eastAsia"/>
          <w:snapToGrid w:val="0"/>
          <w:lang w:eastAsia="zh-CN"/>
        </w:rPr>
        <w:t>《美国联邦法规》第</w:t>
      </w:r>
      <w:r w:rsidR="00286DB1">
        <w:rPr>
          <w:rFonts w:hint="eastAsia"/>
          <w:snapToGrid w:val="0"/>
          <w:lang w:eastAsia="zh-CN"/>
        </w:rPr>
        <w:t>21</w:t>
      </w:r>
      <w:r w:rsidR="00286DB1">
        <w:rPr>
          <w:rFonts w:hint="eastAsia"/>
          <w:snapToGrid w:val="0"/>
          <w:lang w:eastAsia="zh-CN"/>
        </w:rPr>
        <w:t>篇</w:t>
      </w:r>
      <w:r w:rsidR="00AE00AC">
        <w:rPr>
          <w:rFonts w:hint="eastAsia"/>
          <w:snapToGrid w:val="0"/>
          <w:lang w:eastAsia="zh-CN"/>
        </w:rPr>
        <w:t>第</w:t>
      </w:r>
      <w:r w:rsidRPr="00C277C0">
        <w:rPr>
          <w:rFonts w:hint="eastAsia"/>
          <w:snapToGrid w:val="0"/>
          <w:lang w:eastAsia="zh-CN"/>
        </w:rPr>
        <w:t>600.14</w:t>
      </w:r>
      <w:r w:rsidRPr="00C277C0">
        <w:rPr>
          <w:rFonts w:hint="eastAsia"/>
          <w:snapToGrid w:val="0"/>
          <w:lang w:eastAsia="zh-CN"/>
        </w:rPr>
        <w:t>和</w:t>
      </w:r>
      <w:r w:rsidRPr="00C277C0">
        <w:rPr>
          <w:rFonts w:hint="eastAsia"/>
          <w:snapToGrid w:val="0"/>
          <w:lang w:eastAsia="zh-CN"/>
        </w:rPr>
        <w:t>606.171</w:t>
      </w:r>
      <w:r w:rsidR="00AE0101" w:rsidRPr="00C277C0">
        <w:rPr>
          <w:rFonts w:hint="eastAsia"/>
          <w:snapToGrid w:val="0"/>
          <w:lang w:eastAsia="zh-CN"/>
        </w:rPr>
        <w:t>节）</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生物制品偏差报告要求适用于包含生物制品组成部分的分销组合产品（</w:t>
      </w:r>
      <w:r w:rsidR="000742D2">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4.102</w:t>
      </w:r>
      <w:r w:rsidR="00C77DFE" w:rsidRPr="00C277C0">
        <w:rPr>
          <w:rFonts w:eastAsia="宋体" w:hint="eastAsia"/>
          <w:snapToGrid w:val="0"/>
          <w:lang w:eastAsia="zh-CN"/>
        </w:rPr>
        <w:t>（</w:t>
      </w:r>
      <w:r w:rsidRPr="00C277C0">
        <w:rPr>
          <w:rFonts w:eastAsia="宋体" w:hint="eastAsia"/>
          <w:snapToGrid w:val="0"/>
          <w:lang w:eastAsia="zh-CN"/>
        </w:rPr>
        <w:t>b</w:t>
      </w:r>
      <w:r w:rsidR="00C77DFE" w:rsidRPr="00C277C0">
        <w:rPr>
          <w:rFonts w:eastAsia="宋体" w:hint="eastAsia"/>
          <w:snapToGrid w:val="0"/>
          <w:lang w:eastAsia="zh-CN"/>
        </w:rPr>
        <w:t>）（</w:t>
      </w:r>
      <w:r w:rsidRPr="00C277C0">
        <w:rPr>
          <w:rFonts w:eastAsia="宋体" w:hint="eastAsia"/>
          <w:snapToGrid w:val="0"/>
          <w:lang w:eastAsia="zh-CN"/>
        </w:rPr>
        <w:t>3</w:t>
      </w:r>
      <w:r w:rsidR="00C77DFE"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4.102</w:t>
      </w:r>
      <w:r w:rsidR="00C77DFE" w:rsidRPr="00C277C0">
        <w:rPr>
          <w:rFonts w:eastAsia="宋体" w:hint="eastAsia"/>
          <w:snapToGrid w:val="0"/>
          <w:lang w:eastAsia="zh-CN"/>
        </w:rPr>
        <w:t>（</w:t>
      </w:r>
      <w:r w:rsidRPr="00C277C0">
        <w:rPr>
          <w:rFonts w:eastAsia="宋体" w:hint="eastAsia"/>
          <w:snapToGrid w:val="0"/>
          <w:lang w:eastAsia="zh-CN"/>
        </w:rPr>
        <w:t>c</w:t>
      </w:r>
      <w:r w:rsidR="00C77DFE" w:rsidRPr="00C277C0">
        <w:rPr>
          <w:rFonts w:eastAsia="宋体" w:hint="eastAsia"/>
          <w:snapToGrid w:val="0"/>
          <w:lang w:eastAsia="zh-CN"/>
        </w:rPr>
        <w:t>）（</w:t>
      </w:r>
      <w:r w:rsidRPr="00C277C0">
        <w:rPr>
          <w:rFonts w:eastAsia="宋体" w:hint="eastAsia"/>
          <w:snapToGrid w:val="0"/>
          <w:lang w:eastAsia="zh-CN"/>
        </w:rPr>
        <w:t>3</w:t>
      </w:r>
      <w:r w:rsidR="00C77DFE" w:rsidRPr="00C277C0">
        <w:rPr>
          <w:rFonts w:eastAsia="宋体" w:hint="eastAsia"/>
          <w:snapToGrid w:val="0"/>
          <w:lang w:eastAsia="zh-CN"/>
        </w:rPr>
        <w:t>）（</w:t>
      </w:r>
      <w:r w:rsidRPr="00C277C0">
        <w:rPr>
          <w:rFonts w:eastAsia="宋体" w:hint="eastAsia"/>
          <w:snapToGrid w:val="0"/>
          <w:lang w:eastAsia="zh-CN"/>
        </w:rPr>
        <w:t>i</w:t>
      </w:r>
      <w:r w:rsidR="00C77DFE"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。有关</w:t>
      </w:r>
      <w:r w:rsidR="0075567A" w:rsidRPr="00C277C0">
        <w:rPr>
          <w:rFonts w:eastAsia="宋体" w:hint="eastAsia"/>
          <w:snapToGrid w:val="0"/>
          <w:lang w:eastAsia="zh-CN"/>
        </w:rPr>
        <w:t>现场警示报告</w:t>
      </w:r>
      <w:r w:rsidRPr="00C277C0">
        <w:rPr>
          <w:rFonts w:eastAsia="宋体" w:hint="eastAsia"/>
          <w:snapToGrid w:val="0"/>
          <w:lang w:eastAsia="zh-CN"/>
        </w:rPr>
        <w:t>和</w:t>
      </w:r>
      <w:r w:rsidR="0075567A" w:rsidRPr="00C277C0">
        <w:rPr>
          <w:rFonts w:eastAsia="宋体" w:hint="eastAsia"/>
          <w:snapToGrid w:val="0"/>
          <w:lang w:eastAsia="zh-CN"/>
        </w:rPr>
        <w:t>生物制品偏差报告</w:t>
      </w:r>
      <w:r w:rsidRPr="00C277C0">
        <w:rPr>
          <w:rFonts w:eastAsia="宋体" w:hint="eastAsia"/>
          <w:snapToGrid w:val="0"/>
          <w:lang w:eastAsia="zh-CN"/>
        </w:rPr>
        <w:t>报告的简化，另</w:t>
      </w:r>
      <w:r w:rsidR="000742D2">
        <w:rPr>
          <w:rFonts w:eastAsia="宋体" w:hint="eastAsia"/>
          <w:snapToGrid w:val="0"/>
          <w:lang w:eastAsia="zh-CN"/>
        </w:rPr>
        <w:t>参</w:t>
      </w:r>
      <w:r w:rsidRPr="00C277C0">
        <w:rPr>
          <w:rFonts w:eastAsia="宋体" w:hint="eastAsia"/>
          <w:snapToGrid w:val="0"/>
          <w:lang w:eastAsia="zh-CN"/>
        </w:rPr>
        <w:t>见下文第</w:t>
      </w:r>
      <w:r w:rsidR="00C8689A" w:rsidRPr="00C277C0">
        <w:rPr>
          <w:rFonts w:eastAsia="宋体" w:hint="eastAsia"/>
          <w:snapToGrid w:val="0"/>
          <w:lang w:eastAsia="zh-CN"/>
        </w:rPr>
        <w:t>IV</w:t>
      </w:r>
      <w:r w:rsidR="00C0232D" w:rsidRPr="00C277C0">
        <w:rPr>
          <w:rFonts w:eastAsia="宋体" w:hint="eastAsia"/>
          <w:snapToGrid w:val="0"/>
          <w:lang w:eastAsia="zh-CN"/>
        </w:rPr>
        <w:t>.</w:t>
      </w:r>
      <w:r w:rsidRPr="00C277C0">
        <w:rPr>
          <w:rFonts w:eastAsia="宋体" w:hint="eastAsia"/>
          <w:snapToGrid w:val="0"/>
          <w:lang w:eastAsia="zh-CN"/>
        </w:rPr>
        <w:t>C</w:t>
      </w:r>
      <w:r w:rsidRPr="00C277C0">
        <w:rPr>
          <w:rFonts w:eastAsia="宋体" w:hint="eastAsia"/>
          <w:snapToGrid w:val="0"/>
          <w:lang w:eastAsia="zh-CN"/>
        </w:rPr>
        <w:t>节和第</w:t>
      </w:r>
      <w:r w:rsidR="00C8689A"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A.3</w:t>
      </w:r>
      <w:r w:rsidRPr="00C277C0">
        <w:rPr>
          <w:rFonts w:eastAsia="宋体" w:hint="eastAsia"/>
          <w:snapToGrid w:val="0"/>
          <w:lang w:eastAsia="zh-CN"/>
        </w:rPr>
        <w:t>节。</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此类组合产品的组合产品申请人必须提交产品</w:t>
      </w:r>
      <w:r w:rsidR="00CD0DF4" w:rsidRPr="00B403CB">
        <w:rPr>
          <w:rFonts w:ascii="宋体" w:eastAsia="宋体" w:hAnsi="宋体" w:hint="eastAsia"/>
          <w:lang w:eastAsia="zh-CN"/>
        </w:rPr>
        <w:t>“</w:t>
      </w:r>
      <w:r w:rsidRPr="00C277C0">
        <w:rPr>
          <w:rFonts w:eastAsia="宋体" w:hint="eastAsia"/>
          <w:snapToGrid w:val="0"/>
          <w:lang w:eastAsia="zh-CN"/>
        </w:rPr>
        <w:t>任何事件的</w:t>
      </w:r>
      <w:r w:rsidR="0075567A" w:rsidRPr="00C277C0">
        <w:rPr>
          <w:rFonts w:eastAsia="宋体" w:hint="eastAsia"/>
          <w:snapToGrid w:val="0"/>
          <w:lang w:eastAsia="zh-CN"/>
        </w:rPr>
        <w:t>生物制品偏差报告</w:t>
      </w:r>
      <w:r w:rsidRPr="00C277C0">
        <w:rPr>
          <w:rFonts w:eastAsia="宋体" w:hint="eastAsia"/>
          <w:snapToGrid w:val="0"/>
          <w:lang w:eastAsia="zh-CN"/>
        </w:rPr>
        <w:t>，以及与该事件相关的信息，包括产品的检验、加工、包装、贴签、储存，或与保持或分销有关的信息</w:t>
      </w:r>
      <w:r w:rsidR="00CD0DF4" w:rsidRPr="00B403CB">
        <w:rPr>
          <w:rFonts w:ascii="宋体" w:eastAsia="宋体" w:hAnsi="宋体" w:hint="eastAsia"/>
          <w:lang w:eastAsia="zh-CN"/>
        </w:rPr>
        <w:t>”</w:t>
      </w:r>
      <w:r w:rsidRPr="00C277C0">
        <w:rPr>
          <w:rFonts w:eastAsia="宋体" w:hint="eastAsia"/>
          <w:snapToGrid w:val="0"/>
          <w:lang w:eastAsia="zh-CN"/>
        </w:rPr>
        <w:t>，如果该事件：</w:t>
      </w:r>
      <w:r w:rsidR="00FE2212" w:rsidRPr="00C277C0">
        <w:rPr>
          <w:rStyle w:val="af4"/>
          <w:rFonts w:eastAsia="宋体" w:hint="eastAsia"/>
          <w:snapToGrid w:val="0"/>
          <w:lang w:eastAsia="zh-CN"/>
        </w:rPr>
        <w:footnoteReference w:id="37"/>
      </w:r>
      <w:r w:rsidRPr="00C277C0">
        <w:rPr>
          <w:rFonts w:eastAsia="宋体" w:hint="eastAsia"/>
          <w:snapToGrid w:val="0"/>
          <w:vertAlign w:val="superscript"/>
          <w:lang w:eastAsia="zh-CN"/>
        </w:rPr>
        <w:t>,</w:t>
      </w:r>
      <w:r w:rsidR="00FE2212" w:rsidRPr="00C277C0">
        <w:rPr>
          <w:rStyle w:val="af4"/>
          <w:rFonts w:eastAsia="宋体" w:hint="eastAsia"/>
          <w:snapToGrid w:val="0"/>
          <w:lang w:eastAsia="zh-CN"/>
        </w:rPr>
        <w:footnoteReference w:id="38"/>
      </w:r>
    </w:p>
    <w:p w:rsidR="00C1273A" w:rsidRPr="00C277C0" w:rsidRDefault="00097329" w:rsidP="00B403CB">
      <w:pPr>
        <w:pStyle w:val="a4"/>
        <w:numPr>
          <w:ilvl w:val="0"/>
          <w:numId w:val="19"/>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代表—</w:t>
      </w:r>
    </w:p>
    <w:p w:rsidR="00C1273A" w:rsidRPr="00C277C0" w:rsidRDefault="00097329" w:rsidP="00B403CB">
      <w:pPr>
        <w:pStyle w:val="a4"/>
        <w:numPr>
          <w:ilvl w:val="1"/>
          <w:numId w:val="12"/>
        </w:numPr>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偏离现行药品生产质量管理规范、适用法规、适用标准或既定质量标准，可能影响该产品的安全性、纯度或效价的事件；或</w:t>
      </w:r>
    </w:p>
    <w:p w:rsidR="00C1273A" w:rsidRPr="00C277C0" w:rsidRDefault="00097329" w:rsidP="00B403CB">
      <w:pPr>
        <w:pStyle w:val="a4"/>
        <w:numPr>
          <w:ilvl w:val="1"/>
          <w:numId w:val="12"/>
        </w:numPr>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可能影响该产品安全性、纯度或效价的非预期或不可预见事件；</w:t>
      </w:r>
    </w:p>
    <w:p w:rsidR="00C1273A" w:rsidRPr="00C277C0" w:rsidRDefault="00097329" w:rsidP="00B403CB">
      <w:pPr>
        <w:pStyle w:val="a4"/>
        <w:numPr>
          <w:ilvl w:val="0"/>
          <w:numId w:val="19"/>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发生在申请人的设备内或与申请人签订合同的其他设备内；且</w:t>
      </w:r>
    </w:p>
    <w:p w:rsidR="00C1273A" w:rsidRPr="00C277C0" w:rsidRDefault="00097329" w:rsidP="00B403CB">
      <w:pPr>
        <w:pStyle w:val="a4"/>
        <w:numPr>
          <w:ilvl w:val="0"/>
          <w:numId w:val="19"/>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涉及分销产品。</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autoSpaceDE/>
        <w:autoSpaceDN/>
        <w:snapToGrid w:val="0"/>
        <w:ind w:firstLineChars="200" w:firstLine="480"/>
        <w:jc w:val="both"/>
        <w:rPr>
          <w:rFonts w:eastAsia="宋体"/>
          <w:snapToGrid w:val="0"/>
          <w:sz w:val="24"/>
          <w:szCs w:val="24"/>
          <w:lang w:eastAsia="zh-CN"/>
        </w:rPr>
      </w:pPr>
      <w:r w:rsidRPr="00C277C0">
        <w:rPr>
          <w:rFonts w:eastAsia="宋体" w:hint="eastAsia"/>
          <w:snapToGrid w:val="0"/>
          <w:sz w:val="24"/>
          <w:szCs w:val="24"/>
          <w:lang w:eastAsia="zh-CN"/>
        </w:rPr>
        <w:t>（</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0AC">
        <w:rPr>
          <w:rFonts w:eastAsia="宋体" w:hint="eastAsia"/>
          <w:snapToGrid w:val="0"/>
          <w:sz w:val="24"/>
          <w:szCs w:val="24"/>
          <w:lang w:eastAsia="zh-CN"/>
        </w:rPr>
        <w:t>第</w:t>
      </w:r>
      <w:r w:rsidRPr="00C277C0">
        <w:rPr>
          <w:rFonts w:eastAsia="宋体" w:hint="eastAsia"/>
          <w:snapToGrid w:val="0"/>
          <w:sz w:val="24"/>
          <w:szCs w:val="24"/>
          <w:lang w:eastAsia="zh-CN"/>
        </w:rPr>
        <w:t>600.14</w:t>
      </w:r>
      <w:r w:rsidRPr="00C277C0">
        <w:rPr>
          <w:rFonts w:eastAsia="宋体" w:hint="eastAsia"/>
          <w:snapToGrid w:val="0"/>
          <w:sz w:val="24"/>
          <w:szCs w:val="24"/>
          <w:lang w:eastAsia="zh-CN"/>
        </w:rPr>
        <w:t>和</w:t>
      </w:r>
      <w:r w:rsidRPr="00C277C0">
        <w:rPr>
          <w:rFonts w:eastAsia="宋体" w:hint="eastAsia"/>
          <w:snapToGrid w:val="0"/>
          <w:sz w:val="24"/>
          <w:szCs w:val="24"/>
          <w:lang w:eastAsia="zh-CN"/>
        </w:rPr>
        <w:t>606.171</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C1273A" w:rsidP="00C1273A">
      <w:pPr>
        <w:autoSpaceDE/>
        <w:autoSpaceDN/>
        <w:snapToGrid w:val="0"/>
        <w:jc w:val="both"/>
        <w:rPr>
          <w:rFonts w:eastAsia="宋体"/>
          <w:snapToGrid w:val="0"/>
          <w:sz w:val="24"/>
          <w:szCs w:val="24"/>
          <w:lang w:eastAsia="zh-CN"/>
        </w:rPr>
      </w:pPr>
    </w:p>
    <w:p w:rsidR="00C1273A" w:rsidRPr="00C277C0" w:rsidRDefault="0075567A"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生物制品偏差报告</w:t>
      </w:r>
      <w:r w:rsidR="00097329" w:rsidRPr="00C277C0">
        <w:rPr>
          <w:rFonts w:eastAsia="宋体" w:hint="eastAsia"/>
          <w:snapToGrid w:val="0"/>
          <w:lang w:eastAsia="zh-CN"/>
        </w:rPr>
        <w:t>应尽快提交，且必须在获得</w:t>
      </w:r>
      <w:r w:rsidR="00CD0DF4" w:rsidRPr="00B403CB">
        <w:rPr>
          <w:rFonts w:ascii="宋体" w:eastAsia="宋体" w:hAnsi="宋体" w:hint="eastAsia"/>
          <w:lang w:eastAsia="zh-CN"/>
        </w:rPr>
        <w:t>“</w:t>
      </w:r>
      <w:r w:rsidR="00097329" w:rsidRPr="00C277C0">
        <w:rPr>
          <w:rFonts w:eastAsia="宋体" w:hint="eastAsia"/>
          <w:snapToGrid w:val="0"/>
          <w:lang w:eastAsia="zh-CN"/>
        </w:rPr>
        <w:t>合理表明</w:t>
      </w:r>
      <w:r w:rsidR="00CD0DF4" w:rsidRPr="00B403CB">
        <w:rPr>
          <w:rFonts w:ascii="宋体" w:eastAsia="宋体" w:hAnsi="宋体" w:hint="eastAsia"/>
          <w:lang w:eastAsia="zh-CN"/>
        </w:rPr>
        <w:t>”</w:t>
      </w:r>
      <w:r w:rsidR="00097329" w:rsidRPr="00C277C0">
        <w:rPr>
          <w:rFonts w:eastAsia="宋体" w:hint="eastAsia"/>
          <w:snapToGrid w:val="0"/>
          <w:lang w:eastAsia="zh-CN"/>
        </w:rPr>
        <w:t>已发生可报告事件的信息之日起</w:t>
      </w:r>
      <w:r w:rsidR="00097329" w:rsidRPr="00C277C0">
        <w:rPr>
          <w:rFonts w:eastAsia="宋体" w:hint="eastAsia"/>
          <w:snapToGrid w:val="0"/>
          <w:lang w:eastAsia="zh-CN"/>
        </w:rPr>
        <w:t>45</w:t>
      </w:r>
      <w:r w:rsidR="00097329" w:rsidRPr="00C277C0">
        <w:rPr>
          <w:rFonts w:eastAsia="宋体" w:hint="eastAsia"/>
          <w:snapToGrid w:val="0"/>
          <w:lang w:eastAsia="zh-CN"/>
        </w:rPr>
        <w:t>个日历日内提交（</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第</w:t>
      </w:r>
      <w:r w:rsidR="00097329" w:rsidRPr="00C277C0">
        <w:rPr>
          <w:rFonts w:eastAsia="宋体" w:hint="eastAsia"/>
          <w:snapToGrid w:val="0"/>
          <w:lang w:eastAsia="zh-CN"/>
        </w:rPr>
        <w:t>600.14</w:t>
      </w:r>
      <w:r w:rsidR="00097329" w:rsidRPr="00C277C0">
        <w:rPr>
          <w:rFonts w:eastAsia="宋体" w:hint="eastAsia"/>
          <w:snapToGrid w:val="0"/>
          <w:lang w:eastAsia="zh-CN"/>
        </w:rPr>
        <w:t>和</w:t>
      </w:r>
      <w:r w:rsidR="00097329" w:rsidRPr="00C277C0">
        <w:rPr>
          <w:rFonts w:eastAsia="宋体" w:hint="eastAsia"/>
          <w:snapToGrid w:val="0"/>
          <w:lang w:eastAsia="zh-CN"/>
        </w:rPr>
        <w:t>606.171</w:t>
      </w:r>
      <w:r w:rsidR="00AE0101" w:rsidRPr="00C277C0">
        <w:rPr>
          <w:rFonts w:eastAsia="宋体" w:hint="eastAsia"/>
          <w:snapToGrid w:val="0"/>
          <w:lang w:eastAsia="zh-CN"/>
        </w:rPr>
        <w:t>节）</w:t>
      </w:r>
      <w:r w:rsidR="00097329" w:rsidRPr="00C277C0">
        <w:rPr>
          <w:rFonts w:eastAsia="宋体" w:hint="eastAsia"/>
          <w:snapToGrid w:val="0"/>
          <w:lang w:eastAsia="zh-CN"/>
        </w:rPr>
        <w:t>。</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组合产品存在生产工艺偏差时，可能需要</w:t>
      </w:r>
      <w:r w:rsidR="0075567A" w:rsidRPr="00C277C0">
        <w:rPr>
          <w:rFonts w:eastAsia="宋体" w:hint="eastAsia"/>
          <w:snapToGrid w:val="0"/>
          <w:lang w:eastAsia="zh-CN"/>
        </w:rPr>
        <w:t>生物制品偏差报告</w:t>
      </w:r>
      <w:r w:rsidRPr="00C277C0">
        <w:rPr>
          <w:rFonts w:eastAsia="宋体" w:hint="eastAsia"/>
          <w:snapToGrid w:val="0"/>
          <w:lang w:eastAsia="zh-CN"/>
        </w:rPr>
        <w:t>。例如，如果存在可能影响经</w:t>
      </w:r>
      <w:r w:rsidRPr="00C277C0">
        <w:rPr>
          <w:rFonts w:eastAsia="宋体" w:hint="eastAsia"/>
          <w:snapToGrid w:val="0"/>
          <w:lang w:eastAsia="zh-CN"/>
        </w:rPr>
        <w:t>PMA</w:t>
      </w:r>
      <w:r w:rsidRPr="00C277C0">
        <w:rPr>
          <w:rFonts w:eastAsia="宋体" w:hint="eastAsia"/>
          <w:snapToGrid w:val="0"/>
          <w:lang w:eastAsia="zh-CN"/>
        </w:rPr>
        <w:t>批准的分布式骨移植组合产品中重组骨形态发生蛋白的纯度生产偏差，则需要</w:t>
      </w:r>
      <w:r w:rsidRPr="00C277C0">
        <w:rPr>
          <w:rFonts w:eastAsia="宋体" w:hint="eastAsia"/>
          <w:snapToGrid w:val="0"/>
          <w:lang w:eastAsia="zh-CN"/>
        </w:rPr>
        <w:t>BPRD</w:t>
      </w:r>
      <w:r w:rsidRPr="00C277C0">
        <w:rPr>
          <w:rFonts w:eastAsia="宋体" w:hint="eastAsia"/>
          <w:snapToGrid w:val="0"/>
          <w:lang w:eastAsia="zh-CN"/>
        </w:rPr>
        <w:t>（</w:t>
      </w:r>
      <w:r w:rsidR="00640524">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75567A" w:rsidRPr="00C277C0">
        <w:rPr>
          <w:rFonts w:eastAsia="宋体" w:hint="eastAsia"/>
          <w:snapToGrid w:val="0"/>
          <w:lang w:eastAsia="zh-CN"/>
        </w:rPr>
        <w:t>第</w:t>
      </w:r>
      <w:r w:rsidRPr="00C277C0">
        <w:rPr>
          <w:rFonts w:eastAsia="宋体" w:hint="eastAsia"/>
          <w:snapToGrid w:val="0"/>
          <w:lang w:eastAsia="zh-CN"/>
        </w:rPr>
        <w:t>4.102</w:t>
      </w:r>
      <w:r w:rsidR="00CD0DF4" w:rsidRPr="00C277C0">
        <w:rPr>
          <w:rFonts w:eastAsia="宋体" w:hint="eastAsia"/>
          <w:snapToGrid w:val="0"/>
          <w:lang w:eastAsia="zh-CN"/>
        </w:rPr>
        <w:t>（</w:t>
      </w:r>
      <w:r w:rsidRPr="00C277C0">
        <w:rPr>
          <w:rFonts w:eastAsia="宋体" w:hint="eastAsia"/>
          <w:snapToGrid w:val="0"/>
          <w:lang w:eastAsia="zh-CN"/>
        </w:rPr>
        <w:t>c</w:t>
      </w:r>
      <w:r w:rsidR="00CD0DF4" w:rsidRPr="00C277C0">
        <w:rPr>
          <w:rFonts w:eastAsia="宋体" w:hint="eastAsia"/>
          <w:snapToGrid w:val="0"/>
          <w:lang w:eastAsia="zh-CN"/>
        </w:rPr>
        <w:t>）（</w:t>
      </w:r>
      <w:r w:rsidRPr="00C277C0">
        <w:rPr>
          <w:rFonts w:eastAsia="宋体" w:hint="eastAsia"/>
          <w:snapToGrid w:val="0"/>
          <w:lang w:eastAsia="zh-CN"/>
        </w:rPr>
        <w:t>3</w:t>
      </w:r>
      <w:r w:rsidR="00CD0DF4" w:rsidRPr="00C277C0">
        <w:rPr>
          <w:rFonts w:eastAsia="宋体" w:hint="eastAsia"/>
          <w:snapToGrid w:val="0"/>
          <w:lang w:eastAsia="zh-CN"/>
        </w:rPr>
        <w:t>）（</w:t>
      </w:r>
      <w:r w:rsidRPr="00C277C0">
        <w:rPr>
          <w:rFonts w:eastAsia="宋体" w:hint="eastAsia"/>
          <w:snapToGrid w:val="0"/>
          <w:lang w:eastAsia="zh-CN"/>
        </w:rPr>
        <w:t>i</w:t>
      </w:r>
      <w:r w:rsidR="00CD0DF4"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600.14</w:t>
      </w:r>
      <w:r w:rsidR="0075567A"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AB3F4A" w:rsidP="00C1273A">
      <w:pPr>
        <w:autoSpaceDE/>
        <w:autoSpaceDN/>
        <w:snapToGrid w:val="0"/>
        <w:jc w:val="both"/>
        <w:rPr>
          <w:rFonts w:eastAsia="宋体"/>
          <w:snapToGrid w:val="0"/>
          <w:sz w:val="24"/>
          <w:szCs w:val="24"/>
          <w:lang w:eastAsia="zh-CN"/>
        </w:rPr>
      </w:pPr>
      <w:r w:rsidRPr="00C277C0">
        <w:rPr>
          <w:rFonts w:eastAsia="宋体" w:hint="eastAsia"/>
          <w:snapToGrid w:val="0"/>
          <w:sz w:val="21"/>
          <w:szCs w:val="21"/>
          <w:lang w:eastAsia="zh-CN"/>
        </w:rPr>
        <w:br w:type="page"/>
      </w: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触发</w:t>
      </w:r>
      <w:r w:rsidR="0075567A" w:rsidRPr="00C277C0">
        <w:rPr>
          <w:rFonts w:eastAsia="宋体" w:hint="eastAsia"/>
          <w:snapToGrid w:val="0"/>
          <w:lang w:eastAsia="zh-CN"/>
        </w:rPr>
        <w:t>生物制品偏差报告</w:t>
      </w:r>
      <w:r w:rsidRPr="00C277C0">
        <w:rPr>
          <w:rFonts w:eastAsia="宋体" w:hint="eastAsia"/>
          <w:snapToGrid w:val="0"/>
          <w:lang w:eastAsia="zh-CN"/>
        </w:rPr>
        <w:t>的事件可以与任何组成部分有关。例如，如果</w:t>
      </w:r>
      <w:r w:rsidRPr="00C277C0">
        <w:rPr>
          <w:rFonts w:eastAsia="宋体" w:hint="eastAsia"/>
          <w:snapToGrid w:val="0"/>
          <w:lang w:eastAsia="zh-CN"/>
        </w:rPr>
        <w:t>BLA</w:t>
      </w:r>
      <w:r w:rsidRPr="00C277C0">
        <w:rPr>
          <w:rFonts w:eastAsia="宋体" w:hint="eastAsia"/>
          <w:snapToGrid w:val="0"/>
          <w:lang w:eastAsia="zh-CN"/>
        </w:rPr>
        <w:t>批准的分销疫苗预充式注射器包含不符合所需材料质量标准的注射器组件，且该偏差可能影响疫苗的安全性、纯度或效价，则需要</w:t>
      </w:r>
      <w:r w:rsidR="0075567A" w:rsidRPr="00C277C0">
        <w:rPr>
          <w:rFonts w:eastAsia="宋体" w:hint="eastAsia"/>
          <w:snapToGrid w:val="0"/>
          <w:lang w:eastAsia="zh-CN"/>
        </w:rPr>
        <w:t>生物制品偏差报告</w:t>
      </w:r>
      <w:r w:rsidRPr="00C277C0">
        <w:rPr>
          <w:rFonts w:eastAsia="宋体" w:hint="eastAsia"/>
          <w:snapToGrid w:val="0"/>
          <w:lang w:eastAsia="zh-CN"/>
        </w:rPr>
        <w:t>（</w:t>
      </w:r>
      <w:r w:rsidR="009D3ACB">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4.102</w:t>
      </w:r>
      <w:r w:rsidR="00CD0DF4" w:rsidRPr="00C277C0">
        <w:rPr>
          <w:rFonts w:eastAsia="宋体" w:hint="eastAsia"/>
          <w:snapToGrid w:val="0"/>
          <w:lang w:eastAsia="zh-CN"/>
        </w:rPr>
        <w:t>（</w:t>
      </w:r>
      <w:r w:rsidRPr="00C277C0">
        <w:rPr>
          <w:rFonts w:eastAsia="宋体" w:hint="eastAsia"/>
          <w:snapToGrid w:val="0"/>
          <w:lang w:eastAsia="zh-CN"/>
        </w:rPr>
        <w:t>a</w:t>
      </w:r>
      <w:r w:rsidR="00CD0DF4"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600.14</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3.</w:t>
      </w:r>
      <w:r w:rsidRPr="00C277C0">
        <w:rPr>
          <w:rFonts w:hint="eastAsia"/>
          <w:snapToGrid w:val="0"/>
          <w:lang w:eastAsia="zh-CN"/>
        </w:rPr>
        <w:tab/>
      </w:r>
      <w:r w:rsidRPr="00C277C0">
        <w:rPr>
          <w:rFonts w:hint="eastAsia"/>
          <w:snapToGrid w:val="0"/>
          <w:lang w:eastAsia="zh-CN"/>
        </w:rPr>
        <w:t>更正和移除报告（</w:t>
      </w:r>
      <w:r w:rsidR="009D3ACB">
        <w:rPr>
          <w:rFonts w:hint="eastAsia"/>
          <w:snapToGrid w:val="0"/>
          <w:lang w:eastAsia="zh-CN"/>
        </w:rPr>
        <w:t>参</w:t>
      </w:r>
      <w:r w:rsidRPr="00C277C0">
        <w:rPr>
          <w:rFonts w:hint="eastAsia"/>
          <w:snapToGrid w:val="0"/>
          <w:lang w:eastAsia="zh-CN"/>
        </w:rPr>
        <w:t>见</w:t>
      </w:r>
      <w:r w:rsidR="007267DD" w:rsidRPr="00C277C0">
        <w:rPr>
          <w:rFonts w:hint="eastAsia"/>
          <w:snapToGrid w:val="0"/>
          <w:lang w:eastAsia="zh-CN"/>
        </w:rPr>
        <w:t>《美国联邦法规》第</w:t>
      </w:r>
      <w:r w:rsidR="00286DB1">
        <w:rPr>
          <w:rFonts w:hint="eastAsia"/>
          <w:snapToGrid w:val="0"/>
          <w:lang w:eastAsia="zh-CN"/>
        </w:rPr>
        <w:t>21</w:t>
      </w:r>
      <w:r w:rsidR="00286DB1">
        <w:rPr>
          <w:rFonts w:hint="eastAsia"/>
          <w:snapToGrid w:val="0"/>
          <w:lang w:eastAsia="zh-CN"/>
        </w:rPr>
        <w:t>篇</w:t>
      </w:r>
      <w:r w:rsidR="0075567A" w:rsidRPr="00C277C0">
        <w:rPr>
          <w:rFonts w:hint="eastAsia"/>
          <w:snapToGrid w:val="0"/>
          <w:lang w:eastAsia="zh-CN"/>
        </w:rPr>
        <w:t>第</w:t>
      </w:r>
      <w:r w:rsidRPr="00C277C0">
        <w:rPr>
          <w:rFonts w:hint="eastAsia"/>
          <w:snapToGrid w:val="0"/>
          <w:lang w:eastAsia="zh-CN"/>
        </w:rPr>
        <w:t>806.10</w:t>
      </w:r>
      <w:r w:rsidR="0075567A" w:rsidRPr="00C277C0">
        <w:rPr>
          <w:rFonts w:hint="eastAsia"/>
          <w:snapToGrid w:val="0"/>
          <w:lang w:eastAsia="zh-CN"/>
        </w:rPr>
        <w:t>节</w:t>
      </w:r>
      <w:r w:rsidRPr="00C277C0">
        <w:rPr>
          <w:rFonts w:hint="eastAsia"/>
          <w:snapToGrid w:val="0"/>
          <w:lang w:eastAsia="zh-CN"/>
        </w:rPr>
        <w:t>）</w:t>
      </w:r>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更正和移除报告要求适用于包含器械组成部分的组合产品（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4.102</w:t>
      </w:r>
      <w:r w:rsidR="00CD0DF4" w:rsidRPr="00C277C0">
        <w:rPr>
          <w:rFonts w:eastAsia="宋体" w:hint="eastAsia"/>
          <w:snapToGrid w:val="0"/>
          <w:lang w:eastAsia="zh-CN"/>
        </w:rPr>
        <w:t>（</w:t>
      </w:r>
      <w:r w:rsidRPr="00C277C0">
        <w:rPr>
          <w:rFonts w:eastAsia="宋体" w:hint="eastAsia"/>
          <w:snapToGrid w:val="0"/>
          <w:lang w:eastAsia="zh-CN"/>
        </w:rPr>
        <w:t>b</w:t>
      </w:r>
      <w:r w:rsidR="00CD0DF4" w:rsidRPr="00C277C0">
        <w:rPr>
          <w:rFonts w:eastAsia="宋体" w:hint="eastAsia"/>
          <w:snapToGrid w:val="0"/>
          <w:lang w:eastAsia="zh-CN"/>
        </w:rPr>
        <w:t>）（</w:t>
      </w:r>
      <w:r w:rsidRPr="00C277C0">
        <w:rPr>
          <w:rFonts w:eastAsia="宋体" w:hint="eastAsia"/>
          <w:snapToGrid w:val="0"/>
          <w:lang w:eastAsia="zh-CN"/>
        </w:rPr>
        <w:t>1</w:t>
      </w:r>
      <w:r w:rsidR="00CD0DF4" w:rsidRPr="00C277C0">
        <w:rPr>
          <w:rFonts w:eastAsia="宋体" w:hint="eastAsia"/>
          <w:snapToGrid w:val="0"/>
          <w:lang w:eastAsia="zh-CN"/>
        </w:rPr>
        <w:t>）</w:t>
      </w:r>
      <w:r w:rsidRPr="00C277C0">
        <w:rPr>
          <w:rFonts w:eastAsia="宋体" w:hint="eastAsia"/>
          <w:snapToGrid w:val="0"/>
          <w:lang w:eastAsia="zh-CN"/>
        </w:rPr>
        <w:t>、</w:t>
      </w:r>
      <w:r w:rsidR="00CD0DF4" w:rsidRPr="00C277C0">
        <w:rPr>
          <w:rFonts w:eastAsia="宋体" w:hint="eastAsia"/>
          <w:snapToGrid w:val="0"/>
          <w:lang w:eastAsia="zh-CN"/>
        </w:rPr>
        <w:t>（</w:t>
      </w:r>
      <w:r w:rsidRPr="00C277C0">
        <w:rPr>
          <w:rFonts w:eastAsia="宋体" w:hint="eastAsia"/>
          <w:snapToGrid w:val="0"/>
          <w:lang w:eastAsia="zh-CN"/>
        </w:rPr>
        <w:t>c</w:t>
      </w:r>
      <w:r w:rsidR="00CD0DF4" w:rsidRPr="00C277C0">
        <w:rPr>
          <w:rFonts w:eastAsia="宋体" w:hint="eastAsia"/>
          <w:snapToGrid w:val="0"/>
          <w:lang w:eastAsia="zh-CN"/>
        </w:rPr>
        <w:t>）（</w:t>
      </w:r>
      <w:r w:rsidRPr="00C277C0">
        <w:rPr>
          <w:rFonts w:eastAsia="宋体" w:hint="eastAsia"/>
          <w:snapToGrid w:val="0"/>
          <w:lang w:eastAsia="zh-CN"/>
        </w:rPr>
        <w:t>1</w:t>
      </w:r>
      <w:r w:rsidR="00CD0DF4" w:rsidRPr="00C277C0">
        <w:rPr>
          <w:rFonts w:eastAsia="宋体" w:hint="eastAsia"/>
          <w:snapToGrid w:val="0"/>
          <w:lang w:eastAsia="zh-CN"/>
        </w:rPr>
        <w:t>）（</w:t>
      </w:r>
      <w:r w:rsidRPr="00C277C0">
        <w:rPr>
          <w:rFonts w:eastAsia="宋体" w:hint="eastAsia"/>
          <w:snapToGrid w:val="0"/>
          <w:lang w:eastAsia="zh-CN"/>
        </w:rPr>
        <w:t>iii</w:t>
      </w:r>
      <w:r w:rsidR="00CD0DF4"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806.10</w:t>
      </w:r>
      <w:r w:rsidR="00AE00AC">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jc w:val="both"/>
        <w:rPr>
          <w:rFonts w:eastAsia="宋体"/>
          <w:snapToGrid w:val="0"/>
          <w:lang w:eastAsia="zh-CN"/>
        </w:rPr>
      </w:pPr>
      <w:r w:rsidRPr="00C277C0">
        <w:rPr>
          <w:rFonts w:eastAsia="宋体" w:hint="eastAsia"/>
          <w:snapToGrid w:val="0"/>
          <w:lang w:eastAsia="zh-CN"/>
        </w:rPr>
        <w:t>此类组合产品的组合产品申请人必须提交更正和移除报告：</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20"/>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在开始更正或移除的</w:t>
      </w:r>
      <w:r w:rsidRPr="00C277C0">
        <w:rPr>
          <w:rFonts w:eastAsia="宋体" w:hint="eastAsia"/>
          <w:snapToGrid w:val="0"/>
          <w:sz w:val="24"/>
          <w:szCs w:val="24"/>
          <w:lang w:eastAsia="zh-CN"/>
        </w:rPr>
        <w:t>10</w:t>
      </w:r>
      <w:r w:rsidRPr="00C277C0">
        <w:rPr>
          <w:rFonts w:eastAsia="宋体" w:hint="eastAsia"/>
          <w:snapToGrid w:val="0"/>
          <w:sz w:val="24"/>
          <w:szCs w:val="24"/>
          <w:lang w:eastAsia="zh-CN"/>
        </w:rPr>
        <w:t>个工作日内，以便</w:t>
      </w:r>
    </w:p>
    <w:p w:rsidR="00C1273A" w:rsidRPr="00C277C0" w:rsidRDefault="00CD0DF4" w:rsidP="00B403CB">
      <w:pPr>
        <w:pStyle w:val="a4"/>
        <w:numPr>
          <w:ilvl w:val="0"/>
          <w:numId w:val="20"/>
        </w:numPr>
        <w:tabs>
          <w:tab w:val="left" w:pos="911"/>
        </w:tabs>
        <w:autoSpaceDE/>
        <w:autoSpaceDN/>
        <w:snapToGrid w:val="0"/>
        <w:ind w:leftChars="200" w:left="920" w:hangingChars="200" w:hanging="480"/>
        <w:jc w:val="both"/>
        <w:rPr>
          <w:rFonts w:eastAsia="宋体"/>
          <w:snapToGrid w:val="0"/>
          <w:sz w:val="24"/>
          <w:szCs w:val="24"/>
          <w:lang w:eastAsia="zh-CN"/>
        </w:rPr>
      </w:pP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降低</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产品</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对健康造成的风险</w:t>
      </w:r>
      <w:r w:rsidRPr="00C277C0">
        <w:rPr>
          <w:rFonts w:eastAsia="宋体" w:hint="eastAsia"/>
          <w:snapToGrid w:val="0"/>
          <w:sz w:val="24"/>
          <w:szCs w:val="24"/>
          <w:lang w:eastAsia="zh-CN"/>
        </w:rPr>
        <w:t>】</w:t>
      </w: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或</w:t>
      </w:r>
    </w:p>
    <w:p w:rsidR="00C1273A" w:rsidRPr="00C277C0" w:rsidRDefault="00CD0DF4" w:rsidP="00B403CB">
      <w:pPr>
        <w:pStyle w:val="a4"/>
        <w:numPr>
          <w:ilvl w:val="0"/>
          <w:numId w:val="20"/>
        </w:numPr>
        <w:tabs>
          <w:tab w:val="left" w:pos="911"/>
        </w:tabs>
        <w:autoSpaceDE/>
        <w:autoSpaceDN/>
        <w:snapToGrid w:val="0"/>
        <w:ind w:leftChars="200" w:left="920" w:hangingChars="200" w:hanging="480"/>
        <w:jc w:val="both"/>
        <w:rPr>
          <w:rFonts w:eastAsia="宋体"/>
          <w:snapToGrid w:val="0"/>
          <w:sz w:val="24"/>
          <w:szCs w:val="24"/>
          <w:lang w:eastAsia="zh-CN"/>
        </w:rPr>
      </w:pP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对可能对健康造成危害的</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产品</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违反</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FD&amp;C</w:t>
      </w:r>
      <w:r w:rsidR="00097329" w:rsidRPr="00C277C0">
        <w:rPr>
          <w:rFonts w:eastAsia="宋体" w:hint="eastAsia"/>
          <w:snapToGrid w:val="0"/>
          <w:sz w:val="24"/>
          <w:szCs w:val="24"/>
          <w:lang w:eastAsia="zh-CN"/>
        </w:rPr>
        <w:t>法案</w:t>
      </w:r>
      <w:r w:rsidRPr="00C277C0">
        <w:rPr>
          <w:rFonts w:eastAsia="宋体" w:hint="eastAsia"/>
          <w:snapToGrid w:val="0"/>
          <w:sz w:val="24"/>
          <w:szCs w:val="24"/>
          <w:lang w:eastAsia="zh-CN"/>
        </w:rPr>
        <w:t>】</w:t>
      </w:r>
      <w:r w:rsidR="00097329" w:rsidRPr="00C277C0">
        <w:rPr>
          <w:rFonts w:eastAsia="宋体" w:hint="eastAsia"/>
          <w:snapToGrid w:val="0"/>
          <w:sz w:val="24"/>
          <w:szCs w:val="24"/>
          <w:lang w:eastAsia="zh-CN"/>
        </w:rPr>
        <w:t>的行为进行补救</w:t>
      </w:r>
      <w:r w:rsidRPr="00B403CB">
        <w:rPr>
          <w:rFonts w:ascii="宋体" w:eastAsia="宋体" w:hAnsi="宋体" w:hint="eastAsia"/>
          <w:sz w:val="24"/>
          <w:lang w:eastAsia="zh-CN"/>
        </w:rPr>
        <w:t>”</w:t>
      </w:r>
      <w:r w:rsidR="00097329" w:rsidRPr="00C277C0">
        <w:rPr>
          <w:rFonts w:eastAsia="宋体" w:hint="eastAsia"/>
          <w:snapToGrid w:val="0"/>
          <w:sz w:val="24"/>
          <w:szCs w:val="24"/>
          <w:lang w:eastAsia="zh-CN"/>
        </w:rPr>
        <w:t>（</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097329" w:rsidRPr="00C277C0">
        <w:rPr>
          <w:rFonts w:eastAsia="宋体" w:hint="eastAsia"/>
          <w:snapToGrid w:val="0"/>
          <w:sz w:val="24"/>
          <w:szCs w:val="24"/>
          <w:lang w:eastAsia="zh-CN"/>
        </w:rPr>
        <w:t>806.10</w:t>
      </w:r>
      <w:r w:rsidR="00AE0101" w:rsidRPr="00C277C0">
        <w:rPr>
          <w:rFonts w:eastAsia="宋体" w:hint="eastAsia"/>
          <w:snapToGrid w:val="0"/>
          <w:sz w:val="24"/>
          <w:szCs w:val="24"/>
          <w:lang w:eastAsia="zh-CN"/>
        </w:rPr>
        <w:t>节）</w:t>
      </w:r>
      <w:r w:rsidR="00097329" w:rsidRPr="00C277C0">
        <w:rPr>
          <w:rFonts w:eastAsia="宋体" w:hint="eastAsia"/>
          <w:snapToGrid w:val="0"/>
          <w:sz w:val="24"/>
          <w:szCs w:val="24"/>
          <w:lang w:eastAsia="zh-CN"/>
        </w:rPr>
        <w:t>。</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autoSpaceDE/>
        <w:autoSpaceDN/>
        <w:snapToGrid w:val="0"/>
        <w:ind w:leftChars="400" w:left="880" w:firstLineChars="200" w:firstLine="480"/>
        <w:jc w:val="both"/>
        <w:rPr>
          <w:rFonts w:eastAsia="宋体"/>
          <w:snapToGrid w:val="0"/>
          <w:lang w:eastAsia="zh-CN"/>
        </w:rPr>
      </w:pPr>
      <w:r w:rsidRPr="00C277C0">
        <w:rPr>
          <w:rFonts w:eastAsia="宋体" w:hint="eastAsia"/>
          <w:snapToGrid w:val="0"/>
          <w:u w:val="single"/>
          <w:lang w:eastAsia="zh-CN"/>
        </w:rPr>
        <w:t>更正</w:t>
      </w:r>
      <w:r w:rsidRPr="00C277C0">
        <w:rPr>
          <w:rFonts w:eastAsia="宋体" w:hint="eastAsia"/>
          <w:snapToGrid w:val="0"/>
          <w:lang w:eastAsia="zh-CN"/>
        </w:rPr>
        <w:t>是指对</w:t>
      </w:r>
      <w:r w:rsidR="00CD0DF4" w:rsidRPr="00C277C0">
        <w:rPr>
          <w:rFonts w:eastAsia="宋体" w:hint="eastAsia"/>
          <w:snapToGrid w:val="0"/>
          <w:lang w:eastAsia="zh-CN"/>
        </w:rPr>
        <w:t>【</w:t>
      </w:r>
      <w:r w:rsidRPr="00C277C0">
        <w:rPr>
          <w:rFonts w:eastAsia="宋体" w:hint="eastAsia"/>
          <w:snapToGrid w:val="0"/>
          <w:lang w:eastAsia="zh-CN"/>
        </w:rPr>
        <w:t>产品</w:t>
      </w:r>
      <w:r w:rsidR="00CD0DF4" w:rsidRPr="00C277C0">
        <w:rPr>
          <w:rFonts w:eastAsia="宋体" w:hint="eastAsia"/>
          <w:snapToGrid w:val="0"/>
          <w:lang w:eastAsia="zh-CN"/>
        </w:rPr>
        <w:t>】</w:t>
      </w:r>
      <w:r w:rsidRPr="00C277C0">
        <w:rPr>
          <w:rFonts w:eastAsia="宋体" w:hint="eastAsia"/>
          <w:snapToGrid w:val="0"/>
          <w:lang w:eastAsia="zh-CN"/>
        </w:rPr>
        <w:t>进行的任何维修、改装、调整、再贴标、销毁或检验（包括患者监测），而无需将其从使用地点转移至其他地点（</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806.2</w:t>
      </w:r>
      <w:r w:rsidR="00FA5CED" w:rsidRPr="00C277C0">
        <w:rPr>
          <w:rFonts w:eastAsia="宋体" w:hint="eastAsia"/>
          <w:snapToGrid w:val="0"/>
          <w:lang w:eastAsia="zh-CN"/>
        </w:rPr>
        <w:t>（</w:t>
      </w:r>
      <w:r w:rsidRPr="00C277C0">
        <w:rPr>
          <w:rFonts w:eastAsia="宋体" w:hint="eastAsia"/>
          <w:snapToGrid w:val="0"/>
          <w:lang w:eastAsia="zh-CN"/>
        </w:rPr>
        <w:t>d</w:t>
      </w:r>
      <w:r w:rsidR="00FA5CED"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ind w:leftChars="400" w:left="880" w:firstLineChars="200" w:firstLine="480"/>
        <w:jc w:val="both"/>
        <w:rPr>
          <w:rFonts w:eastAsia="宋体"/>
          <w:snapToGrid w:val="0"/>
          <w:lang w:eastAsia="zh-CN"/>
        </w:rPr>
      </w:pPr>
    </w:p>
    <w:p w:rsidR="00C1273A" w:rsidRPr="00C277C0" w:rsidRDefault="00097329" w:rsidP="00B403CB">
      <w:pPr>
        <w:pStyle w:val="a3"/>
        <w:autoSpaceDE/>
        <w:autoSpaceDN/>
        <w:snapToGrid w:val="0"/>
        <w:ind w:leftChars="400" w:left="880" w:firstLineChars="200" w:firstLine="480"/>
        <w:jc w:val="both"/>
        <w:rPr>
          <w:rFonts w:eastAsia="宋体"/>
          <w:snapToGrid w:val="0"/>
          <w:lang w:eastAsia="zh-CN"/>
        </w:rPr>
      </w:pPr>
      <w:r w:rsidRPr="00C277C0">
        <w:rPr>
          <w:rFonts w:eastAsia="宋体" w:hint="eastAsia"/>
          <w:snapToGrid w:val="0"/>
          <w:u w:val="single"/>
          <w:lang w:eastAsia="zh-CN"/>
        </w:rPr>
        <w:t>移除</w:t>
      </w:r>
      <w:r w:rsidRPr="00C277C0">
        <w:rPr>
          <w:rFonts w:eastAsia="宋体" w:hint="eastAsia"/>
          <w:snapToGrid w:val="0"/>
          <w:lang w:eastAsia="zh-CN"/>
        </w:rPr>
        <w:t>是指将</w:t>
      </w:r>
      <w:r w:rsidR="00CD0DF4" w:rsidRPr="00C277C0">
        <w:rPr>
          <w:rFonts w:eastAsia="宋体" w:hint="eastAsia"/>
          <w:snapToGrid w:val="0"/>
          <w:lang w:eastAsia="zh-CN"/>
        </w:rPr>
        <w:t>【</w:t>
      </w:r>
      <w:r w:rsidRPr="00C277C0">
        <w:rPr>
          <w:rFonts w:eastAsia="宋体" w:hint="eastAsia"/>
          <w:snapToGrid w:val="0"/>
          <w:lang w:eastAsia="zh-CN"/>
        </w:rPr>
        <w:t>产品</w:t>
      </w:r>
      <w:r w:rsidR="00CD0DF4" w:rsidRPr="00C277C0">
        <w:rPr>
          <w:rFonts w:eastAsia="宋体" w:hint="eastAsia"/>
          <w:snapToGrid w:val="0"/>
          <w:lang w:eastAsia="zh-CN"/>
        </w:rPr>
        <w:t>】</w:t>
      </w:r>
      <w:r w:rsidRPr="00C277C0">
        <w:rPr>
          <w:rFonts w:eastAsia="宋体" w:hint="eastAsia"/>
          <w:snapToGrid w:val="0"/>
          <w:lang w:eastAsia="zh-CN"/>
        </w:rPr>
        <w:t>从其使用地点转移至其他地点以便进行维修、改装、调整、再贴标、销毁或检验（</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806.2</w:t>
      </w:r>
      <w:r w:rsidR="00FA5CED" w:rsidRPr="00C277C0">
        <w:rPr>
          <w:rFonts w:eastAsia="宋体" w:hint="eastAsia"/>
          <w:snapToGrid w:val="0"/>
          <w:lang w:eastAsia="zh-CN"/>
        </w:rPr>
        <w:t>（</w:t>
      </w:r>
      <w:r w:rsidRPr="00C277C0">
        <w:rPr>
          <w:rFonts w:eastAsia="宋体" w:hint="eastAsia"/>
          <w:snapToGrid w:val="0"/>
          <w:lang w:eastAsia="zh-CN"/>
        </w:rPr>
        <w:t>j</w:t>
      </w:r>
      <w:r w:rsidR="00FA5CED"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ind w:leftChars="400" w:left="8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例如，从市场上移除组合产品以解决对用户造成伤害风险的设计问题或从市场上移除可能因污染物导致患者感染或不良反应的产品时，需要</w:t>
      </w:r>
      <w:r w:rsidR="005E1B03" w:rsidRPr="00C277C0">
        <w:rPr>
          <w:rFonts w:eastAsia="宋体" w:hint="eastAsia"/>
          <w:snapToGrid w:val="0"/>
          <w:lang w:eastAsia="zh-CN"/>
        </w:rPr>
        <w:t>此</w:t>
      </w:r>
      <w:r w:rsidRPr="00C277C0">
        <w:rPr>
          <w:rFonts w:eastAsia="宋体" w:hint="eastAsia"/>
          <w:snapToGrid w:val="0"/>
          <w:lang w:eastAsia="zh-CN"/>
        </w:rPr>
        <w:t>报告（</w:t>
      </w:r>
      <w:r w:rsidR="009D3ACB">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806.10</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组合产品申请人必须向</w:t>
      </w:r>
      <w:r w:rsidRPr="00C277C0">
        <w:rPr>
          <w:rFonts w:eastAsia="宋体" w:hint="eastAsia"/>
          <w:snapToGrid w:val="0"/>
          <w:lang w:eastAsia="zh-CN"/>
        </w:rPr>
        <w:t>FDA</w:t>
      </w:r>
      <w:r w:rsidRPr="00C277C0">
        <w:rPr>
          <w:rFonts w:eastAsia="宋体" w:hint="eastAsia"/>
          <w:snapToGrid w:val="0"/>
          <w:lang w:eastAsia="zh-CN"/>
        </w:rPr>
        <w:t>提交一份书面报告，说明组合产品的任何可报告更正或移除（</w:t>
      </w:r>
      <w:r w:rsidR="009D3ACB">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00CD0DF4" w:rsidRPr="00C277C0">
        <w:rPr>
          <w:rFonts w:eastAsia="宋体" w:hint="eastAsia"/>
          <w:snapToGrid w:val="0"/>
          <w:lang w:eastAsia="zh-CN"/>
        </w:rPr>
        <w:t>（</w:t>
      </w:r>
      <w:r w:rsidRPr="00C277C0">
        <w:rPr>
          <w:rFonts w:eastAsia="宋体" w:hint="eastAsia"/>
          <w:snapToGrid w:val="0"/>
          <w:lang w:eastAsia="zh-CN"/>
        </w:rPr>
        <w:t>b</w:t>
      </w:r>
      <w:r w:rsidR="00CD0DF4" w:rsidRPr="00C277C0">
        <w:rPr>
          <w:rFonts w:eastAsia="宋体" w:hint="eastAsia"/>
          <w:snapToGrid w:val="0"/>
          <w:lang w:eastAsia="zh-CN"/>
        </w:rPr>
        <w:t>）</w:t>
      </w:r>
      <w:r w:rsidRPr="00C277C0">
        <w:rPr>
          <w:rFonts w:eastAsia="宋体" w:hint="eastAsia"/>
          <w:snapToGrid w:val="0"/>
          <w:lang w:eastAsia="zh-CN"/>
        </w:rPr>
        <w:t>和</w:t>
      </w:r>
      <w:r w:rsidR="00CD0DF4" w:rsidRPr="00C277C0">
        <w:rPr>
          <w:rFonts w:eastAsia="宋体" w:hint="eastAsia"/>
          <w:snapToGrid w:val="0"/>
          <w:lang w:eastAsia="zh-CN"/>
        </w:rPr>
        <w:t>（</w:t>
      </w:r>
      <w:r w:rsidRPr="00C277C0">
        <w:rPr>
          <w:rFonts w:eastAsia="宋体" w:hint="eastAsia"/>
          <w:snapToGrid w:val="0"/>
          <w:lang w:eastAsia="zh-CN"/>
        </w:rPr>
        <w:t>c</w:t>
      </w:r>
      <w:r w:rsidR="00CD0DF4"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，除非已通过组合产品所需</w:t>
      </w:r>
      <w:r w:rsidRPr="00C277C0">
        <w:rPr>
          <w:rFonts w:eastAsia="宋体" w:hint="eastAsia"/>
          <w:snapToGrid w:val="0"/>
          <w:lang w:eastAsia="zh-CN"/>
        </w:rPr>
        <w:t>ICSR</w:t>
      </w:r>
      <w:r w:rsidRPr="00C277C0">
        <w:rPr>
          <w:rFonts w:eastAsia="宋体" w:hint="eastAsia"/>
          <w:snapToGrid w:val="0"/>
          <w:lang w:eastAsia="zh-CN"/>
        </w:rPr>
        <w:t>提供了有关更正或移除的信息，在这种情况下，则不需要单独的更正或移除报告（</w:t>
      </w:r>
      <w:r w:rsidR="009D3ACB">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806.10</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关于即使在提交更正或移除报告后仍有义务继续符合所有</w:t>
      </w:r>
      <w:r w:rsidRPr="00C277C0">
        <w:rPr>
          <w:rFonts w:eastAsia="宋体" w:hint="eastAsia"/>
          <w:snapToGrid w:val="0"/>
          <w:lang w:eastAsia="zh-CN"/>
        </w:rPr>
        <w:t>PMSR</w:t>
      </w:r>
      <w:r w:rsidRPr="00C277C0">
        <w:rPr>
          <w:rFonts w:eastAsia="宋体" w:hint="eastAsia"/>
          <w:snapToGrid w:val="0"/>
          <w:lang w:eastAsia="zh-CN"/>
        </w:rPr>
        <w:t>要求的注释</w:t>
      </w:r>
      <w:r w:rsidR="00A00C22">
        <w:rPr>
          <w:rFonts w:eastAsia="宋体" w:hint="eastAsia"/>
          <w:snapToGrid w:val="0"/>
          <w:lang w:eastAsia="zh-CN"/>
        </w:rPr>
        <w:t>请参见</w:t>
      </w:r>
      <w:r w:rsidRPr="00C277C0">
        <w:rPr>
          <w:rFonts w:eastAsia="宋体" w:hint="eastAsia"/>
          <w:snapToGrid w:val="0"/>
          <w:lang w:eastAsia="zh-CN"/>
        </w:rPr>
        <w:t>第</w:t>
      </w:r>
      <w:r w:rsidR="00C8689A" w:rsidRPr="00C277C0">
        <w:rPr>
          <w:rFonts w:eastAsia="宋体" w:hint="eastAsia"/>
          <w:snapToGrid w:val="0"/>
          <w:lang w:eastAsia="zh-CN"/>
        </w:rPr>
        <w:t>IV</w:t>
      </w:r>
      <w:r w:rsidR="00C0232D" w:rsidRPr="00C277C0">
        <w:rPr>
          <w:rFonts w:eastAsia="宋体" w:hint="eastAsia"/>
          <w:snapToGrid w:val="0"/>
          <w:lang w:eastAsia="zh-CN"/>
        </w:rPr>
        <w:t>.</w:t>
      </w:r>
      <w:r w:rsidRPr="00C277C0">
        <w:rPr>
          <w:rFonts w:eastAsia="宋体" w:hint="eastAsia"/>
          <w:snapToGrid w:val="0"/>
          <w:lang w:eastAsia="zh-CN"/>
        </w:rPr>
        <w:t>A.2</w:t>
      </w:r>
      <w:r w:rsidRPr="00C277C0">
        <w:rPr>
          <w:rFonts w:eastAsia="宋体" w:hint="eastAsia"/>
          <w:snapToGrid w:val="0"/>
          <w:lang w:eastAsia="zh-CN"/>
        </w:rPr>
        <w:t>节。</w:t>
      </w:r>
    </w:p>
    <w:p w:rsidR="00C1273A" w:rsidRPr="00C277C0" w:rsidRDefault="00C1273A" w:rsidP="00C1273A">
      <w:pPr>
        <w:pStyle w:val="a3"/>
        <w:autoSpaceDE/>
        <w:autoSpaceDN/>
        <w:snapToGrid w:val="0"/>
        <w:jc w:val="both"/>
        <w:rPr>
          <w:rFonts w:eastAsia="宋体"/>
          <w:snapToGrid w:val="0"/>
          <w:lang w:eastAsia="zh-CN"/>
        </w:rPr>
      </w:pPr>
    </w:p>
    <w:p w:rsidR="006223B4" w:rsidRPr="00C277C0" w:rsidRDefault="006223B4" w:rsidP="006223B4">
      <w:pPr>
        <w:autoSpaceDE/>
        <w:autoSpaceDN/>
        <w:snapToGrid w:val="0"/>
        <w:jc w:val="both"/>
        <w:rPr>
          <w:rFonts w:eastAsia="宋体"/>
          <w:snapToGrid w:val="0"/>
          <w:sz w:val="24"/>
          <w:szCs w:val="24"/>
          <w:lang w:eastAsia="zh-CN"/>
        </w:rPr>
      </w:pPr>
      <w:r w:rsidRPr="00C277C0">
        <w:rPr>
          <w:rFonts w:eastAsia="宋体" w:hint="eastAsia"/>
          <w:snapToGrid w:val="0"/>
          <w:sz w:val="24"/>
          <w:szCs w:val="24"/>
          <w:lang w:eastAsia="zh-CN"/>
        </w:rPr>
        <w:br w:type="page"/>
      </w:r>
    </w:p>
    <w:p w:rsidR="006223B4" w:rsidRPr="00C277C0" w:rsidRDefault="006223B4" w:rsidP="006223B4">
      <w:pPr>
        <w:autoSpaceDE/>
        <w:autoSpaceDN/>
        <w:snapToGrid w:val="0"/>
        <w:jc w:val="both"/>
        <w:rPr>
          <w:rFonts w:eastAsia="宋体"/>
          <w:snapToGrid w:val="0"/>
          <w:sz w:val="24"/>
          <w:szCs w:val="24"/>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27" w:name="_Toc97551504"/>
      <w:bookmarkStart w:id="28" w:name="_Toc95145703"/>
      <w:r w:rsidRPr="00C277C0">
        <w:rPr>
          <w:rFonts w:hint="eastAsia"/>
          <w:snapToGrid w:val="0"/>
          <w:szCs w:val="24"/>
          <w:lang w:eastAsia="zh-CN"/>
        </w:rPr>
        <w:t>C.</w:t>
      </w:r>
      <w:r w:rsidRPr="00C277C0">
        <w:rPr>
          <w:rFonts w:hint="eastAsia"/>
          <w:snapToGrid w:val="0"/>
          <w:szCs w:val="24"/>
          <w:lang w:eastAsia="zh-CN"/>
        </w:rPr>
        <w:tab/>
      </w:r>
      <w:r w:rsidRPr="00C277C0">
        <w:rPr>
          <w:rFonts w:hint="eastAsia"/>
          <w:snapToGrid w:val="0"/>
          <w:szCs w:val="24"/>
          <w:lang w:eastAsia="zh-CN"/>
        </w:rPr>
        <w:t>组合产品申请人的简化报告</w:t>
      </w:r>
      <w:bookmarkEnd w:id="27"/>
      <w:bookmarkEnd w:id="28"/>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根据</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C55B83" w:rsidRPr="00C277C0">
        <w:rPr>
          <w:rFonts w:eastAsia="宋体" w:hint="eastAsia"/>
          <w:snapToGrid w:val="0"/>
          <w:lang w:eastAsia="zh-CN"/>
        </w:rPr>
        <w:t>第</w:t>
      </w:r>
      <w:r w:rsidRPr="00C277C0">
        <w:rPr>
          <w:rFonts w:eastAsia="宋体" w:hint="eastAsia"/>
          <w:snapToGrid w:val="0"/>
          <w:lang w:eastAsia="zh-CN"/>
        </w:rPr>
        <w:t>4.102</w:t>
      </w:r>
      <w:r w:rsidR="00CD0DF4" w:rsidRPr="00C277C0">
        <w:rPr>
          <w:rFonts w:eastAsia="宋体" w:hint="eastAsia"/>
          <w:snapToGrid w:val="0"/>
          <w:lang w:eastAsia="zh-CN"/>
        </w:rPr>
        <w:t>（</w:t>
      </w:r>
      <w:r w:rsidRPr="00C277C0">
        <w:rPr>
          <w:rFonts w:eastAsia="宋体" w:hint="eastAsia"/>
          <w:snapToGrid w:val="0"/>
          <w:lang w:eastAsia="zh-CN"/>
        </w:rPr>
        <w:t>b</w:t>
      </w:r>
      <w:r w:rsidR="00CD0DF4" w:rsidRPr="00C277C0">
        <w:rPr>
          <w:rFonts w:eastAsia="宋体" w:hint="eastAsia"/>
          <w:snapToGrid w:val="0"/>
          <w:lang w:eastAsia="zh-CN"/>
        </w:rPr>
        <w:t>）</w:t>
      </w:r>
      <w:r w:rsidRPr="00C277C0">
        <w:rPr>
          <w:rFonts w:eastAsia="宋体" w:hint="eastAsia"/>
          <w:snapToGrid w:val="0"/>
          <w:lang w:eastAsia="zh-CN"/>
        </w:rPr>
        <w:t>和</w:t>
      </w:r>
      <w:r w:rsidR="00CD0DF4" w:rsidRPr="00C277C0">
        <w:rPr>
          <w:rFonts w:eastAsia="宋体" w:hint="eastAsia"/>
          <w:snapToGrid w:val="0"/>
          <w:lang w:eastAsia="zh-CN"/>
        </w:rPr>
        <w:t>（</w:t>
      </w:r>
      <w:r w:rsidRPr="00C277C0">
        <w:rPr>
          <w:rFonts w:eastAsia="宋体" w:hint="eastAsia"/>
          <w:snapToGrid w:val="0"/>
          <w:lang w:eastAsia="zh-CN"/>
        </w:rPr>
        <w:t>c</w:t>
      </w:r>
      <w:r w:rsidR="00CD0DF4" w:rsidRPr="00C277C0">
        <w:rPr>
          <w:rFonts w:eastAsia="宋体" w:hint="eastAsia"/>
          <w:snapToGrid w:val="0"/>
          <w:lang w:eastAsia="zh-CN"/>
        </w:rPr>
        <w:t>）</w:t>
      </w:r>
      <w:r w:rsidR="00C55B83" w:rsidRPr="00C277C0">
        <w:rPr>
          <w:rFonts w:eastAsia="宋体" w:hint="eastAsia"/>
          <w:snapToGrid w:val="0"/>
          <w:lang w:eastAsia="zh-CN"/>
        </w:rPr>
        <w:t>节</w:t>
      </w:r>
      <w:r w:rsidRPr="00C277C0">
        <w:rPr>
          <w:rFonts w:eastAsia="宋体" w:hint="eastAsia"/>
          <w:snapToGrid w:val="0"/>
          <w:lang w:eastAsia="zh-CN"/>
        </w:rPr>
        <w:t>，组合产品申请人可提交一份报告，以符合一项以上的报告要求，如果：</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21"/>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这些报告可以相同的方式提交，以及</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21"/>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合并报告可满足所有适用的报告要求，包括所有提交时间表。</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CD0DF4" w:rsidP="00B403CB">
      <w:pPr>
        <w:pStyle w:val="a3"/>
        <w:autoSpaceDE/>
        <w:autoSpaceDN/>
        <w:snapToGrid w:val="0"/>
        <w:ind w:firstLineChars="200" w:firstLine="480"/>
        <w:jc w:val="both"/>
        <w:rPr>
          <w:rFonts w:eastAsia="宋体"/>
          <w:snapToGrid w:val="0"/>
          <w:lang w:eastAsia="zh-CN"/>
        </w:rPr>
      </w:pPr>
      <w:r w:rsidRPr="00B403CB">
        <w:rPr>
          <w:rFonts w:ascii="宋体" w:eastAsia="宋体" w:hAnsi="宋体" w:hint="eastAsia"/>
          <w:lang w:eastAsia="zh-CN"/>
        </w:rPr>
        <w:t>“</w:t>
      </w:r>
      <w:r w:rsidR="009713E3" w:rsidRPr="00C277C0">
        <w:rPr>
          <w:rFonts w:eastAsia="宋体" w:hint="eastAsia"/>
          <w:snapToGrid w:val="0"/>
          <w:lang w:eastAsia="zh-CN"/>
        </w:rPr>
        <w:t>以相同的方式</w:t>
      </w:r>
      <w:r w:rsidRPr="00B403CB">
        <w:rPr>
          <w:rFonts w:ascii="宋体" w:eastAsia="宋体" w:hAnsi="宋体" w:hint="eastAsia"/>
          <w:lang w:eastAsia="zh-CN"/>
        </w:rPr>
        <w:t>”</w:t>
      </w:r>
      <w:r w:rsidR="009713E3" w:rsidRPr="00C277C0">
        <w:rPr>
          <w:rFonts w:eastAsia="宋体" w:hint="eastAsia"/>
          <w:snapToGrid w:val="0"/>
          <w:lang w:eastAsia="zh-CN"/>
        </w:rPr>
        <w:t>是指报告以相同的方式（例如，电子、纸质提交）提交至</w:t>
      </w:r>
      <w:r w:rsidR="009713E3" w:rsidRPr="00C277C0">
        <w:rPr>
          <w:rFonts w:eastAsia="宋体" w:hint="eastAsia"/>
          <w:snapToGrid w:val="0"/>
          <w:lang w:eastAsia="zh-CN"/>
        </w:rPr>
        <w:t>FDA</w:t>
      </w:r>
      <w:r w:rsidR="009713E3" w:rsidRPr="00C277C0">
        <w:rPr>
          <w:rFonts w:eastAsia="宋体" w:hint="eastAsia"/>
          <w:snapToGrid w:val="0"/>
          <w:lang w:eastAsia="zh-CN"/>
        </w:rPr>
        <w:t>内部同一接收组（例如，通过公共电子网关）。</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如下文第</w:t>
      </w:r>
      <w:r w:rsidR="00C8689A"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A.3</w:t>
      </w:r>
      <w:r w:rsidRPr="00C277C0">
        <w:rPr>
          <w:rFonts w:eastAsia="宋体" w:hint="eastAsia"/>
          <w:snapToGrid w:val="0"/>
          <w:lang w:eastAsia="zh-CN"/>
        </w:rPr>
        <w:t>节所述，此类简化报告可用于提交多种类型</w:t>
      </w:r>
      <w:r w:rsidRPr="00C277C0">
        <w:rPr>
          <w:rFonts w:eastAsia="宋体" w:hint="eastAsia"/>
          <w:snapToGrid w:val="0"/>
          <w:lang w:eastAsia="zh-CN"/>
        </w:rPr>
        <w:t>ICSR</w:t>
      </w:r>
      <w:r w:rsidRPr="00C277C0">
        <w:rPr>
          <w:rFonts w:eastAsia="宋体" w:hint="eastAsia"/>
          <w:snapToGrid w:val="0"/>
          <w:lang w:eastAsia="zh-CN"/>
        </w:rPr>
        <w:t>、</w:t>
      </w:r>
      <w:r w:rsidRPr="00C277C0">
        <w:rPr>
          <w:rFonts w:eastAsia="宋体" w:hint="eastAsia"/>
          <w:snapToGrid w:val="0"/>
          <w:lang w:eastAsia="zh-CN"/>
        </w:rPr>
        <w:t>ICSR</w:t>
      </w:r>
      <w:r w:rsidRPr="00C277C0">
        <w:rPr>
          <w:rFonts w:eastAsia="宋体" w:hint="eastAsia"/>
          <w:snapToGrid w:val="0"/>
          <w:lang w:eastAsia="zh-CN"/>
        </w:rPr>
        <w:t>、更正和移除报告以及</w:t>
      </w:r>
      <w:r w:rsidR="0075567A" w:rsidRPr="00C277C0">
        <w:rPr>
          <w:rFonts w:eastAsia="宋体" w:hint="eastAsia"/>
          <w:snapToGrid w:val="0"/>
          <w:lang w:eastAsia="zh-CN"/>
        </w:rPr>
        <w:t>现场警示报告</w:t>
      </w:r>
      <w:r w:rsidRPr="00C277C0">
        <w:rPr>
          <w:rFonts w:eastAsia="宋体" w:hint="eastAsia"/>
          <w:snapToGrid w:val="0"/>
          <w:lang w:eastAsia="zh-CN"/>
        </w:rPr>
        <w:t>和</w:t>
      </w:r>
      <w:r w:rsidR="0075567A" w:rsidRPr="00C277C0">
        <w:rPr>
          <w:rFonts w:eastAsia="宋体" w:hint="eastAsia"/>
          <w:snapToGrid w:val="0"/>
          <w:lang w:eastAsia="zh-CN"/>
        </w:rPr>
        <w:t>生物制品偏差报告</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29" w:name="_Toc97551505"/>
      <w:bookmarkStart w:id="30" w:name="_Toc95145704"/>
      <w:r w:rsidRPr="00C277C0">
        <w:rPr>
          <w:rFonts w:hint="eastAsia"/>
          <w:snapToGrid w:val="0"/>
          <w:szCs w:val="24"/>
          <w:lang w:eastAsia="zh-CN"/>
        </w:rPr>
        <w:t>D.</w:t>
      </w:r>
      <w:r w:rsidRPr="00C277C0">
        <w:rPr>
          <w:rFonts w:hint="eastAsia"/>
          <w:snapToGrid w:val="0"/>
          <w:szCs w:val="24"/>
          <w:lang w:eastAsia="zh-CN"/>
        </w:rPr>
        <w:tab/>
      </w:r>
      <w:r w:rsidRPr="00C277C0">
        <w:rPr>
          <w:rFonts w:hint="eastAsia"/>
          <w:snapToGrid w:val="0"/>
          <w:szCs w:val="24"/>
          <w:lang w:eastAsia="zh-CN"/>
        </w:rPr>
        <w:t>组成部分申请人之间的信息共享</w:t>
      </w:r>
      <w:bookmarkEnd w:id="29"/>
      <w:bookmarkEnd w:id="30"/>
    </w:p>
    <w:p w:rsidR="00C1273A" w:rsidRPr="00C277C0" w:rsidRDefault="00C1273A" w:rsidP="003F7123">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信息共享要求适用于组成部分申请人（</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C55B83" w:rsidRPr="00C277C0">
        <w:rPr>
          <w:rFonts w:eastAsia="宋体" w:hint="eastAsia"/>
          <w:snapToGrid w:val="0"/>
          <w:lang w:eastAsia="zh-CN"/>
        </w:rPr>
        <w:t>第</w:t>
      </w:r>
      <w:r w:rsidRPr="00C277C0">
        <w:rPr>
          <w:rFonts w:eastAsia="宋体" w:hint="eastAsia"/>
          <w:snapToGrid w:val="0"/>
          <w:lang w:eastAsia="zh-CN"/>
        </w:rPr>
        <w:t>4.103</w:t>
      </w:r>
      <w:r w:rsidR="00C55B83" w:rsidRPr="00C277C0">
        <w:rPr>
          <w:rFonts w:eastAsia="宋体" w:hint="eastAsia"/>
          <w:snapToGrid w:val="0"/>
          <w:lang w:eastAsia="zh-CN"/>
        </w:rPr>
        <w:t>节</w:t>
      </w:r>
      <w:r w:rsidRPr="00C277C0">
        <w:rPr>
          <w:rFonts w:eastAsia="宋体" w:hint="eastAsia"/>
          <w:snapToGrid w:val="0"/>
          <w:lang w:eastAsia="zh-CN"/>
        </w:rPr>
        <w:t>）。根据</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C55B83" w:rsidRPr="00C277C0">
        <w:rPr>
          <w:rFonts w:eastAsia="宋体" w:hint="eastAsia"/>
          <w:snapToGrid w:val="0"/>
          <w:lang w:eastAsia="zh-CN"/>
        </w:rPr>
        <w:t>第</w:t>
      </w:r>
      <w:r w:rsidRPr="00C277C0">
        <w:rPr>
          <w:rFonts w:eastAsia="宋体" w:hint="eastAsia"/>
          <w:snapToGrid w:val="0"/>
          <w:lang w:eastAsia="zh-CN"/>
        </w:rPr>
        <w:t>4.103</w:t>
      </w:r>
      <w:r w:rsidR="00C55B83" w:rsidRPr="00C277C0">
        <w:rPr>
          <w:rFonts w:eastAsia="宋体" w:hint="eastAsia"/>
          <w:snapToGrid w:val="0"/>
          <w:lang w:eastAsia="zh-CN"/>
        </w:rPr>
        <w:t>节</w:t>
      </w:r>
      <w:r w:rsidRPr="00C277C0">
        <w:rPr>
          <w:rFonts w:eastAsia="宋体" w:hint="eastAsia"/>
          <w:snapToGrid w:val="0"/>
          <w:lang w:eastAsia="zh-CN"/>
        </w:rPr>
        <w:t>，组成部分申请人必须共享信息：</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22"/>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不迟于收到后</w:t>
      </w:r>
      <w:r w:rsidRPr="00C277C0">
        <w:rPr>
          <w:rFonts w:eastAsia="宋体" w:hint="eastAsia"/>
          <w:snapToGrid w:val="0"/>
          <w:sz w:val="24"/>
          <w:szCs w:val="24"/>
          <w:lang w:eastAsia="zh-CN"/>
        </w:rPr>
        <w:t>5</w:t>
      </w:r>
      <w:r w:rsidRPr="00C277C0">
        <w:rPr>
          <w:rFonts w:eastAsia="宋体" w:hint="eastAsia"/>
          <w:snapToGrid w:val="0"/>
          <w:sz w:val="24"/>
          <w:szCs w:val="24"/>
          <w:lang w:eastAsia="zh-CN"/>
        </w:rPr>
        <w:t>天；</w:t>
      </w:r>
    </w:p>
    <w:p w:rsidR="00C1273A" w:rsidRPr="00C277C0" w:rsidRDefault="00097329" w:rsidP="00B403CB">
      <w:pPr>
        <w:pStyle w:val="a4"/>
        <w:numPr>
          <w:ilvl w:val="0"/>
          <w:numId w:val="22"/>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与同一组合产品有关的其他组成部分申请人；</w:t>
      </w:r>
    </w:p>
    <w:p w:rsidR="00C1273A" w:rsidRPr="00C277C0" w:rsidRDefault="00097329" w:rsidP="00B403CB">
      <w:pPr>
        <w:pStyle w:val="a4"/>
        <w:numPr>
          <w:ilvl w:val="0"/>
          <w:numId w:val="22"/>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与组合产品相关的事件，涉及</w:t>
      </w:r>
    </w:p>
    <w:p w:rsidR="00C1273A" w:rsidRPr="00C277C0" w:rsidRDefault="00097329" w:rsidP="00B403CB">
      <w:pPr>
        <w:pStyle w:val="a4"/>
        <w:numPr>
          <w:ilvl w:val="1"/>
          <w:numId w:val="12"/>
        </w:numPr>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如</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C55B83" w:rsidRPr="00C277C0">
        <w:rPr>
          <w:rFonts w:eastAsia="宋体" w:hint="eastAsia"/>
          <w:snapToGrid w:val="0"/>
          <w:sz w:val="24"/>
          <w:szCs w:val="24"/>
          <w:lang w:eastAsia="zh-CN"/>
        </w:rPr>
        <w:t>第</w:t>
      </w:r>
      <w:r w:rsidRPr="00C277C0">
        <w:rPr>
          <w:rFonts w:eastAsia="宋体" w:hint="eastAsia"/>
          <w:snapToGrid w:val="0"/>
          <w:sz w:val="24"/>
          <w:szCs w:val="24"/>
          <w:lang w:eastAsia="zh-CN"/>
        </w:rPr>
        <w:t>803.3</w:t>
      </w:r>
      <w:r w:rsidR="00C55B83" w:rsidRPr="00C277C0">
        <w:rPr>
          <w:rFonts w:eastAsia="宋体" w:hint="eastAsia"/>
          <w:snapToGrid w:val="0"/>
          <w:sz w:val="24"/>
          <w:szCs w:val="24"/>
          <w:lang w:eastAsia="zh-CN"/>
        </w:rPr>
        <w:t>节</w:t>
      </w:r>
      <w:r w:rsidRPr="00C277C0">
        <w:rPr>
          <w:rFonts w:eastAsia="宋体" w:hint="eastAsia"/>
          <w:snapToGrid w:val="0"/>
          <w:sz w:val="24"/>
          <w:szCs w:val="24"/>
          <w:lang w:eastAsia="zh-CN"/>
        </w:rPr>
        <w:t>所述的死亡或重伤，或</w:t>
      </w:r>
    </w:p>
    <w:p w:rsidR="00C1273A" w:rsidRPr="00C277C0" w:rsidRDefault="00097329" w:rsidP="00B403CB">
      <w:pPr>
        <w:pStyle w:val="a4"/>
        <w:numPr>
          <w:ilvl w:val="1"/>
          <w:numId w:val="12"/>
        </w:numPr>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如</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C55B83" w:rsidRPr="00C277C0">
        <w:rPr>
          <w:rFonts w:eastAsia="宋体" w:hint="eastAsia"/>
          <w:snapToGrid w:val="0"/>
          <w:sz w:val="24"/>
          <w:szCs w:val="24"/>
          <w:lang w:eastAsia="zh-CN"/>
        </w:rPr>
        <w:t>第</w:t>
      </w:r>
      <w:r w:rsidRPr="00C277C0">
        <w:rPr>
          <w:rFonts w:eastAsia="宋体" w:hint="eastAsia"/>
          <w:snapToGrid w:val="0"/>
          <w:sz w:val="24"/>
          <w:szCs w:val="24"/>
          <w:lang w:eastAsia="zh-CN"/>
        </w:rPr>
        <w:t>314.80</w:t>
      </w:r>
      <w:r w:rsidR="00FA5CED" w:rsidRPr="00C277C0">
        <w:rPr>
          <w:rFonts w:eastAsia="宋体" w:hint="eastAsia"/>
          <w:snapToGrid w:val="0"/>
          <w:sz w:val="24"/>
          <w:szCs w:val="24"/>
          <w:lang w:eastAsia="zh-CN"/>
        </w:rPr>
        <w:t>（</w:t>
      </w:r>
      <w:r w:rsidRPr="00C277C0">
        <w:rPr>
          <w:rFonts w:eastAsia="宋体" w:hint="eastAsia"/>
          <w:snapToGrid w:val="0"/>
          <w:sz w:val="24"/>
          <w:szCs w:val="24"/>
          <w:lang w:eastAsia="zh-CN"/>
        </w:rPr>
        <w:t>a</w:t>
      </w:r>
      <w:r w:rsidR="00FA5CED" w:rsidRPr="00C277C0">
        <w:rPr>
          <w:rFonts w:eastAsia="宋体" w:hint="eastAsia"/>
          <w:snapToGrid w:val="0"/>
          <w:sz w:val="24"/>
          <w:szCs w:val="24"/>
          <w:lang w:eastAsia="zh-CN"/>
        </w:rPr>
        <w:t>）</w:t>
      </w:r>
      <w:r w:rsidRPr="00C277C0">
        <w:rPr>
          <w:rFonts w:eastAsia="宋体" w:hint="eastAsia"/>
          <w:snapToGrid w:val="0"/>
          <w:sz w:val="24"/>
          <w:szCs w:val="24"/>
          <w:lang w:eastAsia="zh-CN"/>
        </w:rPr>
        <w:t>和</w:t>
      </w:r>
      <w:r w:rsidRPr="00C277C0">
        <w:rPr>
          <w:rFonts w:eastAsia="宋体" w:hint="eastAsia"/>
          <w:snapToGrid w:val="0"/>
          <w:sz w:val="24"/>
          <w:szCs w:val="24"/>
          <w:lang w:eastAsia="zh-CN"/>
        </w:rPr>
        <w:t>600.80</w:t>
      </w:r>
      <w:r w:rsidR="00FA5CED" w:rsidRPr="00C277C0">
        <w:rPr>
          <w:rFonts w:eastAsia="宋体" w:hint="eastAsia"/>
          <w:snapToGrid w:val="0"/>
          <w:sz w:val="24"/>
          <w:szCs w:val="24"/>
          <w:lang w:eastAsia="zh-CN"/>
        </w:rPr>
        <w:t>（</w:t>
      </w:r>
      <w:r w:rsidRPr="00C277C0">
        <w:rPr>
          <w:rFonts w:eastAsia="宋体" w:hint="eastAsia"/>
          <w:snapToGrid w:val="0"/>
          <w:sz w:val="24"/>
          <w:szCs w:val="24"/>
          <w:lang w:eastAsia="zh-CN"/>
        </w:rPr>
        <w:t>a</w:t>
      </w:r>
      <w:r w:rsidR="00FA5CED" w:rsidRPr="00C277C0">
        <w:rPr>
          <w:rFonts w:eastAsia="宋体" w:hint="eastAsia"/>
          <w:snapToGrid w:val="0"/>
          <w:sz w:val="24"/>
          <w:szCs w:val="24"/>
          <w:lang w:eastAsia="zh-CN"/>
        </w:rPr>
        <w:t>）</w:t>
      </w:r>
      <w:r w:rsidR="00C55B83" w:rsidRPr="00C277C0">
        <w:rPr>
          <w:rFonts w:eastAsia="宋体" w:hint="eastAsia"/>
          <w:snapToGrid w:val="0"/>
          <w:sz w:val="24"/>
          <w:szCs w:val="24"/>
          <w:lang w:eastAsia="zh-CN"/>
        </w:rPr>
        <w:t>节</w:t>
      </w:r>
      <w:r w:rsidRPr="00C277C0">
        <w:rPr>
          <w:rFonts w:eastAsia="宋体" w:hint="eastAsia"/>
          <w:snapToGrid w:val="0"/>
          <w:sz w:val="24"/>
          <w:szCs w:val="24"/>
          <w:lang w:eastAsia="zh-CN"/>
        </w:rPr>
        <w:t>所述的不良经历。</w:t>
      </w:r>
    </w:p>
    <w:p w:rsidR="00C1273A" w:rsidRPr="00C277C0" w:rsidRDefault="00C1273A" w:rsidP="00DF0641">
      <w:pPr>
        <w:pStyle w:val="a4"/>
        <w:autoSpaceDE/>
        <w:autoSpaceDN/>
        <w:snapToGrid w:val="0"/>
        <w:ind w:left="1800" w:firstLine="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无论事件是预期或非预期，无论组成部分申请人是否认为仅涉及其组成部分，都必须共享该信息（</w:t>
      </w:r>
      <w:r w:rsidR="00F37F19">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C55B83" w:rsidRPr="00C277C0">
        <w:rPr>
          <w:rFonts w:eastAsia="宋体" w:hint="eastAsia"/>
          <w:snapToGrid w:val="0"/>
          <w:lang w:eastAsia="zh-CN"/>
        </w:rPr>
        <w:t>第</w:t>
      </w:r>
      <w:r w:rsidRPr="00C277C0">
        <w:rPr>
          <w:rFonts w:eastAsia="宋体" w:hint="eastAsia"/>
          <w:snapToGrid w:val="0"/>
          <w:lang w:eastAsia="zh-CN"/>
        </w:rPr>
        <w:t>4.103</w:t>
      </w:r>
      <w:r w:rsidR="00C55B83" w:rsidRPr="00C277C0">
        <w:rPr>
          <w:rFonts w:eastAsia="宋体" w:hint="eastAsia"/>
          <w:snapToGrid w:val="0"/>
          <w:lang w:eastAsia="zh-CN"/>
        </w:rPr>
        <w:t>节</w:t>
      </w:r>
      <w:r w:rsidRPr="00C277C0">
        <w:rPr>
          <w:rFonts w:eastAsia="宋体" w:hint="eastAsia"/>
          <w:snapToGrid w:val="0"/>
          <w:lang w:eastAsia="zh-CN"/>
        </w:rPr>
        <w:t>）。</w:t>
      </w:r>
      <w:r w:rsidR="00CD0DF4" w:rsidRPr="00B403CB">
        <w:rPr>
          <w:rFonts w:ascii="宋体" w:eastAsia="宋体" w:hAnsi="宋体" w:hint="eastAsia"/>
          <w:lang w:eastAsia="zh-CN"/>
        </w:rPr>
        <w:t>“</w:t>
      </w:r>
      <w:r w:rsidRPr="00C277C0">
        <w:rPr>
          <w:rFonts w:eastAsia="宋体" w:hint="eastAsia"/>
          <w:snapToGrid w:val="0"/>
          <w:lang w:eastAsia="zh-CN"/>
        </w:rPr>
        <w:t>不良经历</w:t>
      </w:r>
      <w:r w:rsidR="00CD0DF4" w:rsidRPr="00B403CB">
        <w:rPr>
          <w:rFonts w:ascii="宋体" w:eastAsia="宋体" w:hAnsi="宋体" w:hint="eastAsia"/>
          <w:lang w:eastAsia="zh-CN"/>
        </w:rPr>
        <w:t>”</w:t>
      </w:r>
      <w:r w:rsidRPr="00C277C0">
        <w:rPr>
          <w:rFonts w:eastAsia="宋体" w:hint="eastAsia"/>
          <w:snapToGrid w:val="0"/>
          <w:lang w:eastAsia="zh-CN"/>
        </w:rPr>
        <w:t>的定义包括死亡和重伤（</w:t>
      </w:r>
      <w:r w:rsidR="00F37F19">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0AC">
        <w:rPr>
          <w:rFonts w:eastAsia="宋体" w:hint="eastAsia"/>
          <w:snapToGrid w:val="0"/>
          <w:lang w:eastAsia="zh-CN"/>
        </w:rPr>
        <w:t>第</w:t>
      </w:r>
      <w:r w:rsidRPr="00C277C0">
        <w:rPr>
          <w:rFonts w:eastAsia="宋体" w:hint="eastAsia"/>
          <w:snapToGrid w:val="0"/>
          <w:lang w:eastAsia="zh-CN"/>
        </w:rPr>
        <w:t>314.80</w:t>
      </w:r>
      <w:r w:rsidR="00CD0DF4" w:rsidRPr="00C277C0">
        <w:rPr>
          <w:rFonts w:eastAsia="宋体" w:hint="eastAsia"/>
          <w:snapToGrid w:val="0"/>
          <w:lang w:eastAsia="zh-CN"/>
        </w:rPr>
        <w:t>（</w:t>
      </w:r>
      <w:r w:rsidRPr="00C277C0">
        <w:rPr>
          <w:rFonts w:eastAsia="宋体" w:hint="eastAsia"/>
          <w:snapToGrid w:val="0"/>
          <w:lang w:eastAsia="zh-CN"/>
        </w:rPr>
        <w:t>a</w:t>
      </w:r>
      <w:r w:rsidR="00CD0DF4"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600.80</w:t>
      </w:r>
      <w:r w:rsidR="00CD0DF4" w:rsidRPr="00C277C0">
        <w:rPr>
          <w:rFonts w:eastAsia="宋体" w:hint="eastAsia"/>
          <w:snapToGrid w:val="0"/>
          <w:lang w:eastAsia="zh-CN"/>
        </w:rPr>
        <w:t>（</w:t>
      </w:r>
      <w:r w:rsidRPr="00C277C0">
        <w:rPr>
          <w:rFonts w:eastAsia="宋体" w:hint="eastAsia"/>
          <w:snapToGrid w:val="0"/>
          <w:lang w:eastAsia="zh-CN"/>
        </w:rPr>
        <w:t>a</w:t>
      </w:r>
      <w:r w:rsidR="00CD0DF4"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。然而，其他事件也可能构成不良经历（</w:t>
      </w:r>
      <w:r w:rsidR="00F37F19">
        <w:rPr>
          <w:rFonts w:eastAsia="宋体" w:hint="eastAsia"/>
          <w:snapToGrid w:val="0"/>
          <w:lang w:eastAsia="zh-CN"/>
        </w:rPr>
        <w:t>参</w:t>
      </w:r>
      <w:r w:rsidRPr="00C277C0">
        <w:rPr>
          <w:rFonts w:eastAsia="宋体" w:hint="eastAsia"/>
          <w:snapToGrid w:val="0"/>
          <w:lang w:eastAsia="zh-CN"/>
        </w:rPr>
        <w:t>见脚注</w:t>
      </w:r>
      <w:r w:rsidRPr="00C277C0">
        <w:rPr>
          <w:rFonts w:eastAsia="宋体" w:hint="eastAsia"/>
          <w:snapToGrid w:val="0"/>
          <w:lang w:eastAsia="zh-CN"/>
        </w:rPr>
        <w:t>21</w:t>
      </w:r>
      <w:r w:rsidRPr="00C277C0">
        <w:rPr>
          <w:rFonts w:eastAsia="宋体" w:hint="eastAsia"/>
          <w:snapToGrid w:val="0"/>
          <w:lang w:eastAsia="zh-CN"/>
        </w:rPr>
        <w:t>和相关文本）。</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FE2212" w:rsidRPr="00C277C0" w:rsidRDefault="007267DD"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《美国联邦法规》第</w:t>
      </w:r>
      <w:r w:rsidR="00286DB1">
        <w:rPr>
          <w:rFonts w:eastAsia="宋体" w:hint="eastAsia"/>
          <w:i/>
          <w:snapToGrid w:val="0"/>
          <w:lang w:eastAsia="zh-CN"/>
        </w:rPr>
        <w:t>21</w:t>
      </w:r>
      <w:r w:rsidR="00286DB1">
        <w:rPr>
          <w:rFonts w:eastAsia="宋体" w:hint="eastAsia"/>
          <w:i/>
          <w:snapToGrid w:val="0"/>
          <w:lang w:eastAsia="zh-CN"/>
        </w:rPr>
        <w:t>篇</w:t>
      </w:r>
      <w:r w:rsidR="00C55B83" w:rsidRPr="00C277C0">
        <w:rPr>
          <w:rFonts w:eastAsia="宋体" w:hint="eastAsia"/>
          <w:i/>
          <w:snapToGrid w:val="0"/>
          <w:lang w:eastAsia="zh-CN"/>
        </w:rPr>
        <w:t>第</w:t>
      </w:r>
      <w:r w:rsidR="00C55B83" w:rsidRPr="00C277C0">
        <w:rPr>
          <w:rFonts w:eastAsia="宋体" w:hint="eastAsia"/>
          <w:i/>
          <w:snapToGrid w:val="0"/>
          <w:lang w:eastAsia="zh-CN"/>
        </w:rPr>
        <w:t>4.103</w:t>
      </w:r>
      <w:r w:rsidR="00C55B83" w:rsidRPr="00C277C0">
        <w:rPr>
          <w:rFonts w:eastAsia="宋体" w:hint="eastAsia"/>
          <w:i/>
          <w:snapToGrid w:val="0"/>
          <w:lang w:eastAsia="zh-CN"/>
        </w:rPr>
        <w:t>节</w:t>
      </w:r>
      <w:r w:rsidR="00097329" w:rsidRPr="00C277C0">
        <w:rPr>
          <w:rFonts w:eastAsia="宋体" w:hint="eastAsia"/>
          <w:i/>
          <w:snapToGrid w:val="0"/>
          <w:lang w:eastAsia="zh-CN"/>
        </w:rPr>
        <w:t>要求仅共享收到的初始信息。</w:t>
      </w:r>
      <w:r w:rsidR="00097329" w:rsidRPr="00C277C0">
        <w:rPr>
          <w:rFonts w:eastAsia="宋体" w:hint="eastAsia"/>
          <w:snapToGrid w:val="0"/>
          <w:lang w:eastAsia="zh-CN"/>
        </w:rPr>
        <w:t>为符合第</w:t>
      </w:r>
      <w:r w:rsidR="00097329" w:rsidRPr="00C277C0">
        <w:rPr>
          <w:rFonts w:eastAsia="宋体" w:hint="eastAsia"/>
          <w:snapToGrid w:val="0"/>
          <w:lang w:eastAsia="zh-CN"/>
        </w:rPr>
        <w:t>4.103</w:t>
      </w:r>
      <w:r w:rsidR="00097329" w:rsidRPr="00C277C0">
        <w:rPr>
          <w:rFonts w:eastAsia="宋体" w:hint="eastAsia"/>
          <w:snapToGrid w:val="0"/>
          <w:lang w:eastAsia="zh-CN"/>
        </w:rPr>
        <w:t>节的规定，组成部分申请人仅需共享其收到的有关事件初始信息，并且只需将该信息转发给其他组成部分申请人即可。不需要为其他组成部分申请人编写事件报告或分析，也不需要共享收到的事件额外信息，虽然</w:t>
      </w:r>
      <w:r w:rsidR="00097329" w:rsidRPr="00C277C0">
        <w:rPr>
          <w:rFonts w:eastAsia="宋体" w:hint="eastAsia"/>
          <w:snapToGrid w:val="0"/>
          <w:lang w:eastAsia="zh-CN"/>
        </w:rPr>
        <w:t>FDA</w:t>
      </w:r>
      <w:r w:rsidR="00097329" w:rsidRPr="00C277C0">
        <w:rPr>
          <w:rFonts w:eastAsia="宋体" w:hint="eastAsia"/>
          <w:snapToGrid w:val="0"/>
          <w:lang w:eastAsia="zh-CN"/>
        </w:rPr>
        <w:t>建议持续协调以助于确保向</w:t>
      </w:r>
      <w:r w:rsidR="00097329" w:rsidRPr="00C277C0">
        <w:rPr>
          <w:rFonts w:eastAsia="宋体" w:hint="eastAsia"/>
          <w:snapToGrid w:val="0"/>
          <w:lang w:eastAsia="zh-CN"/>
        </w:rPr>
        <w:t>FDA</w:t>
      </w:r>
      <w:r w:rsidR="00097329" w:rsidRPr="00C277C0">
        <w:rPr>
          <w:rFonts w:eastAsia="宋体" w:hint="eastAsia"/>
          <w:snapToGrid w:val="0"/>
          <w:lang w:eastAsia="zh-CN"/>
        </w:rPr>
        <w:t>提供知情、有效的报告。</w:t>
      </w:r>
    </w:p>
    <w:p w:rsidR="006320F0" w:rsidRPr="00C277C0" w:rsidRDefault="006320F0" w:rsidP="00C1273A">
      <w:pPr>
        <w:pStyle w:val="a3"/>
        <w:autoSpaceDE/>
        <w:autoSpaceDN/>
        <w:snapToGrid w:val="0"/>
        <w:ind w:firstLineChars="200" w:firstLine="480"/>
        <w:jc w:val="both"/>
        <w:rPr>
          <w:rFonts w:eastAsia="宋体"/>
          <w:snapToGrid w:val="0"/>
          <w:lang w:eastAsia="zh-CN"/>
        </w:rPr>
      </w:pPr>
    </w:p>
    <w:p w:rsidR="006320F0" w:rsidRPr="00B403CB" w:rsidRDefault="006320F0" w:rsidP="00B403CB">
      <w:pPr>
        <w:autoSpaceDE/>
        <w:autoSpaceDN/>
        <w:snapToGrid w:val="0"/>
        <w:ind w:firstLineChars="200" w:firstLine="480"/>
        <w:jc w:val="both"/>
        <w:rPr>
          <w:rFonts w:eastAsia="宋体"/>
          <w:sz w:val="24"/>
          <w:lang w:eastAsia="zh-CN"/>
        </w:rPr>
      </w:pPr>
      <w:r w:rsidRPr="00C277C0">
        <w:rPr>
          <w:rFonts w:eastAsia="宋体" w:hint="eastAsia"/>
          <w:i/>
          <w:snapToGrid w:val="0"/>
          <w:sz w:val="24"/>
          <w:szCs w:val="24"/>
          <w:lang w:eastAsia="zh-CN"/>
        </w:rPr>
        <w:t>无需共享其他事件的信息。</w:t>
      </w:r>
      <w:r w:rsidRPr="00C277C0">
        <w:rPr>
          <w:rFonts w:eastAsia="宋体" w:hint="eastAsia"/>
          <w:snapToGrid w:val="0"/>
          <w:sz w:val="24"/>
          <w:szCs w:val="24"/>
          <w:lang w:eastAsia="zh-CN"/>
        </w:rPr>
        <w:t>如果组成部分申请人收到一份不涉及死亡、重伤或其他不良经历的事件相关信息，则根据本规则，组成部分申请人没有义务与组合产品的其他组成部分申请人共享该信息。</w:t>
      </w:r>
    </w:p>
    <w:p w:rsidR="00C1273A" w:rsidRPr="00C277C0" w:rsidRDefault="00097329" w:rsidP="006320F0">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br w:type="page"/>
      </w: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其他</w:t>
      </w:r>
      <w:r w:rsidRPr="00C277C0">
        <w:rPr>
          <w:rFonts w:eastAsia="宋体" w:hint="eastAsia"/>
          <w:i/>
          <w:snapToGrid w:val="0"/>
          <w:lang w:eastAsia="zh-CN"/>
        </w:rPr>
        <w:t>PMSR</w:t>
      </w:r>
      <w:r w:rsidRPr="00C277C0">
        <w:rPr>
          <w:rFonts w:eastAsia="宋体" w:hint="eastAsia"/>
          <w:i/>
          <w:snapToGrid w:val="0"/>
          <w:lang w:eastAsia="zh-CN"/>
        </w:rPr>
        <w:t>职责适用。</w:t>
      </w:r>
      <w:r w:rsidRPr="00C277C0">
        <w:rPr>
          <w:rFonts w:eastAsia="宋体" w:hint="eastAsia"/>
          <w:snapToGrid w:val="0"/>
          <w:lang w:eastAsia="zh-CN"/>
        </w:rPr>
        <w:t>除相互共享信息外，组成部分申请人必须按照其各自组成部分适用的</w:t>
      </w:r>
      <w:r w:rsidRPr="00C277C0">
        <w:rPr>
          <w:rFonts w:eastAsia="宋体" w:hint="eastAsia"/>
          <w:snapToGrid w:val="0"/>
          <w:lang w:eastAsia="zh-CN"/>
        </w:rPr>
        <w:t>PMSR</w:t>
      </w:r>
      <w:r w:rsidRPr="00C277C0">
        <w:rPr>
          <w:rFonts w:eastAsia="宋体" w:hint="eastAsia"/>
          <w:snapToGrid w:val="0"/>
          <w:lang w:eastAsia="zh-CN"/>
        </w:rPr>
        <w:t>法规要求向</w:t>
      </w:r>
      <w:r w:rsidRPr="00C277C0">
        <w:rPr>
          <w:rFonts w:eastAsia="宋体" w:hint="eastAsia"/>
          <w:snapToGrid w:val="0"/>
          <w:lang w:eastAsia="zh-CN"/>
        </w:rPr>
        <w:t>FDA</w:t>
      </w:r>
      <w:r w:rsidRPr="00C277C0">
        <w:rPr>
          <w:rFonts w:eastAsia="宋体" w:hint="eastAsia"/>
          <w:snapToGrid w:val="0"/>
          <w:lang w:eastAsia="zh-CN"/>
        </w:rPr>
        <w:t>报告事件（</w:t>
      </w:r>
      <w:r w:rsidR="00F37F19">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00CD0DF4" w:rsidRPr="00C277C0">
        <w:rPr>
          <w:rFonts w:eastAsia="宋体" w:hint="eastAsia"/>
          <w:snapToGrid w:val="0"/>
          <w:lang w:eastAsia="zh-CN"/>
        </w:rPr>
        <w:t>（</w:t>
      </w:r>
      <w:r w:rsidRPr="00C277C0">
        <w:rPr>
          <w:rFonts w:eastAsia="宋体" w:hint="eastAsia"/>
          <w:snapToGrid w:val="0"/>
          <w:lang w:eastAsia="zh-CN"/>
        </w:rPr>
        <w:t>b</w:t>
      </w:r>
      <w:r w:rsidR="00CD0DF4"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）。向</w:t>
      </w:r>
      <w:r w:rsidRPr="00C277C0">
        <w:rPr>
          <w:rFonts w:eastAsia="宋体" w:hint="eastAsia"/>
          <w:snapToGrid w:val="0"/>
          <w:lang w:eastAsia="zh-CN"/>
        </w:rPr>
        <w:t>FDA</w:t>
      </w:r>
      <w:r w:rsidRPr="00C277C0">
        <w:rPr>
          <w:rFonts w:eastAsia="宋体" w:hint="eastAsia"/>
          <w:snapToGrid w:val="0"/>
          <w:lang w:eastAsia="zh-CN"/>
        </w:rPr>
        <w:t>提交的此类报告应说明事件与组成部分和组合产品的整体关系。</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C1273A">
      <w:pPr>
        <w:pStyle w:val="a3"/>
        <w:autoSpaceDE/>
        <w:autoSpaceDN/>
        <w:snapToGrid w:val="0"/>
        <w:jc w:val="both"/>
        <w:rPr>
          <w:rFonts w:eastAsia="宋体"/>
          <w:snapToGrid w:val="0"/>
          <w:lang w:eastAsia="zh-CN"/>
        </w:rPr>
      </w:pPr>
      <w:r w:rsidRPr="00C277C0">
        <w:rPr>
          <w:rFonts w:eastAsia="宋体" w:hint="eastAsia"/>
          <w:snapToGrid w:val="0"/>
          <w:lang w:eastAsia="zh-CN"/>
        </w:rPr>
        <w:t>示例：</w:t>
      </w:r>
    </w:p>
    <w:p w:rsidR="00C1273A" w:rsidRPr="00C277C0" w:rsidRDefault="00C1273A" w:rsidP="00B403CB">
      <w:pPr>
        <w:pStyle w:val="a3"/>
        <w:autoSpaceDE/>
        <w:autoSpaceDN/>
        <w:snapToGrid w:val="0"/>
        <w:jc w:val="both"/>
        <w:rPr>
          <w:rFonts w:eastAsia="宋体"/>
          <w:snapToGrid w:val="0"/>
          <w:lang w:eastAsia="zh-CN"/>
        </w:rPr>
      </w:pPr>
    </w:p>
    <w:p w:rsidR="00C1273A" w:rsidRPr="00C277C0" w:rsidRDefault="00097329" w:rsidP="00072C5E">
      <w:pPr>
        <w:pStyle w:val="a4"/>
        <w:numPr>
          <w:ilvl w:val="0"/>
          <w:numId w:val="23"/>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交叉标签组合产品由一个组成部分申请人根据</w:t>
      </w:r>
      <w:r w:rsidRPr="00C277C0">
        <w:rPr>
          <w:rFonts w:eastAsia="宋体" w:hint="eastAsia"/>
          <w:snapToGrid w:val="0"/>
          <w:sz w:val="24"/>
          <w:szCs w:val="24"/>
          <w:lang w:eastAsia="zh-CN"/>
        </w:rPr>
        <w:t>NDA</w:t>
      </w:r>
      <w:r w:rsidRPr="00C277C0">
        <w:rPr>
          <w:rFonts w:eastAsia="宋体" w:hint="eastAsia"/>
          <w:snapToGrid w:val="0"/>
          <w:sz w:val="24"/>
          <w:szCs w:val="24"/>
          <w:lang w:eastAsia="zh-CN"/>
        </w:rPr>
        <w:t>批件持有的药品组成部分和另一个组成部分申请人根据器械申请上市的器械组成部分组成。药品组成部分申请人收到信息称，该组合产品在使用过程中，患者发生严重皮肤灼伤。药品组成部分申请人必须将其收到的事件初始信息转发给器械组成部分申请人（</w:t>
      </w:r>
      <w:r w:rsidR="00F37F19">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C55B83" w:rsidRPr="00C277C0">
        <w:rPr>
          <w:rFonts w:eastAsia="宋体" w:hint="eastAsia"/>
          <w:snapToGrid w:val="0"/>
          <w:sz w:val="24"/>
          <w:szCs w:val="24"/>
          <w:lang w:eastAsia="zh-CN"/>
        </w:rPr>
        <w:t>第</w:t>
      </w:r>
      <w:r w:rsidR="00C55B83" w:rsidRPr="00C277C0">
        <w:rPr>
          <w:rFonts w:eastAsia="宋体" w:hint="eastAsia"/>
          <w:snapToGrid w:val="0"/>
          <w:sz w:val="24"/>
          <w:szCs w:val="24"/>
          <w:lang w:eastAsia="zh-CN"/>
        </w:rPr>
        <w:t>4.103</w:t>
      </w:r>
      <w:r w:rsidR="00C55B83" w:rsidRPr="00C277C0">
        <w:rPr>
          <w:rFonts w:eastAsia="宋体" w:hint="eastAsia"/>
          <w:snapToGrid w:val="0"/>
          <w:sz w:val="24"/>
          <w:szCs w:val="24"/>
          <w:lang w:eastAsia="zh-CN"/>
        </w:rPr>
        <w:t>节</w:t>
      </w:r>
      <w:r w:rsidRPr="00C277C0">
        <w:rPr>
          <w:rFonts w:eastAsia="宋体" w:hint="eastAsia"/>
          <w:snapToGrid w:val="0"/>
          <w:sz w:val="24"/>
          <w:szCs w:val="24"/>
          <w:lang w:eastAsia="zh-CN"/>
        </w:rPr>
        <w:t>）。</w:t>
      </w:r>
      <w:r w:rsidR="00D12899" w:rsidRPr="00C277C0">
        <w:rPr>
          <w:rFonts w:eastAsia="宋体" w:hint="eastAsia"/>
          <w:snapToGrid w:val="0"/>
          <w:sz w:val="24"/>
          <w:szCs w:val="24"/>
          <w:lang w:eastAsia="zh-CN"/>
        </w:rPr>
        <w:t>如需要，各申请人必须</w:t>
      </w:r>
      <w:r w:rsidR="00A9611D" w:rsidRPr="00C277C0">
        <w:rPr>
          <w:rFonts w:eastAsia="宋体" w:hint="eastAsia"/>
          <w:snapToGrid w:val="0"/>
          <w:sz w:val="24"/>
          <w:szCs w:val="24"/>
          <w:lang w:eastAsia="zh-CN"/>
        </w:rPr>
        <w:t>根据其组成部分适用的报告要求</w:t>
      </w:r>
      <w:r w:rsidR="00D12899" w:rsidRPr="00C277C0">
        <w:rPr>
          <w:rFonts w:eastAsia="宋体" w:hint="eastAsia"/>
          <w:snapToGrid w:val="0"/>
          <w:sz w:val="24"/>
          <w:szCs w:val="24"/>
          <w:lang w:eastAsia="zh-CN"/>
        </w:rPr>
        <w:t>向</w:t>
      </w:r>
      <w:r w:rsidR="00D12899" w:rsidRPr="00C277C0">
        <w:rPr>
          <w:rFonts w:eastAsia="宋体" w:hint="eastAsia"/>
          <w:snapToGrid w:val="0"/>
          <w:sz w:val="24"/>
          <w:szCs w:val="24"/>
          <w:lang w:eastAsia="zh-CN"/>
        </w:rPr>
        <w:t>FDA</w:t>
      </w:r>
      <w:r w:rsidR="00D12899" w:rsidRPr="00C277C0">
        <w:rPr>
          <w:rFonts w:eastAsia="宋体" w:hint="eastAsia"/>
          <w:snapToGrid w:val="0"/>
          <w:sz w:val="24"/>
          <w:szCs w:val="24"/>
          <w:lang w:eastAsia="zh-CN"/>
        </w:rPr>
        <w:t>报告</w:t>
      </w:r>
      <w:r w:rsidR="00A9611D" w:rsidRPr="00C277C0">
        <w:rPr>
          <w:rFonts w:eastAsia="宋体" w:hint="eastAsia"/>
          <w:snapToGrid w:val="0"/>
          <w:sz w:val="24"/>
          <w:szCs w:val="24"/>
          <w:lang w:eastAsia="zh-CN"/>
        </w:rPr>
        <w:t>该事件</w:t>
      </w:r>
      <w:r w:rsidR="00F37F19">
        <w:rPr>
          <w:rFonts w:eastAsia="宋体" w:hint="eastAsia"/>
          <w:snapToGrid w:val="0"/>
          <w:sz w:val="24"/>
          <w:szCs w:val="24"/>
          <w:lang w:eastAsia="zh-CN"/>
        </w:rPr>
        <w:t>。</w:t>
      </w:r>
    </w:p>
    <w:p w:rsidR="00C1273A" w:rsidRPr="00C277C0" w:rsidRDefault="00C1273A" w:rsidP="00B403CB">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23"/>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交叉标签组合产品由一个组成部分申请人根据器械申请上市的药品递送器械组成部分和另一个组成部分申请人根据</w:t>
      </w:r>
      <w:r w:rsidRPr="00C277C0">
        <w:rPr>
          <w:rFonts w:eastAsia="宋体" w:hint="eastAsia"/>
          <w:snapToGrid w:val="0"/>
          <w:sz w:val="24"/>
          <w:szCs w:val="24"/>
          <w:lang w:eastAsia="zh-CN"/>
        </w:rPr>
        <w:t>NDA</w:t>
      </w:r>
      <w:r w:rsidRPr="00C277C0">
        <w:rPr>
          <w:rFonts w:eastAsia="宋体" w:hint="eastAsia"/>
          <w:snapToGrid w:val="0"/>
          <w:sz w:val="24"/>
          <w:szCs w:val="24"/>
          <w:lang w:eastAsia="zh-CN"/>
        </w:rPr>
        <w:t>批件持有的药品组成部分组成。器械组成部件申请人收到未导致死亡、重伤或其他不良经历的器械组成部分</w:t>
      </w:r>
      <w:r w:rsidR="00801528" w:rsidRPr="00C277C0">
        <w:rPr>
          <w:rFonts w:eastAsia="宋体" w:hint="eastAsia"/>
          <w:snapToGrid w:val="0"/>
          <w:sz w:val="24"/>
          <w:szCs w:val="24"/>
          <w:lang w:eastAsia="zh-CN"/>
        </w:rPr>
        <w:t>故障</w:t>
      </w:r>
      <w:r w:rsidRPr="00C277C0">
        <w:rPr>
          <w:rFonts w:eastAsia="宋体" w:hint="eastAsia"/>
          <w:snapToGrid w:val="0"/>
          <w:sz w:val="24"/>
          <w:szCs w:val="24"/>
          <w:lang w:eastAsia="zh-CN"/>
        </w:rPr>
        <w:t>的信息。器械组成部分申请人无需与药品组成部分申请人共享信息，因为未发生重伤、死亡或其他不良经历，但必须根据</w:t>
      </w:r>
      <w:r w:rsidR="007267DD" w:rsidRPr="00C277C0">
        <w:rPr>
          <w:rFonts w:eastAsia="宋体" w:hint="eastAsia"/>
          <w:snapToGrid w:val="0"/>
          <w:sz w:val="24"/>
          <w:szCs w:val="24"/>
          <w:lang w:eastAsia="zh-CN"/>
        </w:rPr>
        <w:t>《美国联邦法规》</w:t>
      </w:r>
      <w:r w:rsidRPr="00C277C0">
        <w:rPr>
          <w:rFonts w:eastAsia="宋体" w:hint="eastAsia"/>
          <w:snapToGrid w:val="0"/>
          <w:sz w:val="24"/>
          <w:szCs w:val="24"/>
          <w:lang w:eastAsia="zh-CN"/>
        </w:rPr>
        <w:t>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Pr="00C277C0">
        <w:rPr>
          <w:rFonts w:eastAsia="宋体" w:hint="eastAsia"/>
          <w:snapToGrid w:val="0"/>
          <w:sz w:val="24"/>
          <w:szCs w:val="24"/>
          <w:lang w:eastAsia="zh-CN"/>
        </w:rPr>
        <w:t>第</w:t>
      </w:r>
      <w:r w:rsidRPr="00C277C0">
        <w:rPr>
          <w:rFonts w:eastAsia="宋体" w:hint="eastAsia"/>
          <w:snapToGrid w:val="0"/>
          <w:sz w:val="24"/>
          <w:szCs w:val="24"/>
          <w:lang w:eastAsia="zh-CN"/>
        </w:rPr>
        <w:t>803</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的规定向</w:t>
      </w:r>
      <w:r w:rsidRPr="00C277C0">
        <w:rPr>
          <w:rFonts w:eastAsia="宋体" w:hint="eastAsia"/>
          <w:snapToGrid w:val="0"/>
          <w:sz w:val="24"/>
          <w:szCs w:val="24"/>
          <w:lang w:eastAsia="zh-CN"/>
        </w:rPr>
        <w:t>FDA</w:t>
      </w:r>
      <w:r w:rsidRPr="00C277C0">
        <w:rPr>
          <w:rFonts w:eastAsia="宋体" w:hint="eastAsia"/>
          <w:snapToGrid w:val="0"/>
          <w:sz w:val="24"/>
          <w:szCs w:val="24"/>
          <w:lang w:eastAsia="zh-CN"/>
        </w:rPr>
        <w:t>报告该事件。</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组成部分状态和信息共享。</w:t>
      </w:r>
      <w:r w:rsidRPr="00C277C0">
        <w:rPr>
          <w:rFonts w:eastAsia="宋体" w:hint="eastAsia"/>
          <w:snapToGrid w:val="0"/>
          <w:lang w:eastAsia="zh-CN"/>
        </w:rPr>
        <w:t>如上文脚注</w:t>
      </w:r>
      <w:r w:rsidRPr="00C277C0">
        <w:rPr>
          <w:rFonts w:eastAsia="宋体" w:hint="eastAsia"/>
          <w:snapToGrid w:val="0"/>
          <w:lang w:eastAsia="zh-CN"/>
        </w:rPr>
        <w:t>3</w:t>
      </w:r>
      <w:r w:rsidRPr="00C277C0">
        <w:rPr>
          <w:rFonts w:eastAsia="宋体" w:hint="eastAsia"/>
          <w:snapToGrid w:val="0"/>
          <w:lang w:eastAsia="zh-CN"/>
        </w:rPr>
        <w:t>所示，</w:t>
      </w:r>
      <w:r w:rsidR="00033F57" w:rsidRPr="00C277C0">
        <w:rPr>
          <w:rFonts w:eastAsia="宋体" w:hint="eastAsia"/>
          <w:snapToGrid w:val="0"/>
          <w:lang w:eastAsia="zh-CN"/>
        </w:rPr>
        <w:t>如</w:t>
      </w:r>
      <w:r w:rsidRPr="00C277C0">
        <w:rPr>
          <w:rFonts w:eastAsia="宋体" w:hint="eastAsia"/>
          <w:snapToGrid w:val="0"/>
          <w:lang w:eastAsia="zh-CN"/>
        </w:rPr>
        <w:t>不确定产品是否为组合产品组成部分的申请人可联系</w:t>
      </w:r>
      <w:r w:rsidRPr="00C277C0">
        <w:rPr>
          <w:rFonts w:eastAsia="宋体" w:hint="eastAsia"/>
          <w:snapToGrid w:val="0"/>
          <w:lang w:eastAsia="zh-CN"/>
        </w:rPr>
        <w:t>OCP</w:t>
      </w:r>
      <w:r w:rsidRPr="00C277C0">
        <w:rPr>
          <w:rFonts w:eastAsia="宋体" w:hint="eastAsia"/>
          <w:snapToGrid w:val="0"/>
          <w:lang w:eastAsia="zh-CN"/>
        </w:rPr>
        <w:t>。然而，</w:t>
      </w:r>
      <w:r w:rsidR="00CD13F3">
        <w:rPr>
          <w:rFonts w:eastAsia="宋体" w:hint="eastAsia"/>
          <w:snapToGrid w:val="0"/>
          <w:lang w:eastAsia="zh-CN"/>
        </w:rPr>
        <w:t>本机构</w:t>
      </w:r>
      <w:r w:rsidRPr="00C277C0">
        <w:rPr>
          <w:rFonts w:eastAsia="宋体" w:hint="eastAsia"/>
          <w:snapToGrid w:val="0"/>
          <w:lang w:eastAsia="zh-CN"/>
        </w:rPr>
        <w:t>注意到，</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C55B83" w:rsidRPr="00C277C0">
        <w:rPr>
          <w:rFonts w:eastAsia="宋体" w:hint="eastAsia"/>
          <w:snapToGrid w:val="0"/>
          <w:lang w:eastAsia="zh-CN"/>
        </w:rPr>
        <w:t>第</w:t>
      </w:r>
      <w:r w:rsidR="00C55B83" w:rsidRPr="00C277C0">
        <w:rPr>
          <w:rFonts w:eastAsia="宋体" w:hint="eastAsia"/>
          <w:snapToGrid w:val="0"/>
          <w:lang w:eastAsia="zh-CN"/>
        </w:rPr>
        <w:t>4.103</w:t>
      </w:r>
      <w:r w:rsidR="00C55B83" w:rsidRPr="00C277C0">
        <w:rPr>
          <w:rFonts w:eastAsia="宋体" w:hint="eastAsia"/>
          <w:snapToGrid w:val="0"/>
          <w:lang w:eastAsia="zh-CN"/>
        </w:rPr>
        <w:t>节</w:t>
      </w:r>
      <w:r w:rsidRPr="00C277C0">
        <w:rPr>
          <w:rFonts w:eastAsia="宋体" w:hint="eastAsia"/>
          <w:snapToGrid w:val="0"/>
          <w:lang w:eastAsia="zh-CN"/>
        </w:rPr>
        <w:t>旨在确保相互合作销售产品的实体之间共享不良事件信息，以助于确保及时、完整地向</w:t>
      </w:r>
      <w:r w:rsidRPr="00C277C0">
        <w:rPr>
          <w:rFonts w:eastAsia="宋体" w:hint="eastAsia"/>
          <w:snapToGrid w:val="0"/>
          <w:lang w:eastAsia="zh-CN"/>
        </w:rPr>
        <w:t>FDA</w:t>
      </w:r>
      <w:r w:rsidRPr="00C277C0">
        <w:rPr>
          <w:rFonts w:eastAsia="宋体" w:hint="eastAsia"/>
          <w:snapToGrid w:val="0"/>
          <w:lang w:eastAsia="zh-CN"/>
        </w:rPr>
        <w:t>报告。因此，</w:t>
      </w:r>
      <w:r w:rsidR="00CD13F3">
        <w:rPr>
          <w:rFonts w:eastAsia="宋体" w:hint="eastAsia"/>
          <w:snapToGrid w:val="0"/>
          <w:lang w:eastAsia="zh-CN"/>
        </w:rPr>
        <w:t>本机构</w:t>
      </w:r>
      <w:r w:rsidRPr="00C277C0">
        <w:rPr>
          <w:rFonts w:eastAsia="宋体" w:hint="eastAsia"/>
          <w:snapToGrid w:val="0"/>
          <w:lang w:eastAsia="zh-CN"/>
        </w:rPr>
        <w:t>鼓励此类实体</w:t>
      </w:r>
      <w:r w:rsidR="00FC1159" w:rsidRPr="00C277C0">
        <w:rPr>
          <w:rFonts w:eastAsia="宋体" w:hint="eastAsia"/>
          <w:snapToGrid w:val="0"/>
          <w:lang w:eastAsia="zh-CN"/>
        </w:rPr>
        <w:t>相互</w:t>
      </w:r>
      <w:r w:rsidRPr="00C277C0">
        <w:rPr>
          <w:rFonts w:eastAsia="宋体" w:hint="eastAsia"/>
          <w:snapToGrid w:val="0"/>
          <w:lang w:eastAsia="zh-CN"/>
        </w:rPr>
        <w:t>共享此类信息，无论此类共享是必需的还是产品必然构成组合产品。</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31" w:name="_Toc97551506"/>
      <w:bookmarkStart w:id="32" w:name="_Toc95145705"/>
      <w:r w:rsidRPr="00C277C0">
        <w:rPr>
          <w:rFonts w:hint="eastAsia"/>
          <w:snapToGrid w:val="0"/>
          <w:szCs w:val="24"/>
          <w:lang w:eastAsia="zh-CN"/>
        </w:rPr>
        <w:t>E.</w:t>
      </w:r>
      <w:r w:rsidRPr="00C277C0">
        <w:rPr>
          <w:rFonts w:hint="eastAsia"/>
          <w:snapToGrid w:val="0"/>
          <w:szCs w:val="24"/>
          <w:lang w:eastAsia="zh-CN"/>
        </w:rPr>
        <w:tab/>
      </w:r>
      <w:r w:rsidRPr="00C277C0">
        <w:rPr>
          <w:rFonts w:hint="eastAsia"/>
          <w:snapToGrid w:val="0"/>
          <w:szCs w:val="24"/>
          <w:lang w:eastAsia="zh-CN"/>
        </w:rPr>
        <w:t>组合产品和组成部分申请人的记录保存要求</w:t>
      </w:r>
      <w:bookmarkEnd w:id="31"/>
      <w:bookmarkEnd w:id="32"/>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7267DD"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00097329" w:rsidRPr="00C277C0">
        <w:rPr>
          <w:rFonts w:eastAsia="宋体" w:hint="eastAsia"/>
          <w:snapToGrid w:val="0"/>
          <w:lang w:eastAsia="zh-CN"/>
        </w:rPr>
        <w:t>4.105</w:t>
      </w:r>
      <w:r w:rsidR="00AE0101" w:rsidRPr="00C277C0">
        <w:rPr>
          <w:rFonts w:eastAsia="宋体" w:hint="eastAsia"/>
          <w:snapToGrid w:val="0"/>
          <w:lang w:eastAsia="zh-CN"/>
        </w:rPr>
        <w:t>节</w:t>
      </w:r>
      <w:r w:rsidR="00097329" w:rsidRPr="00C277C0">
        <w:rPr>
          <w:rFonts w:eastAsia="宋体" w:hint="eastAsia"/>
          <w:snapToGrid w:val="0"/>
          <w:lang w:eastAsia="zh-CN"/>
        </w:rPr>
        <w:t>规定组成部分申请人和组合产品申请人的</w:t>
      </w:r>
      <w:r w:rsidR="00097329" w:rsidRPr="00C277C0">
        <w:rPr>
          <w:rFonts w:eastAsia="宋体" w:hint="eastAsia"/>
          <w:snapToGrid w:val="0"/>
          <w:lang w:eastAsia="zh-CN"/>
        </w:rPr>
        <w:t>PMSR</w:t>
      </w:r>
      <w:r w:rsidR="00097329" w:rsidRPr="00C277C0">
        <w:rPr>
          <w:rFonts w:eastAsia="宋体" w:hint="eastAsia"/>
          <w:snapToGrid w:val="0"/>
          <w:lang w:eastAsia="zh-CN"/>
        </w:rPr>
        <w:t>记录保存要求如下。</w:t>
      </w:r>
    </w:p>
    <w:p w:rsidR="00C1273A" w:rsidRPr="00C277C0" w:rsidRDefault="00C1273A" w:rsidP="00C1273A">
      <w:pPr>
        <w:pStyle w:val="a3"/>
        <w:autoSpaceDE/>
        <w:autoSpaceDN/>
        <w:snapToGrid w:val="0"/>
        <w:jc w:val="both"/>
        <w:rPr>
          <w:rFonts w:eastAsia="宋体"/>
          <w:snapToGrid w:val="0"/>
          <w:lang w:eastAsia="zh-CN"/>
        </w:rPr>
      </w:pPr>
    </w:p>
    <w:p w:rsidR="006223B4" w:rsidRPr="00C277C0" w:rsidRDefault="006223B4" w:rsidP="006223B4">
      <w:pPr>
        <w:autoSpaceDE/>
        <w:autoSpaceDN/>
        <w:snapToGrid w:val="0"/>
        <w:jc w:val="both"/>
        <w:rPr>
          <w:rFonts w:eastAsia="宋体"/>
          <w:snapToGrid w:val="0"/>
          <w:sz w:val="24"/>
          <w:szCs w:val="24"/>
          <w:lang w:eastAsia="zh-CN"/>
        </w:rPr>
      </w:pPr>
      <w:r w:rsidRPr="00C277C0">
        <w:rPr>
          <w:rFonts w:eastAsia="宋体" w:hint="eastAsia"/>
          <w:snapToGrid w:val="0"/>
          <w:sz w:val="24"/>
          <w:szCs w:val="24"/>
          <w:lang w:eastAsia="zh-CN"/>
        </w:rPr>
        <w:br w:type="page"/>
      </w:r>
    </w:p>
    <w:p w:rsidR="006223B4" w:rsidRPr="00C277C0" w:rsidRDefault="006223B4" w:rsidP="006223B4">
      <w:pPr>
        <w:autoSpaceDE/>
        <w:autoSpaceDN/>
        <w:snapToGrid w:val="0"/>
        <w:jc w:val="both"/>
        <w:rPr>
          <w:rFonts w:eastAsia="宋体"/>
          <w:snapToGrid w:val="0"/>
          <w:sz w:val="24"/>
          <w:szCs w:val="24"/>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1.</w:t>
      </w:r>
      <w:r w:rsidRPr="00C277C0">
        <w:rPr>
          <w:rFonts w:hint="eastAsia"/>
          <w:snapToGrid w:val="0"/>
          <w:lang w:eastAsia="zh-CN"/>
        </w:rPr>
        <w:tab/>
      </w:r>
      <w:r w:rsidRPr="00C277C0">
        <w:rPr>
          <w:rFonts w:hint="eastAsia"/>
          <w:snapToGrid w:val="0"/>
          <w:lang w:eastAsia="zh-CN"/>
        </w:rPr>
        <w:t>组成部分申请人</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组成部分申请人的报告和信息共享要求必须符合单独的记录保存要求。这些记录保存要求如下：</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24"/>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在适用于组成部分类型的法规规定的时间周期内保存报告的相关记录（</w:t>
      </w:r>
      <w:r w:rsidR="005F1693">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4.102</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b</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和</w:t>
      </w:r>
      <w:r w:rsidRPr="00C277C0">
        <w:rPr>
          <w:rFonts w:eastAsia="宋体" w:hint="eastAsia"/>
          <w:snapToGrid w:val="0"/>
          <w:sz w:val="24"/>
          <w:szCs w:val="24"/>
          <w:lang w:eastAsia="zh-CN"/>
        </w:rPr>
        <w:t>4.105</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a</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1</w:t>
      </w:r>
      <w:r w:rsidR="00990237" w:rsidRPr="00C277C0">
        <w:rPr>
          <w:rFonts w:eastAsia="宋体" w:hint="eastAsia"/>
          <w:snapToGrid w:val="0"/>
          <w:sz w:val="24"/>
          <w:szCs w:val="24"/>
          <w:lang w:eastAsia="zh-CN"/>
        </w:rPr>
        <w:t>）</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），以及</w:t>
      </w:r>
    </w:p>
    <w:p w:rsidR="00C1273A" w:rsidRPr="00C277C0" w:rsidRDefault="00097329" w:rsidP="00B403CB">
      <w:pPr>
        <w:pStyle w:val="a4"/>
        <w:numPr>
          <w:ilvl w:val="0"/>
          <w:numId w:val="24"/>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对于</w:t>
      </w:r>
      <w:r w:rsidRPr="00C277C0">
        <w:rPr>
          <w:rFonts w:eastAsia="宋体" w:hint="eastAsia"/>
          <w:snapToGrid w:val="0"/>
          <w:sz w:val="24"/>
          <w:szCs w:val="24"/>
          <w:lang w:eastAsia="zh-CN"/>
        </w:rPr>
        <w:t>PMSR</w:t>
      </w:r>
      <w:r w:rsidRPr="00C277C0">
        <w:rPr>
          <w:rFonts w:eastAsia="宋体" w:hint="eastAsia"/>
          <w:snapToGrid w:val="0"/>
          <w:sz w:val="24"/>
          <w:szCs w:val="24"/>
          <w:lang w:eastAsia="zh-CN"/>
        </w:rPr>
        <w:t>要求的任何记录，适用于共享信息的组成部分申请人应根据</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C55B83" w:rsidRPr="00C277C0">
        <w:rPr>
          <w:rFonts w:eastAsia="宋体" w:hint="eastAsia"/>
          <w:snapToGrid w:val="0"/>
          <w:sz w:val="24"/>
          <w:szCs w:val="24"/>
          <w:lang w:eastAsia="zh-CN"/>
        </w:rPr>
        <w:t>第</w:t>
      </w:r>
      <w:r w:rsidR="00C55B83" w:rsidRPr="00C277C0">
        <w:rPr>
          <w:rFonts w:eastAsia="宋体" w:hint="eastAsia"/>
          <w:snapToGrid w:val="0"/>
          <w:sz w:val="24"/>
          <w:szCs w:val="24"/>
          <w:lang w:eastAsia="zh-CN"/>
        </w:rPr>
        <w:t>4.103</w:t>
      </w:r>
      <w:r w:rsidR="00C55B83" w:rsidRPr="00C277C0">
        <w:rPr>
          <w:rFonts w:eastAsia="宋体" w:hint="eastAsia"/>
          <w:snapToGrid w:val="0"/>
          <w:sz w:val="24"/>
          <w:szCs w:val="24"/>
          <w:lang w:eastAsia="zh-CN"/>
        </w:rPr>
        <w:t>节</w:t>
      </w:r>
      <w:r w:rsidRPr="00C277C0">
        <w:rPr>
          <w:rFonts w:eastAsia="宋体" w:hint="eastAsia"/>
          <w:snapToGrid w:val="0"/>
          <w:sz w:val="24"/>
          <w:szCs w:val="24"/>
          <w:lang w:eastAsia="zh-CN"/>
        </w:rPr>
        <w:t>要求的最长时限保存共享信息记录（</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4.105</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a</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2</w:t>
      </w:r>
      <w:r w:rsidR="00990237" w:rsidRPr="00C277C0">
        <w:rPr>
          <w:rFonts w:eastAsia="宋体" w:hint="eastAsia"/>
          <w:snapToGrid w:val="0"/>
          <w:sz w:val="24"/>
          <w:szCs w:val="24"/>
          <w:lang w:eastAsia="zh-CN"/>
        </w:rPr>
        <w:t>）</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097329" w:rsidP="00B403CB">
      <w:pPr>
        <w:pStyle w:val="a4"/>
        <w:numPr>
          <w:ilvl w:val="0"/>
          <w:numId w:val="24"/>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信息共享记录必须包括：</w:t>
      </w:r>
    </w:p>
    <w:p w:rsidR="00C1273A" w:rsidRPr="00C277C0" w:rsidRDefault="00097329" w:rsidP="00B403CB">
      <w:pPr>
        <w:pStyle w:val="a4"/>
        <w:numPr>
          <w:ilvl w:val="1"/>
          <w:numId w:val="12"/>
        </w:numPr>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向其他组成部分申请人提供的信息副本；</w:t>
      </w:r>
    </w:p>
    <w:p w:rsidR="00C1273A" w:rsidRPr="00C277C0" w:rsidRDefault="00097329" w:rsidP="00B403CB">
      <w:pPr>
        <w:pStyle w:val="a4"/>
        <w:numPr>
          <w:ilvl w:val="1"/>
          <w:numId w:val="12"/>
        </w:numPr>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共享信息的组成部分申请人收到信息的日期；</w:t>
      </w:r>
    </w:p>
    <w:p w:rsidR="00C1273A" w:rsidRPr="00C277C0" w:rsidRDefault="00097329" w:rsidP="00B403CB">
      <w:pPr>
        <w:pStyle w:val="a4"/>
        <w:numPr>
          <w:ilvl w:val="1"/>
          <w:numId w:val="12"/>
        </w:numPr>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信息共享的日期；以及</w:t>
      </w:r>
    </w:p>
    <w:p w:rsidR="00C1273A" w:rsidRPr="00C277C0" w:rsidRDefault="00097329" w:rsidP="00B403CB">
      <w:pPr>
        <w:pStyle w:val="a4"/>
        <w:numPr>
          <w:ilvl w:val="1"/>
          <w:numId w:val="12"/>
        </w:numPr>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与之共享信息的其他组成部分申请人的名称和地址（</w:t>
      </w:r>
      <w:r w:rsidR="005F1693">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C55B83" w:rsidRPr="00C277C0">
        <w:rPr>
          <w:rFonts w:eastAsia="宋体" w:hint="eastAsia"/>
          <w:snapToGrid w:val="0"/>
          <w:sz w:val="24"/>
          <w:szCs w:val="24"/>
          <w:lang w:eastAsia="zh-CN"/>
        </w:rPr>
        <w:t>第</w:t>
      </w:r>
      <w:r w:rsidRPr="00C277C0">
        <w:rPr>
          <w:rFonts w:eastAsia="宋体" w:hint="eastAsia"/>
          <w:snapToGrid w:val="0"/>
          <w:sz w:val="24"/>
          <w:szCs w:val="24"/>
          <w:lang w:eastAsia="zh-CN"/>
        </w:rPr>
        <w:t>4.103</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b</w:t>
      </w:r>
      <w:r w:rsidR="00990237" w:rsidRPr="00C277C0">
        <w:rPr>
          <w:rFonts w:eastAsia="宋体" w:hint="eastAsia"/>
          <w:snapToGrid w:val="0"/>
          <w:sz w:val="24"/>
          <w:szCs w:val="24"/>
          <w:lang w:eastAsia="zh-CN"/>
        </w:rPr>
        <w:t>）</w:t>
      </w:r>
      <w:r w:rsidR="00C55B83"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C1273A" w:rsidP="003566B4">
      <w:pPr>
        <w:pStyle w:val="a4"/>
        <w:autoSpaceDE/>
        <w:autoSpaceDN/>
        <w:snapToGrid w:val="0"/>
        <w:ind w:left="1800" w:firstLine="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示例</w:t>
      </w:r>
      <w:r w:rsidRPr="00B403CB">
        <w:rPr>
          <w:rFonts w:eastAsia="宋体" w:hint="eastAsia"/>
          <w:i/>
          <w:lang w:eastAsia="zh-CN"/>
        </w:rPr>
        <w:t>。</w:t>
      </w:r>
      <w:r w:rsidRPr="00C277C0">
        <w:rPr>
          <w:rFonts w:eastAsia="宋体" w:hint="eastAsia"/>
          <w:snapToGrid w:val="0"/>
          <w:lang w:eastAsia="zh-CN"/>
        </w:rPr>
        <w:t>考虑以下与制药公司和医疗公司有关的情形，制药公司持组合产品药品组成部分的</w:t>
      </w:r>
      <w:r w:rsidRPr="00C277C0">
        <w:rPr>
          <w:rFonts w:eastAsia="宋体" w:hint="eastAsia"/>
          <w:snapToGrid w:val="0"/>
          <w:lang w:eastAsia="zh-CN"/>
        </w:rPr>
        <w:t>NDA</w:t>
      </w:r>
      <w:r w:rsidRPr="00C277C0">
        <w:rPr>
          <w:rFonts w:eastAsia="宋体" w:hint="eastAsia"/>
          <w:snapToGrid w:val="0"/>
          <w:lang w:eastAsia="zh-CN"/>
        </w:rPr>
        <w:t>，医疗公司持有器械组成部分的</w:t>
      </w:r>
      <w:r w:rsidRPr="00C277C0">
        <w:rPr>
          <w:rFonts w:eastAsia="宋体" w:hint="eastAsia"/>
          <w:snapToGrid w:val="0"/>
          <w:lang w:eastAsia="zh-CN"/>
        </w:rPr>
        <w:t>PMA</w:t>
      </w:r>
      <w:r w:rsidRPr="00C277C0">
        <w:rPr>
          <w:rFonts w:eastAsia="宋体" w:hint="eastAsia"/>
          <w:snapToGrid w:val="0"/>
          <w:lang w:eastAsia="zh-CN"/>
        </w:rPr>
        <w:t>：</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jc w:val="both"/>
        <w:rPr>
          <w:rFonts w:eastAsia="宋体"/>
          <w:snapToGrid w:val="0"/>
          <w:lang w:eastAsia="zh-CN"/>
        </w:rPr>
      </w:pPr>
      <w:r w:rsidRPr="00C277C0">
        <w:rPr>
          <w:rFonts w:eastAsia="宋体" w:hint="eastAsia"/>
          <w:snapToGrid w:val="0"/>
          <w:lang w:eastAsia="zh-CN"/>
        </w:rPr>
        <w:t>制药公司收到不良经历报告，并与医疗公司共享该信息：</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072C5E">
      <w:pPr>
        <w:pStyle w:val="a4"/>
        <w:numPr>
          <w:ilvl w:val="0"/>
          <w:numId w:val="25"/>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制药公司必须保存与医疗公司共享信息所需记录，保存期限为自制药公司收到该信息之日起</w:t>
      </w:r>
      <w:r w:rsidRPr="00C277C0">
        <w:rPr>
          <w:rFonts w:eastAsia="宋体" w:hint="eastAsia"/>
          <w:snapToGrid w:val="0"/>
          <w:sz w:val="24"/>
          <w:szCs w:val="24"/>
          <w:lang w:eastAsia="zh-CN"/>
        </w:rPr>
        <w:t>10</w:t>
      </w:r>
      <w:r w:rsidRPr="00C277C0">
        <w:rPr>
          <w:rFonts w:eastAsia="宋体" w:hint="eastAsia"/>
          <w:snapToGrid w:val="0"/>
          <w:sz w:val="24"/>
          <w:szCs w:val="24"/>
          <w:lang w:eastAsia="zh-CN"/>
        </w:rPr>
        <w:t>年，因为适用于制药公司的唯一</w:t>
      </w:r>
      <w:r w:rsidRPr="00C277C0">
        <w:rPr>
          <w:rFonts w:eastAsia="宋体" w:hint="eastAsia"/>
          <w:snapToGrid w:val="0"/>
          <w:sz w:val="24"/>
          <w:szCs w:val="24"/>
          <w:lang w:eastAsia="zh-CN"/>
        </w:rPr>
        <w:t>PMSR</w:t>
      </w:r>
      <w:r w:rsidRPr="00C277C0">
        <w:rPr>
          <w:rFonts w:eastAsia="宋体" w:hint="eastAsia"/>
          <w:snapToGrid w:val="0"/>
          <w:sz w:val="24"/>
          <w:szCs w:val="24"/>
          <w:lang w:eastAsia="zh-CN"/>
        </w:rPr>
        <w:t>记录保存期限为</w:t>
      </w:r>
      <w:r w:rsidRPr="00C277C0">
        <w:rPr>
          <w:rFonts w:eastAsia="宋体" w:hint="eastAsia"/>
          <w:snapToGrid w:val="0"/>
          <w:sz w:val="24"/>
          <w:szCs w:val="24"/>
          <w:lang w:eastAsia="zh-CN"/>
        </w:rPr>
        <w:t>10</w:t>
      </w:r>
      <w:r w:rsidRPr="00C277C0">
        <w:rPr>
          <w:rFonts w:eastAsia="宋体" w:hint="eastAsia"/>
          <w:snapToGrid w:val="0"/>
          <w:sz w:val="24"/>
          <w:szCs w:val="24"/>
          <w:lang w:eastAsia="zh-CN"/>
        </w:rPr>
        <w:t>年（</w:t>
      </w:r>
      <w:r w:rsidR="005F1693">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4.105</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a</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2</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和</w:t>
      </w:r>
      <w:r w:rsidRPr="00C277C0">
        <w:rPr>
          <w:rFonts w:eastAsia="宋体" w:hint="eastAsia"/>
          <w:snapToGrid w:val="0"/>
          <w:sz w:val="24"/>
          <w:szCs w:val="24"/>
          <w:lang w:eastAsia="zh-CN"/>
        </w:rPr>
        <w:t>314.80</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j</w:t>
      </w:r>
      <w:r w:rsidR="00990237" w:rsidRPr="00C277C0">
        <w:rPr>
          <w:rFonts w:eastAsia="宋体" w:hint="eastAsia"/>
          <w:snapToGrid w:val="0"/>
          <w:sz w:val="24"/>
          <w:szCs w:val="24"/>
          <w:lang w:eastAsia="zh-CN"/>
        </w:rPr>
        <w:t>）</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C1273A" w:rsidP="00B403CB">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25"/>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医疗公司必须在适用于医疗公司的器械</w:t>
      </w:r>
      <w:r w:rsidRPr="00C277C0">
        <w:rPr>
          <w:rFonts w:eastAsia="宋体" w:hint="eastAsia"/>
          <w:snapToGrid w:val="0"/>
          <w:sz w:val="24"/>
          <w:szCs w:val="24"/>
          <w:lang w:eastAsia="zh-CN"/>
        </w:rPr>
        <w:t>PMSR</w:t>
      </w:r>
      <w:r w:rsidRPr="00C277C0">
        <w:rPr>
          <w:rFonts w:eastAsia="宋体" w:hint="eastAsia"/>
          <w:snapToGrid w:val="0"/>
          <w:sz w:val="24"/>
          <w:szCs w:val="24"/>
          <w:lang w:eastAsia="zh-CN"/>
        </w:rPr>
        <w:t>法规规定的时限内保存与事件相关的记录。例如，根据</w:t>
      </w:r>
      <w:r w:rsidR="007267DD" w:rsidRPr="00C277C0">
        <w:rPr>
          <w:rFonts w:eastAsia="宋体" w:hint="eastAsia"/>
          <w:snapToGrid w:val="0"/>
          <w:sz w:val="24"/>
          <w:szCs w:val="24"/>
          <w:lang w:eastAsia="zh-CN"/>
        </w:rPr>
        <w:t>《美国联邦法规》</w:t>
      </w:r>
      <w:r w:rsidRPr="00C277C0">
        <w:rPr>
          <w:rFonts w:eastAsia="宋体" w:hint="eastAsia"/>
          <w:snapToGrid w:val="0"/>
          <w:sz w:val="24"/>
          <w:szCs w:val="24"/>
          <w:lang w:eastAsia="zh-CN"/>
        </w:rPr>
        <w:t>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Pr="00C277C0">
        <w:rPr>
          <w:rFonts w:eastAsia="宋体" w:hint="eastAsia"/>
          <w:snapToGrid w:val="0"/>
          <w:sz w:val="24"/>
          <w:szCs w:val="24"/>
          <w:lang w:eastAsia="zh-CN"/>
        </w:rPr>
        <w:t>第</w:t>
      </w:r>
      <w:r w:rsidRPr="00C277C0">
        <w:rPr>
          <w:rFonts w:eastAsia="宋体" w:hint="eastAsia"/>
          <w:snapToGrid w:val="0"/>
          <w:sz w:val="24"/>
          <w:szCs w:val="24"/>
          <w:lang w:eastAsia="zh-CN"/>
        </w:rPr>
        <w:t>803</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的记录保存要求，对于</w:t>
      </w:r>
      <w:r w:rsidR="00E0175F" w:rsidRPr="00C277C0">
        <w:rPr>
          <w:rFonts w:eastAsia="宋体" w:hint="eastAsia"/>
          <w:snapToGrid w:val="0"/>
          <w:sz w:val="24"/>
          <w:szCs w:val="24"/>
          <w:lang w:eastAsia="zh-CN"/>
        </w:rPr>
        <w:t>故障</w:t>
      </w:r>
      <w:r w:rsidRPr="00C277C0">
        <w:rPr>
          <w:rFonts w:eastAsia="宋体" w:hint="eastAsia"/>
          <w:snapToGrid w:val="0"/>
          <w:sz w:val="24"/>
          <w:szCs w:val="24"/>
          <w:lang w:eastAsia="zh-CN"/>
        </w:rPr>
        <w:t>、重伤或死亡报告，医疗公司需要保存记录，保存时限为事件发生之日起</w:t>
      </w:r>
      <w:r w:rsidRPr="00C277C0">
        <w:rPr>
          <w:rFonts w:eastAsia="宋体" w:hint="eastAsia"/>
          <w:snapToGrid w:val="0"/>
          <w:sz w:val="24"/>
          <w:szCs w:val="24"/>
          <w:lang w:eastAsia="zh-CN"/>
        </w:rPr>
        <w:t>2</w:t>
      </w:r>
      <w:r w:rsidRPr="00C277C0">
        <w:rPr>
          <w:rFonts w:eastAsia="宋体" w:hint="eastAsia"/>
          <w:snapToGrid w:val="0"/>
          <w:sz w:val="24"/>
          <w:szCs w:val="24"/>
          <w:lang w:eastAsia="zh-CN"/>
        </w:rPr>
        <w:t>年或相当于器械预期寿命的时间，</w:t>
      </w:r>
      <w:r w:rsidR="00FE2212" w:rsidRPr="00C277C0">
        <w:rPr>
          <w:rStyle w:val="af4"/>
          <w:rFonts w:eastAsia="宋体" w:hint="eastAsia"/>
          <w:snapToGrid w:val="0"/>
          <w:sz w:val="24"/>
          <w:szCs w:val="24"/>
          <w:lang w:eastAsia="zh-CN"/>
        </w:rPr>
        <w:footnoteReference w:id="39"/>
      </w:r>
      <w:r w:rsidRPr="00C277C0">
        <w:rPr>
          <w:rFonts w:eastAsia="宋体" w:hint="eastAsia"/>
          <w:snapToGrid w:val="0"/>
          <w:sz w:val="24"/>
          <w:szCs w:val="24"/>
          <w:lang w:eastAsia="zh-CN"/>
        </w:rPr>
        <w:t>以较长者为准。</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autoSpaceDE/>
        <w:autoSpaceDN/>
        <w:snapToGrid w:val="0"/>
        <w:jc w:val="both"/>
        <w:rPr>
          <w:rFonts w:eastAsia="宋体"/>
          <w:snapToGrid w:val="0"/>
          <w:lang w:eastAsia="zh-CN"/>
        </w:rPr>
      </w:pPr>
      <w:r w:rsidRPr="00C277C0">
        <w:rPr>
          <w:rFonts w:eastAsia="宋体" w:hint="eastAsia"/>
          <w:snapToGrid w:val="0"/>
          <w:lang w:eastAsia="zh-CN"/>
        </w:rPr>
        <w:t>医疗公司收到并与制药公司共享有关组合产品给药的另一不良经历信息：</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25"/>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医药公司必须在适用于医药公司的器械组成部分最长记录保存期内保存共享信息所需的记录，该记录保存期为事件发生之日起</w:t>
      </w:r>
      <w:r w:rsidRPr="00C277C0">
        <w:rPr>
          <w:rFonts w:eastAsia="宋体" w:hint="eastAsia"/>
          <w:snapToGrid w:val="0"/>
          <w:sz w:val="24"/>
          <w:szCs w:val="24"/>
          <w:lang w:eastAsia="zh-CN"/>
        </w:rPr>
        <w:t>2</w:t>
      </w:r>
      <w:r w:rsidRPr="00C277C0">
        <w:rPr>
          <w:rFonts w:eastAsia="宋体" w:hint="eastAsia"/>
          <w:snapToGrid w:val="0"/>
          <w:sz w:val="24"/>
          <w:szCs w:val="24"/>
          <w:lang w:eastAsia="zh-CN"/>
        </w:rPr>
        <w:t>年（</w:t>
      </w:r>
      <w:r w:rsidR="000D3C3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Pr="00C277C0">
        <w:rPr>
          <w:rFonts w:eastAsia="宋体" w:hint="eastAsia"/>
          <w:snapToGrid w:val="0"/>
          <w:sz w:val="24"/>
          <w:szCs w:val="24"/>
          <w:lang w:eastAsia="zh-CN"/>
        </w:rPr>
        <w:t>803.18</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c</w:t>
      </w:r>
      <w:r w:rsidR="00990237" w:rsidRPr="00C277C0">
        <w:rPr>
          <w:rFonts w:eastAsia="宋体" w:hint="eastAsia"/>
          <w:snapToGrid w:val="0"/>
          <w:sz w:val="24"/>
          <w:szCs w:val="24"/>
          <w:lang w:eastAsia="zh-CN"/>
        </w:rPr>
        <w:t>）</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或器械预期寿命后</w:t>
      </w:r>
      <w:r w:rsidRPr="00C277C0">
        <w:rPr>
          <w:rFonts w:eastAsia="宋体" w:hint="eastAsia"/>
          <w:snapToGrid w:val="0"/>
          <w:sz w:val="24"/>
          <w:szCs w:val="24"/>
          <w:lang w:eastAsia="zh-CN"/>
        </w:rPr>
        <w:t>2</w:t>
      </w:r>
      <w:r w:rsidRPr="00C277C0">
        <w:rPr>
          <w:rFonts w:eastAsia="宋体" w:hint="eastAsia"/>
          <w:snapToGrid w:val="0"/>
          <w:sz w:val="24"/>
          <w:szCs w:val="24"/>
          <w:lang w:eastAsia="zh-CN"/>
        </w:rPr>
        <w:t>年（</w:t>
      </w:r>
      <w:r w:rsidR="000D3C3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0AC">
        <w:rPr>
          <w:rFonts w:eastAsia="宋体" w:hint="eastAsia"/>
          <w:snapToGrid w:val="0"/>
          <w:sz w:val="24"/>
          <w:szCs w:val="24"/>
          <w:lang w:eastAsia="zh-CN"/>
        </w:rPr>
        <w:t>第</w:t>
      </w:r>
      <w:r w:rsidRPr="00C277C0">
        <w:rPr>
          <w:rFonts w:eastAsia="宋体" w:hint="eastAsia"/>
          <w:snapToGrid w:val="0"/>
          <w:sz w:val="24"/>
          <w:szCs w:val="24"/>
          <w:lang w:eastAsia="zh-CN"/>
        </w:rPr>
        <w:t>806.20</w:t>
      </w:r>
      <w:r w:rsidR="00AE00AC">
        <w:rPr>
          <w:rFonts w:eastAsia="宋体" w:hint="eastAsia"/>
          <w:snapToGrid w:val="0"/>
          <w:sz w:val="24"/>
          <w:szCs w:val="24"/>
          <w:lang w:eastAsia="zh-CN"/>
        </w:rPr>
        <w:t>节</w:t>
      </w:r>
      <w:r w:rsidRPr="00C277C0">
        <w:rPr>
          <w:rFonts w:eastAsia="宋体" w:hint="eastAsia"/>
          <w:snapToGrid w:val="0"/>
          <w:sz w:val="24"/>
          <w:szCs w:val="24"/>
          <w:lang w:eastAsia="zh-CN"/>
        </w:rPr>
        <w:t>更正和转移要求），因为除第</w:t>
      </w:r>
      <w:r w:rsidRPr="00C277C0">
        <w:rPr>
          <w:rFonts w:eastAsia="宋体" w:hint="eastAsia"/>
          <w:snapToGrid w:val="0"/>
          <w:sz w:val="24"/>
          <w:szCs w:val="24"/>
          <w:lang w:eastAsia="zh-CN"/>
        </w:rPr>
        <w:t>803</w:t>
      </w:r>
      <w:r w:rsidRPr="00C277C0">
        <w:rPr>
          <w:rFonts w:eastAsia="宋体" w:hint="eastAsia"/>
          <w:snapToGrid w:val="0"/>
          <w:sz w:val="24"/>
          <w:szCs w:val="24"/>
          <w:lang w:eastAsia="zh-CN"/>
        </w:rPr>
        <w:t>部分要求外，第</w:t>
      </w:r>
      <w:r w:rsidRPr="00C277C0">
        <w:rPr>
          <w:rFonts w:eastAsia="宋体" w:hint="eastAsia"/>
          <w:snapToGrid w:val="0"/>
          <w:sz w:val="24"/>
          <w:szCs w:val="24"/>
          <w:lang w:eastAsia="zh-CN"/>
        </w:rPr>
        <w:t>806</w:t>
      </w:r>
      <w:r w:rsidRPr="00C277C0">
        <w:rPr>
          <w:rFonts w:eastAsia="宋体" w:hint="eastAsia"/>
          <w:snapToGrid w:val="0"/>
          <w:sz w:val="24"/>
          <w:szCs w:val="24"/>
          <w:lang w:eastAsia="zh-CN"/>
        </w:rPr>
        <w:t>部分记录保存要求也适用于医药公司（</w:t>
      </w:r>
      <w:r w:rsidR="000D3C3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4.105</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a</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2</w:t>
      </w:r>
      <w:r w:rsidR="00990237" w:rsidRPr="00C277C0">
        <w:rPr>
          <w:rFonts w:eastAsia="宋体" w:hint="eastAsia"/>
          <w:snapToGrid w:val="0"/>
          <w:sz w:val="24"/>
          <w:szCs w:val="24"/>
          <w:lang w:eastAsia="zh-CN"/>
        </w:rPr>
        <w:t>）</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6223B4" w:rsidRPr="00C277C0" w:rsidRDefault="006223B4" w:rsidP="00B403CB">
      <w:pPr>
        <w:autoSpaceDE/>
        <w:autoSpaceDN/>
        <w:snapToGrid w:val="0"/>
        <w:jc w:val="both"/>
        <w:rPr>
          <w:rFonts w:eastAsia="宋体"/>
          <w:snapToGrid w:val="0"/>
          <w:sz w:val="24"/>
          <w:szCs w:val="24"/>
          <w:lang w:eastAsia="zh-CN"/>
        </w:rPr>
      </w:pPr>
      <w:r w:rsidRPr="00B403CB">
        <w:rPr>
          <w:rFonts w:eastAsia="宋体"/>
          <w:sz w:val="24"/>
          <w:lang w:eastAsia="zh-CN"/>
        </w:rPr>
        <w:br w:type="page"/>
      </w:r>
    </w:p>
    <w:p w:rsidR="00C1273A" w:rsidRPr="00C277C0" w:rsidRDefault="00097329" w:rsidP="00B403CB">
      <w:pPr>
        <w:pStyle w:val="a4"/>
        <w:numPr>
          <w:ilvl w:val="0"/>
          <w:numId w:val="25"/>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制药公司必须将该信息再保留</w:t>
      </w:r>
      <w:r w:rsidRPr="00C277C0">
        <w:rPr>
          <w:rFonts w:eastAsia="宋体" w:hint="eastAsia"/>
          <w:snapToGrid w:val="0"/>
          <w:sz w:val="24"/>
          <w:szCs w:val="24"/>
          <w:lang w:eastAsia="zh-CN"/>
        </w:rPr>
        <w:t>10</w:t>
      </w:r>
      <w:r w:rsidRPr="00C277C0">
        <w:rPr>
          <w:rFonts w:eastAsia="宋体" w:hint="eastAsia"/>
          <w:snapToGrid w:val="0"/>
          <w:sz w:val="24"/>
          <w:szCs w:val="24"/>
          <w:lang w:eastAsia="zh-CN"/>
        </w:rPr>
        <w:t>年，以记录其药品组成部分的所有不良经历（</w:t>
      </w:r>
      <w:r w:rsidR="000D3C3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314.80</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j</w:t>
      </w:r>
      <w:r w:rsidR="00990237" w:rsidRPr="00C277C0">
        <w:rPr>
          <w:rFonts w:eastAsia="宋体" w:hint="eastAsia"/>
          <w:snapToGrid w:val="0"/>
          <w:sz w:val="24"/>
          <w:szCs w:val="24"/>
          <w:lang w:eastAsia="zh-CN"/>
        </w:rPr>
        <w:t>）</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C1273A" w:rsidP="003566B4">
      <w:pPr>
        <w:pStyle w:val="a4"/>
        <w:autoSpaceDE/>
        <w:autoSpaceDN/>
        <w:snapToGrid w:val="0"/>
        <w:ind w:left="920" w:firstLine="0"/>
        <w:jc w:val="both"/>
        <w:rPr>
          <w:rFonts w:eastAsia="宋体"/>
          <w:snapToGrid w:val="0"/>
          <w:sz w:val="24"/>
          <w:szCs w:val="24"/>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2.</w:t>
      </w:r>
      <w:r w:rsidRPr="00C277C0">
        <w:rPr>
          <w:rFonts w:hint="eastAsia"/>
          <w:snapToGrid w:val="0"/>
          <w:lang w:eastAsia="zh-CN"/>
        </w:rPr>
        <w:tab/>
      </w:r>
      <w:r w:rsidRPr="00C277C0">
        <w:rPr>
          <w:rFonts w:hint="eastAsia"/>
          <w:snapToGrid w:val="0"/>
          <w:lang w:eastAsia="zh-CN"/>
        </w:rPr>
        <w:t>组合产品申请人</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组合产品申请人必须根据所有适用于组合产品</w:t>
      </w:r>
      <w:r w:rsidRPr="00C277C0">
        <w:rPr>
          <w:rFonts w:eastAsia="宋体" w:hint="eastAsia"/>
          <w:snapToGrid w:val="0"/>
          <w:lang w:eastAsia="zh-CN"/>
        </w:rPr>
        <w:t>PMSR</w:t>
      </w:r>
      <w:r w:rsidRPr="00C277C0">
        <w:rPr>
          <w:rFonts w:eastAsia="宋体" w:hint="eastAsia"/>
          <w:snapToGrid w:val="0"/>
          <w:lang w:eastAsia="zh-CN"/>
        </w:rPr>
        <w:t>要求所需的最长时限保存</w:t>
      </w:r>
      <w:r w:rsidRPr="00C277C0">
        <w:rPr>
          <w:rFonts w:eastAsia="宋体" w:hint="eastAsia"/>
          <w:snapToGrid w:val="0"/>
          <w:lang w:eastAsia="zh-CN"/>
        </w:rPr>
        <w:t>PMSR</w:t>
      </w:r>
      <w:r w:rsidRPr="00C277C0">
        <w:rPr>
          <w:rFonts w:eastAsia="宋体" w:hint="eastAsia"/>
          <w:snapToGrid w:val="0"/>
          <w:lang w:eastAsia="zh-CN"/>
        </w:rPr>
        <w:t>记录（</w:t>
      </w:r>
      <w:r w:rsidR="000D3C3A">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4.105</w:t>
      </w:r>
      <w:r w:rsidR="00990237" w:rsidRPr="00C277C0">
        <w:rPr>
          <w:rFonts w:eastAsia="宋体" w:hint="eastAsia"/>
          <w:snapToGrid w:val="0"/>
          <w:lang w:eastAsia="zh-CN"/>
        </w:rPr>
        <w:t>（</w:t>
      </w:r>
      <w:r w:rsidRPr="00C277C0">
        <w:rPr>
          <w:rFonts w:eastAsia="宋体" w:hint="eastAsia"/>
          <w:snapToGrid w:val="0"/>
          <w:lang w:eastAsia="zh-CN"/>
        </w:rPr>
        <w:t>b</w:t>
      </w:r>
      <w:r w:rsidR="00990237"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。因此：</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26"/>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对于药品</w:t>
      </w:r>
      <w:r w:rsidRPr="00C277C0">
        <w:rPr>
          <w:rFonts w:eastAsia="宋体" w:hint="eastAsia"/>
          <w:snapToGrid w:val="0"/>
          <w:sz w:val="24"/>
          <w:szCs w:val="24"/>
          <w:lang w:eastAsia="zh-CN"/>
        </w:rPr>
        <w:t>-</w:t>
      </w:r>
      <w:r w:rsidRPr="00C277C0">
        <w:rPr>
          <w:rFonts w:eastAsia="宋体" w:hint="eastAsia"/>
          <w:snapToGrid w:val="0"/>
          <w:sz w:val="24"/>
          <w:szCs w:val="24"/>
          <w:lang w:eastAsia="zh-CN"/>
        </w:rPr>
        <w:t>生物制品组合产品，该期限为</w:t>
      </w:r>
      <w:r w:rsidRPr="00C277C0">
        <w:rPr>
          <w:rFonts w:eastAsia="宋体" w:hint="eastAsia"/>
          <w:snapToGrid w:val="0"/>
          <w:sz w:val="24"/>
          <w:szCs w:val="24"/>
          <w:lang w:eastAsia="zh-CN"/>
        </w:rPr>
        <w:t>10</w:t>
      </w:r>
      <w:r w:rsidRPr="00C277C0">
        <w:rPr>
          <w:rFonts w:eastAsia="宋体" w:hint="eastAsia"/>
          <w:snapToGrid w:val="0"/>
          <w:sz w:val="24"/>
          <w:szCs w:val="24"/>
          <w:lang w:eastAsia="zh-CN"/>
        </w:rPr>
        <w:t>年（</w:t>
      </w:r>
      <w:r w:rsidR="000D3C3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314.80</w:t>
      </w:r>
      <w:r w:rsidR="00FA5CED" w:rsidRPr="00C277C0">
        <w:rPr>
          <w:rFonts w:eastAsia="宋体" w:hint="eastAsia"/>
          <w:snapToGrid w:val="0"/>
          <w:sz w:val="24"/>
          <w:szCs w:val="24"/>
          <w:lang w:eastAsia="zh-CN"/>
        </w:rPr>
        <w:t>（</w:t>
      </w:r>
      <w:r w:rsidRPr="00C277C0">
        <w:rPr>
          <w:rFonts w:eastAsia="宋体" w:hint="eastAsia"/>
          <w:snapToGrid w:val="0"/>
          <w:sz w:val="24"/>
          <w:szCs w:val="24"/>
          <w:lang w:eastAsia="zh-CN"/>
        </w:rPr>
        <w:t>j</w:t>
      </w:r>
      <w:r w:rsidR="00FA5CED" w:rsidRPr="00C277C0">
        <w:rPr>
          <w:rFonts w:eastAsia="宋体" w:hint="eastAsia"/>
          <w:snapToGrid w:val="0"/>
          <w:sz w:val="24"/>
          <w:szCs w:val="24"/>
          <w:lang w:eastAsia="zh-CN"/>
        </w:rPr>
        <w:t>）</w:t>
      </w:r>
      <w:r w:rsidRPr="00C277C0">
        <w:rPr>
          <w:rFonts w:eastAsia="宋体" w:hint="eastAsia"/>
          <w:snapToGrid w:val="0"/>
          <w:sz w:val="24"/>
          <w:szCs w:val="24"/>
          <w:lang w:eastAsia="zh-CN"/>
        </w:rPr>
        <w:t>和</w:t>
      </w:r>
      <w:r w:rsidRPr="00C277C0">
        <w:rPr>
          <w:rFonts w:eastAsia="宋体" w:hint="eastAsia"/>
          <w:snapToGrid w:val="0"/>
          <w:sz w:val="24"/>
          <w:szCs w:val="24"/>
          <w:lang w:eastAsia="zh-CN"/>
        </w:rPr>
        <w:t>600.80</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k</w:t>
      </w:r>
      <w:r w:rsidR="00990237" w:rsidRPr="00C277C0">
        <w:rPr>
          <w:rFonts w:eastAsia="宋体" w:hint="eastAsia"/>
          <w:snapToGrid w:val="0"/>
          <w:sz w:val="24"/>
          <w:szCs w:val="24"/>
          <w:lang w:eastAsia="zh-CN"/>
        </w:rPr>
        <w:t>）</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26"/>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对于包含器械组成部分的组合产品，该期限应为</w:t>
      </w:r>
      <w:r w:rsidRPr="00C277C0">
        <w:rPr>
          <w:rFonts w:eastAsia="宋体" w:hint="eastAsia"/>
          <w:snapToGrid w:val="0"/>
          <w:sz w:val="24"/>
          <w:szCs w:val="24"/>
          <w:lang w:eastAsia="zh-CN"/>
        </w:rPr>
        <w:t>10</w:t>
      </w:r>
      <w:r w:rsidRPr="00C277C0">
        <w:rPr>
          <w:rFonts w:eastAsia="宋体" w:hint="eastAsia"/>
          <w:snapToGrid w:val="0"/>
          <w:sz w:val="24"/>
          <w:szCs w:val="24"/>
          <w:lang w:eastAsia="zh-CN"/>
        </w:rPr>
        <w:t>年或超过产品预期寿命</w:t>
      </w:r>
      <w:r w:rsidRPr="00C277C0">
        <w:rPr>
          <w:rFonts w:eastAsia="宋体" w:hint="eastAsia"/>
          <w:snapToGrid w:val="0"/>
          <w:sz w:val="24"/>
          <w:szCs w:val="24"/>
          <w:lang w:eastAsia="zh-CN"/>
        </w:rPr>
        <w:t>2</w:t>
      </w:r>
      <w:r w:rsidRPr="00C277C0">
        <w:rPr>
          <w:rFonts w:eastAsia="宋体" w:hint="eastAsia"/>
          <w:snapToGrid w:val="0"/>
          <w:sz w:val="24"/>
          <w:szCs w:val="24"/>
          <w:lang w:eastAsia="zh-CN"/>
        </w:rPr>
        <w:t>年，以较长者为准（</w:t>
      </w:r>
      <w:r w:rsidR="00C2328D">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314.80</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j</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w:t>
      </w:r>
      <w:r w:rsidRPr="00C277C0">
        <w:rPr>
          <w:rFonts w:eastAsia="宋体" w:hint="eastAsia"/>
          <w:snapToGrid w:val="0"/>
          <w:sz w:val="24"/>
          <w:szCs w:val="24"/>
          <w:lang w:eastAsia="zh-CN"/>
        </w:rPr>
        <w:t>600.80</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k</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w:t>
      </w:r>
      <w:r w:rsidRPr="00C277C0">
        <w:rPr>
          <w:rFonts w:eastAsia="宋体" w:hint="eastAsia"/>
          <w:snapToGrid w:val="0"/>
          <w:sz w:val="24"/>
          <w:szCs w:val="24"/>
          <w:lang w:eastAsia="zh-CN"/>
        </w:rPr>
        <w:t>803.18</w:t>
      </w:r>
      <w:r w:rsidRPr="00C277C0">
        <w:rPr>
          <w:rFonts w:eastAsia="宋体" w:hint="eastAsia"/>
          <w:snapToGrid w:val="0"/>
          <w:sz w:val="24"/>
          <w:szCs w:val="24"/>
          <w:lang w:eastAsia="zh-CN"/>
        </w:rPr>
        <w:t>、</w:t>
      </w:r>
      <w:r w:rsidRPr="00C277C0">
        <w:rPr>
          <w:rFonts w:eastAsia="宋体" w:hint="eastAsia"/>
          <w:snapToGrid w:val="0"/>
          <w:sz w:val="24"/>
          <w:szCs w:val="24"/>
          <w:lang w:eastAsia="zh-CN"/>
        </w:rPr>
        <w:t>806.20</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tabs>
          <w:tab w:val="left" w:pos="911"/>
        </w:tabs>
        <w:autoSpaceDE/>
        <w:autoSpaceDN/>
        <w:snapToGrid w:val="0"/>
        <w:ind w:leftChars="400" w:left="880" w:firstLineChars="200" w:firstLine="480"/>
        <w:jc w:val="both"/>
        <w:rPr>
          <w:rFonts w:eastAsia="宋体"/>
          <w:snapToGrid w:val="0"/>
          <w:lang w:eastAsia="zh-CN"/>
        </w:rPr>
      </w:pPr>
      <w:r w:rsidRPr="00C277C0">
        <w:rPr>
          <w:rFonts w:eastAsia="宋体" w:hint="eastAsia"/>
          <w:snapToGrid w:val="0"/>
          <w:lang w:eastAsia="zh-CN"/>
        </w:rPr>
        <w:t>例如，如果植入式药械组合产品的预期寿命为</w:t>
      </w:r>
      <w:r w:rsidRPr="00C277C0">
        <w:rPr>
          <w:rFonts w:eastAsia="宋体" w:hint="eastAsia"/>
          <w:snapToGrid w:val="0"/>
          <w:lang w:eastAsia="zh-CN"/>
        </w:rPr>
        <w:t>3</w:t>
      </w:r>
      <w:r w:rsidRPr="00C277C0">
        <w:rPr>
          <w:rFonts w:eastAsia="宋体" w:hint="eastAsia"/>
          <w:snapToGrid w:val="0"/>
          <w:lang w:eastAsia="zh-CN"/>
        </w:rPr>
        <w:t>年，则适用的最长记录保存要求为</w:t>
      </w:r>
      <w:r w:rsidRPr="00C277C0">
        <w:rPr>
          <w:rFonts w:eastAsia="宋体" w:hint="eastAsia"/>
          <w:snapToGrid w:val="0"/>
          <w:lang w:eastAsia="zh-CN"/>
        </w:rPr>
        <w:t>10</w:t>
      </w:r>
      <w:r w:rsidRPr="00C277C0">
        <w:rPr>
          <w:rFonts w:eastAsia="宋体" w:hint="eastAsia"/>
          <w:snapToGrid w:val="0"/>
          <w:lang w:eastAsia="zh-CN"/>
        </w:rPr>
        <w:t>年。相反，如果该组合产品的预期寿命为</w:t>
      </w:r>
      <w:r w:rsidRPr="00C277C0">
        <w:rPr>
          <w:rFonts w:eastAsia="宋体" w:hint="eastAsia"/>
          <w:snapToGrid w:val="0"/>
          <w:lang w:eastAsia="zh-CN"/>
        </w:rPr>
        <w:t>9</w:t>
      </w:r>
      <w:r w:rsidRPr="00C277C0">
        <w:rPr>
          <w:rFonts w:eastAsia="宋体" w:hint="eastAsia"/>
          <w:snapToGrid w:val="0"/>
          <w:lang w:eastAsia="zh-CN"/>
        </w:rPr>
        <w:t>年，则适用的最长记录保存要求将是预期寿命加上两年（在这种情况下等于</w:t>
      </w:r>
      <w:r w:rsidRPr="00C277C0">
        <w:rPr>
          <w:rFonts w:eastAsia="宋体" w:hint="eastAsia"/>
          <w:snapToGrid w:val="0"/>
          <w:lang w:eastAsia="zh-CN"/>
        </w:rPr>
        <w:t>11</w:t>
      </w:r>
      <w:r w:rsidRPr="00C277C0">
        <w:rPr>
          <w:rFonts w:eastAsia="宋体" w:hint="eastAsia"/>
          <w:snapToGrid w:val="0"/>
          <w:lang w:eastAsia="zh-CN"/>
        </w:rPr>
        <w:t>年）。</w:t>
      </w:r>
    </w:p>
    <w:p w:rsidR="00C1273A" w:rsidRPr="00C277C0" w:rsidRDefault="00C1273A" w:rsidP="00C1273A">
      <w:pPr>
        <w:pStyle w:val="a3"/>
        <w:autoSpaceDE/>
        <w:autoSpaceDN/>
        <w:snapToGrid w:val="0"/>
        <w:ind w:leftChars="400" w:left="880"/>
        <w:jc w:val="both"/>
        <w:rPr>
          <w:rFonts w:eastAsia="宋体"/>
          <w:snapToGrid w:val="0"/>
          <w:lang w:eastAsia="zh-CN"/>
        </w:rPr>
      </w:pPr>
      <w:bookmarkStart w:id="33" w:name="_Toc95145706"/>
    </w:p>
    <w:p w:rsidR="00C1273A" w:rsidRPr="00B403CB" w:rsidRDefault="00CB2C74" w:rsidP="00B403CB">
      <w:pPr>
        <w:pStyle w:val="1"/>
        <w:numPr>
          <w:ilvl w:val="0"/>
          <w:numId w:val="43"/>
        </w:numPr>
        <w:tabs>
          <w:tab w:val="left" w:pos="868"/>
        </w:tabs>
        <w:autoSpaceDE/>
        <w:autoSpaceDN/>
        <w:spacing w:beforeLines="0" w:before="0" w:line="240" w:lineRule="auto"/>
        <w:ind w:left="880" w:hangingChars="313" w:hanging="880"/>
        <w:rPr>
          <w:sz w:val="28"/>
          <w:lang w:eastAsia="zh-CN"/>
        </w:rPr>
      </w:pPr>
      <w:bookmarkStart w:id="34" w:name="_Toc97551507"/>
      <w:r w:rsidRPr="00B403CB">
        <w:rPr>
          <w:rFonts w:hint="eastAsia"/>
          <w:sz w:val="28"/>
          <w:lang w:eastAsia="zh-CN"/>
        </w:rPr>
        <w:t>组合产品申请人的流程考虑事项</w:t>
      </w:r>
      <w:bookmarkEnd w:id="33"/>
      <w:bookmarkEnd w:id="34"/>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以下各节讨论了最终规则规定的监管要求，并为组合产品申请人</w:t>
      </w:r>
      <w:r w:rsidR="00FE2212" w:rsidRPr="00C277C0">
        <w:rPr>
          <w:rStyle w:val="af4"/>
          <w:rFonts w:eastAsia="宋体" w:hint="eastAsia"/>
          <w:snapToGrid w:val="0"/>
          <w:lang w:eastAsia="zh-CN"/>
        </w:rPr>
        <w:footnoteReference w:id="40"/>
      </w:r>
      <w:r w:rsidRPr="00C277C0">
        <w:rPr>
          <w:rFonts w:eastAsia="宋体" w:hint="eastAsia"/>
          <w:snapToGrid w:val="0"/>
          <w:lang w:eastAsia="zh-CN"/>
        </w:rPr>
        <w:t>提供了向</w:t>
      </w:r>
      <w:r w:rsidRPr="00C277C0">
        <w:rPr>
          <w:rFonts w:eastAsia="宋体" w:hint="eastAsia"/>
          <w:snapToGrid w:val="0"/>
          <w:lang w:eastAsia="zh-CN"/>
        </w:rPr>
        <w:t>FDA</w:t>
      </w:r>
      <w:r w:rsidRPr="00C277C0">
        <w:rPr>
          <w:rFonts w:eastAsia="宋体" w:hint="eastAsia"/>
          <w:snapToGrid w:val="0"/>
          <w:lang w:eastAsia="zh-CN"/>
        </w:rPr>
        <w:t>提交</w:t>
      </w:r>
      <w:r w:rsidRPr="00C277C0">
        <w:rPr>
          <w:rFonts w:eastAsia="宋体" w:hint="eastAsia"/>
          <w:snapToGrid w:val="0"/>
          <w:lang w:eastAsia="zh-CN"/>
        </w:rPr>
        <w:t>PMSR</w:t>
      </w:r>
      <w:r w:rsidRPr="00C277C0">
        <w:rPr>
          <w:rFonts w:eastAsia="宋体" w:hint="eastAsia"/>
          <w:snapToGrid w:val="0"/>
          <w:lang w:eastAsia="zh-CN"/>
        </w:rPr>
        <w:t>报告的地点、方式和时间的指南。因为预期组成部分申请人已熟悉适用于其组成部分的报告流程，因此这些章节中未具体讨论组成部分申请人提交</w:t>
      </w:r>
      <w:r w:rsidRPr="00C277C0">
        <w:rPr>
          <w:rFonts w:eastAsia="宋体" w:hint="eastAsia"/>
          <w:snapToGrid w:val="0"/>
          <w:lang w:eastAsia="zh-CN"/>
        </w:rPr>
        <w:t>PMSR</w:t>
      </w:r>
      <w:r w:rsidRPr="00C277C0">
        <w:rPr>
          <w:rFonts w:eastAsia="宋体" w:hint="eastAsia"/>
          <w:snapToGrid w:val="0"/>
          <w:lang w:eastAsia="zh-CN"/>
        </w:rPr>
        <w:t>报告的流程（但</w:t>
      </w:r>
      <w:r w:rsidR="00A00C22">
        <w:rPr>
          <w:rFonts w:eastAsia="宋体" w:hint="eastAsia"/>
          <w:snapToGrid w:val="0"/>
          <w:lang w:eastAsia="zh-CN"/>
        </w:rPr>
        <w:t>请参见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4.104</w:t>
      </w:r>
      <w:r w:rsidR="00990237" w:rsidRPr="00C277C0">
        <w:rPr>
          <w:rFonts w:eastAsia="宋体" w:hint="eastAsia"/>
          <w:snapToGrid w:val="0"/>
          <w:lang w:eastAsia="zh-CN"/>
        </w:rPr>
        <w:t>（</w:t>
      </w:r>
      <w:r w:rsidRPr="00C277C0">
        <w:rPr>
          <w:rFonts w:eastAsia="宋体" w:hint="eastAsia"/>
          <w:snapToGrid w:val="0"/>
          <w:lang w:eastAsia="zh-CN"/>
        </w:rPr>
        <w:t>a</w:t>
      </w:r>
      <w:r w:rsidR="00990237" w:rsidRPr="00C277C0">
        <w:rPr>
          <w:rFonts w:eastAsia="宋体" w:hint="eastAsia"/>
          <w:snapToGrid w:val="0"/>
          <w:lang w:eastAsia="zh-CN"/>
        </w:rPr>
        <w:t>）</w:t>
      </w:r>
      <w:r w:rsidR="00AE00AC">
        <w:rPr>
          <w:rFonts w:eastAsia="宋体" w:hint="eastAsia"/>
          <w:snapToGrid w:val="0"/>
          <w:lang w:eastAsia="zh-CN"/>
        </w:rPr>
        <w:t>节</w:t>
      </w:r>
      <w:r w:rsidRPr="00C277C0">
        <w:rPr>
          <w:rFonts w:eastAsia="宋体" w:hint="eastAsia"/>
          <w:snapToGrid w:val="0"/>
          <w:lang w:eastAsia="zh-CN"/>
        </w:rPr>
        <w:t>和脚注</w:t>
      </w:r>
      <w:r w:rsidRPr="00C277C0">
        <w:rPr>
          <w:rFonts w:eastAsia="宋体" w:hint="eastAsia"/>
          <w:snapToGrid w:val="0"/>
          <w:lang w:eastAsia="zh-CN"/>
        </w:rPr>
        <w:t>42</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35" w:name="_Toc95145707"/>
      <w:bookmarkStart w:id="36" w:name="_Toc97551508"/>
      <w:r w:rsidRPr="00C277C0">
        <w:rPr>
          <w:rFonts w:hint="eastAsia"/>
          <w:snapToGrid w:val="0"/>
          <w:szCs w:val="24"/>
          <w:lang w:eastAsia="zh-CN"/>
        </w:rPr>
        <w:t>A.</w:t>
      </w:r>
      <w:r w:rsidRPr="00C277C0">
        <w:rPr>
          <w:rFonts w:hint="eastAsia"/>
          <w:snapToGrid w:val="0"/>
          <w:szCs w:val="24"/>
          <w:lang w:eastAsia="zh-CN"/>
        </w:rPr>
        <w:tab/>
      </w:r>
      <w:r w:rsidRPr="00C277C0">
        <w:rPr>
          <w:rFonts w:hint="eastAsia"/>
          <w:snapToGrid w:val="0"/>
          <w:szCs w:val="24"/>
          <w:lang w:eastAsia="zh-CN"/>
        </w:rPr>
        <w:t>向</w:t>
      </w:r>
      <w:r w:rsidRPr="00C277C0">
        <w:rPr>
          <w:rFonts w:hint="eastAsia"/>
          <w:snapToGrid w:val="0"/>
          <w:szCs w:val="24"/>
          <w:lang w:eastAsia="zh-CN"/>
        </w:rPr>
        <w:t>FDA</w:t>
      </w:r>
      <w:r w:rsidRPr="00C277C0">
        <w:rPr>
          <w:rFonts w:hint="eastAsia"/>
          <w:snapToGrid w:val="0"/>
          <w:szCs w:val="24"/>
          <w:lang w:eastAsia="zh-CN"/>
        </w:rPr>
        <w:t>提交组合产品</w:t>
      </w:r>
      <w:r w:rsidRPr="00C277C0">
        <w:rPr>
          <w:rFonts w:hint="eastAsia"/>
          <w:snapToGrid w:val="0"/>
          <w:szCs w:val="24"/>
          <w:lang w:eastAsia="zh-CN"/>
        </w:rPr>
        <w:t>PMSR</w:t>
      </w:r>
      <w:r w:rsidRPr="00C277C0">
        <w:rPr>
          <w:rFonts w:hint="eastAsia"/>
          <w:snapToGrid w:val="0"/>
          <w:szCs w:val="24"/>
          <w:lang w:eastAsia="zh-CN"/>
        </w:rPr>
        <w:t>信息</w:t>
      </w:r>
      <w:bookmarkEnd w:id="35"/>
      <w:r w:rsidR="00162DC9" w:rsidRPr="00C277C0">
        <w:rPr>
          <w:rFonts w:hint="eastAsia"/>
          <w:snapToGrid w:val="0"/>
          <w:szCs w:val="24"/>
          <w:lang w:eastAsia="zh-CN"/>
        </w:rPr>
        <w:t>的方式</w:t>
      </w:r>
      <w:bookmarkEnd w:id="36"/>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1.</w:t>
      </w:r>
      <w:r w:rsidRPr="00C277C0">
        <w:rPr>
          <w:rFonts w:hint="eastAsia"/>
          <w:snapToGrid w:val="0"/>
          <w:lang w:eastAsia="zh-CN"/>
        </w:rPr>
        <w:tab/>
      </w:r>
      <w:r w:rsidRPr="00C277C0">
        <w:rPr>
          <w:rFonts w:hint="eastAsia"/>
          <w:snapToGrid w:val="0"/>
          <w:lang w:eastAsia="zh-CN"/>
        </w:rPr>
        <w:t>提交报告应遵循</w:t>
      </w:r>
      <w:r w:rsidR="00295616" w:rsidRPr="00C277C0">
        <w:rPr>
          <w:rFonts w:hint="eastAsia"/>
          <w:snapToGrid w:val="0"/>
          <w:lang w:eastAsia="zh-CN"/>
        </w:rPr>
        <w:t>何种</w:t>
      </w:r>
      <w:r w:rsidRPr="00C277C0">
        <w:rPr>
          <w:rFonts w:hint="eastAsia"/>
          <w:snapToGrid w:val="0"/>
          <w:lang w:eastAsia="zh-CN"/>
        </w:rPr>
        <w:t>时间表？</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组合产品申请人应遵循与报告类型相关的时间表，但对于根据器械申请获得上市许可的组合产品，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314.80</w:t>
      </w:r>
      <w:r w:rsidRPr="00C277C0">
        <w:rPr>
          <w:rFonts w:eastAsia="宋体" w:hint="eastAsia"/>
          <w:snapToGrid w:val="0"/>
          <w:lang w:eastAsia="zh-CN"/>
        </w:rPr>
        <w:t>或</w:t>
      </w:r>
      <w:r w:rsidRPr="00C277C0">
        <w:rPr>
          <w:rFonts w:eastAsia="宋体" w:hint="eastAsia"/>
          <w:snapToGrid w:val="0"/>
          <w:lang w:eastAsia="zh-CN"/>
        </w:rPr>
        <w:t>600.80</w:t>
      </w:r>
      <w:r w:rsidR="00AE00AC">
        <w:rPr>
          <w:rFonts w:eastAsia="宋体" w:hint="eastAsia"/>
          <w:snapToGrid w:val="0"/>
          <w:lang w:eastAsia="zh-CN"/>
        </w:rPr>
        <w:t>节</w:t>
      </w:r>
      <w:r w:rsidRPr="00C277C0">
        <w:rPr>
          <w:rFonts w:eastAsia="宋体" w:hint="eastAsia"/>
          <w:snapToGrid w:val="0"/>
          <w:lang w:eastAsia="zh-CN"/>
        </w:rPr>
        <w:t>规定的</w:t>
      </w:r>
      <w:r w:rsidRPr="00C277C0">
        <w:rPr>
          <w:rFonts w:eastAsia="宋体" w:hint="eastAsia"/>
          <w:snapToGrid w:val="0"/>
          <w:lang w:eastAsia="zh-CN"/>
        </w:rPr>
        <w:t>15</w:t>
      </w:r>
      <w:r w:rsidRPr="00C277C0">
        <w:rPr>
          <w:rFonts w:eastAsia="宋体" w:hint="eastAsia"/>
          <w:snapToGrid w:val="0"/>
          <w:lang w:eastAsia="zh-CN"/>
        </w:rPr>
        <w:t>天报告可在</w:t>
      </w:r>
      <w:r w:rsidRPr="00C277C0">
        <w:rPr>
          <w:rFonts w:eastAsia="宋体" w:hint="eastAsia"/>
          <w:snapToGrid w:val="0"/>
          <w:lang w:eastAsia="zh-CN"/>
        </w:rPr>
        <w:t>30</w:t>
      </w:r>
      <w:r w:rsidRPr="00C277C0">
        <w:rPr>
          <w:rFonts w:eastAsia="宋体" w:hint="eastAsia"/>
          <w:snapToGrid w:val="0"/>
          <w:lang w:eastAsia="zh-CN"/>
        </w:rPr>
        <w:t>个日历日内提交，而不是在</w:t>
      </w:r>
      <w:r w:rsidRPr="00C277C0">
        <w:rPr>
          <w:rFonts w:eastAsia="宋体" w:hint="eastAsia"/>
          <w:snapToGrid w:val="0"/>
          <w:lang w:eastAsia="zh-CN"/>
        </w:rPr>
        <w:t>15</w:t>
      </w:r>
      <w:r w:rsidRPr="00C277C0">
        <w:rPr>
          <w:rFonts w:eastAsia="宋体" w:hint="eastAsia"/>
          <w:snapToGrid w:val="0"/>
          <w:lang w:eastAsia="zh-CN"/>
        </w:rPr>
        <w:t>个日历日内提交（</w:t>
      </w:r>
      <w:r w:rsidR="00C2328D">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00990237" w:rsidRPr="00C277C0">
        <w:rPr>
          <w:rFonts w:eastAsia="宋体" w:hint="eastAsia"/>
          <w:snapToGrid w:val="0"/>
          <w:lang w:eastAsia="zh-CN"/>
        </w:rPr>
        <w:t>（</w:t>
      </w:r>
      <w:r w:rsidRPr="00C277C0">
        <w:rPr>
          <w:rFonts w:eastAsia="宋体" w:hint="eastAsia"/>
          <w:snapToGrid w:val="0"/>
          <w:lang w:eastAsia="zh-CN"/>
        </w:rPr>
        <w:t>c</w:t>
      </w:r>
      <w:r w:rsidR="00990237" w:rsidRPr="00C277C0">
        <w:rPr>
          <w:rFonts w:eastAsia="宋体" w:hint="eastAsia"/>
          <w:snapToGrid w:val="0"/>
          <w:lang w:eastAsia="zh-CN"/>
        </w:rPr>
        <w:t>）（</w:t>
      </w:r>
      <w:r w:rsidRPr="00C277C0">
        <w:rPr>
          <w:rFonts w:eastAsia="宋体" w:hint="eastAsia"/>
          <w:snapToGrid w:val="0"/>
          <w:lang w:eastAsia="zh-CN"/>
        </w:rPr>
        <w:t>2</w:t>
      </w:r>
      <w:r w:rsidR="00990237" w:rsidRPr="00C277C0">
        <w:rPr>
          <w:rFonts w:eastAsia="宋体" w:hint="eastAsia"/>
          <w:snapToGrid w:val="0"/>
          <w:lang w:eastAsia="zh-CN"/>
        </w:rPr>
        <w:t>）（</w:t>
      </w:r>
      <w:r w:rsidRPr="00C277C0">
        <w:rPr>
          <w:rFonts w:eastAsia="宋体" w:hint="eastAsia"/>
          <w:snapToGrid w:val="0"/>
          <w:lang w:eastAsia="zh-CN"/>
        </w:rPr>
        <w:t>ii</w:t>
      </w:r>
      <w:r w:rsidR="00990237" w:rsidRPr="00C277C0">
        <w:rPr>
          <w:rFonts w:eastAsia="宋体" w:hint="eastAsia"/>
          <w:snapToGrid w:val="0"/>
          <w:lang w:eastAsia="zh-CN"/>
        </w:rPr>
        <w:t>）</w:t>
      </w:r>
      <w:r w:rsidRPr="00C277C0">
        <w:rPr>
          <w:rFonts w:eastAsia="宋体" w:hint="eastAsia"/>
          <w:snapToGrid w:val="0"/>
          <w:lang w:eastAsia="zh-CN"/>
        </w:rPr>
        <w:t>及</w:t>
      </w:r>
      <w:r w:rsidR="00990237" w:rsidRPr="00C277C0">
        <w:rPr>
          <w:rFonts w:eastAsia="宋体" w:hint="eastAsia"/>
          <w:snapToGrid w:val="0"/>
          <w:lang w:eastAsia="zh-CN"/>
        </w:rPr>
        <w:t>（</w:t>
      </w:r>
      <w:r w:rsidRPr="00C277C0">
        <w:rPr>
          <w:rFonts w:eastAsia="宋体" w:hint="eastAsia"/>
          <w:snapToGrid w:val="0"/>
          <w:lang w:eastAsia="zh-CN"/>
        </w:rPr>
        <w:t>c</w:t>
      </w:r>
      <w:r w:rsidR="00990237" w:rsidRPr="00C277C0">
        <w:rPr>
          <w:rFonts w:eastAsia="宋体" w:hint="eastAsia"/>
          <w:snapToGrid w:val="0"/>
          <w:lang w:eastAsia="zh-CN"/>
        </w:rPr>
        <w:t>）（</w:t>
      </w:r>
      <w:r w:rsidRPr="00C277C0">
        <w:rPr>
          <w:rFonts w:eastAsia="宋体" w:hint="eastAsia"/>
          <w:snapToGrid w:val="0"/>
          <w:lang w:eastAsia="zh-CN"/>
        </w:rPr>
        <w:t>3</w:t>
      </w:r>
      <w:r w:rsidR="00990237" w:rsidRPr="00C277C0">
        <w:rPr>
          <w:rFonts w:eastAsia="宋体" w:hint="eastAsia"/>
          <w:snapToGrid w:val="0"/>
          <w:lang w:eastAsia="zh-CN"/>
        </w:rPr>
        <w:t>）（</w:t>
      </w:r>
      <w:r w:rsidRPr="00C277C0">
        <w:rPr>
          <w:rFonts w:eastAsia="宋体" w:hint="eastAsia"/>
          <w:snapToGrid w:val="0"/>
          <w:lang w:eastAsia="zh-CN"/>
        </w:rPr>
        <w:t>ii</w:t>
      </w:r>
      <w:r w:rsidR="00990237"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097329" w:rsidP="00C1273A">
      <w:pPr>
        <w:autoSpaceDE/>
        <w:autoSpaceDN/>
        <w:snapToGrid w:val="0"/>
        <w:jc w:val="both"/>
        <w:rPr>
          <w:rFonts w:eastAsia="宋体"/>
          <w:snapToGrid w:val="0"/>
          <w:sz w:val="24"/>
          <w:szCs w:val="24"/>
          <w:lang w:eastAsia="zh-CN"/>
        </w:rPr>
      </w:pPr>
      <w:r w:rsidRPr="00C277C0">
        <w:rPr>
          <w:rFonts w:eastAsia="宋体" w:hint="eastAsia"/>
          <w:snapToGrid w:val="0"/>
          <w:sz w:val="24"/>
          <w:szCs w:val="24"/>
          <w:lang w:eastAsia="zh-CN"/>
        </w:rPr>
        <w:br w:type="page"/>
      </w:r>
    </w:p>
    <w:p w:rsidR="00C1273A" w:rsidRPr="00C277C0" w:rsidRDefault="00C1273A" w:rsidP="00C1273A">
      <w:pPr>
        <w:autoSpaceDE/>
        <w:autoSpaceDN/>
        <w:snapToGrid w:val="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报告时间表概述如下。</w:t>
      </w:r>
    </w:p>
    <w:p w:rsidR="00C1273A" w:rsidRPr="00C277C0" w:rsidRDefault="00C1273A" w:rsidP="00C1273A">
      <w:pPr>
        <w:pStyle w:val="a3"/>
        <w:autoSpaceDE/>
        <w:autoSpaceDN/>
        <w:snapToGrid w:val="0"/>
        <w:jc w:val="both"/>
        <w:rPr>
          <w:rFonts w:eastAsia="宋体"/>
          <w:snapToGrid w:val="0"/>
          <w:lang w:eastAsia="zh-CN"/>
        </w:rPr>
      </w:pPr>
    </w:p>
    <w:p w:rsidR="00D83601" w:rsidRPr="00C277C0" w:rsidRDefault="00097329" w:rsidP="00B403CB">
      <w:pPr>
        <w:autoSpaceDE/>
        <w:autoSpaceDN/>
        <w:snapToGrid w:val="0"/>
        <w:jc w:val="both"/>
        <w:rPr>
          <w:rFonts w:eastAsia="宋体"/>
          <w:b/>
          <w:snapToGrid w:val="0"/>
          <w:sz w:val="24"/>
          <w:szCs w:val="24"/>
          <w:lang w:eastAsia="zh-CN"/>
        </w:rPr>
      </w:pPr>
      <w:r w:rsidRPr="00C277C0">
        <w:rPr>
          <w:rFonts w:eastAsia="宋体" w:hint="eastAsia"/>
          <w:b/>
          <w:snapToGrid w:val="0"/>
          <w:sz w:val="24"/>
          <w:szCs w:val="24"/>
          <w:lang w:eastAsia="zh-CN"/>
        </w:rPr>
        <w:t>表</w:t>
      </w:r>
      <w:r w:rsidRPr="00C277C0">
        <w:rPr>
          <w:rFonts w:eastAsia="宋体" w:hint="eastAsia"/>
          <w:b/>
          <w:snapToGrid w:val="0"/>
          <w:sz w:val="24"/>
          <w:szCs w:val="24"/>
          <w:lang w:eastAsia="zh-CN"/>
        </w:rPr>
        <w:t>1.</w:t>
      </w:r>
      <w:r w:rsidRPr="00C277C0">
        <w:rPr>
          <w:rFonts w:eastAsia="宋体" w:hint="eastAsia"/>
          <w:b/>
          <w:snapToGrid w:val="0"/>
          <w:sz w:val="24"/>
          <w:szCs w:val="24"/>
          <w:lang w:eastAsia="zh-CN"/>
        </w:rPr>
        <w:t>各种组合产品</w:t>
      </w:r>
      <w:r w:rsidRPr="00C277C0">
        <w:rPr>
          <w:rFonts w:eastAsia="宋体" w:hint="eastAsia"/>
          <w:b/>
          <w:snapToGrid w:val="0"/>
          <w:sz w:val="24"/>
          <w:szCs w:val="24"/>
          <w:lang w:eastAsia="zh-CN"/>
        </w:rPr>
        <w:t>PMSR</w:t>
      </w:r>
      <w:r w:rsidRPr="00C277C0">
        <w:rPr>
          <w:rFonts w:eastAsia="宋体" w:hint="eastAsia"/>
          <w:b/>
          <w:snapToGrid w:val="0"/>
          <w:sz w:val="24"/>
          <w:szCs w:val="24"/>
          <w:lang w:eastAsia="zh-CN"/>
        </w:rPr>
        <w:t>要求的时间表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6"/>
        <w:gridCol w:w="7295"/>
      </w:tblGrid>
      <w:tr w:rsidR="00C1273A" w:rsidRPr="00C277C0" w:rsidTr="00B403CB">
        <w:tc>
          <w:tcPr>
            <w:tcW w:w="1189" w:type="pct"/>
            <w:shd w:val="clear" w:color="auto" w:fill="auto"/>
          </w:tcPr>
          <w:p w:rsidR="00D83601" w:rsidRPr="00C277C0" w:rsidRDefault="00097329" w:rsidP="00B403CB">
            <w:pPr>
              <w:pStyle w:val="TableParagraph"/>
              <w:autoSpaceDE/>
              <w:autoSpaceDN/>
              <w:snapToGrid w:val="0"/>
              <w:jc w:val="both"/>
              <w:rPr>
                <w:rFonts w:eastAsia="宋体"/>
                <w:b/>
                <w:snapToGrid w:val="0"/>
                <w:sz w:val="21"/>
                <w:szCs w:val="21"/>
                <w:lang w:eastAsia="zh-CN"/>
              </w:rPr>
            </w:pPr>
            <w:r w:rsidRPr="00C277C0">
              <w:rPr>
                <w:rFonts w:eastAsia="宋体" w:hint="eastAsia"/>
                <w:b/>
                <w:snapToGrid w:val="0"/>
                <w:sz w:val="21"/>
                <w:szCs w:val="21"/>
                <w:lang w:eastAsia="zh-CN"/>
              </w:rPr>
              <w:t>报告类型</w:t>
            </w:r>
          </w:p>
        </w:tc>
        <w:tc>
          <w:tcPr>
            <w:tcW w:w="3811" w:type="pct"/>
            <w:shd w:val="clear" w:color="auto" w:fill="auto"/>
          </w:tcPr>
          <w:p w:rsidR="00D83601" w:rsidRPr="00C277C0" w:rsidRDefault="00097329" w:rsidP="00B403CB">
            <w:pPr>
              <w:pStyle w:val="TableParagraph"/>
              <w:autoSpaceDE/>
              <w:autoSpaceDN/>
              <w:snapToGrid w:val="0"/>
              <w:jc w:val="both"/>
              <w:rPr>
                <w:rFonts w:eastAsia="宋体"/>
                <w:b/>
                <w:snapToGrid w:val="0"/>
                <w:sz w:val="21"/>
                <w:szCs w:val="21"/>
                <w:lang w:eastAsia="zh-CN"/>
              </w:rPr>
            </w:pPr>
            <w:r w:rsidRPr="00C277C0">
              <w:rPr>
                <w:rFonts w:eastAsia="宋体" w:hint="eastAsia"/>
                <w:b/>
                <w:snapToGrid w:val="0"/>
                <w:sz w:val="21"/>
                <w:szCs w:val="21"/>
                <w:lang w:eastAsia="zh-CN"/>
              </w:rPr>
              <w:t>报告时间表</w:t>
            </w:r>
          </w:p>
        </w:tc>
      </w:tr>
      <w:tr w:rsidR="00C1273A" w:rsidRPr="00C277C0" w:rsidTr="00B403CB">
        <w:tc>
          <w:tcPr>
            <w:tcW w:w="1189"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15</w:t>
            </w:r>
            <w:r w:rsidRPr="00C277C0">
              <w:rPr>
                <w:rFonts w:eastAsia="宋体" w:hint="eastAsia"/>
                <w:snapToGrid w:val="0"/>
                <w:sz w:val="21"/>
                <w:szCs w:val="21"/>
                <w:lang w:eastAsia="zh-CN"/>
              </w:rPr>
              <w:t>天报告</w:t>
            </w:r>
          </w:p>
        </w:tc>
        <w:tc>
          <w:tcPr>
            <w:tcW w:w="3811" w:type="pct"/>
            <w:shd w:val="clear" w:color="auto" w:fill="auto"/>
          </w:tcPr>
          <w:p w:rsidR="00C1273A"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ANDA</w:t>
            </w:r>
            <w:r w:rsidRPr="00C277C0">
              <w:rPr>
                <w:rFonts w:eastAsia="宋体" w:hint="eastAsia"/>
                <w:snapToGrid w:val="0"/>
                <w:sz w:val="21"/>
                <w:szCs w:val="21"/>
                <w:lang w:eastAsia="zh-CN"/>
              </w:rPr>
              <w:t>、</w:t>
            </w:r>
            <w:r w:rsidRPr="00C277C0">
              <w:rPr>
                <w:rFonts w:eastAsia="宋体" w:hint="eastAsia"/>
                <w:snapToGrid w:val="0"/>
                <w:sz w:val="21"/>
                <w:szCs w:val="21"/>
                <w:lang w:eastAsia="zh-CN"/>
              </w:rPr>
              <w:t>NDA</w:t>
            </w:r>
            <w:r w:rsidRPr="00C277C0">
              <w:rPr>
                <w:rFonts w:eastAsia="宋体" w:hint="eastAsia"/>
                <w:snapToGrid w:val="0"/>
                <w:sz w:val="21"/>
                <w:szCs w:val="21"/>
                <w:lang w:eastAsia="zh-CN"/>
              </w:rPr>
              <w:t>和</w:t>
            </w:r>
            <w:r w:rsidRPr="00C277C0">
              <w:rPr>
                <w:rFonts w:eastAsia="宋体" w:hint="eastAsia"/>
                <w:snapToGrid w:val="0"/>
                <w:sz w:val="21"/>
                <w:szCs w:val="21"/>
                <w:lang w:eastAsia="zh-CN"/>
              </w:rPr>
              <w:t>BLA</w:t>
            </w:r>
            <w:r w:rsidRPr="00C277C0">
              <w:rPr>
                <w:rFonts w:eastAsia="宋体" w:hint="eastAsia"/>
                <w:snapToGrid w:val="0"/>
                <w:sz w:val="21"/>
                <w:szCs w:val="21"/>
                <w:lang w:eastAsia="zh-CN"/>
              </w:rPr>
              <w:t>组合产品：自申请人首次收到信息起不迟于</w:t>
            </w:r>
            <w:r w:rsidRPr="00C277C0">
              <w:rPr>
                <w:rFonts w:eastAsia="宋体" w:hint="eastAsia"/>
                <w:snapToGrid w:val="0"/>
                <w:sz w:val="21"/>
                <w:szCs w:val="21"/>
                <w:u w:val="single"/>
                <w:lang w:eastAsia="zh-CN"/>
              </w:rPr>
              <w:t>15</w:t>
            </w:r>
            <w:r w:rsidRPr="00C277C0">
              <w:rPr>
                <w:rFonts w:eastAsia="宋体" w:hint="eastAsia"/>
                <w:snapToGrid w:val="0"/>
                <w:sz w:val="21"/>
                <w:szCs w:val="21"/>
                <w:u w:val="single"/>
                <w:lang w:eastAsia="zh-CN"/>
              </w:rPr>
              <w:t>个日历日</w:t>
            </w:r>
            <w:r w:rsidRPr="00C277C0">
              <w:rPr>
                <w:rFonts w:eastAsia="宋体" w:hint="eastAsia"/>
                <w:snapToGrid w:val="0"/>
                <w:sz w:val="21"/>
                <w:szCs w:val="21"/>
                <w:lang w:eastAsia="zh-CN"/>
              </w:rPr>
              <w:t>（</w:t>
            </w:r>
            <w:r w:rsidR="00C2328D">
              <w:rPr>
                <w:rFonts w:eastAsia="宋体" w:hint="eastAsia"/>
                <w:snapToGrid w:val="0"/>
                <w:sz w:val="21"/>
                <w:szCs w:val="21"/>
                <w:lang w:eastAsia="zh-CN"/>
              </w:rPr>
              <w:t>参</w:t>
            </w:r>
            <w:r w:rsidRPr="00C277C0">
              <w:rPr>
                <w:rFonts w:eastAsia="宋体" w:hint="eastAsia"/>
                <w:snapToGrid w:val="0"/>
                <w:sz w:val="21"/>
                <w:szCs w:val="21"/>
                <w:lang w:eastAsia="zh-CN"/>
              </w:rPr>
              <w:t>见</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314.80</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c</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和</w:t>
            </w:r>
            <w:r w:rsidRPr="00C277C0">
              <w:rPr>
                <w:rFonts w:eastAsia="宋体" w:hint="eastAsia"/>
                <w:snapToGrid w:val="0"/>
                <w:sz w:val="21"/>
                <w:szCs w:val="21"/>
                <w:lang w:eastAsia="zh-CN"/>
              </w:rPr>
              <w:t>600.80</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c</w:t>
            </w:r>
            <w:r w:rsidR="00990237" w:rsidRPr="00C277C0">
              <w:rPr>
                <w:rFonts w:eastAsia="宋体" w:hint="eastAsia"/>
                <w:snapToGrid w:val="0"/>
                <w:sz w:val="21"/>
                <w:szCs w:val="21"/>
                <w:lang w:eastAsia="zh-CN"/>
              </w:rPr>
              <w:t>）</w:t>
            </w:r>
            <w:r w:rsidR="00AE0101" w:rsidRPr="00C277C0">
              <w:rPr>
                <w:rFonts w:eastAsia="宋体" w:hint="eastAsia"/>
                <w:snapToGrid w:val="0"/>
                <w:sz w:val="21"/>
                <w:szCs w:val="21"/>
                <w:lang w:eastAsia="zh-CN"/>
              </w:rPr>
              <w:t>节）</w:t>
            </w:r>
            <w:r w:rsidRPr="00C277C0">
              <w:rPr>
                <w:rFonts w:eastAsia="宋体" w:hint="eastAsia"/>
                <w:snapToGrid w:val="0"/>
                <w:sz w:val="21"/>
                <w:szCs w:val="21"/>
                <w:lang w:eastAsia="zh-CN"/>
              </w:rPr>
              <w:t>。</w:t>
            </w:r>
          </w:p>
          <w:p w:rsidR="00C1273A" w:rsidRPr="00C277C0" w:rsidRDefault="00C1273A" w:rsidP="00C1273A">
            <w:pPr>
              <w:pStyle w:val="TableParagraph"/>
              <w:autoSpaceDE/>
              <w:autoSpaceDN/>
              <w:snapToGrid w:val="0"/>
              <w:jc w:val="both"/>
              <w:rPr>
                <w:rFonts w:eastAsia="宋体"/>
                <w:snapToGrid w:val="0"/>
                <w:sz w:val="21"/>
                <w:szCs w:val="21"/>
                <w:lang w:eastAsia="zh-CN"/>
              </w:rPr>
            </w:pPr>
          </w:p>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器械申请组合产品：自申请人首次收到信息起不迟于</w:t>
            </w:r>
            <w:r w:rsidRPr="00C277C0">
              <w:rPr>
                <w:rFonts w:eastAsia="宋体" w:hint="eastAsia"/>
                <w:snapToGrid w:val="0"/>
                <w:sz w:val="21"/>
                <w:szCs w:val="21"/>
                <w:u w:val="single"/>
                <w:lang w:eastAsia="zh-CN"/>
              </w:rPr>
              <w:t>30</w:t>
            </w:r>
            <w:r w:rsidRPr="00C277C0">
              <w:rPr>
                <w:rFonts w:eastAsia="宋体" w:hint="eastAsia"/>
                <w:snapToGrid w:val="0"/>
                <w:sz w:val="21"/>
                <w:szCs w:val="21"/>
                <w:u w:val="single"/>
                <w:lang w:eastAsia="zh-CN"/>
              </w:rPr>
              <w:t>个日历日</w:t>
            </w:r>
            <w:r w:rsidRPr="00C277C0">
              <w:rPr>
                <w:rFonts w:eastAsia="宋体" w:hint="eastAsia"/>
                <w:snapToGrid w:val="0"/>
                <w:sz w:val="21"/>
                <w:szCs w:val="21"/>
                <w:lang w:eastAsia="zh-CN"/>
              </w:rPr>
              <w:t>（</w:t>
            </w:r>
            <w:r w:rsidR="00C2328D">
              <w:rPr>
                <w:rFonts w:eastAsia="宋体" w:hint="eastAsia"/>
                <w:snapToGrid w:val="0"/>
                <w:sz w:val="21"/>
                <w:szCs w:val="21"/>
                <w:lang w:eastAsia="zh-CN"/>
              </w:rPr>
              <w:t>参</w:t>
            </w:r>
            <w:r w:rsidRPr="00C277C0">
              <w:rPr>
                <w:rFonts w:eastAsia="宋体" w:hint="eastAsia"/>
                <w:snapToGrid w:val="0"/>
                <w:sz w:val="21"/>
                <w:szCs w:val="21"/>
                <w:lang w:eastAsia="zh-CN"/>
              </w:rPr>
              <w:t>见</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4.102</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c</w:t>
            </w:r>
            <w:r w:rsidR="00990237" w:rsidRPr="00C277C0">
              <w:rPr>
                <w:rFonts w:eastAsia="宋体" w:hint="eastAsia"/>
                <w:snapToGrid w:val="0"/>
                <w:sz w:val="21"/>
                <w:szCs w:val="21"/>
                <w:lang w:eastAsia="zh-CN"/>
              </w:rPr>
              <w:t>）</w:t>
            </w:r>
            <w:r w:rsidR="00AE0101" w:rsidRPr="00C277C0">
              <w:rPr>
                <w:rFonts w:eastAsia="宋体" w:hint="eastAsia"/>
                <w:snapToGrid w:val="0"/>
                <w:sz w:val="21"/>
                <w:szCs w:val="21"/>
                <w:lang w:eastAsia="zh-CN"/>
              </w:rPr>
              <w:t>节）</w:t>
            </w:r>
            <w:r w:rsidRPr="00C277C0">
              <w:rPr>
                <w:rFonts w:eastAsia="宋体" w:hint="eastAsia"/>
                <w:snapToGrid w:val="0"/>
                <w:sz w:val="21"/>
                <w:szCs w:val="21"/>
                <w:lang w:eastAsia="zh-CN"/>
              </w:rPr>
              <w:t>。</w:t>
            </w:r>
          </w:p>
        </w:tc>
      </w:tr>
      <w:tr w:rsidR="00C1273A" w:rsidRPr="00C277C0" w:rsidTr="00B403CB">
        <w:tc>
          <w:tcPr>
            <w:tcW w:w="1189"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15</w:t>
            </w:r>
            <w:r w:rsidRPr="00C277C0">
              <w:rPr>
                <w:rFonts w:eastAsia="宋体" w:hint="eastAsia"/>
                <w:snapToGrid w:val="0"/>
                <w:sz w:val="21"/>
                <w:szCs w:val="21"/>
                <w:lang w:eastAsia="zh-CN"/>
              </w:rPr>
              <w:t>天报告的</w:t>
            </w:r>
            <w:r w:rsidR="00C55B83" w:rsidRPr="00C277C0">
              <w:rPr>
                <w:rFonts w:eastAsia="宋体" w:hint="eastAsia"/>
                <w:snapToGrid w:val="0"/>
                <w:sz w:val="21"/>
                <w:szCs w:val="21"/>
                <w:lang w:eastAsia="zh-CN"/>
              </w:rPr>
              <w:t>后续报告</w:t>
            </w:r>
            <w:r w:rsidRPr="00C277C0">
              <w:rPr>
                <w:rFonts w:eastAsia="宋体" w:hint="eastAsia"/>
                <w:snapToGrid w:val="0"/>
                <w:sz w:val="21"/>
                <w:szCs w:val="21"/>
                <w:lang w:eastAsia="zh-CN"/>
              </w:rPr>
              <w:t>*</w:t>
            </w:r>
          </w:p>
        </w:tc>
        <w:tc>
          <w:tcPr>
            <w:tcW w:w="3811" w:type="pct"/>
            <w:shd w:val="clear" w:color="auto" w:fill="auto"/>
          </w:tcPr>
          <w:p w:rsidR="00C1273A"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ANDA</w:t>
            </w:r>
            <w:r w:rsidRPr="00C277C0">
              <w:rPr>
                <w:rFonts w:eastAsia="宋体" w:hint="eastAsia"/>
                <w:snapToGrid w:val="0"/>
                <w:sz w:val="21"/>
                <w:szCs w:val="21"/>
                <w:lang w:eastAsia="zh-CN"/>
              </w:rPr>
              <w:t>、</w:t>
            </w:r>
            <w:r w:rsidRPr="00C277C0">
              <w:rPr>
                <w:rFonts w:eastAsia="宋体" w:hint="eastAsia"/>
                <w:snapToGrid w:val="0"/>
                <w:sz w:val="21"/>
                <w:szCs w:val="21"/>
                <w:lang w:eastAsia="zh-CN"/>
              </w:rPr>
              <w:t>NDA</w:t>
            </w:r>
            <w:r w:rsidRPr="00C277C0">
              <w:rPr>
                <w:rFonts w:eastAsia="宋体" w:hint="eastAsia"/>
                <w:snapToGrid w:val="0"/>
                <w:sz w:val="21"/>
                <w:szCs w:val="21"/>
                <w:lang w:eastAsia="zh-CN"/>
              </w:rPr>
              <w:t>和</w:t>
            </w:r>
            <w:r w:rsidRPr="00C277C0">
              <w:rPr>
                <w:rFonts w:eastAsia="宋体" w:hint="eastAsia"/>
                <w:snapToGrid w:val="0"/>
                <w:sz w:val="21"/>
                <w:szCs w:val="21"/>
                <w:lang w:eastAsia="zh-CN"/>
              </w:rPr>
              <w:t>BLA</w:t>
            </w:r>
            <w:r w:rsidRPr="00C277C0">
              <w:rPr>
                <w:rFonts w:eastAsia="宋体" w:hint="eastAsia"/>
                <w:snapToGrid w:val="0"/>
                <w:sz w:val="21"/>
                <w:szCs w:val="21"/>
                <w:lang w:eastAsia="zh-CN"/>
              </w:rPr>
              <w:t>组合产品：收到新信息的</w:t>
            </w:r>
            <w:r w:rsidRPr="00C277C0">
              <w:rPr>
                <w:rFonts w:eastAsia="宋体" w:hint="eastAsia"/>
                <w:snapToGrid w:val="0"/>
                <w:sz w:val="21"/>
                <w:szCs w:val="21"/>
                <w:u w:val="single"/>
                <w:lang w:eastAsia="zh-CN"/>
              </w:rPr>
              <w:t>15</w:t>
            </w:r>
            <w:r w:rsidRPr="00C277C0">
              <w:rPr>
                <w:rFonts w:eastAsia="宋体" w:hint="eastAsia"/>
                <w:snapToGrid w:val="0"/>
                <w:sz w:val="21"/>
                <w:szCs w:val="21"/>
                <w:u w:val="single"/>
                <w:lang w:eastAsia="zh-CN"/>
              </w:rPr>
              <w:t>个日历日</w:t>
            </w:r>
            <w:r w:rsidRPr="00C277C0">
              <w:rPr>
                <w:rFonts w:eastAsia="宋体" w:hint="eastAsia"/>
                <w:snapToGrid w:val="0"/>
                <w:sz w:val="21"/>
                <w:szCs w:val="21"/>
                <w:lang w:eastAsia="zh-CN"/>
              </w:rPr>
              <w:t>内（</w:t>
            </w:r>
            <w:r w:rsidR="00864569">
              <w:rPr>
                <w:rFonts w:eastAsia="宋体" w:hint="eastAsia"/>
                <w:snapToGrid w:val="0"/>
                <w:sz w:val="21"/>
                <w:szCs w:val="21"/>
                <w:lang w:eastAsia="zh-CN"/>
              </w:rPr>
              <w:t>参</w:t>
            </w:r>
            <w:r w:rsidRPr="00C277C0">
              <w:rPr>
                <w:rFonts w:eastAsia="宋体" w:hint="eastAsia"/>
                <w:snapToGrid w:val="0"/>
                <w:sz w:val="21"/>
                <w:szCs w:val="21"/>
                <w:lang w:eastAsia="zh-CN"/>
              </w:rPr>
              <w:t>见</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314.80</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c</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和</w:t>
            </w:r>
            <w:r w:rsidRPr="00C277C0">
              <w:rPr>
                <w:rFonts w:eastAsia="宋体" w:hint="eastAsia"/>
                <w:snapToGrid w:val="0"/>
                <w:sz w:val="21"/>
                <w:szCs w:val="21"/>
                <w:lang w:eastAsia="zh-CN"/>
              </w:rPr>
              <w:t>600.80</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c</w:t>
            </w:r>
            <w:r w:rsidR="00990237" w:rsidRPr="00C277C0">
              <w:rPr>
                <w:rFonts w:eastAsia="宋体" w:hint="eastAsia"/>
                <w:snapToGrid w:val="0"/>
                <w:sz w:val="21"/>
                <w:szCs w:val="21"/>
                <w:lang w:eastAsia="zh-CN"/>
              </w:rPr>
              <w:t>）</w:t>
            </w:r>
            <w:r w:rsidR="00AE0101" w:rsidRPr="00C277C0">
              <w:rPr>
                <w:rFonts w:eastAsia="宋体" w:hint="eastAsia"/>
                <w:snapToGrid w:val="0"/>
                <w:sz w:val="21"/>
                <w:szCs w:val="21"/>
                <w:lang w:eastAsia="zh-CN"/>
              </w:rPr>
              <w:t>节）</w:t>
            </w:r>
            <w:r w:rsidRPr="00C277C0">
              <w:rPr>
                <w:rFonts w:eastAsia="宋体" w:hint="eastAsia"/>
                <w:snapToGrid w:val="0"/>
                <w:sz w:val="21"/>
                <w:szCs w:val="21"/>
                <w:lang w:eastAsia="zh-CN"/>
              </w:rPr>
              <w:t>**</w:t>
            </w:r>
          </w:p>
          <w:p w:rsidR="00C1273A" w:rsidRPr="00C277C0" w:rsidRDefault="00C1273A" w:rsidP="00C1273A">
            <w:pPr>
              <w:pStyle w:val="TableParagraph"/>
              <w:autoSpaceDE/>
              <w:autoSpaceDN/>
              <w:snapToGrid w:val="0"/>
              <w:jc w:val="both"/>
              <w:rPr>
                <w:rFonts w:eastAsia="宋体"/>
                <w:snapToGrid w:val="0"/>
                <w:sz w:val="21"/>
                <w:szCs w:val="21"/>
                <w:lang w:eastAsia="zh-CN"/>
              </w:rPr>
            </w:pPr>
          </w:p>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器械申请组合产品：自申请人首次收到新信息起不迟于</w:t>
            </w:r>
            <w:r w:rsidRPr="00C277C0">
              <w:rPr>
                <w:rFonts w:eastAsia="宋体" w:hint="eastAsia"/>
                <w:snapToGrid w:val="0"/>
                <w:sz w:val="21"/>
                <w:szCs w:val="21"/>
                <w:u w:val="single"/>
                <w:lang w:eastAsia="zh-CN"/>
              </w:rPr>
              <w:t>30</w:t>
            </w:r>
            <w:r w:rsidRPr="00C277C0">
              <w:rPr>
                <w:rFonts w:eastAsia="宋体" w:hint="eastAsia"/>
                <w:snapToGrid w:val="0"/>
                <w:sz w:val="21"/>
                <w:szCs w:val="21"/>
                <w:u w:val="single"/>
                <w:lang w:eastAsia="zh-CN"/>
              </w:rPr>
              <w:t>个日历日</w:t>
            </w:r>
            <w:r w:rsidRPr="00C277C0">
              <w:rPr>
                <w:rFonts w:eastAsia="宋体" w:hint="eastAsia"/>
                <w:snapToGrid w:val="0"/>
                <w:sz w:val="21"/>
                <w:szCs w:val="21"/>
                <w:lang w:eastAsia="zh-CN"/>
              </w:rPr>
              <w:t>（</w:t>
            </w:r>
            <w:r w:rsidR="00864569">
              <w:rPr>
                <w:rFonts w:eastAsia="宋体" w:hint="eastAsia"/>
                <w:snapToGrid w:val="0"/>
                <w:sz w:val="21"/>
                <w:szCs w:val="21"/>
                <w:lang w:eastAsia="zh-CN"/>
              </w:rPr>
              <w:t>参</w:t>
            </w:r>
            <w:r w:rsidRPr="00C277C0">
              <w:rPr>
                <w:rFonts w:eastAsia="宋体" w:hint="eastAsia"/>
                <w:snapToGrid w:val="0"/>
                <w:sz w:val="21"/>
                <w:szCs w:val="21"/>
                <w:lang w:eastAsia="zh-CN"/>
              </w:rPr>
              <w:t>见</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4.102</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c</w:t>
            </w:r>
            <w:r w:rsidR="00990237" w:rsidRPr="00C277C0">
              <w:rPr>
                <w:rFonts w:eastAsia="宋体" w:hint="eastAsia"/>
                <w:snapToGrid w:val="0"/>
                <w:sz w:val="21"/>
                <w:szCs w:val="21"/>
                <w:lang w:eastAsia="zh-CN"/>
              </w:rPr>
              <w:t>）</w:t>
            </w:r>
            <w:r w:rsidR="00AE0101" w:rsidRPr="00C277C0">
              <w:rPr>
                <w:rFonts w:eastAsia="宋体" w:hint="eastAsia"/>
                <w:snapToGrid w:val="0"/>
                <w:sz w:val="21"/>
                <w:szCs w:val="21"/>
                <w:lang w:eastAsia="zh-CN"/>
              </w:rPr>
              <w:t>节）</w:t>
            </w:r>
            <w:r w:rsidRPr="00C277C0">
              <w:rPr>
                <w:rFonts w:eastAsia="宋体" w:hint="eastAsia"/>
                <w:snapToGrid w:val="0"/>
                <w:sz w:val="21"/>
                <w:szCs w:val="21"/>
                <w:lang w:eastAsia="zh-CN"/>
              </w:rPr>
              <w:t>。</w:t>
            </w:r>
          </w:p>
        </w:tc>
      </w:tr>
      <w:tr w:rsidR="00C1273A" w:rsidRPr="00C277C0" w:rsidTr="00B403CB">
        <w:tc>
          <w:tcPr>
            <w:tcW w:w="1189"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5</w:t>
            </w:r>
            <w:r w:rsidRPr="00C277C0">
              <w:rPr>
                <w:rFonts w:eastAsia="宋体" w:hint="eastAsia"/>
                <w:snapToGrid w:val="0"/>
                <w:sz w:val="21"/>
                <w:szCs w:val="21"/>
                <w:lang w:eastAsia="zh-CN"/>
              </w:rPr>
              <w:t>天报告</w:t>
            </w:r>
          </w:p>
        </w:tc>
        <w:tc>
          <w:tcPr>
            <w:tcW w:w="3811"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申请人</w:t>
            </w:r>
            <w:r w:rsidRPr="00B403CB">
              <w:rPr>
                <w:rFonts w:ascii="宋体" w:eastAsia="宋体" w:hAnsi="宋体" w:hint="eastAsia"/>
                <w:sz w:val="21"/>
                <w:lang w:eastAsia="zh-CN"/>
              </w:rPr>
              <w:t>“</w:t>
            </w:r>
            <w:r w:rsidRPr="00C277C0">
              <w:rPr>
                <w:rFonts w:eastAsia="宋体" w:hint="eastAsia"/>
                <w:snapToGrid w:val="0"/>
                <w:sz w:val="21"/>
                <w:szCs w:val="21"/>
                <w:lang w:eastAsia="zh-CN"/>
              </w:rPr>
              <w:t>获知</w:t>
            </w:r>
            <w:r w:rsidRPr="00B403CB">
              <w:rPr>
                <w:rFonts w:ascii="宋体" w:eastAsia="宋体" w:hAnsi="宋体" w:hint="eastAsia"/>
                <w:sz w:val="21"/>
                <w:lang w:eastAsia="zh-CN"/>
              </w:rPr>
              <w:t>”</w:t>
            </w:r>
            <w:r w:rsidRPr="00C277C0">
              <w:rPr>
                <w:rFonts w:eastAsia="宋体" w:hint="eastAsia"/>
                <w:snapToGrid w:val="0"/>
                <w:sz w:val="21"/>
                <w:szCs w:val="21"/>
                <w:lang w:eastAsia="zh-CN"/>
              </w:rPr>
              <w:t>（见脚注</w:t>
            </w:r>
            <w:r w:rsidRPr="00C277C0">
              <w:rPr>
                <w:rFonts w:eastAsia="宋体" w:hint="eastAsia"/>
                <w:snapToGrid w:val="0"/>
                <w:sz w:val="21"/>
                <w:szCs w:val="21"/>
                <w:lang w:eastAsia="zh-CN"/>
              </w:rPr>
              <w:t>23</w:t>
            </w:r>
            <w:r w:rsidRPr="00C277C0">
              <w:rPr>
                <w:rFonts w:eastAsia="宋体" w:hint="eastAsia"/>
                <w:snapToGrid w:val="0"/>
                <w:sz w:val="21"/>
                <w:szCs w:val="21"/>
                <w:lang w:eastAsia="zh-CN"/>
              </w:rPr>
              <w:t>）可报告事件需要采取补救措施以防止对公众健康造成重大伤害的不合理风险后不迟于</w:t>
            </w:r>
            <w:r w:rsidRPr="00C277C0">
              <w:rPr>
                <w:rFonts w:eastAsia="宋体" w:hint="eastAsia"/>
                <w:snapToGrid w:val="0"/>
                <w:sz w:val="21"/>
                <w:szCs w:val="21"/>
                <w:u w:val="single"/>
                <w:lang w:eastAsia="zh-CN"/>
              </w:rPr>
              <w:t>5</w:t>
            </w:r>
            <w:r w:rsidRPr="00C277C0">
              <w:rPr>
                <w:rFonts w:eastAsia="宋体" w:hint="eastAsia"/>
                <w:snapToGrid w:val="0"/>
                <w:sz w:val="21"/>
                <w:szCs w:val="21"/>
                <w:u w:val="single"/>
                <w:lang w:eastAsia="zh-CN"/>
              </w:rPr>
              <w:t>个工作日</w:t>
            </w:r>
            <w:r w:rsidRPr="00C277C0">
              <w:rPr>
                <w:rFonts w:eastAsia="宋体" w:hint="eastAsia"/>
                <w:snapToGrid w:val="0"/>
                <w:sz w:val="21"/>
                <w:szCs w:val="21"/>
                <w:lang w:eastAsia="zh-CN"/>
              </w:rPr>
              <w:t>（</w:t>
            </w:r>
            <w:r w:rsidR="00864569">
              <w:rPr>
                <w:rFonts w:eastAsia="宋体" w:hint="eastAsia"/>
                <w:snapToGrid w:val="0"/>
                <w:sz w:val="21"/>
                <w:szCs w:val="21"/>
                <w:lang w:eastAsia="zh-CN"/>
              </w:rPr>
              <w:t>参</w:t>
            </w:r>
            <w:r w:rsidRPr="00C277C0">
              <w:rPr>
                <w:rFonts w:eastAsia="宋体" w:hint="eastAsia"/>
                <w:snapToGrid w:val="0"/>
                <w:sz w:val="21"/>
                <w:szCs w:val="21"/>
                <w:lang w:eastAsia="zh-CN"/>
              </w:rPr>
              <w:t>见</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803.53</w:t>
            </w:r>
            <w:r w:rsidR="00AE0101" w:rsidRPr="00C277C0">
              <w:rPr>
                <w:rFonts w:eastAsia="宋体" w:hint="eastAsia"/>
                <w:snapToGrid w:val="0"/>
                <w:sz w:val="21"/>
                <w:szCs w:val="21"/>
                <w:lang w:eastAsia="zh-CN"/>
              </w:rPr>
              <w:t>节）</w:t>
            </w:r>
            <w:r w:rsidRPr="00C277C0">
              <w:rPr>
                <w:rFonts w:eastAsia="宋体" w:hint="eastAsia"/>
                <w:snapToGrid w:val="0"/>
                <w:sz w:val="21"/>
                <w:szCs w:val="21"/>
                <w:lang w:eastAsia="zh-CN"/>
              </w:rPr>
              <w:t>。</w:t>
            </w:r>
          </w:p>
        </w:tc>
      </w:tr>
      <w:tr w:rsidR="00C1273A" w:rsidRPr="00C277C0" w:rsidTr="00B403CB">
        <w:tc>
          <w:tcPr>
            <w:tcW w:w="1189"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死亡</w:t>
            </w:r>
            <w:r w:rsidRPr="00C277C0">
              <w:rPr>
                <w:rFonts w:eastAsia="宋体" w:hint="eastAsia"/>
                <w:snapToGrid w:val="0"/>
                <w:sz w:val="21"/>
                <w:szCs w:val="21"/>
                <w:lang w:eastAsia="zh-CN"/>
              </w:rPr>
              <w:t>/</w:t>
            </w:r>
            <w:r w:rsidRPr="00C277C0">
              <w:rPr>
                <w:rFonts w:eastAsia="宋体" w:hint="eastAsia"/>
                <w:snapToGrid w:val="0"/>
                <w:sz w:val="21"/>
                <w:szCs w:val="21"/>
                <w:lang w:eastAsia="zh-CN"/>
              </w:rPr>
              <w:t>重伤</w:t>
            </w:r>
            <w:r w:rsidRPr="00C277C0">
              <w:rPr>
                <w:rFonts w:eastAsia="宋体" w:hint="eastAsia"/>
                <w:snapToGrid w:val="0"/>
                <w:sz w:val="21"/>
                <w:szCs w:val="21"/>
                <w:lang w:eastAsia="zh-CN"/>
              </w:rPr>
              <w:t>/</w:t>
            </w:r>
            <w:r w:rsidR="005C25A8" w:rsidRPr="00C277C0">
              <w:rPr>
                <w:rFonts w:eastAsia="宋体" w:hint="eastAsia"/>
                <w:snapToGrid w:val="0"/>
                <w:sz w:val="21"/>
                <w:szCs w:val="21"/>
                <w:lang w:eastAsia="zh-CN"/>
              </w:rPr>
              <w:t>故障</w:t>
            </w:r>
            <w:r w:rsidR="00C55B83" w:rsidRPr="00C277C0">
              <w:rPr>
                <w:rFonts w:eastAsia="宋体" w:hint="eastAsia"/>
                <w:snapToGrid w:val="0"/>
                <w:sz w:val="21"/>
                <w:szCs w:val="21"/>
                <w:lang w:eastAsia="zh-CN"/>
              </w:rPr>
              <w:t>报告</w:t>
            </w:r>
          </w:p>
        </w:tc>
        <w:tc>
          <w:tcPr>
            <w:tcW w:w="3811"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自申请人收到信息或以其他方式获知事件后不迟于</w:t>
            </w:r>
            <w:r w:rsidRPr="00C277C0">
              <w:rPr>
                <w:rFonts w:eastAsia="宋体" w:hint="eastAsia"/>
                <w:snapToGrid w:val="0"/>
                <w:sz w:val="21"/>
                <w:szCs w:val="21"/>
                <w:u w:val="single"/>
                <w:lang w:eastAsia="zh-CN"/>
              </w:rPr>
              <w:t>30</w:t>
            </w:r>
            <w:r w:rsidRPr="00C277C0">
              <w:rPr>
                <w:rFonts w:eastAsia="宋体" w:hint="eastAsia"/>
                <w:snapToGrid w:val="0"/>
                <w:sz w:val="21"/>
                <w:szCs w:val="21"/>
                <w:u w:val="single"/>
                <w:lang w:eastAsia="zh-CN"/>
              </w:rPr>
              <w:t>个日历日</w:t>
            </w:r>
            <w:r w:rsidRPr="00C277C0">
              <w:rPr>
                <w:rFonts w:eastAsia="宋体" w:hint="eastAsia"/>
                <w:snapToGrid w:val="0"/>
                <w:sz w:val="21"/>
                <w:szCs w:val="21"/>
                <w:lang w:eastAsia="zh-CN"/>
              </w:rPr>
              <w:t>（</w:t>
            </w:r>
            <w:r w:rsidR="00864569">
              <w:rPr>
                <w:rFonts w:eastAsia="宋体" w:hint="eastAsia"/>
                <w:snapToGrid w:val="0"/>
                <w:sz w:val="21"/>
                <w:szCs w:val="21"/>
                <w:lang w:eastAsia="zh-CN"/>
              </w:rPr>
              <w:t>参</w:t>
            </w:r>
            <w:r w:rsidRPr="00C277C0">
              <w:rPr>
                <w:rFonts w:eastAsia="宋体" w:hint="eastAsia"/>
                <w:snapToGrid w:val="0"/>
                <w:sz w:val="21"/>
                <w:szCs w:val="21"/>
                <w:lang w:eastAsia="zh-CN"/>
              </w:rPr>
              <w:t>见</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803.50</w:t>
            </w:r>
            <w:r w:rsidR="00AE0101" w:rsidRPr="00C277C0">
              <w:rPr>
                <w:rFonts w:eastAsia="宋体" w:hint="eastAsia"/>
                <w:snapToGrid w:val="0"/>
                <w:sz w:val="21"/>
                <w:szCs w:val="21"/>
                <w:lang w:eastAsia="zh-CN"/>
              </w:rPr>
              <w:t>节）</w:t>
            </w:r>
          </w:p>
        </w:tc>
      </w:tr>
      <w:tr w:rsidR="00C1273A" w:rsidRPr="00C277C0" w:rsidTr="00B403CB">
        <w:tc>
          <w:tcPr>
            <w:tcW w:w="1189"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5</w:t>
            </w:r>
            <w:r w:rsidRPr="00C277C0">
              <w:rPr>
                <w:rFonts w:eastAsia="宋体" w:hint="eastAsia"/>
                <w:snapToGrid w:val="0"/>
                <w:sz w:val="21"/>
                <w:szCs w:val="21"/>
                <w:lang w:eastAsia="zh-CN"/>
              </w:rPr>
              <w:t>天</w:t>
            </w:r>
            <w:r w:rsidRPr="00C277C0">
              <w:rPr>
                <w:rFonts w:eastAsia="宋体" w:hint="eastAsia"/>
                <w:snapToGrid w:val="0"/>
                <w:sz w:val="21"/>
                <w:szCs w:val="21"/>
                <w:lang w:eastAsia="zh-CN"/>
              </w:rPr>
              <w:t>/</w:t>
            </w:r>
            <w:r w:rsidRPr="00C277C0">
              <w:rPr>
                <w:rFonts w:eastAsia="宋体" w:hint="eastAsia"/>
                <w:snapToGrid w:val="0"/>
                <w:sz w:val="21"/>
                <w:szCs w:val="21"/>
                <w:lang w:eastAsia="zh-CN"/>
              </w:rPr>
              <w:t>死亡</w:t>
            </w:r>
            <w:r w:rsidRPr="00C277C0">
              <w:rPr>
                <w:rFonts w:eastAsia="宋体" w:hint="eastAsia"/>
                <w:snapToGrid w:val="0"/>
                <w:sz w:val="21"/>
                <w:szCs w:val="21"/>
                <w:lang w:eastAsia="zh-CN"/>
              </w:rPr>
              <w:t>/</w:t>
            </w:r>
            <w:r w:rsidRPr="00C277C0">
              <w:rPr>
                <w:rFonts w:eastAsia="宋体" w:hint="eastAsia"/>
                <w:snapToGrid w:val="0"/>
                <w:sz w:val="21"/>
                <w:szCs w:val="21"/>
                <w:lang w:eastAsia="zh-CN"/>
              </w:rPr>
              <w:t>重伤</w:t>
            </w:r>
            <w:r w:rsidRPr="00C277C0">
              <w:rPr>
                <w:rFonts w:eastAsia="宋体" w:hint="eastAsia"/>
                <w:snapToGrid w:val="0"/>
                <w:sz w:val="21"/>
                <w:szCs w:val="21"/>
                <w:lang w:eastAsia="zh-CN"/>
              </w:rPr>
              <w:t>/</w:t>
            </w:r>
            <w:r w:rsidR="005C25A8" w:rsidRPr="00C277C0">
              <w:rPr>
                <w:rFonts w:eastAsia="宋体" w:hint="eastAsia"/>
                <w:snapToGrid w:val="0"/>
                <w:sz w:val="21"/>
                <w:szCs w:val="21"/>
                <w:lang w:eastAsia="zh-CN"/>
              </w:rPr>
              <w:t>故障</w:t>
            </w:r>
            <w:r w:rsidR="00C55B83" w:rsidRPr="00C277C0">
              <w:rPr>
                <w:rFonts w:eastAsia="宋体" w:hint="eastAsia"/>
                <w:snapToGrid w:val="0"/>
                <w:sz w:val="21"/>
                <w:szCs w:val="21"/>
                <w:lang w:eastAsia="zh-CN"/>
              </w:rPr>
              <w:t>报告</w:t>
            </w:r>
            <w:r w:rsidRPr="00C277C0">
              <w:rPr>
                <w:rFonts w:eastAsia="宋体" w:hint="eastAsia"/>
                <w:snapToGrid w:val="0"/>
                <w:sz w:val="21"/>
                <w:szCs w:val="21"/>
                <w:lang w:eastAsia="zh-CN"/>
              </w:rPr>
              <w:t>的补充</w:t>
            </w:r>
            <w:r w:rsidRPr="00C277C0">
              <w:rPr>
                <w:rFonts w:eastAsia="宋体" w:hint="eastAsia"/>
                <w:snapToGrid w:val="0"/>
                <w:sz w:val="21"/>
                <w:szCs w:val="21"/>
                <w:lang w:eastAsia="zh-CN"/>
              </w:rPr>
              <w:t>/</w:t>
            </w:r>
            <w:r w:rsidR="00C55B83" w:rsidRPr="00C277C0">
              <w:rPr>
                <w:rFonts w:eastAsia="宋体" w:hint="eastAsia"/>
                <w:snapToGrid w:val="0"/>
                <w:sz w:val="21"/>
                <w:szCs w:val="21"/>
                <w:lang w:eastAsia="zh-CN"/>
              </w:rPr>
              <w:t>后续报告</w:t>
            </w:r>
            <w:r w:rsidRPr="00C277C0">
              <w:rPr>
                <w:rFonts w:eastAsia="宋体" w:hint="eastAsia"/>
                <w:snapToGrid w:val="0"/>
                <w:sz w:val="21"/>
                <w:szCs w:val="21"/>
                <w:lang w:eastAsia="zh-CN"/>
              </w:rPr>
              <w:t>*</w:t>
            </w:r>
          </w:p>
        </w:tc>
        <w:tc>
          <w:tcPr>
            <w:tcW w:w="3811"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申请人收到信息之日起</w:t>
            </w:r>
            <w:r w:rsidRPr="00C277C0">
              <w:rPr>
                <w:rFonts w:eastAsia="宋体" w:hint="eastAsia"/>
                <w:snapToGrid w:val="0"/>
                <w:sz w:val="21"/>
                <w:szCs w:val="21"/>
                <w:u w:val="single"/>
                <w:lang w:eastAsia="zh-CN"/>
              </w:rPr>
              <w:t>30</w:t>
            </w:r>
            <w:r w:rsidRPr="00C277C0">
              <w:rPr>
                <w:rFonts w:eastAsia="宋体" w:hint="eastAsia"/>
                <w:snapToGrid w:val="0"/>
                <w:sz w:val="21"/>
                <w:szCs w:val="21"/>
                <w:u w:val="single"/>
                <w:lang w:eastAsia="zh-CN"/>
              </w:rPr>
              <w:t>个日历日</w:t>
            </w:r>
            <w:r w:rsidRPr="00C277C0">
              <w:rPr>
                <w:rFonts w:eastAsia="宋体" w:hint="eastAsia"/>
                <w:snapToGrid w:val="0"/>
                <w:sz w:val="21"/>
                <w:szCs w:val="21"/>
                <w:lang w:eastAsia="zh-CN"/>
              </w:rPr>
              <w:t>内（</w:t>
            </w:r>
            <w:r w:rsidR="00864569">
              <w:rPr>
                <w:rFonts w:eastAsia="宋体" w:hint="eastAsia"/>
                <w:snapToGrid w:val="0"/>
                <w:sz w:val="21"/>
                <w:szCs w:val="21"/>
                <w:lang w:eastAsia="zh-CN"/>
              </w:rPr>
              <w:t>参</w:t>
            </w:r>
            <w:r w:rsidRPr="00C277C0">
              <w:rPr>
                <w:rFonts w:eastAsia="宋体" w:hint="eastAsia"/>
                <w:snapToGrid w:val="0"/>
                <w:sz w:val="21"/>
                <w:szCs w:val="21"/>
                <w:lang w:eastAsia="zh-CN"/>
              </w:rPr>
              <w:t>见</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803.56</w:t>
            </w:r>
            <w:r w:rsidR="00AE0101" w:rsidRPr="00C277C0">
              <w:rPr>
                <w:rFonts w:eastAsia="宋体" w:hint="eastAsia"/>
                <w:snapToGrid w:val="0"/>
                <w:sz w:val="21"/>
                <w:szCs w:val="21"/>
                <w:lang w:eastAsia="zh-CN"/>
              </w:rPr>
              <w:t>节）</w:t>
            </w:r>
          </w:p>
        </w:tc>
      </w:tr>
      <w:tr w:rsidR="00C1273A" w:rsidRPr="00C277C0" w:rsidTr="00B403CB">
        <w:tc>
          <w:tcPr>
            <w:tcW w:w="1189" w:type="pct"/>
            <w:shd w:val="clear" w:color="auto" w:fill="auto"/>
          </w:tcPr>
          <w:p w:rsidR="00D83601" w:rsidRPr="00C277C0" w:rsidRDefault="0075567A"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现场警示报告</w:t>
            </w:r>
          </w:p>
        </w:tc>
        <w:tc>
          <w:tcPr>
            <w:tcW w:w="3811"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申请人收到信息的</w:t>
            </w:r>
            <w:r w:rsidRPr="00C277C0">
              <w:rPr>
                <w:rFonts w:eastAsia="宋体" w:hint="eastAsia"/>
                <w:snapToGrid w:val="0"/>
                <w:sz w:val="21"/>
                <w:szCs w:val="21"/>
                <w:u w:val="single"/>
                <w:lang w:eastAsia="zh-CN"/>
              </w:rPr>
              <w:t>3</w:t>
            </w:r>
            <w:r w:rsidRPr="00C277C0">
              <w:rPr>
                <w:rFonts w:eastAsia="宋体" w:hint="eastAsia"/>
                <w:snapToGrid w:val="0"/>
                <w:sz w:val="21"/>
                <w:szCs w:val="21"/>
                <w:u w:val="single"/>
                <w:lang w:eastAsia="zh-CN"/>
              </w:rPr>
              <w:t>个工作日</w:t>
            </w:r>
            <w:r w:rsidRPr="00C277C0">
              <w:rPr>
                <w:rFonts w:eastAsia="宋体" w:hint="eastAsia"/>
                <w:snapToGrid w:val="0"/>
                <w:sz w:val="21"/>
                <w:szCs w:val="21"/>
                <w:lang w:eastAsia="zh-CN"/>
              </w:rPr>
              <w:t>内（</w:t>
            </w:r>
            <w:r w:rsidR="00864569">
              <w:rPr>
                <w:rFonts w:eastAsia="宋体" w:hint="eastAsia"/>
                <w:snapToGrid w:val="0"/>
                <w:sz w:val="21"/>
                <w:szCs w:val="21"/>
                <w:lang w:eastAsia="zh-CN"/>
              </w:rPr>
              <w:t>参</w:t>
            </w:r>
            <w:r w:rsidRPr="00C277C0">
              <w:rPr>
                <w:rFonts w:eastAsia="宋体" w:hint="eastAsia"/>
                <w:snapToGrid w:val="0"/>
                <w:sz w:val="21"/>
                <w:szCs w:val="21"/>
                <w:lang w:eastAsia="zh-CN"/>
              </w:rPr>
              <w:t>见</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314.81</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b</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1</w:t>
            </w:r>
            <w:r w:rsidR="00990237" w:rsidRPr="00C277C0">
              <w:rPr>
                <w:rFonts w:eastAsia="宋体" w:hint="eastAsia"/>
                <w:snapToGrid w:val="0"/>
                <w:sz w:val="21"/>
                <w:szCs w:val="21"/>
                <w:lang w:eastAsia="zh-CN"/>
              </w:rPr>
              <w:t>）</w:t>
            </w:r>
            <w:r w:rsidR="00AE0101" w:rsidRPr="00C277C0">
              <w:rPr>
                <w:rFonts w:eastAsia="宋体" w:hint="eastAsia"/>
                <w:snapToGrid w:val="0"/>
                <w:sz w:val="21"/>
                <w:szCs w:val="21"/>
                <w:lang w:eastAsia="zh-CN"/>
              </w:rPr>
              <w:t>节）</w:t>
            </w:r>
          </w:p>
        </w:tc>
      </w:tr>
      <w:tr w:rsidR="00C1273A" w:rsidRPr="00C277C0" w:rsidTr="00B403CB">
        <w:tc>
          <w:tcPr>
            <w:tcW w:w="1189"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生物制品偏差报告</w:t>
            </w:r>
          </w:p>
        </w:tc>
        <w:tc>
          <w:tcPr>
            <w:tcW w:w="3811"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应尽快报告，但自获知合理表明已发生可报告事件信息之日起不超过</w:t>
            </w:r>
            <w:r w:rsidRPr="00C277C0">
              <w:rPr>
                <w:rFonts w:eastAsia="宋体" w:hint="eastAsia"/>
                <w:snapToGrid w:val="0"/>
                <w:sz w:val="21"/>
                <w:szCs w:val="21"/>
                <w:u w:val="single"/>
                <w:lang w:eastAsia="zh-CN"/>
              </w:rPr>
              <w:t>45</w:t>
            </w:r>
            <w:r w:rsidRPr="00C277C0">
              <w:rPr>
                <w:rFonts w:eastAsia="宋体" w:hint="eastAsia"/>
                <w:snapToGrid w:val="0"/>
                <w:sz w:val="21"/>
                <w:szCs w:val="21"/>
                <w:u w:val="single"/>
                <w:lang w:eastAsia="zh-CN"/>
              </w:rPr>
              <w:t>个日历日</w:t>
            </w:r>
            <w:r w:rsidRPr="00C277C0">
              <w:rPr>
                <w:rFonts w:eastAsia="宋体" w:hint="eastAsia"/>
                <w:snapToGrid w:val="0"/>
                <w:sz w:val="21"/>
                <w:szCs w:val="21"/>
                <w:lang w:eastAsia="zh-CN"/>
              </w:rPr>
              <w:t>（</w:t>
            </w:r>
            <w:r w:rsidR="00864569">
              <w:rPr>
                <w:rFonts w:eastAsia="宋体" w:hint="eastAsia"/>
                <w:snapToGrid w:val="0"/>
                <w:sz w:val="21"/>
                <w:szCs w:val="21"/>
                <w:lang w:eastAsia="zh-CN"/>
              </w:rPr>
              <w:t>参</w:t>
            </w:r>
            <w:r w:rsidRPr="00C277C0">
              <w:rPr>
                <w:rFonts w:eastAsia="宋体" w:hint="eastAsia"/>
                <w:snapToGrid w:val="0"/>
                <w:sz w:val="21"/>
                <w:szCs w:val="21"/>
                <w:lang w:eastAsia="zh-CN"/>
              </w:rPr>
              <w:t>见</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600.14</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c</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和</w:t>
            </w:r>
            <w:r w:rsidRPr="00C277C0">
              <w:rPr>
                <w:rFonts w:eastAsia="宋体" w:hint="eastAsia"/>
                <w:snapToGrid w:val="0"/>
                <w:sz w:val="21"/>
                <w:szCs w:val="21"/>
                <w:lang w:eastAsia="zh-CN"/>
              </w:rPr>
              <w:t>606.171</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c</w:t>
            </w:r>
            <w:r w:rsidR="00990237" w:rsidRPr="00C277C0">
              <w:rPr>
                <w:rFonts w:eastAsia="宋体" w:hint="eastAsia"/>
                <w:snapToGrid w:val="0"/>
                <w:sz w:val="21"/>
                <w:szCs w:val="21"/>
                <w:lang w:eastAsia="zh-CN"/>
              </w:rPr>
              <w:t>）</w:t>
            </w:r>
            <w:r w:rsidR="00AE0101" w:rsidRPr="00C277C0">
              <w:rPr>
                <w:rFonts w:eastAsia="宋体" w:hint="eastAsia"/>
                <w:snapToGrid w:val="0"/>
                <w:sz w:val="21"/>
                <w:szCs w:val="21"/>
                <w:lang w:eastAsia="zh-CN"/>
              </w:rPr>
              <w:t>节）</w:t>
            </w:r>
          </w:p>
        </w:tc>
      </w:tr>
      <w:tr w:rsidR="00C1273A" w:rsidRPr="00C277C0" w:rsidTr="00B403CB">
        <w:tc>
          <w:tcPr>
            <w:tcW w:w="1189"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更正和移除报告</w:t>
            </w:r>
          </w:p>
        </w:tc>
        <w:tc>
          <w:tcPr>
            <w:tcW w:w="3811" w:type="pct"/>
            <w:shd w:val="clear" w:color="auto" w:fill="auto"/>
          </w:tcPr>
          <w:p w:rsidR="00D83601" w:rsidRPr="00C277C0" w:rsidRDefault="00097329" w:rsidP="00B403CB">
            <w:pPr>
              <w:pStyle w:val="TableParagraph"/>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启动更正或移除的</w:t>
            </w:r>
            <w:r w:rsidRPr="00C277C0">
              <w:rPr>
                <w:rFonts w:eastAsia="宋体" w:hint="eastAsia"/>
                <w:snapToGrid w:val="0"/>
                <w:sz w:val="21"/>
                <w:szCs w:val="21"/>
                <w:u w:val="single"/>
                <w:lang w:eastAsia="zh-CN"/>
              </w:rPr>
              <w:t>10</w:t>
            </w:r>
            <w:r w:rsidRPr="00C277C0">
              <w:rPr>
                <w:rFonts w:eastAsia="宋体" w:hint="eastAsia"/>
                <w:snapToGrid w:val="0"/>
                <w:sz w:val="21"/>
                <w:szCs w:val="21"/>
                <w:u w:val="single"/>
                <w:lang w:eastAsia="zh-CN"/>
              </w:rPr>
              <w:t>个工作日内</w:t>
            </w:r>
            <w:r w:rsidRPr="00C277C0">
              <w:rPr>
                <w:rFonts w:eastAsia="宋体" w:hint="eastAsia"/>
                <w:snapToGrid w:val="0"/>
                <w:sz w:val="21"/>
                <w:szCs w:val="21"/>
                <w:lang w:eastAsia="zh-CN"/>
              </w:rPr>
              <w:t>（</w:t>
            </w:r>
            <w:r w:rsidR="00864569">
              <w:rPr>
                <w:rFonts w:eastAsia="宋体" w:hint="eastAsia"/>
                <w:snapToGrid w:val="0"/>
                <w:sz w:val="21"/>
                <w:szCs w:val="21"/>
                <w:lang w:eastAsia="zh-CN"/>
              </w:rPr>
              <w:t>参</w:t>
            </w:r>
            <w:r w:rsidRPr="00C277C0">
              <w:rPr>
                <w:rFonts w:eastAsia="宋体" w:hint="eastAsia"/>
                <w:snapToGrid w:val="0"/>
                <w:sz w:val="21"/>
                <w:szCs w:val="21"/>
                <w:lang w:eastAsia="zh-CN"/>
              </w:rPr>
              <w:t>见</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806.10</w:t>
            </w:r>
            <w:r w:rsidR="00990237" w:rsidRPr="00C277C0">
              <w:rPr>
                <w:rFonts w:eastAsia="宋体" w:hint="eastAsia"/>
                <w:snapToGrid w:val="0"/>
                <w:sz w:val="21"/>
                <w:szCs w:val="21"/>
                <w:lang w:eastAsia="zh-CN"/>
              </w:rPr>
              <w:t>（</w:t>
            </w:r>
            <w:r w:rsidRPr="00C277C0">
              <w:rPr>
                <w:rFonts w:eastAsia="宋体" w:hint="eastAsia"/>
                <w:snapToGrid w:val="0"/>
                <w:sz w:val="21"/>
                <w:szCs w:val="21"/>
                <w:lang w:eastAsia="zh-CN"/>
              </w:rPr>
              <w:t>b</w:t>
            </w:r>
            <w:r w:rsidR="00990237" w:rsidRPr="00C277C0">
              <w:rPr>
                <w:rFonts w:eastAsia="宋体" w:hint="eastAsia"/>
                <w:snapToGrid w:val="0"/>
                <w:sz w:val="21"/>
                <w:szCs w:val="21"/>
                <w:lang w:eastAsia="zh-CN"/>
              </w:rPr>
              <w:t>）</w:t>
            </w:r>
            <w:r w:rsidR="00AE0101" w:rsidRPr="00C277C0">
              <w:rPr>
                <w:rFonts w:eastAsia="宋体" w:hint="eastAsia"/>
                <w:snapToGrid w:val="0"/>
                <w:sz w:val="21"/>
                <w:szCs w:val="21"/>
                <w:lang w:eastAsia="zh-CN"/>
              </w:rPr>
              <w:t>节）</w:t>
            </w:r>
          </w:p>
        </w:tc>
      </w:tr>
    </w:tbl>
    <w:p w:rsidR="00C1273A" w:rsidRPr="00C277C0" w:rsidRDefault="00CB2C74" w:rsidP="00B403CB">
      <w:pPr>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w:t>
      </w:r>
      <w:r w:rsidRPr="00C277C0">
        <w:rPr>
          <w:rFonts w:eastAsia="宋体" w:hint="eastAsia"/>
          <w:snapToGrid w:val="0"/>
          <w:sz w:val="21"/>
          <w:szCs w:val="21"/>
          <w:lang w:eastAsia="zh-CN"/>
        </w:rPr>
        <w:t>注：可使用</w:t>
      </w:r>
      <w:r w:rsidR="00C55B83" w:rsidRPr="00C277C0">
        <w:rPr>
          <w:rFonts w:eastAsia="宋体" w:hint="eastAsia"/>
          <w:snapToGrid w:val="0"/>
          <w:sz w:val="21"/>
          <w:szCs w:val="21"/>
          <w:lang w:eastAsia="zh-CN"/>
        </w:rPr>
        <w:t>后续报告</w:t>
      </w:r>
      <w:r w:rsidRPr="00C277C0">
        <w:rPr>
          <w:rFonts w:eastAsia="宋体" w:hint="eastAsia"/>
          <w:snapToGrid w:val="0"/>
          <w:sz w:val="21"/>
          <w:szCs w:val="21"/>
          <w:lang w:eastAsia="zh-CN"/>
        </w:rPr>
        <w:t>提交同一事件的不同类型</w:t>
      </w:r>
      <w:r w:rsidRPr="00C277C0">
        <w:rPr>
          <w:rFonts w:eastAsia="宋体" w:hint="eastAsia"/>
          <w:snapToGrid w:val="0"/>
          <w:sz w:val="21"/>
          <w:szCs w:val="21"/>
          <w:lang w:eastAsia="zh-CN"/>
        </w:rPr>
        <w:t>ICSR</w:t>
      </w:r>
    </w:p>
    <w:p w:rsidR="00C1273A" w:rsidRPr="00C277C0" w:rsidRDefault="00C1273A" w:rsidP="00C1273A">
      <w:pPr>
        <w:autoSpaceDE/>
        <w:autoSpaceDN/>
        <w:snapToGrid w:val="0"/>
        <w:jc w:val="both"/>
        <w:rPr>
          <w:rFonts w:eastAsia="宋体"/>
          <w:snapToGrid w:val="0"/>
          <w:sz w:val="21"/>
          <w:szCs w:val="21"/>
          <w:lang w:eastAsia="zh-CN"/>
        </w:rPr>
      </w:pPr>
    </w:p>
    <w:p w:rsidR="00C1273A" w:rsidRPr="00C277C0" w:rsidRDefault="00097329" w:rsidP="00B403CB">
      <w:pPr>
        <w:pStyle w:val="a3"/>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w:t>
      </w:r>
      <w:r w:rsidR="00864569">
        <w:rPr>
          <w:rFonts w:eastAsia="宋体" w:hint="eastAsia"/>
          <w:snapToGrid w:val="0"/>
          <w:sz w:val="21"/>
          <w:szCs w:val="21"/>
          <w:lang w:eastAsia="zh-CN"/>
        </w:rPr>
        <w:t>参</w:t>
      </w:r>
      <w:r w:rsidRPr="00C277C0">
        <w:rPr>
          <w:rFonts w:eastAsia="宋体" w:hint="eastAsia"/>
          <w:snapToGrid w:val="0"/>
          <w:sz w:val="21"/>
          <w:szCs w:val="21"/>
          <w:lang w:eastAsia="zh-CN"/>
        </w:rPr>
        <w:t>见上文第</w:t>
      </w:r>
      <w:r w:rsidR="00B773B0" w:rsidRPr="00C277C0">
        <w:rPr>
          <w:rFonts w:eastAsia="宋体" w:hint="eastAsia"/>
          <w:snapToGrid w:val="0"/>
          <w:sz w:val="21"/>
          <w:szCs w:val="21"/>
          <w:lang w:eastAsia="zh-CN"/>
        </w:rPr>
        <w:t>IV</w:t>
      </w:r>
      <w:r w:rsidR="00C0232D" w:rsidRPr="00C277C0">
        <w:rPr>
          <w:rFonts w:eastAsia="宋体" w:hint="eastAsia"/>
          <w:snapToGrid w:val="0"/>
          <w:sz w:val="21"/>
          <w:szCs w:val="21"/>
          <w:lang w:eastAsia="zh-CN"/>
        </w:rPr>
        <w:t>.</w:t>
      </w:r>
      <w:r w:rsidRPr="00C277C0">
        <w:rPr>
          <w:rFonts w:eastAsia="宋体" w:hint="eastAsia"/>
          <w:snapToGrid w:val="0"/>
          <w:sz w:val="21"/>
          <w:szCs w:val="21"/>
          <w:lang w:eastAsia="zh-CN"/>
        </w:rPr>
        <w:t>A.4</w:t>
      </w:r>
      <w:r w:rsidRPr="00C277C0">
        <w:rPr>
          <w:rFonts w:eastAsia="宋体" w:hint="eastAsia"/>
          <w:snapToGrid w:val="0"/>
          <w:sz w:val="21"/>
          <w:szCs w:val="21"/>
          <w:lang w:eastAsia="zh-CN"/>
        </w:rPr>
        <w:t>节，该节讨论了在</w:t>
      </w:r>
      <w:r w:rsidRPr="00C277C0">
        <w:rPr>
          <w:rFonts w:eastAsia="宋体" w:hint="eastAsia"/>
          <w:snapToGrid w:val="0"/>
          <w:sz w:val="21"/>
          <w:szCs w:val="21"/>
          <w:lang w:eastAsia="zh-CN"/>
        </w:rPr>
        <w:t>30</w:t>
      </w:r>
      <w:r w:rsidRPr="00C277C0">
        <w:rPr>
          <w:rFonts w:eastAsia="宋体" w:hint="eastAsia"/>
          <w:snapToGrid w:val="0"/>
          <w:sz w:val="21"/>
          <w:szCs w:val="21"/>
          <w:lang w:eastAsia="zh-CN"/>
        </w:rPr>
        <w:t>天而不是</w:t>
      </w:r>
      <w:r w:rsidRPr="00C277C0">
        <w:rPr>
          <w:rFonts w:eastAsia="宋体" w:hint="eastAsia"/>
          <w:snapToGrid w:val="0"/>
          <w:sz w:val="21"/>
          <w:szCs w:val="21"/>
          <w:lang w:eastAsia="zh-CN"/>
        </w:rPr>
        <w:t>15</w:t>
      </w:r>
      <w:r w:rsidRPr="00C277C0">
        <w:rPr>
          <w:rFonts w:eastAsia="宋体" w:hint="eastAsia"/>
          <w:snapToGrid w:val="0"/>
          <w:sz w:val="21"/>
          <w:szCs w:val="21"/>
          <w:lang w:eastAsia="zh-CN"/>
        </w:rPr>
        <w:t>天内提交同一事件相关</w:t>
      </w:r>
      <w:r w:rsidR="00E66B82" w:rsidRPr="00C277C0">
        <w:rPr>
          <w:rFonts w:eastAsia="宋体" w:hint="eastAsia"/>
          <w:snapToGrid w:val="0"/>
          <w:sz w:val="21"/>
          <w:szCs w:val="21"/>
          <w:lang w:eastAsia="zh-CN"/>
        </w:rPr>
        <w:t>故障</w:t>
      </w:r>
      <w:r w:rsidRPr="00C277C0">
        <w:rPr>
          <w:rFonts w:eastAsia="宋体" w:hint="eastAsia"/>
          <w:snapToGrid w:val="0"/>
          <w:sz w:val="21"/>
          <w:szCs w:val="21"/>
          <w:lang w:eastAsia="zh-CN"/>
        </w:rPr>
        <w:t>的</w:t>
      </w:r>
      <w:r w:rsidRPr="00C277C0">
        <w:rPr>
          <w:rFonts w:eastAsia="宋体" w:hint="eastAsia"/>
          <w:snapToGrid w:val="0"/>
          <w:sz w:val="21"/>
          <w:szCs w:val="21"/>
          <w:lang w:eastAsia="zh-CN"/>
        </w:rPr>
        <w:t>15</w:t>
      </w:r>
      <w:r w:rsidRPr="00C277C0">
        <w:rPr>
          <w:rFonts w:eastAsia="宋体" w:hint="eastAsia"/>
          <w:snapToGrid w:val="0"/>
          <w:sz w:val="21"/>
          <w:szCs w:val="21"/>
          <w:lang w:eastAsia="zh-CN"/>
        </w:rPr>
        <w:t>天报告的</w:t>
      </w:r>
      <w:r w:rsidR="00C55B83" w:rsidRPr="00C277C0">
        <w:rPr>
          <w:rFonts w:eastAsia="宋体" w:hint="eastAsia"/>
          <w:snapToGrid w:val="0"/>
          <w:sz w:val="21"/>
          <w:szCs w:val="21"/>
          <w:lang w:eastAsia="zh-CN"/>
        </w:rPr>
        <w:t>后续报告</w:t>
      </w:r>
      <w:r w:rsidRPr="00C277C0">
        <w:rPr>
          <w:rFonts w:eastAsia="宋体" w:hint="eastAsia"/>
          <w:snapToGrid w:val="0"/>
          <w:sz w:val="21"/>
          <w:szCs w:val="21"/>
          <w:lang w:eastAsia="zh-CN"/>
        </w:rPr>
        <w:t>。</w:t>
      </w:r>
    </w:p>
    <w:p w:rsidR="00C1273A" w:rsidRPr="00C277C0" w:rsidRDefault="00C1273A" w:rsidP="00C1273A">
      <w:pPr>
        <w:pStyle w:val="a3"/>
        <w:autoSpaceDE/>
        <w:autoSpaceDN/>
        <w:snapToGrid w:val="0"/>
        <w:jc w:val="both"/>
        <w:rPr>
          <w:rFonts w:eastAsia="宋体"/>
          <w:snapToGrid w:val="0"/>
          <w:lang w:eastAsia="zh-CN"/>
        </w:rPr>
      </w:pPr>
    </w:p>
    <w:p w:rsidR="006223B4" w:rsidRPr="00C277C0" w:rsidRDefault="006223B4" w:rsidP="006223B4">
      <w:pPr>
        <w:autoSpaceDE/>
        <w:autoSpaceDN/>
        <w:snapToGrid w:val="0"/>
        <w:jc w:val="both"/>
        <w:rPr>
          <w:rFonts w:eastAsia="宋体"/>
          <w:snapToGrid w:val="0"/>
          <w:lang w:eastAsia="zh-CN"/>
        </w:rPr>
      </w:pPr>
      <w:r w:rsidRPr="00C277C0">
        <w:rPr>
          <w:rFonts w:eastAsia="宋体" w:hint="eastAsia"/>
          <w:snapToGrid w:val="0"/>
          <w:sz w:val="24"/>
          <w:szCs w:val="24"/>
          <w:lang w:eastAsia="zh-CN"/>
        </w:rPr>
        <w:br w:type="page"/>
      </w: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2.</w:t>
      </w:r>
      <w:r w:rsidRPr="00C277C0">
        <w:rPr>
          <w:rFonts w:hint="eastAsia"/>
          <w:snapToGrid w:val="0"/>
          <w:lang w:eastAsia="zh-CN"/>
        </w:rPr>
        <w:tab/>
      </w:r>
      <w:r w:rsidRPr="00C277C0">
        <w:rPr>
          <w:rFonts w:hint="eastAsia"/>
          <w:snapToGrid w:val="0"/>
          <w:lang w:eastAsia="zh-CN"/>
        </w:rPr>
        <w:t>提交报告</w:t>
      </w:r>
      <w:r w:rsidR="00844E92" w:rsidRPr="00C277C0">
        <w:rPr>
          <w:rFonts w:hint="eastAsia"/>
          <w:snapToGrid w:val="0"/>
          <w:lang w:eastAsia="zh-CN"/>
        </w:rPr>
        <w:t>地点与方式</w:t>
      </w:r>
      <w:r w:rsidRPr="00C277C0">
        <w:rPr>
          <w:rFonts w:hint="eastAsia"/>
          <w:snapToGrid w:val="0"/>
          <w:lang w:eastAsia="zh-CN"/>
        </w:rPr>
        <w:t>？</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ICSR</w:t>
      </w:r>
      <w:r w:rsidRPr="00C277C0">
        <w:rPr>
          <w:rFonts w:eastAsia="宋体" w:hint="eastAsia"/>
          <w:i/>
          <w:snapToGrid w:val="0"/>
          <w:lang w:eastAsia="zh-CN"/>
        </w:rPr>
        <w:t>（包括</w:t>
      </w:r>
      <w:r w:rsidR="00C55B83" w:rsidRPr="00C277C0">
        <w:rPr>
          <w:rFonts w:eastAsia="宋体" w:hint="eastAsia"/>
          <w:i/>
          <w:snapToGrid w:val="0"/>
          <w:lang w:eastAsia="zh-CN"/>
        </w:rPr>
        <w:t>后续报告</w:t>
      </w:r>
      <w:r w:rsidRPr="00C277C0">
        <w:rPr>
          <w:rFonts w:eastAsia="宋体" w:hint="eastAsia"/>
          <w:i/>
          <w:snapToGrid w:val="0"/>
          <w:lang w:eastAsia="zh-CN"/>
        </w:rPr>
        <w:t>）。</w:t>
      </w:r>
      <w:r w:rsidRPr="00C277C0">
        <w:rPr>
          <w:rFonts w:eastAsia="宋体" w:hint="eastAsia"/>
          <w:snapToGrid w:val="0"/>
          <w:lang w:eastAsia="zh-CN"/>
        </w:rPr>
        <w:t>组合产品申请人必须按照申请类型相关法规（</w:t>
      </w:r>
      <w:r w:rsidR="002F1EA6">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4.104</w:t>
      </w:r>
      <w:r w:rsidR="00990237" w:rsidRPr="00C277C0">
        <w:rPr>
          <w:rFonts w:eastAsia="宋体" w:hint="eastAsia"/>
          <w:snapToGrid w:val="0"/>
          <w:lang w:eastAsia="zh-CN"/>
        </w:rPr>
        <w:t>（</w:t>
      </w:r>
      <w:r w:rsidRPr="00C277C0">
        <w:rPr>
          <w:rFonts w:eastAsia="宋体" w:hint="eastAsia"/>
          <w:snapToGrid w:val="0"/>
          <w:lang w:eastAsia="zh-CN"/>
        </w:rPr>
        <w:t>b</w:t>
      </w:r>
      <w:r w:rsidR="00990237"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程序要求提交</w:t>
      </w:r>
      <w:r w:rsidRPr="00C277C0">
        <w:rPr>
          <w:rFonts w:eastAsia="宋体" w:hint="eastAsia"/>
          <w:snapToGrid w:val="0"/>
          <w:lang w:eastAsia="zh-CN"/>
        </w:rPr>
        <w:t>ICSR</w:t>
      </w:r>
      <w:r w:rsidRPr="00C277C0">
        <w:rPr>
          <w:rFonts w:eastAsia="宋体" w:hint="eastAsia"/>
          <w:snapToGrid w:val="0"/>
          <w:lang w:eastAsia="zh-CN"/>
        </w:rPr>
        <w:t>，并应遵循牵头中心的相关政策和程序。</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jc w:val="both"/>
        <w:rPr>
          <w:rFonts w:eastAsia="宋体"/>
          <w:snapToGrid w:val="0"/>
          <w:lang w:eastAsia="zh-CN"/>
        </w:rPr>
      </w:pPr>
      <w:r w:rsidRPr="00C277C0">
        <w:rPr>
          <w:rFonts w:eastAsia="宋体" w:hint="eastAsia"/>
          <w:snapToGrid w:val="0"/>
          <w:lang w:eastAsia="zh-CN"/>
        </w:rPr>
        <w:t>因此，对于：</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27"/>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器械申请组合产品，根据</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803.12</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a</w:t>
      </w:r>
      <w:r w:rsidR="00990237" w:rsidRPr="00C277C0">
        <w:rPr>
          <w:rFonts w:eastAsia="宋体" w:hint="eastAsia"/>
          <w:snapToGrid w:val="0"/>
          <w:sz w:val="24"/>
          <w:szCs w:val="24"/>
          <w:lang w:eastAsia="zh-CN"/>
        </w:rPr>
        <w:t>）</w:t>
      </w:r>
      <w:r w:rsidR="0086378E" w:rsidRPr="00C277C0">
        <w:rPr>
          <w:rFonts w:eastAsia="宋体" w:hint="eastAsia"/>
          <w:snapToGrid w:val="0"/>
          <w:sz w:val="24"/>
          <w:szCs w:val="24"/>
          <w:lang w:eastAsia="zh-CN"/>
        </w:rPr>
        <w:t>节</w:t>
      </w:r>
      <w:r w:rsidRPr="00C277C0">
        <w:rPr>
          <w:rFonts w:eastAsia="宋体" w:hint="eastAsia"/>
          <w:snapToGrid w:val="0"/>
          <w:sz w:val="24"/>
          <w:szCs w:val="24"/>
          <w:lang w:eastAsia="zh-CN"/>
        </w:rPr>
        <w:t>和相关指南提交所有</w:t>
      </w:r>
      <w:r w:rsidRPr="00C277C0">
        <w:rPr>
          <w:rFonts w:eastAsia="宋体" w:hint="eastAsia"/>
          <w:snapToGrid w:val="0"/>
          <w:sz w:val="24"/>
          <w:szCs w:val="24"/>
          <w:lang w:eastAsia="zh-CN"/>
        </w:rPr>
        <w:t>ICSR</w:t>
      </w:r>
      <w:r w:rsidRPr="00C277C0">
        <w:rPr>
          <w:rFonts w:eastAsia="宋体" w:hint="eastAsia"/>
          <w:snapToGrid w:val="0"/>
          <w:sz w:val="24"/>
          <w:szCs w:val="24"/>
          <w:lang w:eastAsia="zh-CN"/>
        </w:rPr>
        <w:t>（包括</w:t>
      </w:r>
      <w:r w:rsidRPr="00C277C0">
        <w:rPr>
          <w:rFonts w:eastAsia="宋体" w:hint="eastAsia"/>
          <w:snapToGrid w:val="0"/>
          <w:sz w:val="24"/>
          <w:szCs w:val="24"/>
          <w:lang w:eastAsia="zh-CN"/>
        </w:rPr>
        <w:t>15</w:t>
      </w:r>
      <w:r w:rsidRPr="00C277C0">
        <w:rPr>
          <w:rFonts w:eastAsia="宋体" w:hint="eastAsia"/>
          <w:snapToGrid w:val="0"/>
          <w:sz w:val="24"/>
          <w:szCs w:val="24"/>
          <w:lang w:eastAsia="zh-CN"/>
        </w:rPr>
        <w:t>天报告）；</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27"/>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NDA</w:t>
      </w:r>
      <w:r w:rsidRPr="00C277C0">
        <w:rPr>
          <w:rFonts w:eastAsia="宋体" w:hint="eastAsia"/>
          <w:snapToGrid w:val="0"/>
          <w:sz w:val="24"/>
          <w:szCs w:val="24"/>
          <w:lang w:eastAsia="zh-CN"/>
        </w:rPr>
        <w:t>或</w:t>
      </w:r>
      <w:r w:rsidRPr="00C277C0">
        <w:rPr>
          <w:rFonts w:eastAsia="宋体" w:hint="eastAsia"/>
          <w:snapToGrid w:val="0"/>
          <w:sz w:val="24"/>
          <w:szCs w:val="24"/>
          <w:lang w:eastAsia="zh-CN"/>
        </w:rPr>
        <w:t>ANDA</w:t>
      </w:r>
      <w:r w:rsidRPr="00C277C0">
        <w:rPr>
          <w:rFonts w:eastAsia="宋体" w:hint="eastAsia"/>
          <w:snapToGrid w:val="0"/>
          <w:sz w:val="24"/>
          <w:szCs w:val="24"/>
          <w:lang w:eastAsia="zh-CN"/>
        </w:rPr>
        <w:t>组合产品，根据</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314.80</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g</w:t>
      </w:r>
      <w:r w:rsidR="00990237" w:rsidRPr="00C277C0">
        <w:rPr>
          <w:rFonts w:eastAsia="宋体" w:hint="eastAsia"/>
          <w:snapToGrid w:val="0"/>
          <w:sz w:val="24"/>
          <w:szCs w:val="24"/>
          <w:lang w:eastAsia="zh-CN"/>
        </w:rPr>
        <w:t>）</w:t>
      </w:r>
      <w:r w:rsidR="0086378E" w:rsidRPr="00C277C0">
        <w:rPr>
          <w:rFonts w:eastAsia="宋体" w:hint="eastAsia"/>
          <w:snapToGrid w:val="0"/>
          <w:sz w:val="24"/>
          <w:szCs w:val="24"/>
          <w:lang w:eastAsia="zh-CN"/>
        </w:rPr>
        <w:t>节</w:t>
      </w:r>
      <w:r w:rsidRPr="00C277C0">
        <w:rPr>
          <w:rFonts w:eastAsia="宋体" w:hint="eastAsia"/>
          <w:snapToGrid w:val="0"/>
          <w:sz w:val="24"/>
          <w:szCs w:val="24"/>
          <w:lang w:eastAsia="zh-CN"/>
        </w:rPr>
        <w:t>和相关指南提交所有</w:t>
      </w:r>
      <w:r w:rsidRPr="00C277C0">
        <w:rPr>
          <w:rFonts w:eastAsia="宋体" w:hint="eastAsia"/>
          <w:snapToGrid w:val="0"/>
          <w:sz w:val="24"/>
          <w:szCs w:val="24"/>
          <w:lang w:eastAsia="zh-CN"/>
        </w:rPr>
        <w:t>ICSR</w:t>
      </w:r>
      <w:r w:rsidRPr="00C277C0">
        <w:rPr>
          <w:rFonts w:eastAsia="宋体" w:hint="eastAsia"/>
          <w:snapToGrid w:val="0"/>
          <w:sz w:val="24"/>
          <w:szCs w:val="24"/>
          <w:lang w:eastAsia="zh-CN"/>
        </w:rPr>
        <w:t>（如果组合产品包含器械组成部分，则包括</w:t>
      </w:r>
      <w:r w:rsidRPr="00C277C0">
        <w:rPr>
          <w:rFonts w:eastAsia="宋体" w:hint="eastAsia"/>
          <w:snapToGrid w:val="0"/>
          <w:sz w:val="24"/>
          <w:szCs w:val="24"/>
          <w:lang w:eastAsia="zh-CN"/>
        </w:rPr>
        <w:t>5</w:t>
      </w:r>
      <w:r w:rsidRPr="00C277C0">
        <w:rPr>
          <w:rFonts w:eastAsia="宋体" w:hint="eastAsia"/>
          <w:snapToGrid w:val="0"/>
          <w:sz w:val="24"/>
          <w:szCs w:val="24"/>
          <w:lang w:eastAsia="zh-CN"/>
        </w:rPr>
        <w:t>天报告和</w:t>
      </w:r>
      <w:r w:rsidR="00E66B82" w:rsidRPr="00C277C0">
        <w:rPr>
          <w:rFonts w:eastAsia="宋体" w:hint="eastAsia"/>
          <w:snapToGrid w:val="0"/>
          <w:sz w:val="24"/>
          <w:szCs w:val="24"/>
          <w:lang w:eastAsia="zh-CN"/>
        </w:rPr>
        <w:t>故障</w:t>
      </w:r>
      <w:r w:rsidR="00C55B83" w:rsidRPr="00C277C0">
        <w:rPr>
          <w:rFonts w:eastAsia="宋体" w:hint="eastAsia"/>
          <w:snapToGrid w:val="0"/>
          <w:sz w:val="24"/>
          <w:szCs w:val="24"/>
          <w:lang w:eastAsia="zh-CN"/>
        </w:rPr>
        <w:t>报告</w:t>
      </w:r>
      <w:r w:rsidRPr="00C277C0">
        <w:rPr>
          <w:rFonts w:eastAsia="宋体" w:hint="eastAsia"/>
          <w:snapToGrid w:val="0"/>
          <w:sz w:val="24"/>
          <w:szCs w:val="24"/>
          <w:lang w:eastAsia="zh-CN"/>
        </w:rPr>
        <w:t>）；以及</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27"/>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BLA</w:t>
      </w:r>
      <w:r w:rsidRPr="00C277C0">
        <w:rPr>
          <w:rFonts w:eastAsia="宋体" w:hint="eastAsia"/>
          <w:snapToGrid w:val="0"/>
          <w:sz w:val="24"/>
          <w:szCs w:val="24"/>
          <w:lang w:eastAsia="zh-CN"/>
        </w:rPr>
        <w:t>组合产品，根据</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600.80</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h</w:t>
      </w:r>
      <w:r w:rsidR="00990237" w:rsidRPr="00C277C0">
        <w:rPr>
          <w:rFonts w:eastAsia="宋体" w:hint="eastAsia"/>
          <w:snapToGrid w:val="0"/>
          <w:sz w:val="24"/>
          <w:szCs w:val="24"/>
          <w:lang w:eastAsia="zh-CN"/>
        </w:rPr>
        <w:t>）</w:t>
      </w:r>
      <w:r w:rsidR="0086378E" w:rsidRPr="00C277C0">
        <w:rPr>
          <w:rFonts w:eastAsia="宋体" w:hint="eastAsia"/>
          <w:snapToGrid w:val="0"/>
          <w:sz w:val="24"/>
          <w:szCs w:val="24"/>
          <w:lang w:eastAsia="zh-CN"/>
        </w:rPr>
        <w:t>节</w:t>
      </w:r>
      <w:r w:rsidRPr="00C277C0">
        <w:rPr>
          <w:rFonts w:eastAsia="宋体" w:hint="eastAsia"/>
          <w:snapToGrid w:val="0"/>
          <w:sz w:val="24"/>
          <w:szCs w:val="24"/>
          <w:lang w:eastAsia="zh-CN"/>
        </w:rPr>
        <w:t>和相关指南提交所有</w:t>
      </w:r>
      <w:r w:rsidRPr="00C277C0">
        <w:rPr>
          <w:rFonts w:eastAsia="宋体" w:hint="eastAsia"/>
          <w:snapToGrid w:val="0"/>
          <w:sz w:val="24"/>
          <w:szCs w:val="24"/>
          <w:lang w:eastAsia="zh-CN"/>
        </w:rPr>
        <w:t>ICSR</w:t>
      </w:r>
      <w:r w:rsidRPr="00C277C0">
        <w:rPr>
          <w:rFonts w:eastAsia="宋体" w:hint="eastAsia"/>
          <w:snapToGrid w:val="0"/>
          <w:sz w:val="24"/>
          <w:szCs w:val="24"/>
          <w:lang w:eastAsia="zh-CN"/>
        </w:rPr>
        <w:t>（如果组合产品包含器械组成部分，则包括</w:t>
      </w:r>
      <w:r w:rsidRPr="00C277C0">
        <w:rPr>
          <w:rFonts w:eastAsia="宋体" w:hint="eastAsia"/>
          <w:snapToGrid w:val="0"/>
          <w:sz w:val="24"/>
          <w:szCs w:val="24"/>
          <w:lang w:eastAsia="zh-CN"/>
        </w:rPr>
        <w:t>5</w:t>
      </w:r>
      <w:r w:rsidRPr="00C277C0">
        <w:rPr>
          <w:rFonts w:eastAsia="宋体" w:hint="eastAsia"/>
          <w:snapToGrid w:val="0"/>
          <w:sz w:val="24"/>
          <w:szCs w:val="24"/>
          <w:lang w:eastAsia="zh-CN"/>
        </w:rPr>
        <w:t>天报告和</w:t>
      </w:r>
      <w:r w:rsidR="00E66B82" w:rsidRPr="00C277C0">
        <w:rPr>
          <w:rFonts w:eastAsia="宋体" w:hint="eastAsia"/>
          <w:snapToGrid w:val="0"/>
          <w:sz w:val="24"/>
          <w:szCs w:val="24"/>
          <w:lang w:eastAsia="zh-CN"/>
        </w:rPr>
        <w:t>故障</w:t>
      </w:r>
      <w:r w:rsidR="00C55B83" w:rsidRPr="00C277C0">
        <w:rPr>
          <w:rFonts w:eastAsia="宋体" w:hint="eastAsia"/>
          <w:snapToGrid w:val="0"/>
          <w:sz w:val="24"/>
          <w:szCs w:val="24"/>
          <w:lang w:eastAsia="zh-CN"/>
        </w:rPr>
        <w:t>报告</w:t>
      </w:r>
      <w:r w:rsidRPr="00C277C0">
        <w:rPr>
          <w:rFonts w:eastAsia="宋体" w:hint="eastAsia"/>
          <w:snapToGrid w:val="0"/>
          <w:sz w:val="24"/>
          <w:szCs w:val="24"/>
          <w:lang w:eastAsia="zh-CN"/>
        </w:rPr>
        <w:t>）。</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D434DC" w:rsidP="00C1273A">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例如，如果组合产品根据器械申请获得上市许可，则根据</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803.12</w:t>
      </w:r>
      <w:r w:rsidR="00FA5CED" w:rsidRPr="00C277C0">
        <w:rPr>
          <w:rFonts w:eastAsia="宋体" w:hint="eastAsia"/>
          <w:snapToGrid w:val="0"/>
          <w:lang w:eastAsia="zh-CN"/>
        </w:rPr>
        <w:t>（</w:t>
      </w:r>
      <w:r w:rsidRPr="00C277C0">
        <w:rPr>
          <w:rFonts w:eastAsia="宋体" w:hint="eastAsia"/>
          <w:snapToGrid w:val="0"/>
          <w:lang w:eastAsia="zh-CN"/>
        </w:rPr>
        <w:t>a</w:t>
      </w:r>
      <w:r w:rsidR="00FA5CED" w:rsidRPr="00C277C0">
        <w:rPr>
          <w:rFonts w:eastAsia="宋体" w:hint="eastAsia"/>
          <w:snapToGrid w:val="0"/>
          <w:lang w:eastAsia="zh-CN"/>
        </w:rPr>
        <w:t>）</w:t>
      </w:r>
      <w:r w:rsidR="00AE00AC">
        <w:rPr>
          <w:rFonts w:eastAsia="宋体" w:hint="eastAsia"/>
          <w:snapToGrid w:val="0"/>
          <w:lang w:eastAsia="zh-CN"/>
        </w:rPr>
        <w:t>节</w:t>
      </w:r>
      <w:r w:rsidRPr="00C277C0">
        <w:rPr>
          <w:rFonts w:eastAsia="宋体" w:hint="eastAsia"/>
          <w:snapToGrid w:val="0"/>
          <w:lang w:eastAsia="zh-CN"/>
        </w:rPr>
        <w:t>和</w:t>
      </w:r>
      <w:r w:rsidRPr="00C277C0">
        <w:rPr>
          <w:rFonts w:eastAsia="宋体" w:hint="eastAsia"/>
          <w:snapToGrid w:val="0"/>
          <w:lang w:eastAsia="zh-CN"/>
        </w:rPr>
        <w:t>CDRH eMDR</w:t>
      </w:r>
      <w:r w:rsidRPr="00C277C0">
        <w:rPr>
          <w:rFonts w:eastAsia="宋体" w:hint="eastAsia"/>
          <w:snapToGrid w:val="0"/>
          <w:lang w:eastAsia="zh-CN"/>
        </w:rPr>
        <w:t>实施规范（</w:t>
      </w:r>
      <w:hyperlink r:id="rId15" w:history="1">
        <w:r w:rsidR="00DF0641" w:rsidRPr="00C277C0">
          <w:rPr>
            <w:rStyle w:val="a9"/>
            <w:rFonts w:eastAsia="宋体" w:hint="eastAsia"/>
            <w:snapToGrid w:val="0"/>
            <w:u w:color="0000FF"/>
            <w:lang w:eastAsia="zh-CN"/>
          </w:rPr>
          <w:t>https://www.fda.gov/medical-devices/mandatory-reporting-requirements-manufacturers-importers-and-device-user-facilities/health-level-seven-hl7-individual-case-safety-reporting-icsr-files</w:t>
        </w:r>
      </w:hyperlink>
      <w:r w:rsidRPr="00C277C0">
        <w:rPr>
          <w:rFonts w:eastAsia="宋体" w:hint="eastAsia"/>
          <w:snapToGrid w:val="0"/>
          <w:lang w:eastAsia="zh-CN"/>
        </w:rPr>
        <w:t>），提交</w:t>
      </w:r>
      <w:r w:rsidRPr="00C277C0">
        <w:rPr>
          <w:rFonts w:eastAsia="宋体" w:hint="eastAsia"/>
          <w:snapToGrid w:val="0"/>
          <w:lang w:eastAsia="zh-CN"/>
        </w:rPr>
        <w:t>15</w:t>
      </w:r>
      <w:r w:rsidRPr="00C277C0">
        <w:rPr>
          <w:rFonts w:eastAsia="宋体" w:hint="eastAsia"/>
          <w:snapToGrid w:val="0"/>
          <w:lang w:eastAsia="zh-CN"/>
        </w:rPr>
        <w:t>天报告和</w:t>
      </w:r>
      <w:r w:rsidRPr="00C277C0">
        <w:rPr>
          <w:rFonts w:eastAsia="宋体" w:hint="eastAsia"/>
          <w:snapToGrid w:val="0"/>
          <w:lang w:eastAsia="zh-CN"/>
        </w:rPr>
        <w:t>15</w:t>
      </w:r>
      <w:r w:rsidRPr="00C277C0">
        <w:rPr>
          <w:rFonts w:eastAsia="宋体" w:hint="eastAsia"/>
          <w:snapToGrid w:val="0"/>
          <w:lang w:eastAsia="zh-CN"/>
        </w:rPr>
        <w:t>天报告的</w:t>
      </w:r>
      <w:r w:rsidR="00C55B83" w:rsidRPr="00C277C0">
        <w:rPr>
          <w:rFonts w:eastAsia="宋体" w:hint="eastAsia"/>
          <w:snapToGrid w:val="0"/>
          <w:lang w:eastAsia="zh-CN"/>
        </w:rPr>
        <w:t>后续报告</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其他（非</w:t>
      </w:r>
      <w:r w:rsidRPr="00C277C0">
        <w:rPr>
          <w:rFonts w:eastAsia="宋体" w:hint="eastAsia"/>
          <w:i/>
          <w:snapToGrid w:val="0"/>
          <w:lang w:eastAsia="zh-CN"/>
        </w:rPr>
        <w:t>ICSR</w:t>
      </w:r>
      <w:r w:rsidRPr="00C277C0">
        <w:rPr>
          <w:rFonts w:eastAsia="宋体" w:hint="eastAsia"/>
          <w:i/>
          <w:snapToGrid w:val="0"/>
          <w:lang w:eastAsia="zh-CN"/>
        </w:rPr>
        <w:t>）报告类型。</w:t>
      </w:r>
      <w:r w:rsidRPr="00C277C0">
        <w:rPr>
          <w:rFonts w:eastAsia="宋体" w:hint="eastAsia"/>
          <w:snapToGrid w:val="0"/>
          <w:lang w:eastAsia="zh-CN"/>
        </w:rPr>
        <w:t>对于</w:t>
      </w:r>
      <w:r w:rsidRPr="00C277C0">
        <w:rPr>
          <w:rFonts w:eastAsia="宋体" w:hint="eastAsia"/>
          <w:snapToGrid w:val="0"/>
          <w:lang w:eastAsia="zh-CN"/>
        </w:rPr>
        <w:t>ICSR</w:t>
      </w:r>
      <w:r w:rsidRPr="00C277C0">
        <w:rPr>
          <w:rFonts w:eastAsia="宋体" w:hint="eastAsia"/>
          <w:snapToGrid w:val="0"/>
          <w:lang w:eastAsia="zh-CN"/>
        </w:rPr>
        <w:t>以外的报告类型（即</w:t>
      </w:r>
      <w:r w:rsidR="0075567A" w:rsidRPr="00C277C0">
        <w:rPr>
          <w:rFonts w:eastAsia="宋体" w:hint="eastAsia"/>
          <w:snapToGrid w:val="0"/>
          <w:lang w:eastAsia="zh-CN"/>
        </w:rPr>
        <w:t>现场警示报告</w:t>
      </w:r>
      <w:r w:rsidRPr="00C277C0">
        <w:rPr>
          <w:rFonts w:eastAsia="宋体" w:hint="eastAsia"/>
          <w:snapToGrid w:val="0"/>
          <w:lang w:eastAsia="zh-CN"/>
        </w:rPr>
        <w:t>、</w:t>
      </w:r>
      <w:r w:rsidR="0075567A" w:rsidRPr="00C277C0">
        <w:rPr>
          <w:rFonts w:eastAsia="宋体" w:hint="eastAsia"/>
          <w:snapToGrid w:val="0"/>
          <w:lang w:eastAsia="zh-CN"/>
        </w:rPr>
        <w:t>生物制品偏差报告</w:t>
      </w:r>
      <w:r w:rsidRPr="00C277C0">
        <w:rPr>
          <w:rFonts w:eastAsia="宋体" w:hint="eastAsia"/>
          <w:snapToGrid w:val="0"/>
          <w:lang w:eastAsia="zh-CN"/>
        </w:rPr>
        <w:t>和更正或移除报告），根据报告类型相关的程序要求和政策提交报告。</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C1273A">
      <w:pPr>
        <w:pStyle w:val="a3"/>
        <w:autoSpaceDE/>
        <w:autoSpaceDN/>
        <w:snapToGrid w:val="0"/>
        <w:jc w:val="both"/>
        <w:rPr>
          <w:rFonts w:eastAsia="宋体"/>
          <w:snapToGrid w:val="0"/>
          <w:lang w:eastAsia="zh-CN"/>
        </w:rPr>
      </w:pPr>
      <w:r w:rsidRPr="00C277C0">
        <w:rPr>
          <w:rFonts w:eastAsia="宋体" w:hint="eastAsia"/>
          <w:snapToGrid w:val="0"/>
          <w:lang w:eastAsia="zh-CN"/>
        </w:rPr>
        <w:t>有关报告的</w:t>
      </w:r>
      <w:r w:rsidR="00A22963" w:rsidRPr="00C277C0">
        <w:rPr>
          <w:rFonts w:eastAsia="宋体" w:hint="eastAsia"/>
          <w:snapToGrid w:val="0"/>
          <w:lang w:eastAsia="zh-CN"/>
        </w:rPr>
        <w:t>更多</w:t>
      </w:r>
      <w:r w:rsidR="00A961B4" w:rsidRPr="00C277C0">
        <w:rPr>
          <w:rFonts w:eastAsia="宋体" w:hint="eastAsia"/>
          <w:snapToGrid w:val="0"/>
          <w:lang w:eastAsia="zh-CN"/>
        </w:rPr>
        <w:t>信息</w:t>
      </w:r>
      <w:r w:rsidRPr="00C277C0">
        <w:rPr>
          <w:rFonts w:eastAsia="宋体" w:hint="eastAsia"/>
          <w:snapToGrid w:val="0"/>
          <w:lang w:eastAsia="zh-CN"/>
        </w:rPr>
        <w:t>，</w:t>
      </w:r>
      <w:r w:rsidR="00A00C22">
        <w:rPr>
          <w:rFonts w:eastAsia="宋体" w:hint="eastAsia"/>
          <w:snapToGrid w:val="0"/>
          <w:lang w:eastAsia="zh-CN"/>
        </w:rPr>
        <w:t>请参见</w:t>
      </w:r>
      <w:r w:rsidRPr="00C277C0">
        <w:rPr>
          <w:rFonts w:eastAsia="宋体" w:hint="eastAsia"/>
          <w:snapToGrid w:val="0"/>
          <w:lang w:eastAsia="zh-CN"/>
        </w:rPr>
        <w:t>：</w:t>
      </w:r>
    </w:p>
    <w:p w:rsidR="00C1273A" w:rsidRPr="00C277C0" w:rsidRDefault="00C1273A" w:rsidP="00B403CB">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28"/>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ICSR</w:t>
      </w:r>
      <w:r w:rsidRPr="00C277C0">
        <w:rPr>
          <w:rFonts w:eastAsia="宋体" w:hint="eastAsia"/>
          <w:snapToGrid w:val="0"/>
          <w:sz w:val="24"/>
          <w:szCs w:val="24"/>
          <w:lang w:eastAsia="zh-CN"/>
        </w:rPr>
        <w:t>：</w:t>
      </w:r>
    </w:p>
    <w:p w:rsidR="00C1273A" w:rsidRPr="00C277C0" w:rsidRDefault="00097329" w:rsidP="00B403CB">
      <w:pPr>
        <w:pStyle w:val="a4"/>
        <w:numPr>
          <w:ilvl w:val="1"/>
          <w:numId w:val="30"/>
        </w:numPr>
        <w:wordWrap w:val="0"/>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FDA</w:t>
      </w:r>
      <w:r w:rsidRPr="00C277C0">
        <w:rPr>
          <w:rFonts w:eastAsia="宋体" w:hint="eastAsia"/>
          <w:snapToGrid w:val="0"/>
          <w:sz w:val="24"/>
          <w:szCs w:val="24"/>
          <w:lang w:eastAsia="zh-CN"/>
        </w:rPr>
        <w:t>不良事件报告系统（</w:t>
      </w:r>
      <w:r w:rsidRPr="00C277C0">
        <w:rPr>
          <w:rFonts w:eastAsia="宋体" w:hint="eastAsia"/>
          <w:snapToGrid w:val="0"/>
          <w:sz w:val="24"/>
          <w:szCs w:val="24"/>
          <w:lang w:eastAsia="zh-CN"/>
        </w:rPr>
        <w:t>FAERS</w:t>
      </w:r>
      <w:r w:rsidRPr="00C277C0">
        <w:rPr>
          <w:rFonts w:eastAsia="宋体" w:hint="eastAsia"/>
          <w:snapToGrid w:val="0"/>
          <w:sz w:val="24"/>
          <w:szCs w:val="24"/>
          <w:lang w:eastAsia="zh-CN"/>
        </w:rPr>
        <w:t>）电子提交（</w:t>
      </w:r>
      <w:hyperlink r:id="rId16" w:history="1">
        <w:r w:rsidR="00CF769C" w:rsidRPr="00C277C0">
          <w:rPr>
            <w:rStyle w:val="a9"/>
            <w:rFonts w:eastAsia="宋体" w:hint="eastAsia"/>
            <w:snapToGrid w:val="0"/>
            <w:sz w:val="24"/>
            <w:szCs w:val="24"/>
            <w:u w:color="0000FF"/>
            <w:lang w:eastAsia="zh-CN"/>
          </w:rPr>
          <w:t>https://www.fda.gov/drugs/fda-adverse-event-reporting-system-faers/fda-adverse-event-reporting-system-faers-electronic-submissions</w:t>
        </w:r>
      </w:hyperlink>
      <w:r w:rsidRPr="00C277C0">
        <w:rPr>
          <w:rFonts w:eastAsia="宋体" w:hint="eastAsia"/>
          <w:snapToGrid w:val="0"/>
          <w:sz w:val="24"/>
          <w:szCs w:val="24"/>
          <w:lang w:eastAsia="zh-CN"/>
        </w:rPr>
        <w:t>）。</w:t>
      </w:r>
    </w:p>
    <w:p w:rsidR="00C1273A" w:rsidRPr="00C277C0" w:rsidRDefault="00097329" w:rsidP="00B403CB">
      <w:pPr>
        <w:pStyle w:val="a4"/>
        <w:numPr>
          <w:ilvl w:val="1"/>
          <w:numId w:val="30"/>
        </w:numPr>
        <w:wordWrap w:val="0"/>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电子医疗器械报告（</w:t>
      </w:r>
      <w:r w:rsidRPr="00C277C0">
        <w:rPr>
          <w:rFonts w:eastAsia="宋体" w:hint="eastAsia"/>
          <w:snapToGrid w:val="0"/>
          <w:sz w:val="24"/>
          <w:szCs w:val="24"/>
          <w:lang w:eastAsia="zh-CN"/>
        </w:rPr>
        <w:t>eMDR</w:t>
      </w:r>
      <w:r w:rsidRPr="00C277C0">
        <w:rPr>
          <w:rFonts w:eastAsia="宋体" w:hint="eastAsia"/>
          <w:snapToGrid w:val="0"/>
          <w:sz w:val="24"/>
          <w:szCs w:val="24"/>
          <w:lang w:eastAsia="zh-CN"/>
        </w:rPr>
        <w:t>）（</w:t>
      </w:r>
      <w:hyperlink r:id="rId17" w:history="1">
        <w:r w:rsidR="00DF0641" w:rsidRPr="00B403CB">
          <w:rPr>
            <w:rStyle w:val="a9"/>
            <w:rFonts w:eastAsia="宋体"/>
          </w:rPr>
          <w:t>https://www.fda.gov/industry/fda-esubmitter/electronic-medical-device-reporting-emd</w:t>
        </w:r>
      </w:hyperlink>
      <w:r w:rsidRPr="00C277C0">
        <w:rPr>
          <w:rFonts w:eastAsia="宋体" w:hint="eastAsia"/>
          <w:snapToGrid w:val="0"/>
          <w:sz w:val="24"/>
          <w:szCs w:val="24"/>
          <w:lang w:eastAsia="zh-CN"/>
        </w:rPr>
        <w:t>r</w:t>
      </w:r>
      <w:r w:rsidRPr="00C277C0">
        <w:rPr>
          <w:rFonts w:eastAsia="宋体" w:hint="eastAsia"/>
          <w:snapToGrid w:val="0"/>
          <w:sz w:val="24"/>
          <w:szCs w:val="24"/>
          <w:lang w:eastAsia="zh-CN"/>
        </w:rPr>
        <w:t>）</w:t>
      </w:r>
    </w:p>
    <w:p w:rsidR="00C1273A" w:rsidRPr="00C277C0" w:rsidRDefault="00D434DC" w:rsidP="00DF0641">
      <w:pPr>
        <w:pStyle w:val="a4"/>
        <w:numPr>
          <w:ilvl w:val="1"/>
          <w:numId w:val="30"/>
        </w:numPr>
        <w:wordWrap w:val="0"/>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CDRH-eMDR</w:t>
      </w:r>
      <w:r w:rsidRPr="00C277C0">
        <w:rPr>
          <w:rFonts w:eastAsia="宋体" w:hint="eastAsia"/>
          <w:snapToGrid w:val="0"/>
          <w:sz w:val="24"/>
          <w:szCs w:val="24"/>
          <w:lang w:eastAsia="zh-CN"/>
        </w:rPr>
        <w:t>实施规范（</w:t>
      </w:r>
      <w:hyperlink r:id="rId18" w:history="1">
        <w:r w:rsidR="00DF0641" w:rsidRPr="00C277C0">
          <w:rPr>
            <w:rStyle w:val="a9"/>
            <w:rFonts w:eastAsia="宋体" w:hint="eastAsia"/>
            <w:snapToGrid w:val="0"/>
            <w:sz w:val="24"/>
            <w:szCs w:val="24"/>
            <w:u w:color="0000FF"/>
            <w:lang w:eastAsia="zh-CN"/>
          </w:rPr>
          <w:t>https://www.fda.gov/medical-devices/mandatory-reporting-requirements-manufacturers-importers-and-device-user-facilities/health-level-seven-hl7-individual-case-safety-reporting-icsr-files</w:t>
        </w:r>
      </w:hyperlink>
      <w:r w:rsidRPr="00C277C0">
        <w:rPr>
          <w:rFonts w:eastAsia="宋体" w:hint="eastAsia"/>
          <w:snapToGrid w:val="0"/>
          <w:sz w:val="24"/>
          <w:szCs w:val="24"/>
          <w:lang w:eastAsia="zh-CN"/>
        </w:rPr>
        <w:t>）</w:t>
      </w:r>
    </w:p>
    <w:p w:rsidR="00DF0641" w:rsidRPr="00C277C0" w:rsidRDefault="00097329" w:rsidP="00DF0641">
      <w:pPr>
        <w:pStyle w:val="a4"/>
        <w:numPr>
          <w:ilvl w:val="1"/>
          <w:numId w:val="30"/>
        </w:numPr>
        <w:wordWrap w:val="0"/>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CBER/CDER</w:t>
      </w:r>
      <w:r w:rsidRPr="00C277C0">
        <w:rPr>
          <w:rFonts w:eastAsia="宋体" w:hint="eastAsia"/>
          <w:snapToGrid w:val="0"/>
          <w:sz w:val="24"/>
          <w:szCs w:val="24"/>
          <w:lang w:eastAsia="zh-CN"/>
        </w:rPr>
        <w:t>电子</w:t>
      </w:r>
      <w:r w:rsidRPr="00C277C0">
        <w:rPr>
          <w:rFonts w:eastAsia="宋体" w:hint="eastAsia"/>
          <w:snapToGrid w:val="0"/>
          <w:sz w:val="24"/>
          <w:szCs w:val="24"/>
          <w:lang w:eastAsia="zh-CN"/>
        </w:rPr>
        <w:t>ICSR</w:t>
      </w:r>
      <w:r w:rsidRPr="00C277C0">
        <w:rPr>
          <w:rFonts w:eastAsia="宋体" w:hint="eastAsia"/>
          <w:snapToGrid w:val="0"/>
          <w:sz w:val="24"/>
          <w:szCs w:val="24"/>
          <w:lang w:eastAsia="zh-CN"/>
        </w:rPr>
        <w:t>的技术规范，包含在</w:t>
      </w:r>
      <w:r w:rsidRPr="00C277C0">
        <w:rPr>
          <w:rFonts w:eastAsia="宋体" w:hint="eastAsia"/>
          <w:i/>
          <w:snapToGrid w:val="0"/>
          <w:sz w:val="24"/>
          <w:szCs w:val="24"/>
          <w:lang w:eastAsia="zh-CN"/>
        </w:rPr>
        <w:t>电子</w:t>
      </w:r>
      <w:r w:rsidRPr="00C277C0">
        <w:rPr>
          <w:rFonts w:eastAsia="宋体" w:hint="eastAsia"/>
          <w:i/>
          <w:snapToGrid w:val="0"/>
          <w:sz w:val="24"/>
          <w:szCs w:val="24"/>
          <w:lang w:eastAsia="zh-CN"/>
        </w:rPr>
        <w:t>ICSR</w:t>
      </w:r>
      <w:r w:rsidRPr="00C277C0">
        <w:rPr>
          <w:rFonts w:eastAsia="宋体" w:hint="eastAsia"/>
          <w:i/>
          <w:snapToGrid w:val="0"/>
          <w:sz w:val="24"/>
          <w:szCs w:val="24"/>
          <w:lang w:eastAsia="zh-CN"/>
        </w:rPr>
        <w:t>和</w:t>
      </w:r>
      <w:r w:rsidRPr="00C277C0">
        <w:rPr>
          <w:rFonts w:eastAsia="宋体" w:hint="eastAsia"/>
          <w:i/>
          <w:snapToGrid w:val="0"/>
          <w:sz w:val="24"/>
          <w:szCs w:val="24"/>
          <w:lang w:eastAsia="zh-CN"/>
        </w:rPr>
        <w:t>ICSR</w:t>
      </w:r>
      <w:r w:rsidRPr="00C277C0">
        <w:rPr>
          <w:rFonts w:eastAsia="宋体" w:hint="eastAsia"/>
          <w:i/>
          <w:snapToGrid w:val="0"/>
          <w:sz w:val="24"/>
          <w:szCs w:val="24"/>
          <w:lang w:eastAsia="zh-CN"/>
        </w:rPr>
        <w:t>附件的起草和申报规范</w:t>
      </w:r>
      <w:r w:rsidRPr="00B403CB">
        <w:rPr>
          <w:rFonts w:eastAsia="宋体" w:hint="eastAsia"/>
          <w:i/>
          <w:sz w:val="24"/>
        </w:rPr>
        <w:t>中</w:t>
      </w:r>
      <w:r w:rsidRPr="00C277C0">
        <w:rPr>
          <w:rFonts w:eastAsia="宋体" w:hint="eastAsia"/>
          <w:snapToGrid w:val="0"/>
          <w:sz w:val="24"/>
          <w:szCs w:val="24"/>
          <w:lang w:eastAsia="zh-CN"/>
        </w:rPr>
        <w:t>（</w:t>
      </w:r>
      <w:hyperlink r:id="rId19">
        <w:r w:rsidRPr="00C277C0">
          <w:rPr>
            <w:rFonts w:eastAsia="宋体" w:hint="eastAsia"/>
            <w:snapToGrid w:val="0"/>
            <w:color w:val="0000FF"/>
            <w:sz w:val="24"/>
            <w:szCs w:val="24"/>
            <w:u w:val="single" w:color="0000FF"/>
            <w:lang w:eastAsia="zh-CN"/>
          </w:rPr>
          <w:t>https://www.fda.gov/media/111763/download</w:t>
        </w:r>
      </w:hyperlink>
      <w:r w:rsidRPr="00C277C0">
        <w:rPr>
          <w:rFonts w:eastAsia="宋体" w:hint="eastAsia"/>
          <w:snapToGrid w:val="0"/>
          <w:sz w:val="24"/>
          <w:szCs w:val="24"/>
          <w:lang w:eastAsia="zh-CN"/>
        </w:rPr>
        <w:t>）</w:t>
      </w:r>
    </w:p>
    <w:p w:rsidR="00C1273A" w:rsidRPr="00C277C0" w:rsidRDefault="00651055" w:rsidP="00B403CB">
      <w:pPr>
        <w:pStyle w:val="a4"/>
        <w:wordWrap w:val="0"/>
        <w:autoSpaceDE/>
        <w:autoSpaceDN/>
        <w:snapToGrid w:val="0"/>
        <w:ind w:left="1800" w:firstLine="0"/>
        <w:jc w:val="both"/>
        <w:rPr>
          <w:rFonts w:eastAsia="宋体"/>
          <w:snapToGrid w:val="0"/>
          <w:sz w:val="24"/>
          <w:szCs w:val="24"/>
          <w:lang w:eastAsia="zh-CN"/>
        </w:rPr>
      </w:pPr>
      <w:r w:rsidRPr="00C277C0">
        <w:rPr>
          <w:rFonts w:eastAsia="宋体" w:hint="eastAsia"/>
          <w:snapToGrid w:val="0"/>
          <w:sz w:val="24"/>
          <w:szCs w:val="24"/>
          <w:lang w:eastAsia="zh-CN"/>
        </w:rPr>
        <w:br w:type="page"/>
      </w:r>
    </w:p>
    <w:p w:rsidR="00C1273A" w:rsidRPr="00C277C0" w:rsidRDefault="00097329" w:rsidP="00B403CB">
      <w:pPr>
        <w:pStyle w:val="a4"/>
        <w:numPr>
          <w:ilvl w:val="1"/>
          <w:numId w:val="30"/>
        </w:numPr>
        <w:wordWrap w:val="0"/>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CBER</w:t>
      </w:r>
      <w:r w:rsidRPr="00C277C0">
        <w:rPr>
          <w:rFonts w:eastAsia="宋体" w:hint="eastAsia"/>
          <w:snapToGrid w:val="0"/>
          <w:sz w:val="24"/>
          <w:szCs w:val="24"/>
          <w:lang w:eastAsia="zh-CN"/>
        </w:rPr>
        <w:t>疫苗</w:t>
      </w:r>
      <w:r w:rsidRPr="00C277C0">
        <w:rPr>
          <w:rFonts w:eastAsia="宋体" w:hint="eastAsia"/>
          <w:snapToGrid w:val="0"/>
          <w:sz w:val="24"/>
          <w:szCs w:val="24"/>
          <w:lang w:eastAsia="zh-CN"/>
        </w:rPr>
        <w:t>ICSR</w:t>
      </w:r>
      <w:r w:rsidRPr="00C277C0">
        <w:rPr>
          <w:rFonts w:eastAsia="宋体" w:hint="eastAsia"/>
          <w:snapToGrid w:val="0"/>
          <w:sz w:val="24"/>
          <w:szCs w:val="24"/>
          <w:lang w:eastAsia="zh-CN"/>
        </w:rPr>
        <w:t>实施（包括有关疫苗不良事件报告系统或</w:t>
      </w:r>
      <w:r w:rsidRPr="00C277C0">
        <w:rPr>
          <w:rFonts w:eastAsia="宋体" w:hint="eastAsia"/>
          <w:snapToGrid w:val="0"/>
          <w:sz w:val="24"/>
          <w:szCs w:val="24"/>
          <w:lang w:eastAsia="zh-CN"/>
        </w:rPr>
        <w:t>VAERS</w:t>
      </w:r>
      <w:r w:rsidRPr="00C277C0">
        <w:rPr>
          <w:rFonts w:eastAsia="宋体" w:hint="eastAsia"/>
          <w:snapToGrid w:val="0"/>
          <w:sz w:val="24"/>
          <w:szCs w:val="24"/>
          <w:lang w:eastAsia="zh-CN"/>
        </w:rPr>
        <w:t>的信息）（</w:t>
      </w:r>
      <w:hyperlink r:id="rId20">
        <w:r w:rsidRPr="00C277C0">
          <w:rPr>
            <w:rFonts w:eastAsia="宋体" w:hint="eastAsia"/>
            <w:snapToGrid w:val="0"/>
            <w:color w:val="0000FF"/>
            <w:sz w:val="24"/>
            <w:szCs w:val="24"/>
            <w:u w:val="single" w:color="0000FF"/>
            <w:lang w:eastAsia="zh-CN"/>
          </w:rPr>
          <w:t>https://www.fda.gov/industry/about-esg/cber-vaccine-icsr-implementation</w:t>
        </w:r>
      </w:hyperlink>
      <w:r w:rsidRPr="00C277C0">
        <w:rPr>
          <w:rFonts w:eastAsia="宋体" w:hint="eastAsia"/>
          <w:snapToGrid w:val="0"/>
          <w:sz w:val="24"/>
          <w:szCs w:val="24"/>
          <w:lang w:eastAsia="zh-CN"/>
        </w:rPr>
        <w:t>）</w:t>
      </w:r>
    </w:p>
    <w:p w:rsidR="00C1273A" w:rsidRPr="00C277C0" w:rsidRDefault="00C1273A" w:rsidP="00DF0641">
      <w:pPr>
        <w:pStyle w:val="a4"/>
        <w:autoSpaceDE/>
        <w:autoSpaceDN/>
        <w:snapToGrid w:val="0"/>
        <w:ind w:left="1800" w:firstLine="0"/>
        <w:jc w:val="both"/>
        <w:rPr>
          <w:rFonts w:eastAsia="宋体"/>
          <w:snapToGrid w:val="0"/>
          <w:sz w:val="24"/>
          <w:szCs w:val="24"/>
          <w:lang w:eastAsia="zh-CN"/>
        </w:rPr>
      </w:pPr>
    </w:p>
    <w:p w:rsidR="00C1273A" w:rsidRPr="00C277C0" w:rsidRDefault="00097329" w:rsidP="00B403CB">
      <w:pPr>
        <w:pStyle w:val="a4"/>
        <w:numPr>
          <w:ilvl w:val="0"/>
          <w:numId w:val="28"/>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非</w:t>
      </w:r>
      <w:r w:rsidRPr="00C277C0">
        <w:rPr>
          <w:rFonts w:eastAsia="宋体" w:hint="eastAsia"/>
          <w:snapToGrid w:val="0"/>
          <w:sz w:val="24"/>
          <w:szCs w:val="24"/>
          <w:lang w:eastAsia="zh-CN"/>
        </w:rPr>
        <w:t>ICSR</w:t>
      </w:r>
      <w:r w:rsidRPr="00C277C0">
        <w:rPr>
          <w:rFonts w:eastAsia="宋体" w:hint="eastAsia"/>
          <w:snapToGrid w:val="0"/>
          <w:sz w:val="24"/>
          <w:szCs w:val="24"/>
          <w:lang w:eastAsia="zh-CN"/>
        </w:rPr>
        <w:t>：</w:t>
      </w:r>
    </w:p>
    <w:p w:rsidR="00C1273A" w:rsidRPr="00C277C0" w:rsidRDefault="0075567A" w:rsidP="00DF0641">
      <w:pPr>
        <w:pStyle w:val="a4"/>
        <w:numPr>
          <w:ilvl w:val="1"/>
          <w:numId w:val="30"/>
        </w:numPr>
        <w:wordWrap w:val="0"/>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现场警示报告</w:t>
      </w:r>
      <w:r w:rsidR="00097329" w:rsidRPr="00C277C0">
        <w:rPr>
          <w:rFonts w:eastAsia="宋体" w:hint="eastAsia"/>
          <w:snapToGrid w:val="0"/>
          <w:sz w:val="24"/>
          <w:szCs w:val="24"/>
          <w:lang w:eastAsia="zh-CN"/>
        </w:rPr>
        <w:t>：</w:t>
      </w:r>
      <w:hyperlink r:id="rId21" w:history="1">
        <w:r w:rsidR="00DF0641" w:rsidRPr="00C277C0">
          <w:rPr>
            <w:rStyle w:val="a9"/>
            <w:rFonts w:eastAsia="宋体" w:hint="eastAsia"/>
            <w:snapToGrid w:val="0"/>
            <w:sz w:val="24"/>
            <w:szCs w:val="24"/>
            <w:u w:color="0000FF"/>
            <w:lang w:eastAsia="zh-CN"/>
          </w:rPr>
          <w:t>https://www.fda.gov/drugs/surveillance/field-alert-reports</w:t>
        </w:r>
        <w:r w:rsidR="00DF0641" w:rsidRPr="00C277C0">
          <w:rPr>
            <w:rStyle w:val="a9"/>
            <w:rFonts w:eastAsia="宋体" w:hint="eastAsia"/>
            <w:snapToGrid w:val="0"/>
            <w:sz w:val="24"/>
            <w:szCs w:val="24"/>
            <w:lang w:eastAsia="zh-CN"/>
          </w:rPr>
          <w:t>和</w:t>
        </w:r>
        <w:r w:rsidR="00DF0641" w:rsidRPr="00C277C0">
          <w:rPr>
            <w:rStyle w:val="a9"/>
            <w:rFonts w:eastAsia="宋体" w:hint="eastAsia"/>
            <w:snapToGrid w:val="0"/>
            <w:sz w:val="24"/>
            <w:szCs w:val="24"/>
            <w:u w:color="0000FF"/>
            <w:lang w:eastAsia="zh-CN"/>
          </w:rPr>
          <w:t>https://www.fda.gov/vaccines-blood-biologics/guidance-compliance-regulatory-information-biologics/submitting-field-alert-reports-fars-cber</w:t>
        </w:r>
      </w:hyperlink>
    </w:p>
    <w:p w:rsidR="00C1273A" w:rsidRPr="00C277C0" w:rsidRDefault="00097329" w:rsidP="00DF0641">
      <w:pPr>
        <w:pStyle w:val="a4"/>
        <w:numPr>
          <w:ilvl w:val="1"/>
          <w:numId w:val="30"/>
        </w:numPr>
        <w:wordWrap w:val="0"/>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召回、更正和移除：</w:t>
      </w:r>
      <w:hyperlink r:id="rId22" w:history="1">
        <w:r w:rsidR="00DF0641" w:rsidRPr="00C277C0">
          <w:rPr>
            <w:rStyle w:val="a9"/>
            <w:rFonts w:eastAsia="宋体" w:hint="eastAsia"/>
            <w:snapToGrid w:val="0"/>
            <w:sz w:val="24"/>
            <w:szCs w:val="24"/>
            <w:u w:color="0000FF"/>
            <w:lang w:eastAsia="zh-CN"/>
          </w:rPr>
          <w:t>https://www.fda.gov/medical-devices/postmarket-requirements-devices/recalls-corrections-and-removals-devices</w:t>
        </w:r>
      </w:hyperlink>
    </w:p>
    <w:p w:rsidR="00C1273A" w:rsidRPr="00C277C0" w:rsidRDefault="00097329" w:rsidP="00DF0641">
      <w:pPr>
        <w:pStyle w:val="a4"/>
        <w:numPr>
          <w:ilvl w:val="1"/>
          <w:numId w:val="30"/>
        </w:numPr>
        <w:wordWrap w:val="0"/>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生物制品偏差报告：</w:t>
      </w:r>
      <w:hyperlink r:id="rId23" w:history="1">
        <w:r w:rsidR="00DF0641" w:rsidRPr="00C277C0">
          <w:rPr>
            <w:rStyle w:val="a9"/>
            <w:rFonts w:eastAsia="宋体" w:hint="eastAsia"/>
            <w:snapToGrid w:val="0"/>
            <w:sz w:val="24"/>
            <w:szCs w:val="24"/>
            <w:u w:color="0000FF"/>
            <w:lang w:eastAsia="zh-CN"/>
          </w:rPr>
          <w:t>https://www.fda.gov/vaccines-blood- biologics/report-problem-center-biologics-evaluation-research/general-instructions-completing-biological-product-deviation-report-bpdr-form-fda-3486</w:t>
        </w:r>
      </w:hyperlink>
    </w:p>
    <w:p w:rsidR="00C1273A" w:rsidRPr="00C277C0" w:rsidRDefault="00C1273A" w:rsidP="00DF0641">
      <w:pPr>
        <w:pStyle w:val="a4"/>
        <w:autoSpaceDE/>
        <w:autoSpaceDN/>
        <w:snapToGrid w:val="0"/>
        <w:ind w:left="1800" w:firstLine="0"/>
        <w:jc w:val="both"/>
        <w:rPr>
          <w:rFonts w:eastAsia="宋体"/>
          <w:snapToGrid w:val="0"/>
          <w:sz w:val="24"/>
          <w:szCs w:val="24"/>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3.</w:t>
      </w:r>
      <w:r w:rsidRPr="00C277C0">
        <w:rPr>
          <w:rFonts w:hint="eastAsia"/>
          <w:snapToGrid w:val="0"/>
          <w:lang w:eastAsia="zh-CN"/>
        </w:rPr>
        <w:tab/>
      </w:r>
      <w:r w:rsidRPr="00C277C0">
        <w:rPr>
          <w:rFonts w:hint="eastAsia"/>
          <w:snapToGrid w:val="0"/>
          <w:lang w:eastAsia="zh-CN"/>
        </w:rPr>
        <w:t>简化同一事件的报告</w:t>
      </w:r>
      <w:r w:rsidR="000F2AD6" w:rsidRPr="00C277C0">
        <w:rPr>
          <w:rFonts w:hint="eastAsia"/>
          <w:snapToGrid w:val="0"/>
          <w:lang w:eastAsia="zh-CN"/>
        </w:rPr>
        <w:t>的方式</w:t>
      </w:r>
      <w:r w:rsidRPr="00C277C0">
        <w:rPr>
          <w:rFonts w:hint="eastAsia"/>
          <w:snapToGrid w:val="0"/>
          <w:lang w:eastAsia="zh-CN"/>
        </w:rPr>
        <w:t>？</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ICSR</w:t>
      </w:r>
      <w:r w:rsidR="00743DD3" w:rsidRPr="00C277C0">
        <w:rPr>
          <w:rFonts w:eastAsia="宋体" w:hint="eastAsia"/>
          <w:i/>
          <w:snapToGrid w:val="0"/>
          <w:lang w:eastAsia="zh-CN"/>
        </w:rPr>
        <w:t>。</w:t>
      </w:r>
      <w:r w:rsidRPr="00C277C0">
        <w:rPr>
          <w:rFonts w:eastAsia="宋体" w:hint="eastAsia"/>
          <w:snapToGrid w:val="0"/>
          <w:lang w:eastAsia="zh-CN"/>
        </w:rPr>
        <w:t>组合产品申请人可提交一份单一</w:t>
      </w:r>
      <w:r w:rsidRPr="00C277C0">
        <w:rPr>
          <w:rFonts w:eastAsia="宋体" w:hint="eastAsia"/>
          <w:snapToGrid w:val="0"/>
          <w:lang w:eastAsia="zh-CN"/>
        </w:rPr>
        <w:t>ICSR</w:t>
      </w:r>
      <w:r w:rsidRPr="00C277C0">
        <w:rPr>
          <w:rFonts w:eastAsia="宋体" w:hint="eastAsia"/>
          <w:snapToGrid w:val="0"/>
          <w:lang w:eastAsia="zh-CN"/>
        </w:rPr>
        <w:t>，而不是数份单独报告，以符合通过同一事件</w:t>
      </w:r>
      <w:r w:rsidRPr="00C277C0">
        <w:rPr>
          <w:rFonts w:eastAsia="宋体" w:hint="eastAsia"/>
          <w:snapToGrid w:val="0"/>
          <w:lang w:eastAsia="zh-CN"/>
        </w:rPr>
        <w:t>ICSR</w:t>
      </w:r>
      <w:r w:rsidRPr="00C277C0">
        <w:rPr>
          <w:rFonts w:eastAsia="宋体" w:hint="eastAsia"/>
          <w:snapToGrid w:val="0"/>
          <w:lang w:eastAsia="zh-CN"/>
        </w:rPr>
        <w:t>适当满足多项报告的要求（见上文第</w:t>
      </w:r>
      <w:r w:rsidR="00B773B0" w:rsidRPr="00C277C0">
        <w:rPr>
          <w:rFonts w:eastAsia="宋体" w:hint="eastAsia"/>
          <w:snapToGrid w:val="0"/>
          <w:lang w:eastAsia="zh-CN"/>
        </w:rPr>
        <w:t>IV</w:t>
      </w:r>
      <w:r w:rsidR="00C0232D" w:rsidRPr="00C277C0">
        <w:rPr>
          <w:rFonts w:eastAsia="宋体" w:hint="eastAsia"/>
          <w:snapToGrid w:val="0"/>
          <w:lang w:eastAsia="zh-CN"/>
        </w:rPr>
        <w:t>.</w:t>
      </w:r>
      <w:r w:rsidRPr="00C277C0">
        <w:rPr>
          <w:rFonts w:eastAsia="宋体" w:hint="eastAsia"/>
          <w:snapToGrid w:val="0"/>
          <w:lang w:eastAsia="zh-CN"/>
        </w:rPr>
        <w:t>C</w:t>
      </w:r>
      <w:r w:rsidRPr="00C277C0">
        <w:rPr>
          <w:rFonts w:eastAsia="宋体" w:hint="eastAsia"/>
          <w:snapToGrid w:val="0"/>
          <w:lang w:eastAsia="zh-CN"/>
        </w:rPr>
        <w:t>节）。例如：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31"/>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假设持有药品</w:t>
      </w:r>
      <w:r w:rsidRPr="00C277C0">
        <w:rPr>
          <w:rFonts w:eastAsia="宋体" w:hint="eastAsia"/>
          <w:snapToGrid w:val="0"/>
          <w:sz w:val="24"/>
          <w:szCs w:val="24"/>
          <w:lang w:eastAsia="zh-CN"/>
        </w:rPr>
        <w:t>-</w:t>
      </w:r>
      <w:r w:rsidRPr="00C277C0">
        <w:rPr>
          <w:rFonts w:eastAsia="宋体" w:hint="eastAsia"/>
          <w:snapToGrid w:val="0"/>
          <w:sz w:val="24"/>
          <w:szCs w:val="24"/>
          <w:lang w:eastAsia="zh-CN"/>
        </w:rPr>
        <w:t>器械组合产品</w:t>
      </w:r>
      <w:r w:rsidRPr="00C277C0">
        <w:rPr>
          <w:rFonts w:eastAsia="宋体" w:hint="eastAsia"/>
          <w:snapToGrid w:val="0"/>
          <w:sz w:val="24"/>
          <w:szCs w:val="24"/>
          <w:lang w:eastAsia="zh-CN"/>
        </w:rPr>
        <w:t>NDA</w:t>
      </w:r>
      <w:r w:rsidRPr="00C277C0">
        <w:rPr>
          <w:rFonts w:eastAsia="宋体" w:hint="eastAsia"/>
          <w:snapToGrid w:val="0"/>
          <w:sz w:val="24"/>
          <w:szCs w:val="24"/>
          <w:lang w:eastAsia="zh-CN"/>
        </w:rPr>
        <w:t>批件的组合产品申请人必须提交</w:t>
      </w:r>
      <w:r w:rsidRPr="00C277C0">
        <w:rPr>
          <w:rFonts w:eastAsia="宋体" w:hint="eastAsia"/>
          <w:snapToGrid w:val="0"/>
          <w:sz w:val="24"/>
          <w:szCs w:val="24"/>
          <w:lang w:eastAsia="zh-CN"/>
        </w:rPr>
        <w:t>15</w:t>
      </w:r>
      <w:r w:rsidRPr="00C277C0">
        <w:rPr>
          <w:rFonts w:eastAsia="宋体" w:hint="eastAsia"/>
          <w:snapToGrid w:val="0"/>
          <w:sz w:val="24"/>
          <w:szCs w:val="24"/>
          <w:lang w:eastAsia="zh-CN"/>
        </w:rPr>
        <w:t>天（</w:t>
      </w:r>
      <w:r w:rsidR="001F009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314.80</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和</w:t>
      </w:r>
      <w:r w:rsidR="00D55B90" w:rsidRPr="00C277C0">
        <w:rPr>
          <w:rFonts w:eastAsia="宋体" w:hint="eastAsia"/>
          <w:snapToGrid w:val="0"/>
          <w:sz w:val="24"/>
          <w:szCs w:val="24"/>
          <w:lang w:eastAsia="zh-CN"/>
        </w:rPr>
        <w:t>故障</w:t>
      </w:r>
      <w:r w:rsidR="00743DD3" w:rsidRPr="00C277C0">
        <w:rPr>
          <w:rFonts w:eastAsia="宋体" w:hint="eastAsia"/>
          <w:snapToGrid w:val="0"/>
          <w:sz w:val="24"/>
          <w:szCs w:val="24"/>
          <w:lang w:eastAsia="zh-CN"/>
        </w:rPr>
        <w:t>报</w:t>
      </w:r>
      <w:r w:rsidR="00AE0101" w:rsidRPr="00C277C0">
        <w:rPr>
          <w:rFonts w:eastAsia="宋体" w:hint="eastAsia"/>
          <w:snapToGrid w:val="0"/>
          <w:sz w:val="24"/>
          <w:szCs w:val="24"/>
          <w:lang w:eastAsia="zh-CN"/>
        </w:rPr>
        <w:t>告</w:t>
      </w:r>
      <w:r w:rsidRPr="00C277C0">
        <w:rPr>
          <w:rFonts w:eastAsia="宋体" w:hint="eastAsia"/>
          <w:snapToGrid w:val="0"/>
          <w:sz w:val="24"/>
          <w:szCs w:val="24"/>
          <w:lang w:eastAsia="zh-CN"/>
        </w:rPr>
        <w:t>（</w:t>
      </w:r>
      <w:r w:rsidR="001F009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803.50</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w:t>
      </w:r>
      <w:r w:rsidR="00012B8E" w:rsidRPr="00C277C0">
        <w:rPr>
          <w:rFonts w:eastAsia="宋体" w:hint="eastAsia"/>
          <w:snapToGrid w:val="0"/>
          <w:sz w:val="24"/>
          <w:szCs w:val="24"/>
          <w:lang w:eastAsia="zh-CN"/>
        </w:rPr>
        <w:t>则</w:t>
      </w:r>
      <w:r w:rsidRPr="00C277C0">
        <w:rPr>
          <w:rFonts w:eastAsia="宋体" w:hint="eastAsia"/>
          <w:snapToGrid w:val="0"/>
          <w:sz w:val="24"/>
          <w:szCs w:val="24"/>
          <w:lang w:eastAsia="zh-CN"/>
        </w:rPr>
        <w:t>申请人可以在</w:t>
      </w:r>
      <w:r w:rsidRPr="00C277C0">
        <w:rPr>
          <w:rFonts w:eastAsia="宋体" w:hint="eastAsia"/>
          <w:snapToGrid w:val="0"/>
          <w:sz w:val="24"/>
          <w:szCs w:val="24"/>
          <w:lang w:eastAsia="zh-CN"/>
        </w:rPr>
        <w:t>15</w:t>
      </w:r>
      <w:r w:rsidRPr="00C277C0">
        <w:rPr>
          <w:rFonts w:eastAsia="宋体" w:hint="eastAsia"/>
          <w:snapToGrid w:val="0"/>
          <w:sz w:val="24"/>
          <w:szCs w:val="24"/>
          <w:lang w:eastAsia="zh-CN"/>
        </w:rPr>
        <w:t>天内提交一份同时包含两种事件报告类型所有要求信息的报告来满足这两项要求（</w:t>
      </w:r>
      <w:r w:rsidR="001F009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4.102</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b</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和</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c</w:t>
      </w:r>
      <w:r w:rsidR="00990237" w:rsidRPr="00C277C0">
        <w:rPr>
          <w:rFonts w:eastAsia="宋体" w:hint="eastAsia"/>
          <w:snapToGrid w:val="0"/>
          <w:sz w:val="24"/>
          <w:szCs w:val="24"/>
          <w:lang w:eastAsia="zh-CN"/>
        </w:rPr>
        <w:t>）</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w:t>
      </w:r>
      <w:r w:rsidR="00FE2212" w:rsidRPr="00C277C0">
        <w:rPr>
          <w:rStyle w:val="af4"/>
          <w:rFonts w:eastAsia="宋体" w:hint="eastAsia"/>
          <w:snapToGrid w:val="0"/>
          <w:sz w:val="24"/>
          <w:szCs w:val="24"/>
          <w:lang w:eastAsia="zh-CN"/>
        </w:rPr>
        <w:footnoteReference w:id="41"/>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ICSR</w:t>
      </w:r>
      <w:r w:rsidRPr="00C277C0">
        <w:rPr>
          <w:rFonts w:eastAsia="宋体" w:hint="eastAsia"/>
          <w:i/>
          <w:snapToGrid w:val="0"/>
          <w:lang w:eastAsia="zh-CN"/>
        </w:rPr>
        <w:t>中的更正</w:t>
      </w:r>
      <w:r w:rsidRPr="00C277C0">
        <w:rPr>
          <w:rFonts w:eastAsia="宋体" w:hint="eastAsia"/>
          <w:i/>
          <w:snapToGrid w:val="0"/>
          <w:lang w:eastAsia="zh-CN"/>
        </w:rPr>
        <w:t>/</w:t>
      </w:r>
      <w:r w:rsidRPr="00C277C0">
        <w:rPr>
          <w:rFonts w:eastAsia="宋体" w:hint="eastAsia"/>
          <w:i/>
          <w:snapToGrid w:val="0"/>
          <w:lang w:eastAsia="zh-CN"/>
        </w:rPr>
        <w:t>移除</w:t>
      </w:r>
      <w:r w:rsidR="008450A0" w:rsidRPr="00C277C0">
        <w:rPr>
          <w:rFonts w:eastAsia="宋体" w:hint="eastAsia"/>
          <w:i/>
          <w:snapToGrid w:val="0"/>
          <w:lang w:eastAsia="zh-CN"/>
        </w:rPr>
        <w:t>。</w:t>
      </w:r>
      <w:r w:rsidRPr="00C277C0">
        <w:rPr>
          <w:rFonts w:eastAsia="宋体" w:hint="eastAsia"/>
          <w:snapToGrid w:val="0"/>
          <w:lang w:eastAsia="zh-CN"/>
        </w:rPr>
        <w:t>组合产品申请人可通过重伤或死亡报告（适用于器械申请的组合产品）、</w:t>
      </w:r>
      <w:r w:rsidRPr="00C277C0">
        <w:rPr>
          <w:rFonts w:eastAsia="宋体" w:hint="eastAsia"/>
          <w:snapToGrid w:val="0"/>
          <w:lang w:eastAsia="zh-CN"/>
        </w:rPr>
        <w:t>15</w:t>
      </w:r>
      <w:r w:rsidRPr="00C277C0">
        <w:rPr>
          <w:rFonts w:eastAsia="宋体" w:hint="eastAsia"/>
          <w:snapToGrid w:val="0"/>
          <w:lang w:eastAsia="zh-CN"/>
        </w:rPr>
        <w:t>天报告、</w:t>
      </w:r>
      <w:r w:rsidR="008A716C"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或</w:t>
      </w:r>
      <w:r w:rsidRPr="00C277C0">
        <w:rPr>
          <w:rFonts w:eastAsia="宋体" w:hint="eastAsia"/>
          <w:snapToGrid w:val="0"/>
          <w:lang w:eastAsia="zh-CN"/>
        </w:rPr>
        <w:t>5</w:t>
      </w:r>
      <w:r w:rsidRPr="00C277C0">
        <w:rPr>
          <w:rFonts w:eastAsia="宋体" w:hint="eastAsia"/>
          <w:snapToGrid w:val="0"/>
          <w:lang w:eastAsia="zh-CN"/>
        </w:rPr>
        <w:t>天报告来报告更正或移除（</w:t>
      </w:r>
      <w:r w:rsidR="001F009A">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806.10</w:t>
      </w:r>
      <w:r w:rsidR="00FA5CED" w:rsidRPr="00C277C0">
        <w:rPr>
          <w:rFonts w:eastAsia="宋体" w:hint="eastAsia"/>
          <w:snapToGrid w:val="0"/>
          <w:lang w:eastAsia="zh-CN"/>
        </w:rPr>
        <w:t>（</w:t>
      </w:r>
      <w:r w:rsidRPr="00C277C0">
        <w:rPr>
          <w:rFonts w:eastAsia="宋体" w:hint="eastAsia"/>
          <w:snapToGrid w:val="0"/>
          <w:lang w:eastAsia="zh-CN"/>
        </w:rPr>
        <w:t>f</w:t>
      </w:r>
      <w:r w:rsidR="00FA5CED" w:rsidRPr="00C277C0">
        <w:rPr>
          <w:rFonts w:eastAsia="宋体" w:hint="eastAsia"/>
          <w:snapToGrid w:val="0"/>
          <w:lang w:eastAsia="zh-CN"/>
        </w:rPr>
        <w:t>）</w:t>
      </w:r>
      <w:r w:rsidR="00AE00AC">
        <w:rPr>
          <w:rFonts w:eastAsia="宋体" w:hint="eastAsia"/>
          <w:snapToGrid w:val="0"/>
          <w:lang w:eastAsia="zh-CN"/>
        </w:rPr>
        <w:t>节</w:t>
      </w:r>
      <w:r w:rsidRPr="00C277C0">
        <w:rPr>
          <w:rFonts w:eastAsia="宋体" w:hint="eastAsia"/>
          <w:snapToGrid w:val="0"/>
          <w:lang w:eastAsia="zh-CN"/>
        </w:rPr>
        <w:t>；另</w:t>
      </w:r>
      <w:r w:rsidR="001F009A">
        <w:rPr>
          <w:rFonts w:eastAsia="宋体" w:hint="eastAsia"/>
          <w:snapToGrid w:val="0"/>
          <w:lang w:eastAsia="zh-CN"/>
        </w:rPr>
        <w:t>参</w:t>
      </w:r>
      <w:r w:rsidRPr="00C277C0">
        <w:rPr>
          <w:rFonts w:eastAsia="宋体" w:hint="eastAsia"/>
          <w:snapToGrid w:val="0"/>
          <w:lang w:eastAsia="zh-CN"/>
        </w:rPr>
        <w:t>见</w:t>
      </w:r>
      <w:r w:rsidRPr="00C277C0">
        <w:rPr>
          <w:rFonts w:eastAsia="宋体" w:hint="eastAsia"/>
          <w:snapToGrid w:val="0"/>
          <w:lang w:eastAsia="zh-CN"/>
        </w:rPr>
        <w:t>81 FR</w:t>
      </w:r>
      <w:r w:rsidRPr="00C277C0">
        <w:rPr>
          <w:rFonts w:eastAsia="宋体" w:hint="eastAsia"/>
          <w:snapToGrid w:val="0"/>
          <w:lang w:eastAsia="zh-CN"/>
        </w:rPr>
        <w:t>第</w:t>
      </w:r>
      <w:r w:rsidRPr="00C277C0">
        <w:rPr>
          <w:rFonts w:eastAsia="宋体" w:hint="eastAsia"/>
          <w:snapToGrid w:val="0"/>
          <w:lang w:eastAsia="zh-CN"/>
        </w:rPr>
        <w:t>92612-13</w:t>
      </w:r>
      <w:r w:rsidRPr="00C277C0">
        <w:rPr>
          <w:rFonts w:eastAsia="宋体" w:hint="eastAsia"/>
          <w:snapToGrid w:val="0"/>
          <w:lang w:eastAsia="zh-CN"/>
        </w:rPr>
        <w:t>和</w:t>
      </w:r>
      <w:r w:rsidRPr="00C277C0">
        <w:rPr>
          <w:rFonts w:eastAsia="宋体" w:hint="eastAsia"/>
          <w:snapToGrid w:val="0"/>
          <w:lang w:eastAsia="zh-CN"/>
        </w:rPr>
        <w:t>92615</w:t>
      </w:r>
      <w:r w:rsidRPr="00C277C0">
        <w:rPr>
          <w:rFonts w:eastAsia="宋体" w:hint="eastAsia"/>
          <w:snapToGrid w:val="0"/>
          <w:lang w:eastAsia="zh-CN"/>
        </w:rPr>
        <w:t>页）。例如：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31"/>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假设持有器械</w:t>
      </w:r>
      <w:r w:rsidRPr="00C277C0">
        <w:rPr>
          <w:rFonts w:eastAsia="宋体" w:hint="eastAsia"/>
          <w:snapToGrid w:val="0"/>
          <w:sz w:val="24"/>
          <w:szCs w:val="24"/>
          <w:lang w:eastAsia="zh-CN"/>
        </w:rPr>
        <w:t>-</w:t>
      </w:r>
      <w:r w:rsidRPr="00C277C0">
        <w:rPr>
          <w:rFonts w:eastAsia="宋体" w:hint="eastAsia"/>
          <w:snapToGrid w:val="0"/>
          <w:sz w:val="24"/>
          <w:szCs w:val="24"/>
          <w:lang w:eastAsia="zh-CN"/>
        </w:rPr>
        <w:t>生物制品组合产品</w:t>
      </w:r>
      <w:r w:rsidRPr="00C277C0">
        <w:rPr>
          <w:rFonts w:eastAsia="宋体" w:hint="eastAsia"/>
          <w:snapToGrid w:val="0"/>
          <w:sz w:val="24"/>
          <w:szCs w:val="24"/>
          <w:lang w:eastAsia="zh-CN"/>
        </w:rPr>
        <w:t>PMA</w:t>
      </w:r>
      <w:r w:rsidRPr="00C277C0">
        <w:rPr>
          <w:rFonts w:eastAsia="宋体" w:hint="eastAsia"/>
          <w:snapToGrid w:val="0"/>
          <w:sz w:val="24"/>
          <w:szCs w:val="24"/>
          <w:lang w:eastAsia="zh-CN"/>
        </w:rPr>
        <w:t>批件的组合产品申请人必须提交</w:t>
      </w:r>
      <w:r w:rsidRPr="00C277C0">
        <w:rPr>
          <w:rFonts w:eastAsia="宋体" w:hint="eastAsia"/>
          <w:snapToGrid w:val="0"/>
          <w:sz w:val="24"/>
          <w:szCs w:val="24"/>
          <w:lang w:eastAsia="zh-CN"/>
        </w:rPr>
        <w:t>5</w:t>
      </w:r>
      <w:r w:rsidRPr="00C277C0">
        <w:rPr>
          <w:rFonts w:eastAsia="宋体" w:hint="eastAsia"/>
          <w:snapToGrid w:val="0"/>
          <w:sz w:val="24"/>
          <w:szCs w:val="24"/>
          <w:lang w:eastAsia="zh-CN"/>
        </w:rPr>
        <w:t>天（</w:t>
      </w:r>
      <w:r w:rsidR="001F009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803.3</w:t>
      </w:r>
      <w:r w:rsidRPr="00C277C0">
        <w:rPr>
          <w:rFonts w:eastAsia="宋体" w:hint="eastAsia"/>
          <w:snapToGrid w:val="0"/>
          <w:sz w:val="24"/>
          <w:szCs w:val="24"/>
          <w:lang w:eastAsia="zh-CN"/>
        </w:rPr>
        <w:t>和</w:t>
      </w:r>
      <w:r w:rsidRPr="00C277C0">
        <w:rPr>
          <w:rFonts w:eastAsia="宋体" w:hint="eastAsia"/>
          <w:snapToGrid w:val="0"/>
          <w:sz w:val="24"/>
          <w:szCs w:val="24"/>
          <w:lang w:eastAsia="zh-CN"/>
        </w:rPr>
        <w:t>803.53</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和更正或移除（</w:t>
      </w:r>
      <w:r w:rsidR="001F009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806.10</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）报告。</w:t>
      </w:r>
      <w:r w:rsidR="00012B8E" w:rsidRPr="00C277C0">
        <w:rPr>
          <w:rFonts w:eastAsia="宋体" w:hint="eastAsia"/>
          <w:snapToGrid w:val="0"/>
          <w:sz w:val="24"/>
          <w:szCs w:val="24"/>
          <w:lang w:eastAsia="zh-CN"/>
        </w:rPr>
        <w:t>则</w:t>
      </w:r>
      <w:r w:rsidRPr="00C277C0">
        <w:rPr>
          <w:rFonts w:eastAsia="宋体" w:hint="eastAsia"/>
          <w:snapToGrid w:val="0"/>
          <w:sz w:val="24"/>
          <w:szCs w:val="24"/>
          <w:lang w:eastAsia="zh-CN"/>
        </w:rPr>
        <w:t>申请人可以通过提交一份包含所有要求信息的报告来满足这两项要求，并在确定需要采取补救措施后不超过</w:t>
      </w:r>
      <w:r w:rsidRPr="00C277C0">
        <w:rPr>
          <w:rFonts w:eastAsia="宋体" w:hint="eastAsia"/>
          <w:snapToGrid w:val="0"/>
          <w:sz w:val="24"/>
          <w:szCs w:val="24"/>
          <w:lang w:eastAsia="zh-CN"/>
        </w:rPr>
        <w:t>5</w:t>
      </w:r>
      <w:r w:rsidRPr="00C277C0">
        <w:rPr>
          <w:rFonts w:eastAsia="宋体" w:hint="eastAsia"/>
          <w:snapToGrid w:val="0"/>
          <w:sz w:val="24"/>
          <w:szCs w:val="24"/>
          <w:lang w:eastAsia="zh-CN"/>
        </w:rPr>
        <w:t>个工作日内提交该报告（</w:t>
      </w:r>
      <w:r w:rsidR="001F009A">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4.102</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b</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w:t>
      </w:r>
      <w:r w:rsidRPr="00C277C0">
        <w:rPr>
          <w:rFonts w:eastAsia="宋体" w:hint="eastAsia"/>
          <w:snapToGrid w:val="0"/>
          <w:sz w:val="24"/>
          <w:szCs w:val="24"/>
          <w:lang w:eastAsia="zh-CN"/>
        </w:rPr>
        <w:t>803.53</w:t>
      </w:r>
      <w:r w:rsidRPr="00C277C0">
        <w:rPr>
          <w:rFonts w:eastAsia="宋体" w:hint="eastAsia"/>
          <w:snapToGrid w:val="0"/>
          <w:sz w:val="24"/>
          <w:szCs w:val="24"/>
          <w:lang w:eastAsia="zh-CN"/>
        </w:rPr>
        <w:t>和</w:t>
      </w:r>
      <w:r w:rsidRPr="00C277C0">
        <w:rPr>
          <w:rFonts w:eastAsia="宋体" w:hint="eastAsia"/>
          <w:snapToGrid w:val="0"/>
          <w:sz w:val="24"/>
          <w:szCs w:val="24"/>
          <w:lang w:eastAsia="zh-CN"/>
        </w:rPr>
        <w:t>806.10</w:t>
      </w:r>
      <w:r w:rsidR="00990237" w:rsidRPr="00C277C0">
        <w:rPr>
          <w:rFonts w:eastAsia="宋体" w:hint="eastAsia"/>
          <w:snapToGrid w:val="0"/>
          <w:sz w:val="24"/>
          <w:szCs w:val="24"/>
          <w:lang w:eastAsia="zh-CN"/>
        </w:rPr>
        <w:t>（</w:t>
      </w:r>
      <w:r w:rsidRPr="00C277C0">
        <w:rPr>
          <w:rFonts w:eastAsia="宋体" w:hint="eastAsia"/>
          <w:snapToGrid w:val="0"/>
          <w:sz w:val="24"/>
          <w:szCs w:val="24"/>
          <w:lang w:eastAsia="zh-CN"/>
        </w:rPr>
        <w:t>f</w:t>
      </w:r>
      <w:r w:rsidR="00990237" w:rsidRPr="00C277C0">
        <w:rPr>
          <w:rFonts w:eastAsia="宋体" w:hint="eastAsia"/>
          <w:snapToGrid w:val="0"/>
          <w:sz w:val="24"/>
          <w:szCs w:val="24"/>
          <w:lang w:eastAsia="zh-CN"/>
        </w:rPr>
        <w:t>）</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w:t>
      </w:r>
    </w:p>
    <w:p w:rsidR="00C1273A" w:rsidRPr="00C277C0" w:rsidRDefault="00651055" w:rsidP="00C1273A">
      <w:pPr>
        <w:autoSpaceDE/>
        <w:autoSpaceDN/>
        <w:snapToGrid w:val="0"/>
        <w:jc w:val="both"/>
        <w:rPr>
          <w:rFonts w:eastAsia="宋体"/>
          <w:snapToGrid w:val="0"/>
          <w:sz w:val="24"/>
          <w:szCs w:val="24"/>
          <w:lang w:eastAsia="zh-CN"/>
        </w:rPr>
      </w:pPr>
      <w:r w:rsidRPr="00C277C0">
        <w:rPr>
          <w:rFonts w:eastAsia="宋体" w:hint="eastAsia"/>
          <w:snapToGrid w:val="0"/>
          <w:sz w:val="24"/>
          <w:szCs w:val="24"/>
          <w:lang w:eastAsia="zh-CN"/>
        </w:rPr>
        <w:br w:type="page"/>
      </w:r>
    </w:p>
    <w:p w:rsidR="00C1273A" w:rsidRPr="00C277C0" w:rsidRDefault="00097329" w:rsidP="00B403CB">
      <w:pPr>
        <w:pStyle w:val="a3"/>
        <w:autoSpaceDE/>
        <w:autoSpaceDN/>
        <w:snapToGrid w:val="0"/>
        <w:ind w:firstLineChars="200" w:firstLine="440"/>
        <w:jc w:val="both"/>
        <w:rPr>
          <w:rFonts w:eastAsia="宋体"/>
          <w:snapToGrid w:val="0"/>
          <w:lang w:eastAsia="zh-CN"/>
        </w:rPr>
      </w:pPr>
      <w:r w:rsidRPr="00B403CB">
        <w:rPr>
          <w:rFonts w:eastAsia="宋体" w:hint="eastAsia"/>
          <w:i/>
          <w:sz w:val="22"/>
          <w:lang w:eastAsia="zh-CN"/>
        </w:rPr>
        <w:t>非</w:t>
      </w:r>
      <w:r w:rsidRPr="00B403CB">
        <w:rPr>
          <w:rFonts w:eastAsia="宋体"/>
          <w:i/>
          <w:sz w:val="22"/>
          <w:lang w:eastAsia="zh-CN"/>
        </w:rPr>
        <w:t>ICSR</w:t>
      </w:r>
      <w:r w:rsidRPr="00C277C0">
        <w:rPr>
          <w:rFonts w:eastAsia="宋体" w:hint="eastAsia"/>
          <w:i/>
          <w:snapToGrid w:val="0"/>
          <w:lang w:eastAsia="zh-CN"/>
        </w:rPr>
        <w:t>—</w:t>
      </w:r>
      <w:r w:rsidR="0075567A" w:rsidRPr="00C277C0">
        <w:rPr>
          <w:rFonts w:eastAsia="宋体" w:hint="eastAsia"/>
          <w:i/>
          <w:snapToGrid w:val="0"/>
          <w:lang w:eastAsia="zh-CN"/>
        </w:rPr>
        <w:t>现场警示报告</w:t>
      </w:r>
      <w:r w:rsidRPr="00C277C0">
        <w:rPr>
          <w:rFonts w:eastAsia="宋体" w:hint="eastAsia"/>
          <w:i/>
          <w:snapToGrid w:val="0"/>
          <w:lang w:eastAsia="zh-CN"/>
        </w:rPr>
        <w:t>和</w:t>
      </w:r>
      <w:r w:rsidR="0075567A" w:rsidRPr="00C277C0">
        <w:rPr>
          <w:rFonts w:eastAsia="宋体" w:hint="eastAsia"/>
          <w:i/>
          <w:snapToGrid w:val="0"/>
          <w:lang w:eastAsia="zh-CN"/>
        </w:rPr>
        <w:t>生物制品偏差</w:t>
      </w:r>
      <w:r w:rsidR="0075567A" w:rsidRPr="00B403CB">
        <w:rPr>
          <w:rFonts w:eastAsia="宋体" w:hint="eastAsia"/>
          <w:i/>
          <w:sz w:val="22"/>
          <w:lang w:eastAsia="zh-CN"/>
        </w:rPr>
        <w:t>报告</w:t>
      </w:r>
      <w:r w:rsidRPr="00C277C0">
        <w:rPr>
          <w:rFonts w:eastAsia="宋体" w:hint="eastAsia"/>
          <w:i/>
          <w:snapToGrid w:val="0"/>
          <w:lang w:eastAsia="zh-CN"/>
        </w:rPr>
        <w:t>。</w:t>
      </w:r>
      <w:r w:rsidRPr="00C277C0">
        <w:rPr>
          <w:rFonts w:eastAsia="宋体" w:hint="eastAsia"/>
          <w:snapToGrid w:val="0"/>
          <w:lang w:eastAsia="zh-CN"/>
        </w:rPr>
        <w:t>如果包含药物和生物制品组成部分的已分销组合产品的一项事件要求提交</w:t>
      </w:r>
      <w:r w:rsidR="0075567A" w:rsidRPr="00C277C0">
        <w:rPr>
          <w:rFonts w:eastAsia="宋体" w:hint="eastAsia"/>
          <w:snapToGrid w:val="0"/>
          <w:lang w:eastAsia="zh-CN"/>
        </w:rPr>
        <w:t>现场警示报告</w:t>
      </w:r>
      <w:r w:rsidRPr="00C277C0">
        <w:rPr>
          <w:rFonts w:eastAsia="宋体" w:hint="eastAsia"/>
          <w:snapToGrid w:val="0"/>
          <w:lang w:eastAsia="zh-CN"/>
        </w:rPr>
        <w:t>和</w:t>
      </w:r>
      <w:r w:rsidR="0075567A" w:rsidRPr="00C277C0">
        <w:rPr>
          <w:rFonts w:eastAsia="宋体" w:hint="eastAsia"/>
          <w:snapToGrid w:val="0"/>
          <w:lang w:eastAsia="zh-CN"/>
        </w:rPr>
        <w:t>生物制品偏差报告</w:t>
      </w:r>
      <w:r w:rsidRPr="00C277C0">
        <w:rPr>
          <w:rFonts w:eastAsia="宋体" w:hint="eastAsia"/>
          <w:snapToGrid w:val="0"/>
          <w:lang w:eastAsia="zh-CN"/>
        </w:rPr>
        <w:t>，</w:t>
      </w:r>
      <w:r w:rsidR="002457C2" w:rsidRPr="00C277C0">
        <w:rPr>
          <w:rFonts w:eastAsia="宋体" w:hint="eastAsia"/>
          <w:snapToGrid w:val="0"/>
          <w:lang w:eastAsia="zh-CN"/>
        </w:rPr>
        <w:t>那么</w:t>
      </w:r>
      <w:r w:rsidR="002457C2" w:rsidRPr="00C277C0">
        <w:rPr>
          <w:rFonts w:eastAsia="宋体" w:hint="eastAsia"/>
          <w:snapToGrid w:val="0"/>
          <w:lang w:eastAsia="zh-CN"/>
        </w:rPr>
        <w:t>FDA</w:t>
      </w:r>
      <w:r w:rsidR="002457C2" w:rsidRPr="00C277C0">
        <w:rPr>
          <w:rFonts w:eastAsia="宋体" w:hint="eastAsia"/>
          <w:snapToGrid w:val="0"/>
          <w:lang w:eastAsia="zh-CN"/>
        </w:rPr>
        <w:t>不反对</w:t>
      </w:r>
      <w:r w:rsidRPr="00C277C0">
        <w:rPr>
          <w:rFonts w:eastAsia="宋体" w:hint="eastAsia"/>
          <w:snapToGrid w:val="0"/>
          <w:lang w:eastAsia="zh-CN"/>
        </w:rPr>
        <w:t>组合产品申请人提交一份同时符合</w:t>
      </w:r>
      <w:r w:rsidR="0075567A" w:rsidRPr="00C277C0">
        <w:rPr>
          <w:rFonts w:eastAsia="宋体" w:hint="eastAsia"/>
          <w:snapToGrid w:val="0"/>
          <w:lang w:eastAsia="zh-CN"/>
        </w:rPr>
        <w:t>现场警示报告</w:t>
      </w:r>
      <w:r w:rsidRPr="00C277C0">
        <w:rPr>
          <w:rFonts w:eastAsia="宋体" w:hint="eastAsia"/>
          <w:snapToGrid w:val="0"/>
          <w:lang w:eastAsia="zh-CN"/>
        </w:rPr>
        <w:t>和</w:t>
      </w:r>
      <w:r w:rsidR="0075567A" w:rsidRPr="00C277C0">
        <w:rPr>
          <w:rFonts w:eastAsia="宋体" w:hint="eastAsia"/>
          <w:snapToGrid w:val="0"/>
          <w:lang w:eastAsia="zh-CN"/>
        </w:rPr>
        <w:t>生物制品偏差报告</w:t>
      </w:r>
      <w:r w:rsidRPr="00C277C0">
        <w:rPr>
          <w:rFonts w:eastAsia="宋体" w:hint="eastAsia"/>
          <w:snapToGrid w:val="0"/>
          <w:lang w:eastAsia="zh-CN"/>
        </w:rPr>
        <w:t>的单一报告，前提是该报告：</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32"/>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指定为</w:t>
      </w:r>
      <w:r w:rsidRPr="00C277C0">
        <w:rPr>
          <w:rFonts w:eastAsia="宋体" w:hint="eastAsia"/>
          <w:snapToGrid w:val="0"/>
          <w:sz w:val="24"/>
          <w:szCs w:val="24"/>
          <w:lang w:eastAsia="zh-CN"/>
        </w:rPr>
        <w:t>NDA/ANDA</w:t>
      </w:r>
      <w:r w:rsidRPr="00C277C0">
        <w:rPr>
          <w:rFonts w:eastAsia="宋体" w:hint="eastAsia"/>
          <w:snapToGrid w:val="0"/>
          <w:sz w:val="24"/>
          <w:szCs w:val="24"/>
          <w:lang w:eastAsia="zh-CN"/>
        </w:rPr>
        <w:t>组合产品的</w:t>
      </w:r>
      <w:r w:rsidR="0075567A" w:rsidRPr="00C277C0">
        <w:rPr>
          <w:rFonts w:eastAsia="宋体" w:hint="eastAsia"/>
          <w:snapToGrid w:val="0"/>
          <w:sz w:val="24"/>
          <w:szCs w:val="24"/>
          <w:lang w:eastAsia="zh-CN"/>
        </w:rPr>
        <w:t>现场警示报告</w:t>
      </w:r>
      <w:r w:rsidRPr="00C277C0">
        <w:rPr>
          <w:rFonts w:eastAsia="宋体" w:hint="eastAsia"/>
          <w:snapToGrid w:val="0"/>
          <w:sz w:val="24"/>
          <w:szCs w:val="24"/>
          <w:lang w:eastAsia="zh-CN"/>
        </w:rPr>
        <w:t>或</w:t>
      </w:r>
      <w:r w:rsidRPr="00C277C0">
        <w:rPr>
          <w:rFonts w:eastAsia="宋体" w:hint="eastAsia"/>
          <w:snapToGrid w:val="0"/>
          <w:sz w:val="24"/>
          <w:szCs w:val="24"/>
          <w:lang w:eastAsia="zh-CN"/>
        </w:rPr>
        <w:t>BLA</w:t>
      </w:r>
      <w:r w:rsidRPr="00C277C0">
        <w:rPr>
          <w:rFonts w:eastAsia="宋体" w:hint="eastAsia"/>
          <w:snapToGrid w:val="0"/>
          <w:sz w:val="24"/>
          <w:szCs w:val="24"/>
          <w:lang w:eastAsia="zh-CN"/>
        </w:rPr>
        <w:t>组合产品的</w:t>
      </w:r>
      <w:r w:rsidR="0075567A" w:rsidRPr="00C277C0">
        <w:rPr>
          <w:rFonts w:eastAsia="宋体" w:hint="eastAsia"/>
          <w:snapToGrid w:val="0"/>
          <w:sz w:val="24"/>
          <w:szCs w:val="24"/>
          <w:lang w:eastAsia="zh-CN"/>
        </w:rPr>
        <w:t>生物制品偏差报告</w:t>
      </w:r>
      <w:r w:rsidR="00A05FF5">
        <w:rPr>
          <w:rFonts w:eastAsia="宋体" w:hint="eastAsia"/>
          <w:snapToGrid w:val="0"/>
          <w:sz w:val="24"/>
          <w:szCs w:val="24"/>
          <w:lang w:eastAsia="zh-CN"/>
        </w:rPr>
        <w:t>；</w:t>
      </w:r>
    </w:p>
    <w:p w:rsidR="00C1273A" w:rsidRPr="00C277C0" w:rsidRDefault="00097329" w:rsidP="00B403CB">
      <w:pPr>
        <w:pStyle w:val="a4"/>
        <w:numPr>
          <w:ilvl w:val="0"/>
          <w:numId w:val="32"/>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包含有关事件和组合产品的充分信息，包括药品和生物制品组成部分（例如商品名、活性成分、剂型、浓度）以及引发</w:t>
      </w:r>
      <w:r w:rsidR="0075567A" w:rsidRPr="00C277C0">
        <w:rPr>
          <w:rFonts w:eastAsia="宋体" w:hint="eastAsia"/>
          <w:snapToGrid w:val="0"/>
          <w:sz w:val="24"/>
          <w:szCs w:val="24"/>
          <w:lang w:eastAsia="zh-CN"/>
        </w:rPr>
        <w:t>现场警示报告</w:t>
      </w:r>
      <w:r w:rsidRPr="00C277C0">
        <w:rPr>
          <w:rFonts w:eastAsia="宋体" w:hint="eastAsia"/>
          <w:snapToGrid w:val="0"/>
          <w:sz w:val="24"/>
          <w:szCs w:val="24"/>
          <w:lang w:eastAsia="zh-CN"/>
        </w:rPr>
        <w:t>和</w:t>
      </w:r>
      <w:r w:rsidR="0075567A" w:rsidRPr="00C277C0">
        <w:rPr>
          <w:rFonts w:eastAsia="宋体" w:hint="eastAsia"/>
          <w:snapToGrid w:val="0"/>
          <w:sz w:val="24"/>
          <w:szCs w:val="24"/>
          <w:lang w:eastAsia="zh-CN"/>
        </w:rPr>
        <w:t>生物制品偏差报告</w:t>
      </w:r>
      <w:r w:rsidRPr="00C277C0">
        <w:rPr>
          <w:rFonts w:eastAsia="宋体" w:hint="eastAsia"/>
          <w:snapToGrid w:val="0"/>
          <w:sz w:val="24"/>
          <w:szCs w:val="24"/>
          <w:lang w:eastAsia="zh-CN"/>
        </w:rPr>
        <w:t>的问题</w:t>
      </w:r>
      <w:r w:rsidR="00A05FF5">
        <w:rPr>
          <w:rFonts w:eastAsia="宋体" w:hint="eastAsia"/>
          <w:snapToGrid w:val="0"/>
          <w:sz w:val="24"/>
          <w:szCs w:val="24"/>
          <w:lang w:eastAsia="zh-CN"/>
        </w:rPr>
        <w:t>；</w:t>
      </w:r>
    </w:p>
    <w:p w:rsidR="00C1273A" w:rsidRPr="00C277C0" w:rsidRDefault="00097329" w:rsidP="00B403CB">
      <w:pPr>
        <w:pStyle w:val="a4"/>
        <w:numPr>
          <w:ilvl w:val="0"/>
          <w:numId w:val="32"/>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按照牵头中心的程序提交，以及</w:t>
      </w:r>
    </w:p>
    <w:p w:rsidR="00C1273A" w:rsidRPr="00C277C0" w:rsidRDefault="00097329" w:rsidP="00B403CB">
      <w:pPr>
        <w:pStyle w:val="a4"/>
        <w:numPr>
          <w:ilvl w:val="0"/>
          <w:numId w:val="32"/>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在较短的时间范围内提交（即，</w:t>
      </w:r>
      <w:r w:rsidR="0075567A" w:rsidRPr="00C277C0">
        <w:rPr>
          <w:rFonts w:eastAsia="宋体" w:hint="eastAsia"/>
          <w:snapToGrid w:val="0"/>
          <w:sz w:val="24"/>
          <w:szCs w:val="24"/>
          <w:lang w:eastAsia="zh-CN"/>
        </w:rPr>
        <w:t>现场警示报告</w:t>
      </w:r>
      <w:r w:rsidRPr="00C277C0">
        <w:rPr>
          <w:rFonts w:eastAsia="宋体" w:hint="eastAsia"/>
          <w:snapToGrid w:val="0"/>
          <w:sz w:val="24"/>
          <w:szCs w:val="24"/>
          <w:lang w:eastAsia="zh-CN"/>
        </w:rPr>
        <w:t>在</w:t>
      </w:r>
      <w:r w:rsidRPr="00C277C0">
        <w:rPr>
          <w:rFonts w:eastAsia="宋体" w:hint="eastAsia"/>
          <w:snapToGrid w:val="0"/>
          <w:sz w:val="24"/>
          <w:szCs w:val="24"/>
          <w:lang w:eastAsia="zh-CN"/>
        </w:rPr>
        <w:t>3</w:t>
      </w:r>
      <w:r w:rsidRPr="00C277C0">
        <w:rPr>
          <w:rFonts w:eastAsia="宋体" w:hint="eastAsia"/>
          <w:snapToGrid w:val="0"/>
          <w:sz w:val="24"/>
          <w:szCs w:val="24"/>
          <w:lang w:eastAsia="zh-CN"/>
        </w:rPr>
        <w:t>个工作日的时间范围内提交，而</w:t>
      </w:r>
      <w:r w:rsidR="0075567A" w:rsidRPr="00C277C0">
        <w:rPr>
          <w:rFonts w:eastAsia="宋体" w:hint="eastAsia"/>
          <w:snapToGrid w:val="0"/>
          <w:sz w:val="24"/>
          <w:szCs w:val="24"/>
          <w:lang w:eastAsia="zh-CN"/>
        </w:rPr>
        <w:t>生物制品偏差报告</w:t>
      </w:r>
      <w:r w:rsidRPr="00C277C0">
        <w:rPr>
          <w:rFonts w:eastAsia="宋体" w:hint="eastAsia"/>
          <w:snapToGrid w:val="0"/>
          <w:sz w:val="24"/>
          <w:szCs w:val="24"/>
          <w:lang w:eastAsia="zh-CN"/>
        </w:rPr>
        <w:t>在</w:t>
      </w:r>
      <w:r w:rsidRPr="00C277C0">
        <w:rPr>
          <w:rFonts w:eastAsia="宋体" w:hint="eastAsia"/>
          <w:snapToGrid w:val="0"/>
          <w:sz w:val="24"/>
          <w:szCs w:val="24"/>
          <w:lang w:eastAsia="zh-CN"/>
        </w:rPr>
        <w:t>45</w:t>
      </w:r>
      <w:r w:rsidRPr="00C277C0">
        <w:rPr>
          <w:rFonts w:eastAsia="宋体" w:hint="eastAsia"/>
          <w:snapToGrid w:val="0"/>
          <w:sz w:val="24"/>
          <w:szCs w:val="24"/>
          <w:lang w:eastAsia="zh-CN"/>
        </w:rPr>
        <w:t>个日历日的时间范围内提交）。</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CD13F3" w:rsidP="00B403CB">
      <w:pPr>
        <w:pStyle w:val="a3"/>
        <w:autoSpaceDE/>
        <w:autoSpaceDN/>
        <w:snapToGrid w:val="0"/>
        <w:ind w:firstLineChars="200" w:firstLine="480"/>
        <w:jc w:val="both"/>
        <w:rPr>
          <w:rFonts w:eastAsia="宋体"/>
          <w:snapToGrid w:val="0"/>
          <w:lang w:eastAsia="zh-CN"/>
        </w:rPr>
      </w:pPr>
      <w:r>
        <w:rPr>
          <w:rFonts w:eastAsia="宋体" w:hint="eastAsia"/>
          <w:snapToGrid w:val="0"/>
          <w:lang w:eastAsia="zh-CN"/>
        </w:rPr>
        <w:t>本机构</w:t>
      </w:r>
      <w:r w:rsidR="00097329" w:rsidRPr="00C277C0">
        <w:rPr>
          <w:rFonts w:eastAsia="宋体" w:hint="eastAsia"/>
          <w:snapToGrid w:val="0"/>
          <w:lang w:eastAsia="zh-CN"/>
        </w:rPr>
        <w:t>鼓励有意建立提交此类</w:t>
      </w:r>
      <w:r w:rsidR="004D0AB7" w:rsidRPr="00C277C0">
        <w:rPr>
          <w:rFonts w:eastAsia="宋体" w:hint="eastAsia"/>
          <w:snapToGrid w:val="0"/>
          <w:lang w:eastAsia="zh-CN"/>
        </w:rPr>
        <w:t>FAR/BPDR</w:t>
      </w:r>
      <w:r w:rsidR="00097329" w:rsidRPr="00C277C0">
        <w:rPr>
          <w:rFonts w:eastAsia="宋体" w:hint="eastAsia"/>
          <w:snapToGrid w:val="0"/>
          <w:lang w:eastAsia="zh-CN"/>
        </w:rPr>
        <w:t>组合报告程序的组合产品申请人与牵头中心或</w:t>
      </w:r>
      <w:r w:rsidR="00097329" w:rsidRPr="00C277C0">
        <w:rPr>
          <w:rFonts w:eastAsia="宋体" w:hint="eastAsia"/>
          <w:snapToGrid w:val="0"/>
          <w:lang w:eastAsia="zh-CN"/>
        </w:rPr>
        <w:t>OCP</w:t>
      </w:r>
      <w:r w:rsidR="00097329" w:rsidRPr="00C277C0">
        <w:rPr>
          <w:rFonts w:eastAsia="宋体" w:hint="eastAsia"/>
          <w:snapToGrid w:val="0"/>
          <w:lang w:eastAsia="zh-CN"/>
        </w:rPr>
        <w:t>讨论该方法。</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37" w:name="_Toc95145708"/>
      <w:bookmarkStart w:id="38" w:name="_Toc97551509"/>
      <w:r w:rsidRPr="00C277C0">
        <w:rPr>
          <w:rFonts w:hint="eastAsia"/>
          <w:snapToGrid w:val="0"/>
          <w:szCs w:val="24"/>
          <w:lang w:eastAsia="zh-CN"/>
        </w:rPr>
        <w:t>B.</w:t>
      </w:r>
      <w:r w:rsidRPr="00C277C0">
        <w:rPr>
          <w:rFonts w:hint="eastAsia"/>
          <w:snapToGrid w:val="0"/>
          <w:szCs w:val="24"/>
          <w:lang w:eastAsia="zh-CN"/>
        </w:rPr>
        <w:tab/>
      </w:r>
      <w:r w:rsidRPr="00C277C0">
        <w:rPr>
          <w:rFonts w:hint="eastAsia"/>
          <w:snapToGrid w:val="0"/>
          <w:szCs w:val="24"/>
          <w:lang w:eastAsia="zh-CN"/>
        </w:rPr>
        <w:t>组合产品</w:t>
      </w:r>
      <w:r w:rsidRPr="00C277C0">
        <w:rPr>
          <w:rFonts w:hint="eastAsia"/>
          <w:snapToGrid w:val="0"/>
          <w:szCs w:val="24"/>
          <w:lang w:eastAsia="zh-CN"/>
        </w:rPr>
        <w:t>PMSR</w:t>
      </w:r>
      <w:r w:rsidRPr="00C277C0">
        <w:rPr>
          <w:rFonts w:hint="eastAsia"/>
          <w:snapToGrid w:val="0"/>
          <w:szCs w:val="24"/>
          <w:lang w:eastAsia="zh-CN"/>
        </w:rPr>
        <w:t>报告中应包含</w:t>
      </w:r>
      <w:r w:rsidR="000F2AD6" w:rsidRPr="00C277C0">
        <w:rPr>
          <w:rFonts w:hint="eastAsia"/>
          <w:snapToGrid w:val="0"/>
          <w:szCs w:val="24"/>
          <w:lang w:eastAsia="zh-CN"/>
        </w:rPr>
        <w:t>何种</w:t>
      </w:r>
      <w:r w:rsidRPr="00C277C0">
        <w:rPr>
          <w:rFonts w:hint="eastAsia"/>
          <w:snapToGrid w:val="0"/>
          <w:szCs w:val="24"/>
          <w:lang w:eastAsia="zh-CN"/>
        </w:rPr>
        <w:t>信息</w:t>
      </w:r>
      <w:bookmarkEnd w:id="37"/>
      <w:r w:rsidR="00FE2212" w:rsidRPr="00C277C0">
        <w:rPr>
          <w:rFonts w:hint="eastAsia"/>
          <w:szCs w:val="24"/>
          <w:vertAlign w:val="superscript"/>
          <w:lang w:eastAsia="zh-CN"/>
        </w:rPr>
        <w:footnoteReference w:id="42"/>
      </w:r>
      <w:bookmarkEnd w:id="38"/>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1.</w:t>
      </w:r>
      <w:r w:rsidRPr="00C277C0">
        <w:rPr>
          <w:rFonts w:hint="eastAsia"/>
          <w:snapToGrid w:val="0"/>
          <w:lang w:eastAsia="zh-CN"/>
        </w:rPr>
        <w:tab/>
      </w:r>
      <w:r w:rsidRPr="00C277C0">
        <w:rPr>
          <w:rFonts w:hint="eastAsia"/>
          <w:snapToGrid w:val="0"/>
          <w:lang w:eastAsia="zh-CN"/>
        </w:rPr>
        <w:t>提交组合产品</w:t>
      </w:r>
      <w:r w:rsidRPr="00C277C0">
        <w:rPr>
          <w:rFonts w:hint="eastAsia"/>
          <w:snapToGrid w:val="0"/>
          <w:lang w:eastAsia="zh-CN"/>
        </w:rPr>
        <w:t>PMSR</w:t>
      </w:r>
      <w:r w:rsidRPr="00C277C0">
        <w:rPr>
          <w:rFonts w:hint="eastAsia"/>
          <w:snapToGrid w:val="0"/>
          <w:lang w:eastAsia="zh-CN"/>
        </w:rPr>
        <w:t>报告时的一般内容</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jc w:val="both"/>
        <w:rPr>
          <w:rFonts w:eastAsia="宋体"/>
          <w:snapToGrid w:val="0"/>
          <w:lang w:eastAsia="zh-CN"/>
        </w:rPr>
      </w:pPr>
      <w:r w:rsidRPr="00C277C0">
        <w:rPr>
          <w:rFonts w:eastAsia="宋体" w:hint="eastAsia"/>
          <w:snapToGrid w:val="0"/>
          <w:lang w:eastAsia="zh-CN"/>
        </w:rPr>
        <w:t>组合产品的</w:t>
      </w:r>
      <w:r w:rsidRPr="00C277C0">
        <w:rPr>
          <w:rFonts w:eastAsia="宋体" w:hint="eastAsia"/>
          <w:snapToGrid w:val="0"/>
          <w:lang w:eastAsia="zh-CN"/>
        </w:rPr>
        <w:t>PMSR</w:t>
      </w:r>
      <w:r w:rsidRPr="00C277C0">
        <w:rPr>
          <w:rFonts w:eastAsia="宋体" w:hint="eastAsia"/>
          <w:snapToGrid w:val="0"/>
          <w:lang w:eastAsia="zh-CN"/>
        </w:rPr>
        <w:t>报告：</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33"/>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必须包含适用法规下报告类型所需的所有信息，包括整个产品（包括每个组成部分）（</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4.102</w:t>
      </w:r>
      <w:r w:rsidR="00AE0101" w:rsidRPr="00C277C0">
        <w:rPr>
          <w:rFonts w:eastAsia="宋体" w:hint="eastAsia"/>
          <w:snapToGrid w:val="0"/>
          <w:sz w:val="24"/>
          <w:szCs w:val="24"/>
          <w:lang w:eastAsia="zh-CN"/>
        </w:rPr>
        <w:t>节）</w:t>
      </w:r>
      <w:r w:rsidRPr="00C277C0">
        <w:rPr>
          <w:rFonts w:eastAsia="宋体" w:hint="eastAsia"/>
          <w:snapToGrid w:val="0"/>
          <w:sz w:val="24"/>
          <w:szCs w:val="24"/>
          <w:lang w:eastAsia="zh-CN"/>
        </w:rPr>
        <w:t>的相关信息，以及</w:t>
      </w:r>
    </w:p>
    <w:p w:rsidR="00C1273A" w:rsidRPr="00C277C0" w:rsidRDefault="00097329" w:rsidP="00B403CB">
      <w:pPr>
        <w:pStyle w:val="a4"/>
        <w:numPr>
          <w:ilvl w:val="0"/>
          <w:numId w:val="33"/>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在组合产品申请人针对同一事件或产品问题提交多种类型报告的情况下，这些报告应包含对相关</w:t>
      </w:r>
      <w:r w:rsidRPr="00C277C0">
        <w:rPr>
          <w:rFonts w:eastAsia="宋体" w:hint="eastAsia"/>
          <w:snapToGrid w:val="0"/>
          <w:sz w:val="24"/>
          <w:szCs w:val="24"/>
          <w:lang w:eastAsia="zh-CN"/>
        </w:rPr>
        <w:t>PMSR</w:t>
      </w:r>
      <w:r w:rsidRPr="00C277C0">
        <w:rPr>
          <w:rFonts w:eastAsia="宋体" w:hint="eastAsia"/>
          <w:snapToGrid w:val="0"/>
          <w:sz w:val="24"/>
          <w:szCs w:val="24"/>
          <w:lang w:eastAsia="zh-CN"/>
        </w:rPr>
        <w:t>报告的参考，包括先前提交的</w:t>
      </w:r>
      <w:r w:rsidRPr="00C277C0">
        <w:rPr>
          <w:rFonts w:eastAsia="宋体" w:hint="eastAsia"/>
          <w:snapToGrid w:val="0"/>
          <w:sz w:val="24"/>
          <w:szCs w:val="24"/>
          <w:lang w:eastAsia="zh-CN"/>
        </w:rPr>
        <w:t>PMSR</w:t>
      </w:r>
      <w:r w:rsidRPr="00C277C0">
        <w:rPr>
          <w:rFonts w:eastAsia="宋体" w:hint="eastAsia"/>
          <w:snapToGrid w:val="0"/>
          <w:sz w:val="24"/>
          <w:szCs w:val="24"/>
          <w:lang w:eastAsia="zh-CN"/>
        </w:rPr>
        <w:t>报告，并与牵头中心的报告政策和实践保持一致。</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2.</w:t>
      </w:r>
      <w:r w:rsidRPr="00C277C0">
        <w:rPr>
          <w:rFonts w:hint="eastAsia"/>
          <w:snapToGrid w:val="0"/>
          <w:lang w:eastAsia="zh-CN"/>
        </w:rPr>
        <w:tab/>
      </w:r>
      <w:r w:rsidRPr="00C277C0">
        <w:rPr>
          <w:rFonts w:hint="eastAsia"/>
          <w:snapToGrid w:val="0"/>
          <w:lang w:eastAsia="zh-CN"/>
        </w:rPr>
        <w:t>包括在组合产品</w:t>
      </w:r>
      <w:r w:rsidRPr="00C277C0">
        <w:rPr>
          <w:rFonts w:hint="eastAsia"/>
          <w:snapToGrid w:val="0"/>
          <w:lang w:eastAsia="zh-CN"/>
        </w:rPr>
        <w:t>ICSR</w:t>
      </w:r>
      <w:r w:rsidRPr="00C277C0">
        <w:rPr>
          <w:rFonts w:hint="eastAsia"/>
          <w:snapToGrid w:val="0"/>
          <w:lang w:eastAsia="zh-CN"/>
        </w:rPr>
        <w:t>中的附加信息</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CF769C"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本节确定了组合产品申请人应在</w:t>
      </w:r>
      <w:r w:rsidRPr="00C277C0">
        <w:rPr>
          <w:rFonts w:eastAsia="宋体" w:hint="eastAsia"/>
          <w:snapToGrid w:val="0"/>
          <w:lang w:eastAsia="zh-CN"/>
        </w:rPr>
        <w:t>ICSR</w:t>
      </w:r>
      <w:r w:rsidRPr="00C277C0">
        <w:rPr>
          <w:rFonts w:eastAsia="宋体" w:hint="eastAsia"/>
          <w:snapToGrid w:val="0"/>
          <w:lang w:eastAsia="zh-CN"/>
        </w:rPr>
        <w:t>中包括的信息类型（如果报告类型的适用法规尚未要求），以实现高效</w:t>
      </w:r>
      <w:r w:rsidR="004B74BF" w:rsidRPr="00C277C0">
        <w:rPr>
          <w:rFonts w:eastAsia="宋体" w:hint="eastAsia"/>
          <w:snapToGrid w:val="0"/>
          <w:lang w:eastAsia="zh-CN"/>
        </w:rPr>
        <w:t>且</w:t>
      </w:r>
      <w:r w:rsidRPr="00C277C0">
        <w:rPr>
          <w:rFonts w:eastAsia="宋体" w:hint="eastAsia"/>
          <w:snapToGrid w:val="0"/>
          <w:lang w:eastAsia="zh-CN"/>
        </w:rPr>
        <w:t>有效的评价。</w:t>
      </w:r>
      <w:r w:rsidR="00FE2212" w:rsidRPr="00C277C0">
        <w:rPr>
          <w:rStyle w:val="af4"/>
          <w:rFonts w:eastAsia="宋体" w:hint="eastAsia"/>
          <w:snapToGrid w:val="0"/>
          <w:lang w:eastAsia="zh-CN"/>
        </w:rPr>
        <w:footnoteReference w:id="43"/>
      </w:r>
      <w:r w:rsidRPr="00C277C0">
        <w:rPr>
          <w:rFonts w:eastAsia="宋体" w:hint="eastAsia"/>
          <w:snapToGrid w:val="0"/>
          <w:lang w:eastAsia="zh-CN"/>
        </w:rPr>
        <w:t>关于完成和提交报告</w:t>
      </w:r>
      <w:r w:rsidR="000F2AD6" w:rsidRPr="00C277C0">
        <w:rPr>
          <w:rFonts w:eastAsia="宋体" w:hint="eastAsia"/>
          <w:snapToGrid w:val="0"/>
          <w:lang w:eastAsia="zh-CN"/>
        </w:rPr>
        <w:t>方式</w:t>
      </w:r>
      <w:r w:rsidRPr="00C277C0">
        <w:rPr>
          <w:rFonts w:eastAsia="宋体" w:hint="eastAsia"/>
          <w:snapToGrid w:val="0"/>
          <w:lang w:eastAsia="zh-CN"/>
        </w:rPr>
        <w:t>的具体细节，</w:t>
      </w:r>
      <w:r w:rsidR="00A00C22">
        <w:rPr>
          <w:rFonts w:eastAsia="宋体" w:hint="eastAsia"/>
          <w:snapToGrid w:val="0"/>
          <w:lang w:eastAsia="zh-CN"/>
        </w:rPr>
        <w:t>请参见</w:t>
      </w:r>
      <w:r w:rsidRPr="00C277C0">
        <w:rPr>
          <w:rFonts w:eastAsia="宋体" w:hint="eastAsia"/>
          <w:snapToGrid w:val="0"/>
          <w:lang w:eastAsia="zh-CN"/>
        </w:rPr>
        <w:t>各项</w:t>
      </w:r>
      <w:r w:rsidRPr="00C277C0">
        <w:rPr>
          <w:rFonts w:eastAsia="宋体" w:hint="eastAsia"/>
          <w:snapToGrid w:val="0"/>
          <w:lang w:eastAsia="zh-CN"/>
        </w:rPr>
        <w:t>ICSR</w:t>
      </w:r>
      <w:r w:rsidRPr="00C277C0">
        <w:rPr>
          <w:rFonts w:eastAsia="宋体" w:hint="eastAsia"/>
          <w:snapToGrid w:val="0"/>
          <w:lang w:eastAsia="zh-CN"/>
        </w:rPr>
        <w:t>报告机制的技术规范和说明。</w:t>
      </w:r>
      <w:r w:rsidR="00FE2212" w:rsidRPr="00C277C0">
        <w:rPr>
          <w:rStyle w:val="af4"/>
          <w:rFonts w:eastAsia="宋体" w:hint="eastAsia"/>
          <w:snapToGrid w:val="0"/>
          <w:lang w:eastAsia="zh-CN"/>
        </w:rPr>
        <w:footnoteReference w:id="44"/>
      </w:r>
    </w:p>
    <w:p w:rsidR="00C1273A" w:rsidRPr="00C277C0" w:rsidRDefault="00651055" w:rsidP="00C1273A">
      <w:pPr>
        <w:autoSpaceDE/>
        <w:autoSpaceDN/>
        <w:snapToGrid w:val="0"/>
        <w:jc w:val="both"/>
        <w:rPr>
          <w:rFonts w:eastAsia="宋体"/>
          <w:snapToGrid w:val="0"/>
          <w:sz w:val="24"/>
          <w:szCs w:val="24"/>
          <w:lang w:eastAsia="zh-CN"/>
        </w:rPr>
      </w:pPr>
      <w:bookmarkStart w:id="39" w:name="_bookmark69"/>
      <w:bookmarkEnd w:id="39"/>
      <w:r w:rsidRPr="00C277C0">
        <w:rPr>
          <w:rFonts w:eastAsia="宋体" w:hint="eastAsia"/>
          <w:snapToGrid w:val="0"/>
          <w:sz w:val="24"/>
          <w:szCs w:val="24"/>
          <w:lang w:eastAsia="zh-CN"/>
        </w:rPr>
        <w:br w:type="page"/>
      </w: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应提供以下信息，包括关于组合产品组成部分的信息，无论该事件涉及哪些组成部分。例如，即使需要</w:t>
      </w:r>
      <w:r w:rsidRPr="00C277C0">
        <w:rPr>
          <w:rFonts w:eastAsia="宋体" w:hint="eastAsia"/>
          <w:snapToGrid w:val="0"/>
          <w:lang w:eastAsia="zh-CN"/>
        </w:rPr>
        <w:t>15</w:t>
      </w:r>
      <w:r w:rsidRPr="00C277C0">
        <w:rPr>
          <w:rFonts w:eastAsia="宋体" w:hint="eastAsia"/>
          <w:snapToGrid w:val="0"/>
          <w:lang w:eastAsia="zh-CN"/>
        </w:rPr>
        <w:t>天报告的事件似乎与器械组成部分无关，也应包括组合产品器械组成部分的信息。</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DF0641">
      <w:pPr>
        <w:pStyle w:val="a3"/>
        <w:wordWrap w:val="0"/>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向</w:t>
      </w:r>
      <w:r w:rsidRPr="00C277C0">
        <w:rPr>
          <w:rFonts w:eastAsia="宋体" w:hint="eastAsia"/>
          <w:snapToGrid w:val="0"/>
          <w:lang w:eastAsia="zh-CN"/>
        </w:rPr>
        <w:t>FDA</w:t>
      </w:r>
      <w:r w:rsidRPr="00C277C0">
        <w:rPr>
          <w:rFonts w:eastAsia="宋体" w:hint="eastAsia"/>
          <w:snapToGrid w:val="0"/>
          <w:lang w:eastAsia="zh-CN"/>
        </w:rPr>
        <w:t>报告系统（</w:t>
      </w:r>
      <w:r w:rsidRPr="00C277C0">
        <w:rPr>
          <w:rFonts w:eastAsia="宋体" w:hint="eastAsia"/>
          <w:snapToGrid w:val="0"/>
          <w:lang w:eastAsia="zh-CN"/>
        </w:rPr>
        <w:t>FAERS</w:t>
      </w:r>
      <w:r w:rsidRPr="00C277C0">
        <w:rPr>
          <w:rFonts w:eastAsia="宋体" w:hint="eastAsia"/>
          <w:snapToGrid w:val="0"/>
          <w:lang w:eastAsia="zh-CN"/>
        </w:rPr>
        <w:t>等）报告以下信息的示例，另</w:t>
      </w:r>
      <w:r w:rsidR="0060152E">
        <w:rPr>
          <w:rFonts w:eastAsia="宋体" w:hint="eastAsia"/>
          <w:snapToGrid w:val="0"/>
          <w:lang w:eastAsia="zh-CN"/>
        </w:rPr>
        <w:t>参</w:t>
      </w:r>
      <w:r w:rsidRPr="00C277C0">
        <w:rPr>
          <w:rFonts w:eastAsia="宋体" w:hint="eastAsia"/>
          <w:snapToGrid w:val="0"/>
          <w:lang w:eastAsia="zh-CN"/>
        </w:rPr>
        <w:t>见</w:t>
      </w:r>
      <w:hyperlink r:id="rId24" w:history="1">
        <w:r w:rsidR="00DF0641" w:rsidRPr="00C277C0">
          <w:rPr>
            <w:rStyle w:val="a9"/>
            <w:rFonts w:eastAsia="宋体" w:hint="eastAsia"/>
            <w:snapToGrid w:val="0"/>
            <w:u w:color="0000FF"/>
            <w:lang w:eastAsia="zh-CN"/>
          </w:rPr>
          <w:t>https://www.fda.gov/combination-products/guidance-regulatory-information/postmarketing-safety-reporting-combination-products</w:t>
        </w:r>
        <w:r w:rsidR="00DF0641" w:rsidRPr="00C277C0">
          <w:rPr>
            <w:rStyle w:val="a9"/>
            <w:rFonts w:eastAsia="宋体" w:hint="eastAsia"/>
            <w:snapToGrid w:val="0"/>
            <w:color w:val="000000"/>
            <w:u w:val="none"/>
            <w:lang w:eastAsia="zh-CN"/>
          </w:rPr>
          <w:t>。</w:t>
        </w:r>
      </w:hyperlink>
    </w:p>
    <w:p w:rsidR="00C1273A" w:rsidRPr="00C277C0" w:rsidRDefault="00C1273A" w:rsidP="00B403CB">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34"/>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组合产品标识符。</w:t>
      </w:r>
      <w:r w:rsidRPr="00C277C0">
        <w:rPr>
          <w:rFonts w:eastAsia="宋体" w:hint="eastAsia"/>
          <w:snapToGrid w:val="0"/>
          <w:sz w:val="24"/>
          <w:szCs w:val="24"/>
          <w:lang w:eastAsia="zh-CN"/>
        </w:rPr>
        <w:t>指明该报告是针对组合产品。如果申请人以非组合和组合产品配置（例如，使用和不使用注射器包装的相同药品）销售一个产品，则仅在组合产品配置发生的事件中纳入该组合产品标识符。</w:t>
      </w:r>
      <w:r w:rsidR="00FE2212" w:rsidRPr="00C277C0">
        <w:rPr>
          <w:rStyle w:val="af4"/>
          <w:rFonts w:eastAsia="宋体" w:hint="eastAsia"/>
          <w:snapToGrid w:val="0"/>
          <w:sz w:val="24"/>
          <w:szCs w:val="24"/>
          <w:lang w:eastAsia="zh-CN"/>
        </w:rPr>
        <w:footnoteReference w:id="45"/>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34"/>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报告类型。</w:t>
      </w:r>
      <w:r w:rsidRPr="00C277C0">
        <w:rPr>
          <w:rFonts w:eastAsia="宋体" w:hint="eastAsia"/>
          <w:snapToGrid w:val="0"/>
          <w:sz w:val="24"/>
          <w:szCs w:val="24"/>
          <w:lang w:eastAsia="zh-CN"/>
        </w:rPr>
        <w:t>明确报告类型。如果一项提交涵盖多项报告要求，则应明确每种报告类型（例如，如果报告涵盖</w:t>
      </w:r>
      <w:r w:rsidRPr="00C277C0">
        <w:rPr>
          <w:rFonts w:eastAsia="宋体" w:hint="eastAsia"/>
          <w:snapToGrid w:val="0"/>
          <w:sz w:val="24"/>
          <w:szCs w:val="24"/>
          <w:lang w:eastAsia="zh-CN"/>
        </w:rPr>
        <w:t>15</w:t>
      </w:r>
      <w:r w:rsidRPr="00C277C0">
        <w:rPr>
          <w:rFonts w:eastAsia="宋体" w:hint="eastAsia"/>
          <w:snapToGrid w:val="0"/>
          <w:sz w:val="24"/>
          <w:szCs w:val="24"/>
          <w:lang w:eastAsia="zh-CN"/>
        </w:rPr>
        <w:t>天和</w:t>
      </w:r>
      <w:r w:rsidR="00CB6808" w:rsidRPr="00C277C0">
        <w:rPr>
          <w:rFonts w:eastAsia="宋体" w:hint="eastAsia"/>
          <w:snapToGrid w:val="0"/>
          <w:sz w:val="24"/>
          <w:szCs w:val="24"/>
          <w:lang w:eastAsia="zh-CN"/>
        </w:rPr>
        <w:t>故障</w:t>
      </w:r>
      <w:r w:rsidR="00C55B83" w:rsidRPr="00C277C0">
        <w:rPr>
          <w:rFonts w:eastAsia="宋体" w:hint="eastAsia"/>
          <w:snapToGrid w:val="0"/>
          <w:sz w:val="24"/>
          <w:szCs w:val="24"/>
          <w:lang w:eastAsia="zh-CN"/>
        </w:rPr>
        <w:t>报告</w:t>
      </w:r>
      <w:r w:rsidRPr="00C277C0">
        <w:rPr>
          <w:rFonts w:eastAsia="宋体" w:hint="eastAsia"/>
          <w:snapToGrid w:val="0"/>
          <w:sz w:val="24"/>
          <w:szCs w:val="24"/>
          <w:lang w:eastAsia="zh-CN"/>
        </w:rPr>
        <w:t>要求，则应为每种报告类型提供适当的标识符）。</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34"/>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患者标识符。</w:t>
      </w:r>
      <w:r w:rsidRPr="00C277C0">
        <w:rPr>
          <w:rFonts w:eastAsia="宋体" w:hint="eastAsia"/>
          <w:snapToGrid w:val="0"/>
          <w:sz w:val="24"/>
          <w:szCs w:val="24"/>
          <w:lang w:eastAsia="zh-CN"/>
        </w:rPr>
        <w:t>提供患者标识符。如果事件中不涉及患者（例如，如果发生</w:t>
      </w:r>
      <w:r w:rsidR="00CB6808" w:rsidRPr="00C277C0">
        <w:rPr>
          <w:rFonts w:eastAsia="宋体" w:hint="eastAsia"/>
          <w:snapToGrid w:val="0"/>
          <w:sz w:val="24"/>
          <w:szCs w:val="24"/>
          <w:lang w:eastAsia="zh-CN"/>
        </w:rPr>
        <w:t>故障</w:t>
      </w:r>
      <w:r w:rsidRPr="00C277C0">
        <w:rPr>
          <w:rFonts w:eastAsia="宋体" w:hint="eastAsia"/>
          <w:snapToGrid w:val="0"/>
          <w:sz w:val="24"/>
          <w:szCs w:val="24"/>
          <w:lang w:eastAsia="zh-CN"/>
        </w:rPr>
        <w:t>且不涉及患者），则输入</w:t>
      </w:r>
      <w:r w:rsidRPr="00B403CB">
        <w:rPr>
          <w:rFonts w:ascii="宋体" w:eastAsia="宋体" w:hAnsi="宋体" w:hint="eastAsia"/>
          <w:sz w:val="24"/>
          <w:lang w:eastAsia="zh-CN"/>
        </w:rPr>
        <w:t>“</w:t>
      </w:r>
      <w:r w:rsidRPr="00C277C0">
        <w:rPr>
          <w:rFonts w:eastAsia="宋体" w:hint="eastAsia"/>
          <w:snapToGrid w:val="0"/>
          <w:sz w:val="24"/>
          <w:szCs w:val="24"/>
          <w:lang w:eastAsia="zh-CN"/>
        </w:rPr>
        <w:t>无</w:t>
      </w:r>
      <w:r w:rsidRPr="00B403CB">
        <w:rPr>
          <w:rFonts w:ascii="宋体" w:eastAsia="宋体" w:hAnsi="宋体" w:hint="eastAsia"/>
          <w:sz w:val="24"/>
          <w:lang w:eastAsia="zh-CN"/>
        </w:rPr>
        <w:t>”</w:t>
      </w:r>
      <w:r w:rsidRPr="00C277C0">
        <w:rPr>
          <w:rFonts w:eastAsia="宋体" w:hint="eastAsia"/>
          <w:snapToGrid w:val="0"/>
          <w:sz w:val="24"/>
          <w:szCs w:val="24"/>
          <w:lang w:eastAsia="zh-CN"/>
        </w:rPr>
        <w:t>。</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34"/>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报告标识符。</w:t>
      </w:r>
      <w:r w:rsidRPr="00C277C0">
        <w:rPr>
          <w:rFonts w:eastAsia="宋体" w:hint="eastAsia"/>
          <w:snapToGrid w:val="0"/>
          <w:sz w:val="24"/>
          <w:szCs w:val="24"/>
          <w:lang w:eastAsia="zh-CN"/>
        </w:rPr>
        <w:t>向组合产品申请人提供报告的个例标识符。</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34"/>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疑似</w:t>
      </w:r>
      <w:r w:rsidR="00FE2212" w:rsidRPr="00C277C0">
        <w:rPr>
          <w:rStyle w:val="af4"/>
          <w:rFonts w:eastAsia="宋体" w:hint="eastAsia"/>
          <w:snapToGrid w:val="0"/>
          <w:sz w:val="24"/>
          <w:szCs w:val="24"/>
          <w:u w:val="single"/>
          <w:lang w:eastAsia="zh-CN"/>
        </w:rPr>
        <w:footnoteReference w:id="46"/>
      </w:r>
      <w:r w:rsidRPr="00C277C0">
        <w:rPr>
          <w:rFonts w:eastAsia="宋体" w:hint="eastAsia"/>
          <w:snapToGrid w:val="0"/>
          <w:sz w:val="24"/>
          <w:szCs w:val="24"/>
          <w:u w:val="single"/>
          <w:lang w:eastAsia="zh-CN"/>
        </w:rPr>
        <w:t>医疗器械。</w:t>
      </w:r>
      <w:r w:rsidRPr="00C277C0">
        <w:rPr>
          <w:rFonts w:eastAsia="宋体" w:hint="eastAsia"/>
          <w:snapToGrid w:val="0"/>
          <w:sz w:val="24"/>
          <w:szCs w:val="24"/>
          <w:lang w:eastAsia="zh-CN"/>
        </w:rPr>
        <w:t>包括与器械组成部分最接近的产品代码，以及器械通用名和</w:t>
      </w:r>
      <w:r w:rsidRPr="00C277C0">
        <w:rPr>
          <w:rFonts w:eastAsia="宋体" w:hint="eastAsia"/>
          <w:snapToGrid w:val="0"/>
          <w:sz w:val="24"/>
          <w:szCs w:val="24"/>
          <w:lang w:eastAsia="zh-CN"/>
        </w:rPr>
        <w:t>/</w:t>
      </w:r>
      <w:r w:rsidRPr="00C277C0">
        <w:rPr>
          <w:rFonts w:eastAsia="宋体" w:hint="eastAsia"/>
          <w:snapToGrid w:val="0"/>
          <w:sz w:val="24"/>
          <w:szCs w:val="24"/>
          <w:lang w:eastAsia="zh-CN"/>
        </w:rPr>
        <w:t>或品牌名（如适用）。</w:t>
      </w:r>
      <w:r w:rsidR="00FE2212" w:rsidRPr="00C277C0">
        <w:rPr>
          <w:rStyle w:val="af4"/>
          <w:rFonts w:eastAsia="宋体" w:hint="eastAsia"/>
          <w:snapToGrid w:val="0"/>
          <w:sz w:val="24"/>
          <w:szCs w:val="24"/>
          <w:lang w:eastAsia="zh-CN"/>
        </w:rPr>
        <w:footnoteReference w:id="47"/>
      </w:r>
    </w:p>
    <w:p w:rsidR="00C1273A" w:rsidRPr="00C277C0" w:rsidRDefault="00651055" w:rsidP="00C1273A">
      <w:pPr>
        <w:autoSpaceDE/>
        <w:autoSpaceDN/>
        <w:snapToGrid w:val="0"/>
        <w:jc w:val="both"/>
        <w:rPr>
          <w:rFonts w:eastAsia="宋体"/>
          <w:snapToGrid w:val="0"/>
          <w:sz w:val="24"/>
          <w:szCs w:val="24"/>
          <w:lang w:eastAsia="zh-CN"/>
        </w:rPr>
      </w:pPr>
      <w:r w:rsidRPr="00C277C0">
        <w:rPr>
          <w:rFonts w:eastAsia="宋体" w:hint="eastAsia"/>
          <w:snapToGrid w:val="0"/>
          <w:sz w:val="24"/>
          <w:szCs w:val="24"/>
          <w:lang w:eastAsia="zh-CN"/>
        </w:rPr>
        <w:br w:type="page"/>
      </w:r>
    </w:p>
    <w:p w:rsidR="00C1273A" w:rsidRPr="00C277C0" w:rsidRDefault="00C1273A" w:rsidP="00B403CB">
      <w:pPr>
        <w:autoSpaceDE/>
        <w:autoSpaceDN/>
        <w:snapToGrid w:val="0"/>
        <w:jc w:val="both"/>
        <w:rPr>
          <w:rFonts w:eastAsia="宋体"/>
          <w:snapToGrid w:val="0"/>
          <w:sz w:val="24"/>
          <w:szCs w:val="24"/>
          <w:lang w:eastAsia="zh-CN"/>
        </w:rPr>
      </w:pPr>
    </w:p>
    <w:p w:rsidR="00C1273A" w:rsidRPr="00C277C0" w:rsidRDefault="00097329" w:rsidP="00DF0641">
      <w:pPr>
        <w:pStyle w:val="a3"/>
        <w:wordWrap w:val="0"/>
        <w:autoSpaceDE/>
        <w:autoSpaceDN/>
        <w:snapToGrid w:val="0"/>
        <w:ind w:leftChars="410" w:left="902" w:firstLineChars="200" w:firstLine="480"/>
        <w:jc w:val="both"/>
        <w:rPr>
          <w:rFonts w:eastAsia="宋体"/>
          <w:snapToGrid w:val="0"/>
          <w:lang w:eastAsia="zh-CN"/>
        </w:rPr>
      </w:pPr>
      <w:r w:rsidRPr="00C277C0">
        <w:rPr>
          <w:rFonts w:eastAsia="宋体" w:hint="eastAsia"/>
          <w:snapToGrid w:val="0"/>
          <w:lang w:eastAsia="zh-CN"/>
        </w:rPr>
        <w:t>FDA</w:t>
      </w:r>
      <w:r w:rsidRPr="00C277C0">
        <w:rPr>
          <w:rFonts w:eastAsia="宋体" w:hint="eastAsia"/>
          <w:snapToGrid w:val="0"/>
          <w:lang w:eastAsia="zh-CN"/>
        </w:rPr>
        <w:t>保存了一个可检索的在线产品代码数据库，其中包括产品代码和器械通用名（</w:t>
      </w:r>
      <w:hyperlink r:id="rId25">
        <w:r w:rsidRPr="00C277C0">
          <w:rPr>
            <w:rFonts w:eastAsia="宋体" w:hint="eastAsia"/>
            <w:snapToGrid w:val="0"/>
            <w:color w:val="0000FF"/>
            <w:u w:val="single" w:color="0000FF"/>
            <w:lang w:eastAsia="zh-CN"/>
          </w:rPr>
          <w:t>https://www.accessdata.fda.gov/scripts/cdrh/cfdocs/cfPCD/classification.cfm</w:t>
        </w:r>
      </w:hyperlink>
      <w:r w:rsidRPr="00C277C0">
        <w:rPr>
          <w:rFonts w:eastAsia="宋体" w:hint="eastAsia"/>
          <w:snapToGrid w:val="0"/>
          <w:lang w:eastAsia="zh-CN"/>
        </w:rPr>
        <w:t>）。有关</w:t>
      </w:r>
      <w:r w:rsidRPr="00C277C0">
        <w:rPr>
          <w:rFonts w:eastAsia="宋体" w:hint="eastAsia"/>
          <w:snapToGrid w:val="0"/>
          <w:lang w:eastAsia="zh-CN"/>
        </w:rPr>
        <w:t>ANDA/NDA/BLA</w:t>
      </w:r>
      <w:r w:rsidRPr="00C277C0">
        <w:rPr>
          <w:rFonts w:eastAsia="宋体" w:hint="eastAsia"/>
          <w:snapToGrid w:val="0"/>
          <w:lang w:eastAsia="zh-CN"/>
        </w:rPr>
        <w:t>组合产品的器械组成部分的一些常见产品代码，</w:t>
      </w:r>
      <w:r w:rsidR="00A00C22">
        <w:rPr>
          <w:rFonts w:eastAsia="宋体" w:hint="eastAsia"/>
          <w:snapToGrid w:val="0"/>
          <w:lang w:eastAsia="zh-CN"/>
        </w:rPr>
        <w:t>请参见</w:t>
      </w:r>
      <w:hyperlink r:id="rId26" w:history="1">
        <w:r w:rsidR="00DF0641" w:rsidRPr="00C277C0">
          <w:rPr>
            <w:rStyle w:val="a9"/>
            <w:rFonts w:eastAsia="宋体" w:hint="eastAsia"/>
            <w:snapToGrid w:val="0"/>
            <w:u w:color="0000FF"/>
            <w:lang w:eastAsia="zh-CN"/>
          </w:rPr>
          <w:t>https://www.fda.gov/combination-products/guidance-regulatory-information/postmarketing-safety-reporting-combination-products</w:t>
        </w:r>
        <w:r w:rsidR="00DF0641" w:rsidRPr="00C277C0">
          <w:rPr>
            <w:rStyle w:val="a9"/>
            <w:rFonts w:eastAsia="宋体" w:hint="eastAsia"/>
            <w:snapToGrid w:val="0"/>
            <w:u w:color="0000FF"/>
            <w:lang w:eastAsia="zh-CN"/>
          </w:rPr>
          <w:t>。</w:t>
        </w:r>
      </w:hyperlink>
      <w:r w:rsidRPr="00C277C0">
        <w:rPr>
          <w:rFonts w:eastAsia="宋体" w:hint="eastAsia"/>
          <w:snapToGrid w:val="0"/>
          <w:lang w:eastAsia="zh-CN"/>
        </w:rPr>
        <w:t>组合产品申请人可联系</w:t>
      </w:r>
      <w:r w:rsidRPr="00C277C0">
        <w:rPr>
          <w:rFonts w:eastAsia="宋体" w:hint="eastAsia"/>
          <w:snapToGrid w:val="0"/>
          <w:lang w:eastAsia="zh-CN"/>
        </w:rPr>
        <w:t>CDRH</w:t>
      </w:r>
      <w:r w:rsidRPr="00C277C0">
        <w:rPr>
          <w:rFonts w:eastAsia="宋体" w:hint="eastAsia"/>
          <w:snapToGrid w:val="0"/>
          <w:lang w:eastAsia="zh-CN"/>
        </w:rPr>
        <w:t>的</w:t>
      </w:r>
      <w:r w:rsidR="00896B68" w:rsidRPr="00C277C0">
        <w:rPr>
          <w:rFonts w:eastAsia="宋体" w:hint="eastAsia"/>
          <w:snapToGrid w:val="0"/>
          <w:lang w:eastAsia="zh-CN"/>
        </w:rPr>
        <w:t>行</w:t>
      </w:r>
      <w:r w:rsidRPr="00C277C0">
        <w:rPr>
          <w:rFonts w:eastAsia="宋体" w:hint="eastAsia"/>
          <w:snapToGrid w:val="0"/>
          <w:lang w:eastAsia="zh-CN"/>
        </w:rPr>
        <w:t>业</w:t>
      </w:r>
      <w:r w:rsidR="00896B68" w:rsidRPr="00C277C0">
        <w:rPr>
          <w:rFonts w:eastAsia="宋体" w:hint="eastAsia"/>
          <w:snapToGrid w:val="0"/>
          <w:lang w:eastAsia="zh-CN"/>
        </w:rPr>
        <w:t>与</w:t>
      </w:r>
      <w:r w:rsidRPr="00C277C0">
        <w:rPr>
          <w:rFonts w:eastAsia="宋体" w:hint="eastAsia"/>
          <w:snapToGrid w:val="0"/>
          <w:lang w:eastAsia="zh-CN"/>
        </w:rPr>
        <w:t>消费者教育处（</w:t>
      </w:r>
      <w:r w:rsidRPr="00C277C0">
        <w:rPr>
          <w:rFonts w:eastAsia="宋体" w:hint="eastAsia"/>
          <w:snapToGrid w:val="0"/>
          <w:lang w:eastAsia="zh-CN"/>
        </w:rPr>
        <w:t>DICE</w:t>
      </w:r>
      <w:r w:rsidRPr="00C277C0">
        <w:rPr>
          <w:rFonts w:eastAsia="宋体" w:hint="eastAsia"/>
          <w:snapToGrid w:val="0"/>
          <w:lang w:eastAsia="zh-CN"/>
        </w:rPr>
        <w:t>）</w:t>
      </w:r>
      <w:r w:rsidR="00F82F50" w:rsidRPr="00C277C0">
        <w:rPr>
          <w:rFonts w:eastAsia="宋体" w:hint="eastAsia"/>
          <w:snapToGrid w:val="0"/>
          <w:lang w:eastAsia="zh-CN"/>
        </w:rPr>
        <w:t>（</w:t>
      </w:r>
      <w:hyperlink r:id="rId27">
        <w:r w:rsidR="00F82F50" w:rsidRPr="00C277C0">
          <w:rPr>
            <w:rFonts w:eastAsia="宋体" w:hint="eastAsia"/>
            <w:snapToGrid w:val="0"/>
            <w:color w:val="0000FF"/>
            <w:u w:val="single" w:color="0000FF"/>
            <w:lang w:eastAsia="zh-CN"/>
          </w:rPr>
          <w:t>DICE@fda.hhs.gov</w:t>
        </w:r>
      </w:hyperlink>
      <w:r w:rsidR="00F82F50" w:rsidRPr="00C277C0">
        <w:rPr>
          <w:rFonts w:eastAsia="宋体" w:hint="eastAsia"/>
          <w:snapToGrid w:val="0"/>
          <w:lang w:eastAsia="zh-CN"/>
        </w:rPr>
        <w:t>）</w:t>
      </w:r>
      <w:r w:rsidRPr="00C277C0">
        <w:rPr>
          <w:rFonts w:eastAsia="宋体" w:hint="eastAsia"/>
          <w:snapToGrid w:val="0"/>
          <w:lang w:eastAsia="zh-CN"/>
        </w:rPr>
        <w:t>以及</w:t>
      </w:r>
      <w:r w:rsidRPr="00C277C0">
        <w:rPr>
          <w:rFonts w:eastAsia="宋体" w:hint="eastAsia"/>
          <w:snapToGrid w:val="0"/>
          <w:lang w:eastAsia="zh-CN"/>
        </w:rPr>
        <w:t>OCP</w:t>
      </w:r>
      <w:r w:rsidRPr="00C277C0">
        <w:rPr>
          <w:rFonts w:eastAsia="宋体" w:hint="eastAsia"/>
          <w:snapToGrid w:val="0"/>
          <w:lang w:eastAsia="zh-CN"/>
        </w:rPr>
        <w:t>，根据需要寻求帮助以确定与其器械组成部分最接近的产品代码。如果没有与器械组成部分密切一致的产品代码，请输入器械通用名和</w:t>
      </w:r>
      <w:r w:rsidRPr="00C277C0">
        <w:rPr>
          <w:rFonts w:eastAsia="宋体" w:hint="eastAsia"/>
          <w:snapToGrid w:val="0"/>
          <w:lang w:eastAsia="zh-CN"/>
        </w:rPr>
        <w:t>/</w:t>
      </w:r>
      <w:r w:rsidRPr="00C277C0">
        <w:rPr>
          <w:rFonts w:eastAsia="宋体" w:hint="eastAsia"/>
          <w:snapToGrid w:val="0"/>
          <w:lang w:eastAsia="zh-CN"/>
        </w:rPr>
        <w:t>或品牌名。无论您是否认为器械组成部分与事件有关，都应包括此器械组成部分信息。</w:t>
      </w:r>
      <w:r w:rsidR="00FE2212" w:rsidRPr="00C277C0">
        <w:rPr>
          <w:rStyle w:val="af4"/>
          <w:rFonts w:eastAsia="宋体" w:hint="eastAsia"/>
          <w:snapToGrid w:val="0"/>
          <w:lang w:eastAsia="zh-CN"/>
        </w:rPr>
        <w:footnoteReference w:id="48"/>
      </w:r>
    </w:p>
    <w:p w:rsidR="00C1273A" w:rsidRPr="00C277C0" w:rsidRDefault="00C1273A" w:rsidP="00B403CB">
      <w:pPr>
        <w:pStyle w:val="a3"/>
        <w:autoSpaceDE/>
        <w:autoSpaceDN/>
        <w:snapToGrid w:val="0"/>
        <w:ind w:leftChars="410" w:left="902"/>
        <w:jc w:val="both"/>
        <w:rPr>
          <w:rFonts w:eastAsia="宋体"/>
          <w:snapToGrid w:val="0"/>
          <w:lang w:eastAsia="zh-CN"/>
        </w:rPr>
      </w:pPr>
    </w:p>
    <w:p w:rsidR="00C1273A" w:rsidRPr="00C277C0" w:rsidRDefault="00097329" w:rsidP="00B403CB">
      <w:pPr>
        <w:pStyle w:val="a4"/>
        <w:numPr>
          <w:ilvl w:val="0"/>
          <w:numId w:val="35"/>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疑似药品或生物制品。</w:t>
      </w:r>
      <w:r w:rsidRPr="00C277C0">
        <w:rPr>
          <w:rFonts w:eastAsia="宋体" w:hint="eastAsia"/>
          <w:snapToGrid w:val="0"/>
          <w:sz w:val="24"/>
          <w:szCs w:val="24"/>
          <w:lang w:eastAsia="zh-CN"/>
        </w:rPr>
        <w:t>输入药品或生物制品组成部分的已知产品属性（例如，商品名、活性成分、剂型、浓度）。无论您是否认为药品或生物制品组成部分与事件有关，都应包括这些药品或生物制品属性。对于</w:t>
      </w:r>
      <w:r w:rsidRPr="00C277C0">
        <w:rPr>
          <w:rFonts w:eastAsia="宋体" w:hint="eastAsia"/>
          <w:snapToGrid w:val="0"/>
          <w:sz w:val="24"/>
          <w:szCs w:val="24"/>
          <w:lang w:eastAsia="zh-CN"/>
        </w:rPr>
        <w:t>NDA/ANDA/BLA</w:t>
      </w:r>
      <w:r w:rsidRPr="00C277C0">
        <w:rPr>
          <w:rFonts w:eastAsia="宋体" w:hint="eastAsia"/>
          <w:snapToGrid w:val="0"/>
          <w:sz w:val="24"/>
          <w:szCs w:val="24"/>
          <w:lang w:eastAsia="zh-CN"/>
        </w:rPr>
        <w:t>批准的组合产品，应在该字段中包括组合产品的申请号。</w:t>
      </w:r>
    </w:p>
    <w:p w:rsidR="00C1273A" w:rsidRPr="00C277C0" w:rsidRDefault="00C1273A" w:rsidP="00DF0641">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35"/>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不良事件代码。</w:t>
      </w:r>
    </w:p>
    <w:p w:rsidR="00C1273A" w:rsidRPr="00C277C0" w:rsidRDefault="00097329" w:rsidP="00B403CB">
      <w:pPr>
        <w:pStyle w:val="a4"/>
        <w:numPr>
          <w:ilvl w:val="1"/>
          <w:numId w:val="37"/>
        </w:numPr>
        <w:wordWrap w:val="0"/>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对于器械申请的组合产品，请输入至少一个患者问题代码，如果没有代码，请输入描述性术语。</w:t>
      </w:r>
      <w:r w:rsidRPr="00C277C0">
        <w:rPr>
          <w:rFonts w:eastAsia="宋体" w:hint="eastAsia"/>
          <w:snapToGrid w:val="0"/>
          <w:sz w:val="24"/>
          <w:szCs w:val="24"/>
          <w:lang w:eastAsia="zh-CN"/>
        </w:rPr>
        <w:t>FDA</w:t>
      </w:r>
      <w:r w:rsidRPr="00C277C0">
        <w:rPr>
          <w:rFonts w:eastAsia="宋体" w:hint="eastAsia"/>
          <w:snapToGrid w:val="0"/>
          <w:sz w:val="24"/>
          <w:szCs w:val="24"/>
          <w:lang w:eastAsia="zh-CN"/>
        </w:rPr>
        <w:t>保存了一份患者问题代码清单</w:t>
      </w:r>
      <w:r w:rsidR="00D34EEF" w:rsidRPr="00C277C0">
        <w:rPr>
          <w:rFonts w:eastAsia="宋体" w:hint="eastAsia"/>
          <w:snapToGrid w:val="0"/>
          <w:sz w:val="24"/>
          <w:szCs w:val="24"/>
          <w:lang w:eastAsia="zh-CN"/>
        </w:rPr>
        <w:t>（</w:t>
      </w:r>
      <w:hyperlink r:id="rId28" w:history="1">
        <w:r w:rsidR="00CF769C" w:rsidRPr="00C277C0">
          <w:rPr>
            <w:rStyle w:val="a9"/>
            <w:rFonts w:eastAsia="宋体" w:hint="eastAsia"/>
            <w:snapToGrid w:val="0"/>
            <w:sz w:val="24"/>
            <w:szCs w:val="24"/>
            <w:lang w:eastAsia="zh-CN"/>
          </w:rPr>
          <w:t>https://www.fda.gov/medical-devices/mdr-adverse-event-codes/coding-resources</w:t>
        </w:r>
      </w:hyperlink>
      <w:r w:rsidRPr="00C277C0">
        <w:rPr>
          <w:rFonts w:eastAsia="宋体" w:hint="eastAsia"/>
          <w:snapToGrid w:val="0"/>
          <w:sz w:val="24"/>
          <w:szCs w:val="24"/>
          <w:lang w:eastAsia="zh-CN"/>
        </w:rPr>
        <w:t>）。</w:t>
      </w:r>
    </w:p>
    <w:p w:rsidR="00C1273A" w:rsidRPr="00C277C0" w:rsidRDefault="00097329" w:rsidP="00C1273A">
      <w:pPr>
        <w:pStyle w:val="a4"/>
        <w:numPr>
          <w:ilvl w:val="1"/>
          <w:numId w:val="37"/>
        </w:numPr>
        <w:autoSpaceDE/>
        <w:autoSpaceDN/>
        <w:snapToGrid w:val="0"/>
        <w:ind w:leftChars="600" w:left="1800" w:hangingChars="200" w:hanging="480"/>
        <w:jc w:val="both"/>
        <w:rPr>
          <w:rFonts w:eastAsia="宋体"/>
          <w:snapToGrid w:val="0"/>
          <w:sz w:val="24"/>
          <w:szCs w:val="24"/>
          <w:lang w:eastAsia="zh-CN"/>
        </w:rPr>
      </w:pPr>
      <w:r w:rsidRPr="00C277C0">
        <w:rPr>
          <w:rFonts w:eastAsia="宋体" w:hint="eastAsia"/>
          <w:snapToGrid w:val="0"/>
          <w:sz w:val="24"/>
          <w:szCs w:val="24"/>
          <w:lang w:eastAsia="zh-CN"/>
        </w:rPr>
        <w:t>对于</w:t>
      </w:r>
      <w:r w:rsidRPr="00C277C0">
        <w:rPr>
          <w:rFonts w:eastAsia="宋体" w:hint="eastAsia"/>
          <w:snapToGrid w:val="0"/>
          <w:sz w:val="24"/>
          <w:szCs w:val="24"/>
          <w:lang w:eastAsia="zh-CN"/>
        </w:rPr>
        <w:t>NDA/ANDA/BLA</w:t>
      </w:r>
      <w:r w:rsidRPr="00C277C0">
        <w:rPr>
          <w:rFonts w:eastAsia="宋体" w:hint="eastAsia"/>
          <w:snapToGrid w:val="0"/>
          <w:sz w:val="24"/>
          <w:szCs w:val="24"/>
          <w:lang w:eastAsia="zh-CN"/>
        </w:rPr>
        <w:t>组合产品，输入反应</w:t>
      </w:r>
      <w:r w:rsidRPr="00C277C0">
        <w:rPr>
          <w:rFonts w:eastAsia="宋体" w:hint="eastAsia"/>
          <w:snapToGrid w:val="0"/>
          <w:sz w:val="24"/>
          <w:szCs w:val="24"/>
          <w:lang w:eastAsia="zh-CN"/>
        </w:rPr>
        <w:t>/</w:t>
      </w:r>
      <w:r w:rsidRPr="00C277C0">
        <w:rPr>
          <w:rFonts w:eastAsia="宋体" w:hint="eastAsia"/>
          <w:snapToGrid w:val="0"/>
          <w:sz w:val="24"/>
          <w:szCs w:val="24"/>
          <w:lang w:eastAsia="zh-CN"/>
        </w:rPr>
        <w:t>事件代码。</w:t>
      </w:r>
      <w:r w:rsidRPr="00C277C0">
        <w:rPr>
          <w:rFonts w:eastAsia="宋体" w:hint="eastAsia"/>
          <w:snapToGrid w:val="0"/>
          <w:sz w:val="24"/>
          <w:szCs w:val="24"/>
          <w:lang w:eastAsia="zh-CN"/>
        </w:rPr>
        <w:t>FDA</w:t>
      </w:r>
      <w:r w:rsidRPr="00C277C0">
        <w:rPr>
          <w:rFonts w:eastAsia="宋体" w:hint="eastAsia"/>
          <w:snapToGrid w:val="0"/>
          <w:sz w:val="24"/>
          <w:szCs w:val="24"/>
          <w:lang w:eastAsia="zh-CN"/>
        </w:rPr>
        <w:t>鼓励使用</w:t>
      </w:r>
      <w:r w:rsidRPr="00C277C0">
        <w:rPr>
          <w:rFonts w:eastAsia="宋体" w:hint="eastAsia"/>
          <w:snapToGrid w:val="0"/>
          <w:sz w:val="24"/>
          <w:szCs w:val="24"/>
          <w:lang w:eastAsia="zh-CN"/>
        </w:rPr>
        <w:t>MedDRA</w:t>
      </w:r>
      <w:r w:rsidRPr="00C277C0">
        <w:rPr>
          <w:rFonts w:eastAsia="宋体" w:hint="eastAsia"/>
          <w:snapToGrid w:val="0"/>
          <w:sz w:val="24"/>
          <w:szCs w:val="24"/>
          <w:lang w:eastAsia="zh-CN"/>
        </w:rPr>
        <w:t>（监管活动医学词典）术语。对于仅</w:t>
      </w:r>
      <w:r w:rsidR="00AD70A9" w:rsidRPr="00C277C0">
        <w:rPr>
          <w:rFonts w:eastAsia="宋体" w:hint="eastAsia"/>
          <w:snapToGrid w:val="0"/>
          <w:sz w:val="24"/>
          <w:szCs w:val="24"/>
          <w:lang w:eastAsia="zh-CN"/>
        </w:rPr>
        <w:t>出现</w:t>
      </w:r>
      <w:r w:rsidR="00AB535E" w:rsidRPr="00C277C0">
        <w:rPr>
          <w:rFonts w:eastAsia="宋体" w:hint="eastAsia"/>
          <w:snapToGrid w:val="0"/>
          <w:sz w:val="24"/>
          <w:szCs w:val="24"/>
          <w:lang w:eastAsia="zh-CN"/>
        </w:rPr>
        <w:t>故障</w:t>
      </w:r>
      <w:r w:rsidR="00AD70A9" w:rsidRPr="00C277C0">
        <w:rPr>
          <w:rFonts w:eastAsia="宋体" w:hint="eastAsia"/>
          <w:snapToGrid w:val="0"/>
          <w:sz w:val="24"/>
          <w:szCs w:val="24"/>
          <w:lang w:eastAsia="zh-CN"/>
        </w:rPr>
        <w:t>的</w:t>
      </w:r>
      <w:r w:rsidR="00C55B83" w:rsidRPr="00C277C0">
        <w:rPr>
          <w:rFonts w:eastAsia="宋体" w:hint="eastAsia"/>
          <w:snapToGrid w:val="0"/>
          <w:sz w:val="24"/>
          <w:szCs w:val="24"/>
          <w:lang w:eastAsia="zh-CN"/>
        </w:rPr>
        <w:t>报告</w:t>
      </w:r>
      <w:r w:rsidRPr="00C277C0">
        <w:rPr>
          <w:rFonts w:eastAsia="宋体" w:hint="eastAsia"/>
          <w:snapToGrid w:val="0"/>
          <w:sz w:val="24"/>
          <w:szCs w:val="24"/>
          <w:lang w:eastAsia="zh-CN"/>
        </w:rPr>
        <w:t>，</w:t>
      </w:r>
      <w:r w:rsidR="00AD70A9" w:rsidRPr="00C277C0">
        <w:rPr>
          <w:rFonts w:eastAsia="宋体" w:hint="eastAsia"/>
          <w:snapToGrid w:val="0"/>
          <w:sz w:val="24"/>
          <w:szCs w:val="24"/>
          <w:lang w:eastAsia="zh-CN"/>
        </w:rPr>
        <w:t>请</w:t>
      </w:r>
      <w:r w:rsidRPr="00C277C0">
        <w:rPr>
          <w:rFonts w:eastAsia="宋体" w:hint="eastAsia"/>
          <w:snapToGrid w:val="0"/>
          <w:sz w:val="24"/>
          <w:szCs w:val="24"/>
          <w:lang w:eastAsia="zh-CN"/>
        </w:rPr>
        <w:t>输入与相关产品质量问题</w:t>
      </w:r>
      <w:r w:rsidR="00FE2212" w:rsidRPr="00C277C0">
        <w:rPr>
          <w:rStyle w:val="af4"/>
          <w:rFonts w:eastAsia="宋体" w:hint="eastAsia"/>
          <w:snapToGrid w:val="0"/>
          <w:sz w:val="24"/>
          <w:szCs w:val="24"/>
          <w:lang w:eastAsia="zh-CN"/>
        </w:rPr>
        <w:footnoteReference w:id="49"/>
      </w:r>
      <w:r w:rsidRPr="00C277C0">
        <w:rPr>
          <w:rFonts w:eastAsia="宋体" w:hint="eastAsia"/>
          <w:snapToGrid w:val="0"/>
          <w:sz w:val="24"/>
          <w:szCs w:val="24"/>
          <w:lang w:eastAsia="zh-CN"/>
        </w:rPr>
        <w:t>或</w:t>
      </w:r>
      <w:r w:rsidRPr="00B403CB">
        <w:rPr>
          <w:rFonts w:ascii="宋体" w:eastAsia="宋体" w:hAnsi="宋体" w:hint="eastAsia"/>
          <w:sz w:val="24"/>
          <w:lang w:eastAsia="zh-CN"/>
        </w:rPr>
        <w:t>“</w:t>
      </w:r>
      <w:r w:rsidRPr="00C277C0">
        <w:rPr>
          <w:rFonts w:eastAsia="宋体" w:hint="eastAsia"/>
          <w:snapToGrid w:val="0"/>
          <w:sz w:val="24"/>
          <w:szCs w:val="24"/>
          <w:lang w:eastAsia="zh-CN"/>
        </w:rPr>
        <w:t>无不良事件</w:t>
      </w:r>
      <w:r w:rsidRPr="00B403CB">
        <w:rPr>
          <w:rFonts w:ascii="宋体" w:eastAsia="宋体" w:hAnsi="宋体" w:hint="eastAsia"/>
          <w:sz w:val="24"/>
          <w:lang w:eastAsia="zh-CN"/>
        </w:rPr>
        <w:t>”</w:t>
      </w:r>
      <w:r w:rsidRPr="00C277C0">
        <w:rPr>
          <w:rFonts w:eastAsia="宋体" w:hint="eastAsia"/>
          <w:snapToGrid w:val="0"/>
          <w:sz w:val="24"/>
          <w:szCs w:val="24"/>
          <w:lang w:eastAsia="zh-CN"/>
        </w:rPr>
        <w:t>相关的</w:t>
      </w:r>
      <w:r w:rsidRPr="00C277C0">
        <w:rPr>
          <w:rFonts w:eastAsia="宋体" w:hint="eastAsia"/>
          <w:snapToGrid w:val="0"/>
          <w:sz w:val="24"/>
          <w:szCs w:val="24"/>
          <w:lang w:eastAsia="zh-CN"/>
        </w:rPr>
        <w:t>MedDRA</w:t>
      </w:r>
      <w:r w:rsidRPr="00C277C0">
        <w:rPr>
          <w:rFonts w:eastAsia="宋体" w:hint="eastAsia"/>
          <w:snapToGrid w:val="0"/>
          <w:sz w:val="24"/>
          <w:szCs w:val="24"/>
          <w:lang w:eastAsia="zh-CN"/>
        </w:rPr>
        <w:t>代码。</w:t>
      </w:r>
    </w:p>
    <w:p w:rsidR="00C1273A" w:rsidRPr="00C277C0" w:rsidRDefault="00C1273A" w:rsidP="00B403CB">
      <w:pPr>
        <w:pStyle w:val="a4"/>
        <w:autoSpaceDE/>
        <w:autoSpaceDN/>
        <w:snapToGrid w:val="0"/>
        <w:ind w:left="1800" w:firstLine="0"/>
        <w:jc w:val="both"/>
        <w:rPr>
          <w:rFonts w:eastAsia="宋体"/>
          <w:snapToGrid w:val="0"/>
          <w:sz w:val="24"/>
          <w:szCs w:val="24"/>
          <w:lang w:eastAsia="zh-CN"/>
        </w:rPr>
      </w:pPr>
    </w:p>
    <w:p w:rsidR="00C1273A" w:rsidRPr="00C277C0" w:rsidRDefault="00097329" w:rsidP="00B403CB">
      <w:pPr>
        <w:pStyle w:val="a4"/>
        <w:numPr>
          <w:ilvl w:val="0"/>
          <w:numId w:val="35"/>
        </w:numPr>
        <w:tabs>
          <w:tab w:val="left" w:pos="911"/>
        </w:tabs>
        <w:wordWrap w:val="0"/>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u w:val="single"/>
          <w:lang w:eastAsia="zh-CN"/>
        </w:rPr>
        <w:t>器械问题代码</w:t>
      </w:r>
      <w:r w:rsidRPr="00C277C0">
        <w:rPr>
          <w:rFonts w:eastAsia="宋体" w:hint="eastAsia"/>
          <w:snapToGrid w:val="0"/>
          <w:sz w:val="24"/>
          <w:szCs w:val="24"/>
          <w:lang w:eastAsia="zh-CN"/>
        </w:rPr>
        <w:t>。确定至少一个器械问题代码。</w:t>
      </w:r>
      <w:r w:rsidRPr="00C277C0">
        <w:rPr>
          <w:rFonts w:eastAsia="宋体" w:hint="eastAsia"/>
          <w:snapToGrid w:val="0"/>
          <w:sz w:val="24"/>
          <w:szCs w:val="24"/>
          <w:lang w:eastAsia="zh-CN"/>
        </w:rPr>
        <w:t>FDA</w:t>
      </w:r>
      <w:r w:rsidRPr="00C277C0">
        <w:rPr>
          <w:rFonts w:eastAsia="宋体" w:hint="eastAsia"/>
          <w:snapToGrid w:val="0"/>
          <w:sz w:val="24"/>
          <w:szCs w:val="24"/>
          <w:lang w:eastAsia="zh-CN"/>
        </w:rPr>
        <w:t>保存了一份器械问题代码清单（</w:t>
      </w:r>
      <w:hyperlink r:id="rId29" w:history="1">
        <w:r w:rsidR="00FE2212" w:rsidRPr="00C277C0">
          <w:rPr>
            <w:rStyle w:val="a9"/>
            <w:rFonts w:eastAsia="宋体" w:hint="eastAsia"/>
            <w:snapToGrid w:val="0"/>
            <w:sz w:val="24"/>
            <w:szCs w:val="24"/>
            <w:u w:color="0000FF"/>
            <w:lang w:eastAsia="zh-CN"/>
          </w:rPr>
          <w:t>https://www.fda.gov/medical-devices/mdr-adverse-event-codes/coding-resources</w:t>
        </w:r>
      </w:hyperlink>
      <w:r w:rsidRPr="00C277C0">
        <w:rPr>
          <w:rFonts w:eastAsia="宋体" w:hint="eastAsia"/>
          <w:snapToGrid w:val="0"/>
          <w:sz w:val="24"/>
          <w:szCs w:val="24"/>
          <w:lang w:eastAsia="zh-CN"/>
        </w:rPr>
        <w:t>）。</w:t>
      </w:r>
      <w:r w:rsidR="00FE2212" w:rsidRPr="00C277C0">
        <w:rPr>
          <w:rStyle w:val="af4"/>
          <w:rFonts w:eastAsia="宋体" w:hint="eastAsia"/>
          <w:snapToGrid w:val="0"/>
          <w:sz w:val="24"/>
          <w:szCs w:val="24"/>
          <w:lang w:eastAsia="zh-CN"/>
        </w:rPr>
        <w:footnoteReference w:id="50"/>
      </w:r>
      <w:r w:rsidRPr="00C277C0">
        <w:rPr>
          <w:rFonts w:eastAsia="宋体" w:hint="eastAsia"/>
          <w:snapToGrid w:val="0"/>
          <w:sz w:val="24"/>
          <w:szCs w:val="24"/>
          <w:lang w:eastAsia="zh-CN"/>
        </w:rPr>
        <w:t>如果没有与</w:t>
      </w:r>
      <w:r w:rsidRPr="00C277C0">
        <w:rPr>
          <w:rFonts w:eastAsia="宋体" w:hint="eastAsia"/>
          <w:snapToGrid w:val="0"/>
          <w:sz w:val="24"/>
          <w:szCs w:val="24"/>
          <w:lang w:eastAsia="zh-CN"/>
        </w:rPr>
        <w:t>ICSR</w:t>
      </w:r>
      <w:r w:rsidRPr="00C277C0">
        <w:rPr>
          <w:rFonts w:eastAsia="宋体" w:hint="eastAsia"/>
          <w:snapToGrid w:val="0"/>
          <w:sz w:val="24"/>
          <w:szCs w:val="24"/>
          <w:lang w:eastAsia="zh-CN"/>
        </w:rPr>
        <w:t>相关的器械问题，请在此字段输入</w:t>
      </w:r>
      <w:r w:rsidRPr="00B403CB">
        <w:rPr>
          <w:rFonts w:ascii="宋体" w:eastAsia="宋体" w:hAnsi="宋体" w:hint="eastAsia"/>
          <w:sz w:val="24"/>
          <w:lang w:eastAsia="zh-CN"/>
        </w:rPr>
        <w:t>“</w:t>
      </w:r>
      <w:r w:rsidRPr="00C277C0">
        <w:rPr>
          <w:rFonts w:eastAsia="宋体" w:hint="eastAsia"/>
          <w:snapToGrid w:val="0"/>
          <w:sz w:val="24"/>
          <w:szCs w:val="24"/>
          <w:lang w:eastAsia="zh-CN"/>
        </w:rPr>
        <w:t>无已知器械问题</w:t>
      </w:r>
      <w:r w:rsidRPr="00B403CB">
        <w:rPr>
          <w:rFonts w:ascii="宋体" w:eastAsia="宋体" w:hAnsi="宋体" w:hint="eastAsia"/>
          <w:sz w:val="24"/>
          <w:lang w:eastAsia="zh-CN"/>
        </w:rPr>
        <w:t>”</w:t>
      </w:r>
      <w:r w:rsidRPr="00C277C0">
        <w:rPr>
          <w:rFonts w:eastAsia="宋体" w:hint="eastAsia"/>
          <w:snapToGrid w:val="0"/>
          <w:sz w:val="24"/>
          <w:szCs w:val="24"/>
          <w:lang w:eastAsia="zh-CN"/>
        </w:rPr>
        <w:t>的器械代码。</w:t>
      </w:r>
    </w:p>
    <w:p w:rsidR="00C1273A" w:rsidRPr="00B403CB" w:rsidRDefault="0083150C" w:rsidP="00B403CB">
      <w:pPr>
        <w:autoSpaceDE/>
        <w:autoSpaceDN/>
        <w:snapToGrid w:val="0"/>
        <w:jc w:val="both"/>
        <w:rPr>
          <w:rFonts w:eastAsia="宋体"/>
          <w:sz w:val="24"/>
          <w:lang w:eastAsia="zh-CN"/>
        </w:rPr>
      </w:pPr>
      <w:r w:rsidRPr="00B403CB">
        <w:rPr>
          <w:rFonts w:eastAsia="宋体"/>
          <w:sz w:val="24"/>
          <w:lang w:eastAsia="zh-CN"/>
        </w:rPr>
        <w:br w:type="page"/>
      </w: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3.</w:t>
      </w:r>
      <w:r w:rsidRPr="00C277C0">
        <w:rPr>
          <w:rFonts w:hint="eastAsia"/>
          <w:snapToGrid w:val="0"/>
          <w:lang w:eastAsia="zh-CN"/>
        </w:rPr>
        <w:tab/>
      </w:r>
      <w:r w:rsidR="00DB474C" w:rsidRPr="00C277C0">
        <w:rPr>
          <w:rFonts w:hint="eastAsia"/>
          <w:snapToGrid w:val="0"/>
          <w:lang w:eastAsia="zh-CN"/>
        </w:rPr>
        <w:t>后续</w:t>
      </w:r>
      <w:r w:rsidRPr="00C277C0">
        <w:rPr>
          <w:rFonts w:hint="eastAsia"/>
          <w:snapToGrid w:val="0"/>
          <w:lang w:eastAsia="zh-CN"/>
        </w:rPr>
        <w:t>ICSR</w:t>
      </w:r>
      <w:r w:rsidRPr="00C277C0">
        <w:rPr>
          <w:rFonts w:hint="eastAsia"/>
          <w:snapToGrid w:val="0"/>
          <w:lang w:eastAsia="zh-CN"/>
        </w:rPr>
        <w:t>中包括的信息</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在确定</w:t>
      </w:r>
      <w:r w:rsidR="00DB474C" w:rsidRPr="00C277C0">
        <w:rPr>
          <w:rFonts w:eastAsia="宋体" w:hint="eastAsia"/>
          <w:snapToGrid w:val="0"/>
          <w:lang w:eastAsia="zh-CN"/>
        </w:rPr>
        <w:t>后续</w:t>
      </w:r>
      <w:r w:rsidRPr="00C277C0">
        <w:rPr>
          <w:rFonts w:eastAsia="宋体" w:hint="eastAsia"/>
          <w:snapToGrid w:val="0"/>
          <w:lang w:eastAsia="zh-CN"/>
        </w:rPr>
        <w:t>ICSR</w:t>
      </w:r>
      <w:r w:rsidRPr="00C277C0">
        <w:rPr>
          <w:rFonts w:eastAsia="宋体" w:hint="eastAsia"/>
          <w:snapToGrid w:val="0"/>
          <w:lang w:eastAsia="zh-CN"/>
        </w:rPr>
        <w:t>中包含</w:t>
      </w:r>
      <w:r w:rsidR="00D34EEF" w:rsidRPr="00C277C0">
        <w:rPr>
          <w:rFonts w:eastAsia="宋体" w:hint="eastAsia"/>
          <w:snapToGrid w:val="0"/>
          <w:lang w:eastAsia="zh-CN"/>
        </w:rPr>
        <w:t>的</w:t>
      </w:r>
      <w:r w:rsidRPr="00C277C0">
        <w:rPr>
          <w:rFonts w:eastAsia="宋体" w:hint="eastAsia"/>
          <w:snapToGrid w:val="0"/>
          <w:lang w:eastAsia="zh-CN"/>
        </w:rPr>
        <w:t>信息</w:t>
      </w:r>
      <w:r w:rsidR="00D34EEF" w:rsidRPr="00C277C0">
        <w:rPr>
          <w:rFonts w:eastAsia="宋体" w:hint="eastAsia"/>
          <w:snapToGrid w:val="0"/>
          <w:lang w:eastAsia="zh-CN"/>
        </w:rPr>
        <w:t>类型</w:t>
      </w:r>
      <w:r w:rsidRPr="00C277C0">
        <w:rPr>
          <w:rFonts w:eastAsia="宋体" w:hint="eastAsia"/>
          <w:snapToGrid w:val="0"/>
          <w:lang w:eastAsia="zh-CN"/>
        </w:rPr>
        <w:t>时，必须遵循适用的法规。</w:t>
      </w:r>
      <w:r w:rsidR="00763263">
        <w:rPr>
          <w:rFonts w:eastAsia="宋体" w:hint="eastAsia"/>
          <w:snapToGrid w:val="0"/>
          <w:lang w:eastAsia="zh-CN"/>
        </w:rPr>
        <w:t>本机构</w:t>
      </w:r>
      <w:r w:rsidRPr="00C277C0">
        <w:rPr>
          <w:rFonts w:eastAsia="宋体" w:hint="eastAsia"/>
          <w:snapToGrid w:val="0"/>
          <w:lang w:eastAsia="zh-CN"/>
        </w:rPr>
        <w:t>还建议遵循与组合产品申请类型相关的适用政策和程序。</w:t>
      </w:r>
      <w:r w:rsidR="00FE2212" w:rsidRPr="00C277C0">
        <w:rPr>
          <w:rStyle w:val="af4"/>
          <w:rFonts w:eastAsia="宋体" w:hint="eastAsia"/>
          <w:snapToGrid w:val="0"/>
          <w:lang w:eastAsia="zh-CN"/>
        </w:rPr>
        <w:footnoteReference w:id="51"/>
      </w:r>
      <w:r w:rsidRPr="00C277C0">
        <w:rPr>
          <w:rFonts w:eastAsia="宋体" w:hint="eastAsia"/>
          <w:snapToGrid w:val="0"/>
          <w:lang w:eastAsia="zh-CN"/>
        </w:rPr>
        <w:t>例如，对于器械申请组合产品，仅包括新的、变更的或更正的信息（</w:t>
      </w:r>
      <w:r w:rsidR="002F2BE2">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803.56</w:t>
      </w:r>
      <w:r w:rsidR="00990237" w:rsidRPr="00C277C0">
        <w:rPr>
          <w:rFonts w:eastAsia="宋体" w:hint="eastAsia"/>
          <w:snapToGrid w:val="0"/>
          <w:lang w:eastAsia="zh-CN"/>
        </w:rPr>
        <w:t>（</w:t>
      </w:r>
      <w:r w:rsidRPr="00C277C0">
        <w:rPr>
          <w:rFonts w:eastAsia="宋体" w:hint="eastAsia"/>
          <w:snapToGrid w:val="0"/>
          <w:lang w:eastAsia="zh-CN"/>
        </w:rPr>
        <w:t>c</w:t>
      </w:r>
      <w:r w:rsidR="00990237"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）。对于</w:t>
      </w:r>
      <w:r w:rsidRPr="00C277C0">
        <w:rPr>
          <w:rFonts w:eastAsia="宋体" w:hint="eastAsia"/>
          <w:snapToGrid w:val="0"/>
          <w:lang w:eastAsia="zh-CN"/>
        </w:rPr>
        <w:t>NDA/ANDA/BLA</w:t>
      </w:r>
      <w:r w:rsidRPr="00C277C0">
        <w:rPr>
          <w:rFonts w:eastAsia="宋体" w:hint="eastAsia"/>
          <w:snapToGrid w:val="0"/>
          <w:lang w:eastAsia="zh-CN"/>
        </w:rPr>
        <w:t>组合产品，</w:t>
      </w:r>
      <w:r w:rsidR="00DB474C" w:rsidRPr="00C277C0">
        <w:rPr>
          <w:rFonts w:eastAsia="宋体" w:hint="eastAsia"/>
          <w:snapToGrid w:val="0"/>
          <w:lang w:eastAsia="zh-CN"/>
        </w:rPr>
        <w:t>后续</w:t>
      </w:r>
      <w:r w:rsidRPr="00C277C0">
        <w:rPr>
          <w:rFonts w:eastAsia="宋体" w:hint="eastAsia"/>
          <w:snapToGrid w:val="0"/>
          <w:lang w:eastAsia="zh-CN"/>
        </w:rPr>
        <w:t>ICSR</w:t>
      </w:r>
      <w:r w:rsidRPr="00C277C0">
        <w:rPr>
          <w:rFonts w:eastAsia="宋体" w:hint="eastAsia"/>
          <w:snapToGrid w:val="0"/>
          <w:lang w:eastAsia="zh-CN"/>
        </w:rPr>
        <w:t>应包括首次报告中的相关信息以及新信息。</w:t>
      </w:r>
      <w:r w:rsidR="00FE2212" w:rsidRPr="00C277C0">
        <w:rPr>
          <w:rStyle w:val="af4"/>
          <w:rFonts w:eastAsia="宋体" w:hint="eastAsia"/>
          <w:snapToGrid w:val="0"/>
          <w:lang w:eastAsia="zh-CN"/>
        </w:rPr>
        <w:footnoteReference w:id="52"/>
      </w:r>
      <w:r w:rsidRPr="00C277C0">
        <w:rPr>
          <w:rFonts w:eastAsia="宋体" w:hint="eastAsia"/>
          <w:snapToGrid w:val="0"/>
          <w:lang w:eastAsia="zh-CN"/>
        </w:rPr>
        <w:t>注：如果使用</w:t>
      </w:r>
      <w:r w:rsidR="00C55B83" w:rsidRPr="00C277C0">
        <w:rPr>
          <w:rFonts w:eastAsia="宋体" w:hint="eastAsia"/>
          <w:snapToGrid w:val="0"/>
          <w:lang w:eastAsia="zh-CN"/>
        </w:rPr>
        <w:t>后续报告</w:t>
      </w:r>
      <w:r w:rsidRPr="00C277C0">
        <w:rPr>
          <w:rFonts w:eastAsia="宋体" w:hint="eastAsia"/>
          <w:snapToGrid w:val="0"/>
          <w:lang w:eastAsia="zh-CN"/>
        </w:rPr>
        <w:t>提交不同类型的</w:t>
      </w:r>
      <w:r w:rsidRPr="00C277C0">
        <w:rPr>
          <w:rFonts w:eastAsia="宋体" w:hint="eastAsia"/>
          <w:snapToGrid w:val="0"/>
          <w:lang w:eastAsia="zh-CN"/>
        </w:rPr>
        <w:t>ICSR</w:t>
      </w:r>
      <w:r w:rsidRPr="00C277C0">
        <w:rPr>
          <w:rFonts w:eastAsia="宋体" w:hint="eastAsia"/>
          <w:snapToGrid w:val="0"/>
          <w:lang w:eastAsia="zh-CN"/>
        </w:rPr>
        <w:t>（例如，提交与先前提交的</w:t>
      </w:r>
      <w:r w:rsidRPr="00C277C0">
        <w:rPr>
          <w:rFonts w:eastAsia="宋体" w:hint="eastAsia"/>
          <w:snapToGrid w:val="0"/>
          <w:lang w:eastAsia="zh-CN"/>
        </w:rPr>
        <w:t>15</w:t>
      </w:r>
      <w:r w:rsidRPr="00C277C0">
        <w:rPr>
          <w:rFonts w:eastAsia="宋体" w:hint="eastAsia"/>
          <w:snapToGrid w:val="0"/>
          <w:lang w:eastAsia="zh-CN"/>
        </w:rPr>
        <w:t>天报告相关的</w:t>
      </w:r>
      <w:r w:rsidR="00263922"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），则包括该报告类型的所有额外信息。使用</w:t>
      </w:r>
      <w:r w:rsidR="00C55B83" w:rsidRPr="00C277C0">
        <w:rPr>
          <w:rFonts w:eastAsia="宋体" w:hint="eastAsia"/>
          <w:snapToGrid w:val="0"/>
          <w:lang w:eastAsia="zh-CN"/>
        </w:rPr>
        <w:t>后续报告</w:t>
      </w:r>
      <w:r w:rsidRPr="00C277C0">
        <w:rPr>
          <w:rFonts w:eastAsia="宋体" w:hint="eastAsia"/>
          <w:snapToGrid w:val="0"/>
          <w:lang w:eastAsia="zh-CN"/>
        </w:rPr>
        <w:t>提交与首次</w:t>
      </w:r>
      <w:r w:rsidRPr="00C277C0">
        <w:rPr>
          <w:rFonts w:eastAsia="宋体" w:hint="eastAsia"/>
          <w:snapToGrid w:val="0"/>
          <w:lang w:eastAsia="zh-CN"/>
        </w:rPr>
        <w:t>ICSR</w:t>
      </w:r>
      <w:r w:rsidRPr="00C277C0">
        <w:rPr>
          <w:rFonts w:eastAsia="宋体" w:hint="eastAsia"/>
          <w:snapToGrid w:val="0"/>
          <w:lang w:eastAsia="zh-CN"/>
        </w:rPr>
        <w:t>相关的不同类型</w:t>
      </w:r>
      <w:r w:rsidRPr="00C277C0">
        <w:rPr>
          <w:rFonts w:eastAsia="宋体" w:hint="eastAsia"/>
          <w:snapToGrid w:val="0"/>
          <w:lang w:eastAsia="zh-CN"/>
        </w:rPr>
        <w:t>ICSR</w:t>
      </w:r>
      <w:r w:rsidRPr="00C277C0">
        <w:rPr>
          <w:rFonts w:eastAsia="宋体" w:hint="eastAsia"/>
          <w:snapToGrid w:val="0"/>
          <w:lang w:eastAsia="zh-CN"/>
        </w:rPr>
        <w:t>的更多讨论，</w:t>
      </w:r>
      <w:r w:rsidR="00A00C22">
        <w:rPr>
          <w:rFonts w:eastAsia="宋体" w:hint="eastAsia"/>
          <w:snapToGrid w:val="0"/>
          <w:lang w:eastAsia="zh-CN"/>
        </w:rPr>
        <w:t>请参见</w:t>
      </w:r>
      <w:r w:rsidRPr="00C277C0">
        <w:rPr>
          <w:rFonts w:eastAsia="宋体" w:hint="eastAsia"/>
          <w:snapToGrid w:val="0"/>
          <w:lang w:eastAsia="zh-CN"/>
        </w:rPr>
        <w:t>第</w:t>
      </w:r>
      <w:r w:rsidR="00B773B0" w:rsidRPr="00C277C0">
        <w:rPr>
          <w:rFonts w:eastAsia="宋体" w:hint="eastAsia"/>
          <w:snapToGrid w:val="0"/>
          <w:lang w:eastAsia="zh-CN"/>
        </w:rPr>
        <w:t>IV</w:t>
      </w:r>
      <w:r w:rsidR="00C0232D" w:rsidRPr="00C277C0">
        <w:rPr>
          <w:rFonts w:eastAsia="宋体" w:hint="eastAsia"/>
          <w:snapToGrid w:val="0"/>
          <w:lang w:eastAsia="zh-CN"/>
        </w:rPr>
        <w:t>.</w:t>
      </w:r>
      <w:r w:rsidRPr="00C277C0">
        <w:rPr>
          <w:rFonts w:eastAsia="宋体" w:hint="eastAsia"/>
          <w:snapToGrid w:val="0"/>
          <w:lang w:eastAsia="zh-CN"/>
        </w:rPr>
        <w:t>A.4</w:t>
      </w:r>
      <w:r w:rsidRPr="00C277C0">
        <w:rPr>
          <w:rFonts w:eastAsia="宋体" w:hint="eastAsia"/>
          <w:snapToGrid w:val="0"/>
          <w:lang w:eastAsia="zh-CN"/>
        </w:rPr>
        <w:t>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4.</w:t>
      </w:r>
      <w:r w:rsidRPr="00C277C0">
        <w:rPr>
          <w:rFonts w:hint="eastAsia"/>
          <w:snapToGrid w:val="0"/>
          <w:lang w:eastAsia="zh-CN"/>
        </w:rPr>
        <w:tab/>
      </w:r>
      <w:r w:rsidRPr="00C277C0">
        <w:rPr>
          <w:rFonts w:hint="eastAsia"/>
          <w:snapToGrid w:val="0"/>
          <w:lang w:eastAsia="zh-CN"/>
        </w:rPr>
        <w:t>包含器械组成部分的</w:t>
      </w:r>
      <w:r w:rsidRPr="00C277C0">
        <w:rPr>
          <w:rFonts w:hint="eastAsia"/>
          <w:snapToGrid w:val="0"/>
          <w:lang w:eastAsia="zh-CN"/>
        </w:rPr>
        <w:t>ANDA/NDA/BLA</w:t>
      </w:r>
      <w:r w:rsidRPr="00C277C0">
        <w:rPr>
          <w:rFonts w:hint="eastAsia"/>
          <w:snapToGrid w:val="0"/>
          <w:lang w:eastAsia="zh-CN"/>
        </w:rPr>
        <w:t>组合产品的定期安全性报告中应包括的信息</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处理</w:t>
      </w:r>
      <w:r w:rsidR="00CB779B" w:rsidRPr="00C277C0">
        <w:rPr>
          <w:rFonts w:eastAsia="宋体" w:hint="eastAsia"/>
          <w:i/>
          <w:snapToGrid w:val="0"/>
          <w:lang w:eastAsia="zh-CN"/>
        </w:rPr>
        <w:t>5</w:t>
      </w:r>
      <w:r w:rsidR="00CB779B" w:rsidRPr="00C277C0">
        <w:rPr>
          <w:rFonts w:eastAsia="宋体" w:hint="eastAsia"/>
          <w:i/>
          <w:snapToGrid w:val="0"/>
          <w:lang w:eastAsia="zh-CN"/>
        </w:rPr>
        <w:t>天</w:t>
      </w:r>
      <w:r w:rsidRPr="00C277C0">
        <w:rPr>
          <w:rFonts w:eastAsia="宋体" w:hint="eastAsia"/>
          <w:i/>
          <w:snapToGrid w:val="0"/>
          <w:lang w:eastAsia="zh-CN"/>
        </w:rPr>
        <w:t>报告和</w:t>
      </w:r>
      <w:r w:rsidR="00557FA9" w:rsidRPr="00C277C0">
        <w:rPr>
          <w:rFonts w:eastAsia="宋体" w:hint="eastAsia"/>
          <w:i/>
          <w:snapToGrid w:val="0"/>
          <w:lang w:eastAsia="zh-CN"/>
        </w:rPr>
        <w:t>故障</w:t>
      </w:r>
      <w:r w:rsidR="00C55B83" w:rsidRPr="00C277C0">
        <w:rPr>
          <w:rFonts w:eastAsia="宋体" w:hint="eastAsia"/>
          <w:i/>
          <w:snapToGrid w:val="0"/>
          <w:lang w:eastAsia="zh-CN"/>
        </w:rPr>
        <w:t>报告</w:t>
      </w:r>
      <w:r w:rsidRPr="00C277C0">
        <w:rPr>
          <w:rFonts w:eastAsia="宋体" w:hint="eastAsia"/>
          <w:i/>
          <w:snapToGrid w:val="0"/>
          <w:lang w:eastAsia="zh-CN"/>
        </w:rPr>
        <w:t>。</w:t>
      </w:r>
      <w:r w:rsidRPr="00C277C0">
        <w:rPr>
          <w:rFonts w:eastAsia="宋体" w:hint="eastAsia"/>
          <w:snapToGrid w:val="0"/>
          <w:lang w:eastAsia="zh-CN"/>
        </w:rPr>
        <w:t>ANDA/NDA/BLA</w:t>
      </w:r>
      <w:r w:rsidRPr="00C277C0">
        <w:rPr>
          <w:rFonts w:eastAsia="宋体" w:hint="eastAsia"/>
          <w:snapToGrid w:val="0"/>
          <w:lang w:eastAsia="zh-CN"/>
        </w:rPr>
        <w:t>组合产品的定期药物不良经历报告（</w:t>
      </w:r>
      <w:r w:rsidRPr="00C277C0">
        <w:rPr>
          <w:rFonts w:eastAsia="宋体" w:hint="eastAsia"/>
          <w:snapToGrid w:val="0"/>
          <w:lang w:eastAsia="zh-CN"/>
        </w:rPr>
        <w:t>PADER</w:t>
      </w:r>
      <w:r w:rsidRPr="00C277C0">
        <w:rPr>
          <w:rFonts w:eastAsia="宋体" w:hint="eastAsia"/>
          <w:snapToGrid w:val="0"/>
          <w:lang w:eastAsia="zh-CN"/>
        </w:rPr>
        <w:t>）和定期不良经历报告（</w:t>
      </w:r>
      <w:r w:rsidRPr="00C277C0">
        <w:rPr>
          <w:rFonts w:eastAsia="宋体" w:hint="eastAsia"/>
          <w:snapToGrid w:val="0"/>
          <w:lang w:eastAsia="zh-CN"/>
        </w:rPr>
        <w:t>PAER</w:t>
      </w:r>
      <w:r w:rsidRPr="00C277C0">
        <w:rPr>
          <w:rFonts w:eastAsia="宋体" w:hint="eastAsia"/>
          <w:snapToGrid w:val="0"/>
          <w:lang w:eastAsia="zh-CN"/>
        </w:rPr>
        <w:t>）必须说明，在报告间期内提交的任何首次和</w:t>
      </w:r>
      <w:r w:rsidR="00DB474C" w:rsidRPr="00C277C0">
        <w:rPr>
          <w:rFonts w:eastAsia="宋体" w:hint="eastAsia"/>
          <w:snapToGrid w:val="0"/>
          <w:lang w:eastAsia="zh-CN"/>
        </w:rPr>
        <w:t>后续</w:t>
      </w:r>
      <w:r w:rsidRPr="00C277C0">
        <w:rPr>
          <w:rFonts w:eastAsia="宋体" w:hint="eastAsia"/>
          <w:snapToGrid w:val="0"/>
          <w:lang w:eastAsia="zh-CN"/>
        </w:rPr>
        <w:t>5</w:t>
      </w:r>
      <w:r w:rsidRPr="00C277C0">
        <w:rPr>
          <w:rFonts w:eastAsia="宋体" w:hint="eastAsia"/>
          <w:snapToGrid w:val="0"/>
          <w:lang w:eastAsia="zh-CN"/>
        </w:rPr>
        <w:t>天报告和</w:t>
      </w:r>
      <w:r w:rsidR="00557FA9" w:rsidRPr="00B403CB">
        <w:rPr>
          <w:rFonts w:eastAsia="宋体" w:hint="eastAsia"/>
          <w:i/>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以及任何</w:t>
      </w:r>
      <w:r w:rsidRPr="00C277C0">
        <w:rPr>
          <w:rFonts w:eastAsia="宋体" w:hint="eastAsia"/>
          <w:snapToGrid w:val="0"/>
          <w:lang w:eastAsia="zh-CN"/>
        </w:rPr>
        <w:t>15</w:t>
      </w:r>
      <w:r w:rsidRPr="00C277C0">
        <w:rPr>
          <w:rFonts w:eastAsia="宋体" w:hint="eastAsia"/>
          <w:snapToGrid w:val="0"/>
          <w:lang w:eastAsia="zh-CN"/>
        </w:rPr>
        <w:t>天报告中的信息，并应在包含该间期内提交的报告总结和分析的章节中提供该信息（</w:t>
      </w:r>
      <w:r w:rsidR="002F2BE2">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00990237" w:rsidRPr="00C277C0">
        <w:rPr>
          <w:rFonts w:eastAsia="宋体" w:hint="eastAsia"/>
          <w:snapToGrid w:val="0"/>
          <w:lang w:eastAsia="zh-CN"/>
        </w:rPr>
        <w:t>（</w:t>
      </w:r>
      <w:r w:rsidRPr="00C277C0">
        <w:rPr>
          <w:rFonts w:eastAsia="宋体" w:hint="eastAsia"/>
          <w:snapToGrid w:val="0"/>
          <w:lang w:eastAsia="zh-CN"/>
        </w:rPr>
        <w:t>d</w:t>
      </w:r>
      <w:r w:rsidR="00990237" w:rsidRPr="00C277C0">
        <w:rPr>
          <w:rFonts w:eastAsia="宋体" w:hint="eastAsia"/>
          <w:snapToGrid w:val="0"/>
          <w:lang w:eastAsia="zh-CN"/>
        </w:rPr>
        <w:t>）（</w:t>
      </w:r>
      <w:r w:rsidRPr="00C277C0">
        <w:rPr>
          <w:rFonts w:eastAsia="宋体" w:hint="eastAsia"/>
          <w:snapToGrid w:val="0"/>
          <w:lang w:eastAsia="zh-CN"/>
        </w:rPr>
        <w:t>1</w:t>
      </w:r>
      <w:r w:rsidR="00990237" w:rsidRPr="00C277C0">
        <w:rPr>
          <w:rFonts w:eastAsia="宋体" w:hint="eastAsia"/>
          <w:snapToGrid w:val="0"/>
          <w:lang w:eastAsia="zh-CN"/>
        </w:rPr>
        <w:t>）</w:t>
      </w:r>
      <w:r w:rsidRPr="00C277C0">
        <w:rPr>
          <w:rFonts w:eastAsia="宋体" w:hint="eastAsia"/>
          <w:snapToGrid w:val="0"/>
          <w:lang w:eastAsia="zh-CN"/>
        </w:rPr>
        <w:t>、</w:t>
      </w:r>
      <w:r w:rsidRPr="00C277C0">
        <w:rPr>
          <w:rFonts w:eastAsia="宋体" w:hint="eastAsia"/>
          <w:snapToGrid w:val="0"/>
          <w:lang w:eastAsia="zh-CN"/>
        </w:rPr>
        <w:t>314.80</w:t>
      </w:r>
      <w:r w:rsidR="00990237" w:rsidRPr="00C277C0">
        <w:rPr>
          <w:rFonts w:eastAsia="宋体" w:hint="eastAsia"/>
          <w:snapToGrid w:val="0"/>
          <w:lang w:eastAsia="zh-CN"/>
        </w:rPr>
        <w:t>（</w:t>
      </w:r>
      <w:r w:rsidRPr="00C277C0">
        <w:rPr>
          <w:rFonts w:eastAsia="宋体" w:hint="eastAsia"/>
          <w:snapToGrid w:val="0"/>
          <w:lang w:eastAsia="zh-CN"/>
        </w:rPr>
        <w:t>c</w:t>
      </w:r>
      <w:r w:rsidR="00990237" w:rsidRPr="00C277C0">
        <w:rPr>
          <w:rFonts w:eastAsia="宋体" w:hint="eastAsia"/>
          <w:snapToGrid w:val="0"/>
          <w:lang w:eastAsia="zh-CN"/>
        </w:rPr>
        <w:t>）</w:t>
      </w:r>
      <w:r w:rsidR="00FA5CED" w:rsidRPr="00C277C0">
        <w:rPr>
          <w:rFonts w:eastAsia="宋体" w:hint="eastAsia"/>
          <w:snapToGrid w:val="0"/>
          <w:lang w:eastAsia="zh-CN"/>
        </w:rPr>
        <w:t>（</w:t>
      </w:r>
      <w:r w:rsidRPr="00C277C0">
        <w:rPr>
          <w:rFonts w:eastAsia="宋体" w:hint="eastAsia"/>
          <w:snapToGrid w:val="0"/>
          <w:lang w:eastAsia="zh-CN"/>
        </w:rPr>
        <w:t>2</w:t>
      </w:r>
      <w:r w:rsidR="00FA5CED" w:rsidRPr="00C277C0">
        <w:rPr>
          <w:rFonts w:eastAsia="宋体" w:hint="eastAsia"/>
          <w:snapToGrid w:val="0"/>
          <w:lang w:eastAsia="zh-CN"/>
        </w:rPr>
        <w:t>）（</w:t>
      </w:r>
      <w:r w:rsidRPr="00C277C0">
        <w:rPr>
          <w:rFonts w:eastAsia="宋体" w:hint="eastAsia"/>
          <w:snapToGrid w:val="0"/>
          <w:lang w:eastAsia="zh-CN"/>
        </w:rPr>
        <w:t>ii</w:t>
      </w:r>
      <w:r w:rsidR="00FA5CED"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600.80</w:t>
      </w:r>
      <w:r w:rsidR="00990237" w:rsidRPr="00C277C0">
        <w:rPr>
          <w:rFonts w:eastAsia="宋体" w:hint="eastAsia"/>
          <w:snapToGrid w:val="0"/>
          <w:lang w:eastAsia="zh-CN"/>
        </w:rPr>
        <w:t>（</w:t>
      </w:r>
      <w:r w:rsidRPr="00C277C0">
        <w:rPr>
          <w:rFonts w:eastAsia="宋体" w:hint="eastAsia"/>
          <w:snapToGrid w:val="0"/>
          <w:lang w:eastAsia="zh-CN"/>
        </w:rPr>
        <w:t>c</w:t>
      </w:r>
      <w:r w:rsidR="00990237" w:rsidRPr="00C277C0">
        <w:rPr>
          <w:rFonts w:eastAsia="宋体" w:hint="eastAsia"/>
          <w:snapToGrid w:val="0"/>
          <w:lang w:eastAsia="zh-CN"/>
        </w:rPr>
        <w:t>）（</w:t>
      </w:r>
      <w:r w:rsidRPr="00C277C0">
        <w:rPr>
          <w:rFonts w:eastAsia="宋体" w:hint="eastAsia"/>
          <w:snapToGrid w:val="0"/>
          <w:lang w:eastAsia="zh-CN"/>
        </w:rPr>
        <w:t>2</w:t>
      </w:r>
      <w:r w:rsidR="00990237" w:rsidRPr="00C277C0">
        <w:rPr>
          <w:rFonts w:eastAsia="宋体" w:hint="eastAsia"/>
          <w:snapToGrid w:val="0"/>
          <w:lang w:eastAsia="zh-CN"/>
        </w:rPr>
        <w:t>）（</w:t>
      </w:r>
      <w:r w:rsidRPr="00C277C0">
        <w:rPr>
          <w:rFonts w:eastAsia="宋体" w:hint="eastAsia"/>
          <w:snapToGrid w:val="0"/>
          <w:lang w:eastAsia="zh-CN"/>
        </w:rPr>
        <w:t>ii</w:t>
      </w:r>
      <w:r w:rsidR="00990237"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同样，当组合产品申请人获得豁免以替代</w:t>
      </w:r>
      <w:r w:rsidRPr="00B403CB">
        <w:rPr>
          <w:rFonts w:eastAsia="宋体" w:hint="eastAsia"/>
          <w:lang w:eastAsia="zh-CN"/>
        </w:rPr>
        <w:t>国际人用药品注册技术协调会</w:t>
      </w:r>
      <w:r w:rsidRPr="00C277C0">
        <w:rPr>
          <w:rFonts w:eastAsia="宋体" w:hint="eastAsia"/>
          <w:snapToGrid w:val="0"/>
          <w:lang w:eastAsia="zh-CN"/>
        </w:rPr>
        <w:t>（</w:t>
      </w:r>
      <w:r w:rsidRPr="00C277C0">
        <w:rPr>
          <w:rFonts w:eastAsia="宋体" w:hint="eastAsia"/>
          <w:snapToGrid w:val="0"/>
          <w:lang w:eastAsia="zh-CN"/>
        </w:rPr>
        <w:t>ICH</w:t>
      </w:r>
      <w:r w:rsidRPr="00C277C0">
        <w:rPr>
          <w:rFonts w:eastAsia="宋体" w:hint="eastAsia"/>
          <w:snapToGrid w:val="0"/>
          <w:lang w:eastAsia="zh-CN"/>
        </w:rPr>
        <w:t>）</w:t>
      </w:r>
      <w:r w:rsidRPr="00C277C0">
        <w:rPr>
          <w:rFonts w:eastAsia="宋体" w:hint="eastAsia"/>
          <w:snapToGrid w:val="0"/>
          <w:lang w:eastAsia="zh-CN"/>
        </w:rPr>
        <w:t>E2C</w:t>
      </w:r>
      <w:r w:rsidRPr="00C277C0">
        <w:rPr>
          <w:rFonts w:eastAsia="宋体" w:hint="eastAsia"/>
          <w:snapToGrid w:val="0"/>
          <w:lang w:eastAsia="zh-CN"/>
        </w:rPr>
        <w:t>格式（例如</w:t>
      </w:r>
      <w:r w:rsidRPr="00C277C0">
        <w:rPr>
          <w:rFonts w:eastAsia="宋体" w:hint="eastAsia"/>
          <w:snapToGrid w:val="0"/>
          <w:lang w:eastAsia="zh-CN"/>
        </w:rPr>
        <w:t>ICH E2C</w:t>
      </w:r>
      <w:r w:rsidRPr="00C277C0">
        <w:rPr>
          <w:rFonts w:eastAsia="宋体" w:hint="eastAsia"/>
          <w:snapToGrid w:val="0"/>
          <w:lang w:eastAsia="zh-CN"/>
        </w:rPr>
        <w:t>（</w:t>
      </w:r>
      <w:r w:rsidRPr="00C277C0">
        <w:rPr>
          <w:rFonts w:eastAsia="宋体" w:hint="eastAsia"/>
          <w:snapToGrid w:val="0"/>
          <w:lang w:eastAsia="zh-CN"/>
        </w:rPr>
        <w:t>R2</w:t>
      </w:r>
      <w:r w:rsidRPr="00C277C0">
        <w:rPr>
          <w:rFonts w:eastAsia="宋体" w:hint="eastAsia"/>
          <w:snapToGrid w:val="0"/>
          <w:lang w:eastAsia="zh-CN"/>
        </w:rPr>
        <w:t>）定期获益风险</w:t>
      </w:r>
      <w:r w:rsidR="002F2BE2">
        <w:rPr>
          <w:rFonts w:eastAsia="宋体" w:hint="eastAsia"/>
          <w:snapToGrid w:val="0"/>
          <w:lang w:eastAsia="zh-CN"/>
        </w:rPr>
        <w:t>评定</w:t>
      </w:r>
      <w:r w:rsidRPr="00C277C0">
        <w:rPr>
          <w:rFonts w:eastAsia="宋体" w:hint="eastAsia"/>
          <w:snapToGrid w:val="0"/>
          <w:lang w:eastAsia="zh-CN"/>
        </w:rPr>
        <w:t>报告（</w:t>
      </w:r>
      <w:r w:rsidRPr="00C277C0">
        <w:rPr>
          <w:rFonts w:eastAsia="宋体" w:hint="eastAsia"/>
          <w:snapToGrid w:val="0"/>
          <w:lang w:eastAsia="zh-CN"/>
        </w:rPr>
        <w:t>PBRER</w:t>
      </w:r>
      <w:r w:rsidRPr="00C277C0">
        <w:rPr>
          <w:rFonts w:eastAsia="宋体" w:hint="eastAsia"/>
          <w:snapToGrid w:val="0"/>
          <w:lang w:eastAsia="zh-CN"/>
        </w:rPr>
        <w:t>）</w:t>
      </w:r>
      <w:r w:rsidR="00FE2212" w:rsidRPr="00C277C0">
        <w:rPr>
          <w:rStyle w:val="af4"/>
          <w:rFonts w:eastAsia="宋体" w:hint="eastAsia"/>
          <w:snapToGrid w:val="0"/>
          <w:lang w:eastAsia="zh-CN"/>
        </w:rPr>
        <w:footnoteReference w:id="53"/>
      </w:r>
      <w:r w:rsidRPr="00C277C0">
        <w:rPr>
          <w:rFonts w:eastAsia="宋体" w:hint="eastAsia"/>
          <w:snapToGrid w:val="0"/>
          <w:lang w:eastAsia="zh-CN"/>
        </w:rPr>
        <w:t>），而不是</w:t>
      </w:r>
      <w:r w:rsidRPr="00C277C0">
        <w:rPr>
          <w:rFonts w:eastAsia="宋体" w:hint="eastAsia"/>
          <w:snapToGrid w:val="0"/>
          <w:lang w:eastAsia="zh-CN"/>
        </w:rPr>
        <w:t>PADER</w:t>
      </w:r>
      <w:r w:rsidRPr="00C277C0">
        <w:rPr>
          <w:rFonts w:eastAsia="宋体" w:hint="eastAsia"/>
          <w:snapToGrid w:val="0"/>
          <w:lang w:eastAsia="zh-CN"/>
        </w:rPr>
        <w:t>或</w:t>
      </w:r>
      <w:r w:rsidRPr="00C277C0">
        <w:rPr>
          <w:rFonts w:eastAsia="宋体" w:hint="eastAsia"/>
          <w:snapToGrid w:val="0"/>
          <w:lang w:eastAsia="zh-CN"/>
        </w:rPr>
        <w:t>PAER</w:t>
      </w:r>
      <w:r w:rsidRPr="00C277C0">
        <w:rPr>
          <w:rFonts w:eastAsia="宋体" w:hint="eastAsia"/>
          <w:snapToGrid w:val="0"/>
          <w:lang w:eastAsia="zh-CN"/>
        </w:rPr>
        <w:t>时，申请人必须包括</w:t>
      </w:r>
      <w:r w:rsidRPr="00C277C0">
        <w:rPr>
          <w:rFonts w:eastAsia="宋体" w:hint="eastAsia"/>
          <w:snapToGrid w:val="0"/>
          <w:lang w:eastAsia="zh-CN"/>
        </w:rPr>
        <w:t>5</w:t>
      </w:r>
      <w:r w:rsidRPr="00C277C0">
        <w:rPr>
          <w:rFonts w:eastAsia="宋体" w:hint="eastAsia"/>
          <w:snapToGrid w:val="0"/>
          <w:lang w:eastAsia="zh-CN"/>
        </w:rPr>
        <w:t>天报告和</w:t>
      </w:r>
      <w:r w:rsidR="00E66B82"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以及</w:t>
      </w:r>
      <w:r w:rsidRPr="00C277C0">
        <w:rPr>
          <w:rFonts w:eastAsia="宋体" w:hint="eastAsia"/>
          <w:snapToGrid w:val="0"/>
          <w:lang w:eastAsia="zh-CN"/>
        </w:rPr>
        <w:t>15</w:t>
      </w:r>
      <w:r w:rsidRPr="00C277C0">
        <w:rPr>
          <w:rFonts w:eastAsia="宋体" w:hint="eastAsia"/>
          <w:snapToGrid w:val="0"/>
          <w:lang w:eastAsia="zh-CN"/>
        </w:rPr>
        <w:t>天报告的信息（</w:t>
      </w:r>
      <w:r w:rsidR="003D4AA6">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00990237" w:rsidRPr="00C277C0">
        <w:rPr>
          <w:rFonts w:eastAsia="宋体" w:hint="eastAsia"/>
          <w:snapToGrid w:val="0"/>
          <w:lang w:eastAsia="zh-CN"/>
        </w:rPr>
        <w:t>（</w:t>
      </w:r>
      <w:r w:rsidRPr="00C277C0">
        <w:rPr>
          <w:rFonts w:eastAsia="宋体" w:hint="eastAsia"/>
          <w:snapToGrid w:val="0"/>
          <w:lang w:eastAsia="zh-CN"/>
        </w:rPr>
        <w:t>d</w:t>
      </w:r>
      <w:r w:rsidR="00990237" w:rsidRPr="00C277C0">
        <w:rPr>
          <w:rFonts w:eastAsia="宋体" w:hint="eastAsia"/>
          <w:snapToGrid w:val="0"/>
          <w:lang w:eastAsia="zh-CN"/>
        </w:rPr>
        <w:t>）（</w:t>
      </w:r>
      <w:r w:rsidRPr="00C277C0">
        <w:rPr>
          <w:rFonts w:eastAsia="宋体" w:hint="eastAsia"/>
          <w:snapToGrid w:val="0"/>
          <w:lang w:eastAsia="zh-CN"/>
        </w:rPr>
        <w:t>1</w:t>
      </w:r>
      <w:r w:rsidR="00990237" w:rsidRPr="00C277C0">
        <w:rPr>
          <w:rFonts w:eastAsia="宋体" w:hint="eastAsia"/>
          <w:snapToGrid w:val="0"/>
          <w:lang w:eastAsia="zh-CN"/>
        </w:rPr>
        <w:t>）</w:t>
      </w:r>
      <w:r w:rsidRPr="00C277C0">
        <w:rPr>
          <w:rFonts w:eastAsia="宋体" w:hint="eastAsia"/>
          <w:snapToGrid w:val="0"/>
          <w:lang w:eastAsia="zh-CN"/>
        </w:rPr>
        <w:t>、</w:t>
      </w:r>
      <w:r w:rsidRPr="00C277C0">
        <w:rPr>
          <w:rFonts w:eastAsia="宋体" w:hint="eastAsia"/>
          <w:snapToGrid w:val="0"/>
          <w:lang w:eastAsia="zh-CN"/>
        </w:rPr>
        <w:t>314.80</w:t>
      </w:r>
      <w:r w:rsidR="00990237" w:rsidRPr="00C277C0">
        <w:rPr>
          <w:rFonts w:eastAsia="宋体" w:hint="eastAsia"/>
          <w:snapToGrid w:val="0"/>
          <w:lang w:eastAsia="zh-CN"/>
        </w:rPr>
        <w:t>（</w:t>
      </w:r>
      <w:r w:rsidRPr="00C277C0">
        <w:rPr>
          <w:rFonts w:eastAsia="宋体" w:hint="eastAsia"/>
          <w:snapToGrid w:val="0"/>
          <w:lang w:eastAsia="zh-CN"/>
        </w:rPr>
        <w:t>c</w:t>
      </w:r>
      <w:r w:rsidR="00990237" w:rsidRPr="00C277C0">
        <w:rPr>
          <w:rFonts w:eastAsia="宋体" w:hint="eastAsia"/>
          <w:snapToGrid w:val="0"/>
          <w:lang w:eastAsia="zh-CN"/>
        </w:rPr>
        <w:t>）（</w:t>
      </w:r>
      <w:r w:rsidRPr="00C277C0">
        <w:rPr>
          <w:rFonts w:eastAsia="宋体" w:hint="eastAsia"/>
          <w:snapToGrid w:val="0"/>
          <w:lang w:eastAsia="zh-CN"/>
        </w:rPr>
        <w:t>2</w:t>
      </w:r>
      <w:r w:rsidR="00990237" w:rsidRPr="00C277C0">
        <w:rPr>
          <w:rFonts w:eastAsia="宋体" w:hint="eastAsia"/>
          <w:snapToGrid w:val="0"/>
          <w:lang w:eastAsia="zh-CN"/>
        </w:rPr>
        <w:t>）（</w:t>
      </w:r>
      <w:r w:rsidRPr="00C277C0">
        <w:rPr>
          <w:rFonts w:eastAsia="宋体" w:hint="eastAsia"/>
          <w:snapToGrid w:val="0"/>
          <w:lang w:eastAsia="zh-CN"/>
        </w:rPr>
        <w:t>ii</w:t>
      </w:r>
      <w:r w:rsidR="00990237"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600.80</w:t>
      </w:r>
      <w:r w:rsidR="00990237" w:rsidRPr="00C277C0">
        <w:rPr>
          <w:rFonts w:eastAsia="宋体" w:hint="eastAsia"/>
          <w:snapToGrid w:val="0"/>
          <w:lang w:eastAsia="zh-CN"/>
        </w:rPr>
        <w:t>（</w:t>
      </w:r>
      <w:r w:rsidRPr="00C277C0">
        <w:rPr>
          <w:rFonts w:eastAsia="宋体" w:hint="eastAsia"/>
          <w:snapToGrid w:val="0"/>
          <w:lang w:eastAsia="zh-CN"/>
        </w:rPr>
        <w:t>c</w:t>
      </w:r>
      <w:r w:rsidR="00990237" w:rsidRPr="00C277C0">
        <w:rPr>
          <w:rFonts w:eastAsia="宋体" w:hint="eastAsia"/>
          <w:snapToGrid w:val="0"/>
          <w:lang w:eastAsia="zh-CN"/>
        </w:rPr>
        <w:t>）（</w:t>
      </w:r>
      <w:r w:rsidRPr="00C277C0">
        <w:rPr>
          <w:rFonts w:eastAsia="宋体" w:hint="eastAsia"/>
          <w:snapToGrid w:val="0"/>
          <w:lang w:eastAsia="zh-CN"/>
        </w:rPr>
        <w:t>2</w:t>
      </w:r>
      <w:r w:rsidR="00990237" w:rsidRPr="00C277C0">
        <w:rPr>
          <w:rFonts w:eastAsia="宋体" w:hint="eastAsia"/>
          <w:snapToGrid w:val="0"/>
          <w:lang w:eastAsia="zh-CN"/>
        </w:rPr>
        <w:t>）（</w:t>
      </w:r>
      <w:r w:rsidRPr="00C277C0">
        <w:rPr>
          <w:rFonts w:eastAsia="宋体" w:hint="eastAsia"/>
          <w:snapToGrid w:val="0"/>
          <w:lang w:eastAsia="zh-CN"/>
        </w:rPr>
        <w:t>ii</w:t>
      </w:r>
      <w:r w:rsidR="00990237"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），并应在报告正文或作为附录提供该信息。</w:t>
      </w:r>
    </w:p>
    <w:p w:rsidR="006223B4" w:rsidRPr="00B403CB" w:rsidRDefault="006223B4" w:rsidP="00B403CB">
      <w:pPr>
        <w:autoSpaceDE/>
        <w:autoSpaceDN/>
        <w:snapToGrid w:val="0"/>
        <w:jc w:val="both"/>
        <w:rPr>
          <w:rFonts w:eastAsia="宋体"/>
          <w:sz w:val="24"/>
          <w:lang w:eastAsia="zh-CN"/>
        </w:rPr>
      </w:pPr>
      <w:r w:rsidRPr="00B403CB">
        <w:rPr>
          <w:rFonts w:eastAsia="宋体"/>
          <w:sz w:val="24"/>
          <w:lang w:eastAsia="zh-CN"/>
        </w:rPr>
        <w:br w:type="page"/>
      </w: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5</w:t>
      </w:r>
      <w:r w:rsidRPr="00C277C0">
        <w:rPr>
          <w:rFonts w:eastAsia="宋体" w:hint="eastAsia"/>
          <w:i/>
          <w:snapToGrid w:val="0"/>
          <w:lang w:eastAsia="zh-CN"/>
        </w:rPr>
        <w:t>天报告和</w:t>
      </w:r>
      <w:r w:rsidR="0099763B" w:rsidRPr="00C277C0">
        <w:rPr>
          <w:rFonts w:eastAsia="宋体" w:hint="eastAsia"/>
          <w:i/>
          <w:snapToGrid w:val="0"/>
          <w:lang w:eastAsia="zh-CN"/>
        </w:rPr>
        <w:t>故障</w:t>
      </w:r>
      <w:r w:rsidR="00C55B83" w:rsidRPr="00C277C0">
        <w:rPr>
          <w:rFonts w:eastAsia="宋体" w:hint="eastAsia"/>
          <w:i/>
          <w:snapToGrid w:val="0"/>
          <w:lang w:eastAsia="zh-CN"/>
        </w:rPr>
        <w:t>报告</w:t>
      </w:r>
      <w:r w:rsidRPr="00C277C0">
        <w:rPr>
          <w:rFonts w:eastAsia="宋体" w:hint="eastAsia"/>
          <w:i/>
          <w:snapToGrid w:val="0"/>
          <w:lang w:eastAsia="zh-CN"/>
        </w:rPr>
        <w:t>与</w:t>
      </w:r>
      <w:r w:rsidRPr="00C277C0">
        <w:rPr>
          <w:rFonts w:eastAsia="宋体" w:hint="eastAsia"/>
          <w:i/>
          <w:snapToGrid w:val="0"/>
          <w:lang w:eastAsia="zh-CN"/>
        </w:rPr>
        <w:t>15</w:t>
      </w:r>
      <w:r w:rsidRPr="00C277C0">
        <w:rPr>
          <w:rFonts w:eastAsia="宋体" w:hint="eastAsia"/>
          <w:i/>
          <w:snapToGrid w:val="0"/>
          <w:lang w:eastAsia="zh-CN"/>
        </w:rPr>
        <w:t>天报告对比分析。</w:t>
      </w:r>
      <w:r w:rsidRPr="00C277C0">
        <w:rPr>
          <w:rFonts w:eastAsia="宋体" w:hint="eastAsia"/>
          <w:snapToGrid w:val="0"/>
          <w:lang w:eastAsia="zh-CN"/>
        </w:rPr>
        <w:t>5</w:t>
      </w:r>
      <w:r w:rsidRPr="00C277C0">
        <w:rPr>
          <w:rFonts w:eastAsia="宋体" w:hint="eastAsia"/>
          <w:snapToGrid w:val="0"/>
          <w:lang w:eastAsia="zh-CN"/>
        </w:rPr>
        <w:t>天报告和</w:t>
      </w:r>
      <w:r w:rsidR="0099763B"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的总结和分析应与</w:t>
      </w:r>
      <w:r w:rsidRPr="00C277C0">
        <w:rPr>
          <w:rFonts w:eastAsia="宋体" w:hint="eastAsia"/>
          <w:snapToGrid w:val="0"/>
          <w:lang w:eastAsia="zh-CN"/>
        </w:rPr>
        <w:t>15</w:t>
      </w:r>
      <w:r w:rsidRPr="00C277C0">
        <w:rPr>
          <w:rFonts w:eastAsia="宋体" w:hint="eastAsia"/>
          <w:snapToGrid w:val="0"/>
          <w:lang w:eastAsia="zh-CN"/>
        </w:rPr>
        <w:t>天报告的总结和分析分别提交。</w:t>
      </w:r>
      <w:r w:rsidR="0099763B" w:rsidRPr="00C277C0">
        <w:rPr>
          <w:rFonts w:eastAsia="宋体" w:hint="eastAsia"/>
          <w:snapToGrid w:val="0"/>
          <w:lang w:eastAsia="zh-CN"/>
        </w:rPr>
        <w:t>无论故障或</w:t>
      </w:r>
      <w:r w:rsidR="0099763B" w:rsidRPr="00C277C0">
        <w:rPr>
          <w:rFonts w:eastAsia="宋体" w:hint="eastAsia"/>
          <w:snapToGrid w:val="0"/>
          <w:lang w:eastAsia="zh-CN"/>
        </w:rPr>
        <w:t>5</w:t>
      </w:r>
      <w:r w:rsidR="0099763B" w:rsidRPr="00C277C0">
        <w:rPr>
          <w:rFonts w:eastAsia="宋体" w:hint="eastAsia"/>
          <w:snapToGrid w:val="0"/>
          <w:lang w:eastAsia="zh-CN"/>
        </w:rPr>
        <w:t>天可报告措施是否与不良事件有关，</w:t>
      </w:r>
      <w:r w:rsidRPr="00C277C0">
        <w:rPr>
          <w:rFonts w:eastAsia="宋体" w:hint="eastAsia"/>
          <w:snapToGrid w:val="0"/>
          <w:lang w:eastAsia="zh-CN"/>
        </w:rPr>
        <w:t>申请人应分别提供报告间期内报告的</w:t>
      </w:r>
      <w:r w:rsidR="0099763B" w:rsidRPr="00C277C0">
        <w:rPr>
          <w:rFonts w:eastAsia="宋体" w:hint="eastAsia"/>
          <w:snapToGrid w:val="0"/>
          <w:lang w:eastAsia="zh-CN"/>
        </w:rPr>
        <w:t>故障</w:t>
      </w:r>
      <w:r w:rsidRPr="00C277C0">
        <w:rPr>
          <w:rFonts w:eastAsia="宋体" w:hint="eastAsia"/>
          <w:snapToGrid w:val="0"/>
          <w:lang w:eastAsia="zh-CN"/>
        </w:rPr>
        <w:t>和</w:t>
      </w:r>
      <w:r w:rsidRPr="00C277C0">
        <w:rPr>
          <w:rFonts w:eastAsia="宋体" w:hint="eastAsia"/>
          <w:snapToGrid w:val="0"/>
          <w:lang w:eastAsia="zh-CN"/>
        </w:rPr>
        <w:t>5</w:t>
      </w:r>
      <w:r w:rsidRPr="00C277C0">
        <w:rPr>
          <w:rFonts w:eastAsia="宋体" w:hint="eastAsia"/>
          <w:snapToGrid w:val="0"/>
          <w:lang w:eastAsia="zh-CN"/>
        </w:rPr>
        <w:t>天报告的单独汇总表。这些表格应包括器械问题代码和</w:t>
      </w:r>
      <w:r w:rsidR="00F53EA3" w:rsidRPr="00C277C0">
        <w:rPr>
          <w:rFonts w:eastAsia="宋体" w:hint="eastAsia"/>
          <w:snapToGrid w:val="0"/>
          <w:lang w:eastAsia="zh-CN"/>
        </w:rPr>
        <w:t>故障</w:t>
      </w:r>
      <w:r w:rsidRPr="00C277C0">
        <w:rPr>
          <w:rFonts w:eastAsia="宋体" w:hint="eastAsia"/>
          <w:snapToGrid w:val="0"/>
          <w:lang w:eastAsia="zh-CN"/>
        </w:rPr>
        <w:t>或</w:t>
      </w:r>
      <w:r w:rsidRPr="00C277C0">
        <w:rPr>
          <w:rFonts w:eastAsia="宋体" w:hint="eastAsia"/>
          <w:snapToGrid w:val="0"/>
          <w:lang w:eastAsia="zh-CN"/>
        </w:rPr>
        <w:t>5</w:t>
      </w:r>
      <w:r w:rsidRPr="00C277C0">
        <w:rPr>
          <w:rFonts w:eastAsia="宋体" w:hint="eastAsia"/>
          <w:snapToGrid w:val="0"/>
          <w:lang w:eastAsia="zh-CN"/>
        </w:rPr>
        <w:t>天报告中包含的任何不良事件术语，以及各事件的发生次数。如果</w:t>
      </w:r>
      <w:r w:rsidR="00F53EA3" w:rsidRPr="00C277C0">
        <w:rPr>
          <w:rFonts w:eastAsia="宋体" w:hint="eastAsia"/>
          <w:snapToGrid w:val="0"/>
          <w:lang w:eastAsia="zh-CN"/>
        </w:rPr>
        <w:t>故障</w:t>
      </w:r>
      <w:r w:rsidRPr="00C277C0">
        <w:rPr>
          <w:rFonts w:eastAsia="宋体" w:hint="eastAsia"/>
          <w:snapToGrid w:val="0"/>
          <w:lang w:eastAsia="zh-CN"/>
        </w:rPr>
        <w:t>或</w:t>
      </w:r>
      <w:r w:rsidRPr="00C277C0">
        <w:rPr>
          <w:rFonts w:eastAsia="宋体" w:hint="eastAsia"/>
          <w:snapToGrid w:val="0"/>
          <w:lang w:eastAsia="zh-CN"/>
        </w:rPr>
        <w:t>5</w:t>
      </w:r>
      <w:r w:rsidRPr="00C277C0">
        <w:rPr>
          <w:rFonts w:eastAsia="宋体" w:hint="eastAsia"/>
          <w:snapToGrid w:val="0"/>
          <w:lang w:eastAsia="zh-CN"/>
        </w:rPr>
        <w:t>天报告与不良事件有关（例如，事件同时需要</w:t>
      </w:r>
      <w:r w:rsidRPr="00C277C0">
        <w:rPr>
          <w:rFonts w:eastAsia="宋体" w:hint="eastAsia"/>
          <w:snapToGrid w:val="0"/>
          <w:lang w:eastAsia="zh-CN"/>
        </w:rPr>
        <w:t>15</w:t>
      </w:r>
      <w:r w:rsidRPr="00C277C0">
        <w:rPr>
          <w:rFonts w:eastAsia="宋体" w:hint="eastAsia"/>
          <w:snapToGrid w:val="0"/>
          <w:lang w:eastAsia="zh-CN"/>
        </w:rPr>
        <w:t>天报告和</w:t>
      </w:r>
      <w:r w:rsidR="00F53EA3"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），还应在不良事件汇总表中说明该不良事件。</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根据需要，对组合产品定期安全性报告的任何问题都应向组合产品牵头中心或</w:t>
      </w:r>
      <w:r w:rsidRPr="00C277C0">
        <w:rPr>
          <w:rFonts w:eastAsia="宋体" w:hint="eastAsia"/>
          <w:snapToGrid w:val="0"/>
          <w:lang w:eastAsia="zh-CN"/>
        </w:rPr>
        <w:t>OCP</w:t>
      </w:r>
      <w:r w:rsidRPr="00C277C0">
        <w:rPr>
          <w:rFonts w:eastAsia="宋体" w:hint="eastAsia"/>
          <w:snapToGrid w:val="0"/>
          <w:lang w:eastAsia="zh-CN"/>
        </w:rPr>
        <w:t>提出。</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5.</w:t>
      </w:r>
      <w:r w:rsidRPr="00C277C0">
        <w:rPr>
          <w:rFonts w:hint="eastAsia"/>
          <w:snapToGrid w:val="0"/>
          <w:lang w:eastAsia="zh-CN"/>
        </w:rPr>
        <w:tab/>
      </w:r>
      <w:r w:rsidRPr="00C277C0">
        <w:rPr>
          <w:rFonts w:hint="eastAsia"/>
          <w:snapToGrid w:val="0"/>
          <w:lang w:eastAsia="zh-CN"/>
        </w:rPr>
        <w:t>非</w:t>
      </w:r>
      <w:r w:rsidRPr="00C277C0">
        <w:rPr>
          <w:rFonts w:hint="eastAsia"/>
          <w:snapToGrid w:val="0"/>
          <w:lang w:eastAsia="zh-CN"/>
        </w:rPr>
        <w:t>ICSR</w:t>
      </w:r>
      <w:r w:rsidRPr="00C277C0">
        <w:rPr>
          <w:rFonts w:hint="eastAsia"/>
          <w:snapToGrid w:val="0"/>
          <w:lang w:eastAsia="zh-CN"/>
        </w:rPr>
        <w:t>组合产品报告（更正和移除报告、</w:t>
      </w:r>
      <w:r w:rsidR="0075567A" w:rsidRPr="00C277C0">
        <w:rPr>
          <w:rFonts w:hint="eastAsia"/>
          <w:snapToGrid w:val="0"/>
          <w:lang w:eastAsia="zh-CN"/>
        </w:rPr>
        <w:t>现场警示报告</w:t>
      </w:r>
      <w:r w:rsidRPr="00C277C0">
        <w:rPr>
          <w:rFonts w:hint="eastAsia"/>
          <w:snapToGrid w:val="0"/>
          <w:lang w:eastAsia="zh-CN"/>
        </w:rPr>
        <w:t>或</w:t>
      </w:r>
      <w:r w:rsidR="0075567A" w:rsidRPr="00C277C0">
        <w:rPr>
          <w:rFonts w:hint="eastAsia"/>
          <w:snapToGrid w:val="0"/>
          <w:lang w:eastAsia="zh-CN"/>
        </w:rPr>
        <w:t>生物制品偏差报告</w:t>
      </w:r>
      <w:r w:rsidRPr="00C277C0">
        <w:rPr>
          <w:rFonts w:hint="eastAsia"/>
          <w:snapToGrid w:val="0"/>
          <w:lang w:eastAsia="zh-CN"/>
        </w:rPr>
        <w:t>）中包含的其他信息</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除了需要包含在报告类型中的信息外，</w:t>
      </w:r>
      <w:r w:rsidR="00CD13F3">
        <w:rPr>
          <w:rFonts w:eastAsia="宋体" w:hint="eastAsia"/>
          <w:snapToGrid w:val="0"/>
          <w:lang w:eastAsia="zh-CN"/>
        </w:rPr>
        <w:t>本机构</w:t>
      </w:r>
      <w:r w:rsidRPr="00C277C0">
        <w:rPr>
          <w:rFonts w:eastAsia="宋体" w:hint="eastAsia"/>
          <w:snapToGrid w:val="0"/>
          <w:lang w:eastAsia="zh-CN"/>
        </w:rPr>
        <w:t>还建议包含以下信息。</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jc w:val="both"/>
        <w:rPr>
          <w:rFonts w:eastAsia="宋体"/>
          <w:snapToGrid w:val="0"/>
          <w:lang w:eastAsia="zh-CN"/>
        </w:rPr>
      </w:pPr>
      <w:r w:rsidRPr="00C277C0">
        <w:rPr>
          <w:rFonts w:eastAsia="宋体" w:hint="eastAsia"/>
          <w:snapToGrid w:val="0"/>
          <w:lang w:eastAsia="zh-CN"/>
        </w:rPr>
        <w:t>提交更正或移除报告时，报告应：</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38"/>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明确该产品为组合产品，并提供组合产品的说明，包括其组成部分，以及这些组成部分如何或可能如何涉及更正或移除。关于器械组成部分，报告应包括器械产品代码。</w:t>
      </w:r>
    </w:p>
    <w:p w:rsidR="00C1273A" w:rsidRPr="00C277C0" w:rsidRDefault="00097329" w:rsidP="00B403CB">
      <w:pPr>
        <w:pStyle w:val="a4"/>
        <w:numPr>
          <w:ilvl w:val="0"/>
          <w:numId w:val="38"/>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包括组合产品申请人的名称、地址、电话号码和联系人（如无其他要求，则应纳入更正或移除报告中）。</w:t>
      </w:r>
    </w:p>
    <w:p w:rsidR="00C1273A" w:rsidRPr="00C277C0" w:rsidRDefault="00C1273A" w:rsidP="00D858CC">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autoSpaceDE/>
        <w:autoSpaceDN/>
        <w:snapToGrid w:val="0"/>
        <w:jc w:val="both"/>
        <w:rPr>
          <w:rFonts w:eastAsia="宋体"/>
          <w:snapToGrid w:val="0"/>
          <w:lang w:eastAsia="zh-CN"/>
        </w:rPr>
      </w:pPr>
      <w:r w:rsidRPr="00C277C0">
        <w:rPr>
          <w:rFonts w:eastAsia="宋体" w:hint="eastAsia"/>
          <w:snapToGrid w:val="0"/>
          <w:lang w:eastAsia="zh-CN"/>
        </w:rPr>
        <w:t>提交</w:t>
      </w:r>
      <w:r w:rsidR="0075567A" w:rsidRPr="00C277C0">
        <w:rPr>
          <w:rFonts w:eastAsia="宋体" w:hint="eastAsia"/>
          <w:snapToGrid w:val="0"/>
          <w:lang w:eastAsia="zh-CN"/>
        </w:rPr>
        <w:t>现场警示报告</w:t>
      </w:r>
      <w:r w:rsidRPr="00C277C0">
        <w:rPr>
          <w:rFonts w:eastAsia="宋体" w:hint="eastAsia"/>
          <w:snapToGrid w:val="0"/>
          <w:lang w:eastAsia="zh-CN"/>
        </w:rPr>
        <w:t>时，报告应：</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38"/>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明确产品为组合产品，并提供组合产品的说明，包括其组成部分，以及这些组成部分如何或可能与问题有关。如果产品包含器械组成部分，则报告应至少包括以下一项：器械产品代码、器械通用名和</w:t>
      </w:r>
      <w:r w:rsidRPr="00C277C0">
        <w:rPr>
          <w:rFonts w:eastAsia="宋体" w:hint="eastAsia"/>
          <w:snapToGrid w:val="0"/>
          <w:sz w:val="24"/>
          <w:szCs w:val="24"/>
          <w:lang w:eastAsia="zh-CN"/>
        </w:rPr>
        <w:t>/</w:t>
      </w:r>
      <w:r w:rsidRPr="00C277C0">
        <w:rPr>
          <w:rFonts w:eastAsia="宋体" w:hint="eastAsia"/>
          <w:snapToGrid w:val="0"/>
          <w:sz w:val="24"/>
          <w:szCs w:val="24"/>
          <w:lang w:eastAsia="zh-CN"/>
        </w:rPr>
        <w:t>或品牌名。</w:t>
      </w:r>
    </w:p>
    <w:p w:rsidR="00C1273A" w:rsidRPr="00C277C0" w:rsidRDefault="00C1273A" w:rsidP="00D858CC">
      <w:pPr>
        <w:pStyle w:val="a4"/>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autoSpaceDE/>
        <w:autoSpaceDN/>
        <w:snapToGrid w:val="0"/>
        <w:jc w:val="both"/>
        <w:rPr>
          <w:rFonts w:eastAsia="宋体"/>
          <w:snapToGrid w:val="0"/>
          <w:lang w:eastAsia="zh-CN"/>
        </w:rPr>
      </w:pPr>
      <w:r w:rsidRPr="00C277C0">
        <w:rPr>
          <w:rFonts w:eastAsia="宋体" w:hint="eastAsia"/>
          <w:snapToGrid w:val="0"/>
          <w:lang w:eastAsia="zh-CN"/>
        </w:rPr>
        <w:t>提交</w:t>
      </w:r>
      <w:r w:rsidR="0075567A" w:rsidRPr="00C277C0">
        <w:rPr>
          <w:rFonts w:eastAsia="宋体" w:hint="eastAsia"/>
          <w:snapToGrid w:val="0"/>
          <w:lang w:eastAsia="zh-CN"/>
        </w:rPr>
        <w:t>生物制品偏差报告</w:t>
      </w:r>
      <w:r w:rsidRPr="00C277C0">
        <w:rPr>
          <w:rFonts w:eastAsia="宋体" w:hint="eastAsia"/>
          <w:snapToGrid w:val="0"/>
          <w:lang w:eastAsia="zh-CN"/>
        </w:rPr>
        <w:t>时，报告应：</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38"/>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明确产品为组合产品，并提供组合产品的说明，包括其组成部分，以及这些组成部分如何或可能与问题有关。如果产品包含器械组成部分，则报告应至少包括以下一项：器械产品代码、器械通用名和</w:t>
      </w:r>
      <w:r w:rsidRPr="00C277C0">
        <w:rPr>
          <w:rFonts w:eastAsia="宋体" w:hint="eastAsia"/>
          <w:snapToGrid w:val="0"/>
          <w:sz w:val="24"/>
          <w:szCs w:val="24"/>
          <w:lang w:eastAsia="zh-CN"/>
        </w:rPr>
        <w:t>/</w:t>
      </w:r>
      <w:r w:rsidRPr="00C277C0">
        <w:rPr>
          <w:rFonts w:eastAsia="宋体" w:hint="eastAsia"/>
          <w:snapToGrid w:val="0"/>
          <w:sz w:val="24"/>
          <w:szCs w:val="24"/>
          <w:lang w:eastAsia="zh-CN"/>
        </w:rPr>
        <w:t>或品牌名。</w:t>
      </w:r>
    </w:p>
    <w:p w:rsidR="00C1273A" w:rsidRPr="00C277C0" w:rsidRDefault="00C1273A" w:rsidP="00D858CC">
      <w:pPr>
        <w:pStyle w:val="a4"/>
        <w:autoSpaceDE/>
        <w:autoSpaceDN/>
        <w:snapToGrid w:val="0"/>
        <w:ind w:left="920" w:firstLine="0"/>
        <w:jc w:val="both"/>
        <w:rPr>
          <w:rFonts w:eastAsia="宋体"/>
          <w:snapToGrid w:val="0"/>
          <w:sz w:val="24"/>
          <w:szCs w:val="24"/>
          <w:lang w:eastAsia="zh-CN"/>
        </w:rPr>
      </w:pPr>
      <w:bookmarkStart w:id="40" w:name="_Toc95145709"/>
    </w:p>
    <w:p w:rsidR="006223B4" w:rsidRPr="00C277C0" w:rsidRDefault="006223B4" w:rsidP="006223B4">
      <w:pPr>
        <w:autoSpaceDE/>
        <w:autoSpaceDN/>
        <w:snapToGrid w:val="0"/>
        <w:jc w:val="both"/>
        <w:rPr>
          <w:rFonts w:eastAsia="宋体"/>
          <w:snapToGrid w:val="0"/>
          <w:sz w:val="24"/>
          <w:szCs w:val="24"/>
          <w:lang w:eastAsia="zh-CN"/>
        </w:rPr>
      </w:pPr>
      <w:r w:rsidRPr="00C277C0">
        <w:rPr>
          <w:rFonts w:eastAsia="宋体" w:hint="eastAsia"/>
          <w:snapToGrid w:val="0"/>
          <w:sz w:val="24"/>
          <w:szCs w:val="24"/>
          <w:lang w:eastAsia="zh-CN"/>
        </w:rPr>
        <w:br w:type="page"/>
      </w:r>
    </w:p>
    <w:p w:rsidR="00C1273A" w:rsidRPr="00B403CB" w:rsidRDefault="00CB2C74" w:rsidP="00B403CB">
      <w:pPr>
        <w:pStyle w:val="1"/>
        <w:numPr>
          <w:ilvl w:val="0"/>
          <w:numId w:val="43"/>
        </w:numPr>
        <w:tabs>
          <w:tab w:val="left" w:pos="868"/>
        </w:tabs>
        <w:autoSpaceDE/>
        <w:autoSpaceDN/>
        <w:spacing w:beforeLines="0" w:before="0" w:line="240" w:lineRule="auto"/>
        <w:ind w:left="880" w:hangingChars="313" w:hanging="880"/>
        <w:rPr>
          <w:sz w:val="28"/>
        </w:rPr>
      </w:pPr>
      <w:bookmarkStart w:id="41" w:name="_Toc97551510"/>
      <w:r w:rsidRPr="00B403CB">
        <w:rPr>
          <w:rFonts w:hint="eastAsia"/>
          <w:sz w:val="28"/>
        </w:rPr>
        <w:t>示例</w:t>
      </w:r>
      <w:bookmarkEnd w:id="40"/>
      <w:bookmarkEnd w:id="41"/>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本节中的假设示例说明了</w:t>
      </w:r>
      <w:r w:rsidR="007267DD" w:rsidRPr="00C277C0">
        <w:rPr>
          <w:rFonts w:eastAsia="宋体" w:hint="eastAsia"/>
          <w:snapToGrid w:val="0"/>
          <w:lang w:eastAsia="zh-CN"/>
        </w:rPr>
        <w:t>《美国联邦法规》</w:t>
      </w:r>
      <w:r w:rsidRPr="00C277C0">
        <w:rPr>
          <w:rFonts w:eastAsia="宋体" w:hint="eastAsia"/>
          <w:snapToGrid w:val="0"/>
          <w:lang w:eastAsia="zh-CN"/>
        </w:rPr>
        <w:t>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w:t>
      </w:r>
      <w:r w:rsidR="00AE0101" w:rsidRPr="00C277C0">
        <w:rPr>
          <w:rFonts w:eastAsia="宋体" w:hint="eastAsia"/>
          <w:snapToGrid w:val="0"/>
          <w:lang w:eastAsia="zh-CN"/>
        </w:rPr>
        <w:t>节</w:t>
      </w:r>
      <w:r w:rsidRPr="00C277C0">
        <w:rPr>
          <w:rFonts w:eastAsia="宋体" w:hint="eastAsia"/>
          <w:snapToGrid w:val="0"/>
          <w:lang w:eastAsia="zh-CN"/>
        </w:rPr>
        <w:t>下组合产品申请人的</w:t>
      </w:r>
      <w:r w:rsidRPr="00C277C0">
        <w:rPr>
          <w:rFonts w:eastAsia="宋体" w:hint="eastAsia"/>
          <w:snapToGrid w:val="0"/>
          <w:lang w:eastAsia="zh-CN"/>
        </w:rPr>
        <w:t>PMSR</w:t>
      </w:r>
      <w:r w:rsidRPr="00C277C0">
        <w:rPr>
          <w:rFonts w:eastAsia="宋体" w:hint="eastAsia"/>
          <w:snapToGrid w:val="0"/>
          <w:lang w:eastAsia="zh-CN"/>
        </w:rPr>
        <w:t>考虑事项。本节并非旨在体现可能适用的报告义务的完整分析，且具体产品和事件可能会提出不同的问题，而这些问题在下文所述假设情景中未被考虑。如果生产商有具体问题，</w:t>
      </w:r>
      <w:r w:rsidRPr="00C277C0">
        <w:rPr>
          <w:rFonts w:eastAsia="宋体" w:hint="eastAsia"/>
          <w:snapToGrid w:val="0"/>
          <w:lang w:eastAsia="zh-CN"/>
        </w:rPr>
        <w:t>FDA</w:t>
      </w:r>
      <w:r w:rsidRPr="00C277C0">
        <w:rPr>
          <w:rFonts w:eastAsia="宋体" w:hint="eastAsia"/>
          <w:snapToGrid w:val="0"/>
          <w:lang w:eastAsia="zh-CN"/>
        </w:rPr>
        <w:t>建议其联系产品的牵头中心或</w:t>
      </w:r>
      <w:r w:rsidRPr="00C277C0">
        <w:rPr>
          <w:rFonts w:eastAsia="宋体" w:hint="eastAsia"/>
          <w:snapToGrid w:val="0"/>
          <w:lang w:eastAsia="zh-CN"/>
        </w:rPr>
        <w:t>OCP</w:t>
      </w:r>
      <w:r w:rsidRPr="00C277C0">
        <w:rPr>
          <w:rFonts w:eastAsia="宋体" w:hint="eastAsia"/>
          <w:snapToGrid w:val="0"/>
          <w:lang w:eastAsia="zh-CN"/>
        </w:rPr>
        <w:t>（根据需要）寻求帮助。</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42" w:name="_Toc97551511"/>
      <w:bookmarkStart w:id="43" w:name="_Toc95145710"/>
      <w:r w:rsidRPr="00C277C0">
        <w:rPr>
          <w:rFonts w:hint="eastAsia"/>
          <w:snapToGrid w:val="0"/>
          <w:szCs w:val="24"/>
          <w:lang w:eastAsia="zh-CN"/>
        </w:rPr>
        <w:t>A.</w:t>
      </w:r>
      <w:r w:rsidRPr="00C277C0">
        <w:rPr>
          <w:rFonts w:hint="eastAsia"/>
          <w:snapToGrid w:val="0"/>
          <w:szCs w:val="24"/>
          <w:lang w:eastAsia="zh-CN"/>
        </w:rPr>
        <w:tab/>
      </w:r>
      <w:r w:rsidRPr="00C277C0">
        <w:rPr>
          <w:rFonts w:hint="eastAsia"/>
          <w:snapToGrid w:val="0"/>
          <w:szCs w:val="24"/>
          <w:lang w:eastAsia="zh-CN"/>
        </w:rPr>
        <w:t>药品申请组合产品</w:t>
      </w:r>
      <w:bookmarkEnd w:id="42"/>
      <w:bookmarkEnd w:id="43"/>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CB2C74" w:rsidP="00DF0641">
      <w:pPr>
        <w:pStyle w:val="4"/>
        <w:autoSpaceDE/>
        <w:autoSpaceDN/>
        <w:spacing w:beforeLines="0" w:before="0" w:line="240" w:lineRule="auto"/>
        <w:ind w:leftChars="650" w:left="1912"/>
        <w:rPr>
          <w:snapToGrid w:val="0"/>
          <w:lang w:eastAsia="zh-CN"/>
        </w:rPr>
      </w:pPr>
      <w:r w:rsidRPr="00C277C0">
        <w:rPr>
          <w:rFonts w:hint="eastAsia"/>
          <w:snapToGrid w:val="0"/>
          <w:lang w:eastAsia="zh-CN"/>
        </w:rPr>
        <w:t>1.</w:t>
      </w:r>
      <w:r w:rsidRPr="00C277C0">
        <w:rPr>
          <w:rFonts w:hint="eastAsia"/>
          <w:snapToGrid w:val="0"/>
          <w:lang w:eastAsia="zh-CN"/>
        </w:rPr>
        <w:tab/>
      </w:r>
      <w:r w:rsidRPr="00C277C0">
        <w:rPr>
          <w:rFonts w:hint="eastAsia"/>
          <w:snapToGrid w:val="0"/>
          <w:lang w:eastAsia="zh-CN"/>
        </w:rPr>
        <w:t>产品描述和情形</w:t>
      </w:r>
    </w:p>
    <w:p w:rsidR="00C1273A" w:rsidRPr="00C277C0" w:rsidRDefault="00C1273A" w:rsidP="00B403CB">
      <w:pPr>
        <w:pStyle w:val="a3"/>
        <w:autoSpaceDE/>
        <w:autoSpaceDN/>
        <w:snapToGrid w:val="0"/>
        <w:jc w:val="both"/>
        <w:rPr>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组合产品申请人持有由预充式可注射药物的无菌注射器组成的组合产品的</w:t>
      </w:r>
      <w:r w:rsidRPr="00C277C0">
        <w:rPr>
          <w:rFonts w:eastAsia="宋体" w:hint="eastAsia"/>
          <w:snapToGrid w:val="0"/>
          <w:lang w:eastAsia="zh-CN"/>
        </w:rPr>
        <w:t>NDA</w:t>
      </w:r>
      <w:r w:rsidRPr="00C277C0">
        <w:rPr>
          <w:rFonts w:eastAsia="宋体" w:hint="eastAsia"/>
          <w:snapToGrid w:val="0"/>
          <w:lang w:eastAsia="zh-CN"/>
        </w:rPr>
        <w:t>。该申请人收到一份报告，报告称一名用户很难拉回注射器活塞推杆，当他设法拉回活塞时，活塞整体弹出，产品喷入他的眼睛，导致暂时失明，需要医疗干预以防止他的眼睛受到严重损害。组合产品申请人审查了组合产品标签，发现潜在失明不是标签中讨论的预期不良事件。</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2.</w:t>
      </w:r>
      <w:r w:rsidRPr="00C277C0">
        <w:rPr>
          <w:rFonts w:hint="eastAsia"/>
          <w:snapToGrid w:val="0"/>
          <w:lang w:eastAsia="zh-CN"/>
        </w:rPr>
        <w:tab/>
      </w:r>
      <w:r w:rsidRPr="00C277C0">
        <w:rPr>
          <w:rFonts w:hint="eastAsia"/>
          <w:snapToGrid w:val="0"/>
          <w:lang w:eastAsia="zh-CN"/>
        </w:rPr>
        <w:t>首次</w:t>
      </w:r>
      <w:r w:rsidRPr="00C277C0">
        <w:rPr>
          <w:rFonts w:hint="eastAsia"/>
          <w:snapToGrid w:val="0"/>
          <w:lang w:eastAsia="zh-CN"/>
        </w:rPr>
        <w:t>ICSR</w:t>
      </w:r>
      <w:r w:rsidRPr="00C277C0">
        <w:rPr>
          <w:rFonts w:hint="eastAsia"/>
          <w:snapToGrid w:val="0"/>
          <w:lang w:eastAsia="zh-CN"/>
        </w:rPr>
        <w:t>报告</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jc w:val="both"/>
        <w:rPr>
          <w:rFonts w:eastAsia="宋体"/>
          <w:snapToGrid w:val="0"/>
          <w:lang w:eastAsia="zh-CN"/>
        </w:rPr>
      </w:pPr>
      <w:r w:rsidRPr="00C277C0">
        <w:rPr>
          <w:rFonts w:eastAsia="宋体" w:hint="eastAsia"/>
          <w:snapToGrid w:val="0"/>
          <w:lang w:eastAsia="zh-CN"/>
        </w:rPr>
        <w:t>组合产品申请人评估该事件的</w:t>
      </w:r>
      <w:r w:rsidRPr="00C277C0">
        <w:rPr>
          <w:rFonts w:eastAsia="宋体" w:hint="eastAsia"/>
          <w:snapToGrid w:val="0"/>
          <w:lang w:eastAsia="zh-CN"/>
        </w:rPr>
        <w:t>ICSR</w:t>
      </w:r>
      <w:r w:rsidRPr="00C277C0">
        <w:rPr>
          <w:rFonts w:eastAsia="宋体" w:hint="eastAsia"/>
          <w:snapToGrid w:val="0"/>
          <w:lang w:eastAsia="zh-CN"/>
        </w:rPr>
        <w:t>报告义务（见附录</w:t>
      </w:r>
      <w:r w:rsidRPr="00C277C0">
        <w:rPr>
          <w:rFonts w:eastAsia="宋体" w:hint="eastAsia"/>
          <w:snapToGrid w:val="0"/>
          <w:lang w:eastAsia="zh-CN"/>
        </w:rPr>
        <w:t>2</w:t>
      </w:r>
      <w:r w:rsidRPr="00C277C0">
        <w:rPr>
          <w:rFonts w:eastAsia="宋体" w:hint="eastAsia"/>
          <w:snapToGrid w:val="0"/>
          <w:lang w:eastAsia="zh-CN"/>
        </w:rPr>
        <w:t>中的表</w:t>
      </w:r>
      <w:r w:rsidRPr="00C277C0">
        <w:rPr>
          <w:rFonts w:eastAsia="宋体" w:hint="eastAsia"/>
          <w:snapToGrid w:val="0"/>
          <w:lang w:eastAsia="zh-CN"/>
        </w:rPr>
        <w:t>2.1</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39"/>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该事件是否是一次严重且非预期的不良经历？</w:t>
      </w:r>
    </w:p>
    <w:p w:rsidR="00C1273A" w:rsidRPr="00C277C0" w:rsidRDefault="00C1273A" w:rsidP="00D858CC">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tabs>
          <w:tab w:val="left" w:pos="911"/>
        </w:tabs>
        <w:autoSpaceDE/>
        <w:autoSpaceDN/>
        <w:snapToGrid w:val="0"/>
        <w:ind w:leftChars="400" w:left="880" w:firstLineChars="200" w:firstLine="480"/>
        <w:jc w:val="both"/>
        <w:rPr>
          <w:rFonts w:eastAsia="宋体"/>
          <w:snapToGrid w:val="0"/>
          <w:lang w:eastAsia="zh-CN"/>
        </w:rPr>
      </w:pPr>
      <w:r w:rsidRPr="00C277C0">
        <w:rPr>
          <w:rFonts w:eastAsia="宋体" w:hint="eastAsia"/>
          <w:snapToGrid w:val="0"/>
          <w:lang w:eastAsia="zh-CN"/>
        </w:rPr>
        <w:t>是。该事件严重且非预期（未列入产品标签）。需要一份</w:t>
      </w:r>
      <w:r w:rsidRPr="00C277C0">
        <w:rPr>
          <w:rFonts w:eastAsia="宋体" w:hint="eastAsia"/>
          <w:snapToGrid w:val="0"/>
          <w:lang w:eastAsia="zh-CN"/>
        </w:rPr>
        <w:t>15</w:t>
      </w:r>
      <w:r w:rsidRPr="00C277C0">
        <w:rPr>
          <w:rFonts w:eastAsia="宋体" w:hint="eastAsia"/>
          <w:snapToGrid w:val="0"/>
          <w:lang w:eastAsia="zh-CN"/>
        </w:rPr>
        <w:t>天报告（</w:t>
      </w:r>
      <w:r w:rsidR="00F55EA5">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314.80</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072C5E">
      <w:pPr>
        <w:pStyle w:val="a3"/>
        <w:tabs>
          <w:tab w:val="left" w:pos="911"/>
        </w:tabs>
        <w:autoSpaceDE/>
        <w:autoSpaceDN/>
        <w:snapToGrid w:val="0"/>
        <w:ind w:leftChars="400" w:left="880"/>
        <w:jc w:val="both"/>
        <w:rPr>
          <w:rFonts w:eastAsia="宋体"/>
          <w:snapToGrid w:val="0"/>
          <w:lang w:eastAsia="zh-CN"/>
        </w:rPr>
      </w:pPr>
    </w:p>
    <w:p w:rsidR="00C1273A" w:rsidRPr="00C277C0" w:rsidRDefault="00097329" w:rsidP="00B403CB">
      <w:pPr>
        <w:pStyle w:val="a4"/>
        <w:numPr>
          <w:ilvl w:val="0"/>
          <w:numId w:val="39"/>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该产品是否包含器械组成部分？是。</w:t>
      </w:r>
    </w:p>
    <w:p w:rsidR="00C1273A" w:rsidRPr="00C277C0" w:rsidRDefault="00C1273A" w:rsidP="00D858CC">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4"/>
        <w:numPr>
          <w:ilvl w:val="0"/>
          <w:numId w:val="39"/>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该报告是否合理地表明产品出现</w:t>
      </w:r>
      <w:r w:rsidR="00EB7755" w:rsidRPr="00C277C0">
        <w:rPr>
          <w:rFonts w:eastAsia="宋体" w:hint="eastAsia"/>
          <w:snapToGrid w:val="0"/>
          <w:sz w:val="24"/>
          <w:szCs w:val="24"/>
          <w:lang w:eastAsia="zh-CN"/>
        </w:rPr>
        <w:t>故障</w:t>
      </w:r>
      <w:r w:rsidRPr="00C277C0">
        <w:rPr>
          <w:rFonts w:eastAsia="宋体" w:hint="eastAsia"/>
          <w:snapToGrid w:val="0"/>
          <w:sz w:val="24"/>
          <w:szCs w:val="24"/>
          <w:lang w:eastAsia="zh-CN"/>
        </w:rPr>
        <w:t>，并且如果</w:t>
      </w:r>
      <w:r w:rsidR="00EB7755" w:rsidRPr="00C277C0">
        <w:rPr>
          <w:rFonts w:eastAsia="宋体" w:hint="eastAsia"/>
          <w:snapToGrid w:val="0"/>
          <w:sz w:val="24"/>
          <w:szCs w:val="24"/>
          <w:lang w:eastAsia="zh-CN"/>
        </w:rPr>
        <w:t>故障</w:t>
      </w:r>
      <w:r w:rsidRPr="00C277C0">
        <w:rPr>
          <w:rFonts w:eastAsia="宋体" w:hint="eastAsia"/>
          <w:snapToGrid w:val="0"/>
          <w:sz w:val="24"/>
          <w:szCs w:val="24"/>
          <w:lang w:eastAsia="zh-CN"/>
        </w:rPr>
        <w:t>再次发生，申请人销售的产品或</w:t>
      </w:r>
      <w:r w:rsidR="00117D73">
        <w:rPr>
          <w:rFonts w:eastAsia="宋体" w:hint="eastAsia"/>
          <w:snapToGrid w:val="0"/>
          <w:sz w:val="24"/>
          <w:szCs w:val="24"/>
          <w:lang w:eastAsia="zh-CN"/>
        </w:rPr>
        <w:t>同品种产品</w:t>
      </w:r>
      <w:r w:rsidRPr="00C277C0">
        <w:rPr>
          <w:rFonts w:eastAsia="宋体" w:hint="eastAsia"/>
          <w:snapToGrid w:val="0"/>
          <w:sz w:val="24"/>
          <w:szCs w:val="24"/>
          <w:lang w:eastAsia="zh-CN"/>
        </w:rPr>
        <w:t>是否可能导致或促成死亡或重伤？</w:t>
      </w:r>
    </w:p>
    <w:p w:rsidR="00C1273A" w:rsidRPr="00C277C0" w:rsidRDefault="00C1273A" w:rsidP="00D858CC">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tabs>
          <w:tab w:val="left" w:pos="911"/>
        </w:tabs>
        <w:autoSpaceDE/>
        <w:autoSpaceDN/>
        <w:snapToGrid w:val="0"/>
        <w:ind w:leftChars="400" w:left="880" w:firstLineChars="200" w:firstLine="480"/>
        <w:jc w:val="both"/>
        <w:rPr>
          <w:rFonts w:eastAsia="宋体"/>
          <w:snapToGrid w:val="0"/>
          <w:lang w:eastAsia="zh-CN"/>
        </w:rPr>
      </w:pPr>
      <w:r w:rsidRPr="00C277C0">
        <w:rPr>
          <w:rFonts w:eastAsia="宋体" w:hint="eastAsia"/>
          <w:snapToGrid w:val="0"/>
          <w:lang w:eastAsia="zh-CN"/>
        </w:rPr>
        <w:t>是。报告指出，该器械未按预期运行，导致暂时失明。需要一份</w:t>
      </w:r>
      <w:r w:rsidR="00EB7755"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w:t>
      </w:r>
      <w:r w:rsidR="00F55EA5">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803.50</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072C5E">
      <w:pPr>
        <w:pStyle w:val="a3"/>
        <w:tabs>
          <w:tab w:val="left" w:pos="911"/>
        </w:tabs>
        <w:autoSpaceDE/>
        <w:autoSpaceDN/>
        <w:snapToGrid w:val="0"/>
        <w:ind w:leftChars="400" w:left="880"/>
        <w:jc w:val="both"/>
        <w:rPr>
          <w:rFonts w:eastAsia="宋体"/>
          <w:snapToGrid w:val="0"/>
          <w:lang w:eastAsia="zh-CN"/>
        </w:rPr>
      </w:pPr>
    </w:p>
    <w:p w:rsidR="00C1273A" w:rsidRPr="00C277C0" w:rsidRDefault="00097329" w:rsidP="00B403CB">
      <w:pPr>
        <w:pStyle w:val="a4"/>
        <w:numPr>
          <w:ilvl w:val="0"/>
          <w:numId w:val="39"/>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该事件是否需要采取补救措施，以防止对公众健康造成重大伤害的不合理风险？</w:t>
      </w:r>
    </w:p>
    <w:p w:rsidR="00C1273A" w:rsidRPr="00C277C0" w:rsidRDefault="00C1273A" w:rsidP="00D858CC">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tabs>
          <w:tab w:val="left" w:pos="911"/>
        </w:tabs>
        <w:autoSpaceDE/>
        <w:autoSpaceDN/>
        <w:snapToGrid w:val="0"/>
        <w:ind w:leftChars="400" w:left="880" w:firstLineChars="200" w:firstLine="480"/>
        <w:jc w:val="both"/>
        <w:rPr>
          <w:rFonts w:eastAsia="宋体"/>
          <w:snapToGrid w:val="0"/>
          <w:lang w:eastAsia="zh-CN"/>
        </w:rPr>
      </w:pPr>
      <w:r w:rsidRPr="00C277C0">
        <w:rPr>
          <w:rFonts w:eastAsia="宋体" w:hint="eastAsia"/>
          <w:snapToGrid w:val="0"/>
          <w:lang w:eastAsia="zh-CN"/>
        </w:rPr>
        <w:t>不需要。在首次报告时，组合产品申请人没有足够的信息来确定是否需要采取补救措施以防止重大伤害的不合理风险。此时不需要</w:t>
      </w:r>
      <w:r w:rsidRPr="00C277C0">
        <w:rPr>
          <w:rFonts w:eastAsia="宋体" w:hint="eastAsia"/>
          <w:snapToGrid w:val="0"/>
          <w:lang w:eastAsia="zh-CN"/>
        </w:rPr>
        <w:t>5</w:t>
      </w:r>
      <w:r w:rsidRPr="00C277C0">
        <w:rPr>
          <w:rFonts w:eastAsia="宋体" w:hint="eastAsia"/>
          <w:snapToGrid w:val="0"/>
          <w:lang w:eastAsia="zh-CN"/>
        </w:rPr>
        <w:t>天报告。</w:t>
      </w:r>
    </w:p>
    <w:p w:rsidR="00C1273A" w:rsidRPr="00C277C0" w:rsidRDefault="00C1273A" w:rsidP="00C1273A">
      <w:pPr>
        <w:pStyle w:val="a3"/>
        <w:autoSpaceDE/>
        <w:autoSpaceDN/>
        <w:snapToGrid w:val="0"/>
        <w:ind w:leftChars="400" w:left="880"/>
        <w:jc w:val="both"/>
        <w:rPr>
          <w:rFonts w:eastAsia="宋体"/>
          <w:snapToGrid w:val="0"/>
          <w:lang w:eastAsia="zh-CN"/>
        </w:rPr>
      </w:pPr>
    </w:p>
    <w:p w:rsidR="006223B4" w:rsidRPr="00C277C0" w:rsidRDefault="006223B4" w:rsidP="00B403CB">
      <w:pPr>
        <w:autoSpaceDE/>
        <w:autoSpaceDN/>
        <w:snapToGrid w:val="0"/>
        <w:jc w:val="both"/>
        <w:rPr>
          <w:rFonts w:eastAsia="宋体"/>
          <w:snapToGrid w:val="0"/>
          <w:sz w:val="24"/>
          <w:szCs w:val="24"/>
          <w:lang w:eastAsia="zh-CN"/>
        </w:rPr>
      </w:pPr>
      <w:r w:rsidRPr="00B403CB">
        <w:rPr>
          <w:rFonts w:eastAsia="宋体"/>
          <w:sz w:val="24"/>
          <w:lang w:eastAsia="zh-CN"/>
        </w:rPr>
        <w:br w:type="page"/>
      </w: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15</w:t>
      </w:r>
      <w:r w:rsidRPr="00C277C0">
        <w:rPr>
          <w:rFonts w:eastAsia="宋体" w:hint="eastAsia"/>
          <w:snapToGrid w:val="0"/>
          <w:lang w:eastAsia="zh-CN"/>
        </w:rPr>
        <w:t>天报告的报告时间表为</w:t>
      </w:r>
      <w:r w:rsidRPr="00C277C0">
        <w:rPr>
          <w:rFonts w:eastAsia="宋体" w:hint="eastAsia"/>
          <w:snapToGrid w:val="0"/>
          <w:lang w:eastAsia="zh-CN"/>
        </w:rPr>
        <w:t>15</w:t>
      </w:r>
      <w:r w:rsidRPr="00C277C0">
        <w:rPr>
          <w:rFonts w:eastAsia="宋体" w:hint="eastAsia"/>
          <w:snapToGrid w:val="0"/>
          <w:lang w:eastAsia="zh-CN"/>
        </w:rPr>
        <w:t>个日历日，</w:t>
      </w:r>
      <w:r w:rsidR="00EB7755"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为</w:t>
      </w:r>
      <w:r w:rsidRPr="00C277C0">
        <w:rPr>
          <w:rFonts w:eastAsia="宋体" w:hint="eastAsia"/>
          <w:snapToGrid w:val="0"/>
          <w:lang w:eastAsia="zh-CN"/>
        </w:rPr>
        <w:t>30</w:t>
      </w:r>
      <w:r w:rsidRPr="00C277C0">
        <w:rPr>
          <w:rFonts w:eastAsia="宋体" w:hint="eastAsia"/>
          <w:snapToGrid w:val="0"/>
          <w:lang w:eastAsia="zh-CN"/>
        </w:rPr>
        <w:t>个日历日（分别参见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314.80</w:t>
      </w:r>
      <w:r w:rsidRPr="00C277C0">
        <w:rPr>
          <w:rFonts w:eastAsia="宋体" w:hint="eastAsia"/>
          <w:snapToGrid w:val="0"/>
          <w:lang w:eastAsia="zh-CN"/>
        </w:rPr>
        <w:t>和</w:t>
      </w:r>
      <w:r w:rsidRPr="00C277C0">
        <w:rPr>
          <w:rFonts w:eastAsia="宋体" w:hint="eastAsia"/>
          <w:snapToGrid w:val="0"/>
          <w:lang w:eastAsia="zh-CN"/>
        </w:rPr>
        <w:t>803.50</w:t>
      </w:r>
      <w:r w:rsidR="00AE0101" w:rsidRPr="00C277C0">
        <w:rPr>
          <w:rFonts w:eastAsia="宋体" w:hint="eastAsia"/>
          <w:snapToGrid w:val="0"/>
          <w:lang w:eastAsia="zh-CN"/>
        </w:rPr>
        <w:t>节）</w:t>
      </w:r>
      <w:r w:rsidRPr="00C277C0">
        <w:rPr>
          <w:rFonts w:eastAsia="宋体" w:hint="eastAsia"/>
          <w:snapToGrid w:val="0"/>
          <w:lang w:eastAsia="zh-CN"/>
        </w:rPr>
        <w:t>。组合产品申请人提供一份报告，报告中包括</w:t>
      </w:r>
      <w:r w:rsidRPr="00C277C0">
        <w:rPr>
          <w:rFonts w:eastAsia="宋体" w:hint="eastAsia"/>
          <w:snapToGrid w:val="0"/>
          <w:lang w:eastAsia="zh-CN"/>
        </w:rPr>
        <w:t>15</w:t>
      </w:r>
      <w:r w:rsidRPr="00C277C0">
        <w:rPr>
          <w:rFonts w:eastAsia="宋体" w:hint="eastAsia"/>
          <w:snapToGrid w:val="0"/>
          <w:lang w:eastAsia="zh-CN"/>
        </w:rPr>
        <w:t>天报告和</w:t>
      </w:r>
      <w:r w:rsidR="007A325F"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所需的信息（分别</w:t>
      </w:r>
      <w:r w:rsidR="00F55EA5">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314.80</w:t>
      </w:r>
      <w:r w:rsidRPr="00C277C0">
        <w:rPr>
          <w:rFonts w:eastAsia="宋体" w:hint="eastAsia"/>
          <w:snapToGrid w:val="0"/>
          <w:lang w:eastAsia="zh-CN"/>
        </w:rPr>
        <w:t>和</w:t>
      </w:r>
      <w:r w:rsidRPr="00C277C0">
        <w:rPr>
          <w:rFonts w:eastAsia="宋体" w:hint="eastAsia"/>
          <w:snapToGrid w:val="0"/>
          <w:lang w:eastAsia="zh-CN"/>
        </w:rPr>
        <w:t>803.52</w:t>
      </w:r>
      <w:r w:rsidR="00AE0101" w:rsidRPr="00C277C0">
        <w:rPr>
          <w:rFonts w:eastAsia="宋体" w:hint="eastAsia"/>
          <w:snapToGrid w:val="0"/>
          <w:lang w:eastAsia="zh-CN"/>
        </w:rPr>
        <w:t>节）</w:t>
      </w:r>
      <w:r w:rsidRPr="00C277C0">
        <w:rPr>
          <w:rFonts w:eastAsia="宋体" w:hint="eastAsia"/>
          <w:snapToGrid w:val="0"/>
          <w:lang w:eastAsia="zh-CN"/>
        </w:rPr>
        <w:t>以及上述第</w:t>
      </w:r>
      <w:r w:rsidR="00B773B0"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B.2</w:t>
      </w:r>
      <w:r w:rsidRPr="00C277C0">
        <w:rPr>
          <w:rFonts w:eastAsia="宋体" w:hint="eastAsia"/>
          <w:snapToGrid w:val="0"/>
          <w:lang w:eastAsia="zh-CN"/>
        </w:rPr>
        <w:t>节中建议的信息，该报告应在</w:t>
      </w:r>
      <w:r w:rsidRPr="00C277C0">
        <w:rPr>
          <w:rFonts w:eastAsia="宋体" w:hint="eastAsia"/>
          <w:snapToGrid w:val="0"/>
          <w:lang w:eastAsia="zh-CN"/>
        </w:rPr>
        <w:t>15</w:t>
      </w:r>
      <w:r w:rsidRPr="00C277C0">
        <w:rPr>
          <w:rFonts w:eastAsia="宋体" w:hint="eastAsia"/>
          <w:snapToGrid w:val="0"/>
          <w:lang w:eastAsia="zh-CN"/>
        </w:rPr>
        <w:t>个日历日内提交，以符合这两项组合产品的</w:t>
      </w:r>
      <w:r w:rsidRPr="00C277C0">
        <w:rPr>
          <w:rFonts w:eastAsia="宋体" w:hint="eastAsia"/>
          <w:snapToGrid w:val="0"/>
          <w:lang w:eastAsia="zh-CN"/>
        </w:rPr>
        <w:t>PMSR</w:t>
      </w:r>
      <w:r w:rsidRPr="00C277C0">
        <w:rPr>
          <w:rFonts w:eastAsia="宋体" w:hint="eastAsia"/>
          <w:snapToGrid w:val="0"/>
          <w:lang w:eastAsia="zh-CN"/>
        </w:rPr>
        <w:t>要求。</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3.</w:t>
      </w:r>
      <w:r w:rsidRPr="00C277C0">
        <w:rPr>
          <w:rFonts w:hint="eastAsia"/>
          <w:snapToGrid w:val="0"/>
          <w:lang w:eastAsia="zh-CN"/>
        </w:rPr>
        <w:tab/>
      </w:r>
      <w:r w:rsidRPr="00C277C0">
        <w:rPr>
          <w:rFonts w:hint="eastAsia"/>
          <w:snapToGrid w:val="0"/>
          <w:lang w:eastAsia="zh-CN"/>
        </w:rPr>
        <w:t>根据收到的额外信息报告</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组合产品申请人继续调查该事件，并确定注射器供应商在未通知组合产品申请人的情况下变更了活塞材料，且新材料改变了使用过程中拉动活塞所需的力。</w:t>
      </w:r>
    </w:p>
    <w:p w:rsidR="00C1273A" w:rsidRPr="00C277C0" w:rsidRDefault="00C1273A" w:rsidP="00FE2212">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ICSR</w:t>
      </w:r>
      <w:r w:rsidRPr="00C277C0">
        <w:rPr>
          <w:rFonts w:eastAsia="宋体" w:hint="eastAsia"/>
          <w:i/>
          <w:snapToGrid w:val="0"/>
          <w:lang w:eastAsia="zh-CN"/>
        </w:rPr>
        <w:t>考虑事项</w:t>
      </w:r>
      <w:r w:rsidRPr="00B403CB">
        <w:rPr>
          <w:rFonts w:eastAsia="宋体" w:hint="eastAsia"/>
          <w:i/>
          <w:lang w:eastAsia="zh-CN"/>
        </w:rPr>
        <w:t>。</w:t>
      </w:r>
      <w:r w:rsidRPr="00C277C0">
        <w:rPr>
          <w:rFonts w:eastAsia="宋体" w:hint="eastAsia"/>
          <w:snapToGrid w:val="0"/>
          <w:lang w:eastAsia="zh-CN"/>
        </w:rPr>
        <w:t>根据这一新信息，组合产品申请人重新评估事件，并确定必需采取补救措施，特别是移除包含新材料注射器的多批组合产品，以防止产生重大伤害的不合理风险。在做出该决定的</w:t>
      </w:r>
      <w:r w:rsidRPr="00C277C0">
        <w:rPr>
          <w:rFonts w:eastAsia="宋体" w:hint="eastAsia"/>
          <w:snapToGrid w:val="0"/>
          <w:lang w:eastAsia="zh-CN"/>
        </w:rPr>
        <w:t>5</w:t>
      </w:r>
      <w:r w:rsidRPr="00C277C0">
        <w:rPr>
          <w:rFonts w:eastAsia="宋体" w:hint="eastAsia"/>
          <w:snapToGrid w:val="0"/>
          <w:lang w:eastAsia="zh-CN"/>
        </w:rPr>
        <w:t>个工作日内（并在开始移除之前），组合产品申请人提交一份</w:t>
      </w:r>
      <w:r w:rsidRPr="00C277C0">
        <w:rPr>
          <w:rFonts w:eastAsia="宋体" w:hint="eastAsia"/>
          <w:snapToGrid w:val="0"/>
          <w:lang w:eastAsia="zh-CN"/>
        </w:rPr>
        <w:t>5</w:t>
      </w:r>
      <w:r w:rsidRPr="00C277C0">
        <w:rPr>
          <w:rFonts w:eastAsia="宋体" w:hint="eastAsia"/>
          <w:snapToGrid w:val="0"/>
          <w:lang w:eastAsia="zh-CN"/>
        </w:rPr>
        <w:t>天报告，以符合此项报告要求（</w:t>
      </w:r>
      <w:r w:rsidR="00F55EA5">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803.53</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FE2212">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非</w:t>
      </w:r>
      <w:r w:rsidRPr="00C277C0">
        <w:rPr>
          <w:rFonts w:eastAsia="宋体" w:hint="eastAsia"/>
          <w:i/>
          <w:snapToGrid w:val="0"/>
          <w:lang w:eastAsia="zh-CN"/>
        </w:rPr>
        <w:t>ICSR PMSR</w:t>
      </w:r>
      <w:r w:rsidRPr="00C277C0">
        <w:rPr>
          <w:rFonts w:eastAsia="宋体" w:hint="eastAsia"/>
          <w:i/>
          <w:snapToGrid w:val="0"/>
          <w:lang w:eastAsia="zh-CN"/>
        </w:rPr>
        <w:t>考虑因素</w:t>
      </w:r>
      <w:r w:rsidRPr="00B403CB">
        <w:rPr>
          <w:rFonts w:eastAsia="宋体" w:hint="eastAsia"/>
          <w:i/>
          <w:lang w:eastAsia="zh-CN"/>
        </w:rPr>
        <w:t>。</w:t>
      </w:r>
      <w:r w:rsidRPr="00C277C0">
        <w:rPr>
          <w:rFonts w:eastAsia="宋体" w:hint="eastAsia"/>
          <w:snapToGrid w:val="0"/>
          <w:lang w:eastAsia="zh-CN"/>
        </w:rPr>
        <w:t>组合产品申请人确定材料变更与组合产品申请中确立的质量标准不一致，并在收到组合产品批次不符合其申请中确立的质量标准信息后</w:t>
      </w:r>
      <w:r w:rsidRPr="00C277C0">
        <w:rPr>
          <w:rFonts w:eastAsia="宋体" w:hint="eastAsia"/>
          <w:snapToGrid w:val="0"/>
          <w:lang w:eastAsia="zh-CN"/>
        </w:rPr>
        <w:t>3</w:t>
      </w:r>
      <w:r w:rsidRPr="00C277C0">
        <w:rPr>
          <w:rFonts w:eastAsia="宋体" w:hint="eastAsia"/>
          <w:snapToGrid w:val="0"/>
          <w:lang w:eastAsia="zh-CN"/>
        </w:rPr>
        <w:t>个工作日内，按要求提交</w:t>
      </w:r>
      <w:r w:rsidR="0075567A" w:rsidRPr="00C277C0">
        <w:rPr>
          <w:rFonts w:eastAsia="宋体" w:hint="eastAsia"/>
          <w:snapToGrid w:val="0"/>
          <w:lang w:eastAsia="zh-CN"/>
        </w:rPr>
        <w:t>现场警示报告</w:t>
      </w:r>
      <w:r w:rsidRPr="00C277C0">
        <w:rPr>
          <w:rFonts w:eastAsia="宋体" w:hint="eastAsia"/>
          <w:snapToGrid w:val="0"/>
          <w:lang w:eastAsia="zh-CN"/>
        </w:rPr>
        <w:t>（</w:t>
      </w:r>
      <w:r w:rsidR="00814741">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314.81</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FE2212">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wordWrap w:val="0"/>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由于组合产品申请人在提交</w:t>
      </w:r>
      <w:r w:rsidRPr="00C277C0">
        <w:rPr>
          <w:rFonts w:eastAsia="宋体" w:hint="eastAsia"/>
          <w:snapToGrid w:val="0"/>
          <w:lang w:eastAsia="zh-CN"/>
        </w:rPr>
        <w:t>5</w:t>
      </w:r>
      <w:r w:rsidRPr="00C277C0">
        <w:rPr>
          <w:rFonts w:eastAsia="宋体" w:hint="eastAsia"/>
          <w:snapToGrid w:val="0"/>
          <w:lang w:eastAsia="zh-CN"/>
        </w:rPr>
        <w:t>天报告后才启动移除，因此其应在启动移除产品后的</w:t>
      </w:r>
      <w:r w:rsidRPr="00C277C0">
        <w:rPr>
          <w:rFonts w:eastAsia="宋体" w:hint="eastAsia"/>
          <w:snapToGrid w:val="0"/>
          <w:lang w:eastAsia="zh-CN"/>
        </w:rPr>
        <w:t>10</w:t>
      </w:r>
      <w:r w:rsidRPr="00C277C0">
        <w:rPr>
          <w:rFonts w:eastAsia="宋体" w:hint="eastAsia"/>
          <w:snapToGrid w:val="0"/>
          <w:lang w:eastAsia="zh-CN"/>
        </w:rPr>
        <w:t>个工作日内，通过既定流程提交一份单独的更正和移除报告（</w:t>
      </w:r>
      <w:r w:rsidR="00814741">
        <w:rPr>
          <w:rFonts w:eastAsia="宋体" w:hint="eastAsia"/>
          <w:snapToGrid w:val="0"/>
          <w:lang w:eastAsia="zh-CN"/>
        </w:rPr>
        <w:t>参</w:t>
      </w:r>
      <w:r w:rsidRPr="00C277C0">
        <w:rPr>
          <w:rFonts w:eastAsia="宋体" w:hint="eastAsia"/>
          <w:snapToGrid w:val="0"/>
          <w:lang w:eastAsia="zh-CN"/>
        </w:rPr>
        <w:t>见</w:t>
      </w:r>
      <w:hyperlink r:id="rId30" w:anchor="5">
        <w:r w:rsidRPr="00C277C0">
          <w:rPr>
            <w:rFonts w:eastAsia="宋体" w:hint="eastAsia"/>
            <w:snapToGrid w:val="0"/>
            <w:color w:val="0000FF"/>
            <w:u w:val="single" w:color="0000FF"/>
            <w:lang w:eastAsia="zh-CN"/>
          </w:rPr>
          <w:t>https://www.fda.gov/medical-devices/postmarket-requirements-devices/recalls-corrections-and-removals-devices#5</w:t>
        </w:r>
      </w:hyperlink>
      <w:r w:rsidRPr="00C277C0">
        <w:rPr>
          <w:rFonts w:eastAsia="宋体" w:hint="eastAsia"/>
          <w:snapToGrid w:val="0"/>
          <w:lang w:eastAsia="zh-CN"/>
        </w:rPr>
        <w:t>），其中包括所需信息（</w:t>
      </w:r>
      <w:r w:rsidR="00814741">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806.10</w:t>
      </w:r>
      <w:r w:rsidR="00AE0101" w:rsidRPr="00C277C0">
        <w:rPr>
          <w:rFonts w:eastAsia="宋体" w:hint="eastAsia"/>
          <w:snapToGrid w:val="0"/>
          <w:lang w:eastAsia="zh-CN"/>
        </w:rPr>
        <w:t>节）</w:t>
      </w:r>
      <w:r w:rsidRPr="00C277C0">
        <w:rPr>
          <w:rFonts w:eastAsia="宋体" w:hint="eastAsia"/>
          <w:snapToGrid w:val="0"/>
          <w:lang w:eastAsia="zh-CN"/>
        </w:rPr>
        <w:t>以及上述第</w:t>
      </w:r>
      <w:r w:rsidR="00B773B0"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B.1</w:t>
      </w:r>
      <w:r w:rsidRPr="00C277C0">
        <w:rPr>
          <w:rFonts w:eastAsia="宋体" w:hint="eastAsia"/>
          <w:snapToGrid w:val="0"/>
          <w:lang w:eastAsia="zh-CN"/>
        </w:rPr>
        <w:t>节和第</w:t>
      </w:r>
      <w:r w:rsidR="00B773B0"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B.5</w:t>
      </w:r>
      <w:r w:rsidRPr="00C277C0">
        <w:rPr>
          <w:rFonts w:eastAsia="宋体" w:hint="eastAsia"/>
          <w:snapToGrid w:val="0"/>
          <w:lang w:eastAsia="zh-CN"/>
        </w:rPr>
        <w:t>节中建议的信息（</w:t>
      </w:r>
      <w:r w:rsidR="00814741">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806.10</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4.</w:t>
      </w:r>
      <w:r w:rsidRPr="00C277C0">
        <w:rPr>
          <w:rFonts w:hint="eastAsia"/>
          <w:snapToGrid w:val="0"/>
          <w:lang w:eastAsia="zh-CN"/>
        </w:rPr>
        <w:tab/>
      </w:r>
      <w:r w:rsidRPr="00C277C0">
        <w:rPr>
          <w:rFonts w:hint="eastAsia"/>
          <w:snapToGrid w:val="0"/>
          <w:lang w:eastAsia="zh-CN"/>
        </w:rPr>
        <w:t>该情形的其他考虑因素</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FE2212">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ICSR</w:t>
      </w:r>
      <w:r w:rsidRPr="00B403CB">
        <w:rPr>
          <w:rFonts w:eastAsia="宋体" w:hint="eastAsia"/>
          <w:i/>
          <w:lang w:eastAsia="zh-CN"/>
        </w:rPr>
        <w:t>。</w:t>
      </w:r>
      <w:r w:rsidRPr="00C277C0">
        <w:rPr>
          <w:rFonts w:eastAsia="宋体" w:hint="eastAsia"/>
          <w:snapToGrid w:val="0"/>
          <w:lang w:eastAsia="zh-CN"/>
        </w:rPr>
        <w:t>如果预期会对用户眼睛造成影响，则还需要</w:t>
      </w:r>
      <w:r w:rsidR="001B6DC1" w:rsidRPr="00C277C0">
        <w:rPr>
          <w:rFonts w:eastAsia="宋体" w:hint="eastAsia"/>
          <w:snapToGrid w:val="0"/>
          <w:lang w:eastAsia="zh-CN"/>
        </w:rPr>
        <w:t>故障</w:t>
      </w:r>
      <w:r w:rsidR="00C55B83" w:rsidRPr="00C277C0">
        <w:rPr>
          <w:rFonts w:eastAsia="宋体" w:hint="eastAsia"/>
          <w:snapToGrid w:val="0"/>
          <w:lang w:eastAsia="zh-CN"/>
        </w:rPr>
        <w:t>报告</w:t>
      </w:r>
      <w:r w:rsidRPr="00C277C0">
        <w:rPr>
          <w:rFonts w:eastAsia="宋体" w:hint="eastAsia"/>
          <w:snapToGrid w:val="0"/>
          <w:lang w:eastAsia="zh-CN"/>
        </w:rPr>
        <w:t>，但不需要</w:t>
      </w:r>
      <w:r w:rsidRPr="00C277C0">
        <w:rPr>
          <w:rFonts w:eastAsia="宋体" w:hint="eastAsia"/>
          <w:snapToGrid w:val="0"/>
          <w:lang w:eastAsia="zh-CN"/>
        </w:rPr>
        <w:t>15</w:t>
      </w:r>
      <w:r w:rsidRPr="00C277C0">
        <w:rPr>
          <w:rFonts w:eastAsia="宋体" w:hint="eastAsia"/>
          <w:snapToGrid w:val="0"/>
          <w:lang w:eastAsia="zh-CN"/>
        </w:rPr>
        <w:t>天报告（</w:t>
      </w:r>
      <w:r w:rsidR="00814741">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803.50</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B403CB">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ICSR</w:t>
      </w:r>
      <w:r w:rsidRPr="00C277C0">
        <w:rPr>
          <w:rFonts w:eastAsia="宋体" w:hint="eastAsia"/>
          <w:i/>
          <w:snapToGrid w:val="0"/>
          <w:lang w:eastAsia="zh-CN"/>
        </w:rPr>
        <w:t>中的更正</w:t>
      </w:r>
      <w:r w:rsidRPr="00C277C0">
        <w:rPr>
          <w:rFonts w:eastAsia="宋体" w:hint="eastAsia"/>
          <w:i/>
          <w:snapToGrid w:val="0"/>
          <w:lang w:eastAsia="zh-CN"/>
        </w:rPr>
        <w:t>/</w:t>
      </w:r>
      <w:r w:rsidRPr="00C277C0">
        <w:rPr>
          <w:rFonts w:eastAsia="宋体" w:hint="eastAsia"/>
          <w:i/>
          <w:snapToGrid w:val="0"/>
          <w:lang w:eastAsia="zh-CN"/>
        </w:rPr>
        <w:t>移除</w:t>
      </w:r>
      <w:r w:rsidRPr="00B403CB">
        <w:rPr>
          <w:rFonts w:eastAsia="宋体" w:hint="eastAsia"/>
          <w:i/>
          <w:lang w:eastAsia="zh-CN"/>
        </w:rPr>
        <w:t>。</w:t>
      </w:r>
      <w:r w:rsidRPr="00C277C0">
        <w:rPr>
          <w:rFonts w:eastAsia="宋体" w:hint="eastAsia"/>
          <w:snapToGrid w:val="0"/>
          <w:lang w:eastAsia="zh-CN"/>
        </w:rPr>
        <w:t>如果组合产品申请人在确定有必要进行移除以防止对公众健康造成重大伤害的不合理风险后</w:t>
      </w:r>
      <w:r w:rsidRPr="00C277C0">
        <w:rPr>
          <w:rFonts w:eastAsia="宋体" w:hint="eastAsia"/>
          <w:snapToGrid w:val="0"/>
          <w:lang w:eastAsia="zh-CN"/>
        </w:rPr>
        <w:t>5</w:t>
      </w:r>
      <w:r w:rsidRPr="00C277C0">
        <w:rPr>
          <w:rFonts w:eastAsia="宋体" w:hint="eastAsia"/>
          <w:snapToGrid w:val="0"/>
          <w:lang w:eastAsia="zh-CN"/>
        </w:rPr>
        <w:t>个工作日内启动移除，则可以提交一份报告，以同时满足</w:t>
      </w:r>
      <w:r w:rsidRPr="00C277C0">
        <w:rPr>
          <w:rFonts w:eastAsia="宋体" w:hint="eastAsia"/>
          <w:snapToGrid w:val="0"/>
          <w:lang w:eastAsia="zh-CN"/>
        </w:rPr>
        <w:t>5</w:t>
      </w:r>
      <w:r w:rsidRPr="00C277C0">
        <w:rPr>
          <w:rFonts w:eastAsia="宋体" w:hint="eastAsia"/>
          <w:snapToGrid w:val="0"/>
          <w:lang w:eastAsia="zh-CN"/>
        </w:rPr>
        <w:t>天报告以及更正和移除报告要求（</w:t>
      </w:r>
      <w:r w:rsidR="00814741">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806.10</w:t>
      </w:r>
      <w:r w:rsidR="00990237" w:rsidRPr="00C277C0">
        <w:rPr>
          <w:rFonts w:eastAsia="宋体" w:hint="eastAsia"/>
          <w:snapToGrid w:val="0"/>
          <w:lang w:eastAsia="zh-CN"/>
        </w:rPr>
        <w:t>（</w:t>
      </w:r>
      <w:r w:rsidRPr="00C277C0">
        <w:rPr>
          <w:rFonts w:eastAsia="宋体" w:hint="eastAsia"/>
          <w:snapToGrid w:val="0"/>
          <w:lang w:eastAsia="zh-CN"/>
        </w:rPr>
        <w:t>f</w:t>
      </w:r>
      <w:r w:rsidR="00990237"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6223B4" w:rsidRPr="00C277C0" w:rsidRDefault="006223B4" w:rsidP="006223B4">
      <w:pPr>
        <w:autoSpaceDE/>
        <w:autoSpaceDN/>
        <w:snapToGrid w:val="0"/>
        <w:jc w:val="both"/>
        <w:rPr>
          <w:rFonts w:eastAsia="宋体"/>
          <w:snapToGrid w:val="0"/>
          <w:sz w:val="24"/>
          <w:szCs w:val="24"/>
          <w:lang w:eastAsia="zh-CN"/>
        </w:rPr>
      </w:pPr>
      <w:r w:rsidRPr="00C277C0">
        <w:rPr>
          <w:rFonts w:eastAsia="宋体" w:hint="eastAsia"/>
          <w:snapToGrid w:val="0"/>
          <w:sz w:val="24"/>
          <w:szCs w:val="24"/>
          <w:lang w:eastAsia="zh-CN"/>
        </w:rPr>
        <w:br w:type="page"/>
      </w:r>
    </w:p>
    <w:p w:rsidR="006223B4" w:rsidRPr="00B403CB" w:rsidRDefault="006223B4" w:rsidP="00B403CB">
      <w:pPr>
        <w:autoSpaceDE/>
        <w:autoSpaceDN/>
        <w:snapToGrid w:val="0"/>
        <w:jc w:val="both"/>
        <w:rPr>
          <w:rFonts w:eastAsia="宋体"/>
          <w:sz w:val="24"/>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总则</w:t>
      </w:r>
      <w:r w:rsidRPr="00B403CB">
        <w:rPr>
          <w:rFonts w:eastAsia="宋体" w:hint="eastAsia"/>
          <w:i/>
          <w:lang w:eastAsia="zh-CN"/>
        </w:rPr>
        <w:t>。</w:t>
      </w:r>
      <w:r w:rsidRPr="00C277C0">
        <w:rPr>
          <w:rFonts w:eastAsia="宋体" w:hint="eastAsia"/>
          <w:snapToGrid w:val="0"/>
          <w:lang w:eastAsia="zh-CN"/>
        </w:rPr>
        <w:t>无论申请人向</w:t>
      </w:r>
      <w:r w:rsidRPr="00C277C0">
        <w:rPr>
          <w:rFonts w:eastAsia="宋体" w:hint="eastAsia"/>
          <w:snapToGrid w:val="0"/>
          <w:lang w:eastAsia="zh-CN"/>
        </w:rPr>
        <w:t>FDA</w:t>
      </w:r>
      <w:r w:rsidRPr="00C277C0">
        <w:rPr>
          <w:rFonts w:eastAsia="宋体" w:hint="eastAsia"/>
          <w:snapToGrid w:val="0"/>
          <w:lang w:eastAsia="zh-CN"/>
        </w:rPr>
        <w:t>提交了关于该组合产品的哪些报告，申请人都必须继续遵守该产品的所有</w:t>
      </w:r>
      <w:r w:rsidRPr="00C277C0">
        <w:rPr>
          <w:rFonts w:eastAsia="宋体" w:hint="eastAsia"/>
          <w:snapToGrid w:val="0"/>
          <w:lang w:eastAsia="zh-CN"/>
        </w:rPr>
        <w:t>PMSR</w:t>
      </w:r>
      <w:r w:rsidRPr="00C277C0">
        <w:rPr>
          <w:rFonts w:eastAsia="宋体" w:hint="eastAsia"/>
          <w:snapToGrid w:val="0"/>
          <w:lang w:eastAsia="zh-CN"/>
        </w:rPr>
        <w:t>要求。例如，这种情形下，在提交</w:t>
      </w:r>
      <w:r w:rsidRPr="00C277C0">
        <w:rPr>
          <w:rFonts w:eastAsia="宋体" w:hint="eastAsia"/>
          <w:snapToGrid w:val="0"/>
          <w:lang w:eastAsia="zh-CN"/>
        </w:rPr>
        <w:t>5</w:t>
      </w:r>
      <w:r w:rsidRPr="00C277C0">
        <w:rPr>
          <w:rFonts w:eastAsia="宋体" w:hint="eastAsia"/>
          <w:snapToGrid w:val="0"/>
          <w:lang w:eastAsia="zh-CN"/>
        </w:rPr>
        <w:t>天报告后，申请人的要求将包括继续评估不良事件，并根据需要提交</w:t>
      </w:r>
      <w:r w:rsidRPr="00C277C0">
        <w:rPr>
          <w:rFonts w:eastAsia="宋体" w:hint="eastAsia"/>
          <w:snapToGrid w:val="0"/>
          <w:lang w:eastAsia="zh-CN"/>
        </w:rPr>
        <w:t>15</w:t>
      </w:r>
      <w:r w:rsidRPr="00C277C0">
        <w:rPr>
          <w:rFonts w:eastAsia="宋体" w:hint="eastAsia"/>
          <w:snapToGrid w:val="0"/>
          <w:lang w:eastAsia="zh-CN"/>
        </w:rPr>
        <w:t>天报告（</w:t>
      </w:r>
      <w:r w:rsidR="00CB2823">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00990237" w:rsidRPr="00C277C0">
        <w:rPr>
          <w:rFonts w:eastAsia="宋体" w:hint="eastAsia"/>
          <w:snapToGrid w:val="0"/>
          <w:lang w:eastAsia="zh-CN"/>
        </w:rPr>
        <w:t>（</w:t>
      </w:r>
      <w:r w:rsidRPr="00C277C0">
        <w:rPr>
          <w:rFonts w:eastAsia="宋体" w:hint="eastAsia"/>
          <w:snapToGrid w:val="0"/>
          <w:lang w:eastAsia="zh-CN"/>
        </w:rPr>
        <w:t>b</w:t>
      </w:r>
      <w:r w:rsidR="00990237" w:rsidRPr="00C277C0">
        <w:rPr>
          <w:rFonts w:eastAsia="宋体" w:hint="eastAsia"/>
          <w:snapToGrid w:val="0"/>
          <w:lang w:eastAsia="zh-CN"/>
        </w:rPr>
        <w:t>）</w:t>
      </w:r>
      <w:r w:rsidRPr="00C277C0">
        <w:rPr>
          <w:rFonts w:eastAsia="宋体" w:hint="eastAsia"/>
          <w:snapToGrid w:val="0"/>
          <w:lang w:eastAsia="zh-CN"/>
        </w:rPr>
        <w:t>和</w:t>
      </w:r>
      <w:r w:rsidRPr="00C277C0">
        <w:rPr>
          <w:rFonts w:eastAsia="宋体" w:hint="eastAsia"/>
          <w:snapToGrid w:val="0"/>
          <w:lang w:eastAsia="zh-CN"/>
        </w:rPr>
        <w:t>314.80</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2"/>
        <w:autoSpaceDE/>
        <w:autoSpaceDN/>
        <w:spacing w:beforeLines="0" w:before="0" w:line="240" w:lineRule="auto"/>
        <w:ind w:leftChars="400" w:left="1442" w:hanging="562"/>
        <w:rPr>
          <w:snapToGrid w:val="0"/>
          <w:szCs w:val="24"/>
          <w:lang w:eastAsia="zh-CN"/>
        </w:rPr>
      </w:pPr>
      <w:bookmarkStart w:id="44" w:name="_Toc97551512"/>
      <w:bookmarkStart w:id="45" w:name="_Toc95145711"/>
      <w:r w:rsidRPr="00C277C0">
        <w:rPr>
          <w:rFonts w:hint="eastAsia"/>
          <w:snapToGrid w:val="0"/>
          <w:szCs w:val="24"/>
          <w:lang w:eastAsia="zh-CN"/>
        </w:rPr>
        <w:t>B.</w:t>
      </w:r>
      <w:r w:rsidRPr="00C277C0">
        <w:rPr>
          <w:rFonts w:hint="eastAsia"/>
          <w:snapToGrid w:val="0"/>
          <w:szCs w:val="24"/>
          <w:lang w:eastAsia="zh-CN"/>
        </w:rPr>
        <w:tab/>
      </w:r>
      <w:r w:rsidRPr="00C277C0">
        <w:rPr>
          <w:rFonts w:hint="eastAsia"/>
          <w:snapToGrid w:val="0"/>
          <w:szCs w:val="24"/>
          <w:lang w:eastAsia="zh-CN"/>
        </w:rPr>
        <w:t>器械申请组合产品</w:t>
      </w:r>
      <w:bookmarkEnd w:id="44"/>
      <w:bookmarkEnd w:id="45"/>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1.</w:t>
      </w:r>
      <w:r w:rsidRPr="00C277C0">
        <w:rPr>
          <w:rFonts w:hint="eastAsia"/>
          <w:snapToGrid w:val="0"/>
          <w:lang w:eastAsia="zh-CN"/>
        </w:rPr>
        <w:tab/>
      </w:r>
      <w:r w:rsidRPr="00C277C0">
        <w:rPr>
          <w:rFonts w:hint="eastAsia"/>
          <w:snapToGrid w:val="0"/>
          <w:lang w:eastAsia="zh-CN"/>
        </w:rPr>
        <w:t>产品描述和情形</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组合产品申请人持有药物洗脱支架（</w:t>
      </w:r>
      <w:r w:rsidRPr="00C277C0">
        <w:rPr>
          <w:rFonts w:eastAsia="宋体" w:hint="eastAsia"/>
          <w:snapToGrid w:val="0"/>
          <w:lang w:eastAsia="zh-CN"/>
        </w:rPr>
        <w:t>DES</w:t>
      </w:r>
      <w:r w:rsidRPr="00C277C0">
        <w:rPr>
          <w:rFonts w:eastAsia="宋体" w:hint="eastAsia"/>
          <w:snapToGrid w:val="0"/>
          <w:lang w:eastAsia="zh-CN"/>
        </w:rPr>
        <w:t>）的</w:t>
      </w:r>
      <w:r w:rsidRPr="00C277C0">
        <w:rPr>
          <w:rFonts w:eastAsia="宋体" w:hint="eastAsia"/>
          <w:snapToGrid w:val="0"/>
          <w:lang w:eastAsia="zh-CN"/>
        </w:rPr>
        <w:t>PMA</w:t>
      </w:r>
      <w:r w:rsidRPr="00C277C0">
        <w:rPr>
          <w:rFonts w:eastAsia="宋体" w:hint="eastAsia"/>
          <w:snapToGrid w:val="0"/>
          <w:lang w:eastAsia="zh-CN"/>
        </w:rPr>
        <w:t>。该申请人收到一份报告，称患者在插入</w:t>
      </w:r>
      <w:r w:rsidRPr="00C277C0">
        <w:rPr>
          <w:rFonts w:eastAsia="宋体" w:hint="eastAsia"/>
          <w:snapToGrid w:val="0"/>
          <w:lang w:eastAsia="zh-CN"/>
        </w:rPr>
        <w:t>DES</w:t>
      </w:r>
      <w:r w:rsidRPr="00C277C0">
        <w:rPr>
          <w:rFonts w:eastAsia="宋体" w:hint="eastAsia"/>
          <w:snapToGrid w:val="0"/>
          <w:lang w:eastAsia="zh-CN"/>
        </w:rPr>
        <w:t>后出现危及生命的感染。需要对患者进行治疗并延长住院时间。该事件的严重程度超过产品标签上的任何警告。</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组合产品申请人无法回收该不良事件中涉及的产品，但能够确认产品批次并审查生产记录，并且未发现与该批次相关的任何在制品或成品检测相关的异常情况。</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2.</w:t>
      </w:r>
      <w:r w:rsidRPr="00C277C0">
        <w:rPr>
          <w:rFonts w:hint="eastAsia"/>
          <w:snapToGrid w:val="0"/>
          <w:lang w:eastAsia="zh-CN"/>
        </w:rPr>
        <w:tab/>
      </w:r>
      <w:r w:rsidRPr="00C277C0">
        <w:rPr>
          <w:rFonts w:hint="eastAsia"/>
          <w:snapToGrid w:val="0"/>
          <w:lang w:eastAsia="zh-CN"/>
        </w:rPr>
        <w:t>首次</w:t>
      </w:r>
      <w:r w:rsidRPr="00C277C0">
        <w:rPr>
          <w:rFonts w:hint="eastAsia"/>
          <w:snapToGrid w:val="0"/>
          <w:lang w:eastAsia="zh-CN"/>
        </w:rPr>
        <w:t>ICSR</w:t>
      </w:r>
      <w:r w:rsidRPr="00C277C0">
        <w:rPr>
          <w:rFonts w:hint="eastAsia"/>
          <w:snapToGrid w:val="0"/>
          <w:lang w:eastAsia="zh-CN"/>
        </w:rPr>
        <w:t>报告</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jc w:val="both"/>
        <w:rPr>
          <w:rFonts w:eastAsia="宋体"/>
          <w:snapToGrid w:val="0"/>
          <w:lang w:eastAsia="zh-CN"/>
        </w:rPr>
      </w:pPr>
      <w:r w:rsidRPr="00C277C0">
        <w:rPr>
          <w:rFonts w:eastAsia="宋体" w:hint="eastAsia"/>
          <w:snapToGrid w:val="0"/>
          <w:lang w:eastAsia="zh-CN"/>
        </w:rPr>
        <w:t>组合产品申请人评估该事件的</w:t>
      </w:r>
      <w:r w:rsidRPr="00C277C0">
        <w:rPr>
          <w:rFonts w:eastAsia="宋体" w:hint="eastAsia"/>
          <w:snapToGrid w:val="0"/>
          <w:lang w:eastAsia="zh-CN"/>
        </w:rPr>
        <w:t>ICSR</w:t>
      </w:r>
      <w:r w:rsidRPr="00C277C0">
        <w:rPr>
          <w:rFonts w:eastAsia="宋体" w:hint="eastAsia"/>
          <w:snapToGrid w:val="0"/>
          <w:lang w:eastAsia="zh-CN"/>
        </w:rPr>
        <w:t>报告义务（</w:t>
      </w:r>
      <w:r w:rsidR="00CB2823">
        <w:rPr>
          <w:rFonts w:eastAsia="宋体" w:hint="eastAsia"/>
          <w:snapToGrid w:val="0"/>
          <w:lang w:eastAsia="zh-CN"/>
        </w:rPr>
        <w:t>参</w:t>
      </w:r>
      <w:r w:rsidRPr="00C277C0">
        <w:rPr>
          <w:rFonts w:eastAsia="宋体" w:hint="eastAsia"/>
          <w:snapToGrid w:val="0"/>
          <w:lang w:eastAsia="zh-CN"/>
        </w:rPr>
        <w:t>见附录</w:t>
      </w:r>
      <w:r w:rsidRPr="00C277C0">
        <w:rPr>
          <w:rFonts w:eastAsia="宋体" w:hint="eastAsia"/>
          <w:snapToGrid w:val="0"/>
          <w:lang w:eastAsia="zh-CN"/>
        </w:rPr>
        <w:t>2</w:t>
      </w:r>
      <w:r w:rsidRPr="00C277C0">
        <w:rPr>
          <w:rFonts w:eastAsia="宋体" w:hint="eastAsia"/>
          <w:snapToGrid w:val="0"/>
          <w:lang w:eastAsia="zh-CN"/>
        </w:rPr>
        <w:t>中的表</w:t>
      </w:r>
      <w:r w:rsidRPr="00C277C0">
        <w:rPr>
          <w:rFonts w:eastAsia="宋体" w:hint="eastAsia"/>
          <w:snapToGrid w:val="0"/>
          <w:lang w:eastAsia="zh-CN"/>
        </w:rPr>
        <w:t>2.2</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40"/>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该事件是否是一次严重且非预期的不良经历？</w:t>
      </w:r>
    </w:p>
    <w:p w:rsidR="00C1273A" w:rsidRPr="00C277C0" w:rsidRDefault="00C1273A" w:rsidP="00D858CC">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tabs>
          <w:tab w:val="left" w:pos="911"/>
        </w:tabs>
        <w:autoSpaceDE/>
        <w:autoSpaceDN/>
        <w:snapToGrid w:val="0"/>
        <w:ind w:leftChars="400" w:left="880" w:firstLineChars="200" w:firstLine="480"/>
        <w:jc w:val="both"/>
        <w:rPr>
          <w:rFonts w:eastAsia="宋体"/>
          <w:snapToGrid w:val="0"/>
          <w:lang w:eastAsia="zh-CN"/>
        </w:rPr>
      </w:pPr>
      <w:r w:rsidRPr="00C277C0">
        <w:rPr>
          <w:rFonts w:eastAsia="宋体" w:hint="eastAsia"/>
          <w:snapToGrid w:val="0"/>
          <w:lang w:eastAsia="zh-CN"/>
        </w:rPr>
        <w:t>是。该感染是严重（危及生命）且非预期的（未列入产品标签）。需要</w:t>
      </w:r>
      <w:r w:rsidRPr="00C277C0">
        <w:rPr>
          <w:rFonts w:eastAsia="宋体" w:hint="eastAsia"/>
          <w:snapToGrid w:val="0"/>
          <w:lang w:eastAsia="zh-CN"/>
        </w:rPr>
        <w:t>15</w:t>
      </w:r>
      <w:r w:rsidRPr="00C277C0">
        <w:rPr>
          <w:rFonts w:eastAsia="宋体" w:hint="eastAsia"/>
          <w:snapToGrid w:val="0"/>
          <w:lang w:eastAsia="zh-CN"/>
        </w:rPr>
        <w:t>天报告（在</w:t>
      </w:r>
      <w:r w:rsidRPr="00C277C0">
        <w:rPr>
          <w:rFonts w:eastAsia="宋体" w:hint="eastAsia"/>
          <w:snapToGrid w:val="0"/>
          <w:lang w:eastAsia="zh-CN"/>
        </w:rPr>
        <w:t>30</w:t>
      </w:r>
      <w:r w:rsidRPr="00C277C0">
        <w:rPr>
          <w:rFonts w:eastAsia="宋体" w:hint="eastAsia"/>
          <w:snapToGrid w:val="0"/>
          <w:lang w:eastAsia="zh-CN"/>
        </w:rPr>
        <w:t>个日历日内完成）（</w:t>
      </w:r>
      <w:r w:rsidR="00CB2823">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314.80</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072C5E">
      <w:pPr>
        <w:pStyle w:val="a3"/>
        <w:tabs>
          <w:tab w:val="left" w:pos="911"/>
        </w:tabs>
        <w:autoSpaceDE/>
        <w:autoSpaceDN/>
        <w:snapToGrid w:val="0"/>
        <w:ind w:leftChars="400" w:left="880"/>
        <w:jc w:val="both"/>
        <w:rPr>
          <w:rFonts w:eastAsia="宋体"/>
          <w:snapToGrid w:val="0"/>
          <w:lang w:eastAsia="zh-CN"/>
        </w:rPr>
      </w:pPr>
    </w:p>
    <w:p w:rsidR="00C1273A" w:rsidRPr="00C277C0" w:rsidRDefault="00097329" w:rsidP="00B403CB">
      <w:pPr>
        <w:pStyle w:val="a4"/>
        <w:numPr>
          <w:ilvl w:val="0"/>
          <w:numId w:val="40"/>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该事件是否为可报告的死亡或重伤？</w:t>
      </w:r>
    </w:p>
    <w:p w:rsidR="00C1273A" w:rsidRPr="00C277C0" w:rsidRDefault="00C1273A" w:rsidP="00D858CC">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tabs>
          <w:tab w:val="left" w:pos="911"/>
        </w:tabs>
        <w:autoSpaceDE/>
        <w:autoSpaceDN/>
        <w:snapToGrid w:val="0"/>
        <w:ind w:leftChars="400" w:left="880" w:firstLineChars="200" w:firstLine="480"/>
        <w:jc w:val="both"/>
        <w:rPr>
          <w:rFonts w:eastAsia="宋体"/>
          <w:snapToGrid w:val="0"/>
          <w:lang w:eastAsia="zh-CN"/>
        </w:rPr>
      </w:pPr>
      <w:r w:rsidRPr="00C277C0">
        <w:rPr>
          <w:rFonts w:eastAsia="宋体" w:hint="eastAsia"/>
          <w:snapToGrid w:val="0"/>
          <w:lang w:eastAsia="zh-CN"/>
        </w:rPr>
        <w:t>是。该信息合理地表明</w:t>
      </w:r>
      <w:r w:rsidRPr="00C277C0">
        <w:rPr>
          <w:rFonts w:eastAsia="宋体" w:hint="eastAsia"/>
          <w:snapToGrid w:val="0"/>
          <w:lang w:eastAsia="zh-CN"/>
        </w:rPr>
        <w:t>DES</w:t>
      </w:r>
      <w:r w:rsidRPr="00C277C0">
        <w:rPr>
          <w:rFonts w:eastAsia="宋体" w:hint="eastAsia"/>
          <w:snapToGrid w:val="0"/>
          <w:lang w:eastAsia="zh-CN"/>
        </w:rPr>
        <w:t>可能导致或促成需要医疗干预的危及生命的感染。需要一份重伤报告（</w:t>
      </w:r>
      <w:r w:rsidR="00CB2823">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803.50</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072C5E">
      <w:pPr>
        <w:pStyle w:val="a3"/>
        <w:tabs>
          <w:tab w:val="left" w:pos="911"/>
        </w:tabs>
        <w:autoSpaceDE/>
        <w:autoSpaceDN/>
        <w:snapToGrid w:val="0"/>
        <w:ind w:leftChars="400" w:left="880"/>
        <w:jc w:val="both"/>
        <w:rPr>
          <w:rFonts w:eastAsia="宋体"/>
          <w:snapToGrid w:val="0"/>
          <w:lang w:eastAsia="zh-CN"/>
        </w:rPr>
      </w:pPr>
    </w:p>
    <w:p w:rsidR="00C1273A" w:rsidRPr="00C277C0" w:rsidRDefault="00097329" w:rsidP="00B403CB">
      <w:pPr>
        <w:pStyle w:val="a4"/>
        <w:numPr>
          <w:ilvl w:val="0"/>
          <w:numId w:val="40"/>
        </w:numPr>
        <w:tabs>
          <w:tab w:val="left" w:pos="911"/>
        </w:tabs>
        <w:autoSpaceDE/>
        <w:autoSpaceDN/>
        <w:snapToGrid w:val="0"/>
        <w:ind w:leftChars="200" w:left="920" w:hangingChars="200" w:hanging="480"/>
        <w:jc w:val="both"/>
        <w:rPr>
          <w:rFonts w:eastAsia="宋体"/>
          <w:snapToGrid w:val="0"/>
          <w:sz w:val="24"/>
          <w:szCs w:val="24"/>
          <w:lang w:eastAsia="zh-CN"/>
        </w:rPr>
      </w:pPr>
      <w:r w:rsidRPr="00C277C0">
        <w:rPr>
          <w:rFonts w:eastAsia="宋体" w:hint="eastAsia"/>
          <w:snapToGrid w:val="0"/>
          <w:sz w:val="24"/>
          <w:szCs w:val="24"/>
          <w:lang w:eastAsia="zh-CN"/>
        </w:rPr>
        <w:t>该事件是否需要采取补救措施，以防止对公众健康造成重大伤害的不合理风险？</w:t>
      </w:r>
    </w:p>
    <w:p w:rsidR="00C1273A" w:rsidRPr="00C277C0" w:rsidRDefault="00C1273A" w:rsidP="00D858CC">
      <w:pPr>
        <w:pStyle w:val="a4"/>
        <w:tabs>
          <w:tab w:val="left" w:pos="911"/>
        </w:tabs>
        <w:autoSpaceDE/>
        <w:autoSpaceDN/>
        <w:snapToGrid w:val="0"/>
        <w:ind w:left="920" w:firstLine="0"/>
        <w:jc w:val="both"/>
        <w:rPr>
          <w:rFonts w:eastAsia="宋体"/>
          <w:snapToGrid w:val="0"/>
          <w:sz w:val="24"/>
          <w:szCs w:val="24"/>
          <w:lang w:eastAsia="zh-CN"/>
        </w:rPr>
      </w:pPr>
    </w:p>
    <w:p w:rsidR="00C1273A" w:rsidRPr="00C277C0" w:rsidRDefault="00097329" w:rsidP="00B403CB">
      <w:pPr>
        <w:pStyle w:val="a3"/>
        <w:tabs>
          <w:tab w:val="left" w:pos="911"/>
        </w:tabs>
        <w:autoSpaceDE/>
        <w:autoSpaceDN/>
        <w:snapToGrid w:val="0"/>
        <w:ind w:leftChars="400" w:left="880" w:firstLineChars="200" w:firstLine="480"/>
        <w:jc w:val="both"/>
        <w:rPr>
          <w:rFonts w:eastAsia="宋体"/>
          <w:snapToGrid w:val="0"/>
          <w:lang w:eastAsia="zh-CN"/>
        </w:rPr>
      </w:pPr>
      <w:r w:rsidRPr="00C277C0">
        <w:rPr>
          <w:rFonts w:eastAsia="宋体" w:hint="eastAsia"/>
          <w:snapToGrid w:val="0"/>
          <w:lang w:eastAsia="zh-CN"/>
        </w:rPr>
        <w:t>不需要。对生产记录的审查表明，产品的生产过程或批次未见异常。申请人没有其他可用信息表明此时有必要采取补救措施。不需要</w:t>
      </w:r>
      <w:r w:rsidRPr="00C277C0">
        <w:rPr>
          <w:rFonts w:eastAsia="宋体" w:hint="eastAsia"/>
          <w:snapToGrid w:val="0"/>
          <w:lang w:eastAsia="zh-CN"/>
        </w:rPr>
        <w:t>5</w:t>
      </w:r>
      <w:r w:rsidRPr="00C277C0">
        <w:rPr>
          <w:rFonts w:eastAsia="宋体" w:hint="eastAsia"/>
          <w:snapToGrid w:val="0"/>
          <w:lang w:eastAsia="zh-CN"/>
        </w:rPr>
        <w:t>天报告。</w:t>
      </w:r>
    </w:p>
    <w:p w:rsidR="00C1273A" w:rsidRPr="00C277C0" w:rsidRDefault="00C1273A" w:rsidP="00C1273A">
      <w:pPr>
        <w:pStyle w:val="a3"/>
        <w:autoSpaceDE/>
        <w:autoSpaceDN/>
        <w:snapToGrid w:val="0"/>
        <w:ind w:leftChars="400" w:left="8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15</w:t>
      </w:r>
      <w:r w:rsidRPr="00C277C0">
        <w:rPr>
          <w:rFonts w:eastAsia="宋体" w:hint="eastAsia"/>
          <w:snapToGrid w:val="0"/>
          <w:lang w:eastAsia="zh-CN"/>
        </w:rPr>
        <w:t>天和重伤报告的报告时间均为</w:t>
      </w:r>
      <w:r w:rsidRPr="00C277C0">
        <w:rPr>
          <w:rFonts w:eastAsia="宋体" w:hint="eastAsia"/>
          <w:snapToGrid w:val="0"/>
          <w:lang w:eastAsia="zh-CN"/>
        </w:rPr>
        <w:t>30</w:t>
      </w:r>
      <w:r w:rsidRPr="00C277C0">
        <w:rPr>
          <w:rFonts w:eastAsia="宋体" w:hint="eastAsia"/>
          <w:snapToGrid w:val="0"/>
          <w:lang w:eastAsia="zh-CN"/>
        </w:rPr>
        <w:t>个日历日（</w:t>
      </w:r>
      <w:r w:rsidR="00CB2823">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803.50</w:t>
      </w:r>
      <w:r w:rsidR="00AE0101" w:rsidRPr="00C277C0">
        <w:rPr>
          <w:rFonts w:eastAsia="宋体" w:hint="eastAsia"/>
          <w:snapToGrid w:val="0"/>
          <w:lang w:eastAsia="zh-CN"/>
        </w:rPr>
        <w:t>节）</w:t>
      </w:r>
      <w:r w:rsidRPr="00C277C0">
        <w:rPr>
          <w:rFonts w:eastAsia="宋体" w:hint="eastAsia"/>
          <w:snapToGrid w:val="0"/>
          <w:lang w:eastAsia="zh-CN"/>
        </w:rPr>
        <w:t>。组合产品申请人在</w:t>
      </w:r>
      <w:r w:rsidRPr="00C277C0">
        <w:rPr>
          <w:rFonts w:eastAsia="宋体" w:hint="eastAsia"/>
          <w:snapToGrid w:val="0"/>
          <w:lang w:eastAsia="zh-CN"/>
        </w:rPr>
        <w:t>30</w:t>
      </w:r>
      <w:r w:rsidRPr="00C277C0">
        <w:rPr>
          <w:rFonts w:eastAsia="宋体" w:hint="eastAsia"/>
          <w:snapToGrid w:val="0"/>
          <w:lang w:eastAsia="zh-CN"/>
        </w:rPr>
        <w:t>个日历日内提交一份报告，其中包括所需信息（分别</w:t>
      </w:r>
      <w:r w:rsidR="008D1917">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314.80</w:t>
      </w:r>
      <w:r w:rsidRPr="00C277C0">
        <w:rPr>
          <w:rFonts w:eastAsia="宋体" w:hint="eastAsia"/>
          <w:snapToGrid w:val="0"/>
          <w:lang w:eastAsia="zh-CN"/>
        </w:rPr>
        <w:t>和</w:t>
      </w:r>
      <w:r w:rsidRPr="00C277C0">
        <w:rPr>
          <w:rFonts w:eastAsia="宋体" w:hint="eastAsia"/>
          <w:snapToGrid w:val="0"/>
          <w:lang w:eastAsia="zh-CN"/>
        </w:rPr>
        <w:t>803.52</w:t>
      </w:r>
      <w:r w:rsidR="00AE0101" w:rsidRPr="00C277C0">
        <w:rPr>
          <w:rFonts w:eastAsia="宋体" w:hint="eastAsia"/>
          <w:snapToGrid w:val="0"/>
          <w:lang w:eastAsia="zh-CN"/>
        </w:rPr>
        <w:t>节）</w:t>
      </w:r>
      <w:r w:rsidRPr="00C277C0">
        <w:rPr>
          <w:rFonts w:eastAsia="宋体" w:hint="eastAsia"/>
          <w:snapToGrid w:val="0"/>
          <w:lang w:eastAsia="zh-CN"/>
        </w:rPr>
        <w:t>以及上文第</w:t>
      </w:r>
      <w:r w:rsidR="00B773B0"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B.2</w:t>
      </w:r>
      <w:r w:rsidRPr="00C277C0">
        <w:rPr>
          <w:rFonts w:eastAsia="宋体" w:hint="eastAsia"/>
          <w:snapToGrid w:val="0"/>
          <w:lang w:eastAsia="zh-CN"/>
        </w:rPr>
        <w:t>节中建议的信息，以符合这些组合产品</w:t>
      </w:r>
      <w:r w:rsidRPr="00C277C0">
        <w:rPr>
          <w:rFonts w:eastAsia="宋体" w:hint="eastAsia"/>
          <w:snapToGrid w:val="0"/>
          <w:lang w:eastAsia="zh-CN"/>
        </w:rPr>
        <w:t>PMSR</w:t>
      </w:r>
      <w:r w:rsidRPr="00C277C0">
        <w:rPr>
          <w:rFonts w:eastAsia="宋体" w:hint="eastAsia"/>
          <w:snapToGrid w:val="0"/>
          <w:lang w:eastAsia="zh-CN"/>
        </w:rPr>
        <w:t>要求。</w:t>
      </w:r>
    </w:p>
    <w:p w:rsidR="00C1273A" w:rsidRPr="00C277C0" w:rsidRDefault="00C1273A" w:rsidP="00C1273A">
      <w:pPr>
        <w:pStyle w:val="a3"/>
        <w:autoSpaceDE/>
        <w:autoSpaceDN/>
        <w:snapToGrid w:val="0"/>
        <w:jc w:val="both"/>
        <w:rPr>
          <w:rFonts w:eastAsia="宋体"/>
          <w:snapToGrid w:val="0"/>
          <w:lang w:eastAsia="zh-CN"/>
        </w:rPr>
      </w:pPr>
    </w:p>
    <w:p w:rsidR="006223B4" w:rsidRPr="00C277C0" w:rsidRDefault="006223B4" w:rsidP="00B403CB">
      <w:pPr>
        <w:autoSpaceDE/>
        <w:autoSpaceDN/>
        <w:snapToGrid w:val="0"/>
        <w:jc w:val="both"/>
        <w:rPr>
          <w:rFonts w:eastAsia="宋体"/>
          <w:snapToGrid w:val="0"/>
          <w:sz w:val="24"/>
          <w:szCs w:val="24"/>
          <w:lang w:eastAsia="zh-CN"/>
        </w:rPr>
      </w:pPr>
      <w:r w:rsidRPr="00B403CB">
        <w:rPr>
          <w:rFonts w:eastAsia="宋体"/>
          <w:sz w:val="24"/>
          <w:lang w:eastAsia="zh-CN"/>
        </w:rPr>
        <w:br w:type="page"/>
      </w: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3.</w:t>
      </w:r>
      <w:r w:rsidRPr="00C277C0">
        <w:rPr>
          <w:rFonts w:hint="eastAsia"/>
          <w:snapToGrid w:val="0"/>
          <w:lang w:eastAsia="zh-CN"/>
        </w:rPr>
        <w:tab/>
      </w:r>
      <w:r w:rsidRPr="00C277C0">
        <w:rPr>
          <w:rFonts w:hint="eastAsia"/>
          <w:snapToGrid w:val="0"/>
          <w:lang w:eastAsia="zh-CN"/>
        </w:rPr>
        <w:t>根据收到的额外信息报告</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对于同一型号的</w:t>
      </w:r>
      <w:r w:rsidRPr="00C277C0">
        <w:rPr>
          <w:rFonts w:eastAsia="宋体" w:hint="eastAsia"/>
          <w:snapToGrid w:val="0"/>
          <w:lang w:eastAsia="zh-CN"/>
        </w:rPr>
        <w:t>DES</w:t>
      </w:r>
      <w:r w:rsidRPr="00C277C0">
        <w:rPr>
          <w:rFonts w:eastAsia="宋体" w:hint="eastAsia"/>
          <w:snapToGrid w:val="0"/>
          <w:lang w:eastAsia="zh-CN"/>
        </w:rPr>
        <w:t>，组合产品申请人收到多份其他患者相似的严重感染事件报告。组合产品申请人进行附加调查，并确定药物涂层有污染物。这些污染物可追溯到用于药物涂层的生产设备。</w:t>
      </w:r>
    </w:p>
    <w:p w:rsidR="00C1273A" w:rsidRPr="00C277C0" w:rsidRDefault="00C1273A" w:rsidP="00FE2212">
      <w:pPr>
        <w:pStyle w:val="a3"/>
        <w:autoSpaceDE/>
        <w:autoSpaceDN/>
        <w:snapToGrid w:val="0"/>
        <w:ind w:firstLineChars="200" w:firstLine="480"/>
        <w:jc w:val="both"/>
        <w:rPr>
          <w:rFonts w:eastAsia="宋体"/>
          <w:snapToGrid w:val="0"/>
          <w:lang w:eastAsia="zh-CN"/>
        </w:rPr>
      </w:pPr>
    </w:p>
    <w:p w:rsidR="00C1273A" w:rsidRPr="00C277C0" w:rsidRDefault="00097329" w:rsidP="00FE2212">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ICSR</w:t>
      </w:r>
      <w:r w:rsidRPr="00C277C0">
        <w:rPr>
          <w:rFonts w:eastAsia="宋体" w:hint="eastAsia"/>
          <w:i/>
          <w:snapToGrid w:val="0"/>
          <w:lang w:eastAsia="zh-CN"/>
        </w:rPr>
        <w:t>考虑因素。</w:t>
      </w:r>
      <w:r w:rsidRPr="00C277C0">
        <w:rPr>
          <w:rFonts w:eastAsia="宋体" w:hint="eastAsia"/>
          <w:snapToGrid w:val="0"/>
          <w:lang w:eastAsia="zh-CN"/>
        </w:rPr>
        <w:t>申请人确定因污染物而需要移除的受影响批次，以防止对公众健康造成重大伤害的不合理风险，并在两天后开始移除。因此，组合产品申请人应提交一份产品移除的</w:t>
      </w:r>
      <w:r w:rsidRPr="00C277C0">
        <w:rPr>
          <w:rFonts w:eastAsia="宋体" w:hint="eastAsia"/>
          <w:snapToGrid w:val="0"/>
          <w:lang w:eastAsia="zh-CN"/>
        </w:rPr>
        <w:t>5</w:t>
      </w:r>
      <w:r w:rsidRPr="00C277C0">
        <w:rPr>
          <w:rFonts w:eastAsia="宋体" w:hint="eastAsia"/>
          <w:snapToGrid w:val="0"/>
          <w:lang w:eastAsia="zh-CN"/>
        </w:rPr>
        <w:t>天报告，其中包括所需信息（</w:t>
      </w:r>
      <w:r w:rsidR="00246341">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803.52</w:t>
      </w:r>
      <w:r w:rsidRPr="00C277C0">
        <w:rPr>
          <w:rFonts w:eastAsia="宋体" w:hint="eastAsia"/>
          <w:snapToGrid w:val="0"/>
          <w:lang w:eastAsia="zh-CN"/>
        </w:rPr>
        <w:t>和</w:t>
      </w:r>
      <w:r w:rsidRPr="00C277C0">
        <w:rPr>
          <w:rFonts w:eastAsia="宋体" w:hint="eastAsia"/>
          <w:snapToGrid w:val="0"/>
          <w:lang w:eastAsia="zh-CN"/>
        </w:rPr>
        <w:t>806.10</w:t>
      </w:r>
      <w:r w:rsidR="00AE0101" w:rsidRPr="00C277C0">
        <w:rPr>
          <w:rFonts w:eastAsia="宋体" w:hint="eastAsia"/>
          <w:snapToGrid w:val="0"/>
          <w:lang w:eastAsia="zh-CN"/>
        </w:rPr>
        <w:t>节）</w:t>
      </w:r>
      <w:r w:rsidRPr="00C277C0">
        <w:rPr>
          <w:rFonts w:eastAsia="宋体" w:hint="eastAsia"/>
          <w:snapToGrid w:val="0"/>
          <w:lang w:eastAsia="zh-CN"/>
        </w:rPr>
        <w:t>和上文第</w:t>
      </w:r>
      <w:r w:rsidR="00B773B0"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B</w:t>
      </w:r>
      <w:r w:rsidRPr="00C277C0">
        <w:rPr>
          <w:rFonts w:eastAsia="宋体" w:hint="eastAsia"/>
          <w:snapToGrid w:val="0"/>
          <w:lang w:eastAsia="zh-CN"/>
        </w:rPr>
        <w:t>节中建议的信息。申请人在确定需要采取补救措施的</w:t>
      </w:r>
      <w:r w:rsidRPr="00C277C0">
        <w:rPr>
          <w:rFonts w:eastAsia="宋体" w:hint="eastAsia"/>
          <w:snapToGrid w:val="0"/>
          <w:lang w:eastAsia="zh-CN"/>
        </w:rPr>
        <w:t>5</w:t>
      </w:r>
      <w:r w:rsidRPr="00C277C0">
        <w:rPr>
          <w:rFonts w:eastAsia="宋体" w:hint="eastAsia"/>
          <w:snapToGrid w:val="0"/>
          <w:lang w:eastAsia="zh-CN"/>
        </w:rPr>
        <w:t>个工作日内提交报告，还应在启动移除的</w:t>
      </w:r>
      <w:r w:rsidRPr="00C277C0">
        <w:rPr>
          <w:rFonts w:eastAsia="宋体" w:hint="eastAsia"/>
          <w:snapToGrid w:val="0"/>
          <w:lang w:eastAsia="zh-CN"/>
        </w:rPr>
        <w:t>10</w:t>
      </w:r>
      <w:r w:rsidRPr="00C277C0">
        <w:rPr>
          <w:rFonts w:eastAsia="宋体" w:hint="eastAsia"/>
          <w:snapToGrid w:val="0"/>
          <w:lang w:eastAsia="zh-CN"/>
        </w:rPr>
        <w:t>个工作日内提交报告。因此，组合产品申请人可满足</w:t>
      </w:r>
      <w:r w:rsidRPr="00C277C0">
        <w:rPr>
          <w:rFonts w:eastAsia="宋体" w:hint="eastAsia"/>
          <w:snapToGrid w:val="0"/>
          <w:lang w:eastAsia="zh-CN"/>
        </w:rPr>
        <w:t>5</w:t>
      </w:r>
      <w:r w:rsidRPr="00C277C0">
        <w:rPr>
          <w:rFonts w:eastAsia="宋体" w:hint="eastAsia"/>
          <w:snapToGrid w:val="0"/>
          <w:lang w:eastAsia="zh-CN"/>
        </w:rPr>
        <w:t>天及更正和移除报告要求（</w:t>
      </w:r>
      <w:r w:rsidR="00246341">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w:t>
      </w:r>
      <w:r w:rsidRPr="00C277C0">
        <w:rPr>
          <w:rFonts w:eastAsia="宋体" w:hint="eastAsia"/>
          <w:snapToGrid w:val="0"/>
          <w:lang w:eastAsia="zh-CN"/>
        </w:rPr>
        <w:t>803.53</w:t>
      </w:r>
      <w:r w:rsidRPr="00C277C0">
        <w:rPr>
          <w:rFonts w:eastAsia="宋体" w:hint="eastAsia"/>
          <w:snapToGrid w:val="0"/>
          <w:lang w:eastAsia="zh-CN"/>
        </w:rPr>
        <w:t>和</w:t>
      </w:r>
      <w:r w:rsidRPr="00C277C0">
        <w:rPr>
          <w:rFonts w:eastAsia="宋体" w:hint="eastAsia"/>
          <w:snapToGrid w:val="0"/>
          <w:lang w:eastAsia="zh-CN"/>
        </w:rPr>
        <w:t>806.10</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B403CB">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i/>
          <w:snapToGrid w:val="0"/>
          <w:lang w:eastAsia="zh-CN"/>
        </w:rPr>
        <w:t>非</w:t>
      </w:r>
      <w:r w:rsidRPr="00C277C0">
        <w:rPr>
          <w:rFonts w:eastAsia="宋体" w:hint="eastAsia"/>
          <w:i/>
          <w:snapToGrid w:val="0"/>
          <w:lang w:eastAsia="zh-CN"/>
        </w:rPr>
        <w:t>ICSR</w:t>
      </w:r>
      <w:r w:rsidRPr="00C277C0">
        <w:rPr>
          <w:rFonts w:eastAsia="宋体" w:hint="eastAsia"/>
          <w:i/>
          <w:snapToGrid w:val="0"/>
          <w:lang w:eastAsia="zh-CN"/>
        </w:rPr>
        <w:t>考虑因素。</w:t>
      </w:r>
      <w:r w:rsidRPr="00C277C0">
        <w:rPr>
          <w:rFonts w:eastAsia="宋体" w:hint="eastAsia"/>
          <w:snapToGrid w:val="0"/>
          <w:lang w:eastAsia="zh-CN"/>
        </w:rPr>
        <w:t>由于申请人在其</w:t>
      </w:r>
      <w:r w:rsidRPr="00C277C0">
        <w:rPr>
          <w:rFonts w:eastAsia="宋体" w:hint="eastAsia"/>
          <w:snapToGrid w:val="0"/>
          <w:lang w:eastAsia="zh-CN"/>
        </w:rPr>
        <w:t>5</w:t>
      </w:r>
      <w:r w:rsidRPr="00C277C0">
        <w:rPr>
          <w:rFonts w:eastAsia="宋体" w:hint="eastAsia"/>
          <w:snapToGrid w:val="0"/>
          <w:lang w:eastAsia="zh-CN"/>
        </w:rPr>
        <w:t>天报告中包含了</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806.10</w:t>
      </w:r>
      <w:r w:rsidRPr="00C277C0">
        <w:rPr>
          <w:rFonts w:eastAsia="宋体" w:hint="eastAsia"/>
          <w:snapToGrid w:val="0"/>
          <w:lang w:eastAsia="zh-CN"/>
        </w:rPr>
        <w:t>要求的所有信息，因此不需要单独的更正和移除报告（</w:t>
      </w:r>
      <w:r w:rsidR="00246341">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806.10</w:t>
      </w:r>
      <w:r w:rsidR="00FA5CED" w:rsidRPr="00C277C0">
        <w:rPr>
          <w:rFonts w:eastAsia="宋体" w:hint="eastAsia"/>
          <w:snapToGrid w:val="0"/>
          <w:lang w:eastAsia="zh-CN"/>
        </w:rPr>
        <w:t>（</w:t>
      </w:r>
      <w:r w:rsidRPr="00C277C0">
        <w:rPr>
          <w:rFonts w:eastAsia="宋体" w:hint="eastAsia"/>
          <w:snapToGrid w:val="0"/>
          <w:lang w:eastAsia="zh-CN"/>
        </w:rPr>
        <w:t>f</w:t>
      </w:r>
      <w:r w:rsidR="00FA5CED" w:rsidRPr="00C277C0">
        <w:rPr>
          <w:rFonts w:eastAsia="宋体" w:hint="eastAsia"/>
          <w:snapToGrid w:val="0"/>
          <w:lang w:eastAsia="zh-CN"/>
        </w:rPr>
        <w:t>）</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FE2212">
      <w:pPr>
        <w:pStyle w:val="a3"/>
        <w:autoSpaceDE/>
        <w:autoSpaceDN/>
        <w:snapToGrid w:val="0"/>
        <w:ind w:firstLineChars="200" w:firstLine="48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由于生产过程中发生的药物涂层污染，组合产品申请人确定需要</w:t>
      </w:r>
      <w:r w:rsidR="0075567A" w:rsidRPr="00C277C0">
        <w:rPr>
          <w:rFonts w:eastAsia="宋体" w:hint="eastAsia"/>
          <w:snapToGrid w:val="0"/>
          <w:lang w:eastAsia="zh-CN"/>
        </w:rPr>
        <w:t>现场警示报告</w:t>
      </w:r>
      <w:r w:rsidRPr="00C277C0">
        <w:rPr>
          <w:rFonts w:eastAsia="宋体" w:hint="eastAsia"/>
          <w:snapToGrid w:val="0"/>
          <w:lang w:eastAsia="zh-CN"/>
        </w:rPr>
        <w:t>。申请人在发现污染问题后的</w:t>
      </w:r>
      <w:r w:rsidRPr="00C277C0">
        <w:rPr>
          <w:rFonts w:eastAsia="宋体" w:hint="eastAsia"/>
          <w:snapToGrid w:val="0"/>
          <w:lang w:eastAsia="zh-CN"/>
        </w:rPr>
        <w:t>3</w:t>
      </w:r>
      <w:r w:rsidRPr="00C277C0">
        <w:rPr>
          <w:rFonts w:eastAsia="宋体" w:hint="eastAsia"/>
          <w:snapToGrid w:val="0"/>
          <w:lang w:eastAsia="zh-CN"/>
        </w:rPr>
        <w:t>个工作日内提交一份</w:t>
      </w:r>
      <w:r w:rsidR="0075567A" w:rsidRPr="00C277C0">
        <w:rPr>
          <w:rFonts w:eastAsia="宋体" w:hint="eastAsia"/>
          <w:snapToGrid w:val="0"/>
          <w:lang w:eastAsia="zh-CN"/>
        </w:rPr>
        <w:t>现场警示报告</w:t>
      </w:r>
      <w:r w:rsidRPr="00C277C0">
        <w:rPr>
          <w:rFonts w:eastAsia="宋体" w:hint="eastAsia"/>
          <w:snapToGrid w:val="0"/>
          <w:lang w:eastAsia="zh-CN"/>
        </w:rPr>
        <w:t>，其中包括</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314.81</w:t>
      </w:r>
      <w:r w:rsidRPr="00C277C0">
        <w:rPr>
          <w:rFonts w:eastAsia="宋体" w:hint="eastAsia"/>
          <w:snapToGrid w:val="0"/>
          <w:lang w:eastAsia="zh-CN"/>
        </w:rPr>
        <w:t>要求的信息，以及上述第</w:t>
      </w:r>
      <w:r w:rsidR="00B773B0"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B.1</w:t>
      </w:r>
      <w:r w:rsidRPr="00C277C0">
        <w:rPr>
          <w:rFonts w:eastAsia="宋体" w:hint="eastAsia"/>
          <w:snapToGrid w:val="0"/>
          <w:lang w:eastAsia="zh-CN"/>
        </w:rPr>
        <w:t>节和第</w:t>
      </w:r>
      <w:r w:rsidR="00B773B0" w:rsidRPr="00C277C0">
        <w:rPr>
          <w:rFonts w:eastAsia="宋体" w:hint="eastAsia"/>
          <w:snapToGrid w:val="0"/>
          <w:lang w:eastAsia="zh-CN"/>
        </w:rPr>
        <w:t>V</w:t>
      </w:r>
      <w:r w:rsidR="00C0232D" w:rsidRPr="00C277C0">
        <w:rPr>
          <w:rFonts w:eastAsia="宋体" w:hint="eastAsia"/>
          <w:snapToGrid w:val="0"/>
          <w:lang w:eastAsia="zh-CN"/>
        </w:rPr>
        <w:t>.</w:t>
      </w:r>
      <w:r w:rsidRPr="00C277C0">
        <w:rPr>
          <w:rFonts w:eastAsia="宋体" w:hint="eastAsia"/>
          <w:snapToGrid w:val="0"/>
          <w:lang w:eastAsia="zh-CN"/>
        </w:rPr>
        <w:t>B.5</w:t>
      </w:r>
      <w:r w:rsidRPr="00C277C0">
        <w:rPr>
          <w:rFonts w:eastAsia="宋体" w:hint="eastAsia"/>
          <w:snapToGrid w:val="0"/>
          <w:lang w:eastAsia="zh-CN"/>
        </w:rPr>
        <w:t>节建议的信息，以满足这项附加</w:t>
      </w:r>
      <w:r w:rsidRPr="00C277C0">
        <w:rPr>
          <w:rFonts w:eastAsia="宋体" w:hint="eastAsia"/>
          <w:snapToGrid w:val="0"/>
          <w:lang w:eastAsia="zh-CN"/>
        </w:rPr>
        <w:t>PMSR</w:t>
      </w:r>
      <w:r w:rsidRPr="00C277C0">
        <w:rPr>
          <w:rFonts w:eastAsia="宋体" w:hint="eastAsia"/>
          <w:snapToGrid w:val="0"/>
          <w:lang w:eastAsia="zh-CN"/>
        </w:rPr>
        <w:t>要求（</w:t>
      </w:r>
      <w:r w:rsidR="00246341">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314.81</w:t>
      </w:r>
      <w:r w:rsidR="00AE0101" w:rsidRPr="00C277C0">
        <w:rPr>
          <w:rFonts w:eastAsia="宋体" w:hint="eastAsia"/>
          <w:snapToGrid w:val="0"/>
          <w:lang w:eastAsia="zh-CN"/>
        </w:rPr>
        <w:t>节）</w:t>
      </w:r>
      <w:r w:rsidRPr="00C277C0">
        <w:rPr>
          <w:rFonts w:eastAsia="宋体" w:hint="eastAsia"/>
          <w:snapToGrid w:val="0"/>
          <w:lang w:eastAsia="zh-CN"/>
        </w:rPr>
        <w:t>。</w:t>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CB2C74" w:rsidP="00B403CB">
      <w:pPr>
        <w:pStyle w:val="4"/>
        <w:autoSpaceDE/>
        <w:autoSpaceDN/>
        <w:spacing w:beforeLines="0" w:before="0" w:line="240" w:lineRule="auto"/>
        <w:ind w:leftChars="650" w:left="1912"/>
        <w:rPr>
          <w:snapToGrid w:val="0"/>
          <w:lang w:eastAsia="zh-CN"/>
        </w:rPr>
      </w:pPr>
      <w:r w:rsidRPr="00C277C0">
        <w:rPr>
          <w:rFonts w:hint="eastAsia"/>
          <w:snapToGrid w:val="0"/>
          <w:lang w:eastAsia="zh-CN"/>
        </w:rPr>
        <w:t>4.</w:t>
      </w:r>
      <w:r w:rsidRPr="00C277C0">
        <w:rPr>
          <w:rFonts w:hint="eastAsia"/>
          <w:snapToGrid w:val="0"/>
          <w:lang w:eastAsia="zh-CN"/>
        </w:rPr>
        <w:tab/>
      </w:r>
      <w:r w:rsidRPr="00C277C0">
        <w:rPr>
          <w:rFonts w:hint="eastAsia"/>
          <w:snapToGrid w:val="0"/>
          <w:lang w:eastAsia="zh-CN"/>
        </w:rPr>
        <w:t>其它注意事项</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在此情形下，通过不良事件调查发现了污染问题。</w:t>
      </w:r>
      <w:r w:rsidR="00A0211B" w:rsidRPr="00C277C0">
        <w:rPr>
          <w:rFonts w:eastAsia="宋体" w:hint="eastAsia"/>
          <w:snapToGrid w:val="0"/>
          <w:lang w:eastAsia="zh-CN"/>
        </w:rPr>
        <w:t>须知</w:t>
      </w:r>
      <w:r w:rsidRPr="00C277C0">
        <w:rPr>
          <w:rFonts w:eastAsia="宋体" w:hint="eastAsia"/>
          <w:snapToGrid w:val="0"/>
          <w:lang w:eastAsia="zh-CN"/>
        </w:rPr>
        <w:t>，如果在任何不良事件报告之前发现污染问题，则首先要求组合产品申请人在收到信息后</w:t>
      </w:r>
      <w:r w:rsidRPr="00C277C0">
        <w:rPr>
          <w:rFonts w:eastAsia="宋体" w:hint="eastAsia"/>
          <w:snapToGrid w:val="0"/>
          <w:lang w:eastAsia="zh-CN"/>
        </w:rPr>
        <w:t>3</w:t>
      </w:r>
      <w:r w:rsidRPr="00C277C0">
        <w:rPr>
          <w:rFonts w:eastAsia="宋体" w:hint="eastAsia"/>
          <w:snapToGrid w:val="0"/>
          <w:lang w:eastAsia="zh-CN"/>
        </w:rPr>
        <w:t>个工作日内提交</w:t>
      </w:r>
      <w:r w:rsidR="0075567A" w:rsidRPr="00C277C0">
        <w:rPr>
          <w:rFonts w:eastAsia="宋体" w:hint="eastAsia"/>
          <w:snapToGrid w:val="0"/>
          <w:lang w:eastAsia="zh-CN"/>
        </w:rPr>
        <w:t>现场警示报告</w:t>
      </w:r>
      <w:r w:rsidRPr="00C277C0">
        <w:rPr>
          <w:rFonts w:eastAsia="宋体" w:hint="eastAsia"/>
          <w:snapToGrid w:val="0"/>
          <w:lang w:eastAsia="zh-CN"/>
        </w:rPr>
        <w:t>（</w:t>
      </w:r>
      <w:r w:rsidR="007C6FC0">
        <w:rPr>
          <w:rFonts w:eastAsia="宋体" w:hint="eastAsia"/>
          <w:snapToGrid w:val="0"/>
          <w:lang w:eastAsia="zh-CN"/>
        </w:rPr>
        <w:t>参</w:t>
      </w:r>
      <w:r w:rsidRPr="00C277C0">
        <w:rPr>
          <w:rFonts w:eastAsia="宋体" w:hint="eastAsia"/>
          <w:snapToGrid w:val="0"/>
          <w:lang w:eastAsia="zh-CN"/>
        </w:rPr>
        <w:t>见</w:t>
      </w:r>
      <w:r w:rsidR="007267DD" w:rsidRPr="00C277C0">
        <w:rPr>
          <w:rFonts w:eastAsia="宋体" w:hint="eastAsia"/>
          <w:snapToGrid w:val="0"/>
          <w:lang w:eastAsia="zh-CN"/>
        </w:rPr>
        <w:t>《美国联邦法规》第</w:t>
      </w:r>
      <w:r w:rsidR="00286DB1">
        <w:rPr>
          <w:rFonts w:eastAsia="宋体" w:hint="eastAsia"/>
          <w:snapToGrid w:val="0"/>
          <w:lang w:eastAsia="zh-CN"/>
        </w:rPr>
        <w:t>21</w:t>
      </w:r>
      <w:r w:rsidR="00286DB1">
        <w:rPr>
          <w:rFonts w:eastAsia="宋体" w:hint="eastAsia"/>
          <w:snapToGrid w:val="0"/>
          <w:lang w:eastAsia="zh-CN"/>
        </w:rPr>
        <w:t>篇</w:t>
      </w:r>
      <w:r w:rsidR="00AE0101" w:rsidRPr="00C277C0">
        <w:rPr>
          <w:rFonts w:eastAsia="宋体" w:hint="eastAsia"/>
          <w:snapToGrid w:val="0"/>
          <w:lang w:eastAsia="zh-CN"/>
        </w:rPr>
        <w:t>第</w:t>
      </w:r>
      <w:r w:rsidRPr="00C277C0">
        <w:rPr>
          <w:rFonts w:eastAsia="宋体" w:hint="eastAsia"/>
          <w:snapToGrid w:val="0"/>
          <w:lang w:eastAsia="zh-CN"/>
        </w:rPr>
        <w:t>4.102</w:t>
      </w:r>
      <w:r w:rsidRPr="00C277C0">
        <w:rPr>
          <w:rFonts w:eastAsia="宋体" w:hint="eastAsia"/>
          <w:snapToGrid w:val="0"/>
          <w:lang w:eastAsia="zh-CN"/>
        </w:rPr>
        <w:t>和</w:t>
      </w:r>
      <w:r w:rsidRPr="00C277C0">
        <w:rPr>
          <w:rFonts w:eastAsia="宋体" w:hint="eastAsia"/>
          <w:snapToGrid w:val="0"/>
          <w:lang w:eastAsia="zh-CN"/>
        </w:rPr>
        <w:t>314.81</w:t>
      </w:r>
      <w:r w:rsidR="00AE0101" w:rsidRPr="00C277C0">
        <w:rPr>
          <w:rFonts w:eastAsia="宋体" w:hint="eastAsia"/>
          <w:snapToGrid w:val="0"/>
          <w:lang w:eastAsia="zh-CN"/>
        </w:rPr>
        <w:t>节）</w:t>
      </w:r>
      <w:r w:rsidRPr="00C277C0">
        <w:rPr>
          <w:rFonts w:eastAsia="宋体" w:hint="eastAsia"/>
          <w:snapToGrid w:val="0"/>
          <w:lang w:eastAsia="zh-CN"/>
        </w:rPr>
        <w:t>，并且一旦触发，还必须按其各自的时间表遵守示例中确定的其他报告要求。</w:t>
      </w:r>
    </w:p>
    <w:p w:rsidR="00C1273A" w:rsidRPr="00C277C0" w:rsidRDefault="00C1273A" w:rsidP="00C1273A">
      <w:pPr>
        <w:pStyle w:val="a3"/>
        <w:autoSpaceDE/>
        <w:autoSpaceDN/>
        <w:snapToGrid w:val="0"/>
        <w:jc w:val="both"/>
        <w:rPr>
          <w:rFonts w:eastAsia="宋体"/>
          <w:snapToGrid w:val="0"/>
          <w:lang w:eastAsia="zh-CN"/>
        </w:rPr>
      </w:pPr>
    </w:p>
    <w:p w:rsidR="006223B4" w:rsidRPr="00C277C0" w:rsidRDefault="006223B4" w:rsidP="00B403CB">
      <w:pPr>
        <w:autoSpaceDE/>
        <w:autoSpaceDN/>
        <w:snapToGrid w:val="0"/>
        <w:jc w:val="both"/>
        <w:rPr>
          <w:rFonts w:eastAsia="宋体"/>
          <w:snapToGrid w:val="0"/>
          <w:sz w:val="24"/>
          <w:szCs w:val="24"/>
          <w:lang w:eastAsia="zh-CN"/>
        </w:rPr>
        <w:sectPr w:rsidR="006223B4" w:rsidRPr="00C277C0" w:rsidSect="00B403CB">
          <w:headerReference w:type="default" r:id="rId31"/>
          <w:footerReference w:type="default" r:id="rId32"/>
          <w:pgSz w:w="11907" w:h="16840" w:code="9"/>
          <w:pgMar w:top="1134" w:right="1134" w:bottom="1134" w:left="1418" w:header="567" w:footer="567" w:gutter="0"/>
          <w:pgNumType w:start="1"/>
          <w:cols w:space="720"/>
          <w:docGrid w:linePitch="299"/>
        </w:sectPr>
      </w:pPr>
    </w:p>
    <w:p w:rsidR="00D83601" w:rsidRPr="00B403CB" w:rsidRDefault="00097329" w:rsidP="00B403CB">
      <w:pPr>
        <w:pStyle w:val="1"/>
        <w:autoSpaceDE/>
        <w:autoSpaceDN/>
        <w:spacing w:beforeLines="0" w:before="0" w:line="240" w:lineRule="auto"/>
        <w:ind w:left="562" w:hanging="562"/>
        <w:rPr>
          <w:sz w:val="28"/>
          <w:lang w:eastAsia="zh-CN"/>
        </w:rPr>
      </w:pPr>
      <w:bookmarkStart w:id="46" w:name="_Toc97551513"/>
      <w:bookmarkStart w:id="47" w:name="_Toc95145712"/>
      <w:r w:rsidRPr="00B403CB">
        <w:rPr>
          <w:rFonts w:hint="eastAsia"/>
          <w:sz w:val="28"/>
          <w:lang w:eastAsia="zh-CN"/>
        </w:rPr>
        <w:lastRenderedPageBreak/>
        <w:t>附录</w:t>
      </w:r>
      <w:r w:rsidRPr="00B403CB">
        <w:rPr>
          <w:sz w:val="28"/>
          <w:lang w:eastAsia="zh-CN"/>
        </w:rPr>
        <w:t>1.</w:t>
      </w:r>
      <w:r w:rsidRPr="00B403CB">
        <w:rPr>
          <w:rFonts w:hint="eastAsia"/>
          <w:sz w:val="28"/>
          <w:lang w:eastAsia="zh-CN"/>
        </w:rPr>
        <w:t>按申请和产品类型列出的组合产品（</w:t>
      </w:r>
      <w:r w:rsidRPr="00B403CB">
        <w:rPr>
          <w:sz w:val="28"/>
          <w:lang w:eastAsia="zh-CN"/>
        </w:rPr>
        <w:t>CP</w:t>
      </w:r>
      <w:r w:rsidRPr="00B403CB">
        <w:rPr>
          <w:rFonts w:hint="eastAsia"/>
          <w:sz w:val="28"/>
          <w:lang w:eastAsia="zh-CN"/>
        </w:rPr>
        <w:t>）</w:t>
      </w:r>
      <w:r w:rsidRPr="00B403CB">
        <w:rPr>
          <w:sz w:val="28"/>
          <w:lang w:eastAsia="zh-CN"/>
        </w:rPr>
        <w:t>PMSR</w:t>
      </w:r>
      <w:r w:rsidRPr="00B403CB">
        <w:rPr>
          <w:rFonts w:hint="eastAsia"/>
          <w:sz w:val="28"/>
          <w:lang w:eastAsia="zh-CN"/>
        </w:rPr>
        <w:t>要求</w:t>
      </w:r>
      <w:bookmarkEnd w:id="46"/>
      <w:bookmarkEnd w:id="47"/>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57" w:type="dxa"/>
          <w:right w:w="57" w:type="dxa"/>
        </w:tblCellMar>
        <w:tblLook w:val="01E0" w:firstRow="1" w:lastRow="1" w:firstColumn="1" w:lastColumn="1" w:noHBand="0" w:noVBand="0"/>
      </w:tblPr>
      <w:tblGrid>
        <w:gridCol w:w="1078"/>
        <w:gridCol w:w="2144"/>
        <w:gridCol w:w="652"/>
        <w:gridCol w:w="579"/>
        <w:gridCol w:w="549"/>
        <w:gridCol w:w="743"/>
        <w:gridCol w:w="693"/>
        <w:gridCol w:w="878"/>
        <w:gridCol w:w="693"/>
        <w:gridCol w:w="858"/>
        <w:gridCol w:w="731"/>
        <w:gridCol w:w="1090"/>
        <w:gridCol w:w="3998"/>
      </w:tblGrid>
      <w:tr w:rsidR="009C4D9B" w:rsidRPr="00C277C0" w:rsidTr="00B403CB">
        <w:trPr>
          <w:trHeight w:val="20"/>
        </w:trPr>
        <w:tc>
          <w:tcPr>
            <w:tcW w:w="367" w:type="pct"/>
            <w:vMerge w:val="restart"/>
            <w:tcBorders>
              <w:right w:val="single" w:sz="4" w:space="0" w:color="000000"/>
            </w:tcBorders>
            <w:shd w:val="clear" w:color="auto" w:fill="auto"/>
            <w:vAlign w:val="bottom"/>
          </w:tcPr>
          <w:p w:rsidR="00D83601" w:rsidRPr="00B403CB" w:rsidRDefault="00097329" w:rsidP="00C1273A">
            <w:pPr>
              <w:pStyle w:val="TableParagraph"/>
              <w:autoSpaceDE/>
              <w:autoSpaceDN/>
              <w:snapToGrid w:val="0"/>
              <w:jc w:val="both"/>
              <w:rPr>
                <w:rFonts w:eastAsia="宋体"/>
                <w:sz w:val="18"/>
              </w:rPr>
            </w:pPr>
            <w:r w:rsidRPr="00B403CB">
              <w:rPr>
                <w:rFonts w:eastAsia="宋体" w:hint="eastAsia"/>
                <w:sz w:val="18"/>
              </w:rPr>
              <w:t>申请类型</w:t>
            </w:r>
          </w:p>
        </w:tc>
        <w:tc>
          <w:tcPr>
            <w:tcW w:w="730" w:type="pct"/>
            <w:vMerge w:val="restart"/>
            <w:tcBorders>
              <w:left w:val="single" w:sz="4" w:space="0" w:color="000000"/>
            </w:tcBorders>
            <w:shd w:val="clear" w:color="auto" w:fill="auto"/>
            <w:vAlign w:val="bottom"/>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申请人的产品类型（</w:t>
            </w:r>
            <w:r w:rsidRPr="00B403CB">
              <w:rPr>
                <w:rFonts w:eastAsia="宋体"/>
                <w:sz w:val="18"/>
                <w:lang w:eastAsia="zh-CN"/>
              </w:rPr>
              <w:t>CP =</w:t>
            </w:r>
            <w:r w:rsidRPr="00B403CB">
              <w:rPr>
                <w:rFonts w:eastAsia="宋体" w:hint="eastAsia"/>
                <w:sz w:val="18"/>
                <w:lang w:eastAsia="zh-CN"/>
              </w:rPr>
              <w:t>组合产品）</w:t>
            </w:r>
          </w:p>
        </w:tc>
        <w:tc>
          <w:tcPr>
            <w:tcW w:w="606" w:type="pct"/>
            <w:gridSpan w:val="3"/>
            <w:tcBorders>
              <w:bottom w:val="single" w:sz="4" w:space="0" w:color="000000"/>
            </w:tcBorders>
            <w:shd w:val="clear" w:color="auto" w:fill="auto"/>
          </w:tcPr>
          <w:p w:rsidR="00D83601" w:rsidRPr="00B403CB" w:rsidRDefault="00097329" w:rsidP="00D858CC">
            <w:pPr>
              <w:pStyle w:val="TableParagraph"/>
              <w:autoSpaceDE/>
              <w:autoSpaceDN/>
              <w:snapToGrid w:val="0"/>
              <w:jc w:val="center"/>
              <w:rPr>
                <w:rFonts w:eastAsia="宋体"/>
                <w:sz w:val="18"/>
              </w:rPr>
            </w:pPr>
            <w:r w:rsidRPr="00B403CB">
              <w:rPr>
                <w:rFonts w:eastAsia="宋体" w:hint="eastAsia"/>
                <w:sz w:val="18"/>
              </w:rPr>
              <w:t>基于申请类型的要求</w:t>
            </w:r>
          </w:p>
        </w:tc>
        <w:tc>
          <w:tcPr>
            <w:tcW w:w="1936" w:type="pct"/>
            <w:gridSpan w:val="7"/>
            <w:tcBorders>
              <w:bottom w:val="single" w:sz="4" w:space="0" w:color="000000"/>
            </w:tcBorders>
            <w:shd w:val="clear" w:color="auto" w:fill="auto"/>
          </w:tcPr>
          <w:p w:rsidR="00C1273A" w:rsidRPr="00B403CB" w:rsidRDefault="00097329" w:rsidP="00D858CC">
            <w:pPr>
              <w:pStyle w:val="TableParagraph"/>
              <w:autoSpaceDE/>
              <w:autoSpaceDN/>
              <w:snapToGrid w:val="0"/>
              <w:jc w:val="center"/>
              <w:rPr>
                <w:rFonts w:eastAsia="宋体"/>
                <w:sz w:val="18"/>
                <w:lang w:eastAsia="zh-CN"/>
              </w:rPr>
            </w:pPr>
            <w:r w:rsidRPr="00B403CB">
              <w:rPr>
                <w:rFonts w:eastAsia="宋体" w:hint="eastAsia"/>
                <w:sz w:val="18"/>
                <w:lang w:eastAsia="zh-CN"/>
              </w:rPr>
              <w:t>其他基于组成部分的报告要求</w:t>
            </w:r>
            <w:r w:rsidR="00FE2212" w:rsidRPr="00C277C0">
              <w:rPr>
                <w:rStyle w:val="af4"/>
                <w:rFonts w:eastAsia="宋体" w:hint="eastAsia"/>
                <w:snapToGrid w:val="0"/>
                <w:sz w:val="18"/>
                <w:szCs w:val="18"/>
                <w:lang w:eastAsia="zh-CN"/>
              </w:rPr>
              <w:footnoteReference w:id="54"/>
            </w:r>
            <w:r w:rsidR="00FE2212" w:rsidRPr="00C277C0">
              <w:rPr>
                <w:rFonts w:eastAsia="宋体" w:hint="eastAsia"/>
                <w:snapToGrid w:val="0"/>
                <w:sz w:val="18"/>
                <w:szCs w:val="18"/>
                <w:vertAlign w:val="superscript"/>
                <w:lang w:eastAsia="zh-CN"/>
              </w:rPr>
              <w:t>,</w:t>
            </w:r>
            <w:r w:rsidR="00FE2212" w:rsidRPr="00C277C0">
              <w:rPr>
                <w:rStyle w:val="af4"/>
                <w:rFonts w:eastAsia="宋体" w:hint="eastAsia"/>
                <w:snapToGrid w:val="0"/>
                <w:sz w:val="18"/>
                <w:szCs w:val="18"/>
                <w:lang w:eastAsia="zh-CN"/>
              </w:rPr>
              <w:footnoteReference w:id="55"/>
            </w:r>
          </w:p>
          <w:p w:rsidR="00D83601" w:rsidRPr="00B403CB" w:rsidRDefault="00097329" w:rsidP="00D858CC">
            <w:pPr>
              <w:pStyle w:val="TableParagraph"/>
              <w:autoSpaceDE/>
              <w:autoSpaceDN/>
              <w:snapToGrid w:val="0"/>
              <w:jc w:val="center"/>
              <w:rPr>
                <w:rFonts w:eastAsia="宋体"/>
                <w:sz w:val="18"/>
                <w:lang w:eastAsia="zh-CN"/>
              </w:rPr>
            </w:pPr>
            <w:r w:rsidRPr="00B403CB">
              <w:rPr>
                <w:rFonts w:eastAsia="宋体" w:hint="eastAsia"/>
                <w:sz w:val="18"/>
                <w:lang w:eastAsia="zh-CN"/>
              </w:rPr>
              <w:t>（</w:t>
            </w:r>
            <w:r w:rsidR="007C6FC0">
              <w:rPr>
                <w:rFonts w:eastAsia="宋体" w:hint="eastAsia"/>
                <w:sz w:val="18"/>
                <w:lang w:eastAsia="zh-CN"/>
              </w:rPr>
              <w:t>参</w:t>
            </w:r>
            <w:r w:rsidRPr="00B403CB">
              <w:rPr>
                <w:rFonts w:eastAsia="宋体" w:hint="eastAsia"/>
                <w:sz w:val="18"/>
                <w:lang w:eastAsia="zh-CN"/>
              </w:rPr>
              <w:t>见</w:t>
            </w:r>
            <w:r w:rsidR="007267DD" w:rsidRPr="00C277C0">
              <w:rPr>
                <w:rFonts w:eastAsia="宋体" w:hint="eastAsia"/>
                <w:snapToGrid w:val="0"/>
                <w:sz w:val="18"/>
                <w:szCs w:val="18"/>
                <w:lang w:eastAsia="zh-CN"/>
              </w:rPr>
              <w:t>《美国联邦法规》</w:t>
            </w:r>
            <w:r w:rsidRPr="00B403CB">
              <w:rPr>
                <w:rFonts w:eastAsia="宋体" w:hint="eastAsia"/>
                <w:sz w:val="18"/>
                <w:lang w:eastAsia="zh-CN"/>
              </w:rPr>
              <w:t>第</w:t>
            </w:r>
            <w:r w:rsidR="00286DB1">
              <w:rPr>
                <w:rFonts w:eastAsia="宋体"/>
                <w:sz w:val="18"/>
                <w:lang w:eastAsia="zh-CN"/>
              </w:rPr>
              <w:t>21</w:t>
            </w:r>
            <w:r w:rsidR="00286DB1">
              <w:rPr>
                <w:rFonts w:eastAsia="宋体"/>
                <w:sz w:val="18"/>
                <w:lang w:eastAsia="zh-CN"/>
              </w:rPr>
              <w:t>篇</w:t>
            </w:r>
            <w:r w:rsidRPr="00B403CB">
              <w:rPr>
                <w:rFonts w:eastAsia="宋体" w:hint="eastAsia"/>
                <w:sz w:val="18"/>
                <w:lang w:eastAsia="zh-CN"/>
              </w:rPr>
              <w:t>各章节）</w:t>
            </w:r>
          </w:p>
        </w:tc>
        <w:tc>
          <w:tcPr>
            <w:tcW w:w="1361" w:type="pct"/>
            <w:vMerge w:val="restart"/>
            <w:shd w:val="clear" w:color="auto" w:fill="auto"/>
            <w:vAlign w:val="bottom"/>
          </w:tcPr>
          <w:p w:rsidR="00D83601" w:rsidRPr="00B403CB" w:rsidRDefault="00097329" w:rsidP="00C1273A">
            <w:pPr>
              <w:pStyle w:val="TableParagraph"/>
              <w:autoSpaceDE/>
              <w:autoSpaceDN/>
              <w:snapToGrid w:val="0"/>
              <w:jc w:val="center"/>
              <w:rPr>
                <w:rFonts w:eastAsia="宋体"/>
                <w:sz w:val="18"/>
              </w:rPr>
            </w:pPr>
            <w:r w:rsidRPr="00B403CB">
              <w:rPr>
                <w:rFonts w:eastAsia="宋体" w:hint="eastAsia"/>
                <w:sz w:val="18"/>
              </w:rPr>
              <w:t>其他职责</w:t>
            </w: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rPr>
            </w:pPr>
          </w:p>
        </w:tc>
        <w:tc>
          <w:tcPr>
            <w:tcW w:w="730" w:type="pct"/>
            <w:vMerge/>
            <w:tcBorders>
              <w:top w:val="nil"/>
              <w:left w:val="single" w:sz="4" w:space="0" w:color="000000"/>
            </w:tcBorders>
            <w:shd w:val="clear" w:color="auto" w:fill="auto"/>
          </w:tcPr>
          <w:p w:rsidR="00D83601" w:rsidRPr="00B403CB" w:rsidRDefault="00D83601" w:rsidP="00C1273A">
            <w:pPr>
              <w:autoSpaceDE/>
              <w:autoSpaceDN/>
              <w:snapToGrid w:val="0"/>
              <w:jc w:val="both"/>
              <w:rPr>
                <w:rFonts w:eastAsia="宋体"/>
                <w:sz w:val="18"/>
              </w:rPr>
            </w:pPr>
          </w:p>
        </w:tc>
        <w:tc>
          <w:tcPr>
            <w:tcW w:w="606" w:type="pct"/>
            <w:gridSpan w:val="3"/>
            <w:tcBorders>
              <w:top w:val="single" w:sz="4" w:space="0" w:color="000000"/>
              <w:bottom w:val="single" w:sz="4" w:space="0" w:color="000000"/>
            </w:tcBorders>
            <w:shd w:val="clear" w:color="auto" w:fill="auto"/>
            <w:vAlign w:val="bottom"/>
          </w:tcPr>
          <w:p w:rsidR="00D83601" w:rsidRPr="00B403CB" w:rsidRDefault="007C6FC0" w:rsidP="00D858CC">
            <w:pPr>
              <w:pStyle w:val="TableParagraph"/>
              <w:autoSpaceDE/>
              <w:autoSpaceDN/>
              <w:snapToGrid w:val="0"/>
              <w:jc w:val="center"/>
              <w:rPr>
                <w:rFonts w:eastAsia="宋体"/>
                <w:sz w:val="18"/>
                <w:lang w:eastAsia="zh-CN"/>
              </w:rPr>
            </w:pPr>
            <w:r>
              <w:rPr>
                <w:rFonts w:eastAsia="宋体" w:hint="eastAsia"/>
                <w:sz w:val="18"/>
                <w:lang w:eastAsia="zh-CN"/>
              </w:rPr>
              <w:t>参</w:t>
            </w:r>
            <w:r w:rsidR="00097329" w:rsidRPr="00B403CB">
              <w:rPr>
                <w:rFonts w:eastAsia="宋体" w:hint="eastAsia"/>
                <w:sz w:val="18"/>
                <w:lang w:eastAsia="zh-CN"/>
              </w:rPr>
              <w:t>见</w:t>
            </w:r>
            <w:r w:rsidR="007267DD" w:rsidRPr="00C277C0">
              <w:rPr>
                <w:rFonts w:eastAsia="宋体" w:hint="eastAsia"/>
                <w:snapToGrid w:val="0"/>
                <w:sz w:val="18"/>
                <w:szCs w:val="18"/>
                <w:lang w:eastAsia="zh-CN"/>
              </w:rPr>
              <w:t>《美国联邦法规》</w:t>
            </w:r>
            <w:r w:rsidR="00097329" w:rsidRPr="00B403CB">
              <w:rPr>
                <w:rFonts w:eastAsia="宋体" w:hint="eastAsia"/>
                <w:sz w:val="18"/>
                <w:lang w:eastAsia="zh-CN"/>
              </w:rPr>
              <w:t>第</w:t>
            </w:r>
            <w:r w:rsidR="00286DB1">
              <w:rPr>
                <w:rFonts w:eastAsia="宋体"/>
                <w:sz w:val="18"/>
                <w:lang w:eastAsia="zh-CN"/>
              </w:rPr>
              <w:t>21</w:t>
            </w:r>
            <w:r w:rsidR="00286DB1">
              <w:rPr>
                <w:rFonts w:eastAsia="宋体"/>
                <w:sz w:val="18"/>
                <w:lang w:eastAsia="zh-CN"/>
              </w:rPr>
              <w:t>篇</w:t>
            </w:r>
            <w:r w:rsidR="00097329" w:rsidRPr="00B403CB">
              <w:rPr>
                <w:rFonts w:eastAsia="宋体" w:hint="eastAsia"/>
                <w:sz w:val="18"/>
                <w:lang w:eastAsia="zh-CN"/>
              </w:rPr>
              <w:t>各章节</w:t>
            </w:r>
          </w:p>
        </w:tc>
        <w:tc>
          <w:tcPr>
            <w:tcW w:w="253" w:type="pct"/>
            <w:vMerge w:val="restart"/>
            <w:tcBorders>
              <w:top w:val="single" w:sz="4" w:space="0" w:color="000000"/>
              <w:right w:val="single" w:sz="4" w:space="0" w:color="000000"/>
            </w:tcBorders>
            <w:shd w:val="clear" w:color="auto" w:fill="auto"/>
            <w:vAlign w:val="bottom"/>
          </w:tcPr>
          <w:p w:rsidR="00D83601" w:rsidRPr="00B403CB" w:rsidRDefault="0075567A" w:rsidP="00D858CC">
            <w:pPr>
              <w:pStyle w:val="TableParagraph"/>
              <w:autoSpaceDE/>
              <w:autoSpaceDN/>
              <w:snapToGrid w:val="0"/>
              <w:jc w:val="center"/>
              <w:rPr>
                <w:rFonts w:eastAsia="宋体"/>
                <w:sz w:val="18"/>
              </w:rPr>
            </w:pPr>
            <w:r w:rsidRPr="00C277C0">
              <w:rPr>
                <w:rFonts w:eastAsia="宋体" w:hint="eastAsia"/>
                <w:snapToGrid w:val="0"/>
                <w:sz w:val="18"/>
                <w:szCs w:val="18"/>
                <w:lang w:eastAsia="zh-CN"/>
              </w:rPr>
              <w:t>现场警示报告</w:t>
            </w:r>
            <w:r w:rsidR="00097329" w:rsidRPr="00B403CB">
              <w:rPr>
                <w:rFonts w:eastAsia="宋体"/>
                <w:sz w:val="18"/>
              </w:rPr>
              <w:t>314.81</w:t>
            </w:r>
          </w:p>
        </w:tc>
        <w:tc>
          <w:tcPr>
            <w:tcW w:w="236" w:type="pct"/>
            <w:vMerge w:val="restart"/>
            <w:tcBorders>
              <w:top w:val="single" w:sz="4" w:space="0" w:color="000000"/>
              <w:left w:val="single" w:sz="4" w:space="0" w:color="000000"/>
              <w:right w:val="single" w:sz="4" w:space="0" w:color="000000"/>
            </w:tcBorders>
            <w:shd w:val="clear" w:color="auto" w:fill="auto"/>
            <w:vAlign w:val="bottom"/>
          </w:tcPr>
          <w:p w:rsidR="00D83601" w:rsidRPr="00B403CB" w:rsidRDefault="00097329" w:rsidP="00D858CC">
            <w:pPr>
              <w:pStyle w:val="TableParagraph"/>
              <w:autoSpaceDE/>
              <w:autoSpaceDN/>
              <w:snapToGrid w:val="0"/>
              <w:jc w:val="center"/>
              <w:rPr>
                <w:rFonts w:eastAsia="宋体"/>
                <w:sz w:val="18"/>
              </w:rPr>
            </w:pPr>
            <w:r w:rsidRPr="00B403CB">
              <w:rPr>
                <w:rFonts w:eastAsia="宋体"/>
                <w:sz w:val="18"/>
              </w:rPr>
              <w:t>15</w:t>
            </w:r>
            <w:r w:rsidRPr="00B403CB">
              <w:rPr>
                <w:rFonts w:eastAsia="宋体" w:hint="eastAsia"/>
                <w:sz w:val="18"/>
              </w:rPr>
              <w:t>天报告</w:t>
            </w:r>
            <w:r w:rsidRPr="00B403CB">
              <w:rPr>
                <w:rFonts w:eastAsia="宋体"/>
                <w:sz w:val="18"/>
              </w:rPr>
              <w:t>314.80</w:t>
            </w:r>
          </w:p>
        </w:tc>
        <w:tc>
          <w:tcPr>
            <w:tcW w:w="299" w:type="pct"/>
            <w:vMerge w:val="restart"/>
            <w:tcBorders>
              <w:top w:val="single" w:sz="4" w:space="0" w:color="000000"/>
              <w:left w:val="single" w:sz="4" w:space="0" w:color="000000"/>
              <w:right w:val="single" w:sz="4" w:space="0" w:color="000000"/>
            </w:tcBorders>
            <w:shd w:val="clear" w:color="auto" w:fill="auto"/>
            <w:vAlign w:val="bottom"/>
          </w:tcPr>
          <w:p w:rsidR="00C1273A" w:rsidRPr="00B403CB" w:rsidRDefault="00097329" w:rsidP="00D858CC">
            <w:pPr>
              <w:pStyle w:val="TableParagraph"/>
              <w:autoSpaceDE/>
              <w:autoSpaceDN/>
              <w:snapToGrid w:val="0"/>
              <w:jc w:val="center"/>
              <w:rPr>
                <w:rFonts w:eastAsia="宋体"/>
                <w:sz w:val="18"/>
              </w:rPr>
            </w:pPr>
            <w:r w:rsidRPr="00B403CB">
              <w:rPr>
                <w:rFonts w:eastAsia="宋体" w:hint="eastAsia"/>
                <w:sz w:val="18"/>
              </w:rPr>
              <w:t>生物产品偏差报告</w:t>
            </w:r>
            <w:r w:rsidRPr="00B403CB">
              <w:rPr>
                <w:rFonts w:eastAsia="宋体"/>
                <w:sz w:val="18"/>
              </w:rPr>
              <w:t>600.14</w:t>
            </w:r>
          </w:p>
          <w:p w:rsidR="00D83601" w:rsidRPr="00B403CB" w:rsidRDefault="00097329" w:rsidP="00D858CC">
            <w:pPr>
              <w:pStyle w:val="TableParagraph"/>
              <w:autoSpaceDE/>
              <w:autoSpaceDN/>
              <w:snapToGrid w:val="0"/>
              <w:jc w:val="center"/>
              <w:rPr>
                <w:rFonts w:eastAsia="宋体"/>
                <w:sz w:val="18"/>
              </w:rPr>
            </w:pPr>
            <w:r w:rsidRPr="00B403CB">
              <w:rPr>
                <w:rFonts w:eastAsia="宋体"/>
                <w:sz w:val="18"/>
              </w:rPr>
              <w:t>606.171</w:t>
            </w:r>
          </w:p>
        </w:tc>
        <w:tc>
          <w:tcPr>
            <w:tcW w:w="236" w:type="pct"/>
            <w:vMerge w:val="restart"/>
            <w:tcBorders>
              <w:top w:val="single" w:sz="4" w:space="0" w:color="000000"/>
              <w:left w:val="single" w:sz="4" w:space="0" w:color="000000"/>
              <w:right w:val="single" w:sz="4" w:space="0" w:color="000000"/>
            </w:tcBorders>
            <w:shd w:val="clear" w:color="auto" w:fill="auto"/>
            <w:vAlign w:val="bottom"/>
          </w:tcPr>
          <w:p w:rsidR="00D83601" w:rsidRPr="00B403CB" w:rsidRDefault="00097329" w:rsidP="00D858CC">
            <w:pPr>
              <w:pStyle w:val="TableParagraph"/>
              <w:autoSpaceDE/>
              <w:autoSpaceDN/>
              <w:snapToGrid w:val="0"/>
              <w:jc w:val="center"/>
              <w:rPr>
                <w:rFonts w:eastAsia="宋体"/>
                <w:sz w:val="18"/>
              </w:rPr>
            </w:pPr>
            <w:r w:rsidRPr="00B403CB">
              <w:rPr>
                <w:rFonts w:eastAsia="宋体"/>
                <w:sz w:val="18"/>
              </w:rPr>
              <w:t>15</w:t>
            </w:r>
            <w:r w:rsidRPr="00B403CB">
              <w:rPr>
                <w:rFonts w:eastAsia="宋体" w:hint="eastAsia"/>
                <w:sz w:val="18"/>
              </w:rPr>
              <w:t>天报告</w:t>
            </w:r>
            <w:r w:rsidRPr="00B403CB">
              <w:rPr>
                <w:rFonts w:eastAsia="宋体"/>
                <w:sz w:val="18"/>
              </w:rPr>
              <w:t>600.80</w:t>
            </w:r>
          </w:p>
        </w:tc>
        <w:tc>
          <w:tcPr>
            <w:tcW w:w="292" w:type="pct"/>
            <w:vMerge w:val="restart"/>
            <w:tcBorders>
              <w:top w:val="single" w:sz="4" w:space="0" w:color="000000"/>
              <w:left w:val="single" w:sz="4" w:space="0" w:color="000000"/>
              <w:right w:val="single" w:sz="4" w:space="0" w:color="000000"/>
            </w:tcBorders>
            <w:shd w:val="clear" w:color="auto" w:fill="auto"/>
            <w:vAlign w:val="bottom"/>
          </w:tcPr>
          <w:p w:rsidR="00D858CC" w:rsidRPr="00C277C0" w:rsidRDefault="00097329" w:rsidP="00D858CC">
            <w:pPr>
              <w:pStyle w:val="TableParagraph"/>
              <w:autoSpaceDE/>
              <w:autoSpaceDN/>
              <w:snapToGrid w:val="0"/>
              <w:jc w:val="center"/>
              <w:rPr>
                <w:rFonts w:eastAsia="宋体"/>
                <w:snapToGrid w:val="0"/>
                <w:sz w:val="18"/>
                <w:szCs w:val="18"/>
                <w:lang w:eastAsia="zh-CN"/>
              </w:rPr>
            </w:pPr>
            <w:r w:rsidRPr="00B403CB">
              <w:rPr>
                <w:rFonts w:eastAsia="宋体"/>
                <w:sz w:val="18"/>
              </w:rPr>
              <w:t>5</w:t>
            </w:r>
            <w:r w:rsidRPr="00B403CB">
              <w:rPr>
                <w:rFonts w:eastAsia="宋体" w:hint="eastAsia"/>
                <w:sz w:val="18"/>
              </w:rPr>
              <w:t>天报告</w:t>
            </w:r>
          </w:p>
          <w:p w:rsidR="00C1273A" w:rsidRPr="00B403CB" w:rsidRDefault="00097329" w:rsidP="00D858CC">
            <w:pPr>
              <w:pStyle w:val="TableParagraph"/>
              <w:autoSpaceDE/>
              <w:autoSpaceDN/>
              <w:snapToGrid w:val="0"/>
              <w:jc w:val="center"/>
              <w:rPr>
                <w:rFonts w:eastAsia="宋体"/>
                <w:sz w:val="18"/>
              </w:rPr>
            </w:pPr>
            <w:r w:rsidRPr="00B403CB">
              <w:rPr>
                <w:rFonts w:eastAsia="宋体"/>
                <w:sz w:val="18"/>
              </w:rPr>
              <w:t>803.3</w:t>
            </w:r>
          </w:p>
          <w:p w:rsidR="00C1273A" w:rsidRPr="00B403CB" w:rsidRDefault="00097329" w:rsidP="00D858CC">
            <w:pPr>
              <w:pStyle w:val="TableParagraph"/>
              <w:autoSpaceDE/>
              <w:autoSpaceDN/>
              <w:snapToGrid w:val="0"/>
              <w:jc w:val="center"/>
              <w:rPr>
                <w:rFonts w:eastAsia="宋体"/>
                <w:sz w:val="18"/>
              </w:rPr>
            </w:pPr>
            <w:r w:rsidRPr="00B403CB">
              <w:rPr>
                <w:rFonts w:eastAsia="宋体"/>
                <w:sz w:val="18"/>
              </w:rPr>
              <w:t>803.53</w:t>
            </w:r>
          </w:p>
          <w:p w:rsidR="00D83601" w:rsidRPr="00B403CB" w:rsidRDefault="00097329" w:rsidP="00D858CC">
            <w:pPr>
              <w:pStyle w:val="TableParagraph"/>
              <w:autoSpaceDE/>
              <w:autoSpaceDN/>
              <w:snapToGrid w:val="0"/>
              <w:jc w:val="center"/>
              <w:rPr>
                <w:rFonts w:eastAsia="宋体"/>
                <w:sz w:val="18"/>
              </w:rPr>
            </w:pPr>
            <w:r w:rsidRPr="00B403CB">
              <w:rPr>
                <w:rFonts w:eastAsia="宋体"/>
                <w:sz w:val="18"/>
              </w:rPr>
              <w:t>803.56</w:t>
            </w:r>
          </w:p>
        </w:tc>
        <w:tc>
          <w:tcPr>
            <w:tcW w:w="249" w:type="pct"/>
            <w:vMerge w:val="restart"/>
            <w:tcBorders>
              <w:top w:val="single" w:sz="4" w:space="0" w:color="000000"/>
              <w:left w:val="single" w:sz="4" w:space="0" w:color="000000"/>
              <w:right w:val="single" w:sz="4" w:space="0" w:color="000000"/>
            </w:tcBorders>
            <w:shd w:val="clear" w:color="auto" w:fill="auto"/>
            <w:vAlign w:val="bottom"/>
          </w:tcPr>
          <w:p w:rsidR="00C1273A" w:rsidRPr="00B403CB" w:rsidRDefault="00F2264E" w:rsidP="00D858CC">
            <w:pPr>
              <w:pStyle w:val="TableParagraph"/>
              <w:autoSpaceDE/>
              <w:autoSpaceDN/>
              <w:snapToGrid w:val="0"/>
              <w:jc w:val="center"/>
              <w:rPr>
                <w:rFonts w:eastAsia="宋体"/>
                <w:sz w:val="18"/>
              </w:rPr>
            </w:pPr>
            <w:r w:rsidRPr="00B403CB">
              <w:rPr>
                <w:rFonts w:eastAsia="宋体" w:hint="eastAsia"/>
                <w:sz w:val="18"/>
              </w:rPr>
              <w:t>故障</w:t>
            </w:r>
            <w:r w:rsidR="00C55B83" w:rsidRPr="00B403CB">
              <w:rPr>
                <w:rFonts w:eastAsia="宋体" w:hint="eastAsia"/>
                <w:sz w:val="18"/>
              </w:rPr>
              <w:t>报告</w:t>
            </w:r>
            <w:r w:rsidR="00097329" w:rsidRPr="00B403CB">
              <w:rPr>
                <w:rFonts w:eastAsia="宋体"/>
                <w:sz w:val="18"/>
              </w:rPr>
              <w:t>803.50</w:t>
            </w:r>
          </w:p>
          <w:p w:rsidR="00D83601" w:rsidRPr="00B403CB" w:rsidRDefault="00097329" w:rsidP="00D858CC">
            <w:pPr>
              <w:pStyle w:val="TableParagraph"/>
              <w:autoSpaceDE/>
              <w:autoSpaceDN/>
              <w:snapToGrid w:val="0"/>
              <w:jc w:val="center"/>
              <w:rPr>
                <w:rFonts w:eastAsia="宋体"/>
                <w:sz w:val="18"/>
              </w:rPr>
            </w:pPr>
            <w:r w:rsidRPr="00B403CB">
              <w:rPr>
                <w:rFonts w:eastAsia="宋体"/>
                <w:sz w:val="18"/>
              </w:rPr>
              <w:t>803.56</w:t>
            </w:r>
          </w:p>
        </w:tc>
        <w:tc>
          <w:tcPr>
            <w:tcW w:w="371" w:type="pct"/>
            <w:vMerge w:val="restart"/>
            <w:tcBorders>
              <w:top w:val="single" w:sz="4" w:space="0" w:color="000000"/>
              <w:left w:val="single" w:sz="4" w:space="0" w:color="000000"/>
            </w:tcBorders>
            <w:shd w:val="clear" w:color="auto" w:fill="auto"/>
            <w:vAlign w:val="bottom"/>
          </w:tcPr>
          <w:p w:rsidR="00C1273A" w:rsidRPr="00B403CB" w:rsidRDefault="00097329" w:rsidP="00D858CC">
            <w:pPr>
              <w:pStyle w:val="TableParagraph"/>
              <w:autoSpaceDE/>
              <w:autoSpaceDN/>
              <w:snapToGrid w:val="0"/>
              <w:jc w:val="center"/>
              <w:rPr>
                <w:rFonts w:eastAsia="宋体"/>
                <w:sz w:val="18"/>
              </w:rPr>
            </w:pPr>
            <w:r w:rsidRPr="00B403CB">
              <w:rPr>
                <w:rFonts w:eastAsia="宋体" w:hint="eastAsia"/>
                <w:sz w:val="18"/>
              </w:rPr>
              <w:t>更正和移除</w:t>
            </w:r>
            <w:r w:rsidRPr="00B403CB">
              <w:rPr>
                <w:rFonts w:eastAsia="宋体"/>
                <w:sz w:val="18"/>
              </w:rPr>
              <w:t>806.10</w:t>
            </w:r>
          </w:p>
          <w:p w:rsidR="00D83601" w:rsidRPr="00B403CB" w:rsidRDefault="00097329" w:rsidP="00D858CC">
            <w:pPr>
              <w:pStyle w:val="TableParagraph"/>
              <w:autoSpaceDE/>
              <w:autoSpaceDN/>
              <w:snapToGrid w:val="0"/>
              <w:jc w:val="center"/>
              <w:rPr>
                <w:rFonts w:eastAsia="宋体"/>
                <w:sz w:val="18"/>
              </w:rPr>
            </w:pPr>
            <w:r w:rsidRPr="00B403CB">
              <w:rPr>
                <w:rFonts w:eastAsia="宋体"/>
                <w:sz w:val="18"/>
              </w:rPr>
              <w:t>806.20</w:t>
            </w:r>
          </w:p>
        </w:tc>
        <w:tc>
          <w:tcPr>
            <w:tcW w:w="1361" w:type="pct"/>
            <w:vMerge/>
            <w:tcBorders>
              <w:top w:val="nil"/>
            </w:tcBorders>
            <w:shd w:val="clear" w:color="auto" w:fill="auto"/>
          </w:tcPr>
          <w:p w:rsidR="00D83601" w:rsidRPr="00B403CB" w:rsidRDefault="00D83601" w:rsidP="00C1273A">
            <w:pPr>
              <w:autoSpaceDE/>
              <w:autoSpaceDN/>
              <w:snapToGrid w:val="0"/>
              <w:jc w:val="both"/>
              <w:rPr>
                <w:rFonts w:eastAsia="宋体"/>
                <w:sz w:val="18"/>
              </w:rPr>
            </w:pP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rPr>
            </w:pPr>
          </w:p>
        </w:tc>
        <w:tc>
          <w:tcPr>
            <w:tcW w:w="730" w:type="pct"/>
            <w:vMerge/>
            <w:tcBorders>
              <w:top w:val="nil"/>
              <w:left w:val="single" w:sz="4" w:space="0" w:color="000000"/>
            </w:tcBorders>
            <w:shd w:val="clear" w:color="auto" w:fill="auto"/>
          </w:tcPr>
          <w:p w:rsidR="00D83601" w:rsidRPr="00B403CB" w:rsidRDefault="00D83601" w:rsidP="00C1273A">
            <w:pPr>
              <w:autoSpaceDE/>
              <w:autoSpaceDN/>
              <w:snapToGrid w:val="0"/>
              <w:jc w:val="both"/>
              <w:rPr>
                <w:rFonts w:eastAsia="宋体"/>
                <w:sz w:val="18"/>
              </w:rPr>
            </w:pPr>
          </w:p>
        </w:tc>
        <w:tc>
          <w:tcPr>
            <w:tcW w:w="222" w:type="pct"/>
            <w:tcBorders>
              <w:top w:val="single" w:sz="4" w:space="0" w:color="000000"/>
              <w:right w:val="single" w:sz="4" w:space="0" w:color="000000"/>
            </w:tcBorders>
            <w:shd w:val="clear" w:color="auto" w:fill="auto"/>
            <w:vAlign w:val="bottom"/>
          </w:tcPr>
          <w:p w:rsidR="00D83601" w:rsidRPr="00B403CB" w:rsidRDefault="00097329" w:rsidP="00D858CC">
            <w:pPr>
              <w:pStyle w:val="TableParagraph"/>
              <w:autoSpaceDE/>
              <w:autoSpaceDN/>
              <w:snapToGrid w:val="0"/>
              <w:jc w:val="center"/>
              <w:rPr>
                <w:rFonts w:eastAsia="宋体"/>
                <w:sz w:val="18"/>
              </w:rPr>
            </w:pPr>
            <w:r w:rsidRPr="00B403CB">
              <w:rPr>
                <w:rFonts w:eastAsia="宋体"/>
                <w:sz w:val="18"/>
              </w:rPr>
              <w:t>314</w:t>
            </w:r>
          </w:p>
        </w:tc>
        <w:tc>
          <w:tcPr>
            <w:tcW w:w="197" w:type="pct"/>
            <w:tcBorders>
              <w:top w:val="single" w:sz="4" w:space="0" w:color="000000"/>
              <w:left w:val="single" w:sz="4" w:space="0" w:color="000000"/>
              <w:right w:val="single" w:sz="4" w:space="0" w:color="000000"/>
            </w:tcBorders>
            <w:shd w:val="clear" w:color="auto" w:fill="auto"/>
            <w:vAlign w:val="bottom"/>
          </w:tcPr>
          <w:p w:rsidR="00C1273A" w:rsidRPr="00B403CB" w:rsidRDefault="00097329" w:rsidP="00D858CC">
            <w:pPr>
              <w:pStyle w:val="TableParagraph"/>
              <w:autoSpaceDE/>
              <w:autoSpaceDN/>
              <w:snapToGrid w:val="0"/>
              <w:jc w:val="center"/>
              <w:rPr>
                <w:rFonts w:eastAsia="宋体"/>
                <w:sz w:val="18"/>
              </w:rPr>
            </w:pPr>
            <w:r w:rsidRPr="00B403CB">
              <w:rPr>
                <w:rFonts w:eastAsia="宋体"/>
                <w:sz w:val="18"/>
              </w:rPr>
              <w:t>600</w:t>
            </w:r>
          </w:p>
          <w:p w:rsidR="00D83601" w:rsidRPr="00B403CB" w:rsidRDefault="00097329" w:rsidP="00D858CC">
            <w:pPr>
              <w:pStyle w:val="TableParagraph"/>
              <w:autoSpaceDE/>
              <w:autoSpaceDN/>
              <w:snapToGrid w:val="0"/>
              <w:jc w:val="center"/>
              <w:rPr>
                <w:rFonts w:eastAsia="宋体"/>
                <w:sz w:val="18"/>
              </w:rPr>
            </w:pPr>
            <w:r w:rsidRPr="00B403CB">
              <w:rPr>
                <w:rFonts w:eastAsia="宋体"/>
                <w:sz w:val="18"/>
              </w:rPr>
              <w:t>606</w:t>
            </w:r>
          </w:p>
        </w:tc>
        <w:tc>
          <w:tcPr>
            <w:tcW w:w="187" w:type="pct"/>
            <w:tcBorders>
              <w:top w:val="single" w:sz="4" w:space="0" w:color="000000"/>
              <w:left w:val="single" w:sz="4" w:space="0" w:color="000000"/>
            </w:tcBorders>
            <w:shd w:val="clear" w:color="auto" w:fill="auto"/>
            <w:vAlign w:val="bottom"/>
          </w:tcPr>
          <w:p w:rsidR="00C1273A" w:rsidRPr="00B403CB" w:rsidRDefault="00097329" w:rsidP="00D858CC">
            <w:pPr>
              <w:pStyle w:val="TableParagraph"/>
              <w:autoSpaceDE/>
              <w:autoSpaceDN/>
              <w:snapToGrid w:val="0"/>
              <w:jc w:val="center"/>
              <w:rPr>
                <w:rFonts w:eastAsia="宋体"/>
                <w:sz w:val="18"/>
              </w:rPr>
            </w:pPr>
            <w:r w:rsidRPr="00B403CB">
              <w:rPr>
                <w:rFonts w:eastAsia="宋体"/>
                <w:sz w:val="18"/>
              </w:rPr>
              <w:t>803</w:t>
            </w:r>
          </w:p>
          <w:p w:rsidR="00D83601" w:rsidRPr="00B403CB" w:rsidRDefault="00097329" w:rsidP="00D858CC">
            <w:pPr>
              <w:pStyle w:val="TableParagraph"/>
              <w:autoSpaceDE/>
              <w:autoSpaceDN/>
              <w:snapToGrid w:val="0"/>
              <w:jc w:val="center"/>
              <w:rPr>
                <w:rFonts w:eastAsia="宋体"/>
                <w:sz w:val="18"/>
              </w:rPr>
            </w:pPr>
            <w:r w:rsidRPr="00B403CB">
              <w:rPr>
                <w:rFonts w:eastAsia="宋体"/>
                <w:sz w:val="18"/>
              </w:rPr>
              <w:t>806</w:t>
            </w:r>
          </w:p>
        </w:tc>
        <w:tc>
          <w:tcPr>
            <w:tcW w:w="253" w:type="pct"/>
            <w:vMerge/>
            <w:tcBorders>
              <w:top w:val="nil"/>
              <w:right w:val="single" w:sz="4" w:space="0" w:color="000000"/>
            </w:tcBorders>
            <w:shd w:val="clear" w:color="auto" w:fill="auto"/>
            <w:vAlign w:val="bottom"/>
          </w:tcPr>
          <w:p w:rsidR="00D83601" w:rsidRPr="00B403CB" w:rsidRDefault="00D83601" w:rsidP="00D858CC">
            <w:pPr>
              <w:autoSpaceDE/>
              <w:autoSpaceDN/>
              <w:snapToGrid w:val="0"/>
              <w:jc w:val="center"/>
              <w:rPr>
                <w:rFonts w:eastAsia="宋体"/>
                <w:sz w:val="18"/>
              </w:rPr>
            </w:pPr>
          </w:p>
        </w:tc>
        <w:tc>
          <w:tcPr>
            <w:tcW w:w="236" w:type="pct"/>
            <w:vMerge/>
            <w:tcBorders>
              <w:top w:val="nil"/>
              <w:left w:val="single" w:sz="4" w:space="0" w:color="000000"/>
              <w:right w:val="single" w:sz="4" w:space="0" w:color="000000"/>
            </w:tcBorders>
            <w:shd w:val="clear" w:color="auto" w:fill="auto"/>
            <w:vAlign w:val="bottom"/>
          </w:tcPr>
          <w:p w:rsidR="00D83601" w:rsidRPr="00B403CB" w:rsidRDefault="00D83601" w:rsidP="00D858CC">
            <w:pPr>
              <w:autoSpaceDE/>
              <w:autoSpaceDN/>
              <w:snapToGrid w:val="0"/>
              <w:jc w:val="center"/>
              <w:rPr>
                <w:rFonts w:eastAsia="宋体"/>
                <w:sz w:val="18"/>
              </w:rPr>
            </w:pPr>
          </w:p>
        </w:tc>
        <w:tc>
          <w:tcPr>
            <w:tcW w:w="299" w:type="pct"/>
            <w:vMerge/>
            <w:tcBorders>
              <w:top w:val="nil"/>
              <w:left w:val="single" w:sz="4" w:space="0" w:color="000000"/>
              <w:right w:val="single" w:sz="4" w:space="0" w:color="000000"/>
            </w:tcBorders>
            <w:shd w:val="clear" w:color="auto" w:fill="auto"/>
            <w:vAlign w:val="bottom"/>
          </w:tcPr>
          <w:p w:rsidR="00D83601" w:rsidRPr="00B403CB" w:rsidRDefault="00D83601" w:rsidP="00D858CC">
            <w:pPr>
              <w:autoSpaceDE/>
              <w:autoSpaceDN/>
              <w:snapToGrid w:val="0"/>
              <w:jc w:val="center"/>
              <w:rPr>
                <w:rFonts w:eastAsia="宋体"/>
                <w:sz w:val="18"/>
              </w:rPr>
            </w:pPr>
          </w:p>
        </w:tc>
        <w:tc>
          <w:tcPr>
            <w:tcW w:w="236" w:type="pct"/>
            <w:vMerge/>
            <w:tcBorders>
              <w:top w:val="nil"/>
              <w:left w:val="single" w:sz="4" w:space="0" w:color="000000"/>
              <w:right w:val="single" w:sz="4" w:space="0" w:color="000000"/>
            </w:tcBorders>
            <w:shd w:val="clear" w:color="auto" w:fill="auto"/>
            <w:vAlign w:val="bottom"/>
          </w:tcPr>
          <w:p w:rsidR="00D83601" w:rsidRPr="00B403CB" w:rsidRDefault="00D83601" w:rsidP="00D858CC">
            <w:pPr>
              <w:autoSpaceDE/>
              <w:autoSpaceDN/>
              <w:snapToGrid w:val="0"/>
              <w:jc w:val="center"/>
              <w:rPr>
                <w:rFonts w:eastAsia="宋体"/>
                <w:sz w:val="18"/>
              </w:rPr>
            </w:pPr>
          </w:p>
        </w:tc>
        <w:tc>
          <w:tcPr>
            <w:tcW w:w="292" w:type="pct"/>
            <w:vMerge/>
            <w:tcBorders>
              <w:top w:val="nil"/>
              <w:left w:val="single" w:sz="4" w:space="0" w:color="000000"/>
              <w:right w:val="single" w:sz="4" w:space="0" w:color="000000"/>
            </w:tcBorders>
            <w:shd w:val="clear" w:color="auto" w:fill="auto"/>
            <w:vAlign w:val="bottom"/>
          </w:tcPr>
          <w:p w:rsidR="00D83601" w:rsidRPr="00B403CB" w:rsidRDefault="00D83601" w:rsidP="00D858CC">
            <w:pPr>
              <w:autoSpaceDE/>
              <w:autoSpaceDN/>
              <w:snapToGrid w:val="0"/>
              <w:jc w:val="center"/>
              <w:rPr>
                <w:rFonts w:eastAsia="宋体"/>
                <w:sz w:val="18"/>
              </w:rPr>
            </w:pPr>
          </w:p>
        </w:tc>
        <w:tc>
          <w:tcPr>
            <w:tcW w:w="249" w:type="pct"/>
            <w:vMerge/>
            <w:tcBorders>
              <w:top w:val="nil"/>
              <w:left w:val="single" w:sz="4" w:space="0" w:color="000000"/>
              <w:right w:val="single" w:sz="4" w:space="0" w:color="000000"/>
            </w:tcBorders>
            <w:shd w:val="clear" w:color="auto" w:fill="auto"/>
            <w:vAlign w:val="bottom"/>
          </w:tcPr>
          <w:p w:rsidR="00D83601" w:rsidRPr="00B403CB" w:rsidRDefault="00D83601" w:rsidP="00D858CC">
            <w:pPr>
              <w:autoSpaceDE/>
              <w:autoSpaceDN/>
              <w:snapToGrid w:val="0"/>
              <w:jc w:val="center"/>
              <w:rPr>
                <w:rFonts w:eastAsia="宋体"/>
                <w:sz w:val="18"/>
              </w:rPr>
            </w:pPr>
          </w:p>
        </w:tc>
        <w:tc>
          <w:tcPr>
            <w:tcW w:w="371" w:type="pct"/>
            <w:vMerge/>
            <w:tcBorders>
              <w:top w:val="nil"/>
              <w:left w:val="single" w:sz="4" w:space="0" w:color="000000"/>
            </w:tcBorders>
            <w:shd w:val="clear" w:color="auto" w:fill="auto"/>
            <w:vAlign w:val="bottom"/>
          </w:tcPr>
          <w:p w:rsidR="00D83601" w:rsidRPr="00B403CB" w:rsidRDefault="00D83601" w:rsidP="00D858CC">
            <w:pPr>
              <w:autoSpaceDE/>
              <w:autoSpaceDN/>
              <w:snapToGrid w:val="0"/>
              <w:jc w:val="center"/>
              <w:rPr>
                <w:rFonts w:eastAsia="宋体"/>
                <w:sz w:val="18"/>
              </w:rPr>
            </w:pPr>
          </w:p>
        </w:tc>
        <w:tc>
          <w:tcPr>
            <w:tcW w:w="1361" w:type="pct"/>
            <w:vMerge/>
            <w:tcBorders>
              <w:top w:val="nil"/>
            </w:tcBorders>
            <w:shd w:val="clear" w:color="auto" w:fill="auto"/>
          </w:tcPr>
          <w:p w:rsidR="00D83601" w:rsidRPr="00B403CB" w:rsidRDefault="00D83601" w:rsidP="00C1273A">
            <w:pPr>
              <w:autoSpaceDE/>
              <w:autoSpaceDN/>
              <w:snapToGrid w:val="0"/>
              <w:jc w:val="both"/>
              <w:rPr>
                <w:rFonts w:eastAsia="宋体"/>
                <w:sz w:val="18"/>
              </w:rPr>
            </w:pPr>
          </w:p>
        </w:tc>
      </w:tr>
      <w:tr w:rsidR="00EC5292" w:rsidRPr="00C277C0" w:rsidTr="003400B6">
        <w:trPr>
          <w:trHeight w:val="20"/>
        </w:trPr>
        <w:tc>
          <w:tcPr>
            <w:tcW w:w="367" w:type="pct"/>
            <w:vMerge w:val="restart"/>
            <w:tcBorders>
              <w:right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sz w:val="18"/>
              </w:rPr>
              <w:t>NDA</w:t>
            </w:r>
            <w:r w:rsidR="00D16862" w:rsidRPr="00C277C0">
              <w:rPr>
                <w:rFonts w:eastAsia="宋体" w:hint="eastAsia"/>
                <w:snapToGrid w:val="0"/>
                <w:sz w:val="18"/>
                <w:szCs w:val="18"/>
                <w:lang w:eastAsia="zh-CN"/>
              </w:rPr>
              <w:br/>
            </w:r>
            <w:r w:rsidRPr="00B403CB">
              <w:rPr>
                <w:rFonts w:eastAsia="宋体"/>
                <w:sz w:val="18"/>
              </w:rPr>
              <w:t>ANDA</w:t>
            </w:r>
          </w:p>
        </w:tc>
        <w:tc>
          <w:tcPr>
            <w:tcW w:w="730" w:type="pct"/>
            <w:tcBorders>
              <w:left w:val="single" w:sz="4" w:space="0" w:color="000000"/>
              <w:bottom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hint="eastAsia"/>
                <w:sz w:val="18"/>
              </w:rPr>
              <w:t>药物组成部分</w:t>
            </w:r>
          </w:p>
        </w:tc>
        <w:tc>
          <w:tcPr>
            <w:tcW w:w="222" w:type="pct"/>
            <w:tcBorders>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197" w:type="pct"/>
            <w:tcBorders>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87" w:type="pct"/>
            <w:tcBorders>
              <w:left w:val="single" w:sz="4" w:space="0" w:color="000000"/>
              <w:bottom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489" w:type="pct"/>
            <w:gridSpan w:val="2"/>
            <w:vMerge w:val="restart"/>
            <w:tcBorders>
              <w:right w:val="single" w:sz="4" w:space="0" w:color="000000"/>
            </w:tcBorders>
            <w:shd w:val="clear" w:color="auto" w:fill="DADADA"/>
            <w:vAlign w:val="center"/>
          </w:tcPr>
          <w:p w:rsidR="00D83601" w:rsidRPr="00B403CB" w:rsidRDefault="00097329" w:rsidP="00D858CC">
            <w:pPr>
              <w:pStyle w:val="TableParagraph"/>
              <w:autoSpaceDE/>
              <w:autoSpaceDN/>
              <w:snapToGrid w:val="0"/>
              <w:jc w:val="center"/>
              <w:rPr>
                <w:rFonts w:eastAsia="宋体"/>
                <w:sz w:val="18"/>
                <w:lang w:eastAsia="zh-CN"/>
              </w:rPr>
            </w:pPr>
            <w:r w:rsidRPr="00B403CB">
              <w:rPr>
                <w:rFonts w:eastAsia="宋体" w:hint="eastAsia"/>
                <w:sz w:val="18"/>
                <w:lang w:eastAsia="zh-CN"/>
              </w:rPr>
              <w:t>基于申请类型的要求涵盖</w:t>
            </w:r>
          </w:p>
        </w:tc>
        <w:tc>
          <w:tcPr>
            <w:tcW w:w="299" w:type="pct"/>
            <w:tcBorders>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lang w:eastAsia="zh-CN"/>
              </w:rPr>
            </w:pPr>
          </w:p>
        </w:tc>
        <w:tc>
          <w:tcPr>
            <w:tcW w:w="236" w:type="pct"/>
            <w:tcBorders>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lang w:eastAsia="zh-CN"/>
              </w:rPr>
            </w:pPr>
          </w:p>
        </w:tc>
        <w:tc>
          <w:tcPr>
            <w:tcW w:w="292" w:type="pct"/>
            <w:tcBorders>
              <w:left w:val="single" w:sz="4" w:space="0" w:color="000000"/>
              <w:bottom w:val="single" w:sz="4" w:space="0" w:color="000000"/>
              <w:right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lang w:eastAsia="zh-CN"/>
              </w:rPr>
            </w:pPr>
          </w:p>
        </w:tc>
        <w:tc>
          <w:tcPr>
            <w:tcW w:w="249" w:type="pct"/>
            <w:tcBorders>
              <w:left w:val="single" w:sz="4" w:space="0" w:color="000000"/>
              <w:bottom w:val="single" w:sz="4" w:space="0" w:color="000000"/>
              <w:right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lang w:eastAsia="zh-CN"/>
              </w:rPr>
            </w:pPr>
          </w:p>
        </w:tc>
        <w:tc>
          <w:tcPr>
            <w:tcW w:w="371" w:type="pct"/>
            <w:tcBorders>
              <w:left w:val="single" w:sz="4" w:space="0" w:color="000000"/>
              <w:bottom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lang w:eastAsia="zh-CN"/>
              </w:rPr>
            </w:pPr>
          </w:p>
        </w:tc>
        <w:tc>
          <w:tcPr>
            <w:tcW w:w="1361" w:type="pct"/>
            <w:tcBorders>
              <w:bottom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与其他组成部分申请人共享信息（</w:t>
            </w:r>
            <w:r w:rsidR="007267DD" w:rsidRPr="00C277C0">
              <w:rPr>
                <w:rFonts w:eastAsia="宋体" w:hint="eastAsia"/>
                <w:snapToGrid w:val="0"/>
                <w:sz w:val="18"/>
                <w:szCs w:val="18"/>
                <w:lang w:eastAsia="zh-CN"/>
              </w:rPr>
              <w:t>《美国联邦法规》第</w:t>
            </w:r>
            <w:r w:rsidR="00286DB1">
              <w:rPr>
                <w:rFonts w:eastAsia="宋体" w:hint="eastAsia"/>
                <w:snapToGrid w:val="0"/>
                <w:sz w:val="18"/>
                <w:szCs w:val="18"/>
                <w:lang w:eastAsia="zh-CN"/>
              </w:rPr>
              <w:t>21</w:t>
            </w:r>
            <w:r w:rsidR="00286DB1">
              <w:rPr>
                <w:rFonts w:eastAsia="宋体" w:hint="eastAsia"/>
                <w:snapToGrid w:val="0"/>
                <w:sz w:val="18"/>
                <w:szCs w:val="18"/>
                <w:lang w:eastAsia="zh-CN"/>
              </w:rPr>
              <w:t>篇</w:t>
            </w:r>
            <w:r w:rsidR="00C55B83" w:rsidRPr="00C277C0">
              <w:rPr>
                <w:rFonts w:eastAsia="宋体" w:hint="eastAsia"/>
                <w:snapToGrid w:val="0"/>
                <w:sz w:val="18"/>
                <w:szCs w:val="18"/>
                <w:lang w:eastAsia="zh-CN"/>
              </w:rPr>
              <w:t>第</w:t>
            </w:r>
            <w:r w:rsidR="00C55B83" w:rsidRPr="00C277C0">
              <w:rPr>
                <w:rFonts w:eastAsia="宋体" w:hint="eastAsia"/>
                <w:snapToGrid w:val="0"/>
                <w:sz w:val="18"/>
                <w:szCs w:val="18"/>
                <w:lang w:eastAsia="zh-CN"/>
              </w:rPr>
              <w:t>4</w:t>
            </w:r>
            <w:r w:rsidR="00C55B83" w:rsidRPr="00B403CB">
              <w:rPr>
                <w:rFonts w:eastAsia="宋体"/>
                <w:sz w:val="18"/>
                <w:lang w:eastAsia="zh-CN"/>
              </w:rPr>
              <w:t>.103</w:t>
            </w:r>
            <w:r w:rsidR="00C55B83" w:rsidRPr="00C277C0">
              <w:rPr>
                <w:rFonts w:eastAsia="宋体" w:hint="eastAsia"/>
                <w:snapToGrid w:val="0"/>
                <w:sz w:val="18"/>
                <w:szCs w:val="18"/>
                <w:lang w:eastAsia="zh-CN"/>
              </w:rPr>
              <w:t>节</w:t>
            </w:r>
            <w:r w:rsidRPr="00B403CB">
              <w:rPr>
                <w:rFonts w:eastAsia="宋体" w:hint="eastAsia"/>
                <w:sz w:val="18"/>
                <w:lang w:eastAsia="zh-CN"/>
              </w:rPr>
              <w:t>）</w:t>
            </w: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lang w:eastAsia="zh-CN"/>
              </w:rPr>
            </w:pPr>
          </w:p>
        </w:tc>
        <w:tc>
          <w:tcPr>
            <w:tcW w:w="730" w:type="pct"/>
            <w:tcBorders>
              <w:top w:val="single" w:sz="4" w:space="0" w:color="000000"/>
              <w:left w:val="single" w:sz="4" w:space="0" w:color="000000"/>
              <w:bottom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hint="eastAsia"/>
                <w:sz w:val="18"/>
              </w:rPr>
              <w:t>药品</w:t>
            </w:r>
            <w:r w:rsidRPr="00B403CB">
              <w:rPr>
                <w:rFonts w:eastAsia="宋体"/>
                <w:sz w:val="18"/>
              </w:rPr>
              <w:t>-</w:t>
            </w:r>
            <w:r w:rsidRPr="00B403CB">
              <w:rPr>
                <w:rFonts w:eastAsia="宋体" w:hint="eastAsia"/>
                <w:sz w:val="18"/>
              </w:rPr>
              <w:t>器械</w:t>
            </w:r>
            <w:r w:rsidRPr="00B403CB">
              <w:rPr>
                <w:rFonts w:eastAsia="宋体"/>
                <w:sz w:val="18"/>
              </w:rPr>
              <w:t>CP</w:t>
            </w:r>
          </w:p>
        </w:tc>
        <w:tc>
          <w:tcPr>
            <w:tcW w:w="222" w:type="pct"/>
            <w:tcBorders>
              <w:top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87" w:type="pct"/>
            <w:tcBorders>
              <w:top w:val="single" w:sz="4" w:space="0" w:color="000000"/>
              <w:left w:val="single" w:sz="4" w:space="0" w:color="000000"/>
              <w:bottom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489" w:type="pct"/>
            <w:gridSpan w:val="2"/>
            <w:vMerge/>
            <w:tcBorders>
              <w:top w:val="nil"/>
              <w:right w:val="single" w:sz="4" w:space="0" w:color="000000"/>
            </w:tcBorders>
            <w:shd w:val="clear" w:color="auto" w:fill="DADADA"/>
          </w:tcPr>
          <w:p w:rsidR="00D83601" w:rsidRPr="00B403CB" w:rsidRDefault="00D83601" w:rsidP="00B403CB">
            <w:pPr>
              <w:autoSpaceDE/>
              <w:autoSpaceDN/>
              <w:snapToGrid w:val="0"/>
              <w:jc w:val="center"/>
              <w:rPr>
                <w:rFonts w:eastAsia="宋体"/>
                <w:sz w:val="1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249"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371" w:type="pct"/>
            <w:tcBorders>
              <w:top w:val="single" w:sz="4" w:space="0" w:color="000000"/>
              <w:left w:val="single" w:sz="4" w:space="0" w:color="000000"/>
              <w:bottom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1361" w:type="pct"/>
            <w:tcBorders>
              <w:top w:val="single" w:sz="4" w:space="0" w:color="000000"/>
              <w:bottom w:val="single" w:sz="2" w:space="0" w:color="000000"/>
            </w:tcBorders>
            <w:shd w:val="clear" w:color="auto" w:fill="auto"/>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在定期安全性报告（</w:t>
            </w:r>
            <w:r w:rsidR="007267DD" w:rsidRPr="00C277C0">
              <w:rPr>
                <w:rFonts w:eastAsia="宋体" w:hint="eastAsia"/>
                <w:snapToGrid w:val="0"/>
                <w:sz w:val="18"/>
                <w:szCs w:val="18"/>
                <w:lang w:eastAsia="zh-CN"/>
              </w:rPr>
              <w:t>《美国联邦法规》第</w:t>
            </w:r>
            <w:r w:rsidR="00286DB1">
              <w:rPr>
                <w:rFonts w:eastAsia="宋体" w:hint="eastAsia"/>
                <w:snapToGrid w:val="0"/>
                <w:sz w:val="18"/>
                <w:szCs w:val="18"/>
                <w:lang w:eastAsia="zh-CN"/>
              </w:rPr>
              <w:t>21</w:t>
            </w:r>
            <w:r w:rsidR="00286DB1">
              <w:rPr>
                <w:rFonts w:eastAsia="宋体" w:hint="eastAsia"/>
                <w:snapToGrid w:val="0"/>
                <w:sz w:val="18"/>
                <w:szCs w:val="18"/>
                <w:lang w:eastAsia="zh-CN"/>
              </w:rPr>
              <w:t>篇</w:t>
            </w:r>
            <w:r w:rsidR="00575EA0">
              <w:rPr>
                <w:rFonts w:eastAsia="宋体" w:hint="eastAsia"/>
                <w:snapToGrid w:val="0"/>
                <w:sz w:val="18"/>
                <w:szCs w:val="18"/>
                <w:lang w:eastAsia="zh-CN"/>
              </w:rPr>
              <w:t>第</w:t>
            </w:r>
            <w:r w:rsidRPr="00B403CB">
              <w:rPr>
                <w:rFonts w:eastAsia="宋体"/>
                <w:sz w:val="18"/>
                <w:lang w:eastAsia="zh-CN"/>
              </w:rPr>
              <w:t>4.102</w:t>
            </w:r>
            <w:r w:rsidR="00FA5CED" w:rsidRPr="00C277C0">
              <w:rPr>
                <w:rFonts w:eastAsia="宋体" w:hint="eastAsia"/>
                <w:snapToGrid w:val="0"/>
                <w:sz w:val="18"/>
                <w:szCs w:val="18"/>
                <w:lang w:eastAsia="zh-CN"/>
              </w:rPr>
              <w:t>（</w:t>
            </w:r>
            <w:r w:rsidRPr="00B403CB">
              <w:rPr>
                <w:rFonts w:eastAsia="宋体"/>
                <w:sz w:val="18"/>
                <w:lang w:eastAsia="zh-CN"/>
              </w:rPr>
              <w:t>d</w:t>
            </w:r>
            <w:r w:rsidR="00FA5CED" w:rsidRPr="00C277C0">
              <w:rPr>
                <w:rFonts w:eastAsia="宋体" w:hint="eastAsia"/>
                <w:snapToGrid w:val="0"/>
                <w:sz w:val="18"/>
                <w:szCs w:val="18"/>
                <w:lang w:eastAsia="zh-CN"/>
              </w:rPr>
              <w:t>）</w:t>
            </w:r>
            <w:r w:rsidRPr="00C277C0">
              <w:rPr>
                <w:rFonts w:eastAsia="宋体" w:hint="eastAsia"/>
                <w:snapToGrid w:val="0"/>
                <w:sz w:val="18"/>
                <w:szCs w:val="18"/>
                <w:lang w:eastAsia="zh-CN"/>
              </w:rPr>
              <w:t>）</w:t>
            </w:r>
            <w:r w:rsidR="00575EA0">
              <w:rPr>
                <w:rFonts w:eastAsia="宋体" w:hint="eastAsia"/>
                <w:snapToGrid w:val="0"/>
                <w:sz w:val="18"/>
                <w:szCs w:val="18"/>
                <w:lang w:eastAsia="zh-CN"/>
              </w:rPr>
              <w:t>节</w:t>
            </w:r>
            <w:r w:rsidRPr="00B403CB">
              <w:rPr>
                <w:rFonts w:eastAsia="宋体" w:hint="eastAsia"/>
                <w:sz w:val="18"/>
                <w:lang w:eastAsia="zh-CN"/>
              </w:rPr>
              <w:t>中说明</w:t>
            </w:r>
            <w:r w:rsidRPr="00B403CB">
              <w:rPr>
                <w:rFonts w:eastAsia="宋体"/>
                <w:sz w:val="18"/>
                <w:lang w:eastAsia="zh-CN"/>
              </w:rPr>
              <w:t>5</w:t>
            </w:r>
            <w:r w:rsidRPr="00B403CB">
              <w:rPr>
                <w:rFonts w:eastAsia="宋体" w:hint="eastAsia"/>
                <w:sz w:val="18"/>
                <w:lang w:eastAsia="zh-CN"/>
              </w:rPr>
              <w:t>天报告和</w:t>
            </w:r>
            <w:r w:rsidR="00F2264E" w:rsidRPr="00B403CB">
              <w:rPr>
                <w:rFonts w:eastAsia="宋体" w:hint="eastAsia"/>
                <w:sz w:val="18"/>
                <w:lang w:eastAsia="zh-CN"/>
              </w:rPr>
              <w:t>故障</w:t>
            </w:r>
            <w:r w:rsidR="00C55B83" w:rsidRPr="00B403CB">
              <w:rPr>
                <w:rFonts w:eastAsia="宋体" w:hint="eastAsia"/>
                <w:sz w:val="18"/>
                <w:lang w:eastAsia="zh-CN"/>
              </w:rPr>
              <w:t>报告</w:t>
            </w: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lang w:eastAsia="zh-CN"/>
              </w:rPr>
            </w:pPr>
          </w:p>
        </w:tc>
        <w:tc>
          <w:tcPr>
            <w:tcW w:w="730" w:type="pct"/>
            <w:tcBorders>
              <w:top w:val="single" w:sz="4" w:space="0" w:color="000000"/>
              <w:left w:val="single" w:sz="4" w:space="0" w:color="000000"/>
              <w:bottom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hint="eastAsia"/>
                <w:sz w:val="18"/>
              </w:rPr>
              <w:t>药品</w:t>
            </w:r>
            <w:r w:rsidRPr="00B403CB">
              <w:rPr>
                <w:rFonts w:eastAsia="宋体"/>
                <w:sz w:val="18"/>
              </w:rPr>
              <w:t>-</w:t>
            </w:r>
            <w:r w:rsidRPr="00B403CB">
              <w:rPr>
                <w:rFonts w:eastAsia="宋体" w:hint="eastAsia"/>
                <w:sz w:val="18"/>
              </w:rPr>
              <w:t>生物制品</w:t>
            </w:r>
            <w:r w:rsidRPr="00B403CB">
              <w:rPr>
                <w:rFonts w:eastAsia="宋体"/>
                <w:sz w:val="18"/>
              </w:rPr>
              <w:t>CP</w:t>
            </w:r>
          </w:p>
        </w:tc>
        <w:tc>
          <w:tcPr>
            <w:tcW w:w="222" w:type="pct"/>
            <w:tcBorders>
              <w:top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87" w:type="pct"/>
            <w:tcBorders>
              <w:top w:val="single" w:sz="4" w:space="0" w:color="000000"/>
              <w:left w:val="single" w:sz="4" w:space="0" w:color="000000"/>
              <w:bottom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489" w:type="pct"/>
            <w:gridSpan w:val="2"/>
            <w:vMerge/>
            <w:tcBorders>
              <w:top w:val="nil"/>
              <w:right w:val="single" w:sz="4" w:space="0" w:color="000000"/>
            </w:tcBorders>
            <w:shd w:val="clear" w:color="auto" w:fill="DADADA"/>
          </w:tcPr>
          <w:p w:rsidR="00D83601" w:rsidRPr="00B403CB" w:rsidRDefault="00D83601" w:rsidP="00B403CB">
            <w:pPr>
              <w:autoSpaceDE/>
              <w:autoSpaceDN/>
              <w:snapToGrid w:val="0"/>
              <w:jc w:val="center"/>
              <w:rPr>
                <w:rFonts w:eastAsia="宋体"/>
                <w:sz w:val="1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rPr>
            </w:pPr>
          </w:p>
        </w:tc>
        <w:tc>
          <w:tcPr>
            <w:tcW w:w="371" w:type="pct"/>
            <w:tcBorders>
              <w:top w:val="single" w:sz="4" w:space="0" w:color="000000"/>
              <w:left w:val="single" w:sz="4" w:space="0" w:color="000000"/>
              <w:bottom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rPr>
            </w:pPr>
          </w:p>
        </w:tc>
        <w:tc>
          <w:tcPr>
            <w:tcW w:w="1361" w:type="pct"/>
            <w:tcBorders>
              <w:top w:val="single" w:sz="2" w:space="0" w:color="000000"/>
              <w:bottom w:val="single" w:sz="2" w:space="0" w:color="000000"/>
            </w:tcBorders>
            <w:shd w:val="clear" w:color="auto" w:fill="auto"/>
          </w:tcPr>
          <w:p w:rsidR="00D83601" w:rsidRPr="00B403CB" w:rsidRDefault="00D83601" w:rsidP="00C1273A">
            <w:pPr>
              <w:pStyle w:val="TableParagraph"/>
              <w:autoSpaceDE/>
              <w:autoSpaceDN/>
              <w:snapToGrid w:val="0"/>
              <w:jc w:val="both"/>
              <w:rPr>
                <w:rFonts w:eastAsia="宋体"/>
                <w:sz w:val="18"/>
              </w:rPr>
            </w:pP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rPr>
            </w:pPr>
          </w:p>
        </w:tc>
        <w:tc>
          <w:tcPr>
            <w:tcW w:w="730" w:type="pct"/>
            <w:tcBorders>
              <w:top w:val="single" w:sz="4" w:space="0" w:color="000000"/>
              <w:left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药品</w:t>
            </w:r>
            <w:r w:rsidRPr="00B403CB">
              <w:rPr>
                <w:rFonts w:eastAsia="宋体"/>
                <w:sz w:val="18"/>
                <w:lang w:eastAsia="zh-CN"/>
              </w:rPr>
              <w:t>-</w:t>
            </w:r>
            <w:r w:rsidRPr="00B403CB">
              <w:rPr>
                <w:rFonts w:eastAsia="宋体" w:hint="eastAsia"/>
                <w:sz w:val="18"/>
                <w:lang w:eastAsia="zh-CN"/>
              </w:rPr>
              <w:t>器械</w:t>
            </w:r>
            <w:r w:rsidRPr="00B403CB">
              <w:rPr>
                <w:rFonts w:eastAsia="宋体"/>
                <w:sz w:val="18"/>
                <w:lang w:eastAsia="zh-CN"/>
              </w:rPr>
              <w:t>-</w:t>
            </w:r>
            <w:r w:rsidRPr="00B403CB">
              <w:rPr>
                <w:rFonts w:eastAsia="宋体" w:hint="eastAsia"/>
                <w:sz w:val="18"/>
                <w:lang w:eastAsia="zh-CN"/>
              </w:rPr>
              <w:t>生物制品</w:t>
            </w:r>
            <w:r w:rsidRPr="00B403CB">
              <w:rPr>
                <w:rFonts w:eastAsia="宋体"/>
                <w:sz w:val="18"/>
                <w:lang w:eastAsia="zh-CN"/>
              </w:rPr>
              <w:t>CP</w:t>
            </w:r>
          </w:p>
        </w:tc>
        <w:tc>
          <w:tcPr>
            <w:tcW w:w="222" w:type="pct"/>
            <w:tcBorders>
              <w:top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197" w:type="pct"/>
            <w:tcBorders>
              <w:top w:val="single" w:sz="4" w:space="0" w:color="000000"/>
              <w:left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87" w:type="pct"/>
            <w:tcBorders>
              <w:top w:val="single" w:sz="4" w:space="0" w:color="000000"/>
              <w:lef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489" w:type="pct"/>
            <w:gridSpan w:val="2"/>
            <w:vMerge/>
            <w:tcBorders>
              <w:top w:val="nil"/>
              <w:right w:val="single" w:sz="4" w:space="0" w:color="000000"/>
            </w:tcBorders>
            <w:shd w:val="clear" w:color="auto" w:fill="DADADA"/>
          </w:tcPr>
          <w:p w:rsidR="00D83601" w:rsidRPr="00B403CB" w:rsidRDefault="00D83601" w:rsidP="00B403CB">
            <w:pPr>
              <w:autoSpaceDE/>
              <w:autoSpaceDN/>
              <w:snapToGrid w:val="0"/>
              <w:jc w:val="center"/>
              <w:rPr>
                <w:rFonts w:eastAsia="宋体"/>
                <w:sz w:val="18"/>
              </w:rPr>
            </w:pPr>
          </w:p>
        </w:tc>
        <w:tc>
          <w:tcPr>
            <w:tcW w:w="299" w:type="pct"/>
            <w:tcBorders>
              <w:top w:val="single" w:sz="4" w:space="0" w:color="000000"/>
              <w:left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36" w:type="pct"/>
            <w:tcBorders>
              <w:top w:val="single" w:sz="4" w:space="0" w:color="000000"/>
              <w:left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92" w:type="pct"/>
            <w:tcBorders>
              <w:top w:val="single" w:sz="4" w:space="0" w:color="000000"/>
              <w:left w:val="single" w:sz="4" w:space="0" w:color="000000"/>
              <w:right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249" w:type="pct"/>
            <w:tcBorders>
              <w:top w:val="single" w:sz="4" w:space="0" w:color="000000"/>
              <w:left w:val="single" w:sz="4" w:space="0" w:color="000000"/>
              <w:right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371" w:type="pct"/>
            <w:tcBorders>
              <w:top w:val="single" w:sz="4" w:space="0" w:color="000000"/>
              <w:left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1361" w:type="pct"/>
            <w:tcBorders>
              <w:top w:val="single" w:sz="2" w:space="0" w:color="000000"/>
            </w:tcBorders>
            <w:shd w:val="clear" w:color="auto" w:fill="auto"/>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在定期安全性报告（</w:t>
            </w:r>
            <w:r w:rsidR="007267DD" w:rsidRPr="00C277C0">
              <w:rPr>
                <w:rFonts w:eastAsia="宋体" w:hint="eastAsia"/>
                <w:snapToGrid w:val="0"/>
                <w:sz w:val="18"/>
                <w:szCs w:val="18"/>
                <w:lang w:eastAsia="zh-CN"/>
              </w:rPr>
              <w:t>《美国联邦法规》第</w:t>
            </w:r>
            <w:r w:rsidR="00286DB1">
              <w:rPr>
                <w:rFonts w:eastAsia="宋体" w:hint="eastAsia"/>
                <w:snapToGrid w:val="0"/>
                <w:sz w:val="18"/>
                <w:szCs w:val="18"/>
                <w:lang w:eastAsia="zh-CN"/>
              </w:rPr>
              <w:t>21</w:t>
            </w:r>
            <w:r w:rsidR="00286DB1">
              <w:rPr>
                <w:rFonts w:eastAsia="宋体" w:hint="eastAsia"/>
                <w:snapToGrid w:val="0"/>
                <w:sz w:val="18"/>
                <w:szCs w:val="18"/>
                <w:lang w:eastAsia="zh-CN"/>
              </w:rPr>
              <w:t>篇</w:t>
            </w:r>
            <w:r w:rsidR="00AE0101" w:rsidRPr="00C277C0">
              <w:rPr>
                <w:rFonts w:eastAsia="宋体" w:hint="eastAsia"/>
                <w:snapToGrid w:val="0"/>
                <w:sz w:val="18"/>
                <w:szCs w:val="18"/>
                <w:lang w:eastAsia="zh-CN"/>
              </w:rPr>
              <w:t>第</w:t>
            </w:r>
            <w:r w:rsidRPr="00C277C0">
              <w:rPr>
                <w:rFonts w:eastAsia="宋体" w:hint="eastAsia"/>
                <w:snapToGrid w:val="0"/>
                <w:sz w:val="18"/>
                <w:szCs w:val="18"/>
                <w:lang w:eastAsia="zh-CN"/>
              </w:rPr>
              <w:t>4</w:t>
            </w:r>
            <w:r w:rsidRPr="00B403CB">
              <w:rPr>
                <w:rFonts w:eastAsia="宋体"/>
                <w:sz w:val="18"/>
                <w:lang w:eastAsia="zh-CN"/>
              </w:rPr>
              <w:t>.102</w:t>
            </w:r>
            <w:r w:rsidR="00FA5CED" w:rsidRPr="00C277C0">
              <w:rPr>
                <w:rFonts w:eastAsia="宋体" w:hint="eastAsia"/>
                <w:snapToGrid w:val="0"/>
                <w:sz w:val="18"/>
                <w:szCs w:val="18"/>
                <w:lang w:eastAsia="zh-CN"/>
              </w:rPr>
              <w:t>（</w:t>
            </w:r>
            <w:r w:rsidRPr="00B403CB">
              <w:rPr>
                <w:rFonts w:eastAsia="宋体"/>
                <w:sz w:val="18"/>
                <w:lang w:eastAsia="zh-CN"/>
              </w:rPr>
              <w:t>d</w:t>
            </w:r>
            <w:r w:rsidR="00FA5CED" w:rsidRPr="00C277C0">
              <w:rPr>
                <w:rFonts w:eastAsia="宋体" w:hint="eastAsia"/>
                <w:snapToGrid w:val="0"/>
                <w:sz w:val="18"/>
                <w:szCs w:val="18"/>
                <w:lang w:eastAsia="zh-CN"/>
              </w:rPr>
              <w:t>）</w:t>
            </w:r>
            <w:r w:rsidR="00AE0101" w:rsidRPr="00C277C0">
              <w:rPr>
                <w:rFonts w:eastAsia="宋体" w:hint="eastAsia"/>
                <w:snapToGrid w:val="0"/>
                <w:sz w:val="18"/>
                <w:szCs w:val="18"/>
                <w:lang w:eastAsia="zh-CN"/>
              </w:rPr>
              <w:t>节</w:t>
            </w:r>
            <w:r w:rsidR="00AE0101" w:rsidRPr="00B403CB">
              <w:rPr>
                <w:rFonts w:eastAsia="宋体" w:hint="eastAsia"/>
                <w:sz w:val="18"/>
                <w:lang w:eastAsia="zh-CN"/>
              </w:rPr>
              <w:t>）</w:t>
            </w:r>
            <w:r w:rsidRPr="00B403CB">
              <w:rPr>
                <w:rFonts w:eastAsia="宋体" w:hint="eastAsia"/>
                <w:sz w:val="18"/>
                <w:lang w:eastAsia="zh-CN"/>
              </w:rPr>
              <w:t>中说明</w:t>
            </w:r>
            <w:r w:rsidRPr="00B403CB">
              <w:rPr>
                <w:rFonts w:eastAsia="宋体"/>
                <w:sz w:val="18"/>
                <w:lang w:eastAsia="zh-CN"/>
              </w:rPr>
              <w:t>5</w:t>
            </w:r>
            <w:r w:rsidRPr="00B403CB">
              <w:rPr>
                <w:rFonts w:eastAsia="宋体" w:hint="eastAsia"/>
                <w:sz w:val="18"/>
                <w:lang w:eastAsia="zh-CN"/>
              </w:rPr>
              <w:t>天报告和</w:t>
            </w:r>
            <w:r w:rsidR="00F2264E" w:rsidRPr="00B403CB">
              <w:rPr>
                <w:rFonts w:eastAsia="宋体" w:hint="eastAsia"/>
                <w:sz w:val="18"/>
                <w:lang w:eastAsia="zh-CN"/>
              </w:rPr>
              <w:t>故障</w:t>
            </w:r>
            <w:r w:rsidR="00C55B83" w:rsidRPr="00B403CB">
              <w:rPr>
                <w:rFonts w:eastAsia="宋体" w:hint="eastAsia"/>
                <w:sz w:val="18"/>
                <w:lang w:eastAsia="zh-CN"/>
              </w:rPr>
              <w:t>报告</w:t>
            </w:r>
          </w:p>
        </w:tc>
      </w:tr>
      <w:tr w:rsidR="00EC5292" w:rsidRPr="00C277C0" w:rsidTr="003400B6">
        <w:trPr>
          <w:trHeight w:val="20"/>
        </w:trPr>
        <w:tc>
          <w:tcPr>
            <w:tcW w:w="367" w:type="pct"/>
            <w:vMerge w:val="restart"/>
            <w:tcBorders>
              <w:right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sz w:val="18"/>
              </w:rPr>
              <w:t>BLA</w:t>
            </w:r>
          </w:p>
        </w:tc>
        <w:tc>
          <w:tcPr>
            <w:tcW w:w="730" w:type="pct"/>
            <w:tcBorders>
              <w:left w:val="single" w:sz="4" w:space="0" w:color="000000"/>
              <w:bottom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hint="eastAsia"/>
                <w:sz w:val="18"/>
              </w:rPr>
              <w:t>生物制品组成部分</w:t>
            </w:r>
          </w:p>
        </w:tc>
        <w:tc>
          <w:tcPr>
            <w:tcW w:w="222" w:type="pct"/>
            <w:tcBorders>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97" w:type="pct"/>
            <w:tcBorders>
              <w:left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187" w:type="pct"/>
            <w:tcBorders>
              <w:left w:val="single" w:sz="4" w:space="0" w:color="000000"/>
              <w:bottom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53" w:type="pct"/>
            <w:tcBorders>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36" w:type="pct"/>
            <w:tcBorders>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535" w:type="pct"/>
            <w:gridSpan w:val="2"/>
            <w:vMerge w:val="restart"/>
            <w:tcBorders>
              <w:left w:val="single" w:sz="4" w:space="0" w:color="000000"/>
              <w:right w:val="single" w:sz="4" w:space="0" w:color="000000"/>
            </w:tcBorders>
            <w:shd w:val="clear" w:color="auto" w:fill="DADADA"/>
            <w:vAlign w:val="center"/>
          </w:tcPr>
          <w:p w:rsidR="00D83601" w:rsidRPr="00B403CB" w:rsidRDefault="00097329" w:rsidP="00D858CC">
            <w:pPr>
              <w:pStyle w:val="TableParagraph"/>
              <w:autoSpaceDE/>
              <w:autoSpaceDN/>
              <w:snapToGrid w:val="0"/>
              <w:jc w:val="center"/>
              <w:rPr>
                <w:rFonts w:eastAsia="宋体"/>
                <w:sz w:val="18"/>
                <w:lang w:eastAsia="zh-CN"/>
              </w:rPr>
            </w:pPr>
            <w:r w:rsidRPr="00B403CB">
              <w:rPr>
                <w:rFonts w:eastAsia="宋体" w:hint="eastAsia"/>
                <w:sz w:val="18"/>
                <w:lang w:eastAsia="zh-CN"/>
              </w:rPr>
              <w:t>基于申请类型的要求涵盖</w:t>
            </w:r>
          </w:p>
        </w:tc>
        <w:tc>
          <w:tcPr>
            <w:tcW w:w="292" w:type="pct"/>
            <w:tcBorders>
              <w:left w:val="single" w:sz="4" w:space="0" w:color="000000"/>
              <w:bottom w:val="single" w:sz="4" w:space="0" w:color="000000"/>
              <w:right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lang w:eastAsia="zh-CN"/>
              </w:rPr>
            </w:pPr>
          </w:p>
        </w:tc>
        <w:tc>
          <w:tcPr>
            <w:tcW w:w="249" w:type="pct"/>
            <w:tcBorders>
              <w:left w:val="single" w:sz="4" w:space="0" w:color="000000"/>
              <w:bottom w:val="single" w:sz="4" w:space="0" w:color="000000"/>
              <w:right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lang w:eastAsia="zh-CN"/>
              </w:rPr>
            </w:pPr>
          </w:p>
        </w:tc>
        <w:tc>
          <w:tcPr>
            <w:tcW w:w="371" w:type="pct"/>
            <w:tcBorders>
              <w:left w:val="single" w:sz="4" w:space="0" w:color="000000"/>
              <w:bottom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lang w:eastAsia="zh-CN"/>
              </w:rPr>
            </w:pPr>
          </w:p>
        </w:tc>
        <w:tc>
          <w:tcPr>
            <w:tcW w:w="1361" w:type="pct"/>
            <w:tcBorders>
              <w:bottom w:val="single" w:sz="2" w:space="0" w:color="000000"/>
            </w:tcBorders>
            <w:shd w:val="clear" w:color="auto" w:fill="auto"/>
          </w:tcPr>
          <w:p w:rsidR="00D83601" w:rsidRPr="00B403CB" w:rsidRDefault="00097329" w:rsidP="009C4D9B">
            <w:pPr>
              <w:pStyle w:val="TableParagraph"/>
              <w:autoSpaceDE/>
              <w:autoSpaceDN/>
              <w:snapToGrid w:val="0"/>
              <w:jc w:val="both"/>
              <w:rPr>
                <w:rFonts w:eastAsia="宋体"/>
                <w:sz w:val="18"/>
                <w:lang w:eastAsia="zh-CN"/>
              </w:rPr>
            </w:pPr>
            <w:r w:rsidRPr="00B403CB">
              <w:rPr>
                <w:rFonts w:eastAsia="宋体" w:hint="eastAsia"/>
                <w:sz w:val="18"/>
                <w:lang w:eastAsia="zh-CN"/>
              </w:rPr>
              <w:t>与其他组成部分共享信息</w:t>
            </w:r>
            <w:r w:rsidRPr="00C277C0">
              <w:rPr>
                <w:rFonts w:eastAsia="宋体" w:hint="eastAsia"/>
                <w:snapToGrid w:val="0"/>
                <w:sz w:val="18"/>
                <w:szCs w:val="18"/>
                <w:lang w:eastAsia="zh-CN"/>
              </w:rPr>
              <w:t>部件申请人（</w:t>
            </w:r>
            <w:r w:rsidR="007267DD" w:rsidRPr="00C277C0">
              <w:rPr>
                <w:rFonts w:eastAsia="宋体" w:hint="eastAsia"/>
                <w:snapToGrid w:val="0"/>
                <w:sz w:val="18"/>
                <w:szCs w:val="18"/>
                <w:lang w:eastAsia="zh-CN"/>
              </w:rPr>
              <w:t>《美国联邦法规》第</w:t>
            </w:r>
            <w:r w:rsidR="00286DB1">
              <w:rPr>
                <w:rFonts w:eastAsia="宋体" w:hint="eastAsia"/>
                <w:snapToGrid w:val="0"/>
                <w:sz w:val="18"/>
                <w:szCs w:val="18"/>
                <w:lang w:eastAsia="zh-CN"/>
              </w:rPr>
              <w:t>21</w:t>
            </w:r>
            <w:r w:rsidR="00286DB1">
              <w:rPr>
                <w:rFonts w:eastAsia="宋体" w:hint="eastAsia"/>
                <w:snapToGrid w:val="0"/>
                <w:sz w:val="18"/>
                <w:szCs w:val="18"/>
                <w:lang w:eastAsia="zh-CN"/>
              </w:rPr>
              <w:t>篇</w:t>
            </w:r>
            <w:r w:rsidR="00AE0101" w:rsidRPr="00C277C0">
              <w:rPr>
                <w:rFonts w:eastAsia="宋体" w:hint="eastAsia"/>
                <w:snapToGrid w:val="0"/>
                <w:sz w:val="18"/>
                <w:szCs w:val="18"/>
                <w:lang w:eastAsia="zh-CN"/>
              </w:rPr>
              <w:t>第</w:t>
            </w:r>
            <w:r w:rsidR="00C55B83" w:rsidRPr="00C277C0">
              <w:rPr>
                <w:rFonts w:eastAsia="宋体" w:hint="eastAsia"/>
                <w:snapToGrid w:val="0"/>
                <w:sz w:val="18"/>
                <w:szCs w:val="18"/>
                <w:lang w:eastAsia="zh-CN"/>
              </w:rPr>
              <w:t>4</w:t>
            </w:r>
            <w:r w:rsidR="00C55B83" w:rsidRPr="00B403CB">
              <w:rPr>
                <w:rFonts w:eastAsia="宋体"/>
                <w:sz w:val="18"/>
                <w:lang w:eastAsia="zh-CN"/>
              </w:rPr>
              <w:t>.103</w:t>
            </w:r>
            <w:r w:rsidR="00C55B83" w:rsidRPr="00C277C0">
              <w:rPr>
                <w:rFonts w:eastAsia="宋体" w:hint="eastAsia"/>
                <w:snapToGrid w:val="0"/>
                <w:sz w:val="18"/>
                <w:szCs w:val="18"/>
                <w:lang w:eastAsia="zh-CN"/>
              </w:rPr>
              <w:t>节</w:t>
            </w:r>
            <w:r w:rsidR="00AE0101" w:rsidRPr="00B403CB">
              <w:rPr>
                <w:rFonts w:eastAsia="宋体" w:hint="eastAsia"/>
                <w:sz w:val="18"/>
                <w:lang w:eastAsia="zh-CN"/>
              </w:rPr>
              <w:t>）</w:t>
            </w: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lang w:eastAsia="zh-CN"/>
              </w:rPr>
            </w:pPr>
          </w:p>
        </w:tc>
        <w:tc>
          <w:tcPr>
            <w:tcW w:w="730" w:type="pct"/>
            <w:tcBorders>
              <w:top w:val="single" w:sz="4" w:space="0" w:color="000000"/>
              <w:left w:val="single" w:sz="4" w:space="0" w:color="000000"/>
              <w:bottom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hint="eastAsia"/>
                <w:sz w:val="18"/>
              </w:rPr>
              <w:t>生物制品</w:t>
            </w:r>
            <w:r w:rsidRPr="00B403CB">
              <w:rPr>
                <w:rFonts w:eastAsia="宋体"/>
                <w:sz w:val="18"/>
              </w:rPr>
              <w:t>-</w:t>
            </w:r>
            <w:r w:rsidRPr="00B403CB">
              <w:rPr>
                <w:rFonts w:eastAsia="宋体" w:hint="eastAsia"/>
                <w:sz w:val="18"/>
              </w:rPr>
              <w:t>器械</w:t>
            </w:r>
            <w:r w:rsidRPr="00B403CB">
              <w:rPr>
                <w:rFonts w:eastAsia="宋体"/>
                <w:sz w:val="18"/>
              </w:rPr>
              <w:t>CP</w:t>
            </w:r>
          </w:p>
        </w:tc>
        <w:tc>
          <w:tcPr>
            <w:tcW w:w="222" w:type="pct"/>
            <w:tcBorders>
              <w:top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187" w:type="pct"/>
            <w:tcBorders>
              <w:top w:val="single" w:sz="4" w:space="0" w:color="000000"/>
              <w:left w:val="single" w:sz="4" w:space="0" w:color="000000"/>
              <w:bottom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53" w:type="pct"/>
            <w:tcBorders>
              <w:top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535" w:type="pct"/>
            <w:gridSpan w:val="2"/>
            <w:vMerge/>
            <w:tcBorders>
              <w:top w:val="nil"/>
              <w:left w:val="single" w:sz="4" w:space="0" w:color="000000"/>
              <w:right w:val="single" w:sz="4" w:space="0" w:color="000000"/>
            </w:tcBorders>
            <w:shd w:val="clear" w:color="auto" w:fill="DADADA"/>
          </w:tcPr>
          <w:p w:rsidR="00D83601" w:rsidRPr="00B403CB" w:rsidRDefault="00D83601" w:rsidP="00B403CB">
            <w:pPr>
              <w:autoSpaceDE/>
              <w:autoSpaceDN/>
              <w:snapToGrid w:val="0"/>
              <w:jc w:val="center"/>
              <w:rPr>
                <w:rFonts w:eastAsia="宋体"/>
                <w:sz w:val="18"/>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249"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371" w:type="pct"/>
            <w:tcBorders>
              <w:top w:val="single" w:sz="4" w:space="0" w:color="000000"/>
              <w:left w:val="single" w:sz="4" w:space="0" w:color="000000"/>
              <w:bottom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1361" w:type="pct"/>
            <w:tcBorders>
              <w:top w:val="single" w:sz="2" w:space="0" w:color="000000"/>
              <w:bottom w:val="single" w:sz="2" w:space="0" w:color="000000"/>
            </w:tcBorders>
            <w:shd w:val="clear" w:color="auto" w:fill="auto"/>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在定期安全性报告（</w:t>
            </w:r>
            <w:r w:rsidR="007267DD" w:rsidRPr="00C277C0">
              <w:rPr>
                <w:rFonts w:eastAsia="宋体" w:hint="eastAsia"/>
                <w:snapToGrid w:val="0"/>
                <w:sz w:val="18"/>
                <w:szCs w:val="18"/>
                <w:lang w:eastAsia="zh-CN"/>
              </w:rPr>
              <w:t>《美国联邦法规》第</w:t>
            </w:r>
            <w:r w:rsidR="00286DB1">
              <w:rPr>
                <w:rFonts w:eastAsia="宋体" w:hint="eastAsia"/>
                <w:snapToGrid w:val="0"/>
                <w:sz w:val="18"/>
                <w:szCs w:val="18"/>
                <w:lang w:eastAsia="zh-CN"/>
              </w:rPr>
              <w:t>21</w:t>
            </w:r>
            <w:r w:rsidR="00286DB1">
              <w:rPr>
                <w:rFonts w:eastAsia="宋体" w:hint="eastAsia"/>
                <w:snapToGrid w:val="0"/>
                <w:sz w:val="18"/>
                <w:szCs w:val="18"/>
                <w:lang w:eastAsia="zh-CN"/>
              </w:rPr>
              <w:t>篇</w:t>
            </w:r>
            <w:r w:rsidR="00AE0101" w:rsidRPr="00C277C0">
              <w:rPr>
                <w:rFonts w:eastAsia="宋体" w:hint="eastAsia"/>
                <w:snapToGrid w:val="0"/>
                <w:sz w:val="18"/>
                <w:szCs w:val="18"/>
                <w:lang w:eastAsia="zh-CN"/>
              </w:rPr>
              <w:t>第</w:t>
            </w:r>
            <w:r w:rsidRPr="00C277C0">
              <w:rPr>
                <w:rFonts w:eastAsia="宋体" w:hint="eastAsia"/>
                <w:snapToGrid w:val="0"/>
                <w:sz w:val="18"/>
                <w:szCs w:val="18"/>
                <w:lang w:eastAsia="zh-CN"/>
              </w:rPr>
              <w:t>4</w:t>
            </w:r>
            <w:r w:rsidRPr="00B403CB">
              <w:rPr>
                <w:rFonts w:eastAsia="宋体"/>
                <w:sz w:val="18"/>
                <w:lang w:eastAsia="zh-CN"/>
              </w:rPr>
              <w:t>.102</w:t>
            </w:r>
            <w:r w:rsidR="00FA5CED" w:rsidRPr="00C277C0">
              <w:rPr>
                <w:rFonts w:eastAsia="宋体" w:hint="eastAsia"/>
                <w:snapToGrid w:val="0"/>
                <w:sz w:val="18"/>
                <w:szCs w:val="18"/>
                <w:lang w:eastAsia="zh-CN"/>
              </w:rPr>
              <w:t>（</w:t>
            </w:r>
            <w:r w:rsidRPr="00B403CB">
              <w:rPr>
                <w:rFonts w:eastAsia="宋体"/>
                <w:sz w:val="18"/>
                <w:lang w:eastAsia="zh-CN"/>
              </w:rPr>
              <w:t>d</w:t>
            </w:r>
            <w:r w:rsidR="00FA5CED" w:rsidRPr="00C277C0">
              <w:rPr>
                <w:rFonts w:eastAsia="宋体" w:hint="eastAsia"/>
                <w:snapToGrid w:val="0"/>
                <w:sz w:val="18"/>
                <w:szCs w:val="18"/>
                <w:lang w:eastAsia="zh-CN"/>
              </w:rPr>
              <w:t>）</w:t>
            </w:r>
            <w:r w:rsidR="00AE0101" w:rsidRPr="00C277C0">
              <w:rPr>
                <w:rFonts w:eastAsia="宋体" w:hint="eastAsia"/>
                <w:snapToGrid w:val="0"/>
                <w:sz w:val="18"/>
                <w:szCs w:val="18"/>
                <w:lang w:eastAsia="zh-CN"/>
              </w:rPr>
              <w:t>节</w:t>
            </w:r>
            <w:r w:rsidR="00AE0101" w:rsidRPr="00B403CB">
              <w:rPr>
                <w:rFonts w:eastAsia="宋体" w:hint="eastAsia"/>
                <w:sz w:val="18"/>
                <w:lang w:eastAsia="zh-CN"/>
              </w:rPr>
              <w:t>）</w:t>
            </w:r>
            <w:r w:rsidRPr="00B403CB">
              <w:rPr>
                <w:rFonts w:eastAsia="宋体" w:hint="eastAsia"/>
                <w:sz w:val="18"/>
                <w:lang w:eastAsia="zh-CN"/>
              </w:rPr>
              <w:t>中说明</w:t>
            </w:r>
            <w:r w:rsidRPr="00B403CB">
              <w:rPr>
                <w:rFonts w:eastAsia="宋体"/>
                <w:sz w:val="18"/>
                <w:lang w:eastAsia="zh-CN"/>
              </w:rPr>
              <w:t>5</w:t>
            </w:r>
            <w:r w:rsidRPr="00B403CB">
              <w:rPr>
                <w:rFonts w:eastAsia="宋体" w:hint="eastAsia"/>
                <w:sz w:val="18"/>
                <w:lang w:eastAsia="zh-CN"/>
              </w:rPr>
              <w:t>天报告和</w:t>
            </w:r>
            <w:r w:rsidR="00F2264E" w:rsidRPr="00B403CB">
              <w:rPr>
                <w:rFonts w:eastAsia="宋体" w:hint="eastAsia"/>
                <w:sz w:val="18"/>
                <w:lang w:eastAsia="zh-CN"/>
              </w:rPr>
              <w:t>故障</w:t>
            </w:r>
            <w:r w:rsidR="00C55B83" w:rsidRPr="00B403CB">
              <w:rPr>
                <w:rFonts w:eastAsia="宋体" w:hint="eastAsia"/>
                <w:sz w:val="18"/>
                <w:lang w:eastAsia="zh-CN"/>
              </w:rPr>
              <w:t>报告</w:t>
            </w: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lang w:eastAsia="zh-CN"/>
              </w:rPr>
            </w:pPr>
          </w:p>
        </w:tc>
        <w:tc>
          <w:tcPr>
            <w:tcW w:w="730" w:type="pct"/>
            <w:tcBorders>
              <w:top w:val="single" w:sz="4" w:space="0" w:color="000000"/>
              <w:left w:val="single" w:sz="4" w:space="0" w:color="000000"/>
              <w:bottom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hint="eastAsia"/>
                <w:sz w:val="18"/>
              </w:rPr>
              <w:t>生物制品</w:t>
            </w:r>
            <w:r w:rsidRPr="00B403CB">
              <w:rPr>
                <w:rFonts w:eastAsia="宋体"/>
                <w:sz w:val="18"/>
              </w:rPr>
              <w:t>-</w:t>
            </w:r>
            <w:r w:rsidRPr="00B403CB">
              <w:rPr>
                <w:rFonts w:eastAsia="宋体" w:hint="eastAsia"/>
                <w:sz w:val="18"/>
              </w:rPr>
              <w:t>药品</w:t>
            </w:r>
            <w:r w:rsidRPr="00B403CB">
              <w:rPr>
                <w:rFonts w:eastAsia="宋体"/>
                <w:sz w:val="18"/>
              </w:rPr>
              <w:t>CP</w:t>
            </w:r>
          </w:p>
        </w:tc>
        <w:tc>
          <w:tcPr>
            <w:tcW w:w="222" w:type="pct"/>
            <w:tcBorders>
              <w:top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187" w:type="pct"/>
            <w:tcBorders>
              <w:top w:val="single" w:sz="4" w:space="0" w:color="000000"/>
              <w:left w:val="single" w:sz="4" w:space="0" w:color="000000"/>
              <w:bottom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53" w:type="pct"/>
            <w:tcBorders>
              <w:top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535" w:type="pct"/>
            <w:gridSpan w:val="2"/>
            <w:vMerge/>
            <w:tcBorders>
              <w:top w:val="nil"/>
              <w:left w:val="single" w:sz="4" w:space="0" w:color="000000"/>
              <w:right w:val="single" w:sz="4" w:space="0" w:color="000000"/>
            </w:tcBorders>
            <w:shd w:val="clear" w:color="auto" w:fill="DADADA"/>
          </w:tcPr>
          <w:p w:rsidR="00D83601" w:rsidRPr="00B403CB" w:rsidRDefault="00D83601" w:rsidP="00B403CB">
            <w:pPr>
              <w:autoSpaceDE/>
              <w:autoSpaceDN/>
              <w:snapToGrid w:val="0"/>
              <w:jc w:val="center"/>
              <w:rPr>
                <w:rFonts w:eastAsia="宋体"/>
                <w:sz w:val="18"/>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rPr>
            </w:pPr>
          </w:p>
        </w:tc>
        <w:tc>
          <w:tcPr>
            <w:tcW w:w="371" w:type="pct"/>
            <w:tcBorders>
              <w:top w:val="single" w:sz="4" w:space="0" w:color="000000"/>
              <w:left w:val="single" w:sz="4" w:space="0" w:color="000000"/>
              <w:bottom w:val="single" w:sz="4" w:space="0" w:color="000000"/>
            </w:tcBorders>
            <w:shd w:val="clear" w:color="auto" w:fill="auto"/>
          </w:tcPr>
          <w:p w:rsidR="00D83601" w:rsidRPr="00B403CB" w:rsidRDefault="00D83601" w:rsidP="009C4D9B">
            <w:pPr>
              <w:pStyle w:val="TableParagraph"/>
              <w:autoSpaceDE/>
              <w:autoSpaceDN/>
              <w:snapToGrid w:val="0"/>
              <w:jc w:val="both"/>
              <w:rPr>
                <w:rFonts w:eastAsia="宋体"/>
                <w:sz w:val="18"/>
              </w:rPr>
            </w:pPr>
          </w:p>
        </w:tc>
        <w:tc>
          <w:tcPr>
            <w:tcW w:w="1361" w:type="pct"/>
            <w:tcBorders>
              <w:top w:val="single" w:sz="2" w:space="0" w:color="000000"/>
              <w:bottom w:val="single" w:sz="2" w:space="0" w:color="000000"/>
            </w:tcBorders>
            <w:shd w:val="clear" w:color="auto" w:fill="auto"/>
          </w:tcPr>
          <w:p w:rsidR="00D83601" w:rsidRPr="00B403CB" w:rsidRDefault="00D83601" w:rsidP="00C1273A">
            <w:pPr>
              <w:pStyle w:val="TableParagraph"/>
              <w:autoSpaceDE/>
              <w:autoSpaceDN/>
              <w:snapToGrid w:val="0"/>
              <w:jc w:val="both"/>
              <w:rPr>
                <w:rFonts w:eastAsia="宋体"/>
                <w:sz w:val="18"/>
              </w:rPr>
            </w:pP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rPr>
            </w:pPr>
          </w:p>
        </w:tc>
        <w:tc>
          <w:tcPr>
            <w:tcW w:w="730" w:type="pct"/>
            <w:tcBorders>
              <w:top w:val="single" w:sz="4" w:space="0" w:color="000000"/>
              <w:left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生物制品</w:t>
            </w:r>
            <w:r w:rsidRPr="00B403CB">
              <w:rPr>
                <w:rFonts w:eastAsia="宋体"/>
                <w:sz w:val="18"/>
                <w:lang w:eastAsia="zh-CN"/>
              </w:rPr>
              <w:t>-</w:t>
            </w:r>
            <w:r w:rsidRPr="00B403CB">
              <w:rPr>
                <w:rFonts w:eastAsia="宋体" w:hint="eastAsia"/>
                <w:sz w:val="18"/>
                <w:lang w:eastAsia="zh-CN"/>
              </w:rPr>
              <w:t>药品</w:t>
            </w:r>
            <w:r w:rsidRPr="00B403CB">
              <w:rPr>
                <w:rFonts w:eastAsia="宋体"/>
                <w:sz w:val="18"/>
                <w:lang w:eastAsia="zh-CN"/>
              </w:rPr>
              <w:t>-</w:t>
            </w:r>
            <w:r w:rsidRPr="00B403CB">
              <w:rPr>
                <w:rFonts w:eastAsia="宋体" w:hint="eastAsia"/>
                <w:sz w:val="18"/>
                <w:lang w:eastAsia="zh-CN"/>
              </w:rPr>
              <w:t>器械</w:t>
            </w:r>
            <w:r w:rsidRPr="00B403CB">
              <w:rPr>
                <w:rFonts w:eastAsia="宋体"/>
                <w:sz w:val="18"/>
                <w:lang w:eastAsia="zh-CN"/>
              </w:rPr>
              <w:t>CP</w:t>
            </w:r>
          </w:p>
        </w:tc>
        <w:tc>
          <w:tcPr>
            <w:tcW w:w="222" w:type="pct"/>
            <w:tcBorders>
              <w:top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lang w:eastAsia="zh-CN"/>
              </w:rPr>
            </w:pPr>
          </w:p>
        </w:tc>
        <w:tc>
          <w:tcPr>
            <w:tcW w:w="197" w:type="pct"/>
            <w:tcBorders>
              <w:top w:val="single" w:sz="4" w:space="0" w:color="000000"/>
              <w:left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187" w:type="pct"/>
            <w:tcBorders>
              <w:top w:val="single" w:sz="4" w:space="0" w:color="000000"/>
              <w:lef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53" w:type="pct"/>
            <w:tcBorders>
              <w:top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36" w:type="pct"/>
            <w:tcBorders>
              <w:top w:val="single" w:sz="4" w:space="0" w:color="000000"/>
              <w:left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535" w:type="pct"/>
            <w:gridSpan w:val="2"/>
            <w:vMerge/>
            <w:tcBorders>
              <w:top w:val="nil"/>
              <w:left w:val="single" w:sz="4" w:space="0" w:color="000000"/>
              <w:right w:val="single" w:sz="4" w:space="0" w:color="000000"/>
            </w:tcBorders>
            <w:shd w:val="clear" w:color="auto" w:fill="DADADA"/>
          </w:tcPr>
          <w:p w:rsidR="00D83601" w:rsidRPr="00B403CB" w:rsidRDefault="00D83601" w:rsidP="00B403CB">
            <w:pPr>
              <w:autoSpaceDE/>
              <w:autoSpaceDN/>
              <w:snapToGrid w:val="0"/>
              <w:jc w:val="center"/>
              <w:rPr>
                <w:rFonts w:eastAsia="宋体"/>
                <w:sz w:val="18"/>
              </w:rPr>
            </w:pPr>
          </w:p>
        </w:tc>
        <w:tc>
          <w:tcPr>
            <w:tcW w:w="292" w:type="pct"/>
            <w:tcBorders>
              <w:top w:val="single" w:sz="4" w:space="0" w:color="000000"/>
              <w:left w:val="single" w:sz="4" w:space="0" w:color="000000"/>
              <w:right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249" w:type="pct"/>
            <w:tcBorders>
              <w:top w:val="single" w:sz="4" w:space="0" w:color="000000"/>
              <w:left w:val="single" w:sz="4" w:space="0" w:color="000000"/>
              <w:right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371" w:type="pct"/>
            <w:tcBorders>
              <w:top w:val="single" w:sz="4" w:space="0" w:color="000000"/>
              <w:left w:val="single" w:sz="4" w:space="0" w:color="000000"/>
            </w:tcBorders>
            <w:shd w:val="clear" w:color="auto" w:fill="auto"/>
          </w:tcPr>
          <w:p w:rsidR="00D83601" w:rsidRPr="00B403CB" w:rsidRDefault="00097329" w:rsidP="009C4D9B">
            <w:pPr>
              <w:pStyle w:val="TableParagraph"/>
              <w:autoSpaceDE/>
              <w:autoSpaceDN/>
              <w:snapToGrid w:val="0"/>
              <w:jc w:val="both"/>
              <w:rPr>
                <w:rFonts w:eastAsia="宋体"/>
                <w:sz w:val="18"/>
              </w:rPr>
            </w:pPr>
            <w:r w:rsidRPr="00B403CB">
              <w:rPr>
                <w:rFonts w:eastAsia="宋体"/>
                <w:sz w:val="18"/>
              </w:rPr>
              <w:t>X</w:t>
            </w:r>
          </w:p>
        </w:tc>
        <w:tc>
          <w:tcPr>
            <w:tcW w:w="1361" w:type="pct"/>
            <w:tcBorders>
              <w:top w:val="single" w:sz="2" w:space="0" w:color="000000"/>
            </w:tcBorders>
            <w:shd w:val="clear" w:color="auto" w:fill="auto"/>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在定期安全性报告（</w:t>
            </w:r>
            <w:r w:rsidR="007267DD" w:rsidRPr="00C277C0">
              <w:rPr>
                <w:rFonts w:eastAsia="宋体" w:hint="eastAsia"/>
                <w:snapToGrid w:val="0"/>
                <w:sz w:val="18"/>
                <w:szCs w:val="18"/>
                <w:lang w:eastAsia="zh-CN"/>
              </w:rPr>
              <w:t>《美国联邦法规》第</w:t>
            </w:r>
            <w:r w:rsidR="00286DB1">
              <w:rPr>
                <w:rFonts w:eastAsia="宋体" w:hint="eastAsia"/>
                <w:snapToGrid w:val="0"/>
                <w:sz w:val="18"/>
                <w:szCs w:val="18"/>
                <w:lang w:eastAsia="zh-CN"/>
              </w:rPr>
              <w:t>21</w:t>
            </w:r>
            <w:r w:rsidR="00286DB1">
              <w:rPr>
                <w:rFonts w:eastAsia="宋体" w:hint="eastAsia"/>
                <w:snapToGrid w:val="0"/>
                <w:sz w:val="18"/>
                <w:szCs w:val="18"/>
                <w:lang w:eastAsia="zh-CN"/>
              </w:rPr>
              <w:t>篇</w:t>
            </w:r>
            <w:r w:rsidR="00AE0101" w:rsidRPr="00C277C0">
              <w:rPr>
                <w:rFonts w:eastAsia="宋体" w:hint="eastAsia"/>
                <w:snapToGrid w:val="0"/>
                <w:sz w:val="18"/>
                <w:szCs w:val="18"/>
                <w:lang w:eastAsia="zh-CN"/>
              </w:rPr>
              <w:t>第</w:t>
            </w:r>
            <w:r w:rsidRPr="00C277C0">
              <w:rPr>
                <w:rFonts w:eastAsia="宋体" w:hint="eastAsia"/>
                <w:snapToGrid w:val="0"/>
                <w:sz w:val="18"/>
                <w:szCs w:val="18"/>
                <w:lang w:eastAsia="zh-CN"/>
              </w:rPr>
              <w:t>4</w:t>
            </w:r>
            <w:r w:rsidRPr="00B403CB">
              <w:rPr>
                <w:rFonts w:eastAsia="宋体"/>
                <w:sz w:val="18"/>
                <w:lang w:eastAsia="zh-CN"/>
              </w:rPr>
              <w:t>.102</w:t>
            </w:r>
            <w:r w:rsidR="00FA5CED" w:rsidRPr="00C277C0">
              <w:rPr>
                <w:rFonts w:eastAsia="宋体" w:hint="eastAsia"/>
                <w:snapToGrid w:val="0"/>
                <w:sz w:val="18"/>
                <w:szCs w:val="18"/>
                <w:lang w:eastAsia="zh-CN"/>
              </w:rPr>
              <w:t>（</w:t>
            </w:r>
            <w:r w:rsidRPr="00B403CB">
              <w:rPr>
                <w:rFonts w:eastAsia="宋体"/>
                <w:sz w:val="18"/>
                <w:lang w:eastAsia="zh-CN"/>
              </w:rPr>
              <w:t>d</w:t>
            </w:r>
            <w:r w:rsidR="00FA5CED" w:rsidRPr="00C277C0">
              <w:rPr>
                <w:rFonts w:eastAsia="宋体" w:hint="eastAsia"/>
                <w:snapToGrid w:val="0"/>
                <w:sz w:val="18"/>
                <w:szCs w:val="18"/>
                <w:lang w:eastAsia="zh-CN"/>
              </w:rPr>
              <w:t>）</w:t>
            </w:r>
            <w:r w:rsidR="00AE0101" w:rsidRPr="00C277C0">
              <w:rPr>
                <w:rFonts w:eastAsia="宋体" w:hint="eastAsia"/>
                <w:snapToGrid w:val="0"/>
                <w:sz w:val="18"/>
                <w:szCs w:val="18"/>
                <w:lang w:eastAsia="zh-CN"/>
              </w:rPr>
              <w:t>节</w:t>
            </w:r>
            <w:r w:rsidR="00AE0101" w:rsidRPr="00B403CB">
              <w:rPr>
                <w:rFonts w:eastAsia="宋体" w:hint="eastAsia"/>
                <w:sz w:val="18"/>
                <w:lang w:eastAsia="zh-CN"/>
              </w:rPr>
              <w:t>）</w:t>
            </w:r>
            <w:r w:rsidRPr="00B403CB">
              <w:rPr>
                <w:rFonts w:eastAsia="宋体" w:hint="eastAsia"/>
                <w:sz w:val="18"/>
                <w:lang w:eastAsia="zh-CN"/>
              </w:rPr>
              <w:t>中说明</w:t>
            </w:r>
            <w:r w:rsidRPr="00B403CB">
              <w:rPr>
                <w:rFonts w:eastAsia="宋体"/>
                <w:sz w:val="18"/>
                <w:lang w:eastAsia="zh-CN"/>
              </w:rPr>
              <w:t>5</w:t>
            </w:r>
            <w:r w:rsidRPr="00B403CB">
              <w:rPr>
                <w:rFonts w:eastAsia="宋体" w:hint="eastAsia"/>
                <w:sz w:val="18"/>
                <w:lang w:eastAsia="zh-CN"/>
              </w:rPr>
              <w:t>天报告和</w:t>
            </w:r>
            <w:r w:rsidR="00F2264E" w:rsidRPr="00B403CB">
              <w:rPr>
                <w:rFonts w:eastAsia="宋体" w:hint="eastAsia"/>
                <w:sz w:val="18"/>
                <w:lang w:eastAsia="zh-CN"/>
              </w:rPr>
              <w:t>故障</w:t>
            </w:r>
            <w:r w:rsidR="00C55B83" w:rsidRPr="00B403CB">
              <w:rPr>
                <w:rFonts w:eastAsia="宋体" w:hint="eastAsia"/>
                <w:sz w:val="18"/>
                <w:lang w:eastAsia="zh-CN"/>
              </w:rPr>
              <w:t>报告</w:t>
            </w:r>
          </w:p>
        </w:tc>
      </w:tr>
      <w:tr w:rsidR="00EC5292" w:rsidRPr="00C277C0" w:rsidTr="003400B6">
        <w:trPr>
          <w:trHeight w:val="20"/>
        </w:trPr>
        <w:tc>
          <w:tcPr>
            <w:tcW w:w="367" w:type="pct"/>
            <w:vMerge w:val="restart"/>
            <w:tcBorders>
              <w:right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器械申请（</w:t>
            </w:r>
            <w:r w:rsidRPr="00B403CB">
              <w:rPr>
                <w:rFonts w:eastAsia="宋体"/>
                <w:sz w:val="18"/>
                <w:lang w:eastAsia="zh-CN"/>
              </w:rPr>
              <w:t>PMA</w:t>
            </w:r>
            <w:r w:rsidRPr="00B403CB">
              <w:rPr>
                <w:rFonts w:eastAsia="宋体" w:hint="eastAsia"/>
                <w:sz w:val="18"/>
                <w:lang w:eastAsia="zh-CN"/>
              </w:rPr>
              <w:t>、</w:t>
            </w:r>
            <w:r w:rsidRPr="00B403CB">
              <w:rPr>
                <w:rFonts w:eastAsia="宋体"/>
                <w:sz w:val="18"/>
                <w:lang w:eastAsia="zh-CN"/>
              </w:rPr>
              <w:t>510</w:t>
            </w:r>
            <w:r w:rsidR="00FA5CED" w:rsidRPr="00C277C0">
              <w:rPr>
                <w:rFonts w:eastAsia="宋体" w:hint="eastAsia"/>
                <w:snapToGrid w:val="0"/>
                <w:sz w:val="18"/>
                <w:szCs w:val="18"/>
                <w:lang w:eastAsia="zh-CN"/>
              </w:rPr>
              <w:t>（</w:t>
            </w:r>
            <w:r w:rsidRPr="00B403CB">
              <w:rPr>
                <w:rFonts w:eastAsia="宋体"/>
                <w:sz w:val="18"/>
                <w:lang w:eastAsia="zh-CN"/>
              </w:rPr>
              <w:t>k</w:t>
            </w:r>
            <w:r w:rsidR="00FA5CED" w:rsidRPr="00C277C0">
              <w:rPr>
                <w:rFonts w:eastAsia="宋体" w:hint="eastAsia"/>
                <w:snapToGrid w:val="0"/>
                <w:sz w:val="18"/>
                <w:szCs w:val="18"/>
                <w:lang w:eastAsia="zh-CN"/>
              </w:rPr>
              <w:t>）</w:t>
            </w:r>
            <w:r w:rsidRPr="00B403CB">
              <w:rPr>
                <w:rFonts w:eastAsia="宋体" w:hint="eastAsia"/>
                <w:sz w:val="18"/>
                <w:lang w:eastAsia="zh-CN"/>
              </w:rPr>
              <w:t>、</w:t>
            </w:r>
            <w:r w:rsidRPr="00B403CB">
              <w:rPr>
                <w:rFonts w:eastAsia="宋体"/>
                <w:sz w:val="18"/>
                <w:lang w:eastAsia="zh-CN"/>
              </w:rPr>
              <w:t>HDE</w:t>
            </w:r>
            <w:r w:rsidRPr="00B403CB">
              <w:rPr>
                <w:rFonts w:eastAsia="宋体" w:hint="eastAsia"/>
                <w:sz w:val="18"/>
                <w:lang w:eastAsia="zh-CN"/>
              </w:rPr>
              <w:t>、</w:t>
            </w:r>
            <w:r w:rsidRPr="00B403CB">
              <w:rPr>
                <w:rFonts w:eastAsia="宋体"/>
                <w:sz w:val="18"/>
                <w:lang w:eastAsia="zh-CN"/>
              </w:rPr>
              <w:t>PDP</w:t>
            </w:r>
            <w:r w:rsidRPr="00B403CB">
              <w:rPr>
                <w:rFonts w:eastAsia="宋体" w:hint="eastAsia"/>
                <w:sz w:val="18"/>
                <w:lang w:eastAsia="zh-CN"/>
              </w:rPr>
              <w:t>、新发）</w:t>
            </w:r>
          </w:p>
        </w:tc>
        <w:tc>
          <w:tcPr>
            <w:tcW w:w="730" w:type="pct"/>
            <w:tcBorders>
              <w:left w:val="single" w:sz="4" w:space="0" w:color="000000"/>
              <w:bottom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hint="eastAsia"/>
                <w:sz w:val="18"/>
              </w:rPr>
              <w:t>器械组成部分</w:t>
            </w:r>
          </w:p>
        </w:tc>
        <w:tc>
          <w:tcPr>
            <w:tcW w:w="222" w:type="pct"/>
            <w:tcBorders>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97" w:type="pct"/>
            <w:tcBorders>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87" w:type="pct"/>
            <w:tcBorders>
              <w:left w:val="single" w:sz="4" w:space="0" w:color="000000"/>
              <w:bottom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53" w:type="pct"/>
            <w:tcBorders>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36" w:type="pct"/>
            <w:tcBorders>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99" w:type="pct"/>
            <w:tcBorders>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36" w:type="pct"/>
            <w:tcBorders>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912" w:type="pct"/>
            <w:gridSpan w:val="3"/>
            <w:vMerge w:val="restart"/>
            <w:tcBorders>
              <w:left w:val="single" w:sz="4" w:space="0" w:color="000000"/>
            </w:tcBorders>
            <w:shd w:val="clear" w:color="auto" w:fill="DADADA"/>
            <w:vAlign w:val="center"/>
          </w:tcPr>
          <w:p w:rsidR="00D83601" w:rsidRPr="00B403CB" w:rsidRDefault="00097329" w:rsidP="00D858CC">
            <w:pPr>
              <w:pStyle w:val="TableParagraph"/>
              <w:autoSpaceDE/>
              <w:autoSpaceDN/>
              <w:snapToGrid w:val="0"/>
              <w:jc w:val="center"/>
              <w:rPr>
                <w:rFonts w:eastAsia="宋体"/>
                <w:sz w:val="18"/>
                <w:lang w:eastAsia="zh-CN"/>
              </w:rPr>
            </w:pPr>
            <w:r w:rsidRPr="00B403CB">
              <w:rPr>
                <w:rFonts w:eastAsia="宋体" w:hint="eastAsia"/>
                <w:sz w:val="18"/>
                <w:lang w:eastAsia="zh-CN"/>
              </w:rPr>
              <w:t>基于申请类型的要求涵盖</w:t>
            </w:r>
          </w:p>
        </w:tc>
        <w:tc>
          <w:tcPr>
            <w:tcW w:w="1361" w:type="pct"/>
            <w:tcBorders>
              <w:bottom w:val="single" w:sz="2" w:space="0" w:color="000000"/>
            </w:tcBorders>
            <w:shd w:val="clear" w:color="auto" w:fill="auto"/>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与其他组成部分申请人共享信息（</w:t>
            </w:r>
            <w:r w:rsidR="007267DD" w:rsidRPr="00C277C0">
              <w:rPr>
                <w:rFonts w:eastAsia="宋体" w:hint="eastAsia"/>
                <w:snapToGrid w:val="0"/>
                <w:sz w:val="18"/>
                <w:szCs w:val="18"/>
                <w:lang w:eastAsia="zh-CN"/>
              </w:rPr>
              <w:t>《美国联邦法规》第</w:t>
            </w:r>
            <w:r w:rsidR="00286DB1">
              <w:rPr>
                <w:rFonts w:eastAsia="宋体" w:hint="eastAsia"/>
                <w:snapToGrid w:val="0"/>
                <w:sz w:val="18"/>
                <w:szCs w:val="18"/>
                <w:lang w:eastAsia="zh-CN"/>
              </w:rPr>
              <w:t>21</w:t>
            </w:r>
            <w:r w:rsidR="00286DB1">
              <w:rPr>
                <w:rFonts w:eastAsia="宋体" w:hint="eastAsia"/>
                <w:snapToGrid w:val="0"/>
                <w:sz w:val="18"/>
                <w:szCs w:val="18"/>
                <w:lang w:eastAsia="zh-CN"/>
              </w:rPr>
              <w:t>篇</w:t>
            </w:r>
            <w:r w:rsidR="00C55B83" w:rsidRPr="00C277C0">
              <w:rPr>
                <w:rFonts w:eastAsia="宋体" w:hint="eastAsia"/>
                <w:snapToGrid w:val="0"/>
                <w:sz w:val="18"/>
                <w:szCs w:val="18"/>
                <w:lang w:eastAsia="zh-CN"/>
              </w:rPr>
              <w:t>第</w:t>
            </w:r>
            <w:r w:rsidR="00C55B83" w:rsidRPr="00C277C0">
              <w:rPr>
                <w:rFonts w:eastAsia="宋体" w:hint="eastAsia"/>
                <w:snapToGrid w:val="0"/>
                <w:sz w:val="18"/>
                <w:szCs w:val="18"/>
                <w:lang w:eastAsia="zh-CN"/>
              </w:rPr>
              <w:t>4</w:t>
            </w:r>
            <w:r w:rsidR="00C55B83" w:rsidRPr="00B403CB">
              <w:rPr>
                <w:rFonts w:eastAsia="宋体"/>
                <w:sz w:val="18"/>
                <w:lang w:eastAsia="zh-CN"/>
              </w:rPr>
              <w:t>.103</w:t>
            </w:r>
            <w:r w:rsidR="00C55B83" w:rsidRPr="00C277C0">
              <w:rPr>
                <w:rFonts w:eastAsia="宋体" w:hint="eastAsia"/>
                <w:snapToGrid w:val="0"/>
                <w:sz w:val="18"/>
                <w:szCs w:val="18"/>
                <w:lang w:eastAsia="zh-CN"/>
              </w:rPr>
              <w:t>节</w:t>
            </w:r>
            <w:r w:rsidRPr="00B403CB">
              <w:rPr>
                <w:rFonts w:eastAsia="宋体" w:hint="eastAsia"/>
                <w:sz w:val="18"/>
                <w:lang w:eastAsia="zh-CN"/>
              </w:rPr>
              <w:t>）</w:t>
            </w: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lang w:eastAsia="zh-CN"/>
              </w:rPr>
            </w:pPr>
          </w:p>
        </w:tc>
        <w:tc>
          <w:tcPr>
            <w:tcW w:w="730" w:type="pct"/>
            <w:tcBorders>
              <w:top w:val="single" w:sz="4" w:space="0" w:color="000000"/>
              <w:left w:val="single" w:sz="4" w:space="0" w:color="000000"/>
              <w:bottom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hint="eastAsia"/>
                <w:sz w:val="18"/>
              </w:rPr>
              <w:t>器械</w:t>
            </w:r>
            <w:r w:rsidRPr="00B403CB">
              <w:rPr>
                <w:rFonts w:eastAsia="宋体"/>
                <w:sz w:val="18"/>
              </w:rPr>
              <w:t>-</w:t>
            </w:r>
            <w:r w:rsidRPr="00B403CB">
              <w:rPr>
                <w:rFonts w:eastAsia="宋体" w:hint="eastAsia"/>
                <w:sz w:val="18"/>
              </w:rPr>
              <w:t>药品</w:t>
            </w:r>
            <w:r w:rsidRPr="00B403CB">
              <w:rPr>
                <w:rFonts w:eastAsia="宋体"/>
                <w:sz w:val="18"/>
              </w:rPr>
              <w:t>CP</w:t>
            </w:r>
          </w:p>
        </w:tc>
        <w:tc>
          <w:tcPr>
            <w:tcW w:w="222" w:type="pct"/>
            <w:tcBorders>
              <w:top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87" w:type="pct"/>
            <w:tcBorders>
              <w:top w:val="single" w:sz="4" w:space="0" w:color="000000"/>
              <w:left w:val="single" w:sz="4" w:space="0" w:color="000000"/>
              <w:bottom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53" w:type="pct"/>
            <w:tcBorders>
              <w:top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912" w:type="pct"/>
            <w:gridSpan w:val="3"/>
            <w:vMerge/>
            <w:tcBorders>
              <w:top w:val="nil"/>
              <w:left w:val="single" w:sz="4" w:space="0" w:color="000000"/>
            </w:tcBorders>
            <w:shd w:val="clear" w:color="auto" w:fill="DADADA"/>
          </w:tcPr>
          <w:p w:rsidR="00D83601" w:rsidRPr="00B403CB" w:rsidRDefault="00D83601" w:rsidP="00B403CB">
            <w:pPr>
              <w:autoSpaceDE/>
              <w:autoSpaceDN/>
              <w:snapToGrid w:val="0"/>
              <w:jc w:val="center"/>
              <w:rPr>
                <w:rFonts w:eastAsia="宋体"/>
                <w:sz w:val="18"/>
              </w:rPr>
            </w:pPr>
          </w:p>
        </w:tc>
        <w:tc>
          <w:tcPr>
            <w:tcW w:w="1361" w:type="pct"/>
            <w:vMerge w:val="restart"/>
            <w:tcBorders>
              <w:top w:val="single" w:sz="2" w:space="0" w:color="000000"/>
            </w:tcBorders>
            <w:shd w:val="clear" w:color="auto" w:fill="auto"/>
          </w:tcPr>
          <w:p w:rsidR="00D83601" w:rsidRPr="00B403CB" w:rsidRDefault="00097329" w:rsidP="009C4D9B">
            <w:pPr>
              <w:pStyle w:val="TableParagraph"/>
              <w:autoSpaceDE/>
              <w:autoSpaceDN/>
              <w:snapToGrid w:val="0"/>
              <w:jc w:val="both"/>
              <w:rPr>
                <w:rFonts w:eastAsia="宋体"/>
                <w:sz w:val="18"/>
                <w:lang w:eastAsia="zh-CN"/>
              </w:rPr>
            </w:pPr>
            <w:r w:rsidRPr="00B403CB">
              <w:rPr>
                <w:rFonts w:eastAsia="宋体" w:hint="eastAsia"/>
                <w:sz w:val="18"/>
                <w:lang w:eastAsia="zh-CN"/>
              </w:rPr>
              <w:t>仅在</w:t>
            </w:r>
            <w:r w:rsidRPr="00B403CB">
              <w:rPr>
                <w:rFonts w:eastAsia="宋体"/>
                <w:sz w:val="18"/>
                <w:lang w:eastAsia="zh-CN"/>
              </w:rPr>
              <w:t>FDA</w:t>
            </w:r>
            <w:r w:rsidRPr="00B403CB">
              <w:rPr>
                <w:rFonts w:eastAsia="宋体" w:hint="eastAsia"/>
                <w:sz w:val="18"/>
                <w:lang w:eastAsia="zh-CN"/>
              </w:rPr>
              <w:t>书面规定的情况下</w:t>
            </w:r>
            <w:r w:rsidRPr="00C277C0">
              <w:rPr>
                <w:rFonts w:eastAsia="宋体" w:hint="eastAsia"/>
                <w:snapToGrid w:val="0"/>
                <w:sz w:val="18"/>
                <w:szCs w:val="18"/>
                <w:lang w:eastAsia="zh-CN"/>
              </w:rPr>
              <w:t>才提供附加报告（</w:t>
            </w:r>
            <w:r w:rsidR="007267DD" w:rsidRPr="00C277C0">
              <w:rPr>
                <w:rFonts w:eastAsia="宋体" w:hint="eastAsia"/>
                <w:snapToGrid w:val="0"/>
                <w:sz w:val="18"/>
                <w:szCs w:val="18"/>
                <w:lang w:eastAsia="zh-CN"/>
              </w:rPr>
              <w:t>《美国联邦法规》第</w:t>
            </w:r>
            <w:r w:rsidR="00286DB1">
              <w:rPr>
                <w:rFonts w:eastAsia="宋体" w:hint="eastAsia"/>
                <w:snapToGrid w:val="0"/>
                <w:sz w:val="18"/>
                <w:szCs w:val="18"/>
                <w:lang w:eastAsia="zh-CN"/>
              </w:rPr>
              <w:t>21</w:t>
            </w:r>
            <w:r w:rsidR="00286DB1">
              <w:rPr>
                <w:rFonts w:eastAsia="宋体" w:hint="eastAsia"/>
                <w:snapToGrid w:val="0"/>
                <w:sz w:val="18"/>
                <w:szCs w:val="18"/>
                <w:lang w:eastAsia="zh-CN"/>
              </w:rPr>
              <w:t>篇</w:t>
            </w:r>
            <w:r w:rsidR="00AE0101" w:rsidRPr="00C277C0">
              <w:rPr>
                <w:rFonts w:eastAsia="宋体" w:hint="eastAsia"/>
                <w:snapToGrid w:val="0"/>
                <w:sz w:val="18"/>
                <w:szCs w:val="18"/>
                <w:lang w:eastAsia="zh-CN"/>
              </w:rPr>
              <w:t>第</w:t>
            </w:r>
            <w:r w:rsidRPr="00C277C0">
              <w:rPr>
                <w:rFonts w:eastAsia="宋体" w:hint="eastAsia"/>
                <w:snapToGrid w:val="0"/>
                <w:sz w:val="18"/>
                <w:szCs w:val="18"/>
                <w:lang w:eastAsia="zh-CN"/>
              </w:rPr>
              <w:t>4</w:t>
            </w:r>
            <w:r w:rsidRPr="00B403CB">
              <w:rPr>
                <w:rFonts w:eastAsia="宋体"/>
                <w:sz w:val="18"/>
                <w:lang w:eastAsia="zh-CN"/>
              </w:rPr>
              <w:t>.102</w:t>
            </w:r>
            <w:r w:rsidR="00FA5CED" w:rsidRPr="00C277C0">
              <w:rPr>
                <w:rFonts w:eastAsia="宋体" w:hint="eastAsia"/>
                <w:snapToGrid w:val="0"/>
                <w:sz w:val="18"/>
                <w:szCs w:val="18"/>
                <w:lang w:eastAsia="zh-CN"/>
              </w:rPr>
              <w:t>（</w:t>
            </w:r>
            <w:r w:rsidRPr="00B403CB">
              <w:rPr>
                <w:rFonts w:eastAsia="宋体"/>
                <w:sz w:val="18"/>
                <w:lang w:eastAsia="zh-CN"/>
              </w:rPr>
              <w:t>d</w:t>
            </w:r>
            <w:r w:rsidR="00FA5CED" w:rsidRPr="00C277C0">
              <w:rPr>
                <w:rFonts w:eastAsia="宋体" w:hint="eastAsia"/>
                <w:snapToGrid w:val="0"/>
                <w:sz w:val="18"/>
                <w:szCs w:val="18"/>
                <w:lang w:eastAsia="zh-CN"/>
              </w:rPr>
              <w:t>）</w:t>
            </w:r>
            <w:r w:rsidRPr="00C277C0">
              <w:rPr>
                <w:rFonts w:eastAsia="宋体" w:hint="eastAsia"/>
                <w:snapToGrid w:val="0"/>
                <w:sz w:val="18"/>
                <w:szCs w:val="18"/>
                <w:lang w:eastAsia="zh-CN"/>
              </w:rPr>
              <w:t>）</w:t>
            </w:r>
            <w:r w:rsidR="00575EA0">
              <w:rPr>
                <w:rFonts w:eastAsia="宋体" w:hint="eastAsia"/>
                <w:snapToGrid w:val="0"/>
                <w:sz w:val="18"/>
                <w:szCs w:val="18"/>
                <w:lang w:eastAsia="zh-CN"/>
              </w:rPr>
              <w:t>节</w:t>
            </w: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lang w:eastAsia="zh-CN"/>
              </w:rPr>
            </w:pPr>
          </w:p>
        </w:tc>
        <w:tc>
          <w:tcPr>
            <w:tcW w:w="730" w:type="pct"/>
            <w:tcBorders>
              <w:top w:val="single" w:sz="4" w:space="0" w:color="000000"/>
              <w:left w:val="single" w:sz="4" w:space="0" w:color="000000"/>
              <w:bottom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rPr>
            </w:pPr>
            <w:r w:rsidRPr="00B403CB">
              <w:rPr>
                <w:rFonts w:eastAsia="宋体" w:hint="eastAsia"/>
                <w:sz w:val="18"/>
              </w:rPr>
              <w:t>器械</w:t>
            </w:r>
            <w:r w:rsidRPr="00B403CB">
              <w:rPr>
                <w:rFonts w:eastAsia="宋体"/>
                <w:sz w:val="18"/>
              </w:rPr>
              <w:t>-</w:t>
            </w:r>
            <w:r w:rsidRPr="00B403CB">
              <w:rPr>
                <w:rFonts w:eastAsia="宋体" w:hint="eastAsia"/>
                <w:sz w:val="18"/>
              </w:rPr>
              <w:t>生物制品</w:t>
            </w:r>
            <w:r w:rsidRPr="00B403CB">
              <w:rPr>
                <w:rFonts w:eastAsia="宋体"/>
                <w:sz w:val="18"/>
              </w:rPr>
              <w:t>CP</w:t>
            </w:r>
          </w:p>
        </w:tc>
        <w:tc>
          <w:tcPr>
            <w:tcW w:w="222" w:type="pct"/>
            <w:tcBorders>
              <w:top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97"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187" w:type="pct"/>
            <w:tcBorders>
              <w:top w:val="single" w:sz="4" w:space="0" w:color="000000"/>
              <w:left w:val="single" w:sz="4" w:space="0" w:color="000000"/>
              <w:bottom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53" w:type="pct"/>
            <w:tcBorders>
              <w:top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rPr>
            </w:pPr>
          </w:p>
        </w:tc>
        <w:tc>
          <w:tcPr>
            <w:tcW w:w="299"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912" w:type="pct"/>
            <w:gridSpan w:val="3"/>
            <w:vMerge/>
            <w:tcBorders>
              <w:top w:val="nil"/>
              <w:left w:val="single" w:sz="4" w:space="0" w:color="000000"/>
            </w:tcBorders>
            <w:shd w:val="clear" w:color="auto" w:fill="DADADA"/>
          </w:tcPr>
          <w:p w:rsidR="00D83601" w:rsidRPr="00B403CB" w:rsidRDefault="00D83601" w:rsidP="00B403CB">
            <w:pPr>
              <w:autoSpaceDE/>
              <w:autoSpaceDN/>
              <w:snapToGrid w:val="0"/>
              <w:jc w:val="center"/>
              <w:rPr>
                <w:rFonts w:eastAsia="宋体"/>
                <w:sz w:val="18"/>
              </w:rPr>
            </w:pPr>
          </w:p>
        </w:tc>
        <w:tc>
          <w:tcPr>
            <w:tcW w:w="1361" w:type="pct"/>
            <w:vMerge/>
            <w:tcBorders>
              <w:top w:val="nil"/>
            </w:tcBorders>
            <w:shd w:val="clear" w:color="auto" w:fill="auto"/>
          </w:tcPr>
          <w:p w:rsidR="00D83601" w:rsidRPr="00B403CB" w:rsidRDefault="00D83601" w:rsidP="00C1273A">
            <w:pPr>
              <w:autoSpaceDE/>
              <w:autoSpaceDN/>
              <w:snapToGrid w:val="0"/>
              <w:jc w:val="both"/>
              <w:rPr>
                <w:rFonts w:eastAsia="宋体"/>
                <w:sz w:val="18"/>
              </w:rPr>
            </w:pPr>
          </w:p>
        </w:tc>
      </w:tr>
      <w:tr w:rsidR="00EC5292" w:rsidRPr="00C277C0" w:rsidTr="003400B6">
        <w:trPr>
          <w:trHeight w:val="20"/>
        </w:trPr>
        <w:tc>
          <w:tcPr>
            <w:tcW w:w="367" w:type="pct"/>
            <w:vMerge/>
            <w:tcBorders>
              <w:top w:val="nil"/>
              <w:right w:val="single" w:sz="4" w:space="0" w:color="000000"/>
            </w:tcBorders>
            <w:shd w:val="clear" w:color="auto" w:fill="auto"/>
          </w:tcPr>
          <w:p w:rsidR="00D83601" w:rsidRPr="00B403CB" w:rsidRDefault="00D83601" w:rsidP="00C1273A">
            <w:pPr>
              <w:autoSpaceDE/>
              <w:autoSpaceDN/>
              <w:snapToGrid w:val="0"/>
              <w:jc w:val="both"/>
              <w:rPr>
                <w:rFonts w:eastAsia="宋体"/>
                <w:sz w:val="18"/>
              </w:rPr>
            </w:pPr>
          </w:p>
        </w:tc>
        <w:tc>
          <w:tcPr>
            <w:tcW w:w="730" w:type="pct"/>
            <w:tcBorders>
              <w:top w:val="single" w:sz="4" w:space="0" w:color="000000"/>
              <w:left w:val="single" w:sz="4" w:space="0" w:color="000000"/>
            </w:tcBorders>
            <w:shd w:val="clear" w:color="auto" w:fill="auto"/>
          </w:tcPr>
          <w:p w:rsidR="00D83601" w:rsidRPr="00B403CB" w:rsidRDefault="00097329" w:rsidP="00C1273A">
            <w:pPr>
              <w:pStyle w:val="TableParagraph"/>
              <w:autoSpaceDE/>
              <w:autoSpaceDN/>
              <w:snapToGrid w:val="0"/>
              <w:jc w:val="both"/>
              <w:rPr>
                <w:rFonts w:eastAsia="宋体"/>
                <w:sz w:val="18"/>
                <w:lang w:eastAsia="zh-CN"/>
              </w:rPr>
            </w:pPr>
            <w:r w:rsidRPr="00B403CB">
              <w:rPr>
                <w:rFonts w:eastAsia="宋体" w:hint="eastAsia"/>
                <w:sz w:val="18"/>
                <w:lang w:eastAsia="zh-CN"/>
              </w:rPr>
              <w:t>器械</w:t>
            </w:r>
            <w:r w:rsidRPr="00B403CB">
              <w:rPr>
                <w:rFonts w:eastAsia="宋体"/>
                <w:sz w:val="18"/>
                <w:lang w:eastAsia="zh-CN"/>
              </w:rPr>
              <w:t>-</w:t>
            </w:r>
            <w:r w:rsidRPr="00B403CB">
              <w:rPr>
                <w:rFonts w:eastAsia="宋体" w:hint="eastAsia"/>
                <w:sz w:val="18"/>
                <w:lang w:eastAsia="zh-CN"/>
              </w:rPr>
              <w:t>药品</w:t>
            </w:r>
            <w:r w:rsidRPr="00B403CB">
              <w:rPr>
                <w:rFonts w:eastAsia="宋体"/>
                <w:sz w:val="18"/>
                <w:lang w:eastAsia="zh-CN"/>
              </w:rPr>
              <w:t>-</w:t>
            </w:r>
            <w:r w:rsidRPr="00B403CB">
              <w:rPr>
                <w:rFonts w:eastAsia="宋体" w:hint="eastAsia"/>
                <w:sz w:val="18"/>
                <w:lang w:eastAsia="zh-CN"/>
              </w:rPr>
              <w:t>生物制品</w:t>
            </w:r>
            <w:r w:rsidRPr="00B403CB">
              <w:rPr>
                <w:rFonts w:eastAsia="宋体"/>
                <w:sz w:val="18"/>
                <w:lang w:eastAsia="zh-CN"/>
              </w:rPr>
              <w:t>CP</w:t>
            </w:r>
          </w:p>
        </w:tc>
        <w:tc>
          <w:tcPr>
            <w:tcW w:w="222" w:type="pct"/>
            <w:tcBorders>
              <w:top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lang w:eastAsia="zh-CN"/>
              </w:rPr>
            </w:pPr>
          </w:p>
        </w:tc>
        <w:tc>
          <w:tcPr>
            <w:tcW w:w="197" w:type="pct"/>
            <w:tcBorders>
              <w:top w:val="single" w:sz="4" w:space="0" w:color="000000"/>
              <w:left w:val="single" w:sz="4" w:space="0" w:color="000000"/>
              <w:right w:val="single" w:sz="4" w:space="0" w:color="000000"/>
            </w:tcBorders>
            <w:shd w:val="clear" w:color="auto" w:fill="auto"/>
          </w:tcPr>
          <w:p w:rsidR="00D83601" w:rsidRPr="00B403CB" w:rsidRDefault="00D83601" w:rsidP="00B403CB">
            <w:pPr>
              <w:pStyle w:val="TableParagraph"/>
              <w:autoSpaceDE/>
              <w:autoSpaceDN/>
              <w:snapToGrid w:val="0"/>
              <w:jc w:val="center"/>
              <w:rPr>
                <w:rFonts w:eastAsia="宋体"/>
                <w:sz w:val="18"/>
                <w:lang w:eastAsia="zh-CN"/>
              </w:rPr>
            </w:pPr>
          </w:p>
        </w:tc>
        <w:tc>
          <w:tcPr>
            <w:tcW w:w="187" w:type="pct"/>
            <w:tcBorders>
              <w:top w:val="single" w:sz="4" w:space="0" w:color="000000"/>
              <w:lef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53" w:type="pct"/>
            <w:tcBorders>
              <w:top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36" w:type="pct"/>
            <w:tcBorders>
              <w:top w:val="single" w:sz="4" w:space="0" w:color="000000"/>
              <w:left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99" w:type="pct"/>
            <w:tcBorders>
              <w:top w:val="single" w:sz="4" w:space="0" w:color="000000"/>
              <w:left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236" w:type="pct"/>
            <w:tcBorders>
              <w:top w:val="single" w:sz="4" w:space="0" w:color="000000"/>
              <w:left w:val="single" w:sz="4" w:space="0" w:color="000000"/>
              <w:right w:val="single" w:sz="4" w:space="0" w:color="000000"/>
            </w:tcBorders>
            <w:shd w:val="clear" w:color="auto" w:fill="auto"/>
          </w:tcPr>
          <w:p w:rsidR="00D83601" w:rsidRPr="00B403CB" w:rsidRDefault="00097329" w:rsidP="00B403CB">
            <w:pPr>
              <w:pStyle w:val="TableParagraph"/>
              <w:autoSpaceDE/>
              <w:autoSpaceDN/>
              <w:snapToGrid w:val="0"/>
              <w:jc w:val="center"/>
              <w:rPr>
                <w:rFonts w:eastAsia="宋体"/>
                <w:sz w:val="18"/>
              </w:rPr>
            </w:pPr>
            <w:r w:rsidRPr="00B403CB">
              <w:rPr>
                <w:rFonts w:eastAsia="宋体"/>
                <w:sz w:val="18"/>
              </w:rPr>
              <w:t>X</w:t>
            </w:r>
          </w:p>
        </w:tc>
        <w:tc>
          <w:tcPr>
            <w:tcW w:w="912" w:type="pct"/>
            <w:gridSpan w:val="3"/>
            <w:vMerge/>
            <w:tcBorders>
              <w:top w:val="nil"/>
              <w:left w:val="single" w:sz="4" w:space="0" w:color="000000"/>
            </w:tcBorders>
            <w:shd w:val="clear" w:color="auto" w:fill="DADADA"/>
          </w:tcPr>
          <w:p w:rsidR="00D83601" w:rsidRPr="00B403CB" w:rsidRDefault="00D83601" w:rsidP="00B403CB">
            <w:pPr>
              <w:autoSpaceDE/>
              <w:autoSpaceDN/>
              <w:snapToGrid w:val="0"/>
              <w:jc w:val="center"/>
              <w:rPr>
                <w:rFonts w:eastAsia="宋体"/>
                <w:sz w:val="18"/>
              </w:rPr>
            </w:pPr>
          </w:p>
        </w:tc>
        <w:tc>
          <w:tcPr>
            <w:tcW w:w="1361" w:type="pct"/>
            <w:vMerge/>
            <w:tcBorders>
              <w:top w:val="nil"/>
            </w:tcBorders>
            <w:shd w:val="clear" w:color="auto" w:fill="auto"/>
          </w:tcPr>
          <w:p w:rsidR="00D83601" w:rsidRPr="00B403CB" w:rsidRDefault="00D83601" w:rsidP="00C1273A">
            <w:pPr>
              <w:autoSpaceDE/>
              <w:autoSpaceDN/>
              <w:snapToGrid w:val="0"/>
              <w:jc w:val="both"/>
              <w:rPr>
                <w:rFonts w:eastAsia="宋体"/>
                <w:sz w:val="18"/>
              </w:rPr>
            </w:pPr>
          </w:p>
        </w:tc>
      </w:tr>
    </w:tbl>
    <w:p w:rsidR="00C1273A" w:rsidRPr="00C277C0" w:rsidRDefault="00C1273A" w:rsidP="00C1273A">
      <w:pPr>
        <w:autoSpaceDE/>
        <w:autoSpaceDN/>
        <w:snapToGrid w:val="0"/>
        <w:jc w:val="both"/>
        <w:rPr>
          <w:rFonts w:eastAsia="宋体"/>
          <w:snapToGrid w:val="0"/>
          <w:sz w:val="24"/>
          <w:szCs w:val="24"/>
          <w:lang w:eastAsia="zh-CN"/>
        </w:rPr>
      </w:pPr>
    </w:p>
    <w:p w:rsidR="009F633C" w:rsidRPr="00C277C0" w:rsidRDefault="009F633C" w:rsidP="00B403CB">
      <w:pPr>
        <w:autoSpaceDE/>
        <w:autoSpaceDN/>
        <w:snapToGrid w:val="0"/>
        <w:jc w:val="both"/>
        <w:rPr>
          <w:rFonts w:eastAsia="宋体"/>
          <w:b/>
          <w:bCs/>
          <w:snapToGrid w:val="0"/>
          <w:sz w:val="24"/>
          <w:szCs w:val="24"/>
          <w:lang w:eastAsia="zh-CN"/>
        </w:rPr>
        <w:sectPr w:rsidR="009F633C" w:rsidRPr="00C277C0" w:rsidSect="00B403CB">
          <w:footerReference w:type="default" r:id="rId33"/>
          <w:pgSz w:w="16840" w:h="11907" w:orient="landscape" w:code="9"/>
          <w:pgMar w:top="1418" w:right="1134" w:bottom="1134" w:left="1134" w:header="567" w:footer="567" w:gutter="0"/>
          <w:pgNumType w:start="39"/>
          <w:cols w:space="720"/>
          <w:docGrid w:linePitch="299"/>
        </w:sectPr>
      </w:pPr>
      <w:bookmarkStart w:id="48" w:name="Appendix_2.__Flowcharts_for_Combination_"/>
      <w:bookmarkStart w:id="49" w:name="_bookmark89"/>
      <w:bookmarkEnd w:id="48"/>
      <w:bookmarkEnd w:id="49"/>
    </w:p>
    <w:p w:rsidR="00C1273A" w:rsidRPr="00B403CB" w:rsidRDefault="00097329" w:rsidP="00B403CB">
      <w:pPr>
        <w:pStyle w:val="1"/>
        <w:autoSpaceDE/>
        <w:autoSpaceDN/>
        <w:spacing w:beforeLines="0" w:before="0" w:line="240" w:lineRule="auto"/>
        <w:ind w:left="562" w:hanging="562"/>
        <w:rPr>
          <w:sz w:val="28"/>
          <w:lang w:eastAsia="zh-CN"/>
        </w:rPr>
      </w:pPr>
      <w:bookmarkStart w:id="50" w:name="_Toc97551514"/>
      <w:bookmarkStart w:id="51" w:name="_Toc95145713"/>
      <w:r w:rsidRPr="00B403CB">
        <w:rPr>
          <w:rFonts w:hint="eastAsia"/>
          <w:sz w:val="28"/>
          <w:lang w:eastAsia="zh-CN"/>
        </w:rPr>
        <w:lastRenderedPageBreak/>
        <w:t>附录</w:t>
      </w:r>
      <w:r w:rsidRPr="00B403CB">
        <w:rPr>
          <w:sz w:val="28"/>
          <w:lang w:eastAsia="zh-CN"/>
        </w:rPr>
        <w:t>2.</w:t>
      </w:r>
      <w:r w:rsidRPr="00B403CB">
        <w:rPr>
          <w:rFonts w:hint="eastAsia"/>
          <w:sz w:val="28"/>
          <w:lang w:eastAsia="zh-CN"/>
        </w:rPr>
        <w:t>组合产品</w:t>
      </w:r>
      <w:r w:rsidRPr="00B403CB">
        <w:rPr>
          <w:sz w:val="28"/>
          <w:lang w:eastAsia="zh-CN"/>
        </w:rPr>
        <w:t>ICSR</w:t>
      </w:r>
      <w:r w:rsidRPr="00B403CB">
        <w:rPr>
          <w:rFonts w:hint="eastAsia"/>
          <w:sz w:val="28"/>
          <w:lang w:eastAsia="zh-CN"/>
        </w:rPr>
        <w:t>要求的流程图</w:t>
      </w:r>
      <w:bookmarkEnd w:id="50"/>
      <w:bookmarkEnd w:id="51"/>
    </w:p>
    <w:p w:rsidR="00C1273A" w:rsidRPr="00C277C0" w:rsidRDefault="00C1273A" w:rsidP="003F7123">
      <w:pPr>
        <w:pStyle w:val="a3"/>
        <w:autoSpaceDE/>
        <w:autoSpaceDN/>
        <w:snapToGrid w:val="0"/>
        <w:jc w:val="both"/>
        <w:rPr>
          <w:rFonts w:eastAsia="宋体"/>
          <w:snapToGrid w:val="0"/>
          <w:lang w:eastAsia="zh-CN"/>
        </w:rPr>
      </w:pPr>
    </w:p>
    <w:p w:rsidR="00C1273A" w:rsidRPr="00B403CB" w:rsidRDefault="00097329" w:rsidP="00B403CB">
      <w:pPr>
        <w:pStyle w:val="3"/>
        <w:autoSpaceDE/>
        <w:autoSpaceDN/>
        <w:spacing w:beforeLines="0" w:before="0" w:line="240" w:lineRule="auto"/>
        <w:jc w:val="both"/>
        <w:rPr>
          <w:sz w:val="24"/>
        </w:rPr>
      </w:pPr>
      <w:r w:rsidRPr="00B403CB">
        <w:rPr>
          <w:rFonts w:hint="eastAsia"/>
          <w:sz w:val="24"/>
        </w:rPr>
        <w:t>图表</w:t>
      </w:r>
      <w:r w:rsidRPr="00B403CB">
        <w:rPr>
          <w:sz w:val="24"/>
        </w:rPr>
        <w:t>2.1.</w:t>
      </w:r>
      <w:r w:rsidRPr="00B403CB">
        <w:rPr>
          <w:rFonts w:hint="eastAsia"/>
          <w:sz w:val="24"/>
        </w:rPr>
        <w:t>根据</w:t>
      </w:r>
      <w:r w:rsidRPr="00B403CB">
        <w:rPr>
          <w:sz w:val="24"/>
        </w:rPr>
        <w:t>NDA/ANDA/BLA</w:t>
      </w:r>
      <w:r w:rsidRPr="00B403CB">
        <w:rPr>
          <w:rFonts w:hint="eastAsia"/>
          <w:sz w:val="24"/>
        </w:rPr>
        <w:t>上市的组合产品的</w:t>
      </w:r>
      <w:r w:rsidRPr="00B403CB">
        <w:rPr>
          <w:sz w:val="24"/>
        </w:rPr>
        <w:t>ICSR</w:t>
      </w:r>
      <w:r w:rsidRPr="00B403CB">
        <w:rPr>
          <w:rFonts w:hint="eastAsia"/>
          <w:sz w:val="24"/>
        </w:rPr>
        <w:t>报告要求</w:t>
      </w:r>
      <w:r w:rsidRPr="00B403CB">
        <w:rPr>
          <w:sz w:val="24"/>
        </w:rPr>
        <w:t>*</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5E79D4" w:rsidP="00C1273A">
      <w:pPr>
        <w:autoSpaceDE/>
        <w:autoSpaceDN/>
        <w:snapToGrid w:val="0"/>
        <w:jc w:val="both"/>
        <w:rPr>
          <w:rFonts w:eastAsia="宋体"/>
          <w:snapToGrid w:val="0"/>
          <w:sz w:val="24"/>
          <w:szCs w:val="24"/>
          <w:lang w:eastAsia="zh-CN"/>
        </w:rPr>
      </w:pPr>
      <w:r>
        <w:rPr>
          <w:rFonts w:eastAsia="宋体"/>
          <w:noProof/>
          <w:sz w:val="24"/>
          <w:szCs w:val="24"/>
          <w:lang w:eastAsia="zh-CN" w:bidi="ar-SA"/>
        </w:rPr>
        <w:pict>
          <v:shapetype id="_x0000_t202" coordsize="21600,21600" o:spt="202" path="m,l,21600r21600,l21600,xe">
            <v:stroke joinstyle="miter"/>
            <v:path gradientshapeok="t" o:connecttype="rect"/>
          </v:shapetype>
          <v:shape id="Text Box 213" o:spid="_x0000_s1064" type="#_x0000_t202" style="position:absolute;left:0;text-align:left;margin-left:331.5pt;margin-top:343.4pt;width:75.1pt;height:13.15pt;z-index:2516572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3X8QA&#10;AADbAAAADwAAAGRycy9kb3ducmV2LnhtbESP3WrCQBSE74W+w3IK3ohulCIldSM2xbQ3XsT6AIfs&#10;yQ9mz4bsNol9+m5B8HKYmW+Y3X4yrRiod41lBetVBIK4sLrhSsHl+7h8BeE8ssbWMim4kYN98jTb&#10;YaztyDkNZ1+JAGEXo4La+y6W0hU1GXQr2xEHr7S9QR9kX0nd4xjgppWbKNpKgw2HhRo7Smsqrucf&#10;o4AOuf09XV1m8vePNCsbpoX8VGr+PB3eQHia/CN8b39pBS9r+P8Sf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pd1/EAAAA2wAAAA8AAAAAAAAAAAAAAAAAmAIAAGRycy9k&#10;b3ducmV2LnhtbFBLBQYAAAAABAAEAPUAAACJAwAAAAA=&#10;" filled="f" stroked="f">
            <v:textbox style="mso-next-textbox:#Text Box 213" inset="0,0,0,0">
              <w:txbxContent>
                <w:p w:rsidR="0044544D" w:rsidRPr="005637AD" w:rsidRDefault="0044544D" w:rsidP="00D16278">
                  <w:pPr>
                    <w:snapToGrid w:val="0"/>
                    <w:jc w:val="center"/>
                    <w:rPr>
                      <w:rFonts w:eastAsia="宋体"/>
                      <w:sz w:val="21"/>
                      <w:szCs w:val="24"/>
                    </w:rPr>
                  </w:pPr>
                  <w:r w:rsidRPr="005637AD">
                    <w:rPr>
                      <w:rFonts w:eastAsia="宋体" w:cs="宋体"/>
                      <w:sz w:val="21"/>
                    </w:rPr>
                    <w:t>需要</w:t>
                  </w:r>
                  <w:r w:rsidRPr="005637AD">
                    <w:rPr>
                      <w:rFonts w:eastAsia="宋体" w:cs="宋体"/>
                      <w:sz w:val="21"/>
                    </w:rPr>
                    <w:t>5</w:t>
                  </w:r>
                  <w:r w:rsidRPr="005637AD">
                    <w:rPr>
                      <w:rFonts w:eastAsia="宋体" w:cs="宋体"/>
                      <w:sz w:val="21"/>
                    </w:rPr>
                    <w:t>天报告</w:t>
                  </w:r>
                </w:p>
              </w:txbxContent>
            </v:textbox>
          </v:shape>
        </w:pict>
      </w:r>
      <w:r>
        <w:rPr>
          <w:rFonts w:eastAsia="宋体"/>
          <w:noProof/>
          <w:sz w:val="24"/>
          <w:szCs w:val="24"/>
          <w:lang w:eastAsia="zh-CN" w:bidi="ar-SA"/>
        </w:rPr>
        <w:pict>
          <v:shape id="Text Box 211" o:spid="_x0000_s1063" type="#_x0000_t202" style="position:absolute;left:0;text-align:left;margin-left:26.45pt;margin-top:407.05pt;width:252.6pt;height:28.75pt;z-index:2516561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44544D" w:rsidRPr="005637AD" w:rsidRDefault="0044544D" w:rsidP="00B6400B">
                  <w:pPr>
                    <w:snapToGrid w:val="0"/>
                    <w:jc w:val="center"/>
                    <w:rPr>
                      <w:rFonts w:eastAsia="宋体"/>
                      <w:sz w:val="21"/>
                      <w:szCs w:val="24"/>
                      <w:lang w:eastAsia="zh-CN"/>
                    </w:rPr>
                  </w:pPr>
                  <w:r w:rsidRPr="005637AD">
                    <w:rPr>
                      <w:rFonts w:eastAsia="宋体" w:cs="宋体"/>
                      <w:sz w:val="21"/>
                      <w:lang w:eastAsia="zh-CN"/>
                    </w:rPr>
                    <w:t>除非收到新的可报告信息，否则无需其他</w:t>
                  </w:r>
                  <w:r w:rsidRPr="005637AD">
                    <w:rPr>
                      <w:rFonts w:eastAsia="宋体" w:cs="宋体"/>
                      <w:sz w:val="21"/>
                      <w:lang w:eastAsia="zh-CN"/>
                    </w:rPr>
                    <w:t>ICSR</w:t>
                  </w:r>
                  <w:r w:rsidRPr="005637AD">
                    <w:rPr>
                      <w:rFonts w:eastAsia="宋体" w:cs="宋体"/>
                      <w:sz w:val="21"/>
                      <w:lang w:eastAsia="zh-CN"/>
                    </w:rPr>
                    <w:t>（定期报告除外）</w:t>
                  </w:r>
                </w:p>
              </w:txbxContent>
            </v:textbox>
          </v:shape>
        </w:pict>
      </w:r>
      <w:r>
        <w:rPr>
          <w:rFonts w:eastAsia="宋体"/>
          <w:noProof/>
          <w:sz w:val="24"/>
          <w:szCs w:val="24"/>
          <w:lang w:eastAsia="zh-CN" w:bidi="ar-SA"/>
        </w:rPr>
        <w:pict>
          <v:shape id="Text Box 210" o:spid="_x0000_s1062" type="#_x0000_t202" style="position:absolute;left:0;text-align:left;margin-left:72.6pt;margin-top:335.35pt;width:152.5pt;height:47.65pt;z-index:2516551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44544D" w:rsidRPr="005637AD" w:rsidRDefault="0044544D" w:rsidP="00D16278">
                  <w:pPr>
                    <w:snapToGrid w:val="0"/>
                    <w:jc w:val="center"/>
                    <w:rPr>
                      <w:rFonts w:eastAsia="宋体"/>
                      <w:sz w:val="21"/>
                      <w:szCs w:val="24"/>
                      <w:lang w:eastAsia="zh-CN"/>
                    </w:rPr>
                  </w:pPr>
                  <w:r w:rsidRPr="005637AD">
                    <w:rPr>
                      <w:rFonts w:eastAsia="宋体" w:cs="宋体"/>
                      <w:sz w:val="21"/>
                      <w:lang w:eastAsia="zh-CN"/>
                    </w:rPr>
                    <w:t>该事件是否需要采取补救措施，以防止对公众健康造成重大伤害的不合理风险？</w:t>
                  </w:r>
                </w:p>
              </w:txbxContent>
            </v:textbox>
          </v:shape>
        </w:pict>
      </w:r>
      <w:r>
        <w:rPr>
          <w:rFonts w:eastAsia="宋体"/>
          <w:noProof/>
          <w:sz w:val="24"/>
          <w:szCs w:val="24"/>
          <w:lang w:eastAsia="zh-CN" w:bidi="ar-SA"/>
        </w:rPr>
        <w:pict>
          <v:shape id="Text Box 208" o:spid="_x0000_s1060" type="#_x0000_t202" style="position:absolute;left:0;text-align:left;margin-left:68.05pt;margin-top:208.3pt;width:161.2pt;height:58pt;z-index:25165312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o5zcQA&#10;AADbAAAADwAAAGRycy9kb3ducmV2LnhtbESPzWrDMBCE74G+g9hCLqGR00BaXMvGTUnSSw9O+wCL&#10;tf7B1spYSuL26aNAIcdhZr5hkmwyvTjT6FrLClbLCARxaXXLtYKf793TKwjnkTX2lknBLznI0odZ&#10;grG2Fy7ofPS1CBB2MSpovB9iKV3ZkEG3tANx8Co7GvRBjrXUI14C3PTyOYo20mDLYaHBgbYNld3x&#10;ZBRQXti/r87tTfH+sd1XLdNCHpSaP075GwhPk7+H/9ufWsH6BW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KOc3EAAAA2wAAAA8AAAAAAAAAAAAAAAAAmAIAAGRycy9k&#10;b3ducmV2LnhtbFBLBQYAAAAABAAEAPUAAACJAwAAAAA=&#10;" filled="f" stroked="f">
            <v:textbox inset="0,0,0,0">
              <w:txbxContent>
                <w:p w:rsidR="0044544D" w:rsidRPr="009360BC" w:rsidRDefault="0044544D" w:rsidP="00D16278">
                  <w:pPr>
                    <w:snapToGrid w:val="0"/>
                    <w:jc w:val="center"/>
                    <w:rPr>
                      <w:rFonts w:eastAsia="宋体"/>
                      <w:sz w:val="21"/>
                      <w:szCs w:val="24"/>
                      <w:lang w:eastAsia="zh-CN"/>
                    </w:rPr>
                  </w:pPr>
                  <w:r w:rsidRPr="005637AD">
                    <w:rPr>
                      <w:rFonts w:eastAsia="宋体" w:cs="宋体"/>
                      <w:sz w:val="21"/>
                      <w:lang w:eastAsia="zh-CN"/>
                    </w:rPr>
                    <w:t>信息是否合理地表明产品出现</w:t>
                  </w:r>
                  <w:r>
                    <w:rPr>
                      <w:rFonts w:eastAsia="宋体" w:cs="宋体" w:hint="eastAsia"/>
                      <w:sz w:val="21"/>
                      <w:lang w:eastAsia="zh-CN"/>
                    </w:rPr>
                    <w:t>故障</w:t>
                  </w:r>
                  <w:r w:rsidRPr="005637AD">
                    <w:rPr>
                      <w:rFonts w:eastAsia="宋体" w:cs="宋体"/>
                      <w:sz w:val="21"/>
                      <w:lang w:eastAsia="zh-CN"/>
                    </w:rPr>
                    <w:t>，并且如果该</w:t>
                  </w:r>
                  <w:r>
                    <w:rPr>
                      <w:rFonts w:eastAsia="宋体" w:cs="宋体" w:hint="eastAsia"/>
                      <w:sz w:val="21"/>
                      <w:lang w:eastAsia="zh-CN"/>
                    </w:rPr>
                    <w:t>故障</w:t>
                  </w:r>
                  <w:r w:rsidRPr="005637AD">
                    <w:rPr>
                      <w:rFonts w:eastAsia="宋体" w:cs="宋体"/>
                      <w:sz w:val="21"/>
                      <w:lang w:eastAsia="zh-CN"/>
                    </w:rPr>
                    <w:t>再次发生，申请人销售的产品或</w:t>
                  </w:r>
                  <w:r w:rsidR="00117D73">
                    <w:rPr>
                      <w:rFonts w:eastAsia="宋体" w:cs="宋体"/>
                      <w:sz w:val="21"/>
                      <w:lang w:eastAsia="zh-CN"/>
                    </w:rPr>
                    <w:t>同品种产品</w:t>
                  </w:r>
                  <w:r w:rsidRPr="005637AD">
                    <w:rPr>
                      <w:rFonts w:eastAsia="宋体" w:cs="宋体"/>
                      <w:sz w:val="21"/>
                      <w:lang w:eastAsia="zh-CN"/>
                    </w:rPr>
                    <w:t>可能导致或促成死亡或重伤？</w:t>
                  </w:r>
                </w:p>
              </w:txbxContent>
            </v:textbox>
          </v:shape>
        </w:pict>
      </w:r>
      <w:r>
        <w:rPr>
          <w:rFonts w:eastAsia="宋体"/>
          <w:noProof/>
          <w:sz w:val="24"/>
          <w:szCs w:val="24"/>
          <w:lang w:eastAsia="zh-CN" w:bidi="ar-SA"/>
        </w:rPr>
        <w:pict>
          <v:shape id="Text Box 197" o:spid="_x0000_s1049" type="#_x0000_t202" style="position:absolute;left:0;text-align:left;margin-left:85.75pt;margin-top:56.8pt;width:132.85pt;height:32.95pt;z-index:251641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Ki8AA&#10;AADbAAAADwAAAGRycy9kb3ducmV2LnhtbESPzQrCMBCE74LvEFbwIprqQaQaxR/8uXio+gBLs7bF&#10;ZlOaqNWnN4LgcZiZb5jZojGleFDtCssKhoMIBHFqdcGZgst525+AcB5ZY2mZFLzIwWLebs0w1vbJ&#10;CT1OPhMBwi5GBbn3VSylS3My6Aa2Ig7e1dYGfZB1JnWNzwA3pRxF0VgaLDgs5FjROqf0drobBbRM&#10;7Pt4czuTrDbr3bVg6sm9Ut1Os5yC8NT4f/jXPmgFoz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8Ki8AAAADbAAAADwAAAAAAAAAAAAAAAACYAgAAZHJzL2Rvd25y&#10;ZXYueG1sUEsFBgAAAAAEAAQA9QAAAIUDAAAAAA==&#10;" filled="f" stroked="f">
            <v:textbox style="mso-next-textbox:#Text Box 197" inset="0,0,0,0">
              <w:txbxContent>
                <w:p w:rsidR="0044544D" w:rsidRPr="005637AD" w:rsidRDefault="0044544D" w:rsidP="00D16278">
                  <w:pPr>
                    <w:snapToGrid w:val="0"/>
                    <w:jc w:val="center"/>
                    <w:rPr>
                      <w:rFonts w:eastAsia="宋体"/>
                      <w:sz w:val="21"/>
                      <w:szCs w:val="24"/>
                      <w:lang w:eastAsia="zh-CN"/>
                    </w:rPr>
                  </w:pPr>
                  <w:r w:rsidRPr="005637AD">
                    <w:rPr>
                      <w:rFonts w:eastAsia="宋体" w:cs="宋体"/>
                      <w:sz w:val="21"/>
                      <w:lang w:eastAsia="zh-CN"/>
                    </w:rPr>
                    <w:t>该事件是否是一次严重且非预期的不良经历？</w:t>
                  </w:r>
                </w:p>
              </w:txbxContent>
            </v:textbox>
          </v:shape>
        </w:pict>
      </w:r>
      <w:r>
        <w:rPr>
          <w:rFonts w:eastAsia="宋体"/>
          <w:noProof/>
          <w:sz w:val="24"/>
          <w:szCs w:val="24"/>
          <w:lang w:eastAsia="zh-CN" w:bidi="ar-SA"/>
        </w:rPr>
        <w:pict>
          <v:shape id="Text Box 209" o:spid="_x0000_s1061" type="#_x0000_t202" style="position:absolute;left:0;text-align:left;margin-left:87.85pt;margin-top:126.35pt;width:120.9pt;height:32pt;z-index:251654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44544D" w:rsidRPr="005637AD" w:rsidRDefault="0044544D" w:rsidP="00D16278">
                  <w:pPr>
                    <w:snapToGrid w:val="0"/>
                    <w:jc w:val="center"/>
                    <w:rPr>
                      <w:rFonts w:eastAsia="宋体"/>
                      <w:sz w:val="21"/>
                      <w:szCs w:val="24"/>
                      <w:lang w:eastAsia="zh-CN"/>
                    </w:rPr>
                  </w:pPr>
                  <w:r w:rsidRPr="005637AD">
                    <w:rPr>
                      <w:rFonts w:eastAsia="宋体" w:cs="宋体"/>
                      <w:sz w:val="21"/>
                      <w:lang w:eastAsia="zh-CN"/>
                    </w:rPr>
                    <w:t>产品是否包含器械组成部分？</w:t>
                  </w:r>
                </w:p>
              </w:txbxContent>
            </v:textbox>
          </v:shape>
        </w:pict>
      </w:r>
      <w:r>
        <w:rPr>
          <w:rFonts w:eastAsia="宋体"/>
          <w:noProof/>
          <w:sz w:val="24"/>
          <w:szCs w:val="24"/>
          <w:lang w:eastAsia="zh-CN" w:bidi="ar-SA"/>
        </w:rPr>
        <w:pict>
          <v:shape id="Text Box 207" o:spid="_x0000_s1059" type="#_x0000_t202" style="position:absolute;left:0;text-align:left;margin-left:321.85pt;margin-top:211.35pt;width:116.8pt;height:45.95pt;z-index:251652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acVsQA&#10;AADbAAAADwAAAGRycy9kb3ducmV2LnhtbESPQWuDQBSE74X+h+UVeilxbQMSrBtJE2Jz6UGTH/Bw&#10;X1R034q7TWx/fTcQ6HGYmW+YLJ/NIC40uc6ygtcoBkFcW91xo+B03C9WIJxH1jhYJgU/5CBfPz5k&#10;mGp75ZIulW9EgLBLUUHr/ZhK6eqWDLrIjsTBO9vJoA9yaqSe8BrgZpBvcZxIgx2HhRZH2rZU99W3&#10;UUCb0v5+9a4w5cduW5w7phf5qdTz07x5B+Fp9v/he/ugFSwTuH0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GnFbEAAAA2wAAAA8AAAAAAAAAAAAAAAAAmAIAAGRycy9k&#10;b3ducmV2LnhtbFBLBQYAAAAABAAEAPUAAACJAwAAAAA=&#10;" filled="f" stroked="f">
            <v:textbox inset="0,0,0,0">
              <w:txbxContent>
                <w:p w:rsidR="0044544D" w:rsidRPr="005637AD" w:rsidRDefault="0044544D" w:rsidP="00D16278">
                  <w:pPr>
                    <w:snapToGrid w:val="0"/>
                    <w:jc w:val="center"/>
                    <w:rPr>
                      <w:rFonts w:eastAsia="宋体"/>
                      <w:sz w:val="21"/>
                      <w:szCs w:val="24"/>
                      <w:lang w:eastAsia="zh-CN"/>
                    </w:rPr>
                  </w:pPr>
                  <w:r w:rsidRPr="005637AD">
                    <w:rPr>
                      <w:rFonts w:eastAsia="宋体" w:cs="宋体"/>
                      <w:sz w:val="21"/>
                      <w:lang w:eastAsia="zh-CN"/>
                    </w:rPr>
                    <w:t>需要</w:t>
                  </w:r>
                  <w:r>
                    <w:rPr>
                      <w:rFonts w:eastAsia="宋体" w:cs="宋体" w:hint="eastAsia"/>
                      <w:sz w:val="21"/>
                      <w:lang w:eastAsia="zh-CN"/>
                    </w:rPr>
                    <w:t>故障</w:t>
                  </w:r>
                  <w:r w:rsidRPr="005637AD">
                    <w:rPr>
                      <w:rFonts w:eastAsia="宋体" w:cs="宋体"/>
                      <w:sz w:val="21"/>
                      <w:lang w:eastAsia="zh-CN"/>
                    </w:rPr>
                    <w:t>报告</w:t>
                  </w:r>
                </w:p>
                <w:p w:rsidR="0044544D" w:rsidRPr="005637AD" w:rsidRDefault="0044544D" w:rsidP="00D16278">
                  <w:pPr>
                    <w:snapToGrid w:val="0"/>
                    <w:jc w:val="center"/>
                    <w:rPr>
                      <w:rFonts w:eastAsia="宋体"/>
                      <w:sz w:val="21"/>
                      <w:szCs w:val="24"/>
                      <w:lang w:eastAsia="zh-CN"/>
                    </w:rPr>
                  </w:pPr>
                  <w:r w:rsidRPr="005637AD">
                    <w:rPr>
                      <w:rFonts w:eastAsia="宋体" w:cs="宋体"/>
                      <w:i/>
                      <w:sz w:val="21"/>
                      <w:lang w:eastAsia="zh-CN"/>
                    </w:rPr>
                    <w:t>（评估是否需要其他</w:t>
                  </w:r>
                  <w:r w:rsidRPr="005637AD">
                    <w:rPr>
                      <w:rFonts w:eastAsia="宋体" w:cs="宋体"/>
                      <w:i/>
                      <w:sz w:val="21"/>
                      <w:lang w:eastAsia="zh-CN"/>
                    </w:rPr>
                    <w:t>ICSR</w:t>
                  </w:r>
                  <w:r w:rsidRPr="005637AD">
                    <w:rPr>
                      <w:rFonts w:eastAsia="宋体" w:cs="宋体"/>
                      <w:i/>
                      <w:sz w:val="21"/>
                      <w:lang w:eastAsia="zh-CN"/>
                    </w:rPr>
                    <w:t>类型）</w:t>
                  </w:r>
                </w:p>
              </w:txbxContent>
            </v:textbox>
          </v:shape>
        </w:pict>
      </w:r>
      <w:r>
        <w:rPr>
          <w:rFonts w:eastAsia="宋体"/>
          <w:noProof/>
          <w:sz w:val="24"/>
          <w:szCs w:val="24"/>
          <w:lang w:eastAsia="zh-CN" w:bidi="ar-SA"/>
        </w:rPr>
        <w:pict>
          <v:shape id="Text Box 206" o:spid="_x0000_s1058" type="#_x0000_t202" style="position:absolute;left:0;text-align:left;margin-left:114.35pt;margin-top:101.65pt;width:37.15pt;height:15.65pt;z-index:2516510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44544D" w:rsidRPr="005637AD" w:rsidRDefault="0044544D" w:rsidP="00D16278">
                  <w:pPr>
                    <w:snapToGrid w:val="0"/>
                    <w:jc w:val="center"/>
                    <w:rPr>
                      <w:rFonts w:eastAsia="宋体"/>
                      <w:sz w:val="21"/>
                      <w:szCs w:val="24"/>
                    </w:rPr>
                  </w:pPr>
                  <w:r w:rsidRPr="005637AD">
                    <w:rPr>
                      <w:rFonts w:eastAsia="宋体" w:cs="宋体"/>
                      <w:sz w:val="21"/>
                    </w:rPr>
                    <w:t>否</w:t>
                  </w:r>
                </w:p>
              </w:txbxContent>
            </v:textbox>
          </v:shape>
        </w:pict>
      </w:r>
      <w:r>
        <w:rPr>
          <w:rFonts w:eastAsia="宋体"/>
          <w:noProof/>
          <w:sz w:val="24"/>
          <w:szCs w:val="24"/>
          <w:lang w:eastAsia="zh-CN" w:bidi="ar-SA"/>
        </w:rPr>
        <w:pict>
          <v:shape id="Text Box 205" o:spid="_x0000_s1057" type="#_x0000_t202" style="position:absolute;left:0;text-align:left;margin-left:116.8pt;margin-top:391.3pt;width:37.15pt;height:15.65pt;z-index:251650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44544D" w:rsidRPr="005637AD" w:rsidRDefault="0044544D" w:rsidP="00D16278">
                  <w:pPr>
                    <w:snapToGrid w:val="0"/>
                    <w:jc w:val="center"/>
                    <w:rPr>
                      <w:rFonts w:eastAsia="宋体"/>
                      <w:sz w:val="21"/>
                      <w:szCs w:val="24"/>
                    </w:rPr>
                  </w:pPr>
                  <w:r w:rsidRPr="005637AD">
                    <w:rPr>
                      <w:rFonts w:eastAsia="宋体" w:cs="宋体"/>
                      <w:sz w:val="21"/>
                    </w:rPr>
                    <w:t>否</w:t>
                  </w:r>
                </w:p>
              </w:txbxContent>
            </v:textbox>
          </v:shape>
        </w:pict>
      </w:r>
      <w:r>
        <w:rPr>
          <w:rFonts w:eastAsia="宋体"/>
          <w:noProof/>
          <w:sz w:val="24"/>
          <w:szCs w:val="24"/>
          <w:lang w:eastAsia="zh-CN" w:bidi="ar-SA"/>
        </w:rPr>
        <w:pict>
          <v:shape id="Text Box 204" o:spid="_x0000_s1056" type="#_x0000_t202" style="position:absolute;left:0;text-align:left;margin-left:113.55pt;margin-top:297.25pt;width:37.15pt;height:15.65pt;z-index:2516490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44544D" w:rsidRPr="005637AD" w:rsidRDefault="0044544D" w:rsidP="00D16278">
                  <w:pPr>
                    <w:snapToGrid w:val="0"/>
                    <w:jc w:val="center"/>
                    <w:rPr>
                      <w:rFonts w:eastAsia="宋体"/>
                      <w:sz w:val="21"/>
                      <w:szCs w:val="24"/>
                    </w:rPr>
                  </w:pPr>
                  <w:r w:rsidRPr="005637AD">
                    <w:rPr>
                      <w:rFonts w:eastAsia="宋体" w:cs="宋体"/>
                      <w:sz w:val="21"/>
                    </w:rPr>
                    <w:t>否</w:t>
                  </w:r>
                </w:p>
              </w:txbxContent>
            </v:textbox>
          </v:shape>
        </w:pict>
      </w:r>
      <w:r>
        <w:rPr>
          <w:rFonts w:eastAsia="宋体"/>
          <w:noProof/>
          <w:sz w:val="24"/>
          <w:szCs w:val="24"/>
          <w:lang w:eastAsia="zh-CN" w:bidi="ar-SA"/>
        </w:rPr>
        <w:pict>
          <v:shape id="Text Box 203" o:spid="_x0000_s1055" type="#_x0000_t202" style="position:absolute;left:0;text-align:left;margin-left:7.2pt;margin-top:119.7pt;width:37.15pt;height:15.65pt;z-index:251648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44544D" w:rsidRPr="005637AD" w:rsidRDefault="0044544D" w:rsidP="00D16278">
                  <w:pPr>
                    <w:snapToGrid w:val="0"/>
                    <w:jc w:val="center"/>
                    <w:rPr>
                      <w:rFonts w:eastAsia="宋体"/>
                      <w:sz w:val="21"/>
                      <w:szCs w:val="24"/>
                    </w:rPr>
                  </w:pPr>
                  <w:r w:rsidRPr="005637AD">
                    <w:rPr>
                      <w:rFonts w:eastAsia="宋体" w:cs="宋体"/>
                      <w:sz w:val="21"/>
                    </w:rPr>
                    <w:t>否</w:t>
                  </w:r>
                </w:p>
              </w:txbxContent>
            </v:textbox>
          </v:shape>
        </w:pict>
      </w:r>
      <w:r>
        <w:rPr>
          <w:rFonts w:eastAsia="宋体"/>
          <w:noProof/>
          <w:sz w:val="24"/>
          <w:szCs w:val="24"/>
          <w:lang w:eastAsia="zh-CN" w:bidi="ar-SA"/>
        </w:rPr>
        <w:pict>
          <v:shape id="Text Box 202" o:spid="_x0000_s1054" type="#_x0000_t202" style="position:absolute;left:0;text-align:left;margin-left:115.2pt;margin-top:156.55pt;width:37.15pt;height:15.65pt;z-index:2516469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44544D" w:rsidRPr="005637AD" w:rsidRDefault="0044544D" w:rsidP="00D16278">
                  <w:pPr>
                    <w:snapToGrid w:val="0"/>
                    <w:jc w:val="center"/>
                    <w:rPr>
                      <w:rFonts w:eastAsia="宋体"/>
                      <w:sz w:val="21"/>
                      <w:szCs w:val="24"/>
                    </w:rPr>
                  </w:pPr>
                  <w:r w:rsidRPr="005637AD">
                    <w:rPr>
                      <w:rFonts w:eastAsia="宋体" w:cs="宋体"/>
                      <w:sz w:val="21"/>
                    </w:rPr>
                    <w:t>是</w:t>
                  </w:r>
                </w:p>
                <w:p w:rsidR="0044544D" w:rsidRPr="005637AD" w:rsidRDefault="0044544D" w:rsidP="00D16278">
                  <w:pPr>
                    <w:snapToGrid w:val="0"/>
                    <w:jc w:val="center"/>
                    <w:rPr>
                      <w:rFonts w:eastAsia="宋体"/>
                      <w:sz w:val="21"/>
                      <w:szCs w:val="24"/>
                    </w:rPr>
                  </w:pPr>
                </w:p>
              </w:txbxContent>
            </v:textbox>
          </v:shape>
        </w:pict>
      </w:r>
      <w:r>
        <w:rPr>
          <w:rFonts w:eastAsia="宋体"/>
          <w:noProof/>
          <w:sz w:val="24"/>
          <w:szCs w:val="24"/>
          <w:lang w:eastAsia="zh-CN" w:bidi="ar-SA"/>
        </w:rPr>
        <w:pict>
          <v:shape id="Text Box 201" o:spid="_x0000_s1053" type="#_x0000_t202" style="position:absolute;left:0;text-align:left;margin-left:271.5pt;margin-top:334.9pt;width:37.15pt;height:15.65pt;z-index:251645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44544D" w:rsidRPr="005637AD" w:rsidRDefault="0044544D" w:rsidP="00D16278">
                  <w:pPr>
                    <w:snapToGrid w:val="0"/>
                    <w:jc w:val="center"/>
                    <w:rPr>
                      <w:rFonts w:eastAsia="宋体"/>
                      <w:sz w:val="21"/>
                      <w:szCs w:val="24"/>
                    </w:rPr>
                  </w:pPr>
                  <w:r w:rsidRPr="005637AD">
                    <w:rPr>
                      <w:rFonts w:eastAsia="宋体" w:cs="宋体"/>
                      <w:sz w:val="21"/>
                    </w:rPr>
                    <w:t>是</w:t>
                  </w:r>
                </w:p>
                <w:p w:rsidR="0044544D" w:rsidRPr="005637AD" w:rsidRDefault="0044544D" w:rsidP="00D16278">
                  <w:pPr>
                    <w:snapToGrid w:val="0"/>
                    <w:jc w:val="center"/>
                    <w:rPr>
                      <w:rFonts w:eastAsia="宋体"/>
                      <w:sz w:val="21"/>
                      <w:szCs w:val="24"/>
                    </w:rPr>
                  </w:pPr>
                </w:p>
              </w:txbxContent>
            </v:textbox>
          </v:shape>
        </w:pict>
      </w:r>
      <w:r>
        <w:rPr>
          <w:rFonts w:eastAsia="宋体"/>
          <w:noProof/>
          <w:sz w:val="24"/>
          <w:szCs w:val="24"/>
          <w:lang w:eastAsia="zh-CN" w:bidi="ar-SA"/>
        </w:rPr>
        <w:pict>
          <v:shape id="Text Box 200" o:spid="_x0000_s1052" type="#_x0000_t202" style="position:absolute;left:0;text-align:left;margin-left:282.1pt;margin-top:214.65pt;width:37.15pt;height:15.65pt;z-index:251644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44544D" w:rsidRPr="005637AD" w:rsidRDefault="0044544D" w:rsidP="00D16278">
                  <w:pPr>
                    <w:snapToGrid w:val="0"/>
                    <w:jc w:val="center"/>
                    <w:rPr>
                      <w:rFonts w:eastAsia="宋体"/>
                      <w:sz w:val="21"/>
                      <w:szCs w:val="24"/>
                    </w:rPr>
                  </w:pPr>
                  <w:r w:rsidRPr="005637AD">
                    <w:rPr>
                      <w:rFonts w:eastAsia="宋体" w:cs="宋体"/>
                      <w:sz w:val="21"/>
                    </w:rPr>
                    <w:t>是</w:t>
                  </w:r>
                </w:p>
                <w:p w:rsidR="0044544D" w:rsidRPr="005637AD" w:rsidRDefault="0044544D" w:rsidP="00D16278">
                  <w:pPr>
                    <w:snapToGrid w:val="0"/>
                    <w:jc w:val="center"/>
                    <w:rPr>
                      <w:rFonts w:eastAsia="宋体"/>
                      <w:sz w:val="21"/>
                      <w:szCs w:val="24"/>
                    </w:rPr>
                  </w:pPr>
                </w:p>
              </w:txbxContent>
            </v:textbox>
          </v:shape>
        </w:pict>
      </w:r>
      <w:r>
        <w:rPr>
          <w:rFonts w:eastAsia="宋体"/>
          <w:noProof/>
          <w:sz w:val="24"/>
          <w:szCs w:val="24"/>
          <w:lang w:eastAsia="zh-CN" w:bidi="ar-SA"/>
        </w:rPr>
        <w:pict>
          <v:shape id="Text Box 199" o:spid="_x0000_s1051" type="#_x0000_t202" style="position:absolute;left:0;text-align:left;margin-left:261.65pt;margin-top:51.15pt;width:37.15pt;height:15.65pt;z-index:2516439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44544D" w:rsidRPr="005637AD" w:rsidRDefault="0044544D" w:rsidP="00D16278">
                  <w:pPr>
                    <w:snapToGrid w:val="0"/>
                    <w:jc w:val="center"/>
                    <w:rPr>
                      <w:rFonts w:eastAsia="宋体"/>
                      <w:sz w:val="21"/>
                      <w:szCs w:val="24"/>
                    </w:rPr>
                  </w:pPr>
                  <w:r w:rsidRPr="005637AD">
                    <w:rPr>
                      <w:rFonts w:eastAsia="宋体" w:cs="宋体"/>
                      <w:sz w:val="21"/>
                    </w:rPr>
                    <w:t>是</w:t>
                  </w:r>
                </w:p>
                <w:p w:rsidR="0044544D" w:rsidRPr="005637AD" w:rsidRDefault="0044544D" w:rsidP="00D16278">
                  <w:pPr>
                    <w:snapToGrid w:val="0"/>
                    <w:jc w:val="center"/>
                    <w:rPr>
                      <w:rFonts w:eastAsia="宋体"/>
                      <w:sz w:val="21"/>
                      <w:szCs w:val="24"/>
                    </w:rPr>
                  </w:pPr>
                </w:p>
              </w:txbxContent>
            </v:textbox>
          </v:shape>
        </w:pict>
      </w:r>
      <w:r>
        <w:rPr>
          <w:rFonts w:eastAsia="宋体"/>
          <w:noProof/>
          <w:sz w:val="24"/>
          <w:szCs w:val="24"/>
          <w:lang w:eastAsia="zh-CN" w:bidi="ar-SA"/>
        </w:rPr>
        <w:pict>
          <v:shape id="Text Box 198" o:spid="_x0000_s1050" type="#_x0000_t202" style="position:absolute;left:0;text-align:left;margin-left:296.85pt;margin-top:51.95pt;width:132.85pt;height:42.65pt;z-index:2516428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vEMQA&#10;AADbAAAADwAAAGRycy9kb3ducmV2LnhtbESPQWvCQBSE7wX/w/IEL8Vs9NCWmFViRNtLD0n9AY/s&#10;Mwlm34bsqtFf7xYKPQ4z8w2TbkbTiSsNrrWsYBHFIIgrq1uuFRx/9vMPEM4ja+wsk4I7OdisJy8p&#10;JtreuKBr6WsRIOwSVNB43ydSuqohgy6yPXHwTnYw6IMcaqkHvAW46eQyjt+kwZbDQoM95Q1V5/Ji&#10;FFBW2Mf32R1Msd3lh1PL9Co/lZpNx2wFwtPo/8N/7S+tYPkOv1/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TrxDEAAAA2wAAAA8AAAAAAAAAAAAAAAAAmAIAAGRycy9k&#10;b3ducmV2LnhtbFBLBQYAAAAABAAEAPUAAACJAwAAAAA=&#10;" filled="f" stroked="f">
            <v:textbox inset="0,0,0,0">
              <w:txbxContent>
                <w:p w:rsidR="0044544D" w:rsidRPr="005637AD" w:rsidRDefault="0044544D" w:rsidP="00D16278">
                  <w:pPr>
                    <w:snapToGrid w:val="0"/>
                    <w:jc w:val="center"/>
                    <w:rPr>
                      <w:rFonts w:eastAsia="宋体"/>
                      <w:sz w:val="21"/>
                      <w:szCs w:val="24"/>
                      <w:lang w:eastAsia="zh-CN"/>
                    </w:rPr>
                  </w:pPr>
                  <w:r w:rsidRPr="005637AD">
                    <w:rPr>
                      <w:rFonts w:eastAsia="宋体" w:cs="宋体"/>
                      <w:sz w:val="21"/>
                      <w:lang w:eastAsia="zh-CN"/>
                    </w:rPr>
                    <w:t>需要</w:t>
                  </w:r>
                  <w:r w:rsidRPr="005637AD">
                    <w:rPr>
                      <w:rFonts w:eastAsia="宋体" w:cs="宋体"/>
                      <w:sz w:val="21"/>
                      <w:lang w:eastAsia="zh-CN"/>
                    </w:rPr>
                    <w:t>15</w:t>
                  </w:r>
                  <w:r w:rsidRPr="005637AD">
                    <w:rPr>
                      <w:rFonts w:eastAsia="宋体" w:cs="宋体"/>
                      <w:sz w:val="21"/>
                      <w:lang w:eastAsia="zh-CN"/>
                    </w:rPr>
                    <w:t>天报告（</w:t>
                  </w:r>
                  <w:r w:rsidRPr="005637AD">
                    <w:rPr>
                      <w:rFonts w:eastAsia="宋体" w:cs="宋体"/>
                      <w:i/>
                      <w:sz w:val="21"/>
                      <w:lang w:eastAsia="zh-CN"/>
                    </w:rPr>
                    <w:t>评估是否需要其他</w:t>
                  </w:r>
                  <w:r w:rsidRPr="005637AD">
                    <w:rPr>
                      <w:rFonts w:eastAsia="宋体" w:cs="宋体"/>
                      <w:i/>
                      <w:sz w:val="21"/>
                      <w:lang w:eastAsia="zh-CN"/>
                    </w:rPr>
                    <w:t>ICSR</w:t>
                  </w:r>
                  <w:r w:rsidRPr="005637AD">
                    <w:rPr>
                      <w:rFonts w:eastAsia="宋体" w:cs="宋体"/>
                      <w:i/>
                      <w:sz w:val="21"/>
                      <w:lang w:eastAsia="zh-CN"/>
                    </w:rPr>
                    <w:t>类型</w:t>
                  </w:r>
                  <w:r w:rsidRPr="005637AD">
                    <w:rPr>
                      <w:rFonts w:eastAsia="宋体" w:cs="宋体"/>
                      <w:sz w:val="21"/>
                      <w:lang w:eastAsia="zh-CN"/>
                    </w:rPr>
                    <w:t>）</w:t>
                  </w:r>
                </w:p>
              </w:txbxContent>
            </v:textbox>
          </v:shape>
        </w:pict>
      </w:r>
      <w:r>
        <w:rPr>
          <w:rFonts w:eastAsia="宋体"/>
          <w:noProof/>
          <w:sz w:val="24"/>
          <w:szCs w:val="24"/>
          <w:lang w:eastAsia="zh-CN" w:bidi="ar-SA"/>
        </w:rPr>
        <w:pict>
          <v:shape id="Text Box 196" o:spid="_x0000_s1048" type="#_x0000_t202" style="position:absolute;left:0;text-align:left;margin-left:38.8pt;margin-top:9.6pt;width:224.75pt;height:13.6pt;z-index:2516408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ry48YA&#10;AADbAAAADwAAAGRycy9kb3ducmV2LnhtbESPQWsCMRSE70L/Q3gFL6LZWiuyGkWkQtuLdOvF22Pz&#10;3KxuXpYkq9t/3xQKPQ4z8w2z2vS2ETfyoXas4GmSgSAuna65UnD82o8XIEJE1tg4JgXfFGCzfhis&#10;MNfuzp90K2IlEoRDjgpMjG0uZSgNWQwT1xIn7+y8xZikr6T2eE9w28hpls2lxZrTgsGWdobKa9FZ&#10;BYfZ6WBG3fn1Yzt79u/Hbje/VIVSw8d+uwQRqY//4b/2m1YwfYHfL+k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ry48YAAADbAAAADwAAAAAAAAAAAAAAAACYAgAAZHJz&#10;L2Rvd25yZXYueG1sUEsFBgAAAAAEAAQA9QAAAIsDAAAAAA==&#10;" filled="f" stroked="f">
            <v:textbox style="mso-fit-shape-to-text:t" inset="0,0,0,0">
              <w:txbxContent>
                <w:p w:rsidR="0044544D" w:rsidRPr="005637AD" w:rsidRDefault="0044544D" w:rsidP="00475BAE">
                  <w:pPr>
                    <w:snapToGrid w:val="0"/>
                    <w:jc w:val="center"/>
                    <w:rPr>
                      <w:rFonts w:eastAsia="宋体"/>
                      <w:sz w:val="21"/>
                      <w:szCs w:val="24"/>
                      <w:lang w:eastAsia="zh-CN"/>
                    </w:rPr>
                  </w:pPr>
                  <w:r w:rsidRPr="005637AD">
                    <w:rPr>
                      <w:rFonts w:eastAsia="宋体" w:cs="宋体"/>
                      <w:sz w:val="21"/>
                      <w:lang w:eastAsia="zh-CN"/>
                    </w:rPr>
                    <w:t>向组合产品申请人报告的事件</w:t>
                  </w:r>
                </w:p>
              </w:txbxContent>
            </v:textbox>
          </v:shape>
        </w:pict>
      </w:r>
      <w:r>
        <w:rPr>
          <w:rFonts w:eastAsia="宋体"/>
          <w:noProof/>
          <w:sz w:val="24"/>
          <w:szCs w:val="24"/>
          <w:lang w:eastAsia="zh-CN" w:bidi="ar-SA"/>
        </w:rPr>
        <w:pict>
          <v:shape id="Text Box 212" o:spid="_x0000_s1046" type="#_x0000_t202" style="position:absolute;left:0;text-align:left;margin-left:379.05pt;margin-top:406.95pt;width:98.8pt;height:28.8pt;z-index:2516398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pE8MA&#10;AADbAAAADwAAAGRycy9kb3ducmV2LnhtbESPQWvCQBSE7wX/w/IEL8VstFBKzCoxou2lh6T+gEf2&#10;mQSzb0N21eivdwuFHoeZ+YZJN6PpxJUG11pWsIhiEMSV1S3XCo4/+/kHCOeRNXaWScGdHGzWk5cU&#10;E21vXNC19LUIEHYJKmi87xMpXdWQQRfZnjh4JzsY9EEOtdQD3gLcdHIZx+/SYMthocGe8oaqc3kx&#10;Cigr7OP77A6m2O7yw6llepWfSs2mY7YC4Wn0/+G/9pdWsHyD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ipE8MAAADbAAAADwAAAAAAAAAAAAAAAACYAgAAZHJzL2Rv&#10;d25yZXYueG1sUEsFBgAAAAAEAAQA9QAAAIgDAAAAAA==&#10;" filled="f" stroked="f">
            <v:textbox inset="0,0,0,0">
              <w:txbxContent>
                <w:p w:rsidR="0044544D" w:rsidRPr="005637AD" w:rsidRDefault="0044544D" w:rsidP="00D16278">
                  <w:pPr>
                    <w:snapToGrid w:val="0"/>
                    <w:jc w:val="center"/>
                    <w:rPr>
                      <w:rFonts w:eastAsia="宋体"/>
                      <w:sz w:val="21"/>
                      <w:szCs w:val="24"/>
                    </w:rPr>
                  </w:pPr>
                  <w:r w:rsidRPr="005637AD">
                    <w:rPr>
                      <w:rFonts w:eastAsia="宋体" w:cs="宋体"/>
                      <w:sz w:val="21"/>
                    </w:rPr>
                    <w:t>纳入定期报告</w:t>
                  </w:r>
                </w:p>
              </w:txbxContent>
            </v:textbox>
          </v:shape>
        </w:pict>
      </w:r>
      <w:r>
        <w:rPr>
          <w:rFonts w:eastAsia="宋体"/>
          <w:noProof/>
          <w:snapToGrid w:val="0"/>
          <w:sz w:val="24"/>
          <w:szCs w:val="24"/>
          <w:lang w:eastAsia="zh-CN"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77.6pt;height:435pt;visibility:visible">
            <v:imagedata r:id="rId34" o:title=""/>
          </v:shape>
        </w:pict>
      </w:r>
    </w:p>
    <w:p w:rsidR="00C1273A" w:rsidRPr="00C277C0" w:rsidRDefault="00C1273A" w:rsidP="00B403CB">
      <w:pPr>
        <w:autoSpaceDE/>
        <w:autoSpaceDN/>
        <w:snapToGrid w:val="0"/>
        <w:jc w:val="both"/>
        <w:rPr>
          <w:rFonts w:eastAsia="宋体"/>
          <w:snapToGrid w:val="0"/>
          <w:sz w:val="24"/>
          <w:szCs w:val="24"/>
          <w:lang w:eastAsia="zh-CN"/>
        </w:rPr>
      </w:pPr>
    </w:p>
    <w:p w:rsidR="003400B6" w:rsidRPr="00C277C0" w:rsidRDefault="003400B6" w:rsidP="00B403CB">
      <w:pPr>
        <w:pStyle w:val="a3"/>
        <w:autoSpaceDE/>
        <w:autoSpaceDN/>
        <w:snapToGrid w:val="0"/>
        <w:jc w:val="both"/>
        <w:rPr>
          <w:rFonts w:eastAsia="宋体"/>
          <w:snapToGrid w:val="0"/>
          <w:sz w:val="21"/>
          <w:szCs w:val="21"/>
          <w:lang w:eastAsia="zh-CN"/>
        </w:rPr>
      </w:pPr>
    </w:p>
    <w:p w:rsidR="003F7123" w:rsidRPr="00C277C0" w:rsidRDefault="004B3DF9" w:rsidP="00C1273A">
      <w:pPr>
        <w:pStyle w:val="a3"/>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w:t>
      </w:r>
      <w:r w:rsidRPr="00C277C0">
        <w:rPr>
          <w:rFonts w:eastAsia="宋体" w:hint="eastAsia"/>
          <w:snapToGrid w:val="0"/>
          <w:sz w:val="21"/>
          <w:szCs w:val="21"/>
          <w:lang w:eastAsia="zh-CN"/>
        </w:rPr>
        <w:t>本图表仅涵盖组合产品</w:t>
      </w:r>
      <w:r w:rsidRPr="00C277C0">
        <w:rPr>
          <w:rFonts w:eastAsia="宋体" w:hint="eastAsia"/>
          <w:snapToGrid w:val="0"/>
          <w:sz w:val="21"/>
          <w:szCs w:val="21"/>
          <w:lang w:eastAsia="zh-CN"/>
        </w:rPr>
        <w:t>PMSR</w:t>
      </w:r>
      <w:r w:rsidRPr="00C277C0">
        <w:rPr>
          <w:rFonts w:eastAsia="宋体" w:hint="eastAsia"/>
          <w:snapToGrid w:val="0"/>
          <w:sz w:val="21"/>
          <w:szCs w:val="21"/>
          <w:lang w:eastAsia="zh-CN"/>
        </w:rPr>
        <w:t>最终规则（</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4.101</w:t>
      </w:r>
      <w:r w:rsidRPr="00C277C0">
        <w:rPr>
          <w:rFonts w:eastAsia="宋体" w:hint="eastAsia"/>
          <w:snapToGrid w:val="0"/>
          <w:sz w:val="21"/>
          <w:szCs w:val="21"/>
          <w:lang w:eastAsia="zh-CN"/>
        </w:rPr>
        <w:t>和</w:t>
      </w:r>
      <w:r w:rsidRPr="00C277C0">
        <w:rPr>
          <w:rFonts w:eastAsia="宋体" w:hint="eastAsia"/>
          <w:snapToGrid w:val="0"/>
          <w:sz w:val="21"/>
          <w:szCs w:val="21"/>
          <w:lang w:eastAsia="zh-CN"/>
        </w:rPr>
        <w:t>4.102</w:t>
      </w:r>
      <w:r w:rsidR="00AE0101" w:rsidRPr="00C277C0">
        <w:rPr>
          <w:rFonts w:eastAsia="宋体" w:hint="eastAsia"/>
          <w:snapToGrid w:val="0"/>
          <w:sz w:val="21"/>
          <w:szCs w:val="21"/>
          <w:lang w:eastAsia="zh-CN"/>
        </w:rPr>
        <w:t>节</w:t>
      </w:r>
      <w:r w:rsidRPr="00C277C0">
        <w:rPr>
          <w:rFonts w:eastAsia="宋体" w:hint="eastAsia"/>
          <w:snapToGrid w:val="0"/>
          <w:sz w:val="21"/>
          <w:szCs w:val="21"/>
          <w:lang w:eastAsia="zh-CN"/>
        </w:rPr>
        <w:t>）下的</w:t>
      </w:r>
      <w:r w:rsidRPr="00C277C0">
        <w:rPr>
          <w:rFonts w:eastAsia="宋体" w:hint="eastAsia"/>
          <w:snapToGrid w:val="0"/>
          <w:sz w:val="21"/>
          <w:szCs w:val="21"/>
          <w:lang w:eastAsia="zh-CN"/>
        </w:rPr>
        <w:t>ICSR</w:t>
      </w:r>
      <w:r w:rsidRPr="00C277C0">
        <w:rPr>
          <w:rFonts w:eastAsia="宋体" w:hint="eastAsia"/>
          <w:snapToGrid w:val="0"/>
          <w:sz w:val="21"/>
          <w:szCs w:val="21"/>
          <w:lang w:eastAsia="zh-CN"/>
        </w:rPr>
        <w:t>报告。还可能需要其他报告类型（更正和移除报告、</w:t>
      </w:r>
      <w:r w:rsidR="0075567A" w:rsidRPr="00C277C0">
        <w:rPr>
          <w:rFonts w:eastAsia="宋体" w:hint="eastAsia"/>
          <w:snapToGrid w:val="0"/>
          <w:sz w:val="21"/>
          <w:szCs w:val="21"/>
          <w:lang w:eastAsia="zh-CN"/>
        </w:rPr>
        <w:t>现场警示报告</w:t>
      </w:r>
      <w:r w:rsidRPr="00C277C0">
        <w:rPr>
          <w:rFonts w:eastAsia="宋体" w:hint="eastAsia"/>
          <w:snapToGrid w:val="0"/>
          <w:sz w:val="21"/>
          <w:szCs w:val="21"/>
          <w:lang w:eastAsia="zh-CN"/>
        </w:rPr>
        <w:t>、</w:t>
      </w:r>
      <w:r w:rsidR="0075567A" w:rsidRPr="00C277C0">
        <w:rPr>
          <w:rFonts w:eastAsia="宋体" w:hint="eastAsia"/>
          <w:snapToGrid w:val="0"/>
          <w:sz w:val="21"/>
          <w:szCs w:val="21"/>
          <w:lang w:eastAsia="zh-CN"/>
        </w:rPr>
        <w:t>生物制品偏差报告</w:t>
      </w:r>
      <w:r w:rsidRPr="00C277C0">
        <w:rPr>
          <w:rFonts w:eastAsia="宋体" w:hint="eastAsia"/>
          <w:snapToGrid w:val="0"/>
          <w:sz w:val="21"/>
          <w:szCs w:val="21"/>
          <w:lang w:eastAsia="zh-CN"/>
        </w:rPr>
        <w:t>）。注意，第</w:t>
      </w:r>
      <w:r w:rsidR="00B773B0" w:rsidRPr="00C277C0">
        <w:rPr>
          <w:rFonts w:eastAsia="宋体" w:hint="eastAsia"/>
          <w:snapToGrid w:val="0"/>
          <w:sz w:val="21"/>
          <w:szCs w:val="21"/>
          <w:lang w:eastAsia="zh-CN"/>
        </w:rPr>
        <w:t>IV</w:t>
      </w:r>
      <w:r w:rsidR="00C0232D" w:rsidRPr="00C277C0">
        <w:rPr>
          <w:rFonts w:eastAsia="宋体" w:hint="eastAsia"/>
          <w:snapToGrid w:val="0"/>
          <w:sz w:val="21"/>
          <w:szCs w:val="21"/>
          <w:lang w:eastAsia="zh-CN"/>
        </w:rPr>
        <w:t>.</w:t>
      </w:r>
      <w:r w:rsidRPr="00C277C0">
        <w:rPr>
          <w:rFonts w:eastAsia="宋体" w:hint="eastAsia"/>
          <w:snapToGrid w:val="0"/>
          <w:sz w:val="21"/>
          <w:szCs w:val="21"/>
          <w:lang w:eastAsia="zh-CN"/>
        </w:rPr>
        <w:t>C</w:t>
      </w:r>
      <w:r w:rsidRPr="00C277C0">
        <w:rPr>
          <w:rFonts w:eastAsia="宋体" w:hint="eastAsia"/>
          <w:snapToGrid w:val="0"/>
          <w:sz w:val="21"/>
          <w:szCs w:val="21"/>
          <w:lang w:eastAsia="zh-CN"/>
        </w:rPr>
        <w:t>节和第</w:t>
      </w:r>
      <w:r w:rsidR="00B773B0" w:rsidRPr="00C277C0">
        <w:rPr>
          <w:rFonts w:eastAsia="宋体" w:hint="eastAsia"/>
          <w:snapToGrid w:val="0"/>
          <w:sz w:val="21"/>
          <w:szCs w:val="21"/>
          <w:lang w:eastAsia="zh-CN"/>
        </w:rPr>
        <w:t>V</w:t>
      </w:r>
      <w:r w:rsidR="00C0232D" w:rsidRPr="00C277C0">
        <w:rPr>
          <w:rFonts w:eastAsia="宋体" w:hint="eastAsia"/>
          <w:snapToGrid w:val="0"/>
          <w:sz w:val="21"/>
          <w:szCs w:val="21"/>
          <w:lang w:eastAsia="zh-CN"/>
        </w:rPr>
        <w:t>.</w:t>
      </w:r>
      <w:r w:rsidRPr="00C277C0">
        <w:rPr>
          <w:rFonts w:eastAsia="宋体" w:hint="eastAsia"/>
          <w:snapToGrid w:val="0"/>
          <w:sz w:val="21"/>
          <w:szCs w:val="21"/>
          <w:lang w:eastAsia="zh-CN"/>
        </w:rPr>
        <w:t>A.3</w:t>
      </w:r>
      <w:r w:rsidRPr="00C277C0">
        <w:rPr>
          <w:rFonts w:eastAsia="宋体" w:hint="eastAsia"/>
          <w:snapToGrid w:val="0"/>
          <w:sz w:val="21"/>
          <w:szCs w:val="21"/>
          <w:lang w:eastAsia="zh-CN"/>
        </w:rPr>
        <w:t>节中讨论的通过综合</w:t>
      </w:r>
      <w:r w:rsidRPr="00C277C0">
        <w:rPr>
          <w:rFonts w:eastAsia="宋体" w:hint="eastAsia"/>
          <w:snapToGrid w:val="0"/>
          <w:sz w:val="21"/>
          <w:szCs w:val="21"/>
          <w:lang w:eastAsia="zh-CN"/>
        </w:rPr>
        <w:t>ICSR</w:t>
      </w:r>
      <w:r w:rsidRPr="00C277C0">
        <w:rPr>
          <w:rFonts w:eastAsia="宋体" w:hint="eastAsia"/>
          <w:snapToGrid w:val="0"/>
          <w:sz w:val="21"/>
          <w:szCs w:val="21"/>
          <w:lang w:eastAsia="zh-CN"/>
        </w:rPr>
        <w:t>和</w:t>
      </w:r>
      <w:r w:rsidRPr="00C277C0">
        <w:rPr>
          <w:rFonts w:eastAsia="宋体" w:hint="eastAsia"/>
          <w:snapToGrid w:val="0"/>
          <w:sz w:val="21"/>
          <w:szCs w:val="21"/>
          <w:lang w:eastAsia="zh-CN"/>
        </w:rPr>
        <w:t>/</w:t>
      </w:r>
      <w:r w:rsidRPr="00C277C0">
        <w:rPr>
          <w:rFonts w:eastAsia="宋体" w:hint="eastAsia"/>
          <w:snapToGrid w:val="0"/>
          <w:sz w:val="21"/>
          <w:szCs w:val="21"/>
          <w:lang w:eastAsia="zh-CN"/>
        </w:rPr>
        <w:t>或包括更正</w:t>
      </w:r>
      <w:r w:rsidRPr="00C277C0">
        <w:rPr>
          <w:rFonts w:eastAsia="宋体" w:hint="eastAsia"/>
          <w:snapToGrid w:val="0"/>
          <w:sz w:val="21"/>
          <w:szCs w:val="21"/>
          <w:lang w:eastAsia="zh-CN"/>
        </w:rPr>
        <w:t>/</w:t>
      </w:r>
      <w:r w:rsidRPr="00C277C0">
        <w:rPr>
          <w:rFonts w:eastAsia="宋体" w:hint="eastAsia"/>
          <w:snapToGrid w:val="0"/>
          <w:sz w:val="21"/>
          <w:szCs w:val="21"/>
          <w:lang w:eastAsia="zh-CN"/>
        </w:rPr>
        <w:t>移除信息进行简化的选项。对于</w:t>
      </w:r>
      <w:r w:rsidRPr="00C277C0">
        <w:rPr>
          <w:rFonts w:eastAsia="宋体" w:hint="eastAsia"/>
          <w:snapToGrid w:val="0"/>
          <w:sz w:val="21"/>
          <w:szCs w:val="21"/>
          <w:lang w:eastAsia="zh-CN"/>
        </w:rPr>
        <w:t>ICSR</w:t>
      </w:r>
      <w:r w:rsidRPr="00C277C0">
        <w:rPr>
          <w:rFonts w:eastAsia="宋体" w:hint="eastAsia"/>
          <w:snapToGrid w:val="0"/>
          <w:sz w:val="21"/>
          <w:szCs w:val="21"/>
          <w:lang w:eastAsia="zh-CN"/>
        </w:rPr>
        <w:t>，有</w:t>
      </w:r>
      <w:r w:rsidR="00C55B83" w:rsidRPr="00C277C0">
        <w:rPr>
          <w:rFonts w:eastAsia="宋体" w:hint="eastAsia"/>
          <w:snapToGrid w:val="0"/>
          <w:sz w:val="21"/>
          <w:szCs w:val="21"/>
          <w:lang w:eastAsia="zh-CN"/>
        </w:rPr>
        <w:t>后续报告</w:t>
      </w:r>
      <w:r w:rsidRPr="00C277C0">
        <w:rPr>
          <w:rFonts w:eastAsia="宋体" w:hint="eastAsia"/>
          <w:snapToGrid w:val="0"/>
          <w:sz w:val="21"/>
          <w:szCs w:val="21"/>
          <w:lang w:eastAsia="zh-CN"/>
        </w:rPr>
        <w:t>的相关要求（关于条例中</w:t>
      </w:r>
      <w:r w:rsidR="00C55B83" w:rsidRPr="00C277C0">
        <w:rPr>
          <w:rFonts w:eastAsia="宋体" w:hint="eastAsia"/>
          <w:snapToGrid w:val="0"/>
          <w:sz w:val="21"/>
          <w:szCs w:val="21"/>
          <w:lang w:eastAsia="zh-CN"/>
        </w:rPr>
        <w:t>后续报告</w:t>
      </w:r>
      <w:r w:rsidRPr="00C277C0">
        <w:rPr>
          <w:rFonts w:eastAsia="宋体" w:hint="eastAsia"/>
          <w:snapToGrid w:val="0"/>
          <w:sz w:val="21"/>
          <w:szCs w:val="21"/>
          <w:lang w:eastAsia="zh-CN"/>
        </w:rPr>
        <w:t>要求的讨论，</w:t>
      </w:r>
      <w:r w:rsidR="00901325">
        <w:rPr>
          <w:rFonts w:eastAsia="宋体" w:hint="eastAsia"/>
          <w:snapToGrid w:val="0"/>
          <w:sz w:val="21"/>
          <w:szCs w:val="21"/>
          <w:lang w:eastAsia="zh-CN"/>
        </w:rPr>
        <w:t>参</w:t>
      </w:r>
      <w:r w:rsidRPr="00C277C0">
        <w:rPr>
          <w:rFonts w:eastAsia="宋体" w:hint="eastAsia"/>
          <w:snapToGrid w:val="0"/>
          <w:sz w:val="21"/>
          <w:szCs w:val="21"/>
          <w:lang w:eastAsia="zh-CN"/>
        </w:rPr>
        <w:t>见第</w:t>
      </w:r>
      <w:r w:rsidR="00B773B0" w:rsidRPr="00C277C0">
        <w:rPr>
          <w:rFonts w:eastAsia="宋体" w:hint="eastAsia"/>
          <w:snapToGrid w:val="0"/>
          <w:sz w:val="21"/>
          <w:szCs w:val="21"/>
          <w:lang w:eastAsia="zh-CN"/>
        </w:rPr>
        <w:t>IV</w:t>
      </w:r>
      <w:r w:rsidR="00C0232D" w:rsidRPr="00C277C0">
        <w:rPr>
          <w:rFonts w:eastAsia="宋体" w:hint="eastAsia"/>
          <w:snapToGrid w:val="0"/>
          <w:sz w:val="21"/>
          <w:szCs w:val="21"/>
          <w:lang w:eastAsia="zh-CN"/>
        </w:rPr>
        <w:t>.</w:t>
      </w:r>
      <w:r w:rsidRPr="00C277C0">
        <w:rPr>
          <w:rFonts w:eastAsia="宋体" w:hint="eastAsia"/>
          <w:snapToGrid w:val="0"/>
          <w:sz w:val="21"/>
          <w:szCs w:val="21"/>
          <w:lang w:eastAsia="zh-CN"/>
        </w:rPr>
        <w:t>A.4</w:t>
      </w:r>
      <w:r w:rsidRPr="00C277C0">
        <w:rPr>
          <w:rFonts w:eastAsia="宋体" w:hint="eastAsia"/>
          <w:snapToGrid w:val="0"/>
          <w:sz w:val="21"/>
          <w:szCs w:val="21"/>
          <w:lang w:eastAsia="zh-CN"/>
        </w:rPr>
        <w:t>节）。</w:t>
      </w:r>
    </w:p>
    <w:p w:rsidR="00C1273A" w:rsidRPr="00B403CB" w:rsidRDefault="004B3DF9" w:rsidP="00B403CB">
      <w:pPr>
        <w:pStyle w:val="a3"/>
        <w:autoSpaceDE/>
        <w:autoSpaceDN/>
        <w:snapToGrid w:val="0"/>
        <w:jc w:val="both"/>
        <w:rPr>
          <w:rFonts w:eastAsia="宋体"/>
          <w:lang w:eastAsia="zh-CN"/>
        </w:rPr>
      </w:pPr>
      <w:r w:rsidRPr="00B403CB">
        <w:rPr>
          <w:rFonts w:eastAsia="宋体"/>
          <w:lang w:eastAsia="zh-CN"/>
        </w:rPr>
        <w:br w:type="page"/>
      </w:r>
    </w:p>
    <w:p w:rsidR="006223B4" w:rsidRPr="00B403CB" w:rsidRDefault="006223B4" w:rsidP="00B403CB">
      <w:pPr>
        <w:pStyle w:val="3"/>
        <w:autoSpaceDE/>
        <w:autoSpaceDN/>
        <w:spacing w:beforeLines="0" w:before="0" w:line="240" w:lineRule="auto"/>
        <w:jc w:val="both"/>
        <w:rPr>
          <w:sz w:val="24"/>
          <w:lang w:eastAsia="zh-CN"/>
        </w:rPr>
      </w:pPr>
      <w:r w:rsidRPr="00B403CB">
        <w:rPr>
          <w:rFonts w:hint="eastAsia"/>
          <w:sz w:val="24"/>
          <w:lang w:eastAsia="zh-CN"/>
        </w:rPr>
        <w:t>图表</w:t>
      </w:r>
      <w:r w:rsidRPr="00B403CB">
        <w:rPr>
          <w:sz w:val="24"/>
          <w:lang w:eastAsia="zh-CN"/>
        </w:rPr>
        <w:t>2.2.</w:t>
      </w:r>
      <w:r w:rsidRPr="00B403CB">
        <w:rPr>
          <w:rFonts w:hint="eastAsia"/>
          <w:sz w:val="24"/>
          <w:lang w:eastAsia="zh-CN"/>
        </w:rPr>
        <w:t>根据器械申请上市的组合产品</w:t>
      </w:r>
      <w:r w:rsidRPr="00B403CB">
        <w:rPr>
          <w:sz w:val="24"/>
          <w:lang w:eastAsia="zh-CN"/>
        </w:rPr>
        <w:t>ICSR</w:t>
      </w:r>
      <w:r w:rsidRPr="00B403CB">
        <w:rPr>
          <w:rFonts w:hint="eastAsia"/>
          <w:sz w:val="24"/>
          <w:lang w:eastAsia="zh-CN"/>
        </w:rPr>
        <w:t>报告要求</w:t>
      </w:r>
      <w:r w:rsidRPr="00B403CB">
        <w:rPr>
          <w:sz w:val="24"/>
          <w:lang w:eastAsia="zh-CN"/>
        </w:rPr>
        <w:t>*</w:t>
      </w:r>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5E79D4" w:rsidP="00C1273A">
      <w:pPr>
        <w:autoSpaceDE/>
        <w:autoSpaceDN/>
        <w:snapToGrid w:val="0"/>
        <w:jc w:val="both"/>
        <w:rPr>
          <w:rFonts w:eastAsia="宋体"/>
          <w:snapToGrid w:val="0"/>
          <w:sz w:val="24"/>
          <w:szCs w:val="24"/>
          <w:lang w:eastAsia="zh-CN"/>
        </w:rPr>
      </w:pPr>
      <w:r>
        <w:rPr>
          <w:rFonts w:eastAsia="宋体"/>
          <w:noProof/>
          <w:sz w:val="24"/>
          <w:szCs w:val="24"/>
          <w:lang w:eastAsia="zh-CN" w:bidi="ar-SA"/>
        </w:rPr>
        <w:pict>
          <v:shape id="Text Box 234" o:spid="_x0000_s1043" type="#_x0000_t202" style="position:absolute;left:0;text-align:left;margin-left:356.45pt;margin-top:396.05pt;width:75.1pt;height:20.55pt;z-index:251674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44544D" w:rsidRPr="005637AD" w:rsidRDefault="0044544D" w:rsidP="009C4D9B">
                  <w:pPr>
                    <w:snapToGrid w:val="0"/>
                    <w:jc w:val="both"/>
                    <w:rPr>
                      <w:rFonts w:eastAsia="宋体"/>
                      <w:sz w:val="21"/>
                      <w:szCs w:val="24"/>
                    </w:rPr>
                  </w:pPr>
                  <w:r w:rsidRPr="005637AD">
                    <w:rPr>
                      <w:rFonts w:eastAsia="宋体" w:cs="宋体"/>
                      <w:sz w:val="21"/>
                    </w:rPr>
                    <w:t>需要</w:t>
                  </w:r>
                  <w:r w:rsidRPr="005637AD">
                    <w:rPr>
                      <w:rFonts w:eastAsia="宋体" w:cs="宋体"/>
                      <w:sz w:val="21"/>
                    </w:rPr>
                    <w:t>5</w:t>
                  </w:r>
                  <w:r w:rsidRPr="005637AD">
                    <w:rPr>
                      <w:rFonts w:eastAsia="宋体" w:cs="宋体"/>
                      <w:sz w:val="21"/>
                    </w:rPr>
                    <w:t>天报告</w:t>
                  </w:r>
                </w:p>
              </w:txbxContent>
            </v:textbox>
          </v:shape>
        </w:pict>
      </w:r>
      <w:r>
        <w:rPr>
          <w:rFonts w:eastAsia="宋体"/>
          <w:noProof/>
          <w:sz w:val="24"/>
          <w:szCs w:val="24"/>
          <w:lang w:eastAsia="zh-CN" w:bidi="ar-SA"/>
        </w:rPr>
        <w:pict>
          <v:shape id="Text Box 232" o:spid="_x0000_s1041" type="#_x0000_t202" style="position:absolute;left:0;text-align:left;margin-left:153.25pt;margin-top:392pt;width:152.5pt;height:48.5pt;z-index:2516725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x38MA&#10;AADbAAAADwAAAGRycy9kb3ducmV2LnhtbESPzW7CQAyE70h9h5Ur9YJg0x4QSlkQUPFz4ZDQB7Cy&#10;JonIeqPsAoGnxwckbrZmPPN5tuhdo67Uhdqzge9xAoq48Lbm0sD/cTOaggoR2WLjmQzcKcBi/jGY&#10;YWr9jTO65rFUEsIhRQNVjG2qdSgqchjGviUW7eQ7h1HWrtS2w5uEu0b/JMlEO6xZGipsaV1Rcc4v&#10;zgAtM/84nMPWZau/9fZUMw31zpivz375CypSH9/m1/XeCr7Ayi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Dx38MAAADbAAAADwAAAAAAAAAAAAAAAACYAgAAZHJzL2Rv&#10;d25yZXYueG1sUEsFBgAAAAAEAAQA9QAAAIgDAAAAAA==&#10;" filled="f" stroked="f">
            <v:textbox inset="0,0,0,0">
              <w:txbxContent>
                <w:p w:rsidR="0044544D" w:rsidRPr="005637AD" w:rsidRDefault="0044544D" w:rsidP="00905CB6">
                  <w:pPr>
                    <w:snapToGrid w:val="0"/>
                    <w:jc w:val="center"/>
                    <w:rPr>
                      <w:rFonts w:eastAsia="宋体"/>
                      <w:sz w:val="21"/>
                      <w:szCs w:val="24"/>
                      <w:lang w:eastAsia="zh-CN"/>
                    </w:rPr>
                  </w:pPr>
                  <w:r w:rsidRPr="005637AD">
                    <w:rPr>
                      <w:rFonts w:eastAsia="宋体" w:cs="宋体"/>
                      <w:sz w:val="21"/>
                      <w:lang w:eastAsia="zh-CN"/>
                    </w:rPr>
                    <w:t>该事件是否需要采取补救措施，以防止对公众健康造成重大伤害的不合理风险？</w:t>
                  </w:r>
                </w:p>
              </w:txbxContent>
            </v:textbox>
          </v:shape>
        </w:pict>
      </w:r>
      <w:r>
        <w:rPr>
          <w:rFonts w:eastAsia="宋体"/>
          <w:noProof/>
          <w:sz w:val="24"/>
          <w:szCs w:val="24"/>
          <w:lang w:eastAsia="zh-CN" w:bidi="ar-SA"/>
        </w:rPr>
        <w:pict>
          <v:shape id="Text Box 230" o:spid="_x0000_s1039" type="#_x0000_t202" style="position:absolute;left:0;text-align:left;margin-left:134.95pt;margin-top:250.85pt;width:188.05pt;height:60pt;z-index:2516705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ANr0A&#10;AADbAAAADwAAAGRycy9kb3ducmV2LnhtbERPSwrCMBDdC94hjOBGNNWFSDWKH/xsXFQ9wNCMbbGZ&#10;lCZq9fRGENzN431ntmhMKR5Uu8KyguEgAkGcWl1wpuBy3vYnIJxH1lhaJgUvcrCYt1szjLV9ckKP&#10;k89ECGEXo4Lc+yqW0qU5GXQDWxEH7mprgz7AOpO6xmcIN6UcRdFYGiw4NORY0Tqn9Ha6GwW0TOz7&#10;eHM7k6w26921YOrJvVLdTrOcgvDU+L/45z7oMH8M31/C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HPANr0AAADbAAAADwAAAAAAAAAAAAAAAACYAgAAZHJzL2Rvd25yZXYu&#10;eG1sUEsFBgAAAAAEAAQA9QAAAIIDAAAAAA==&#10;" filled="f" stroked="f">
            <v:textbox inset="0,0,0,0">
              <w:txbxContent>
                <w:p w:rsidR="0044544D" w:rsidRPr="005637AD" w:rsidRDefault="0044544D" w:rsidP="00BE481B">
                  <w:pPr>
                    <w:snapToGrid w:val="0"/>
                    <w:jc w:val="center"/>
                    <w:rPr>
                      <w:rFonts w:eastAsia="宋体"/>
                      <w:sz w:val="21"/>
                      <w:szCs w:val="24"/>
                      <w:lang w:eastAsia="zh-CN"/>
                    </w:rPr>
                  </w:pPr>
                  <w:r w:rsidRPr="005637AD">
                    <w:rPr>
                      <w:rFonts w:eastAsia="宋体" w:cs="宋体"/>
                      <w:sz w:val="21"/>
                      <w:lang w:eastAsia="zh-CN"/>
                    </w:rPr>
                    <w:t>信息是否合理地表明产品出现</w:t>
                  </w:r>
                  <w:r>
                    <w:rPr>
                      <w:rFonts w:eastAsia="宋体" w:cs="宋体" w:hint="eastAsia"/>
                      <w:sz w:val="21"/>
                      <w:lang w:eastAsia="zh-CN"/>
                    </w:rPr>
                    <w:t>故障</w:t>
                  </w:r>
                  <w:r w:rsidRPr="005637AD">
                    <w:rPr>
                      <w:rFonts w:eastAsia="宋体" w:cs="宋体"/>
                      <w:sz w:val="21"/>
                      <w:lang w:eastAsia="zh-CN"/>
                    </w:rPr>
                    <w:t>，并且如果该</w:t>
                  </w:r>
                  <w:r>
                    <w:rPr>
                      <w:rFonts w:eastAsia="宋体" w:cs="宋体" w:hint="eastAsia"/>
                      <w:sz w:val="21"/>
                      <w:lang w:eastAsia="zh-CN"/>
                    </w:rPr>
                    <w:t>故障</w:t>
                  </w:r>
                  <w:r w:rsidRPr="005637AD">
                    <w:rPr>
                      <w:rFonts w:eastAsia="宋体" w:cs="宋体"/>
                      <w:sz w:val="21"/>
                      <w:lang w:eastAsia="zh-CN"/>
                    </w:rPr>
                    <w:t>再次发生，申请人销售的产品或</w:t>
                  </w:r>
                  <w:r w:rsidR="00117D73">
                    <w:rPr>
                      <w:rFonts w:eastAsia="宋体" w:cs="宋体"/>
                      <w:sz w:val="21"/>
                      <w:lang w:eastAsia="zh-CN"/>
                    </w:rPr>
                    <w:t>同品种产品</w:t>
                  </w:r>
                  <w:r w:rsidRPr="005637AD">
                    <w:rPr>
                      <w:rFonts w:eastAsia="宋体" w:cs="宋体"/>
                      <w:sz w:val="21"/>
                      <w:lang w:eastAsia="zh-CN"/>
                    </w:rPr>
                    <w:t>可能导致或促成死亡或重伤？</w:t>
                  </w:r>
                </w:p>
              </w:txbxContent>
            </v:textbox>
          </v:shape>
        </w:pict>
      </w:r>
      <w:r>
        <w:rPr>
          <w:rFonts w:eastAsia="宋体"/>
          <w:noProof/>
          <w:sz w:val="24"/>
          <w:szCs w:val="24"/>
          <w:lang w:eastAsia="zh-CN" w:bidi="ar-SA"/>
        </w:rPr>
        <w:pict>
          <v:shape id="Text Box 224" o:spid="_x0000_s1033" type="#_x0000_t202" style="position:absolute;left:0;text-align:left;margin-left:63.3pt;margin-top:253.25pt;width:24.5pt;height:15.65pt;z-index:251664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44544D" w:rsidRPr="005637AD" w:rsidRDefault="0044544D" w:rsidP="00905CB6">
                  <w:pPr>
                    <w:snapToGrid w:val="0"/>
                    <w:jc w:val="center"/>
                    <w:rPr>
                      <w:rFonts w:eastAsia="宋体"/>
                      <w:sz w:val="21"/>
                      <w:szCs w:val="24"/>
                    </w:rPr>
                  </w:pPr>
                  <w:r w:rsidRPr="005637AD">
                    <w:rPr>
                      <w:rFonts w:eastAsia="宋体" w:cs="宋体"/>
                      <w:sz w:val="21"/>
                    </w:rPr>
                    <w:t>是</w:t>
                  </w:r>
                </w:p>
                <w:p w:rsidR="0044544D" w:rsidRPr="005637AD" w:rsidRDefault="0044544D" w:rsidP="00905CB6">
                  <w:pPr>
                    <w:snapToGrid w:val="0"/>
                    <w:jc w:val="center"/>
                    <w:rPr>
                      <w:rFonts w:eastAsia="宋体"/>
                      <w:sz w:val="21"/>
                      <w:szCs w:val="24"/>
                    </w:rPr>
                  </w:pPr>
                </w:p>
              </w:txbxContent>
            </v:textbox>
          </v:shape>
        </w:pict>
      </w:r>
      <w:r>
        <w:rPr>
          <w:rFonts w:eastAsia="宋体"/>
          <w:noProof/>
          <w:sz w:val="24"/>
          <w:szCs w:val="24"/>
          <w:lang w:eastAsia="zh-CN" w:bidi="ar-SA"/>
        </w:rPr>
        <w:pict>
          <v:shape id="Text Box 229" o:spid="_x0000_s1038" type="#_x0000_t202" style="position:absolute;left:0;text-align:left;margin-left:1.15pt;margin-top:240.4pt;width:60.65pt;height:57.7pt;z-index:25166950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eQcAA&#10;AADbAAAADwAAAGRycy9kb3ducmV2LnhtbERPzYrCMBC+C/sOYRa8iKa7oE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FeQcAAAADbAAAADwAAAAAAAAAAAAAAAACYAgAAZHJzL2Rvd25y&#10;ZXYueG1sUEsFBgAAAAAEAAQA9QAAAIUDAAAAAA==&#10;" filled="f" stroked="f">
            <v:textbox inset="0,0,0,0">
              <w:txbxContent>
                <w:p w:rsidR="0044544D" w:rsidRPr="005637AD" w:rsidRDefault="0044544D" w:rsidP="00905CB6">
                  <w:pPr>
                    <w:snapToGrid w:val="0"/>
                    <w:jc w:val="center"/>
                    <w:rPr>
                      <w:rFonts w:eastAsia="宋体"/>
                      <w:sz w:val="21"/>
                      <w:szCs w:val="24"/>
                      <w:lang w:eastAsia="zh-CN"/>
                    </w:rPr>
                  </w:pPr>
                  <w:r w:rsidRPr="005637AD">
                    <w:rPr>
                      <w:rFonts w:eastAsia="宋体" w:cs="宋体"/>
                      <w:sz w:val="21"/>
                      <w:lang w:eastAsia="zh-CN"/>
                    </w:rPr>
                    <w:t>需要</w:t>
                  </w:r>
                  <w:r>
                    <w:rPr>
                      <w:rFonts w:eastAsia="宋体" w:cs="宋体" w:hint="eastAsia"/>
                      <w:sz w:val="21"/>
                      <w:lang w:eastAsia="zh-CN"/>
                    </w:rPr>
                    <w:t>故障</w:t>
                  </w:r>
                  <w:r w:rsidRPr="005637AD">
                    <w:rPr>
                      <w:rFonts w:eastAsia="宋体" w:cs="宋体"/>
                      <w:sz w:val="21"/>
                      <w:lang w:eastAsia="zh-CN"/>
                    </w:rPr>
                    <w:t>报告（</w:t>
                  </w:r>
                  <w:r w:rsidRPr="005637AD">
                    <w:rPr>
                      <w:rFonts w:eastAsia="宋体" w:cs="宋体"/>
                      <w:i/>
                      <w:sz w:val="21"/>
                      <w:lang w:eastAsia="zh-CN"/>
                    </w:rPr>
                    <w:t>评估是否需要其他</w:t>
                  </w:r>
                  <w:r w:rsidRPr="005637AD">
                    <w:rPr>
                      <w:rFonts w:eastAsia="宋体" w:cs="宋体"/>
                      <w:i/>
                      <w:sz w:val="21"/>
                      <w:lang w:eastAsia="zh-CN"/>
                    </w:rPr>
                    <w:t>ICSR</w:t>
                  </w:r>
                  <w:r w:rsidRPr="005637AD">
                    <w:rPr>
                      <w:rFonts w:eastAsia="宋体" w:cs="宋体"/>
                      <w:i/>
                      <w:sz w:val="21"/>
                      <w:lang w:eastAsia="zh-CN"/>
                    </w:rPr>
                    <w:t>类型）</w:t>
                  </w:r>
                </w:p>
              </w:txbxContent>
            </v:textbox>
          </v:shape>
        </w:pict>
      </w:r>
      <w:r>
        <w:rPr>
          <w:rFonts w:eastAsia="宋体"/>
          <w:noProof/>
          <w:sz w:val="24"/>
          <w:szCs w:val="24"/>
          <w:lang w:eastAsia="zh-CN" w:bidi="ar-SA"/>
        </w:rPr>
        <w:pict>
          <v:shape id="Text Box 220" o:spid="_x0000_s1029" type="#_x0000_t202" style="position:absolute;left:0;text-align:left;margin-left:397pt;margin-top:124.6pt;width:78.1pt;height:58.8pt;z-index:251660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textbox inset="0,0,0,0">
              <w:txbxContent>
                <w:p w:rsidR="0044544D" w:rsidRPr="005637AD" w:rsidRDefault="0044544D" w:rsidP="00905CB6">
                  <w:pPr>
                    <w:snapToGrid w:val="0"/>
                    <w:jc w:val="center"/>
                    <w:rPr>
                      <w:rFonts w:eastAsia="宋体"/>
                      <w:sz w:val="21"/>
                      <w:szCs w:val="24"/>
                      <w:lang w:eastAsia="zh-CN"/>
                    </w:rPr>
                  </w:pPr>
                  <w:r w:rsidRPr="005637AD">
                    <w:rPr>
                      <w:rFonts w:eastAsia="宋体" w:cs="宋体"/>
                      <w:sz w:val="21"/>
                      <w:lang w:eastAsia="zh-CN"/>
                    </w:rPr>
                    <w:t>需要死亡或重伤报告（</w:t>
                  </w:r>
                  <w:r w:rsidRPr="005637AD">
                    <w:rPr>
                      <w:rFonts w:eastAsia="宋体" w:cs="宋体"/>
                      <w:i/>
                      <w:sz w:val="21"/>
                      <w:lang w:eastAsia="zh-CN"/>
                    </w:rPr>
                    <w:t>评估是否需要其他</w:t>
                  </w:r>
                  <w:r w:rsidRPr="005637AD">
                    <w:rPr>
                      <w:rFonts w:eastAsia="宋体" w:cs="宋体"/>
                      <w:i/>
                      <w:sz w:val="21"/>
                      <w:lang w:eastAsia="zh-CN"/>
                    </w:rPr>
                    <w:t>ICSR</w:t>
                  </w:r>
                  <w:r w:rsidRPr="005637AD">
                    <w:rPr>
                      <w:rFonts w:eastAsia="宋体" w:cs="宋体"/>
                      <w:i/>
                      <w:sz w:val="21"/>
                      <w:lang w:eastAsia="zh-CN"/>
                    </w:rPr>
                    <w:t>类型</w:t>
                  </w:r>
                  <w:r w:rsidRPr="005637AD">
                    <w:rPr>
                      <w:rFonts w:eastAsia="宋体" w:cs="宋体"/>
                      <w:sz w:val="21"/>
                      <w:lang w:eastAsia="zh-CN"/>
                    </w:rPr>
                    <w:t>）</w:t>
                  </w:r>
                </w:p>
              </w:txbxContent>
            </v:textbox>
          </v:shape>
        </w:pict>
      </w:r>
      <w:r>
        <w:rPr>
          <w:rFonts w:eastAsia="宋体"/>
          <w:noProof/>
          <w:sz w:val="24"/>
          <w:szCs w:val="24"/>
          <w:lang w:eastAsia="zh-CN" w:bidi="ar-SA"/>
        </w:rPr>
        <w:pict>
          <v:shape id="Text Box 222" o:spid="_x0000_s1031" type="#_x0000_t202" style="position:absolute;left:0;text-align:left;margin-left:372.35pt;margin-top:135.85pt;width:23.15pt;height:15.65pt;z-index:251662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44544D" w:rsidRPr="005637AD" w:rsidRDefault="0044544D" w:rsidP="00905CB6">
                  <w:pPr>
                    <w:snapToGrid w:val="0"/>
                    <w:jc w:val="center"/>
                    <w:rPr>
                      <w:rFonts w:eastAsia="宋体"/>
                      <w:sz w:val="21"/>
                      <w:szCs w:val="24"/>
                    </w:rPr>
                  </w:pPr>
                  <w:r w:rsidRPr="005637AD">
                    <w:rPr>
                      <w:rFonts w:eastAsia="宋体" w:cs="宋体"/>
                      <w:sz w:val="21"/>
                    </w:rPr>
                    <w:t>是</w:t>
                  </w:r>
                </w:p>
                <w:p w:rsidR="0044544D" w:rsidRPr="005637AD" w:rsidRDefault="0044544D" w:rsidP="00905CB6">
                  <w:pPr>
                    <w:snapToGrid w:val="0"/>
                    <w:jc w:val="center"/>
                    <w:rPr>
                      <w:rFonts w:eastAsia="宋体"/>
                      <w:sz w:val="21"/>
                      <w:szCs w:val="24"/>
                    </w:rPr>
                  </w:pPr>
                </w:p>
              </w:txbxContent>
            </v:textbox>
          </v:shape>
        </w:pict>
      </w:r>
      <w:r>
        <w:rPr>
          <w:rFonts w:eastAsia="宋体"/>
          <w:noProof/>
          <w:sz w:val="24"/>
          <w:szCs w:val="24"/>
          <w:lang w:eastAsia="zh-CN" w:bidi="ar-SA"/>
        </w:rPr>
        <w:pict>
          <v:shape id="Text Box 231" o:spid="_x0000_s1040" type="#_x0000_t202" style="position:absolute;left:0;text-align:left;margin-left:137.45pt;margin-top:138.85pt;width:181.35pt;height:38.55pt;z-index:2516715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9lrcAA&#10;AADbAAAADwAAAGRycy9kb3ducmV2LnhtbERPzYrCMBC+C/sOYRa8iKa7B5VqKq6y6sVDu/sAQzP9&#10;wWZSmqjVpzeC4G0+vt9ZrnrTiAt1rras4GsSgSDOra65VPD/9zueg3AeWWNjmRTcyMEq+RgsMdb2&#10;yildMl+KEMIuRgWV920spcsrMugmtiUOXGE7gz7ArpS6w2sIN438jqKpNFhzaKiwpU1F+Sk7GwW0&#10;Tu39eHI7k/5sN7uiZhrJvVLDz369AOGp92/xy33QYf4Mnr+E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z9lrcAAAADbAAAADwAAAAAAAAAAAAAAAACYAgAAZHJzL2Rvd25y&#10;ZXYueG1sUEsFBgAAAAAEAAQA9QAAAIUDAAAAAA==&#10;" filled="f" stroked="f">
            <v:textbox inset="0,0,0,0">
              <w:txbxContent>
                <w:p w:rsidR="0044544D" w:rsidRPr="005637AD" w:rsidRDefault="0044544D" w:rsidP="00905CB6">
                  <w:pPr>
                    <w:snapToGrid w:val="0"/>
                    <w:jc w:val="center"/>
                    <w:rPr>
                      <w:rFonts w:eastAsia="宋体"/>
                      <w:sz w:val="21"/>
                      <w:szCs w:val="24"/>
                      <w:lang w:eastAsia="zh-CN"/>
                    </w:rPr>
                  </w:pPr>
                  <w:r w:rsidRPr="005637AD">
                    <w:rPr>
                      <w:rFonts w:eastAsia="宋体" w:cs="宋体"/>
                      <w:sz w:val="21"/>
                      <w:lang w:eastAsia="zh-CN"/>
                    </w:rPr>
                    <w:t>该信息是否合理地表明产品可能导致或促成死亡或重伤？</w:t>
                  </w:r>
                </w:p>
              </w:txbxContent>
            </v:textbox>
          </v:shape>
        </w:pict>
      </w:r>
      <w:r>
        <w:rPr>
          <w:rFonts w:eastAsia="宋体"/>
          <w:noProof/>
          <w:sz w:val="24"/>
          <w:szCs w:val="24"/>
          <w:lang w:eastAsia="zh-CN" w:bidi="ar-SA"/>
        </w:rPr>
        <w:pict>
          <v:shape id="Text Box 228" o:spid="_x0000_s1037" type="#_x0000_t202" style="position:absolute;left:0;text-align:left;margin-left:230.95pt;margin-top:105.15pt;width:37.15pt;height:15.65pt;z-index:251668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44544D" w:rsidRPr="005637AD" w:rsidRDefault="0044544D" w:rsidP="00905CB6">
                  <w:pPr>
                    <w:snapToGrid w:val="0"/>
                    <w:jc w:val="center"/>
                    <w:rPr>
                      <w:rFonts w:eastAsia="宋体"/>
                      <w:sz w:val="21"/>
                      <w:szCs w:val="24"/>
                    </w:rPr>
                  </w:pPr>
                  <w:r w:rsidRPr="005637AD">
                    <w:rPr>
                      <w:rFonts w:eastAsia="宋体" w:cs="宋体"/>
                      <w:sz w:val="21"/>
                    </w:rPr>
                    <w:t>否</w:t>
                  </w:r>
                </w:p>
              </w:txbxContent>
            </v:textbox>
          </v:shape>
        </w:pict>
      </w:r>
      <w:r>
        <w:rPr>
          <w:rFonts w:eastAsia="宋体"/>
          <w:noProof/>
          <w:sz w:val="24"/>
          <w:szCs w:val="24"/>
          <w:lang w:eastAsia="zh-CN" w:bidi="ar-SA"/>
        </w:rPr>
        <w:pict>
          <v:shape id="Text Box 227" o:spid="_x0000_s1036" type="#_x0000_t202" style="position:absolute;left:0;text-align:left;margin-left:193.8pt;margin-top:458.1pt;width:37.15pt;height:15.65pt;z-index:2516674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44544D" w:rsidRPr="005637AD" w:rsidRDefault="0044544D" w:rsidP="00905CB6">
                  <w:pPr>
                    <w:snapToGrid w:val="0"/>
                    <w:jc w:val="center"/>
                    <w:rPr>
                      <w:rFonts w:eastAsia="宋体"/>
                      <w:sz w:val="21"/>
                      <w:szCs w:val="24"/>
                    </w:rPr>
                  </w:pPr>
                  <w:r w:rsidRPr="005637AD">
                    <w:rPr>
                      <w:rFonts w:eastAsia="宋体" w:cs="宋体"/>
                      <w:sz w:val="21"/>
                    </w:rPr>
                    <w:t>否</w:t>
                  </w:r>
                </w:p>
              </w:txbxContent>
            </v:textbox>
          </v:shape>
        </w:pict>
      </w:r>
      <w:r>
        <w:rPr>
          <w:rFonts w:eastAsia="宋体"/>
          <w:noProof/>
          <w:sz w:val="24"/>
          <w:szCs w:val="24"/>
          <w:lang w:eastAsia="zh-CN" w:bidi="ar-SA"/>
        </w:rPr>
        <w:pict>
          <v:shape id="Text Box 226" o:spid="_x0000_s1035" type="#_x0000_t202" style="position:absolute;left:0;text-align:left;margin-left:193.8pt;margin-top:337.9pt;width:37.15pt;height:15.65pt;z-index:251666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44544D" w:rsidRPr="005637AD" w:rsidRDefault="0044544D" w:rsidP="00905CB6">
                  <w:pPr>
                    <w:snapToGrid w:val="0"/>
                    <w:jc w:val="center"/>
                    <w:rPr>
                      <w:rFonts w:eastAsia="宋体"/>
                      <w:sz w:val="21"/>
                      <w:szCs w:val="24"/>
                    </w:rPr>
                  </w:pPr>
                  <w:r w:rsidRPr="005637AD">
                    <w:rPr>
                      <w:rFonts w:eastAsia="宋体" w:cs="宋体"/>
                      <w:sz w:val="21"/>
                    </w:rPr>
                    <w:t>否</w:t>
                  </w:r>
                </w:p>
              </w:txbxContent>
            </v:textbox>
          </v:shape>
        </w:pict>
      </w:r>
      <w:r>
        <w:rPr>
          <w:rFonts w:eastAsia="宋体"/>
          <w:noProof/>
          <w:sz w:val="24"/>
          <w:szCs w:val="24"/>
          <w:lang w:eastAsia="zh-CN" w:bidi="ar-SA"/>
        </w:rPr>
        <w:pict>
          <v:shape id="Text Box 225" o:spid="_x0000_s1034" type="#_x0000_t202" style="position:absolute;left:0;text-align:left;margin-left:189.9pt;margin-top:189.8pt;width:37.15pt;height:15.65pt;z-index:2516654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44544D" w:rsidRPr="005637AD" w:rsidRDefault="0044544D" w:rsidP="00905CB6">
                  <w:pPr>
                    <w:snapToGrid w:val="0"/>
                    <w:jc w:val="center"/>
                    <w:rPr>
                      <w:rFonts w:eastAsia="宋体"/>
                      <w:sz w:val="21"/>
                      <w:szCs w:val="24"/>
                    </w:rPr>
                  </w:pPr>
                  <w:r w:rsidRPr="005637AD">
                    <w:rPr>
                      <w:rFonts w:eastAsia="宋体" w:cs="宋体"/>
                      <w:sz w:val="21"/>
                    </w:rPr>
                    <w:t>否</w:t>
                  </w:r>
                </w:p>
              </w:txbxContent>
            </v:textbox>
          </v:shape>
        </w:pict>
      </w:r>
      <w:r>
        <w:rPr>
          <w:rFonts w:eastAsia="宋体"/>
          <w:noProof/>
          <w:sz w:val="24"/>
          <w:szCs w:val="24"/>
          <w:lang w:eastAsia="zh-CN" w:bidi="ar-SA"/>
        </w:rPr>
        <w:pict>
          <v:shape id="Text Box 223" o:spid="_x0000_s1032" type="#_x0000_t202" style="position:absolute;left:0;text-align:left;margin-left:321.2pt;margin-top:389.25pt;width:37.15pt;height:15.65pt;z-index:251663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44544D" w:rsidRPr="005637AD" w:rsidRDefault="0044544D" w:rsidP="00905CB6">
                  <w:pPr>
                    <w:snapToGrid w:val="0"/>
                    <w:jc w:val="center"/>
                    <w:rPr>
                      <w:rFonts w:eastAsia="宋体"/>
                      <w:sz w:val="21"/>
                      <w:szCs w:val="24"/>
                    </w:rPr>
                  </w:pPr>
                  <w:r w:rsidRPr="005637AD">
                    <w:rPr>
                      <w:rFonts w:eastAsia="宋体" w:cs="宋体"/>
                      <w:sz w:val="21"/>
                    </w:rPr>
                    <w:t>是</w:t>
                  </w:r>
                </w:p>
                <w:p w:rsidR="0044544D" w:rsidRPr="005637AD" w:rsidRDefault="0044544D" w:rsidP="00905CB6">
                  <w:pPr>
                    <w:snapToGrid w:val="0"/>
                    <w:jc w:val="center"/>
                    <w:rPr>
                      <w:rFonts w:eastAsia="宋体"/>
                      <w:sz w:val="21"/>
                      <w:szCs w:val="24"/>
                    </w:rPr>
                  </w:pPr>
                </w:p>
              </w:txbxContent>
            </v:textbox>
          </v:shape>
        </w:pict>
      </w:r>
      <w:r>
        <w:rPr>
          <w:rFonts w:eastAsia="宋体"/>
          <w:noProof/>
          <w:sz w:val="24"/>
          <w:szCs w:val="24"/>
          <w:lang w:eastAsia="zh-CN" w:bidi="ar-SA"/>
        </w:rPr>
        <w:pict>
          <v:shape id="Text Box 233" o:spid="_x0000_s1042" type="#_x0000_t202" style="position:absolute;left:0;text-align:left;margin-left:105.75pt;margin-top:473.75pt;width:252.6pt;height:26.25pt;z-index:251673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44544D" w:rsidRPr="005637AD" w:rsidRDefault="0044544D" w:rsidP="00905CB6">
                  <w:pPr>
                    <w:snapToGrid w:val="0"/>
                    <w:jc w:val="center"/>
                    <w:rPr>
                      <w:rFonts w:eastAsia="宋体"/>
                      <w:sz w:val="21"/>
                      <w:szCs w:val="24"/>
                      <w:lang w:eastAsia="zh-CN"/>
                    </w:rPr>
                  </w:pPr>
                  <w:r w:rsidRPr="005637AD">
                    <w:rPr>
                      <w:rFonts w:eastAsia="宋体" w:cs="宋体"/>
                      <w:sz w:val="21"/>
                      <w:lang w:eastAsia="zh-CN"/>
                    </w:rPr>
                    <w:t>除非</w:t>
                  </w:r>
                  <w:r w:rsidRPr="005637AD">
                    <w:rPr>
                      <w:rFonts w:eastAsia="宋体" w:cs="宋体"/>
                      <w:sz w:val="21"/>
                      <w:lang w:eastAsia="zh-CN"/>
                    </w:rPr>
                    <w:t>FDA</w:t>
                  </w:r>
                  <w:r w:rsidRPr="005637AD">
                    <w:rPr>
                      <w:rFonts w:eastAsia="宋体" w:cs="宋体"/>
                      <w:sz w:val="21"/>
                      <w:lang w:eastAsia="zh-CN"/>
                    </w:rPr>
                    <w:t>另有规定或收到新的可报告信息，否则无需其他</w:t>
                  </w:r>
                  <w:r w:rsidRPr="005637AD">
                    <w:rPr>
                      <w:rFonts w:eastAsia="宋体" w:cs="宋体"/>
                      <w:sz w:val="21"/>
                      <w:lang w:eastAsia="zh-CN"/>
                    </w:rPr>
                    <w:t>ICSR</w:t>
                  </w:r>
                </w:p>
              </w:txbxContent>
            </v:textbox>
          </v:shape>
        </w:pict>
      </w:r>
      <w:r>
        <w:rPr>
          <w:rFonts w:eastAsia="宋体"/>
          <w:noProof/>
          <w:sz w:val="24"/>
          <w:szCs w:val="24"/>
          <w:lang w:eastAsia="zh-CN" w:bidi="ar-SA"/>
        </w:rPr>
        <w:pict>
          <v:shape id="Text Box 219" o:spid="_x0000_s1028" type="#_x0000_t202" style="position:absolute;left:0;text-align:left;margin-left:162.95pt;margin-top:59.55pt;width:120.6pt;height:31.55pt;z-index:25165926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textbox inset="0,0,0,0">
              <w:txbxContent>
                <w:p w:rsidR="0044544D" w:rsidRPr="005637AD" w:rsidRDefault="0044544D" w:rsidP="00905CB6">
                  <w:pPr>
                    <w:snapToGrid w:val="0"/>
                    <w:jc w:val="center"/>
                    <w:rPr>
                      <w:rFonts w:eastAsia="宋体"/>
                      <w:sz w:val="21"/>
                      <w:szCs w:val="24"/>
                      <w:lang w:eastAsia="zh-CN"/>
                    </w:rPr>
                  </w:pPr>
                  <w:r w:rsidRPr="005637AD">
                    <w:rPr>
                      <w:rFonts w:eastAsia="宋体" w:cs="宋体"/>
                      <w:sz w:val="21"/>
                      <w:lang w:eastAsia="zh-CN"/>
                    </w:rPr>
                    <w:t>该事件是否是一次严重且非预期的不良经历？</w:t>
                  </w:r>
                </w:p>
              </w:txbxContent>
            </v:textbox>
          </v:shape>
        </w:pict>
      </w:r>
      <w:r>
        <w:rPr>
          <w:rFonts w:eastAsia="宋体"/>
          <w:noProof/>
          <w:sz w:val="24"/>
          <w:szCs w:val="24"/>
          <w:lang w:eastAsia="zh-CN" w:bidi="ar-SA"/>
        </w:rPr>
        <w:pict>
          <v:shape id="Text Box 236" o:spid="_x0000_s1044" type="#_x0000_t202" style="position:absolute;left:0;text-align:left;margin-left:1.15pt;margin-top:45.85pt;width:91.1pt;height:56.35pt;z-index:25167564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aS/8AA&#10;AADbAAAADwAAAGRycy9kb3ducmV2LnhtbESPzQrCMBCE74LvEFbwIprqQaQaxR/8uXio+gBLs7bF&#10;ZlOaqNWnN4LgcZiZb5jZojGleFDtCssKhoMIBHFqdcGZgst525+AcB5ZY2mZFLzIwWLebs0w1vbJ&#10;CT1OPhMBwi5GBbn3VSylS3My6Aa2Ig7e1dYGfZB1JnWNzwA3pRxF0VgaLDgs5FjROqf0drobBbRM&#10;7Pt4czuTrDbr3bVg6sm9Ut1Os5yC8NT4f/jXPmgFoy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aS/8AAAADbAAAADwAAAAAAAAAAAAAAAACYAgAAZHJzL2Rvd25y&#10;ZXYueG1sUEsFBgAAAAAEAAQA9QAAAIUDAAAAAA==&#10;" filled="f" stroked="f">
            <v:textbox inset="0,0,0,0">
              <w:txbxContent>
                <w:p w:rsidR="0044544D" w:rsidRPr="005637AD" w:rsidRDefault="0044544D" w:rsidP="00905CB6">
                  <w:pPr>
                    <w:snapToGrid w:val="0"/>
                    <w:jc w:val="center"/>
                    <w:rPr>
                      <w:rFonts w:eastAsia="宋体"/>
                      <w:sz w:val="21"/>
                      <w:szCs w:val="24"/>
                      <w:lang w:eastAsia="zh-CN"/>
                    </w:rPr>
                  </w:pPr>
                  <w:r w:rsidRPr="005637AD">
                    <w:rPr>
                      <w:rFonts w:eastAsia="宋体" w:cs="宋体"/>
                      <w:sz w:val="21"/>
                      <w:lang w:eastAsia="zh-CN"/>
                    </w:rPr>
                    <w:t>需要</w:t>
                  </w:r>
                  <w:r w:rsidRPr="005637AD">
                    <w:rPr>
                      <w:rFonts w:eastAsia="宋体" w:cs="宋体"/>
                      <w:sz w:val="21"/>
                      <w:lang w:eastAsia="zh-CN"/>
                    </w:rPr>
                    <w:t>15</w:t>
                  </w:r>
                  <w:r w:rsidRPr="005637AD">
                    <w:rPr>
                      <w:rFonts w:eastAsia="宋体" w:cs="宋体"/>
                      <w:sz w:val="21"/>
                      <w:lang w:eastAsia="zh-CN"/>
                    </w:rPr>
                    <w:t>天报告（</w:t>
                  </w:r>
                  <w:r w:rsidRPr="005637AD">
                    <w:rPr>
                      <w:rFonts w:eastAsia="宋体" w:cs="宋体"/>
                      <w:sz w:val="21"/>
                      <w:lang w:eastAsia="zh-CN"/>
                    </w:rPr>
                    <w:t>30</w:t>
                  </w:r>
                  <w:r w:rsidRPr="005637AD">
                    <w:rPr>
                      <w:rFonts w:eastAsia="宋体" w:cs="宋体"/>
                      <w:sz w:val="21"/>
                      <w:lang w:eastAsia="zh-CN"/>
                    </w:rPr>
                    <w:t>天内）（</w:t>
                  </w:r>
                  <w:r w:rsidRPr="005637AD">
                    <w:rPr>
                      <w:rFonts w:eastAsia="宋体" w:cs="宋体"/>
                      <w:i/>
                      <w:sz w:val="21"/>
                      <w:lang w:eastAsia="zh-CN"/>
                    </w:rPr>
                    <w:t>评估是否需要其他</w:t>
                  </w:r>
                  <w:r w:rsidRPr="005637AD">
                    <w:rPr>
                      <w:rFonts w:eastAsia="宋体" w:cs="宋体"/>
                      <w:i/>
                      <w:sz w:val="21"/>
                      <w:lang w:eastAsia="zh-CN"/>
                    </w:rPr>
                    <w:t>ICSR</w:t>
                  </w:r>
                  <w:r w:rsidRPr="005637AD">
                    <w:rPr>
                      <w:rFonts w:eastAsia="宋体" w:cs="宋体"/>
                      <w:i/>
                      <w:sz w:val="21"/>
                      <w:lang w:eastAsia="zh-CN"/>
                    </w:rPr>
                    <w:t>类型</w:t>
                  </w:r>
                  <w:r w:rsidRPr="005637AD">
                    <w:rPr>
                      <w:rFonts w:eastAsia="宋体" w:cs="宋体"/>
                      <w:sz w:val="21"/>
                      <w:lang w:eastAsia="zh-CN"/>
                    </w:rPr>
                    <w:t>）</w:t>
                  </w:r>
                </w:p>
              </w:txbxContent>
            </v:textbox>
          </v:shape>
        </w:pict>
      </w:r>
      <w:r>
        <w:rPr>
          <w:rFonts w:eastAsia="宋体"/>
          <w:noProof/>
          <w:sz w:val="24"/>
          <w:szCs w:val="24"/>
          <w:lang w:eastAsia="zh-CN" w:bidi="ar-SA"/>
        </w:rPr>
        <w:pict>
          <v:shape id="文本框 2" o:spid="_x0000_s1027" type="#_x0000_t202" style="position:absolute;left:0;text-align:left;margin-left:116.05pt;margin-top:9.35pt;width:224.75pt;height:13.6pt;z-index:2516582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filled="f" stroked="f">
            <v:textbox style="mso-fit-shape-to-text:t" inset="0,0,0,0">
              <w:txbxContent>
                <w:p w:rsidR="0044544D" w:rsidRPr="005637AD" w:rsidRDefault="0044544D" w:rsidP="00BE481B">
                  <w:pPr>
                    <w:snapToGrid w:val="0"/>
                    <w:jc w:val="center"/>
                    <w:rPr>
                      <w:rFonts w:eastAsia="宋体"/>
                      <w:sz w:val="21"/>
                      <w:szCs w:val="24"/>
                      <w:lang w:eastAsia="zh-CN"/>
                    </w:rPr>
                  </w:pPr>
                  <w:r w:rsidRPr="005637AD">
                    <w:rPr>
                      <w:rFonts w:eastAsia="宋体" w:cs="宋体"/>
                      <w:sz w:val="21"/>
                      <w:lang w:eastAsia="zh-CN"/>
                    </w:rPr>
                    <w:t>向组合产品申请人报告的事件</w:t>
                  </w:r>
                </w:p>
              </w:txbxContent>
            </v:textbox>
          </v:shape>
        </w:pict>
      </w:r>
      <w:r>
        <w:rPr>
          <w:rFonts w:eastAsia="宋体"/>
          <w:noProof/>
          <w:sz w:val="24"/>
          <w:szCs w:val="24"/>
          <w:lang w:eastAsia="zh-CN" w:bidi="ar-SA"/>
        </w:rPr>
        <w:pict>
          <v:shape id="Text Box 221" o:spid="_x0000_s1030" type="#_x0000_t202" style="position:absolute;left:0;text-align:left;margin-left:87.8pt;margin-top:63.45pt;width:37.15pt;height:15.65pt;z-index:251661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44544D" w:rsidRPr="005637AD" w:rsidRDefault="0044544D" w:rsidP="00905CB6">
                  <w:pPr>
                    <w:snapToGrid w:val="0"/>
                    <w:jc w:val="center"/>
                    <w:rPr>
                      <w:rFonts w:eastAsia="宋体"/>
                      <w:sz w:val="21"/>
                      <w:szCs w:val="24"/>
                    </w:rPr>
                  </w:pPr>
                  <w:r w:rsidRPr="005637AD">
                    <w:rPr>
                      <w:rFonts w:eastAsia="宋体" w:cs="宋体"/>
                      <w:sz w:val="21"/>
                    </w:rPr>
                    <w:t>是</w:t>
                  </w:r>
                </w:p>
                <w:p w:rsidR="0044544D" w:rsidRPr="005637AD" w:rsidRDefault="0044544D" w:rsidP="00905CB6">
                  <w:pPr>
                    <w:snapToGrid w:val="0"/>
                    <w:jc w:val="center"/>
                    <w:rPr>
                      <w:rFonts w:eastAsia="宋体"/>
                      <w:sz w:val="21"/>
                      <w:szCs w:val="24"/>
                    </w:rPr>
                  </w:pPr>
                </w:p>
              </w:txbxContent>
            </v:textbox>
          </v:shape>
        </w:pict>
      </w:r>
      <w:r>
        <w:rPr>
          <w:rFonts w:eastAsia="宋体"/>
          <w:noProof/>
          <w:snapToGrid w:val="0"/>
          <w:sz w:val="24"/>
          <w:szCs w:val="24"/>
          <w:lang w:eastAsia="zh-CN" w:bidi="ar-SA"/>
        </w:rPr>
        <w:pict>
          <v:shape id="图片 2" o:spid="_x0000_i1026" type="#_x0000_t75" style="width:479.4pt;height:501pt;visibility:visible">
            <v:imagedata r:id="rId35" o:title=""/>
          </v:shape>
        </w:pict>
      </w:r>
    </w:p>
    <w:p w:rsidR="00C1273A" w:rsidRPr="00C277C0" w:rsidRDefault="00C1273A" w:rsidP="00C1273A">
      <w:pPr>
        <w:autoSpaceDE/>
        <w:autoSpaceDN/>
        <w:snapToGrid w:val="0"/>
        <w:jc w:val="both"/>
        <w:rPr>
          <w:rFonts w:eastAsia="宋体"/>
          <w:snapToGrid w:val="0"/>
          <w:sz w:val="24"/>
          <w:szCs w:val="24"/>
          <w:lang w:eastAsia="zh-CN"/>
        </w:rPr>
      </w:pPr>
    </w:p>
    <w:p w:rsidR="00C1273A" w:rsidRPr="00C277C0" w:rsidRDefault="00C1273A" w:rsidP="00B403CB">
      <w:pPr>
        <w:autoSpaceDE/>
        <w:autoSpaceDN/>
        <w:snapToGrid w:val="0"/>
        <w:jc w:val="center"/>
        <w:rPr>
          <w:rFonts w:eastAsia="宋体"/>
          <w:snapToGrid w:val="0"/>
          <w:sz w:val="24"/>
          <w:szCs w:val="24"/>
          <w:lang w:eastAsia="zh-CN"/>
        </w:rPr>
      </w:pPr>
    </w:p>
    <w:p w:rsidR="00C1273A" w:rsidRPr="00B403CB" w:rsidRDefault="00C1273A" w:rsidP="00C1273A">
      <w:pPr>
        <w:autoSpaceDE/>
        <w:autoSpaceDN/>
        <w:snapToGrid w:val="0"/>
        <w:jc w:val="center"/>
        <w:rPr>
          <w:rFonts w:eastAsia="宋体"/>
          <w:sz w:val="24"/>
        </w:rPr>
      </w:pPr>
    </w:p>
    <w:p w:rsidR="003F7123" w:rsidRPr="00C277C0" w:rsidRDefault="00BE481B" w:rsidP="00C1273A">
      <w:pPr>
        <w:autoSpaceDE/>
        <w:autoSpaceDN/>
        <w:snapToGrid w:val="0"/>
        <w:jc w:val="both"/>
        <w:rPr>
          <w:rFonts w:eastAsia="宋体"/>
          <w:snapToGrid w:val="0"/>
          <w:sz w:val="21"/>
          <w:szCs w:val="21"/>
          <w:lang w:eastAsia="zh-CN"/>
        </w:rPr>
      </w:pPr>
      <w:r w:rsidRPr="00C277C0">
        <w:rPr>
          <w:rFonts w:eastAsia="宋体" w:hint="eastAsia"/>
          <w:snapToGrid w:val="0"/>
          <w:sz w:val="21"/>
          <w:szCs w:val="21"/>
          <w:lang w:eastAsia="zh-CN"/>
        </w:rPr>
        <w:t>*</w:t>
      </w:r>
      <w:r w:rsidRPr="00C277C0">
        <w:rPr>
          <w:rFonts w:eastAsia="宋体" w:hint="eastAsia"/>
          <w:snapToGrid w:val="0"/>
          <w:sz w:val="21"/>
          <w:szCs w:val="21"/>
          <w:lang w:eastAsia="zh-CN"/>
        </w:rPr>
        <w:t>本图表仅涵盖组合产品</w:t>
      </w:r>
      <w:r w:rsidRPr="00C277C0">
        <w:rPr>
          <w:rFonts w:eastAsia="宋体" w:hint="eastAsia"/>
          <w:snapToGrid w:val="0"/>
          <w:sz w:val="21"/>
          <w:szCs w:val="21"/>
          <w:lang w:eastAsia="zh-CN"/>
        </w:rPr>
        <w:t>PMSR</w:t>
      </w:r>
      <w:r w:rsidRPr="00C277C0">
        <w:rPr>
          <w:rFonts w:eastAsia="宋体" w:hint="eastAsia"/>
          <w:snapToGrid w:val="0"/>
          <w:sz w:val="21"/>
          <w:szCs w:val="21"/>
          <w:lang w:eastAsia="zh-CN"/>
        </w:rPr>
        <w:t>最终规则（</w:t>
      </w:r>
      <w:r w:rsidR="007267DD" w:rsidRPr="00C277C0">
        <w:rPr>
          <w:rFonts w:eastAsia="宋体" w:hint="eastAsia"/>
          <w:snapToGrid w:val="0"/>
          <w:sz w:val="21"/>
          <w:szCs w:val="21"/>
          <w:lang w:eastAsia="zh-CN"/>
        </w:rPr>
        <w:t>《美国联邦法规》第</w:t>
      </w:r>
      <w:r w:rsidR="00286DB1">
        <w:rPr>
          <w:rFonts w:eastAsia="宋体" w:hint="eastAsia"/>
          <w:snapToGrid w:val="0"/>
          <w:sz w:val="21"/>
          <w:szCs w:val="21"/>
          <w:lang w:eastAsia="zh-CN"/>
        </w:rPr>
        <w:t>21</w:t>
      </w:r>
      <w:r w:rsidR="00286DB1">
        <w:rPr>
          <w:rFonts w:eastAsia="宋体" w:hint="eastAsia"/>
          <w:snapToGrid w:val="0"/>
          <w:sz w:val="21"/>
          <w:szCs w:val="21"/>
          <w:lang w:eastAsia="zh-CN"/>
        </w:rPr>
        <w:t>篇</w:t>
      </w:r>
      <w:r w:rsidR="00AE0101" w:rsidRPr="00C277C0">
        <w:rPr>
          <w:rFonts w:eastAsia="宋体" w:hint="eastAsia"/>
          <w:snapToGrid w:val="0"/>
          <w:sz w:val="21"/>
          <w:szCs w:val="21"/>
          <w:lang w:eastAsia="zh-CN"/>
        </w:rPr>
        <w:t>第</w:t>
      </w:r>
      <w:r w:rsidRPr="00C277C0">
        <w:rPr>
          <w:rFonts w:eastAsia="宋体" w:hint="eastAsia"/>
          <w:snapToGrid w:val="0"/>
          <w:sz w:val="21"/>
          <w:szCs w:val="21"/>
          <w:lang w:eastAsia="zh-CN"/>
        </w:rPr>
        <w:t>4.101</w:t>
      </w:r>
      <w:r w:rsidRPr="00C277C0">
        <w:rPr>
          <w:rFonts w:eastAsia="宋体" w:hint="eastAsia"/>
          <w:snapToGrid w:val="0"/>
          <w:sz w:val="21"/>
          <w:szCs w:val="21"/>
          <w:lang w:eastAsia="zh-CN"/>
        </w:rPr>
        <w:t>和</w:t>
      </w:r>
      <w:r w:rsidRPr="00C277C0">
        <w:rPr>
          <w:rFonts w:eastAsia="宋体" w:hint="eastAsia"/>
          <w:snapToGrid w:val="0"/>
          <w:sz w:val="21"/>
          <w:szCs w:val="21"/>
          <w:lang w:eastAsia="zh-CN"/>
        </w:rPr>
        <w:t>4.102</w:t>
      </w:r>
      <w:r w:rsidR="00575EA0">
        <w:rPr>
          <w:rFonts w:eastAsia="宋体" w:hint="eastAsia"/>
          <w:snapToGrid w:val="0"/>
          <w:sz w:val="21"/>
          <w:szCs w:val="21"/>
          <w:lang w:eastAsia="zh-CN"/>
        </w:rPr>
        <w:t>节</w:t>
      </w:r>
      <w:r w:rsidRPr="00C277C0">
        <w:rPr>
          <w:rFonts w:eastAsia="宋体" w:hint="eastAsia"/>
          <w:snapToGrid w:val="0"/>
          <w:sz w:val="21"/>
          <w:szCs w:val="21"/>
          <w:lang w:eastAsia="zh-CN"/>
        </w:rPr>
        <w:t>）下的</w:t>
      </w:r>
      <w:r w:rsidRPr="00C277C0">
        <w:rPr>
          <w:rFonts w:eastAsia="宋体" w:hint="eastAsia"/>
          <w:snapToGrid w:val="0"/>
          <w:sz w:val="21"/>
          <w:szCs w:val="21"/>
          <w:lang w:eastAsia="zh-CN"/>
        </w:rPr>
        <w:t>ICSR</w:t>
      </w:r>
      <w:r w:rsidRPr="00C277C0">
        <w:rPr>
          <w:rFonts w:eastAsia="宋体" w:hint="eastAsia"/>
          <w:snapToGrid w:val="0"/>
          <w:sz w:val="21"/>
          <w:szCs w:val="21"/>
          <w:lang w:eastAsia="zh-CN"/>
        </w:rPr>
        <w:t>报告。还可能需要其他报告类型（更正和移除报告、</w:t>
      </w:r>
      <w:r w:rsidR="0075567A" w:rsidRPr="00C277C0">
        <w:rPr>
          <w:rFonts w:eastAsia="宋体" w:hint="eastAsia"/>
          <w:snapToGrid w:val="0"/>
          <w:sz w:val="21"/>
          <w:szCs w:val="21"/>
          <w:lang w:eastAsia="zh-CN"/>
        </w:rPr>
        <w:t>现场警示报告</w:t>
      </w:r>
      <w:r w:rsidRPr="00C277C0">
        <w:rPr>
          <w:rFonts w:eastAsia="宋体" w:hint="eastAsia"/>
          <w:snapToGrid w:val="0"/>
          <w:sz w:val="21"/>
          <w:szCs w:val="21"/>
          <w:lang w:eastAsia="zh-CN"/>
        </w:rPr>
        <w:t>、</w:t>
      </w:r>
      <w:r w:rsidR="0075567A" w:rsidRPr="00C277C0">
        <w:rPr>
          <w:rFonts w:eastAsia="宋体" w:hint="eastAsia"/>
          <w:snapToGrid w:val="0"/>
          <w:sz w:val="21"/>
          <w:szCs w:val="21"/>
          <w:lang w:eastAsia="zh-CN"/>
        </w:rPr>
        <w:t>生物制品偏差报告</w:t>
      </w:r>
      <w:r w:rsidRPr="00C277C0">
        <w:rPr>
          <w:rFonts w:eastAsia="宋体" w:hint="eastAsia"/>
          <w:snapToGrid w:val="0"/>
          <w:sz w:val="21"/>
          <w:szCs w:val="21"/>
          <w:lang w:eastAsia="zh-CN"/>
        </w:rPr>
        <w:t>）。注意，第</w:t>
      </w:r>
      <w:r w:rsidR="00B773B0" w:rsidRPr="00C277C0">
        <w:rPr>
          <w:rFonts w:eastAsia="宋体" w:hint="eastAsia"/>
          <w:snapToGrid w:val="0"/>
          <w:sz w:val="21"/>
          <w:szCs w:val="21"/>
          <w:lang w:eastAsia="zh-CN"/>
        </w:rPr>
        <w:t>IV</w:t>
      </w:r>
      <w:r w:rsidR="00C0232D" w:rsidRPr="00C277C0">
        <w:rPr>
          <w:rFonts w:eastAsia="宋体" w:hint="eastAsia"/>
          <w:snapToGrid w:val="0"/>
          <w:sz w:val="21"/>
          <w:szCs w:val="21"/>
          <w:lang w:eastAsia="zh-CN"/>
        </w:rPr>
        <w:t>.</w:t>
      </w:r>
      <w:r w:rsidRPr="00C277C0">
        <w:rPr>
          <w:rFonts w:eastAsia="宋体" w:hint="eastAsia"/>
          <w:snapToGrid w:val="0"/>
          <w:sz w:val="21"/>
          <w:szCs w:val="21"/>
          <w:lang w:eastAsia="zh-CN"/>
        </w:rPr>
        <w:t>C</w:t>
      </w:r>
      <w:r w:rsidRPr="00C277C0">
        <w:rPr>
          <w:rFonts w:eastAsia="宋体" w:hint="eastAsia"/>
          <w:snapToGrid w:val="0"/>
          <w:sz w:val="21"/>
          <w:szCs w:val="21"/>
          <w:lang w:eastAsia="zh-CN"/>
        </w:rPr>
        <w:t>节和第</w:t>
      </w:r>
      <w:r w:rsidR="00B773B0" w:rsidRPr="00C277C0">
        <w:rPr>
          <w:rFonts w:eastAsia="宋体" w:hint="eastAsia"/>
          <w:snapToGrid w:val="0"/>
          <w:sz w:val="21"/>
          <w:szCs w:val="21"/>
          <w:lang w:eastAsia="zh-CN"/>
        </w:rPr>
        <w:t>V</w:t>
      </w:r>
      <w:r w:rsidR="00C0232D" w:rsidRPr="00C277C0">
        <w:rPr>
          <w:rFonts w:eastAsia="宋体" w:hint="eastAsia"/>
          <w:snapToGrid w:val="0"/>
          <w:sz w:val="21"/>
          <w:szCs w:val="21"/>
          <w:lang w:eastAsia="zh-CN"/>
        </w:rPr>
        <w:t>.</w:t>
      </w:r>
      <w:r w:rsidRPr="00C277C0">
        <w:rPr>
          <w:rFonts w:eastAsia="宋体" w:hint="eastAsia"/>
          <w:snapToGrid w:val="0"/>
          <w:sz w:val="21"/>
          <w:szCs w:val="21"/>
          <w:lang w:eastAsia="zh-CN"/>
        </w:rPr>
        <w:t>A.3</w:t>
      </w:r>
      <w:r w:rsidRPr="00C277C0">
        <w:rPr>
          <w:rFonts w:eastAsia="宋体" w:hint="eastAsia"/>
          <w:snapToGrid w:val="0"/>
          <w:sz w:val="21"/>
          <w:szCs w:val="21"/>
          <w:lang w:eastAsia="zh-CN"/>
        </w:rPr>
        <w:t>节中讨论的通过综合</w:t>
      </w:r>
      <w:r w:rsidRPr="00C277C0">
        <w:rPr>
          <w:rFonts w:eastAsia="宋体" w:hint="eastAsia"/>
          <w:snapToGrid w:val="0"/>
          <w:sz w:val="21"/>
          <w:szCs w:val="21"/>
          <w:lang w:eastAsia="zh-CN"/>
        </w:rPr>
        <w:t>ICSR</w:t>
      </w:r>
      <w:r w:rsidRPr="00C277C0">
        <w:rPr>
          <w:rFonts w:eastAsia="宋体" w:hint="eastAsia"/>
          <w:snapToGrid w:val="0"/>
          <w:sz w:val="21"/>
          <w:szCs w:val="21"/>
          <w:lang w:eastAsia="zh-CN"/>
        </w:rPr>
        <w:t>和</w:t>
      </w:r>
      <w:r w:rsidRPr="00C277C0">
        <w:rPr>
          <w:rFonts w:eastAsia="宋体" w:hint="eastAsia"/>
          <w:snapToGrid w:val="0"/>
          <w:sz w:val="21"/>
          <w:szCs w:val="21"/>
          <w:lang w:eastAsia="zh-CN"/>
        </w:rPr>
        <w:t>/</w:t>
      </w:r>
      <w:r w:rsidRPr="00C277C0">
        <w:rPr>
          <w:rFonts w:eastAsia="宋体" w:hint="eastAsia"/>
          <w:snapToGrid w:val="0"/>
          <w:sz w:val="21"/>
          <w:szCs w:val="21"/>
          <w:lang w:eastAsia="zh-CN"/>
        </w:rPr>
        <w:t>或包括更正</w:t>
      </w:r>
      <w:r w:rsidRPr="00C277C0">
        <w:rPr>
          <w:rFonts w:eastAsia="宋体" w:hint="eastAsia"/>
          <w:snapToGrid w:val="0"/>
          <w:sz w:val="21"/>
          <w:szCs w:val="21"/>
          <w:lang w:eastAsia="zh-CN"/>
        </w:rPr>
        <w:t>/</w:t>
      </w:r>
      <w:r w:rsidRPr="00C277C0">
        <w:rPr>
          <w:rFonts w:eastAsia="宋体" w:hint="eastAsia"/>
          <w:snapToGrid w:val="0"/>
          <w:sz w:val="21"/>
          <w:szCs w:val="21"/>
          <w:lang w:eastAsia="zh-CN"/>
        </w:rPr>
        <w:t>移除信息进行简化的选项。对于</w:t>
      </w:r>
      <w:r w:rsidRPr="00C277C0">
        <w:rPr>
          <w:rFonts w:eastAsia="宋体" w:hint="eastAsia"/>
          <w:snapToGrid w:val="0"/>
          <w:sz w:val="21"/>
          <w:szCs w:val="21"/>
          <w:lang w:eastAsia="zh-CN"/>
        </w:rPr>
        <w:t>ICSR</w:t>
      </w:r>
      <w:r w:rsidRPr="00C277C0">
        <w:rPr>
          <w:rFonts w:eastAsia="宋体" w:hint="eastAsia"/>
          <w:snapToGrid w:val="0"/>
          <w:sz w:val="21"/>
          <w:szCs w:val="21"/>
          <w:lang w:eastAsia="zh-CN"/>
        </w:rPr>
        <w:t>，有</w:t>
      </w:r>
      <w:r w:rsidR="00C55B83" w:rsidRPr="00C277C0">
        <w:rPr>
          <w:rFonts w:eastAsia="宋体" w:hint="eastAsia"/>
          <w:snapToGrid w:val="0"/>
          <w:sz w:val="21"/>
          <w:szCs w:val="21"/>
          <w:lang w:eastAsia="zh-CN"/>
        </w:rPr>
        <w:t>后续报告</w:t>
      </w:r>
      <w:r w:rsidRPr="00C277C0">
        <w:rPr>
          <w:rFonts w:eastAsia="宋体" w:hint="eastAsia"/>
          <w:snapToGrid w:val="0"/>
          <w:sz w:val="21"/>
          <w:szCs w:val="21"/>
          <w:lang w:eastAsia="zh-CN"/>
        </w:rPr>
        <w:t>的相关要求（关于条例中</w:t>
      </w:r>
      <w:r w:rsidR="00C55B83" w:rsidRPr="00C277C0">
        <w:rPr>
          <w:rFonts w:eastAsia="宋体" w:hint="eastAsia"/>
          <w:snapToGrid w:val="0"/>
          <w:sz w:val="21"/>
          <w:szCs w:val="21"/>
          <w:lang w:eastAsia="zh-CN"/>
        </w:rPr>
        <w:t>后续报告</w:t>
      </w:r>
      <w:r w:rsidRPr="00C277C0">
        <w:rPr>
          <w:rFonts w:eastAsia="宋体" w:hint="eastAsia"/>
          <w:snapToGrid w:val="0"/>
          <w:sz w:val="21"/>
          <w:szCs w:val="21"/>
          <w:lang w:eastAsia="zh-CN"/>
        </w:rPr>
        <w:t>要求的讨论，</w:t>
      </w:r>
      <w:r w:rsidR="00F244D3">
        <w:rPr>
          <w:rFonts w:eastAsia="宋体" w:hint="eastAsia"/>
          <w:snapToGrid w:val="0"/>
          <w:sz w:val="21"/>
          <w:szCs w:val="21"/>
          <w:lang w:eastAsia="zh-CN"/>
        </w:rPr>
        <w:t>参</w:t>
      </w:r>
      <w:r w:rsidRPr="00C277C0">
        <w:rPr>
          <w:rFonts w:eastAsia="宋体" w:hint="eastAsia"/>
          <w:snapToGrid w:val="0"/>
          <w:sz w:val="21"/>
          <w:szCs w:val="21"/>
          <w:lang w:eastAsia="zh-CN"/>
        </w:rPr>
        <w:t>见第</w:t>
      </w:r>
      <w:r w:rsidR="00B773B0" w:rsidRPr="00C277C0">
        <w:rPr>
          <w:rFonts w:eastAsia="宋体" w:hint="eastAsia"/>
          <w:snapToGrid w:val="0"/>
          <w:sz w:val="21"/>
          <w:szCs w:val="21"/>
          <w:lang w:eastAsia="zh-CN"/>
        </w:rPr>
        <w:t>IV</w:t>
      </w:r>
      <w:r w:rsidR="00C0232D" w:rsidRPr="00C277C0">
        <w:rPr>
          <w:rFonts w:eastAsia="宋体" w:hint="eastAsia"/>
          <w:snapToGrid w:val="0"/>
          <w:sz w:val="21"/>
          <w:szCs w:val="21"/>
          <w:lang w:eastAsia="zh-CN"/>
        </w:rPr>
        <w:t>.</w:t>
      </w:r>
      <w:r w:rsidRPr="00C277C0">
        <w:rPr>
          <w:rFonts w:eastAsia="宋体" w:hint="eastAsia"/>
          <w:snapToGrid w:val="0"/>
          <w:sz w:val="21"/>
          <w:szCs w:val="21"/>
          <w:lang w:eastAsia="zh-CN"/>
        </w:rPr>
        <w:t>A.4</w:t>
      </w:r>
      <w:r w:rsidRPr="00C277C0">
        <w:rPr>
          <w:rFonts w:eastAsia="宋体" w:hint="eastAsia"/>
          <w:snapToGrid w:val="0"/>
          <w:sz w:val="21"/>
          <w:szCs w:val="21"/>
          <w:lang w:eastAsia="zh-CN"/>
        </w:rPr>
        <w:t>节）。</w:t>
      </w:r>
    </w:p>
    <w:p w:rsidR="00C1273A" w:rsidRPr="00B403CB" w:rsidRDefault="00BE481B" w:rsidP="00B403CB">
      <w:pPr>
        <w:autoSpaceDE/>
        <w:autoSpaceDN/>
        <w:snapToGrid w:val="0"/>
        <w:jc w:val="both"/>
        <w:rPr>
          <w:rFonts w:eastAsia="宋体"/>
          <w:b/>
          <w:sz w:val="24"/>
          <w:lang w:eastAsia="zh-CN"/>
        </w:rPr>
      </w:pPr>
      <w:r w:rsidRPr="00B403CB">
        <w:rPr>
          <w:rFonts w:eastAsia="宋体"/>
          <w:sz w:val="24"/>
          <w:lang w:eastAsia="zh-CN"/>
        </w:rPr>
        <w:br w:type="page"/>
      </w:r>
    </w:p>
    <w:p w:rsidR="00C1273A" w:rsidRPr="00B403CB" w:rsidRDefault="00097329" w:rsidP="00B403CB">
      <w:pPr>
        <w:pStyle w:val="1"/>
        <w:autoSpaceDE/>
        <w:autoSpaceDN/>
        <w:spacing w:beforeLines="0" w:before="0" w:line="240" w:lineRule="auto"/>
        <w:ind w:left="562" w:hanging="562"/>
        <w:rPr>
          <w:sz w:val="28"/>
          <w:lang w:eastAsia="zh-CN"/>
        </w:rPr>
      </w:pPr>
      <w:bookmarkStart w:id="52" w:name="_Toc97551515"/>
      <w:bookmarkStart w:id="53" w:name="_Toc95145714"/>
      <w:r w:rsidRPr="00B403CB">
        <w:rPr>
          <w:rFonts w:hint="eastAsia"/>
          <w:sz w:val="28"/>
          <w:lang w:eastAsia="zh-CN"/>
        </w:rPr>
        <w:t>附录</w:t>
      </w:r>
      <w:r w:rsidRPr="00B403CB">
        <w:rPr>
          <w:sz w:val="28"/>
          <w:lang w:eastAsia="zh-CN"/>
        </w:rPr>
        <w:t>3.</w:t>
      </w:r>
      <w:r w:rsidRPr="00B403CB">
        <w:rPr>
          <w:rFonts w:hint="eastAsia"/>
          <w:sz w:val="28"/>
          <w:lang w:eastAsia="zh-CN"/>
        </w:rPr>
        <w:t>非</w:t>
      </w:r>
      <w:r w:rsidR="00FC2B9A" w:rsidRPr="00B403CB">
        <w:rPr>
          <w:rFonts w:ascii="宋体" w:hAnsi="宋体" w:hint="eastAsia"/>
          <w:sz w:val="28"/>
          <w:lang w:eastAsia="zh-CN"/>
        </w:rPr>
        <w:t>“</w:t>
      </w:r>
      <w:r w:rsidRPr="00B403CB">
        <w:rPr>
          <w:rFonts w:hint="eastAsia"/>
          <w:sz w:val="28"/>
          <w:lang w:eastAsia="zh-CN"/>
        </w:rPr>
        <w:t>申请人</w:t>
      </w:r>
      <w:r w:rsidR="00FC2B9A" w:rsidRPr="00B403CB">
        <w:rPr>
          <w:rFonts w:ascii="宋体" w:hAnsi="宋体" w:hint="eastAsia"/>
          <w:sz w:val="28"/>
          <w:lang w:eastAsia="zh-CN"/>
        </w:rPr>
        <w:t>”</w:t>
      </w:r>
      <w:r w:rsidRPr="00B403CB">
        <w:rPr>
          <w:rFonts w:hint="eastAsia"/>
          <w:sz w:val="28"/>
          <w:lang w:eastAsia="zh-CN"/>
        </w:rPr>
        <w:t>实体的组合产品上市后安全性报告考虑事项</w:t>
      </w:r>
      <w:bookmarkEnd w:id="52"/>
      <w:bookmarkEnd w:id="53"/>
    </w:p>
    <w:p w:rsidR="00C1273A" w:rsidRPr="00C277C0" w:rsidRDefault="00C1273A" w:rsidP="003F7123">
      <w:pPr>
        <w:pStyle w:val="a3"/>
        <w:autoSpaceDE/>
        <w:autoSpaceDN/>
        <w:snapToGrid w:val="0"/>
        <w:jc w:val="both"/>
        <w:rPr>
          <w:rFonts w:eastAsia="宋体"/>
          <w:snapToGrid w:val="0"/>
          <w:lang w:eastAsia="zh-CN"/>
        </w:rPr>
      </w:pPr>
    </w:p>
    <w:p w:rsidR="00C1273A" w:rsidRPr="00C277C0" w:rsidRDefault="00097329" w:rsidP="00B403CB">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如第</w:t>
      </w:r>
      <w:r w:rsidR="00B773B0" w:rsidRPr="00C277C0">
        <w:rPr>
          <w:rFonts w:eastAsia="宋体" w:hint="eastAsia"/>
          <w:snapToGrid w:val="0"/>
          <w:lang w:eastAsia="zh-CN"/>
        </w:rPr>
        <w:t>III</w:t>
      </w:r>
      <w:r w:rsidR="0086378E" w:rsidRPr="00C277C0">
        <w:rPr>
          <w:rFonts w:eastAsia="宋体" w:hint="eastAsia"/>
          <w:snapToGrid w:val="0"/>
          <w:lang w:eastAsia="zh-CN"/>
        </w:rPr>
        <w:t>.</w:t>
      </w:r>
      <w:r w:rsidRPr="00C277C0">
        <w:rPr>
          <w:rFonts w:eastAsia="宋体" w:hint="eastAsia"/>
          <w:snapToGrid w:val="0"/>
          <w:lang w:eastAsia="zh-CN"/>
        </w:rPr>
        <w:t>A</w:t>
      </w:r>
      <w:r w:rsidRPr="00C277C0">
        <w:rPr>
          <w:rFonts w:eastAsia="宋体" w:hint="eastAsia"/>
          <w:snapToGrid w:val="0"/>
          <w:lang w:eastAsia="zh-CN"/>
        </w:rPr>
        <w:t>节所述，仅属于</w:t>
      </w:r>
      <w:r w:rsidR="00FC2B9A" w:rsidRPr="00B403CB">
        <w:rPr>
          <w:rFonts w:ascii="宋体" w:eastAsia="宋体" w:hAnsi="宋体" w:hint="eastAsia"/>
          <w:lang w:eastAsia="zh-CN"/>
        </w:rPr>
        <w:t>“</w:t>
      </w:r>
      <w:r w:rsidRPr="00C277C0">
        <w:rPr>
          <w:rFonts w:eastAsia="宋体" w:hint="eastAsia"/>
          <w:snapToGrid w:val="0"/>
          <w:lang w:eastAsia="zh-CN"/>
        </w:rPr>
        <w:t>组成部分申请人</w:t>
      </w:r>
      <w:r w:rsidR="00FC2B9A" w:rsidRPr="00B403CB">
        <w:rPr>
          <w:rFonts w:ascii="宋体" w:eastAsia="宋体" w:hAnsi="宋体" w:hint="eastAsia"/>
          <w:lang w:eastAsia="zh-CN"/>
        </w:rPr>
        <w:t>”</w:t>
      </w:r>
      <w:r w:rsidRPr="00C277C0">
        <w:rPr>
          <w:rFonts w:eastAsia="宋体" w:hint="eastAsia"/>
          <w:snapToGrid w:val="0"/>
          <w:lang w:eastAsia="zh-CN"/>
        </w:rPr>
        <w:t>或</w:t>
      </w:r>
      <w:r w:rsidR="00FC2B9A" w:rsidRPr="00B403CB">
        <w:rPr>
          <w:rFonts w:ascii="宋体" w:eastAsia="宋体" w:hAnsi="宋体" w:hint="eastAsia"/>
          <w:lang w:eastAsia="zh-CN"/>
        </w:rPr>
        <w:t>“</w:t>
      </w:r>
      <w:r w:rsidRPr="00C277C0">
        <w:rPr>
          <w:rFonts w:eastAsia="宋体" w:hint="eastAsia"/>
          <w:snapToGrid w:val="0"/>
          <w:lang w:eastAsia="zh-CN"/>
        </w:rPr>
        <w:t>组合产品申请人</w:t>
      </w:r>
      <w:r w:rsidR="00FC2B9A" w:rsidRPr="00B403CB">
        <w:rPr>
          <w:rFonts w:ascii="宋体" w:eastAsia="宋体" w:hAnsi="宋体" w:hint="eastAsia"/>
          <w:lang w:eastAsia="zh-CN"/>
        </w:rPr>
        <w:t>”</w:t>
      </w:r>
      <w:r w:rsidRPr="00C277C0">
        <w:rPr>
          <w:rFonts w:eastAsia="宋体" w:hint="eastAsia"/>
          <w:snapToGrid w:val="0"/>
          <w:lang w:eastAsia="zh-CN"/>
        </w:rPr>
        <w:t>的实体才必须符合组合产品</w:t>
      </w:r>
      <w:r w:rsidRPr="00C277C0">
        <w:rPr>
          <w:rFonts w:eastAsia="宋体" w:hint="eastAsia"/>
          <w:snapToGrid w:val="0"/>
          <w:lang w:eastAsia="zh-CN"/>
        </w:rPr>
        <w:t>PSMR</w:t>
      </w:r>
      <w:r w:rsidRPr="00C277C0">
        <w:rPr>
          <w:rFonts w:eastAsia="宋体" w:hint="eastAsia"/>
          <w:snapToGrid w:val="0"/>
          <w:lang w:eastAsia="zh-CN"/>
        </w:rPr>
        <w:t>最终规则。但参与组合产品生产或营销的其他实体可能对该产品具有上市后安全性报告的义务。此类实体的报告义务如下：</w:t>
      </w:r>
      <w:r w:rsidR="003566B4" w:rsidRPr="00C277C0">
        <w:rPr>
          <w:rStyle w:val="af4"/>
          <w:rFonts w:eastAsia="宋体" w:hint="eastAsia"/>
          <w:snapToGrid w:val="0"/>
          <w:lang w:eastAsia="zh-CN"/>
        </w:rPr>
        <w:footnoteReference w:id="56"/>
      </w:r>
    </w:p>
    <w:p w:rsidR="00C1273A" w:rsidRPr="00C277C0" w:rsidRDefault="00C1273A" w:rsidP="00C1273A">
      <w:pPr>
        <w:pStyle w:val="a3"/>
        <w:autoSpaceDE/>
        <w:autoSpaceDN/>
        <w:snapToGrid w:val="0"/>
        <w:jc w:val="both"/>
        <w:rPr>
          <w:rFonts w:eastAsia="宋体"/>
          <w:snapToGrid w:val="0"/>
          <w:lang w:eastAsia="zh-CN"/>
        </w:rPr>
      </w:pPr>
    </w:p>
    <w:p w:rsidR="00C1273A" w:rsidRPr="00C277C0" w:rsidRDefault="00097329" w:rsidP="00B403CB">
      <w:pPr>
        <w:pStyle w:val="a4"/>
        <w:numPr>
          <w:ilvl w:val="0"/>
          <w:numId w:val="41"/>
        </w:numPr>
        <w:autoSpaceDE/>
        <w:autoSpaceDN/>
        <w:snapToGrid w:val="0"/>
        <w:ind w:leftChars="200" w:left="860"/>
        <w:jc w:val="both"/>
        <w:rPr>
          <w:rFonts w:eastAsia="宋体"/>
          <w:snapToGrid w:val="0"/>
          <w:sz w:val="24"/>
          <w:szCs w:val="24"/>
          <w:lang w:eastAsia="zh-CN"/>
        </w:rPr>
      </w:pPr>
      <w:r w:rsidRPr="00C277C0">
        <w:rPr>
          <w:rFonts w:eastAsia="宋体" w:hint="eastAsia"/>
          <w:snapToGrid w:val="0"/>
          <w:sz w:val="24"/>
          <w:szCs w:val="24"/>
          <w:lang w:eastAsia="zh-CN"/>
        </w:rPr>
        <w:t>在无需上市前审查且包括药物组成部分的非处方组合产品标签上列名的生产商、包装商和分销商，必须符合《</w:t>
      </w:r>
      <w:r w:rsidRPr="00C277C0">
        <w:rPr>
          <w:rFonts w:eastAsia="宋体" w:hint="eastAsia"/>
          <w:snapToGrid w:val="0"/>
          <w:sz w:val="24"/>
          <w:szCs w:val="24"/>
          <w:lang w:eastAsia="zh-CN"/>
        </w:rPr>
        <w:t>FD&amp;C</w:t>
      </w:r>
      <w:r w:rsidRPr="00C277C0">
        <w:rPr>
          <w:rFonts w:eastAsia="宋体" w:hint="eastAsia"/>
          <w:snapToGrid w:val="0"/>
          <w:sz w:val="24"/>
          <w:szCs w:val="24"/>
          <w:lang w:eastAsia="zh-CN"/>
        </w:rPr>
        <w:t>法案》（</w:t>
      </w:r>
      <w:r w:rsidRPr="00C277C0">
        <w:rPr>
          <w:rFonts w:eastAsia="宋体" w:hint="eastAsia"/>
          <w:snapToGrid w:val="0"/>
          <w:sz w:val="24"/>
          <w:szCs w:val="24"/>
          <w:lang w:eastAsia="zh-CN"/>
        </w:rPr>
        <w:t>21 U.S.C.379aa</w:t>
      </w:r>
      <w:r w:rsidRPr="00C277C0">
        <w:rPr>
          <w:rFonts w:eastAsia="宋体" w:hint="eastAsia"/>
          <w:snapToGrid w:val="0"/>
          <w:sz w:val="24"/>
          <w:szCs w:val="24"/>
          <w:lang w:eastAsia="zh-CN"/>
        </w:rPr>
        <w:t>）第</w:t>
      </w:r>
      <w:r w:rsidRPr="00C277C0">
        <w:rPr>
          <w:rFonts w:eastAsia="宋体" w:hint="eastAsia"/>
          <w:snapToGrid w:val="0"/>
          <w:sz w:val="24"/>
          <w:szCs w:val="24"/>
          <w:lang w:eastAsia="zh-CN"/>
        </w:rPr>
        <w:t>760</w:t>
      </w:r>
      <w:r w:rsidRPr="00C277C0">
        <w:rPr>
          <w:rFonts w:eastAsia="宋体" w:hint="eastAsia"/>
          <w:snapToGrid w:val="0"/>
          <w:sz w:val="24"/>
          <w:szCs w:val="24"/>
          <w:lang w:eastAsia="zh-CN"/>
        </w:rPr>
        <w:t>节所述组合产品的报告和记录保存要求。</w:t>
      </w:r>
    </w:p>
    <w:p w:rsidR="00C1273A" w:rsidRPr="00C277C0" w:rsidRDefault="00C1273A" w:rsidP="009C4D9B">
      <w:pPr>
        <w:pStyle w:val="a4"/>
        <w:autoSpaceDE/>
        <w:autoSpaceDN/>
        <w:snapToGrid w:val="0"/>
        <w:ind w:left="860" w:firstLine="0"/>
        <w:jc w:val="both"/>
        <w:rPr>
          <w:rFonts w:eastAsia="宋体"/>
          <w:snapToGrid w:val="0"/>
          <w:sz w:val="24"/>
          <w:szCs w:val="24"/>
          <w:lang w:eastAsia="zh-CN"/>
        </w:rPr>
      </w:pPr>
    </w:p>
    <w:p w:rsidR="00C1273A" w:rsidRPr="00C277C0" w:rsidRDefault="00097329" w:rsidP="00B403CB">
      <w:pPr>
        <w:pStyle w:val="a4"/>
        <w:numPr>
          <w:ilvl w:val="0"/>
          <w:numId w:val="41"/>
        </w:numPr>
        <w:autoSpaceDE/>
        <w:autoSpaceDN/>
        <w:snapToGrid w:val="0"/>
        <w:ind w:leftChars="200" w:left="860"/>
        <w:jc w:val="both"/>
        <w:rPr>
          <w:rFonts w:eastAsia="宋体"/>
          <w:snapToGrid w:val="0"/>
          <w:sz w:val="24"/>
          <w:szCs w:val="24"/>
          <w:lang w:eastAsia="zh-CN"/>
        </w:rPr>
      </w:pPr>
      <w:r w:rsidRPr="00C277C0">
        <w:rPr>
          <w:rFonts w:eastAsia="宋体" w:hint="eastAsia"/>
          <w:snapToGrid w:val="0"/>
          <w:sz w:val="24"/>
          <w:szCs w:val="24"/>
          <w:lang w:eastAsia="zh-CN"/>
        </w:rPr>
        <w:t>在含有药品或生物制品组成部分的组合产品标签上列名的生产商、包装商或经销商的非申请人必须符合</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314.80</w:t>
      </w:r>
      <w:r w:rsidRPr="00C277C0">
        <w:rPr>
          <w:rFonts w:eastAsia="宋体" w:hint="eastAsia"/>
          <w:snapToGrid w:val="0"/>
          <w:sz w:val="24"/>
          <w:szCs w:val="24"/>
          <w:lang w:eastAsia="zh-CN"/>
        </w:rPr>
        <w:t>和</w:t>
      </w:r>
      <w:r w:rsidRPr="00C277C0">
        <w:rPr>
          <w:rFonts w:eastAsia="宋体" w:hint="eastAsia"/>
          <w:snapToGrid w:val="0"/>
          <w:sz w:val="24"/>
          <w:szCs w:val="24"/>
          <w:lang w:eastAsia="zh-CN"/>
        </w:rPr>
        <w:t>600.80</w:t>
      </w:r>
      <w:r w:rsidR="00575EA0">
        <w:rPr>
          <w:rFonts w:eastAsia="宋体" w:hint="eastAsia"/>
          <w:snapToGrid w:val="0"/>
          <w:sz w:val="24"/>
          <w:szCs w:val="24"/>
          <w:lang w:eastAsia="zh-CN"/>
        </w:rPr>
        <w:t>节</w:t>
      </w:r>
      <w:r w:rsidRPr="00C277C0">
        <w:rPr>
          <w:rFonts w:eastAsia="宋体" w:hint="eastAsia"/>
          <w:snapToGrid w:val="0"/>
          <w:sz w:val="24"/>
          <w:szCs w:val="24"/>
          <w:lang w:eastAsia="zh-CN"/>
        </w:rPr>
        <w:t>所述报告要求（如适用）。</w:t>
      </w:r>
    </w:p>
    <w:p w:rsidR="00C1273A" w:rsidRPr="00C277C0" w:rsidRDefault="00C1273A" w:rsidP="009C4D9B">
      <w:pPr>
        <w:pStyle w:val="a4"/>
        <w:autoSpaceDE/>
        <w:autoSpaceDN/>
        <w:snapToGrid w:val="0"/>
        <w:ind w:left="860" w:firstLine="0"/>
        <w:jc w:val="both"/>
        <w:rPr>
          <w:rFonts w:eastAsia="宋体"/>
          <w:snapToGrid w:val="0"/>
          <w:sz w:val="24"/>
          <w:szCs w:val="24"/>
          <w:lang w:eastAsia="zh-CN"/>
        </w:rPr>
      </w:pPr>
    </w:p>
    <w:p w:rsidR="00C1273A" w:rsidRPr="00C277C0" w:rsidRDefault="00097329" w:rsidP="00B403CB">
      <w:pPr>
        <w:pStyle w:val="a4"/>
        <w:numPr>
          <w:ilvl w:val="0"/>
          <w:numId w:val="41"/>
        </w:numPr>
        <w:autoSpaceDE/>
        <w:autoSpaceDN/>
        <w:snapToGrid w:val="0"/>
        <w:ind w:leftChars="200" w:left="860"/>
        <w:jc w:val="both"/>
        <w:rPr>
          <w:rFonts w:eastAsia="宋体"/>
          <w:snapToGrid w:val="0"/>
          <w:sz w:val="24"/>
          <w:szCs w:val="24"/>
          <w:lang w:eastAsia="zh-CN"/>
        </w:rPr>
      </w:pPr>
      <w:r w:rsidRPr="00C277C0">
        <w:rPr>
          <w:rFonts w:eastAsia="宋体" w:hint="eastAsia"/>
          <w:snapToGrid w:val="0"/>
          <w:sz w:val="24"/>
          <w:szCs w:val="24"/>
          <w:lang w:eastAsia="zh-CN"/>
        </w:rPr>
        <w:t>包含药品组成部分、未批准的处方组合产品的生产商、包装商和分销商必须按照</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310.305</w:t>
      </w:r>
      <w:r w:rsidR="00575EA0">
        <w:rPr>
          <w:rFonts w:eastAsia="宋体" w:hint="eastAsia"/>
          <w:snapToGrid w:val="0"/>
          <w:sz w:val="24"/>
          <w:szCs w:val="24"/>
          <w:lang w:eastAsia="zh-CN"/>
        </w:rPr>
        <w:t>节</w:t>
      </w:r>
      <w:r w:rsidRPr="00C277C0">
        <w:rPr>
          <w:rFonts w:eastAsia="宋体" w:hint="eastAsia"/>
          <w:snapToGrid w:val="0"/>
          <w:sz w:val="24"/>
          <w:szCs w:val="24"/>
          <w:lang w:eastAsia="zh-CN"/>
        </w:rPr>
        <w:t>所述报告和维护组合产品的记录；如</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310.305</w:t>
      </w:r>
      <w:r w:rsidRPr="00C277C0">
        <w:rPr>
          <w:rFonts w:eastAsia="宋体" w:hint="eastAsia"/>
          <w:snapToGrid w:val="0"/>
          <w:sz w:val="24"/>
          <w:szCs w:val="24"/>
          <w:lang w:eastAsia="zh-CN"/>
        </w:rPr>
        <w:t>（</w:t>
      </w:r>
      <w:r w:rsidRPr="00C277C0">
        <w:rPr>
          <w:rFonts w:eastAsia="宋体" w:hint="eastAsia"/>
          <w:snapToGrid w:val="0"/>
          <w:sz w:val="24"/>
          <w:szCs w:val="24"/>
          <w:lang w:eastAsia="zh-CN"/>
        </w:rPr>
        <w:t>c</w:t>
      </w:r>
      <w:r w:rsidRPr="00C277C0">
        <w:rPr>
          <w:rFonts w:eastAsia="宋体" w:hint="eastAsia"/>
          <w:snapToGrid w:val="0"/>
          <w:sz w:val="24"/>
          <w:szCs w:val="24"/>
          <w:lang w:eastAsia="zh-CN"/>
        </w:rPr>
        <w:t>）（</w:t>
      </w:r>
      <w:r w:rsidRPr="00C277C0">
        <w:rPr>
          <w:rFonts w:eastAsia="宋体" w:hint="eastAsia"/>
          <w:snapToGrid w:val="0"/>
          <w:sz w:val="24"/>
          <w:szCs w:val="24"/>
          <w:lang w:eastAsia="zh-CN"/>
        </w:rPr>
        <w:t>3</w:t>
      </w:r>
      <w:r w:rsidRPr="00C277C0">
        <w:rPr>
          <w:rFonts w:eastAsia="宋体" w:hint="eastAsia"/>
          <w:snapToGrid w:val="0"/>
          <w:sz w:val="24"/>
          <w:szCs w:val="24"/>
          <w:lang w:eastAsia="zh-CN"/>
        </w:rPr>
        <w:t>）</w:t>
      </w:r>
      <w:r w:rsidR="00575EA0">
        <w:rPr>
          <w:rFonts w:eastAsia="宋体" w:hint="eastAsia"/>
          <w:snapToGrid w:val="0"/>
          <w:sz w:val="24"/>
          <w:szCs w:val="24"/>
          <w:lang w:eastAsia="zh-CN"/>
        </w:rPr>
        <w:t>节</w:t>
      </w:r>
      <w:r w:rsidRPr="00C277C0">
        <w:rPr>
          <w:rFonts w:eastAsia="宋体" w:hint="eastAsia"/>
          <w:snapToGrid w:val="0"/>
          <w:sz w:val="24"/>
          <w:szCs w:val="24"/>
          <w:lang w:eastAsia="zh-CN"/>
        </w:rPr>
        <w:t>所述，包装商和分销商可通过收到信息后</w:t>
      </w:r>
      <w:r w:rsidRPr="00C277C0">
        <w:rPr>
          <w:rFonts w:eastAsia="宋体" w:hint="eastAsia"/>
          <w:snapToGrid w:val="0"/>
          <w:sz w:val="24"/>
          <w:szCs w:val="24"/>
          <w:lang w:eastAsia="zh-CN"/>
        </w:rPr>
        <w:t>5</w:t>
      </w:r>
      <w:r w:rsidRPr="00C277C0">
        <w:rPr>
          <w:rFonts w:eastAsia="宋体" w:hint="eastAsia"/>
          <w:snapToGrid w:val="0"/>
          <w:sz w:val="24"/>
          <w:szCs w:val="24"/>
          <w:lang w:eastAsia="zh-CN"/>
        </w:rPr>
        <w:t>天内向组合产品生产商报告并保存这些报告的记录</w:t>
      </w:r>
      <w:r w:rsidR="00F66787" w:rsidRPr="00C277C0">
        <w:rPr>
          <w:rFonts w:eastAsia="宋体" w:hint="eastAsia"/>
          <w:snapToGrid w:val="0"/>
          <w:sz w:val="24"/>
          <w:szCs w:val="24"/>
          <w:lang w:eastAsia="zh-CN"/>
        </w:rPr>
        <w:t>以</w:t>
      </w:r>
      <w:r w:rsidRPr="00C277C0">
        <w:rPr>
          <w:rFonts w:eastAsia="宋体" w:hint="eastAsia"/>
          <w:snapToGrid w:val="0"/>
          <w:sz w:val="24"/>
          <w:szCs w:val="24"/>
          <w:lang w:eastAsia="zh-CN"/>
        </w:rPr>
        <w:t>符合这些要求。</w:t>
      </w:r>
    </w:p>
    <w:p w:rsidR="00C1273A" w:rsidRPr="00C277C0" w:rsidRDefault="00C1273A" w:rsidP="009C4D9B">
      <w:pPr>
        <w:pStyle w:val="a4"/>
        <w:autoSpaceDE/>
        <w:autoSpaceDN/>
        <w:snapToGrid w:val="0"/>
        <w:ind w:left="860" w:firstLine="0"/>
        <w:jc w:val="both"/>
        <w:rPr>
          <w:rFonts w:eastAsia="宋体"/>
          <w:snapToGrid w:val="0"/>
          <w:sz w:val="24"/>
          <w:szCs w:val="24"/>
          <w:lang w:eastAsia="zh-CN"/>
        </w:rPr>
      </w:pPr>
    </w:p>
    <w:p w:rsidR="00C1273A" w:rsidRPr="00C277C0" w:rsidRDefault="00097329" w:rsidP="00B403CB">
      <w:pPr>
        <w:pStyle w:val="a4"/>
        <w:numPr>
          <w:ilvl w:val="0"/>
          <w:numId w:val="41"/>
        </w:numPr>
        <w:autoSpaceDE/>
        <w:autoSpaceDN/>
        <w:snapToGrid w:val="0"/>
        <w:ind w:leftChars="200" w:left="860"/>
        <w:jc w:val="both"/>
        <w:rPr>
          <w:rFonts w:eastAsia="宋体"/>
          <w:snapToGrid w:val="0"/>
          <w:sz w:val="24"/>
          <w:szCs w:val="24"/>
          <w:lang w:eastAsia="zh-CN"/>
        </w:rPr>
      </w:pPr>
      <w:r w:rsidRPr="00C277C0">
        <w:rPr>
          <w:rFonts w:eastAsia="宋体" w:hint="eastAsia"/>
          <w:snapToGrid w:val="0"/>
          <w:sz w:val="24"/>
          <w:szCs w:val="24"/>
          <w:lang w:eastAsia="zh-CN"/>
        </w:rPr>
        <w:t>包含器械组成部分的组合产品的生产商、进口商和用户设施（</w:t>
      </w:r>
      <w:r w:rsidR="008013CF">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803.3</w:t>
      </w:r>
      <w:r w:rsidR="00575EA0">
        <w:rPr>
          <w:rFonts w:eastAsia="宋体" w:hint="eastAsia"/>
          <w:snapToGrid w:val="0"/>
          <w:sz w:val="24"/>
          <w:szCs w:val="24"/>
          <w:lang w:eastAsia="zh-CN"/>
        </w:rPr>
        <w:t>节</w:t>
      </w:r>
      <w:r w:rsidRPr="00C277C0">
        <w:rPr>
          <w:rFonts w:eastAsia="宋体" w:hint="eastAsia"/>
          <w:snapToGrid w:val="0"/>
          <w:sz w:val="24"/>
          <w:szCs w:val="24"/>
          <w:lang w:eastAsia="zh-CN"/>
        </w:rPr>
        <w:t>中的定义），无论是否接受上市前审查，都必须符合</w:t>
      </w:r>
      <w:r w:rsidR="007267DD" w:rsidRPr="00C277C0">
        <w:rPr>
          <w:rFonts w:eastAsia="宋体" w:hint="eastAsia"/>
          <w:snapToGrid w:val="0"/>
          <w:sz w:val="24"/>
          <w:szCs w:val="24"/>
          <w:lang w:eastAsia="zh-CN"/>
        </w:rPr>
        <w:t>《美国联邦法规》</w:t>
      </w:r>
      <w:r w:rsidRPr="00C277C0">
        <w:rPr>
          <w:rFonts w:eastAsia="宋体" w:hint="eastAsia"/>
          <w:snapToGrid w:val="0"/>
          <w:sz w:val="24"/>
          <w:szCs w:val="24"/>
          <w:lang w:eastAsia="zh-CN"/>
        </w:rPr>
        <w:t>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803</w:t>
      </w:r>
      <w:r w:rsidR="00575EA0">
        <w:rPr>
          <w:rFonts w:eastAsia="宋体" w:hint="eastAsia"/>
          <w:snapToGrid w:val="0"/>
          <w:sz w:val="24"/>
          <w:szCs w:val="24"/>
          <w:lang w:eastAsia="zh-CN"/>
        </w:rPr>
        <w:t>节</w:t>
      </w:r>
      <w:r w:rsidRPr="00C277C0">
        <w:rPr>
          <w:rFonts w:eastAsia="宋体" w:hint="eastAsia"/>
          <w:snapToGrid w:val="0"/>
          <w:sz w:val="24"/>
          <w:szCs w:val="24"/>
          <w:lang w:eastAsia="zh-CN"/>
        </w:rPr>
        <w:t>中适用于组合产品的要求，并可寻求</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803.19</w:t>
      </w:r>
      <w:r w:rsidR="00FC2B9A" w:rsidRPr="00C277C0">
        <w:rPr>
          <w:rFonts w:eastAsia="宋体" w:hint="eastAsia"/>
          <w:snapToGrid w:val="0"/>
          <w:sz w:val="24"/>
          <w:szCs w:val="24"/>
          <w:lang w:eastAsia="zh-CN"/>
        </w:rPr>
        <w:t>（</w:t>
      </w:r>
      <w:r w:rsidRPr="00C277C0">
        <w:rPr>
          <w:rFonts w:eastAsia="宋体" w:hint="eastAsia"/>
          <w:snapToGrid w:val="0"/>
          <w:sz w:val="24"/>
          <w:szCs w:val="24"/>
          <w:lang w:eastAsia="zh-CN"/>
        </w:rPr>
        <w:t>b</w:t>
      </w:r>
      <w:r w:rsidR="00FC2B9A" w:rsidRPr="00C277C0">
        <w:rPr>
          <w:rFonts w:eastAsia="宋体" w:hint="eastAsia"/>
          <w:snapToGrid w:val="0"/>
          <w:sz w:val="24"/>
          <w:szCs w:val="24"/>
          <w:lang w:eastAsia="zh-CN"/>
        </w:rPr>
        <w:t>）</w:t>
      </w:r>
      <w:r w:rsidR="00575EA0">
        <w:rPr>
          <w:rFonts w:eastAsia="宋体" w:hint="eastAsia"/>
          <w:snapToGrid w:val="0"/>
          <w:sz w:val="24"/>
          <w:szCs w:val="24"/>
          <w:lang w:eastAsia="zh-CN"/>
        </w:rPr>
        <w:t>节</w:t>
      </w:r>
      <w:r w:rsidRPr="00C277C0">
        <w:rPr>
          <w:rFonts w:eastAsia="宋体" w:hint="eastAsia"/>
          <w:snapToGrid w:val="0"/>
          <w:sz w:val="24"/>
          <w:szCs w:val="24"/>
          <w:lang w:eastAsia="zh-CN"/>
        </w:rPr>
        <w:t>中这些要求的豁免、变动或替代方法（例如，若该产品有组合产品申请人，则受</w:t>
      </w:r>
      <w:r w:rsidR="007267DD" w:rsidRPr="00C277C0">
        <w:rPr>
          <w:rFonts w:eastAsia="宋体" w:hint="eastAsia"/>
          <w:snapToGrid w:val="0"/>
          <w:sz w:val="24"/>
          <w:szCs w:val="24"/>
          <w:lang w:eastAsia="zh-CN"/>
        </w:rPr>
        <w:t>《美国联邦法规》</w:t>
      </w:r>
      <w:r w:rsidRPr="00C277C0">
        <w:rPr>
          <w:rFonts w:eastAsia="宋体" w:hint="eastAsia"/>
          <w:snapToGrid w:val="0"/>
          <w:sz w:val="24"/>
          <w:szCs w:val="24"/>
          <w:lang w:eastAsia="zh-CN"/>
        </w:rPr>
        <w:t>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803</w:t>
      </w:r>
      <w:r w:rsidR="00575EA0">
        <w:rPr>
          <w:rFonts w:eastAsia="宋体" w:hint="eastAsia"/>
          <w:snapToGrid w:val="0"/>
          <w:sz w:val="24"/>
          <w:szCs w:val="24"/>
          <w:lang w:eastAsia="zh-CN"/>
        </w:rPr>
        <w:t>节</w:t>
      </w:r>
      <w:r w:rsidRPr="00C277C0">
        <w:rPr>
          <w:rFonts w:eastAsia="宋体" w:hint="eastAsia"/>
          <w:snapToGrid w:val="0"/>
          <w:sz w:val="24"/>
          <w:szCs w:val="24"/>
          <w:lang w:eastAsia="zh-CN"/>
        </w:rPr>
        <w:t>约束的其他此类实体如果选择向组合产品申请人报告，则可寻求免于向</w:t>
      </w:r>
      <w:r w:rsidRPr="00C277C0">
        <w:rPr>
          <w:rFonts w:eastAsia="宋体" w:hint="eastAsia"/>
          <w:snapToGrid w:val="0"/>
          <w:sz w:val="24"/>
          <w:szCs w:val="24"/>
          <w:lang w:eastAsia="zh-CN"/>
        </w:rPr>
        <w:t>FDA</w:t>
      </w:r>
      <w:r w:rsidRPr="00C277C0">
        <w:rPr>
          <w:rFonts w:eastAsia="宋体" w:hint="eastAsia"/>
          <w:snapToGrid w:val="0"/>
          <w:sz w:val="24"/>
          <w:szCs w:val="24"/>
          <w:lang w:eastAsia="zh-CN"/>
        </w:rPr>
        <w:t>报告）。</w:t>
      </w:r>
    </w:p>
    <w:p w:rsidR="00C1273A" w:rsidRPr="00C277C0" w:rsidRDefault="00C1273A" w:rsidP="009C4D9B">
      <w:pPr>
        <w:pStyle w:val="a4"/>
        <w:autoSpaceDE/>
        <w:autoSpaceDN/>
        <w:snapToGrid w:val="0"/>
        <w:ind w:left="860" w:firstLine="0"/>
        <w:jc w:val="both"/>
        <w:rPr>
          <w:rFonts w:eastAsia="宋体"/>
          <w:snapToGrid w:val="0"/>
          <w:sz w:val="24"/>
          <w:szCs w:val="24"/>
          <w:lang w:eastAsia="zh-CN"/>
        </w:rPr>
      </w:pPr>
    </w:p>
    <w:p w:rsidR="003F7123" w:rsidRPr="00B403CB" w:rsidRDefault="00097329" w:rsidP="00B403CB">
      <w:pPr>
        <w:pStyle w:val="a4"/>
        <w:numPr>
          <w:ilvl w:val="0"/>
          <w:numId w:val="41"/>
        </w:numPr>
        <w:autoSpaceDE/>
        <w:autoSpaceDN/>
        <w:snapToGrid w:val="0"/>
        <w:ind w:leftChars="200" w:left="860"/>
        <w:jc w:val="both"/>
        <w:rPr>
          <w:rFonts w:eastAsia="宋体"/>
          <w:sz w:val="24"/>
          <w:lang w:eastAsia="zh-CN"/>
        </w:rPr>
      </w:pPr>
      <w:r w:rsidRPr="00C277C0">
        <w:rPr>
          <w:rFonts w:eastAsia="宋体" w:hint="eastAsia"/>
          <w:snapToGrid w:val="0"/>
          <w:sz w:val="24"/>
          <w:szCs w:val="24"/>
          <w:lang w:eastAsia="zh-CN"/>
        </w:rPr>
        <w:t>包含器械组成部分的组合产品生产商和进口商（</w:t>
      </w:r>
      <w:r w:rsidR="008013CF">
        <w:rPr>
          <w:rFonts w:eastAsia="宋体" w:hint="eastAsia"/>
          <w:snapToGrid w:val="0"/>
          <w:sz w:val="24"/>
          <w:szCs w:val="24"/>
          <w:lang w:eastAsia="zh-CN"/>
        </w:rPr>
        <w:t>参</w:t>
      </w:r>
      <w:r w:rsidRPr="00C277C0">
        <w:rPr>
          <w:rFonts w:eastAsia="宋体" w:hint="eastAsia"/>
          <w:snapToGrid w:val="0"/>
          <w:sz w:val="24"/>
          <w:szCs w:val="24"/>
          <w:lang w:eastAsia="zh-CN"/>
        </w:rPr>
        <w:t>见</w:t>
      </w:r>
      <w:r w:rsidR="007267DD" w:rsidRPr="00C277C0">
        <w:rPr>
          <w:rFonts w:eastAsia="宋体" w:hint="eastAsia"/>
          <w:snapToGrid w:val="0"/>
          <w:sz w:val="24"/>
          <w:szCs w:val="24"/>
          <w:lang w:eastAsia="zh-CN"/>
        </w:rPr>
        <w:t>《美国联邦法规》第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806.2</w:t>
      </w:r>
      <w:r w:rsidR="00575EA0">
        <w:rPr>
          <w:rFonts w:eastAsia="宋体" w:hint="eastAsia"/>
          <w:snapToGrid w:val="0"/>
          <w:sz w:val="24"/>
          <w:szCs w:val="24"/>
          <w:lang w:eastAsia="zh-CN"/>
        </w:rPr>
        <w:t>节</w:t>
      </w:r>
      <w:r w:rsidRPr="00C277C0">
        <w:rPr>
          <w:rFonts w:eastAsia="宋体" w:hint="eastAsia"/>
          <w:snapToGrid w:val="0"/>
          <w:sz w:val="24"/>
          <w:szCs w:val="24"/>
          <w:lang w:eastAsia="zh-CN"/>
        </w:rPr>
        <w:t>中的定义）必须符合</w:t>
      </w:r>
      <w:r w:rsidR="007267DD" w:rsidRPr="00C277C0">
        <w:rPr>
          <w:rFonts w:eastAsia="宋体" w:hint="eastAsia"/>
          <w:snapToGrid w:val="0"/>
          <w:sz w:val="24"/>
          <w:szCs w:val="24"/>
          <w:lang w:eastAsia="zh-CN"/>
        </w:rPr>
        <w:t>《美国联邦法规》</w:t>
      </w:r>
      <w:r w:rsidRPr="00C277C0">
        <w:rPr>
          <w:rFonts w:eastAsia="宋体" w:hint="eastAsia"/>
          <w:snapToGrid w:val="0"/>
          <w:sz w:val="24"/>
          <w:szCs w:val="24"/>
          <w:lang w:eastAsia="zh-CN"/>
        </w:rPr>
        <w:t>第</w:t>
      </w:r>
      <w:r w:rsidR="00286DB1">
        <w:rPr>
          <w:rFonts w:eastAsia="宋体" w:hint="eastAsia"/>
          <w:snapToGrid w:val="0"/>
          <w:sz w:val="24"/>
          <w:szCs w:val="24"/>
          <w:lang w:eastAsia="zh-CN"/>
        </w:rPr>
        <w:t>21</w:t>
      </w:r>
      <w:r w:rsidR="00286DB1">
        <w:rPr>
          <w:rFonts w:eastAsia="宋体" w:hint="eastAsia"/>
          <w:snapToGrid w:val="0"/>
          <w:sz w:val="24"/>
          <w:szCs w:val="24"/>
          <w:lang w:eastAsia="zh-CN"/>
        </w:rPr>
        <w:t>篇</w:t>
      </w:r>
      <w:r w:rsidR="00AE0101" w:rsidRPr="00C277C0">
        <w:rPr>
          <w:rFonts w:eastAsia="宋体" w:hint="eastAsia"/>
          <w:snapToGrid w:val="0"/>
          <w:sz w:val="24"/>
          <w:szCs w:val="24"/>
          <w:lang w:eastAsia="zh-CN"/>
        </w:rPr>
        <w:t>第</w:t>
      </w:r>
      <w:r w:rsidRPr="00C277C0">
        <w:rPr>
          <w:rFonts w:eastAsia="宋体" w:hint="eastAsia"/>
          <w:snapToGrid w:val="0"/>
          <w:sz w:val="24"/>
          <w:szCs w:val="24"/>
          <w:lang w:eastAsia="zh-CN"/>
        </w:rPr>
        <w:t>806</w:t>
      </w:r>
      <w:r w:rsidR="00C55B83" w:rsidRPr="00C277C0">
        <w:rPr>
          <w:rFonts w:eastAsia="宋体" w:hint="eastAsia"/>
          <w:snapToGrid w:val="0"/>
          <w:sz w:val="24"/>
          <w:szCs w:val="24"/>
          <w:lang w:eastAsia="zh-CN"/>
        </w:rPr>
        <w:t>节</w:t>
      </w:r>
      <w:r w:rsidRPr="00C277C0">
        <w:rPr>
          <w:rFonts w:eastAsia="宋体" w:hint="eastAsia"/>
          <w:snapToGrid w:val="0"/>
          <w:sz w:val="24"/>
          <w:szCs w:val="24"/>
          <w:lang w:eastAsia="zh-CN"/>
        </w:rPr>
        <w:t>所述组合产品要求</w:t>
      </w:r>
      <w:r w:rsidRPr="00B403CB">
        <w:rPr>
          <w:rFonts w:eastAsia="宋体" w:hint="eastAsia"/>
          <w:sz w:val="24"/>
          <w:lang w:eastAsia="zh-CN"/>
        </w:rPr>
        <w:t>。</w:t>
      </w:r>
    </w:p>
    <w:p w:rsidR="00C1273A" w:rsidRPr="00C277C0" w:rsidRDefault="0005588D" w:rsidP="00B403CB">
      <w:pPr>
        <w:pStyle w:val="a4"/>
        <w:autoSpaceDE/>
        <w:autoSpaceDN/>
        <w:snapToGrid w:val="0"/>
        <w:ind w:left="860" w:firstLine="0"/>
        <w:jc w:val="both"/>
        <w:rPr>
          <w:rFonts w:eastAsia="宋体"/>
          <w:snapToGrid w:val="0"/>
          <w:sz w:val="24"/>
          <w:szCs w:val="24"/>
          <w:lang w:eastAsia="zh-CN"/>
        </w:rPr>
      </w:pPr>
      <w:r w:rsidRPr="00B403CB">
        <w:rPr>
          <w:rFonts w:eastAsia="宋体"/>
          <w:sz w:val="24"/>
          <w:lang w:eastAsia="zh-CN"/>
        </w:rPr>
        <w:br w:type="page"/>
      </w:r>
    </w:p>
    <w:p w:rsidR="00C1273A" w:rsidRPr="00C277C0" w:rsidRDefault="00097329" w:rsidP="00FE2212">
      <w:pPr>
        <w:pStyle w:val="a3"/>
        <w:autoSpaceDE/>
        <w:autoSpaceDN/>
        <w:snapToGrid w:val="0"/>
        <w:ind w:firstLineChars="200" w:firstLine="480"/>
        <w:jc w:val="both"/>
        <w:rPr>
          <w:rFonts w:eastAsia="宋体"/>
          <w:snapToGrid w:val="0"/>
          <w:lang w:eastAsia="zh-CN"/>
        </w:rPr>
      </w:pPr>
      <w:r w:rsidRPr="00C277C0">
        <w:rPr>
          <w:rFonts w:eastAsia="宋体" w:hint="eastAsia"/>
          <w:snapToGrid w:val="0"/>
          <w:lang w:eastAsia="zh-CN"/>
        </w:rPr>
        <w:t>如果您是此类实体，您应将产品明确为组合产品（如果按照适用法规要求，您</w:t>
      </w:r>
      <w:r w:rsidRPr="00B403CB">
        <w:rPr>
          <w:rFonts w:eastAsia="宋体" w:hint="eastAsia"/>
          <w:lang w:eastAsia="zh-CN"/>
        </w:rPr>
        <w:t>必须</w:t>
      </w:r>
      <w:r w:rsidRPr="00C277C0">
        <w:rPr>
          <w:rFonts w:eastAsia="宋体" w:hint="eastAsia"/>
          <w:snapToGrid w:val="0"/>
          <w:lang w:eastAsia="zh-CN"/>
        </w:rPr>
        <w:t>将产品明确为组合产品），并基于您可获得的信息，提供与组合产品相关事件的完整讨论，包括每个组成部分（视情况而定）。对这些报告要求有疑问的实体应根据需要联系牵头中心或</w:t>
      </w:r>
      <w:r w:rsidRPr="00C277C0">
        <w:rPr>
          <w:rFonts w:eastAsia="宋体" w:hint="eastAsia"/>
          <w:snapToGrid w:val="0"/>
          <w:lang w:eastAsia="zh-CN"/>
        </w:rPr>
        <w:t>OCP</w:t>
      </w:r>
      <w:r w:rsidRPr="00C277C0">
        <w:rPr>
          <w:rFonts w:eastAsia="宋体" w:hint="eastAsia"/>
          <w:snapToGrid w:val="0"/>
          <w:lang w:eastAsia="zh-CN"/>
        </w:rPr>
        <w:t>。</w:t>
      </w:r>
    </w:p>
    <w:p w:rsidR="00D83601" w:rsidRPr="00C277C0" w:rsidRDefault="00D83601" w:rsidP="00B403CB">
      <w:pPr>
        <w:pStyle w:val="a3"/>
        <w:autoSpaceDE/>
        <w:autoSpaceDN/>
        <w:snapToGrid w:val="0"/>
        <w:jc w:val="both"/>
        <w:rPr>
          <w:rFonts w:eastAsia="宋体"/>
          <w:snapToGrid w:val="0"/>
          <w:lang w:eastAsia="zh-CN"/>
        </w:rPr>
      </w:pPr>
    </w:p>
    <w:sectPr w:rsidR="00D83601" w:rsidRPr="00C277C0" w:rsidSect="00B403CB">
      <w:footerReference w:type="default" r:id="rId36"/>
      <w:pgSz w:w="11907" w:h="16840" w:code="9"/>
      <w:pgMar w:top="1134" w:right="1134" w:bottom="1134" w:left="1418" w:header="567" w:footer="567" w:gutter="0"/>
      <w:pgNumType w:start="4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44D" w:rsidRDefault="0044544D">
      <w:r>
        <w:separator/>
      </w:r>
    </w:p>
  </w:endnote>
  <w:endnote w:type="continuationSeparator" w:id="0">
    <w:p w:rsidR="0044544D" w:rsidRDefault="0044544D">
      <w:r>
        <w:continuationSeparator/>
      </w:r>
    </w:p>
  </w:endnote>
  <w:endnote w:type="continuationNotice" w:id="1">
    <w:p w:rsidR="0044544D" w:rsidRDefault="00445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4D" w:rsidRPr="005637AD" w:rsidRDefault="0044544D" w:rsidP="00097329">
    <w:pPr>
      <w:pStyle w:val="a7"/>
      <w:jc w:val="center"/>
      <w:rPr>
        <w:rFonts w:eastAsia="宋体"/>
        <w:sz w:val="21"/>
      </w:rPr>
    </w:pPr>
    <w:r w:rsidRPr="00D434DC">
      <w:rPr>
        <w:vanish/>
        <w:sz w:val="21"/>
      </w:rPr>
      <w:fldChar w:fldCharType="begin"/>
    </w:r>
    <w:r w:rsidRPr="00D434DC">
      <w:rPr>
        <w:vanish/>
        <w:sz w:val="21"/>
      </w:rPr>
      <w:instrText>PAGE   \* MERGEFORMAT</w:instrText>
    </w:r>
    <w:r w:rsidRPr="00D434DC">
      <w:rPr>
        <w:vanish/>
        <w:sz w:val="21"/>
      </w:rPr>
      <w:fldChar w:fldCharType="separate"/>
    </w:r>
    <w:r w:rsidR="00732B85" w:rsidRPr="00732B85">
      <w:rPr>
        <w:rFonts w:eastAsia="宋体"/>
        <w:noProof/>
        <w:sz w:val="21"/>
        <w:lang w:val="zh-CN" w:eastAsia="zh-CN"/>
      </w:rPr>
      <w:t>27</w:t>
    </w:r>
    <w:r w:rsidRPr="00D434DC">
      <w:rPr>
        <w:vanish/>
        <w:sz w:val="21"/>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4D" w:rsidRPr="005637AD" w:rsidRDefault="0044544D" w:rsidP="00097329">
    <w:pPr>
      <w:pStyle w:val="a7"/>
      <w:jc w:val="center"/>
      <w:rPr>
        <w:rFonts w:eastAsia="宋体"/>
        <w:sz w:val="21"/>
      </w:rPr>
    </w:pPr>
    <w:r w:rsidRPr="00097329">
      <w:rPr>
        <w:sz w:val="21"/>
      </w:rPr>
      <w:fldChar w:fldCharType="begin"/>
    </w:r>
    <w:r w:rsidRPr="00097329">
      <w:rPr>
        <w:sz w:val="21"/>
      </w:rPr>
      <w:instrText>PAGE   \* MERGEFORMAT</w:instrText>
    </w:r>
    <w:r w:rsidRPr="00097329">
      <w:rPr>
        <w:sz w:val="21"/>
      </w:rPr>
      <w:fldChar w:fldCharType="separate"/>
    </w:r>
    <w:r w:rsidR="00732B85" w:rsidRPr="00732B85">
      <w:rPr>
        <w:rFonts w:eastAsia="宋体"/>
        <w:noProof/>
        <w:sz w:val="21"/>
        <w:lang w:val="zh-CN" w:eastAsia="zh-CN"/>
      </w:rPr>
      <w:t>39</w:t>
    </w:r>
    <w:r w:rsidRPr="00097329">
      <w:rPr>
        <w:sz w:val="21"/>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4D" w:rsidRPr="005637AD" w:rsidRDefault="0044544D" w:rsidP="00097329">
    <w:pPr>
      <w:pStyle w:val="a7"/>
      <w:jc w:val="center"/>
      <w:rPr>
        <w:rFonts w:eastAsia="宋体"/>
        <w:sz w:val="21"/>
      </w:rPr>
    </w:pPr>
    <w:r w:rsidRPr="00D434DC">
      <w:rPr>
        <w:vanish/>
        <w:sz w:val="21"/>
      </w:rPr>
      <w:fldChar w:fldCharType="begin"/>
    </w:r>
    <w:r w:rsidRPr="00D434DC">
      <w:rPr>
        <w:vanish/>
        <w:sz w:val="21"/>
      </w:rPr>
      <w:instrText>PAGE   \* MERGEFORMAT</w:instrText>
    </w:r>
    <w:r w:rsidRPr="00D434DC">
      <w:rPr>
        <w:vanish/>
        <w:sz w:val="21"/>
      </w:rPr>
      <w:fldChar w:fldCharType="separate"/>
    </w:r>
    <w:r w:rsidR="00732B85" w:rsidRPr="00732B85">
      <w:rPr>
        <w:rFonts w:eastAsia="宋体"/>
        <w:noProof/>
        <w:sz w:val="21"/>
        <w:lang w:val="zh-CN" w:eastAsia="zh-CN"/>
      </w:rPr>
      <w:t>40</w:t>
    </w:r>
    <w:r w:rsidRPr="00D434DC">
      <w:rPr>
        <w:vanish/>
        <w:sz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44D" w:rsidRDefault="0044544D">
      <w:r>
        <w:separator/>
      </w:r>
    </w:p>
  </w:footnote>
  <w:footnote w:type="continuationSeparator" w:id="0">
    <w:p w:rsidR="0044544D" w:rsidRDefault="0044544D">
      <w:r>
        <w:continuationSeparator/>
      </w:r>
    </w:p>
  </w:footnote>
  <w:footnote w:type="continuationNotice" w:id="1">
    <w:p w:rsidR="0044544D" w:rsidRDefault="0044544D"/>
  </w:footnote>
  <w:footnote w:id="2">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FE2212">
        <w:rPr>
          <w:rFonts w:eastAsia="宋体"/>
          <w:snapToGrid w:val="0"/>
          <w:sz w:val="21"/>
          <w:szCs w:val="21"/>
          <w:lang w:eastAsia="zh-CN"/>
        </w:rPr>
        <w:t>如组合产品</w:t>
      </w:r>
      <w:r w:rsidRPr="00FE2212">
        <w:rPr>
          <w:rFonts w:eastAsia="宋体"/>
          <w:snapToGrid w:val="0"/>
          <w:sz w:val="21"/>
          <w:szCs w:val="21"/>
          <w:lang w:eastAsia="zh-CN"/>
        </w:rPr>
        <w:t>PMSR</w:t>
      </w:r>
      <w:r w:rsidRPr="00FE2212">
        <w:rPr>
          <w:rFonts w:eastAsia="宋体"/>
          <w:snapToGrid w:val="0"/>
          <w:sz w:val="21"/>
          <w:szCs w:val="21"/>
          <w:lang w:eastAsia="zh-CN"/>
        </w:rPr>
        <w:t>最终规则的《联邦公报》通知所述，使用术语</w:t>
      </w:r>
      <w:r w:rsidRPr="00FE2212">
        <w:rPr>
          <w:rFonts w:ascii="宋体" w:eastAsia="宋体" w:hAnsi="宋体"/>
          <w:snapToGrid w:val="0"/>
          <w:sz w:val="21"/>
          <w:szCs w:val="21"/>
          <w:lang w:eastAsia="zh-CN"/>
        </w:rPr>
        <w:t>“</w:t>
      </w:r>
      <w:r w:rsidRPr="00FE2212">
        <w:rPr>
          <w:rFonts w:eastAsia="宋体"/>
          <w:snapToGrid w:val="0"/>
          <w:sz w:val="21"/>
          <w:szCs w:val="21"/>
          <w:lang w:eastAsia="zh-CN"/>
        </w:rPr>
        <w:t>上市后安全性</w:t>
      </w:r>
      <w:r w:rsidRPr="00FE2212">
        <w:rPr>
          <w:rFonts w:ascii="宋体" w:eastAsia="宋体" w:hAnsi="宋体"/>
          <w:snapToGrid w:val="0"/>
          <w:sz w:val="21"/>
          <w:szCs w:val="21"/>
          <w:lang w:eastAsia="zh-CN"/>
        </w:rPr>
        <w:t>”</w:t>
      </w:r>
      <w:r w:rsidRPr="00FE2212">
        <w:rPr>
          <w:rFonts w:eastAsia="宋体"/>
          <w:snapToGrid w:val="0"/>
          <w:sz w:val="21"/>
          <w:szCs w:val="21"/>
          <w:lang w:eastAsia="zh-CN"/>
        </w:rPr>
        <w:t>是因为该规则涉及某些上市后事件，包括生产事件、故障和对用户造成伤害的事件，以及由这些事件引起的产品和患者安全性相关的报告要求。最终规则支持所有医疗产品上市后安全性报告的基本目的，即通过确保产品上市后持续的安全性和有效性来保护公众健康。</w:t>
      </w:r>
    </w:p>
  </w:footnote>
  <w:footnote w:id="3">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FE2212">
        <w:rPr>
          <w:rFonts w:eastAsia="宋体"/>
          <w:snapToGrid w:val="0"/>
          <w:sz w:val="21"/>
          <w:szCs w:val="21"/>
          <w:lang w:eastAsia="zh-CN"/>
        </w:rPr>
        <w:t>注：其他法律或</w:t>
      </w:r>
      <w:r>
        <w:rPr>
          <w:rFonts w:eastAsia="宋体" w:hint="eastAsia"/>
          <w:snapToGrid w:val="0"/>
          <w:sz w:val="21"/>
          <w:szCs w:val="21"/>
          <w:lang w:eastAsia="zh-CN"/>
        </w:rPr>
        <w:t>法规</w:t>
      </w:r>
      <w:r w:rsidRPr="00FE2212">
        <w:rPr>
          <w:rFonts w:eastAsia="宋体"/>
          <w:snapToGrid w:val="0"/>
          <w:sz w:val="21"/>
          <w:szCs w:val="21"/>
          <w:lang w:eastAsia="zh-CN"/>
        </w:rPr>
        <w:t>要求可能适用于上市后安全性事件，例如用于上市后修订的相关提交和审查要求。</w:t>
      </w:r>
      <w:r w:rsidRPr="00FE2212">
        <w:rPr>
          <w:rFonts w:eastAsia="宋体"/>
          <w:snapToGrid w:val="0"/>
          <w:sz w:val="21"/>
          <w:szCs w:val="21"/>
          <w:lang w:eastAsia="zh-CN"/>
        </w:rPr>
        <w:t>PMSR</w:t>
      </w:r>
      <w:r w:rsidRPr="00FE2212">
        <w:rPr>
          <w:rFonts w:eastAsia="宋体"/>
          <w:snapToGrid w:val="0"/>
          <w:sz w:val="21"/>
          <w:szCs w:val="21"/>
          <w:lang w:eastAsia="zh-CN"/>
        </w:rPr>
        <w:t>规则和本指南均无意改变此类要求或与之相关的</w:t>
      </w:r>
      <w:r w:rsidRPr="00FE2212">
        <w:rPr>
          <w:rFonts w:eastAsia="宋体"/>
          <w:snapToGrid w:val="0"/>
          <w:sz w:val="21"/>
          <w:szCs w:val="21"/>
          <w:lang w:eastAsia="zh-CN"/>
        </w:rPr>
        <w:t>FDA</w:t>
      </w:r>
      <w:r w:rsidRPr="00FE2212">
        <w:rPr>
          <w:rFonts w:eastAsia="宋体"/>
          <w:snapToGrid w:val="0"/>
          <w:sz w:val="21"/>
          <w:szCs w:val="21"/>
          <w:lang w:eastAsia="zh-CN"/>
        </w:rPr>
        <w:t>政策。</w:t>
      </w:r>
    </w:p>
  </w:footnote>
  <w:footnote w:id="4">
    <w:p w:rsidR="0044544D" w:rsidRPr="003566B4" w:rsidRDefault="0044544D" w:rsidP="003566B4">
      <w:pPr>
        <w:pStyle w:val="af2"/>
        <w:wordWrap w:val="0"/>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FE2212">
        <w:rPr>
          <w:rFonts w:eastAsia="宋体"/>
          <w:snapToGrid w:val="0"/>
          <w:sz w:val="21"/>
          <w:szCs w:val="21"/>
          <w:lang w:eastAsia="zh-CN"/>
        </w:rPr>
        <w:t>在申请批准或许可前，申请人和</w:t>
      </w:r>
      <w:r w:rsidRPr="00FE2212">
        <w:rPr>
          <w:rFonts w:eastAsia="宋体"/>
          <w:snapToGrid w:val="0"/>
          <w:sz w:val="21"/>
          <w:szCs w:val="21"/>
          <w:lang w:eastAsia="zh-CN"/>
        </w:rPr>
        <w:t>FDA</w:t>
      </w:r>
      <w:r w:rsidRPr="00FE2212">
        <w:rPr>
          <w:rFonts w:eastAsia="宋体"/>
          <w:snapToGrid w:val="0"/>
          <w:sz w:val="21"/>
          <w:szCs w:val="21"/>
          <w:lang w:eastAsia="zh-CN"/>
        </w:rPr>
        <w:t>通常会根据《美国联邦法规》第</w:t>
      </w:r>
      <w:r>
        <w:rPr>
          <w:rFonts w:eastAsia="宋体"/>
          <w:snapToGrid w:val="0"/>
          <w:sz w:val="21"/>
          <w:szCs w:val="21"/>
          <w:lang w:eastAsia="zh-CN"/>
        </w:rPr>
        <w:t>21</w:t>
      </w:r>
      <w:r>
        <w:rPr>
          <w:rFonts w:eastAsia="宋体"/>
          <w:snapToGrid w:val="0"/>
          <w:sz w:val="21"/>
          <w:szCs w:val="21"/>
          <w:lang w:eastAsia="zh-CN"/>
        </w:rPr>
        <w:t>篇第</w:t>
      </w:r>
      <w:r>
        <w:rPr>
          <w:rFonts w:eastAsia="宋体" w:hint="eastAsia"/>
          <w:snapToGrid w:val="0"/>
          <w:sz w:val="21"/>
          <w:szCs w:val="21"/>
          <w:lang w:eastAsia="zh-CN"/>
        </w:rPr>
        <w:t>3</w:t>
      </w:r>
      <w:r w:rsidR="00763263">
        <w:rPr>
          <w:rFonts w:eastAsia="宋体" w:hint="eastAsia"/>
          <w:snapToGrid w:val="0"/>
          <w:sz w:val="21"/>
          <w:szCs w:val="21"/>
          <w:lang w:eastAsia="zh-CN"/>
        </w:rPr>
        <w:t>部分</w:t>
      </w:r>
      <w:r w:rsidRPr="00FE2212">
        <w:rPr>
          <w:rFonts w:eastAsia="宋体"/>
          <w:snapToGrid w:val="0"/>
          <w:sz w:val="21"/>
          <w:szCs w:val="21"/>
          <w:lang w:eastAsia="zh-CN"/>
        </w:rPr>
        <w:t>的定义确定产品是组合产品、或是组合产品的组成部分。无论正在寻求上市许可，或您的产品已获得许可或批准，如果不确定是组合产品还是组合产品的组成部分或其中心分配，</w:t>
      </w:r>
      <w:r w:rsidR="00763263">
        <w:rPr>
          <w:rFonts w:eastAsia="宋体" w:hint="eastAsia"/>
          <w:snapToGrid w:val="0"/>
          <w:sz w:val="21"/>
          <w:szCs w:val="21"/>
          <w:lang w:eastAsia="zh-CN"/>
        </w:rPr>
        <w:t>本机构</w:t>
      </w:r>
      <w:r w:rsidRPr="00FE2212">
        <w:rPr>
          <w:rFonts w:eastAsia="宋体"/>
          <w:snapToGrid w:val="0"/>
          <w:sz w:val="21"/>
          <w:szCs w:val="21"/>
          <w:lang w:eastAsia="zh-CN"/>
        </w:rPr>
        <w:t>鼓励您联系组合产品办公室（</w:t>
      </w:r>
      <w:r w:rsidRPr="00FE2212">
        <w:rPr>
          <w:rFonts w:eastAsia="宋体"/>
          <w:snapToGrid w:val="0"/>
          <w:sz w:val="21"/>
          <w:szCs w:val="21"/>
          <w:lang w:eastAsia="zh-CN"/>
        </w:rPr>
        <w:t>OCP</w:t>
      </w:r>
      <w:r w:rsidRPr="00FE2212">
        <w:rPr>
          <w:rFonts w:eastAsia="宋体"/>
          <w:snapToGrid w:val="0"/>
          <w:sz w:val="21"/>
          <w:szCs w:val="21"/>
          <w:lang w:eastAsia="zh-CN"/>
        </w:rPr>
        <w:t>）。如果您希望从</w:t>
      </w:r>
      <w:r w:rsidRPr="00FE2212">
        <w:rPr>
          <w:rFonts w:eastAsia="宋体"/>
          <w:snapToGrid w:val="0"/>
          <w:sz w:val="21"/>
          <w:szCs w:val="21"/>
          <w:lang w:eastAsia="zh-CN"/>
        </w:rPr>
        <w:t>FDA</w:t>
      </w:r>
      <w:r w:rsidRPr="00FE2212">
        <w:rPr>
          <w:rFonts w:eastAsia="宋体"/>
          <w:snapToGrid w:val="0"/>
          <w:sz w:val="21"/>
          <w:szCs w:val="21"/>
          <w:lang w:eastAsia="zh-CN"/>
        </w:rPr>
        <w:t>获得有约束力的决定，可以向</w:t>
      </w:r>
      <w:r w:rsidRPr="00FE2212">
        <w:rPr>
          <w:rFonts w:eastAsia="宋体"/>
          <w:snapToGrid w:val="0"/>
          <w:sz w:val="21"/>
          <w:szCs w:val="21"/>
          <w:lang w:eastAsia="zh-CN"/>
        </w:rPr>
        <w:t>OCP</w:t>
      </w:r>
      <w:r w:rsidRPr="00FE2212">
        <w:rPr>
          <w:rFonts w:eastAsia="宋体"/>
          <w:snapToGrid w:val="0"/>
          <w:sz w:val="21"/>
          <w:szCs w:val="21"/>
          <w:lang w:eastAsia="zh-CN"/>
        </w:rPr>
        <w:t>提交指派请求（参见《行业指南》，</w:t>
      </w:r>
      <w:r w:rsidRPr="0051347A">
        <w:rPr>
          <w:rFonts w:eastAsia="宋体"/>
          <w:i/>
          <w:snapToGrid w:val="0"/>
          <w:sz w:val="21"/>
          <w:szCs w:val="21"/>
          <w:lang w:eastAsia="zh-CN"/>
        </w:rPr>
        <w:t>如何编写指派请求（</w:t>
      </w:r>
      <w:r w:rsidRPr="0051347A">
        <w:rPr>
          <w:rFonts w:eastAsia="宋体"/>
          <w:i/>
          <w:snapToGrid w:val="0"/>
          <w:sz w:val="21"/>
          <w:szCs w:val="21"/>
          <w:lang w:eastAsia="zh-CN"/>
        </w:rPr>
        <w:t>RFD</w:t>
      </w:r>
      <w:r w:rsidRPr="0051347A">
        <w:rPr>
          <w:rFonts w:eastAsia="宋体"/>
          <w:i/>
          <w:snapToGrid w:val="0"/>
          <w:sz w:val="21"/>
          <w:szCs w:val="21"/>
          <w:lang w:eastAsia="zh-CN"/>
        </w:rPr>
        <w:t>）</w:t>
      </w:r>
      <w:r w:rsidRPr="00FE2212">
        <w:rPr>
          <w:rFonts w:eastAsia="宋体"/>
          <w:snapToGrid w:val="0"/>
          <w:sz w:val="21"/>
          <w:szCs w:val="21"/>
          <w:lang w:eastAsia="zh-CN"/>
        </w:rPr>
        <w:t>，访问网址为：</w:t>
      </w:r>
      <w:hyperlink r:id="rId1" w:history="1">
        <w:r w:rsidRPr="00FE2212">
          <w:rPr>
            <w:rStyle w:val="a9"/>
            <w:rFonts w:eastAsia="宋体"/>
            <w:snapToGrid w:val="0"/>
            <w:sz w:val="21"/>
            <w:szCs w:val="21"/>
            <w:u w:color="0000FF"/>
            <w:lang w:eastAsia="zh-CN"/>
          </w:rPr>
          <w:t>https://www.fda.gov/regulatory-information/search-fda-guidance-documents/how-write-request-designation-rfd</w:t>
        </w:r>
      </w:hyperlink>
      <w:r w:rsidRPr="00FE2212">
        <w:rPr>
          <w:rFonts w:eastAsia="宋体"/>
          <w:snapToGrid w:val="0"/>
          <w:sz w:val="21"/>
          <w:szCs w:val="21"/>
          <w:lang w:eastAsia="zh-CN"/>
        </w:rPr>
        <w:t>），或者如果您希望获得非正式反馈，可以提交一份</w:t>
      </w:r>
      <w:r w:rsidRPr="00FE2212">
        <w:rPr>
          <w:rFonts w:ascii="宋体" w:eastAsia="宋体" w:hAnsi="宋体"/>
          <w:snapToGrid w:val="0"/>
          <w:sz w:val="21"/>
          <w:szCs w:val="21"/>
          <w:lang w:eastAsia="zh-CN"/>
        </w:rPr>
        <w:t>“</w:t>
      </w:r>
      <w:r w:rsidRPr="00FE2212">
        <w:rPr>
          <w:rFonts w:eastAsia="宋体"/>
          <w:snapToGrid w:val="0"/>
          <w:sz w:val="21"/>
          <w:szCs w:val="21"/>
          <w:lang w:eastAsia="zh-CN"/>
        </w:rPr>
        <w:t>预</w:t>
      </w:r>
      <w:r w:rsidRPr="00FE2212">
        <w:rPr>
          <w:rFonts w:eastAsia="宋体"/>
          <w:snapToGrid w:val="0"/>
          <w:sz w:val="21"/>
          <w:szCs w:val="21"/>
          <w:lang w:eastAsia="zh-CN"/>
        </w:rPr>
        <w:t>RFD</w:t>
      </w:r>
      <w:r w:rsidRPr="00FE2212">
        <w:rPr>
          <w:rFonts w:ascii="宋体" w:eastAsia="宋体" w:hAnsi="宋体"/>
          <w:snapToGrid w:val="0"/>
          <w:sz w:val="21"/>
          <w:szCs w:val="21"/>
          <w:lang w:eastAsia="zh-CN"/>
        </w:rPr>
        <w:t>”</w:t>
      </w:r>
      <w:r w:rsidRPr="00FE2212">
        <w:rPr>
          <w:rFonts w:eastAsia="宋体"/>
          <w:snapToGrid w:val="0"/>
          <w:sz w:val="21"/>
          <w:szCs w:val="21"/>
          <w:lang w:eastAsia="zh-CN"/>
        </w:rPr>
        <w:t>（参见《行业指南》，</w:t>
      </w:r>
      <w:r w:rsidRPr="0051347A">
        <w:rPr>
          <w:rFonts w:eastAsia="宋体"/>
          <w:i/>
          <w:snapToGrid w:val="0"/>
          <w:sz w:val="21"/>
          <w:szCs w:val="21"/>
          <w:lang w:eastAsia="zh-CN"/>
        </w:rPr>
        <w:t>如何编写预指派请求（预</w:t>
      </w:r>
      <w:r w:rsidRPr="0051347A">
        <w:rPr>
          <w:rFonts w:eastAsia="宋体"/>
          <w:i/>
          <w:snapToGrid w:val="0"/>
          <w:sz w:val="21"/>
          <w:szCs w:val="21"/>
          <w:lang w:eastAsia="zh-CN"/>
        </w:rPr>
        <w:t>RFD</w:t>
      </w:r>
      <w:r w:rsidRPr="0051347A">
        <w:rPr>
          <w:rFonts w:eastAsia="宋体"/>
          <w:i/>
          <w:snapToGrid w:val="0"/>
          <w:sz w:val="21"/>
          <w:szCs w:val="21"/>
          <w:lang w:eastAsia="zh-CN"/>
        </w:rPr>
        <w:t>）</w:t>
      </w:r>
      <w:r w:rsidRPr="00FE2212">
        <w:rPr>
          <w:rFonts w:eastAsia="宋体"/>
          <w:snapToGrid w:val="0"/>
          <w:sz w:val="21"/>
          <w:szCs w:val="21"/>
          <w:lang w:eastAsia="zh-CN"/>
        </w:rPr>
        <w:t>），访问网址为：</w:t>
      </w:r>
      <w:hyperlink r:id="rId2" w:history="1">
        <w:r w:rsidRPr="00FE2212">
          <w:rPr>
            <w:rStyle w:val="a9"/>
            <w:rFonts w:eastAsia="宋体"/>
            <w:snapToGrid w:val="0"/>
            <w:sz w:val="21"/>
            <w:szCs w:val="21"/>
            <w:u w:color="0000FF"/>
            <w:lang w:eastAsia="zh-CN"/>
          </w:rPr>
          <w:t>https://www.fda.gov/regulatory-information/search-fda-guidance-documents/how-prepare-pre-request-designation-pre-rfd</w:t>
        </w:r>
      </w:hyperlink>
      <w:r w:rsidRPr="00FE2212">
        <w:rPr>
          <w:rFonts w:eastAsia="宋体"/>
          <w:snapToGrid w:val="0"/>
          <w:sz w:val="21"/>
          <w:szCs w:val="21"/>
          <w:lang w:eastAsia="zh-CN"/>
        </w:rPr>
        <w:t>）</w:t>
      </w:r>
      <w:r>
        <w:rPr>
          <w:rFonts w:eastAsia="宋体" w:hint="eastAsia"/>
          <w:snapToGrid w:val="0"/>
          <w:sz w:val="21"/>
          <w:szCs w:val="21"/>
          <w:lang w:eastAsia="zh-CN"/>
        </w:rPr>
        <w:t>。</w:t>
      </w:r>
    </w:p>
  </w:footnote>
  <w:footnote w:id="5">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sidRPr="003566B4">
        <w:rPr>
          <w:rFonts w:eastAsia="宋体"/>
          <w:sz w:val="21"/>
          <w:szCs w:val="21"/>
          <w:lang w:eastAsia="zh-CN"/>
        </w:rPr>
        <w:t xml:space="preserve"> </w:t>
      </w:r>
      <w:r w:rsidRPr="00FE2212">
        <w:rPr>
          <w:rFonts w:ascii="宋体" w:eastAsia="宋体" w:hAnsi="宋体"/>
          <w:snapToGrid w:val="0"/>
          <w:sz w:val="21"/>
          <w:szCs w:val="21"/>
          <w:lang w:eastAsia="zh-CN"/>
        </w:rPr>
        <w:t>“</w:t>
      </w:r>
      <w:r w:rsidRPr="00FE2212">
        <w:rPr>
          <w:rFonts w:eastAsia="宋体"/>
          <w:snapToGrid w:val="0"/>
          <w:sz w:val="21"/>
          <w:szCs w:val="21"/>
          <w:lang w:eastAsia="zh-CN"/>
        </w:rPr>
        <w:t>主要作用方式</w:t>
      </w:r>
      <w:r w:rsidRPr="00FE2212">
        <w:rPr>
          <w:rFonts w:ascii="宋体" w:eastAsia="宋体" w:hAnsi="宋体"/>
          <w:snapToGrid w:val="0"/>
          <w:sz w:val="21"/>
          <w:szCs w:val="21"/>
          <w:lang w:eastAsia="zh-CN"/>
        </w:rPr>
        <w:t>”</w:t>
      </w:r>
      <w:r w:rsidRPr="00FE2212">
        <w:rPr>
          <w:rFonts w:eastAsia="宋体"/>
          <w:snapToGrid w:val="0"/>
          <w:sz w:val="21"/>
          <w:szCs w:val="21"/>
          <w:lang w:eastAsia="zh-CN"/>
        </w:rPr>
        <w:t>是预期对组合产品整体拟定疗效做出最大贡献的单一作用方式（药品、器械或生物制品）（</w:t>
      </w:r>
      <w:r w:rsidR="00F92681">
        <w:rPr>
          <w:rFonts w:eastAsia="宋体" w:hint="eastAsia"/>
          <w:snapToGrid w:val="0"/>
          <w:sz w:val="21"/>
          <w:szCs w:val="21"/>
          <w:lang w:eastAsia="zh-CN"/>
        </w:rPr>
        <w:t>参</w:t>
      </w:r>
      <w:r w:rsidRPr="00FE2212">
        <w:rPr>
          <w:rFonts w:eastAsia="宋体"/>
          <w:snapToGrid w:val="0"/>
          <w:sz w:val="21"/>
          <w:szCs w:val="21"/>
          <w:lang w:eastAsia="zh-CN"/>
        </w:rPr>
        <w:t>见《美国法典》第</w:t>
      </w:r>
      <w:r>
        <w:rPr>
          <w:rFonts w:eastAsia="宋体"/>
          <w:snapToGrid w:val="0"/>
          <w:sz w:val="21"/>
          <w:szCs w:val="21"/>
          <w:lang w:eastAsia="zh-CN"/>
        </w:rPr>
        <w:t>21</w:t>
      </w:r>
      <w:r>
        <w:rPr>
          <w:rFonts w:eastAsia="宋体"/>
          <w:snapToGrid w:val="0"/>
          <w:sz w:val="21"/>
          <w:szCs w:val="21"/>
          <w:lang w:eastAsia="zh-CN"/>
        </w:rPr>
        <w:t>篇</w:t>
      </w:r>
      <w:r w:rsidRPr="00FE2212">
        <w:rPr>
          <w:rFonts w:eastAsia="宋体"/>
          <w:snapToGrid w:val="0"/>
          <w:sz w:val="21"/>
          <w:szCs w:val="21"/>
          <w:lang w:eastAsia="zh-CN"/>
        </w:rPr>
        <w:t>第</w:t>
      </w:r>
      <w:r w:rsidRPr="00FE2212">
        <w:rPr>
          <w:rFonts w:eastAsia="宋体"/>
          <w:snapToGrid w:val="0"/>
          <w:sz w:val="21"/>
          <w:szCs w:val="21"/>
          <w:lang w:eastAsia="zh-CN"/>
        </w:rPr>
        <w:t>353</w:t>
      </w:r>
      <w:r w:rsidRPr="00FE2212">
        <w:rPr>
          <w:rFonts w:eastAsia="宋体"/>
          <w:snapToGrid w:val="0"/>
          <w:sz w:val="21"/>
          <w:szCs w:val="21"/>
          <w:lang w:eastAsia="zh-CN"/>
        </w:rPr>
        <w:t>（</w:t>
      </w:r>
      <w:r w:rsidRPr="00FE2212">
        <w:rPr>
          <w:rFonts w:eastAsia="宋体"/>
          <w:snapToGrid w:val="0"/>
          <w:sz w:val="21"/>
          <w:szCs w:val="21"/>
          <w:lang w:eastAsia="zh-CN"/>
        </w:rPr>
        <w:t>g</w:t>
      </w:r>
      <w:r w:rsidRPr="00FE2212">
        <w:rPr>
          <w:rFonts w:eastAsia="宋体"/>
          <w:snapToGrid w:val="0"/>
          <w:sz w:val="21"/>
          <w:szCs w:val="21"/>
          <w:lang w:eastAsia="zh-CN"/>
        </w:rPr>
        <w:t>）（</w:t>
      </w:r>
      <w:r w:rsidRPr="00FE2212">
        <w:rPr>
          <w:rFonts w:eastAsia="宋体"/>
          <w:snapToGrid w:val="0"/>
          <w:sz w:val="21"/>
          <w:szCs w:val="21"/>
          <w:lang w:eastAsia="zh-CN"/>
        </w:rPr>
        <w:t>1</w:t>
      </w:r>
      <w:r w:rsidRPr="00FE2212">
        <w:rPr>
          <w:rFonts w:eastAsia="宋体"/>
          <w:snapToGrid w:val="0"/>
          <w:sz w:val="21"/>
          <w:szCs w:val="21"/>
          <w:lang w:eastAsia="zh-CN"/>
        </w:rPr>
        <w:t>）（</w:t>
      </w:r>
      <w:r w:rsidRPr="00FE2212">
        <w:rPr>
          <w:rFonts w:eastAsia="宋体"/>
          <w:snapToGrid w:val="0"/>
          <w:sz w:val="21"/>
          <w:szCs w:val="21"/>
          <w:lang w:eastAsia="zh-CN"/>
        </w:rPr>
        <w:t>C</w:t>
      </w:r>
      <w:r w:rsidRPr="00FE2212">
        <w:rPr>
          <w:rFonts w:eastAsia="宋体"/>
          <w:snapToGrid w:val="0"/>
          <w:sz w:val="21"/>
          <w:szCs w:val="21"/>
          <w:lang w:eastAsia="zh-CN"/>
        </w:rPr>
        <w:t>）节和《美国联邦法规》第</w:t>
      </w:r>
      <w:r>
        <w:rPr>
          <w:rFonts w:eastAsia="宋体"/>
          <w:snapToGrid w:val="0"/>
          <w:sz w:val="21"/>
          <w:szCs w:val="21"/>
          <w:lang w:eastAsia="zh-CN"/>
        </w:rPr>
        <w:t>21</w:t>
      </w:r>
      <w:r>
        <w:rPr>
          <w:rFonts w:eastAsia="宋体"/>
          <w:snapToGrid w:val="0"/>
          <w:sz w:val="21"/>
          <w:szCs w:val="21"/>
          <w:lang w:eastAsia="zh-CN"/>
        </w:rPr>
        <w:t>篇</w:t>
      </w:r>
      <w:r w:rsidRPr="00FE2212">
        <w:rPr>
          <w:rFonts w:eastAsia="宋体"/>
          <w:snapToGrid w:val="0"/>
          <w:sz w:val="21"/>
          <w:szCs w:val="21"/>
          <w:lang w:eastAsia="zh-CN"/>
        </w:rPr>
        <w:t>第</w:t>
      </w:r>
      <w:r w:rsidRPr="00FE2212">
        <w:rPr>
          <w:rFonts w:eastAsia="宋体"/>
          <w:snapToGrid w:val="0"/>
          <w:sz w:val="21"/>
          <w:szCs w:val="21"/>
          <w:lang w:eastAsia="zh-CN"/>
        </w:rPr>
        <w:t>3.2</w:t>
      </w:r>
      <w:r w:rsidRPr="00FE2212">
        <w:rPr>
          <w:rFonts w:eastAsia="宋体"/>
          <w:snapToGrid w:val="0"/>
          <w:sz w:val="21"/>
          <w:szCs w:val="21"/>
          <w:lang w:eastAsia="zh-CN"/>
        </w:rPr>
        <w:t>（</w:t>
      </w:r>
      <w:r w:rsidRPr="00FE2212">
        <w:rPr>
          <w:rFonts w:eastAsia="宋体"/>
          <w:snapToGrid w:val="0"/>
          <w:sz w:val="21"/>
          <w:szCs w:val="21"/>
          <w:lang w:eastAsia="zh-CN"/>
        </w:rPr>
        <w:t>m</w:t>
      </w:r>
      <w:r w:rsidRPr="00FE2212">
        <w:rPr>
          <w:rFonts w:eastAsia="宋体"/>
          <w:snapToGrid w:val="0"/>
          <w:sz w:val="21"/>
          <w:szCs w:val="21"/>
          <w:lang w:eastAsia="zh-CN"/>
        </w:rPr>
        <w:t>）节；另见《美国联邦法规》第</w:t>
      </w:r>
      <w:r>
        <w:rPr>
          <w:rFonts w:eastAsia="宋体"/>
          <w:snapToGrid w:val="0"/>
          <w:sz w:val="21"/>
          <w:szCs w:val="21"/>
          <w:lang w:eastAsia="zh-CN"/>
        </w:rPr>
        <w:t>21</w:t>
      </w:r>
      <w:r>
        <w:rPr>
          <w:rFonts w:eastAsia="宋体"/>
          <w:snapToGrid w:val="0"/>
          <w:sz w:val="21"/>
          <w:szCs w:val="21"/>
          <w:lang w:eastAsia="zh-CN"/>
        </w:rPr>
        <w:t>篇</w:t>
      </w:r>
      <w:r w:rsidRPr="00FE2212">
        <w:rPr>
          <w:rFonts w:eastAsia="宋体"/>
          <w:snapToGrid w:val="0"/>
          <w:sz w:val="21"/>
          <w:szCs w:val="21"/>
          <w:lang w:eastAsia="zh-CN"/>
        </w:rPr>
        <w:t>第</w:t>
      </w:r>
      <w:r w:rsidRPr="00FE2212">
        <w:rPr>
          <w:rFonts w:eastAsia="宋体"/>
          <w:snapToGrid w:val="0"/>
          <w:sz w:val="21"/>
          <w:szCs w:val="21"/>
          <w:lang w:eastAsia="zh-CN"/>
        </w:rPr>
        <w:t>3.2</w:t>
      </w:r>
      <w:r w:rsidRPr="00FE2212">
        <w:rPr>
          <w:rFonts w:eastAsia="宋体"/>
          <w:snapToGrid w:val="0"/>
          <w:sz w:val="21"/>
          <w:szCs w:val="21"/>
          <w:lang w:eastAsia="zh-CN"/>
        </w:rPr>
        <w:t>（</w:t>
      </w:r>
      <w:r w:rsidRPr="00FE2212">
        <w:rPr>
          <w:rFonts w:eastAsia="宋体"/>
          <w:snapToGrid w:val="0"/>
          <w:sz w:val="21"/>
          <w:szCs w:val="21"/>
          <w:lang w:eastAsia="zh-CN"/>
        </w:rPr>
        <w:t>k</w:t>
      </w:r>
      <w:r w:rsidRPr="00FE2212">
        <w:rPr>
          <w:rFonts w:eastAsia="宋体"/>
          <w:snapToGrid w:val="0"/>
          <w:sz w:val="21"/>
          <w:szCs w:val="21"/>
          <w:lang w:eastAsia="zh-CN"/>
        </w:rPr>
        <w:t>）节（定义</w:t>
      </w:r>
      <w:r w:rsidRPr="00FE2212">
        <w:rPr>
          <w:rFonts w:ascii="宋体" w:eastAsia="宋体" w:hAnsi="宋体"/>
          <w:snapToGrid w:val="0"/>
          <w:sz w:val="21"/>
          <w:szCs w:val="21"/>
          <w:lang w:eastAsia="zh-CN"/>
        </w:rPr>
        <w:t>“</w:t>
      </w:r>
      <w:r w:rsidRPr="00FE2212">
        <w:rPr>
          <w:rFonts w:eastAsia="宋体"/>
          <w:snapToGrid w:val="0"/>
          <w:sz w:val="21"/>
          <w:szCs w:val="21"/>
          <w:lang w:eastAsia="zh-CN"/>
        </w:rPr>
        <w:t>作用方式</w:t>
      </w:r>
      <w:r w:rsidRPr="00FE2212">
        <w:rPr>
          <w:rFonts w:ascii="宋体" w:eastAsia="宋体" w:hAnsi="宋体"/>
          <w:snapToGrid w:val="0"/>
          <w:sz w:val="21"/>
          <w:szCs w:val="21"/>
          <w:lang w:eastAsia="zh-CN"/>
        </w:rPr>
        <w:t>”</w:t>
      </w:r>
      <w:r w:rsidRPr="00FE2212">
        <w:rPr>
          <w:rFonts w:eastAsia="宋体"/>
          <w:snapToGrid w:val="0"/>
          <w:sz w:val="21"/>
          <w:szCs w:val="21"/>
          <w:lang w:eastAsia="zh-CN"/>
        </w:rPr>
        <w:t>））。有关产品分类、任务分配和</w:t>
      </w:r>
      <w:r w:rsidRPr="00FE2212">
        <w:rPr>
          <w:rFonts w:eastAsia="宋体"/>
          <w:snapToGrid w:val="0"/>
          <w:sz w:val="21"/>
          <w:szCs w:val="21"/>
          <w:lang w:eastAsia="zh-CN"/>
        </w:rPr>
        <w:t>PMOA</w:t>
      </w:r>
      <w:r w:rsidRPr="00FE2212">
        <w:rPr>
          <w:rFonts w:eastAsia="宋体"/>
          <w:snapToGrid w:val="0"/>
          <w:sz w:val="21"/>
          <w:szCs w:val="21"/>
          <w:lang w:eastAsia="zh-CN"/>
        </w:rPr>
        <w:t>的详细信息，请见《行业指南》，</w:t>
      </w:r>
      <w:r w:rsidRPr="00FA5CED">
        <w:rPr>
          <w:rFonts w:eastAsia="宋体"/>
          <w:i/>
          <w:snapToGrid w:val="0"/>
          <w:sz w:val="21"/>
          <w:szCs w:val="21"/>
          <w:lang w:eastAsia="zh-CN"/>
        </w:rPr>
        <w:t>如何编写指派请求（</w:t>
      </w:r>
      <w:r w:rsidRPr="00FA5CED">
        <w:rPr>
          <w:rFonts w:eastAsia="宋体"/>
          <w:i/>
          <w:snapToGrid w:val="0"/>
          <w:sz w:val="21"/>
          <w:szCs w:val="21"/>
          <w:lang w:eastAsia="zh-CN"/>
        </w:rPr>
        <w:t>RFD</w:t>
      </w:r>
      <w:r w:rsidRPr="00FA5CED">
        <w:rPr>
          <w:rFonts w:eastAsia="宋体"/>
          <w:i/>
          <w:snapToGrid w:val="0"/>
          <w:sz w:val="21"/>
          <w:szCs w:val="21"/>
          <w:lang w:eastAsia="zh-CN"/>
        </w:rPr>
        <w:t>）</w:t>
      </w:r>
      <w:r w:rsidRPr="00FE2212">
        <w:rPr>
          <w:rFonts w:eastAsia="宋体"/>
          <w:snapToGrid w:val="0"/>
          <w:sz w:val="21"/>
          <w:szCs w:val="21"/>
          <w:lang w:eastAsia="zh-CN"/>
        </w:rPr>
        <w:t>，访问网址为：</w:t>
      </w:r>
      <w:hyperlink r:id="rId3">
        <w:r w:rsidRPr="00FE2212">
          <w:rPr>
            <w:rFonts w:eastAsia="宋体"/>
            <w:snapToGrid w:val="0"/>
            <w:color w:val="0000FF"/>
            <w:sz w:val="21"/>
            <w:szCs w:val="21"/>
            <w:u w:val="single" w:color="0000FF"/>
            <w:lang w:eastAsia="zh-CN"/>
          </w:rPr>
          <w:t>https://www.fda.gov/</w:t>
        </w:r>
      </w:hyperlink>
      <w:hyperlink r:id="rId4">
        <w:r w:rsidRPr="00FE2212">
          <w:rPr>
            <w:rFonts w:eastAsia="宋体"/>
            <w:snapToGrid w:val="0"/>
            <w:color w:val="0000FF"/>
            <w:sz w:val="21"/>
            <w:szCs w:val="21"/>
            <w:u w:val="single" w:color="0000FF"/>
            <w:lang w:eastAsia="zh-CN"/>
          </w:rPr>
          <w:t>regulatory-information/search-fda-guidance-documents/how-write-request-designation-rfd</w:t>
        </w:r>
        <w:r>
          <w:rPr>
            <w:rFonts w:eastAsia="宋体" w:hint="eastAsia"/>
            <w:snapToGrid w:val="0"/>
            <w:color w:val="0000FF"/>
            <w:sz w:val="21"/>
            <w:szCs w:val="21"/>
            <w:u w:val="single" w:color="0000FF"/>
            <w:lang w:eastAsia="zh-CN"/>
          </w:rPr>
          <w:t>。</w:t>
        </w:r>
      </w:hyperlink>
    </w:p>
  </w:footnote>
  <w:footnote w:id="6">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FE2212">
        <w:rPr>
          <w:rFonts w:eastAsia="宋体"/>
          <w:snapToGrid w:val="0"/>
          <w:sz w:val="21"/>
          <w:szCs w:val="21"/>
          <w:lang w:eastAsia="zh-CN"/>
        </w:rPr>
        <w:t>其他参与组合产品生产和分销的实体不是</w:t>
      </w:r>
      <w:r w:rsidRPr="00FE2212">
        <w:rPr>
          <w:rFonts w:ascii="宋体" w:eastAsia="宋体" w:hAnsi="宋体"/>
          <w:snapToGrid w:val="0"/>
          <w:sz w:val="21"/>
          <w:szCs w:val="21"/>
          <w:lang w:eastAsia="zh-CN"/>
        </w:rPr>
        <w:t>“</w:t>
      </w:r>
      <w:r w:rsidRPr="00FE2212">
        <w:rPr>
          <w:rFonts w:eastAsia="宋体"/>
          <w:snapToGrid w:val="0"/>
          <w:sz w:val="21"/>
          <w:szCs w:val="21"/>
          <w:lang w:eastAsia="zh-CN"/>
        </w:rPr>
        <w:t>申请人</w:t>
      </w:r>
      <w:r w:rsidRPr="00FE2212">
        <w:rPr>
          <w:rFonts w:ascii="宋体" w:eastAsia="宋体" w:hAnsi="宋体"/>
          <w:snapToGrid w:val="0"/>
          <w:sz w:val="21"/>
          <w:szCs w:val="21"/>
          <w:lang w:eastAsia="zh-CN"/>
        </w:rPr>
        <w:t>”</w:t>
      </w:r>
      <w:r w:rsidRPr="00FE2212">
        <w:rPr>
          <w:rFonts w:eastAsia="宋体"/>
          <w:snapToGrid w:val="0"/>
          <w:sz w:val="21"/>
          <w:szCs w:val="21"/>
          <w:lang w:eastAsia="zh-CN"/>
        </w:rPr>
        <w:t>，因此不受制于符合组合产品</w:t>
      </w:r>
      <w:r w:rsidRPr="00FE2212">
        <w:rPr>
          <w:rFonts w:eastAsia="宋体"/>
          <w:snapToGrid w:val="0"/>
          <w:sz w:val="21"/>
          <w:szCs w:val="21"/>
          <w:lang w:eastAsia="zh-CN"/>
        </w:rPr>
        <w:t>PMSR</w:t>
      </w:r>
      <w:r w:rsidRPr="00FE2212">
        <w:rPr>
          <w:rFonts w:eastAsia="宋体"/>
          <w:snapToGrid w:val="0"/>
          <w:sz w:val="21"/>
          <w:szCs w:val="21"/>
          <w:lang w:eastAsia="zh-CN"/>
        </w:rPr>
        <w:t>最终规则，但根据</w:t>
      </w:r>
      <w:r w:rsidRPr="00FE2212">
        <w:rPr>
          <w:rFonts w:eastAsia="宋体"/>
          <w:snapToGrid w:val="0"/>
          <w:sz w:val="21"/>
          <w:szCs w:val="21"/>
          <w:lang w:eastAsia="zh-CN"/>
        </w:rPr>
        <w:t>FDA</w:t>
      </w:r>
      <w:r w:rsidRPr="00FE2212">
        <w:rPr>
          <w:rFonts w:eastAsia="宋体"/>
          <w:snapToGrid w:val="0"/>
          <w:sz w:val="21"/>
          <w:szCs w:val="21"/>
          <w:lang w:eastAsia="zh-CN"/>
        </w:rPr>
        <w:t>法规和《</w:t>
      </w:r>
      <w:r w:rsidRPr="00FE2212">
        <w:rPr>
          <w:rFonts w:eastAsia="宋体"/>
          <w:snapToGrid w:val="0"/>
          <w:sz w:val="21"/>
          <w:szCs w:val="21"/>
          <w:lang w:eastAsia="zh-CN"/>
        </w:rPr>
        <w:t>FD&amp;C</w:t>
      </w:r>
      <w:r w:rsidRPr="00FE2212">
        <w:rPr>
          <w:rFonts w:eastAsia="宋体"/>
          <w:snapToGrid w:val="0"/>
          <w:sz w:val="21"/>
          <w:szCs w:val="21"/>
          <w:lang w:eastAsia="zh-CN"/>
        </w:rPr>
        <w:t>法案》，这些实体有上市后安全性报告义务。此类实体的上市后安全性报告请见附录</w:t>
      </w:r>
      <w:r w:rsidRPr="00FE2212">
        <w:rPr>
          <w:rFonts w:eastAsia="宋体"/>
          <w:snapToGrid w:val="0"/>
          <w:sz w:val="21"/>
          <w:szCs w:val="21"/>
          <w:lang w:eastAsia="zh-CN"/>
        </w:rPr>
        <w:t>3</w:t>
      </w:r>
      <w:r w:rsidRPr="00FE2212">
        <w:rPr>
          <w:rFonts w:eastAsia="宋体"/>
          <w:snapToGrid w:val="0"/>
          <w:sz w:val="21"/>
          <w:szCs w:val="21"/>
          <w:lang w:eastAsia="zh-CN"/>
        </w:rPr>
        <w:t>。如果这些实体对如何遵守适用于非申请人的报告要求有疑问，应根据需要联系牵头中心或</w:t>
      </w:r>
      <w:r w:rsidRPr="00FE2212">
        <w:rPr>
          <w:rFonts w:eastAsia="宋体"/>
          <w:snapToGrid w:val="0"/>
          <w:sz w:val="21"/>
          <w:szCs w:val="21"/>
          <w:lang w:eastAsia="zh-CN"/>
        </w:rPr>
        <w:t>OCP</w:t>
      </w:r>
      <w:r w:rsidRPr="00FE2212">
        <w:rPr>
          <w:rFonts w:eastAsia="宋体"/>
          <w:snapToGrid w:val="0"/>
          <w:sz w:val="21"/>
          <w:szCs w:val="21"/>
          <w:lang w:eastAsia="zh-CN"/>
        </w:rPr>
        <w:t>。</w:t>
      </w:r>
    </w:p>
  </w:footnote>
  <w:footnote w:id="7">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sidRPr="003566B4">
        <w:rPr>
          <w:rFonts w:eastAsia="宋体"/>
          <w:sz w:val="21"/>
          <w:szCs w:val="21"/>
          <w:lang w:eastAsia="zh-CN"/>
        </w:rPr>
        <w:t xml:space="preserve"> </w:t>
      </w:r>
      <w:r w:rsidRPr="00FE2212">
        <w:rPr>
          <w:rFonts w:eastAsia="宋体"/>
          <w:snapToGrid w:val="0"/>
          <w:sz w:val="21"/>
          <w:szCs w:val="21"/>
          <w:lang w:eastAsia="zh-CN"/>
        </w:rPr>
        <w:t>《美国联邦法规》第</w:t>
      </w:r>
      <w:r>
        <w:rPr>
          <w:rFonts w:eastAsia="宋体"/>
          <w:snapToGrid w:val="0"/>
          <w:sz w:val="21"/>
          <w:szCs w:val="21"/>
          <w:lang w:eastAsia="zh-CN"/>
        </w:rPr>
        <w:t>21</w:t>
      </w:r>
      <w:r>
        <w:rPr>
          <w:rFonts w:eastAsia="宋体"/>
          <w:snapToGrid w:val="0"/>
          <w:sz w:val="21"/>
          <w:szCs w:val="21"/>
          <w:lang w:eastAsia="zh-CN"/>
        </w:rPr>
        <w:t>篇</w:t>
      </w:r>
      <w:r w:rsidRPr="00FE2212">
        <w:rPr>
          <w:rFonts w:eastAsia="宋体"/>
          <w:snapToGrid w:val="0"/>
          <w:sz w:val="21"/>
          <w:szCs w:val="21"/>
          <w:lang w:eastAsia="zh-CN"/>
        </w:rPr>
        <w:t>第</w:t>
      </w:r>
      <w:r w:rsidRPr="00FE2212">
        <w:rPr>
          <w:rFonts w:eastAsia="宋体"/>
          <w:snapToGrid w:val="0"/>
          <w:sz w:val="21"/>
          <w:szCs w:val="21"/>
          <w:lang w:eastAsia="zh-CN"/>
        </w:rPr>
        <w:t>4.101</w:t>
      </w:r>
      <w:r>
        <w:rPr>
          <w:rFonts w:eastAsia="宋体"/>
          <w:snapToGrid w:val="0"/>
          <w:sz w:val="21"/>
          <w:szCs w:val="21"/>
          <w:lang w:eastAsia="zh-CN"/>
        </w:rPr>
        <w:t>节</w:t>
      </w:r>
      <w:r>
        <w:rPr>
          <w:rFonts w:eastAsia="宋体" w:hint="eastAsia"/>
          <w:snapToGrid w:val="0"/>
          <w:sz w:val="21"/>
          <w:szCs w:val="21"/>
          <w:lang w:eastAsia="zh-CN"/>
        </w:rPr>
        <w:t>。</w:t>
      </w:r>
    </w:p>
  </w:footnote>
  <w:footnote w:id="8">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sidRPr="003566B4">
        <w:rPr>
          <w:rFonts w:eastAsia="宋体"/>
          <w:sz w:val="21"/>
          <w:szCs w:val="21"/>
          <w:lang w:eastAsia="zh-CN"/>
        </w:rPr>
        <w:t xml:space="preserve"> </w:t>
      </w:r>
      <w:r w:rsidRPr="0051347A">
        <w:rPr>
          <w:rFonts w:eastAsia="宋体"/>
          <w:i/>
          <w:snapToGrid w:val="0"/>
          <w:sz w:val="21"/>
          <w:szCs w:val="21"/>
          <w:lang w:eastAsia="zh-CN"/>
        </w:rPr>
        <w:t>Id</w:t>
      </w:r>
      <w:r>
        <w:rPr>
          <w:rFonts w:eastAsia="宋体" w:hint="eastAsia"/>
          <w:snapToGrid w:val="0"/>
          <w:sz w:val="21"/>
          <w:szCs w:val="21"/>
          <w:lang w:eastAsia="zh-CN"/>
        </w:rPr>
        <w:t>。</w:t>
      </w:r>
    </w:p>
  </w:footnote>
  <w:footnote w:id="9">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sidRPr="003566B4">
        <w:rPr>
          <w:rFonts w:eastAsia="宋体"/>
          <w:sz w:val="21"/>
          <w:szCs w:val="21"/>
          <w:lang w:eastAsia="zh-CN"/>
        </w:rPr>
        <w:t xml:space="preserve"> </w:t>
      </w:r>
      <w:r w:rsidRPr="0051347A">
        <w:rPr>
          <w:rFonts w:eastAsia="宋体"/>
          <w:i/>
          <w:snapToGrid w:val="0"/>
          <w:sz w:val="21"/>
          <w:szCs w:val="21"/>
          <w:lang w:eastAsia="zh-CN"/>
        </w:rPr>
        <w:t>Id</w:t>
      </w:r>
      <w:r>
        <w:rPr>
          <w:rFonts w:eastAsia="宋体" w:hint="eastAsia"/>
          <w:snapToGrid w:val="0"/>
          <w:sz w:val="21"/>
          <w:szCs w:val="21"/>
          <w:lang w:eastAsia="zh-CN"/>
        </w:rPr>
        <w:t>。</w:t>
      </w:r>
    </w:p>
  </w:footnote>
  <w:footnote w:id="10">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FE2212">
        <w:rPr>
          <w:rFonts w:eastAsia="宋体"/>
          <w:snapToGrid w:val="0"/>
          <w:sz w:val="21"/>
          <w:szCs w:val="21"/>
          <w:lang w:eastAsia="zh-CN"/>
        </w:rPr>
        <w:t>根据适用于其器械的《美国联邦法规》第</w:t>
      </w:r>
      <w:r>
        <w:rPr>
          <w:rFonts w:eastAsia="宋体"/>
          <w:snapToGrid w:val="0"/>
          <w:sz w:val="21"/>
          <w:szCs w:val="21"/>
          <w:lang w:eastAsia="zh-CN"/>
        </w:rPr>
        <w:t>21</w:t>
      </w:r>
      <w:r>
        <w:rPr>
          <w:rFonts w:eastAsia="宋体"/>
          <w:snapToGrid w:val="0"/>
          <w:sz w:val="21"/>
          <w:szCs w:val="21"/>
          <w:lang w:eastAsia="zh-CN"/>
        </w:rPr>
        <w:t>篇</w:t>
      </w:r>
      <w:r w:rsidRPr="00FE2212">
        <w:rPr>
          <w:rFonts w:eastAsia="宋体"/>
          <w:snapToGrid w:val="0"/>
          <w:sz w:val="21"/>
          <w:szCs w:val="21"/>
          <w:lang w:eastAsia="zh-CN"/>
        </w:rPr>
        <w:t>第</w:t>
      </w:r>
      <w:r w:rsidRPr="00FE2212">
        <w:rPr>
          <w:rFonts w:eastAsia="宋体"/>
          <w:snapToGrid w:val="0"/>
          <w:sz w:val="21"/>
          <w:szCs w:val="21"/>
          <w:lang w:eastAsia="zh-CN"/>
        </w:rPr>
        <w:t>803</w:t>
      </w:r>
      <w:r w:rsidRPr="00FE2212">
        <w:rPr>
          <w:rFonts w:eastAsia="宋体"/>
          <w:snapToGrid w:val="0"/>
          <w:sz w:val="21"/>
          <w:szCs w:val="21"/>
          <w:lang w:eastAsia="zh-CN"/>
        </w:rPr>
        <w:t>节，注射器公司有自己的上市后安全性报告义务。</w:t>
      </w:r>
    </w:p>
  </w:footnote>
  <w:footnote w:id="11">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FE2212">
        <w:rPr>
          <w:rFonts w:eastAsia="宋体"/>
          <w:snapToGrid w:val="0"/>
          <w:sz w:val="21"/>
          <w:szCs w:val="21"/>
          <w:lang w:eastAsia="zh-CN"/>
        </w:rPr>
        <w:t>虽然不在本指南范围内，但值得注意的是，在本例中，制药公司需要建立和维护程序，以确保供应的注射器符合所有要求的规范（</w:t>
      </w:r>
      <w:r w:rsidR="000B2350">
        <w:rPr>
          <w:rFonts w:eastAsia="宋体" w:hint="eastAsia"/>
          <w:snapToGrid w:val="0"/>
          <w:sz w:val="21"/>
          <w:szCs w:val="21"/>
          <w:lang w:eastAsia="zh-CN"/>
        </w:rPr>
        <w:t>参</w:t>
      </w:r>
      <w:r w:rsidRPr="00FE2212">
        <w:rPr>
          <w:rFonts w:eastAsia="宋体"/>
          <w:snapToGrid w:val="0"/>
          <w:sz w:val="21"/>
          <w:szCs w:val="21"/>
          <w:lang w:eastAsia="zh-CN"/>
        </w:rPr>
        <w:t>见《美国联邦法规》第</w:t>
      </w:r>
      <w:r>
        <w:rPr>
          <w:rFonts w:eastAsia="宋体"/>
          <w:snapToGrid w:val="0"/>
          <w:sz w:val="21"/>
          <w:szCs w:val="21"/>
          <w:lang w:eastAsia="zh-CN"/>
        </w:rPr>
        <w:t>21</w:t>
      </w:r>
      <w:r>
        <w:rPr>
          <w:rFonts w:eastAsia="宋体"/>
          <w:snapToGrid w:val="0"/>
          <w:sz w:val="21"/>
          <w:szCs w:val="21"/>
          <w:lang w:eastAsia="zh-CN"/>
        </w:rPr>
        <w:t>篇</w:t>
      </w:r>
      <w:r w:rsidRPr="00FE2212">
        <w:rPr>
          <w:rFonts w:eastAsia="宋体"/>
          <w:snapToGrid w:val="0"/>
          <w:sz w:val="21"/>
          <w:szCs w:val="21"/>
          <w:lang w:eastAsia="zh-CN"/>
        </w:rPr>
        <w:t>第</w:t>
      </w:r>
      <w:r w:rsidRPr="00FE2212">
        <w:rPr>
          <w:rFonts w:eastAsia="宋体"/>
          <w:snapToGrid w:val="0"/>
          <w:sz w:val="21"/>
          <w:szCs w:val="21"/>
          <w:lang w:eastAsia="zh-CN"/>
        </w:rPr>
        <w:t>4</w:t>
      </w:r>
      <w:r w:rsidRPr="00FE2212">
        <w:rPr>
          <w:rFonts w:eastAsia="宋体"/>
          <w:snapToGrid w:val="0"/>
          <w:sz w:val="21"/>
          <w:szCs w:val="21"/>
          <w:lang w:eastAsia="zh-CN"/>
        </w:rPr>
        <w:t>节</w:t>
      </w:r>
      <w:r w:rsidRPr="00FE2212">
        <w:rPr>
          <w:rFonts w:eastAsia="宋体"/>
          <w:snapToGrid w:val="0"/>
          <w:sz w:val="21"/>
          <w:szCs w:val="21"/>
          <w:lang w:eastAsia="zh-CN"/>
        </w:rPr>
        <w:t>A</w:t>
      </w:r>
      <w:r w:rsidRPr="00FE2212">
        <w:rPr>
          <w:rFonts w:eastAsia="宋体"/>
          <w:snapToGrid w:val="0"/>
          <w:sz w:val="21"/>
          <w:szCs w:val="21"/>
          <w:lang w:eastAsia="zh-CN"/>
        </w:rPr>
        <w:t>子节；另见</w:t>
      </w:r>
      <w:r w:rsidR="00CB1519">
        <w:rPr>
          <w:rFonts w:eastAsia="宋体" w:hint="eastAsia"/>
          <w:snapToGrid w:val="0"/>
          <w:sz w:val="21"/>
          <w:szCs w:val="21"/>
          <w:lang w:eastAsia="zh-CN"/>
        </w:rPr>
        <w:t>面向</w:t>
      </w:r>
      <w:r w:rsidRPr="00FE2212">
        <w:rPr>
          <w:rFonts w:eastAsia="宋体"/>
          <w:snapToGrid w:val="0"/>
          <w:sz w:val="21"/>
          <w:szCs w:val="21"/>
          <w:lang w:eastAsia="zh-CN"/>
        </w:rPr>
        <w:t>行业和</w:t>
      </w:r>
      <w:r w:rsidRPr="00FE2212">
        <w:rPr>
          <w:rFonts w:eastAsia="宋体"/>
          <w:snapToGrid w:val="0"/>
          <w:sz w:val="21"/>
          <w:szCs w:val="21"/>
          <w:lang w:eastAsia="zh-CN"/>
        </w:rPr>
        <w:t>FDA</w:t>
      </w:r>
      <w:r w:rsidRPr="00FE2212">
        <w:rPr>
          <w:rFonts w:eastAsia="宋体"/>
          <w:snapToGrid w:val="0"/>
          <w:sz w:val="21"/>
          <w:szCs w:val="21"/>
          <w:lang w:eastAsia="zh-CN"/>
        </w:rPr>
        <w:t>工作人员</w:t>
      </w:r>
      <w:r w:rsidR="00CB1519">
        <w:rPr>
          <w:rFonts w:eastAsia="宋体" w:hint="eastAsia"/>
          <w:snapToGrid w:val="0"/>
          <w:sz w:val="21"/>
          <w:szCs w:val="21"/>
          <w:lang w:eastAsia="zh-CN"/>
        </w:rPr>
        <w:t>的</w:t>
      </w:r>
      <w:r w:rsidRPr="00FE2212">
        <w:rPr>
          <w:rFonts w:eastAsia="宋体"/>
          <w:snapToGrid w:val="0"/>
          <w:sz w:val="21"/>
          <w:szCs w:val="21"/>
          <w:lang w:eastAsia="zh-CN"/>
        </w:rPr>
        <w:t>指南，</w:t>
      </w:r>
      <w:r w:rsidRPr="00682B6C">
        <w:rPr>
          <w:rFonts w:eastAsia="宋体"/>
          <w:i/>
          <w:snapToGrid w:val="0"/>
          <w:sz w:val="21"/>
          <w:szCs w:val="21"/>
          <w:lang w:eastAsia="zh-CN"/>
        </w:rPr>
        <w:t>现行组合产品生产质量管理规范</w:t>
      </w:r>
      <w:r w:rsidRPr="00FE2212">
        <w:rPr>
          <w:rFonts w:eastAsia="宋体"/>
          <w:snapToGrid w:val="0"/>
          <w:sz w:val="21"/>
          <w:szCs w:val="21"/>
          <w:lang w:eastAsia="zh-CN"/>
        </w:rPr>
        <w:t>（</w:t>
      </w:r>
      <w:hyperlink r:id="rId5" w:history="1">
        <w:r w:rsidRPr="00682B6C">
          <w:rPr>
            <w:rStyle w:val="a9"/>
            <w:rFonts w:eastAsia="宋体"/>
            <w:snapToGrid w:val="0"/>
            <w:sz w:val="21"/>
            <w:szCs w:val="21"/>
            <w:lang w:eastAsia="zh-CN"/>
          </w:rPr>
          <w:t>https://www.fda.gov/regulatory-information/search-fda-guidance-documents/current-good-manufacturing-practice-requirements-combination-products</w:t>
        </w:r>
      </w:hyperlink>
      <w:r w:rsidRPr="00FE2212">
        <w:rPr>
          <w:rFonts w:eastAsia="宋体"/>
          <w:snapToGrid w:val="0"/>
          <w:sz w:val="21"/>
          <w:szCs w:val="21"/>
          <w:lang w:eastAsia="zh-CN"/>
        </w:rPr>
        <w:t>）（按法规要求提供指导意见））。例如，采购控制应包括适当的规定，以便在调查涉及注射器的不良事件时，允许注射器公司和制药公司之间进行沟通和信息共享。</w:t>
      </w:r>
    </w:p>
  </w:footnote>
  <w:footnote w:id="12">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FE2212">
        <w:rPr>
          <w:rFonts w:eastAsia="宋体"/>
          <w:snapToGrid w:val="0"/>
          <w:sz w:val="21"/>
          <w:szCs w:val="21"/>
          <w:lang w:eastAsia="zh-CN"/>
        </w:rPr>
        <w:t>虽然研究用组合产品不受制于组合产品</w:t>
      </w:r>
      <w:r w:rsidRPr="00FE2212">
        <w:rPr>
          <w:rFonts w:eastAsia="宋体"/>
          <w:snapToGrid w:val="0"/>
          <w:sz w:val="21"/>
          <w:szCs w:val="21"/>
          <w:lang w:eastAsia="zh-CN"/>
        </w:rPr>
        <w:t>PMSR</w:t>
      </w:r>
      <w:r w:rsidRPr="00FE2212">
        <w:rPr>
          <w:rFonts w:eastAsia="宋体"/>
          <w:snapToGrid w:val="0"/>
          <w:sz w:val="21"/>
          <w:szCs w:val="21"/>
          <w:lang w:eastAsia="zh-CN"/>
        </w:rPr>
        <w:t>最终规则，但如果临床研究中使用的组合产品或组成部分已合法上市，则这些实体必须按照适用于该实体上市的组合产品或组成部分的</w:t>
      </w:r>
      <w:r w:rsidRPr="00FE2212">
        <w:rPr>
          <w:rFonts w:eastAsia="宋体"/>
          <w:snapToGrid w:val="0"/>
          <w:sz w:val="21"/>
          <w:szCs w:val="21"/>
          <w:lang w:eastAsia="zh-CN"/>
        </w:rPr>
        <w:t>PMSR</w:t>
      </w:r>
      <w:r w:rsidRPr="00FE2212">
        <w:rPr>
          <w:rFonts w:eastAsia="宋体"/>
          <w:snapToGrid w:val="0"/>
          <w:sz w:val="21"/>
          <w:szCs w:val="21"/>
          <w:lang w:eastAsia="zh-CN"/>
        </w:rPr>
        <w:t>要求，报告临床研究环境中发生的不良事件。例如，如果组合产品申请人根据</w:t>
      </w:r>
      <w:r w:rsidRPr="00FE2212">
        <w:rPr>
          <w:rFonts w:eastAsia="宋体"/>
          <w:snapToGrid w:val="0"/>
          <w:sz w:val="21"/>
          <w:szCs w:val="21"/>
          <w:lang w:eastAsia="zh-CN"/>
        </w:rPr>
        <w:t>NDA</w:t>
      </w:r>
      <w:r w:rsidRPr="00FE2212">
        <w:rPr>
          <w:rFonts w:eastAsia="宋体"/>
          <w:snapToGrid w:val="0"/>
          <w:sz w:val="21"/>
          <w:szCs w:val="21"/>
          <w:lang w:eastAsia="zh-CN"/>
        </w:rPr>
        <w:t>合法上市药械组合产品，并收到该组合产品在新用途研究期间发生的故障报告，则该组合产品申请人必须根据《美国联邦法规》第</w:t>
      </w:r>
      <w:r>
        <w:rPr>
          <w:rFonts w:eastAsia="宋体"/>
          <w:snapToGrid w:val="0"/>
          <w:sz w:val="21"/>
          <w:szCs w:val="21"/>
          <w:lang w:eastAsia="zh-CN"/>
        </w:rPr>
        <w:t>21</w:t>
      </w:r>
      <w:r>
        <w:rPr>
          <w:rFonts w:eastAsia="宋体"/>
          <w:snapToGrid w:val="0"/>
          <w:sz w:val="21"/>
          <w:szCs w:val="21"/>
          <w:lang w:eastAsia="zh-CN"/>
        </w:rPr>
        <w:t>篇</w:t>
      </w:r>
      <w:r w:rsidRPr="00FE2212">
        <w:rPr>
          <w:rFonts w:eastAsia="宋体"/>
          <w:snapToGrid w:val="0"/>
          <w:sz w:val="21"/>
          <w:szCs w:val="21"/>
          <w:lang w:eastAsia="zh-CN"/>
        </w:rPr>
        <w:t>第</w:t>
      </w:r>
      <w:r w:rsidRPr="00FE2212">
        <w:rPr>
          <w:rFonts w:eastAsia="宋体"/>
          <w:snapToGrid w:val="0"/>
          <w:sz w:val="21"/>
          <w:szCs w:val="21"/>
          <w:lang w:eastAsia="zh-CN"/>
        </w:rPr>
        <w:t>4.102</w:t>
      </w:r>
      <w:r w:rsidRPr="00FE2212">
        <w:rPr>
          <w:rFonts w:eastAsia="宋体"/>
          <w:snapToGrid w:val="0"/>
          <w:sz w:val="21"/>
          <w:szCs w:val="21"/>
          <w:lang w:eastAsia="zh-CN"/>
        </w:rPr>
        <w:t>（</w:t>
      </w:r>
      <w:r w:rsidRPr="00FE2212">
        <w:rPr>
          <w:rFonts w:eastAsia="宋体"/>
          <w:snapToGrid w:val="0"/>
          <w:sz w:val="21"/>
          <w:szCs w:val="21"/>
          <w:lang w:eastAsia="zh-CN"/>
        </w:rPr>
        <w:t>c</w:t>
      </w:r>
      <w:r w:rsidRPr="00FE2212">
        <w:rPr>
          <w:rFonts w:eastAsia="宋体"/>
          <w:snapToGrid w:val="0"/>
          <w:sz w:val="21"/>
          <w:szCs w:val="21"/>
          <w:lang w:eastAsia="zh-CN"/>
        </w:rPr>
        <w:t>）（</w:t>
      </w:r>
      <w:r w:rsidRPr="00FA5CED">
        <w:rPr>
          <w:rFonts w:eastAsia="宋体"/>
          <w:snapToGrid w:val="0"/>
          <w:sz w:val="21"/>
          <w:szCs w:val="21"/>
          <w:lang w:eastAsia="zh-CN"/>
        </w:rPr>
        <w:t>1</w:t>
      </w:r>
      <w:r w:rsidRPr="00FE2212">
        <w:rPr>
          <w:rFonts w:eastAsia="宋体"/>
          <w:snapToGrid w:val="0"/>
          <w:sz w:val="21"/>
          <w:szCs w:val="21"/>
          <w:lang w:eastAsia="zh-CN"/>
        </w:rPr>
        <w:t>）（</w:t>
      </w:r>
      <w:r w:rsidRPr="00FE2212">
        <w:rPr>
          <w:rFonts w:eastAsia="宋体"/>
          <w:snapToGrid w:val="0"/>
          <w:sz w:val="21"/>
          <w:szCs w:val="21"/>
          <w:lang w:eastAsia="zh-CN"/>
        </w:rPr>
        <w:t>ii</w:t>
      </w:r>
      <w:r w:rsidRPr="00FE2212">
        <w:rPr>
          <w:rFonts w:eastAsia="宋体"/>
          <w:snapToGrid w:val="0"/>
          <w:sz w:val="21"/>
          <w:szCs w:val="21"/>
          <w:lang w:eastAsia="zh-CN"/>
        </w:rPr>
        <w:t>）</w:t>
      </w:r>
      <w:r>
        <w:rPr>
          <w:rFonts w:eastAsia="宋体"/>
          <w:snapToGrid w:val="0"/>
          <w:sz w:val="21"/>
          <w:szCs w:val="21"/>
          <w:lang w:eastAsia="zh-CN"/>
        </w:rPr>
        <w:t>节</w:t>
      </w:r>
      <w:r w:rsidRPr="00FE2212">
        <w:rPr>
          <w:rFonts w:eastAsia="宋体"/>
          <w:snapToGrid w:val="0"/>
          <w:sz w:val="21"/>
          <w:szCs w:val="21"/>
          <w:lang w:eastAsia="zh-CN"/>
        </w:rPr>
        <w:t>向</w:t>
      </w:r>
      <w:r w:rsidRPr="00FE2212">
        <w:rPr>
          <w:rFonts w:eastAsia="宋体"/>
          <w:snapToGrid w:val="0"/>
          <w:sz w:val="21"/>
          <w:szCs w:val="21"/>
          <w:lang w:eastAsia="zh-CN"/>
        </w:rPr>
        <w:t>FDA</w:t>
      </w:r>
      <w:r w:rsidRPr="00FE2212">
        <w:rPr>
          <w:rFonts w:eastAsia="宋体"/>
          <w:snapToGrid w:val="0"/>
          <w:sz w:val="21"/>
          <w:szCs w:val="21"/>
          <w:lang w:eastAsia="zh-CN"/>
        </w:rPr>
        <w:t>报告该故障（另见第</w:t>
      </w:r>
      <w:r>
        <w:rPr>
          <w:rFonts w:eastAsia="宋体" w:hint="eastAsia"/>
          <w:snapToGrid w:val="0"/>
          <w:sz w:val="21"/>
          <w:szCs w:val="21"/>
          <w:lang w:eastAsia="zh-CN"/>
        </w:rPr>
        <w:t>IV</w:t>
      </w:r>
      <w:r w:rsidRPr="00FE2212">
        <w:rPr>
          <w:rFonts w:eastAsia="宋体"/>
          <w:snapToGrid w:val="0"/>
          <w:sz w:val="21"/>
          <w:szCs w:val="21"/>
          <w:lang w:eastAsia="zh-CN"/>
        </w:rPr>
        <w:t>.A.3</w:t>
      </w:r>
      <w:r w:rsidRPr="00FE2212">
        <w:rPr>
          <w:rFonts w:eastAsia="宋体"/>
          <w:snapToGrid w:val="0"/>
          <w:sz w:val="21"/>
          <w:szCs w:val="21"/>
          <w:lang w:eastAsia="zh-CN"/>
        </w:rPr>
        <w:t>节）。请参见行业和食品药品监督管理局工作人员指南《制造商医疗器械报告》中关于临床研究中使用上市产品的相关讨论（访问网址：</w:t>
      </w:r>
      <w:hyperlink r:id="rId6" w:history="1">
        <w:r w:rsidRPr="00FE2212">
          <w:rPr>
            <w:rStyle w:val="a9"/>
            <w:rFonts w:eastAsia="宋体"/>
            <w:snapToGrid w:val="0"/>
            <w:sz w:val="21"/>
            <w:szCs w:val="21"/>
            <w:u w:color="0000FF"/>
            <w:lang w:eastAsia="zh-CN"/>
          </w:rPr>
          <w:t>https://www.fda.gov/regulatory-information/search-fda-guidance-documents/medical-device-reporting-manufacturers</w:t>
        </w:r>
      </w:hyperlink>
      <w:r w:rsidRPr="00FE2212">
        <w:rPr>
          <w:rFonts w:eastAsia="宋体"/>
          <w:snapToGrid w:val="0"/>
          <w:sz w:val="21"/>
          <w:szCs w:val="21"/>
          <w:lang w:eastAsia="zh-CN"/>
        </w:rPr>
        <w:t>），以及行业和研究者指南《</w:t>
      </w:r>
      <w:r w:rsidRPr="00FE2212">
        <w:rPr>
          <w:rFonts w:eastAsia="宋体"/>
          <w:snapToGrid w:val="0"/>
          <w:sz w:val="21"/>
          <w:szCs w:val="21"/>
          <w:lang w:eastAsia="zh-CN"/>
        </w:rPr>
        <w:t>IND</w:t>
      </w:r>
      <w:r w:rsidRPr="00FE2212">
        <w:rPr>
          <w:rFonts w:eastAsia="宋体"/>
          <w:snapToGrid w:val="0"/>
          <w:sz w:val="21"/>
          <w:szCs w:val="21"/>
          <w:lang w:eastAsia="zh-CN"/>
        </w:rPr>
        <w:t>和</w:t>
      </w:r>
      <w:r w:rsidRPr="00FE2212">
        <w:rPr>
          <w:rFonts w:eastAsia="宋体"/>
          <w:snapToGrid w:val="0"/>
          <w:sz w:val="21"/>
          <w:szCs w:val="21"/>
          <w:lang w:eastAsia="zh-CN"/>
        </w:rPr>
        <w:t>BA/BE</w:t>
      </w:r>
      <w:r w:rsidRPr="00FE2212">
        <w:rPr>
          <w:rFonts w:eastAsia="宋体"/>
          <w:snapToGrid w:val="0"/>
          <w:sz w:val="21"/>
          <w:szCs w:val="21"/>
          <w:lang w:eastAsia="zh-CN"/>
        </w:rPr>
        <w:t>研究的安全性报告要求》（访问网址：</w:t>
      </w:r>
      <w:hyperlink r:id="rId7" w:history="1">
        <w:r w:rsidRPr="00FE2212">
          <w:rPr>
            <w:rStyle w:val="a9"/>
            <w:rFonts w:eastAsia="宋体"/>
            <w:snapToGrid w:val="0"/>
            <w:sz w:val="21"/>
            <w:szCs w:val="21"/>
            <w:u w:color="0000FF"/>
            <w:lang w:eastAsia="zh-CN"/>
          </w:rPr>
          <w:t>https://www.fda.gov/regulatory-information/search-fda-guidance-documents/safety-reporting-requirements-inds-investigational-new-drug-applications-and-babe</w:t>
        </w:r>
      </w:hyperlink>
      <w:r w:rsidRPr="00FE2212">
        <w:rPr>
          <w:rFonts w:eastAsia="宋体"/>
          <w:snapToGrid w:val="0"/>
          <w:sz w:val="21"/>
          <w:szCs w:val="21"/>
          <w:lang w:eastAsia="zh-CN"/>
        </w:rPr>
        <w:t>）。如果实体对如何遵守适用于研究用组合产品的报告要求有疑问，应根据需要联系牵头中心或</w:t>
      </w:r>
      <w:r w:rsidRPr="00FE2212">
        <w:rPr>
          <w:rFonts w:eastAsia="宋体"/>
          <w:snapToGrid w:val="0"/>
          <w:sz w:val="21"/>
          <w:szCs w:val="21"/>
          <w:lang w:eastAsia="zh-CN"/>
        </w:rPr>
        <w:t>OCP</w:t>
      </w:r>
      <w:r w:rsidRPr="00FE2212">
        <w:rPr>
          <w:rFonts w:eastAsia="宋体"/>
          <w:snapToGrid w:val="0"/>
          <w:sz w:val="21"/>
          <w:szCs w:val="21"/>
          <w:lang w:eastAsia="zh-CN"/>
        </w:rPr>
        <w:t>。</w:t>
      </w:r>
    </w:p>
  </w:footnote>
  <w:footnote w:id="13">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FE2212">
        <w:rPr>
          <w:rFonts w:eastAsia="宋体"/>
          <w:snapToGrid w:val="0"/>
          <w:sz w:val="21"/>
          <w:szCs w:val="21"/>
          <w:lang w:eastAsia="zh-CN"/>
        </w:rPr>
        <w:t>一些</w:t>
      </w:r>
      <w:r w:rsidRPr="00FE2212">
        <w:rPr>
          <w:rFonts w:eastAsia="宋体"/>
          <w:snapToGrid w:val="0"/>
          <w:sz w:val="21"/>
          <w:szCs w:val="21"/>
          <w:lang w:eastAsia="zh-CN"/>
        </w:rPr>
        <w:t>PMSR</w:t>
      </w:r>
      <w:r w:rsidRPr="00FE2212">
        <w:rPr>
          <w:rFonts w:eastAsia="宋体"/>
          <w:snapToGrid w:val="0"/>
          <w:sz w:val="21"/>
          <w:szCs w:val="21"/>
          <w:lang w:eastAsia="zh-CN"/>
        </w:rPr>
        <w:t>法规中有关于免除、替代方案和豁免的规定（请参见，例如《美国联邦法规》第</w:t>
      </w:r>
      <w:r>
        <w:rPr>
          <w:rFonts w:eastAsia="宋体"/>
          <w:snapToGrid w:val="0"/>
          <w:sz w:val="21"/>
          <w:szCs w:val="21"/>
          <w:lang w:eastAsia="zh-CN"/>
        </w:rPr>
        <w:t>21</w:t>
      </w:r>
      <w:r>
        <w:rPr>
          <w:rFonts w:eastAsia="宋体"/>
          <w:snapToGrid w:val="0"/>
          <w:sz w:val="21"/>
          <w:szCs w:val="21"/>
          <w:lang w:eastAsia="zh-CN"/>
        </w:rPr>
        <w:t>篇</w:t>
      </w:r>
      <w:r w:rsidRPr="00FE2212">
        <w:rPr>
          <w:rFonts w:eastAsia="宋体"/>
          <w:snapToGrid w:val="0"/>
          <w:sz w:val="21"/>
          <w:szCs w:val="21"/>
          <w:lang w:eastAsia="zh-CN"/>
        </w:rPr>
        <w:t>第</w:t>
      </w:r>
      <w:r w:rsidRPr="00FE2212">
        <w:rPr>
          <w:rFonts w:eastAsia="宋体"/>
          <w:snapToGrid w:val="0"/>
          <w:sz w:val="21"/>
          <w:szCs w:val="21"/>
          <w:lang w:eastAsia="zh-CN"/>
        </w:rPr>
        <w:t>314.90</w:t>
      </w:r>
      <w:r w:rsidRPr="00FE2212">
        <w:rPr>
          <w:rFonts w:eastAsia="宋体"/>
          <w:snapToGrid w:val="0"/>
          <w:sz w:val="21"/>
          <w:szCs w:val="21"/>
          <w:lang w:eastAsia="zh-CN"/>
        </w:rPr>
        <w:t>、</w:t>
      </w:r>
      <w:r w:rsidRPr="00FE2212">
        <w:rPr>
          <w:rFonts w:eastAsia="宋体"/>
          <w:snapToGrid w:val="0"/>
          <w:sz w:val="21"/>
          <w:szCs w:val="21"/>
          <w:lang w:eastAsia="zh-CN"/>
        </w:rPr>
        <w:t>600.90</w:t>
      </w:r>
      <w:r w:rsidRPr="00FE2212">
        <w:rPr>
          <w:rFonts w:eastAsia="宋体"/>
          <w:snapToGrid w:val="0"/>
          <w:sz w:val="21"/>
          <w:szCs w:val="21"/>
          <w:lang w:eastAsia="zh-CN"/>
        </w:rPr>
        <w:t>和</w:t>
      </w:r>
      <w:r w:rsidRPr="00FE2212">
        <w:rPr>
          <w:rFonts w:eastAsia="宋体"/>
          <w:snapToGrid w:val="0"/>
          <w:sz w:val="21"/>
          <w:szCs w:val="21"/>
          <w:lang w:eastAsia="zh-CN"/>
        </w:rPr>
        <w:t>803.19</w:t>
      </w:r>
      <w:r w:rsidRPr="00FE2212">
        <w:rPr>
          <w:rFonts w:eastAsia="宋体"/>
          <w:snapToGrid w:val="0"/>
          <w:sz w:val="21"/>
          <w:szCs w:val="21"/>
          <w:lang w:eastAsia="zh-CN"/>
        </w:rPr>
        <w:t>节）。这些规定适用于组合产品。有关申请免除、替代方案或豁免的问题应根据需要直接向牵头中心或</w:t>
      </w:r>
      <w:r w:rsidRPr="00FE2212">
        <w:rPr>
          <w:rFonts w:eastAsia="宋体"/>
          <w:snapToGrid w:val="0"/>
          <w:sz w:val="21"/>
          <w:szCs w:val="21"/>
          <w:lang w:eastAsia="zh-CN"/>
        </w:rPr>
        <w:t>OCP</w:t>
      </w:r>
      <w:r w:rsidRPr="00FE2212">
        <w:rPr>
          <w:rFonts w:eastAsia="宋体"/>
          <w:snapToGrid w:val="0"/>
          <w:sz w:val="21"/>
          <w:szCs w:val="21"/>
          <w:lang w:eastAsia="zh-CN"/>
        </w:rPr>
        <w:t>提出。</w:t>
      </w:r>
    </w:p>
  </w:footnote>
  <w:footnote w:id="14">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FE2212">
        <w:rPr>
          <w:rFonts w:eastAsia="宋体"/>
          <w:snapToGrid w:val="0"/>
          <w:sz w:val="21"/>
          <w:szCs w:val="21"/>
          <w:lang w:eastAsia="zh-CN"/>
        </w:rPr>
        <w:t>与《美国联邦法规》第</w:t>
      </w:r>
      <w:r>
        <w:rPr>
          <w:rFonts w:eastAsia="宋体"/>
          <w:snapToGrid w:val="0"/>
          <w:sz w:val="21"/>
          <w:szCs w:val="21"/>
          <w:lang w:eastAsia="zh-CN"/>
        </w:rPr>
        <w:t>21</w:t>
      </w:r>
      <w:r>
        <w:rPr>
          <w:rFonts w:eastAsia="宋体"/>
          <w:snapToGrid w:val="0"/>
          <w:sz w:val="21"/>
          <w:szCs w:val="21"/>
          <w:lang w:eastAsia="zh-CN"/>
        </w:rPr>
        <w:t>篇</w:t>
      </w:r>
      <w:r w:rsidRPr="00FE2212">
        <w:rPr>
          <w:rFonts w:eastAsia="宋体"/>
          <w:snapToGrid w:val="0"/>
          <w:sz w:val="21"/>
          <w:szCs w:val="21"/>
          <w:lang w:eastAsia="zh-CN"/>
        </w:rPr>
        <w:t>第</w:t>
      </w:r>
      <w:r w:rsidRPr="00FE2212">
        <w:rPr>
          <w:rFonts w:eastAsia="宋体"/>
          <w:snapToGrid w:val="0"/>
          <w:sz w:val="21"/>
          <w:szCs w:val="21"/>
          <w:lang w:eastAsia="zh-CN"/>
        </w:rPr>
        <w:t>314.80</w:t>
      </w:r>
      <w:r w:rsidRPr="00FE2212">
        <w:rPr>
          <w:rFonts w:eastAsia="宋体"/>
          <w:snapToGrid w:val="0"/>
          <w:sz w:val="21"/>
          <w:szCs w:val="21"/>
          <w:lang w:eastAsia="zh-CN"/>
        </w:rPr>
        <w:t>和</w:t>
      </w:r>
      <w:r w:rsidRPr="00FE2212">
        <w:rPr>
          <w:rFonts w:eastAsia="宋体"/>
          <w:snapToGrid w:val="0"/>
          <w:sz w:val="21"/>
          <w:szCs w:val="21"/>
          <w:lang w:eastAsia="zh-CN"/>
        </w:rPr>
        <w:t>600.80</w:t>
      </w:r>
      <w:r w:rsidRPr="00FE2212">
        <w:rPr>
          <w:rFonts w:eastAsia="宋体"/>
          <w:snapToGrid w:val="0"/>
          <w:sz w:val="21"/>
          <w:szCs w:val="21"/>
          <w:lang w:eastAsia="zh-CN"/>
        </w:rPr>
        <w:t>节规定的报告要求相当。包含药品和生物制品组成部分的组合产品无需单独提交</w:t>
      </w:r>
      <w:r w:rsidRPr="00FE2212">
        <w:rPr>
          <w:rFonts w:eastAsia="宋体"/>
          <w:snapToGrid w:val="0"/>
          <w:sz w:val="21"/>
          <w:szCs w:val="21"/>
          <w:lang w:eastAsia="zh-CN"/>
        </w:rPr>
        <w:t>15</w:t>
      </w:r>
      <w:r w:rsidRPr="00FE2212">
        <w:rPr>
          <w:rFonts w:eastAsia="宋体"/>
          <w:snapToGrid w:val="0"/>
          <w:sz w:val="21"/>
          <w:szCs w:val="21"/>
          <w:lang w:eastAsia="zh-CN"/>
        </w:rPr>
        <w:t>天报告以符合每项要求。提交一份包含所需信息的</w:t>
      </w:r>
      <w:r w:rsidRPr="00FE2212">
        <w:rPr>
          <w:rFonts w:eastAsia="宋体"/>
          <w:snapToGrid w:val="0"/>
          <w:sz w:val="21"/>
          <w:szCs w:val="21"/>
          <w:lang w:eastAsia="zh-CN"/>
        </w:rPr>
        <w:t>15</w:t>
      </w:r>
      <w:r w:rsidRPr="00FE2212">
        <w:rPr>
          <w:rFonts w:eastAsia="宋体"/>
          <w:snapToGrid w:val="0"/>
          <w:sz w:val="21"/>
          <w:szCs w:val="21"/>
          <w:lang w:eastAsia="zh-CN"/>
        </w:rPr>
        <w:t>天报告即可（另</w:t>
      </w:r>
      <w:r w:rsidR="00910245">
        <w:rPr>
          <w:rFonts w:eastAsia="宋体" w:hint="eastAsia"/>
          <w:snapToGrid w:val="0"/>
          <w:sz w:val="21"/>
          <w:szCs w:val="21"/>
          <w:lang w:eastAsia="zh-CN"/>
        </w:rPr>
        <w:t>参</w:t>
      </w:r>
      <w:r w:rsidRPr="00FE2212">
        <w:rPr>
          <w:rFonts w:eastAsia="宋体"/>
          <w:snapToGrid w:val="0"/>
          <w:sz w:val="21"/>
          <w:szCs w:val="21"/>
          <w:lang w:eastAsia="zh-CN"/>
        </w:rPr>
        <w:t>见第</w:t>
      </w:r>
      <w:r w:rsidRPr="00C8689A">
        <w:rPr>
          <w:rFonts w:eastAsia="宋体"/>
          <w:snapToGrid w:val="0"/>
          <w:sz w:val="21"/>
          <w:szCs w:val="21"/>
          <w:lang w:eastAsia="zh-CN"/>
        </w:rPr>
        <w:t>IV</w:t>
      </w:r>
      <w:r w:rsidRPr="00FE2212">
        <w:rPr>
          <w:rFonts w:eastAsia="宋体"/>
          <w:snapToGrid w:val="0"/>
          <w:sz w:val="21"/>
          <w:szCs w:val="21"/>
          <w:lang w:eastAsia="zh-CN"/>
        </w:rPr>
        <w:t>.A.1</w:t>
      </w:r>
      <w:r w:rsidRPr="00FE2212">
        <w:rPr>
          <w:rFonts w:eastAsia="宋体"/>
          <w:snapToGrid w:val="0"/>
          <w:sz w:val="21"/>
          <w:szCs w:val="21"/>
          <w:lang w:eastAsia="zh-CN"/>
        </w:rPr>
        <w:t>节）。</w:t>
      </w:r>
    </w:p>
  </w:footnote>
  <w:footnote w:id="15">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除适用法规要求的信息外，组合产品申请人还应在说明中包括组合产品标识符，以及其他组成部分的申请编号。</w:t>
      </w:r>
    </w:p>
  </w:footnote>
  <w:footnote w:id="16">
    <w:p w:rsidR="0044544D" w:rsidRPr="003566B4" w:rsidRDefault="0044544D" w:rsidP="00682B6C">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然而，需要特别注意的是：组成部分申请人应对事件进行整体考虑，包括事件对安全有效使用组合产品的整体影响，以确保他们为其组成部分提供完整且全面的报告。</w:t>
      </w:r>
    </w:p>
  </w:footnote>
  <w:footnote w:id="17">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注意：本节未解释死亡和重伤的报告要求（</w:t>
      </w:r>
      <w:r w:rsidR="005D18E5">
        <w:rPr>
          <w:rFonts w:eastAsia="宋体" w:hint="eastAsia"/>
          <w:snapToGrid w:val="0"/>
          <w:sz w:val="21"/>
          <w:szCs w:val="21"/>
          <w:lang w:eastAsia="zh-CN"/>
        </w:rPr>
        <w:t>参</w:t>
      </w:r>
      <w:r w:rsidRPr="003566B4">
        <w:rPr>
          <w:rFonts w:eastAsia="宋体"/>
          <w:snapToGrid w:val="0"/>
          <w:sz w:val="21"/>
          <w:szCs w:val="21"/>
          <w:lang w:eastAsia="zh-CN"/>
        </w:rPr>
        <w:t>见《美国联邦法规》第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803</w:t>
      </w:r>
      <w:r w:rsidRPr="003566B4">
        <w:rPr>
          <w:rFonts w:eastAsia="宋体"/>
          <w:snapToGrid w:val="0"/>
          <w:sz w:val="21"/>
          <w:szCs w:val="21"/>
          <w:lang w:eastAsia="zh-CN"/>
        </w:rPr>
        <w:t>节），因为根据组合产品</w:t>
      </w:r>
      <w:r w:rsidRPr="003566B4">
        <w:rPr>
          <w:rFonts w:eastAsia="宋体"/>
          <w:snapToGrid w:val="0"/>
          <w:sz w:val="21"/>
          <w:szCs w:val="21"/>
          <w:lang w:eastAsia="zh-CN"/>
        </w:rPr>
        <w:t>PMSR</w:t>
      </w:r>
      <w:r w:rsidRPr="003566B4">
        <w:rPr>
          <w:rFonts w:eastAsia="宋体"/>
          <w:snapToGrid w:val="0"/>
          <w:sz w:val="21"/>
          <w:szCs w:val="21"/>
          <w:lang w:eastAsia="zh-CN"/>
        </w:rPr>
        <w:t>最终规则，这些要求仅适用于根据器械申请上市其产品的组合产品和组成部分申请人，这些申请人应熟悉这些基于申请类型的报告要求。同样，</w:t>
      </w:r>
      <w:r w:rsidR="00EA0542">
        <w:rPr>
          <w:rFonts w:eastAsia="宋体" w:hint="eastAsia"/>
          <w:snapToGrid w:val="0"/>
          <w:sz w:val="21"/>
          <w:szCs w:val="21"/>
          <w:lang w:eastAsia="zh-CN"/>
        </w:rPr>
        <w:t>本机构</w:t>
      </w:r>
      <w:r w:rsidRPr="003566B4">
        <w:rPr>
          <w:rFonts w:eastAsia="宋体"/>
          <w:snapToGrid w:val="0"/>
          <w:sz w:val="21"/>
          <w:szCs w:val="21"/>
          <w:lang w:eastAsia="zh-CN"/>
        </w:rPr>
        <w:t>不会在本节中解释《美国联邦法规》第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314.80</w:t>
      </w:r>
      <w:r w:rsidRPr="003566B4">
        <w:rPr>
          <w:rFonts w:eastAsia="宋体"/>
          <w:snapToGrid w:val="0"/>
          <w:sz w:val="21"/>
          <w:szCs w:val="21"/>
          <w:lang w:eastAsia="zh-CN"/>
        </w:rPr>
        <w:t>和</w:t>
      </w:r>
      <w:r w:rsidRPr="003566B4">
        <w:rPr>
          <w:rFonts w:eastAsia="宋体"/>
          <w:snapToGrid w:val="0"/>
          <w:sz w:val="21"/>
          <w:szCs w:val="21"/>
          <w:lang w:eastAsia="zh-CN"/>
        </w:rPr>
        <w:t>600.80</w:t>
      </w:r>
      <w:r w:rsidRPr="003566B4">
        <w:rPr>
          <w:rFonts w:eastAsia="宋体"/>
          <w:snapToGrid w:val="0"/>
          <w:sz w:val="21"/>
          <w:szCs w:val="21"/>
          <w:lang w:eastAsia="zh-CN"/>
        </w:rPr>
        <w:t>节下的非快速（非</w:t>
      </w:r>
      <w:r w:rsidRPr="003566B4">
        <w:rPr>
          <w:rFonts w:eastAsia="宋体"/>
          <w:snapToGrid w:val="0"/>
          <w:sz w:val="21"/>
          <w:szCs w:val="21"/>
          <w:lang w:eastAsia="zh-CN"/>
        </w:rPr>
        <w:t>15</w:t>
      </w:r>
      <w:r w:rsidRPr="003566B4">
        <w:rPr>
          <w:rFonts w:eastAsia="宋体"/>
          <w:snapToGrid w:val="0"/>
          <w:sz w:val="21"/>
          <w:szCs w:val="21"/>
          <w:lang w:eastAsia="zh-CN"/>
        </w:rPr>
        <w:t>天）</w:t>
      </w:r>
      <w:r w:rsidRPr="003566B4">
        <w:rPr>
          <w:rFonts w:eastAsia="宋体"/>
          <w:snapToGrid w:val="0"/>
          <w:sz w:val="21"/>
          <w:szCs w:val="21"/>
          <w:lang w:eastAsia="zh-CN"/>
        </w:rPr>
        <w:t>ICSR</w:t>
      </w:r>
      <w:r w:rsidRPr="003566B4">
        <w:rPr>
          <w:rFonts w:eastAsia="宋体"/>
          <w:snapToGrid w:val="0"/>
          <w:sz w:val="21"/>
          <w:szCs w:val="21"/>
          <w:lang w:eastAsia="zh-CN"/>
        </w:rPr>
        <w:t>报告，因为这些要求仅适用于根据</w:t>
      </w:r>
      <w:r w:rsidRPr="003566B4">
        <w:rPr>
          <w:rFonts w:eastAsia="宋体"/>
          <w:snapToGrid w:val="0"/>
          <w:sz w:val="21"/>
          <w:szCs w:val="21"/>
          <w:lang w:eastAsia="zh-CN"/>
        </w:rPr>
        <w:t>ANDA</w:t>
      </w:r>
      <w:r w:rsidRPr="003566B4">
        <w:rPr>
          <w:rFonts w:eastAsia="宋体"/>
          <w:snapToGrid w:val="0"/>
          <w:sz w:val="21"/>
          <w:szCs w:val="21"/>
          <w:lang w:eastAsia="zh-CN"/>
        </w:rPr>
        <w:t>、</w:t>
      </w:r>
      <w:r w:rsidRPr="003566B4">
        <w:rPr>
          <w:rFonts w:eastAsia="宋体"/>
          <w:snapToGrid w:val="0"/>
          <w:sz w:val="21"/>
          <w:szCs w:val="21"/>
          <w:lang w:eastAsia="zh-CN"/>
        </w:rPr>
        <w:t>NDA</w:t>
      </w:r>
      <w:r w:rsidRPr="003566B4">
        <w:rPr>
          <w:rFonts w:eastAsia="宋体"/>
          <w:snapToGrid w:val="0"/>
          <w:sz w:val="21"/>
          <w:szCs w:val="21"/>
          <w:lang w:eastAsia="zh-CN"/>
        </w:rPr>
        <w:t>或</w:t>
      </w:r>
      <w:r w:rsidRPr="003566B4">
        <w:rPr>
          <w:rFonts w:eastAsia="宋体"/>
          <w:snapToGrid w:val="0"/>
          <w:sz w:val="21"/>
          <w:szCs w:val="21"/>
          <w:lang w:eastAsia="zh-CN"/>
        </w:rPr>
        <w:t>BLA</w:t>
      </w:r>
      <w:r w:rsidRPr="003566B4">
        <w:rPr>
          <w:rFonts w:eastAsia="宋体"/>
          <w:snapToGrid w:val="0"/>
          <w:sz w:val="21"/>
          <w:szCs w:val="21"/>
          <w:lang w:eastAsia="zh-CN"/>
        </w:rPr>
        <w:t>上市其产品的组合产品和组成部分申请人，并且这些实体应熟悉这些基于申请类型的报告要求。</w:t>
      </w:r>
    </w:p>
  </w:footnote>
  <w:footnote w:id="18">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sidRPr="003566B4">
        <w:rPr>
          <w:rFonts w:eastAsia="宋体"/>
          <w:sz w:val="21"/>
          <w:szCs w:val="21"/>
          <w:lang w:eastAsia="zh-CN"/>
        </w:rPr>
        <w:t xml:space="preserve"> </w:t>
      </w:r>
      <w:r w:rsidRPr="003566B4">
        <w:rPr>
          <w:rFonts w:eastAsia="宋体"/>
          <w:snapToGrid w:val="0"/>
          <w:sz w:val="21"/>
          <w:szCs w:val="21"/>
          <w:lang w:eastAsia="zh-CN"/>
        </w:rPr>
        <w:t>《美国联邦法规》第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314.80</w:t>
      </w:r>
      <w:r w:rsidRPr="003566B4">
        <w:rPr>
          <w:rFonts w:eastAsia="宋体"/>
          <w:snapToGrid w:val="0"/>
          <w:sz w:val="21"/>
          <w:szCs w:val="21"/>
          <w:lang w:eastAsia="zh-CN"/>
        </w:rPr>
        <w:t>（</w:t>
      </w:r>
      <w:r w:rsidRPr="003566B4">
        <w:rPr>
          <w:rFonts w:eastAsia="宋体"/>
          <w:snapToGrid w:val="0"/>
          <w:sz w:val="21"/>
          <w:szCs w:val="21"/>
          <w:lang w:eastAsia="zh-CN"/>
        </w:rPr>
        <w:t>c</w:t>
      </w:r>
      <w:r w:rsidRPr="003566B4">
        <w:rPr>
          <w:rFonts w:eastAsia="宋体"/>
          <w:snapToGrid w:val="0"/>
          <w:sz w:val="21"/>
          <w:szCs w:val="21"/>
          <w:lang w:eastAsia="zh-CN"/>
        </w:rPr>
        <w:t>）和</w:t>
      </w:r>
      <w:r w:rsidRPr="003566B4">
        <w:rPr>
          <w:rFonts w:eastAsia="宋体"/>
          <w:snapToGrid w:val="0"/>
          <w:sz w:val="21"/>
          <w:szCs w:val="21"/>
          <w:lang w:eastAsia="zh-CN"/>
        </w:rPr>
        <w:t>600.80</w:t>
      </w:r>
      <w:r w:rsidRPr="003566B4">
        <w:rPr>
          <w:rFonts w:eastAsia="宋体"/>
          <w:snapToGrid w:val="0"/>
          <w:sz w:val="21"/>
          <w:szCs w:val="21"/>
          <w:lang w:eastAsia="zh-CN"/>
        </w:rPr>
        <w:t>（</w:t>
      </w:r>
      <w:r w:rsidRPr="003566B4">
        <w:rPr>
          <w:rFonts w:eastAsia="宋体"/>
          <w:snapToGrid w:val="0"/>
          <w:sz w:val="21"/>
          <w:szCs w:val="21"/>
          <w:lang w:eastAsia="zh-CN"/>
        </w:rPr>
        <w:t>c</w:t>
      </w:r>
      <w:r w:rsidRPr="003566B4">
        <w:rPr>
          <w:rFonts w:eastAsia="宋体"/>
          <w:snapToGrid w:val="0"/>
          <w:sz w:val="21"/>
          <w:szCs w:val="21"/>
          <w:lang w:eastAsia="zh-CN"/>
        </w:rPr>
        <w:t>）节在组合产品</w:t>
      </w:r>
      <w:r w:rsidRPr="003566B4">
        <w:rPr>
          <w:rFonts w:eastAsia="宋体"/>
          <w:snapToGrid w:val="0"/>
          <w:sz w:val="21"/>
          <w:szCs w:val="21"/>
          <w:lang w:eastAsia="zh-CN"/>
        </w:rPr>
        <w:t>PMSR</w:t>
      </w:r>
      <w:r w:rsidRPr="003566B4">
        <w:rPr>
          <w:rFonts w:eastAsia="宋体"/>
          <w:snapToGrid w:val="0"/>
          <w:sz w:val="21"/>
          <w:szCs w:val="21"/>
          <w:lang w:eastAsia="zh-CN"/>
        </w:rPr>
        <w:t>最终规则（</w:t>
      </w:r>
      <w:r w:rsidR="004C2E94">
        <w:rPr>
          <w:rFonts w:eastAsia="宋体" w:hint="eastAsia"/>
          <w:snapToGrid w:val="0"/>
          <w:sz w:val="21"/>
          <w:szCs w:val="21"/>
          <w:lang w:eastAsia="zh-CN"/>
        </w:rPr>
        <w:t>参</w:t>
      </w:r>
      <w:r w:rsidRPr="003566B4">
        <w:rPr>
          <w:rFonts w:eastAsia="宋体"/>
          <w:snapToGrid w:val="0"/>
          <w:sz w:val="21"/>
          <w:szCs w:val="21"/>
          <w:lang w:eastAsia="zh-CN"/>
        </w:rPr>
        <w:t>见《美国联邦法规》第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4.101</w:t>
      </w:r>
      <w:r w:rsidRPr="003566B4">
        <w:rPr>
          <w:rFonts w:eastAsia="宋体"/>
          <w:snapToGrid w:val="0"/>
          <w:sz w:val="21"/>
          <w:szCs w:val="21"/>
          <w:lang w:eastAsia="zh-CN"/>
        </w:rPr>
        <w:t>节）中使用术语</w:t>
      </w:r>
      <w:r w:rsidRPr="003566B4">
        <w:rPr>
          <w:rFonts w:ascii="宋体" w:eastAsia="宋体" w:hAnsi="宋体"/>
          <w:snapToGrid w:val="0"/>
          <w:sz w:val="21"/>
          <w:szCs w:val="21"/>
          <w:lang w:eastAsia="zh-CN"/>
        </w:rPr>
        <w:t>“</w:t>
      </w:r>
      <w:r w:rsidRPr="003566B4">
        <w:rPr>
          <w:rFonts w:eastAsia="宋体"/>
          <w:snapToGrid w:val="0"/>
          <w:sz w:val="21"/>
          <w:szCs w:val="21"/>
          <w:lang w:eastAsia="zh-CN"/>
        </w:rPr>
        <w:t>15</w:t>
      </w:r>
      <w:r w:rsidRPr="003566B4">
        <w:rPr>
          <w:rFonts w:eastAsia="宋体"/>
          <w:snapToGrid w:val="0"/>
          <w:sz w:val="21"/>
          <w:szCs w:val="21"/>
          <w:lang w:eastAsia="zh-CN"/>
        </w:rPr>
        <w:t>天警戒报告</w:t>
      </w:r>
      <w:r w:rsidRPr="003566B4">
        <w:rPr>
          <w:rFonts w:ascii="宋体" w:eastAsia="宋体" w:hAnsi="宋体"/>
          <w:snapToGrid w:val="0"/>
          <w:sz w:val="21"/>
          <w:szCs w:val="21"/>
          <w:lang w:eastAsia="zh-CN"/>
        </w:rPr>
        <w:t>”</w:t>
      </w:r>
      <w:r w:rsidRPr="003566B4">
        <w:rPr>
          <w:rFonts w:eastAsia="宋体"/>
          <w:snapToGrid w:val="0"/>
          <w:sz w:val="21"/>
          <w:szCs w:val="21"/>
          <w:lang w:eastAsia="zh-CN"/>
        </w:rPr>
        <w:t>，这些报告被定义为</w:t>
      </w:r>
      <w:r w:rsidRPr="003566B4">
        <w:rPr>
          <w:rFonts w:ascii="宋体" w:eastAsia="宋体" w:hAnsi="宋体"/>
          <w:snapToGrid w:val="0"/>
          <w:sz w:val="21"/>
          <w:szCs w:val="21"/>
          <w:lang w:eastAsia="zh-CN"/>
        </w:rPr>
        <w:t>“</w:t>
      </w:r>
      <w:r w:rsidRPr="003566B4">
        <w:rPr>
          <w:rFonts w:eastAsia="宋体"/>
          <w:snapToGrid w:val="0"/>
          <w:sz w:val="21"/>
          <w:szCs w:val="21"/>
          <w:lang w:eastAsia="zh-CN"/>
        </w:rPr>
        <w:t>15</w:t>
      </w:r>
      <w:r w:rsidRPr="003566B4">
        <w:rPr>
          <w:rFonts w:eastAsia="宋体"/>
          <w:snapToGrid w:val="0"/>
          <w:sz w:val="21"/>
          <w:szCs w:val="21"/>
          <w:lang w:eastAsia="zh-CN"/>
        </w:rPr>
        <w:t>天报告</w:t>
      </w:r>
      <w:r w:rsidRPr="003566B4">
        <w:rPr>
          <w:rFonts w:ascii="宋体" w:eastAsia="宋体" w:hAnsi="宋体"/>
          <w:snapToGrid w:val="0"/>
          <w:sz w:val="21"/>
          <w:szCs w:val="21"/>
          <w:lang w:eastAsia="zh-CN"/>
        </w:rPr>
        <w:t>”</w:t>
      </w:r>
      <w:r w:rsidRPr="003566B4">
        <w:rPr>
          <w:rFonts w:eastAsia="宋体"/>
          <w:snapToGrid w:val="0"/>
          <w:sz w:val="21"/>
          <w:szCs w:val="21"/>
          <w:lang w:eastAsia="zh-CN"/>
        </w:rPr>
        <w:t>，本指南将使用该术语。</w:t>
      </w:r>
    </w:p>
  </w:footnote>
  <w:footnote w:id="19">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在考虑向</w:t>
      </w:r>
      <w:r w:rsidRPr="003566B4">
        <w:rPr>
          <w:rFonts w:eastAsia="宋体"/>
          <w:snapToGrid w:val="0"/>
          <w:sz w:val="21"/>
          <w:szCs w:val="21"/>
          <w:lang w:eastAsia="zh-CN"/>
        </w:rPr>
        <w:t>FDA</w:t>
      </w:r>
      <w:r w:rsidRPr="003566B4">
        <w:rPr>
          <w:rFonts w:eastAsia="宋体"/>
          <w:snapToGrid w:val="0"/>
          <w:sz w:val="21"/>
          <w:szCs w:val="21"/>
          <w:lang w:eastAsia="zh-CN"/>
        </w:rPr>
        <w:t>提交</w:t>
      </w:r>
      <w:r w:rsidRPr="003566B4">
        <w:rPr>
          <w:rFonts w:eastAsia="宋体"/>
          <w:snapToGrid w:val="0"/>
          <w:sz w:val="21"/>
          <w:szCs w:val="21"/>
          <w:lang w:eastAsia="zh-CN"/>
        </w:rPr>
        <w:t>15</w:t>
      </w:r>
      <w:r w:rsidRPr="003566B4">
        <w:rPr>
          <w:rFonts w:eastAsia="宋体"/>
          <w:snapToGrid w:val="0"/>
          <w:sz w:val="21"/>
          <w:szCs w:val="21"/>
          <w:lang w:eastAsia="zh-CN"/>
        </w:rPr>
        <w:t>天报告时，申请人至少应了解以下四个数据要素：</w:t>
      </w:r>
      <w:r w:rsidRPr="003566B4">
        <w:rPr>
          <w:rFonts w:eastAsia="宋体"/>
          <w:snapToGrid w:val="0"/>
          <w:sz w:val="21"/>
          <w:szCs w:val="21"/>
          <w:lang w:eastAsia="zh-CN"/>
        </w:rPr>
        <w:t>1</w:t>
      </w:r>
      <w:r w:rsidRPr="003566B4">
        <w:rPr>
          <w:rFonts w:eastAsia="宋体"/>
          <w:snapToGrid w:val="0"/>
          <w:sz w:val="21"/>
          <w:szCs w:val="21"/>
          <w:lang w:eastAsia="zh-CN"/>
        </w:rPr>
        <w:t>）可识别的患者，</w:t>
      </w:r>
      <w:r w:rsidRPr="003566B4">
        <w:rPr>
          <w:rFonts w:eastAsia="宋体"/>
          <w:snapToGrid w:val="0"/>
          <w:sz w:val="21"/>
          <w:szCs w:val="21"/>
          <w:lang w:eastAsia="zh-CN"/>
        </w:rPr>
        <w:t>2</w:t>
      </w:r>
      <w:r w:rsidRPr="003566B4">
        <w:rPr>
          <w:rFonts w:eastAsia="宋体"/>
          <w:snapToGrid w:val="0"/>
          <w:sz w:val="21"/>
          <w:szCs w:val="21"/>
          <w:lang w:eastAsia="zh-CN"/>
        </w:rPr>
        <w:t>）可识别的报告者，</w:t>
      </w:r>
      <w:r w:rsidRPr="003566B4">
        <w:rPr>
          <w:rFonts w:eastAsia="宋体"/>
          <w:snapToGrid w:val="0"/>
          <w:sz w:val="21"/>
          <w:szCs w:val="21"/>
          <w:lang w:eastAsia="zh-CN"/>
        </w:rPr>
        <w:t>3</w:t>
      </w:r>
      <w:r w:rsidRPr="003566B4">
        <w:rPr>
          <w:rFonts w:eastAsia="宋体"/>
          <w:snapToGrid w:val="0"/>
          <w:sz w:val="21"/>
          <w:szCs w:val="21"/>
          <w:lang w:eastAsia="zh-CN"/>
        </w:rPr>
        <w:t>）可疑产品，和</w:t>
      </w:r>
      <w:r w:rsidRPr="003566B4">
        <w:rPr>
          <w:rFonts w:eastAsia="宋体"/>
          <w:snapToGrid w:val="0"/>
          <w:sz w:val="21"/>
          <w:szCs w:val="21"/>
          <w:lang w:eastAsia="zh-CN"/>
        </w:rPr>
        <w:t>4</w:t>
      </w:r>
      <w:r w:rsidRPr="003566B4">
        <w:rPr>
          <w:rFonts w:eastAsia="宋体"/>
          <w:snapToGrid w:val="0"/>
          <w:sz w:val="21"/>
          <w:szCs w:val="21"/>
          <w:lang w:eastAsia="zh-CN"/>
        </w:rPr>
        <w:t>）不良经历。详细信息请</w:t>
      </w:r>
      <w:r w:rsidR="004C2E94">
        <w:rPr>
          <w:rFonts w:eastAsia="宋体" w:hint="eastAsia"/>
          <w:snapToGrid w:val="0"/>
          <w:sz w:val="21"/>
          <w:szCs w:val="21"/>
          <w:lang w:eastAsia="zh-CN"/>
        </w:rPr>
        <w:t>参</w:t>
      </w:r>
      <w:r w:rsidRPr="003566B4">
        <w:rPr>
          <w:rFonts w:eastAsia="宋体"/>
          <w:snapToGrid w:val="0"/>
          <w:sz w:val="21"/>
          <w:szCs w:val="21"/>
          <w:lang w:eastAsia="zh-CN"/>
        </w:rPr>
        <w:t>见《行业指南草案》，</w:t>
      </w:r>
      <w:r w:rsidRPr="00FA5CED">
        <w:rPr>
          <w:rFonts w:eastAsia="宋体"/>
          <w:i/>
          <w:snapToGrid w:val="0"/>
          <w:sz w:val="21"/>
          <w:szCs w:val="21"/>
          <w:lang w:eastAsia="zh-CN"/>
        </w:rPr>
        <w:t>人用药和生物制品（包括疫苗）的上市后安全性报告</w:t>
      </w:r>
      <w:r w:rsidRPr="003566B4">
        <w:rPr>
          <w:rFonts w:eastAsia="宋体"/>
          <w:snapToGrid w:val="0"/>
          <w:sz w:val="21"/>
          <w:szCs w:val="21"/>
          <w:lang w:eastAsia="zh-CN"/>
        </w:rPr>
        <w:t>（</w:t>
      </w:r>
      <w:hyperlink r:id="rId8" w:history="1">
        <w:r w:rsidRPr="003566B4">
          <w:rPr>
            <w:rStyle w:val="a9"/>
            <w:rFonts w:eastAsia="宋体"/>
            <w:snapToGrid w:val="0"/>
            <w:sz w:val="21"/>
            <w:szCs w:val="21"/>
            <w:lang w:eastAsia="zh-CN"/>
          </w:rPr>
          <w:t>https://www.fda.gov/regulatory-information/search-fda-guidance-documents/postmarketing-safety-reporting-human-drug-and-biological-products-including-vaccines</w:t>
        </w:r>
      </w:hyperlink>
      <w:r w:rsidRPr="003566B4">
        <w:rPr>
          <w:rFonts w:eastAsia="宋体"/>
          <w:snapToGrid w:val="0"/>
          <w:sz w:val="21"/>
          <w:szCs w:val="21"/>
          <w:lang w:eastAsia="zh-CN"/>
        </w:rPr>
        <w:t>），该草案最终版将代表</w:t>
      </w:r>
      <w:r w:rsidRPr="003566B4">
        <w:rPr>
          <w:rFonts w:eastAsia="宋体"/>
          <w:snapToGrid w:val="0"/>
          <w:sz w:val="21"/>
          <w:szCs w:val="21"/>
          <w:lang w:eastAsia="zh-CN"/>
        </w:rPr>
        <w:t>FDA</w:t>
      </w:r>
      <w:r w:rsidRPr="00F45825">
        <w:rPr>
          <w:rFonts w:eastAsia="宋体" w:hint="eastAsia"/>
          <w:snapToGrid w:val="0"/>
          <w:sz w:val="21"/>
          <w:szCs w:val="21"/>
          <w:lang w:eastAsia="zh-CN"/>
        </w:rPr>
        <w:t>目前关于该主题的思考</w:t>
      </w:r>
      <w:r w:rsidRPr="003566B4">
        <w:rPr>
          <w:rFonts w:eastAsia="宋体"/>
          <w:snapToGrid w:val="0"/>
          <w:sz w:val="21"/>
          <w:szCs w:val="21"/>
          <w:lang w:eastAsia="zh-CN"/>
        </w:rPr>
        <w:t>。</w:t>
      </w:r>
    </w:p>
  </w:footnote>
  <w:footnote w:id="20">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rPr>
        <w:t>有关这些定义的详细信息请</w:t>
      </w:r>
      <w:r w:rsidR="004C2E94">
        <w:rPr>
          <w:rFonts w:eastAsia="宋体" w:hint="eastAsia"/>
          <w:snapToGrid w:val="0"/>
          <w:sz w:val="21"/>
          <w:szCs w:val="21"/>
          <w:lang w:eastAsia="zh-CN"/>
        </w:rPr>
        <w:t>参</w:t>
      </w:r>
      <w:r w:rsidRPr="003566B4">
        <w:rPr>
          <w:rFonts w:eastAsia="宋体"/>
          <w:snapToGrid w:val="0"/>
          <w:sz w:val="21"/>
          <w:szCs w:val="21"/>
        </w:rPr>
        <w:t>见《行业指南草案》，</w:t>
      </w:r>
      <w:r w:rsidRPr="006320F0">
        <w:rPr>
          <w:rFonts w:eastAsia="宋体"/>
          <w:i/>
          <w:snapToGrid w:val="0"/>
          <w:sz w:val="21"/>
          <w:szCs w:val="21"/>
        </w:rPr>
        <w:t>人用药和生物制品（包括疫苗）的上市后安全性报告</w:t>
      </w:r>
      <w:r w:rsidRPr="003566B4">
        <w:rPr>
          <w:rFonts w:eastAsia="宋体"/>
          <w:snapToGrid w:val="0"/>
          <w:sz w:val="21"/>
          <w:szCs w:val="21"/>
        </w:rPr>
        <w:t>（</w:t>
      </w:r>
      <w:hyperlink r:id="rId9" w:history="1">
        <w:r w:rsidRPr="003566B4">
          <w:rPr>
            <w:rStyle w:val="a9"/>
            <w:rFonts w:eastAsia="宋体"/>
            <w:snapToGrid w:val="0"/>
            <w:sz w:val="21"/>
            <w:szCs w:val="21"/>
            <w:u w:color="0000FF"/>
          </w:rPr>
          <w:t>https://www.fda.gov/regulatory-information/search-fda-guidance-documents/postmarketing-safety-reporting-human-drug-and-biological-products- including-vaccines</w:t>
        </w:r>
      </w:hyperlink>
      <w:r w:rsidRPr="003566B4">
        <w:rPr>
          <w:rFonts w:eastAsia="宋体"/>
          <w:snapToGrid w:val="0"/>
          <w:sz w:val="21"/>
          <w:szCs w:val="21"/>
        </w:rPr>
        <w:t>），该草案最终版将代表</w:t>
      </w:r>
      <w:r w:rsidRPr="003566B4">
        <w:rPr>
          <w:rFonts w:eastAsia="宋体"/>
          <w:snapToGrid w:val="0"/>
          <w:sz w:val="21"/>
          <w:szCs w:val="21"/>
        </w:rPr>
        <w:t>FDA</w:t>
      </w:r>
      <w:r>
        <w:rPr>
          <w:rFonts w:eastAsia="宋体"/>
          <w:snapToGrid w:val="0"/>
          <w:sz w:val="21"/>
          <w:szCs w:val="21"/>
        </w:rPr>
        <w:t>目前</w:t>
      </w:r>
      <w:r>
        <w:rPr>
          <w:rFonts w:eastAsia="宋体" w:hint="eastAsia"/>
          <w:snapToGrid w:val="0"/>
          <w:sz w:val="21"/>
          <w:szCs w:val="21"/>
          <w:lang w:eastAsia="zh-CN"/>
        </w:rPr>
        <w:t>关于该</w:t>
      </w:r>
      <w:r w:rsidRPr="003566B4">
        <w:rPr>
          <w:rFonts w:eastAsia="宋体"/>
          <w:snapToGrid w:val="0"/>
          <w:sz w:val="21"/>
          <w:szCs w:val="21"/>
        </w:rPr>
        <w:t>主题的</w:t>
      </w:r>
      <w:r>
        <w:rPr>
          <w:rFonts w:eastAsia="宋体" w:hint="eastAsia"/>
          <w:snapToGrid w:val="0"/>
          <w:sz w:val="21"/>
          <w:szCs w:val="21"/>
          <w:lang w:eastAsia="zh-CN"/>
        </w:rPr>
        <w:t>思考</w:t>
      </w:r>
      <w:r w:rsidRPr="003566B4">
        <w:rPr>
          <w:rFonts w:eastAsia="宋体"/>
          <w:snapToGrid w:val="0"/>
          <w:sz w:val="21"/>
          <w:szCs w:val="21"/>
        </w:rPr>
        <w:t>。</w:t>
      </w:r>
    </w:p>
  </w:footnote>
  <w:footnote w:id="21">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rPr>
        <w:t>有关这些定义的详细信息请见《行业指南草案》，</w:t>
      </w:r>
      <w:r w:rsidRPr="006320F0">
        <w:rPr>
          <w:rFonts w:eastAsia="宋体"/>
          <w:i/>
          <w:snapToGrid w:val="0"/>
          <w:sz w:val="21"/>
          <w:szCs w:val="21"/>
        </w:rPr>
        <w:t>人用药和生物制品（包括疫苗）的上市后安全性报告</w:t>
      </w:r>
      <w:r w:rsidRPr="003566B4">
        <w:rPr>
          <w:rFonts w:eastAsia="宋体"/>
          <w:snapToGrid w:val="0"/>
          <w:sz w:val="21"/>
          <w:szCs w:val="21"/>
        </w:rPr>
        <w:t>（</w:t>
      </w:r>
      <w:hyperlink r:id="rId10" w:history="1">
        <w:r w:rsidRPr="003566B4">
          <w:rPr>
            <w:rStyle w:val="a9"/>
            <w:rFonts w:eastAsia="宋体"/>
            <w:snapToGrid w:val="0"/>
            <w:sz w:val="21"/>
            <w:szCs w:val="21"/>
          </w:rPr>
          <w:t>https://www.fda.gov/regulatory-information/search-fda-guidance-documents/postmarketing-safety-reporting-human-drug-and-biological-products-including-vaccines</w:t>
        </w:r>
      </w:hyperlink>
      <w:r w:rsidRPr="003566B4">
        <w:rPr>
          <w:rFonts w:eastAsia="宋体"/>
          <w:snapToGrid w:val="0"/>
          <w:sz w:val="21"/>
          <w:szCs w:val="21"/>
        </w:rPr>
        <w:t>），该草案最终版将代表</w:t>
      </w:r>
      <w:r w:rsidRPr="003566B4">
        <w:rPr>
          <w:rFonts w:eastAsia="宋体"/>
          <w:snapToGrid w:val="0"/>
          <w:sz w:val="21"/>
          <w:szCs w:val="21"/>
        </w:rPr>
        <w:t>FDA</w:t>
      </w:r>
      <w:r>
        <w:rPr>
          <w:rFonts w:eastAsia="宋体"/>
          <w:snapToGrid w:val="0"/>
          <w:sz w:val="21"/>
          <w:szCs w:val="21"/>
        </w:rPr>
        <w:t>目前</w:t>
      </w:r>
      <w:r>
        <w:rPr>
          <w:rFonts w:eastAsia="宋体" w:hint="eastAsia"/>
          <w:snapToGrid w:val="0"/>
          <w:sz w:val="21"/>
          <w:szCs w:val="21"/>
          <w:lang w:eastAsia="zh-CN"/>
        </w:rPr>
        <w:t>关于该</w:t>
      </w:r>
      <w:r w:rsidRPr="003566B4">
        <w:rPr>
          <w:rFonts w:eastAsia="宋体"/>
          <w:snapToGrid w:val="0"/>
          <w:sz w:val="21"/>
          <w:szCs w:val="21"/>
        </w:rPr>
        <w:t>主题的</w:t>
      </w:r>
      <w:r>
        <w:rPr>
          <w:rFonts w:eastAsia="宋体"/>
          <w:snapToGrid w:val="0"/>
          <w:sz w:val="21"/>
          <w:szCs w:val="21"/>
        </w:rPr>
        <w:t>思考</w:t>
      </w:r>
      <w:r w:rsidRPr="003566B4">
        <w:rPr>
          <w:rFonts w:eastAsia="宋体"/>
          <w:snapToGrid w:val="0"/>
          <w:sz w:val="21"/>
          <w:szCs w:val="21"/>
        </w:rPr>
        <w:t>。</w:t>
      </w:r>
    </w:p>
  </w:footnote>
  <w:footnote w:id="22">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如《美国联邦法规》第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314.80</w:t>
      </w:r>
      <w:r w:rsidRPr="003566B4">
        <w:rPr>
          <w:rFonts w:eastAsia="宋体"/>
          <w:snapToGrid w:val="0"/>
          <w:sz w:val="21"/>
          <w:szCs w:val="21"/>
          <w:lang w:eastAsia="zh-CN"/>
        </w:rPr>
        <w:t>（</w:t>
      </w:r>
      <w:r w:rsidRPr="003566B4">
        <w:rPr>
          <w:rFonts w:eastAsia="宋体"/>
          <w:snapToGrid w:val="0"/>
          <w:sz w:val="21"/>
          <w:szCs w:val="21"/>
          <w:lang w:eastAsia="zh-CN"/>
        </w:rPr>
        <w:t>a</w:t>
      </w:r>
      <w:r w:rsidRPr="003566B4">
        <w:rPr>
          <w:rFonts w:eastAsia="宋体"/>
          <w:snapToGrid w:val="0"/>
          <w:sz w:val="21"/>
          <w:szCs w:val="21"/>
          <w:lang w:eastAsia="zh-CN"/>
        </w:rPr>
        <w:t>）和</w:t>
      </w:r>
      <w:r w:rsidRPr="003566B4">
        <w:rPr>
          <w:rFonts w:eastAsia="宋体"/>
          <w:snapToGrid w:val="0"/>
          <w:sz w:val="21"/>
          <w:szCs w:val="21"/>
          <w:lang w:eastAsia="zh-CN"/>
        </w:rPr>
        <w:t>600.80</w:t>
      </w:r>
      <w:r w:rsidRPr="003566B4">
        <w:rPr>
          <w:rFonts w:eastAsia="宋体"/>
          <w:snapToGrid w:val="0"/>
          <w:sz w:val="21"/>
          <w:szCs w:val="21"/>
          <w:lang w:eastAsia="zh-CN"/>
        </w:rPr>
        <w:t>（</w:t>
      </w:r>
      <w:r w:rsidRPr="003566B4">
        <w:rPr>
          <w:rFonts w:eastAsia="宋体"/>
          <w:snapToGrid w:val="0"/>
          <w:sz w:val="21"/>
          <w:szCs w:val="21"/>
          <w:lang w:eastAsia="zh-CN"/>
        </w:rPr>
        <w:t>a</w:t>
      </w:r>
      <w:r w:rsidRPr="003566B4">
        <w:rPr>
          <w:rFonts w:eastAsia="宋体"/>
          <w:snapToGrid w:val="0"/>
          <w:sz w:val="21"/>
          <w:szCs w:val="21"/>
          <w:lang w:eastAsia="zh-CN"/>
        </w:rPr>
        <w:t>）节所述，不良经历包括预期药理作用的任何失效和发生的不良事件：在专业实践中使用产品的过程中，由于意外或故意的产品过量、由于产品滥用、或由于产品停用。</w:t>
      </w:r>
    </w:p>
  </w:footnote>
  <w:footnote w:id="23">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虽然</w:t>
      </w:r>
      <w:r w:rsidRPr="003566B4">
        <w:rPr>
          <w:rFonts w:eastAsia="宋体"/>
          <w:snapToGrid w:val="0"/>
          <w:sz w:val="21"/>
          <w:szCs w:val="21"/>
          <w:lang w:eastAsia="zh-CN"/>
        </w:rPr>
        <w:t>FDA</w:t>
      </w:r>
      <w:r w:rsidRPr="003566B4">
        <w:rPr>
          <w:rFonts w:eastAsia="宋体"/>
          <w:snapToGrid w:val="0"/>
          <w:sz w:val="21"/>
          <w:szCs w:val="21"/>
          <w:lang w:eastAsia="zh-CN"/>
        </w:rPr>
        <w:t>预计此类情况将很少见，但如果该事件与组合产品使用有关，而申请人不认为该信息合理地表明产品可能导致或促成了该事件，根据器械申请上市的组合产品的组合产品申请人可能会收到触发</w:t>
      </w:r>
      <w:r w:rsidRPr="003566B4">
        <w:rPr>
          <w:rFonts w:eastAsia="宋体"/>
          <w:snapToGrid w:val="0"/>
          <w:sz w:val="21"/>
          <w:szCs w:val="21"/>
          <w:lang w:eastAsia="zh-CN"/>
        </w:rPr>
        <w:t>15</w:t>
      </w:r>
      <w:r w:rsidRPr="003566B4">
        <w:rPr>
          <w:rFonts w:eastAsia="宋体"/>
          <w:snapToGrid w:val="0"/>
          <w:sz w:val="21"/>
          <w:szCs w:val="21"/>
          <w:lang w:eastAsia="zh-CN"/>
        </w:rPr>
        <w:t>天报告的事件报告，但不是死亡或重伤报告。</w:t>
      </w:r>
    </w:p>
  </w:footnote>
  <w:footnote w:id="24">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对于负有监管、科学或技术责任的人，当负责管理或监督他们的任何员工、或其职责与收集和报告不良事件有关的员工，从任何信息（包括任何趋势分析）中获知一个或多个可报告事件需要采取补救措施以防止对公众健康造成重大伤害的不合理风险时，即认为申请人已获知（</w:t>
      </w:r>
      <w:r w:rsidR="00236A4C">
        <w:rPr>
          <w:rFonts w:eastAsia="宋体" w:hint="eastAsia"/>
          <w:snapToGrid w:val="0"/>
          <w:sz w:val="21"/>
          <w:szCs w:val="21"/>
          <w:lang w:eastAsia="zh-CN"/>
        </w:rPr>
        <w:t>参</w:t>
      </w:r>
      <w:r w:rsidRPr="003566B4">
        <w:rPr>
          <w:rFonts w:eastAsia="宋体"/>
          <w:snapToGrid w:val="0"/>
          <w:sz w:val="21"/>
          <w:szCs w:val="21"/>
          <w:lang w:eastAsia="zh-CN"/>
        </w:rPr>
        <w:t>见《美国联邦法规》第</w:t>
      </w:r>
      <w:r>
        <w:rPr>
          <w:rFonts w:eastAsia="宋体"/>
          <w:snapToGrid w:val="0"/>
          <w:sz w:val="21"/>
          <w:szCs w:val="21"/>
          <w:lang w:eastAsia="zh-CN"/>
        </w:rPr>
        <w:t>21</w:t>
      </w:r>
      <w:r>
        <w:rPr>
          <w:rFonts w:eastAsia="宋体"/>
          <w:snapToGrid w:val="0"/>
          <w:sz w:val="21"/>
          <w:szCs w:val="21"/>
          <w:lang w:eastAsia="zh-CN"/>
        </w:rPr>
        <w:t>篇第</w:t>
      </w:r>
      <w:r w:rsidRPr="003566B4">
        <w:rPr>
          <w:rFonts w:eastAsia="宋体"/>
          <w:snapToGrid w:val="0"/>
          <w:sz w:val="21"/>
          <w:szCs w:val="21"/>
          <w:lang w:eastAsia="zh-CN"/>
        </w:rPr>
        <w:t>803.3</w:t>
      </w:r>
      <w:r>
        <w:rPr>
          <w:rFonts w:eastAsia="宋体"/>
          <w:snapToGrid w:val="0"/>
          <w:sz w:val="21"/>
          <w:szCs w:val="21"/>
          <w:lang w:eastAsia="zh-CN"/>
        </w:rPr>
        <w:t>（</w:t>
      </w:r>
      <w:r w:rsidRPr="003566B4">
        <w:rPr>
          <w:rFonts w:eastAsia="宋体"/>
          <w:snapToGrid w:val="0"/>
          <w:sz w:val="21"/>
          <w:szCs w:val="21"/>
          <w:lang w:eastAsia="zh-CN"/>
        </w:rPr>
        <w:t>b</w:t>
      </w:r>
      <w:r>
        <w:rPr>
          <w:rFonts w:eastAsia="宋体"/>
          <w:snapToGrid w:val="0"/>
          <w:sz w:val="21"/>
          <w:szCs w:val="21"/>
          <w:lang w:eastAsia="zh-CN"/>
        </w:rPr>
        <w:t>）节</w:t>
      </w:r>
      <w:r w:rsidRPr="003566B4">
        <w:rPr>
          <w:rFonts w:eastAsia="宋体"/>
          <w:snapToGrid w:val="0"/>
          <w:sz w:val="21"/>
          <w:szCs w:val="21"/>
          <w:lang w:eastAsia="zh-CN"/>
        </w:rPr>
        <w:t>）。如果</w:t>
      </w:r>
      <w:r w:rsidRPr="003566B4">
        <w:rPr>
          <w:rFonts w:eastAsia="宋体"/>
          <w:snapToGrid w:val="0"/>
          <w:sz w:val="21"/>
          <w:szCs w:val="21"/>
          <w:lang w:eastAsia="zh-CN"/>
        </w:rPr>
        <w:t>FDA</w:t>
      </w:r>
      <w:r w:rsidRPr="003566B4">
        <w:rPr>
          <w:rFonts w:eastAsia="宋体"/>
          <w:snapToGrid w:val="0"/>
          <w:sz w:val="21"/>
          <w:szCs w:val="21"/>
          <w:lang w:eastAsia="zh-CN"/>
        </w:rPr>
        <w:t>已根据《美国联邦法规》第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803.53</w:t>
      </w:r>
      <w:r>
        <w:rPr>
          <w:rFonts w:eastAsia="宋体"/>
          <w:snapToGrid w:val="0"/>
          <w:sz w:val="21"/>
          <w:szCs w:val="21"/>
          <w:lang w:eastAsia="zh-CN"/>
        </w:rPr>
        <w:t>（</w:t>
      </w:r>
      <w:r w:rsidRPr="003566B4">
        <w:rPr>
          <w:rFonts w:eastAsia="宋体"/>
          <w:snapToGrid w:val="0"/>
          <w:sz w:val="21"/>
          <w:szCs w:val="21"/>
          <w:lang w:eastAsia="zh-CN"/>
        </w:rPr>
        <w:t>b</w:t>
      </w:r>
      <w:r>
        <w:rPr>
          <w:rFonts w:eastAsia="宋体"/>
          <w:snapToGrid w:val="0"/>
          <w:sz w:val="21"/>
          <w:szCs w:val="21"/>
          <w:lang w:eastAsia="zh-CN"/>
        </w:rPr>
        <w:t>）</w:t>
      </w:r>
      <w:r w:rsidRPr="003566B4">
        <w:rPr>
          <w:rFonts w:eastAsia="宋体"/>
          <w:snapToGrid w:val="0"/>
          <w:sz w:val="21"/>
          <w:szCs w:val="21"/>
          <w:lang w:eastAsia="zh-CN"/>
        </w:rPr>
        <w:t>节要求对某些事件提交</w:t>
      </w:r>
      <w:r w:rsidRPr="003566B4">
        <w:rPr>
          <w:rFonts w:eastAsia="宋体"/>
          <w:snapToGrid w:val="0"/>
          <w:sz w:val="21"/>
          <w:szCs w:val="21"/>
          <w:lang w:eastAsia="zh-CN"/>
        </w:rPr>
        <w:t>5</w:t>
      </w:r>
      <w:r w:rsidRPr="003566B4">
        <w:rPr>
          <w:rFonts w:eastAsia="宋体"/>
          <w:snapToGrid w:val="0"/>
          <w:sz w:val="21"/>
          <w:szCs w:val="21"/>
          <w:lang w:eastAsia="zh-CN"/>
        </w:rPr>
        <w:t>天报告，</w:t>
      </w:r>
      <w:r>
        <w:rPr>
          <w:rFonts w:eastAsia="宋体" w:hint="eastAsia"/>
          <w:snapToGrid w:val="0"/>
          <w:sz w:val="21"/>
          <w:szCs w:val="21"/>
          <w:lang w:eastAsia="zh-CN"/>
        </w:rPr>
        <w:t>那么</w:t>
      </w:r>
      <w:r w:rsidRPr="003566B4">
        <w:rPr>
          <w:rFonts w:eastAsia="宋体"/>
          <w:snapToGrid w:val="0"/>
          <w:sz w:val="21"/>
          <w:szCs w:val="21"/>
          <w:lang w:eastAsia="zh-CN"/>
        </w:rPr>
        <w:t>当任何员工获知此类事件发生时，</w:t>
      </w:r>
      <w:r>
        <w:rPr>
          <w:rFonts w:eastAsia="宋体" w:hint="eastAsia"/>
          <w:snapToGrid w:val="0"/>
          <w:sz w:val="21"/>
          <w:szCs w:val="21"/>
          <w:lang w:eastAsia="zh-CN"/>
        </w:rPr>
        <w:t>则</w:t>
      </w:r>
      <w:r w:rsidRPr="003566B4">
        <w:rPr>
          <w:rFonts w:eastAsia="宋体"/>
          <w:snapToGrid w:val="0"/>
          <w:sz w:val="21"/>
          <w:szCs w:val="21"/>
          <w:lang w:eastAsia="zh-CN"/>
        </w:rPr>
        <w:t>认为申请人已获知（</w:t>
      </w:r>
      <w:r w:rsidR="00236A4C">
        <w:rPr>
          <w:rFonts w:eastAsia="宋体" w:hint="eastAsia"/>
          <w:snapToGrid w:val="0"/>
          <w:sz w:val="21"/>
          <w:szCs w:val="21"/>
          <w:lang w:eastAsia="zh-CN"/>
        </w:rPr>
        <w:t>参</w:t>
      </w:r>
      <w:r w:rsidRPr="003566B4">
        <w:rPr>
          <w:rFonts w:eastAsia="宋体"/>
          <w:snapToGrid w:val="0"/>
          <w:sz w:val="21"/>
          <w:szCs w:val="21"/>
          <w:lang w:eastAsia="zh-CN"/>
        </w:rPr>
        <w:t>见《美国联邦法规》第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803.3</w:t>
      </w:r>
      <w:r>
        <w:rPr>
          <w:rFonts w:eastAsia="宋体"/>
          <w:snapToGrid w:val="0"/>
          <w:sz w:val="21"/>
          <w:szCs w:val="21"/>
          <w:lang w:eastAsia="zh-CN"/>
        </w:rPr>
        <w:t>（</w:t>
      </w:r>
      <w:r w:rsidRPr="003566B4">
        <w:rPr>
          <w:rFonts w:eastAsia="宋体"/>
          <w:snapToGrid w:val="0"/>
          <w:sz w:val="21"/>
          <w:szCs w:val="21"/>
          <w:lang w:eastAsia="zh-CN"/>
        </w:rPr>
        <w:t>b</w:t>
      </w:r>
      <w:r>
        <w:rPr>
          <w:rFonts w:eastAsia="宋体"/>
          <w:snapToGrid w:val="0"/>
          <w:sz w:val="21"/>
          <w:szCs w:val="21"/>
          <w:lang w:eastAsia="zh-CN"/>
        </w:rPr>
        <w:t>）</w:t>
      </w:r>
      <w:r w:rsidRPr="003566B4">
        <w:rPr>
          <w:rFonts w:eastAsia="宋体"/>
          <w:snapToGrid w:val="0"/>
          <w:sz w:val="21"/>
          <w:szCs w:val="21"/>
          <w:lang w:eastAsia="zh-CN"/>
        </w:rPr>
        <w:t>节）。</w:t>
      </w:r>
    </w:p>
  </w:footnote>
  <w:footnote w:id="25">
    <w:p w:rsidR="0044544D" w:rsidRPr="003566B4" w:rsidRDefault="0044544D" w:rsidP="003566B4">
      <w:pPr>
        <w:pStyle w:val="af2"/>
        <w:wordWrap w:val="0"/>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请</w:t>
      </w:r>
      <w:r w:rsidRPr="003566B4">
        <w:rPr>
          <w:rFonts w:eastAsia="宋体"/>
          <w:snapToGrid w:val="0"/>
          <w:sz w:val="21"/>
          <w:szCs w:val="21"/>
        </w:rPr>
        <w:t>注意，对于某些组合产品，可使用替代性、自愿的</w:t>
      </w:r>
      <w:r w:rsidRPr="003566B4">
        <w:rPr>
          <w:rFonts w:eastAsia="宋体"/>
          <w:snapToGrid w:val="0"/>
          <w:sz w:val="21"/>
          <w:szCs w:val="21"/>
          <w:lang w:eastAsia="zh-CN"/>
        </w:rPr>
        <w:t>故障</w:t>
      </w:r>
      <w:r w:rsidRPr="003566B4">
        <w:rPr>
          <w:rFonts w:eastAsia="宋体"/>
          <w:snapToGrid w:val="0"/>
          <w:sz w:val="21"/>
          <w:szCs w:val="21"/>
        </w:rPr>
        <w:t>报告程序，请</w:t>
      </w:r>
      <w:r w:rsidR="00C81103">
        <w:rPr>
          <w:rFonts w:eastAsia="宋体" w:hint="eastAsia"/>
          <w:snapToGrid w:val="0"/>
          <w:sz w:val="21"/>
          <w:szCs w:val="21"/>
          <w:lang w:eastAsia="zh-CN"/>
        </w:rPr>
        <w:t>参</w:t>
      </w:r>
      <w:r w:rsidRPr="003566B4">
        <w:rPr>
          <w:rFonts w:eastAsia="宋体"/>
          <w:snapToGrid w:val="0"/>
          <w:sz w:val="21"/>
          <w:szCs w:val="21"/>
        </w:rPr>
        <w:t>见</w:t>
      </w:r>
      <w:hyperlink r:id="rId11" w:history="1">
        <w:r w:rsidRPr="008A69E4">
          <w:rPr>
            <w:rStyle w:val="a9"/>
            <w:rFonts w:eastAsia="宋体"/>
            <w:snapToGrid w:val="0"/>
            <w:sz w:val="21"/>
            <w:szCs w:val="21"/>
            <w:u w:color="0000FF"/>
          </w:rPr>
          <w:t>https://www.fda.gov/</w:t>
        </w:r>
        <w:r w:rsidRPr="008A69E4">
          <w:rPr>
            <w:rStyle w:val="a9"/>
            <w:rFonts w:eastAsia="宋体"/>
            <w:snapToGrid w:val="0"/>
            <w:sz w:val="21"/>
            <w:szCs w:val="21"/>
            <w:u w:color="0000FF"/>
            <w:lang w:eastAsia="zh-CN"/>
          </w:rPr>
          <w:t xml:space="preserve"> </w:t>
        </w:r>
        <w:r w:rsidRPr="008A69E4">
          <w:rPr>
            <w:rStyle w:val="a9"/>
            <w:rFonts w:eastAsia="宋体"/>
            <w:snapToGrid w:val="0"/>
            <w:sz w:val="21"/>
            <w:szCs w:val="21"/>
            <w:u w:color="0000FF"/>
          </w:rPr>
          <w:t>combination-products/guidance-regulatory-information/postmarketing-safety-reporting- combination-products</w:t>
        </w:r>
        <w:r w:rsidRPr="008A69E4">
          <w:rPr>
            <w:rStyle w:val="a9"/>
            <w:rFonts w:eastAsia="宋体"/>
            <w:snapToGrid w:val="0"/>
            <w:sz w:val="21"/>
            <w:szCs w:val="21"/>
            <w:u w:color="0000FF"/>
            <w:lang w:eastAsia="zh-CN"/>
          </w:rPr>
          <w:t>。</w:t>
        </w:r>
      </w:hyperlink>
    </w:p>
  </w:footnote>
  <w:footnote w:id="26">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根据《美国联邦法规》第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803.20</w:t>
      </w:r>
      <w:r>
        <w:rPr>
          <w:rFonts w:eastAsia="宋体"/>
          <w:snapToGrid w:val="0"/>
          <w:sz w:val="21"/>
          <w:szCs w:val="21"/>
          <w:lang w:eastAsia="zh-CN"/>
        </w:rPr>
        <w:t>（</w:t>
      </w:r>
      <w:r w:rsidRPr="003566B4">
        <w:rPr>
          <w:rFonts w:eastAsia="宋体"/>
          <w:snapToGrid w:val="0"/>
          <w:sz w:val="21"/>
          <w:szCs w:val="21"/>
          <w:lang w:eastAsia="zh-CN"/>
        </w:rPr>
        <w:t>c</w:t>
      </w:r>
      <w:r>
        <w:rPr>
          <w:rFonts w:eastAsia="宋体"/>
          <w:snapToGrid w:val="0"/>
          <w:sz w:val="21"/>
          <w:szCs w:val="21"/>
          <w:lang w:eastAsia="zh-CN"/>
        </w:rPr>
        <w:t>）</w:t>
      </w:r>
      <w:r w:rsidRPr="003566B4">
        <w:rPr>
          <w:rFonts w:eastAsia="宋体"/>
          <w:snapToGrid w:val="0"/>
          <w:sz w:val="21"/>
          <w:szCs w:val="21"/>
          <w:lang w:eastAsia="zh-CN"/>
        </w:rPr>
        <w:t>节，任何信息，包括专业、科学或医学事实、观察结果或意见，均可以合理地表明某个产品已导致或可能已导致或促成可报告事件</w:t>
      </w:r>
      <w:r>
        <w:rPr>
          <w:rFonts w:eastAsia="宋体" w:hint="eastAsia"/>
          <w:snapToGrid w:val="0"/>
          <w:sz w:val="21"/>
          <w:szCs w:val="21"/>
          <w:lang w:eastAsia="zh-CN"/>
        </w:rPr>
        <w:t>。</w:t>
      </w:r>
    </w:p>
  </w:footnote>
  <w:footnote w:id="27">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应根据适用的</w:t>
      </w:r>
      <w:r w:rsidRPr="003566B4">
        <w:rPr>
          <w:rFonts w:eastAsia="宋体"/>
          <w:snapToGrid w:val="0"/>
          <w:sz w:val="21"/>
          <w:szCs w:val="21"/>
          <w:lang w:eastAsia="zh-CN"/>
        </w:rPr>
        <w:t>FDA</w:t>
      </w:r>
      <w:r w:rsidRPr="003566B4">
        <w:rPr>
          <w:rFonts w:eastAsia="宋体"/>
          <w:snapToGrid w:val="0"/>
          <w:sz w:val="21"/>
          <w:szCs w:val="21"/>
          <w:lang w:eastAsia="zh-CN"/>
        </w:rPr>
        <w:t>不良事件报告系统的技术说明提交后续报告。有关</w:t>
      </w:r>
      <w:r w:rsidRPr="003566B4">
        <w:rPr>
          <w:rFonts w:eastAsia="宋体"/>
          <w:snapToGrid w:val="0"/>
          <w:sz w:val="21"/>
          <w:szCs w:val="21"/>
          <w:lang w:eastAsia="zh-CN"/>
        </w:rPr>
        <w:t>FDA</w:t>
      </w:r>
      <w:r w:rsidRPr="003566B4">
        <w:rPr>
          <w:rFonts w:eastAsia="宋体"/>
          <w:snapToGrid w:val="0"/>
          <w:sz w:val="21"/>
          <w:szCs w:val="21"/>
          <w:lang w:eastAsia="zh-CN"/>
        </w:rPr>
        <w:t>不良事件报告系统（</w:t>
      </w:r>
      <w:r w:rsidRPr="003566B4">
        <w:rPr>
          <w:rFonts w:eastAsia="宋体"/>
          <w:snapToGrid w:val="0"/>
          <w:sz w:val="21"/>
          <w:szCs w:val="21"/>
          <w:lang w:eastAsia="zh-CN"/>
        </w:rPr>
        <w:t>FAERS</w:t>
      </w:r>
      <w:r w:rsidRPr="003566B4">
        <w:rPr>
          <w:rFonts w:eastAsia="宋体"/>
          <w:snapToGrid w:val="0"/>
          <w:sz w:val="21"/>
          <w:szCs w:val="21"/>
          <w:lang w:eastAsia="zh-CN"/>
        </w:rPr>
        <w:t>）、电子医疗器械报告系统（</w:t>
      </w:r>
      <w:r w:rsidRPr="003566B4">
        <w:rPr>
          <w:rFonts w:eastAsia="宋体"/>
          <w:snapToGrid w:val="0"/>
          <w:sz w:val="21"/>
          <w:szCs w:val="21"/>
          <w:lang w:eastAsia="zh-CN"/>
        </w:rPr>
        <w:t>eMDR</w:t>
      </w:r>
      <w:r w:rsidRPr="003566B4">
        <w:rPr>
          <w:rFonts w:eastAsia="宋体"/>
          <w:snapToGrid w:val="0"/>
          <w:sz w:val="21"/>
          <w:szCs w:val="21"/>
          <w:lang w:eastAsia="zh-CN"/>
        </w:rPr>
        <w:t>）和疫苗不良事件报告系统（</w:t>
      </w:r>
      <w:r w:rsidRPr="003566B4">
        <w:rPr>
          <w:rFonts w:eastAsia="宋体"/>
          <w:snapToGrid w:val="0"/>
          <w:sz w:val="21"/>
          <w:szCs w:val="21"/>
          <w:lang w:eastAsia="zh-CN"/>
        </w:rPr>
        <w:t>VAERS</w:t>
      </w:r>
      <w:r w:rsidRPr="003566B4">
        <w:rPr>
          <w:rFonts w:eastAsia="宋体"/>
          <w:snapToGrid w:val="0"/>
          <w:sz w:val="21"/>
          <w:szCs w:val="21"/>
          <w:lang w:eastAsia="zh-CN"/>
        </w:rPr>
        <w:t>）的信息，请</w:t>
      </w:r>
      <w:r w:rsidR="00F93768">
        <w:rPr>
          <w:rFonts w:eastAsia="宋体" w:hint="eastAsia"/>
          <w:snapToGrid w:val="0"/>
          <w:sz w:val="21"/>
          <w:szCs w:val="21"/>
          <w:lang w:eastAsia="zh-CN"/>
        </w:rPr>
        <w:t>参</w:t>
      </w:r>
      <w:r w:rsidRPr="003566B4">
        <w:rPr>
          <w:rFonts w:eastAsia="宋体"/>
          <w:snapToGrid w:val="0"/>
          <w:sz w:val="21"/>
          <w:szCs w:val="21"/>
          <w:lang w:eastAsia="zh-CN"/>
        </w:rPr>
        <w:t>见第</w:t>
      </w:r>
      <w:r>
        <w:rPr>
          <w:rFonts w:eastAsia="宋体" w:hint="eastAsia"/>
          <w:snapToGrid w:val="0"/>
          <w:sz w:val="21"/>
          <w:szCs w:val="21"/>
          <w:lang w:eastAsia="zh-CN"/>
        </w:rPr>
        <w:t>V</w:t>
      </w:r>
      <w:r w:rsidRPr="003566B4">
        <w:rPr>
          <w:rFonts w:eastAsia="宋体"/>
          <w:snapToGrid w:val="0"/>
          <w:sz w:val="21"/>
          <w:szCs w:val="21"/>
          <w:lang w:eastAsia="zh-CN"/>
        </w:rPr>
        <w:t>.A.2</w:t>
      </w:r>
      <w:r w:rsidRPr="003566B4">
        <w:rPr>
          <w:rFonts w:eastAsia="宋体"/>
          <w:snapToGrid w:val="0"/>
          <w:sz w:val="21"/>
          <w:szCs w:val="21"/>
          <w:lang w:eastAsia="zh-CN"/>
        </w:rPr>
        <w:t>节。</w:t>
      </w:r>
    </w:p>
  </w:footnote>
  <w:footnote w:id="28">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注意，如果组合产品申请人在提交</w:t>
      </w:r>
      <w:r w:rsidRPr="003566B4">
        <w:rPr>
          <w:rFonts w:eastAsia="宋体"/>
          <w:snapToGrid w:val="0"/>
          <w:sz w:val="21"/>
          <w:szCs w:val="21"/>
          <w:lang w:eastAsia="zh-CN"/>
        </w:rPr>
        <w:t>15</w:t>
      </w:r>
      <w:r w:rsidRPr="003566B4">
        <w:rPr>
          <w:rFonts w:eastAsia="宋体"/>
          <w:snapToGrid w:val="0"/>
          <w:sz w:val="21"/>
          <w:szCs w:val="21"/>
          <w:lang w:eastAsia="zh-CN"/>
        </w:rPr>
        <w:t>天报告之前获知可报告故障，则可以在</w:t>
      </w:r>
      <w:r w:rsidRPr="003566B4">
        <w:rPr>
          <w:rFonts w:eastAsia="宋体"/>
          <w:snapToGrid w:val="0"/>
          <w:sz w:val="21"/>
          <w:szCs w:val="21"/>
          <w:lang w:eastAsia="zh-CN"/>
        </w:rPr>
        <w:t>15</w:t>
      </w:r>
      <w:r w:rsidRPr="003566B4">
        <w:rPr>
          <w:rFonts w:eastAsia="宋体"/>
          <w:snapToGrid w:val="0"/>
          <w:sz w:val="21"/>
          <w:szCs w:val="21"/>
          <w:lang w:eastAsia="zh-CN"/>
        </w:rPr>
        <w:t>天内提交一份报告来满足这两项要求（另见下文第</w:t>
      </w:r>
      <w:r>
        <w:rPr>
          <w:rFonts w:eastAsia="宋体" w:hint="eastAsia"/>
          <w:snapToGrid w:val="0"/>
          <w:sz w:val="21"/>
          <w:szCs w:val="21"/>
          <w:lang w:eastAsia="zh-CN"/>
        </w:rPr>
        <w:t>V</w:t>
      </w:r>
      <w:r w:rsidRPr="003566B4">
        <w:rPr>
          <w:rFonts w:eastAsia="宋体"/>
          <w:snapToGrid w:val="0"/>
          <w:sz w:val="21"/>
          <w:szCs w:val="21"/>
          <w:lang w:eastAsia="zh-CN"/>
        </w:rPr>
        <w:t>.A.3</w:t>
      </w:r>
      <w:r w:rsidRPr="003566B4">
        <w:rPr>
          <w:rFonts w:eastAsia="宋体"/>
          <w:snapToGrid w:val="0"/>
          <w:sz w:val="21"/>
          <w:szCs w:val="21"/>
          <w:lang w:eastAsia="zh-CN"/>
        </w:rPr>
        <w:t>节）。</w:t>
      </w:r>
    </w:p>
  </w:footnote>
  <w:footnote w:id="29">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可报告故障（以及可报告的死亡和重伤）可能涉及用药错误，如本例中的部分给药或错过给药。用药错误是可预防的事件，当药物处于医务人员、患者或消费者控制下时，用药错误可能导致或造成药物使用不当或患者伤害，请</w:t>
      </w:r>
      <w:r w:rsidR="00F93768">
        <w:rPr>
          <w:rFonts w:eastAsia="宋体" w:hint="eastAsia"/>
          <w:snapToGrid w:val="0"/>
          <w:sz w:val="21"/>
          <w:szCs w:val="21"/>
          <w:lang w:eastAsia="zh-CN"/>
        </w:rPr>
        <w:t>参</w:t>
      </w:r>
      <w:r w:rsidRPr="003566B4">
        <w:rPr>
          <w:rFonts w:eastAsia="宋体"/>
          <w:snapToGrid w:val="0"/>
          <w:sz w:val="21"/>
          <w:szCs w:val="21"/>
          <w:lang w:eastAsia="zh-CN"/>
        </w:rPr>
        <w:t>见</w:t>
      </w:r>
      <w:hyperlink r:id="rId12" w:history="1">
        <w:r w:rsidRPr="003566B4">
          <w:rPr>
            <w:rStyle w:val="a9"/>
            <w:rFonts w:eastAsia="宋体"/>
            <w:snapToGrid w:val="0"/>
            <w:sz w:val="21"/>
            <w:szCs w:val="21"/>
            <w:u w:color="0000FF"/>
            <w:lang w:eastAsia="zh-CN"/>
          </w:rPr>
          <w:t>https://www.fda.gov/drugs/drug-safety-and-availability/medication-errors-related-cder-regulated-drug-products</w:t>
        </w:r>
      </w:hyperlink>
      <w:r w:rsidRPr="003566B4">
        <w:rPr>
          <w:rFonts w:eastAsia="宋体"/>
          <w:snapToGrid w:val="0"/>
          <w:sz w:val="21"/>
          <w:szCs w:val="21"/>
          <w:lang w:eastAsia="zh-CN"/>
        </w:rPr>
        <w:t>。在提交涉及用药错误的故障报告时，申请人应列出相关用药错误反应</w:t>
      </w:r>
      <w:r w:rsidRPr="003566B4">
        <w:rPr>
          <w:rFonts w:eastAsia="宋体"/>
          <w:snapToGrid w:val="0"/>
          <w:sz w:val="21"/>
          <w:szCs w:val="21"/>
          <w:lang w:eastAsia="zh-CN"/>
        </w:rPr>
        <w:t>/</w:t>
      </w:r>
      <w:r w:rsidRPr="003566B4">
        <w:rPr>
          <w:rFonts w:eastAsia="宋体"/>
          <w:snapToGrid w:val="0"/>
          <w:sz w:val="21"/>
          <w:szCs w:val="21"/>
          <w:lang w:eastAsia="zh-CN"/>
        </w:rPr>
        <w:t>事件代码或器械</w:t>
      </w:r>
      <w:r w:rsidRPr="003566B4">
        <w:rPr>
          <w:rFonts w:eastAsia="宋体"/>
          <w:snapToGrid w:val="0"/>
          <w:sz w:val="21"/>
          <w:szCs w:val="21"/>
          <w:lang w:eastAsia="zh-CN"/>
        </w:rPr>
        <w:t>/</w:t>
      </w:r>
      <w:r w:rsidRPr="003566B4">
        <w:rPr>
          <w:rFonts w:eastAsia="宋体"/>
          <w:snapToGrid w:val="0"/>
          <w:sz w:val="21"/>
          <w:szCs w:val="21"/>
          <w:lang w:eastAsia="zh-CN"/>
        </w:rPr>
        <w:t>患者问题代码（</w:t>
      </w:r>
      <w:r w:rsidR="00F93768">
        <w:rPr>
          <w:rFonts w:eastAsia="宋体" w:hint="eastAsia"/>
          <w:snapToGrid w:val="0"/>
          <w:sz w:val="21"/>
          <w:szCs w:val="21"/>
          <w:lang w:eastAsia="zh-CN"/>
        </w:rPr>
        <w:t>参</w:t>
      </w:r>
      <w:r w:rsidRPr="003566B4">
        <w:rPr>
          <w:rFonts w:eastAsia="宋体"/>
          <w:snapToGrid w:val="0"/>
          <w:sz w:val="21"/>
          <w:szCs w:val="21"/>
          <w:lang w:eastAsia="zh-CN"/>
        </w:rPr>
        <w:t>见第</w:t>
      </w:r>
      <w:r>
        <w:rPr>
          <w:rFonts w:eastAsia="宋体" w:hint="eastAsia"/>
          <w:snapToGrid w:val="0"/>
          <w:sz w:val="21"/>
          <w:szCs w:val="21"/>
          <w:lang w:eastAsia="zh-CN"/>
        </w:rPr>
        <w:t>V</w:t>
      </w:r>
      <w:r w:rsidRPr="003566B4">
        <w:rPr>
          <w:rFonts w:eastAsia="宋体"/>
          <w:snapToGrid w:val="0"/>
          <w:sz w:val="21"/>
          <w:szCs w:val="21"/>
          <w:lang w:eastAsia="zh-CN"/>
        </w:rPr>
        <w:t>.B.2</w:t>
      </w:r>
      <w:r w:rsidRPr="003566B4">
        <w:rPr>
          <w:rFonts w:eastAsia="宋体"/>
          <w:snapToGrid w:val="0"/>
          <w:sz w:val="21"/>
          <w:szCs w:val="21"/>
          <w:lang w:eastAsia="zh-CN"/>
        </w:rPr>
        <w:t>节），并在报告的叙述部分进行用药错误讨论。</w:t>
      </w:r>
    </w:p>
  </w:footnote>
  <w:footnote w:id="30">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如果由于公共卫生重要性而需要提交与先前已提交</w:t>
      </w:r>
      <w:r w:rsidRPr="003566B4">
        <w:rPr>
          <w:rFonts w:eastAsia="宋体"/>
          <w:snapToGrid w:val="0"/>
          <w:sz w:val="21"/>
          <w:szCs w:val="21"/>
          <w:lang w:eastAsia="zh-CN"/>
        </w:rPr>
        <w:t>ICSR</w:t>
      </w:r>
      <w:r w:rsidRPr="003566B4">
        <w:rPr>
          <w:rFonts w:eastAsia="宋体"/>
          <w:snapToGrid w:val="0"/>
          <w:sz w:val="21"/>
          <w:szCs w:val="21"/>
          <w:lang w:eastAsia="zh-CN"/>
        </w:rPr>
        <w:t>相关的</w:t>
      </w:r>
      <w:r w:rsidRPr="003566B4">
        <w:rPr>
          <w:rFonts w:eastAsia="宋体"/>
          <w:snapToGrid w:val="0"/>
          <w:sz w:val="21"/>
          <w:szCs w:val="21"/>
          <w:lang w:eastAsia="zh-CN"/>
        </w:rPr>
        <w:t>5</w:t>
      </w:r>
      <w:r w:rsidRPr="003566B4">
        <w:rPr>
          <w:rFonts w:eastAsia="宋体"/>
          <w:snapToGrid w:val="0"/>
          <w:sz w:val="21"/>
          <w:szCs w:val="21"/>
          <w:lang w:eastAsia="zh-CN"/>
        </w:rPr>
        <w:t>天报告，则应提交</w:t>
      </w:r>
      <w:r w:rsidRPr="003566B4">
        <w:rPr>
          <w:rFonts w:eastAsia="宋体"/>
          <w:snapToGrid w:val="0"/>
          <w:sz w:val="21"/>
          <w:szCs w:val="21"/>
          <w:lang w:eastAsia="zh-CN"/>
        </w:rPr>
        <w:t>5</w:t>
      </w:r>
      <w:r w:rsidRPr="003566B4">
        <w:rPr>
          <w:rFonts w:eastAsia="宋体"/>
          <w:snapToGrid w:val="0"/>
          <w:sz w:val="21"/>
          <w:szCs w:val="21"/>
          <w:lang w:eastAsia="zh-CN"/>
        </w:rPr>
        <w:t>天报告作为首次报告。</w:t>
      </w:r>
    </w:p>
  </w:footnote>
  <w:footnote w:id="31">
    <w:p w:rsidR="0044544D" w:rsidRPr="003566B4" w:rsidRDefault="0044544D" w:rsidP="003566B4">
      <w:pPr>
        <w:pStyle w:val="af2"/>
        <w:wordWrap w:val="0"/>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更多</w:t>
      </w:r>
      <w:r w:rsidRPr="003566B4">
        <w:rPr>
          <w:rFonts w:eastAsia="宋体"/>
          <w:snapToGrid w:val="0"/>
          <w:sz w:val="21"/>
          <w:szCs w:val="21"/>
        </w:rPr>
        <w:t>信息请</w:t>
      </w:r>
      <w:r w:rsidR="004916F2">
        <w:rPr>
          <w:rFonts w:eastAsia="宋体" w:hint="eastAsia"/>
          <w:snapToGrid w:val="0"/>
          <w:sz w:val="21"/>
          <w:szCs w:val="21"/>
          <w:lang w:eastAsia="zh-CN"/>
        </w:rPr>
        <w:t>参</w:t>
      </w:r>
      <w:r w:rsidRPr="003566B4">
        <w:rPr>
          <w:rFonts w:eastAsia="宋体"/>
          <w:snapToGrid w:val="0"/>
          <w:sz w:val="21"/>
          <w:szCs w:val="21"/>
        </w:rPr>
        <w:t>见《行业指南草案》，</w:t>
      </w:r>
      <w:r w:rsidRPr="00C8689A">
        <w:rPr>
          <w:rFonts w:eastAsia="宋体"/>
          <w:i/>
          <w:snapToGrid w:val="0"/>
          <w:sz w:val="21"/>
          <w:szCs w:val="21"/>
        </w:rPr>
        <w:t>人用药和生物制品（包括疫苗）的上市后安全性报告</w:t>
      </w:r>
      <w:r w:rsidRPr="003566B4">
        <w:rPr>
          <w:rFonts w:eastAsia="宋体"/>
          <w:snapToGrid w:val="0"/>
          <w:sz w:val="21"/>
          <w:szCs w:val="21"/>
        </w:rPr>
        <w:t>（</w:t>
      </w:r>
      <w:hyperlink r:id="rId13" w:history="1">
        <w:r w:rsidRPr="003566B4">
          <w:rPr>
            <w:rStyle w:val="a9"/>
            <w:rFonts w:eastAsia="宋体"/>
            <w:snapToGrid w:val="0"/>
            <w:sz w:val="21"/>
            <w:szCs w:val="21"/>
            <w:u w:color="0000FF"/>
          </w:rPr>
          <w:t>https://www.fda.gov/regulatory-information/search-fda-guidance-documents/postmarketing-safety-reporting-human-drug-and-biological-products-including-vaccines</w:t>
        </w:r>
      </w:hyperlink>
      <w:r w:rsidRPr="003566B4">
        <w:rPr>
          <w:rFonts w:eastAsia="宋体"/>
          <w:snapToGrid w:val="0"/>
          <w:sz w:val="21"/>
          <w:szCs w:val="21"/>
        </w:rPr>
        <w:t>），该草案最终版将代表</w:t>
      </w:r>
      <w:r w:rsidRPr="003566B4">
        <w:rPr>
          <w:rFonts w:eastAsia="宋体"/>
          <w:snapToGrid w:val="0"/>
          <w:sz w:val="21"/>
          <w:szCs w:val="21"/>
        </w:rPr>
        <w:t>FDA</w:t>
      </w:r>
      <w:r>
        <w:rPr>
          <w:rFonts w:eastAsia="宋体" w:hint="eastAsia"/>
          <w:snapToGrid w:val="0"/>
          <w:sz w:val="21"/>
          <w:szCs w:val="21"/>
          <w:lang w:eastAsia="zh-CN"/>
        </w:rPr>
        <w:t>目前</w:t>
      </w:r>
      <w:r>
        <w:rPr>
          <w:rFonts w:eastAsia="宋体"/>
          <w:snapToGrid w:val="0"/>
          <w:sz w:val="21"/>
          <w:szCs w:val="21"/>
        </w:rPr>
        <w:t>关于该主题的思考</w:t>
      </w:r>
      <w:r w:rsidRPr="003566B4">
        <w:rPr>
          <w:rFonts w:eastAsia="宋体"/>
          <w:snapToGrid w:val="0"/>
          <w:sz w:val="21"/>
          <w:szCs w:val="21"/>
        </w:rPr>
        <w:t>。</w:t>
      </w:r>
    </w:p>
  </w:footnote>
  <w:footnote w:id="32">
    <w:p w:rsidR="0044544D" w:rsidRPr="003566B4" w:rsidRDefault="0044544D" w:rsidP="00072C5E">
      <w:pPr>
        <w:pStyle w:val="af2"/>
        <w:wordWrap w:val="0"/>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rPr>
        <w:t>请</w:t>
      </w:r>
      <w:r w:rsidR="00CB1519">
        <w:rPr>
          <w:rFonts w:eastAsia="宋体" w:hint="eastAsia"/>
          <w:snapToGrid w:val="0"/>
          <w:sz w:val="21"/>
          <w:szCs w:val="21"/>
          <w:lang w:eastAsia="zh-CN"/>
        </w:rPr>
        <w:t>参</w:t>
      </w:r>
      <w:r w:rsidRPr="003566B4">
        <w:rPr>
          <w:rFonts w:eastAsia="宋体"/>
          <w:snapToGrid w:val="0"/>
          <w:sz w:val="21"/>
          <w:szCs w:val="21"/>
        </w:rPr>
        <w:t>见</w:t>
      </w:r>
      <w:r w:rsidR="00CB1519">
        <w:rPr>
          <w:rFonts w:eastAsia="宋体" w:hint="eastAsia"/>
          <w:snapToGrid w:val="0"/>
          <w:sz w:val="21"/>
          <w:szCs w:val="21"/>
          <w:lang w:eastAsia="zh-CN"/>
        </w:rPr>
        <w:t>面向</w:t>
      </w:r>
      <w:r w:rsidRPr="003566B4">
        <w:rPr>
          <w:rFonts w:eastAsia="宋体"/>
          <w:snapToGrid w:val="0"/>
          <w:sz w:val="21"/>
          <w:szCs w:val="21"/>
        </w:rPr>
        <w:t>行业和</w:t>
      </w:r>
      <w:r w:rsidRPr="003566B4">
        <w:rPr>
          <w:rFonts w:eastAsia="宋体"/>
          <w:snapToGrid w:val="0"/>
          <w:sz w:val="21"/>
          <w:szCs w:val="21"/>
        </w:rPr>
        <w:t>FDA</w:t>
      </w:r>
      <w:r w:rsidRPr="003566B4">
        <w:rPr>
          <w:rFonts w:eastAsia="宋体"/>
          <w:snapToGrid w:val="0"/>
          <w:sz w:val="21"/>
          <w:szCs w:val="21"/>
        </w:rPr>
        <w:t>工作人员</w:t>
      </w:r>
      <w:r w:rsidR="00CB1519">
        <w:rPr>
          <w:rFonts w:eastAsia="宋体" w:hint="eastAsia"/>
          <w:snapToGrid w:val="0"/>
          <w:sz w:val="21"/>
          <w:szCs w:val="21"/>
          <w:lang w:eastAsia="zh-CN"/>
        </w:rPr>
        <w:t>的</w:t>
      </w:r>
      <w:r w:rsidRPr="003566B4">
        <w:rPr>
          <w:rFonts w:eastAsia="宋体"/>
          <w:snapToGrid w:val="0"/>
          <w:sz w:val="21"/>
          <w:szCs w:val="21"/>
        </w:rPr>
        <w:t>指南，</w:t>
      </w:r>
      <w:r w:rsidRPr="00072C5E">
        <w:rPr>
          <w:rFonts w:eastAsia="宋体"/>
          <w:i/>
          <w:snapToGrid w:val="0"/>
          <w:sz w:val="21"/>
          <w:szCs w:val="21"/>
        </w:rPr>
        <w:t>生产商医疗器械报告</w:t>
      </w:r>
      <w:r w:rsidRPr="003566B4">
        <w:rPr>
          <w:rFonts w:eastAsia="宋体"/>
          <w:snapToGrid w:val="0"/>
          <w:sz w:val="21"/>
          <w:szCs w:val="21"/>
        </w:rPr>
        <w:t>（</w:t>
      </w:r>
      <w:hyperlink r:id="rId14">
        <w:r w:rsidRPr="003566B4">
          <w:rPr>
            <w:rFonts w:eastAsia="宋体"/>
            <w:snapToGrid w:val="0"/>
            <w:color w:val="0000FF"/>
            <w:sz w:val="21"/>
            <w:szCs w:val="21"/>
            <w:u w:val="single" w:color="0000FF"/>
          </w:rPr>
          <w:t>https://www.fda.gov/regulatory-information/search-fda-guidance-documents/medical-device-reporting- manufacturers</w:t>
        </w:r>
      </w:hyperlink>
      <w:r w:rsidRPr="003566B4">
        <w:rPr>
          <w:rFonts w:eastAsia="宋体"/>
          <w:snapToGrid w:val="0"/>
          <w:sz w:val="21"/>
          <w:szCs w:val="21"/>
        </w:rPr>
        <w:t>）</w:t>
      </w:r>
    </w:p>
  </w:footnote>
  <w:footnote w:id="33">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如果在美国上市的组合产品出现故障，且符合《美国联邦法规》第</w:t>
      </w:r>
      <w:r>
        <w:rPr>
          <w:rFonts w:eastAsia="宋体"/>
          <w:snapToGrid w:val="0"/>
          <w:sz w:val="21"/>
          <w:szCs w:val="21"/>
          <w:lang w:eastAsia="zh-CN"/>
        </w:rPr>
        <w:t>21</w:t>
      </w:r>
      <w:r>
        <w:rPr>
          <w:rFonts w:eastAsia="宋体"/>
          <w:snapToGrid w:val="0"/>
          <w:sz w:val="21"/>
          <w:szCs w:val="21"/>
          <w:lang w:eastAsia="zh-CN"/>
        </w:rPr>
        <w:t>篇第</w:t>
      </w:r>
      <w:r w:rsidRPr="003566B4">
        <w:rPr>
          <w:rFonts w:eastAsia="宋体"/>
          <w:snapToGrid w:val="0"/>
          <w:sz w:val="21"/>
          <w:szCs w:val="21"/>
          <w:lang w:eastAsia="zh-CN"/>
        </w:rPr>
        <w:t>803.50</w:t>
      </w:r>
      <w:r>
        <w:rPr>
          <w:rFonts w:eastAsia="宋体"/>
          <w:snapToGrid w:val="0"/>
          <w:sz w:val="21"/>
          <w:szCs w:val="21"/>
          <w:lang w:eastAsia="zh-CN"/>
        </w:rPr>
        <w:t>节</w:t>
      </w:r>
      <w:r w:rsidRPr="003566B4">
        <w:rPr>
          <w:rFonts w:eastAsia="宋体"/>
          <w:snapToGrid w:val="0"/>
          <w:sz w:val="21"/>
          <w:szCs w:val="21"/>
          <w:lang w:eastAsia="zh-CN"/>
        </w:rPr>
        <w:t>中的标准，则必须向</w:t>
      </w:r>
      <w:r w:rsidRPr="003566B4">
        <w:rPr>
          <w:rFonts w:eastAsia="宋体"/>
          <w:snapToGrid w:val="0"/>
          <w:sz w:val="21"/>
          <w:szCs w:val="21"/>
          <w:lang w:eastAsia="zh-CN"/>
        </w:rPr>
        <w:t>FDA</w:t>
      </w:r>
      <w:r w:rsidRPr="003566B4">
        <w:rPr>
          <w:rFonts w:eastAsia="宋体"/>
          <w:snapToGrid w:val="0"/>
          <w:sz w:val="21"/>
          <w:szCs w:val="21"/>
          <w:lang w:eastAsia="zh-CN"/>
        </w:rPr>
        <w:t>提交故障报告，无论该事件是否发生在美国。</w:t>
      </w:r>
    </w:p>
  </w:footnote>
  <w:footnote w:id="34">
    <w:p w:rsidR="0044544D" w:rsidRPr="003566B4" w:rsidRDefault="0044544D" w:rsidP="00072C5E">
      <w:pPr>
        <w:pStyle w:val="af2"/>
        <w:wordWrap w:val="0"/>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rPr>
        <w:t>此处所述相同或</w:t>
      </w:r>
      <w:r w:rsidR="001703E5">
        <w:rPr>
          <w:rFonts w:eastAsia="宋体" w:hint="eastAsia"/>
          <w:snapToGrid w:val="0"/>
          <w:sz w:val="21"/>
          <w:szCs w:val="21"/>
          <w:lang w:eastAsia="zh-CN"/>
        </w:rPr>
        <w:t>同品种</w:t>
      </w:r>
      <w:bookmarkStart w:id="24" w:name="_GoBack"/>
      <w:bookmarkEnd w:id="24"/>
      <w:r w:rsidRPr="003566B4">
        <w:rPr>
          <w:rFonts w:eastAsia="宋体"/>
          <w:snapToGrid w:val="0"/>
          <w:sz w:val="21"/>
          <w:szCs w:val="21"/>
        </w:rPr>
        <w:t>器械或器械组成部分的考虑事项与</w:t>
      </w:r>
      <w:r>
        <w:rPr>
          <w:rFonts w:eastAsia="宋体" w:hint="eastAsia"/>
          <w:snapToGrid w:val="0"/>
          <w:sz w:val="21"/>
          <w:szCs w:val="21"/>
          <w:lang w:eastAsia="zh-CN"/>
        </w:rPr>
        <w:t>《</w:t>
      </w:r>
      <w:r w:rsidR="00F751D8">
        <w:rPr>
          <w:rFonts w:eastAsia="宋体" w:hint="eastAsia"/>
          <w:snapToGrid w:val="0"/>
          <w:sz w:val="21"/>
          <w:szCs w:val="21"/>
          <w:lang w:eastAsia="zh-CN"/>
        </w:rPr>
        <w:t>面向</w:t>
      </w:r>
      <w:r w:rsidRPr="003566B4">
        <w:rPr>
          <w:rFonts w:eastAsia="宋体"/>
          <w:snapToGrid w:val="0"/>
          <w:sz w:val="21"/>
          <w:szCs w:val="21"/>
        </w:rPr>
        <w:t>行业和</w:t>
      </w:r>
      <w:r w:rsidRPr="003566B4">
        <w:rPr>
          <w:rFonts w:eastAsia="宋体"/>
          <w:snapToGrid w:val="0"/>
          <w:sz w:val="21"/>
          <w:szCs w:val="21"/>
        </w:rPr>
        <w:t>FDA</w:t>
      </w:r>
      <w:r w:rsidRPr="003566B4">
        <w:rPr>
          <w:rFonts w:eastAsia="宋体"/>
          <w:snapToGrid w:val="0"/>
          <w:sz w:val="21"/>
          <w:szCs w:val="21"/>
        </w:rPr>
        <w:t>工作人员</w:t>
      </w:r>
      <w:r w:rsidR="00F751D8">
        <w:rPr>
          <w:rFonts w:eastAsia="宋体" w:hint="eastAsia"/>
          <w:snapToGrid w:val="0"/>
          <w:sz w:val="21"/>
          <w:szCs w:val="21"/>
          <w:lang w:eastAsia="zh-CN"/>
        </w:rPr>
        <w:t>的</w:t>
      </w:r>
      <w:r w:rsidRPr="003566B4">
        <w:rPr>
          <w:rFonts w:eastAsia="宋体"/>
          <w:snapToGrid w:val="0"/>
          <w:sz w:val="21"/>
          <w:szCs w:val="21"/>
        </w:rPr>
        <w:t>指南</w:t>
      </w:r>
      <w:r>
        <w:rPr>
          <w:rFonts w:eastAsia="宋体" w:hint="eastAsia"/>
          <w:snapToGrid w:val="0"/>
          <w:sz w:val="21"/>
          <w:szCs w:val="21"/>
          <w:lang w:eastAsia="zh-CN"/>
        </w:rPr>
        <w:t>》</w:t>
      </w:r>
      <w:r w:rsidRPr="00072C5E">
        <w:rPr>
          <w:rFonts w:eastAsia="宋体"/>
          <w:i/>
          <w:snapToGrid w:val="0"/>
          <w:sz w:val="21"/>
          <w:szCs w:val="21"/>
        </w:rPr>
        <w:t>生产商医疗器械报告</w:t>
      </w:r>
      <w:r w:rsidRPr="003566B4">
        <w:rPr>
          <w:rFonts w:eastAsia="宋体"/>
          <w:snapToGrid w:val="0"/>
          <w:sz w:val="21"/>
          <w:szCs w:val="21"/>
        </w:rPr>
        <w:t>（</w:t>
      </w:r>
      <w:hyperlink r:id="rId15">
        <w:r w:rsidRPr="003566B4">
          <w:rPr>
            <w:rFonts w:eastAsia="宋体"/>
            <w:snapToGrid w:val="0"/>
            <w:color w:val="0000FF"/>
            <w:sz w:val="21"/>
            <w:szCs w:val="21"/>
            <w:u w:val="single" w:color="0000FF"/>
          </w:rPr>
          <w:t>https://www.fda.gov/regulatory-information/search-fda-guidance-documents/medical-device-reporting-manufacturers</w:t>
        </w:r>
      </w:hyperlink>
      <w:r w:rsidRPr="003566B4">
        <w:rPr>
          <w:rFonts w:eastAsia="宋体"/>
          <w:snapToGrid w:val="0"/>
          <w:sz w:val="21"/>
          <w:szCs w:val="21"/>
        </w:rPr>
        <w:t>）中的相关内容一致。</w:t>
      </w:r>
      <w:r w:rsidRPr="003566B4">
        <w:rPr>
          <w:rFonts w:eastAsia="宋体"/>
          <w:snapToGrid w:val="0"/>
          <w:sz w:val="21"/>
          <w:szCs w:val="21"/>
          <w:lang w:eastAsia="zh-CN"/>
        </w:rPr>
        <w:t>本指南中的语言已经过编辑，以便应用于包含器械组成部分的组合产品，并非旨在改变</w:t>
      </w:r>
      <w:r w:rsidRPr="00DF0641">
        <w:rPr>
          <w:rFonts w:eastAsia="宋体"/>
          <w:i/>
          <w:snapToGrid w:val="0"/>
          <w:sz w:val="21"/>
          <w:szCs w:val="21"/>
          <w:lang w:eastAsia="zh-CN"/>
        </w:rPr>
        <w:t>生产商医疗器械报告指南</w:t>
      </w:r>
      <w:r w:rsidRPr="003566B4">
        <w:rPr>
          <w:rFonts w:eastAsia="宋体"/>
          <w:snapToGrid w:val="0"/>
          <w:sz w:val="21"/>
          <w:szCs w:val="21"/>
          <w:lang w:eastAsia="zh-CN"/>
        </w:rPr>
        <w:t>中关于器械境外报告的讨论。</w:t>
      </w:r>
    </w:p>
  </w:footnote>
  <w:footnote w:id="35">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虽然本节未具体讨论，但在提交非</w:t>
      </w:r>
      <w:r w:rsidRPr="003566B4">
        <w:rPr>
          <w:rFonts w:eastAsia="宋体"/>
          <w:snapToGrid w:val="0"/>
          <w:sz w:val="21"/>
          <w:szCs w:val="21"/>
          <w:lang w:eastAsia="zh-CN"/>
        </w:rPr>
        <w:t>ICSR</w:t>
      </w:r>
      <w:r w:rsidRPr="003566B4">
        <w:rPr>
          <w:rFonts w:eastAsia="宋体"/>
          <w:snapToGrid w:val="0"/>
          <w:sz w:val="21"/>
          <w:szCs w:val="21"/>
          <w:lang w:eastAsia="zh-CN"/>
        </w:rPr>
        <w:t>报告后可能需要提交附加信息（参见例如《美国联邦法规》第</w:t>
      </w:r>
      <w:r>
        <w:rPr>
          <w:rFonts w:eastAsia="宋体"/>
          <w:snapToGrid w:val="0"/>
          <w:sz w:val="21"/>
          <w:szCs w:val="21"/>
          <w:lang w:eastAsia="zh-CN"/>
        </w:rPr>
        <w:t>21</w:t>
      </w:r>
      <w:r>
        <w:rPr>
          <w:rFonts w:eastAsia="宋体"/>
          <w:snapToGrid w:val="0"/>
          <w:sz w:val="21"/>
          <w:szCs w:val="21"/>
          <w:lang w:eastAsia="zh-CN"/>
        </w:rPr>
        <w:t>篇第</w:t>
      </w:r>
      <w:r w:rsidRPr="003566B4">
        <w:rPr>
          <w:rFonts w:eastAsia="宋体"/>
          <w:snapToGrid w:val="0"/>
          <w:sz w:val="21"/>
          <w:szCs w:val="21"/>
          <w:lang w:eastAsia="zh-CN"/>
        </w:rPr>
        <w:t>806.10</w:t>
      </w:r>
      <w:r>
        <w:rPr>
          <w:rFonts w:eastAsia="宋体"/>
          <w:snapToGrid w:val="0"/>
          <w:sz w:val="21"/>
          <w:szCs w:val="21"/>
          <w:lang w:eastAsia="zh-CN"/>
        </w:rPr>
        <w:t>（</w:t>
      </w:r>
      <w:r w:rsidRPr="003566B4">
        <w:rPr>
          <w:rFonts w:eastAsia="宋体"/>
          <w:snapToGrid w:val="0"/>
          <w:sz w:val="21"/>
          <w:szCs w:val="21"/>
          <w:lang w:eastAsia="zh-CN"/>
        </w:rPr>
        <w:t>c</w:t>
      </w:r>
      <w:r>
        <w:rPr>
          <w:rFonts w:eastAsia="宋体"/>
          <w:snapToGrid w:val="0"/>
          <w:sz w:val="21"/>
          <w:szCs w:val="21"/>
          <w:lang w:eastAsia="zh-CN"/>
        </w:rPr>
        <w:t>）（</w:t>
      </w:r>
      <w:r w:rsidRPr="003566B4">
        <w:rPr>
          <w:rFonts w:eastAsia="宋体"/>
          <w:snapToGrid w:val="0"/>
          <w:sz w:val="21"/>
          <w:szCs w:val="21"/>
          <w:lang w:eastAsia="zh-CN"/>
        </w:rPr>
        <w:t>13</w:t>
      </w:r>
      <w:r>
        <w:rPr>
          <w:rFonts w:eastAsia="宋体"/>
          <w:snapToGrid w:val="0"/>
          <w:sz w:val="21"/>
          <w:szCs w:val="21"/>
          <w:lang w:eastAsia="zh-CN"/>
        </w:rPr>
        <w:t>）</w:t>
      </w:r>
      <w:r w:rsidRPr="003566B4">
        <w:rPr>
          <w:rFonts w:eastAsia="宋体"/>
          <w:snapToGrid w:val="0"/>
          <w:sz w:val="21"/>
          <w:szCs w:val="21"/>
          <w:lang w:eastAsia="zh-CN"/>
        </w:rPr>
        <w:t>和</w:t>
      </w:r>
      <w:r>
        <w:rPr>
          <w:rFonts w:eastAsia="宋体"/>
          <w:snapToGrid w:val="0"/>
          <w:sz w:val="21"/>
          <w:szCs w:val="21"/>
          <w:lang w:eastAsia="zh-CN"/>
        </w:rPr>
        <w:t>（</w:t>
      </w:r>
      <w:r w:rsidRPr="003566B4">
        <w:rPr>
          <w:rFonts w:eastAsia="宋体"/>
          <w:snapToGrid w:val="0"/>
          <w:sz w:val="21"/>
          <w:szCs w:val="21"/>
          <w:lang w:eastAsia="zh-CN"/>
        </w:rPr>
        <w:t>d</w:t>
      </w:r>
      <w:r>
        <w:rPr>
          <w:rFonts w:eastAsia="宋体"/>
          <w:snapToGrid w:val="0"/>
          <w:sz w:val="21"/>
          <w:szCs w:val="21"/>
          <w:lang w:eastAsia="zh-CN"/>
        </w:rPr>
        <w:t>）</w:t>
      </w:r>
      <w:r w:rsidRPr="003566B4">
        <w:rPr>
          <w:rFonts w:eastAsia="宋体"/>
          <w:snapToGrid w:val="0"/>
          <w:sz w:val="21"/>
          <w:szCs w:val="21"/>
          <w:lang w:eastAsia="zh-CN"/>
        </w:rPr>
        <w:t>节）。</w:t>
      </w:r>
    </w:p>
  </w:footnote>
  <w:footnote w:id="36">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rPr>
        <w:t>有关提交现场警示报告后续报告的其他信息，请</w:t>
      </w:r>
      <w:r w:rsidR="00137D3D">
        <w:rPr>
          <w:rFonts w:eastAsia="宋体" w:hint="eastAsia"/>
          <w:snapToGrid w:val="0"/>
          <w:sz w:val="21"/>
          <w:szCs w:val="21"/>
          <w:lang w:eastAsia="zh-CN"/>
        </w:rPr>
        <w:t>参</w:t>
      </w:r>
      <w:r w:rsidRPr="003566B4">
        <w:rPr>
          <w:rFonts w:eastAsia="宋体"/>
          <w:snapToGrid w:val="0"/>
          <w:sz w:val="21"/>
          <w:szCs w:val="21"/>
        </w:rPr>
        <w:t>见</w:t>
      </w:r>
      <w:r w:rsidRPr="00DF0641">
        <w:rPr>
          <w:rFonts w:eastAsia="宋体"/>
          <w:i/>
          <w:snapToGrid w:val="0"/>
          <w:sz w:val="21"/>
          <w:szCs w:val="21"/>
        </w:rPr>
        <w:t>现场警示报告提交问答的《行业指南草案》</w:t>
      </w:r>
      <w:r w:rsidRPr="003566B4">
        <w:rPr>
          <w:rFonts w:eastAsia="宋体"/>
          <w:snapToGrid w:val="0"/>
          <w:sz w:val="21"/>
          <w:szCs w:val="21"/>
        </w:rPr>
        <w:t>（</w:t>
      </w:r>
      <w:hyperlink r:id="rId16" w:history="1">
        <w:r w:rsidRPr="003566B4">
          <w:rPr>
            <w:rStyle w:val="a9"/>
            <w:rFonts w:eastAsia="宋体"/>
            <w:snapToGrid w:val="0"/>
            <w:sz w:val="21"/>
            <w:szCs w:val="21"/>
            <w:u w:color="0000FF"/>
          </w:rPr>
          <w:t>https://www.fda.gov/regulatory-information/search-fda-guidance-documents/field-alert-report-submission-questions-and-answers-guidance-industry</w:t>
        </w:r>
      </w:hyperlink>
      <w:r w:rsidRPr="003566B4">
        <w:rPr>
          <w:rFonts w:eastAsia="宋体"/>
          <w:snapToGrid w:val="0"/>
          <w:sz w:val="21"/>
          <w:szCs w:val="21"/>
        </w:rPr>
        <w:t>），该草案最终版将代表</w:t>
      </w:r>
      <w:r w:rsidRPr="003566B4">
        <w:rPr>
          <w:rFonts w:eastAsia="宋体"/>
          <w:snapToGrid w:val="0"/>
          <w:sz w:val="21"/>
          <w:szCs w:val="21"/>
        </w:rPr>
        <w:t>FDA</w:t>
      </w:r>
      <w:r>
        <w:rPr>
          <w:rFonts w:eastAsia="宋体" w:hint="eastAsia"/>
          <w:snapToGrid w:val="0"/>
          <w:sz w:val="21"/>
          <w:szCs w:val="21"/>
          <w:lang w:eastAsia="zh-CN"/>
        </w:rPr>
        <w:t>目前</w:t>
      </w:r>
      <w:r>
        <w:rPr>
          <w:rFonts w:eastAsia="宋体"/>
          <w:snapToGrid w:val="0"/>
          <w:sz w:val="21"/>
          <w:szCs w:val="21"/>
        </w:rPr>
        <w:t>关于该主题的思考</w:t>
      </w:r>
      <w:r w:rsidRPr="003566B4">
        <w:rPr>
          <w:rFonts w:eastAsia="宋体"/>
          <w:snapToGrid w:val="0"/>
          <w:sz w:val="21"/>
          <w:szCs w:val="21"/>
        </w:rPr>
        <w:t>）。</w:t>
      </w:r>
    </w:p>
  </w:footnote>
  <w:footnote w:id="37">
    <w:p w:rsidR="0044544D" w:rsidRPr="003566B4" w:rsidRDefault="0044544D" w:rsidP="00DF0641">
      <w:pPr>
        <w:pStyle w:val="af2"/>
        <w:wordWrap w:val="0"/>
        <w:adjustRightInd w:val="0"/>
        <w:jc w:val="both"/>
        <w:rPr>
          <w:rFonts w:eastAsia="宋体"/>
          <w:sz w:val="21"/>
          <w:szCs w:val="21"/>
          <w:lang w:eastAsia="zh-CN"/>
        </w:rPr>
      </w:pPr>
      <w:r w:rsidRPr="003566B4">
        <w:rPr>
          <w:rStyle w:val="af4"/>
          <w:rFonts w:eastAsia="宋体"/>
          <w:sz w:val="21"/>
          <w:szCs w:val="21"/>
        </w:rPr>
        <w:footnoteRef/>
      </w:r>
      <w:r w:rsidRPr="003566B4">
        <w:rPr>
          <w:rFonts w:eastAsia="宋体"/>
          <w:snapToGrid w:val="0"/>
          <w:sz w:val="21"/>
          <w:szCs w:val="21"/>
          <w:lang w:eastAsia="zh-CN"/>
        </w:rPr>
        <w:t>另</w:t>
      </w:r>
      <w:r w:rsidR="00640524">
        <w:rPr>
          <w:rFonts w:eastAsia="宋体" w:hint="eastAsia"/>
          <w:snapToGrid w:val="0"/>
          <w:sz w:val="21"/>
          <w:szCs w:val="21"/>
          <w:lang w:eastAsia="zh-CN"/>
        </w:rPr>
        <w:t>参</w:t>
      </w:r>
      <w:r w:rsidRPr="003566B4">
        <w:rPr>
          <w:rFonts w:eastAsia="宋体"/>
          <w:snapToGrid w:val="0"/>
          <w:sz w:val="21"/>
          <w:szCs w:val="21"/>
          <w:lang w:eastAsia="zh-CN"/>
        </w:rPr>
        <w:t>见</w:t>
      </w:r>
      <w:r>
        <w:rPr>
          <w:rFonts w:eastAsia="宋体" w:hint="eastAsia"/>
          <w:snapToGrid w:val="0"/>
          <w:sz w:val="21"/>
          <w:szCs w:val="21"/>
          <w:lang w:eastAsia="zh-CN"/>
        </w:rPr>
        <w:t>《</w:t>
      </w:r>
      <w:r w:rsidRPr="003566B4">
        <w:rPr>
          <w:rFonts w:eastAsia="宋体"/>
          <w:snapToGrid w:val="0"/>
          <w:sz w:val="21"/>
          <w:szCs w:val="21"/>
          <w:lang w:eastAsia="zh-CN"/>
        </w:rPr>
        <w:t>行业指南</w:t>
      </w:r>
      <w:r>
        <w:rPr>
          <w:rFonts w:eastAsia="宋体" w:hint="eastAsia"/>
          <w:snapToGrid w:val="0"/>
          <w:sz w:val="21"/>
          <w:szCs w:val="21"/>
          <w:lang w:eastAsia="zh-CN"/>
        </w:rPr>
        <w:t>》</w:t>
      </w:r>
      <w:r w:rsidRPr="003566B4">
        <w:rPr>
          <w:rFonts w:eastAsia="宋体"/>
          <w:snapToGrid w:val="0"/>
          <w:sz w:val="21"/>
          <w:szCs w:val="21"/>
          <w:lang w:eastAsia="zh-CN"/>
        </w:rPr>
        <w:t>，</w:t>
      </w:r>
      <w:r w:rsidRPr="00DF0641">
        <w:rPr>
          <w:rFonts w:eastAsia="宋体"/>
          <w:i/>
          <w:snapToGrid w:val="0"/>
          <w:sz w:val="21"/>
          <w:szCs w:val="21"/>
          <w:lang w:eastAsia="zh-CN"/>
        </w:rPr>
        <w:t>适用于除血液和血液成分以外的生物制品许可生产商的生物制品偏差报告</w:t>
      </w:r>
      <w:r>
        <w:rPr>
          <w:rFonts w:eastAsia="宋体" w:hint="eastAsia"/>
          <w:snapToGrid w:val="0"/>
          <w:sz w:val="21"/>
          <w:szCs w:val="21"/>
          <w:lang w:eastAsia="zh-CN"/>
        </w:rPr>
        <w:t>（</w:t>
      </w:r>
      <w:hyperlink r:id="rId17">
        <w:r w:rsidRPr="003566B4">
          <w:rPr>
            <w:rFonts w:eastAsia="宋体"/>
            <w:snapToGrid w:val="0"/>
            <w:color w:val="0000FF"/>
            <w:sz w:val="21"/>
            <w:szCs w:val="21"/>
            <w:u w:val="single" w:color="0000FF"/>
            <w:lang w:eastAsia="zh-CN"/>
          </w:rPr>
          <w:t>https://www.fda.gov/regulatory-information/search-fda-guidance-documents/biological-product-deviation-</w:t>
        </w:r>
      </w:hyperlink>
      <w:hyperlink r:id="rId18">
        <w:r w:rsidRPr="003566B4">
          <w:rPr>
            <w:rFonts w:eastAsia="宋体"/>
            <w:snapToGrid w:val="0"/>
            <w:color w:val="0000FF"/>
            <w:sz w:val="21"/>
            <w:szCs w:val="21"/>
            <w:u w:val="single" w:color="0000FF"/>
            <w:lang w:eastAsia="zh-CN"/>
          </w:rPr>
          <w:t>reporting-licensed-manufacturers-biological-products-other-blood-and</w:t>
        </w:r>
      </w:hyperlink>
      <w:r>
        <w:rPr>
          <w:rFonts w:eastAsia="宋体" w:hint="eastAsia"/>
          <w:snapToGrid w:val="0"/>
          <w:sz w:val="21"/>
          <w:szCs w:val="21"/>
          <w:lang w:eastAsia="zh-CN"/>
        </w:rPr>
        <w:t>）。</w:t>
      </w:r>
    </w:p>
  </w:footnote>
  <w:footnote w:id="38">
    <w:p w:rsidR="0044544D" w:rsidRPr="003566B4" w:rsidRDefault="0044544D" w:rsidP="00DF0641">
      <w:pPr>
        <w:pStyle w:val="af2"/>
        <w:wordWrap w:val="0"/>
        <w:adjustRightInd w:val="0"/>
        <w:jc w:val="both"/>
        <w:rPr>
          <w:rFonts w:eastAsia="宋体"/>
          <w:sz w:val="21"/>
          <w:szCs w:val="21"/>
          <w:lang w:eastAsia="zh-CN"/>
        </w:rPr>
      </w:pPr>
      <w:r w:rsidRPr="003566B4">
        <w:rPr>
          <w:rStyle w:val="af4"/>
          <w:rFonts w:eastAsia="宋体"/>
          <w:sz w:val="21"/>
          <w:szCs w:val="21"/>
        </w:rPr>
        <w:footnoteRef/>
      </w:r>
      <w:r w:rsidRPr="003566B4">
        <w:rPr>
          <w:rFonts w:eastAsia="宋体"/>
          <w:snapToGrid w:val="0"/>
          <w:sz w:val="21"/>
          <w:szCs w:val="21"/>
        </w:rPr>
        <w:t>另</w:t>
      </w:r>
      <w:r w:rsidR="00640524">
        <w:rPr>
          <w:rFonts w:eastAsia="宋体" w:hint="eastAsia"/>
          <w:snapToGrid w:val="0"/>
          <w:sz w:val="21"/>
          <w:szCs w:val="21"/>
          <w:lang w:eastAsia="zh-CN"/>
        </w:rPr>
        <w:t>参</w:t>
      </w:r>
      <w:r w:rsidRPr="003566B4">
        <w:rPr>
          <w:rFonts w:eastAsia="宋体"/>
          <w:snapToGrid w:val="0"/>
          <w:sz w:val="21"/>
          <w:szCs w:val="21"/>
        </w:rPr>
        <w:t>见</w:t>
      </w:r>
      <w:r>
        <w:rPr>
          <w:rFonts w:eastAsia="宋体" w:hint="eastAsia"/>
          <w:snapToGrid w:val="0"/>
          <w:sz w:val="21"/>
          <w:szCs w:val="21"/>
          <w:lang w:eastAsia="zh-CN"/>
        </w:rPr>
        <w:t>《</w:t>
      </w:r>
      <w:r w:rsidRPr="003566B4">
        <w:rPr>
          <w:rFonts w:eastAsia="宋体"/>
          <w:snapToGrid w:val="0"/>
          <w:sz w:val="21"/>
          <w:szCs w:val="21"/>
        </w:rPr>
        <w:t>行业指南</w:t>
      </w:r>
      <w:r>
        <w:rPr>
          <w:rFonts w:eastAsia="宋体" w:hint="eastAsia"/>
          <w:snapToGrid w:val="0"/>
          <w:sz w:val="21"/>
          <w:szCs w:val="21"/>
          <w:lang w:eastAsia="zh-CN"/>
        </w:rPr>
        <w:t>》</w:t>
      </w:r>
      <w:r w:rsidRPr="003566B4">
        <w:rPr>
          <w:rFonts w:eastAsia="宋体"/>
          <w:snapToGrid w:val="0"/>
          <w:sz w:val="21"/>
          <w:szCs w:val="21"/>
        </w:rPr>
        <w:t>，</w:t>
      </w:r>
      <w:r w:rsidRPr="00DF0641">
        <w:rPr>
          <w:rFonts w:eastAsia="宋体"/>
          <w:i/>
          <w:snapToGrid w:val="0"/>
          <w:sz w:val="21"/>
          <w:szCs w:val="21"/>
        </w:rPr>
        <w:t>血液和血浆机构的生物制品偏差报告</w:t>
      </w:r>
      <w:r w:rsidRPr="003566B4">
        <w:rPr>
          <w:rFonts w:eastAsia="宋体"/>
          <w:snapToGrid w:val="0"/>
          <w:sz w:val="21"/>
          <w:szCs w:val="21"/>
        </w:rPr>
        <w:t>（</w:t>
      </w:r>
      <w:hyperlink r:id="rId19" w:history="1">
        <w:r w:rsidRPr="003566B4">
          <w:rPr>
            <w:rStyle w:val="a9"/>
            <w:rFonts w:eastAsia="宋体"/>
            <w:snapToGrid w:val="0"/>
            <w:sz w:val="21"/>
            <w:szCs w:val="21"/>
            <w:u w:color="0000FF"/>
          </w:rPr>
          <w:t>https://www.fda.gov/regulatory-information/search-fda-guidance-documents/biological-product-deviation-reporting-blood-and-plasma-establishments</w:t>
        </w:r>
      </w:hyperlink>
      <w:r w:rsidRPr="003566B4">
        <w:rPr>
          <w:rFonts w:eastAsia="宋体"/>
          <w:snapToGrid w:val="0"/>
          <w:sz w:val="21"/>
          <w:szCs w:val="21"/>
        </w:rPr>
        <w:t>）。</w:t>
      </w:r>
    </w:p>
  </w:footnote>
  <w:footnote w:id="39">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根据《美国联邦法规》第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803.3</w:t>
      </w:r>
      <w:r>
        <w:rPr>
          <w:rFonts w:eastAsia="宋体"/>
          <w:snapToGrid w:val="0"/>
          <w:sz w:val="21"/>
          <w:szCs w:val="21"/>
          <w:lang w:eastAsia="zh-CN"/>
        </w:rPr>
        <w:t>（</w:t>
      </w:r>
      <w:r w:rsidRPr="003566B4">
        <w:rPr>
          <w:rFonts w:eastAsia="宋体"/>
          <w:snapToGrid w:val="0"/>
          <w:sz w:val="21"/>
          <w:szCs w:val="21"/>
          <w:lang w:eastAsia="zh-CN"/>
        </w:rPr>
        <w:t>f</w:t>
      </w:r>
      <w:r>
        <w:rPr>
          <w:rFonts w:eastAsia="宋体"/>
          <w:snapToGrid w:val="0"/>
          <w:sz w:val="21"/>
          <w:szCs w:val="21"/>
          <w:lang w:eastAsia="zh-CN"/>
        </w:rPr>
        <w:t>）节</w:t>
      </w:r>
      <w:r w:rsidRPr="003566B4">
        <w:rPr>
          <w:rFonts w:eastAsia="宋体"/>
          <w:snapToGrid w:val="0"/>
          <w:sz w:val="21"/>
          <w:szCs w:val="21"/>
          <w:lang w:eastAsia="zh-CN"/>
        </w:rPr>
        <w:t>，器械的预期寿命</w:t>
      </w:r>
      <w:r w:rsidRPr="003566B4">
        <w:rPr>
          <w:rFonts w:ascii="宋体" w:eastAsia="宋体" w:hAnsi="宋体"/>
          <w:snapToGrid w:val="0"/>
          <w:sz w:val="21"/>
          <w:szCs w:val="21"/>
          <w:lang w:eastAsia="zh-CN"/>
        </w:rPr>
        <w:t>“</w:t>
      </w:r>
      <w:r w:rsidRPr="003566B4">
        <w:rPr>
          <w:rFonts w:eastAsia="宋体"/>
          <w:snapToGrid w:val="0"/>
          <w:sz w:val="21"/>
          <w:szCs w:val="21"/>
          <w:lang w:eastAsia="zh-CN"/>
        </w:rPr>
        <w:t>指器械投入使用后预期可保持功能的时间。某些植入器械规定了</w:t>
      </w:r>
      <w:r w:rsidRPr="003566B4">
        <w:rPr>
          <w:rFonts w:ascii="宋体" w:eastAsia="宋体" w:hAnsi="宋体"/>
          <w:snapToGrid w:val="0"/>
          <w:sz w:val="21"/>
          <w:szCs w:val="21"/>
          <w:lang w:eastAsia="zh-CN"/>
        </w:rPr>
        <w:t>“</w:t>
      </w:r>
      <w:r w:rsidRPr="003566B4">
        <w:rPr>
          <w:rFonts w:eastAsia="宋体"/>
          <w:snapToGrid w:val="0"/>
          <w:sz w:val="21"/>
          <w:szCs w:val="21"/>
          <w:lang w:eastAsia="zh-CN"/>
        </w:rPr>
        <w:t>寿命终止</w:t>
      </w:r>
      <w:r w:rsidRPr="003566B4">
        <w:rPr>
          <w:rFonts w:ascii="宋体" w:eastAsia="宋体" w:hAnsi="宋体"/>
          <w:snapToGrid w:val="0"/>
          <w:sz w:val="21"/>
          <w:szCs w:val="21"/>
          <w:lang w:eastAsia="zh-CN"/>
        </w:rPr>
        <w:t>”</w:t>
      </w:r>
      <w:r w:rsidRPr="003566B4">
        <w:rPr>
          <w:rFonts w:eastAsia="宋体"/>
          <w:snapToGrid w:val="0"/>
          <w:sz w:val="21"/>
          <w:szCs w:val="21"/>
          <w:lang w:eastAsia="zh-CN"/>
        </w:rPr>
        <w:t>（</w:t>
      </w:r>
      <w:r w:rsidRPr="003566B4">
        <w:rPr>
          <w:rFonts w:eastAsia="宋体"/>
          <w:snapToGrid w:val="0"/>
          <w:sz w:val="21"/>
          <w:szCs w:val="21"/>
          <w:lang w:eastAsia="zh-CN"/>
        </w:rPr>
        <w:t>EOL</w:t>
      </w:r>
      <w:r w:rsidRPr="003566B4">
        <w:rPr>
          <w:rFonts w:eastAsia="宋体"/>
          <w:snapToGrid w:val="0"/>
          <w:sz w:val="21"/>
          <w:szCs w:val="21"/>
          <w:lang w:eastAsia="zh-CN"/>
        </w:rPr>
        <w:t>）日期。其他器械未标明其各自的</w:t>
      </w:r>
      <w:r w:rsidRPr="003566B4">
        <w:rPr>
          <w:rFonts w:eastAsia="宋体"/>
          <w:snapToGrid w:val="0"/>
          <w:sz w:val="21"/>
          <w:szCs w:val="21"/>
          <w:lang w:eastAsia="zh-CN"/>
        </w:rPr>
        <w:t>EOL</w:t>
      </w:r>
      <w:r w:rsidRPr="003566B4">
        <w:rPr>
          <w:rFonts w:eastAsia="宋体"/>
          <w:snapToGrid w:val="0"/>
          <w:sz w:val="21"/>
          <w:szCs w:val="21"/>
          <w:lang w:eastAsia="zh-CN"/>
        </w:rPr>
        <w:t>，但预期在估计的时间周期内，通过维护、维修或升级等活动可保持正常运行。</w:t>
      </w:r>
      <w:r w:rsidRPr="003566B4">
        <w:rPr>
          <w:rFonts w:ascii="宋体" w:eastAsia="宋体" w:hAnsi="宋体"/>
          <w:snapToGrid w:val="0"/>
          <w:sz w:val="21"/>
          <w:szCs w:val="21"/>
          <w:lang w:eastAsia="zh-CN"/>
        </w:rPr>
        <w:t>”</w:t>
      </w:r>
    </w:p>
  </w:footnote>
  <w:footnote w:id="40">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对于根据单独申请上市的组成部分的组合产品申请人，另</w:t>
      </w:r>
      <w:r w:rsidR="00C2328D">
        <w:rPr>
          <w:rFonts w:eastAsia="宋体" w:hint="eastAsia"/>
          <w:snapToGrid w:val="0"/>
          <w:sz w:val="21"/>
          <w:szCs w:val="21"/>
          <w:lang w:eastAsia="zh-CN"/>
        </w:rPr>
        <w:t>参</w:t>
      </w:r>
      <w:r w:rsidRPr="003566B4">
        <w:rPr>
          <w:rFonts w:eastAsia="宋体"/>
          <w:snapToGrid w:val="0"/>
          <w:sz w:val="21"/>
          <w:szCs w:val="21"/>
          <w:lang w:eastAsia="zh-CN"/>
        </w:rPr>
        <w:t>见第</w:t>
      </w:r>
      <w:r>
        <w:rPr>
          <w:rFonts w:eastAsia="宋体" w:hint="eastAsia"/>
          <w:snapToGrid w:val="0"/>
          <w:sz w:val="21"/>
          <w:szCs w:val="21"/>
          <w:lang w:eastAsia="zh-CN"/>
        </w:rPr>
        <w:t>III</w:t>
      </w:r>
      <w:r w:rsidRPr="003566B4">
        <w:rPr>
          <w:rFonts w:eastAsia="宋体"/>
          <w:snapToGrid w:val="0"/>
          <w:sz w:val="21"/>
          <w:szCs w:val="21"/>
          <w:lang w:eastAsia="zh-CN"/>
        </w:rPr>
        <w:t>.B.2</w:t>
      </w:r>
      <w:r w:rsidRPr="003566B4">
        <w:rPr>
          <w:rFonts w:eastAsia="宋体"/>
          <w:snapToGrid w:val="0"/>
          <w:sz w:val="21"/>
          <w:szCs w:val="21"/>
          <w:lang w:eastAsia="zh-CN"/>
        </w:rPr>
        <w:t>节。</w:t>
      </w:r>
    </w:p>
  </w:footnote>
  <w:footnote w:id="41">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药品和生物制品为主组合产品的组合产品申请人还需要提交非快速</w:t>
      </w:r>
      <w:r w:rsidRPr="003566B4">
        <w:rPr>
          <w:rFonts w:eastAsia="宋体"/>
          <w:snapToGrid w:val="0"/>
          <w:sz w:val="21"/>
          <w:szCs w:val="21"/>
          <w:lang w:eastAsia="zh-CN"/>
        </w:rPr>
        <w:t>ICSR</w:t>
      </w:r>
      <w:r w:rsidRPr="003566B4">
        <w:rPr>
          <w:rFonts w:eastAsia="宋体"/>
          <w:snapToGrid w:val="0"/>
          <w:sz w:val="21"/>
          <w:szCs w:val="21"/>
          <w:lang w:eastAsia="zh-CN"/>
        </w:rPr>
        <w:t>（严重和预期或非严重不良经历的</w:t>
      </w:r>
      <w:r w:rsidRPr="003566B4">
        <w:rPr>
          <w:rFonts w:eastAsia="宋体"/>
          <w:snapToGrid w:val="0"/>
          <w:sz w:val="21"/>
          <w:szCs w:val="21"/>
          <w:lang w:eastAsia="zh-CN"/>
        </w:rPr>
        <w:t>ICSR</w:t>
      </w:r>
      <w:r w:rsidRPr="003566B4">
        <w:rPr>
          <w:rFonts w:eastAsia="宋体"/>
          <w:snapToGrid w:val="0"/>
          <w:sz w:val="21"/>
          <w:szCs w:val="21"/>
          <w:lang w:eastAsia="zh-CN"/>
        </w:rPr>
        <w:t>）（</w:t>
      </w:r>
      <w:r w:rsidR="001F009A">
        <w:rPr>
          <w:rFonts w:eastAsia="宋体" w:hint="eastAsia"/>
          <w:snapToGrid w:val="0"/>
          <w:sz w:val="21"/>
          <w:szCs w:val="21"/>
          <w:lang w:eastAsia="zh-CN"/>
        </w:rPr>
        <w:t>参</w:t>
      </w:r>
      <w:r w:rsidRPr="003566B4">
        <w:rPr>
          <w:rFonts w:eastAsia="宋体"/>
          <w:snapToGrid w:val="0"/>
          <w:sz w:val="21"/>
          <w:szCs w:val="21"/>
          <w:lang w:eastAsia="zh-CN"/>
        </w:rPr>
        <w:t>见《美国联邦法规》第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4.102</w:t>
      </w:r>
      <w:r w:rsidRPr="003566B4">
        <w:rPr>
          <w:rFonts w:eastAsia="宋体"/>
          <w:snapToGrid w:val="0"/>
          <w:sz w:val="21"/>
          <w:szCs w:val="21"/>
          <w:lang w:eastAsia="zh-CN"/>
        </w:rPr>
        <w:t>（</w:t>
      </w:r>
      <w:r w:rsidRPr="003566B4">
        <w:rPr>
          <w:rFonts w:eastAsia="宋体"/>
          <w:snapToGrid w:val="0"/>
          <w:sz w:val="21"/>
          <w:szCs w:val="21"/>
          <w:lang w:eastAsia="zh-CN"/>
        </w:rPr>
        <w:t>b</w:t>
      </w:r>
      <w:r w:rsidRPr="003566B4">
        <w:rPr>
          <w:rFonts w:eastAsia="宋体"/>
          <w:snapToGrid w:val="0"/>
          <w:sz w:val="21"/>
          <w:szCs w:val="21"/>
          <w:lang w:eastAsia="zh-CN"/>
        </w:rPr>
        <w:t>）、</w:t>
      </w:r>
      <w:r w:rsidRPr="003566B4">
        <w:rPr>
          <w:rFonts w:eastAsia="宋体"/>
          <w:snapToGrid w:val="0"/>
          <w:sz w:val="21"/>
          <w:szCs w:val="21"/>
          <w:lang w:eastAsia="zh-CN"/>
        </w:rPr>
        <w:t>314.80</w:t>
      </w:r>
      <w:r w:rsidRPr="003566B4">
        <w:rPr>
          <w:rFonts w:eastAsia="宋体"/>
          <w:snapToGrid w:val="0"/>
          <w:sz w:val="21"/>
          <w:szCs w:val="21"/>
          <w:lang w:eastAsia="zh-CN"/>
        </w:rPr>
        <w:t>和</w:t>
      </w:r>
      <w:r w:rsidRPr="003566B4">
        <w:rPr>
          <w:rFonts w:eastAsia="宋体"/>
          <w:snapToGrid w:val="0"/>
          <w:sz w:val="21"/>
          <w:szCs w:val="21"/>
          <w:lang w:eastAsia="zh-CN"/>
        </w:rPr>
        <w:t>600.80</w:t>
      </w:r>
      <w:r w:rsidRPr="003566B4">
        <w:rPr>
          <w:rFonts w:eastAsia="宋体"/>
          <w:snapToGrid w:val="0"/>
          <w:sz w:val="21"/>
          <w:szCs w:val="21"/>
          <w:lang w:eastAsia="zh-CN"/>
        </w:rPr>
        <w:t>节）。如果要求药品或生物制品为主组合产品的组合产品申请人提交一项事件的故障报告和非快速</w:t>
      </w:r>
      <w:r w:rsidRPr="003566B4">
        <w:rPr>
          <w:rFonts w:eastAsia="宋体"/>
          <w:snapToGrid w:val="0"/>
          <w:sz w:val="21"/>
          <w:szCs w:val="21"/>
          <w:lang w:eastAsia="zh-CN"/>
        </w:rPr>
        <w:t>ICSR</w:t>
      </w:r>
      <w:r w:rsidRPr="003566B4">
        <w:rPr>
          <w:rFonts w:eastAsia="宋体"/>
          <w:snapToGrid w:val="0"/>
          <w:sz w:val="21"/>
          <w:szCs w:val="21"/>
          <w:lang w:eastAsia="zh-CN"/>
        </w:rPr>
        <w:t>，申请人可在</w:t>
      </w:r>
      <w:r w:rsidRPr="003566B4">
        <w:rPr>
          <w:rFonts w:eastAsia="宋体"/>
          <w:snapToGrid w:val="0"/>
          <w:sz w:val="21"/>
          <w:szCs w:val="21"/>
          <w:lang w:eastAsia="zh-CN"/>
        </w:rPr>
        <w:t>30</w:t>
      </w:r>
      <w:r w:rsidRPr="003566B4">
        <w:rPr>
          <w:rFonts w:eastAsia="宋体"/>
          <w:snapToGrid w:val="0"/>
          <w:sz w:val="21"/>
          <w:szCs w:val="21"/>
          <w:lang w:eastAsia="zh-CN"/>
        </w:rPr>
        <w:t>天内提交一份同时包含两种事件报告类型所有要求信息的报告（</w:t>
      </w:r>
      <w:r w:rsidR="00A05FF5">
        <w:rPr>
          <w:rFonts w:eastAsia="宋体" w:hint="eastAsia"/>
          <w:snapToGrid w:val="0"/>
          <w:sz w:val="21"/>
          <w:szCs w:val="21"/>
          <w:lang w:eastAsia="zh-CN"/>
        </w:rPr>
        <w:t>参</w:t>
      </w:r>
      <w:r w:rsidRPr="003566B4">
        <w:rPr>
          <w:rFonts w:eastAsia="宋体"/>
          <w:snapToGrid w:val="0"/>
          <w:sz w:val="21"/>
          <w:szCs w:val="21"/>
          <w:lang w:eastAsia="zh-CN"/>
        </w:rPr>
        <w:t>见《美国联邦法规》第</w:t>
      </w:r>
      <w:r>
        <w:rPr>
          <w:rFonts w:eastAsia="宋体"/>
          <w:snapToGrid w:val="0"/>
          <w:sz w:val="21"/>
          <w:szCs w:val="21"/>
          <w:lang w:eastAsia="zh-CN"/>
        </w:rPr>
        <w:t>21</w:t>
      </w:r>
      <w:r>
        <w:rPr>
          <w:rFonts w:eastAsia="宋体"/>
          <w:snapToGrid w:val="0"/>
          <w:sz w:val="21"/>
          <w:szCs w:val="21"/>
          <w:lang w:eastAsia="zh-CN"/>
        </w:rPr>
        <w:t>篇</w:t>
      </w:r>
      <w:r w:rsidRPr="003566B4">
        <w:rPr>
          <w:rFonts w:eastAsia="宋体"/>
          <w:snapToGrid w:val="0"/>
          <w:sz w:val="21"/>
          <w:szCs w:val="21"/>
          <w:lang w:eastAsia="zh-CN"/>
        </w:rPr>
        <w:t>第</w:t>
      </w:r>
      <w:r w:rsidRPr="003566B4">
        <w:rPr>
          <w:rFonts w:eastAsia="宋体"/>
          <w:snapToGrid w:val="0"/>
          <w:sz w:val="21"/>
          <w:szCs w:val="21"/>
          <w:lang w:eastAsia="zh-CN"/>
        </w:rPr>
        <w:t>4.102</w:t>
      </w:r>
      <w:r w:rsidRPr="003566B4">
        <w:rPr>
          <w:rFonts w:eastAsia="宋体"/>
          <w:snapToGrid w:val="0"/>
          <w:sz w:val="21"/>
          <w:szCs w:val="21"/>
          <w:lang w:eastAsia="zh-CN"/>
        </w:rPr>
        <w:t>（</w:t>
      </w:r>
      <w:r w:rsidRPr="003566B4">
        <w:rPr>
          <w:rFonts w:eastAsia="宋体"/>
          <w:snapToGrid w:val="0"/>
          <w:sz w:val="21"/>
          <w:szCs w:val="21"/>
          <w:lang w:eastAsia="zh-CN"/>
        </w:rPr>
        <w:t>b</w:t>
      </w:r>
      <w:r w:rsidRPr="003566B4">
        <w:rPr>
          <w:rFonts w:eastAsia="宋体"/>
          <w:snapToGrid w:val="0"/>
          <w:sz w:val="21"/>
          <w:szCs w:val="21"/>
          <w:lang w:eastAsia="zh-CN"/>
        </w:rPr>
        <w:t>）和（</w:t>
      </w:r>
      <w:r w:rsidRPr="003566B4">
        <w:rPr>
          <w:rFonts w:eastAsia="宋体"/>
          <w:snapToGrid w:val="0"/>
          <w:sz w:val="21"/>
          <w:szCs w:val="21"/>
          <w:lang w:eastAsia="zh-CN"/>
        </w:rPr>
        <w:t>c</w:t>
      </w:r>
      <w:r w:rsidRPr="003566B4">
        <w:rPr>
          <w:rFonts w:eastAsia="宋体"/>
          <w:snapToGrid w:val="0"/>
          <w:sz w:val="21"/>
          <w:szCs w:val="21"/>
          <w:lang w:eastAsia="zh-CN"/>
        </w:rPr>
        <w:t>））、</w:t>
      </w:r>
      <w:r w:rsidRPr="003566B4">
        <w:rPr>
          <w:rFonts w:eastAsia="宋体"/>
          <w:snapToGrid w:val="0"/>
          <w:sz w:val="21"/>
          <w:szCs w:val="21"/>
          <w:lang w:eastAsia="zh-CN"/>
        </w:rPr>
        <w:t>314.80</w:t>
      </w:r>
      <w:r w:rsidRPr="003566B4">
        <w:rPr>
          <w:rFonts w:eastAsia="宋体"/>
          <w:snapToGrid w:val="0"/>
          <w:sz w:val="21"/>
          <w:szCs w:val="21"/>
          <w:lang w:eastAsia="zh-CN"/>
        </w:rPr>
        <w:t>、</w:t>
      </w:r>
      <w:r w:rsidRPr="003566B4">
        <w:rPr>
          <w:rFonts w:eastAsia="宋体"/>
          <w:snapToGrid w:val="0"/>
          <w:sz w:val="21"/>
          <w:szCs w:val="21"/>
          <w:lang w:eastAsia="zh-CN"/>
        </w:rPr>
        <w:t>600.80</w:t>
      </w:r>
      <w:r w:rsidRPr="003566B4">
        <w:rPr>
          <w:rFonts w:eastAsia="宋体"/>
          <w:snapToGrid w:val="0"/>
          <w:sz w:val="21"/>
          <w:szCs w:val="21"/>
          <w:lang w:eastAsia="zh-CN"/>
        </w:rPr>
        <w:t>和</w:t>
      </w:r>
      <w:r w:rsidRPr="003566B4">
        <w:rPr>
          <w:rFonts w:eastAsia="宋体"/>
          <w:snapToGrid w:val="0"/>
          <w:sz w:val="21"/>
          <w:szCs w:val="21"/>
          <w:lang w:eastAsia="zh-CN"/>
        </w:rPr>
        <w:t>803.50</w:t>
      </w:r>
      <w:r w:rsidRPr="003566B4">
        <w:rPr>
          <w:rFonts w:eastAsia="宋体"/>
          <w:snapToGrid w:val="0"/>
          <w:sz w:val="21"/>
          <w:szCs w:val="21"/>
          <w:lang w:eastAsia="zh-CN"/>
        </w:rPr>
        <w:t>节）。</w:t>
      </w:r>
    </w:p>
  </w:footnote>
  <w:footnote w:id="42">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00262A9D">
        <w:rPr>
          <w:rFonts w:eastAsia="宋体" w:hint="eastAsia"/>
          <w:snapToGrid w:val="0"/>
          <w:sz w:val="21"/>
          <w:szCs w:val="21"/>
          <w:lang w:eastAsia="zh-CN"/>
        </w:rPr>
        <w:t>参</w:t>
      </w:r>
      <w:r w:rsidRPr="003566B4">
        <w:rPr>
          <w:rFonts w:eastAsia="宋体"/>
          <w:snapToGrid w:val="0"/>
          <w:sz w:val="21"/>
          <w:szCs w:val="21"/>
          <w:lang w:eastAsia="zh-CN"/>
        </w:rPr>
        <w:t>见脚注</w:t>
      </w:r>
      <w:r w:rsidRPr="003566B4">
        <w:rPr>
          <w:rFonts w:eastAsia="宋体"/>
          <w:snapToGrid w:val="0"/>
          <w:sz w:val="21"/>
          <w:szCs w:val="21"/>
          <w:lang w:eastAsia="zh-CN"/>
        </w:rPr>
        <w:t>24</w:t>
      </w:r>
      <w:r w:rsidRPr="003566B4">
        <w:rPr>
          <w:rFonts w:eastAsia="宋体"/>
          <w:snapToGrid w:val="0"/>
          <w:sz w:val="21"/>
          <w:szCs w:val="21"/>
          <w:lang w:eastAsia="zh-CN"/>
        </w:rPr>
        <w:t>。</w:t>
      </w:r>
    </w:p>
  </w:footnote>
  <w:footnote w:id="43">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对于组成部分申请人提交的</w:t>
      </w:r>
      <w:r w:rsidRPr="003566B4">
        <w:rPr>
          <w:rFonts w:eastAsia="宋体"/>
          <w:snapToGrid w:val="0"/>
          <w:sz w:val="21"/>
          <w:szCs w:val="21"/>
          <w:lang w:eastAsia="zh-CN"/>
        </w:rPr>
        <w:t>ICSR</w:t>
      </w:r>
      <w:r w:rsidRPr="003566B4">
        <w:rPr>
          <w:rFonts w:eastAsia="宋体"/>
          <w:snapToGrid w:val="0"/>
          <w:sz w:val="21"/>
          <w:szCs w:val="21"/>
          <w:lang w:eastAsia="zh-CN"/>
        </w:rPr>
        <w:t>，除了其产品类型适用法规要求的信息外，还需纳入组合产品标识符，并在叙述中纳入其他组成部分的申请号。</w:t>
      </w:r>
    </w:p>
  </w:footnote>
  <w:footnote w:id="44">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虽然</w:t>
      </w:r>
      <w:r w:rsidRPr="003566B4">
        <w:rPr>
          <w:rFonts w:eastAsia="宋体"/>
          <w:snapToGrid w:val="0"/>
          <w:sz w:val="21"/>
          <w:szCs w:val="21"/>
          <w:lang w:eastAsia="zh-CN"/>
        </w:rPr>
        <w:t>FDA</w:t>
      </w:r>
      <w:r w:rsidRPr="003566B4">
        <w:rPr>
          <w:rFonts w:eastAsia="宋体"/>
          <w:snapToGrid w:val="0"/>
          <w:sz w:val="21"/>
          <w:szCs w:val="21"/>
          <w:lang w:eastAsia="zh-CN"/>
        </w:rPr>
        <w:t>已在本节明确了组合产品申请人在</w:t>
      </w:r>
      <w:r w:rsidRPr="003566B4">
        <w:rPr>
          <w:rFonts w:eastAsia="宋体"/>
          <w:snapToGrid w:val="0"/>
          <w:sz w:val="21"/>
          <w:szCs w:val="21"/>
          <w:lang w:eastAsia="zh-CN"/>
        </w:rPr>
        <w:t>ICSR</w:t>
      </w:r>
      <w:r w:rsidRPr="003566B4">
        <w:rPr>
          <w:rFonts w:eastAsia="宋体"/>
          <w:snapToGrid w:val="0"/>
          <w:sz w:val="21"/>
          <w:szCs w:val="21"/>
          <w:lang w:eastAsia="zh-CN"/>
        </w:rPr>
        <w:t>中应包括的信息，以助于确保</w:t>
      </w:r>
      <w:r w:rsidRPr="003566B4">
        <w:rPr>
          <w:rFonts w:eastAsia="宋体"/>
          <w:snapToGrid w:val="0"/>
          <w:sz w:val="21"/>
          <w:szCs w:val="21"/>
          <w:lang w:eastAsia="zh-CN"/>
        </w:rPr>
        <w:t>FDA</w:t>
      </w:r>
      <w:r w:rsidRPr="003566B4">
        <w:rPr>
          <w:rFonts w:eastAsia="宋体"/>
          <w:snapToGrid w:val="0"/>
          <w:sz w:val="21"/>
          <w:szCs w:val="21"/>
          <w:lang w:eastAsia="zh-CN"/>
        </w:rPr>
        <w:t>获得关于产品和事件的完整信息，但报告系统也允许组合产品申请人处理额外数据元素。鼓励组合产品申请人在额外数据元素可用时提交这些内容（有关</w:t>
      </w:r>
      <w:r w:rsidRPr="003566B4">
        <w:rPr>
          <w:rFonts w:eastAsia="宋体"/>
          <w:snapToGrid w:val="0"/>
          <w:sz w:val="21"/>
          <w:szCs w:val="21"/>
          <w:lang w:eastAsia="zh-CN"/>
        </w:rPr>
        <w:t>FAERS</w:t>
      </w:r>
      <w:r w:rsidRPr="003566B4">
        <w:rPr>
          <w:rFonts w:eastAsia="宋体"/>
          <w:snapToGrid w:val="0"/>
          <w:sz w:val="21"/>
          <w:szCs w:val="21"/>
          <w:lang w:eastAsia="zh-CN"/>
        </w:rPr>
        <w:t>、</w:t>
      </w:r>
      <w:r w:rsidRPr="003566B4">
        <w:rPr>
          <w:rFonts w:eastAsia="宋体"/>
          <w:snapToGrid w:val="0"/>
          <w:sz w:val="21"/>
          <w:szCs w:val="21"/>
          <w:lang w:eastAsia="zh-CN"/>
        </w:rPr>
        <w:t>eMDR</w:t>
      </w:r>
      <w:r w:rsidRPr="003566B4">
        <w:rPr>
          <w:rFonts w:eastAsia="宋体"/>
          <w:snapToGrid w:val="0"/>
          <w:sz w:val="21"/>
          <w:szCs w:val="21"/>
          <w:lang w:eastAsia="zh-CN"/>
        </w:rPr>
        <w:t>和</w:t>
      </w:r>
      <w:r w:rsidRPr="003566B4">
        <w:rPr>
          <w:rFonts w:eastAsia="宋体"/>
          <w:snapToGrid w:val="0"/>
          <w:sz w:val="21"/>
          <w:szCs w:val="21"/>
          <w:lang w:eastAsia="zh-CN"/>
        </w:rPr>
        <w:t>VAERS</w:t>
      </w:r>
      <w:r w:rsidRPr="003566B4">
        <w:rPr>
          <w:rFonts w:eastAsia="宋体"/>
          <w:snapToGrid w:val="0"/>
          <w:sz w:val="21"/>
          <w:szCs w:val="21"/>
          <w:lang w:eastAsia="zh-CN"/>
        </w:rPr>
        <w:t>的信息，请</w:t>
      </w:r>
      <w:r w:rsidR="0060152E">
        <w:rPr>
          <w:rFonts w:eastAsia="宋体" w:hint="eastAsia"/>
          <w:snapToGrid w:val="0"/>
          <w:sz w:val="21"/>
          <w:szCs w:val="21"/>
          <w:lang w:eastAsia="zh-CN"/>
        </w:rPr>
        <w:t>参</w:t>
      </w:r>
      <w:r w:rsidRPr="003566B4">
        <w:rPr>
          <w:rFonts w:eastAsia="宋体"/>
          <w:snapToGrid w:val="0"/>
          <w:sz w:val="21"/>
          <w:szCs w:val="21"/>
          <w:lang w:eastAsia="zh-CN"/>
        </w:rPr>
        <w:t>见第</w:t>
      </w:r>
      <w:r>
        <w:rPr>
          <w:rFonts w:eastAsia="宋体" w:hint="eastAsia"/>
          <w:snapToGrid w:val="0"/>
          <w:sz w:val="21"/>
          <w:szCs w:val="21"/>
          <w:lang w:eastAsia="zh-CN"/>
        </w:rPr>
        <w:t>V</w:t>
      </w:r>
      <w:r w:rsidRPr="003566B4">
        <w:rPr>
          <w:rFonts w:eastAsia="宋体"/>
          <w:snapToGrid w:val="0"/>
          <w:sz w:val="21"/>
          <w:szCs w:val="21"/>
          <w:lang w:eastAsia="zh-CN"/>
        </w:rPr>
        <w:t>.A.2</w:t>
      </w:r>
      <w:r w:rsidRPr="003566B4">
        <w:rPr>
          <w:rFonts w:eastAsia="宋体"/>
          <w:snapToGrid w:val="0"/>
          <w:sz w:val="21"/>
          <w:szCs w:val="21"/>
          <w:lang w:eastAsia="zh-CN"/>
        </w:rPr>
        <w:t>节）。</w:t>
      </w:r>
    </w:p>
  </w:footnote>
  <w:footnote w:id="45">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如果一项事件最初未确定为涉及组合产品，但提交报告后收到的额外信息表明事件涉及组合产品，则应在后续报告中提交组合产品标识符。</w:t>
      </w:r>
    </w:p>
  </w:footnote>
  <w:footnote w:id="46">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就组合产品</w:t>
      </w:r>
      <w:r w:rsidRPr="003566B4">
        <w:rPr>
          <w:rFonts w:eastAsia="宋体"/>
          <w:snapToGrid w:val="0"/>
          <w:sz w:val="21"/>
          <w:szCs w:val="21"/>
          <w:lang w:eastAsia="zh-CN"/>
        </w:rPr>
        <w:t>ICSR</w:t>
      </w:r>
      <w:r w:rsidRPr="003566B4">
        <w:rPr>
          <w:rFonts w:eastAsia="宋体"/>
          <w:snapToGrid w:val="0"/>
          <w:sz w:val="21"/>
          <w:szCs w:val="21"/>
          <w:lang w:eastAsia="zh-CN"/>
        </w:rPr>
        <w:t>而言，</w:t>
      </w:r>
      <w:r w:rsidRPr="003566B4">
        <w:rPr>
          <w:rFonts w:ascii="宋体" w:eastAsia="宋体" w:hAnsi="宋体"/>
          <w:snapToGrid w:val="0"/>
          <w:sz w:val="21"/>
          <w:szCs w:val="21"/>
          <w:lang w:eastAsia="zh-CN"/>
        </w:rPr>
        <w:t>“</w:t>
      </w:r>
      <w:r w:rsidRPr="003566B4">
        <w:rPr>
          <w:rFonts w:eastAsia="宋体"/>
          <w:snapToGrid w:val="0"/>
          <w:sz w:val="21"/>
          <w:szCs w:val="21"/>
          <w:lang w:eastAsia="zh-CN"/>
        </w:rPr>
        <w:t>疑似医疗器械</w:t>
      </w:r>
      <w:r w:rsidRPr="003566B4">
        <w:rPr>
          <w:rFonts w:ascii="宋体" w:eastAsia="宋体" w:hAnsi="宋体"/>
          <w:snapToGrid w:val="0"/>
          <w:sz w:val="21"/>
          <w:szCs w:val="21"/>
          <w:lang w:eastAsia="zh-CN"/>
        </w:rPr>
        <w:t>”</w:t>
      </w:r>
      <w:r w:rsidRPr="003566B4">
        <w:rPr>
          <w:rFonts w:eastAsia="宋体"/>
          <w:snapToGrid w:val="0"/>
          <w:sz w:val="21"/>
          <w:szCs w:val="21"/>
          <w:lang w:eastAsia="zh-CN"/>
        </w:rPr>
        <w:t>和</w:t>
      </w:r>
      <w:r w:rsidRPr="003566B4">
        <w:rPr>
          <w:rFonts w:ascii="宋体" w:eastAsia="宋体" w:hAnsi="宋体"/>
          <w:snapToGrid w:val="0"/>
          <w:sz w:val="21"/>
          <w:szCs w:val="21"/>
          <w:lang w:eastAsia="zh-CN"/>
        </w:rPr>
        <w:t>“</w:t>
      </w:r>
      <w:r w:rsidRPr="003566B4">
        <w:rPr>
          <w:rFonts w:eastAsia="宋体"/>
          <w:snapToGrid w:val="0"/>
          <w:sz w:val="21"/>
          <w:szCs w:val="21"/>
          <w:lang w:eastAsia="zh-CN"/>
        </w:rPr>
        <w:t>疑似药品或生物制品</w:t>
      </w:r>
      <w:r w:rsidRPr="003566B4">
        <w:rPr>
          <w:rFonts w:ascii="宋体" w:eastAsia="宋体" w:hAnsi="宋体"/>
          <w:snapToGrid w:val="0"/>
          <w:sz w:val="21"/>
          <w:szCs w:val="21"/>
          <w:lang w:eastAsia="zh-CN"/>
        </w:rPr>
        <w:t>”</w:t>
      </w:r>
      <w:r w:rsidRPr="003566B4">
        <w:rPr>
          <w:rFonts w:eastAsia="宋体"/>
          <w:snapToGrid w:val="0"/>
          <w:sz w:val="21"/>
          <w:szCs w:val="21"/>
          <w:lang w:eastAsia="zh-CN"/>
        </w:rPr>
        <w:t>并不意味识别的组成部分必然与事件有关。这些字段用于识别事件中涉及的整个</w:t>
      </w:r>
      <w:r w:rsidRPr="003566B4">
        <w:rPr>
          <w:rFonts w:ascii="宋体" w:eastAsia="宋体" w:hAnsi="宋体"/>
          <w:snapToGrid w:val="0"/>
          <w:sz w:val="21"/>
          <w:szCs w:val="21"/>
          <w:lang w:eastAsia="zh-CN"/>
        </w:rPr>
        <w:t>“</w:t>
      </w:r>
      <w:r w:rsidRPr="003566B4">
        <w:rPr>
          <w:rFonts w:eastAsia="宋体"/>
          <w:snapToGrid w:val="0"/>
          <w:sz w:val="21"/>
          <w:szCs w:val="21"/>
          <w:lang w:eastAsia="zh-CN"/>
        </w:rPr>
        <w:t>疑似</w:t>
      </w:r>
      <w:r w:rsidRPr="003566B4">
        <w:rPr>
          <w:rFonts w:ascii="宋体" w:eastAsia="宋体" w:hAnsi="宋体"/>
          <w:snapToGrid w:val="0"/>
          <w:sz w:val="21"/>
          <w:szCs w:val="21"/>
          <w:lang w:eastAsia="zh-CN"/>
        </w:rPr>
        <w:t>”</w:t>
      </w:r>
      <w:r w:rsidRPr="003566B4">
        <w:rPr>
          <w:rFonts w:eastAsia="宋体"/>
          <w:snapToGrid w:val="0"/>
          <w:sz w:val="21"/>
          <w:szCs w:val="21"/>
          <w:lang w:eastAsia="zh-CN"/>
        </w:rPr>
        <w:t>组合产品的组成部分。应在叙述中描述任何组成部分对事件的贡献因素。</w:t>
      </w:r>
    </w:p>
  </w:footnote>
  <w:footnote w:id="47">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566B4">
        <w:rPr>
          <w:rFonts w:eastAsia="宋体"/>
          <w:snapToGrid w:val="0"/>
          <w:sz w:val="21"/>
          <w:szCs w:val="21"/>
          <w:lang w:eastAsia="zh-CN"/>
        </w:rPr>
        <w:t>请注意，虽然此信息有助于有效审查包含器械组成部分的所有组合产品</w:t>
      </w:r>
      <w:r w:rsidRPr="003566B4">
        <w:rPr>
          <w:rFonts w:eastAsia="宋体"/>
          <w:snapToGrid w:val="0"/>
          <w:sz w:val="21"/>
          <w:szCs w:val="21"/>
          <w:lang w:eastAsia="zh-CN"/>
        </w:rPr>
        <w:t>ICSR</w:t>
      </w:r>
      <w:r w:rsidRPr="003566B4">
        <w:rPr>
          <w:rFonts w:eastAsia="宋体"/>
          <w:snapToGrid w:val="0"/>
          <w:sz w:val="21"/>
          <w:szCs w:val="21"/>
          <w:lang w:eastAsia="zh-CN"/>
        </w:rPr>
        <w:t>，但为</w:t>
      </w:r>
      <w:r w:rsidRPr="003566B4">
        <w:rPr>
          <w:rFonts w:eastAsia="宋体"/>
          <w:snapToGrid w:val="0"/>
          <w:sz w:val="21"/>
          <w:szCs w:val="21"/>
          <w:lang w:eastAsia="zh-CN"/>
        </w:rPr>
        <w:t>ANDA/NDA/BLA</w:t>
      </w:r>
      <w:r w:rsidRPr="003566B4">
        <w:rPr>
          <w:rFonts w:eastAsia="宋体"/>
          <w:snapToGrid w:val="0"/>
          <w:sz w:val="21"/>
          <w:szCs w:val="21"/>
          <w:lang w:eastAsia="zh-CN"/>
        </w:rPr>
        <w:t>组合产品的器械组成部分选择的产品代码并不表明器械组成部分归类为该器械的通用类型，也不表明器械组成部分在独立销售时是否可归类于该通用类型。</w:t>
      </w:r>
    </w:p>
  </w:footnote>
  <w:footnote w:id="48">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F7123">
        <w:rPr>
          <w:rFonts w:eastAsia="宋体"/>
          <w:snapToGrid w:val="0"/>
          <w:sz w:val="21"/>
          <w:szCs w:val="21"/>
          <w:lang w:eastAsia="zh-CN"/>
        </w:rPr>
        <w:t>对于包含多个器械组成部分的组合产品（例如，与药品共同包装的器械套件），应确定各个器械组成部分。如果所有器械组成部分都包含在同一产品代码内（例如，附带针头防刺伤器械的预充式注射器，产品代码</w:t>
      </w:r>
      <w:r w:rsidRPr="003F7123">
        <w:rPr>
          <w:rFonts w:eastAsia="宋体"/>
          <w:snapToGrid w:val="0"/>
          <w:sz w:val="21"/>
          <w:szCs w:val="21"/>
          <w:lang w:eastAsia="zh-CN"/>
        </w:rPr>
        <w:t>MEG</w:t>
      </w:r>
      <w:r w:rsidRPr="003F7123">
        <w:rPr>
          <w:rFonts w:eastAsia="宋体"/>
          <w:snapToGrid w:val="0"/>
          <w:sz w:val="21"/>
          <w:szCs w:val="21"/>
          <w:lang w:eastAsia="zh-CN"/>
        </w:rPr>
        <w:t>可涵盖这两种器械），则仅应包含这一个产品代码。应在叙述中说明各个器械组成部分对事件产生的任何贡献因素信息。</w:t>
      </w:r>
    </w:p>
  </w:footnote>
  <w:footnote w:id="49">
    <w:p w:rsidR="0044544D" w:rsidRPr="003566B4" w:rsidRDefault="0044544D" w:rsidP="00D858CC">
      <w:pPr>
        <w:pStyle w:val="af2"/>
        <w:wordWrap w:val="0"/>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F7123">
        <w:rPr>
          <w:rFonts w:eastAsia="宋体"/>
          <w:snapToGrid w:val="0"/>
          <w:sz w:val="21"/>
          <w:szCs w:val="21"/>
        </w:rPr>
        <w:t>有关</w:t>
      </w:r>
      <w:r w:rsidRPr="003F7123">
        <w:rPr>
          <w:rFonts w:eastAsia="宋体"/>
          <w:snapToGrid w:val="0"/>
          <w:sz w:val="21"/>
          <w:szCs w:val="21"/>
        </w:rPr>
        <w:t>MedDRA</w:t>
      </w:r>
      <w:r w:rsidRPr="003F7123">
        <w:rPr>
          <w:rFonts w:eastAsia="宋体"/>
          <w:snapToGrid w:val="0"/>
          <w:sz w:val="21"/>
          <w:szCs w:val="21"/>
        </w:rPr>
        <w:t>代码使用的</w:t>
      </w:r>
      <w:r w:rsidRPr="003F7123">
        <w:rPr>
          <w:rFonts w:eastAsia="宋体"/>
          <w:snapToGrid w:val="0"/>
          <w:sz w:val="21"/>
          <w:szCs w:val="21"/>
          <w:lang w:eastAsia="zh-CN"/>
        </w:rPr>
        <w:t>更多</w:t>
      </w:r>
      <w:r w:rsidRPr="003F7123">
        <w:rPr>
          <w:rFonts w:eastAsia="宋体"/>
          <w:snapToGrid w:val="0"/>
          <w:sz w:val="21"/>
          <w:szCs w:val="21"/>
        </w:rPr>
        <w:t>信息，请</w:t>
      </w:r>
      <w:r w:rsidR="00914A74">
        <w:rPr>
          <w:rFonts w:eastAsia="宋体" w:hint="eastAsia"/>
          <w:snapToGrid w:val="0"/>
          <w:sz w:val="21"/>
          <w:szCs w:val="21"/>
          <w:lang w:eastAsia="zh-CN"/>
        </w:rPr>
        <w:t>参</w:t>
      </w:r>
      <w:r w:rsidRPr="003F7123">
        <w:rPr>
          <w:rFonts w:eastAsia="宋体"/>
          <w:snapToGrid w:val="0"/>
          <w:sz w:val="21"/>
          <w:szCs w:val="21"/>
        </w:rPr>
        <w:t>见</w:t>
      </w:r>
      <w:r w:rsidRPr="00D858CC">
        <w:rPr>
          <w:rFonts w:eastAsia="宋体"/>
          <w:i/>
          <w:snapToGrid w:val="0"/>
          <w:sz w:val="21"/>
          <w:szCs w:val="21"/>
        </w:rPr>
        <w:t>电子</w:t>
      </w:r>
      <w:r w:rsidRPr="00D858CC">
        <w:rPr>
          <w:rFonts w:eastAsia="宋体"/>
          <w:i/>
          <w:snapToGrid w:val="0"/>
          <w:sz w:val="21"/>
          <w:szCs w:val="21"/>
        </w:rPr>
        <w:t>ICSR</w:t>
      </w:r>
      <w:r w:rsidRPr="00D858CC">
        <w:rPr>
          <w:rFonts w:eastAsia="宋体"/>
          <w:i/>
          <w:snapToGrid w:val="0"/>
          <w:sz w:val="21"/>
          <w:szCs w:val="21"/>
        </w:rPr>
        <w:t>和</w:t>
      </w:r>
      <w:r w:rsidRPr="00D858CC">
        <w:rPr>
          <w:rFonts w:eastAsia="宋体"/>
          <w:i/>
          <w:snapToGrid w:val="0"/>
          <w:sz w:val="21"/>
          <w:szCs w:val="21"/>
        </w:rPr>
        <w:t>ICSR</w:t>
      </w:r>
      <w:r w:rsidRPr="00D858CC">
        <w:rPr>
          <w:rFonts w:eastAsia="宋体"/>
          <w:i/>
          <w:snapToGrid w:val="0"/>
          <w:sz w:val="21"/>
          <w:szCs w:val="21"/>
        </w:rPr>
        <w:t>附件的起草和申报规范</w:t>
      </w:r>
      <w:r w:rsidRPr="003F7123">
        <w:rPr>
          <w:rFonts w:eastAsia="宋体"/>
          <w:snapToGrid w:val="0"/>
          <w:sz w:val="21"/>
          <w:szCs w:val="21"/>
          <w:lang w:eastAsia="zh-CN"/>
        </w:rPr>
        <w:t>（</w:t>
      </w:r>
      <w:hyperlink r:id="rId20">
        <w:r w:rsidRPr="003F7123">
          <w:rPr>
            <w:rFonts w:eastAsia="宋体"/>
            <w:snapToGrid w:val="0"/>
            <w:color w:val="0000FF"/>
            <w:sz w:val="21"/>
            <w:szCs w:val="21"/>
            <w:u w:val="single" w:color="0000FF"/>
          </w:rPr>
          <w:t>https://www.fda.gov/media/76569/download</w:t>
        </w:r>
      </w:hyperlink>
      <w:r w:rsidRPr="003F7123">
        <w:rPr>
          <w:rFonts w:eastAsia="宋体"/>
          <w:snapToGrid w:val="0"/>
          <w:sz w:val="21"/>
          <w:szCs w:val="21"/>
          <w:lang w:eastAsia="zh-CN"/>
        </w:rPr>
        <w:t>）</w:t>
      </w:r>
      <w:r w:rsidRPr="003F7123">
        <w:rPr>
          <w:rFonts w:eastAsia="宋体"/>
          <w:snapToGrid w:val="0"/>
          <w:sz w:val="21"/>
          <w:szCs w:val="21"/>
        </w:rPr>
        <w:t>。</w:t>
      </w:r>
    </w:p>
  </w:footnote>
  <w:footnote w:id="50">
    <w:p w:rsidR="0044544D" w:rsidRDefault="0044544D" w:rsidP="003566B4">
      <w:pPr>
        <w:pStyle w:val="af2"/>
        <w:adjustRightInd w:val="0"/>
        <w:jc w:val="both"/>
        <w:rPr>
          <w:rFonts w:eastAsia="宋体"/>
          <w:snapToGrid w:val="0"/>
          <w:sz w:val="21"/>
          <w:szCs w:val="21"/>
          <w:lang w:eastAsia="zh-CN"/>
        </w:rPr>
      </w:pPr>
      <w:r w:rsidRPr="003566B4">
        <w:rPr>
          <w:rStyle w:val="af4"/>
          <w:rFonts w:eastAsia="宋体"/>
          <w:sz w:val="21"/>
          <w:szCs w:val="21"/>
        </w:rPr>
        <w:footnoteRef/>
      </w:r>
      <w:r w:rsidRPr="003566B4">
        <w:rPr>
          <w:rFonts w:eastAsia="宋体"/>
          <w:sz w:val="21"/>
          <w:szCs w:val="21"/>
          <w:lang w:eastAsia="zh-CN"/>
        </w:rPr>
        <w:t xml:space="preserve"> </w:t>
      </w:r>
      <w:r w:rsidRPr="003F7123">
        <w:rPr>
          <w:rFonts w:eastAsia="宋体"/>
          <w:snapToGrid w:val="0"/>
          <w:sz w:val="21"/>
          <w:szCs w:val="21"/>
          <w:lang w:eastAsia="zh-CN"/>
        </w:rPr>
        <w:t>CDRH</w:t>
      </w:r>
      <w:r w:rsidRPr="003F7123">
        <w:rPr>
          <w:rFonts w:eastAsia="宋体"/>
          <w:snapToGrid w:val="0"/>
          <w:sz w:val="21"/>
          <w:szCs w:val="21"/>
          <w:lang w:eastAsia="zh-CN"/>
        </w:rPr>
        <w:t>还保存了一份</w:t>
      </w:r>
      <w:r w:rsidRPr="003F7123">
        <w:rPr>
          <w:rFonts w:ascii="宋体" w:eastAsia="宋体" w:hAnsi="宋体"/>
          <w:snapToGrid w:val="0"/>
          <w:sz w:val="21"/>
          <w:szCs w:val="21"/>
          <w:lang w:eastAsia="zh-CN"/>
        </w:rPr>
        <w:t>“</w:t>
      </w:r>
      <w:r w:rsidRPr="003F7123">
        <w:rPr>
          <w:rFonts w:eastAsia="宋体"/>
          <w:snapToGrid w:val="0"/>
          <w:sz w:val="21"/>
          <w:szCs w:val="21"/>
          <w:lang w:eastAsia="zh-CN"/>
        </w:rPr>
        <w:t>评价代码</w:t>
      </w:r>
      <w:r w:rsidRPr="003F7123">
        <w:rPr>
          <w:rFonts w:ascii="宋体" w:eastAsia="宋体" w:hAnsi="宋体"/>
          <w:snapToGrid w:val="0"/>
          <w:sz w:val="21"/>
          <w:szCs w:val="21"/>
          <w:lang w:eastAsia="zh-CN"/>
        </w:rPr>
        <w:t>”</w:t>
      </w:r>
      <w:r w:rsidRPr="003F7123">
        <w:rPr>
          <w:rFonts w:eastAsia="宋体"/>
          <w:snapToGrid w:val="0"/>
          <w:sz w:val="21"/>
          <w:szCs w:val="21"/>
          <w:lang w:eastAsia="zh-CN"/>
        </w:rPr>
        <w:t>清单，可为申请人评价器械组成部分或组合产品提供信息。</w:t>
      </w:r>
    </w:p>
    <w:p w:rsidR="0044544D" w:rsidRPr="003566B4" w:rsidRDefault="0044544D" w:rsidP="003566B4">
      <w:pPr>
        <w:pStyle w:val="af2"/>
        <w:adjustRightInd w:val="0"/>
        <w:jc w:val="both"/>
        <w:rPr>
          <w:rFonts w:eastAsia="宋体"/>
          <w:sz w:val="21"/>
          <w:szCs w:val="21"/>
          <w:lang w:eastAsia="zh-CN"/>
        </w:rPr>
      </w:pPr>
      <w:r w:rsidRPr="003F7123">
        <w:rPr>
          <w:rFonts w:eastAsia="宋体"/>
          <w:snapToGrid w:val="0"/>
          <w:sz w:val="21"/>
          <w:szCs w:val="21"/>
          <w:lang w:eastAsia="zh-CN"/>
        </w:rPr>
        <w:t>（</w:t>
      </w:r>
      <w:hyperlink r:id="rId21">
        <w:r w:rsidRPr="003F7123">
          <w:rPr>
            <w:rFonts w:eastAsia="宋体"/>
            <w:snapToGrid w:val="0"/>
            <w:color w:val="0000FF"/>
            <w:sz w:val="21"/>
            <w:szCs w:val="21"/>
            <w:u w:val="single" w:color="0000FF"/>
            <w:lang w:eastAsia="zh-CN"/>
          </w:rPr>
          <w:t>https://www.fda.gov/MedicalDevices/DeviceRegulationandGuidance/PostmarketRequirements/ReportingAdverseE</w:t>
        </w:r>
      </w:hyperlink>
      <w:hyperlink r:id="rId22">
        <w:r w:rsidRPr="003F7123">
          <w:rPr>
            <w:rFonts w:eastAsia="宋体"/>
            <w:snapToGrid w:val="0"/>
            <w:color w:val="0000FF"/>
            <w:sz w:val="21"/>
            <w:szCs w:val="21"/>
            <w:u w:val="single" w:color="0000FF"/>
            <w:lang w:eastAsia="zh-CN"/>
          </w:rPr>
          <w:t>vents/MDRAdverseEventCodes/ucm584205.htm</w:t>
        </w:r>
      </w:hyperlink>
      <w:r w:rsidRPr="003F7123">
        <w:rPr>
          <w:rFonts w:eastAsia="宋体"/>
          <w:snapToGrid w:val="0"/>
          <w:sz w:val="21"/>
          <w:szCs w:val="21"/>
          <w:lang w:eastAsia="zh-CN"/>
        </w:rPr>
        <w:t>）。针对组合产品进行此类评估时，需要在重伤或死亡报告、故障报告或</w:t>
      </w:r>
      <w:r w:rsidRPr="003F7123">
        <w:rPr>
          <w:rFonts w:eastAsia="宋体"/>
          <w:snapToGrid w:val="0"/>
          <w:sz w:val="21"/>
          <w:szCs w:val="21"/>
          <w:lang w:eastAsia="zh-CN"/>
        </w:rPr>
        <w:t>5</w:t>
      </w:r>
      <w:r w:rsidRPr="003F7123">
        <w:rPr>
          <w:rFonts w:eastAsia="宋体"/>
          <w:snapToGrid w:val="0"/>
          <w:sz w:val="21"/>
          <w:szCs w:val="21"/>
          <w:lang w:eastAsia="zh-CN"/>
        </w:rPr>
        <w:t>天报告中包含评估代码以及评估概要，并且如果该信息在首次报告后可用，则必须在此类首次报告的后续报告中包括该信息（</w:t>
      </w:r>
      <w:r w:rsidR="00914A74">
        <w:rPr>
          <w:rFonts w:eastAsia="宋体" w:hint="eastAsia"/>
          <w:snapToGrid w:val="0"/>
          <w:sz w:val="21"/>
          <w:szCs w:val="21"/>
          <w:lang w:eastAsia="zh-CN"/>
        </w:rPr>
        <w:t>参</w:t>
      </w:r>
      <w:r w:rsidRPr="003F7123">
        <w:rPr>
          <w:rFonts w:eastAsia="宋体"/>
          <w:snapToGrid w:val="0"/>
          <w:sz w:val="21"/>
          <w:szCs w:val="21"/>
          <w:lang w:eastAsia="zh-CN"/>
        </w:rPr>
        <w:t>见《美国联邦法规》第</w:t>
      </w:r>
      <w:r>
        <w:rPr>
          <w:rFonts w:eastAsia="宋体"/>
          <w:snapToGrid w:val="0"/>
          <w:sz w:val="21"/>
          <w:szCs w:val="21"/>
          <w:lang w:eastAsia="zh-CN"/>
        </w:rPr>
        <w:t>21</w:t>
      </w:r>
      <w:r>
        <w:rPr>
          <w:rFonts w:eastAsia="宋体"/>
          <w:snapToGrid w:val="0"/>
          <w:sz w:val="21"/>
          <w:szCs w:val="21"/>
          <w:lang w:eastAsia="zh-CN"/>
        </w:rPr>
        <w:t>篇</w:t>
      </w:r>
      <w:r w:rsidRPr="003F7123">
        <w:rPr>
          <w:rFonts w:eastAsia="宋体"/>
          <w:snapToGrid w:val="0"/>
          <w:sz w:val="21"/>
          <w:szCs w:val="21"/>
          <w:lang w:eastAsia="zh-CN"/>
        </w:rPr>
        <w:t>第</w:t>
      </w:r>
      <w:r w:rsidRPr="003F7123">
        <w:rPr>
          <w:rFonts w:eastAsia="宋体"/>
          <w:snapToGrid w:val="0"/>
          <w:sz w:val="21"/>
          <w:szCs w:val="21"/>
          <w:lang w:eastAsia="zh-CN"/>
        </w:rPr>
        <w:t>803.52</w:t>
      </w:r>
      <w:r w:rsidRPr="003F7123">
        <w:rPr>
          <w:rFonts w:eastAsia="宋体"/>
          <w:snapToGrid w:val="0"/>
          <w:sz w:val="21"/>
          <w:szCs w:val="21"/>
          <w:lang w:eastAsia="zh-CN"/>
        </w:rPr>
        <w:t>（</w:t>
      </w:r>
      <w:r w:rsidRPr="003F7123">
        <w:rPr>
          <w:rFonts w:eastAsia="宋体"/>
          <w:snapToGrid w:val="0"/>
          <w:sz w:val="21"/>
          <w:szCs w:val="21"/>
          <w:lang w:eastAsia="zh-CN"/>
        </w:rPr>
        <w:t>f</w:t>
      </w:r>
      <w:r w:rsidRPr="003F7123">
        <w:rPr>
          <w:rFonts w:eastAsia="宋体"/>
          <w:snapToGrid w:val="0"/>
          <w:sz w:val="21"/>
          <w:szCs w:val="21"/>
          <w:lang w:eastAsia="zh-CN"/>
        </w:rPr>
        <w:t>）（</w:t>
      </w:r>
      <w:r w:rsidRPr="003F7123">
        <w:rPr>
          <w:rFonts w:eastAsia="宋体"/>
          <w:snapToGrid w:val="0"/>
          <w:sz w:val="21"/>
          <w:szCs w:val="21"/>
          <w:lang w:eastAsia="zh-CN"/>
        </w:rPr>
        <w:t>3</w:t>
      </w:r>
      <w:r w:rsidRPr="003F7123">
        <w:rPr>
          <w:rFonts w:eastAsia="宋体"/>
          <w:snapToGrid w:val="0"/>
          <w:sz w:val="21"/>
          <w:szCs w:val="21"/>
          <w:lang w:eastAsia="zh-CN"/>
        </w:rPr>
        <w:t>）和（</w:t>
      </w:r>
      <w:r w:rsidRPr="003F7123">
        <w:rPr>
          <w:rFonts w:eastAsia="宋体"/>
          <w:snapToGrid w:val="0"/>
          <w:sz w:val="21"/>
          <w:szCs w:val="21"/>
          <w:lang w:eastAsia="zh-CN"/>
        </w:rPr>
        <w:t>f</w:t>
      </w:r>
      <w:r w:rsidRPr="003F7123">
        <w:rPr>
          <w:rFonts w:eastAsia="宋体"/>
          <w:snapToGrid w:val="0"/>
          <w:sz w:val="21"/>
          <w:szCs w:val="21"/>
          <w:lang w:eastAsia="zh-CN"/>
        </w:rPr>
        <w:t>）（</w:t>
      </w:r>
      <w:r w:rsidRPr="003F7123">
        <w:rPr>
          <w:rFonts w:eastAsia="宋体"/>
          <w:snapToGrid w:val="0"/>
          <w:sz w:val="21"/>
          <w:szCs w:val="21"/>
          <w:lang w:eastAsia="zh-CN"/>
        </w:rPr>
        <w:t>6</w:t>
      </w:r>
      <w:r w:rsidRPr="003F7123">
        <w:rPr>
          <w:rFonts w:eastAsia="宋体"/>
          <w:snapToGrid w:val="0"/>
          <w:sz w:val="21"/>
          <w:szCs w:val="21"/>
          <w:lang w:eastAsia="zh-CN"/>
        </w:rPr>
        <w:t>））</w:t>
      </w:r>
      <w:r>
        <w:rPr>
          <w:rFonts w:eastAsia="宋体"/>
          <w:snapToGrid w:val="0"/>
          <w:sz w:val="21"/>
          <w:szCs w:val="21"/>
          <w:lang w:eastAsia="zh-CN"/>
        </w:rPr>
        <w:t>节</w:t>
      </w:r>
      <w:r w:rsidRPr="003F7123">
        <w:rPr>
          <w:rFonts w:eastAsia="宋体"/>
          <w:snapToGrid w:val="0"/>
          <w:sz w:val="21"/>
          <w:szCs w:val="21"/>
          <w:lang w:eastAsia="zh-CN"/>
        </w:rPr>
        <w:t>。然而，对于</w:t>
      </w:r>
      <w:r w:rsidRPr="003F7123">
        <w:rPr>
          <w:rFonts w:eastAsia="宋体"/>
          <w:snapToGrid w:val="0"/>
          <w:sz w:val="21"/>
          <w:szCs w:val="21"/>
          <w:lang w:eastAsia="zh-CN"/>
        </w:rPr>
        <w:t>NDA/ANDA/BLA</w:t>
      </w:r>
      <w:r w:rsidRPr="003F7123">
        <w:rPr>
          <w:rFonts w:eastAsia="宋体"/>
          <w:snapToGrid w:val="0"/>
          <w:sz w:val="21"/>
          <w:szCs w:val="21"/>
          <w:lang w:eastAsia="zh-CN"/>
        </w:rPr>
        <w:t>组合产品，如果申请人未提供评估代码，而</w:t>
      </w:r>
      <w:r w:rsidR="00914A74">
        <w:rPr>
          <w:rFonts w:eastAsia="宋体" w:hint="eastAsia"/>
          <w:snapToGrid w:val="0"/>
          <w:sz w:val="21"/>
          <w:szCs w:val="21"/>
          <w:lang w:eastAsia="zh-CN"/>
        </w:rPr>
        <w:t>是</w:t>
      </w:r>
      <w:r w:rsidRPr="003F7123">
        <w:rPr>
          <w:rFonts w:eastAsia="宋体"/>
          <w:snapToGrid w:val="0"/>
          <w:sz w:val="21"/>
          <w:szCs w:val="21"/>
          <w:lang w:eastAsia="zh-CN"/>
        </w:rPr>
        <w:t>在说明中提供评估信息，</w:t>
      </w:r>
      <w:r w:rsidRPr="003F7123">
        <w:rPr>
          <w:rFonts w:eastAsia="宋体"/>
          <w:snapToGrid w:val="0"/>
          <w:sz w:val="21"/>
          <w:szCs w:val="21"/>
          <w:lang w:eastAsia="zh-CN"/>
        </w:rPr>
        <w:t>FDA</w:t>
      </w:r>
      <w:r w:rsidR="00914A74">
        <w:rPr>
          <w:rFonts w:eastAsia="宋体" w:hint="eastAsia"/>
          <w:snapToGrid w:val="0"/>
          <w:sz w:val="21"/>
          <w:szCs w:val="21"/>
          <w:lang w:eastAsia="zh-CN"/>
        </w:rPr>
        <w:t>对此</w:t>
      </w:r>
      <w:r w:rsidRPr="003F7123">
        <w:rPr>
          <w:rFonts w:eastAsia="宋体"/>
          <w:snapToGrid w:val="0"/>
          <w:sz w:val="21"/>
          <w:szCs w:val="21"/>
          <w:lang w:eastAsia="zh-CN"/>
        </w:rPr>
        <w:t>也</w:t>
      </w:r>
      <w:r w:rsidR="00914A74">
        <w:rPr>
          <w:rFonts w:eastAsia="宋体" w:hint="eastAsia"/>
          <w:snapToGrid w:val="0"/>
          <w:sz w:val="21"/>
          <w:szCs w:val="21"/>
          <w:lang w:eastAsia="zh-CN"/>
        </w:rPr>
        <w:t>会</w:t>
      </w:r>
      <w:r w:rsidRPr="003F7123">
        <w:rPr>
          <w:rFonts w:eastAsia="宋体"/>
          <w:snapToGrid w:val="0"/>
          <w:sz w:val="21"/>
          <w:szCs w:val="21"/>
          <w:lang w:eastAsia="zh-CN"/>
        </w:rPr>
        <w:t>不反对。</w:t>
      </w:r>
    </w:p>
  </w:footnote>
  <w:footnote w:id="51">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F7123">
        <w:rPr>
          <w:rFonts w:eastAsia="宋体"/>
          <w:snapToGrid w:val="0"/>
          <w:sz w:val="21"/>
          <w:szCs w:val="21"/>
          <w:lang w:eastAsia="zh-CN"/>
        </w:rPr>
        <w:t>提交符合申请类型相关适用法规、政策和程序的后续</w:t>
      </w:r>
      <w:r w:rsidRPr="003F7123">
        <w:rPr>
          <w:rFonts w:eastAsia="宋体"/>
          <w:snapToGrid w:val="0"/>
          <w:sz w:val="21"/>
          <w:szCs w:val="21"/>
          <w:lang w:eastAsia="zh-CN"/>
        </w:rPr>
        <w:t>ICSR</w:t>
      </w:r>
      <w:r w:rsidRPr="003F7123">
        <w:rPr>
          <w:rFonts w:eastAsia="宋体"/>
          <w:snapToGrid w:val="0"/>
          <w:sz w:val="21"/>
          <w:szCs w:val="21"/>
          <w:lang w:eastAsia="zh-CN"/>
        </w:rPr>
        <w:t>，以符合《美国联邦法规》第</w:t>
      </w:r>
      <w:r>
        <w:rPr>
          <w:rFonts w:eastAsia="宋体"/>
          <w:snapToGrid w:val="0"/>
          <w:sz w:val="21"/>
          <w:szCs w:val="21"/>
          <w:lang w:eastAsia="zh-CN"/>
        </w:rPr>
        <w:t>21</w:t>
      </w:r>
      <w:r>
        <w:rPr>
          <w:rFonts w:eastAsia="宋体"/>
          <w:snapToGrid w:val="0"/>
          <w:sz w:val="21"/>
          <w:szCs w:val="21"/>
          <w:lang w:eastAsia="zh-CN"/>
        </w:rPr>
        <w:t>篇</w:t>
      </w:r>
      <w:r w:rsidRPr="003F7123">
        <w:rPr>
          <w:rFonts w:eastAsia="宋体"/>
          <w:snapToGrid w:val="0"/>
          <w:sz w:val="21"/>
          <w:szCs w:val="21"/>
          <w:lang w:eastAsia="zh-CN"/>
        </w:rPr>
        <w:t>第</w:t>
      </w:r>
      <w:r w:rsidRPr="003F7123">
        <w:rPr>
          <w:rFonts w:eastAsia="宋体"/>
          <w:snapToGrid w:val="0"/>
          <w:sz w:val="21"/>
          <w:szCs w:val="21"/>
          <w:lang w:eastAsia="zh-CN"/>
        </w:rPr>
        <w:t>4.104</w:t>
      </w:r>
      <w:r w:rsidRPr="003F7123">
        <w:rPr>
          <w:rFonts w:eastAsia="宋体"/>
          <w:snapToGrid w:val="0"/>
          <w:sz w:val="21"/>
          <w:szCs w:val="21"/>
          <w:lang w:eastAsia="zh-CN"/>
        </w:rPr>
        <w:t>（</w:t>
      </w:r>
      <w:r w:rsidRPr="003F7123">
        <w:rPr>
          <w:rFonts w:eastAsia="宋体"/>
          <w:snapToGrid w:val="0"/>
          <w:sz w:val="21"/>
          <w:szCs w:val="21"/>
          <w:lang w:eastAsia="zh-CN"/>
        </w:rPr>
        <w:t>b</w:t>
      </w:r>
      <w:r w:rsidRPr="003F7123">
        <w:rPr>
          <w:rFonts w:eastAsia="宋体"/>
          <w:snapToGrid w:val="0"/>
          <w:sz w:val="21"/>
          <w:szCs w:val="21"/>
          <w:lang w:eastAsia="zh-CN"/>
        </w:rPr>
        <w:t>）</w:t>
      </w:r>
      <w:r>
        <w:rPr>
          <w:rFonts w:eastAsia="宋体"/>
          <w:snapToGrid w:val="0"/>
          <w:sz w:val="21"/>
          <w:szCs w:val="21"/>
          <w:lang w:eastAsia="zh-CN"/>
        </w:rPr>
        <w:t>节</w:t>
      </w:r>
      <w:r w:rsidRPr="003F7123">
        <w:rPr>
          <w:rFonts w:eastAsia="宋体"/>
          <w:snapToGrid w:val="0"/>
          <w:sz w:val="21"/>
          <w:szCs w:val="21"/>
          <w:lang w:eastAsia="zh-CN"/>
        </w:rPr>
        <w:t>规定。例如，对于以药品为主导的组合产品，药品评价和研究中心（</w:t>
      </w:r>
      <w:r w:rsidRPr="003F7123">
        <w:rPr>
          <w:rFonts w:eastAsia="宋体"/>
          <w:snapToGrid w:val="0"/>
          <w:sz w:val="21"/>
          <w:szCs w:val="21"/>
          <w:lang w:eastAsia="zh-CN"/>
        </w:rPr>
        <w:t>CDER</w:t>
      </w:r>
      <w:r w:rsidRPr="003F7123">
        <w:rPr>
          <w:rFonts w:eastAsia="宋体"/>
          <w:snapToGrid w:val="0"/>
          <w:sz w:val="21"/>
          <w:szCs w:val="21"/>
          <w:lang w:eastAsia="zh-CN"/>
        </w:rPr>
        <w:t>）的电子报告系统根据《美国联邦法规》第</w:t>
      </w:r>
      <w:r>
        <w:rPr>
          <w:rFonts w:eastAsia="宋体"/>
          <w:snapToGrid w:val="0"/>
          <w:sz w:val="21"/>
          <w:szCs w:val="21"/>
          <w:lang w:eastAsia="zh-CN"/>
        </w:rPr>
        <w:t>21</w:t>
      </w:r>
      <w:r>
        <w:rPr>
          <w:rFonts w:eastAsia="宋体"/>
          <w:snapToGrid w:val="0"/>
          <w:sz w:val="21"/>
          <w:szCs w:val="21"/>
          <w:lang w:eastAsia="zh-CN"/>
        </w:rPr>
        <w:t>篇</w:t>
      </w:r>
      <w:r w:rsidRPr="003F7123">
        <w:rPr>
          <w:rFonts w:eastAsia="宋体"/>
          <w:snapToGrid w:val="0"/>
          <w:sz w:val="21"/>
          <w:szCs w:val="21"/>
          <w:lang w:eastAsia="zh-CN"/>
        </w:rPr>
        <w:t>第</w:t>
      </w:r>
      <w:r w:rsidRPr="003F7123">
        <w:rPr>
          <w:rFonts w:eastAsia="宋体"/>
          <w:snapToGrid w:val="0"/>
          <w:sz w:val="21"/>
          <w:szCs w:val="21"/>
          <w:lang w:eastAsia="zh-CN"/>
        </w:rPr>
        <w:t>314</w:t>
      </w:r>
      <w:r w:rsidRPr="003F7123">
        <w:rPr>
          <w:rFonts w:eastAsia="宋体"/>
          <w:snapToGrid w:val="0"/>
          <w:sz w:val="21"/>
          <w:szCs w:val="21"/>
          <w:lang w:eastAsia="zh-CN"/>
        </w:rPr>
        <w:t>节要求以及相关</w:t>
      </w:r>
      <w:r w:rsidRPr="003F7123">
        <w:rPr>
          <w:rFonts w:eastAsia="宋体"/>
          <w:snapToGrid w:val="0"/>
          <w:sz w:val="21"/>
          <w:szCs w:val="21"/>
          <w:lang w:eastAsia="zh-CN"/>
        </w:rPr>
        <w:t>CDER</w:t>
      </w:r>
      <w:r w:rsidRPr="003F7123">
        <w:rPr>
          <w:rFonts w:eastAsia="宋体"/>
          <w:snapToGrid w:val="0"/>
          <w:sz w:val="21"/>
          <w:szCs w:val="21"/>
          <w:lang w:eastAsia="zh-CN"/>
        </w:rPr>
        <w:t>政策和程序接受</w:t>
      </w:r>
      <w:r w:rsidRPr="003F7123">
        <w:rPr>
          <w:rFonts w:eastAsia="宋体"/>
          <w:snapToGrid w:val="0"/>
          <w:sz w:val="21"/>
          <w:szCs w:val="21"/>
          <w:lang w:eastAsia="zh-CN"/>
        </w:rPr>
        <w:t>ICSR</w:t>
      </w:r>
      <w:r w:rsidRPr="003F7123">
        <w:rPr>
          <w:rFonts w:eastAsia="宋体"/>
          <w:snapToGrid w:val="0"/>
          <w:sz w:val="21"/>
          <w:szCs w:val="21"/>
          <w:lang w:eastAsia="zh-CN"/>
        </w:rPr>
        <w:t>后续报告。</w:t>
      </w:r>
    </w:p>
  </w:footnote>
  <w:footnote w:id="52">
    <w:p w:rsidR="0044544D" w:rsidRPr="003566B4" w:rsidRDefault="0044544D" w:rsidP="003F7123">
      <w:pPr>
        <w:pStyle w:val="af2"/>
        <w:wordWrap w:val="0"/>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F7123">
        <w:rPr>
          <w:rFonts w:eastAsia="宋体"/>
          <w:snapToGrid w:val="0"/>
          <w:sz w:val="21"/>
          <w:szCs w:val="21"/>
        </w:rPr>
        <w:t>更多信息，请</w:t>
      </w:r>
      <w:r w:rsidR="003D4AA6">
        <w:rPr>
          <w:rFonts w:eastAsia="宋体" w:hint="eastAsia"/>
          <w:snapToGrid w:val="0"/>
          <w:sz w:val="21"/>
          <w:szCs w:val="21"/>
          <w:lang w:eastAsia="zh-CN"/>
        </w:rPr>
        <w:t>参</w:t>
      </w:r>
      <w:r w:rsidRPr="003F7123">
        <w:rPr>
          <w:rFonts w:eastAsia="宋体"/>
          <w:snapToGrid w:val="0"/>
          <w:sz w:val="21"/>
          <w:szCs w:val="21"/>
        </w:rPr>
        <w:t>见</w:t>
      </w:r>
      <w:r w:rsidRPr="003F7123">
        <w:rPr>
          <w:rFonts w:eastAsia="宋体"/>
          <w:snapToGrid w:val="0"/>
          <w:sz w:val="21"/>
          <w:szCs w:val="21"/>
          <w:lang w:eastAsia="zh-CN"/>
        </w:rPr>
        <w:t>《行</w:t>
      </w:r>
      <w:r w:rsidRPr="003F7123">
        <w:rPr>
          <w:rFonts w:eastAsia="宋体"/>
          <w:snapToGrid w:val="0"/>
          <w:sz w:val="21"/>
          <w:szCs w:val="21"/>
        </w:rPr>
        <w:t>业指南草案</w:t>
      </w:r>
      <w:r w:rsidRPr="003F7123">
        <w:rPr>
          <w:rFonts w:eastAsia="宋体"/>
          <w:snapToGrid w:val="0"/>
          <w:sz w:val="21"/>
          <w:szCs w:val="21"/>
          <w:lang w:eastAsia="zh-CN"/>
        </w:rPr>
        <w:t>》</w:t>
      </w:r>
      <w:r w:rsidRPr="003F7123">
        <w:rPr>
          <w:rFonts w:eastAsia="宋体"/>
          <w:snapToGrid w:val="0"/>
          <w:sz w:val="21"/>
          <w:szCs w:val="21"/>
        </w:rPr>
        <w:t>，</w:t>
      </w:r>
      <w:r w:rsidRPr="00C8689A">
        <w:rPr>
          <w:rFonts w:eastAsia="宋体"/>
          <w:i/>
          <w:snapToGrid w:val="0"/>
          <w:sz w:val="21"/>
          <w:szCs w:val="21"/>
        </w:rPr>
        <w:t>人用药和生物制品（包括疫苗）上市后安全性报告</w:t>
      </w:r>
      <w:r w:rsidRPr="003F7123">
        <w:rPr>
          <w:rFonts w:eastAsia="宋体"/>
          <w:snapToGrid w:val="0"/>
          <w:sz w:val="21"/>
          <w:szCs w:val="21"/>
        </w:rPr>
        <w:t>（</w:t>
      </w:r>
      <w:hyperlink r:id="rId23" w:history="1">
        <w:r w:rsidRPr="003F7123">
          <w:rPr>
            <w:rStyle w:val="a9"/>
            <w:rFonts w:eastAsia="宋体"/>
            <w:snapToGrid w:val="0"/>
            <w:sz w:val="21"/>
            <w:szCs w:val="21"/>
            <w:u w:color="0000FF"/>
          </w:rPr>
          <w:t>https://www.fda.gov/regulatory-information/search-fda-guidance-documents/postmarketing-safety-reporting-human-drug-and-biological-products-including-vaccines</w:t>
        </w:r>
      </w:hyperlink>
      <w:r w:rsidRPr="003F7123">
        <w:rPr>
          <w:rFonts w:eastAsia="宋体"/>
          <w:snapToGrid w:val="0"/>
          <w:sz w:val="21"/>
          <w:szCs w:val="21"/>
        </w:rPr>
        <w:t>），该草案最终版将代表</w:t>
      </w:r>
      <w:r w:rsidRPr="003F7123">
        <w:rPr>
          <w:rFonts w:eastAsia="宋体"/>
          <w:snapToGrid w:val="0"/>
          <w:sz w:val="21"/>
          <w:szCs w:val="21"/>
        </w:rPr>
        <w:t>FDA</w:t>
      </w:r>
      <w:r w:rsidRPr="00A7715A">
        <w:rPr>
          <w:rFonts w:eastAsia="宋体" w:hint="eastAsia"/>
          <w:snapToGrid w:val="0"/>
          <w:sz w:val="21"/>
          <w:szCs w:val="21"/>
        </w:rPr>
        <w:t>目前关于该主题的思考</w:t>
      </w:r>
      <w:r w:rsidRPr="003F7123">
        <w:rPr>
          <w:rFonts w:eastAsia="宋体"/>
          <w:snapToGrid w:val="0"/>
          <w:sz w:val="21"/>
          <w:szCs w:val="21"/>
        </w:rPr>
        <w:t>。</w:t>
      </w:r>
    </w:p>
  </w:footnote>
  <w:footnote w:id="53">
    <w:p w:rsidR="0044544D" w:rsidRPr="003566B4" w:rsidRDefault="0044544D" w:rsidP="003F7123">
      <w:pPr>
        <w:pStyle w:val="af2"/>
        <w:wordWrap w:val="0"/>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F7123">
        <w:rPr>
          <w:rFonts w:eastAsia="宋体"/>
          <w:snapToGrid w:val="0"/>
          <w:sz w:val="21"/>
          <w:szCs w:val="21"/>
          <w:lang w:eastAsia="zh-CN"/>
        </w:rPr>
        <w:t>有关</w:t>
      </w:r>
      <w:r w:rsidRPr="003F7123">
        <w:rPr>
          <w:rFonts w:eastAsia="宋体"/>
          <w:snapToGrid w:val="0"/>
          <w:sz w:val="21"/>
          <w:szCs w:val="21"/>
          <w:lang w:eastAsia="zh-CN"/>
        </w:rPr>
        <w:t>PBRER</w:t>
      </w:r>
      <w:r w:rsidRPr="003F7123">
        <w:rPr>
          <w:rFonts w:eastAsia="宋体"/>
          <w:snapToGrid w:val="0"/>
          <w:sz w:val="21"/>
          <w:szCs w:val="21"/>
          <w:lang w:eastAsia="zh-CN"/>
        </w:rPr>
        <w:t>的更多信息，请</w:t>
      </w:r>
      <w:r w:rsidR="003D4AA6">
        <w:rPr>
          <w:rFonts w:eastAsia="宋体" w:hint="eastAsia"/>
          <w:snapToGrid w:val="0"/>
          <w:sz w:val="21"/>
          <w:szCs w:val="21"/>
          <w:lang w:eastAsia="zh-CN"/>
        </w:rPr>
        <w:t>参</w:t>
      </w:r>
      <w:r w:rsidRPr="003F7123">
        <w:rPr>
          <w:rFonts w:eastAsia="宋体"/>
          <w:snapToGrid w:val="0"/>
          <w:sz w:val="21"/>
          <w:szCs w:val="21"/>
          <w:lang w:eastAsia="zh-CN"/>
        </w:rPr>
        <w:t>见《行业指南》，</w:t>
      </w:r>
      <w:r w:rsidRPr="006320F0">
        <w:rPr>
          <w:rFonts w:eastAsia="宋体"/>
          <w:i/>
          <w:snapToGrid w:val="0"/>
          <w:sz w:val="21"/>
          <w:szCs w:val="21"/>
          <w:lang w:eastAsia="zh-CN"/>
        </w:rPr>
        <w:t>E2C</w:t>
      </w:r>
      <w:r w:rsidRPr="006320F0">
        <w:rPr>
          <w:rFonts w:eastAsia="宋体"/>
          <w:i/>
          <w:snapToGrid w:val="0"/>
          <w:sz w:val="21"/>
          <w:szCs w:val="21"/>
          <w:lang w:eastAsia="zh-CN"/>
        </w:rPr>
        <w:t>（</w:t>
      </w:r>
      <w:r w:rsidRPr="006320F0">
        <w:rPr>
          <w:rFonts w:eastAsia="宋体"/>
          <w:i/>
          <w:snapToGrid w:val="0"/>
          <w:sz w:val="21"/>
          <w:szCs w:val="21"/>
          <w:lang w:eastAsia="zh-CN"/>
        </w:rPr>
        <w:t>R2</w:t>
      </w:r>
      <w:r w:rsidRPr="006320F0">
        <w:rPr>
          <w:rFonts w:eastAsia="宋体"/>
          <w:i/>
          <w:snapToGrid w:val="0"/>
          <w:sz w:val="21"/>
          <w:szCs w:val="21"/>
          <w:lang w:eastAsia="zh-CN"/>
        </w:rPr>
        <w:t>）定期受益</w:t>
      </w:r>
      <w:r w:rsidRPr="006320F0">
        <w:rPr>
          <w:rFonts w:eastAsia="宋体"/>
          <w:i/>
          <w:snapToGrid w:val="0"/>
          <w:sz w:val="21"/>
          <w:szCs w:val="21"/>
          <w:lang w:eastAsia="zh-CN"/>
        </w:rPr>
        <w:t>-</w:t>
      </w:r>
      <w:r w:rsidRPr="006320F0">
        <w:rPr>
          <w:rFonts w:eastAsia="宋体"/>
          <w:i/>
          <w:snapToGrid w:val="0"/>
          <w:sz w:val="21"/>
          <w:szCs w:val="21"/>
          <w:lang w:eastAsia="zh-CN"/>
        </w:rPr>
        <w:t>风险</w:t>
      </w:r>
      <w:r w:rsidR="002F2BE2">
        <w:rPr>
          <w:rFonts w:eastAsia="宋体" w:hint="eastAsia"/>
          <w:i/>
          <w:snapToGrid w:val="0"/>
          <w:sz w:val="21"/>
          <w:szCs w:val="21"/>
          <w:lang w:eastAsia="zh-CN"/>
        </w:rPr>
        <w:t>评定</w:t>
      </w:r>
      <w:r w:rsidRPr="006320F0">
        <w:rPr>
          <w:rFonts w:eastAsia="宋体"/>
          <w:i/>
          <w:snapToGrid w:val="0"/>
          <w:sz w:val="21"/>
          <w:szCs w:val="21"/>
        </w:rPr>
        <w:t>报告（</w:t>
      </w:r>
      <w:r w:rsidRPr="006320F0">
        <w:rPr>
          <w:rFonts w:eastAsia="宋体"/>
          <w:i/>
          <w:snapToGrid w:val="0"/>
          <w:sz w:val="21"/>
          <w:szCs w:val="21"/>
        </w:rPr>
        <w:t>PBRER</w:t>
      </w:r>
      <w:r w:rsidRPr="006320F0">
        <w:rPr>
          <w:rFonts w:eastAsia="宋体"/>
          <w:i/>
          <w:snapToGrid w:val="0"/>
          <w:sz w:val="21"/>
          <w:szCs w:val="21"/>
          <w:lang w:eastAsia="zh-CN"/>
        </w:rPr>
        <w:t>）</w:t>
      </w:r>
      <w:r w:rsidRPr="003F7123">
        <w:rPr>
          <w:rFonts w:eastAsia="宋体"/>
          <w:snapToGrid w:val="0"/>
          <w:sz w:val="21"/>
          <w:szCs w:val="21"/>
          <w:lang w:eastAsia="zh-CN"/>
        </w:rPr>
        <w:t>（</w:t>
      </w:r>
      <w:hyperlink r:id="rId24" w:history="1">
        <w:r w:rsidRPr="003F7123">
          <w:rPr>
            <w:rStyle w:val="a9"/>
            <w:rFonts w:eastAsia="宋体"/>
            <w:snapToGrid w:val="0"/>
            <w:sz w:val="21"/>
            <w:szCs w:val="21"/>
            <w:u w:color="0000FF"/>
          </w:rPr>
          <w:t>https://www.fda.gov/regulatory-information/search-fda-guidance-documents/e2cr2-periodic-benefit-risk-evaluation-report-pbrer</w:t>
        </w:r>
      </w:hyperlink>
      <w:r w:rsidRPr="003F7123">
        <w:rPr>
          <w:rFonts w:eastAsia="宋体"/>
          <w:snapToGrid w:val="0"/>
          <w:sz w:val="21"/>
          <w:szCs w:val="21"/>
          <w:lang w:eastAsia="zh-CN"/>
        </w:rPr>
        <w:t>）</w:t>
      </w:r>
      <w:r w:rsidRPr="003F7123">
        <w:rPr>
          <w:rFonts w:eastAsia="宋体"/>
          <w:snapToGrid w:val="0"/>
          <w:sz w:val="21"/>
          <w:szCs w:val="21"/>
        </w:rPr>
        <w:t>。</w:t>
      </w:r>
    </w:p>
  </w:footnote>
  <w:footnote w:id="54">
    <w:p w:rsidR="0044544D" w:rsidRPr="003566B4" w:rsidRDefault="0044544D" w:rsidP="009C4D9B">
      <w:pPr>
        <w:autoSpaceDE/>
        <w:autoSpaceDN/>
        <w:snapToGri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F7123">
        <w:rPr>
          <w:rFonts w:eastAsia="宋体"/>
          <w:snapToGrid w:val="0"/>
          <w:sz w:val="21"/>
          <w:szCs w:val="21"/>
          <w:lang w:eastAsia="zh-CN"/>
        </w:rPr>
        <w:t>注意，提交</w:t>
      </w:r>
      <w:r w:rsidRPr="003F7123">
        <w:rPr>
          <w:rFonts w:eastAsia="宋体"/>
          <w:snapToGrid w:val="0"/>
          <w:sz w:val="21"/>
          <w:szCs w:val="21"/>
          <w:lang w:eastAsia="zh-CN"/>
        </w:rPr>
        <w:t>ICSR</w:t>
      </w:r>
      <w:r w:rsidRPr="003F7123">
        <w:rPr>
          <w:rFonts w:eastAsia="宋体"/>
          <w:snapToGrid w:val="0"/>
          <w:sz w:val="21"/>
          <w:szCs w:val="21"/>
          <w:lang w:eastAsia="zh-CN"/>
        </w:rPr>
        <w:t>报告的后续报告的相关要求（法规中后续报告要求的讨论，</w:t>
      </w:r>
      <w:r w:rsidR="00040A92">
        <w:rPr>
          <w:rFonts w:eastAsia="宋体" w:hint="eastAsia"/>
          <w:snapToGrid w:val="0"/>
          <w:sz w:val="21"/>
          <w:szCs w:val="21"/>
          <w:lang w:eastAsia="zh-CN"/>
        </w:rPr>
        <w:t>参</w:t>
      </w:r>
      <w:r w:rsidRPr="003F7123">
        <w:rPr>
          <w:rFonts w:eastAsia="宋体"/>
          <w:snapToGrid w:val="0"/>
          <w:sz w:val="21"/>
          <w:szCs w:val="21"/>
          <w:lang w:eastAsia="zh-CN"/>
        </w:rPr>
        <w:t>见第</w:t>
      </w:r>
      <w:r>
        <w:rPr>
          <w:rFonts w:eastAsia="宋体" w:hint="eastAsia"/>
          <w:snapToGrid w:val="0"/>
          <w:sz w:val="21"/>
          <w:szCs w:val="21"/>
          <w:lang w:eastAsia="zh-CN"/>
        </w:rPr>
        <w:t>IV</w:t>
      </w:r>
      <w:r w:rsidRPr="003F7123">
        <w:rPr>
          <w:rFonts w:eastAsia="宋体"/>
          <w:snapToGrid w:val="0"/>
          <w:sz w:val="21"/>
          <w:szCs w:val="21"/>
          <w:lang w:eastAsia="zh-CN"/>
        </w:rPr>
        <w:t>.A.4</w:t>
      </w:r>
      <w:r w:rsidRPr="003F7123">
        <w:rPr>
          <w:rFonts w:eastAsia="宋体"/>
          <w:snapToGrid w:val="0"/>
          <w:sz w:val="21"/>
          <w:szCs w:val="21"/>
          <w:lang w:eastAsia="zh-CN"/>
        </w:rPr>
        <w:t>节）。</w:t>
      </w:r>
    </w:p>
  </w:footnote>
  <w:footnote w:id="55">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F7123">
        <w:rPr>
          <w:rFonts w:eastAsia="宋体"/>
          <w:snapToGrid w:val="0"/>
          <w:sz w:val="21"/>
          <w:szCs w:val="21"/>
          <w:lang w:eastAsia="zh-CN"/>
        </w:rPr>
        <w:t>产品简化报告的讨论请</w:t>
      </w:r>
      <w:r w:rsidR="00040A92">
        <w:rPr>
          <w:rFonts w:eastAsia="宋体" w:hint="eastAsia"/>
          <w:snapToGrid w:val="0"/>
          <w:sz w:val="21"/>
          <w:szCs w:val="21"/>
          <w:lang w:eastAsia="zh-CN"/>
        </w:rPr>
        <w:t>参</w:t>
      </w:r>
      <w:r w:rsidRPr="003F7123">
        <w:rPr>
          <w:rFonts w:eastAsia="宋体"/>
          <w:snapToGrid w:val="0"/>
          <w:sz w:val="21"/>
          <w:szCs w:val="21"/>
          <w:lang w:eastAsia="zh-CN"/>
        </w:rPr>
        <w:t>见第</w:t>
      </w:r>
      <w:r>
        <w:rPr>
          <w:rFonts w:eastAsia="宋体" w:hint="eastAsia"/>
          <w:snapToGrid w:val="0"/>
          <w:sz w:val="21"/>
          <w:szCs w:val="21"/>
          <w:lang w:eastAsia="zh-CN"/>
        </w:rPr>
        <w:t>IV</w:t>
      </w:r>
      <w:r w:rsidRPr="003F7123">
        <w:rPr>
          <w:rFonts w:eastAsia="宋体"/>
          <w:snapToGrid w:val="0"/>
          <w:sz w:val="21"/>
          <w:szCs w:val="21"/>
          <w:lang w:eastAsia="zh-CN"/>
        </w:rPr>
        <w:t>.C</w:t>
      </w:r>
      <w:r w:rsidRPr="003F7123">
        <w:rPr>
          <w:rFonts w:eastAsia="宋体"/>
          <w:snapToGrid w:val="0"/>
          <w:sz w:val="21"/>
          <w:szCs w:val="21"/>
          <w:lang w:eastAsia="zh-CN"/>
        </w:rPr>
        <w:t>节和第</w:t>
      </w:r>
      <w:r>
        <w:rPr>
          <w:rFonts w:eastAsia="宋体" w:hint="eastAsia"/>
          <w:snapToGrid w:val="0"/>
          <w:sz w:val="21"/>
          <w:szCs w:val="21"/>
          <w:lang w:eastAsia="zh-CN"/>
        </w:rPr>
        <w:t>V</w:t>
      </w:r>
      <w:r w:rsidRPr="003F7123">
        <w:rPr>
          <w:rFonts w:eastAsia="宋体"/>
          <w:snapToGrid w:val="0"/>
          <w:sz w:val="21"/>
          <w:szCs w:val="21"/>
          <w:lang w:eastAsia="zh-CN"/>
        </w:rPr>
        <w:t>.A.3</w:t>
      </w:r>
      <w:r w:rsidRPr="003F7123">
        <w:rPr>
          <w:rFonts w:eastAsia="宋体"/>
          <w:snapToGrid w:val="0"/>
          <w:sz w:val="21"/>
          <w:szCs w:val="21"/>
          <w:lang w:eastAsia="zh-CN"/>
        </w:rPr>
        <w:t>节，同时包含药品和生物制品组成部分的组合产品</w:t>
      </w:r>
      <w:r w:rsidRPr="003F7123">
        <w:rPr>
          <w:rFonts w:eastAsia="宋体"/>
          <w:snapToGrid w:val="0"/>
          <w:sz w:val="21"/>
          <w:szCs w:val="21"/>
          <w:lang w:eastAsia="zh-CN"/>
        </w:rPr>
        <w:t>15</w:t>
      </w:r>
      <w:r w:rsidRPr="003F7123">
        <w:rPr>
          <w:rFonts w:eastAsia="宋体"/>
          <w:snapToGrid w:val="0"/>
          <w:sz w:val="21"/>
          <w:szCs w:val="21"/>
          <w:lang w:eastAsia="zh-CN"/>
        </w:rPr>
        <w:t>天报告的讨论请</w:t>
      </w:r>
      <w:r w:rsidR="00040A92">
        <w:rPr>
          <w:rFonts w:eastAsia="宋体" w:hint="eastAsia"/>
          <w:snapToGrid w:val="0"/>
          <w:sz w:val="21"/>
          <w:szCs w:val="21"/>
          <w:lang w:eastAsia="zh-CN"/>
        </w:rPr>
        <w:t>参</w:t>
      </w:r>
      <w:r w:rsidRPr="003F7123">
        <w:rPr>
          <w:rFonts w:eastAsia="宋体"/>
          <w:snapToGrid w:val="0"/>
          <w:sz w:val="21"/>
          <w:szCs w:val="21"/>
          <w:lang w:eastAsia="zh-CN"/>
        </w:rPr>
        <w:t>见第</w:t>
      </w:r>
      <w:r>
        <w:rPr>
          <w:rFonts w:eastAsia="宋体" w:hint="eastAsia"/>
          <w:snapToGrid w:val="0"/>
          <w:sz w:val="21"/>
          <w:szCs w:val="21"/>
          <w:lang w:eastAsia="zh-CN"/>
        </w:rPr>
        <w:t>IV</w:t>
      </w:r>
      <w:r w:rsidRPr="003F7123">
        <w:rPr>
          <w:rFonts w:eastAsia="宋体"/>
          <w:snapToGrid w:val="0"/>
          <w:sz w:val="21"/>
          <w:szCs w:val="21"/>
          <w:lang w:eastAsia="zh-CN"/>
        </w:rPr>
        <w:t>.A.1</w:t>
      </w:r>
      <w:r w:rsidRPr="003F7123">
        <w:rPr>
          <w:rFonts w:eastAsia="宋体"/>
          <w:snapToGrid w:val="0"/>
          <w:sz w:val="21"/>
          <w:szCs w:val="21"/>
          <w:lang w:eastAsia="zh-CN"/>
        </w:rPr>
        <w:t>节。</w:t>
      </w:r>
    </w:p>
  </w:footnote>
  <w:footnote w:id="56">
    <w:p w:rsidR="0044544D" w:rsidRPr="003566B4" w:rsidRDefault="0044544D" w:rsidP="003566B4">
      <w:pPr>
        <w:pStyle w:val="af2"/>
        <w:adjustRightInd w:val="0"/>
        <w:jc w:val="both"/>
        <w:rPr>
          <w:rFonts w:eastAsia="宋体"/>
          <w:sz w:val="21"/>
          <w:szCs w:val="21"/>
          <w:lang w:eastAsia="zh-CN"/>
        </w:rPr>
      </w:pPr>
      <w:r w:rsidRPr="003566B4">
        <w:rPr>
          <w:rStyle w:val="af4"/>
          <w:rFonts w:eastAsia="宋体"/>
          <w:sz w:val="21"/>
          <w:szCs w:val="21"/>
        </w:rPr>
        <w:footnoteRef/>
      </w:r>
      <w:r>
        <w:rPr>
          <w:rFonts w:eastAsia="宋体" w:hint="eastAsia"/>
          <w:snapToGrid w:val="0"/>
          <w:sz w:val="21"/>
          <w:szCs w:val="21"/>
          <w:lang w:eastAsia="zh-CN"/>
        </w:rPr>
        <w:t xml:space="preserve"> </w:t>
      </w:r>
      <w:r w:rsidRPr="003F7123">
        <w:rPr>
          <w:rFonts w:eastAsia="宋体"/>
          <w:snapToGrid w:val="0"/>
          <w:sz w:val="21"/>
          <w:szCs w:val="21"/>
          <w:lang w:eastAsia="zh-CN"/>
        </w:rPr>
        <w:t>在某些情况下，组合产品的组成部分也可能由不同实体作为非组合产品单独生产或销售。</w:t>
      </w:r>
      <w:r w:rsidRPr="003F7123">
        <w:rPr>
          <w:rFonts w:eastAsia="宋体"/>
          <w:snapToGrid w:val="0"/>
          <w:sz w:val="21"/>
          <w:szCs w:val="21"/>
          <w:lang w:eastAsia="zh-CN"/>
        </w:rPr>
        <w:t>PMSR</w:t>
      </w:r>
      <w:r w:rsidRPr="003F7123">
        <w:rPr>
          <w:rFonts w:eastAsia="宋体"/>
          <w:snapToGrid w:val="0"/>
          <w:sz w:val="21"/>
          <w:szCs w:val="21"/>
          <w:lang w:eastAsia="zh-CN"/>
        </w:rPr>
        <w:t>报告义务也可适用于此类实体。例如，如果组合产品申请人从注射器生产商（上市许可持有人，销售注射器用于一般用途）购买注射器，包含在其组合包装的组合产品中，注射器生产商对组合产品不承担</w:t>
      </w:r>
      <w:r w:rsidRPr="003F7123">
        <w:rPr>
          <w:rFonts w:eastAsia="宋体"/>
          <w:snapToGrid w:val="0"/>
          <w:sz w:val="21"/>
          <w:szCs w:val="21"/>
          <w:lang w:eastAsia="zh-CN"/>
        </w:rPr>
        <w:t>PMSR</w:t>
      </w:r>
      <w:r w:rsidRPr="003F7123">
        <w:rPr>
          <w:rFonts w:eastAsia="宋体"/>
          <w:snapToGrid w:val="0"/>
          <w:sz w:val="21"/>
          <w:szCs w:val="21"/>
          <w:lang w:eastAsia="zh-CN"/>
        </w:rPr>
        <w:t>责任，但根据《美国联邦法规》第</w:t>
      </w:r>
      <w:r>
        <w:rPr>
          <w:rFonts w:eastAsia="宋体"/>
          <w:snapToGrid w:val="0"/>
          <w:sz w:val="21"/>
          <w:szCs w:val="21"/>
          <w:lang w:eastAsia="zh-CN"/>
        </w:rPr>
        <w:t>21</w:t>
      </w:r>
      <w:r>
        <w:rPr>
          <w:rFonts w:eastAsia="宋体"/>
          <w:snapToGrid w:val="0"/>
          <w:sz w:val="21"/>
          <w:szCs w:val="21"/>
          <w:lang w:eastAsia="zh-CN"/>
        </w:rPr>
        <w:t>篇</w:t>
      </w:r>
      <w:r w:rsidRPr="003F7123">
        <w:rPr>
          <w:rFonts w:eastAsia="宋体"/>
          <w:snapToGrid w:val="0"/>
          <w:sz w:val="21"/>
          <w:szCs w:val="21"/>
          <w:lang w:eastAsia="zh-CN"/>
        </w:rPr>
        <w:t>第</w:t>
      </w:r>
      <w:r w:rsidRPr="003F7123">
        <w:rPr>
          <w:rFonts w:eastAsia="宋体"/>
          <w:snapToGrid w:val="0"/>
          <w:sz w:val="21"/>
          <w:szCs w:val="21"/>
          <w:lang w:eastAsia="zh-CN"/>
        </w:rPr>
        <w:t>803</w:t>
      </w:r>
      <w:r w:rsidRPr="003F7123">
        <w:rPr>
          <w:rFonts w:eastAsia="宋体"/>
          <w:snapToGrid w:val="0"/>
          <w:sz w:val="21"/>
          <w:szCs w:val="21"/>
          <w:lang w:eastAsia="zh-CN"/>
        </w:rPr>
        <w:t>节，对其注射器承担</w:t>
      </w:r>
      <w:r w:rsidRPr="003F7123">
        <w:rPr>
          <w:rFonts w:eastAsia="宋体"/>
          <w:snapToGrid w:val="0"/>
          <w:sz w:val="21"/>
          <w:szCs w:val="21"/>
          <w:lang w:eastAsia="zh-CN"/>
        </w:rPr>
        <w:t>PMSR</w:t>
      </w:r>
      <w:r w:rsidRPr="003F7123">
        <w:rPr>
          <w:rFonts w:eastAsia="宋体"/>
          <w:snapToGrid w:val="0"/>
          <w:sz w:val="21"/>
          <w:szCs w:val="21"/>
          <w:lang w:eastAsia="zh-CN"/>
        </w:rPr>
        <w:t>责任。</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4D" w:rsidRDefault="0044544D" w:rsidP="00B403CB">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4D" w:rsidRPr="00B403CB" w:rsidRDefault="0044544D" w:rsidP="00B403CB">
    <w:pPr>
      <w:pStyle w:val="11"/>
      <w:spacing w:before="120" w:afterLines="0" w:after="120"/>
      <w:jc w:val="center"/>
      <w:rPr>
        <w:b w:val="0"/>
        <w:sz w:val="21"/>
      </w:rPr>
    </w:pPr>
    <w:r w:rsidRPr="00B403CB">
      <w:rPr>
        <w:rFonts w:hint="eastAsia"/>
        <w:b w:val="0"/>
        <w:sz w:val="21"/>
        <w:lang w:eastAsia="zh-CN"/>
      </w:rPr>
      <w:t>所含建议不具约束力</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EE7"/>
    <w:multiLevelType w:val="hybridMultilevel"/>
    <w:tmpl w:val="921EF97C"/>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9568AB"/>
    <w:multiLevelType w:val="hybridMultilevel"/>
    <w:tmpl w:val="553C4038"/>
    <w:lvl w:ilvl="0" w:tplc="39AAA8B0">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 w15:restartNumberingAfterBreak="0">
    <w:nsid w:val="081A76D9"/>
    <w:multiLevelType w:val="hybridMultilevel"/>
    <w:tmpl w:val="7D6E8C52"/>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9E19B0"/>
    <w:multiLevelType w:val="hybridMultilevel"/>
    <w:tmpl w:val="687A9802"/>
    <w:lvl w:ilvl="0" w:tplc="39AAA8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9816EA62">
      <w:numFmt w:val="bullet"/>
      <w:lvlText w:val=""/>
      <w:lvlJc w:val="left"/>
      <w:pPr>
        <w:ind w:left="1260" w:hanging="420"/>
      </w:pPr>
      <w:rPr>
        <w:rFonts w:ascii="Symbol" w:eastAsia="Symbol" w:hAnsi="Symbol" w:cs="Symbol" w:hint="default"/>
        <w:w w:val="100"/>
        <w:sz w:val="24"/>
        <w:szCs w:val="24"/>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FD2C05"/>
    <w:multiLevelType w:val="hybridMultilevel"/>
    <w:tmpl w:val="5C3E3E50"/>
    <w:lvl w:ilvl="0" w:tplc="224885A0">
      <w:numFmt w:val="bullet"/>
      <w:lvlText w:val="o"/>
      <w:lvlJc w:val="left"/>
      <w:pPr>
        <w:ind w:left="420" w:hanging="420"/>
      </w:pPr>
      <w:rPr>
        <w:rFonts w:ascii="Courier New" w:eastAsia="Courier New" w:hAnsi="Courier New" w:cs="Courier New" w:hint="default"/>
        <w:w w:val="99"/>
        <w:sz w:val="24"/>
        <w:szCs w:val="24"/>
        <w:lang w:val="en-US" w:eastAsia="en-US" w:bidi="en-US"/>
      </w:rPr>
    </w:lvl>
    <w:lvl w:ilvl="1" w:tplc="EE5C07FC">
      <w:numFmt w:val="bullet"/>
      <w:lvlText w:val="o"/>
      <w:lvlJc w:val="left"/>
      <w:pPr>
        <w:ind w:left="840" w:hanging="420"/>
      </w:pPr>
      <w:rPr>
        <w:rFonts w:ascii="Times New Roman" w:eastAsia="Courier New" w:hAnsi="Times New Roman" w:cs="Times New Roman" w:hint="default"/>
        <w:w w:val="100"/>
        <w:sz w:val="24"/>
        <w:szCs w:val="24"/>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0556C9"/>
    <w:multiLevelType w:val="hybridMultilevel"/>
    <w:tmpl w:val="3850C7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54379A"/>
    <w:multiLevelType w:val="hybridMultilevel"/>
    <w:tmpl w:val="9F0AC752"/>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7E68D0"/>
    <w:multiLevelType w:val="hybridMultilevel"/>
    <w:tmpl w:val="A44CA5FC"/>
    <w:lvl w:ilvl="0" w:tplc="39AAA8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8B1A1C"/>
    <w:multiLevelType w:val="hybridMultilevel"/>
    <w:tmpl w:val="A85EAC4C"/>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3A01A8B"/>
    <w:multiLevelType w:val="hybridMultilevel"/>
    <w:tmpl w:val="E8B05174"/>
    <w:lvl w:ilvl="0" w:tplc="39AAA8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51467A4"/>
    <w:multiLevelType w:val="hybridMultilevel"/>
    <w:tmpl w:val="BDD2ADD6"/>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F0740E"/>
    <w:multiLevelType w:val="hybridMultilevel"/>
    <w:tmpl w:val="17B4A0DE"/>
    <w:lvl w:ilvl="0" w:tplc="224885A0">
      <w:numFmt w:val="bullet"/>
      <w:lvlText w:val="o"/>
      <w:lvlJc w:val="left"/>
      <w:pPr>
        <w:ind w:left="420" w:hanging="420"/>
      </w:pPr>
      <w:rPr>
        <w:rFonts w:ascii="Courier New" w:eastAsia="Courier New" w:hAnsi="Courier New" w:cs="Courier New" w:hint="default"/>
        <w:w w:val="99"/>
        <w:sz w:val="24"/>
        <w:szCs w:val="24"/>
        <w:lang w:val="en-US" w:eastAsia="en-US" w:bidi="en-US"/>
      </w:rPr>
    </w:lvl>
    <w:lvl w:ilvl="1" w:tplc="224885A0">
      <w:numFmt w:val="bullet"/>
      <w:lvlText w:val="o"/>
      <w:lvlJc w:val="left"/>
      <w:pPr>
        <w:ind w:left="840" w:hanging="420"/>
      </w:pPr>
      <w:rPr>
        <w:rFonts w:ascii="Courier New" w:eastAsia="Courier New" w:hAnsi="Courier New" w:cs="Courier New" w:hint="default"/>
        <w:w w:val="99"/>
        <w:sz w:val="24"/>
        <w:szCs w:val="24"/>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EAE2DC7"/>
    <w:multiLevelType w:val="hybridMultilevel"/>
    <w:tmpl w:val="BD866BAC"/>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095985"/>
    <w:multiLevelType w:val="hybridMultilevel"/>
    <w:tmpl w:val="878226B0"/>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022EBE"/>
    <w:multiLevelType w:val="hybridMultilevel"/>
    <w:tmpl w:val="F572D270"/>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08E11D3"/>
    <w:multiLevelType w:val="hybridMultilevel"/>
    <w:tmpl w:val="82A6A0BC"/>
    <w:lvl w:ilvl="0" w:tplc="224885A0">
      <w:numFmt w:val="bullet"/>
      <w:lvlText w:val="o"/>
      <w:lvlJc w:val="left"/>
      <w:pPr>
        <w:ind w:left="420" w:hanging="420"/>
      </w:pPr>
      <w:rPr>
        <w:rFonts w:ascii="Courier New" w:eastAsia="Courier New" w:hAnsi="Courier New" w:cs="Courier New" w:hint="default"/>
        <w:w w:val="99"/>
        <w:sz w:val="24"/>
        <w:szCs w:val="24"/>
        <w:lang w:val="en-US" w:eastAsia="en-US" w:bidi="en-US"/>
      </w:rPr>
    </w:lvl>
    <w:lvl w:ilvl="1" w:tplc="CD3C160A">
      <w:numFmt w:val="bullet"/>
      <w:lvlText w:val="o"/>
      <w:lvlJc w:val="left"/>
      <w:pPr>
        <w:ind w:left="840" w:hanging="420"/>
      </w:pPr>
      <w:rPr>
        <w:rFonts w:ascii="Times New Roman" w:eastAsia="Courier New" w:hAnsi="Times New Roman" w:cs="Times New Roman" w:hint="default"/>
        <w:w w:val="100"/>
        <w:sz w:val="24"/>
        <w:szCs w:val="24"/>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650135"/>
    <w:multiLevelType w:val="hybridMultilevel"/>
    <w:tmpl w:val="03B2084E"/>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2E7650"/>
    <w:multiLevelType w:val="hybridMultilevel"/>
    <w:tmpl w:val="685AABC0"/>
    <w:lvl w:ilvl="0" w:tplc="224885A0">
      <w:numFmt w:val="bullet"/>
      <w:lvlText w:val="o"/>
      <w:lvlJc w:val="left"/>
      <w:pPr>
        <w:ind w:left="1740" w:hanging="420"/>
      </w:pPr>
      <w:rPr>
        <w:rFonts w:ascii="Courier New" w:eastAsia="Courier New" w:hAnsi="Courier New" w:cs="Courier New" w:hint="default"/>
        <w:w w:val="99"/>
        <w:sz w:val="24"/>
        <w:szCs w:val="24"/>
        <w:lang w:val="en-US" w:eastAsia="en-US" w:bidi="en-US"/>
      </w:rPr>
    </w:lvl>
    <w:lvl w:ilvl="1" w:tplc="224885A0">
      <w:numFmt w:val="bullet"/>
      <w:lvlText w:val="o"/>
      <w:lvlJc w:val="left"/>
      <w:pPr>
        <w:ind w:left="2160" w:hanging="420"/>
      </w:pPr>
      <w:rPr>
        <w:rFonts w:ascii="Courier New" w:eastAsia="Courier New" w:hAnsi="Courier New" w:cs="Courier New" w:hint="default"/>
        <w:w w:val="99"/>
        <w:sz w:val="24"/>
        <w:szCs w:val="24"/>
        <w:lang w:val="en-US" w:eastAsia="en-US" w:bidi="en-US"/>
      </w:rPr>
    </w:lvl>
    <w:lvl w:ilvl="2" w:tplc="04090005"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3" w:tentative="1">
      <w:start w:val="1"/>
      <w:numFmt w:val="bullet"/>
      <w:lvlText w:val=""/>
      <w:lvlJc w:val="left"/>
      <w:pPr>
        <w:ind w:left="3420" w:hanging="420"/>
      </w:pPr>
      <w:rPr>
        <w:rFonts w:ascii="Wingdings" w:hAnsi="Wingdings" w:hint="default"/>
      </w:rPr>
    </w:lvl>
    <w:lvl w:ilvl="5" w:tplc="04090005"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3" w:tentative="1">
      <w:start w:val="1"/>
      <w:numFmt w:val="bullet"/>
      <w:lvlText w:val=""/>
      <w:lvlJc w:val="left"/>
      <w:pPr>
        <w:ind w:left="4680" w:hanging="420"/>
      </w:pPr>
      <w:rPr>
        <w:rFonts w:ascii="Wingdings" w:hAnsi="Wingdings" w:hint="default"/>
      </w:rPr>
    </w:lvl>
    <w:lvl w:ilvl="8" w:tplc="04090005" w:tentative="1">
      <w:start w:val="1"/>
      <w:numFmt w:val="bullet"/>
      <w:lvlText w:val=""/>
      <w:lvlJc w:val="left"/>
      <w:pPr>
        <w:ind w:left="5100" w:hanging="420"/>
      </w:pPr>
      <w:rPr>
        <w:rFonts w:ascii="Wingdings" w:hAnsi="Wingdings" w:hint="default"/>
      </w:rPr>
    </w:lvl>
  </w:abstractNum>
  <w:abstractNum w:abstractNumId="18" w15:restartNumberingAfterBreak="0">
    <w:nsid w:val="30567EB4"/>
    <w:multiLevelType w:val="hybridMultilevel"/>
    <w:tmpl w:val="05DAC63E"/>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EE2260"/>
    <w:multiLevelType w:val="hybridMultilevel"/>
    <w:tmpl w:val="1040AAF4"/>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F35CA8"/>
    <w:multiLevelType w:val="hybridMultilevel"/>
    <w:tmpl w:val="D0B2BD56"/>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420E5C"/>
    <w:multiLevelType w:val="hybridMultilevel"/>
    <w:tmpl w:val="FC029764"/>
    <w:lvl w:ilvl="0" w:tplc="224885A0">
      <w:numFmt w:val="bullet"/>
      <w:lvlText w:val="o"/>
      <w:lvlJc w:val="left"/>
      <w:pPr>
        <w:ind w:left="420" w:hanging="420"/>
      </w:pPr>
      <w:rPr>
        <w:rFonts w:ascii="Courier New" w:eastAsia="Courier New" w:hAnsi="Courier New" w:cs="Courier New" w:hint="default"/>
        <w:w w:val="99"/>
        <w:sz w:val="24"/>
        <w:szCs w:val="24"/>
        <w:lang w:val="en-US" w:eastAsia="en-US" w:bidi="en-US"/>
      </w:rPr>
    </w:lvl>
    <w:lvl w:ilvl="1" w:tplc="3D3A4140">
      <w:numFmt w:val="bullet"/>
      <w:lvlText w:val="o"/>
      <w:lvlJc w:val="left"/>
      <w:pPr>
        <w:ind w:left="840" w:hanging="420"/>
      </w:pPr>
      <w:rPr>
        <w:rFonts w:ascii="Times New Roman" w:eastAsia="Courier New" w:hAnsi="Times New Roman" w:cs="Times New Roman" w:hint="default"/>
        <w:w w:val="100"/>
        <w:sz w:val="24"/>
        <w:szCs w:val="24"/>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F375B8"/>
    <w:multiLevelType w:val="hybridMultilevel"/>
    <w:tmpl w:val="DFAECDA4"/>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2D5CD6"/>
    <w:multiLevelType w:val="hybridMultilevel"/>
    <w:tmpl w:val="81EE1E0C"/>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748F0"/>
    <w:multiLevelType w:val="hybridMultilevel"/>
    <w:tmpl w:val="C50E508C"/>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9945BA"/>
    <w:multiLevelType w:val="hybridMultilevel"/>
    <w:tmpl w:val="8AB0E680"/>
    <w:lvl w:ilvl="0" w:tplc="39AAA8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3F0664"/>
    <w:multiLevelType w:val="hybridMultilevel"/>
    <w:tmpl w:val="A8821F62"/>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1AF6D30"/>
    <w:multiLevelType w:val="hybridMultilevel"/>
    <w:tmpl w:val="4350C494"/>
    <w:lvl w:ilvl="0" w:tplc="F8FC7FFC">
      <w:start w:val="1"/>
      <w:numFmt w:val="upperRoman"/>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D3233C"/>
    <w:multiLevelType w:val="hybridMultilevel"/>
    <w:tmpl w:val="DBFA8A5E"/>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32209F8"/>
    <w:multiLevelType w:val="hybridMultilevel"/>
    <w:tmpl w:val="3CF01FEA"/>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9816EA62">
      <w:numFmt w:val="bullet"/>
      <w:lvlText w:val=""/>
      <w:lvlJc w:val="left"/>
      <w:pPr>
        <w:ind w:left="1260" w:hanging="420"/>
      </w:pPr>
      <w:rPr>
        <w:rFonts w:ascii="Symbol" w:eastAsia="Symbol" w:hAnsi="Symbol" w:cs="Symbol" w:hint="default"/>
        <w:w w:val="100"/>
        <w:sz w:val="24"/>
        <w:szCs w:val="24"/>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9A84A58"/>
    <w:multiLevelType w:val="hybridMultilevel"/>
    <w:tmpl w:val="C2606BD0"/>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432700"/>
    <w:multiLevelType w:val="hybridMultilevel"/>
    <w:tmpl w:val="A7A26D5C"/>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11A64BC"/>
    <w:multiLevelType w:val="hybridMultilevel"/>
    <w:tmpl w:val="A5F2A392"/>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4D1874"/>
    <w:multiLevelType w:val="hybridMultilevel"/>
    <w:tmpl w:val="99E8C13E"/>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43339"/>
    <w:multiLevelType w:val="hybridMultilevel"/>
    <w:tmpl w:val="92240494"/>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DB1A04"/>
    <w:multiLevelType w:val="hybridMultilevel"/>
    <w:tmpl w:val="A9082044"/>
    <w:lvl w:ilvl="0" w:tplc="224885A0">
      <w:numFmt w:val="bullet"/>
      <w:lvlText w:val="o"/>
      <w:lvlJc w:val="left"/>
      <w:pPr>
        <w:ind w:left="420" w:hanging="420"/>
      </w:pPr>
      <w:rPr>
        <w:rFonts w:ascii="Courier New" w:eastAsia="Courier New" w:hAnsi="Courier New" w:cs="Courier New" w:hint="default"/>
        <w:w w:val="99"/>
        <w:sz w:val="24"/>
        <w:szCs w:val="24"/>
        <w:lang w:val="en-US" w:eastAsia="en-US" w:bidi="en-US"/>
      </w:rPr>
    </w:lvl>
    <w:lvl w:ilvl="1" w:tplc="2C120C86">
      <w:numFmt w:val="bullet"/>
      <w:lvlText w:val="o"/>
      <w:lvlJc w:val="left"/>
      <w:pPr>
        <w:ind w:left="840" w:hanging="420"/>
      </w:pPr>
      <w:rPr>
        <w:rFonts w:ascii="Times New Roman" w:eastAsia="宋体" w:hAnsi="Times New Roman" w:cs="Times New Roman" w:hint="default"/>
        <w:w w:val="100"/>
        <w:sz w:val="24"/>
        <w:szCs w:val="24"/>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590199"/>
    <w:multiLevelType w:val="hybridMultilevel"/>
    <w:tmpl w:val="16E84BEC"/>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EC0184"/>
    <w:multiLevelType w:val="hybridMultilevel"/>
    <w:tmpl w:val="25F8FCC2"/>
    <w:lvl w:ilvl="0" w:tplc="224885A0">
      <w:numFmt w:val="bullet"/>
      <w:lvlText w:val="o"/>
      <w:lvlJc w:val="left"/>
      <w:pPr>
        <w:ind w:left="420" w:hanging="420"/>
      </w:pPr>
      <w:rPr>
        <w:rFonts w:ascii="Courier New" w:eastAsia="Courier New" w:hAnsi="Courier New" w:cs="Courier New" w:hint="default"/>
        <w:w w:val="99"/>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7C2558"/>
    <w:multiLevelType w:val="hybridMultilevel"/>
    <w:tmpl w:val="D8944342"/>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BB2AECD4">
      <w:start w:val="4"/>
      <w:numFmt w:val="bullet"/>
      <w:lvlText w:val=""/>
      <w:lvlJc w:val="left"/>
      <w:pPr>
        <w:ind w:left="855" w:hanging="435"/>
      </w:pPr>
      <w:rPr>
        <w:rFonts w:ascii="Wingdings" w:eastAsia="Courier New" w:hAnsi="Wingdings"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3AD16E4"/>
    <w:multiLevelType w:val="hybridMultilevel"/>
    <w:tmpl w:val="5FA4A30C"/>
    <w:lvl w:ilvl="0" w:tplc="224885A0">
      <w:numFmt w:val="bullet"/>
      <w:lvlText w:val="o"/>
      <w:lvlJc w:val="left"/>
      <w:pPr>
        <w:ind w:left="1740" w:hanging="420"/>
      </w:pPr>
      <w:rPr>
        <w:rFonts w:ascii="Courier New" w:eastAsia="Courier New" w:hAnsi="Courier New" w:cs="Courier New" w:hint="default"/>
        <w:w w:val="99"/>
        <w:sz w:val="24"/>
        <w:szCs w:val="24"/>
        <w:lang w:val="en-US" w:eastAsia="en-US" w:bidi="en-US"/>
      </w:rPr>
    </w:lvl>
    <w:lvl w:ilvl="1" w:tplc="224885A0">
      <w:numFmt w:val="bullet"/>
      <w:lvlText w:val="o"/>
      <w:lvlJc w:val="left"/>
      <w:pPr>
        <w:ind w:left="2160" w:hanging="420"/>
      </w:pPr>
      <w:rPr>
        <w:rFonts w:ascii="Courier New" w:eastAsia="Courier New" w:hAnsi="Courier New" w:cs="Courier New" w:hint="default"/>
        <w:w w:val="99"/>
        <w:sz w:val="24"/>
        <w:szCs w:val="24"/>
        <w:lang w:val="en-US" w:eastAsia="en-US" w:bidi="en-US"/>
      </w:rPr>
    </w:lvl>
    <w:lvl w:ilvl="2" w:tplc="9F9A84DC">
      <w:start w:val="4"/>
      <w:numFmt w:val="bullet"/>
      <w:lvlText w:val=""/>
      <w:lvlJc w:val="left"/>
      <w:pPr>
        <w:ind w:left="2595" w:hanging="435"/>
      </w:pPr>
      <w:rPr>
        <w:rFonts w:ascii="Symbol" w:eastAsia="Symbol" w:hAnsi="Symbol" w:cs="Symbol" w:hint="default"/>
      </w:rPr>
    </w:lvl>
    <w:lvl w:ilvl="3" w:tplc="04090001" w:tentative="1">
      <w:start w:val="1"/>
      <w:numFmt w:val="bullet"/>
      <w:lvlText w:val=""/>
      <w:lvlJc w:val="left"/>
      <w:pPr>
        <w:ind w:left="3000" w:hanging="420"/>
      </w:pPr>
      <w:rPr>
        <w:rFonts w:ascii="Wingdings" w:hAnsi="Wingdings" w:hint="default"/>
      </w:rPr>
    </w:lvl>
    <w:lvl w:ilvl="4" w:tplc="04090003" w:tentative="1">
      <w:start w:val="1"/>
      <w:numFmt w:val="bullet"/>
      <w:lvlText w:val=""/>
      <w:lvlJc w:val="left"/>
      <w:pPr>
        <w:ind w:left="3420" w:hanging="420"/>
      </w:pPr>
      <w:rPr>
        <w:rFonts w:ascii="Wingdings" w:hAnsi="Wingdings" w:hint="default"/>
      </w:rPr>
    </w:lvl>
    <w:lvl w:ilvl="5" w:tplc="04090005"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3" w:tentative="1">
      <w:start w:val="1"/>
      <w:numFmt w:val="bullet"/>
      <w:lvlText w:val=""/>
      <w:lvlJc w:val="left"/>
      <w:pPr>
        <w:ind w:left="4680" w:hanging="420"/>
      </w:pPr>
      <w:rPr>
        <w:rFonts w:ascii="Wingdings" w:hAnsi="Wingdings" w:hint="default"/>
      </w:rPr>
    </w:lvl>
    <w:lvl w:ilvl="8" w:tplc="04090005" w:tentative="1">
      <w:start w:val="1"/>
      <w:numFmt w:val="bullet"/>
      <w:lvlText w:val=""/>
      <w:lvlJc w:val="left"/>
      <w:pPr>
        <w:ind w:left="5100" w:hanging="420"/>
      </w:pPr>
      <w:rPr>
        <w:rFonts w:ascii="Wingdings" w:hAnsi="Wingdings" w:hint="default"/>
      </w:rPr>
    </w:lvl>
  </w:abstractNum>
  <w:abstractNum w:abstractNumId="40" w15:restartNumberingAfterBreak="0">
    <w:nsid w:val="748201A4"/>
    <w:multiLevelType w:val="hybridMultilevel"/>
    <w:tmpl w:val="1DFED92E"/>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D63D0E"/>
    <w:multiLevelType w:val="hybridMultilevel"/>
    <w:tmpl w:val="0EE8345A"/>
    <w:lvl w:ilvl="0" w:tplc="39AAA8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9816EA62">
      <w:numFmt w:val="bullet"/>
      <w:lvlText w:val=""/>
      <w:lvlJc w:val="left"/>
      <w:pPr>
        <w:ind w:left="1260" w:hanging="420"/>
      </w:pPr>
      <w:rPr>
        <w:rFonts w:ascii="Symbol" w:eastAsia="Symbol" w:hAnsi="Symbol" w:cs="Symbol" w:hint="default"/>
        <w:w w:val="100"/>
        <w:sz w:val="24"/>
        <w:szCs w:val="24"/>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8291E13"/>
    <w:multiLevelType w:val="hybridMultilevel"/>
    <w:tmpl w:val="02909B68"/>
    <w:lvl w:ilvl="0" w:tplc="9816EA62">
      <w:numFmt w:val="bullet"/>
      <w:lvlText w:val=""/>
      <w:lvlJc w:val="left"/>
      <w:pPr>
        <w:ind w:left="420" w:hanging="420"/>
      </w:pPr>
      <w:rPr>
        <w:rFonts w:ascii="Symbol" w:eastAsia="Symbol" w:hAnsi="Symbol" w:cs="Symbol" w:hint="default"/>
        <w:w w:val="100"/>
        <w:sz w:val="24"/>
        <w:szCs w:val="24"/>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
  </w:num>
  <w:num w:numId="3">
    <w:abstractNumId w:val="7"/>
  </w:num>
  <w:num w:numId="4">
    <w:abstractNumId w:val="35"/>
  </w:num>
  <w:num w:numId="5">
    <w:abstractNumId w:val="17"/>
  </w:num>
  <w:num w:numId="6">
    <w:abstractNumId w:val="39"/>
  </w:num>
  <w:num w:numId="7">
    <w:abstractNumId w:val="41"/>
  </w:num>
  <w:num w:numId="8">
    <w:abstractNumId w:val="3"/>
  </w:num>
  <w:num w:numId="9">
    <w:abstractNumId w:val="38"/>
  </w:num>
  <w:num w:numId="10">
    <w:abstractNumId w:val="29"/>
  </w:num>
  <w:num w:numId="11">
    <w:abstractNumId w:val="37"/>
  </w:num>
  <w:num w:numId="12">
    <w:abstractNumId w:val="15"/>
  </w:num>
  <w:num w:numId="13">
    <w:abstractNumId w:val="19"/>
  </w:num>
  <w:num w:numId="14">
    <w:abstractNumId w:val="42"/>
  </w:num>
  <w:num w:numId="15">
    <w:abstractNumId w:val="24"/>
  </w:num>
  <w:num w:numId="16">
    <w:abstractNumId w:val="34"/>
  </w:num>
  <w:num w:numId="17">
    <w:abstractNumId w:val="18"/>
  </w:num>
  <w:num w:numId="18">
    <w:abstractNumId w:val="16"/>
  </w:num>
  <w:num w:numId="19">
    <w:abstractNumId w:val="20"/>
  </w:num>
  <w:num w:numId="20">
    <w:abstractNumId w:val="10"/>
  </w:num>
  <w:num w:numId="21">
    <w:abstractNumId w:val="31"/>
  </w:num>
  <w:num w:numId="22">
    <w:abstractNumId w:val="0"/>
  </w:num>
  <w:num w:numId="23">
    <w:abstractNumId w:val="40"/>
  </w:num>
  <w:num w:numId="24">
    <w:abstractNumId w:val="22"/>
  </w:num>
  <w:num w:numId="25">
    <w:abstractNumId w:val="2"/>
  </w:num>
  <w:num w:numId="26">
    <w:abstractNumId w:val="8"/>
  </w:num>
  <w:num w:numId="27">
    <w:abstractNumId w:val="28"/>
  </w:num>
  <w:num w:numId="28">
    <w:abstractNumId w:val="13"/>
  </w:num>
  <w:num w:numId="29">
    <w:abstractNumId w:val="11"/>
  </w:num>
  <w:num w:numId="30">
    <w:abstractNumId w:val="4"/>
  </w:num>
  <w:num w:numId="31">
    <w:abstractNumId w:val="36"/>
  </w:num>
  <w:num w:numId="32">
    <w:abstractNumId w:val="30"/>
  </w:num>
  <w:num w:numId="33">
    <w:abstractNumId w:val="23"/>
  </w:num>
  <w:num w:numId="34">
    <w:abstractNumId w:val="32"/>
  </w:num>
  <w:num w:numId="35">
    <w:abstractNumId w:val="14"/>
  </w:num>
  <w:num w:numId="36">
    <w:abstractNumId w:val="33"/>
  </w:num>
  <w:num w:numId="37">
    <w:abstractNumId w:val="21"/>
  </w:num>
  <w:num w:numId="38">
    <w:abstractNumId w:val="26"/>
  </w:num>
  <w:num w:numId="39">
    <w:abstractNumId w:val="6"/>
  </w:num>
  <w:num w:numId="40">
    <w:abstractNumId w:val="12"/>
  </w:num>
  <w:num w:numId="41">
    <w:abstractNumId w:val="25"/>
  </w:num>
  <w:num w:numId="42">
    <w:abstractNumId w:val="5"/>
  </w:num>
  <w:num w:numId="43">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cumentProtection w:edit="readOnly" w:enforcement="0"/>
  <w:defaultTabStop w:val="440"/>
  <w:drawingGridHorizontalSpacing w:val="110"/>
  <w:displayHorizontalDrawingGridEvery w:val="2"/>
  <w:characterSpacingControl w:val="doNotCompress"/>
  <w:hdrShapeDefaults>
    <o:shapedefaults v:ext="edit" spidmax="13313"/>
  </w:hdrShapeDefaults>
  <w:footnotePr>
    <w:footnote w:id="-1"/>
    <w:footnote w:id="0"/>
    <w:footnote w:id="1"/>
  </w:footnotePr>
  <w:endnotePr>
    <w:endnote w:id="-1"/>
    <w:endnote w:id="0"/>
    <w:endnote w:id="1"/>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3601"/>
    <w:rsid w:val="00007C94"/>
    <w:rsid w:val="00012B8E"/>
    <w:rsid w:val="0001316C"/>
    <w:rsid w:val="00014B66"/>
    <w:rsid w:val="00021C7B"/>
    <w:rsid w:val="00023BC3"/>
    <w:rsid w:val="00033F57"/>
    <w:rsid w:val="00035AF2"/>
    <w:rsid w:val="00040A92"/>
    <w:rsid w:val="00053BEE"/>
    <w:rsid w:val="0005588D"/>
    <w:rsid w:val="00056517"/>
    <w:rsid w:val="0006391C"/>
    <w:rsid w:val="000646ED"/>
    <w:rsid w:val="00072C5E"/>
    <w:rsid w:val="000742D2"/>
    <w:rsid w:val="000823EC"/>
    <w:rsid w:val="00087FE2"/>
    <w:rsid w:val="00090943"/>
    <w:rsid w:val="00097329"/>
    <w:rsid w:val="000A111A"/>
    <w:rsid w:val="000B2350"/>
    <w:rsid w:val="000C1759"/>
    <w:rsid w:val="000D15D7"/>
    <w:rsid w:val="000D37D3"/>
    <w:rsid w:val="000D3C3A"/>
    <w:rsid w:val="000D64F9"/>
    <w:rsid w:val="000F115B"/>
    <w:rsid w:val="000F2AD6"/>
    <w:rsid w:val="001001F0"/>
    <w:rsid w:val="001047B2"/>
    <w:rsid w:val="00107602"/>
    <w:rsid w:val="001100BF"/>
    <w:rsid w:val="00111159"/>
    <w:rsid w:val="00117D73"/>
    <w:rsid w:val="00125055"/>
    <w:rsid w:val="00126E91"/>
    <w:rsid w:val="00137D3D"/>
    <w:rsid w:val="001412DE"/>
    <w:rsid w:val="00142BD0"/>
    <w:rsid w:val="00152DAF"/>
    <w:rsid w:val="00162DC9"/>
    <w:rsid w:val="00164DB9"/>
    <w:rsid w:val="001678EC"/>
    <w:rsid w:val="001703E5"/>
    <w:rsid w:val="00182081"/>
    <w:rsid w:val="001B2952"/>
    <w:rsid w:val="001B6DC1"/>
    <w:rsid w:val="001B747D"/>
    <w:rsid w:val="001D2767"/>
    <w:rsid w:val="001F009A"/>
    <w:rsid w:val="0020000A"/>
    <w:rsid w:val="00217D42"/>
    <w:rsid w:val="00223A0C"/>
    <w:rsid w:val="00227323"/>
    <w:rsid w:val="00236A4C"/>
    <w:rsid w:val="00237E6F"/>
    <w:rsid w:val="002406FD"/>
    <w:rsid w:val="002457C2"/>
    <w:rsid w:val="002458AF"/>
    <w:rsid w:val="00246341"/>
    <w:rsid w:val="00257819"/>
    <w:rsid w:val="00262A9D"/>
    <w:rsid w:val="00263922"/>
    <w:rsid w:val="00271002"/>
    <w:rsid w:val="00276383"/>
    <w:rsid w:val="00286DB1"/>
    <w:rsid w:val="00291779"/>
    <w:rsid w:val="00295616"/>
    <w:rsid w:val="002A45A2"/>
    <w:rsid w:val="002A4A5C"/>
    <w:rsid w:val="002C0215"/>
    <w:rsid w:val="002C5AE4"/>
    <w:rsid w:val="002C66D7"/>
    <w:rsid w:val="002D2121"/>
    <w:rsid w:val="002D667F"/>
    <w:rsid w:val="002D74A4"/>
    <w:rsid w:val="002D7A90"/>
    <w:rsid w:val="002F1EA6"/>
    <w:rsid w:val="002F2BE2"/>
    <w:rsid w:val="00302318"/>
    <w:rsid w:val="00306D54"/>
    <w:rsid w:val="00310665"/>
    <w:rsid w:val="00311294"/>
    <w:rsid w:val="00317840"/>
    <w:rsid w:val="00323707"/>
    <w:rsid w:val="003366A3"/>
    <w:rsid w:val="003400B6"/>
    <w:rsid w:val="0034504A"/>
    <w:rsid w:val="003566B4"/>
    <w:rsid w:val="003643D4"/>
    <w:rsid w:val="00375702"/>
    <w:rsid w:val="00385690"/>
    <w:rsid w:val="00391F1D"/>
    <w:rsid w:val="00393213"/>
    <w:rsid w:val="003B7B50"/>
    <w:rsid w:val="003D2149"/>
    <w:rsid w:val="003D4AA6"/>
    <w:rsid w:val="003D5DE3"/>
    <w:rsid w:val="003E07C2"/>
    <w:rsid w:val="003E321B"/>
    <w:rsid w:val="003F7123"/>
    <w:rsid w:val="00400ABB"/>
    <w:rsid w:val="00403B68"/>
    <w:rsid w:val="004067FE"/>
    <w:rsid w:val="004214DF"/>
    <w:rsid w:val="00443A29"/>
    <w:rsid w:val="0044544D"/>
    <w:rsid w:val="004507F1"/>
    <w:rsid w:val="004517E3"/>
    <w:rsid w:val="0045208E"/>
    <w:rsid w:val="00467676"/>
    <w:rsid w:val="00467C7F"/>
    <w:rsid w:val="00475BAE"/>
    <w:rsid w:val="004916F2"/>
    <w:rsid w:val="0049759A"/>
    <w:rsid w:val="004A1C01"/>
    <w:rsid w:val="004A5688"/>
    <w:rsid w:val="004A602F"/>
    <w:rsid w:val="004B1058"/>
    <w:rsid w:val="004B171D"/>
    <w:rsid w:val="004B3DF9"/>
    <w:rsid w:val="004B74BF"/>
    <w:rsid w:val="004C2E94"/>
    <w:rsid w:val="004D0AB7"/>
    <w:rsid w:val="004D207A"/>
    <w:rsid w:val="004D2D62"/>
    <w:rsid w:val="004D31FF"/>
    <w:rsid w:val="004E3B43"/>
    <w:rsid w:val="00501A63"/>
    <w:rsid w:val="0051347A"/>
    <w:rsid w:val="00521462"/>
    <w:rsid w:val="00532CEF"/>
    <w:rsid w:val="00532D1A"/>
    <w:rsid w:val="00535270"/>
    <w:rsid w:val="00546AB6"/>
    <w:rsid w:val="00551B88"/>
    <w:rsid w:val="00556547"/>
    <w:rsid w:val="00557FA9"/>
    <w:rsid w:val="005637AD"/>
    <w:rsid w:val="00575EA0"/>
    <w:rsid w:val="00583FF5"/>
    <w:rsid w:val="005A2549"/>
    <w:rsid w:val="005C25A8"/>
    <w:rsid w:val="005D18E5"/>
    <w:rsid w:val="005E1B03"/>
    <w:rsid w:val="005F1693"/>
    <w:rsid w:val="005F32FB"/>
    <w:rsid w:val="005F473F"/>
    <w:rsid w:val="0060152E"/>
    <w:rsid w:val="0060196F"/>
    <w:rsid w:val="00601A78"/>
    <w:rsid w:val="00601FBB"/>
    <w:rsid w:val="0061264A"/>
    <w:rsid w:val="00621B38"/>
    <w:rsid w:val="006223B4"/>
    <w:rsid w:val="00627B5E"/>
    <w:rsid w:val="006311E7"/>
    <w:rsid w:val="006320F0"/>
    <w:rsid w:val="00640524"/>
    <w:rsid w:val="00651055"/>
    <w:rsid w:val="0065196D"/>
    <w:rsid w:val="00671EF7"/>
    <w:rsid w:val="006727A3"/>
    <w:rsid w:val="00672936"/>
    <w:rsid w:val="00682B6C"/>
    <w:rsid w:val="006840A3"/>
    <w:rsid w:val="00694E52"/>
    <w:rsid w:val="00695921"/>
    <w:rsid w:val="006A0EED"/>
    <w:rsid w:val="006B6A2C"/>
    <w:rsid w:val="006D76A7"/>
    <w:rsid w:val="006D7A23"/>
    <w:rsid w:val="006F4246"/>
    <w:rsid w:val="00705AE3"/>
    <w:rsid w:val="00706A3E"/>
    <w:rsid w:val="00712333"/>
    <w:rsid w:val="00721DA5"/>
    <w:rsid w:val="00725867"/>
    <w:rsid w:val="007267DD"/>
    <w:rsid w:val="00732B85"/>
    <w:rsid w:val="007413FF"/>
    <w:rsid w:val="00743DD3"/>
    <w:rsid w:val="007516A2"/>
    <w:rsid w:val="0075567A"/>
    <w:rsid w:val="007576D3"/>
    <w:rsid w:val="00763263"/>
    <w:rsid w:val="00773461"/>
    <w:rsid w:val="00776BFA"/>
    <w:rsid w:val="00787C27"/>
    <w:rsid w:val="00791795"/>
    <w:rsid w:val="007931E3"/>
    <w:rsid w:val="007A325F"/>
    <w:rsid w:val="007C0B34"/>
    <w:rsid w:val="007C43C5"/>
    <w:rsid w:val="007C6FC0"/>
    <w:rsid w:val="007D1776"/>
    <w:rsid w:val="007D7F0A"/>
    <w:rsid w:val="007E52D4"/>
    <w:rsid w:val="007E6BEC"/>
    <w:rsid w:val="007E6D0E"/>
    <w:rsid w:val="007F057C"/>
    <w:rsid w:val="007F0F94"/>
    <w:rsid w:val="008013CF"/>
    <w:rsid w:val="00801528"/>
    <w:rsid w:val="008048B2"/>
    <w:rsid w:val="00807B59"/>
    <w:rsid w:val="0081280C"/>
    <w:rsid w:val="00814741"/>
    <w:rsid w:val="00822C1A"/>
    <w:rsid w:val="0083150C"/>
    <w:rsid w:val="00843388"/>
    <w:rsid w:val="00843CB4"/>
    <w:rsid w:val="00844E92"/>
    <w:rsid w:val="008450A0"/>
    <w:rsid w:val="0085147B"/>
    <w:rsid w:val="00857C08"/>
    <w:rsid w:val="0086378E"/>
    <w:rsid w:val="00864569"/>
    <w:rsid w:val="00866562"/>
    <w:rsid w:val="00867E12"/>
    <w:rsid w:val="00896B68"/>
    <w:rsid w:val="008A099F"/>
    <w:rsid w:val="008A4884"/>
    <w:rsid w:val="008A716C"/>
    <w:rsid w:val="008A77A9"/>
    <w:rsid w:val="008B7B6D"/>
    <w:rsid w:val="008D159A"/>
    <w:rsid w:val="008D1917"/>
    <w:rsid w:val="008D1E9E"/>
    <w:rsid w:val="008D504B"/>
    <w:rsid w:val="008D7561"/>
    <w:rsid w:val="008E1702"/>
    <w:rsid w:val="008F23BA"/>
    <w:rsid w:val="00901325"/>
    <w:rsid w:val="00905CB6"/>
    <w:rsid w:val="00910245"/>
    <w:rsid w:val="00911CFC"/>
    <w:rsid w:val="00914A74"/>
    <w:rsid w:val="00914A8C"/>
    <w:rsid w:val="0092527D"/>
    <w:rsid w:val="00925CD7"/>
    <w:rsid w:val="009360BC"/>
    <w:rsid w:val="00943063"/>
    <w:rsid w:val="00956E76"/>
    <w:rsid w:val="00961941"/>
    <w:rsid w:val="009640C6"/>
    <w:rsid w:val="009713E3"/>
    <w:rsid w:val="00990237"/>
    <w:rsid w:val="0099763B"/>
    <w:rsid w:val="009A75C3"/>
    <w:rsid w:val="009B0338"/>
    <w:rsid w:val="009C4D9B"/>
    <w:rsid w:val="009C69F2"/>
    <w:rsid w:val="009D3ACB"/>
    <w:rsid w:val="009D3D9E"/>
    <w:rsid w:val="009E1462"/>
    <w:rsid w:val="009E355B"/>
    <w:rsid w:val="009E440C"/>
    <w:rsid w:val="009E5C15"/>
    <w:rsid w:val="009F2497"/>
    <w:rsid w:val="009F3CC5"/>
    <w:rsid w:val="009F58AF"/>
    <w:rsid w:val="009F633C"/>
    <w:rsid w:val="00A00C22"/>
    <w:rsid w:val="00A0211B"/>
    <w:rsid w:val="00A032A4"/>
    <w:rsid w:val="00A05FF5"/>
    <w:rsid w:val="00A1704A"/>
    <w:rsid w:val="00A20225"/>
    <w:rsid w:val="00A22963"/>
    <w:rsid w:val="00A22EE9"/>
    <w:rsid w:val="00A26441"/>
    <w:rsid w:val="00A37C49"/>
    <w:rsid w:val="00A50F4F"/>
    <w:rsid w:val="00A5222D"/>
    <w:rsid w:val="00A54213"/>
    <w:rsid w:val="00A65255"/>
    <w:rsid w:val="00A7715A"/>
    <w:rsid w:val="00A85D3C"/>
    <w:rsid w:val="00A9611D"/>
    <w:rsid w:val="00A961B4"/>
    <w:rsid w:val="00A97A05"/>
    <w:rsid w:val="00AA3248"/>
    <w:rsid w:val="00AA4F55"/>
    <w:rsid w:val="00AA5008"/>
    <w:rsid w:val="00AA50D8"/>
    <w:rsid w:val="00AB3F4A"/>
    <w:rsid w:val="00AB535E"/>
    <w:rsid w:val="00AB625A"/>
    <w:rsid w:val="00AB78BB"/>
    <w:rsid w:val="00AC1B74"/>
    <w:rsid w:val="00AD6874"/>
    <w:rsid w:val="00AD70A9"/>
    <w:rsid w:val="00AE00AC"/>
    <w:rsid w:val="00AE0101"/>
    <w:rsid w:val="00AE1F38"/>
    <w:rsid w:val="00AE4962"/>
    <w:rsid w:val="00AF6448"/>
    <w:rsid w:val="00B0097C"/>
    <w:rsid w:val="00B04852"/>
    <w:rsid w:val="00B06492"/>
    <w:rsid w:val="00B07538"/>
    <w:rsid w:val="00B2087C"/>
    <w:rsid w:val="00B22158"/>
    <w:rsid w:val="00B24160"/>
    <w:rsid w:val="00B2617F"/>
    <w:rsid w:val="00B26AD5"/>
    <w:rsid w:val="00B3362B"/>
    <w:rsid w:val="00B352A5"/>
    <w:rsid w:val="00B379E5"/>
    <w:rsid w:val="00B403CB"/>
    <w:rsid w:val="00B42215"/>
    <w:rsid w:val="00B509E1"/>
    <w:rsid w:val="00B55737"/>
    <w:rsid w:val="00B5655B"/>
    <w:rsid w:val="00B6400B"/>
    <w:rsid w:val="00B6762B"/>
    <w:rsid w:val="00B73B11"/>
    <w:rsid w:val="00B74551"/>
    <w:rsid w:val="00B75591"/>
    <w:rsid w:val="00B773B0"/>
    <w:rsid w:val="00B91781"/>
    <w:rsid w:val="00B952A8"/>
    <w:rsid w:val="00B9762C"/>
    <w:rsid w:val="00BA13BB"/>
    <w:rsid w:val="00BA5C21"/>
    <w:rsid w:val="00BC607A"/>
    <w:rsid w:val="00BD2801"/>
    <w:rsid w:val="00BE481B"/>
    <w:rsid w:val="00BF1130"/>
    <w:rsid w:val="00BF5FF8"/>
    <w:rsid w:val="00C0232D"/>
    <w:rsid w:val="00C1273A"/>
    <w:rsid w:val="00C136DF"/>
    <w:rsid w:val="00C20A69"/>
    <w:rsid w:val="00C2311A"/>
    <w:rsid w:val="00C2328D"/>
    <w:rsid w:val="00C24250"/>
    <w:rsid w:val="00C277C0"/>
    <w:rsid w:val="00C309D8"/>
    <w:rsid w:val="00C34AA9"/>
    <w:rsid w:val="00C412F1"/>
    <w:rsid w:val="00C55B83"/>
    <w:rsid w:val="00C56328"/>
    <w:rsid w:val="00C64E05"/>
    <w:rsid w:val="00C74F6C"/>
    <w:rsid w:val="00C77DFE"/>
    <w:rsid w:val="00C80992"/>
    <w:rsid w:val="00C81103"/>
    <w:rsid w:val="00C81322"/>
    <w:rsid w:val="00C825F0"/>
    <w:rsid w:val="00C8689A"/>
    <w:rsid w:val="00CA2B0A"/>
    <w:rsid w:val="00CB13B1"/>
    <w:rsid w:val="00CB1519"/>
    <w:rsid w:val="00CB2823"/>
    <w:rsid w:val="00CB2C74"/>
    <w:rsid w:val="00CB6808"/>
    <w:rsid w:val="00CB779B"/>
    <w:rsid w:val="00CC07D7"/>
    <w:rsid w:val="00CC6A14"/>
    <w:rsid w:val="00CD0DF4"/>
    <w:rsid w:val="00CD13F3"/>
    <w:rsid w:val="00CD35F9"/>
    <w:rsid w:val="00CD5253"/>
    <w:rsid w:val="00CE0519"/>
    <w:rsid w:val="00CE18D4"/>
    <w:rsid w:val="00CE443E"/>
    <w:rsid w:val="00CE797F"/>
    <w:rsid w:val="00CF4633"/>
    <w:rsid w:val="00CF769C"/>
    <w:rsid w:val="00D12899"/>
    <w:rsid w:val="00D16278"/>
    <w:rsid w:val="00D16862"/>
    <w:rsid w:val="00D223D7"/>
    <w:rsid w:val="00D246F5"/>
    <w:rsid w:val="00D277D2"/>
    <w:rsid w:val="00D327A8"/>
    <w:rsid w:val="00D34EEF"/>
    <w:rsid w:val="00D434DC"/>
    <w:rsid w:val="00D469DF"/>
    <w:rsid w:val="00D52F33"/>
    <w:rsid w:val="00D5591A"/>
    <w:rsid w:val="00D55B90"/>
    <w:rsid w:val="00D60E42"/>
    <w:rsid w:val="00D83601"/>
    <w:rsid w:val="00D858CC"/>
    <w:rsid w:val="00D85BE6"/>
    <w:rsid w:val="00D878B9"/>
    <w:rsid w:val="00DA3BE2"/>
    <w:rsid w:val="00DB474C"/>
    <w:rsid w:val="00DC15B2"/>
    <w:rsid w:val="00DC5551"/>
    <w:rsid w:val="00DC6C01"/>
    <w:rsid w:val="00DD165D"/>
    <w:rsid w:val="00DD1C79"/>
    <w:rsid w:val="00DD61AB"/>
    <w:rsid w:val="00DD668E"/>
    <w:rsid w:val="00DE56CA"/>
    <w:rsid w:val="00DE5933"/>
    <w:rsid w:val="00DF0641"/>
    <w:rsid w:val="00E0175F"/>
    <w:rsid w:val="00E174EA"/>
    <w:rsid w:val="00E2405A"/>
    <w:rsid w:val="00E25FA5"/>
    <w:rsid w:val="00E27519"/>
    <w:rsid w:val="00E30C05"/>
    <w:rsid w:val="00E31100"/>
    <w:rsid w:val="00E3500B"/>
    <w:rsid w:val="00E43B74"/>
    <w:rsid w:val="00E45D10"/>
    <w:rsid w:val="00E51EAA"/>
    <w:rsid w:val="00E51F3A"/>
    <w:rsid w:val="00E5262C"/>
    <w:rsid w:val="00E569F7"/>
    <w:rsid w:val="00E62411"/>
    <w:rsid w:val="00E6674D"/>
    <w:rsid w:val="00E66B82"/>
    <w:rsid w:val="00E80EEF"/>
    <w:rsid w:val="00E9582C"/>
    <w:rsid w:val="00EA050B"/>
    <w:rsid w:val="00EA0542"/>
    <w:rsid w:val="00EA6136"/>
    <w:rsid w:val="00EB0CD9"/>
    <w:rsid w:val="00EB7755"/>
    <w:rsid w:val="00EC5292"/>
    <w:rsid w:val="00EC6696"/>
    <w:rsid w:val="00ED68B9"/>
    <w:rsid w:val="00EE0250"/>
    <w:rsid w:val="00EE1C23"/>
    <w:rsid w:val="00EE5FE6"/>
    <w:rsid w:val="00EF3497"/>
    <w:rsid w:val="00EF4EAC"/>
    <w:rsid w:val="00EF5E6F"/>
    <w:rsid w:val="00F10205"/>
    <w:rsid w:val="00F20436"/>
    <w:rsid w:val="00F2264E"/>
    <w:rsid w:val="00F244D3"/>
    <w:rsid w:val="00F35E33"/>
    <w:rsid w:val="00F37F19"/>
    <w:rsid w:val="00F45825"/>
    <w:rsid w:val="00F5039B"/>
    <w:rsid w:val="00F53EA3"/>
    <w:rsid w:val="00F541AD"/>
    <w:rsid w:val="00F55EA5"/>
    <w:rsid w:val="00F657DC"/>
    <w:rsid w:val="00F66787"/>
    <w:rsid w:val="00F719EC"/>
    <w:rsid w:val="00F725CB"/>
    <w:rsid w:val="00F74E11"/>
    <w:rsid w:val="00F751D8"/>
    <w:rsid w:val="00F80C02"/>
    <w:rsid w:val="00F82F50"/>
    <w:rsid w:val="00F92681"/>
    <w:rsid w:val="00F92D56"/>
    <w:rsid w:val="00F93768"/>
    <w:rsid w:val="00F93BB6"/>
    <w:rsid w:val="00F9526B"/>
    <w:rsid w:val="00FA2406"/>
    <w:rsid w:val="00FA5208"/>
    <w:rsid w:val="00FA5CED"/>
    <w:rsid w:val="00FB2896"/>
    <w:rsid w:val="00FC1159"/>
    <w:rsid w:val="00FC2B9A"/>
    <w:rsid w:val="00FC3899"/>
    <w:rsid w:val="00FC6B22"/>
    <w:rsid w:val="00FC7AB5"/>
    <w:rsid w:val="00FE2212"/>
    <w:rsid w:val="00FF1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332A7452-C1C0-41AA-A35C-4919D018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sz w:val="22"/>
      <w:szCs w:val="22"/>
      <w:lang w:eastAsia="en-US" w:bidi="en-US"/>
    </w:rPr>
  </w:style>
  <w:style w:type="paragraph" w:styleId="1">
    <w:name w:val="heading 1"/>
    <w:basedOn w:val="a"/>
    <w:link w:val="10"/>
    <w:uiPriority w:val="1"/>
    <w:qFormat/>
    <w:rsid w:val="00097329"/>
    <w:pPr>
      <w:snapToGrid w:val="0"/>
      <w:spacing w:beforeLines="50" w:before="120" w:line="300" w:lineRule="auto"/>
      <w:ind w:left="643" w:hangingChars="200" w:hanging="643"/>
      <w:jc w:val="both"/>
      <w:outlineLvl w:val="0"/>
    </w:pPr>
    <w:rPr>
      <w:rFonts w:eastAsia="宋体"/>
      <w:b/>
      <w:bCs/>
      <w:sz w:val="32"/>
      <w:szCs w:val="32"/>
    </w:rPr>
  </w:style>
  <w:style w:type="paragraph" w:styleId="2">
    <w:name w:val="heading 2"/>
    <w:basedOn w:val="a"/>
    <w:uiPriority w:val="1"/>
    <w:qFormat/>
    <w:rsid w:val="00706A3E"/>
    <w:pPr>
      <w:snapToGrid w:val="0"/>
      <w:spacing w:beforeLines="50" w:before="50" w:line="300" w:lineRule="auto"/>
      <w:ind w:leftChars="250" w:left="450" w:hangingChars="200" w:hanging="200"/>
      <w:jc w:val="both"/>
      <w:outlineLvl w:val="1"/>
    </w:pPr>
    <w:rPr>
      <w:rFonts w:eastAsia="宋体"/>
      <w:b/>
      <w:bCs/>
      <w:sz w:val="28"/>
      <w:szCs w:val="28"/>
    </w:rPr>
  </w:style>
  <w:style w:type="paragraph" w:styleId="3">
    <w:name w:val="heading 3"/>
    <w:basedOn w:val="a"/>
    <w:uiPriority w:val="1"/>
    <w:qFormat/>
    <w:rsid w:val="00D223D7"/>
    <w:pPr>
      <w:snapToGrid w:val="0"/>
      <w:spacing w:beforeLines="50" w:before="50" w:line="300" w:lineRule="auto"/>
      <w:outlineLvl w:val="2"/>
    </w:pPr>
    <w:rPr>
      <w:rFonts w:eastAsia="宋体"/>
      <w:b/>
      <w:bCs/>
      <w:sz w:val="32"/>
      <w:szCs w:val="24"/>
    </w:rPr>
  </w:style>
  <w:style w:type="paragraph" w:styleId="4">
    <w:name w:val="heading 4"/>
    <w:basedOn w:val="a"/>
    <w:uiPriority w:val="1"/>
    <w:qFormat/>
    <w:rsid w:val="00706A3E"/>
    <w:pPr>
      <w:snapToGrid w:val="0"/>
      <w:spacing w:beforeLines="50" w:before="120" w:line="300" w:lineRule="auto"/>
      <w:ind w:leftChars="500" w:left="1582" w:hanging="482"/>
      <w:jc w:val="both"/>
      <w:outlineLvl w:val="3"/>
    </w:pPr>
    <w:rPr>
      <w:rFonts w:eastAsia="宋体"/>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11">
    <w:name w:val="toc 1"/>
    <w:basedOn w:val="a"/>
    <w:uiPriority w:val="39"/>
    <w:qFormat/>
    <w:rsid w:val="00EC5292"/>
    <w:pPr>
      <w:snapToGrid w:val="0"/>
      <w:spacing w:afterLines="50" w:after="50"/>
      <w:jc w:val="both"/>
    </w:pPr>
    <w:rPr>
      <w:rFonts w:eastAsia="宋体"/>
      <w:b/>
      <w:bCs/>
      <w:i/>
      <w:sz w:val="24"/>
      <w:szCs w:val="24"/>
    </w:rPr>
  </w:style>
  <w:style w:type="paragraph" w:styleId="20">
    <w:name w:val="toc 2"/>
    <w:basedOn w:val="a"/>
    <w:uiPriority w:val="39"/>
    <w:qFormat/>
    <w:rsid w:val="00EC5292"/>
    <w:pPr>
      <w:snapToGrid w:val="0"/>
      <w:spacing w:afterLines="50" w:after="50"/>
      <w:ind w:leftChars="150" w:left="150"/>
      <w:jc w:val="both"/>
    </w:pPr>
    <w:rPr>
      <w:rFonts w:eastAsia="宋体"/>
      <w:b/>
      <w:bCs/>
      <w:sz w:val="24"/>
    </w:rPr>
  </w:style>
  <w:style w:type="paragraph" w:styleId="a3">
    <w:name w:val="Body Text"/>
    <w:basedOn w:val="a"/>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9713E3"/>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9713E3"/>
    <w:rPr>
      <w:rFonts w:ascii="Times New Roman" w:eastAsia="Times New Roman" w:hAnsi="Times New Roman" w:cs="Times New Roman"/>
      <w:sz w:val="18"/>
      <w:szCs w:val="18"/>
      <w:lang w:bidi="en-US"/>
    </w:rPr>
  </w:style>
  <w:style w:type="paragraph" w:styleId="a7">
    <w:name w:val="footer"/>
    <w:basedOn w:val="a"/>
    <w:link w:val="a8"/>
    <w:uiPriority w:val="99"/>
    <w:unhideWhenUsed/>
    <w:rsid w:val="009713E3"/>
    <w:pPr>
      <w:tabs>
        <w:tab w:val="center" w:pos="4153"/>
        <w:tab w:val="right" w:pos="8306"/>
      </w:tabs>
      <w:snapToGrid w:val="0"/>
    </w:pPr>
    <w:rPr>
      <w:sz w:val="18"/>
      <w:szCs w:val="18"/>
    </w:rPr>
  </w:style>
  <w:style w:type="character" w:customStyle="1" w:styleId="a8">
    <w:name w:val="页脚 字符"/>
    <w:link w:val="a7"/>
    <w:uiPriority w:val="99"/>
    <w:rsid w:val="009713E3"/>
    <w:rPr>
      <w:rFonts w:ascii="Times New Roman" w:eastAsia="Times New Roman" w:hAnsi="Times New Roman" w:cs="Times New Roman"/>
      <w:sz w:val="18"/>
      <w:szCs w:val="18"/>
      <w:lang w:bidi="en-US"/>
    </w:rPr>
  </w:style>
  <w:style w:type="paragraph" w:styleId="40">
    <w:name w:val="toc 4"/>
    <w:basedOn w:val="a"/>
    <w:next w:val="a"/>
    <w:autoRedefine/>
    <w:uiPriority w:val="39"/>
    <w:unhideWhenUsed/>
    <w:rsid w:val="001412DE"/>
    <w:pPr>
      <w:ind w:leftChars="600" w:left="1260"/>
    </w:pPr>
  </w:style>
  <w:style w:type="paragraph" w:styleId="30">
    <w:name w:val="toc 3"/>
    <w:basedOn w:val="a"/>
    <w:next w:val="a"/>
    <w:autoRedefine/>
    <w:uiPriority w:val="39"/>
    <w:unhideWhenUsed/>
    <w:rsid w:val="00EC5292"/>
    <w:pPr>
      <w:tabs>
        <w:tab w:val="right" w:leader="dot" w:pos="9394"/>
      </w:tabs>
      <w:snapToGrid w:val="0"/>
      <w:spacing w:line="300" w:lineRule="auto"/>
      <w:jc w:val="both"/>
    </w:pPr>
    <w:rPr>
      <w:rFonts w:eastAsia="宋体"/>
      <w:b/>
      <w:sz w:val="24"/>
    </w:rPr>
  </w:style>
  <w:style w:type="character" w:styleId="a9">
    <w:name w:val="Hyperlink"/>
    <w:uiPriority w:val="99"/>
    <w:unhideWhenUsed/>
    <w:rsid w:val="00EC5292"/>
    <w:rPr>
      <w:color w:val="0000FF"/>
      <w:u w:val="single"/>
    </w:rPr>
  </w:style>
  <w:style w:type="paragraph" w:styleId="aa">
    <w:name w:val="Balloon Text"/>
    <w:basedOn w:val="a"/>
    <w:link w:val="ab"/>
    <w:uiPriority w:val="99"/>
    <w:semiHidden/>
    <w:unhideWhenUsed/>
    <w:rsid w:val="00F719EC"/>
    <w:rPr>
      <w:sz w:val="18"/>
      <w:szCs w:val="18"/>
    </w:rPr>
  </w:style>
  <w:style w:type="character" w:customStyle="1" w:styleId="ab">
    <w:name w:val="批注框文本 字符"/>
    <w:link w:val="aa"/>
    <w:uiPriority w:val="99"/>
    <w:semiHidden/>
    <w:rsid w:val="00F719EC"/>
    <w:rPr>
      <w:rFonts w:ascii="Times New Roman" w:eastAsia="Times New Roman" w:hAnsi="Times New Roman" w:cs="Times New Roman"/>
      <w:sz w:val="18"/>
      <w:szCs w:val="18"/>
      <w:lang w:bidi="en-US"/>
    </w:rPr>
  </w:style>
  <w:style w:type="character" w:customStyle="1" w:styleId="12">
    <w:name w:val="未处理的提及1"/>
    <w:uiPriority w:val="99"/>
    <w:semiHidden/>
    <w:unhideWhenUsed/>
    <w:rsid w:val="00467676"/>
    <w:rPr>
      <w:color w:val="605E5C"/>
      <w:shd w:val="clear" w:color="auto" w:fill="E1DFDD"/>
    </w:rPr>
  </w:style>
  <w:style w:type="character" w:styleId="ac">
    <w:name w:val="annotation reference"/>
    <w:uiPriority w:val="99"/>
    <w:semiHidden/>
    <w:unhideWhenUsed/>
    <w:rsid w:val="00090943"/>
    <w:rPr>
      <w:sz w:val="21"/>
      <w:szCs w:val="21"/>
    </w:rPr>
  </w:style>
  <w:style w:type="paragraph" w:styleId="ad">
    <w:name w:val="annotation text"/>
    <w:basedOn w:val="a"/>
    <w:link w:val="ae"/>
    <w:uiPriority w:val="99"/>
    <w:semiHidden/>
    <w:unhideWhenUsed/>
    <w:rsid w:val="00090943"/>
  </w:style>
  <w:style w:type="character" w:customStyle="1" w:styleId="ae">
    <w:name w:val="批注文字 字符"/>
    <w:link w:val="ad"/>
    <w:uiPriority w:val="99"/>
    <w:semiHidden/>
    <w:rsid w:val="00090943"/>
    <w:rPr>
      <w:rFonts w:ascii="Times New Roman" w:eastAsia="Times New Roman" w:hAnsi="Times New Roman" w:cs="Times New Roman"/>
      <w:lang w:bidi="en-US"/>
    </w:rPr>
  </w:style>
  <w:style w:type="paragraph" w:styleId="af">
    <w:name w:val="annotation subject"/>
    <w:basedOn w:val="ad"/>
    <w:next w:val="ad"/>
    <w:link w:val="af0"/>
    <w:uiPriority w:val="99"/>
    <w:semiHidden/>
    <w:unhideWhenUsed/>
    <w:rsid w:val="00090943"/>
    <w:rPr>
      <w:b/>
      <w:bCs/>
    </w:rPr>
  </w:style>
  <w:style w:type="character" w:customStyle="1" w:styleId="af0">
    <w:name w:val="批注主题 字符"/>
    <w:link w:val="af"/>
    <w:uiPriority w:val="99"/>
    <w:semiHidden/>
    <w:rsid w:val="00090943"/>
    <w:rPr>
      <w:rFonts w:ascii="Times New Roman" w:eastAsia="Times New Roman" w:hAnsi="Times New Roman" w:cs="Times New Roman"/>
      <w:b/>
      <w:bCs/>
      <w:lang w:bidi="en-US"/>
    </w:rPr>
  </w:style>
  <w:style w:type="paragraph" w:styleId="af1">
    <w:name w:val="Revision"/>
    <w:hidden/>
    <w:uiPriority w:val="99"/>
    <w:semiHidden/>
    <w:rsid w:val="00090943"/>
    <w:rPr>
      <w:rFonts w:ascii="Times New Roman" w:eastAsia="Times New Roman" w:hAnsi="Times New Roman"/>
      <w:sz w:val="22"/>
      <w:szCs w:val="22"/>
      <w:lang w:eastAsia="en-US" w:bidi="en-US"/>
    </w:rPr>
  </w:style>
  <w:style w:type="paragraph" w:styleId="af2">
    <w:name w:val="footnote text"/>
    <w:basedOn w:val="a"/>
    <w:link w:val="af3"/>
    <w:uiPriority w:val="99"/>
    <w:semiHidden/>
    <w:unhideWhenUsed/>
    <w:rsid w:val="00FE2212"/>
    <w:pPr>
      <w:snapToGrid w:val="0"/>
    </w:pPr>
    <w:rPr>
      <w:sz w:val="18"/>
      <w:szCs w:val="18"/>
    </w:rPr>
  </w:style>
  <w:style w:type="character" w:customStyle="1" w:styleId="af3">
    <w:name w:val="脚注文本 字符"/>
    <w:link w:val="af2"/>
    <w:uiPriority w:val="99"/>
    <w:semiHidden/>
    <w:rsid w:val="00FE2212"/>
    <w:rPr>
      <w:rFonts w:ascii="Times New Roman" w:eastAsia="Times New Roman" w:hAnsi="Times New Roman"/>
      <w:sz w:val="18"/>
      <w:szCs w:val="18"/>
      <w:lang w:eastAsia="en-US" w:bidi="en-US"/>
    </w:rPr>
  </w:style>
  <w:style w:type="character" w:styleId="af4">
    <w:name w:val="footnote reference"/>
    <w:uiPriority w:val="99"/>
    <w:semiHidden/>
    <w:unhideWhenUsed/>
    <w:rsid w:val="00FE2212"/>
    <w:rPr>
      <w:vertAlign w:val="superscript"/>
    </w:rPr>
  </w:style>
  <w:style w:type="character" w:customStyle="1" w:styleId="10">
    <w:name w:val="标题 1 字符"/>
    <w:link w:val="1"/>
    <w:uiPriority w:val="9"/>
    <w:rsid w:val="003F7123"/>
    <w:rPr>
      <w:rFonts w:ascii="Times New Roman" w:hAnsi="Times New Roman"/>
      <w:b/>
      <w:bCs/>
      <w:sz w:val="32"/>
      <w:szCs w:val="32"/>
      <w:lang w:eastAsia="en-US" w:bidi="en-US"/>
    </w:rPr>
  </w:style>
  <w:style w:type="character" w:styleId="af5">
    <w:name w:val="FollowedHyperlink"/>
    <w:uiPriority w:val="99"/>
    <w:semiHidden/>
    <w:unhideWhenUsed/>
    <w:rsid w:val="00682B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combination-products" TargetMode="External"/><Relationship Id="rId13" Type="http://schemas.openxmlformats.org/officeDocument/2006/relationships/hyperlink" Target="https://www.fda.gov/medical-devices/medical-device-safety/medical-device-reporting-mdr-how-report-medical-device-problems." TargetMode="External"/><Relationship Id="rId18" Type="http://schemas.openxmlformats.org/officeDocument/2006/relationships/hyperlink" Target="https://www.fda.gov/medical-devices/mandatory-reporting-requirements-manufacturers-importers-and-device-user-facilities/health-level-seven-hl7-individual-case-safety-reporting-icsr-files" TargetMode="External"/><Relationship Id="rId26" Type="http://schemas.openxmlformats.org/officeDocument/2006/relationships/hyperlink" Target="https://www.fda.gov/combination-products/guidance-regulatory-information/postmarketing-safety-reporting-combination-products&#12290;" TargetMode="External"/><Relationship Id="rId3" Type="http://schemas.openxmlformats.org/officeDocument/2006/relationships/styles" Target="styles.xml"/><Relationship Id="rId21" Type="http://schemas.openxmlformats.org/officeDocument/2006/relationships/hyperlink" Target="https://www.fda.gov/drugs/surveillance/field-alert-reports&#21644;https://www.fda.gov/vaccines-blood-biologics/guidance-compliance-regulatory-information-biologics/submitting-field-alert-reports-fars-cber" TargetMode="Externa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fda.gov/medical-devices/medical-device-safety/medical-device-reporting-mdr-how-report-medical-device-problems." TargetMode="External"/><Relationship Id="rId17" Type="http://schemas.openxmlformats.org/officeDocument/2006/relationships/hyperlink" Target="https://www.fda.gov/industry/fda-esubmitter/electronic-medical-device-reporting-emd" TargetMode="External"/><Relationship Id="rId25" Type="http://schemas.openxmlformats.org/officeDocument/2006/relationships/hyperlink" Target="https://www.accessdata.fda.gov/scripts/cdrh/cfdocs/cfPCD/classification.cf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da.gov/drugs/fda-adverse-event-reporting-system-faers/fda-adverse-event-reporting-system-faers-electronic-submissions" TargetMode="External"/><Relationship Id="rId20" Type="http://schemas.openxmlformats.org/officeDocument/2006/relationships/hyperlink" Target="https://www.fda.gov/industry/about-esg/cber-vaccine-icsr-implementation" TargetMode="External"/><Relationship Id="rId29" Type="http://schemas.openxmlformats.org/officeDocument/2006/relationships/hyperlink" Target="https://www.fda.gov/medical-devices/mdr-adverse-event-codes/coding-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drugs/surveillance/postmarketing-surveillance-programs." TargetMode="External"/><Relationship Id="rId24" Type="http://schemas.openxmlformats.org/officeDocument/2006/relationships/hyperlink" Target="https://www.fda.gov/combination-products/guidance-regulatory-information/postmarketing-safety-reporting-combination-products&#12290;"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da.gov/medical-devices/mandatory-reporting-requirements-manufacturers-importers-and-device-user-facilities/health-level-seven-hl7-individual-case-safety-reporting-icsr-files" TargetMode="External"/><Relationship Id="rId23" Type="http://schemas.openxmlformats.org/officeDocument/2006/relationships/hyperlink" Target="https://www.fda.gov/vaccines-blood-%20biologics/report-problem-center-biologics-evaluation-research/general-instructions-completing-biological-product-deviation-report-bpdr-form-fda-3486" TargetMode="External"/><Relationship Id="rId28" Type="http://schemas.openxmlformats.org/officeDocument/2006/relationships/hyperlink" Target="https://www.fda.gov/medical-devices/mdr-adverse-event-codes/coding-resources" TargetMode="External"/><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fda.gov/media/111763/downloa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bination@fda.gov" TargetMode="External"/><Relationship Id="rId14" Type="http://schemas.openxmlformats.org/officeDocument/2006/relationships/hyperlink" Target="https://www.fda.gov/drugs/surveillance/field-alert-report-form-questions-and-answers" TargetMode="External"/><Relationship Id="rId22" Type="http://schemas.openxmlformats.org/officeDocument/2006/relationships/hyperlink" Target="https://www.fda.gov/medical-devices/postmarket-requirements-devices/recalls-corrections-and-removals-devices" TargetMode="External"/><Relationship Id="rId27" Type="http://schemas.openxmlformats.org/officeDocument/2006/relationships/hyperlink" Target="mailto:DICE@fda.hhs.gov" TargetMode="External"/><Relationship Id="rId30" Type="http://schemas.openxmlformats.org/officeDocument/2006/relationships/hyperlink" Target="https://www.fda.gov/medical-devices/postmarket-requirements-devices/recalls-corrections-and-removals-devices" TargetMode="External"/><Relationship Id="rId35"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postmarketing-safety-reporting-human-drug-and-biological-products-including-vaccines" TargetMode="External"/><Relationship Id="rId13" Type="http://schemas.openxmlformats.org/officeDocument/2006/relationships/hyperlink" Target="https://www.fda.gov/regulatory-information/search-fda-guidance-documents/postmarketing-safety-reporting-human-drug-and-biological-products-including-vaccines" TargetMode="External"/><Relationship Id="rId18" Type="http://schemas.openxmlformats.org/officeDocument/2006/relationships/hyperlink" Target="https://www.fda.gov/regulatory-information/search-fda-guidance-documents/biological-product-deviation-reporting-licensed-manufacturers-biological-products-other-blood-and" TargetMode="External"/><Relationship Id="rId3" Type="http://schemas.openxmlformats.org/officeDocument/2006/relationships/hyperlink" Target="https://www.fda.gov/regulatory-information/search-fda-guidance-documents/how-write-request-designation-rfd" TargetMode="External"/><Relationship Id="rId21" Type="http://schemas.openxmlformats.org/officeDocument/2006/relationships/hyperlink" Target="https://www.fda.gov/MedicalDevices/DeviceRegulationandGuidance/PostmarketRequirements/ReportingAdverseEvents/MDRAdverseEventCodes/ucm584205.htm" TargetMode="External"/><Relationship Id="rId7" Type="http://schemas.openxmlformats.org/officeDocument/2006/relationships/hyperlink" Target="https://www.fda.gov/regulatory-information/search-fda-guidance-documents/safety-reporting-requirements-inds-investigational-new-drug-applications-and-babe" TargetMode="External"/><Relationship Id="rId12" Type="http://schemas.openxmlformats.org/officeDocument/2006/relationships/hyperlink" Target="https://www.fda.gov/drugs/drug-safety-and-availability/medication-errors-related-cder-regulated-drug-products" TargetMode="External"/><Relationship Id="rId17" Type="http://schemas.openxmlformats.org/officeDocument/2006/relationships/hyperlink" Target="https://www.fda.gov/regulatory-information/search-fda-guidance-documents/biological-product-deviation-reporting-licensed-manufacturers-biological-products-other-blood-and" TargetMode="External"/><Relationship Id="rId2" Type="http://schemas.openxmlformats.org/officeDocument/2006/relationships/hyperlink" Target="https://www.fda.gov/regulatory-information/search-fda-guidance-documents/how-prepare-pre-request-designation-pre-rfd" TargetMode="External"/><Relationship Id="rId16" Type="http://schemas.openxmlformats.org/officeDocument/2006/relationships/hyperlink" Target="https://www.fda.gov/regulatory-information/search-fda-guidance-documents/field-alert-report-submission-questions-and-answers-guidance-industry" TargetMode="External"/><Relationship Id="rId20" Type="http://schemas.openxmlformats.org/officeDocument/2006/relationships/hyperlink" Target="https://www.fda.gov/media/76569/download" TargetMode="External"/><Relationship Id="rId1" Type="http://schemas.openxmlformats.org/officeDocument/2006/relationships/hyperlink" Target="https://www.fda.gov/regulatory-information/search-fda-guidance-documents/how-write-request-designation-rfd" TargetMode="External"/><Relationship Id="rId6" Type="http://schemas.openxmlformats.org/officeDocument/2006/relationships/hyperlink" Target="https://www.fda.gov/regulatory-information/search-fda-guidance-documents/medical-device-reporting-manufacturers" TargetMode="External"/><Relationship Id="rId11" Type="http://schemas.openxmlformats.org/officeDocument/2006/relationships/hyperlink" Target="https://www.fda.gov/%20combination-products/guidance-regulatory-information/postmarketing-safety-reporting-%20combination-products&#12290;" TargetMode="External"/><Relationship Id="rId24" Type="http://schemas.openxmlformats.org/officeDocument/2006/relationships/hyperlink" Target="https://www.fda.gov/regulatory-information/search-fda-guidance-documents/e2cr2-periodic-benefit-risk-evaluation-report-pbrer" TargetMode="External"/><Relationship Id="rId5" Type="http://schemas.openxmlformats.org/officeDocument/2006/relationships/hyperlink" Target="https://www.fda.gov/regulatory-information/search-fda-guidance-documents/current-good-manufacturing-practice-requirements-combination-products" TargetMode="External"/><Relationship Id="rId15" Type="http://schemas.openxmlformats.org/officeDocument/2006/relationships/hyperlink" Target="https://www.fda.gov/regulatory-information/search-fda-guidance-documents/medical-device-reporting-manufacturers" TargetMode="External"/><Relationship Id="rId23" Type="http://schemas.openxmlformats.org/officeDocument/2006/relationships/hyperlink" Target="https://www.fda.gov/regulatory-information/search-fda-guidance-documents/postmarketing-safety-reporting-human-drug-and-biological-products-including-vaccines" TargetMode="External"/><Relationship Id="rId10" Type="http://schemas.openxmlformats.org/officeDocument/2006/relationships/hyperlink" Target="https://www.fda.gov/regulatory-information/search-fda-guidance-documents/postmarketing-safety-reporting-human-drug-and-biological-products-including-vaccines" TargetMode="External"/><Relationship Id="rId19" Type="http://schemas.openxmlformats.org/officeDocument/2006/relationships/hyperlink" Target="https://www.fda.gov/regulatory-information/%20search-fda-guidance-documents/biological-product-deviation-reporting-blood-and-plasma-establishments" TargetMode="External"/><Relationship Id="rId4" Type="http://schemas.openxmlformats.org/officeDocument/2006/relationships/hyperlink" Target="https://www.fda.gov/regulatory-information/search-fda-guidance-documents/how-write-request-designation-rfd" TargetMode="External"/><Relationship Id="rId9" Type="http://schemas.openxmlformats.org/officeDocument/2006/relationships/hyperlink" Target="https://www.fda.gov/regulatory-information/search-fda-guidance-documents/postmarketing-safety-reporting-human-drug-and-biological-products-%20including-vaccines" TargetMode="External"/><Relationship Id="rId14" Type="http://schemas.openxmlformats.org/officeDocument/2006/relationships/hyperlink" Target="https://www.fda.gov/regulatory-information/search-fda-guidance-documents/medical-device-reporting-manufacturers" TargetMode="External"/><Relationship Id="rId22" Type="http://schemas.openxmlformats.org/officeDocument/2006/relationships/hyperlink" Target="https://www.fda.gov/MedicalDevices/DeviceRegulationandGuidance/PostmarketRequirements/ReportingAdverseEvents/MDRAdverseEventCodes/ucm58420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3FC62-9A71-4A16-9851-B9F64C01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44</Pages>
  <Words>5588</Words>
  <Characters>31857</Characters>
  <Application>Microsoft Office Word</Application>
  <DocSecurity>0</DocSecurity>
  <Lines>265</Lines>
  <Paragraphs>74</Paragraphs>
  <ScaleCrop>false</ScaleCrop>
  <Company/>
  <LinksUpToDate>false</LinksUpToDate>
  <CharactersWithSpaces>37371</CharactersWithSpaces>
  <SharedDoc>false</SharedDoc>
  <HLinks>
    <vt:vector size="414" baseType="variant">
      <vt:variant>
        <vt:i4>1835125</vt:i4>
      </vt:variant>
      <vt:variant>
        <vt:i4>201</vt:i4>
      </vt:variant>
      <vt:variant>
        <vt:i4>0</vt:i4>
      </vt:variant>
      <vt:variant>
        <vt:i4>5</vt:i4>
      </vt:variant>
      <vt:variant>
        <vt:lpwstr>https://www.fda.gov/medical-devices/postmarket-requirements-devices/recalls-corrections-and-removals-devices</vt:lpwstr>
      </vt:variant>
      <vt:variant>
        <vt:lpwstr>5</vt:lpwstr>
      </vt:variant>
      <vt:variant>
        <vt:i4>4653076</vt:i4>
      </vt:variant>
      <vt:variant>
        <vt:i4>198</vt:i4>
      </vt:variant>
      <vt:variant>
        <vt:i4>0</vt:i4>
      </vt:variant>
      <vt:variant>
        <vt:i4>5</vt:i4>
      </vt:variant>
      <vt:variant>
        <vt:lpwstr>https://www.fda.gov/medical-devices/mdr-adverse-event-codes/coding-resources</vt:lpwstr>
      </vt:variant>
      <vt:variant>
        <vt:lpwstr/>
      </vt:variant>
      <vt:variant>
        <vt:i4>4653076</vt:i4>
      </vt:variant>
      <vt:variant>
        <vt:i4>195</vt:i4>
      </vt:variant>
      <vt:variant>
        <vt:i4>0</vt:i4>
      </vt:variant>
      <vt:variant>
        <vt:i4>5</vt:i4>
      </vt:variant>
      <vt:variant>
        <vt:lpwstr>https://www.fda.gov/medical-devices/mdr-adverse-event-codes/coding-resources</vt:lpwstr>
      </vt:variant>
      <vt:variant>
        <vt:lpwstr/>
      </vt:variant>
      <vt:variant>
        <vt:i4>4587581</vt:i4>
      </vt:variant>
      <vt:variant>
        <vt:i4>192</vt:i4>
      </vt:variant>
      <vt:variant>
        <vt:i4>0</vt:i4>
      </vt:variant>
      <vt:variant>
        <vt:i4>5</vt:i4>
      </vt:variant>
      <vt:variant>
        <vt:lpwstr>mailto:DICE@fda.hhs.gov</vt:lpwstr>
      </vt:variant>
      <vt:variant>
        <vt:lpwstr/>
      </vt:variant>
      <vt:variant>
        <vt:i4>1638476</vt:i4>
      </vt:variant>
      <vt:variant>
        <vt:i4>189</vt:i4>
      </vt:variant>
      <vt:variant>
        <vt:i4>0</vt:i4>
      </vt:variant>
      <vt:variant>
        <vt:i4>5</vt:i4>
      </vt:variant>
      <vt:variant>
        <vt:lpwstr>https://www.fda.gov/combination-products/guidance-regulatory-information/postmarketing-safety-reporting-combination-products。</vt:lpwstr>
      </vt:variant>
      <vt:variant>
        <vt:lpwstr/>
      </vt:variant>
      <vt:variant>
        <vt:i4>3997731</vt:i4>
      </vt:variant>
      <vt:variant>
        <vt:i4>186</vt:i4>
      </vt:variant>
      <vt:variant>
        <vt:i4>0</vt:i4>
      </vt:variant>
      <vt:variant>
        <vt:i4>5</vt:i4>
      </vt:variant>
      <vt:variant>
        <vt:lpwstr>https://www.accessdata.fda.gov/scripts/cdrh/cfdocs/cfPCD/classification.cfm</vt:lpwstr>
      </vt:variant>
      <vt:variant>
        <vt:lpwstr/>
      </vt:variant>
      <vt:variant>
        <vt:i4>1638476</vt:i4>
      </vt:variant>
      <vt:variant>
        <vt:i4>183</vt:i4>
      </vt:variant>
      <vt:variant>
        <vt:i4>0</vt:i4>
      </vt:variant>
      <vt:variant>
        <vt:i4>5</vt:i4>
      </vt:variant>
      <vt:variant>
        <vt:lpwstr>https://www.fda.gov/combination-products/guidance-regulatory-information/postmarketing-safety-reporting-combination-products。</vt:lpwstr>
      </vt:variant>
      <vt:variant>
        <vt:lpwstr/>
      </vt:variant>
      <vt:variant>
        <vt:i4>5701707</vt:i4>
      </vt:variant>
      <vt:variant>
        <vt:i4>180</vt:i4>
      </vt:variant>
      <vt:variant>
        <vt:i4>0</vt:i4>
      </vt:variant>
      <vt:variant>
        <vt:i4>5</vt:i4>
      </vt:variant>
      <vt:variant>
        <vt:lpwstr>https://www.fda.gov/vaccines-blood- biologics/report-problem-center-biologics-evaluation-research/general-instructions-completing-biological-product-deviation-report-bpdr-form-fda-3486</vt:lpwstr>
      </vt:variant>
      <vt:variant>
        <vt:lpwstr/>
      </vt:variant>
      <vt:variant>
        <vt:i4>1835072</vt:i4>
      </vt:variant>
      <vt:variant>
        <vt:i4>177</vt:i4>
      </vt:variant>
      <vt:variant>
        <vt:i4>0</vt:i4>
      </vt:variant>
      <vt:variant>
        <vt:i4>5</vt:i4>
      </vt:variant>
      <vt:variant>
        <vt:lpwstr>https://www.fda.gov/medical-devices/postmarket-requirements-devices/recalls-corrections-and-removals-devices</vt:lpwstr>
      </vt:variant>
      <vt:variant>
        <vt:lpwstr/>
      </vt:variant>
      <vt:variant>
        <vt:i4>4412643</vt:i4>
      </vt:variant>
      <vt:variant>
        <vt:i4>174</vt:i4>
      </vt:variant>
      <vt:variant>
        <vt:i4>0</vt:i4>
      </vt:variant>
      <vt:variant>
        <vt:i4>5</vt:i4>
      </vt:variant>
      <vt:variant>
        <vt:lpwstr>https://www.fda.gov/drugs/surveillance/field-alert-reports和https://www.fda.gov/vaccines-blood-biologics/guidance-compliance-regulatory-information-biologics/submitting-field-alert-reports-fars-cber</vt:lpwstr>
      </vt:variant>
      <vt:variant>
        <vt:lpwstr/>
      </vt:variant>
      <vt:variant>
        <vt:i4>2162727</vt:i4>
      </vt:variant>
      <vt:variant>
        <vt:i4>171</vt:i4>
      </vt:variant>
      <vt:variant>
        <vt:i4>0</vt:i4>
      </vt:variant>
      <vt:variant>
        <vt:i4>5</vt:i4>
      </vt:variant>
      <vt:variant>
        <vt:lpwstr>https://www.fda.gov/industry/about-esg/cber-vaccine-icsr-implementation</vt:lpwstr>
      </vt:variant>
      <vt:variant>
        <vt:lpwstr/>
      </vt:variant>
      <vt:variant>
        <vt:i4>4849737</vt:i4>
      </vt:variant>
      <vt:variant>
        <vt:i4>168</vt:i4>
      </vt:variant>
      <vt:variant>
        <vt:i4>0</vt:i4>
      </vt:variant>
      <vt:variant>
        <vt:i4>5</vt:i4>
      </vt:variant>
      <vt:variant>
        <vt:lpwstr>https://www.fda.gov/media/111763/download</vt:lpwstr>
      </vt:variant>
      <vt:variant>
        <vt:lpwstr/>
      </vt:variant>
      <vt:variant>
        <vt:i4>4128865</vt:i4>
      </vt:variant>
      <vt:variant>
        <vt:i4>165</vt:i4>
      </vt:variant>
      <vt:variant>
        <vt:i4>0</vt:i4>
      </vt:variant>
      <vt:variant>
        <vt:i4>5</vt:i4>
      </vt:variant>
      <vt:variant>
        <vt:lpwstr>https://www.fda.gov/medical-devices/mandatory-reporting-requirements-manufacturers-importers-and-device-user-facilities/health-level-seven-hl7-individual-case-safety-reporting-icsr-files</vt:lpwstr>
      </vt:variant>
      <vt:variant>
        <vt:lpwstr/>
      </vt:variant>
      <vt:variant>
        <vt:i4>6946863</vt:i4>
      </vt:variant>
      <vt:variant>
        <vt:i4>162</vt:i4>
      </vt:variant>
      <vt:variant>
        <vt:i4>0</vt:i4>
      </vt:variant>
      <vt:variant>
        <vt:i4>5</vt:i4>
      </vt:variant>
      <vt:variant>
        <vt:lpwstr>https://www.fda.gov/industry/fda-esubmitter/electronic-medical-device-reporting-emd</vt:lpwstr>
      </vt:variant>
      <vt:variant>
        <vt:lpwstr/>
      </vt:variant>
      <vt:variant>
        <vt:i4>6946928</vt:i4>
      </vt:variant>
      <vt:variant>
        <vt:i4>159</vt:i4>
      </vt:variant>
      <vt:variant>
        <vt:i4>0</vt:i4>
      </vt:variant>
      <vt:variant>
        <vt:i4>5</vt:i4>
      </vt:variant>
      <vt:variant>
        <vt:lpwstr>https://www.fda.gov/drugs/fda-adverse-event-reporting-system-faers/fda-adverse-event-reporting-system-faers-electronic-submissions</vt:lpwstr>
      </vt:variant>
      <vt:variant>
        <vt:lpwstr/>
      </vt:variant>
      <vt:variant>
        <vt:i4>4128865</vt:i4>
      </vt:variant>
      <vt:variant>
        <vt:i4>156</vt:i4>
      </vt:variant>
      <vt:variant>
        <vt:i4>0</vt:i4>
      </vt:variant>
      <vt:variant>
        <vt:i4>5</vt:i4>
      </vt:variant>
      <vt:variant>
        <vt:lpwstr>https://www.fda.gov/medical-devices/mandatory-reporting-requirements-manufacturers-importers-and-device-user-facilities/health-level-seven-hl7-individual-case-safety-reporting-icsr-files</vt:lpwstr>
      </vt:variant>
      <vt:variant>
        <vt:lpwstr/>
      </vt:variant>
      <vt:variant>
        <vt:i4>6881314</vt:i4>
      </vt:variant>
      <vt:variant>
        <vt:i4>153</vt:i4>
      </vt:variant>
      <vt:variant>
        <vt:i4>0</vt:i4>
      </vt:variant>
      <vt:variant>
        <vt:i4>5</vt:i4>
      </vt:variant>
      <vt:variant>
        <vt:lpwstr>https://www.fda.gov/vaccines-blood-biologics/guidance-compliance-regulatory-information-biologics/submitting-field-alert-reports-fars-cber</vt:lpwstr>
      </vt:variant>
      <vt:variant>
        <vt:lpwstr/>
      </vt:variant>
      <vt:variant>
        <vt:i4>4194377</vt:i4>
      </vt:variant>
      <vt:variant>
        <vt:i4>150</vt:i4>
      </vt:variant>
      <vt:variant>
        <vt:i4>0</vt:i4>
      </vt:variant>
      <vt:variant>
        <vt:i4>5</vt:i4>
      </vt:variant>
      <vt:variant>
        <vt:lpwstr>https://www.fda.gov/drugs/surveillance/field-alert-report-form-questions-and-answers</vt:lpwstr>
      </vt:variant>
      <vt:variant>
        <vt:lpwstr/>
      </vt:variant>
      <vt:variant>
        <vt:i4>3145787</vt:i4>
      </vt:variant>
      <vt:variant>
        <vt:i4>147</vt:i4>
      </vt:variant>
      <vt:variant>
        <vt:i4>0</vt:i4>
      </vt:variant>
      <vt:variant>
        <vt:i4>5</vt:i4>
      </vt:variant>
      <vt:variant>
        <vt:lpwstr>https://www.fda.gov/medical-devices/medical-device-safety/medical-device-reporting-mdr-how-report-medical-device-problems.</vt:lpwstr>
      </vt:variant>
      <vt:variant>
        <vt:lpwstr/>
      </vt:variant>
      <vt:variant>
        <vt:i4>3145787</vt:i4>
      </vt:variant>
      <vt:variant>
        <vt:i4>144</vt:i4>
      </vt:variant>
      <vt:variant>
        <vt:i4>0</vt:i4>
      </vt:variant>
      <vt:variant>
        <vt:i4>5</vt:i4>
      </vt:variant>
      <vt:variant>
        <vt:lpwstr>https://www.fda.gov/medical-devices/medical-device-safety/medical-device-reporting-mdr-how-report-medical-device-problems.</vt:lpwstr>
      </vt:variant>
      <vt:variant>
        <vt:lpwstr/>
      </vt:variant>
      <vt:variant>
        <vt:i4>2228282</vt:i4>
      </vt:variant>
      <vt:variant>
        <vt:i4>141</vt:i4>
      </vt:variant>
      <vt:variant>
        <vt:i4>0</vt:i4>
      </vt:variant>
      <vt:variant>
        <vt:i4>5</vt:i4>
      </vt:variant>
      <vt:variant>
        <vt:lpwstr>https://www.fda.gov/drugs/surveillance/postmarketing-surveillance-programs.</vt:lpwstr>
      </vt:variant>
      <vt:variant>
        <vt:lpwstr/>
      </vt:variant>
      <vt:variant>
        <vt:i4>1376316</vt:i4>
      </vt:variant>
      <vt:variant>
        <vt:i4>134</vt:i4>
      </vt:variant>
      <vt:variant>
        <vt:i4>0</vt:i4>
      </vt:variant>
      <vt:variant>
        <vt:i4>5</vt:i4>
      </vt:variant>
      <vt:variant>
        <vt:lpwstr/>
      </vt:variant>
      <vt:variant>
        <vt:lpwstr>_Toc97551515</vt:lpwstr>
      </vt:variant>
      <vt:variant>
        <vt:i4>1310780</vt:i4>
      </vt:variant>
      <vt:variant>
        <vt:i4>128</vt:i4>
      </vt:variant>
      <vt:variant>
        <vt:i4>0</vt:i4>
      </vt:variant>
      <vt:variant>
        <vt:i4>5</vt:i4>
      </vt:variant>
      <vt:variant>
        <vt:lpwstr/>
      </vt:variant>
      <vt:variant>
        <vt:lpwstr>_Toc97551514</vt:lpwstr>
      </vt:variant>
      <vt:variant>
        <vt:i4>1245244</vt:i4>
      </vt:variant>
      <vt:variant>
        <vt:i4>122</vt:i4>
      </vt:variant>
      <vt:variant>
        <vt:i4>0</vt:i4>
      </vt:variant>
      <vt:variant>
        <vt:i4>5</vt:i4>
      </vt:variant>
      <vt:variant>
        <vt:lpwstr/>
      </vt:variant>
      <vt:variant>
        <vt:lpwstr>_Toc97551513</vt:lpwstr>
      </vt:variant>
      <vt:variant>
        <vt:i4>1179708</vt:i4>
      </vt:variant>
      <vt:variant>
        <vt:i4>116</vt:i4>
      </vt:variant>
      <vt:variant>
        <vt:i4>0</vt:i4>
      </vt:variant>
      <vt:variant>
        <vt:i4>5</vt:i4>
      </vt:variant>
      <vt:variant>
        <vt:lpwstr/>
      </vt:variant>
      <vt:variant>
        <vt:lpwstr>_Toc97551512</vt:lpwstr>
      </vt:variant>
      <vt:variant>
        <vt:i4>1114172</vt:i4>
      </vt:variant>
      <vt:variant>
        <vt:i4>110</vt:i4>
      </vt:variant>
      <vt:variant>
        <vt:i4>0</vt:i4>
      </vt:variant>
      <vt:variant>
        <vt:i4>5</vt:i4>
      </vt:variant>
      <vt:variant>
        <vt:lpwstr/>
      </vt:variant>
      <vt:variant>
        <vt:lpwstr>_Toc97551511</vt:lpwstr>
      </vt:variant>
      <vt:variant>
        <vt:i4>1048636</vt:i4>
      </vt:variant>
      <vt:variant>
        <vt:i4>104</vt:i4>
      </vt:variant>
      <vt:variant>
        <vt:i4>0</vt:i4>
      </vt:variant>
      <vt:variant>
        <vt:i4>5</vt:i4>
      </vt:variant>
      <vt:variant>
        <vt:lpwstr/>
      </vt:variant>
      <vt:variant>
        <vt:lpwstr>_Toc97551510</vt:lpwstr>
      </vt:variant>
      <vt:variant>
        <vt:i4>1638461</vt:i4>
      </vt:variant>
      <vt:variant>
        <vt:i4>98</vt:i4>
      </vt:variant>
      <vt:variant>
        <vt:i4>0</vt:i4>
      </vt:variant>
      <vt:variant>
        <vt:i4>5</vt:i4>
      </vt:variant>
      <vt:variant>
        <vt:lpwstr/>
      </vt:variant>
      <vt:variant>
        <vt:lpwstr>_Toc97551509</vt:lpwstr>
      </vt:variant>
      <vt:variant>
        <vt:i4>1572925</vt:i4>
      </vt:variant>
      <vt:variant>
        <vt:i4>92</vt:i4>
      </vt:variant>
      <vt:variant>
        <vt:i4>0</vt:i4>
      </vt:variant>
      <vt:variant>
        <vt:i4>5</vt:i4>
      </vt:variant>
      <vt:variant>
        <vt:lpwstr/>
      </vt:variant>
      <vt:variant>
        <vt:lpwstr>_Toc97551508</vt:lpwstr>
      </vt:variant>
      <vt:variant>
        <vt:i4>1507389</vt:i4>
      </vt:variant>
      <vt:variant>
        <vt:i4>86</vt:i4>
      </vt:variant>
      <vt:variant>
        <vt:i4>0</vt:i4>
      </vt:variant>
      <vt:variant>
        <vt:i4>5</vt:i4>
      </vt:variant>
      <vt:variant>
        <vt:lpwstr/>
      </vt:variant>
      <vt:variant>
        <vt:lpwstr>_Toc97551507</vt:lpwstr>
      </vt:variant>
      <vt:variant>
        <vt:i4>1441853</vt:i4>
      </vt:variant>
      <vt:variant>
        <vt:i4>80</vt:i4>
      </vt:variant>
      <vt:variant>
        <vt:i4>0</vt:i4>
      </vt:variant>
      <vt:variant>
        <vt:i4>5</vt:i4>
      </vt:variant>
      <vt:variant>
        <vt:lpwstr/>
      </vt:variant>
      <vt:variant>
        <vt:lpwstr>_Toc97551506</vt:lpwstr>
      </vt:variant>
      <vt:variant>
        <vt:i4>1376317</vt:i4>
      </vt:variant>
      <vt:variant>
        <vt:i4>74</vt:i4>
      </vt:variant>
      <vt:variant>
        <vt:i4>0</vt:i4>
      </vt:variant>
      <vt:variant>
        <vt:i4>5</vt:i4>
      </vt:variant>
      <vt:variant>
        <vt:lpwstr/>
      </vt:variant>
      <vt:variant>
        <vt:lpwstr>_Toc97551505</vt:lpwstr>
      </vt:variant>
      <vt:variant>
        <vt:i4>1310781</vt:i4>
      </vt:variant>
      <vt:variant>
        <vt:i4>68</vt:i4>
      </vt:variant>
      <vt:variant>
        <vt:i4>0</vt:i4>
      </vt:variant>
      <vt:variant>
        <vt:i4>5</vt:i4>
      </vt:variant>
      <vt:variant>
        <vt:lpwstr/>
      </vt:variant>
      <vt:variant>
        <vt:lpwstr>_Toc97551504</vt:lpwstr>
      </vt:variant>
      <vt:variant>
        <vt:i4>1245245</vt:i4>
      </vt:variant>
      <vt:variant>
        <vt:i4>62</vt:i4>
      </vt:variant>
      <vt:variant>
        <vt:i4>0</vt:i4>
      </vt:variant>
      <vt:variant>
        <vt:i4>5</vt:i4>
      </vt:variant>
      <vt:variant>
        <vt:lpwstr/>
      </vt:variant>
      <vt:variant>
        <vt:lpwstr>_Toc97551503</vt:lpwstr>
      </vt:variant>
      <vt:variant>
        <vt:i4>1179709</vt:i4>
      </vt:variant>
      <vt:variant>
        <vt:i4>56</vt:i4>
      </vt:variant>
      <vt:variant>
        <vt:i4>0</vt:i4>
      </vt:variant>
      <vt:variant>
        <vt:i4>5</vt:i4>
      </vt:variant>
      <vt:variant>
        <vt:lpwstr/>
      </vt:variant>
      <vt:variant>
        <vt:lpwstr>_Toc97551502</vt:lpwstr>
      </vt:variant>
      <vt:variant>
        <vt:i4>1114173</vt:i4>
      </vt:variant>
      <vt:variant>
        <vt:i4>50</vt:i4>
      </vt:variant>
      <vt:variant>
        <vt:i4>0</vt:i4>
      </vt:variant>
      <vt:variant>
        <vt:i4>5</vt:i4>
      </vt:variant>
      <vt:variant>
        <vt:lpwstr/>
      </vt:variant>
      <vt:variant>
        <vt:lpwstr>_Toc97551501</vt:lpwstr>
      </vt:variant>
      <vt:variant>
        <vt:i4>1048637</vt:i4>
      </vt:variant>
      <vt:variant>
        <vt:i4>44</vt:i4>
      </vt:variant>
      <vt:variant>
        <vt:i4>0</vt:i4>
      </vt:variant>
      <vt:variant>
        <vt:i4>5</vt:i4>
      </vt:variant>
      <vt:variant>
        <vt:lpwstr/>
      </vt:variant>
      <vt:variant>
        <vt:lpwstr>_Toc97551500</vt:lpwstr>
      </vt:variant>
      <vt:variant>
        <vt:i4>1572916</vt:i4>
      </vt:variant>
      <vt:variant>
        <vt:i4>38</vt:i4>
      </vt:variant>
      <vt:variant>
        <vt:i4>0</vt:i4>
      </vt:variant>
      <vt:variant>
        <vt:i4>5</vt:i4>
      </vt:variant>
      <vt:variant>
        <vt:lpwstr/>
      </vt:variant>
      <vt:variant>
        <vt:lpwstr>_Toc97551499</vt:lpwstr>
      </vt:variant>
      <vt:variant>
        <vt:i4>1638452</vt:i4>
      </vt:variant>
      <vt:variant>
        <vt:i4>32</vt:i4>
      </vt:variant>
      <vt:variant>
        <vt:i4>0</vt:i4>
      </vt:variant>
      <vt:variant>
        <vt:i4>5</vt:i4>
      </vt:variant>
      <vt:variant>
        <vt:lpwstr/>
      </vt:variant>
      <vt:variant>
        <vt:lpwstr>_Toc97551498</vt:lpwstr>
      </vt:variant>
      <vt:variant>
        <vt:i4>1441844</vt:i4>
      </vt:variant>
      <vt:variant>
        <vt:i4>26</vt:i4>
      </vt:variant>
      <vt:variant>
        <vt:i4>0</vt:i4>
      </vt:variant>
      <vt:variant>
        <vt:i4>5</vt:i4>
      </vt:variant>
      <vt:variant>
        <vt:lpwstr/>
      </vt:variant>
      <vt:variant>
        <vt:lpwstr>_Toc97551497</vt:lpwstr>
      </vt:variant>
      <vt:variant>
        <vt:i4>1507380</vt:i4>
      </vt:variant>
      <vt:variant>
        <vt:i4>20</vt:i4>
      </vt:variant>
      <vt:variant>
        <vt:i4>0</vt:i4>
      </vt:variant>
      <vt:variant>
        <vt:i4>5</vt:i4>
      </vt:variant>
      <vt:variant>
        <vt:lpwstr/>
      </vt:variant>
      <vt:variant>
        <vt:lpwstr>_Toc97551496</vt:lpwstr>
      </vt:variant>
      <vt:variant>
        <vt:i4>1310772</vt:i4>
      </vt:variant>
      <vt:variant>
        <vt:i4>14</vt:i4>
      </vt:variant>
      <vt:variant>
        <vt:i4>0</vt:i4>
      </vt:variant>
      <vt:variant>
        <vt:i4>5</vt:i4>
      </vt:variant>
      <vt:variant>
        <vt:lpwstr/>
      </vt:variant>
      <vt:variant>
        <vt:lpwstr>_Toc97551495</vt:lpwstr>
      </vt:variant>
      <vt:variant>
        <vt:i4>1376308</vt:i4>
      </vt:variant>
      <vt:variant>
        <vt:i4>8</vt:i4>
      </vt:variant>
      <vt:variant>
        <vt:i4>0</vt:i4>
      </vt:variant>
      <vt:variant>
        <vt:i4>5</vt:i4>
      </vt:variant>
      <vt:variant>
        <vt:lpwstr/>
      </vt:variant>
      <vt:variant>
        <vt:lpwstr>_Toc97551494</vt:lpwstr>
      </vt:variant>
      <vt:variant>
        <vt:i4>7667799</vt:i4>
      </vt:variant>
      <vt:variant>
        <vt:i4>3</vt:i4>
      </vt:variant>
      <vt:variant>
        <vt:i4>0</vt:i4>
      </vt:variant>
      <vt:variant>
        <vt:i4>5</vt:i4>
      </vt:variant>
      <vt:variant>
        <vt:lpwstr>mailto:combination@fda.gov</vt:lpwstr>
      </vt:variant>
      <vt:variant>
        <vt:lpwstr/>
      </vt:variant>
      <vt:variant>
        <vt:i4>1114185</vt:i4>
      </vt:variant>
      <vt:variant>
        <vt:i4>0</vt:i4>
      </vt:variant>
      <vt:variant>
        <vt:i4>0</vt:i4>
      </vt:variant>
      <vt:variant>
        <vt:i4>5</vt:i4>
      </vt:variant>
      <vt:variant>
        <vt:lpwstr>https://www.fda.gov/combination-products</vt:lpwstr>
      </vt:variant>
      <vt:variant>
        <vt:lpwstr/>
      </vt:variant>
      <vt:variant>
        <vt:i4>5505107</vt:i4>
      </vt:variant>
      <vt:variant>
        <vt:i4>69</vt:i4>
      </vt:variant>
      <vt:variant>
        <vt:i4>0</vt:i4>
      </vt:variant>
      <vt:variant>
        <vt:i4>5</vt:i4>
      </vt:variant>
      <vt:variant>
        <vt:lpwstr>https://www.fda.gov/regulatory-information/search-fda-guidance-documents/e2cr2-periodic-benefit-risk-evaluation-report-pbrer</vt:lpwstr>
      </vt:variant>
      <vt:variant>
        <vt:lpwstr/>
      </vt:variant>
      <vt:variant>
        <vt:i4>4194311</vt:i4>
      </vt:variant>
      <vt:variant>
        <vt:i4>66</vt:i4>
      </vt:variant>
      <vt:variant>
        <vt:i4>0</vt:i4>
      </vt:variant>
      <vt:variant>
        <vt:i4>5</vt:i4>
      </vt:variant>
      <vt:variant>
        <vt:lpwstr>https://www.fda.gov/regulatory-information/search-fda-guidance-documents/postmarketing-safety-reporting-human-drug-and-biological-products-including-vaccines</vt:lpwstr>
      </vt:variant>
      <vt:variant>
        <vt:lpwstr/>
      </vt:variant>
      <vt:variant>
        <vt:i4>2490403</vt:i4>
      </vt:variant>
      <vt:variant>
        <vt:i4>63</vt:i4>
      </vt:variant>
      <vt:variant>
        <vt:i4>0</vt:i4>
      </vt:variant>
      <vt:variant>
        <vt:i4>5</vt:i4>
      </vt:variant>
      <vt:variant>
        <vt:lpwstr>https://www.fda.gov/MedicalDevices/DeviceRegulationandGuidance/PostmarketRequirements/ReportingAdverseEvents/MDRAdverseEventCodes/ucm584205.htm</vt:lpwstr>
      </vt:variant>
      <vt:variant>
        <vt:lpwstr/>
      </vt:variant>
      <vt:variant>
        <vt:i4>2490403</vt:i4>
      </vt:variant>
      <vt:variant>
        <vt:i4>60</vt:i4>
      </vt:variant>
      <vt:variant>
        <vt:i4>0</vt:i4>
      </vt:variant>
      <vt:variant>
        <vt:i4>5</vt:i4>
      </vt:variant>
      <vt:variant>
        <vt:lpwstr>https://www.fda.gov/MedicalDevices/DeviceRegulationandGuidance/PostmarketRequirements/ReportingAdverseEvents/MDRAdverseEventCodes/ucm584205.htm</vt:lpwstr>
      </vt:variant>
      <vt:variant>
        <vt:lpwstr/>
      </vt:variant>
      <vt:variant>
        <vt:i4>4456475</vt:i4>
      </vt:variant>
      <vt:variant>
        <vt:i4>57</vt:i4>
      </vt:variant>
      <vt:variant>
        <vt:i4>0</vt:i4>
      </vt:variant>
      <vt:variant>
        <vt:i4>5</vt:i4>
      </vt:variant>
      <vt:variant>
        <vt:lpwstr>https://www.fda.gov/media/76569/download</vt:lpwstr>
      </vt:variant>
      <vt:variant>
        <vt:lpwstr/>
      </vt:variant>
      <vt:variant>
        <vt:i4>5898316</vt:i4>
      </vt:variant>
      <vt:variant>
        <vt:i4>54</vt:i4>
      </vt:variant>
      <vt:variant>
        <vt:i4>0</vt:i4>
      </vt:variant>
      <vt:variant>
        <vt:i4>5</vt:i4>
      </vt:variant>
      <vt:variant>
        <vt:lpwstr>https://www.fda.gov/regulatory-information/ search-fda-guidance-documents/biological-product-deviation-reporting-blood-and-plasma-establishments</vt:lpwstr>
      </vt:variant>
      <vt:variant>
        <vt:lpwstr/>
      </vt:variant>
      <vt:variant>
        <vt:i4>7864447</vt:i4>
      </vt:variant>
      <vt:variant>
        <vt:i4>51</vt:i4>
      </vt:variant>
      <vt:variant>
        <vt:i4>0</vt:i4>
      </vt:variant>
      <vt:variant>
        <vt:i4>5</vt:i4>
      </vt:variant>
      <vt:variant>
        <vt:lpwstr>https://www.fda.gov/regulatory-information/search-fda-guidance-documents/biological-product-deviation-reporting-licensed-manufacturers-biological-products-other-blood-and</vt:lpwstr>
      </vt:variant>
      <vt:variant>
        <vt:lpwstr/>
      </vt:variant>
      <vt:variant>
        <vt:i4>7864447</vt:i4>
      </vt:variant>
      <vt:variant>
        <vt:i4>48</vt:i4>
      </vt:variant>
      <vt:variant>
        <vt:i4>0</vt:i4>
      </vt:variant>
      <vt:variant>
        <vt:i4>5</vt:i4>
      </vt:variant>
      <vt:variant>
        <vt:lpwstr>https://www.fda.gov/regulatory-information/search-fda-guidance-documents/biological-product-deviation-reporting-licensed-manufacturers-biological-products-other-blood-and</vt:lpwstr>
      </vt:variant>
      <vt:variant>
        <vt:lpwstr/>
      </vt:variant>
      <vt:variant>
        <vt:i4>2752562</vt:i4>
      </vt:variant>
      <vt:variant>
        <vt:i4>45</vt:i4>
      </vt:variant>
      <vt:variant>
        <vt:i4>0</vt:i4>
      </vt:variant>
      <vt:variant>
        <vt:i4>5</vt:i4>
      </vt:variant>
      <vt:variant>
        <vt:lpwstr>https://www.fda.gov/regulatory-information/search-fda-guidance-documents/field-alert-report-submission-questions-and-answers-guidance-industry</vt:lpwstr>
      </vt:variant>
      <vt:variant>
        <vt:lpwstr/>
      </vt:variant>
      <vt:variant>
        <vt:i4>2097248</vt:i4>
      </vt:variant>
      <vt:variant>
        <vt:i4>42</vt:i4>
      </vt:variant>
      <vt:variant>
        <vt:i4>0</vt:i4>
      </vt:variant>
      <vt:variant>
        <vt:i4>5</vt:i4>
      </vt:variant>
      <vt:variant>
        <vt:lpwstr>https://www.fda.gov/regulatory-information/search-fda-guidance-documents/medical-device-reporting-manufacturers</vt:lpwstr>
      </vt:variant>
      <vt:variant>
        <vt:lpwstr/>
      </vt:variant>
      <vt:variant>
        <vt:i4>2097248</vt:i4>
      </vt:variant>
      <vt:variant>
        <vt:i4>39</vt:i4>
      </vt:variant>
      <vt:variant>
        <vt:i4>0</vt:i4>
      </vt:variant>
      <vt:variant>
        <vt:i4>5</vt:i4>
      </vt:variant>
      <vt:variant>
        <vt:lpwstr>https://www.fda.gov/regulatory-information/search-fda-guidance-documents/medical-device-reporting-manufacturers</vt:lpwstr>
      </vt:variant>
      <vt:variant>
        <vt:lpwstr/>
      </vt:variant>
      <vt:variant>
        <vt:i4>4194311</vt:i4>
      </vt:variant>
      <vt:variant>
        <vt:i4>36</vt:i4>
      </vt:variant>
      <vt:variant>
        <vt:i4>0</vt:i4>
      </vt:variant>
      <vt:variant>
        <vt:i4>5</vt:i4>
      </vt:variant>
      <vt:variant>
        <vt:lpwstr>https://www.fda.gov/regulatory-information/search-fda-guidance-documents/postmarketing-safety-reporting-human-drug-and-biological-products-including-vaccines</vt:lpwstr>
      </vt:variant>
      <vt:variant>
        <vt:lpwstr/>
      </vt:variant>
      <vt:variant>
        <vt:i4>4194321</vt:i4>
      </vt:variant>
      <vt:variant>
        <vt:i4>33</vt:i4>
      </vt:variant>
      <vt:variant>
        <vt:i4>0</vt:i4>
      </vt:variant>
      <vt:variant>
        <vt:i4>5</vt:i4>
      </vt:variant>
      <vt:variant>
        <vt:lpwstr>https://www.fda.gov/drugs/drug-safety-and-availability/medication-errors-related-cder-regulated-drug-products</vt:lpwstr>
      </vt:variant>
      <vt:variant>
        <vt:lpwstr/>
      </vt:variant>
      <vt:variant>
        <vt:i4>3407969</vt:i4>
      </vt:variant>
      <vt:variant>
        <vt:i4>30</vt:i4>
      </vt:variant>
      <vt:variant>
        <vt:i4>0</vt:i4>
      </vt:variant>
      <vt:variant>
        <vt:i4>5</vt:i4>
      </vt:variant>
      <vt:variant>
        <vt:lpwstr>https://www.fda.gov/ combination-products/guidance-regulatory-information/postmarketing-safety-reporting- combination-products。</vt:lpwstr>
      </vt:variant>
      <vt:variant>
        <vt:lpwstr/>
      </vt:variant>
      <vt:variant>
        <vt:i4>4194311</vt:i4>
      </vt:variant>
      <vt:variant>
        <vt:i4>27</vt:i4>
      </vt:variant>
      <vt:variant>
        <vt:i4>0</vt:i4>
      </vt:variant>
      <vt:variant>
        <vt:i4>5</vt:i4>
      </vt:variant>
      <vt:variant>
        <vt:lpwstr>https://www.fda.gov/regulatory-information/search-fda-guidance-documents/postmarketing-safety-reporting-human-drug-and-biological-products-including-vaccines</vt:lpwstr>
      </vt:variant>
      <vt:variant>
        <vt:lpwstr/>
      </vt:variant>
      <vt:variant>
        <vt:i4>3276838</vt:i4>
      </vt:variant>
      <vt:variant>
        <vt:i4>24</vt:i4>
      </vt:variant>
      <vt:variant>
        <vt:i4>0</vt:i4>
      </vt:variant>
      <vt:variant>
        <vt:i4>5</vt:i4>
      </vt:variant>
      <vt:variant>
        <vt:lpwstr>https://www.fda.gov/regulatory-information/search-fda-guidance-documents/postmarketing-safety-reporting-human-drug-and-biological-products- including-vaccines</vt:lpwstr>
      </vt:variant>
      <vt:variant>
        <vt:lpwstr/>
      </vt:variant>
      <vt:variant>
        <vt:i4>4194311</vt:i4>
      </vt:variant>
      <vt:variant>
        <vt:i4>21</vt:i4>
      </vt:variant>
      <vt:variant>
        <vt:i4>0</vt:i4>
      </vt:variant>
      <vt:variant>
        <vt:i4>5</vt:i4>
      </vt:variant>
      <vt:variant>
        <vt:lpwstr>https://www.fda.gov/regulatory-information/search-fda-guidance-documents/postmarketing-safety-reporting-human-drug-and-biological-products-including-vaccines</vt:lpwstr>
      </vt:variant>
      <vt:variant>
        <vt:lpwstr/>
      </vt:variant>
      <vt:variant>
        <vt:i4>6488116</vt:i4>
      </vt:variant>
      <vt:variant>
        <vt:i4>18</vt:i4>
      </vt:variant>
      <vt:variant>
        <vt:i4>0</vt:i4>
      </vt:variant>
      <vt:variant>
        <vt:i4>5</vt:i4>
      </vt:variant>
      <vt:variant>
        <vt:lpwstr>https://www.fda.gov/regulatory-information/search-fda-guidance-documents/safety-reporting-requirements-inds-investigational-new-drug-applications-and-babe</vt:lpwstr>
      </vt:variant>
      <vt:variant>
        <vt:lpwstr/>
      </vt:variant>
      <vt:variant>
        <vt:i4>2097248</vt:i4>
      </vt:variant>
      <vt:variant>
        <vt:i4>15</vt:i4>
      </vt:variant>
      <vt:variant>
        <vt:i4>0</vt:i4>
      </vt:variant>
      <vt:variant>
        <vt:i4>5</vt:i4>
      </vt:variant>
      <vt:variant>
        <vt:lpwstr>https://www.fda.gov/regulatory-information/search-fda-guidance-documents/medical-device-reporting-manufacturers</vt:lpwstr>
      </vt:variant>
      <vt:variant>
        <vt:lpwstr/>
      </vt:variant>
      <vt:variant>
        <vt:i4>3014709</vt:i4>
      </vt:variant>
      <vt:variant>
        <vt:i4>12</vt:i4>
      </vt:variant>
      <vt:variant>
        <vt:i4>0</vt:i4>
      </vt:variant>
      <vt:variant>
        <vt:i4>5</vt:i4>
      </vt:variant>
      <vt:variant>
        <vt:lpwstr>https://www.fda.gov/regulatory-information/search-fda-guidance-documents/current-good-manufacturing-practice-requirements-combination-products</vt:lpwstr>
      </vt:variant>
      <vt:variant>
        <vt:lpwstr/>
      </vt:variant>
      <vt:variant>
        <vt:i4>3145780</vt:i4>
      </vt:variant>
      <vt:variant>
        <vt:i4>9</vt:i4>
      </vt:variant>
      <vt:variant>
        <vt:i4>0</vt:i4>
      </vt:variant>
      <vt:variant>
        <vt:i4>5</vt:i4>
      </vt:variant>
      <vt:variant>
        <vt:lpwstr>https://www.fda.gov/regulatory-information/search-fda-guidance-documents/how-write-request-designation-rfd</vt:lpwstr>
      </vt:variant>
      <vt:variant>
        <vt:lpwstr/>
      </vt:variant>
      <vt:variant>
        <vt:i4>3145780</vt:i4>
      </vt:variant>
      <vt:variant>
        <vt:i4>6</vt:i4>
      </vt:variant>
      <vt:variant>
        <vt:i4>0</vt:i4>
      </vt:variant>
      <vt:variant>
        <vt:i4>5</vt:i4>
      </vt:variant>
      <vt:variant>
        <vt:lpwstr>https://www.fda.gov/regulatory-information/search-fda-guidance-documents/how-write-request-designation-rfd</vt:lpwstr>
      </vt:variant>
      <vt:variant>
        <vt:lpwstr/>
      </vt:variant>
      <vt:variant>
        <vt:i4>5898306</vt:i4>
      </vt:variant>
      <vt:variant>
        <vt:i4>3</vt:i4>
      </vt:variant>
      <vt:variant>
        <vt:i4>0</vt:i4>
      </vt:variant>
      <vt:variant>
        <vt:i4>5</vt:i4>
      </vt:variant>
      <vt:variant>
        <vt:lpwstr>https://www.fda.gov/regulatory-information/search-fda-guidance-documents/how-prepare-pre-request-designation-pre-rfd</vt:lpwstr>
      </vt:variant>
      <vt:variant>
        <vt:lpwstr/>
      </vt:variant>
      <vt:variant>
        <vt:i4>3145780</vt:i4>
      </vt:variant>
      <vt:variant>
        <vt:i4>0</vt:i4>
      </vt:variant>
      <vt:variant>
        <vt:i4>0</vt:i4>
      </vt:variant>
      <vt:variant>
        <vt:i4>5</vt:i4>
      </vt:variant>
      <vt:variant>
        <vt:lpwstr>https://www.fda.gov/regulatory-information/search-fda-guidance-documents/how-write-request-designation-rfd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Postmarketing Safety Reporting for Combination Products Final Guidance</dc:title>
  <dc:subject>Final guidance for industry and FDA staff pn postmarketing safety reporting for combination proucts</dc:subject>
  <dc:creator>Food and Drug Administration</dc:creator>
  <cp:keywords/>
  <dc:description/>
  <cp:lastModifiedBy>asus</cp:lastModifiedBy>
  <cp:revision>77</cp:revision>
  <dcterms:created xsi:type="dcterms:W3CDTF">2022-03-07T05:14:00Z</dcterms:created>
  <dcterms:modified xsi:type="dcterms:W3CDTF">2022-06-03T09:41:00Z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Acrobat PDFMaker 17 for Word</vt:lpwstr>
  </property>
  <property fmtid="{D5CDD505-2E9C-101B-9397-08002B2CF9AE}" pid="4" name="LastSaved">
    <vt:filetime>2021-10-27T00:00:00Z</vt:filetime>
  </property>
</Properties>
</file>