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B353E" w14:textId="2872EC46" w:rsidR="00650DDD" w:rsidRPr="005E192C" w:rsidRDefault="00650DDD" w:rsidP="00E303D2">
      <w:pPr>
        <w:adjustRightInd w:val="0"/>
        <w:snapToGrid w:val="0"/>
        <w:spacing w:beforeLines="50" w:before="120" w:line="300" w:lineRule="auto"/>
        <w:jc w:val="center"/>
        <w:rPr>
          <w:rFonts w:ascii="Times New Roman" w:hAnsi="Times New Roman" w:cs="Times New Roman"/>
          <w:b/>
          <w:snapToGrid w:val="0"/>
          <w:sz w:val="44"/>
          <w:szCs w:val="44"/>
          <w:lang w:eastAsia="zh-CN"/>
        </w:rPr>
      </w:pPr>
      <w:bookmarkStart w:id="0" w:name="_GoBack"/>
      <w:bookmarkEnd w:id="0"/>
      <w:r w:rsidRPr="005E192C">
        <w:rPr>
          <w:rFonts w:ascii="Times New Roman" w:eastAsia="宋体" w:hAnsi="Times New Roman" w:cs="宋体"/>
          <w:b/>
          <w:sz w:val="44"/>
          <w:lang w:eastAsia="zh-CN"/>
        </w:rPr>
        <w:t>非临床毒理学研究中的病理学</w:t>
      </w:r>
      <w:r w:rsidR="005671DB">
        <w:rPr>
          <w:rFonts w:ascii="Times New Roman" w:eastAsia="宋体" w:hAnsi="Times New Roman" w:cs="宋体"/>
          <w:b/>
          <w:sz w:val="44"/>
          <w:lang w:eastAsia="zh-CN"/>
        </w:rPr>
        <w:t>同行评审</w:t>
      </w:r>
      <w:r w:rsidRPr="005E192C">
        <w:rPr>
          <w:rFonts w:ascii="Times New Roman" w:eastAsia="宋体" w:hAnsi="Times New Roman" w:cs="宋体"/>
          <w:b/>
          <w:sz w:val="44"/>
          <w:lang w:eastAsia="zh-CN"/>
        </w:rPr>
        <w:t>：</w:t>
      </w:r>
      <w:r w:rsidR="00F637DB" w:rsidRPr="005E192C">
        <w:rPr>
          <w:rFonts w:ascii="Times New Roman" w:eastAsia="宋体" w:hAnsi="Times New Roman" w:cs="宋体" w:hint="eastAsia"/>
          <w:b/>
          <w:sz w:val="44"/>
          <w:lang w:eastAsia="zh-CN"/>
        </w:rPr>
        <w:br/>
      </w:r>
      <w:r w:rsidRPr="005E192C">
        <w:rPr>
          <w:rFonts w:ascii="Times New Roman" w:eastAsia="宋体" w:hAnsi="Times New Roman" w:cs="宋体"/>
          <w:b/>
          <w:sz w:val="44"/>
          <w:lang w:eastAsia="zh-CN"/>
        </w:rPr>
        <w:t>问题与解答</w:t>
      </w:r>
    </w:p>
    <w:p w14:paraId="1C66443F" w14:textId="77777777" w:rsidR="00B56F84" w:rsidRPr="005E192C" w:rsidRDefault="00C94630" w:rsidP="00E303D2">
      <w:pPr>
        <w:adjustRightInd w:val="0"/>
        <w:snapToGrid w:val="0"/>
        <w:spacing w:beforeLines="50" w:before="120" w:line="300" w:lineRule="auto"/>
        <w:jc w:val="center"/>
        <w:rPr>
          <w:rFonts w:ascii="Times New Roman" w:hAnsi="Times New Roman" w:cs="Times New Roman"/>
          <w:b/>
          <w:snapToGrid w:val="0"/>
          <w:sz w:val="32"/>
          <w:szCs w:val="32"/>
          <w:lang w:eastAsia="zh-CN"/>
        </w:rPr>
      </w:pPr>
      <w:r w:rsidRPr="005E192C">
        <w:rPr>
          <w:rFonts w:ascii="Times New Roman" w:eastAsia="宋体" w:hAnsi="Times New Roman" w:cs="宋体"/>
          <w:b/>
          <w:sz w:val="32"/>
          <w:lang w:eastAsia="zh-CN"/>
        </w:rPr>
        <w:t>行业指南</w:t>
      </w:r>
    </w:p>
    <w:p w14:paraId="1A54EB9F" w14:textId="77777777" w:rsidR="00B56F84" w:rsidRPr="005E192C" w:rsidRDefault="00C94630" w:rsidP="00E303D2">
      <w:pPr>
        <w:adjustRightInd w:val="0"/>
        <w:snapToGrid w:val="0"/>
        <w:spacing w:beforeLines="50" w:before="120" w:line="300" w:lineRule="auto"/>
        <w:jc w:val="center"/>
        <w:rPr>
          <w:rFonts w:ascii="Times New Roman" w:hAnsi="Times New Roman" w:cs="Times New Roman"/>
          <w:snapToGrid w:val="0"/>
          <w:sz w:val="28"/>
          <w:szCs w:val="28"/>
          <w:lang w:eastAsia="zh-CN"/>
        </w:rPr>
      </w:pPr>
      <w:r w:rsidRPr="005E192C">
        <w:rPr>
          <w:rFonts w:ascii="Times New Roman" w:eastAsia="宋体" w:hAnsi="Times New Roman" w:cs="宋体"/>
          <w:b/>
          <w:i/>
          <w:sz w:val="28"/>
          <w:lang w:eastAsia="zh-CN"/>
        </w:rPr>
        <w:t>指南草案</w:t>
      </w:r>
    </w:p>
    <w:p w14:paraId="46DFF838" w14:textId="77777777" w:rsidR="00B56F84" w:rsidRPr="005E192C" w:rsidRDefault="00C94630" w:rsidP="00E303D2">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本指南文件仅供征求意见。</w:t>
      </w:r>
    </w:p>
    <w:p w14:paraId="194264CC" w14:textId="6D165E7B"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应在《联邦公报》</w:t>
      </w:r>
      <w:r w:rsidR="009C559A">
        <w:rPr>
          <w:rFonts w:ascii="Times New Roman" w:eastAsia="宋体" w:hAnsi="Times New Roman" w:cs="宋体" w:hint="eastAsia"/>
          <w:sz w:val="24"/>
          <w:lang w:eastAsia="zh-CN"/>
        </w:rPr>
        <w:t>发布</w:t>
      </w:r>
      <w:r w:rsidRPr="005E192C">
        <w:rPr>
          <w:rFonts w:ascii="Times New Roman" w:eastAsia="宋体" w:hAnsi="Times New Roman" w:cs="宋体"/>
          <w:sz w:val="24"/>
          <w:lang w:eastAsia="zh-CN"/>
        </w:rPr>
        <w:t>通知向公众宣布已发布本指南</w:t>
      </w:r>
      <w:r w:rsidR="009C559A" w:rsidRPr="005E192C">
        <w:rPr>
          <w:rFonts w:ascii="Times New Roman" w:eastAsia="宋体" w:hAnsi="Times New Roman" w:cs="宋体"/>
          <w:sz w:val="24"/>
          <w:lang w:eastAsia="zh-CN"/>
        </w:rPr>
        <w:t>草案</w:t>
      </w:r>
      <w:r w:rsidRPr="005E192C">
        <w:rPr>
          <w:rFonts w:ascii="Times New Roman" w:eastAsia="宋体" w:hAnsi="Times New Roman" w:cs="宋体"/>
          <w:sz w:val="24"/>
          <w:lang w:eastAsia="zh-CN"/>
        </w:rPr>
        <w:t>后的</w:t>
      </w:r>
      <w:r w:rsidRPr="005E192C">
        <w:rPr>
          <w:rFonts w:ascii="Times New Roman" w:eastAsia="宋体" w:hAnsi="Times New Roman" w:cs="宋体"/>
          <w:sz w:val="24"/>
          <w:lang w:eastAsia="zh-CN"/>
        </w:rPr>
        <w:t>60</w:t>
      </w:r>
      <w:r w:rsidRPr="005E192C">
        <w:rPr>
          <w:rFonts w:ascii="Times New Roman" w:eastAsia="宋体" w:hAnsi="Times New Roman" w:cs="宋体"/>
          <w:sz w:val="24"/>
          <w:lang w:eastAsia="zh-CN"/>
        </w:rPr>
        <w:t>天内提出针对本文件草案的意见和建议。</w:t>
      </w:r>
      <w:r w:rsidR="009C559A">
        <w:rPr>
          <w:rFonts w:ascii="Times New Roman" w:eastAsia="宋体" w:hAnsi="Times New Roman" w:cs="宋体" w:hint="eastAsia"/>
          <w:sz w:val="24"/>
          <w:lang w:eastAsia="zh-CN"/>
        </w:rPr>
        <w:t>可</w:t>
      </w:r>
      <w:r w:rsidRPr="005E192C">
        <w:rPr>
          <w:rFonts w:ascii="Times New Roman" w:eastAsia="宋体" w:hAnsi="Times New Roman" w:cs="宋体"/>
          <w:sz w:val="24"/>
          <w:lang w:eastAsia="zh-CN"/>
        </w:rPr>
        <w:t>将电子版意见提交至</w:t>
      </w:r>
      <w:r w:rsidR="000E1954">
        <w:fldChar w:fldCharType="begin"/>
      </w:r>
      <w:r w:rsidR="000E1954">
        <w:rPr>
          <w:lang w:eastAsia="zh-CN"/>
        </w:rPr>
        <w:instrText xml:space="preserve"> HYPERLINK "http://www.regulations.gov/" \h </w:instrText>
      </w:r>
      <w:r w:rsidR="000E1954">
        <w:fldChar w:fldCharType="separate"/>
      </w:r>
      <w:r w:rsidRPr="005E192C">
        <w:rPr>
          <w:rFonts w:ascii="Times New Roman" w:eastAsia="宋体" w:hAnsi="Times New Roman" w:cs="宋体"/>
          <w:snapToGrid w:val="0"/>
          <w:sz w:val="24"/>
          <w:szCs w:val="24"/>
          <w:u w:val="single" w:color="0000FF"/>
          <w:lang w:eastAsia="zh-CN"/>
        </w:rPr>
        <w:t>https://www.regulations.gov</w:t>
      </w:r>
      <w:r w:rsidR="000E1954">
        <w:rPr>
          <w:rFonts w:ascii="Times New Roman" w:eastAsia="宋体" w:hAnsi="Times New Roman" w:cs="宋体"/>
          <w:snapToGrid w:val="0"/>
          <w:sz w:val="24"/>
          <w:szCs w:val="24"/>
          <w:u w:val="single" w:color="0000FF"/>
          <w:lang w:eastAsia="zh-CN"/>
        </w:rPr>
        <w:fldChar w:fldCharType="end"/>
      </w:r>
      <w:r w:rsidR="009C559A">
        <w:rPr>
          <w:rFonts w:ascii="Times New Roman" w:eastAsia="宋体" w:hAnsi="Times New Roman" w:cs="宋体"/>
          <w:snapToGrid w:val="0"/>
          <w:sz w:val="24"/>
          <w:szCs w:val="24"/>
          <w:u w:val="single" w:color="0000FF"/>
          <w:lang w:eastAsia="zh-CN"/>
        </w:rPr>
        <w:t>，供</w:t>
      </w:r>
      <w:r w:rsidR="009C559A">
        <w:rPr>
          <w:rFonts w:ascii="Times New Roman" w:eastAsia="宋体" w:hAnsi="Times New Roman" w:cs="宋体" w:hint="eastAsia"/>
          <w:snapToGrid w:val="0"/>
          <w:sz w:val="24"/>
          <w:szCs w:val="24"/>
          <w:u w:val="single" w:color="0000FF"/>
          <w:lang w:eastAsia="zh-CN"/>
        </w:rPr>
        <w:t>FDA</w:t>
      </w:r>
      <w:r w:rsidR="009C559A">
        <w:rPr>
          <w:rFonts w:ascii="Times New Roman" w:eastAsia="宋体" w:hAnsi="Times New Roman" w:cs="宋体" w:hint="eastAsia"/>
          <w:snapToGrid w:val="0"/>
          <w:sz w:val="24"/>
          <w:szCs w:val="24"/>
          <w:u w:val="single" w:color="0000FF"/>
          <w:lang w:eastAsia="zh-CN"/>
        </w:rPr>
        <w:t>审议</w:t>
      </w:r>
      <w:r w:rsidRPr="005E192C">
        <w:rPr>
          <w:rFonts w:ascii="Times New Roman" w:eastAsia="宋体" w:hAnsi="Times New Roman" w:cs="宋体"/>
          <w:sz w:val="24"/>
          <w:lang w:eastAsia="zh-CN"/>
        </w:rPr>
        <w:t>。</w:t>
      </w:r>
      <w:r w:rsidR="009C559A">
        <w:rPr>
          <w:rFonts w:ascii="Times New Roman" w:eastAsia="宋体" w:hAnsi="Times New Roman" w:cs="宋体" w:hint="eastAsia"/>
          <w:sz w:val="24"/>
          <w:lang w:eastAsia="zh-CN"/>
        </w:rPr>
        <w:t>可</w:t>
      </w:r>
      <w:r w:rsidRPr="005E192C">
        <w:rPr>
          <w:rFonts w:ascii="Times New Roman" w:eastAsia="宋体" w:hAnsi="Times New Roman" w:cs="宋体"/>
          <w:sz w:val="24"/>
          <w:lang w:eastAsia="zh-CN"/>
        </w:rPr>
        <w:t>将书面意见提交至美国食品</w:t>
      </w:r>
      <w:r w:rsidR="00447255" w:rsidRPr="005E192C">
        <w:rPr>
          <w:rFonts w:ascii="Times New Roman" w:eastAsia="宋体" w:hAnsi="Times New Roman" w:cs="宋体"/>
          <w:sz w:val="24"/>
          <w:lang w:eastAsia="zh-CN"/>
        </w:rPr>
        <w:t>药品</w:t>
      </w:r>
      <w:r w:rsidR="00756766">
        <w:rPr>
          <w:rFonts w:ascii="Times New Roman" w:eastAsia="宋体" w:hAnsi="Times New Roman" w:cs="宋体" w:hint="eastAsia"/>
          <w:sz w:val="24"/>
          <w:lang w:eastAsia="zh-CN"/>
        </w:rPr>
        <w:t>监督</w:t>
      </w:r>
      <w:r w:rsidR="00447255" w:rsidRPr="005E192C">
        <w:rPr>
          <w:rFonts w:ascii="Times New Roman" w:eastAsia="宋体" w:hAnsi="Times New Roman" w:cs="宋体"/>
          <w:sz w:val="24"/>
          <w:lang w:eastAsia="zh-CN"/>
        </w:rPr>
        <w:t>管理局</w:t>
      </w:r>
      <w:r w:rsidRPr="005E192C">
        <w:rPr>
          <w:rFonts w:ascii="Times New Roman" w:eastAsia="宋体" w:hAnsi="Times New Roman" w:cs="宋体"/>
          <w:sz w:val="24"/>
          <w:lang w:eastAsia="zh-CN"/>
        </w:rPr>
        <w:t>文档管理工作人员</w:t>
      </w:r>
      <w:r w:rsidR="006A6CAD" w:rsidRPr="006A6CAD">
        <w:rPr>
          <w:rFonts w:ascii="Times New Roman" w:eastAsia="宋体" w:hAnsi="Times New Roman" w:cs="宋体" w:hint="eastAsia"/>
          <w:sz w:val="24"/>
          <w:lang w:eastAsia="zh-CN"/>
        </w:rPr>
        <w:t>，地址为</w:t>
      </w:r>
      <w:r w:rsidR="006A6CAD" w:rsidRPr="006A6CAD">
        <w:rPr>
          <w:rFonts w:ascii="Times New Roman" w:eastAsia="宋体" w:hAnsi="Times New Roman" w:cs="宋体" w:hint="eastAsia"/>
          <w:sz w:val="24"/>
          <w:lang w:eastAsia="zh-CN"/>
        </w:rPr>
        <w:t xml:space="preserve">5630 Fishers Lane, </w:t>
      </w:r>
      <w:r w:rsidR="009C559A" w:rsidRPr="009C559A">
        <w:rPr>
          <w:rFonts w:ascii="Times New Roman" w:eastAsia="宋体" w:hAnsi="Times New Roman" w:cs="宋体"/>
          <w:sz w:val="24"/>
          <w:lang w:eastAsia="zh-CN"/>
        </w:rPr>
        <w:t>Rm. 1061</w:t>
      </w:r>
      <w:r w:rsidR="006A6CAD" w:rsidRPr="006A6CAD">
        <w:rPr>
          <w:rFonts w:ascii="Times New Roman" w:eastAsia="宋体" w:hAnsi="Times New Roman" w:cs="宋体" w:hint="eastAsia"/>
          <w:sz w:val="24"/>
          <w:lang w:eastAsia="zh-CN"/>
        </w:rPr>
        <w:t>, Rockville, MD 20852</w:t>
      </w:r>
      <w:r w:rsidR="006A6CAD" w:rsidRPr="006A6CAD">
        <w:rPr>
          <w:rFonts w:ascii="Times New Roman" w:eastAsia="宋体" w:hAnsi="Times New Roman" w:cs="宋体" w:hint="eastAsia"/>
          <w:sz w:val="24"/>
          <w:lang w:eastAsia="zh-CN"/>
        </w:rPr>
        <w:t>。</w:t>
      </w:r>
      <w:r w:rsidRPr="005E192C">
        <w:rPr>
          <w:rFonts w:ascii="Times New Roman" w:eastAsia="宋体" w:hAnsi="Times New Roman" w:cs="宋体"/>
          <w:sz w:val="24"/>
          <w:lang w:eastAsia="zh-CN"/>
        </w:rPr>
        <w:t>所提交的意见中必须注明《联邦公报》发布的通知中列示的备案编号。</w:t>
      </w:r>
    </w:p>
    <w:p w14:paraId="2321A188" w14:textId="04B08DCC" w:rsidR="00B56F84" w:rsidRPr="005E192C" w:rsidRDefault="002B48DE"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如对</w:t>
      </w:r>
      <w:r w:rsidR="00C94630" w:rsidRPr="005E192C">
        <w:rPr>
          <w:rFonts w:ascii="Times New Roman" w:eastAsia="宋体" w:hAnsi="Times New Roman" w:cs="宋体"/>
          <w:sz w:val="24"/>
          <w:lang w:eastAsia="zh-CN"/>
        </w:rPr>
        <w:t>本文件</w:t>
      </w:r>
      <w:r w:rsidRPr="005E192C">
        <w:rPr>
          <w:rFonts w:ascii="Times New Roman" w:eastAsia="宋体" w:hAnsi="Times New Roman" w:cs="宋体"/>
          <w:sz w:val="24"/>
          <w:lang w:eastAsia="zh-CN"/>
        </w:rPr>
        <w:t>草案</w:t>
      </w:r>
      <w:r>
        <w:rPr>
          <w:rFonts w:ascii="Times New Roman" w:eastAsia="宋体" w:hAnsi="Times New Roman" w:cs="宋体"/>
          <w:sz w:val="24"/>
          <w:lang w:eastAsia="zh-CN"/>
        </w:rPr>
        <w:t>有任何</w:t>
      </w:r>
      <w:r w:rsidR="00C94630" w:rsidRPr="005E192C">
        <w:rPr>
          <w:rFonts w:ascii="Times New Roman" w:eastAsia="宋体" w:hAnsi="Times New Roman" w:cs="宋体"/>
          <w:sz w:val="24"/>
          <w:lang w:eastAsia="zh-CN"/>
        </w:rPr>
        <w:t>疑问，可</w:t>
      </w:r>
      <w:r>
        <w:rPr>
          <w:rFonts w:ascii="Times New Roman" w:eastAsia="宋体" w:hAnsi="Times New Roman" w:cs="宋体"/>
          <w:sz w:val="24"/>
          <w:lang w:eastAsia="zh-CN"/>
        </w:rPr>
        <w:t>发送电子邮件至</w:t>
      </w:r>
      <w:hyperlink r:id="rId9">
        <w:r w:rsidRPr="005E192C">
          <w:rPr>
            <w:rFonts w:ascii="Times New Roman" w:eastAsia="宋体" w:hAnsi="Times New Roman" w:cs="宋体"/>
            <w:snapToGrid w:val="0"/>
            <w:sz w:val="24"/>
            <w:szCs w:val="24"/>
            <w:u w:val="single" w:color="0000FF"/>
            <w:lang w:eastAsia="zh-CN"/>
          </w:rPr>
          <w:t>CDER-OSIS-</w:t>
        </w:r>
      </w:hyperlink>
      <w:hyperlink r:id="rId10">
        <w:r w:rsidRPr="005E192C">
          <w:rPr>
            <w:rFonts w:ascii="Times New Roman" w:eastAsia="宋体" w:hAnsi="Times New Roman" w:cs="宋体"/>
            <w:snapToGrid w:val="0"/>
            <w:sz w:val="24"/>
            <w:szCs w:val="24"/>
            <w:u w:val="single" w:color="0000FF"/>
            <w:lang w:eastAsia="zh-CN"/>
          </w:rPr>
          <w:t>GLP@fda.hhs.gov</w:t>
        </w:r>
      </w:hyperlink>
      <w:r w:rsidR="005801D7">
        <w:rPr>
          <w:rFonts w:ascii="Times New Roman" w:eastAsia="宋体" w:hAnsi="Times New Roman" w:cs="宋体"/>
          <w:snapToGrid w:val="0"/>
          <w:sz w:val="24"/>
          <w:szCs w:val="24"/>
          <w:u w:val="single" w:color="0000FF"/>
          <w:lang w:eastAsia="zh-CN"/>
        </w:rPr>
        <w:t>或致电</w:t>
      </w:r>
      <w:r w:rsidR="005801D7" w:rsidRPr="005E192C">
        <w:rPr>
          <w:rFonts w:ascii="Times New Roman" w:eastAsia="宋体" w:hAnsi="Times New Roman" w:cs="宋体"/>
          <w:sz w:val="24"/>
          <w:lang w:eastAsia="zh-CN"/>
        </w:rPr>
        <w:t>240-402-6002</w:t>
      </w:r>
      <w:r w:rsidR="00C94630" w:rsidRPr="005E192C">
        <w:rPr>
          <w:rFonts w:ascii="Times New Roman" w:eastAsia="宋体" w:hAnsi="Times New Roman" w:cs="宋体"/>
          <w:sz w:val="24"/>
          <w:lang w:eastAsia="zh-CN"/>
        </w:rPr>
        <w:t>联系（</w:t>
      </w:r>
      <w:r w:rsidR="00C94630" w:rsidRPr="005E192C">
        <w:rPr>
          <w:rFonts w:ascii="Times New Roman" w:eastAsia="宋体" w:hAnsi="Times New Roman" w:cs="宋体"/>
          <w:sz w:val="24"/>
          <w:lang w:eastAsia="zh-CN"/>
        </w:rPr>
        <w:t>CDER</w:t>
      </w:r>
      <w:r w:rsidR="00C94630" w:rsidRPr="005E192C">
        <w:rPr>
          <w:rFonts w:ascii="Times New Roman" w:eastAsia="宋体" w:hAnsi="Times New Roman" w:cs="宋体"/>
          <w:sz w:val="24"/>
          <w:lang w:eastAsia="zh-CN"/>
        </w:rPr>
        <w:t>）研究完整性和监督办公室，（</w:t>
      </w:r>
      <w:r w:rsidR="00C94630" w:rsidRPr="005E192C">
        <w:rPr>
          <w:rFonts w:ascii="Times New Roman" w:eastAsia="宋体" w:hAnsi="Times New Roman" w:cs="宋体"/>
          <w:sz w:val="24"/>
          <w:lang w:eastAsia="zh-CN"/>
        </w:rPr>
        <w:t>CBER</w:t>
      </w:r>
      <w:r w:rsidR="00C94630" w:rsidRPr="005E192C">
        <w:rPr>
          <w:rFonts w:ascii="Times New Roman" w:eastAsia="宋体" w:hAnsi="Times New Roman" w:cs="宋体"/>
          <w:sz w:val="24"/>
          <w:lang w:eastAsia="zh-CN"/>
        </w:rPr>
        <w:t>）</w:t>
      </w:r>
      <w:r w:rsidR="00447255" w:rsidRPr="005E192C">
        <w:rPr>
          <w:rFonts w:ascii="Times New Roman" w:eastAsia="宋体" w:hAnsi="Times New Roman" w:cs="宋体"/>
          <w:sz w:val="24"/>
          <w:lang w:eastAsia="zh-CN"/>
        </w:rPr>
        <w:t>交流、外联</w:t>
      </w:r>
      <w:r w:rsidR="00C94630" w:rsidRPr="005E192C">
        <w:rPr>
          <w:rFonts w:ascii="Times New Roman" w:eastAsia="宋体" w:hAnsi="Times New Roman" w:cs="宋体"/>
          <w:sz w:val="24"/>
          <w:lang w:eastAsia="zh-CN"/>
        </w:rPr>
        <w:t>和发展办公室（</w:t>
      </w:r>
      <w:r w:rsidR="001D3B59">
        <w:rPr>
          <w:rFonts w:ascii="Times New Roman" w:eastAsia="宋体" w:hAnsi="Times New Roman" w:cs="宋体"/>
          <w:sz w:val="24"/>
          <w:lang w:eastAsia="zh-CN"/>
        </w:rPr>
        <w:t>电话：</w:t>
      </w:r>
      <w:r w:rsidR="00C94630" w:rsidRPr="005E192C">
        <w:rPr>
          <w:rFonts w:ascii="Times New Roman" w:eastAsia="宋体" w:hAnsi="Times New Roman" w:cs="宋体"/>
          <w:sz w:val="24"/>
          <w:lang w:eastAsia="zh-CN"/>
        </w:rPr>
        <w:t>800-835-4709</w:t>
      </w:r>
      <w:r w:rsidR="00C94630" w:rsidRPr="005E192C">
        <w:rPr>
          <w:rFonts w:ascii="Times New Roman" w:eastAsia="宋体" w:hAnsi="Times New Roman" w:cs="宋体"/>
          <w:sz w:val="24"/>
          <w:lang w:eastAsia="zh-CN"/>
        </w:rPr>
        <w:t>或</w:t>
      </w:r>
      <w:r w:rsidR="00C94630" w:rsidRPr="005E192C">
        <w:rPr>
          <w:rFonts w:ascii="Times New Roman" w:eastAsia="宋体" w:hAnsi="Times New Roman" w:cs="宋体"/>
          <w:sz w:val="24"/>
          <w:lang w:eastAsia="zh-CN"/>
        </w:rPr>
        <w:t>240-402-8010</w:t>
      </w:r>
      <w:r w:rsidR="00C94630" w:rsidRPr="005E192C">
        <w:rPr>
          <w:rFonts w:ascii="Times New Roman" w:eastAsia="宋体" w:hAnsi="Times New Roman" w:cs="宋体"/>
          <w:sz w:val="24"/>
          <w:lang w:eastAsia="zh-CN"/>
        </w:rPr>
        <w:t>），（</w:t>
      </w:r>
      <w:r w:rsidR="00C94630" w:rsidRPr="005E192C">
        <w:rPr>
          <w:rFonts w:ascii="Times New Roman" w:eastAsia="宋体" w:hAnsi="Times New Roman" w:cs="宋体"/>
          <w:sz w:val="24"/>
          <w:lang w:eastAsia="zh-CN"/>
        </w:rPr>
        <w:t>CDRH</w:t>
      </w:r>
      <w:r w:rsidR="00C94630" w:rsidRPr="005E192C">
        <w:rPr>
          <w:rFonts w:ascii="Times New Roman" w:eastAsia="宋体" w:hAnsi="Times New Roman" w:cs="宋体"/>
          <w:sz w:val="24"/>
          <w:lang w:eastAsia="zh-CN"/>
        </w:rPr>
        <w:t>）器械评价办公室（</w:t>
      </w:r>
      <w:r w:rsidR="001D3B59">
        <w:rPr>
          <w:rFonts w:ascii="Times New Roman" w:eastAsia="宋体" w:hAnsi="Times New Roman" w:cs="宋体"/>
          <w:sz w:val="24"/>
          <w:lang w:eastAsia="zh-CN"/>
        </w:rPr>
        <w:t>电话：</w:t>
      </w:r>
      <w:r w:rsidR="00C94630" w:rsidRPr="005E192C">
        <w:rPr>
          <w:rFonts w:ascii="Times New Roman" w:eastAsia="宋体" w:hAnsi="Times New Roman" w:cs="宋体"/>
          <w:sz w:val="24"/>
          <w:lang w:eastAsia="zh-CN"/>
        </w:rPr>
        <w:t>301-796-5550</w:t>
      </w:r>
      <w:r w:rsidR="00C94630" w:rsidRPr="005E192C">
        <w:rPr>
          <w:rFonts w:ascii="Times New Roman" w:eastAsia="宋体" w:hAnsi="Times New Roman" w:cs="宋体"/>
          <w:sz w:val="24"/>
          <w:lang w:eastAsia="zh-CN"/>
        </w:rPr>
        <w:t>），（</w:t>
      </w:r>
      <w:r w:rsidR="00C94630" w:rsidRPr="005E192C">
        <w:rPr>
          <w:rFonts w:ascii="Times New Roman" w:eastAsia="宋体" w:hAnsi="Times New Roman" w:cs="宋体"/>
          <w:sz w:val="24"/>
          <w:lang w:eastAsia="zh-CN"/>
        </w:rPr>
        <w:t>CVM</w:t>
      </w:r>
      <w:r w:rsidR="00C94630" w:rsidRPr="005E192C">
        <w:rPr>
          <w:rFonts w:ascii="Times New Roman" w:eastAsia="宋体" w:hAnsi="Times New Roman" w:cs="宋体"/>
          <w:sz w:val="24"/>
          <w:lang w:eastAsia="zh-CN"/>
        </w:rPr>
        <w:t>）新动物药物评价办公室（</w:t>
      </w:r>
      <w:r w:rsidR="009951F5">
        <w:rPr>
          <w:rFonts w:ascii="Times New Roman" w:eastAsia="宋体" w:hAnsi="Times New Roman" w:cs="宋体"/>
          <w:sz w:val="24"/>
          <w:lang w:eastAsia="zh-CN"/>
        </w:rPr>
        <w:t>电子邮箱：</w:t>
      </w:r>
      <w:hyperlink r:id="rId11">
        <w:r w:rsidR="00C94630" w:rsidRPr="005E192C">
          <w:rPr>
            <w:rFonts w:ascii="Times New Roman" w:eastAsia="宋体" w:hAnsi="Times New Roman" w:cs="宋体"/>
            <w:snapToGrid w:val="0"/>
            <w:sz w:val="24"/>
            <w:szCs w:val="24"/>
            <w:u w:val="single" w:color="0000FF"/>
            <w:lang w:eastAsia="zh-CN"/>
          </w:rPr>
          <w:t>CVMONADEPolicyTeam2@cvm.fda.gov</w:t>
        </w:r>
      </w:hyperlink>
      <w:r w:rsidR="00C94630" w:rsidRPr="005E192C">
        <w:rPr>
          <w:rFonts w:ascii="Times New Roman" w:eastAsia="宋体" w:hAnsi="Times New Roman" w:cs="宋体"/>
          <w:sz w:val="24"/>
          <w:lang w:eastAsia="zh-CN"/>
        </w:rPr>
        <w:t>），（</w:t>
      </w:r>
      <w:r w:rsidR="00C94630" w:rsidRPr="005E192C">
        <w:rPr>
          <w:rFonts w:ascii="Times New Roman" w:eastAsia="宋体" w:hAnsi="Times New Roman" w:cs="宋体"/>
          <w:sz w:val="24"/>
          <w:lang w:eastAsia="zh-CN"/>
        </w:rPr>
        <w:t>CFSAN</w:t>
      </w:r>
      <w:r w:rsidR="00C94630" w:rsidRPr="005E192C">
        <w:rPr>
          <w:rFonts w:ascii="Times New Roman" w:eastAsia="宋体" w:hAnsi="Times New Roman" w:cs="宋体"/>
          <w:sz w:val="24"/>
          <w:lang w:eastAsia="zh-CN"/>
        </w:rPr>
        <w:t>）中心主管办公室（</w:t>
      </w:r>
      <w:r w:rsidR="009951F5">
        <w:rPr>
          <w:rFonts w:ascii="Times New Roman" w:eastAsia="宋体" w:hAnsi="Times New Roman" w:cs="宋体"/>
          <w:sz w:val="24"/>
          <w:lang w:eastAsia="zh-CN"/>
        </w:rPr>
        <w:t>电子邮箱：</w:t>
      </w:r>
      <w:r w:rsidR="009951F5">
        <w:rPr>
          <w:rFonts w:ascii="Times New Roman" w:eastAsia="宋体" w:hAnsi="Times New Roman" w:cs="宋体" w:hint="eastAsia"/>
          <w:sz w:val="24"/>
          <w:lang w:eastAsia="zh-CN"/>
        </w:rPr>
        <w:t xml:space="preserve"> </w:t>
      </w:r>
      <w:hyperlink r:id="rId12">
        <w:r w:rsidR="00C94630" w:rsidRPr="005E192C">
          <w:rPr>
            <w:rFonts w:ascii="Times New Roman" w:eastAsia="宋体" w:hAnsi="Times New Roman" w:cs="宋体"/>
            <w:snapToGrid w:val="0"/>
            <w:sz w:val="24"/>
            <w:szCs w:val="24"/>
            <w:u w:val="single" w:color="0000FF"/>
            <w:lang w:eastAsia="zh-CN"/>
          </w:rPr>
          <w:t>CFSANBIMO@fda.hhs.gov</w:t>
        </w:r>
      </w:hyperlink>
      <w:r w:rsidR="00C94630" w:rsidRPr="005E192C">
        <w:rPr>
          <w:rFonts w:ascii="Times New Roman" w:eastAsia="宋体" w:hAnsi="Times New Roman" w:cs="宋体"/>
          <w:sz w:val="24"/>
          <w:lang w:eastAsia="zh-CN"/>
        </w:rPr>
        <w:t>），（</w:t>
      </w:r>
      <w:r w:rsidR="00C94630" w:rsidRPr="005E192C">
        <w:rPr>
          <w:rFonts w:ascii="Times New Roman" w:eastAsia="宋体" w:hAnsi="Times New Roman" w:cs="宋体"/>
          <w:sz w:val="24"/>
          <w:lang w:eastAsia="zh-CN"/>
        </w:rPr>
        <w:t>CTP</w:t>
      </w:r>
      <w:r w:rsidR="00C94630" w:rsidRPr="005E192C">
        <w:rPr>
          <w:rFonts w:ascii="Times New Roman" w:eastAsia="宋体" w:hAnsi="Times New Roman" w:cs="宋体"/>
          <w:sz w:val="24"/>
          <w:lang w:eastAsia="zh-CN"/>
        </w:rPr>
        <w:t>）小企业援助办公室（</w:t>
      </w:r>
      <w:r w:rsidR="009951F5">
        <w:rPr>
          <w:rFonts w:ascii="Times New Roman" w:eastAsia="宋体" w:hAnsi="Times New Roman" w:cs="宋体"/>
          <w:sz w:val="24"/>
          <w:lang w:eastAsia="zh-CN"/>
        </w:rPr>
        <w:t>电话：</w:t>
      </w:r>
      <w:r w:rsidR="00C94630" w:rsidRPr="005E192C">
        <w:rPr>
          <w:rFonts w:ascii="Times New Roman" w:eastAsia="宋体" w:hAnsi="Times New Roman" w:cs="宋体"/>
          <w:sz w:val="24"/>
          <w:lang w:eastAsia="zh-CN"/>
        </w:rPr>
        <w:t>1-877-287-1373</w:t>
      </w:r>
      <w:r w:rsidR="00C94630" w:rsidRPr="005E192C">
        <w:rPr>
          <w:rFonts w:ascii="Times New Roman" w:eastAsia="宋体" w:hAnsi="Times New Roman" w:cs="宋体"/>
          <w:sz w:val="24"/>
          <w:lang w:eastAsia="zh-CN"/>
        </w:rPr>
        <w:t>）。</w:t>
      </w:r>
    </w:p>
    <w:p w14:paraId="5C3E9374" w14:textId="77777777" w:rsidR="00650DDD" w:rsidRPr="005E192C" w:rsidRDefault="00B57F95" w:rsidP="00E303D2">
      <w:pPr>
        <w:adjustRightInd w:val="0"/>
        <w:snapToGrid w:val="0"/>
        <w:spacing w:beforeLines="50" w:before="120" w:line="300" w:lineRule="auto"/>
        <w:jc w:val="center"/>
        <w:rPr>
          <w:rFonts w:ascii="Times New Roman" w:hAnsi="Times New Roman" w:cs="Times New Roman"/>
          <w:b/>
          <w:snapToGrid w:val="0"/>
          <w:sz w:val="24"/>
          <w:szCs w:val="24"/>
          <w:lang w:eastAsia="zh-CN"/>
        </w:rPr>
      </w:pPr>
      <w:r w:rsidRPr="005E192C">
        <w:rPr>
          <w:rFonts w:ascii="Times New Roman" w:eastAsia="宋体" w:hAnsi="Times New Roman" w:cs="宋体"/>
          <w:b/>
          <w:sz w:val="24"/>
          <w:lang w:eastAsia="zh-CN"/>
        </w:rPr>
        <w:t>美国卫生与公共服务部</w:t>
      </w:r>
    </w:p>
    <w:p w14:paraId="67ABBA0E" w14:textId="43BBC936" w:rsidR="00B56F84" w:rsidRPr="005E192C" w:rsidRDefault="00C94630" w:rsidP="00E303D2">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美国食品</w:t>
      </w:r>
      <w:r w:rsidR="00447255" w:rsidRPr="005E192C">
        <w:rPr>
          <w:rFonts w:ascii="Times New Roman" w:eastAsia="宋体" w:hAnsi="Times New Roman" w:cs="宋体"/>
          <w:b/>
          <w:sz w:val="24"/>
          <w:lang w:eastAsia="zh-CN"/>
        </w:rPr>
        <w:t>药品</w:t>
      </w:r>
      <w:r w:rsidR="00756766">
        <w:rPr>
          <w:rFonts w:ascii="Times New Roman" w:eastAsia="宋体" w:hAnsi="Times New Roman" w:cs="宋体"/>
          <w:b/>
          <w:sz w:val="24"/>
          <w:lang w:eastAsia="zh-CN"/>
        </w:rPr>
        <w:t>监督</w:t>
      </w:r>
      <w:r w:rsidR="00447255" w:rsidRPr="005E192C">
        <w:rPr>
          <w:rFonts w:ascii="Times New Roman" w:eastAsia="宋体" w:hAnsi="Times New Roman" w:cs="宋体"/>
          <w:b/>
          <w:sz w:val="24"/>
          <w:lang w:eastAsia="zh-CN"/>
        </w:rPr>
        <w:t>管理局</w:t>
      </w:r>
    </w:p>
    <w:p w14:paraId="420DA106" w14:textId="77777777" w:rsidR="00650DDD" w:rsidRPr="005E192C" w:rsidRDefault="00C94630" w:rsidP="00E303D2">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药品评价与研究中心（</w:t>
      </w:r>
      <w:r w:rsidRPr="005E192C">
        <w:rPr>
          <w:rFonts w:ascii="Times New Roman" w:eastAsia="宋体" w:hAnsi="Times New Roman" w:cs="宋体"/>
          <w:b/>
          <w:sz w:val="24"/>
          <w:lang w:eastAsia="zh-CN"/>
        </w:rPr>
        <w:t>CDER</w:t>
      </w:r>
      <w:r w:rsidRPr="005E192C">
        <w:rPr>
          <w:rFonts w:ascii="Times New Roman" w:eastAsia="宋体" w:hAnsi="Times New Roman" w:cs="宋体"/>
          <w:b/>
          <w:sz w:val="24"/>
          <w:lang w:eastAsia="zh-CN"/>
        </w:rPr>
        <w:t>）</w:t>
      </w:r>
    </w:p>
    <w:p w14:paraId="1FE73946" w14:textId="4FCCEF2E" w:rsidR="00650DDD" w:rsidRPr="005E192C" w:rsidRDefault="00C94630" w:rsidP="00E303D2">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生物制品评价</w:t>
      </w:r>
      <w:r w:rsidR="008B1E5D">
        <w:rPr>
          <w:rFonts w:ascii="Times New Roman" w:eastAsia="宋体" w:hAnsi="Times New Roman" w:cs="宋体"/>
          <w:b/>
          <w:sz w:val="24"/>
          <w:lang w:eastAsia="zh-CN"/>
        </w:rPr>
        <w:t>与</w:t>
      </w:r>
      <w:r w:rsidRPr="005E192C">
        <w:rPr>
          <w:rFonts w:ascii="Times New Roman" w:eastAsia="宋体" w:hAnsi="Times New Roman" w:cs="宋体"/>
          <w:b/>
          <w:sz w:val="24"/>
          <w:lang w:eastAsia="zh-CN"/>
        </w:rPr>
        <w:t>研究中心（</w:t>
      </w:r>
      <w:r w:rsidRPr="005E192C">
        <w:rPr>
          <w:rFonts w:ascii="Times New Roman" w:eastAsia="宋体" w:hAnsi="Times New Roman" w:cs="宋体"/>
          <w:b/>
          <w:sz w:val="24"/>
          <w:lang w:eastAsia="zh-CN"/>
        </w:rPr>
        <w:t>CBER</w:t>
      </w:r>
      <w:r w:rsidRPr="005E192C">
        <w:rPr>
          <w:rFonts w:ascii="Times New Roman" w:eastAsia="宋体" w:hAnsi="Times New Roman" w:cs="宋体"/>
          <w:b/>
          <w:sz w:val="24"/>
          <w:lang w:eastAsia="zh-CN"/>
        </w:rPr>
        <w:t>）</w:t>
      </w:r>
    </w:p>
    <w:p w14:paraId="048D00F5" w14:textId="137E95AA" w:rsidR="00650DDD" w:rsidRPr="005E192C" w:rsidRDefault="00756766" w:rsidP="00E303D2">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Pr>
          <w:rFonts w:ascii="Times New Roman" w:eastAsia="宋体" w:hAnsi="Times New Roman" w:cs="宋体"/>
          <w:b/>
          <w:sz w:val="24"/>
          <w:lang w:eastAsia="zh-CN"/>
        </w:rPr>
        <w:t>医疗</w:t>
      </w:r>
      <w:r w:rsidR="009D0902" w:rsidRPr="005E192C">
        <w:rPr>
          <w:rFonts w:ascii="Times New Roman" w:eastAsia="宋体" w:hAnsi="Times New Roman" w:cs="宋体"/>
          <w:b/>
          <w:sz w:val="24"/>
          <w:lang w:eastAsia="zh-CN"/>
        </w:rPr>
        <w:t>器械和</w:t>
      </w:r>
      <w:r>
        <w:rPr>
          <w:rFonts w:ascii="Times New Roman" w:eastAsia="宋体" w:hAnsi="Times New Roman" w:cs="宋体"/>
          <w:b/>
          <w:sz w:val="24"/>
          <w:lang w:eastAsia="zh-CN"/>
        </w:rPr>
        <w:t>辐射健康</w:t>
      </w:r>
      <w:r w:rsidR="009D0902" w:rsidRPr="005E192C">
        <w:rPr>
          <w:rFonts w:ascii="Times New Roman" w:eastAsia="宋体" w:hAnsi="Times New Roman" w:cs="宋体"/>
          <w:b/>
          <w:sz w:val="24"/>
          <w:lang w:eastAsia="zh-CN"/>
        </w:rPr>
        <w:t>中心</w:t>
      </w:r>
      <w:r w:rsidR="00C94630" w:rsidRPr="005E192C">
        <w:rPr>
          <w:rFonts w:ascii="Times New Roman" w:eastAsia="宋体" w:hAnsi="Times New Roman" w:cs="宋体"/>
          <w:b/>
          <w:sz w:val="24"/>
          <w:lang w:eastAsia="zh-CN"/>
        </w:rPr>
        <w:t>（</w:t>
      </w:r>
      <w:r w:rsidR="00C94630" w:rsidRPr="005E192C">
        <w:rPr>
          <w:rFonts w:ascii="Times New Roman" w:eastAsia="宋体" w:hAnsi="Times New Roman" w:cs="宋体"/>
          <w:b/>
          <w:sz w:val="24"/>
          <w:lang w:eastAsia="zh-CN"/>
        </w:rPr>
        <w:t>CDRH</w:t>
      </w:r>
      <w:r w:rsidR="00C94630" w:rsidRPr="005E192C">
        <w:rPr>
          <w:rFonts w:ascii="Times New Roman" w:eastAsia="宋体" w:hAnsi="Times New Roman" w:cs="宋体"/>
          <w:b/>
          <w:sz w:val="24"/>
          <w:lang w:eastAsia="zh-CN"/>
        </w:rPr>
        <w:t>）</w:t>
      </w:r>
    </w:p>
    <w:p w14:paraId="306A7845" w14:textId="77777777" w:rsidR="00B56F84" w:rsidRPr="005E192C" w:rsidRDefault="00C94630" w:rsidP="00E303D2">
      <w:pPr>
        <w:adjustRightInd w:val="0"/>
        <w:snapToGrid w:val="0"/>
        <w:spacing w:beforeLines="50" w:before="120" w:line="300" w:lineRule="auto"/>
        <w:jc w:val="center"/>
        <w:rPr>
          <w:rFonts w:ascii="Times New Roman" w:hAnsi="Times New Roman" w:cs="Times New Roman"/>
          <w:b/>
          <w:snapToGrid w:val="0"/>
          <w:sz w:val="24"/>
          <w:szCs w:val="24"/>
          <w:lang w:eastAsia="zh-CN"/>
        </w:rPr>
      </w:pPr>
      <w:r w:rsidRPr="005E192C">
        <w:rPr>
          <w:rFonts w:ascii="Times New Roman" w:eastAsia="宋体" w:hAnsi="Times New Roman" w:cs="宋体"/>
          <w:b/>
          <w:sz w:val="24"/>
          <w:lang w:eastAsia="zh-CN"/>
        </w:rPr>
        <w:t>兽药中心（</w:t>
      </w:r>
      <w:r w:rsidRPr="005E192C">
        <w:rPr>
          <w:rFonts w:ascii="Times New Roman" w:eastAsia="宋体" w:hAnsi="Times New Roman" w:cs="宋体"/>
          <w:b/>
          <w:sz w:val="24"/>
          <w:lang w:eastAsia="zh-CN"/>
        </w:rPr>
        <w:t>CVM</w:t>
      </w:r>
      <w:r w:rsidRPr="005E192C">
        <w:rPr>
          <w:rFonts w:ascii="Times New Roman" w:eastAsia="宋体" w:hAnsi="Times New Roman" w:cs="宋体"/>
          <w:b/>
          <w:sz w:val="24"/>
          <w:lang w:eastAsia="zh-CN"/>
        </w:rPr>
        <w:t>）</w:t>
      </w:r>
    </w:p>
    <w:p w14:paraId="7F94AA8E" w14:textId="77777777" w:rsidR="00650DDD" w:rsidRPr="005E192C" w:rsidRDefault="00C94630" w:rsidP="00E303D2">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食品安全与应用营养学中心（</w:t>
      </w:r>
      <w:r w:rsidRPr="005E192C">
        <w:rPr>
          <w:rFonts w:ascii="Times New Roman" w:eastAsia="宋体" w:hAnsi="Times New Roman" w:cs="宋体"/>
          <w:b/>
          <w:sz w:val="24"/>
          <w:lang w:eastAsia="zh-CN"/>
        </w:rPr>
        <w:t>CFSAN</w:t>
      </w:r>
      <w:r w:rsidRPr="005E192C">
        <w:rPr>
          <w:rFonts w:ascii="Times New Roman" w:eastAsia="宋体" w:hAnsi="Times New Roman" w:cs="宋体"/>
          <w:b/>
          <w:sz w:val="24"/>
          <w:lang w:eastAsia="zh-CN"/>
        </w:rPr>
        <w:t>）</w:t>
      </w:r>
    </w:p>
    <w:p w14:paraId="05601255" w14:textId="77777777" w:rsidR="00B56F84" w:rsidRPr="005E192C" w:rsidRDefault="00C94630" w:rsidP="00E303D2">
      <w:pPr>
        <w:adjustRightInd w:val="0"/>
        <w:snapToGrid w:val="0"/>
        <w:spacing w:beforeLines="50" w:before="120" w:line="300" w:lineRule="auto"/>
        <w:jc w:val="center"/>
        <w:rPr>
          <w:rFonts w:ascii="Times New Roman" w:hAnsi="Times New Roman" w:cs="Times New Roman"/>
          <w:b/>
          <w:snapToGrid w:val="0"/>
          <w:sz w:val="24"/>
          <w:szCs w:val="24"/>
          <w:lang w:eastAsia="zh-CN"/>
        </w:rPr>
      </w:pPr>
      <w:r w:rsidRPr="005E192C">
        <w:rPr>
          <w:rFonts w:ascii="Times New Roman" w:eastAsia="宋体" w:hAnsi="Times New Roman" w:cs="宋体"/>
          <w:b/>
          <w:sz w:val="24"/>
          <w:lang w:eastAsia="zh-CN"/>
        </w:rPr>
        <w:t>烟草制品管理中心（</w:t>
      </w:r>
      <w:r w:rsidRPr="005E192C">
        <w:rPr>
          <w:rFonts w:ascii="Times New Roman" w:eastAsia="宋体" w:hAnsi="Times New Roman" w:cs="宋体"/>
          <w:b/>
          <w:sz w:val="24"/>
          <w:lang w:eastAsia="zh-CN"/>
        </w:rPr>
        <w:t>CTP</w:t>
      </w:r>
      <w:r w:rsidRPr="005E192C">
        <w:rPr>
          <w:rFonts w:ascii="Times New Roman" w:eastAsia="宋体" w:hAnsi="Times New Roman" w:cs="宋体"/>
          <w:b/>
          <w:sz w:val="24"/>
          <w:lang w:eastAsia="zh-CN"/>
        </w:rPr>
        <w:t>）</w:t>
      </w:r>
    </w:p>
    <w:p w14:paraId="51AC0D63" w14:textId="77777777" w:rsidR="00650DDD" w:rsidRPr="005E192C" w:rsidRDefault="00C94630" w:rsidP="00E303D2">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2019</w:t>
      </w:r>
      <w:r w:rsidRPr="005E192C">
        <w:rPr>
          <w:rFonts w:ascii="Times New Roman" w:eastAsia="宋体" w:hAnsi="Times New Roman" w:cs="宋体"/>
          <w:b/>
          <w:sz w:val="24"/>
          <w:lang w:eastAsia="zh-CN"/>
        </w:rPr>
        <w:t>年</w:t>
      </w:r>
      <w:r w:rsidRPr="005E192C">
        <w:rPr>
          <w:rFonts w:ascii="Times New Roman" w:eastAsia="宋体" w:hAnsi="Times New Roman" w:cs="宋体"/>
          <w:b/>
          <w:sz w:val="24"/>
          <w:lang w:eastAsia="zh-CN"/>
        </w:rPr>
        <w:t>7</w:t>
      </w:r>
      <w:r w:rsidRPr="005E192C">
        <w:rPr>
          <w:rFonts w:ascii="Times New Roman" w:eastAsia="宋体" w:hAnsi="Times New Roman" w:cs="宋体"/>
          <w:b/>
          <w:sz w:val="24"/>
          <w:lang w:eastAsia="zh-CN"/>
        </w:rPr>
        <w:t>月</w:t>
      </w:r>
    </w:p>
    <w:p w14:paraId="508A65E2" w14:textId="77777777" w:rsidR="00F2792F" w:rsidRPr="005E192C" w:rsidRDefault="00C94630" w:rsidP="00B57F95">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药理学</w:t>
      </w:r>
      <w:r w:rsidRPr="005E192C">
        <w:rPr>
          <w:rFonts w:ascii="Times New Roman" w:eastAsia="宋体" w:hAnsi="Times New Roman" w:cs="宋体"/>
          <w:b/>
          <w:sz w:val="24"/>
          <w:lang w:eastAsia="zh-CN"/>
        </w:rPr>
        <w:t>/</w:t>
      </w:r>
      <w:r w:rsidRPr="005E192C">
        <w:rPr>
          <w:rFonts w:ascii="Times New Roman" w:eastAsia="宋体" w:hAnsi="Times New Roman" w:cs="宋体"/>
          <w:b/>
          <w:sz w:val="24"/>
          <w:lang w:eastAsia="zh-CN"/>
        </w:rPr>
        <w:t>毒理学</w:t>
      </w:r>
    </w:p>
    <w:p w14:paraId="68735D8D" w14:textId="77777777" w:rsidR="00F2792F" w:rsidRPr="005E192C" w:rsidRDefault="00F2792F" w:rsidP="00E303D2">
      <w:pPr>
        <w:pBdr>
          <w:bottom w:val="single" w:sz="24" w:space="1" w:color="auto"/>
        </w:pBdr>
        <w:adjustRightInd w:val="0"/>
        <w:snapToGrid w:val="0"/>
        <w:spacing w:beforeLines="50" w:before="120" w:line="300" w:lineRule="auto"/>
        <w:rPr>
          <w:rFonts w:ascii="Times New Roman" w:hAnsi="Times New Roman" w:cs="Times New Roman"/>
          <w:snapToGrid w:val="0"/>
          <w:sz w:val="24"/>
          <w:szCs w:val="24"/>
          <w:lang w:eastAsia="zh-CN"/>
        </w:rPr>
      </w:pPr>
    </w:p>
    <w:p w14:paraId="2CD8CAE2" w14:textId="77777777" w:rsidR="00650DDD" w:rsidRPr="005E192C" w:rsidRDefault="00650DDD">
      <w:pPr>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br w:type="page"/>
      </w:r>
    </w:p>
    <w:p w14:paraId="13EBFFB8" w14:textId="21B6DC4F" w:rsidR="00650DDD" w:rsidRPr="005E192C" w:rsidRDefault="00650DDD" w:rsidP="00BE6EBE">
      <w:pPr>
        <w:adjustRightInd w:val="0"/>
        <w:snapToGrid w:val="0"/>
        <w:spacing w:beforeLines="10" w:before="24" w:line="300" w:lineRule="auto"/>
        <w:jc w:val="center"/>
        <w:rPr>
          <w:rFonts w:ascii="Times New Roman" w:hAnsi="Times New Roman" w:cs="Times New Roman"/>
          <w:b/>
          <w:snapToGrid w:val="0"/>
          <w:sz w:val="44"/>
          <w:szCs w:val="44"/>
          <w:lang w:eastAsia="zh-CN"/>
        </w:rPr>
      </w:pPr>
      <w:r w:rsidRPr="005E192C">
        <w:rPr>
          <w:rFonts w:ascii="Times New Roman" w:eastAsia="宋体" w:hAnsi="Times New Roman" w:cs="宋体"/>
          <w:b/>
          <w:sz w:val="44"/>
          <w:lang w:eastAsia="zh-CN"/>
        </w:rPr>
        <w:lastRenderedPageBreak/>
        <w:t>非临床毒理学研究中的病理学</w:t>
      </w:r>
      <w:r w:rsidR="005671DB">
        <w:rPr>
          <w:rFonts w:ascii="Times New Roman" w:eastAsia="宋体" w:hAnsi="Times New Roman" w:cs="宋体"/>
          <w:b/>
          <w:sz w:val="44"/>
          <w:lang w:eastAsia="zh-CN"/>
        </w:rPr>
        <w:t>同行评审</w:t>
      </w:r>
      <w:r w:rsidRPr="005E192C">
        <w:rPr>
          <w:rFonts w:ascii="Times New Roman" w:eastAsia="宋体" w:hAnsi="Times New Roman" w:cs="宋体"/>
          <w:b/>
          <w:sz w:val="44"/>
          <w:lang w:eastAsia="zh-CN"/>
        </w:rPr>
        <w:t>：</w:t>
      </w:r>
      <w:r w:rsidR="00966C19" w:rsidRPr="005E192C">
        <w:rPr>
          <w:rFonts w:ascii="Times New Roman" w:eastAsia="宋体" w:hAnsi="Times New Roman" w:cs="宋体" w:hint="eastAsia"/>
          <w:b/>
          <w:sz w:val="44"/>
          <w:lang w:eastAsia="zh-CN"/>
        </w:rPr>
        <w:br/>
      </w:r>
      <w:r w:rsidRPr="005E192C">
        <w:rPr>
          <w:rFonts w:ascii="Times New Roman" w:eastAsia="宋体" w:hAnsi="Times New Roman" w:cs="宋体"/>
          <w:b/>
          <w:sz w:val="44"/>
          <w:lang w:eastAsia="zh-CN"/>
        </w:rPr>
        <w:t>问题与解答</w:t>
      </w:r>
    </w:p>
    <w:p w14:paraId="5FBDF17C"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b/>
          <w:snapToGrid w:val="0"/>
          <w:sz w:val="32"/>
          <w:szCs w:val="32"/>
          <w:lang w:eastAsia="zh-CN"/>
        </w:rPr>
      </w:pPr>
      <w:r w:rsidRPr="005E192C">
        <w:rPr>
          <w:rFonts w:ascii="Times New Roman" w:eastAsia="宋体" w:hAnsi="Times New Roman" w:cs="宋体"/>
          <w:b/>
          <w:sz w:val="32"/>
          <w:lang w:eastAsia="zh-CN"/>
        </w:rPr>
        <w:t>行业指南</w:t>
      </w:r>
    </w:p>
    <w:p w14:paraId="14E6125E"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如需获取更多副本，请联系：</w:t>
      </w:r>
    </w:p>
    <w:p w14:paraId="595B5E56"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eastAsia="宋体" w:hAnsi="Times New Roman" w:cs="宋体"/>
          <w:i/>
          <w:sz w:val="24"/>
          <w:lang w:eastAsia="zh-CN"/>
        </w:rPr>
        <w:t>药品信息部通讯办公室</w:t>
      </w:r>
    </w:p>
    <w:p w14:paraId="213F004E" w14:textId="7A404504"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药品评价</w:t>
      </w:r>
      <w:r w:rsidR="00105375">
        <w:rPr>
          <w:rFonts w:ascii="Times New Roman" w:eastAsia="宋体" w:hAnsi="Times New Roman" w:cs="宋体"/>
          <w:i/>
          <w:sz w:val="24"/>
          <w:lang w:eastAsia="zh-CN"/>
        </w:rPr>
        <w:t>与</w:t>
      </w:r>
      <w:r w:rsidRPr="005E192C">
        <w:rPr>
          <w:rFonts w:ascii="Times New Roman" w:eastAsia="宋体" w:hAnsi="Times New Roman" w:cs="宋体"/>
          <w:i/>
          <w:sz w:val="24"/>
          <w:lang w:eastAsia="zh-CN"/>
        </w:rPr>
        <w:t>研究中心</w:t>
      </w:r>
    </w:p>
    <w:p w14:paraId="08FB7BDE" w14:textId="14BBF996"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美国食品</w:t>
      </w:r>
      <w:r w:rsidR="00447255" w:rsidRPr="005E192C">
        <w:rPr>
          <w:rFonts w:ascii="Times New Roman" w:eastAsia="宋体" w:hAnsi="Times New Roman" w:cs="宋体"/>
          <w:i/>
          <w:sz w:val="24"/>
          <w:lang w:eastAsia="zh-CN"/>
        </w:rPr>
        <w:t>药品</w:t>
      </w:r>
      <w:r w:rsidR="00756766">
        <w:rPr>
          <w:rFonts w:ascii="Times New Roman" w:eastAsia="宋体" w:hAnsi="Times New Roman" w:cs="宋体"/>
          <w:i/>
          <w:sz w:val="24"/>
          <w:lang w:eastAsia="zh-CN"/>
        </w:rPr>
        <w:t>监督</w:t>
      </w:r>
      <w:r w:rsidR="00447255" w:rsidRPr="005E192C">
        <w:rPr>
          <w:rFonts w:ascii="Times New Roman" w:eastAsia="宋体" w:hAnsi="Times New Roman" w:cs="宋体"/>
          <w:i/>
          <w:sz w:val="24"/>
          <w:lang w:eastAsia="zh-CN"/>
        </w:rPr>
        <w:t>管理局</w:t>
      </w:r>
    </w:p>
    <w:p w14:paraId="32CBAAB9"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hAnsi="Times New Roman" w:cs="Times New Roman"/>
          <w:i/>
          <w:snapToGrid w:val="0"/>
          <w:sz w:val="24"/>
          <w:szCs w:val="24"/>
        </w:rPr>
        <w:t>10001 New Hampshire Ave., Hillandale Bldg., 4</w:t>
      </w:r>
      <w:r w:rsidRPr="005E192C">
        <w:rPr>
          <w:rFonts w:ascii="Times New Roman" w:hAnsi="Times New Roman" w:cs="Times New Roman"/>
          <w:i/>
          <w:snapToGrid w:val="0"/>
          <w:sz w:val="24"/>
          <w:szCs w:val="24"/>
          <w:vertAlign w:val="superscript"/>
        </w:rPr>
        <w:t>th</w:t>
      </w:r>
      <w:r w:rsidRPr="005E192C">
        <w:rPr>
          <w:rFonts w:ascii="Times New Roman" w:hAnsi="Times New Roman" w:cs="Times New Roman"/>
          <w:i/>
          <w:snapToGrid w:val="0"/>
          <w:sz w:val="24"/>
          <w:szCs w:val="24"/>
        </w:rPr>
        <w:t xml:space="preserve"> Floor</w:t>
      </w:r>
    </w:p>
    <w:p w14:paraId="4A614217"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hAnsi="Times New Roman" w:cs="Times New Roman"/>
          <w:i/>
          <w:snapToGrid w:val="0"/>
          <w:sz w:val="24"/>
          <w:szCs w:val="24"/>
        </w:rPr>
        <w:t>Silver Spring, MD 20993-0002</w:t>
      </w:r>
    </w:p>
    <w:p w14:paraId="10313FC1" w14:textId="14FD8BC6" w:rsidR="00B56F84" w:rsidRPr="005E192C" w:rsidRDefault="00B57F95"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hAnsi="Times New Roman" w:cs="Times New Roman" w:hint="eastAsia"/>
          <w:i/>
          <w:snapToGrid w:val="0"/>
          <w:sz w:val="24"/>
          <w:szCs w:val="24"/>
          <w:lang w:eastAsia="zh-CN"/>
        </w:rPr>
        <w:t>电话：</w:t>
      </w:r>
      <w:r w:rsidR="00C94630" w:rsidRPr="005E192C">
        <w:rPr>
          <w:rFonts w:ascii="Times New Roman" w:hAnsi="Times New Roman" w:cs="Times New Roman"/>
          <w:i/>
          <w:snapToGrid w:val="0"/>
          <w:sz w:val="24"/>
          <w:szCs w:val="24"/>
        </w:rPr>
        <w:t>855-543-3784</w:t>
      </w:r>
      <w:r w:rsidRPr="005E192C">
        <w:rPr>
          <w:rFonts w:ascii="Times New Roman" w:hAnsi="Times New Roman" w:cs="Times New Roman" w:hint="eastAsia"/>
          <w:i/>
          <w:snapToGrid w:val="0"/>
          <w:sz w:val="24"/>
          <w:szCs w:val="24"/>
          <w:lang w:eastAsia="zh-CN"/>
        </w:rPr>
        <w:t>或</w:t>
      </w:r>
      <w:r w:rsidR="00C94630" w:rsidRPr="005E192C">
        <w:rPr>
          <w:rFonts w:ascii="Times New Roman" w:hAnsi="Times New Roman" w:cs="Times New Roman"/>
          <w:i/>
          <w:snapToGrid w:val="0"/>
          <w:sz w:val="24"/>
          <w:szCs w:val="24"/>
        </w:rPr>
        <w:t>301-796-3400</w:t>
      </w:r>
      <w:r w:rsidR="00447255" w:rsidRPr="005E192C">
        <w:rPr>
          <w:rFonts w:ascii="Times New Roman" w:hAnsi="Times New Roman" w:cs="Times New Roman" w:hint="eastAsia"/>
          <w:i/>
          <w:snapToGrid w:val="0"/>
          <w:sz w:val="24"/>
          <w:szCs w:val="24"/>
          <w:lang w:eastAsia="zh-CN"/>
        </w:rPr>
        <w:t>；</w:t>
      </w:r>
      <w:r w:rsidRPr="005E192C">
        <w:rPr>
          <w:rFonts w:ascii="Times New Roman" w:hAnsi="Times New Roman" w:cs="Times New Roman" w:hint="eastAsia"/>
          <w:i/>
          <w:snapToGrid w:val="0"/>
          <w:sz w:val="24"/>
          <w:szCs w:val="24"/>
          <w:lang w:eastAsia="zh-CN"/>
        </w:rPr>
        <w:t>传真：</w:t>
      </w:r>
      <w:r w:rsidR="00C94630" w:rsidRPr="005E192C">
        <w:rPr>
          <w:rFonts w:ascii="Times New Roman" w:hAnsi="Times New Roman" w:cs="Times New Roman"/>
          <w:i/>
          <w:snapToGrid w:val="0"/>
          <w:sz w:val="24"/>
          <w:szCs w:val="24"/>
          <w:lang w:eastAsia="zh-CN"/>
        </w:rPr>
        <w:t>301-431-6353</w:t>
      </w:r>
    </w:p>
    <w:p w14:paraId="4C6788F5" w14:textId="7F2E962A" w:rsidR="00B56F84" w:rsidRPr="005E192C" w:rsidRDefault="00B57F95"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hAnsi="Times New Roman" w:cs="Times New Roman" w:hint="eastAsia"/>
          <w:i/>
          <w:snapToGrid w:val="0"/>
          <w:sz w:val="24"/>
          <w:szCs w:val="24"/>
          <w:lang w:eastAsia="zh-CN"/>
        </w:rPr>
        <w:t>电子邮箱</w:t>
      </w:r>
      <w:r w:rsidR="00B40809">
        <w:rPr>
          <w:rFonts w:ascii="Times New Roman" w:hAnsi="Times New Roman" w:cs="Times New Roman"/>
          <w:i/>
          <w:snapToGrid w:val="0"/>
          <w:sz w:val="24"/>
          <w:szCs w:val="24"/>
          <w:lang w:eastAsia="zh-CN"/>
        </w:rPr>
        <w:fldChar w:fldCharType="begin"/>
      </w:r>
      <w:r w:rsidR="00B40809">
        <w:rPr>
          <w:rFonts w:ascii="Times New Roman" w:hAnsi="Times New Roman" w:cs="Times New Roman"/>
          <w:i/>
          <w:snapToGrid w:val="0"/>
          <w:sz w:val="24"/>
          <w:szCs w:val="24"/>
          <w:lang w:eastAsia="zh-CN"/>
        </w:rPr>
        <w:instrText xml:space="preserve"> HYPERLINK "mailto:</w:instrText>
      </w:r>
      <w:r w:rsidR="00B40809">
        <w:rPr>
          <w:rFonts w:ascii="Times New Roman" w:hAnsi="Times New Roman" w:cs="Times New Roman" w:hint="eastAsia"/>
          <w:i/>
          <w:snapToGrid w:val="0"/>
          <w:sz w:val="24"/>
          <w:szCs w:val="24"/>
          <w:lang w:eastAsia="zh-CN"/>
        </w:rPr>
        <w:instrText>：</w:instrText>
      </w:r>
      <w:r w:rsidR="00B40809" w:rsidRPr="005E192C">
        <w:rPr>
          <w:rFonts w:ascii="Times New Roman" w:hAnsi="Times New Roman" w:cs="Times New Roman"/>
          <w:i/>
          <w:snapToGrid w:val="0"/>
          <w:sz w:val="24"/>
          <w:szCs w:val="24"/>
          <w:lang w:eastAsia="zh-CN"/>
        </w:rPr>
        <w:instrText>druginfo@fda.hhs.gov</w:instrText>
      </w:r>
      <w:r w:rsidR="00B40809">
        <w:rPr>
          <w:rFonts w:ascii="Times New Roman" w:hAnsi="Times New Roman" w:cs="Times New Roman"/>
          <w:i/>
          <w:snapToGrid w:val="0"/>
          <w:sz w:val="24"/>
          <w:szCs w:val="24"/>
          <w:lang w:eastAsia="zh-CN"/>
        </w:rPr>
        <w:instrText xml:space="preserve">" </w:instrText>
      </w:r>
      <w:r w:rsidR="00B40809">
        <w:rPr>
          <w:rFonts w:ascii="Times New Roman" w:hAnsi="Times New Roman" w:cs="Times New Roman"/>
          <w:i/>
          <w:snapToGrid w:val="0"/>
          <w:sz w:val="24"/>
          <w:szCs w:val="24"/>
          <w:lang w:eastAsia="zh-CN"/>
        </w:rPr>
        <w:fldChar w:fldCharType="separate"/>
      </w:r>
      <w:r w:rsidR="00B40809" w:rsidRPr="000359EE">
        <w:rPr>
          <w:rStyle w:val="a7"/>
          <w:rFonts w:ascii="Times New Roman" w:hAnsi="Times New Roman" w:cs="Times New Roman" w:hint="eastAsia"/>
          <w:i/>
          <w:snapToGrid w:val="0"/>
          <w:sz w:val="24"/>
          <w:szCs w:val="24"/>
          <w:lang w:eastAsia="zh-CN"/>
        </w:rPr>
        <w:t>：</w:t>
      </w:r>
      <w:r w:rsidR="00B40809" w:rsidRPr="000359EE">
        <w:rPr>
          <w:rStyle w:val="a7"/>
          <w:rFonts w:ascii="Times New Roman" w:hAnsi="Times New Roman" w:cs="Times New Roman"/>
          <w:i/>
          <w:snapToGrid w:val="0"/>
          <w:sz w:val="24"/>
          <w:szCs w:val="24"/>
          <w:lang w:eastAsia="zh-CN"/>
        </w:rPr>
        <w:t>druginfo@fda.hhs.gov</w:t>
      </w:r>
      <w:r w:rsidR="00B40809">
        <w:rPr>
          <w:rFonts w:ascii="Times New Roman" w:hAnsi="Times New Roman" w:cs="Times New Roman"/>
          <w:i/>
          <w:snapToGrid w:val="0"/>
          <w:sz w:val="24"/>
          <w:szCs w:val="24"/>
          <w:lang w:eastAsia="zh-CN"/>
        </w:rPr>
        <w:fldChar w:fldCharType="end"/>
      </w:r>
    </w:p>
    <w:p w14:paraId="3AFE0189" w14:textId="77777777" w:rsidR="00B56F84" w:rsidRPr="005E192C" w:rsidRDefault="000E1954" w:rsidP="00BE6EBE">
      <w:pPr>
        <w:adjustRightInd w:val="0"/>
        <w:snapToGrid w:val="0"/>
        <w:spacing w:beforeLines="10" w:before="24" w:line="300" w:lineRule="auto"/>
        <w:jc w:val="center"/>
        <w:rPr>
          <w:rFonts w:ascii="Times New Roman" w:hAnsi="Times New Roman" w:cs="Times New Roman"/>
          <w:snapToGrid w:val="0"/>
          <w:sz w:val="24"/>
          <w:szCs w:val="24"/>
        </w:rPr>
      </w:pPr>
      <w:hyperlink r:id="rId13">
        <w:r w:rsidR="00C94630" w:rsidRPr="005E192C">
          <w:rPr>
            <w:rFonts w:ascii="Times New Roman" w:hAnsi="Times New Roman" w:cs="Times New Roman"/>
            <w:i/>
            <w:snapToGrid w:val="0"/>
            <w:sz w:val="24"/>
            <w:szCs w:val="24"/>
            <w:u w:val="single" w:color="0000FF"/>
          </w:rPr>
          <w:t>https://www.fda.gov/Drugs/GuidanceComplian</w:t>
        </w:r>
      </w:hyperlink>
      <w:r w:rsidR="00C94630" w:rsidRPr="005E192C">
        <w:rPr>
          <w:rFonts w:ascii="Times New Roman" w:hAnsi="Times New Roman" w:cs="Times New Roman"/>
          <w:i/>
          <w:snapToGrid w:val="0"/>
          <w:sz w:val="24"/>
          <w:szCs w:val="24"/>
          <w:u w:val="single" w:color="0000FF"/>
        </w:rPr>
        <w:t>ceR</w:t>
      </w:r>
      <w:hyperlink r:id="rId14">
        <w:r w:rsidR="00C94630" w:rsidRPr="005E192C">
          <w:rPr>
            <w:rFonts w:ascii="Times New Roman" w:hAnsi="Times New Roman" w:cs="Times New Roman"/>
            <w:i/>
            <w:snapToGrid w:val="0"/>
            <w:sz w:val="24"/>
            <w:szCs w:val="24"/>
            <w:u w:val="single" w:color="0000FF"/>
          </w:rPr>
          <w:t>egulatoryInformation/Guidances/default.h</w:t>
        </w:r>
      </w:hyperlink>
      <w:r w:rsidR="00C94630" w:rsidRPr="005E192C">
        <w:rPr>
          <w:rFonts w:ascii="Times New Roman" w:hAnsi="Times New Roman" w:cs="Times New Roman"/>
          <w:i/>
          <w:snapToGrid w:val="0"/>
          <w:sz w:val="24"/>
          <w:szCs w:val="24"/>
          <w:u w:val="single" w:color="0000FF"/>
        </w:rPr>
        <w:t>tm</w:t>
      </w:r>
    </w:p>
    <w:p w14:paraId="3D8DB924"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和</w:t>
      </w:r>
      <w:r w:rsidRPr="005E192C">
        <w:rPr>
          <w:rFonts w:ascii="Times New Roman" w:eastAsia="宋体" w:hAnsi="Times New Roman" w:cs="宋体"/>
          <w:i/>
          <w:sz w:val="24"/>
          <w:lang w:eastAsia="zh-CN"/>
        </w:rPr>
        <w:t>/</w:t>
      </w:r>
      <w:r w:rsidRPr="005E192C">
        <w:rPr>
          <w:rFonts w:ascii="Times New Roman" w:eastAsia="宋体" w:hAnsi="Times New Roman" w:cs="宋体"/>
          <w:i/>
          <w:sz w:val="24"/>
          <w:lang w:eastAsia="zh-CN"/>
        </w:rPr>
        <w:t>或</w:t>
      </w:r>
    </w:p>
    <w:p w14:paraId="010461CA" w14:textId="1ED9227C" w:rsidR="00650DDD" w:rsidRPr="005E192C" w:rsidRDefault="00447255"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eastAsia="宋体" w:hAnsi="Times New Roman" w:cs="宋体"/>
          <w:i/>
          <w:sz w:val="24"/>
          <w:lang w:eastAsia="zh-CN"/>
        </w:rPr>
        <w:t>交流、外联</w:t>
      </w:r>
      <w:r w:rsidR="00C94630" w:rsidRPr="005E192C">
        <w:rPr>
          <w:rFonts w:ascii="Times New Roman" w:eastAsia="宋体" w:hAnsi="Times New Roman" w:cs="宋体"/>
          <w:i/>
          <w:sz w:val="24"/>
          <w:lang w:eastAsia="zh-CN"/>
        </w:rPr>
        <w:t>和发展办公室</w:t>
      </w:r>
    </w:p>
    <w:p w14:paraId="20282F58" w14:textId="0EA49561"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生物制品评价</w:t>
      </w:r>
      <w:r w:rsidR="00105375">
        <w:rPr>
          <w:rFonts w:ascii="Times New Roman" w:eastAsia="宋体" w:hAnsi="Times New Roman" w:cs="宋体"/>
          <w:i/>
          <w:sz w:val="24"/>
          <w:lang w:eastAsia="zh-CN"/>
        </w:rPr>
        <w:t>与</w:t>
      </w:r>
      <w:r w:rsidRPr="005E192C">
        <w:rPr>
          <w:rFonts w:ascii="Times New Roman" w:eastAsia="宋体" w:hAnsi="Times New Roman" w:cs="宋体"/>
          <w:i/>
          <w:sz w:val="24"/>
          <w:lang w:eastAsia="zh-CN"/>
        </w:rPr>
        <w:t>研究中心</w:t>
      </w:r>
    </w:p>
    <w:p w14:paraId="40ACF5D9" w14:textId="65CE6109"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美国食品</w:t>
      </w:r>
      <w:r w:rsidR="00447255" w:rsidRPr="005E192C">
        <w:rPr>
          <w:rFonts w:ascii="Times New Roman" w:eastAsia="宋体" w:hAnsi="Times New Roman" w:cs="宋体"/>
          <w:i/>
          <w:sz w:val="24"/>
          <w:lang w:eastAsia="zh-CN"/>
        </w:rPr>
        <w:t>药品</w:t>
      </w:r>
      <w:r w:rsidR="00105375">
        <w:rPr>
          <w:rFonts w:ascii="Times New Roman" w:eastAsia="宋体" w:hAnsi="Times New Roman" w:cs="宋体"/>
          <w:i/>
          <w:sz w:val="24"/>
          <w:lang w:eastAsia="zh-CN"/>
        </w:rPr>
        <w:t>监督</w:t>
      </w:r>
      <w:r w:rsidR="00447255" w:rsidRPr="005E192C">
        <w:rPr>
          <w:rFonts w:ascii="Times New Roman" w:eastAsia="宋体" w:hAnsi="Times New Roman" w:cs="宋体"/>
          <w:i/>
          <w:sz w:val="24"/>
          <w:lang w:eastAsia="zh-CN"/>
        </w:rPr>
        <w:t>管理局</w:t>
      </w:r>
    </w:p>
    <w:p w14:paraId="4660519F"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hAnsi="Times New Roman" w:cs="Times New Roman"/>
          <w:i/>
          <w:snapToGrid w:val="0"/>
          <w:sz w:val="24"/>
          <w:szCs w:val="24"/>
        </w:rPr>
        <w:t>10903 New Hampshire Ave., Bldg. 71, Room 3128</w:t>
      </w:r>
    </w:p>
    <w:p w14:paraId="7828235D"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hAnsi="Times New Roman" w:cs="Times New Roman"/>
          <w:i/>
          <w:snapToGrid w:val="0"/>
          <w:sz w:val="24"/>
          <w:szCs w:val="24"/>
        </w:rPr>
        <w:t>Silver Spring, MD 20993-0002</w:t>
      </w:r>
    </w:p>
    <w:p w14:paraId="36E1A87D" w14:textId="77777777" w:rsidR="00B56F84" w:rsidRPr="005E192C" w:rsidRDefault="00B57F95"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hAnsi="Times New Roman" w:cs="Times New Roman" w:hint="eastAsia"/>
          <w:i/>
          <w:snapToGrid w:val="0"/>
          <w:sz w:val="24"/>
          <w:szCs w:val="24"/>
          <w:lang w:eastAsia="zh-CN"/>
        </w:rPr>
        <w:t>电话</w:t>
      </w:r>
      <w:r w:rsidR="00C94630" w:rsidRPr="005E192C">
        <w:rPr>
          <w:rFonts w:ascii="Times New Roman" w:hAnsi="Times New Roman" w:cs="Times New Roman"/>
          <w:i/>
          <w:snapToGrid w:val="0"/>
          <w:sz w:val="24"/>
          <w:szCs w:val="24"/>
        </w:rPr>
        <w:t xml:space="preserve"> 800-835-4709 </w:t>
      </w:r>
      <w:r w:rsidRPr="005E192C">
        <w:rPr>
          <w:rFonts w:ascii="Times New Roman" w:hAnsi="Times New Roman" w:cs="Times New Roman" w:hint="eastAsia"/>
          <w:i/>
          <w:snapToGrid w:val="0"/>
          <w:sz w:val="24"/>
          <w:szCs w:val="24"/>
          <w:lang w:eastAsia="zh-CN"/>
        </w:rPr>
        <w:t>或</w:t>
      </w:r>
      <w:r w:rsidR="00C94630" w:rsidRPr="005E192C">
        <w:rPr>
          <w:rFonts w:ascii="Times New Roman" w:hAnsi="Times New Roman" w:cs="Times New Roman"/>
          <w:i/>
          <w:snapToGrid w:val="0"/>
          <w:sz w:val="24"/>
          <w:szCs w:val="24"/>
        </w:rPr>
        <w:t xml:space="preserve"> 240-402-8010</w:t>
      </w:r>
    </w:p>
    <w:p w14:paraId="0A098713" w14:textId="3943D6CC" w:rsidR="00B56F84" w:rsidRPr="005E192C" w:rsidRDefault="00B57F95"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hAnsi="Times New Roman" w:cs="Times New Roman" w:hint="eastAsia"/>
          <w:i/>
          <w:snapToGrid w:val="0"/>
          <w:sz w:val="24"/>
          <w:szCs w:val="24"/>
          <w:lang w:eastAsia="zh-CN"/>
        </w:rPr>
        <w:t>电子邮箱</w:t>
      </w:r>
      <w:r w:rsidR="00B40809">
        <w:rPr>
          <w:rFonts w:ascii="Times New Roman" w:hAnsi="Times New Roman" w:cs="Times New Roman"/>
          <w:i/>
          <w:snapToGrid w:val="0"/>
          <w:sz w:val="24"/>
          <w:szCs w:val="24"/>
          <w:lang w:eastAsia="zh-CN"/>
        </w:rPr>
        <w:fldChar w:fldCharType="begin"/>
      </w:r>
      <w:r w:rsidR="00B40809">
        <w:rPr>
          <w:rFonts w:ascii="Times New Roman" w:hAnsi="Times New Roman" w:cs="Times New Roman"/>
          <w:i/>
          <w:snapToGrid w:val="0"/>
          <w:sz w:val="24"/>
          <w:szCs w:val="24"/>
          <w:lang w:eastAsia="zh-CN"/>
        </w:rPr>
        <w:instrText xml:space="preserve"> HYPERLINK "mailto:</w:instrText>
      </w:r>
      <w:r w:rsidR="00B40809">
        <w:rPr>
          <w:rFonts w:ascii="Times New Roman" w:hAnsi="Times New Roman" w:cs="Times New Roman" w:hint="eastAsia"/>
          <w:i/>
          <w:snapToGrid w:val="0"/>
          <w:sz w:val="24"/>
          <w:szCs w:val="24"/>
          <w:lang w:eastAsia="zh-CN"/>
        </w:rPr>
        <w:instrText>：</w:instrText>
      </w:r>
      <w:r w:rsidR="00B40809" w:rsidRPr="005E192C">
        <w:rPr>
          <w:rFonts w:ascii="Times New Roman" w:hAnsi="Times New Roman" w:cs="Times New Roman"/>
          <w:i/>
          <w:snapToGrid w:val="0"/>
          <w:sz w:val="24"/>
          <w:szCs w:val="24"/>
          <w:lang w:eastAsia="zh-CN"/>
        </w:rPr>
        <w:instrText>ocod@fda.hhs.gov</w:instrText>
      </w:r>
      <w:r w:rsidR="00B40809">
        <w:rPr>
          <w:rFonts w:ascii="Times New Roman" w:hAnsi="Times New Roman" w:cs="Times New Roman"/>
          <w:i/>
          <w:snapToGrid w:val="0"/>
          <w:sz w:val="24"/>
          <w:szCs w:val="24"/>
          <w:lang w:eastAsia="zh-CN"/>
        </w:rPr>
        <w:instrText xml:space="preserve">" </w:instrText>
      </w:r>
      <w:r w:rsidR="00B40809">
        <w:rPr>
          <w:rFonts w:ascii="Times New Roman" w:hAnsi="Times New Roman" w:cs="Times New Roman"/>
          <w:i/>
          <w:snapToGrid w:val="0"/>
          <w:sz w:val="24"/>
          <w:szCs w:val="24"/>
          <w:lang w:eastAsia="zh-CN"/>
        </w:rPr>
        <w:fldChar w:fldCharType="separate"/>
      </w:r>
      <w:r w:rsidR="00B40809" w:rsidRPr="000359EE">
        <w:rPr>
          <w:rStyle w:val="a7"/>
          <w:rFonts w:ascii="Times New Roman" w:hAnsi="Times New Roman" w:cs="Times New Roman" w:hint="eastAsia"/>
          <w:i/>
          <w:snapToGrid w:val="0"/>
          <w:sz w:val="24"/>
          <w:szCs w:val="24"/>
          <w:lang w:eastAsia="zh-CN"/>
        </w:rPr>
        <w:t>：</w:t>
      </w:r>
      <w:r w:rsidR="00B40809" w:rsidRPr="000359EE">
        <w:rPr>
          <w:rStyle w:val="a7"/>
          <w:rFonts w:ascii="Times New Roman" w:hAnsi="Times New Roman" w:cs="Times New Roman"/>
          <w:i/>
          <w:snapToGrid w:val="0"/>
          <w:sz w:val="24"/>
          <w:szCs w:val="24"/>
          <w:lang w:eastAsia="zh-CN"/>
        </w:rPr>
        <w:t>ocod@fda.hhs.gov</w:t>
      </w:r>
      <w:r w:rsidR="00B40809">
        <w:rPr>
          <w:rFonts w:ascii="Times New Roman" w:hAnsi="Times New Roman" w:cs="Times New Roman"/>
          <w:i/>
          <w:snapToGrid w:val="0"/>
          <w:sz w:val="24"/>
          <w:szCs w:val="24"/>
          <w:lang w:eastAsia="zh-CN"/>
        </w:rPr>
        <w:fldChar w:fldCharType="end"/>
      </w:r>
    </w:p>
    <w:p w14:paraId="2A8F9834" w14:textId="77777777" w:rsidR="00B56F84" w:rsidRPr="005E192C" w:rsidRDefault="000E1954" w:rsidP="00BE6EBE">
      <w:pPr>
        <w:adjustRightInd w:val="0"/>
        <w:snapToGrid w:val="0"/>
        <w:spacing w:beforeLines="10" w:before="24" w:line="300" w:lineRule="auto"/>
        <w:jc w:val="center"/>
        <w:rPr>
          <w:rFonts w:ascii="Times New Roman" w:hAnsi="Times New Roman" w:cs="Times New Roman"/>
          <w:snapToGrid w:val="0"/>
          <w:sz w:val="24"/>
          <w:szCs w:val="24"/>
        </w:rPr>
      </w:pPr>
      <w:hyperlink r:id="rId15">
        <w:r w:rsidR="00C94630" w:rsidRPr="005E192C">
          <w:rPr>
            <w:rFonts w:ascii="Times New Roman" w:hAnsi="Times New Roman" w:cs="Times New Roman"/>
            <w:i/>
            <w:snapToGrid w:val="0"/>
            <w:sz w:val="24"/>
            <w:szCs w:val="24"/>
            <w:u w:val="single" w:color="0000FF"/>
          </w:rPr>
          <w:t>https://www.fda.gov/Bio</w:t>
        </w:r>
      </w:hyperlink>
      <w:r w:rsidR="00C94630" w:rsidRPr="005E192C">
        <w:rPr>
          <w:rFonts w:ascii="Times New Roman" w:hAnsi="Times New Roman" w:cs="Times New Roman"/>
          <w:i/>
          <w:snapToGrid w:val="0"/>
          <w:sz w:val="24"/>
          <w:szCs w:val="24"/>
          <w:u w:val="single" w:color="0000FF"/>
        </w:rPr>
        <w:t>logi</w:t>
      </w:r>
      <w:hyperlink r:id="rId16">
        <w:r w:rsidR="00C94630" w:rsidRPr="005E192C">
          <w:rPr>
            <w:rFonts w:ascii="Times New Roman" w:hAnsi="Times New Roman" w:cs="Times New Roman"/>
            <w:i/>
            <w:snapToGrid w:val="0"/>
            <w:sz w:val="24"/>
            <w:szCs w:val="24"/>
            <w:u w:val="single" w:color="0000FF"/>
          </w:rPr>
          <w:t>csBloodVaccines/GuidanceComplianceRegulatoryIn</w:t>
        </w:r>
      </w:hyperlink>
      <w:r w:rsidR="00C94630" w:rsidRPr="005E192C">
        <w:rPr>
          <w:rFonts w:ascii="Times New Roman" w:hAnsi="Times New Roman" w:cs="Times New Roman"/>
          <w:i/>
          <w:snapToGrid w:val="0"/>
          <w:sz w:val="24"/>
          <w:szCs w:val="24"/>
          <w:u w:val="single" w:color="0000FF"/>
        </w:rPr>
        <w:t>f</w:t>
      </w:r>
      <w:hyperlink r:id="rId17">
        <w:r w:rsidR="00C94630" w:rsidRPr="005E192C">
          <w:rPr>
            <w:rFonts w:ascii="Times New Roman" w:hAnsi="Times New Roman" w:cs="Times New Roman"/>
            <w:i/>
            <w:snapToGrid w:val="0"/>
            <w:sz w:val="24"/>
            <w:szCs w:val="24"/>
            <w:u w:val="single" w:color="0000FF"/>
          </w:rPr>
          <w:t>ormation/Guidances/default.htm</w:t>
        </w:r>
      </w:hyperlink>
    </w:p>
    <w:p w14:paraId="61CED47C"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和</w:t>
      </w:r>
      <w:r w:rsidRPr="005E192C">
        <w:rPr>
          <w:rFonts w:ascii="Times New Roman" w:eastAsia="宋体" w:hAnsi="Times New Roman" w:cs="宋体"/>
          <w:i/>
          <w:sz w:val="24"/>
          <w:lang w:eastAsia="zh-CN"/>
        </w:rPr>
        <w:t>/</w:t>
      </w:r>
      <w:r w:rsidRPr="005E192C">
        <w:rPr>
          <w:rFonts w:ascii="Times New Roman" w:eastAsia="宋体" w:hAnsi="Times New Roman" w:cs="宋体"/>
          <w:i/>
          <w:sz w:val="24"/>
          <w:lang w:eastAsia="zh-CN"/>
        </w:rPr>
        <w:t>或</w:t>
      </w:r>
    </w:p>
    <w:p w14:paraId="56BA91D5"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中心主任办公室</w:t>
      </w:r>
    </w:p>
    <w:p w14:paraId="4E796AB9" w14:textId="5B036581" w:rsidR="00650DDD" w:rsidRPr="005E192C" w:rsidRDefault="00105375"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Pr>
          <w:rFonts w:ascii="Times New Roman" w:eastAsia="宋体" w:hAnsi="Times New Roman" w:cs="宋体"/>
          <w:i/>
          <w:sz w:val="24"/>
          <w:lang w:eastAsia="zh-CN"/>
        </w:rPr>
        <w:t>医疗</w:t>
      </w:r>
      <w:r w:rsidR="009D0902" w:rsidRPr="005E192C">
        <w:rPr>
          <w:rFonts w:ascii="Times New Roman" w:eastAsia="宋体" w:hAnsi="Times New Roman" w:cs="宋体"/>
          <w:i/>
          <w:sz w:val="24"/>
          <w:lang w:eastAsia="zh-CN"/>
        </w:rPr>
        <w:t>器械和</w:t>
      </w:r>
      <w:r>
        <w:rPr>
          <w:rFonts w:ascii="Times New Roman" w:eastAsia="宋体" w:hAnsi="Times New Roman" w:cs="宋体"/>
          <w:i/>
          <w:sz w:val="24"/>
          <w:lang w:eastAsia="zh-CN"/>
        </w:rPr>
        <w:t>辐射健康</w:t>
      </w:r>
      <w:r w:rsidR="009D0902" w:rsidRPr="005E192C">
        <w:rPr>
          <w:rFonts w:ascii="Times New Roman" w:eastAsia="宋体" w:hAnsi="Times New Roman" w:cs="宋体"/>
          <w:i/>
          <w:sz w:val="24"/>
          <w:lang w:eastAsia="zh-CN"/>
        </w:rPr>
        <w:t>中心</w:t>
      </w:r>
    </w:p>
    <w:p w14:paraId="23002CF3" w14:textId="232A92B1"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美国食品</w:t>
      </w:r>
      <w:r w:rsidR="00447255" w:rsidRPr="005E192C">
        <w:rPr>
          <w:rFonts w:ascii="Times New Roman" w:eastAsia="宋体" w:hAnsi="Times New Roman" w:cs="宋体"/>
          <w:i/>
          <w:sz w:val="24"/>
          <w:lang w:eastAsia="zh-CN"/>
        </w:rPr>
        <w:t>药品</w:t>
      </w:r>
      <w:r w:rsidR="00105375">
        <w:rPr>
          <w:rFonts w:ascii="Times New Roman" w:eastAsia="宋体" w:hAnsi="Times New Roman" w:cs="宋体"/>
          <w:i/>
          <w:sz w:val="24"/>
          <w:lang w:eastAsia="zh-CN"/>
        </w:rPr>
        <w:t>监督</w:t>
      </w:r>
      <w:r w:rsidR="00447255" w:rsidRPr="005E192C">
        <w:rPr>
          <w:rFonts w:ascii="Times New Roman" w:eastAsia="宋体" w:hAnsi="Times New Roman" w:cs="宋体"/>
          <w:i/>
          <w:sz w:val="24"/>
          <w:lang w:eastAsia="zh-CN"/>
        </w:rPr>
        <w:t>管理局</w:t>
      </w:r>
    </w:p>
    <w:p w14:paraId="58C935C6"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hAnsi="Times New Roman" w:cs="Times New Roman"/>
          <w:i/>
          <w:snapToGrid w:val="0"/>
          <w:sz w:val="24"/>
          <w:szCs w:val="24"/>
        </w:rPr>
        <w:t>10903 New Hampshire Ave., Bldg. 66, Room 5431</w:t>
      </w:r>
    </w:p>
    <w:p w14:paraId="3A20E26B"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hAnsi="Times New Roman" w:cs="Times New Roman"/>
          <w:i/>
          <w:snapToGrid w:val="0"/>
          <w:sz w:val="24"/>
          <w:szCs w:val="24"/>
        </w:rPr>
        <w:t>Silver Spring, MD 20993-0002</w:t>
      </w:r>
    </w:p>
    <w:p w14:paraId="1A9AF585" w14:textId="7A942E97" w:rsidR="00B56F84" w:rsidRPr="005E192C" w:rsidRDefault="00B57F95"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电子邮箱</w:t>
      </w:r>
      <w:r w:rsidR="00B40809">
        <w:rPr>
          <w:rFonts w:ascii="Times New Roman" w:eastAsia="宋体" w:hAnsi="Times New Roman" w:cs="宋体"/>
          <w:i/>
          <w:snapToGrid w:val="0"/>
          <w:sz w:val="24"/>
          <w:szCs w:val="24"/>
          <w:lang w:eastAsia="zh-CN"/>
        </w:rPr>
        <w:fldChar w:fldCharType="begin"/>
      </w:r>
      <w:r w:rsidR="00B40809">
        <w:rPr>
          <w:rFonts w:ascii="Times New Roman" w:eastAsia="宋体" w:hAnsi="Times New Roman" w:cs="宋体"/>
          <w:i/>
          <w:snapToGrid w:val="0"/>
          <w:sz w:val="24"/>
          <w:szCs w:val="24"/>
          <w:lang w:eastAsia="zh-CN"/>
        </w:rPr>
        <w:instrText xml:space="preserve"> HYPERLINK "mailto:</w:instrText>
      </w:r>
      <w:r w:rsidR="00B40809">
        <w:rPr>
          <w:rFonts w:ascii="Times New Roman" w:eastAsia="宋体" w:hAnsi="Times New Roman" w:cs="宋体" w:hint="eastAsia"/>
          <w:i/>
          <w:snapToGrid w:val="0"/>
          <w:sz w:val="24"/>
          <w:szCs w:val="24"/>
          <w:lang w:eastAsia="zh-CN"/>
        </w:rPr>
        <w:instrText>：</w:instrText>
      </w:r>
      <w:r w:rsidR="00B40809" w:rsidRPr="005E192C">
        <w:rPr>
          <w:rFonts w:ascii="Times New Roman" w:eastAsia="宋体" w:hAnsi="Times New Roman" w:cs="宋体"/>
          <w:i/>
          <w:snapToGrid w:val="0"/>
          <w:sz w:val="24"/>
          <w:szCs w:val="24"/>
          <w:lang w:eastAsia="zh-CN"/>
        </w:rPr>
        <w:instrText>CDRH-Guidance@fda.hhs.gov</w:instrText>
      </w:r>
      <w:r w:rsidR="00B40809">
        <w:rPr>
          <w:rFonts w:ascii="Times New Roman" w:eastAsia="宋体" w:hAnsi="Times New Roman" w:cs="宋体"/>
          <w:i/>
          <w:snapToGrid w:val="0"/>
          <w:sz w:val="24"/>
          <w:szCs w:val="24"/>
          <w:lang w:eastAsia="zh-CN"/>
        </w:rPr>
        <w:instrText xml:space="preserve">" </w:instrText>
      </w:r>
      <w:r w:rsidR="00B40809">
        <w:rPr>
          <w:rFonts w:ascii="Times New Roman" w:eastAsia="宋体" w:hAnsi="Times New Roman" w:cs="宋体"/>
          <w:i/>
          <w:snapToGrid w:val="0"/>
          <w:sz w:val="24"/>
          <w:szCs w:val="24"/>
          <w:lang w:eastAsia="zh-CN"/>
        </w:rPr>
        <w:fldChar w:fldCharType="separate"/>
      </w:r>
      <w:r w:rsidR="00B40809" w:rsidRPr="000359EE">
        <w:rPr>
          <w:rStyle w:val="a7"/>
          <w:rFonts w:ascii="Times New Roman" w:eastAsia="宋体" w:hAnsi="Times New Roman" w:cs="宋体" w:hint="eastAsia"/>
          <w:i/>
          <w:snapToGrid w:val="0"/>
          <w:sz w:val="24"/>
          <w:szCs w:val="24"/>
          <w:lang w:eastAsia="zh-CN"/>
        </w:rPr>
        <w:t>：</w:t>
      </w:r>
      <w:r w:rsidR="00B40809" w:rsidRPr="000359EE">
        <w:rPr>
          <w:rStyle w:val="a7"/>
          <w:rFonts w:ascii="Times New Roman" w:eastAsia="宋体" w:hAnsi="Times New Roman" w:cs="宋体"/>
          <w:i/>
          <w:snapToGrid w:val="0"/>
          <w:sz w:val="24"/>
          <w:szCs w:val="24"/>
          <w:lang w:eastAsia="zh-CN"/>
        </w:rPr>
        <w:t>CDRH-Guidance@fda.hhs.gov</w:t>
      </w:r>
      <w:r w:rsidR="00B40809">
        <w:rPr>
          <w:rFonts w:ascii="Times New Roman" w:eastAsia="宋体" w:hAnsi="Times New Roman" w:cs="宋体"/>
          <w:i/>
          <w:snapToGrid w:val="0"/>
          <w:sz w:val="24"/>
          <w:szCs w:val="24"/>
          <w:lang w:eastAsia="zh-CN"/>
        </w:rPr>
        <w:fldChar w:fldCharType="end"/>
      </w:r>
    </w:p>
    <w:p w14:paraId="45C9B034" w14:textId="77777777" w:rsidR="00B56F84" w:rsidRPr="005E192C" w:rsidRDefault="000E1954" w:rsidP="00BE6EBE">
      <w:pPr>
        <w:adjustRightInd w:val="0"/>
        <w:snapToGrid w:val="0"/>
        <w:spacing w:beforeLines="10" w:before="24" w:line="300" w:lineRule="auto"/>
        <w:jc w:val="center"/>
        <w:rPr>
          <w:rFonts w:ascii="Times New Roman" w:hAnsi="Times New Roman" w:cs="Times New Roman"/>
          <w:snapToGrid w:val="0"/>
          <w:sz w:val="24"/>
          <w:szCs w:val="24"/>
        </w:rPr>
      </w:pPr>
      <w:hyperlink r:id="rId18">
        <w:r w:rsidR="00C94630" w:rsidRPr="005E192C">
          <w:rPr>
            <w:rFonts w:ascii="Times New Roman" w:hAnsi="Times New Roman" w:cs="Times New Roman"/>
            <w:i/>
            <w:snapToGrid w:val="0"/>
            <w:sz w:val="24"/>
            <w:szCs w:val="24"/>
            <w:u w:val="single" w:color="0000FF"/>
          </w:rPr>
          <w:t>https://www.fda.gov/Med</w:t>
        </w:r>
      </w:hyperlink>
      <w:r w:rsidR="00C94630" w:rsidRPr="005E192C">
        <w:rPr>
          <w:rFonts w:ascii="Times New Roman" w:hAnsi="Times New Roman" w:cs="Times New Roman"/>
          <w:i/>
          <w:snapToGrid w:val="0"/>
          <w:sz w:val="24"/>
          <w:szCs w:val="24"/>
          <w:u w:val="single" w:color="0000FF"/>
        </w:rPr>
        <w:t>icalDevi</w:t>
      </w:r>
      <w:hyperlink r:id="rId19">
        <w:r w:rsidR="00C94630" w:rsidRPr="005E192C">
          <w:rPr>
            <w:rFonts w:ascii="Times New Roman" w:hAnsi="Times New Roman" w:cs="Times New Roman"/>
            <w:i/>
            <w:snapToGrid w:val="0"/>
            <w:sz w:val="24"/>
            <w:szCs w:val="24"/>
            <w:u w:val="single" w:color="0000FF"/>
          </w:rPr>
          <w:t>ces/DeviceRegulationandGuidance/GuidanceDocuments/default.htm</w:t>
        </w:r>
      </w:hyperlink>
    </w:p>
    <w:p w14:paraId="6579A044"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和</w:t>
      </w:r>
      <w:r w:rsidRPr="005E192C">
        <w:rPr>
          <w:rFonts w:ascii="Times New Roman" w:eastAsia="宋体" w:hAnsi="Times New Roman" w:cs="宋体"/>
          <w:i/>
          <w:sz w:val="24"/>
          <w:lang w:eastAsia="zh-CN"/>
        </w:rPr>
        <w:t>/</w:t>
      </w:r>
      <w:r w:rsidRPr="005E192C">
        <w:rPr>
          <w:rFonts w:ascii="Times New Roman" w:eastAsia="宋体" w:hAnsi="Times New Roman" w:cs="宋体"/>
          <w:i/>
          <w:sz w:val="24"/>
          <w:lang w:eastAsia="zh-CN"/>
        </w:rPr>
        <w:t>或</w:t>
      </w:r>
      <w:r w:rsidR="00650DDD" w:rsidRPr="005E192C">
        <w:rPr>
          <w:rFonts w:ascii="Times New Roman" w:eastAsia="宋体" w:hAnsi="Times New Roman" w:cs="宋体"/>
          <w:sz w:val="24"/>
          <w:lang w:eastAsia="zh-CN"/>
        </w:rPr>
        <w:br w:type="page"/>
      </w:r>
    </w:p>
    <w:p w14:paraId="060647B1"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eastAsia="宋体" w:hAnsi="Times New Roman" w:cs="宋体"/>
          <w:i/>
          <w:sz w:val="24"/>
          <w:lang w:eastAsia="zh-CN"/>
        </w:rPr>
        <w:lastRenderedPageBreak/>
        <w:t>政策与监管人员，</w:t>
      </w:r>
      <w:r w:rsidRPr="005E192C">
        <w:rPr>
          <w:rFonts w:ascii="Times New Roman" w:eastAsia="宋体" w:hAnsi="Times New Roman" w:cs="宋体"/>
          <w:i/>
          <w:sz w:val="24"/>
          <w:lang w:eastAsia="zh-CN"/>
        </w:rPr>
        <w:t>HFV-6</w:t>
      </w:r>
    </w:p>
    <w:p w14:paraId="39F915DC"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eastAsia="宋体" w:hAnsi="Times New Roman" w:cs="宋体"/>
          <w:i/>
          <w:sz w:val="24"/>
          <w:lang w:eastAsia="zh-CN"/>
        </w:rPr>
        <w:t>兽药中心</w:t>
      </w:r>
    </w:p>
    <w:p w14:paraId="23C87A7B" w14:textId="27B8CD9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美国食品</w:t>
      </w:r>
      <w:r w:rsidR="00447255" w:rsidRPr="005E192C">
        <w:rPr>
          <w:rFonts w:ascii="Times New Roman" w:eastAsia="宋体" w:hAnsi="Times New Roman" w:cs="宋体"/>
          <w:i/>
          <w:sz w:val="24"/>
          <w:lang w:eastAsia="zh-CN"/>
        </w:rPr>
        <w:t>药品</w:t>
      </w:r>
      <w:r w:rsidR="00AF0850">
        <w:rPr>
          <w:rFonts w:ascii="Times New Roman" w:eastAsia="宋体" w:hAnsi="Times New Roman" w:cs="宋体"/>
          <w:i/>
          <w:sz w:val="24"/>
          <w:lang w:eastAsia="zh-CN"/>
        </w:rPr>
        <w:t>监督</w:t>
      </w:r>
      <w:r w:rsidR="00447255" w:rsidRPr="005E192C">
        <w:rPr>
          <w:rFonts w:ascii="Times New Roman" w:eastAsia="宋体" w:hAnsi="Times New Roman" w:cs="宋体"/>
          <w:i/>
          <w:sz w:val="24"/>
          <w:lang w:eastAsia="zh-CN"/>
        </w:rPr>
        <w:t>管理局</w:t>
      </w:r>
    </w:p>
    <w:p w14:paraId="5D0F8731"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hAnsi="Times New Roman" w:cs="Times New Roman"/>
          <w:i/>
          <w:snapToGrid w:val="0"/>
          <w:sz w:val="24"/>
          <w:szCs w:val="24"/>
        </w:rPr>
        <w:t>7500 Standish Place, Rockville, MD 20855</w:t>
      </w:r>
    </w:p>
    <w:p w14:paraId="37C239B8"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proofErr w:type="gramStart"/>
      <w:r w:rsidRPr="005E192C">
        <w:rPr>
          <w:rFonts w:ascii="Times New Roman" w:hAnsi="Times New Roman" w:cs="Times New Roman"/>
          <w:i/>
          <w:snapToGrid w:val="0"/>
          <w:sz w:val="24"/>
          <w:szCs w:val="24"/>
          <w:u w:val="single" w:color="0000FF"/>
        </w:rPr>
        <w:t>http</w:t>
      </w:r>
      <w:proofErr w:type="gramEnd"/>
      <w:r w:rsidR="00706C45">
        <w:fldChar w:fldCharType="begin"/>
      </w:r>
      <w:r w:rsidR="00706C45">
        <w:instrText xml:space="preserve"> HYPERLINK "http://www.fda.gov/AnimalVeterinary/GuidanceComplianceEnforcement/GuidanceforIndustry/default.htm" \h </w:instrText>
      </w:r>
      <w:r w:rsidR="00706C45">
        <w:fldChar w:fldCharType="separate"/>
      </w:r>
      <w:r w:rsidRPr="005E192C">
        <w:rPr>
          <w:rFonts w:ascii="Times New Roman" w:hAnsi="Times New Roman" w:cs="Times New Roman"/>
          <w:i/>
          <w:snapToGrid w:val="0"/>
          <w:sz w:val="24"/>
          <w:szCs w:val="24"/>
          <w:u w:val="single" w:color="0000FF"/>
        </w:rPr>
        <w:t>s://www.fda</w:t>
      </w:r>
      <w:r w:rsidR="00706C45">
        <w:rPr>
          <w:rFonts w:ascii="Times New Roman" w:hAnsi="Times New Roman" w:cs="Times New Roman"/>
          <w:i/>
          <w:snapToGrid w:val="0"/>
          <w:sz w:val="24"/>
          <w:szCs w:val="24"/>
          <w:u w:val="single" w:color="0000FF"/>
        </w:rPr>
        <w:fldChar w:fldCharType="end"/>
      </w:r>
      <w:r w:rsidRPr="005E192C">
        <w:rPr>
          <w:rFonts w:ascii="Times New Roman" w:hAnsi="Times New Roman" w:cs="Times New Roman"/>
          <w:i/>
          <w:snapToGrid w:val="0"/>
          <w:sz w:val="24"/>
          <w:szCs w:val="24"/>
          <w:u w:val="single" w:color="0000FF"/>
        </w:rPr>
        <w:t>.gov</w:t>
      </w:r>
      <w:hyperlink r:id="rId20">
        <w:r w:rsidRPr="005E192C">
          <w:rPr>
            <w:rFonts w:ascii="Times New Roman" w:hAnsi="Times New Roman" w:cs="Times New Roman"/>
            <w:i/>
            <w:snapToGrid w:val="0"/>
            <w:sz w:val="24"/>
            <w:szCs w:val="24"/>
            <w:u w:val="single" w:color="0000FF"/>
          </w:rPr>
          <w:t>/AnimalVeterinary/GuidanceComplianceEnforcement/GuidanceforIndustry/default.htm</w:t>
        </w:r>
      </w:hyperlink>
    </w:p>
    <w:p w14:paraId="312D164B"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和</w:t>
      </w:r>
      <w:r w:rsidRPr="005E192C">
        <w:rPr>
          <w:rFonts w:ascii="Times New Roman" w:eastAsia="宋体" w:hAnsi="Times New Roman" w:cs="宋体"/>
          <w:i/>
          <w:sz w:val="24"/>
          <w:lang w:eastAsia="zh-CN"/>
        </w:rPr>
        <w:t>/</w:t>
      </w:r>
      <w:r w:rsidRPr="005E192C">
        <w:rPr>
          <w:rFonts w:ascii="Times New Roman" w:eastAsia="宋体" w:hAnsi="Times New Roman" w:cs="宋体"/>
          <w:i/>
          <w:sz w:val="24"/>
          <w:lang w:eastAsia="zh-CN"/>
        </w:rPr>
        <w:t>或</w:t>
      </w:r>
    </w:p>
    <w:p w14:paraId="29BD1BE8"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eastAsia="宋体" w:hAnsi="Times New Roman" w:cs="宋体"/>
          <w:i/>
          <w:sz w:val="24"/>
          <w:lang w:eastAsia="zh-CN"/>
        </w:rPr>
        <w:t>营养和食品标签办公室，营养项目工作人员，</w:t>
      </w:r>
      <w:r w:rsidRPr="005E192C">
        <w:rPr>
          <w:rFonts w:ascii="Times New Roman" w:eastAsia="宋体" w:hAnsi="Times New Roman" w:cs="宋体"/>
          <w:i/>
          <w:sz w:val="24"/>
          <w:lang w:eastAsia="zh-CN"/>
        </w:rPr>
        <w:t>HFS-830</w:t>
      </w:r>
    </w:p>
    <w:p w14:paraId="56E452E5" w14:textId="77B3DC3D"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eastAsia="宋体" w:hAnsi="Times New Roman" w:cs="宋体"/>
          <w:i/>
          <w:sz w:val="24"/>
          <w:lang w:eastAsia="zh-CN"/>
        </w:rPr>
        <w:t>美国食品</w:t>
      </w:r>
      <w:r w:rsidR="00447255" w:rsidRPr="005E192C">
        <w:rPr>
          <w:rFonts w:ascii="Times New Roman" w:eastAsia="宋体" w:hAnsi="Times New Roman" w:cs="宋体"/>
          <w:i/>
          <w:sz w:val="24"/>
          <w:lang w:eastAsia="zh-CN"/>
        </w:rPr>
        <w:t>药品</w:t>
      </w:r>
      <w:r w:rsidR="00AF0850">
        <w:rPr>
          <w:rFonts w:ascii="Times New Roman" w:eastAsia="宋体" w:hAnsi="Times New Roman" w:cs="宋体"/>
          <w:i/>
          <w:sz w:val="24"/>
          <w:lang w:eastAsia="zh-CN"/>
        </w:rPr>
        <w:t>监督</w:t>
      </w:r>
      <w:r w:rsidR="00447255" w:rsidRPr="005E192C">
        <w:rPr>
          <w:rFonts w:ascii="Times New Roman" w:eastAsia="宋体" w:hAnsi="Times New Roman" w:cs="宋体"/>
          <w:i/>
          <w:sz w:val="24"/>
          <w:lang w:eastAsia="zh-CN"/>
        </w:rPr>
        <w:t>管理局</w:t>
      </w:r>
      <w:r w:rsidRPr="005E192C">
        <w:rPr>
          <w:rFonts w:ascii="Times New Roman" w:eastAsia="宋体" w:hAnsi="Times New Roman" w:cs="宋体"/>
          <w:i/>
          <w:sz w:val="24"/>
          <w:lang w:eastAsia="zh-CN"/>
        </w:rPr>
        <w:t>，食品安全和应用营养中心</w:t>
      </w:r>
    </w:p>
    <w:p w14:paraId="104CFD33"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hAnsi="Times New Roman" w:cs="Times New Roman"/>
          <w:i/>
          <w:snapToGrid w:val="0"/>
          <w:sz w:val="24"/>
          <w:szCs w:val="24"/>
        </w:rPr>
        <w:t xml:space="preserve">5001 Campus Drive College Park, MD 20740 </w:t>
      </w:r>
      <w:hyperlink r:id="rId21">
        <w:r w:rsidRPr="005E192C">
          <w:rPr>
            <w:rFonts w:ascii="Times New Roman" w:hAnsi="Times New Roman" w:cs="Times New Roman"/>
            <w:i/>
            <w:snapToGrid w:val="0"/>
            <w:sz w:val="24"/>
            <w:szCs w:val="24"/>
            <w:u w:val="single" w:color="0000FF"/>
          </w:rPr>
          <w:t>http://www.fda.gov/FoodGuidances</w:t>
        </w:r>
      </w:hyperlink>
    </w:p>
    <w:p w14:paraId="749A577B"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i/>
          <w:sz w:val="24"/>
          <w:lang w:eastAsia="zh-CN"/>
        </w:rPr>
        <w:t>和</w:t>
      </w:r>
      <w:r w:rsidRPr="005E192C">
        <w:rPr>
          <w:rFonts w:ascii="Times New Roman" w:eastAsia="宋体" w:hAnsi="Times New Roman" w:cs="宋体"/>
          <w:i/>
          <w:sz w:val="24"/>
          <w:lang w:eastAsia="zh-CN"/>
        </w:rPr>
        <w:t>/</w:t>
      </w:r>
      <w:r w:rsidRPr="005E192C">
        <w:rPr>
          <w:rFonts w:ascii="Times New Roman" w:eastAsia="宋体" w:hAnsi="Times New Roman" w:cs="宋体"/>
          <w:i/>
          <w:sz w:val="24"/>
          <w:lang w:eastAsia="zh-CN"/>
        </w:rPr>
        <w:t>或</w:t>
      </w:r>
    </w:p>
    <w:p w14:paraId="601AEE3C"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r w:rsidRPr="005E192C">
        <w:rPr>
          <w:rFonts w:ascii="Times New Roman" w:eastAsia="宋体" w:hAnsi="Times New Roman" w:cs="宋体"/>
          <w:i/>
          <w:sz w:val="24"/>
          <w:lang w:eastAsia="zh-CN"/>
        </w:rPr>
        <w:t>注意：需要包含法规事务办公室（</w:t>
      </w:r>
      <w:r w:rsidRPr="005E192C">
        <w:rPr>
          <w:rFonts w:ascii="Times New Roman" w:eastAsia="宋体" w:hAnsi="Times New Roman" w:cs="宋体"/>
          <w:i/>
          <w:sz w:val="24"/>
          <w:lang w:eastAsia="zh-CN"/>
        </w:rPr>
        <w:t>ORA</w:t>
      </w:r>
      <w:r w:rsidRPr="005E192C">
        <w:rPr>
          <w:rFonts w:ascii="Times New Roman" w:eastAsia="宋体" w:hAnsi="Times New Roman" w:cs="宋体"/>
          <w:i/>
          <w:sz w:val="24"/>
          <w:lang w:eastAsia="zh-CN"/>
        </w:rPr>
        <w:t>）的联系信息</w:t>
      </w:r>
    </w:p>
    <w:p w14:paraId="04326B03"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eastAsia="宋体" w:hAnsi="Times New Roman" w:cs="宋体"/>
          <w:i/>
          <w:sz w:val="24"/>
        </w:rPr>
        <w:t xml:space="preserve">Kristin </w:t>
      </w:r>
      <w:proofErr w:type="spellStart"/>
      <w:r w:rsidRPr="005E192C">
        <w:rPr>
          <w:rFonts w:ascii="Times New Roman" w:eastAsia="宋体" w:hAnsi="Times New Roman" w:cs="宋体"/>
          <w:i/>
          <w:sz w:val="24"/>
        </w:rPr>
        <w:t>Maloney</w:t>
      </w:r>
      <w:r w:rsidRPr="005E192C">
        <w:rPr>
          <w:rFonts w:ascii="Times New Roman" w:eastAsia="宋体" w:hAnsi="Times New Roman" w:cs="宋体"/>
          <w:i/>
          <w:sz w:val="24"/>
        </w:rPr>
        <w:t>将提供</w:t>
      </w:r>
      <w:r w:rsidRPr="005E192C">
        <w:rPr>
          <w:rFonts w:ascii="Times New Roman" w:eastAsia="宋体" w:hAnsi="Times New Roman" w:cs="宋体"/>
          <w:i/>
          <w:sz w:val="24"/>
        </w:rPr>
        <w:t>ORA</w:t>
      </w:r>
      <w:r w:rsidRPr="005E192C">
        <w:rPr>
          <w:rFonts w:ascii="Times New Roman" w:eastAsia="宋体" w:hAnsi="Times New Roman" w:cs="宋体"/>
          <w:i/>
          <w:sz w:val="24"/>
        </w:rPr>
        <w:t>的联系信息</w:t>
      </w:r>
      <w:proofErr w:type="spellEnd"/>
    </w:p>
    <w:p w14:paraId="1D400532"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eastAsia="宋体" w:hAnsi="Times New Roman" w:cs="宋体"/>
          <w:i/>
          <w:sz w:val="24"/>
        </w:rPr>
        <w:t>和</w:t>
      </w:r>
      <w:r w:rsidRPr="005E192C">
        <w:rPr>
          <w:rFonts w:ascii="Times New Roman" w:eastAsia="宋体" w:hAnsi="Times New Roman" w:cs="宋体"/>
          <w:i/>
          <w:sz w:val="24"/>
        </w:rPr>
        <w:t>/</w:t>
      </w:r>
      <w:r w:rsidRPr="005E192C">
        <w:rPr>
          <w:rFonts w:ascii="Times New Roman" w:eastAsia="宋体" w:hAnsi="Times New Roman" w:cs="宋体"/>
          <w:i/>
          <w:sz w:val="24"/>
        </w:rPr>
        <w:t>或</w:t>
      </w:r>
    </w:p>
    <w:p w14:paraId="3C13FDFF"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i/>
          <w:snapToGrid w:val="0"/>
          <w:sz w:val="24"/>
          <w:szCs w:val="24"/>
          <w:lang w:eastAsia="zh-CN"/>
        </w:rPr>
      </w:pPr>
      <w:proofErr w:type="spellStart"/>
      <w:r w:rsidRPr="005E192C">
        <w:rPr>
          <w:rFonts w:ascii="Times New Roman" w:eastAsia="宋体" w:hAnsi="Times New Roman" w:cs="宋体"/>
          <w:i/>
          <w:sz w:val="24"/>
        </w:rPr>
        <w:t>小企业援助办公室</w:t>
      </w:r>
      <w:proofErr w:type="spellEnd"/>
    </w:p>
    <w:p w14:paraId="6603E744"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proofErr w:type="spellStart"/>
      <w:r w:rsidRPr="005E192C">
        <w:rPr>
          <w:rFonts w:ascii="Times New Roman" w:eastAsia="宋体" w:hAnsi="Times New Roman" w:cs="宋体"/>
          <w:i/>
          <w:sz w:val="24"/>
        </w:rPr>
        <w:t>烟草制品管理中心</w:t>
      </w:r>
      <w:proofErr w:type="spellEnd"/>
    </w:p>
    <w:p w14:paraId="3ECC0E6B"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hAnsi="Times New Roman" w:cs="Times New Roman"/>
          <w:i/>
          <w:snapToGrid w:val="0"/>
          <w:sz w:val="24"/>
          <w:szCs w:val="24"/>
        </w:rPr>
        <w:t xml:space="preserve">Document </w:t>
      </w:r>
      <w:r w:rsidR="00B57F95" w:rsidRPr="005E192C">
        <w:rPr>
          <w:rFonts w:ascii="Times New Roman" w:hAnsi="Times New Roman" w:cs="Times New Roman"/>
          <w:i/>
          <w:snapToGrid w:val="0"/>
          <w:sz w:val="24"/>
          <w:szCs w:val="24"/>
        </w:rPr>
        <w:t>Control Center, Bldg.</w:t>
      </w:r>
      <w:r w:rsidRPr="005E192C">
        <w:rPr>
          <w:rFonts w:ascii="Times New Roman" w:hAnsi="Times New Roman" w:cs="Times New Roman"/>
          <w:i/>
          <w:snapToGrid w:val="0"/>
          <w:sz w:val="24"/>
          <w:szCs w:val="24"/>
        </w:rPr>
        <w:t>71, Rm. G335, 10903 New Hampshire Ave.</w:t>
      </w:r>
    </w:p>
    <w:p w14:paraId="3551FC3C"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r w:rsidRPr="005E192C">
        <w:rPr>
          <w:rFonts w:ascii="Times New Roman" w:hAnsi="Times New Roman" w:cs="Times New Roman"/>
          <w:i/>
          <w:snapToGrid w:val="0"/>
          <w:sz w:val="24"/>
          <w:szCs w:val="24"/>
        </w:rPr>
        <w:t>Silver Spring, MD 20993-2000.</w:t>
      </w:r>
    </w:p>
    <w:p w14:paraId="254649B6" w14:textId="77777777" w:rsidR="00B56F84" w:rsidRPr="005E192C" w:rsidRDefault="000E1954" w:rsidP="00BE6EBE">
      <w:pPr>
        <w:adjustRightInd w:val="0"/>
        <w:snapToGrid w:val="0"/>
        <w:spacing w:beforeLines="10" w:before="24" w:line="300" w:lineRule="auto"/>
        <w:jc w:val="center"/>
        <w:rPr>
          <w:rFonts w:ascii="Times New Roman" w:hAnsi="Times New Roman" w:cs="Times New Roman"/>
          <w:snapToGrid w:val="0"/>
          <w:sz w:val="24"/>
          <w:szCs w:val="24"/>
        </w:rPr>
      </w:pPr>
      <w:hyperlink r:id="rId22">
        <w:r w:rsidR="00C94630" w:rsidRPr="005E192C">
          <w:rPr>
            <w:rFonts w:ascii="Times New Roman" w:hAnsi="Times New Roman" w:cs="Times New Roman"/>
            <w:i/>
            <w:snapToGrid w:val="0"/>
            <w:sz w:val="24"/>
            <w:szCs w:val="24"/>
            <w:u w:val="single" w:color="0000FF"/>
          </w:rPr>
          <w:t>http://www.fda.gov/TobaccoProducts/Labeling/RulesRegulationsGuidance/default.htm.</w:t>
        </w:r>
      </w:hyperlink>
    </w:p>
    <w:p w14:paraId="1486A2A3" w14:textId="77777777" w:rsidR="00B56F84" w:rsidRPr="005E192C" w:rsidRDefault="00B56F84" w:rsidP="00BE6EBE">
      <w:pPr>
        <w:adjustRightInd w:val="0"/>
        <w:snapToGrid w:val="0"/>
        <w:spacing w:beforeLines="10" w:before="24" w:line="300" w:lineRule="auto"/>
        <w:jc w:val="both"/>
        <w:rPr>
          <w:rFonts w:ascii="Times New Roman" w:hAnsi="Times New Roman" w:cs="Times New Roman"/>
          <w:snapToGrid w:val="0"/>
          <w:sz w:val="24"/>
          <w:szCs w:val="24"/>
        </w:rPr>
      </w:pPr>
    </w:p>
    <w:p w14:paraId="0C1A00B0" w14:textId="77777777" w:rsidR="00B56F84" w:rsidRPr="005E192C" w:rsidRDefault="00B56F84" w:rsidP="00BE6EBE">
      <w:pPr>
        <w:adjustRightInd w:val="0"/>
        <w:snapToGrid w:val="0"/>
        <w:spacing w:beforeLines="10" w:before="24" w:line="300" w:lineRule="auto"/>
        <w:jc w:val="both"/>
        <w:rPr>
          <w:rFonts w:ascii="Times New Roman" w:hAnsi="Times New Roman" w:cs="Times New Roman"/>
          <w:snapToGrid w:val="0"/>
          <w:sz w:val="24"/>
          <w:szCs w:val="24"/>
        </w:rPr>
      </w:pPr>
    </w:p>
    <w:p w14:paraId="5C991FA0" w14:textId="77777777" w:rsidR="00B56F84" w:rsidRPr="005E192C" w:rsidRDefault="00B56F84" w:rsidP="00BE6EBE">
      <w:pPr>
        <w:adjustRightInd w:val="0"/>
        <w:snapToGrid w:val="0"/>
        <w:spacing w:beforeLines="10" w:before="24" w:line="300" w:lineRule="auto"/>
        <w:jc w:val="both"/>
        <w:rPr>
          <w:rFonts w:ascii="Times New Roman" w:hAnsi="Times New Roman" w:cs="Times New Roman"/>
          <w:snapToGrid w:val="0"/>
          <w:sz w:val="24"/>
          <w:szCs w:val="24"/>
        </w:rPr>
      </w:pPr>
    </w:p>
    <w:p w14:paraId="795F2619" w14:textId="77777777" w:rsidR="00650DDD" w:rsidRPr="005E192C" w:rsidRDefault="00650DDD" w:rsidP="00BE6EBE">
      <w:pPr>
        <w:adjustRightInd w:val="0"/>
        <w:snapToGrid w:val="0"/>
        <w:spacing w:beforeLines="10" w:before="24" w:line="300" w:lineRule="auto"/>
        <w:jc w:val="center"/>
        <w:rPr>
          <w:rFonts w:ascii="Times New Roman" w:hAnsi="Times New Roman" w:cs="Times New Roman"/>
          <w:b/>
          <w:snapToGrid w:val="0"/>
          <w:sz w:val="24"/>
          <w:szCs w:val="24"/>
          <w:lang w:eastAsia="zh-CN"/>
        </w:rPr>
      </w:pPr>
      <w:r w:rsidRPr="005E192C">
        <w:rPr>
          <w:rFonts w:ascii="Times New Roman" w:eastAsia="宋体" w:hAnsi="Times New Roman" w:cs="宋体"/>
          <w:b/>
          <w:sz w:val="24"/>
          <w:lang w:eastAsia="zh-CN"/>
        </w:rPr>
        <w:t>美国卫生与公共服务部</w:t>
      </w:r>
    </w:p>
    <w:p w14:paraId="52457947" w14:textId="4A150DD1" w:rsidR="00B56F84" w:rsidRPr="005E192C" w:rsidRDefault="00C94630" w:rsidP="00BE6EBE">
      <w:pPr>
        <w:adjustRightInd w:val="0"/>
        <w:snapToGrid w:val="0"/>
        <w:spacing w:beforeLines="10" w:before="24"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美国食品</w:t>
      </w:r>
      <w:r w:rsidR="00447255" w:rsidRPr="005E192C">
        <w:rPr>
          <w:rFonts w:ascii="Times New Roman" w:eastAsia="宋体" w:hAnsi="Times New Roman" w:cs="宋体"/>
          <w:b/>
          <w:sz w:val="24"/>
          <w:lang w:eastAsia="zh-CN"/>
        </w:rPr>
        <w:t>药品</w:t>
      </w:r>
      <w:r w:rsidR="00AF0850">
        <w:rPr>
          <w:rFonts w:ascii="Times New Roman" w:eastAsia="宋体" w:hAnsi="Times New Roman" w:cs="宋体"/>
          <w:b/>
          <w:sz w:val="24"/>
          <w:lang w:eastAsia="zh-CN"/>
        </w:rPr>
        <w:t>监督</w:t>
      </w:r>
      <w:r w:rsidR="00447255" w:rsidRPr="005E192C">
        <w:rPr>
          <w:rFonts w:ascii="Times New Roman" w:eastAsia="宋体" w:hAnsi="Times New Roman" w:cs="宋体"/>
          <w:b/>
          <w:sz w:val="24"/>
          <w:lang w:eastAsia="zh-CN"/>
        </w:rPr>
        <w:t>管理局</w:t>
      </w:r>
    </w:p>
    <w:p w14:paraId="4E4A7DB9"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药品评价与研究中心（</w:t>
      </w:r>
      <w:r w:rsidRPr="005E192C">
        <w:rPr>
          <w:rFonts w:ascii="Times New Roman" w:eastAsia="宋体" w:hAnsi="Times New Roman" w:cs="宋体"/>
          <w:b/>
          <w:sz w:val="24"/>
          <w:lang w:eastAsia="zh-CN"/>
        </w:rPr>
        <w:t>CDER</w:t>
      </w:r>
      <w:r w:rsidRPr="005E192C">
        <w:rPr>
          <w:rFonts w:ascii="Times New Roman" w:eastAsia="宋体" w:hAnsi="Times New Roman" w:cs="宋体"/>
          <w:b/>
          <w:sz w:val="24"/>
          <w:lang w:eastAsia="zh-CN"/>
        </w:rPr>
        <w:t>）</w:t>
      </w:r>
    </w:p>
    <w:p w14:paraId="1AC5EF63" w14:textId="2C59F9B4" w:rsidR="00650DDD" w:rsidRPr="005E192C" w:rsidRDefault="00C94630" w:rsidP="00BE6EBE">
      <w:pPr>
        <w:adjustRightInd w:val="0"/>
        <w:snapToGrid w:val="0"/>
        <w:spacing w:beforeLines="10" w:before="24"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生物制品评价</w:t>
      </w:r>
      <w:r w:rsidR="00AF0850">
        <w:rPr>
          <w:rFonts w:ascii="Times New Roman" w:eastAsia="宋体" w:hAnsi="Times New Roman" w:cs="宋体"/>
          <w:b/>
          <w:sz w:val="24"/>
          <w:lang w:eastAsia="zh-CN"/>
        </w:rPr>
        <w:t>与</w:t>
      </w:r>
      <w:r w:rsidRPr="005E192C">
        <w:rPr>
          <w:rFonts w:ascii="Times New Roman" w:eastAsia="宋体" w:hAnsi="Times New Roman" w:cs="宋体"/>
          <w:b/>
          <w:sz w:val="24"/>
          <w:lang w:eastAsia="zh-CN"/>
        </w:rPr>
        <w:t>研究中心（</w:t>
      </w:r>
      <w:r w:rsidRPr="005E192C">
        <w:rPr>
          <w:rFonts w:ascii="Times New Roman" w:eastAsia="宋体" w:hAnsi="Times New Roman" w:cs="宋体"/>
          <w:b/>
          <w:sz w:val="24"/>
          <w:lang w:eastAsia="zh-CN"/>
        </w:rPr>
        <w:t>CBER</w:t>
      </w:r>
      <w:r w:rsidRPr="005E192C">
        <w:rPr>
          <w:rFonts w:ascii="Times New Roman" w:eastAsia="宋体" w:hAnsi="Times New Roman" w:cs="宋体"/>
          <w:b/>
          <w:sz w:val="24"/>
          <w:lang w:eastAsia="zh-CN"/>
        </w:rPr>
        <w:t>）</w:t>
      </w:r>
    </w:p>
    <w:p w14:paraId="367D5FE3" w14:textId="12CD4131" w:rsidR="00650DDD" w:rsidRPr="005E192C" w:rsidRDefault="00AF0850" w:rsidP="00BE6EBE">
      <w:pPr>
        <w:adjustRightInd w:val="0"/>
        <w:snapToGrid w:val="0"/>
        <w:spacing w:beforeLines="10" w:before="24" w:line="300" w:lineRule="auto"/>
        <w:jc w:val="center"/>
        <w:rPr>
          <w:rFonts w:ascii="Times New Roman" w:hAnsi="Times New Roman" w:cs="Times New Roman"/>
          <w:b/>
          <w:bCs/>
          <w:snapToGrid w:val="0"/>
          <w:sz w:val="24"/>
          <w:szCs w:val="24"/>
          <w:lang w:eastAsia="zh-CN"/>
        </w:rPr>
      </w:pPr>
      <w:r>
        <w:rPr>
          <w:rFonts w:ascii="Times New Roman" w:eastAsia="宋体" w:hAnsi="Times New Roman" w:cs="宋体"/>
          <w:b/>
          <w:sz w:val="24"/>
          <w:lang w:eastAsia="zh-CN"/>
        </w:rPr>
        <w:t>医疗</w:t>
      </w:r>
      <w:r w:rsidR="009D0902" w:rsidRPr="005E192C">
        <w:rPr>
          <w:rFonts w:ascii="Times New Roman" w:eastAsia="宋体" w:hAnsi="Times New Roman" w:cs="宋体"/>
          <w:b/>
          <w:sz w:val="24"/>
          <w:lang w:eastAsia="zh-CN"/>
        </w:rPr>
        <w:t>器械和</w:t>
      </w:r>
      <w:r>
        <w:rPr>
          <w:rFonts w:ascii="Times New Roman" w:eastAsia="宋体" w:hAnsi="Times New Roman" w:cs="宋体"/>
          <w:b/>
          <w:sz w:val="24"/>
          <w:lang w:eastAsia="zh-CN"/>
        </w:rPr>
        <w:t>辐射健康</w:t>
      </w:r>
      <w:r w:rsidR="009D0902" w:rsidRPr="005E192C">
        <w:rPr>
          <w:rFonts w:ascii="Times New Roman" w:eastAsia="宋体" w:hAnsi="Times New Roman" w:cs="宋体"/>
          <w:b/>
          <w:sz w:val="24"/>
          <w:lang w:eastAsia="zh-CN"/>
        </w:rPr>
        <w:t>中心</w:t>
      </w:r>
      <w:r w:rsidR="00C94630" w:rsidRPr="005E192C">
        <w:rPr>
          <w:rFonts w:ascii="Times New Roman" w:eastAsia="宋体" w:hAnsi="Times New Roman" w:cs="宋体"/>
          <w:b/>
          <w:sz w:val="24"/>
          <w:lang w:eastAsia="zh-CN"/>
        </w:rPr>
        <w:t>（</w:t>
      </w:r>
      <w:r w:rsidR="00C94630" w:rsidRPr="005E192C">
        <w:rPr>
          <w:rFonts w:ascii="Times New Roman" w:eastAsia="宋体" w:hAnsi="Times New Roman" w:cs="宋体"/>
          <w:b/>
          <w:sz w:val="24"/>
          <w:lang w:eastAsia="zh-CN"/>
        </w:rPr>
        <w:t>CDRH</w:t>
      </w:r>
      <w:r w:rsidR="00C94630" w:rsidRPr="005E192C">
        <w:rPr>
          <w:rFonts w:ascii="Times New Roman" w:eastAsia="宋体" w:hAnsi="Times New Roman" w:cs="宋体"/>
          <w:b/>
          <w:sz w:val="24"/>
          <w:lang w:eastAsia="zh-CN"/>
        </w:rPr>
        <w:t>）</w:t>
      </w:r>
    </w:p>
    <w:p w14:paraId="02D466C7"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b/>
          <w:sz w:val="24"/>
          <w:lang w:eastAsia="zh-CN"/>
        </w:rPr>
        <w:t>兽药中心（</w:t>
      </w:r>
      <w:r w:rsidRPr="005E192C">
        <w:rPr>
          <w:rFonts w:ascii="Times New Roman" w:eastAsia="宋体" w:hAnsi="Times New Roman" w:cs="宋体"/>
          <w:b/>
          <w:sz w:val="24"/>
          <w:lang w:eastAsia="zh-CN"/>
        </w:rPr>
        <w:t>CVM</w:t>
      </w:r>
      <w:r w:rsidRPr="005E192C">
        <w:rPr>
          <w:rFonts w:ascii="Times New Roman" w:eastAsia="宋体" w:hAnsi="Times New Roman" w:cs="宋体"/>
          <w:b/>
          <w:sz w:val="24"/>
          <w:lang w:eastAsia="zh-CN"/>
        </w:rPr>
        <w:t>）</w:t>
      </w:r>
    </w:p>
    <w:p w14:paraId="29779592"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食品安全与应用营养学中心（</w:t>
      </w:r>
      <w:r w:rsidRPr="005E192C">
        <w:rPr>
          <w:rFonts w:ascii="Times New Roman" w:eastAsia="宋体" w:hAnsi="Times New Roman" w:cs="宋体"/>
          <w:b/>
          <w:sz w:val="24"/>
          <w:lang w:eastAsia="zh-CN"/>
        </w:rPr>
        <w:t>CFSAN</w:t>
      </w:r>
      <w:r w:rsidRPr="005E192C">
        <w:rPr>
          <w:rFonts w:ascii="Times New Roman" w:eastAsia="宋体" w:hAnsi="Times New Roman" w:cs="宋体"/>
          <w:b/>
          <w:sz w:val="24"/>
          <w:lang w:eastAsia="zh-CN"/>
        </w:rPr>
        <w:t>）</w:t>
      </w:r>
    </w:p>
    <w:p w14:paraId="6BB1BB22"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lang w:eastAsia="zh-CN"/>
        </w:rPr>
      </w:pPr>
      <w:r w:rsidRPr="005E192C">
        <w:rPr>
          <w:rFonts w:ascii="Times New Roman" w:eastAsia="宋体" w:hAnsi="Times New Roman" w:cs="宋体"/>
          <w:b/>
          <w:sz w:val="24"/>
          <w:lang w:eastAsia="zh-CN"/>
        </w:rPr>
        <w:t>烟草制品管理中心（</w:t>
      </w:r>
      <w:r w:rsidRPr="005E192C">
        <w:rPr>
          <w:rFonts w:ascii="Times New Roman" w:eastAsia="宋体" w:hAnsi="Times New Roman" w:cs="宋体"/>
          <w:b/>
          <w:sz w:val="24"/>
          <w:lang w:eastAsia="zh-CN"/>
        </w:rPr>
        <w:t>CTP</w:t>
      </w:r>
      <w:r w:rsidRPr="005E192C">
        <w:rPr>
          <w:rFonts w:ascii="Times New Roman" w:eastAsia="宋体" w:hAnsi="Times New Roman" w:cs="宋体"/>
          <w:b/>
          <w:sz w:val="24"/>
          <w:lang w:eastAsia="zh-CN"/>
        </w:rPr>
        <w:t>）</w:t>
      </w:r>
    </w:p>
    <w:p w14:paraId="1C6507EE" w14:textId="77777777" w:rsidR="00B56F84" w:rsidRPr="005E192C" w:rsidRDefault="00B56F84" w:rsidP="00BE6EBE">
      <w:pPr>
        <w:adjustRightInd w:val="0"/>
        <w:snapToGrid w:val="0"/>
        <w:spacing w:beforeLines="10" w:before="24" w:line="300" w:lineRule="auto"/>
        <w:jc w:val="both"/>
        <w:rPr>
          <w:rFonts w:ascii="Times New Roman" w:hAnsi="Times New Roman" w:cs="Times New Roman"/>
          <w:snapToGrid w:val="0"/>
          <w:sz w:val="24"/>
          <w:szCs w:val="24"/>
          <w:lang w:eastAsia="zh-CN"/>
        </w:rPr>
      </w:pPr>
    </w:p>
    <w:p w14:paraId="6AEE039C" w14:textId="77777777" w:rsidR="00650DDD" w:rsidRPr="005E192C" w:rsidRDefault="00C94630" w:rsidP="00BE6EBE">
      <w:pPr>
        <w:adjustRightInd w:val="0"/>
        <w:snapToGrid w:val="0"/>
        <w:spacing w:beforeLines="10" w:before="24" w:line="300" w:lineRule="auto"/>
        <w:jc w:val="center"/>
        <w:rPr>
          <w:rFonts w:ascii="Times New Roman" w:hAnsi="Times New Roman" w:cs="Times New Roman"/>
          <w:b/>
          <w:bCs/>
          <w:snapToGrid w:val="0"/>
          <w:sz w:val="24"/>
          <w:szCs w:val="24"/>
          <w:lang w:eastAsia="zh-CN"/>
        </w:rPr>
      </w:pPr>
      <w:r w:rsidRPr="005E192C">
        <w:rPr>
          <w:rFonts w:ascii="Times New Roman" w:eastAsia="宋体" w:hAnsi="Times New Roman" w:cs="宋体"/>
          <w:b/>
          <w:sz w:val="24"/>
        </w:rPr>
        <w:t>2019</w:t>
      </w:r>
      <w:r w:rsidRPr="005E192C">
        <w:rPr>
          <w:rFonts w:ascii="Times New Roman" w:eastAsia="宋体" w:hAnsi="Times New Roman" w:cs="宋体"/>
          <w:b/>
          <w:sz w:val="24"/>
        </w:rPr>
        <w:t>年</w:t>
      </w:r>
      <w:r w:rsidRPr="005E192C">
        <w:rPr>
          <w:rFonts w:ascii="Times New Roman" w:eastAsia="宋体" w:hAnsi="Times New Roman" w:cs="宋体"/>
          <w:b/>
          <w:sz w:val="24"/>
        </w:rPr>
        <w:t>7</w:t>
      </w:r>
      <w:r w:rsidRPr="005E192C">
        <w:rPr>
          <w:rFonts w:ascii="Times New Roman" w:eastAsia="宋体" w:hAnsi="Times New Roman" w:cs="宋体"/>
          <w:b/>
          <w:sz w:val="24"/>
        </w:rPr>
        <w:t>月</w:t>
      </w:r>
    </w:p>
    <w:p w14:paraId="480D62D2" w14:textId="77777777" w:rsidR="00B56F84" w:rsidRPr="005E192C" w:rsidRDefault="00C94630" w:rsidP="00BE6EBE">
      <w:pPr>
        <w:adjustRightInd w:val="0"/>
        <w:snapToGrid w:val="0"/>
        <w:spacing w:beforeLines="10" w:before="24" w:line="300" w:lineRule="auto"/>
        <w:jc w:val="center"/>
        <w:rPr>
          <w:rFonts w:ascii="Times New Roman" w:hAnsi="Times New Roman" w:cs="Times New Roman"/>
          <w:snapToGrid w:val="0"/>
          <w:sz w:val="24"/>
          <w:szCs w:val="24"/>
        </w:rPr>
      </w:pPr>
      <w:proofErr w:type="spellStart"/>
      <w:r w:rsidRPr="005E192C">
        <w:rPr>
          <w:rFonts w:ascii="Times New Roman" w:eastAsia="宋体" w:hAnsi="Times New Roman" w:cs="宋体"/>
          <w:b/>
          <w:sz w:val="24"/>
        </w:rPr>
        <w:t>药理学</w:t>
      </w:r>
      <w:proofErr w:type="spellEnd"/>
      <w:r w:rsidRPr="005E192C">
        <w:rPr>
          <w:rFonts w:ascii="Times New Roman" w:eastAsia="宋体" w:hAnsi="Times New Roman" w:cs="宋体"/>
          <w:b/>
          <w:sz w:val="24"/>
        </w:rPr>
        <w:t>/</w:t>
      </w:r>
      <w:proofErr w:type="spellStart"/>
      <w:r w:rsidRPr="005E192C">
        <w:rPr>
          <w:rFonts w:ascii="Times New Roman" w:eastAsia="宋体" w:hAnsi="Times New Roman" w:cs="宋体"/>
          <w:b/>
          <w:sz w:val="24"/>
        </w:rPr>
        <w:t>毒理学</w:t>
      </w:r>
      <w:proofErr w:type="spellEnd"/>
    </w:p>
    <w:p w14:paraId="4494E28A" w14:textId="77777777" w:rsidR="00F2792F" w:rsidRPr="005E192C" w:rsidRDefault="00F2792F"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EC39037" w14:textId="77777777" w:rsidR="00E303D2" w:rsidRPr="005E192C" w:rsidRDefault="00E303D2"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4F805DC7" w14:textId="77777777" w:rsidR="00E303D2" w:rsidRPr="005E192C" w:rsidRDefault="00E303D2" w:rsidP="00E303D2">
      <w:pPr>
        <w:adjustRightInd w:val="0"/>
        <w:snapToGrid w:val="0"/>
        <w:spacing w:beforeLines="50" w:before="120" w:line="300" w:lineRule="auto"/>
        <w:jc w:val="both"/>
        <w:rPr>
          <w:rFonts w:ascii="Times New Roman" w:hAnsi="Times New Roman" w:cs="Times New Roman"/>
          <w:snapToGrid w:val="0"/>
          <w:sz w:val="24"/>
          <w:szCs w:val="24"/>
          <w:lang w:eastAsia="zh-CN"/>
        </w:rPr>
        <w:sectPr w:rsidR="00E303D2" w:rsidRPr="005E192C" w:rsidSect="00650DDD">
          <w:pgSz w:w="11907" w:h="16840" w:code="9"/>
          <w:pgMar w:top="1418" w:right="1418" w:bottom="1418" w:left="1418" w:header="720" w:footer="720" w:gutter="0"/>
          <w:cols w:space="239"/>
        </w:sectPr>
      </w:pPr>
    </w:p>
    <w:p w14:paraId="0A9A864B" w14:textId="77777777" w:rsidR="00B56F84" w:rsidRPr="005E192C" w:rsidRDefault="00C94630" w:rsidP="00E303D2">
      <w:pPr>
        <w:adjustRightInd w:val="0"/>
        <w:snapToGrid w:val="0"/>
        <w:spacing w:beforeLines="50" w:before="120" w:line="300" w:lineRule="auto"/>
        <w:jc w:val="center"/>
        <w:rPr>
          <w:rFonts w:ascii="Times New Roman" w:hAnsi="Times New Roman" w:cs="Times New Roman"/>
          <w:b/>
          <w:bCs/>
          <w:snapToGrid w:val="0"/>
          <w:sz w:val="28"/>
          <w:szCs w:val="28"/>
        </w:rPr>
      </w:pPr>
      <w:proofErr w:type="spellStart"/>
      <w:r w:rsidRPr="005E192C">
        <w:rPr>
          <w:rFonts w:ascii="Times New Roman" w:eastAsia="宋体" w:hAnsi="Times New Roman" w:cs="宋体"/>
          <w:sz w:val="28"/>
        </w:rPr>
        <w:lastRenderedPageBreak/>
        <w:t>目录</w:t>
      </w:r>
      <w:proofErr w:type="spellEnd"/>
    </w:p>
    <w:p w14:paraId="651EAD68" w14:textId="77777777" w:rsidR="00BE6EBE" w:rsidRPr="005E192C" w:rsidRDefault="00F2792F" w:rsidP="00BE6EBE">
      <w:pPr>
        <w:pStyle w:val="1"/>
        <w:rPr>
          <w:rFonts w:asciiTheme="minorHAnsi" w:hAnsiTheme="minorHAnsi"/>
          <w:noProof/>
          <w:kern w:val="2"/>
          <w:sz w:val="21"/>
          <w:lang w:eastAsia="zh-CN"/>
        </w:rPr>
      </w:pPr>
      <w:r w:rsidRPr="005E192C">
        <w:rPr>
          <w:rFonts w:cs="Times New Roman"/>
          <w:b/>
          <w:bCs/>
          <w:snapToGrid w:val="0"/>
          <w:szCs w:val="24"/>
        </w:rPr>
        <w:fldChar w:fldCharType="begin"/>
      </w:r>
      <w:r w:rsidRPr="005E192C">
        <w:rPr>
          <w:rFonts w:cs="Times New Roman"/>
          <w:b/>
          <w:bCs/>
          <w:snapToGrid w:val="0"/>
          <w:szCs w:val="24"/>
        </w:rPr>
        <w:instrText xml:space="preserve"> TOC \o "1-1" \h \z \u </w:instrText>
      </w:r>
      <w:r w:rsidRPr="005E192C">
        <w:rPr>
          <w:rFonts w:cs="Times New Roman"/>
          <w:b/>
          <w:bCs/>
          <w:snapToGrid w:val="0"/>
          <w:szCs w:val="24"/>
        </w:rPr>
        <w:fldChar w:fldCharType="separate"/>
      </w:r>
      <w:hyperlink w:anchor="_Toc91239251" w:history="1">
        <w:r w:rsidR="00BE6EBE" w:rsidRPr="005E192C">
          <w:rPr>
            <w:rStyle w:val="a7"/>
            <w:rFonts w:eastAsia="宋体" w:cs="宋体"/>
            <w:b/>
            <w:noProof/>
            <w:color w:val="auto"/>
            <w:lang w:eastAsia="zh-CN"/>
          </w:rPr>
          <w:t>I.</w:t>
        </w:r>
        <w:r w:rsidR="00BE6EBE" w:rsidRPr="005E192C">
          <w:rPr>
            <w:rFonts w:asciiTheme="minorHAnsi" w:hAnsiTheme="minorHAnsi"/>
            <w:noProof/>
            <w:kern w:val="2"/>
            <w:sz w:val="21"/>
            <w:lang w:eastAsia="zh-CN"/>
          </w:rPr>
          <w:tab/>
        </w:r>
        <w:r w:rsidR="00BE6EBE" w:rsidRPr="005E192C">
          <w:rPr>
            <w:rStyle w:val="a7"/>
            <w:rFonts w:eastAsia="宋体" w:cs="宋体" w:hint="eastAsia"/>
            <w:b/>
            <w:noProof/>
            <w:color w:val="auto"/>
            <w:lang w:eastAsia="zh-CN"/>
          </w:rPr>
          <w:t>引言</w:t>
        </w:r>
        <w:r w:rsidR="00BE6EBE" w:rsidRPr="005E192C">
          <w:rPr>
            <w:noProof/>
            <w:webHidden/>
          </w:rPr>
          <w:tab/>
        </w:r>
        <w:r w:rsidR="00BE6EBE" w:rsidRPr="005E192C">
          <w:rPr>
            <w:noProof/>
            <w:webHidden/>
          </w:rPr>
          <w:fldChar w:fldCharType="begin"/>
        </w:r>
        <w:r w:rsidR="00BE6EBE" w:rsidRPr="005E192C">
          <w:rPr>
            <w:noProof/>
            <w:webHidden/>
          </w:rPr>
          <w:instrText xml:space="preserve"> PAGEREF _Toc91239251 \h </w:instrText>
        </w:r>
        <w:r w:rsidR="00BE6EBE" w:rsidRPr="005E192C">
          <w:rPr>
            <w:noProof/>
            <w:webHidden/>
          </w:rPr>
        </w:r>
        <w:r w:rsidR="00BE6EBE" w:rsidRPr="005E192C">
          <w:rPr>
            <w:noProof/>
            <w:webHidden/>
          </w:rPr>
          <w:fldChar w:fldCharType="separate"/>
        </w:r>
        <w:r w:rsidR="00286C2F" w:rsidRPr="005E192C">
          <w:rPr>
            <w:noProof/>
            <w:webHidden/>
          </w:rPr>
          <w:t>1</w:t>
        </w:r>
        <w:r w:rsidR="00BE6EBE" w:rsidRPr="005E192C">
          <w:rPr>
            <w:noProof/>
            <w:webHidden/>
          </w:rPr>
          <w:fldChar w:fldCharType="end"/>
        </w:r>
      </w:hyperlink>
    </w:p>
    <w:p w14:paraId="64EF5787" w14:textId="77777777" w:rsidR="00BE6EBE" w:rsidRPr="005E192C" w:rsidRDefault="000E1954" w:rsidP="00BE6EBE">
      <w:pPr>
        <w:pStyle w:val="1"/>
        <w:ind w:left="720" w:hanging="720"/>
        <w:rPr>
          <w:rFonts w:asciiTheme="minorHAnsi" w:hAnsiTheme="minorHAnsi"/>
          <w:noProof/>
          <w:kern w:val="2"/>
          <w:sz w:val="21"/>
          <w:lang w:eastAsia="zh-CN"/>
        </w:rPr>
      </w:pPr>
      <w:hyperlink w:anchor="_Toc91239252" w:history="1">
        <w:r w:rsidR="00BE6EBE" w:rsidRPr="005E192C">
          <w:rPr>
            <w:rStyle w:val="a7"/>
            <w:rFonts w:eastAsia="宋体" w:cs="宋体"/>
            <w:b/>
            <w:noProof/>
            <w:color w:val="auto"/>
            <w:lang w:eastAsia="zh-CN"/>
          </w:rPr>
          <w:t>II.</w:t>
        </w:r>
        <w:r w:rsidR="00BE6EBE" w:rsidRPr="005E192C">
          <w:rPr>
            <w:rFonts w:asciiTheme="minorHAnsi" w:hAnsiTheme="minorHAnsi"/>
            <w:noProof/>
            <w:kern w:val="2"/>
            <w:sz w:val="21"/>
            <w:lang w:eastAsia="zh-CN"/>
          </w:rPr>
          <w:tab/>
        </w:r>
        <w:r w:rsidR="00BE6EBE" w:rsidRPr="005E192C">
          <w:rPr>
            <w:rStyle w:val="a7"/>
            <w:rFonts w:eastAsia="宋体" w:cs="宋体" w:hint="eastAsia"/>
            <w:b/>
            <w:noProof/>
            <w:color w:val="auto"/>
            <w:lang w:eastAsia="zh-CN"/>
          </w:rPr>
          <w:t>背景</w:t>
        </w:r>
        <w:r w:rsidR="00BE6EBE" w:rsidRPr="005E192C">
          <w:rPr>
            <w:noProof/>
            <w:webHidden/>
          </w:rPr>
          <w:tab/>
        </w:r>
        <w:r w:rsidR="00BE6EBE" w:rsidRPr="005E192C">
          <w:rPr>
            <w:noProof/>
            <w:webHidden/>
          </w:rPr>
          <w:fldChar w:fldCharType="begin"/>
        </w:r>
        <w:r w:rsidR="00BE6EBE" w:rsidRPr="005E192C">
          <w:rPr>
            <w:noProof/>
            <w:webHidden/>
          </w:rPr>
          <w:instrText xml:space="preserve"> PAGEREF _Toc91239252 \h </w:instrText>
        </w:r>
        <w:r w:rsidR="00BE6EBE" w:rsidRPr="005E192C">
          <w:rPr>
            <w:noProof/>
            <w:webHidden/>
          </w:rPr>
        </w:r>
        <w:r w:rsidR="00BE6EBE" w:rsidRPr="005E192C">
          <w:rPr>
            <w:noProof/>
            <w:webHidden/>
          </w:rPr>
          <w:fldChar w:fldCharType="separate"/>
        </w:r>
        <w:r w:rsidR="00286C2F" w:rsidRPr="005E192C">
          <w:rPr>
            <w:noProof/>
            <w:webHidden/>
          </w:rPr>
          <w:t>1</w:t>
        </w:r>
        <w:r w:rsidR="00BE6EBE" w:rsidRPr="005E192C">
          <w:rPr>
            <w:noProof/>
            <w:webHidden/>
          </w:rPr>
          <w:fldChar w:fldCharType="end"/>
        </w:r>
      </w:hyperlink>
    </w:p>
    <w:p w14:paraId="4CFDD3B2" w14:textId="77777777" w:rsidR="00BE6EBE" w:rsidRPr="005E192C" w:rsidRDefault="000E1954" w:rsidP="00BE6EBE">
      <w:pPr>
        <w:pStyle w:val="1"/>
        <w:ind w:left="720" w:hanging="720"/>
        <w:rPr>
          <w:rFonts w:asciiTheme="minorHAnsi" w:hAnsiTheme="minorHAnsi"/>
          <w:noProof/>
          <w:kern w:val="2"/>
          <w:sz w:val="21"/>
          <w:lang w:eastAsia="zh-CN"/>
        </w:rPr>
      </w:pPr>
      <w:hyperlink w:anchor="_Toc91239253" w:history="1">
        <w:r w:rsidR="00BE6EBE" w:rsidRPr="005E192C">
          <w:rPr>
            <w:rStyle w:val="a7"/>
            <w:rFonts w:eastAsia="宋体" w:cs="宋体"/>
            <w:b/>
            <w:noProof/>
            <w:color w:val="auto"/>
            <w:lang w:eastAsia="zh-CN"/>
          </w:rPr>
          <w:t>III.</w:t>
        </w:r>
        <w:r w:rsidR="00BE6EBE" w:rsidRPr="005E192C">
          <w:rPr>
            <w:rFonts w:asciiTheme="minorHAnsi" w:hAnsiTheme="minorHAnsi"/>
            <w:noProof/>
            <w:kern w:val="2"/>
            <w:sz w:val="21"/>
            <w:lang w:eastAsia="zh-CN"/>
          </w:rPr>
          <w:tab/>
        </w:r>
        <w:r w:rsidR="00BE6EBE" w:rsidRPr="005E192C">
          <w:rPr>
            <w:rStyle w:val="a7"/>
            <w:rFonts w:eastAsia="宋体" w:cs="宋体" w:hint="eastAsia"/>
            <w:b/>
            <w:noProof/>
            <w:color w:val="auto"/>
            <w:lang w:eastAsia="zh-CN"/>
          </w:rPr>
          <w:t>问答</w:t>
        </w:r>
        <w:r w:rsidR="00BE6EBE" w:rsidRPr="005E192C">
          <w:rPr>
            <w:noProof/>
            <w:webHidden/>
          </w:rPr>
          <w:tab/>
        </w:r>
        <w:r w:rsidR="00BE6EBE" w:rsidRPr="005E192C">
          <w:rPr>
            <w:noProof/>
            <w:webHidden/>
          </w:rPr>
          <w:fldChar w:fldCharType="begin"/>
        </w:r>
        <w:r w:rsidR="00BE6EBE" w:rsidRPr="005E192C">
          <w:rPr>
            <w:noProof/>
            <w:webHidden/>
          </w:rPr>
          <w:instrText xml:space="preserve"> PAGEREF _Toc91239253 \h </w:instrText>
        </w:r>
        <w:r w:rsidR="00BE6EBE" w:rsidRPr="005E192C">
          <w:rPr>
            <w:noProof/>
            <w:webHidden/>
          </w:rPr>
        </w:r>
        <w:r w:rsidR="00BE6EBE" w:rsidRPr="005E192C">
          <w:rPr>
            <w:noProof/>
            <w:webHidden/>
          </w:rPr>
          <w:fldChar w:fldCharType="separate"/>
        </w:r>
        <w:r w:rsidR="00286C2F" w:rsidRPr="005E192C">
          <w:rPr>
            <w:noProof/>
            <w:webHidden/>
          </w:rPr>
          <w:t>2</w:t>
        </w:r>
        <w:r w:rsidR="00BE6EBE" w:rsidRPr="005E192C">
          <w:rPr>
            <w:noProof/>
            <w:webHidden/>
          </w:rPr>
          <w:fldChar w:fldCharType="end"/>
        </w:r>
      </w:hyperlink>
    </w:p>
    <w:p w14:paraId="40AF44F5" w14:textId="77777777" w:rsidR="00F2792F" w:rsidRPr="005E192C" w:rsidRDefault="00F2792F" w:rsidP="00E303D2">
      <w:pPr>
        <w:tabs>
          <w:tab w:val="left" w:pos="719"/>
          <w:tab w:val="left" w:pos="820"/>
          <w:tab w:val="right" w:leader="dot" w:pos="9350"/>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hAnsi="Times New Roman" w:cs="Times New Roman"/>
          <w:b/>
          <w:bCs/>
          <w:snapToGrid w:val="0"/>
          <w:sz w:val="24"/>
          <w:szCs w:val="24"/>
        </w:rPr>
        <w:fldChar w:fldCharType="end"/>
      </w:r>
    </w:p>
    <w:p w14:paraId="1EF5370F" w14:textId="77777777" w:rsidR="00E303D2" w:rsidRPr="005E192C" w:rsidRDefault="00E303D2" w:rsidP="00E303D2">
      <w:pPr>
        <w:tabs>
          <w:tab w:val="left" w:pos="719"/>
          <w:tab w:val="left" w:pos="820"/>
          <w:tab w:val="right" w:leader="dot" w:pos="9350"/>
        </w:tabs>
        <w:adjustRightInd w:val="0"/>
        <w:snapToGrid w:val="0"/>
        <w:spacing w:beforeLines="50" w:before="120" w:line="300" w:lineRule="auto"/>
        <w:jc w:val="both"/>
        <w:rPr>
          <w:rFonts w:ascii="Times New Roman" w:hAnsi="Times New Roman" w:cs="Times New Roman"/>
          <w:snapToGrid w:val="0"/>
          <w:sz w:val="24"/>
          <w:szCs w:val="24"/>
          <w:lang w:eastAsia="zh-CN"/>
        </w:rPr>
      </w:pPr>
    </w:p>
    <w:p w14:paraId="404DFBF0" w14:textId="77777777" w:rsidR="00E303D2" w:rsidRPr="005E192C" w:rsidRDefault="00E303D2" w:rsidP="00E303D2">
      <w:pPr>
        <w:tabs>
          <w:tab w:val="left" w:pos="719"/>
          <w:tab w:val="left" w:pos="820"/>
          <w:tab w:val="right" w:leader="dot" w:pos="9350"/>
        </w:tabs>
        <w:adjustRightInd w:val="0"/>
        <w:snapToGrid w:val="0"/>
        <w:spacing w:beforeLines="50" w:before="120" w:line="300" w:lineRule="auto"/>
        <w:jc w:val="both"/>
        <w:rPr>
          <w:rFonts w:ascii="Times New Roman" w:hAnsi="Times New Roman" w:cs="Times New Roman"/>
          <w:snapToGrid w:val="0"/>
          <w:sz w:val="24"/>
          <w:szCs w:val="24"/>
          <w:lang w:eastAsia="zh-CN"/>
        </w:rPr>
        <w:sectPr w:rsidR="00E303D2" w:rsidRPr="005E192C" w:rsidSect="00650DDD">
          <w:headerReference w:type="default" r:id="rId23"/>
          <w:pgSz w:w="11907" w:h="16840" w:code="9"/>
          <w:pgMar w:top="1418" w:right="1418" w:bottom="1418" w:left="1418" w:header="720" w:footer="720" w:gutter="0"/>
          <w:cols w:space="239"/>
        </w:sectPr>
      </w:pPr>
    </w:p>
    <w:p w14:paraId="0AC6F697" w14:textId="3F9C51EB" w:rsidR="00B56F84" w:rsidRPr="005E192C" w:rsidRDefault="00C94630" w:rsidP="00E303D2">
      <w:pPr>
        <w:tabs>
          <w:tab w:val="left" w:pos="747"/>
        </w:tabs>
        <w:adjustRightInd w:val="0"/>
        <w:snapToGrid w:val="0"/>
        <w:spacing w:beforeLines="50" w:before="120" w:line="300" w:lineRule="auto"/>
        <w:jc w:val="center"/>
        <w:rPr>
          <w:rFonts w:ascii="Times New Roman" w:hAnsi="Times New Roman" w:cs="Times New Roman"/>
          <w:snapToGrid w:val="0"/>
          <w:sz w:val="28"/>
          <w:szCs w:val="28"/>
          <w:lang w:eastAsia="zh-CN"/>
        </w:rPr>
      </w:pPr>
      <w:r w:rsidRPr="005E192C">
        <w:rPr>
          <w:rFonts w:ascii="Times New Roman" w:eastAsia="宋体" w:hAnsi="Times New Roman" w:cs="宋体"/>
          <w:b/>
          <w:sz w:val="28"/>
          <w:lang w:eastAsia="zh-CN"/>
        </w:rPr>
        <w:lastRenderedPageBreak/>
        <w:t>非临床毒理学研究中的病理学</w:t>
      </w:r>
      <w:r w:rsidR="005671DB">
        <w:rPr>
          <w:rFonts w:ascii="Times New Roman" w:eastAsia="宋体" w:hAnsi="Times New Roman" w:cs="宋体"/>
          <w:b/>
          <w:sz w:val="28"/>
          <w:lang w:eastAsia="zh-CN"/>
        </w:rPr>
        <w:t>同行评审</w:t>
      </w:r>
      <w:r w:rsidRPr="005E192C">
        <w:rPr>
          <w:rFonts w:ascii="Times New Roman" w:eastAsia="宋体" w:hAnsi="Times New Roman" w:cs="宋体"/>
          <w:b/>
          <w:sz w:val="28"/>
          <w:lang w:eastAsia="zh-CN"/>
        </w:rPr>
        <w:t>：问题与解答</w:t>
      </w:r>
    </w:p>
    <w:p w14:paraId="0DEEAE83" w14:textId="77777777" w:rsidR="00B56F84" w:rsidRPr="005E192C" w:rsidRDefault="00C94630" w:rsidP="00E303D2">
      <w:pPr>
        <w:tabs>
          <w:tab w:val="left" w:pos="3808"/>
        </w:tabs>
        <w:adjustRightInd w:val="0"/>
        <w:snapToGrid w:val="0"/>
        <w:spacing w:beforeLines="50" w:before="120" w:line="300" w:lineRule="auto"/>
        <w:jc w:val="center"/>
        <w:rPr>
          <w:rFonts w:ascii="Times New Roman" w:hAnsi="Times New Roman" w:cs="Times New Roman"/>
          <w:snapToGrid w:val="0"/>
          <w:sz w:val="24"/>
          <w:szCs w:val="24"/>
        </w:rPr>
      </w:pPr>
      <w:r w:rsidRPr="005E192C">
        <w:rPr>
          <w:rFonts w:ascii="Times New Roman" w:eastAsia="宋体" w:hAnsi="Times New Roman" w:cs="宋体"/>
          <w:b/>
          <w:sz w:val="28"/>
        </w:rPr>
        <w:t>行业指南</w:t>
      </w:r>
      <w:r w:rsidRPr="005E192C">
        <w:rPr>
          <w:rFonts w:ascii="Times New Roman" w:eastAsia="宋体" w:hAnsi="Times New Roman" w:cs="宋体"/>
          <w:b/>
          <w:sz w:val="28"/>
          <w:vertAlign w:val="superscript"/>
        </w:rPr>
        <w:t>1</w:t>
      </w:r>
    </w:p>
    <w:tbl>
      <w:tblPr>
        <w:tblStyle w:val="a6"/>
        <w:tblW w:w="5000" w:type="pct"/>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287"/>
      </w:tblGrid>
      <w:tr w:rsidR="005E192C" w:rsidRPr="005E192C" w14:paraId="25093147" w14:textId="77777777" w:rsidTr="00E303D2">
        <w:tc>
          <w:tcPr>
            <w:tcW w:w="5000" w:type="pct"/>
          </w:tcPr>
          <w:p w14:paraId="18A99F26" w14:textId="77777777" w:rsidR="00650DDD" w:rsidRPr="005E192C" w:rsidRDefault="00650DDD" w:rsidP="00E303D2">
            <w:pPr>
              <w:adjustRightInd w:val="0"/>
              <w:snapToGrid w:val="0"/>
              <w:spacing w:beforeLines="15" w:before="36" w:line="276" w:lineRule="auto"/>
              <w:jc w:val="both"/>
              <w:rPr>
                <w:sz w:val="21"/>
                <w:szCs w:val="21"/>
                <w:lang w:eastAsia="zh-CN"/>
              </w:rPr>
            </w:pPr>
          </w:p>
          <w:p w14:paraId="670424EB" w14:textId="6AFF7BF6" w:rsidR="00650DDD" w:rsidRPr="005E192C" w:rsidRDefault="00146BE9" w:rsidP="00E303D2">
            <w:pPr>
              <w:adjustRightInd w:val="0"/>
              <w:snapToGrid w:val="0"/>
              <w:spacing w:beforeLines="15" w:before="36" w:line="276" w:lineRule="auto"/>
              <w:jc w:val="both"/>
              <w:rPr>
                <w:rFonts w:ascii="Times New Roman" w:hAnsi="Times New Roman" w:cs="Times New Roman"/>
                <w:snapToGrid w:val="0"/>
                <w:sz w:val="21"/>
                <w:szCs w:val="21"/>
                <w:lang w:eastAsia="zh-CN"/>
              </w:rPr>
            </w:pPr>
            <w:r w:rsidRPr="005E192C">
              <w:rPr>
                <w:rFonts w:ascii="Times New Roman" w:eastAsia="宋体" w:hAnsi="Times New Roman" w:cs="宋体" w:hint="eastAsia"/>
                <w:sz w:val="21"/>
                <w:lang w:eastAsia="zh-CN"/>
              </w:rPr>
              <w:t>本</w:t>
            </w:r>
            <w:r w:rsidR="00650DDD" w:rsidRPr="005E192C">
              <w:rPr>
                <w:rFonts w:ascii="Times New Roman" w:eastAsia="宋体" w:hAnsi="Times New Roman" w:cs="宋体"/>
                <w:sz w:val="21"/>
                <w:lang w:eastAsia="zh-CN"/>
              </w:rPr>
              <w:t>指南最终定稿后，将</w:t>
            </w:r>
            <w:r w:rsidR="00C05221" w:rsidRPr="005E192C">
              <w:rPr>
                <w:rFonts w:ascii="Times New Roman" w:eastAsia="宋体" w:hAnsi="Times New Roman" w:cs="宋体" w:hint="eastAsia"/>
                <w:sz w:val="21"/>
                <w:lang w:eastAsia="zh-CN"/>
              </w:rPr>
              <w:t>代表</w:t>
            </w:r>
            <w:r w:rsidR="00120A50">
              <w:rPr>
                <w:rFonts w:ascii="Times New Roman" w:eastAsia="宋体" w:hAnsi="Times New Roman" w:cs="宋体" w:hint="eastAsia"/>
                <w:sz w:val="21"/>
                <w:lang w:eastAsia="zh-CN"/>
              </w:rPr>
              <w:t>美国</w:t>
            </w:r>
            <w:r w:rsidR="00C05221" w:rsidRPr="005E192C">
              <w:rPr>
                <w:rFonts w:ascii="Times New Roman" w:eastAsia="宋体" w:hAnsi="Times New Roman" w:cs="宋体" w:hint="eastAsia"/>
                <w:sz w:val="21"/>
                <w:lang w:eastAsia="zh-CN"/>
              </w:rPr>
              <w:t>食品药品</w:t>
            </w:r>
            <w:r w:rsidR="00120A50">
              <w:rPr>
                <w:rFonts w:ascii="Times New Roman" w:eastAsia="宋体" w:hAnsi="Times New Roman" w:cs="宋体" w:hint="eastAsia"/>
                <w:sz w:val="21"/>
                <w:lang w:eastAsia="zh-CN"/>
              </w:rPr>
              <w:t>监督</w:t>
            </w:r>
            <w:r w:rsidR="00C05221" w:rsidRPr="005E192C">
              <w:rPr>
                <w:rFonts w:ascii="Times New Roman" w:eastAsia="宋体" w:hAnsi="Times New Roman" w:cs="宋体" w:hint="eastAsia"/>
                <w:sz w:val="21"/>
                <w:lang w:eastAsia="zh-CN"/>
              </w:rPr>
              <w:t>管理局（</w:t>
            </w:r>
            <w:r w:rsidR="00C05221" w:rsidRPr="005E192C">
              <w:rPr>
                <w:rFonts w:ascii="Times New Roman" w:eastAsia="宋体" w:hAnsi="Times New Roman" w:cs="宋体" w:hint="eastAsia"/>
                <w:sz w:val="21"/>
                <w:lang w:eastAsia="zh-CN"/>
              </w:rPr>
              <w:t>FDA</w:t>
            </w:r>
            <w:r w:rsidR="00EA43F7">
              <w:rPr>
                <w:rFonts w:ascii="Times New Roman" w:eastAsia="宋体" w:hAnsi="Times New Roman" w:cs="宋体" w:hint="eastAsia"/>
                <w:sz w:val="21"/>
                <w:lang w:eastAsia="zh-CN"/>
              </w:rPr>
              <w:t>或本机构</w:t>
            </w:r>
            <w:r w:rsidR="00C05221" w:rsidRPr="005E192C">
              <w:rPr>
                <w:rFonts w:ascii="Times New Roman" w:eastAsia="宋体" w:hAnsi="Times New Roman" w:cs="宋体" w:hint="eastAsia"/>
                <w:sz w:val="21"/>
                <w:lang w:eastAsia="zh-CN"/>
              </w:rPr>
              <w:t>）目前关于该主题的思考。其不会为任何人创造或赋予任何权利，也不会对</w:t>
            </w:r>
            <w:r w:rsidR="00C05221" w:rsidRPr="005E192C">
              <w:rPr>
                <w:rFonts w:ascii="Times New Roman" w:eastAsia="宋体" w:hAnsi="Times New Roman" w:cs="宋体" w:hint="eastAsia"/>
                <w:sz w:val="21"/>
                <w:lang w:eastAsia="zh-CN"/>
              </w:rPr>
              <w:t>FDA</w:t>
            </w:r>
            <w:r w:rsidR="00C05221" w:rsidRPr="005E192C">
              <w:rPr>
                <w:rFonts w:ascii="Times New Roman" w:eastAsia="宋体" w:hAnsi="Times New Roman" w:cs="宋体" w:hint="eastAsia"/>
                <w:sz w:val="21"/>
                <w:lang w:eastAsia="zh-CN"/>
              </w:rPr>
              <w:t>或公众产生约束。如果替代方法满足适用的法律法规的要求，则可以使用该</w:t>
            </w:r>
            <w:r w:rsidR="00EA43F7">
              <w:rPr>
                <w:rFonts w:ascii="Times New Roman" w:eastAsia="宋体" w:hAnsi="Times New Roman" w:cs="宋体" w:hint="eastAsia"/>
                <w:sz w:val="21"/>
                <w:lang w:eastAsia="zh-CN"/>
              </w:rPr>
              <w:t>替代</w:t>
            </w:r>
            <w:r w:rsidR="00C05221" w:rsidRPr="005E192C">
              <w:rPr>
                <w:rFonts w:ascii="Times New Roman" w:eastAsia="宋体" w:hAnsi="Times New Roman" w:cs="宋体" w:hint="eastAsia"/>
                <w:sz w:val="21"/>
                <w:lang w:eastAsia="zh-CN"/>
              </w:rPr>
              <w:t>方法。如需讨论替代方法，请联系标题页</w:t>
            </w:r>
            <w:r w:rsidR="00EA43F7">
              <w:rPr>
                <w:rFonts w:ascii="Times New Roman" w:eastAsia="宋体" w:hAnsi="Times New Roman" w:cs="宋体" w:hint="eastAsia"/>
                <w:sz w:val="21"/>
                <w:lang w:eastAsia="zh-CN"/>
              </w:rPr>
              <w:t>列出的</w:t>
            </w:r>
            <w:r w:rsidR="00C05221" w:rsidRPr="005E192C">
              <w:rPr>
                <w:rFonts w:ascii="Times New Roman" w:eastAsia="宋体" w:hAnsi="Times New Roman" w:cs="宋体" w:hint="eastAsia"/>
                <w:sz w:val="21"/>
                <w:lang w:eastAsia="zh-CN"/>
              </w:rPr>
              <w:t>负责实施本指南文件的</w:t>
            </w:r>
            <w:r w:rsidR="00C05221" w:rsidRPr="005E192C">
              <w:rPr>
                <w:rFonts w:ascii="Times New Roman" w:eastAsia="宋体" w:hAnsi="Times New Roman" w:cs="宋体" w:hint="eastAsia"/>
                <w:sz w:val="21"/>
                <w:lang w:eastAsia="zh-CN"/>
              </w:rPr>
              <w:t>FDA</w:t>
            </w:r>
            <w:r w:rsidR="00C05221" w:rsidRPr="005E192C">
              <w:rPr>
                <w:rFonts w:ascii="Times New Roman" w:eastAsia="宋体" w:hAnsi="Times New Roman" w:cs="宋体" w:hint="eastAsia"/>
                <w:sz w:val="21"/>
                <w:lang w:eastAsia="zh-CN"/>
              </w:rPr>
              <w:t>工作人员或办公室。</w:t>
            </w:r>
          </w:p>
        </w:tc>
      </w:tr>
    </w:tbl>
    <w:p w14:paraId="6CB42577" w14:textId="77777777" w:rsidR="00650DDD" w:rsidRPr="005E192C" w:rsidRDefault="00650DDD" w:rsidP="00E303D2">
      <w:pPr>
        <w:tabs>
          <w:tab w:val="left" w:pos="719"/>
          <w:tab w:val="left" w:pos="1439"/>
        </w:tabs>
        <w:adjustRightInd w:val="0"/>
        <w:snapToGrid w:val="0"/>
        <w:spacing w:beforeLines="50" w:before="120" w:line="300" w:lineRule="auto"/>
        <w:jc w:val="both"/>
        <w:rPr>
          <w:rFonts w:ascii="Times New Roman" w:hAnsi="Times New Roman" w:cs="Times New Roman"/>
          <w:snapToGrid w:val="0"/>
          <w:sz w:val="24"/>
          <w:szCs w:val="24"/>
          <w:lang w:eastAsia="zh-CN"/>
        </w:rPr>
      </w:pPr>
    </w:p>
    <w:p w14:paraId="560E3AAB" w14:textId="77777777" w:rsidR="00B56F84" w:rsidRPr="005E192C" w:rsidRDefault="00C94630" w:rsidP="00E303D2">
      <w:pPr>
        <w:tabs>
          <w:tab w:val="left" w:pos="719"/>
          <w:tab w:val="left" w:pos="1439"/>
        </w:tabs>
        <w:adjustRightInd w:val="0"/>
        <w:snapToGrid w:val="0"/>
        <w:spacing w:beforeLines="50" w:before="120" w:line="300" w:lineRule="auto"/>
        <w:ind w:left="562" w:hangingChars="200" w:hanging="562"/>
        <w:jc w:val="both"/>
        <w:outlineLvl w:val="0"/>
        <w:rPr>
          <w:rFonts w:ascii="Times New Roman" w:hAnsi="Times New Roman" w:cs="Times New Roman"/>
          <w:b/>
          <w:bCs/>
          <w:snapToGrid w:val="0"/>
          <w:sz w:val="28"/>
          <w:szCs w:val="28"/>
          <w:lang w:eastAsia="zh-CN"/>
        </w:rPr>
      </w:pPr>
      <w:bookmarkStart w:id="1" w:name="_Toc91239251"/>
      <w:r w:rsidRPr="005E192C">
        <w:rPr>
          <w:rFonts w:ascii="Times New Roman" w:eastAsia="宋体" w:hAnsi="Times New Roman" w:cs="宋体"/>
          <w:b/>
          <w:sz w:val="28"/>
          <w:lang w:eastAsia="zh-CN"/>
        </w:rPr>
        <w:t>I.</w:t>
      </w:r>
      <w:r w:rsidRPr="005E192C">
        <w:rPr>
          <w:rFonts w:ascii="Times New Roman" w:eastAsia="宋体" w:hAnsi="Times New Roman" w:cs="宋体"/>
          <w:b/>
          <w:lang w:eastAsia="zh-CN"/>
        </w:rPr>
        <w:tab/>
      </w:r>
      <w:r w:rsidRPr="005E192C">
        <w:rPr>
          <w:rFonts w:ascii="Times New Roman" w:eastAsia="宋体" w:hAnsi="Times New Roman" w:cs="宋体"/>
          <w:b/>
          <w:sz w:val="28"/>
          <w:lang w:eastAsia="zh-CN"/>
        </w:rPr>
        <w:t>引言</w:t>
      </w:r>
      <w:bookmarkEnd w:id="1"/>
    </w:p>
    <w:p w14:paraId="7AED9672" w14:textId="5B19C673"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本指南为</w:t>
      </w:r>
      <w:r w:rsidR="00A44378" w:rsidRPr="005E192C">
        <w:rPr>
          <w:rFonts w:ascii="Times New Roman" w:eastAsia="宋体" w:hAnsi="Times New Roman" w:cs="宋体"/>
          <w:sz w:val="24"/>
          <w:lang w:eastAsia="zh-CN"/>
        </w:rPr>
        <w:t>申请人</w:t>
      </w:r>
      <w:r w:rsidR="0000259A" w:rsidRPr="005E192C">
        <w:rPr>
          <w:rFonts w:ascii="Times New Roman" w:eastAsia="宋体" w:hAnsi="Times New Roman" w:cs="宋体"/>
          <w:sz w:val="24"/>
          <w:lang w:eastAsia="zh-CN"/>
        </w:rPr>
        <w:t>和非临床实验室工作人员提供</w:t>
      </w:r>
      <w:r w:rsidRPr="005E192C">
        <w:rPr>
          <w:rFonts w:ascii="Times New Roman" w:eastAsia="宋体" w:hAnsi="Times New Roman" w:cs="宋体"/>
          <w:sz w:val="24"/>
          <w:lang w:eastAsia="zh-CN"/>
        </w:rPr>
        <w:t>毒理学研究（符合药物非临床研究质量管理规范，</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）期间，管理和实施病理学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的相关信息。进行病理学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时，应进行详细的记录。然而，尚未明确</w:t>
      </w:r>
      <w:r w:rsidR="00146BE9" w:rsidRPr="005E192C">
        <w:rPr>
          <w:rFonts w:ascii="Times New Roman" w:eastAsia="宋体" w:hAnsi="Times New Roman" w:cs="宋体" w:hint="eastAsia"/>
          <w:sz w:val="24"/>
          <w:lang w:eastAsia="zh-CN"/>
        </w:rPr>
        <w:t>说明</w:t>
      </w:r>
      <w:r w:rsidRPr="005E192C">
        <w:rPr>
          <w:rFonts w:ascii="Times New Roman" w:eastAsia="宋体" w:hAnsi="Times New Roman" w:cs="宋体"/>
          <w:sz w:val="24"/>
          <w:lang w:eastAsia="zh-CN"/>
        </w:rPr>
        <w:t>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期间记录的执行</w:t>
      </w:r>
      <w:r w:rsidR="00146BE9" w:rsidRPr="005E192C">
        <w:rPr>
          <w:rFonts w:ascii="Times New Roman" w:eastAsia="宋体" w:hAnsi="Times New Roman" w:cs="宋体" w:hint="eastAsia"/>
          <w:sz w:val="24"/>
          <w:lang w:eastAsia="zh-CN"/>
        </w:rPr>
        <w:t>要求</w:t>
      </w:r>
      <w:r w:rsidRPr="005E192C">
        <w:rPr>
          <w:rFonts w:ascii="Times New Roman" w:eastAsia="宋体" w:hAnsi="Times New Roman" w:cs="宋体"/>
          <w:sz w:val="24"/>
          <w:lang w:eastAsia="zh-CN"/>
        </w:rPr>
        <w:t>，并且因非临床检测机构</w:t>
      </w:r>
      <w:r w:rsidR="00146BE9" w:rsidRPr="005E192C">
        <w:rPr>
          <w:rFonts w:ascii="Times New Roman" w:eastAsia="宋体" w:hAnsi="Times New Roman" w:cs="宋体" w:hint="eastAsia"/>
          <w:sz w:val="24"/>
          <w:lang w:eastAsia="zh-CN"/>
        </w:rPr>
        <w:t>的不同</w:t>
      </w:r>
      <w:r w:rsidRPr="005E192C">
        <w:rPr>
          <w:rFonts w:ascii="Times New Roman" w:eastAsia="宋体" w:hAnsi="Times New Roman" w:cs="宋体"/>
          <w:sz w:val="24"/>
          <w:lang w:eastAsia="zh-CN"/>
        </w:rPr>
        <w:t>而异。本问答文件旨在阐明针对病理学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管理、实施和记录的</w:t>
      </w:r>
      <w:r w:rsidRPr="005E192C">
        <w:rPr>
          <w:rFonts w:ascii="Times New Roman" w:eastAsia="宋体" w:hAnsi="Times New Roman" w:cs="宋体"/>
          <w:sz w:val="24"/>
          <w:lang w:eastAsia="zh-CN"/>
        </w:rPr>
        <w:t>FDA</w:t>
      </w:r>
      <w:r w:rsidRPr="005E192C">
        <w:rPr>
          <w:rFonts w:ascii="Times New Roman" w:eastAsia="宋体" w:hAnsi="Times New Roman" w:cs="宋体"/>
          <w:sz w:val="24"/>
          <w:lang w:eastAsia="zh-CN"/>
        </w:rPr>
        <w:t>建议。</w:t>
      </w:r>
    </w:p>
    <w:p w14:paraId="07B19BF0" w14:textId="3649C2AC" w:rsidR="00B56F84" w:rsidRPr="005E192C" w:rsidRDefault="00966C19" w:rsidP="00E303D2">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hint="eastAsia"/>
          <w:sz w:val="24"/>
          <w:lang w:eastAsia="zh-CN"/>
        </w:rPr>
        <w:t>FDA</w:t>
      </w:r>
      <w:r w:rsidR="00DC550B">
        <w:rPr>
          <w:rFonts w:ascii="Times New Roman" w:eastAsia="宋体" w:hAnsi="Times New Roman" w:cs="宋体" w:hint="eastAsia"/>
          <w:sz w:val="24"/>
          <w:lang w:eastAsia="zh-CN"/>
        </w:rPr>
        <w:t>指南</w:t>
      </w:r>
      <w:r w:rsidRPr="005E192C">
        <w:rPr>
          <w:rFonts w:ascii="Times New Roman" w:eastAsia="宋体" w:hAnsi="Times New Roman" w:cs="宋体" w:hint="eastAsia"/>
          <w:sz w:val="24"/>
          <w:lang w:eastAsia="zh-CN"/>
        </w:rPr>
        <w:t>文件，包括本指南在内，不具有法律强制责任。相反，</w:t>
      </w:r>
      <w:r w:rsidR="00DC550B">
        <w:rPr>
          <w:rFonts w:ascii="Times New Roman" w:eastAsia="宋体" w:hAnsi="Times New Roman" w:cs="宋体" w:hint="eastAsia"/>
          <w:sz w:val="24"/>
          <w:lang w:eastAsia="zh-CN"/>
        </w:rPr>
        <w:t>本</w:t>
      </w:r>
      <w:r w:rsidRPr="005E192C">
        <w:rPr>
          <w:rFonts w:ascii="Times New Roman" w:eastAsia="宋体" w:hAnsi="Times New Roman" w:cs="宋体" w:hint="eastAsia"/>
          <w:sz w:val="24"/>
          <w:lang w:eastAsia="zh-CN"/>
        </w:rPr>
        <w:t>指南表明了</w:t>
      </w:r>
      <w:r w:rsidR="00DC550B">
        <w:rPr>
          <w:rFonts w:ascii="Times New Roman" w:eastAsia="宋体" w:hAnsi="Times New Roman" w:cs="宋体" w:hint="eastAsia"/>
          <w:sz w:val="24"/>
          <w:lang w:eastAsia="zh-CN"/>
        </w:rPr>
        <w:t>本</w:t>
      </w:r>
      <w:r w:rsidRPr="005E192C">
        <w:rPr>
          <w:rFonts w:ascii="Times New Roman" w:eastAsia="宋体" w:hAnsi="Times New Roman" w:cs="宋体" w:hint="eastAsia"/>
          <w:sz w:val="24"/>
          <w:lang w:eastAsia="zh-CN"/>
        </w:rPr>
        <w:t>机构目前关于该主题的思考，除非引用具体的法规或法律要求，否则只应视为建议。在本机构指南中使用词语“应”是指建议或推荐进行某一事项，并非强制要求。</w:t>
      </w:r>
    </w:p>
    <w:p w14:paraId="43B7F7DD" w14:textId="77777777" w:rsidR="00B56F84" w:rsidRPr="005E192C" w:rsidRDefault="00C94630" w:rsidP="00E303D2">
      <w:pPr>
        <w:tabs>
          <w:tab w:val="left" w:pos="719"/>
          <w:tab w:val="left" w:pos="1439"/>
        </w:tabs>
        <w:adjustRightInd w:val="0"/>
        <w:snapToGrid w:val="0"/>
        <w:spacing w:beforeLines="50" w:before="120" w:line="300" w:lineRule="auto"/>
        <w:ind w:left="562" w:hangingChars="200" w:hanging="562"/>
        <w:jc w:val="both"/>
        <w:outlineLvl w:val="0"/>
        <w:rPr>
          <w:rFonts w:ascii="Times New Roman" w:hAnsi="Times New Roman" w:cs="Times New Roman"/>
          <w:b/>
          <w:bCs/>
          <w:snapToGrid w:val="0"/>
          <w:sz w:val="28"/>
          <w:szCs w:val="28"/>
          <w:lang w:eastAsia="zh-CN"/>
        </w:rPr>
      </w:pPr>
      <w:bookmarkStart w:id="2" w:name="_Toc91239252"/>
      <w:r w:rsidRPr="005E192C">
        <w:rPr>
          <w:rFonts w:ascii="Times New Roman" w:eastAsia="宋体" w:hAnsi="Times New Roman" w:cs="宋体"/>
          <w:b/>
          <w:sz w:val="28"/>
          <w:lang w:eastAsia="zh-CN"/>
        </w:rPr>
        <w:t>II.</w:t>
      </w:r>
      <w:r w:rsidRPr="005E192C">
        <w:rPr>
          <w:rFonts w:ascii="Times New Roman" w:eastAsia="宋体" w:hAnsi="Times New Roman" w:cs="宋体"/>
          <w:b/>
          <w:lang w:eastAsia="zh-CN"/>
        </w:rPr>
        <w:tab/>
      </w:r>
      <w:r w:rsidRPr="005E192C">
        <w:rPr>
          <w:rFonts w:ascii="Times New Roman" w:eastAsia="宋体" w:hAnsi="Times New Roman" w:cs="宋体"/>
          <w:b/>
          <w:sz w:val="28"/>
          <w:lang w:eastAsia="zh-CN"/>
        </w:rPr>
        <w:t>背景</w:t>
      </w:r>
      <w:bookmarkEnd w:id="2"/>
    </w:p>
    <w:p w14:paraId="03ACC38A" w14:textId="71C959D7"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组织样本的组织病理学评价是</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符合性毒理学研究（称为</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研究）的关键组成部分。组织病理学评价包括研究病理学家的初步读片（组织切片），可能还包括由第二位或</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病理学家进行的后续审查（称为病理学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）。在有独特或意外发现的情况下，或者</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病理学家是某一类化合物的专家时，病理学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可能尤其有用。</w:t>
      </w:r>
    </w:p>
    <w:p w14:paraId="15D627FA" w14:textId="77777777" w:rsidR="00B56F84" w:rsidRPr="005E192C" w:rsidRDefault="00B56F84"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3C8670E" w14:textId="77777777" w:rsidR="00B56F84" w:rsidRPr="005E192C" w:rsidRDefault="003B5C36"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______________________________</w:t>
      </w:r>
    </w:p>
    <w:p w14:paraId="4A2657A1" w14:textId="347FF07A"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1"/>
          <w:szCs w:val="24"/>
          <w:lang w:eastAsia="zh-CN"/>
        </w:rPr>
      </w:pPr>
      <w:r w:rsidRPr="005E192C">
        <w:rPr>
          <w:rFonts w:ascii="Times New Roman" w:eastAsia="宋体" w:hAnsi="Times New Roman" w:cs="宋体"/>
          <w:sz w:val="21"/>
          <w:vertAlign w:val="superscript"/>
          <w:lang w:eastAsia="zh-CN"/>
        </w:rPr>
        <w:t>1</w:t>
      </w:r>
      <w:r w:rsidRPr="005E192C">
        <w:rPr>
          <w:rFonts w:ascii="Times New Roman" w:eastAsia="宋体" w:hAnsi="Times New Roman" w:cs="宋体"/>
          <w:sz w:val="21"/>
          <w:lang w:eastAsia="zh-CN"/>
        </w:rPr>
        <w:t>本指南由</w:t>
      </w:r>
      <w:r w:rsidR="00966C19" w:rsidRPr="005E192C">
        <w:rPr>
          <w:rFonts w:ascii="Times New Roman" w:eastAsia="宋体" w:hAnsi="Times New Roman" w:cs="宋体"/>
          <w:sz w:val="21"/>
          <w:lang w:eastAsia="zh-CN"/>
        </w:rPr>
        <w:t>美国食品药品</w:t>
      </w:r>
      <w:r w:rsidR="00120A50">
        <w:rPr>
          <w:rFonts w:ascii="Times New Roman" w:eastAsia="宋体" w:hAnsi="Times New Roman" w:cs="宋体"/>
          <w:sz w:val="21"/>
          <w:lang w:eastAsia="zh-CN"/>
        </w:rPr>
        <w:t>监督</w:t>
      </w:r>
      <w:r w:rsidR="00966C19" w:rsidRPr="005E192C">
        <w:rPr>
          <w:rFonts w:ascii="Times New Roman" w:eastAsia="宋体" w:hAnsi="Times New Roman" w:cs="宋体"/>
          <w:sz w:val="21"/>
          <w:lang w:eastAsia="zh-CN"/>
        </w:rPr>
        <w:t>管理局</w:t>
      </w:r>
      <w:r w:rsidRPr="005E192C">
        <w:rPr>
          <w:rFonts w:ascii="Times New Roman" w:eastAsia="宋体" w:hAnsi="Times New Roman" w:cs="宋体"/>
          <w:sz w:val="21"/>
          <w:lang w:eastAsia="zh-CN"/>
        </w:rPr>
        <w:t>的药物评价与研究中心</w:t>
      </w:r>
      <w:r w:rsidRPr="005E192C">
        <w:rPr>
          <w:rFonts w:ascii="Times New Roman" w:eastAsia="宋体" w:hAnsi="Times New Roman" w:cs="宋体"/>
          <w:sz w:val="21"/>
          <w:lang w:eastAsia="zh-CN"/>
        </w:rPr>
        <w:t>-</w:t>
      </w:r>
      <w:r w:rsidRPr="005E192C">
        <w:rPr>
          <w:rFonts w:ascii="Times New Roman" w:eastAsia="宋体" w:hAnsi="Times New Roman" w:cs="宋体"/>
          <w:sz w:val="21"/>
          <w:lang w:eastAsia="zh-CN"/>
        </w:rPr>
        <w:t>研究完整性和监督办公室编制，并与</w:t>
      </w:r>
      <w:r w:rsidR="00120A50">
        <w:rPr>
          <w:rFonts w:ascii="Times New Roman" w:eastAsia="宋体" w:hAnsi="Times New Roman" w:cs="宋体"/>
          <w:sz w:val="21"/>
          <w:lang w:eastAsia="zh-CN"/>
        </w:rPr>
        <w:t>医疗</w:t>
      </w:r>
      <w:r w:rsidR="009D0902" w:rsidRPr="005E192C">
        <w:rPr>
          <w:rFonts w:ascii="Times New Roman" w:eastAsia="宋体" w:hAnsi="Times New Roman" w:cs="宋体"/>
          <w:sz w:val="21"/>
          <w:lang w:eastAsia="zh-CN"/>
        </w:rPr>
        <w:t>器械和</w:t>
      </w:r>
      <w:r w:rsidR="00D44CE3">
        <w:rPr>
          <w:rFonts w:ascii="Times New Roman" w:eastAsia="宋体" w:hAnsi="Times New Roman" w:cs="宋体"/>
          <w:sz w:val="21"/>
          <w:lang w:eastAsia="zh-CN"/>
        </w:rPr>
        <w:t>辐射健康</w:t>
      </w:r>
      <w:r w:rsidR="009D0902" w:rsidRPr="005E192C">
        <w:rPr>
          <w:rFonts w:ascii="Times New Roman" w:eastAsia="宋体" w:hAnsi="Times New Roman" w:cs="宋体"/>
          <w:sz w:val="21"/>
          <w:lang w:eastAsia="zh-CN"/>
        </w:rPr>
        <w:t>中心</w:t>
      </w:r>
      <w:r w:rsidRPr="005E192C">
        <w:rPr>
          <w:rFonts w:ascii="Times New Roman" w:eastAsia="宋体" w:hAnsi="Times New Roman" w:cs="宋体"/>
          <w:sz w:val="21"/>
          <w:lang w:eastAsia="zh-CN"/>
        </w:rPr>
        <w:t>、生物制品评价与研究中心、兽药中心、食品安全与应用营养学中心，以及烟草制品管理中心共同研究。</w:t>
      </w:r>
    </w:p>
    <w:p w14:paraId="3BFCA9A2" w14:textId="77777777" w:rsidR="00B56F84" w:rsidRPr="005E192C" w:rsidRDefault="00650DDD"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br w:type="page"/>
      </w:r>
    </w:p>
    <w:p w14:paraId="67048623" w14:textId="4C1499A2"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lastRenderedPageBreak/>
        <w:t>CFR</w:t>
      </w:r>
      <w:r w:rsidR="00447255" w:rsidRPr="005E192C">
        <w:rPr>
          <w:rFonts w:ascii="Times New Roman" w:eastAsia="宋体" w:hAnsi="Times New Roman" w:cs="宋体" w:hint="eastAsia"/>
          <w:sz w:val="24"/>
          <w:lang w:eastAsia="zh-CN"/>
        </w:rPr>
        <w:t>第</w:t>
      </w:r>
      <w:r w:rsidR="00447255" w:rsidRPr="005E192C">
        <w:rPr>
          <w:rFonts w:ascii="Times New Roman" w:eastAsia="宋体" w:hAnsi="Times New Roman" w:cs="宋体" w:hint="eastAsia"/>
          <w:sz w:val="24"/>
          <w:lang w:eastAsia="zh-CN"/>
        </w:rPr>
        <w:t>2</w:t>
      </w:r>
      <w:r w:rsidR="00447255" w:rsidRPr="005E192C">
        <w:rPr>
          <w:rFonts w:ascii="Times New Roman" w:eastAsia="宋体" w:hAnsi="Times New Roman" w:cs="宋体"/>
          <w:sz w:val="24"/>
          <w:lang w:eastAsia="zh-CN"/>
        </w:rPr>
        <w:t>1</w:t>
      </w:r>
      <w:r w:rsidR="00447255" w:rsidRPr="005E192C">
        <w:rPr>
          <w:rFonts w:ascii="Times New Roman" w:eastAsia="宋体" w:hAnsi="Times New Roman" w:cs="宋体" w:hint="eastAsia"/>
          <w:sz w:val="24"/>
          <w:lang w:eastAsia="zh-CN"/>
        </w:rPr>
        <w:t>篇</w:t>
      </w:r>
      <w:r w:rsidRPr="005E192C">
        <w:rPr>
          <w:rFonts w:ascii="Times New Roman" w:eastAsia="宋体" w:hAnsi="Times New Roman" w:cs="宋体"/>
          <w:sz w:val="24"/>
          <w:lang w:eastAsia="zh-CN"/>
        </w:rPr>
        <w:t>第</w:t>
      </w:r>
      <w:r w:rsidRPr="005E192C">
        <w:rPr>
          <w:rFonts w:ascii="Times New Roman" w:eastAsia="宋体" w:hAnsi="Times New Roman" w:cs="宋体"/>
          <w:sz w:val="24"/>
          <w:lang w:eastAsia="zh-CN"/>
        </w:rPr>
        <w:t>58</w:t>
      </w:r>
      <w:r w:rsidRPr="005E192C">
        <w:rPr>
          <w:rFonts w:ascii="Times New Roman" w:eastAsia="宋体" w:hAnsi="Times New Roman" w:cs="宋体"/>
          <w:sz w:val="24"/>
          <w:lang w:eastAsia="zh-CN"/>
        </w:rPr>
        <w:t>部分（</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规定）包括组织病理学评价的一般要求（例如，要求提供组织病理学的书面标准操作程序）。尽管在</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研究期间进行病理学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可能很有价值，但</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法规中并未具体阐述病理学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。本指南的目的是为选择进行病理学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研究执行期间）的</w:t>
      </w:r>
      <w:r w:rsidR="00A44378" w:rsidRPr="005E192C">
        <w:rPr>
          <w:rFonts w:ascii="Times New Roman" w:eastAsia="宋体" w:hAnsi="Times New Roman" w:cs="宋体"/>
          <w:sz w:val="24"/>
          <w:lang w:eastAsia="zh-CN"/>
        </w:rPr>
        <w:t>申请人</w:t>
      </w:r>
      <w:r w:rsidRPr="005E192C">
        <w:rPr>
          <w:rFonts w:ascii="Times New Roman" w:eastAsia="宋体" w:hAnsi="Times New Roman" w:cs="宋体"/>
          <w:sz w:val="24"/>
          <w:lang w:eastAsia="zh-CN"/>
        </w:rPr>
        <w:t>和非临床实验室工作人员，提供相关信息。</w:t>
      </w:r>
    </w:p>
    <w:p w14:paraId="339AE833" w14:textId="77777777" w:rsidR="00B56F84" w:rsidRPr="005E192C" w:rsidRDefault="00C94630" w:rsidP="00E303D2">
      <w:pPr>
        <w:tabs>
          <w:tab w:val="left" w:pos="719"/>
          <w:tab w:val="left" w:pos="1439"/>
        </w:tabs>
        <w:adjustRightInd w:val="0"/>
        <w:snapToGrid w:val="0"/>
        <w:spacing w:beforeLines="50" w:before="120" w:line="300" w:lineRule="auto"/>
        <w:ind w:left="562" w:hangingChars="200" w:hanging="562"/>
        <w:jc w:val="both"/>
        <w:outlineLvl w:val="0"/>
        <w:rPr>
          <w:rFonts w:ascii="Times New Roman" w:hAnsi="Times New Roman" w:cs="Times New Roman"/>
          <w:b/>
          <w:bCs/>
          <w:snapToGrid w:val="0"/>
          <w:sz w:val="28"/>
          <w:szCs w:val="28"/>
          <w:lang w:eastAsia="zh-CN"/>
        </w:rPr>
      </w:pPr>
      <w:bookmarkStart w:id="3" w:name="_Toc91239253"/>
      <w:r w:rsidRPr="005E192C">
        <w:rPr>
          <w:rFonts w:ascii="Times New Roman" w:eastAsia="宋体" w:hAnsi="Times New Roman" w:cs="宋体"/>
          <w:b/>
          <w:sz w:val="28"/>
          <w:lang w:eastAsia="zh-CN"/>
        </w:rPr>
        <w:t>III.</w:t>
      </w:r>
      <w:r w:rsidRPr="005E192C">
        <w:rPr>
          <w:rFonts w:ascii="Times New Roman" w:eastAsia="宋体" w:hAnsi="Times New Roman" w:cs="宋体"/>
          <w:b/>
          <w:lang w:eastAsia="zh-CN"/>
        </w:rPr>
        <w:tab/>
      </w:r>
      <w:r w:rsidRPr="005E192C">
        <w:rPr>
          <w:rFonts w:ascii="Times New Roman" w:eastAsia="宋体" w:hAnsi="Times New Roman" w:cs="宋体"/>
          <w:b/>
          <w:sz w:val="28"/>
          <w:lang w:eastAsia="zh-CN"/>
        </w:rPr>
        <w:t>问答</w:t>
      </w:r>
      <w:bookmarkEnd w:id="3"/>
    </w:p>
    <w:p w14:paraId="58CAAD30" w14:textId="121D9DA2"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Q1</w:t>
      </w:r>
      <w:r w:rsidRPr="005E192C">
        <w:rPr>
          <w:rFonts w:ascii="Times New Roman" w:eastAsia="宋体" w:hAnsi="Times New Roman" w:cs="宋体"/>
          <w:b/>
          <w:sz w:val="24"/>
          <w:lang w:eastAsia="zh-CN"/>
        </w:rPr>
        <w:t>：病理学</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包含哪些部分？</w:t>
      </w:r>
    </w:p>
    <w:p w14:paraId="72630145" w14:textId="5EC862FC"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A1</w:t>
      </w:r>
      <w:r w:rsidRPr="005E192C">
        <w:rPr>
          <w:rFonts w:ascii="Times New Roman" w:eastAsia="宋体" w:hAnsi="Times New Roman" w:cs="宋体"/>
          <w:sz w:val="24"/>
          <w:lang w:eastAsia="zh-CN"/>
        </w:rPr>
        <w:t>：病理学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是指病理学家（研究病理学家）的研究结果，经由另一位病理学家（</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病理学家）或另一个病理学家组（</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病理学家）审查的过程。针对组织病理学变化的</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经由科学审查和医学判断得出，主要为定性结果，因此是具有主观性。病理学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有助于确保组织病理学诊断和</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的质量和准确性。</w:t>
      </w:r>
    </w:p>
    <w:p w14:paraId="5B34B76A" w14:textId="488A4F37"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病理学家之间随意的讨论、咨询、意见交流和指导，不属于正式的病理学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，也不在本指南文件的讨论范围内。</w:t>
      </w:r>
    </w:p>
    <w:p w14:paraId="106D4762" w14:textId="7D0DB982"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Q2</w:t>
      </w:r>
      <w:r w:rsidRPr="005E192C">
        <w:rPr>
          <w:rFonts w:ascii="Times New Roman" w:eastAsia="宋体" w:hAnsi="Times New Roman" w:cs="宋体"/>
          <w:b/>
          <w:sz w:val="24"/>
          <w:lang w:eastAsia="zh-CN"/>
        </w:rPr>
        <w:t>：病理学</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应由哪些人执行？</w:t>
      </w:r>
    </w:p>
    <w:p w14:paraId="4B584754" w14:textId="1722C2BC"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A2</w:t>
      </w:r>
      <w:r w:rsidRPr="005E192C">
        <w:rPr>
          <w:rFonts w:ascii="Times New Roman" w:eastAsia="宋体" w:hAnsi="Times New Roman" w:cs="宋体"/>
          <w:sz w:val="24"/>
          <w:lang w:eastAsia="zh-CN"/>
        </w:rPr>
        <w:t>：</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病理学家应有相关教育背景，并经适当培训，和相关经验才有资格对研究病理学家的组织学描述发表自己的意见。此外，</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病理学家应了解</w:t>
      </w:r>
      <w:proofErr w:type="gramStart"/>
      <w:r w:rsidRPr="005E192C">
        <w:rPr>
          <w:rFonts w:ascii="Times New Roman" w:eastAsia="宋体" w:hAnsi="Times New Roman" w:cs="宋体"/>
          <w:sz w:val="24"/>
          <w:lang w:eastAsia="zh-CN"/>
        </w:rPr>
        <w:t>供试品的</w:t>
      </w:r>
      <w:proofErr w:type="gramEnd"/>
      <w:r w:rsidRPr="005E192C">
        <w:rPr>
          <w:rFonts w:ascii="Times New Roman" w:eastAsia="宋体" w:hAnsi="Times New Roman" w:cs="宋体"/>
          <w:sz w:val="24"/>
          <w:lang w:eastAsia="zh-CN"/>
        </w:rPr>
        <w:t>给药途径、受试动物的物种和品系以及研究的持续时间和设计。</w:t>
      </w:r>
      <w:r w:rsidRPr="005E192C">
        <w:rPr>
          <w:rFonts w:ascii="Times New Roman" w:eastAsia="宋体" w:hAnsi="Times New Roman" w:cs="宋体"/>
          <w:sz w:val="24"/>
          <w:vertAlign w:val="superscript"/>
          <w:lang w:eastAsia="zh-CN"/>
        </w:rPr>
        <w:t>2</w:t>
      </w:r>
      <w:r w:rsidRPr="005E192C">
        <w:rPr>
          <w:rFonts w:ascii="Times New Roman" w:eastAsia="宋体" w:hAnsi="Times New Roman" w:cs="宋体"/>
          <w:sz w:val="24"/>
          <w:lang w:eastAsia="zh-CN"/>
        </w:rPr>
        <w:t>此外，如果</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病理学家还了解</w:t>
      </w:r>
      <w:proofErr w:type="gramStart"/>
      <w:r w:rsidRPr="005E192C">
        <w:rPr>
          <w:rFonts w:ascii="Times New Roman" w:eastAsia="宋体" w:hAnsi="Times New Roman" w:cs="宋体"/>
          <w:sz w:val="24"/>
          <w:lang w:eastAsia="zh-CN"/>
        </w:rPr>
        <w:t>供试品的</w:t>
      </w:r>
      <w:proofErr w:type="gramEnd"/>
      <w:r w:rsidRPr="005E192C">
        <w:rPr>
          <w:rFonts w:ascii="Times New Roman" w:eastAsia="宋体" w:hAnsi="Times New Roman" w:cs="宋体"/>
          <w:sz w:val="24"/>
          <w:lang w:eastAsia="zh-CN"/>
        </w:rPr>
        <w:t>作用机制，以及供</w:t>
      </w:r>
      <w:proofErr w:type="gramStart"/>
      <w:r w:rsidRPr="005E192C">
        <w:rPr>
          <w:rFonts w:ascii="Times New Roman" w:eastAsia="宋体" w:hAnsi="Times New Roman" w:cs="宋体"/>
          <w:sz w:val="24"/>
          <w:lang w:eastAsia="zh-CN"/>
        </w:rPr>
        <w:t>试品其他</w:t>
      </w:r>
      <w:proofErr w:type="gramEnd"/>
      <w:r w:rsidRPr="005E192C">
        <w:rPr>
          <w:rFonts w:ascii="Times New Roman" w:eastAsia="宋体" w:hAnsi="Times New Roman" w:cs="宋体"/>
          <w:sz w:val="24"/>
          <w:lang w:eastAsia="zh-CN"/>
        </w:rPr>
        <w:t>剂量水平、其他物种的给药结果，将有所帮助。</w:t>
      </w:r>
      <w:r w:rsidRPr="005E192C">
        <w:rPr>
          <w:rFonts w:ascii="Times New Roman" w:eastAsia="宋体" w:hAnsi="Times New Roman" w:cs="宋体"/>
          <w:sz w:val="24"/>
          <w:vertAlign w:val="superscript"/>
          <w:lang w:eastAsia="zh-CN"/>
        </w:rPr>
        <w:t>3</w:t>
      </w:r>
    </w:p>
    <w:p w14:paraId="14B53B5C" w14:textId="2B9575CC" w:rsidR="00B56F84" w:rsidRPr="005E192C" w:rsidRDefault="00C94630" w:rsidP="00E303D2">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Q3</w:t>
      </w:r>
      <w:r w:rsidRPr="005E192C">
        <w:rPr>
          <w:rFonts w:ascii="Times New Roman" w:eastAsia="宋体" w:hAnsi="Times New Roman" w:cs="宋体"/>
          <w:b/>
          <w:sz w:val="24"/>
          <w:lang w:eastAsia="zh-CN"/>
        </w:rPr>
        <w:t>：应何时启动病理学</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程序？</w:t>
      </w:r>
    </w:p>
    <w:p w14:paraId="07B2E3BC" w14:textId="1FD4E23C"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A3</w:t>
      </w:r>
      <w:r w:rsidRPr="005E192C">
        <w:rPr>
          <w:rFonts w:ascii="Times New Roman" w:eastAsia="宋体" w:hAnsi="Times New Roman" w:cs="宋体"/>
          <w:sz w:val="24"/>
          <w:lang w:eastAsia="zh-CN"/>
        </w:rPr>
        <w:t>：病理学家</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可以在研究病理学报告终稿（即签名和注明日期的病理报告）之前或之后进行。</w:t>
      </w:r>
    </w:p>
    <w:p w14:paraId="74D75652" w14:textId="271BE75A" w:rsidR="00B56F84" w:rsidRPr="005E192C" w:rsidRDefault="00C94630" w:rsidP="00E303D2">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在研究病理学报告终</w:t>
      </w:r>
      <w:proofErr w:type="gramStart"/>
      <w:r w:rsidRPr="005E192C">
        <w:rPr>
          <w:rFonts w:ascii="Times New Roman" w:eastAsia="宋体" w:hAnsi="Times New Roman" w:cs="宋体"/>
          <w:sz w:val="24"/>
          <w:lang w:eastAsia="zh-CN"/>
        </w:rPr>
        <w:t>稿之前</w:t>
      </w:r>
      <w:proofErr w:type="gramEnd"/>
      <w:r w:rsidRPr="005E192C">
        <w:rPr>
          <w:rFonts w:ascii="Times New Roman" w:eastAsia="宋体" w:hAnsi="Times New Roman" w:cs="宋体"/>
          <w:sz w:val="24"/>
          <w:lang w:eastAsia="zh-CN"/>
        </w:rPr>
        <w:t>进行的病理学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视为</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前瞻性</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。进行前瞻性病理学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时，研究病理学家应在评议之前完成对所有病理切片的分析，并准备一份病理报告草稿。</w:t>
      </w:r>
    </w:p>
    <w:p w14:paraId="04177C62" w14:textId="77777777" w:rsidR="00B56F84" w:rsidRPr="005E192C" w:rsidRDefault="00B56F84"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40B60FE" w14:textId="77777777" w:rsidR="00B56F84" w:rsidRPr="005E192C" w:rsidRDefault="003B5C36"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rPr>
        <w:t>___________________________</w:t>
      </w:r>
    </w:p>
    <w:p w14:paraId="1394BC41" w14:textId="77777777" w:rsidR="00B56F84" w:rsidRPr="005E192C" w:rsidRDefault="00C94630" w:rsidP="00E303D2">
      <w:pPr>
        <w:numPr>
          <w:ilvl w:val="1"/>
          <w:numId w:val="2"/>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r w:rsidRPr="005E192C">
        <w:rPr>
          <w:rFonts w:ascii="Times New Roman" w:eastAsia="宋体" w:hAnsi="Times New Roman" w:cs="宋体"/>
          <w:sz w:val="21"/>
        </w:rPr>
        <w:t xml:space="preserve">Morton, D, R Sellers, E </w:t>
      </w:r>
      <w:proofErr w:type="spellStart"/>
      <w:r w:rsidRPr="005E192C">
        <w:rPr>
          <w:rFonts w:ascii="Times New Roman" w:eastAsia="宋体" w:hAnsi="Times New Roman" w:cs="宋体"/>
          <w:sz w:val="21"/>
        </w:rPr>
        <w:t>Barale</w:t>
      </w:r>
      <w:proofErr w:type="spellEnd"/>
      <w:r w:rsidRPr="005E192C">
        <w:rPr>
          <w:rFonts w:ascii="Times New Roman" w:eastAsia="宋体" w:hAnsi="Times New Roman" w:cs="宋体"/>
          <w:sz w:val="21"/>
        </w:rPr>
        <w:t xml:space="preserve">-Thomas, B Bolon, C George, JF Hardisty, A Irizarry, J McKay, M Odin, and M </w:t>
      </w:r>
      <w:proofErr w:type="spellStart"/>
      <w:r w:rsidRPr="005E192C">
        <w:rPr>
          <w:rFonts w:ascii="Times New Roman" w:eastAsia="宋体" w:hAnsi="Times New Roman" w:cs="宋体"/>
          <w:sz w:val="21"/>
        </w:rPr>
        <w:t>Teranishi</w:t>
      </w:r>
      <w:proofErr w:type="spellEnd"/>
      <w:r w:rsidRPr="005E192C">
        <w:rPr>
          <w:rFonts w:ascii="Times New Roman" w:eastAsia="宋体" w:hAnsi="Times New Roman" w:cs="宋体"/>
          <w:sz w:val="21"/>
        </w:rPr>
        <w:t xml:space="preserve">, 2010, Recommendations for Pathology Peer Review, </w:t>
      </w:r>
      <w:proofErr w:type="spellStart"/>
      <w:r w:rsidRPr="005E192C">
        <w:rPr>
          <w:rFonts w:ascii="Times New Roman" w:eastAsia="宋体" w:hAnsi="Times New Roman" w:cs="宋体"/>
          <w:sz w:val="21"/>
        </w:rPr>
        <w:t>Toxicol</w:t>
      </w:r>
      <w:proofErr w:type="spellEnd"/>
      <w:r w:rsidRPr="005E192C">
        <w:rPr>
          <w:rFonts w:ascii="Times New Roman" w:eastAsia="宋体" w:hAnsi="Times New Roman" w:cs="宋体"/>
          <w:sz w:val="21"/>
        </w:rPr>
        <w:t xml:space="preserve"> </w:t>
      </w:r>
      <w:proofErr w:type="spellStart"/>
      <w:r w:rsidRPr="005E192C">
        <w:rPr>
          <w:rFonts w:ascii="Times New Roman" w:eastAsia="宋体" w:hAnsi="Times New Roman" w:cs="宋体"/>
          <w:sz w:val="21"/>
        </w:rPr>
        <w:t>Pathol</w:t>
      </w:r>
      <w:proofErr w:type="spellEnd"/>
      <w:r w:rsidRPr="005E192C">
        <w:rPr>
          <w:rFonts w:ascii="Times New Roman" w:eastAsia="宋体" w:hAnsi="Times New Roman" w:cs="宋体"/>
          <w:sz w:val="21"/>
        </w:rPr>
        <w:t>, 38(7):1118–1127.</w:t>
      </w:r>
    </w:p>
    <w:p w14:paraId="3A9F20DF" w14:textId="44B538E5" w:rsidR="00B56F84" w:rsidRPr="005E192C" w:rsidRDefault="00C94630" w:rsidP="00E303D2">
      <w:pPr>
        <w:numPr>
          <w:ilvl w:val="1"/>
          <w:numId w:val="2"/>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r w:rsidRPr="005E192C">
        <w:rPr>
          <w:rFonts w:ascii="Times New Roman" w:eastAsia="宋体" w:hAnsi="Times New Roman" w:cs="宋体"/>
          <w:sz w:val="21"/>
        </w:rPr>
        <w:t xml:space="preserve">Boorman, GA, DC Wolf, S </w:t>
      </w:r>
      <w:proofErr w:type="spellStart"/>
      <w:r w:rsidRPr="005E192C">
        <w:rPr>
          <w:rFonts w:ascii="Times New Roman" w:eastAsia="宋体" w:hAnsi="Times New Roman" w:cs="宋体"/>
          <w:sz w:val="21"/>
        </w:rPr>
        <w:t>Francke</w:t>
      </w:r>
      <w:proofErr w:type="spellEnd"/>
      <w:r w:rsidRPr="005E192C">
        <w:rPr>
          <w:rFonts w:ascii="Times New Roman" w:eastAsia="宋体" w:hAnsi="Times New Roman" w:cs="宋体"/>
          <w:sz w:val="21"/>
        </w:rPr>
        <w:t xml:space="preserve">-Carroll, and RR </w:t>
      </w:r>
      <w:proofErr w:type="spellStart"/>
      <w:r w:rsidRPr="005E192C">
        <w:rPr>
          <w:rFonts w:ascii="Times New Roman" w:eastAsia="宋体" w:hAnsi="Times New Roman" w:cs="宋体"/>
          <w:sz w:val="21"/>
        </w:rPr>
        <w:t>Maronpot</w:t>
      </w:r>
      <w:proofErr w:type="spellEnd"/>
      <w:r w:rsidRPr="005E192C">
        <w:rPr>
          <w:rFonts w:ascii="Times New Roman" w:eastAsia="宋体" w:hAnsi="Times New Roman" w:cs="宋体"/>
          <w:sz w:val="21"/>
        </w:rPr>
        <w:t xml:space="preserve">, 2010, Pathology Peer Review, </w:t>
      </w:r>
      <w:proofErr w:type="spellStart"/>
      <w:r w:rsidRPr="005E192C">
        <w:rPr>
          <w:rFonts w:ascii="Times New Roman" w:eastAsia="宋体" w:hAnsi="Times New Roman" w:cs="宋体"/>
          <w:sz w:val="21"/>
        </w:rPr>
        <w:t>Toxicol</w:t>
      </w:r>
      <w:proofErr w:type="spellEnd"/>
      <w:r w:rsidRPr="005E192C">
        <w:rPr>
          <w:rFonts w:ascii="Times New Roman" w:eastAsia="宋体" w:hAnsi="Times New Roman" w:cs="宋体"/>
          <w:sz w:val="21"/>
        </w:rPr>
        <w:t xml:space="preserve"> </w:t>
      </w:r>
      <w:proofErr w:type="spellStart"/>
      <w:r w:rsidRPr="005E192C">
        <w:rPr>
          <w:rFonts w:ascii="Times New Roman" w:eastAsia="宋体" w:hAnsi="Times New Roman" w:cs="宋体"/>
          <w:sz w:val="21"/>
        </w:rPr>
        <w:t>Pathol</w:t>
      </w:r>
      <w:proofErr w:type="spellEnd"/>
      <w:r w:rsidRPr="005E192C">
        <w:rPr>
          <w:rFonts w:ascii="Times New Roman" w:eastAsia="宋体" w:hAnsi="Times New Roman" w:cs="宋体"/>
          <w:sz w:val="21"/>
        </w:rPr>
        <w:t>, 38(7):1009–1010.</w:t>
      </w:r>
    </w:p>
    <w:p w14:paraId="05BCE0A9" w14:textId="2591528B"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lastRenderedPageBreak/>
        <w:t>病理报告定稿后进行的病理学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视为回顾性</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。进行回顾性病理学</w:t>
      </w:r>
      <w:r w:rsidR="005671DB">
        <w:rPr>
          <w:rFonts w:ascii="Times New Roman" w:eastAsia="宋体" w:hAnsi="Times New Roman" w:cs="宋体"/>
          <w:sz w:val="24"/>
          <w:lang w:eastAsia="zh-CN"/>
        </w:rPr>
        <w:t>同行评审</w:t>
      </w:r>
      <w:r w:rsidR="009A4866">
        <w:rPr>
          <w:rFonts w:ascii="Times New Roman" w:eastAsia="宋体" w:hAnsi="Times New Roman" w:cs="宋体"/>
          <w:sz w:val="24"/>
          <w:lang w:eastAsia="zh-CN"/>
        </w:rPr>
        <w:t>时，研究病理学家应在</w:t>
      </w:r>
      <w:proofErr w:type="gramStart"/>
      <w:r w:rsidR="009A4866">
        <w:rPr>
          <w:rFonts w:ascii="Times New Roman" w:eastAsia="宋体" w:hAnsi="Times New Roman" w:cs="宋体"/>
          <w:sz w:val="24"/>
          <w:lang w:eastAsia="zh-CN"/>
        </w:rPr>
        <w:t>最终版</w:t>
      </w:r>
      <w:proofErr w:type="gramEnd"/>
      <w:r w:rsidR="009A4866">
        <w:rPr>
          <w:rFonts w:ascii="Times New Roman" w:eastAsia="宋体" w:hAnsi="Times New Roman" w:cs="宋体"/>
          <w:sz w:val="24"/>
          <w:lang w:eastAsia="zh-CN"/>
        </w:rPr>
        <w:t>病理报告的修订记录</w:t>
      </w:r>
      <w:r w:rsidRPr="005E192C">
        <w:rPr>
          <w:rFonts w:ascii="Times New Roman" w:eastAsia="宋体" w:hAnsi="Times New Roman" w:cs="宋体"/>
          <w:sz w:val="24"/>
          <w:lang w:eastAsia="zh-CN"/>
        </w:rPr>
        <w:t>中记录回顾性</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生成的研究结论的所有变化。</w:t>
      </w:r>
    </w:p>
    <w:p w14:paraId="3A03581C" w14:textId="53186288" w:rsidR="00B56F84" w:rsidRPr="005E192C" w:rsidRDefault="00C94630" w:rsidP="00E303D2">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Q4</w:t>
      </w:r>
      <w:r w:rsidRPr="005E192C">
        <w:rPr>
          <w:rFonts w:ascii="Times New Roman" w:eastAsia="宋体" w:hAnsi="Times New Roman" w:cs="宋体"/>
          <w:b/>
          <w:sz w:val="24"/>
          <w:lang w:eastAsia="zh-CN"/>
        </w:rPr>
        <w:t>：能否在未经</w:t>
      </w:r>
      <w:r w:rsidRPr="005E192C">
        <w:rPr>
          <w:rFonts w:ascii="Times New Roman" w:eastAsia="宋体" w:hAnsi="Times New Roman" w:cs="宋体"/>
          <w:b/>
          <w:sz w:val="24"/>
          <w:lang w:eastAsia="zh-CN"/>
        </w:rPr>
        <w:t>GLP</w:t>
      </w:r>
      <w:r w:rsidRPr="005E192C">
        <w:rPr>
          <w:rFonts w:ascii="Times New Roman" w:eastAsia="宋体" w:hAnsi="Times New Roman" w:cs="宋体"/>
          <w:b/>
          <w:sz w:val="24"/>
          <w:lang w:eastAsia="zh-CN"/>
        </w:rPr>
        <w:t>认证的机构对符合</w:t>
      </w:r>
      <w:r w:rsidRPr="005E192C">
        <w:rPr>
          <w:rFonts w:ascii="Times New Roman" w:eastAsia="宋体" w:hAnsi="Times New Roman" w:cs="宋体"/>
          <w:b/>
          <w:sz w:val="24"/>
          <w:lang w:eastAsia="zh-CN"/>
        </w:rPr>
        <w:t>GLP</w:t>
      </w:r>
      <w:r w:rsidRPr="005E192C">
        <w:rPr>
          <w:rFonts w:ascii="Times New Roman" w:eastAsia="宋体" w:hAnsi="Times New Roman" w:cs="宋体"/>
          <w:b/>
          <w:sz w:val="24"/>
          <w:lang w:eastAsia="zh-CN"/>
        </w:rPr>
        <w:t>的研究进行病理学</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w:t>
      </w:r>
    </w:p>
    <w:p w14:paraId="2D58042A" w14:textId="564305D6"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A4</w:t>
      </w:r>
      <w:r w:rsidRPr="005E192C">
        <w:rPr>
          <w:rFonts w:ascii="Times New Roman" w:eastAsia="宋体" w:hAnsi="Times New Roman" w:cs="宋体"/>
          <w:sz w:val="24"/>
          <w:lang w:eastAsia="zh-CN"/>
        </w:rPr>
        <w:t>：可以在未经</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认证的机构对符合</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的研究进行病理学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，但前提是采取某些保护措施保护研究数据的完整性。</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病理学家最好在接受有关</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原则和相关内部标准操作程序（</w:t>
      </w:r>
      <w:r w:rsidRPr="005E192C">
        <w:rPr>
          <w:rFonts w:ascii="Times New Roman" w:eastAsia="宋体" w:hAnsi="Times New Roman" w:cs="宋体"/>
          <w:sz w:val="24"/>
          <w:lang w:eastAsia="zh-CN"/>
        </w:rPr>
        <w:t>SOP</w:t>
      </w:r>
      <w:r w:rsidRPr="005E192C">
        <w:rPr>
          <w:rFonts w:ascii="Times New Roman" w:eastAsia="宋体" w:hAnsi="Times New Roman" w:cs="宋体"/>
          <w:sz w:val="24"/>
          <w:lang w:eastAsia="zh-CN"/>
        </w:rPr>
        <w:t>）的培训后</w:t>
      </w:r>
      <w:r w:rsidR="00126DDA" w:rsidRPr="005E192C">
        <w:rPr>
          <w:rFonts w:ascii="Times New Roman" w:eastAsia="宋体" w:hAnsi="Times New Roman" w:cs="宋体" w:hint="eastAsia"/>
          <w:sz w:val="24"/>
          <w:lang w:eastAsia="zh-CN"/>
        </w:rPr>
        <w:t>，</w:t>
      </w:r>
      <w:r w:rsidRPr="005E192C">
        <w:rPr>
          <w:rFonts w:ascii="Times New Roman" w:eastAsia="宋体" w:hAnsi="Times New Roman" w:cs="宋体"/>
          <w:sz w:val="24"/>
          <w:lang w:eastAsia="zh-CN"/>
        </w:rPr>
        <w:t>在经</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认证的机构进行</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；如果在未经</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认证的机构进行</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，则应在研究方案和最终研究报告中记录并说明理由。无论</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在何处进行，都应在最终研究报告中明确注明</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病理学家的姓名、工作单位和位置（即地址）。此外，应在研究文件中记录</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病理学家的姓名、资质（包括</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培训）、工作单位和地址。</w:t>
      </w:r>
    </w:p>
    <w:p w14:paraId="24A47881" w14:textId="77777777"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在研究负责人签字的</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合</w:t>
      </w:r>
      <w:proofErr w:type="gramStart"/>
      <w:r w:rsidRPr="005E192C">
        <w:rPr>
          <w:rFonts w:ascii="Times New Roman" w:eastAsia="宋体" w:hAnsi="Times New Roman" w:cs="宋体"/>
          <w:sz w:val="24"/>
          <w:lang w:eastAsia="zh-CN"/>
        </w:rPr>
        <w:t>规</w:t>
      </w:r>
      <w:proofErr w:type="gramEnd"/>
      <w:r w:rsidRPr="005E192C">
        <w:rPr>
          <w:rFonts w:ascii="Times New Roman" w:eastAsia="宋体" w:hAnsi="Times New Roman" w:cs="宋体"/>
          <w:sz w:val="24"/>
          <w:lang w:eastAsia="zh-CN"/>
        </w:rPr>
        <w:t>性声明中，应明确描述未根据</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合</w:t>
      </w:r>
      <w:proofErr w:type="gramStart"/>
      <w:r w:rsidRPr="005E192C">
        <w:rPr>
          <w:rFonts w:ascii="Times New Roman" w:eastAsia="宋体" w:hAnsi="Times New Roman" w:cs="宋体"/>
          <w:sz w:val="24"/>
          <w:lang w:eastAsia="zh-CN"/>
        </w:rPr>
        <w:t>规性执行</w:t>
      </w:r>
      <w:proofErr w:type="gramEnd"/>
      <w:r w:rsidRPr="005E192C">
        <w:rPr>
          <w:rFonts w:ascii="Times New Roman" w:eastAsia="宋体" w:hAnsi="Times New Roman" w:cs="宋体"/>
          <w:sz w:val="24"/>
          <w:lang w:eastAsia="zh-CN"/>
        </w:rPr>
        <w:t>的研究部分，并将其包含在最终的研究报告中。</w:t>
      </w:r>
    </w:p>
    <w:p w14:paraId="54AFBE02" w14:textId="17DCB854" w:rsidR="00B56F84" w:rsidRPr="005E192C" w:rsidRDefault="00C94630" w:rsidP="00E303D2">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Q5</w:t>
      </w:r>
      <w:r w:rsidRPr="005E192C">
        <w:rPr>
          <w:rFonts w:ascii="Times New Roman" w:eastAsia="宋体" w:hAnsi="Times New Roman" w:cs="宋体"/>
          <w:b/>
          <w:sz w:val="24"/>
          <w:lang w:eastAsia="zh-CN"/>
        </w:rPr>
        <w:t>：非临床实验室工作人员应如何记录</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，以及</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声明中应包含哪些内容？</w:t>
      </w:r>
    </w:p>
    <w:p w14:paraId="75194810" w14:textId="2B5D0A75"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A5</w:t>
      </w:r>
      <w:r w:rsidRPr="005E192C">
        <w:rPr>
          <w:rFonts w:ascii="Times New Roman" w:eastAsia="宋体" w:hAnsi="Times New Roman" w:cs="宋体"/>
          <w:sz w:val="24"/>
          <w:lang w:eastAsia="zh-CN"/>
        </w:rPr>
        <w:t>：如果病理学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属于</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研究的一部分，应在研究方案或</w:t>
      </w:r>
      <w:r w:rsidR="0046494C" w:rsidRPr="005E192C">
        <w:rPr>
          <w:rFonts w:ascii="Times New Roman" w:eastAsia="宋体" w:hAnsi="Times New Roman" w:cs="宋体"/>
          <w:sz w:val="24"/>
          <w:lang w:eastAsia="zh-CN"/>
        </w:rPr>
        <w:t>方案修正案</w:t>
      </w:r>
      <w:r w:rsidRPr="005E192C">
        <w:rPr>
          <w:rFonts w:ascii="Times New Roman" w:eastAsia="宋体" w:hAnsi="Times New Roman" w:cs="宋体"/>
          <w:sz w:val="24"/>
          <w:lang w:eastAsia="zh-CN"/>
        </w:rPr>
        <w:t>中包含该活动，使</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过程详细记录</w:t>
      </w:r>
      <w:proofErr w:type="gramStart"/>
      <w:r w:rsidRPr="005E192C">
        <w:rPr>
          <w:rFonts w:ascii="Times New Roman" w:eastAsia="宋体" w:hAnsi="Times New Roman" w:cs="宋体"/>
          <w:sz w:val="24"/>
          <w:lang w:eastAsia="zh-CN"/>
        </w:rPr>
        <w:t>且公开</w:t>
      </w:r>
      <w:proofErr w:type="gramEnd"/>
      <w:r w:rsidRPr="005E192C">
        <w:rPr>
          <w:rFonts w:ascii="Times New Roman" w:eastAsia="宋体" w:hAnsi="Times New Roman" w:cs="宋体"/>
          <w:sz w:val="24"/>
          <w:lang w:eastAsia="zh-CN"/>
        </w:rPr>
        <w:t>透明很重要。该过程应以书面程序为指导，以确定评议的范围，并确保研究数据的完整性。由于研究病理学家负责病理数据的整体</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w:t>
      </w:r>
      <w:proofErr w:type="gramStart"/>
      <w:r w:rsidRPr="005E192C">
        <w:rPr>
          <w:rFonts w:ascii="Times New Roman" w:eastAsia="宋体" w:hAnsi="Times New Roman" w:cs="宋体"/>
          <w:sz w:val="24"/>
          <w:lang w:eastAsia="zh-CN"/>
        </w:rPr>
        <w:t>最终版</w:t>
      </w:r>
      <w:proofErr w:type="gramEnd"/>
      <w:r w:rsidRPr="005E192C">
        <w:rPr>
          <w:rFonts w:ascii="Times New Roman" w:eastAsia="宋体" w:hAnsi="Times New Roman" w:cs="宋体"/>
          <w:sz w:val="24"/>
          <w:lang w:eastAsia="zh-CN"/>
        </w:rPr>
        <w:t>病理报告将反映研究病理学家针对诊断和病理</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的</w:t>
      </w:r>
      <w:proofErr w:type="gramStart"/>
      <w:r w:rsidRPr="005E192C">
        <w:rPr>
          <w:rFonts w:ascii="Times New Roman" w:eastAsia="宋体" w:hAnsi="Times New Roman" w:cs="宋体"/>
          <w:sz w:val="24"/>
          <w:lang w:eastAsia="zh-CN"/>
        </w:rPr>
        <w:t>最佳科学</w:t>
      </w:r>
      <w:proofErr w:type="gramEnd"/>
      <w:r w:rsidRPr="005E192C">
        <w:rPr>
          <w:rFonts w:ascii="Times New Roman" w:eastAsia="宋体" w:hAnsi="Times New Roman" w:cs="宋体"/>
          <w:sz w:val="24"/>
          <w:lang w:eastAsia="zh-CN"/>
        </w:rPr>
        <w:t>意见和判断。</w:t>
      </w:r>
    </w:p>
    <w:p w14:paraId="65EE78E2" w14:textId="3FE1F797"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正式的病理学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应根据既定程序计划、执行、记录和报告。在</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开始之前，应记录这些程序并将其提供给</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病理学家，还应在研究方案或研究</w:t>
      </w:r>
      <w:r w:rsidR="0046494C" w:rsidRPr="005E192C">
        <w:rPr>
          <w:rFonts w:ascii="Times New Roman" w:eastAsia="宋体" w:hAnsi="Times New Roman" w:cs="宋体"/>
          <w:sz w:val="24"/>
          <w:lang w:eastAsia="zh-CN"/>
        </w:rPr>
        <w:t>方案修正案</w:t>
      </w:r>
      <w:r w:rsidRPr="005E192C">
        <w:rPr>
          <w:rFonts w:ascii="Times New Roman" w:eastAsia="宋体" w:hAnsi="Times New Roman" w:cs="宋体"/>
          <w:sz w:val="24"/>
          <w:lang w:eastAsia="zh-CN"/>
        </w:rPr>
        <w:t>、与</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研究有关的</w:t>
      </w:r>
      <w:r w:rsidRPr="005E192C">
        <w:rPr>
          <w:rFonts w:ascii="Times New Roman" w:eastAsia="宋体" w:hAnsi="Times New Roman" w:cs="宋体"/>
          <w:sz w:val="24"/>
          <w:lang w:eastAsia="zh-CN"/>
        </w:rPr>
        <w:t>SOP</w:t>
      </w:r>
      <w:r w:rsidRPr="005E192C">
        <w:rPr>
          <w:rFonts w:ascii="Times New Roman" w:eastAsia="宋体" w:hAnsi="Times New Roman" w:cs="宋体"/>
          <w:sz w:val="24"/>
          <w:lang w:eastAsia="zh-CN"/>
        </w:rPr>
        <w:t>中明确描述这些程序。</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病理学家应制定一份</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声明（文件、报告、备忘录或证明），签字、注明日期，并包含在永久研究文件和最终研究报告中。在最终研究报告的</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声明中，应包含所有</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病理学家的签字栏（身份和工作单位）。</w:t>
      </w:r>
    </w:p>
    <w:p w14:paraId="08A065AC" w14:textId="00D874BC"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SOP</w:t>
      </w:r>
      <w:r w:rsidRPr="005E192C">
        <w:rPr>
          <w:rFonts w:ascii="Times New Roman" w:eastAsia="宋体" w:hAnsi="Times New Roman" w:cs="宋体"/>
          <w:sz w:val="24"/>
          <w:lang w:eastAsia="zh-CN"/>
        </w:rPr>
        <w:t>和</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研究方案（或</w:t>
      </w:r>
      <w:r w:rsidR="0046494C" w:rsidRPr="005E192C">
        <w:rPr>
          <w:rFonts w:ascii="Times New Roman" w:eastAsia="宋体" w:hAnsi="Times New Roman" w:cs="宋体"/>
          <w:sz w:val="24"/>
          <w:lang w:eastAsia="zh-CN"/>
        </w:rPr>
        <w:t>方案修正案</w:t>
      </w:r>
      <w:r w:rsidRPr="005E192C">
        <w:rPr>
          <w:rFonts w:ascii="Times New Roman" w:eastAsia="宋体" w:hAnsi="Times New Roman" w:cs="宋体"/>
          <w:sz w:val="24"/>
          <w:lang w:eastAsia="zh-CN"/>
        </w:rPr>
        <w:t>）中应包含</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程序的描述、选择的目标组织、待检查的剂量组、每组待检查的标本数量，以及是否应</w:t>
      </w:r>
      <w:proofErr w:type="gramStart"/>
      <w:r w:rsidRPr="005E192C">
        <w:rPr>
          <w:rFonts w:ascii="Times New Roman" w:eastAsia="宋体" w:hAnsi="Times New Roman" w:cs="宋体"/>
          <w:sz w:val="24"/>
          <w:lang w:eastAsia="zh-CN"/>
        </w:rPr>
        <w:t>使用盲法进行</w:t>
      </w:r>
      <w:proofErr w:type="gramEnd"/>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。如适用，可引用相关</w:t>
      </w:r>
      <w:r w:rsidRPr="005E192C">
        <w:rPr>
          <w:rFonts w:ascii="Times New Roman" w:eastAsia="宋体" w:hAnsi="Times New Roman" w:cs="宋体"/>
          <w:sz w:val="24"/>
          <w:lang w:eastAsia="zh-CN"/>
        </w:rPr>
        <w:t>SOP</w:t>
      </w:r>
      <w:r w:rsidRPr="005E192C">
        <w:rPr>
          <w:rFonts w:ascii="Times New Roman" w:eastAsia="宋体" w:hAnsi="Times New Roman" w:cs="宋体"/>
          <w:sz w:val="24"/>
          <w:lang w:eastAsia="zh-CN"/>
        </w:rPr>
        <w:t>。</w:t>
      </w:r>
    </w:p>
    <w:p w14:paraId="0C693CB9" w14:textId="77777777" w:rsidR="00B56F84" w:rsidRPr="005E192C" w:rsidRDefault="00650DDD"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br w:type="page"/>
      </w:r>
    </w:p>
    <w:p w14:paraId="3C4B3264" w14:textId="0B030AAB" w:rsidR="00B56F84" w:rsidRPr="005E192C" w:rsidRDefault="005671DB"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lastRenderedPageBreak/>
        <w:t>同行评审</w:t>
      </w:r>
      <w:r w:rsidR="00C94630" w:rsidRPr="005E192C">
        <w:rPr>
          <w:rFonts w:ascii="Times New Roman" w:eastAsia="宋体" w:hAnsi="Times New Roman" w:cs="宋体"/>
          <w:sz w:val="24"/>
          <w:lang w:eastAsia="zh-CN"/>
        </w:rPr>
        <w:t>声明应包括以下信息：</w:t>
      </w:r>
    </w:p>
    <w:p w14:paraId="2BD8EE1C" w14:textId="0EBD08B5" w:rsidR="00B56F84" w:rsidRPr="005E192C" w:rsidRDefault="00C94630" w:rsidP="00E303D2">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5E192C">
        <w:rPr>
          <w:rFonts w:ascii="Times New Roman" w:eastAsia="宋体" w:hAnsi="Times New Roman" w:cs="宋体"/>
          <w:sz w:val="24"/>
        </w:rPr>
        <w:t>执行</w:t>
      </w:r>
      <w:r w:rsidR="005671DB">
        <w:rPr>
          <w:rFonts w:ascii="Times New Roman" w:eastAsia="宋体" w:hAnsi="Times New Roman" w:cs="宋体"/>
          <w:sz w:val="24"/>
        </w:rPr>
        <w:t>同行评审</w:t>
      </w:r>
      <w:proofErr w:type="spellEnd"/>
      <w:r w:rsidR="0046494C" w:rsidRPr="005E192C">
        <w:rPr>
          <w:rFonts w:ascii="Times New Roman" w:eastAsia="宋体" w:hAnsi="Times New Roman" w:cs="宋体" w:hint="eastAsia"/>
          <w:sz w:val="24"/>
          <w:lang w:eastAsia="zh-CN"/>
        </w:rPr>
        <w:t>人员</w:t>
      </w:r>
    </w:p>
    <w:p w14:paraId="3C338276" w14:textId="0503CAC8" w:rsidR="00B56F84" w:rsidRPr="005E192C" w:rsidRDefault="00C94630" w:rsidP="00E303D2">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何时、何地和在什么条件下（即，符合</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或不符合</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）执行</w:t>
      </w:r>
      <w:r w:rsidR="005671DB">
        <w:rPr>
          <w:rFonts w:ascii="Times New Roman" w:eastAsia="宋体" w:hAnsi="Times New Roman" w:cs="宋体"/>
          <w:sz w:val="24"/>
          <w:lang w:eastAsia="zh-CN"/>
        </w:rPr>
        <w:t>同行评审</w:t>
      </w:r>
    </w:p>
    <w:p w14:paraId="1F20BDFD" w14:textId="77777777" w:rsidR="00B56F84" w:rsidRPr="005E192C" w:rsidRDefault="00C94630" w:rsidP="00E303D2">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在显微镜下检查了哪些组织</w:t>
      </w:r>
    </w:p>
    <w:p w14:paraId="46255393" w14:textId="7D870D44" w:rsidR="00B56F84" w:rsidRPr="005E192C" w:rsidRDefault="00C94630" w:rsidP="00E303D2">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有关</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病理报告中所用术语和结果是否经研究和</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病理学家评审</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的声明</w:t>
      </w:r>
      <w:r w:rsidRPr="005E192C">
        <w:rPr>
          <w:rFonts w:ascii="Times New Roman" w:eastAsia="宋体" w:hAnsi="Times New Roman" w:cs="宋体"/>
          <w:sz w:val="24"/>
          <w:vertAlign w:val="superscript"/>
          <w:lang w:eastAsia="zh-CN"/>
        </w:rPr>
        <w:t>4</w:t>
      </w:r>
    </w:p>
    <w:p w14:paraId="2103FEE1" w14:textId="5B81FDCA" w:rsidR="00B56F84" w:rsidRPr="005E192C" w:rsidRDefault="00C94630" w:rsidP="00E303D2">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有关</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是否与</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病理学家共享病理报告草稿</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的声明，针对前瞻性</w:t>
      </w:r>
      <w:r w:rsidR="005671DB">
        <w:rPr>
          <w:rFonts w:ascii="Times New Roman" w:eastAsia="宋体" w:hAnsi="Times New Roman" w:cs="宋体"/>
          <w:sz w:val="24"/>
          <w:lang w:eastAsia="zh-CN"/>
        </w:rPr>
        <w:t>同行评审</w:t>
      </w:r>
    </w:p>
    <w:p w14:paraId="3155B45D" w14:textId="24F20800" w:rsidR="00B56F84" w:rsidRPr="005E192C" w:rsidRDefault="005671DB" w:rsidP="00E303D2">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同行评审</w:t>
      </w:r>
      <w:r w:rsidR="00C94630" w:rsidRPr="005E192C">
        <w:rPr>
          <w:rFonts w:ascii="Times New Roman" w:eastAsia="宋体" w:hAnsi="Times New Roman" w:cs="宋体"/>
          <w:sz w:val="24"/>
          <w:lang w:eastAsia="zh-CN"/>
        </w:rPr>
        <w:t>病理学家的签名日期</w:t>
      </w:r>
    </w:p>
    <w:p w14:paraId="3FF51739" w14:textId="060584EE"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如果</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病理学家赞同研究病理学家的诊断和</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声明可能不包含对</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结果的综合分析。在这些条件下，有关</w:t>
      </w:r>
      <w:r w:rsidRPr="005E192C">
        <w:rPr>
          <w:rFonts w:ascii="Times New Roman" w:eastAsia="宋体" w:hAnsi="Times New Roman" w:cs="宋体"/>
          <w:sz w:val="24"/>
          <w:lang w:eastAsia="zh-CN"/>
        </w:rPr>
        <w:t>“</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已执行且最终病理报告反映了研究病理学和</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病理学家的共识意见</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的声明已足够。</w:t>
      </w:r>
    </w:p>
    <w:p w14:paraId="3888AB77" w14:textId="71F1BA83"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由前瞻性</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过程产生的、研究病理学家对整体研究</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的任何变化，都应在</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声明中记录，并在最终病理报告中进行讨论（如适用）。</w:t>
      </w:r>
    </w:p>
    <w:p w14:paraId="6E26D230" w14:textId="618D2E3F"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由回顾性</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过程产生的、研究病理学家对</w:t>
      </w:r>
      <w:r w:rsidR="005E192C" w:rsidRPr="005E192C">
        <w:rPr>
          <w:rFonts w:ascii="Times New Roman" w:eastAsia="宋体" w:hAnsi="Times New Roman" w:cs="宋体"/>
          <w:sz w:val="24"/>
          <w:lang w:eastAsia="zh-CN"/>
        </w:rPr>
        <w:t>评议</w:t>
      </w:r>
      <w:r w:rsidR="009A4866">
        <w:rPr>
          <w:rFonts w:ascii="Times New Roman" w:eastAsia="宋体" w:hAnsi="Times New Roman" w:cs="宋体"/>
          <w:sz w:val="24"/>
          <w:lang w:eastAsia="zh-CN"/>
        </w:rPr>
        <w:t>的任何变化，都应记录在</w:t>
      </w:r>
      <w:proofErr w:type="gramStart"/>
      <w:r w:rsidR="009A4866">
        <w:rPr>
          <w:rFonts w:ascii="Times New Roman" w:eastAsia="宋体" w:hAnsi="Times New Roman" w:cs="宋体"/>
          <w:sz w:val="24"/>
          <w:lang w:eastAsia="zh-CN"/>
        </w:rPr>
        <w:t>最终版</w:t>
      </w:r>
      <w:proofErr w:type="gramEnd"/>
      <w:r w:rsidR="009A4866">
        <w:rPr>
          <w:rFonts w:ascii="Times New Roman" w:eastAsia="宋体" w:hAnsi="Times New Roman" w:cs="宋体"/>
          <w:sz w:val="24"/>
          <w:lang w:eastAsia="zh-CN"/>
        </w:rPr>
        <w:t>病理报告的修订记录</w:t>
      </w:r>
      <w:r w:rsidRPr="005E192C">
        <w:rPr>
          <w:rFonts w:ascii="Times New Roman" w:eastAsia="宋体" w:hAnsi="Times New Roman" w:cs="宋体"/>
          <w:sz w:val="24"/>
          <w:lang w:eastAsia="zh-CN"/>
        </w:rPr>
        <w:t>中。</w:t>
      </w:r>
    </w:p>
    <w:p w14:paraId="625A7319" w14:textId="00340E11"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在</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声明中，应明确指出病理报告</w:t>
      </w:r>
      <w:proofErr w:type="gramStart"/>
      <w:r w:rsidRPr="005E192C">
        <w:rPr>
          <w:rFonts w:ascii="Times New Roman" w:eastAsia="宋体" w:hAnsi="Times New Roman" w:cs="宋体"/>
          <w:sz w:val="24"/>
          <w:lang w:eastAsia="zh-CN"/>
        </w:rPr>
        <w:t>最终版</w:t>
      </w:r>
      <w:proofErr w:type="gramEnd"/>
      <w:r w:rsidRPr="005E192C">
        <w:rPr>
          <w:rFonts w:ascii="Times New Roman" w:eastAsia="宋体" w:hAnsi="Times New Roman" w:cs="宋体"/>
          <w:sz w:val="24"/>
          <w:lang w:eastAsia="zh-CN"/>
        </w:rPr>
        <w:t>或草稿的</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中未议决的差异。应在</w:t>
      </w:r>
      <w:proofErr w:type="gramStart"/>
      <w:r w:rsidRPr="005E192C">
        <w:rPr>
          <w:rFonts w:ascii="Times New Roman" w:eastAsia="宋体" w:hAnsi="Times New Roman" w:cs="宋体"/>
          <w:sz w:val="24"/>
          <w:lang w:eastAsia="zh-CN"/>
        </w:rPr>
        <w:t>最终版</w:t>
      </w:r>
      <w:proofErr w:type="gramEnd"/>
      <w:r w:rsidR="009A4866">
        <w:rPr>
          <w:rFonts w:ascii="Times New Roman" w:eastAsia="宋体" w:hAnsi="Times New Roman" w:cs="宋体"/>
          <w:sz w:val="24"/>
          <w:lang w:eastAsia="zh-CN"/>
        </w:rPr>
        <w:t>病理报告或其修订记录</w:t>
      </w:r>
      <w:r w:rsidRPr="005E192C">
        <w:rPr>
          <w:rFonts w:ascii="Times New Roman" w:eastAsia="宋体" w:hAnsi="Times New Roman" w:cs="宋体"/>
          <w:sz w:val="24"/>
          <w:lang w:eastAsia="zh-CN"/>
        </w:rPr>
        <w:t>中讨论任何差异的解决，并记录解决过程（将在</w:t>
      </w:r>
      <w:r w:rsidRPr="005E192C">
        <w:rPr>
          <w:rFonts w:ascii="Times New Roman" w:eastAsia="宋体" w:hAnsi="Times New Roman" w:cs="宋体"/>
          <w:sz w:val="24"/>
          <w:lang w:eastAsia="zh-CN"/>
        </w:rPr>
        <w:t>Q8</w:t>
      </w:r>
      <w:r w:rsidRPr="005E192C">
        <w:rPr>
          <w:rFonts w:ascii="Times New Roman" w:eastAsia="宋体" w:hAnsi="Times New Roman" w:cs="宋体"/>
          <w:sz w:val="24"/>
          <w:lang w:eastAsia="zh-CN"/>
        </w:rPr>
        <w:t>和</w:t>
      </w:r>
      <w:r w:rsidRPr="005E192C">
        <w:rPr>
          <w:rFonts w:ascii="Times New Roman" w:eastAsia="宋体" w:hAnsi="Times New Roman" w:cs="宋体"/>
          <w:sz w:val="24"/>
          <w:lang w:eastAsia="zh-CN"/>
        </w:rPr>
        <w:t>Q9</w:t>
      </w:r>
      <w:r w:rsidRPr="005E192C">
        <w:rPr>
          <w:rFonts w:ascii="Times New Roman" w:eastAsia="宋体" w:hAnsi="Times New Roman" w:cs="宋体"/>
          <w:sz w:val="24"/>
          <w:lang w:eastAsia="zh-CN"/>
        </w:rPr>
        <w:t>中进一步讨论）。</w:t>
      </w:r>
    </w:p>
    <w:p w14:paraId="42FE6311" w14:textId="3CEE1174" w:rsidR="00B56F84" w:rsidRPr="005E192C" w:rsidRDefault="00C94630" w:rsidP="00E303D2">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Q6</w:t>
      </w:r>
      <w:r w:rsidRPr="005E192C">
        <w:rPr>
          <w:rFonts w:ascii="Times New Roman" w:eastAsia="宋体" w:hAnsi="Times New Roman" w:cs="宋体"/>
          <w:b/>
          <w:sz w:val="24"/>
          <w:lang w:eastAsia="zh-CN"/>
        </w:rPr>
        <w:t>：</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声明应在何时签署，</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病理学家是否应在病理报告中签字？</w:t>
      </w:r>
    </w:p>
    <w:p w14:paraId="342B6CFA" w14:textId="17C9FCD6"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A6</w:t>
      </w:r>
      <w:r w:rsidRPr="005E192C">
        <w:rPr>
          <w:rFonts w:ascii="Times New Roman" w:eastAsia="宋体" w:hAnsi="Times New Roman" w:cs="宋体"/>
          <w:sz w:val="24"/>
          <w:lang w:eastAsia="zh-CN"/>
        </w:rPr>
        <w:t>：</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病理学家可以在病理报告定稿之前或之后签署</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声明。病理报告由研究病理学家全权负责，</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病理学家不应在</w:t>
      </w:r>
      <w:proofErr w:type="gramStart"/>
      <w:r w:rsidRPr="005E192C">
        <w:rPr>
          <w:rFonts w:ascii="Times New Roman" w:eastAsia="宋体" w:hAnsi="Times New Roman" w:cs="宋体"/>
          <w:sz w:val="24"/>
          <w:lang w:eastAsia="zh-CN"/>
        </w:rPr>
        <w:t>最终版</w:t>
      </w:r>
      <w:proofErr w:type="gramEnd"/>
      <w:r w:rsidRPr="005E192C">
        <w:rPr>
          <w:rFonts w:ascii="Times New Roman" w:eastAsia="宋体" w:hAnsi="Times New Roman" w:cs="宋体"/>
          <w:sz w:val="24"/>
          <w:lang w:eastAsia="zh-CN"/>
        </w:rPr>
        <w:t>病理报告中签字。由回顾性病理学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过程产生的、</w:t>
      </w:r>
      <w:proofErr w:type="gramStart"/>
      <w:r w:rsidRPr="005E192C">
        <w:rPr>
          <w:rFonts w:ascii="Times New Roman" w:eastAsia="宋体" w:hAnsi="Times New Roman" w:cs="宋体"/>
          <w:sz w:val="24"/>
          <w:lang w:eastAsia="zh-CN"/>
        </w:rPr>
        <w:t>最终版</w:t>
      </w:r>
      <w:proofErr w:type="gramEnd"/>
      <w:r w:rsidRPr="005E192C">
        <w:rPr>
          <w:rFonts w:ascii="Times New Roman" w:eastAsia="宋体" w:hAnsi="Times New Roman" w:cs="宋体"/>
          <w:sz w:val="24"/>
          <w:lang w:eastAsia="zh-CN"/>
        </w:rPr>
        <w:t>病理报告的任何变化，都应记录在</w:t>
      </w:r>
      <w:proofErr w:type="gramStart"/>
      <w:r w:rsidRPr="005E192C">
        <w:rPr>
          <w:rFonts w:ascii="Times New Roman" w:eastAsia="宋体" w:hAnsi="Times New Roman" w:cs="宋体"/>
          <w:sz w:val="24"/>
          <w:lang w:eastAsia="zh-CN"/>
        </w:rPr>
        <w:t>最终版</w:t>
      </w:r>
      <w:proofErr w:type="gramEnd"/>
      <w:r w:rsidRPr="005E192C">
        <w:rPr>
          <w:rFonts w:ascii="Times New Roman" w:eastAsia="宋体" w:hAnsi="Times New Roman" w:cs="宋体"/>
          <w:sz w:val="24"/>
          <w:lang w:eastAsia="zh-CN"/>
        </w:rPr>
        <w:t>病理报告的</w:t>
      </w:r>
      <w:r w:rsidR="00041AB3">
        <w:rPr>
          <w:rFonts w:ascii="Times New Roman" w:eastAsia="宋体" w:hAnsi="Times New Roman" w:cs="宋体"/>
          <w:sz w:val="24"/>
          <w:lang w:eastAsia="zh-CN"/>
        </w:rPr>
        <w:t>修订记录</w:t>
      </w:r>
      <w:r w:rsidRPr="005E192C">
        <w:rPr>
          <w:rFonts w:ascii="Times New Roman" w:eastAsia="宋体" w:hAnsi="Times New Roman" w:cs="宋体"/>
          <w:sz w:val="24"/>
          <w:lang w:eastAsia="zh-CN"/>
        </w:rPr>
        <w:t>中。</w:t>
      </w:r>
    </w:p>
    <w:p w14:paraId="01007895" w14:textId="77777777" w:rsidR="00B56F84" w:rsidRPr="005E192C" w:rsidRDefault="0067115B" w:rsidP="00BE6EBE">
      <w:pPr>
        <w:adjustRightInd w:val="0"/>
        <w:snapToGrid w:val="0"/>
        <w:spacing w:beforeLines="550" w:before="13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rPr>
        <w:t>_________________________</w:t>
      </w:r>
    </w:p>
    <w:p w14:paraId="0A1EA3BB" w14:textId="77777777" w:rsidR="00B56F84" w:rsidRPr="005E192C" w:rsidRDefault="00C94630" w:rsidP="00E303D2">
      <w:pPr>
        <w:numPr>
          <w:ilvl w:val="1"/>
          <w:numId w:val="2"/>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r w:rsidRPr="005E192C">
        <w:rPr>
          <w:rFonts w:ascii="Times New Roman" w:eastAsia="宋体" w:hAnsi="Times New Roman" w:cs="宋体"/>
          <w:sz w:val="21"/>
        </w:rPr>
        <w:t xml:space="preserve">Mann, PC, 1996, Pathology Peer Review </w:t>
      </w:r>
      <w:proofErr w:type="gramStart"/>
      <w:r w:rsidRPr="005E192C">
        <w:rPr>
          <w:rFonts w:ascii="Times New Roman" w:eastAsia="宋体" w:hAnsi="Times New Roman" w:cs="宋体"/>
          <w:sz w:val="21"/>
        </w:rPr>
        <w:t>From</w:t>
      </w:r>
      <w:proofErr w:type="gramEnd"/>
      <w:r w:rsidRPr="005E192C">
        <w:rPr>
          <w:rFonts w:ascii="Times New Roman" w:eastAsia="宋体" w:hAnsi="Times New Roman" w:cs="宋体"/>
          <w:sz w:val="21"/>
        </w:rPr>
        <w:t xml:space="preserve"> the Perspective of an External Peer Review Pathologist, </w:t>
      </w:r>
      <w:proofErr w:type="spellStart"/>
      <w:r w:rsidRPr="005E192C">
        <w:rPr>
          <w:rFonts w:ascii="Times New Roman" w:eastAsia="宋体" w:hAnsi="Times New Roman" w:cs="宋体"/>
          <w:sz w:val="21"/>
        </w:rPr>
        <w:t>Toxicol</w:t>
      </w:r>
      <w:proofErr w:type="spellEnd"/>
      <w:r w:rsidRPr="005E192C">
        <w:rPr>
          <w:rFonts w:ascii="Times New Roman" w:eastAsia="宋体" w:hAnsi="Times New Roman" w:cs="宋体"/>
          <w:sz w:val="21"/>
        </w:rPr>
        <w:t xml:space="preserve"> </w:t>
      </w:r>
      <w:proofErr w:type="spellStart"/>
      <w:r w:rsidRPr="005E192C">
        <w:rPr>
          <w:rFonts w:ascii="Times New Roman" w:eastAsia="宋体" w:hAnsi="Times New Roman" w:cs="宋体"/>
          <w:sz w:val="21"/>
        </w:rPr>
        <w:t>Pathol</w:t>
      </w:r>
      <w:proofErr w:type="spellEnd"/>
      <w:r w:rsidRPr="005E192C">
        <w:rPr>
          <w:rFonts w:ascii="Times New Roman" w:eastAsia="宋体" w:hAnsi="Times New Roman" w:cs="宋体"/>
          <w:sz w:val="21"/>
        </w:rPr>
        <w:t>, 24(5):650–653.</w:t>
      </w:r>
      <w:r w:rsidRPr="005E192C">
        <w:rPr>
          <w:rFonts w:ascii="Times New Roman" w:eastAsia="宋体" w:hAnsi="Times New Roman" w:cs="宋体"/>
          <w:sz w:val="21"/>
        </w:rPr>
        <w:br w:type="page"/>
      </w:r>
    </w:p>
    <w:p w14:paraId="547BE7DE" w14:textId="3AF565D4" w:rsidR="00B56F84" w:rsidRPr="005E192C" w:rsidRDefault="00C94630" w:rsidP="00E303D2">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lastRenderedPageBreak/>
        <w:t>Q7</w:t>
      </w:r>
      <w:r w:rsidRPr="005E192C">
        <w:rPr>
          <w:rFonts w:ascii="Times New Roman" w:eastAsia="宋体" w:hAnsi="Times New Roman" w:cs="宋体"/>
          <w:b/>
          <w:sz w:val="24"/>
          <w:lang w:eastAsia="zh-CN"/>
        </w:rPr>
        <w:t>：最终的研究报告中是否应包含签名的</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声明？</w:t>
      </w:r>
    </w:p>
    <w:p w14:paraId="307B1810" w14:textId="73503673"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A7</w:t>
      </w:r>
      <w:r w:rsidRPr="005E192C">
        <w:rPr>
          <w:rFonts w:ascii="Times New Roman" w:eastAsia="宋体" w:hAnsi="Times New Roman" w:cs="宋体"/>
          <w:sz w:val="24"/>
          <w:lang w:eastAsia="zh-CN"/>
        </w:rPr>
        <w:t>：是的，签字的</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声明</w:t>
      </w:r>
      <w:r w:rsidR="003C0AD7" w:rsidRPr="005E192C">
        <w:rPr>
          <w:rFonts w:ascii="Times New Roman" w:eastAsia="宋体" w:hAnsi="Times New Roman" w:cs="宋体"/>
          <w:sz w:val="24"/>
          <w:lang w:eastAsia="zh-CN"/>
        </w:rPr>
        <w:t>作为</w:t>
      </w:r>
      <w:proofErr w:type="gramStart"/>
      <w:r w:rsidR="003C0AD7" w:rsidRPr="005E192C">
        <w:rPr>
          <w:rFonts w:ascii="Times New Roman" w:eastAsia="宋体" w:hAnsi="Times New Roman" w:cs="宋体"/>
          <w:sz w:val="24"/>
          <w:lang w:eastAsia="zh-CN"/>
        </w:rPr>
        <w:t>最终版研究</w:t>
      </w:r>
      <w:proofErr w:type="gramEnd"/>
      <w:r w:rsidR="003C0AD7" w:rsidRPr="005E192C">
        <w:rPr>
          <w:rFonts w:ascii="Times New Roman" w:eastAsia="宋体" w:hAnsi="Times New Roman" w:cs="宋体"/>
          <w:sz w:val="24"/>
          <w:lang w:eastAsia="zh-CN"/>
        </w:rPr>
        <w:t>报告的附录</w:t>
      </w:r>
      <w:r w:rsidR="003C0AD7" w:rsidRPr="005E192C">
        <w:rPr>
          <w:rFonts w:ascii="Times New Roman" w:eastAsia="宋体" w:hAnsi="Times New Roman" w:cs="宋体" w:hint="eastAsia"/>
          <w:sz w:val="24"/>
          <w:lang w:eastAsia="zh-CN"/>
        </w:rPr>
        <w:t>，</w:t>
      </w:r>
      <w:r w:rsidRPr="005E192C">
        <w:rPr>
          <w:rFonts w:ascii="Times New Roman" w:eastAsia="宋体" w:hAnsi="Times New Roman" w:cs="宋体"/>
          <w:sz w:val="24"/>
          <w:lang w:eastAsia="zh-CN"/>
        </w:rPr>
        <w:t>也</w:t>
      </w:r>
      <w:r w:rsidR="003C0AD7" w:rsidRPr="005E192C">
        <w:rPr>
          <w:rFonts w:ascii="Times New Roman" w:eastAsia="宋体" w:hAnsi="Times New Roman" w:cs="宋体" w:hint="eastAsia"/>
          <w:sz w:val="24"/>
          <w:lang w:eastAsia="zh-CN"/>
        </w:rPr>
        <w:t>是</w:t>
      </w:r>
      <w:r w:rsidRPr="005E192C">
        <w:rPr>
          <w:rFonts w:ascii="Times New Roman" w:eastAsia="宋体" w:hAnsi="Times New Roman" w:cs="宋体"/>
          <w:sz w:val="24"/>
          <w:lang w:eastAsia="zh-CN"/>
        </w:rPr>
        <w:t>研究文件（详见</w:t>
      </w:r>
      <w:r w:rsidRPr="005E192C">
        <w:rPr>
          <w:rFonts w:ascii="Times New Roman" w:eastAsia="宋体" w:hAnsi="Times New Roman" w:cs="宋体"/>
          <w:sz w:val="24"/>
          <w:lang w:eastAsia="zh-CN"/>
        </w:rPr>
        <w:t>Q1</w:t>
      </w:r>
      <w:r w:rsidRPr="005E192C">
        <w:rPr>
          <w:rFonts w:ascii="Times New Roman" w:eastAsia="宋体" w:hAnsi="Times New Roman" w:cs="宋体"/>
          <w:sz w:val="24"/>
          <w:lang w:eastAsia="zh-CN"/>
        </w:rPr>
        <w:t>）的一部分。</w:t>
      </w:r>
    </w:p>
    <w:p w14:paraId="7D56E8E3" w14:textId="6745E212" w:rsidR="00B56F84" w:rsidRPr="005E192C" w:rsidRDefault="00C94630" w:rsidP="00E303D2">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t>Q8</w:t>
      </w:r>
      <w:r w:rsidRPr="005E192C">
        <w:rPr>
          <w:rFonts w:ascii="Times New Roman" w:eastAsia="宋体" w:hAnsi="Times New Roman" w:cs="宋体"/>
          <w:b/>
          <w:sz w:val="24"/>
          <w:lang w:eastAsia="zh-CN"/>
        </w:rPr>
        <w:t>：在病理学</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过程中，</w:t>
      </w:r>
      <w:r w:rsidRPr="005E192C">
        <w:rPr>
          <w:rFonts w:ascii="Times New Roman" w:eastAsia="宋体" w:hAnsi="Times New Roman" w:cs="宋体"/>
          <w:b/>
          <w:sz w:val="24"/>
          <w:lang w:eastAsia="zh-CN"/>
        </w:rPr>
        <w:t>FDA</w:t>
      </w:r>
      <w:r w:rsidRPr="005E192C">
        <w:rPr>
          <w:rFonts w:ascii="Times New Roman" w:eastAsia="宋体" w:hAnsi="Times New Roman" w:cs="宋体"/>
          <w:b/>
          <w:sz w:val="24"/>
          <w:lang w:eastAsia="zh-CN"/>
        </w:rPr>
        <w:t>如何确保研究病理学家的</w:t>
      </w:r>
      <w:r w:rsidR="005E192C" w:rsidRPr="005E192C">
        <w:rPr>
          <w:rFonts w:ascii="Times New Roman" w:eastAsia="宋体" w:hAnsi="Times New Roman" w:cs="宋体"/>
          <w:b/>
          <w:sz w:val="24"/>
          <w:lang w:eastAsia="zh-CN"/>
        </w:rPr>
        <w:t>评议</w:t>
      </w:r>
      <w:r w:rsidRPr="005E192C">
        <w:rPr>
          <w:rFonts w:ascii="Times New Roman" w:eastAsia="宋体" w:hAnsi="Times New Roman" w:cs="宋体"/>
          <w:b/>
          <w:sz w:val="24"/>
          <w:lang w:eastAsia="zh-CN"/>
        </w:rPr>
        <w:t>结果不受不合适的干扰？</w:t>
      </w:r>
    </w:p>
    <w:p w14:paraId="0A314CD2" w14:textId="7EFEB5F6"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A8</w:t>
      </w:r>
      <w:r w:rsidRPr="005E192C">
        <w:rPr>
          <w:rFonts w:ascii="Times New Roman" w:eastAsia="宋体" w:hAnsi="Times New Roman" w:cs="宋体"/>
          <w:sz w:val="24"/>
          <w:lang w:eastAsia="zh-CN"/>
        </w:rPr>
        <w:t>：正如</w:t>
      </w:r>
      <w:r w:rsidRPr="005E192C">
        <w:rPr>
          <w:rFonts w:ascii="Times New Roman" w:eastAsia="宋体" w:hAnsi="Times New Roman" w:cs="宋体"/>
          <w:sz w:val="24"/>
          <w:lang w:eastAsia="zh-CN"/>
        </w:rPr>
        <w:t>1987</w:t>
      </w:r>
      <w:r w:rsidRPr="005E192C">
        <w:rPr>
          <w:rFonts w:ascii="Times New Roman" w:eastAsia="宋体" w:hAnsi="Times New Roman" w:cs="宋体"/>
          <w:sz w:val="24"/>
          <w:lang w:eastAsia="zh-CN"/>
        </w:rPr>
        <w:t>版</w:t>
      </w:r>
      <w:r w:rsidRPr="005E192C">
        <w:rPr>
          <w:rFonts w:ascii="Times New Roman" w:eastAsia="宋体" w:hAnsi="Times New Roman" w:cs="宋体"/>
          <w:sz w:val="24"/>
          <w:lang w:eastAsia="zh-CN"/>
        </w:rPr>
        <w:t>GLP</w:t>
      </w:r>
      <w:r w:rsidRPr="005E192C">
        <w:rPr>
          <w:rFonts w:ascii="Times New Roman" w:eastAsia="宋体" w:hAnsi="Times New Roman" w:cs="宋体"/>
          <w:sz w:val="24"/>
          <w:lang w:eastAsia="zh-CN"/>
        </w:rPr>
        <w:t>最终规则的序言所示：</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只有病理学家签字并注明日期的最终报告包含与标本组织病理学评估的原始数据。</w:t>
      </w:r>
      <w:r w:rsidRPr="005E192C">
        <w:rPr>
          <w:rFonts w:ascii="Times New Roman" w:eastAsia="宋体" w:hAnsi="Times New Roman" w:cs="宋体"/>
          <w:sz w:val="24"/>
          <w:lang w:eastAsia="zh-CN"/>
        </w:rPr>
        <w:t>”</w:t>
      </w:r>
      <w:r w:rsidRPr="005E192C">
        <w:rPr>
          <w:rFonts w:ascii="Times New Roman" w:eastAsia="宋体" w:hAnsi="Times New Roman" w:cs="宋体"/>
          <w:sz w:val="24"/>
          <w:vertAlign w:val="superscript"/>
          <w:lang w:eastAsia="zh-CN"/>
        </w:rPr>
        <w:t>5</w:t>
      </w:r>
      <w:r w:rsidRPr="005E192C">
        <w:rPr>
          <w:rFonts w:ascii="Times New Roman" w:eastAsia="宋体" w:hAnsi="Times New Roman" w:cs="宋体"/>
          <w:sz w:val="24"/>
          <w:lang w:eastAsia="zh-CN"/>
        </w:rPr>
        <w:t>签名并注明日期的病理学报告（原始数据）对于促进对组织病理学数据的全面审查以及表征特定研究用药品的毒理学或毒理学潜力至关重要。病理报告由研究病理学家全权负责，反映了病理学家本人对组织病理学发现的</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。因此，检测机构管理层应采取适当措施以确保研究病理学家的独立性，并实施适当程序以跟踪研究病理学家</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的所有变化，包括病理学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可能导致的变化。此类程序可包括实施稽查跟踪。</w:t>
      </w:r>
    </w:p>
    <w:p w14:paraId="205CCD9D" w14:textId="3A7A27A4"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FDA</w:t>
      </w:r>
      <w:r w:rsidRPr="005E192C">
        <w:rPr>
          <w:rFonts w:ascii="Times New Roman" w:eastAsia="宋体" w:hAnsi="Times New Roman" w:cs="宋体"/>
          <w:sz w:val="24"/>
          <w:lang w:eastAsia="zh-CN"/>
        </w:rPr>
        <w:t>认为，病理学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是一个病理学报告草稿迭代的过程，在此过程中报告可能会发生变化，直到研究病理学家在报告上签字并注明日期。执行病理学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的过程涉及研究病理学家、</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w:t>
      </w:r>
      <w:r w:rsidR="00A44378" w:rsidRPr="005E192C">
        <w:rPr>
          <w:rFonts w:ascii="Times New Roman" w:eastAsia="宋体" w:hAnsi="Times New Roman" w:cs="宋体"/>
          <w:sz w:val="24"/>
          <w:lang w:eastAsia="zh-CN"/>
        </w:rPr>
        <w:t>申请人</w:t>
      </w:r>
      <w:r w:rsidRPr="005E192C">
        <w:rPr>
          <w:rFonts w:ascii="Times New Roman" w:eastAsia="宋体" w:hAnsi="Times New Roman" w:cs="宋体"/>
          <w:sz w:val="24"/>
          <w:lang w:eastAsia="zh-CN"/>
        </w:rPr>
        <w:t>、检测机构管理人员、研究主管、</w:t>
      </w:r>
      <w:r w:rsidR="00A44378" w:rsidRPr="005E192C">
        <w:rPr>
          <w:rFonts w:ascii="Times New Roman" w:eastAsia="宋体" w:hAnsi="Times New Roman" w:cs="宋体"/>
          <w:sz w:val="24"/>
          <w:lang w:eastAsia="zh-CN"/>
        </w:rPr>
        <w:t>申请人</w:t>
      </w:r>
      <w:r w:rsidRPr="005E192C">
        <w:rPr>
          <w:rFonts w:ascii="Times New Roman" w:eastAsia="宋体" w:hAnsi="Times New Roman" w:cs="宋体"/>
          <w:sz w:val="24"/>
          <w:lang w:eastAsia="zh-CN"/>
        </w:rPr>
        <w:t>的授权代表和研究中心管理人员（如适用）之间的沟通。与切片评价过程相关的通信记录和与病理学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相关的会议总结（例如，会议记录）应保存在研究文件中。</w:t>
      </w:r>
    </w:p>
    <w:p w14:paraId="2348B1CA" w14:textId="10684272"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对于保护前瞻性</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的完整性而言，透明度很重要，因为该过程发生在组织病理学评估期间，其本质为主观性、迭代性、协作性和开放性。为了最好地确保透明度，记录</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事件的文件（例如工作表、电子文件）和对研究病理学家发现的变更，应保留在研究记录中。确保透明度的一种方法是，在</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过程开始之前修复或锁定病理结果数据库，确保稽查轨迹中记录病理结果的变更。</w:t>
      </w:r>
    </w:p>
    <w:p w14:paraId="36D95D3D" w14:textId="2654EBBC"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如果与</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病理学家共享了病理报告草稿，应在</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声明中体现和反映。此外，</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声明应明确指出</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过程导致的、影响研究病理学家</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的变化。</w:t>
      </w:r>
    </w:p>
    <w:p w14:paraId="4BDAB23E" w14:textId="77777777" w:rsidR="0067115B" w:rsidRPr="005E192C" w:rsidRDefault="0067115B"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FF4E07F" w14:textId="77777777" w:rsidR="00B56F84" w:rsidRPr="005E192C" w:rsidRDefault="0067115B" w:rsidP="00BE6EBE">
      <w:pPr>
        <w:adjustRightInd w:val="0"/>
        <w:snapToGrid w:val="0"/>
        <w:spacing w:beforeLines="600" w:before="144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rPr>
        <w:t>_________________________</w:t>
      </w:r>
    </w:p>
    <w:p w14:paraId="1055382A" w14:textId="77777777" w:rsidR="00B56F84" w:rsidRPr="005E192C" w:rsidRDefault="00C94630" w:rsidP="00E303D2">
      <w:pPr>
        <w:numPr>
          <w:ilvl w:val="1"/>
          <w:numId w:val="2"/>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r w:rsidRPr="005E192C">
        <w:rPr>
          <w:rFonts w:ascii="Times New Roman" w:eastAsia="宋体" w:hAnsi="Times New Roman" w:cs="宋体"/>
          <w:sz w:val="21"/>
        </w:rPr>
        <w:t>Final rule, “Good Laboratory Practice Regulations,” September 4, 1987 (52 FR 33768).</w:t>
      </w:r>
      <w:r w:rsidR="00650DDD" w:rsidRPr="005E192C">
        <w:rPr>
          <w:rFonts w:ascii="Times New Roman" w:eastAsia="宋体" w:hAnsi="Times New Roman" w:cs="宋体"/>
          <w:sz w:val="24"/>
        </w:rPr>
        <w:br w:type="page"/>
      </w:r>
    </w:p>
    <w:p w14:paraId="3058566F" w14:textId="22E4443F" w:rsidR="00B56F84" w:rsidRPr="005E192C" w:rsidRDefault="00C94630" w:rsidP="00E303D2">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5E192C">
        <w:rPr>
          <w:rFonts w:ascii="Times New Roman" w:eastAsia="宋体" w:hAnsi="Times New Roman" w:cs="宋体"/>
          <w:b/>
          <w:sz w:val="24"/>
          <w:lang w:eastAsia="zh-CN"/>
        </w:rPr>
        <w:lastRenderedPageBreak/>
        <w:t>Q9</w:t>
      </w:r>
      <w:r w:rsidRPr="005E192C">
        <w:rPr>
          <w:rFonts w:ascii="Times New Roman" w:eastAsia="宋体" w:hAnsi="Times New Roman" w:cs="宋体"/>
          <w:b/>
          <w:sz w:val="24"/>
          <w:lang w:eastAsia="zh-CN"/>
        </w:rPr>
        <w:t>：研究病理学家和</w:t>
      </w:r>
      <w:r w:rsidR="005671DB">
        <w:rPr>
          <w:rFonts w:ascii="Times New Roman" w:eastAsia="宋体" w:hAnsi="Times New Roman" w:cs="宋体"/>
          <w:b/>
          <w:sz w:val="24"/>
          <w:lang w:eastAsia="zh-CN"/>
        </w:rPr>
        <w:t>同行评审</w:t>
      </w:r>
      <w:r w:rsidRPr="005E192C">
        <w:rPr>
          <w:rFonts w:ascii="Times New Roman" w:eastAsia="宋体" w:hAnsi="Times New Roman" w:cs="宋体"/>
          <w:b/>
          <w:sz w:val="24"/>
          <w:lang w:eastAsia="zh-CN"/>
        </w:rPr>
        <w:t>病理学家之间的</w:t>
      </w:r>
      <w:r w:rsidR="005E192C" w:rsidRPr="005E192C">
        <w:rPr>
          <w:rFonts w:ascii="Times New Roman" w:eastAsia="宋体" w:hAnsi="Times New Roman" w:cs="宋体"/>
          <w:b/>
          <w:sz w:val="24"/>
          <w:lang w:eastAsia="zh-CN"/>
        </w:rPr>
        <w:t>评议</w:t>
      </w:r>
      <w:r w:rsidRPr="005E192C">
        <w:rPr>
          <w:rFonts w:ascii="Times New Roman" w:eastAsia="宋体" w:hAnsi="Times New Roman" w:cs="宋体"/>
          <w:b/>
          <w:sz w:val="24"/>
          <w:lang w:eastAsia="zh-CN"/>
        </w:rPr>
        <w:t>差异应如何解决？</w:t>
      </w:r>
    </w:p>
    <w:p w14:paraId="47F8BC7C" w14:textId="5E808E7A" w:rsidR="00B56F84" w:rsidRPr="005E192C" w:rsidRDefault="00C94630" w:rsidP="00E303D2">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A9</w:t>
      </w:r>
      <w:r w:rsidRPr="005E192C">
        <w:rPr>
          <w:rFonts w:ascii="Times New Roman" w:eastAsia="宋体" w:hAnsi="Times New Roman" w:cs="宋体"/>
          <w:sz w:val="24"/>
          <w:lang w:eastAsia="zh-CN"/>
        </w:rPr>
        <w:t>：研究病理学家是负责对病理数据进行整体分析、</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的个体。如果</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病理学家不赞同研究病理学家的</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，则研究病理学家可能会修改</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，以体现与</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病理学家达成的共识。在进行解决</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差异的对话之前，</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病理学家应记录</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差异。如果未能解决，研究病理学家和</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病理学家应仔细地遵循透明、公正的程序，如检测机构</w:t>
      </w:r>
      <w:r w:rsidRPr="005E192C">
        <w:rPr>
          <w:rFonts w:ascii="Times New Roman" w:eastAsia="宋体" w:hAnsi="Times New Roman" w:cs="宋体"/>
          <w:sz w:val="24"/>
          <w:lang w:eastAsia="zh-CN"/>
        </w:rPr>
        <w:t>SOP</w:t>
      </w:r>
      <w:r w:rsidRPr="005E192C">
        <w:rPr>
          <w:rFonts w:ascii="Times New Roman" w:eastAsia="宋体" w:hAnsi="Times New Roman" w:cs="宋体"/>
          <w:sz w:val="24"/>
          <w:lang w:eastAsia="zh-CN"/>
        </w:rPr>
        <w:t>中</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期间</w:t>
      </w:r>
      <w:r w:rsidR="005E192C" w:rsidRPr="005E192C">
        <w:rPr>
          <w:rFonts w:ascii="Times New Roman" w:eastAsia="宋体" w:hAnsi="Times New Roman" w:cs="宋体"/>
          <w:sz w:val="24"/>
          <w:lang w:eastAsia="zh-CN"/>
        </w:rPr>
        <w:t>评议</w:t>
      </w:r>
      <w:r w:rsidRPr="005E192C">
        <w:rPr>
          <w:rFonts w:ascii="Times New Roman" w:eastAsia="宋体" w:hAnsi="Times New Roman" w:cs="宋体"/>
          <w:sz w:val="24"/>
          <w:lang w:eastAsia="zh-CN"/>
        </w:rPr>
        <w:t>差异的解决</w:t>
      </w:r>
      <w:r w:rsidRPr="005E192C">
        <w:rPr>
          <w:rFonts w:ascii="Times New Roman" w:eastAsia="宋体" w:hAnsi="Times New Roman" w:cs="宋体"/>
          <w:sz w:val="24"/>
          <w:lang w:eastAsia="zh-CN"/>
        </w:rPr>
        <w:t>”</w:t>
      </w:r>
      <w:r w:rsidRPr="005E192C">
        <w:rPr>
          <w:rFonts w:ascii="Times New Roman" w:eastAsia="宋体" w:hAnsi="Times New Roman" w:cs="宋体"/>
          <w:sz w:val="24"/>
          <w:lang w:eastAsia="zh-CN"/>
        </w:rPr>
        <w:t>所述。</w:t>
      </w:r>
    </w:p>
    <w:p w14:paraId="2C63CAEC" w14:textId="04E6D4DC" w:rsidR="00B56F84" w:rsidRPr="005E192C" w:rsidRDefault="00C94630" w:rsidP="00F60EEA">
      <w:pPr>
        <w:adjustRightInd w:val="0"/>
        <w:snapToGrid w:val="0"/>
        <w:spacing w:beforeLines="50" w:before="120" w:line="300" w:lineRule="auto"/>
        <w:jc w:val="both"/>
        <w:rPr>
          <w:rFonts w:ascii="Times New Roman" w:hAnsi="Times New Roman" w:cs="Times New Roman"/>
          <w:snapToGrid w:val="0"/>
          <w:sz w:val="24"/>
          <w:szCs w:val="24"/>
          <w:lang w:eastAsia="zh-CN"/>
        </w:rPr>
      </w:pPr>
      <w:r w:rsidRPr="005E192C">
        <w:rPr>
          <w:rFonts w:ascii="Times New Roman" w:eastAsia="宋体" w:hAnsi="Times New Roman" w:cs="宋体"/>
          <w:sz w:val="24"/>
          <w:lang w:eastAsia="zh-CN"/>
        </w:rPr>
        <w:t>根据</w:t>
      </w:r>
      <w:r w:rsidRPr="005E192C">
        <w:rPr>
          <w:rFonts w:ascii="Times New Roman" w:eastAsia="宋体" w:hAnsi="Times New Roman" w:cs="宋体"/>
          <w:sz w:val="24"/>
          <w:lang w:eastAsia="zh-CN"/>
        </w:rPr>
        <w:t>SOP</w:t>
      </w:r>
      <w:r w:rsidRPr="005E192C">
        <w:rPr>
          <w:rFonts w:ascii="Times New Roman" w:eastAsia="宋体" w:hAnsi="Times New Roman" w:cs="宋体"/>
          <w:sz w:val="24"/>
          <w:lang w:eastAsia="zh-CN"/>
        </w:rPr>
        <w:t>的指示，可通过咨询其他有经验的病理学家来达成共识。与切片评价过程相关的通信记录和与病理学</w:t>
      </w:r>
      <w:r w:rsidR="005671DB">
        <w:rPr>
          <w:rFonts w:ascii="Times New Roman" w:eastAsia="宋体" w:hAnsi="Times New Roman" w:cs="宋体"/>
          <w:sz w:val="24"/>
          <w:lang w:eastAsia="zh-CN"/>
        </w:rPr>
        <w:t>同行评审</w:t>
      </w:r>
      <w:r w:rsidRPr="005E192C">
        <w:rPr>
          <w:rFonts w:ascii="Times New Roman" w:eastAsia="宋体" w:hAnsi="Times New Roman" w:cs="宋体"/>
          <w:sz w:val="24"/>
          <w:lang w:eastAsia="zh-CN"/>
        </w:rPr>
        <w:t>相关的会议总结（例如，会议记录）的记录应保存在研究文件中。</w:t>
      </w:r>
    </w:p>
    <w:sectPr w:rsidR="00B56F84" w:rsidRPr="005E192C" w:rsidSect="00F2792F">
      <w:footerReference w:type="default" r:id="rId24"/>
      <w:pgSz w:w="11907" w:h="16840" w:code="9"/>
      <w:pgMar w:top="1418" w:right="1418" w:bottom="1418" w:left="1418" w:header="720" w:footer="720" w:gutter="0"/>
      <w:pgNumType w:start="1"/>
      <w:cols w:space="23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793F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DEB53" w16cex:dateUtc="2022-03-05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793F42" w16cid:durableId="25CDE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A54CA" w14:textId="77777777" w:rsidR="000E1954" w:rsidRDefault="000E1954" w:rsidP="00B56F84">
      <w:r>
        <w:separator/>
      </w:r>
    </w:p>
  </w:endnote>
  <w:endnote w:type="continuationSeparator" w:id="0">
    <w:p w14:paraId="2CA71F56" w14:textId="77777777" w:rsidR="000E1954" w:rsidRDefault="000E1954" w:rsidP="00B5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8083" w14:textId="77777777" w:rsidR="00F2792F" w:rsidRPr="00BE6EBE" w:rsidRDefault="00F2792F" w:rsidP="00E303D2">
    <w:pPr>
      <w:pStyle w:val="a5"/>
      <w:adjustRightInd w:val="0"/>
      <w:spacing w:beforeLines="50" w:before="120" w:line="300" w:lineRule="auto"/>
      <w:jc w:val="center"/>
      <w:rPr>
        <w:rFonts w:ascii="Times New Roman" w:hAnsi="Times New Roman" w:cs="Times New Roman"/>
        <w:sz w:val="21"/>
        <w:szCs w:val="21"/>
        <w:lang w:eastAsia="zh-CN"/>
      </w:rPr>
    </w:pPr>
    <w:r w:rsidRPr="00BE6EBE">
      <w:rPr>
        <w:rFonts w:ascii="Times New Roman" w:hAnsi="Times New Roman" w:cs="Times New Roman"/>
        <w:sz w:val="21"/>
        <w:szCs w:val="21"/>
        <w:lang w:eastAsia="zh-CN"/>
      </w:rPr>
      <w:fldChar w:fldCharType="begin"/>
    </w:r>
    <w:r w:rsidRPr="00BE6EBE">
      <w:rPr>
        <w:rFonts w:ascii="Times New Roman" w:hAnsi="Times New Roman" w:cs="Times New Roman"/>
        <w:sz w:val="21"/>
        <w:szCs w:val="21"/>
        <w:lang w:eastAsia="zh-CN"/>
      </w:rPr>
      <w:instrText xml:space="preserve"> PAGE   \* MERGEFORMAT </w:instrText>
    </w:r>
    <w:r w:rsidRPr="00BE6EBE">
      <w:rPr>
        <w:rFonts w:ascii="Times New Roman" w:hAnsi="Times New Roman" w:cs="Times New Roman"/>
        <w:sz w:val="21"/>
        <w:szCs w:val="21"/>
        <w:lang w:eastAsia="zh-CN"/>
      </w:rPr>
      <w:fldChar w:fldCharType="separate"/>
    </w:r>
    <w:r w:rsidR="00D60F65" w:rsidRPr="00D60F65">
      <w:rPr>
        <w:rFonts w:ascii="Times New Roman" w:hAnsi="Times New Roman" w:cs="Times New Roman"/>
        <w:noProof/>
        <w:sz w:val="21"/>
        <w:szCs w:val="21"/>
        <w:lang w:val="zh-CN" w:eastAsia="zh-CN"/>
      </w:rPr>
      <w:t>6</w:t>
    </w:r>
    <w:r w:rsidRPr="00BE6EBE">
      <w:rPr>
        <w:rFonts w:ascii="Times New Roman" w:hAnsi="Times New Roman" w:cs="Times New Roman"/>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5A551" w14:textId="77777777" w:rsidR="000E1954" w:rsidRDefault="000E1954" w:rsidP="00B56F84">
      <w:r>
        <w:separator/>
      </w:r>
    </w:p>
  </w:footnote>
  <w:footnote w:type="continuationSeparator" w:id="0">
    <w:p w14:paraId="5F7882C7" w14:textId="77777777" w:rsidR="000E1954" w:rsidRDefault="000E1954" w:rsidP="00B56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54B41" w14:textId="0B781A05" w:rsidR="00F2792F" w:rsidRPr="00F2792F" w:rsidRDefault="00146BE9" w:rsidP="00E303D2">
    <w:pPr>
      <w:autoSpaceDE w:val="0"/>
      <w:autoSpaceDN w:val="0"/>
      <w:adjustRightInd w:val="0"/>
      <w:snapToGrid w:val="0"/>
      <w:spacing w:beforeLines="50" w:before="120" w:line="300" w:lineRule="auto"/>
      <w:jc w:val="center"/>
      <w:rPr>
        <w:rFonts w:ascii="Times New Roman" w:hAnsi="Times New Roman" w:cs="Times New Roman"/>
        <w:b/>
        <w:bCs/>
        <w:i/>
        <w:iCs/>
        <w:sz w:val="21"/>
        <w:szCs w:val="21"/>
        <w:lang w:eastAsia="zh-CN"/>
      </w:rPr>
    </w:pPr>
    <w:r w:rsidRPr="00146BE9">
      <w:rPr>
        <w:rFonts w:ascii="Times New Roman" w:eastAsia="宋体" w:hAnsi="Times New Roman" w:cs="宋体" w:hint="eastAsia"/>
        <w:b/>
        <w:i/>
        <w:sz w:val="21"/>
        <w:lang w:eastAsia="zh-CN"/>
      </w:rPr>
      <w:t>所含建议不具约束力</w:t>
    </w:r>
  </w:p>
  <w:p w14:paraId="3CA4D242" w14:textId="77777777" w:rsidR="00F2792F" w:rsidRDefault="00F2792F" w:rsidP="00E303D2">
    <w:pPr>
      <w:pStyle w:val="a4"/>
      <w:pBdr>
        <w:bottom w:val="none" w:sz="0" w:space="0" w:color="auto"/>
      </w:pBdr>
      <w:adjustRightInd w:val="0"/>
      <w:spacing w:beforeLines="50" w:before="120" w:line="300" w:lineRule="auto"/>
      <w:rPr>
        <w:rFonts w:ascii="Times New Roman" w:hAnsi="Times New Roman" w:cs="Times New Roman"/>
        <w:i/>
        <w:iCs/>
        <w:sz w:val="21"/>
        <w:szCs w:val="21"/>
        <w:lang w:eastAsia="zh-CN"/>
      </w:rPr>
    </w:pPr>
    <w:r w:rsidRPr="00BE6EBE">
      <w:rPr>
        <w:rFonts w:ascii="Times New Roman" w:eastAsia="宋体" w:hAnsi="Times New Roman" w:cs="宋体"/>
        <w:i/>
        <w:sz w:val="21"/>
        <w:lang w:eastAsia="zh-CN"/>
      </w:rPr>
      <w:t>草案</w:t>
    </w:r>
    <w:r w:rsidRPr="00BE6EBE">
      <w:rPr>
        <w:rFonts w:ascii="Times New Roman" w:eastAsia="宋体" w:hAnsi="Times New Roman" w:cs="宋体"/>
        <w:i/>
        <w:sz w:val="21"/>
        <w:lang w:eastAsia="zh-CN"/>
      </w:rPr>
      <w:t>—</w:t>
    </w:r>
    <w:r w:rsidRPr="00BE6EBE">
      <w:rPr>
        <w:rFonts w:ascii="Times New Roman" w:eastAsia="宋体" w:hAnsi="Times New Roman" w:cs="宋体"/>
        <w:i/>
        <w:sz w:val="21"/>
        <w:lang w:eastAsia="zh-CN"/>
      </w:rPr>
      <w:t>非执行版</w:t>
    </w:r>
  </w:p>
  <w:p w14:paraId="1A22F90F" w14:textId="77777777" w:rsidR="00F2792F" w:rsidRPr="00F2792F" w:rsidRDefault="00F2792F" w:rsidP="00E303D2">
    <w:pPr>
      <w:pStyle w:val="a4"/>
      <w:pBdr>
        <w:bottom w:val="none" w:sz="0" w:space="0" w:color="auto"/>
      </w:pBdr>
      <w:adjustRightInd w:val="0"/>
      <w:spacing w:beforeLines="50" w:before="120" w:line="300" w:lineRule="auto"/>
      <w:rPr>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C24"/>
    <w:multiLevelType w:val="hybridMultilevel"/>
    <w:tmpl w:val="39480EB2"/>
    <w:lvl w:ilvl="0" w:tplc="42CC0592">
      <w:start w:val="65"/>
      <w:numFmt w:val="decimal"/>
      <w:lvlText w:val="%1"/>
      <w:lvlJc w:val="left"/>
      <w:pPr>
        <w:ind w:hanging="600"/>
      </w:pPr>
      <w:rPr>
        <w:rFonts w:ascii="Times New Roman" w:eastAsia="Times New Roman" w:hAnsi="Times New Roman" w:hint="default"/>
        <w:sz w:val="24"/>
        <w:szCs w:val="24"/>
      </w:rPr>
    </w:lvl>
    <w:lvl w:ilvl="1" w:tplc="26BC5A72">
      <w:start w:val="1"/>
      <w:numFmt w:val="bullet"/>
      <w:lvlText w:val="•"/>
      <w:lvlJc w:val="left"/>
      <w:rPr>
        <w:rFonts w:hint="default"/>
      </w:rPr>
    </w:lvl>
    <w:lvl w:ilvl="2" w:tplc="49A8FFC2">
      <w:start w:val="1"/>
      <w:numFmt w:val="bullet"/>
      <w:lvlText w:val="•"/>
      <w:lvlJc w:val="left"/>
      <w:rPr>
        <w:rFonts w:hint="default"/>
      </w:rPr>
    </w:lvl>
    <w:lvl w:ilvl="3" w:tplc="7DCA50F2">
      <w:start w:val="1"/>
      <w:numFmt w:val="bullet"/>
      <w:lvlText w:val="•"/>
      <w:lvlJc w:val="left"/>
      <w:rPr>
        <w:rFonts w:hint="default"/>
      </w:rPr>
    </w:lvl>
    <w:lvl w:ilvl="4" w:tplc="ED72CE9E">
      <w:start w:val="1"/>
      <w:numFmt w:val="bullet"/>
      <w:lvlText w:val="•"/>
      <w:lvlJc w:val="left"/>
      <w:rPr>
        <w:rFonts w:hint="default"/>
      </w:rPr>
    </w:lvl>
    <w:lvl w:ilvl="5" w:tplc="0E8C7D3C">
      <w:start w:val="1"/>
      <w:numFmt w:val="bullet"/>
      <w:lvlText w:val="•"/>
      <w:lvlJc w:val="left"/>
      <w:rPr>
        <w:rFonts w:hint="default"/>
      </w:rPr>
    </w:lvl>
    <w:lvl w:ilvl="6" w:tplc="0CAA3100">
      <w:start w:val="1"/>
      <w:numFmt w:val="bullet"/>
      <w:lvlText w:val="•"/>
      <w:lvlJc w:val="left"/>
      <w:rPr>
        <w:rFonts w:hint="default"/>
      </w:rPr>
    </w:lvl>
    <w:lvl w:ilvl="7" w:tplc="37E828A6">
      <w:start w:val="1"/>
      <w:numFmt w:val="bullet"/>
      <w:lvlText w:val="•"/>
      <w:lvlJc w:val="left"/>
      <w:rPr>
        <w:rFonts w:hint="default"/>
      </w:rPr>
    </w:lvl>
    <w:lvl w:ilvl="8" w:tplc="AE4C4E38">
      <w:start w:val="1"/>
      <w:numFmt w:val="bullet"/>
      <w:lvlText w:val="•"/>
      <w:lvlJc w:val="left"/>
      <w:rPr>
        <w:rFonts w:hint="default"/>
      </w:rPr>
    </w:lvl>
  </w:abstractNum>
  <w:abstractNum w:abstractNumId="1">
    <w:nsid w:val="0EF33526"/>
    <w:multiLevelType w:val="hybridMultilevel"/>
    <w:tmpl w:val="5DB69F48"/>
    <w:lvl w:ilvl="0" w:tplc="2D00BBFC">
      <w:start w:val="60"/>
      <w:numFmt w:val="decimal"/>
      <w:lvlText w:val="%1"/>
      <w:lvlJc w:val="left"/>
      <w:pPr>
        <w:ind w:hanging="600"/>
      </w:pPr>
      <w:rPr>
        <w:rFonts w:ascii="Times New Roman" w:eastAsia="Times New Roman" w:hAnsi="Times New Roman" w:hint="default"/>
        <w:sz w:val="24"/>
        <w:szCs w:val="24"/>
      </w:rPr>
    </w:lvl>
    <w:lvl w:ilvl="1" w:tplc="35DEDB04">
      <w:start w:val="1"/>
      <w:numFmt w:val="bullet"/>
      <w:lvlText w:val="•"/>
      <w:lvlJc w:val="left"/>
      <w:rPr>
        <w:rFonts w:hint="default"/>
      </w:rPr>
    </w:lvl>
    <w:lvl w:ilvl="2" w:tplc="DECCDB1E">
      <w:start w:val="1"/>
      <w:numFmt w:val="bullet"/>
      <w:lvlText w:val="•"/>
      <w:lvlJc w:val="left"/>
      <w:rPr>
        <w:rFonts w:hint="default"/>
      </w:rPr>
    </w:lvl>
    <w:lvl w:ilvl="3" w:tplc="A010024C">
      <w:start w:val="1"/>
      <w:numFmt w:val="bullet"/>
      <w:lvlText w:val="•"/>
      <w:lvlJc w:val="left"/>
      <w:rPr>
        <w:rFonts w:hint="default"/>
      </w:rPr>
    </w:lvl>
    <w:lvl w:ilvl="4" w:tplc="5F4C4B88">
      <w:start w:val="1"/>
      <w:numFmt w:val="bullet"/>
      <w:lvlText w:val="•"/>
      <w:lvlJc w:val="left"/>
      <w:rPr>
        <w:rFonts w:hint="default"/>
      </w:rPr>
    </w:lvl>
    <w:lvl w:ilvl="5" w:tplc="38F808F8">
      <w:start w:val="1"/>
      <w:numFmt w:val="bullet"/>
      <w:lvlText w:val="•"/>
      <w:lvlJc w:val="left"/>
      <w:rPr>
        <w:rFonts w:hint="default"/>
      </w:rPr>
    </w:lvl>
    <w:lvl w:ilvl="6" w:tplc="6FA6B3FC">
      <w:start w:val="1"/>
      <w:numFmt w:val="bullet"/>
      <w:lvlText w:val="•"/>
      <w:lvlJc w:val="left"/>
      <w:rPr>
        <w:rFonts w:hint="default"/>
      </w:rPr>
    </w:lvl>
    <w:lvl w:ilvl="7" w:tplc="67EE71FC">
      <w:start w:val="1"/>
      <w:numFmt w:val="bullet"/>
      <w:lvlText w:val="•"/>
      <w:lvlJc w:val="left"/>
      <w:rPr>
        <w:rFonts w:hint="default"/>
      </w:rPr>
    </w:lvl>
    <w:lvl w:ilvl="8" w:tplc="2A5A3722">
      <w:start w:val="1"/>
      <w:numFmt w:val="bullet"/>
      <w:lvlText w:val="•"/>
      <w:lvlJc w:val="left"/>
      <w:rPr>
        <w:rFonts w:hint="default"/>
      </w:rPr>
    </w:lvl>
  </w:abstractNum>
  <w:abstractNum w:abstractNumId="2">
    <w:nsid w:val="21515812"/>
    <w:multiLevelType w:val="hybridMultilevel"/>
    <w:tmpl w:val="EAEE3C90"/>
    <w:lvl w:ilvl="0" w:tplc="B6381318">
      <w:start w:val="1"/>
      <w:numFmt w:val="upperRoman"/>
      <w:lvlText w:val="%1."/>
      <w:lvlJc w:val="left"/>
      <w:pPr>
        <w:ind w:hanging="720"/>
      </w:pPr>
      <w:rPr>
        <w:rFonts w:ascii="Times New Roman" w:eastAsia="Times New Roman" w:hAnsi="Times New Roman" w:hint="default"/>
        <w:b/>
        <w:bCs/>
        <w:sz w:val="24"/>
        <w:szCs w:val="24"/>
      </w:rPr>
    </w:lvl>
    <w:lvl w:ilvl="1" w:tplc="CC94DFEC">
      <w:start w:val="1"/>
      <w:numFmt w:val="decimal"/>
      <w:lvlText w:val="%2"/>
      <w:lvlJc w:val="left"/>
      <w:pPr>
        <w:ind w:hanging="508"/>
      </w:pPr>
      <w:rPr>
        <w:rFonts w:ascii="Times New Roman" w:eastAsia="Times New Roman" w:hAnsi="Times New Roman" w:hint="default"/>
        <w:sz w:val="24"/>
        <w:szCs w:val="24"/>
      </w:rPr>
    </w:lvl>
    <w:lvl w:ilvl="2" w:tplc="13B42EC6">
      <w:start w:val="1"/>
      <w:numFmt w:val="bullet"/>
      <w:lvlText w:val="•"/>
      <w:lvlJc w:val="left"/>
      <w:rPr>
        <w:rFonts w:hint="default"/>
      </w:rPr>
    </w:lvl>
    <w:lvl w:ilvl="3" w:tplc="A9F6CA3E">
      <w:start w:val="1"/>
      <w:numFmt w:val="bullet"/>
      <w:lvlText w:val="•"/>
      <w:lvlJc w:val="left"/>
      <w:rPr>
        <w:rFonts w:hint="default"/>
      </w:rPr>
    </w:lvl>
    <w:lvl w:ilvl="4" w:tplc="54DAB5DC">
      <w:start w:val="1"/>
      <w:numFmt w:val="bullet"/>
      <w:lvlText w:val="•"/>
      <w:lvlJc w:val="left"/>
      <w:rPr>
        <w:rFonts w:hint="default"/>
      </w:rPr>
    </w:lvl>
    <w:lvl w:ilvl="5" w:tplc="6D723576">
      <w:start w:val="1"/>
      <w:numFmt w:val="bullet"/>
      <w:lvlText w:val="•"/>
      <w:lvlJc w:val="left"/>
      <w:rPr>
        <w:rFonts w:hint="default"/>
      </w:rPr>
    </w:lvl>
    <w:lvl w:ilvl="6" w:tplc="7B2CD5F8">
      <w:start w:val="1"/>
      <w:numFmt w:val="bullet"/>
      <w:lvlText w:val="•"/>
      <w:lvlJc w:val="left"/>
      <w:rPr>
        <w:rFonts w:hint="default"/>
      </w:rPr>
    </w:lvl>
    <w:lvl w:ilvl="7" w:tplc="107A6F74">
      <w:start w:val="1"/>
      <w:numFmt w:val="bullet"/>
      <w:lvlText w:val="•"/>
      <w:lvlJc w:val="left"/>
      <w:rPr>
        <w:rFonts w:hint="default"/>
      </w:rPr>
    </w:lvl>
    <w:lvl w:ilvl="8" w:tplc="525E5274">
      <w:start w:val="1"/>
      <w:numFmt w:val="bullet"/>
      <w:lvlText w:val="•"/>
      <w:lvlJc w:val="left"/>
      <w:rPr>
        <w:rFonts w:hint="default"/>
      </w:rPr>
    </w:lvl>
  </w:abstractNum>
  <w:abstractNum w:abstractNumId="3">
    <w:nsid w:val="223178B1"/>
    <w:multiLevelType w:val="hybridMultilevel"/>
    <w:tmpl w:val="07021224"/>
    <w:lvl w:ilvl="0" w:tplc="5AA60E44">
      <w:start w:val="25"/>
      <w:numFmt w:val="decimal"/>
      <w:lvlText w:val="%1"/>
      <w:lvlJc w:val="left"/>
      <w:pPr>
        <w:ind w:hanging="600"/>
      </w:pPr>
      <w:rPr>
        <w:rFonts w:ascii="Times New Roman" w:eastAsia="Times New Roman" w:hAnsi="Times New Roman" w:hint="default"/>
        <w:sz w:val="24"/>
        <w:szCs w:val="24"/>
      </w:rPr>
    </w:lvl>
    <w:lvl w:ilvl="1" w:tplc="8C7AC698">
      <w:start w:val="1"/>
      <w:numFmt w:val="bullet"/>
      <w:lvlText w:val="•"/>
      <w:lvlJc w:val="left"/>
      <w:rPr>
        <w:rFonts w:hint="default"/>
      </w:rPr>
    </w:lvl>
    <w:lvl w:ilvl="2" w:tplc="5B287A8C">
      <w:start w:val="1"/>
      <w:numFmt w:val="bullet"/>
      <w:lvlText w:val="•"/>
      <w:lvlJc w:val="left"/>
      <w:rPr>
        <w:rFonts w:hint="default"/>
      </w:rPr>
    </w:lvl>
    <w:lvl w:ilvl="3" w:tplc="D99CC36A">
      <w:start w:val="1"/>
      <w:numFmt w:val="bullet"/>
      <w:lvlText w:val="•"/>
      <w:lvlJc w:val="left"/>
      <w:rPr>
        <w:rFonts w:hint="default"/>
      </w:rPr>
    </w:lvl>
    <w:lvl w:ilvl="4" w:tplc="760876DC">
      <w:start w:val="1"/>
      <w:numFmt w:val="bullet"/>
      <w:lvlText w:val="•"/>
      <w:lvlJc w:val="left"/>
      <w:rPr>
        <w:rFonts w:hint="default"/>
      </w:rPr>
    </w:lvl>
    <w:lvl w:ilvl="5" w:tplc="4A3C586A">
      <w:start w:val="1"/>
      <w:numFmt w:val="bullet"/>
      <w:lvlText w:val="•"/>
      <w:lvlJc w:val="left"/>
      <w:rPr>
        <w:rFonts w:hint="default"/>
      </w:rPr>
    </w:lvl>
    <w:lvl w:ilvl="6" w:tplc="382EAA50">
      <w:start w:val="1"/>
      <w:numFmt w:val="bullet"/>
      <w:lvlText w:val="•"/>
      <w:lvlJc w:val="left"/>
      <w:rPr>
        <w:rFonts w:hint="default"/>
      </w:rPr>
    </w:lvl>
    <w:lvl w:ilvl="7" w:tplc="6440491A">
      <w:start w:val="1"/>
      <w:numFmt w:val="bullet"/>
      <w:lvlText w:val="•"/>
      <w:lvlJc w:val="left"/>
      <w:rPr>
        <w:rFonts w:hint="default"/>
      </w:rPr>
    </w:lvl>
    <w:lvl w:ilvl="8" w:tplc="DD3E16FA">
      <w:start w:val="1"/>
      <w:numFmt w:val="bullet"/>
      <w:lvlText w:val="•"/>
      <w:lvlJc w:val="left"/>
      <w:rPr>
        <w:rFonts w:hint="default"/>
      </w:rPr>
    </w:lvl>
  </w:abstractNum>
  <w:abstractNum w:abstractNumId="4">
    <w:nsid w:val="25EC04D7"/>
    <w:multiLevelType w:val="hybridMultilevel"/>
    <w:tmpl w:val="9EC2FB3C"/>
    <w:lvl w:ilvl="0" w:tplc="C61A8948">
      <w:start w:val="34"/>
      <w:numFmt w:val="decimal"/>
      <w:lvlText w:val="%1"/>
      <w:lvlJc w:val="left"/>
      <w:pPr>
        <w:ind w:hanging="600"/>
      </w:pPr>
      <w:rPr>
        <w:rFonts w:ascii="Times New Roman" w:eastAsia="Times New Roman" w:hAnsi="Times New Roman" w:hint="default"/>
        <w:sz w:val="24"/>
        <w:szCs w:val="24"/>
      </w:rPr>
    </w:lvl>
    <w:lvl w:ilvl="1" w:tplc="32A423EA">
      <w:start w:val="1"/>
      <w:numFmt w:val="bullet"/>
      <w:lvlText w:val="•"/>
      <w:lvlJc w:val="left"/>
      <w:rPr>
        <w:rFonts w:hint="default"/>
      </w:rPr>
    </w:lvl>
    <w:lvl w:ilvl="2" w:tplc="4A3C5782">
      <w:start w:val="1"/>
      <w:numFmt w:val="bullet"/>
      <w:lvlText w:val="•"/>
      <w:lvlJc w:val="left"/>
      <w:rPr>
        <w:rFonts w:hint="default"/>
      </w:rPr>
    </w:lvl>
    <w:lvl w:ilvl="3" w:tplc="92682C64">
      <w:start w:val="1"/>
      <w:numFmt w:val="bullet"/>
      <w:lvlText w:val="•"/>
      <w:lvlJc w:val="left"/>
      <w:rPr>
        <w:rFonts w:hint="default"/>
      </w:rPr>
    </w:lvl>
    <w:lvl w:ilvl="4" w:tplc="83DE846A">
      <w:start w:val="1"/>
      <w:numFmt w:val="bullet"/>
      <w:lvlText w:val="•"/>
      <w:lvlJc w:val="left"/>
      <w:rPr>
        <w:rFonts w:hint="default"/>
      </w:rPr>
    </w:lvl>
    <w:lvl w:ilvl="5" w:tplc="53765F42">
      <w:start w:val="1"/>
      <w:numFmt w:val="bullet"/>
      <w:lvlText w:val="•"/>
      <w:lvlJc w:val="left"/>
      <w:rPr>
        <w:rFonts w:hint="default"/>
      </w:rPr>
    </w:lvl>
    <w:lvl w:ilvl="6" w:tplc="DB6A243A">
      <w:start w:val="1"/>
      <w:numFmt w:val="bullet"/>
      <w:lvlText w:val="•"/>
      <w:lvlJc w:val="left"/>
      <w:rPr>
        <w:rFonts w:hint="default"/>
      </w:rPr>
    </w:lvl>
    <w:lvl w:ilvl="7" w:tplc="456CA3B6">
      <w:start w:val="1"/>
      <w:numFmt w:val="bullet"/>
      <w:lvlText w:val="•"/>
      <w:lvlJc w:val="left"/>
      <w:rPr>
        <w:rFonts w:hint="default"/>
      </w:rPr>
    </w:lvl>
    <w:lvl w:ilvl="8" w:tplc="11C65E0A">
      <w:start w:val="1"/>
      <w:numFmt w:val="bullet"/>
      <w:lvlText w:val="•"/>
      <w:lvlJc w:val="left"/>
      <w:rPr>
        <w:rFonts w:hint="default"/>
      </w:rPr>
    </w:lvl>
  </w:abstractNum>
  <w:abstractNum w:abstractNumId="5">
    <w:nsid w:val="2C962C62"/>
    <w:multiLevelType w:val="hybridMultilevel"/>
    <w:tmpl w:val="150EFAAA"/>
    <w:lvl w:ilvl="0" w:tplc="18BAE4EE">
      <w:start w:val="78"/>
      <w:numFmt w:val="decimal"/>
      <w:lvlText w:val="%1"/>
      <w:lvlJc w:val="left"/>
      <w:pPr>
        <w:ind w:hanging="600"/>
      </w:pPr>
      <w:rPr>
        <w:rFonts w:ascii="Times New Roman" w:eastAsia="Times New Roman" w:hAnsi="Times New Roman" w:hint="default"/>
        <w:sz w:val="24"/>
        <w:szCs w:val="24"/>
      </w:rPr>
    </w:lvl>
    <w:lvl w:ilvl="1" w:tplc="E1C040B6">
      <w:start w:val="2"/>
      <w:numFmt w:val="decimal"/>
      <w:lvlText w:val="%2"/>
      <w:lvlJc w:val="left"/>
      <w:pPr>
        <w:ind w:hanging="116"/>
        <w:jc w:val="right"/>
      </w:pPr>
      <w:rPr>
        <w:rFonts w:ascii="Times New Roman" w:eastAsia="Times New Roman" w:hAnsi="Times New Roman" w:hint="default"/>
        <w:w w:val="100"/>
        <w:position w:val="0"/>
        <w:sz w:val="21"/>
        <w:szCs w:val="21"/>
        <w:vertAlign w:val="superscript"/>
      </w:rPr>
    </w:lvl>
    <w:lvl w:ilvl="2" w:tplc="D1006A88">
      <w:start w:val="1"/>
      <w:numFmt w:val="bullet"/>
      <w:lvlText w:val="•"/>
      <w:lvlJc w:val="left"/>
      <w:rPr>
        <w:rFonts w:hint="default"/>
      </w:rPr>
    </w:lvl>
    <w:lvl w:ilvl="3" w:tplc="43160B24">
      <w:start w:val="1"/>
      <w:numFmt w:val="bullet"/>
      <w:lvlText w:val="•"/>
      <w:lvlJc w:val="left"/>
      <w:rPr>
        <w:rFonts w:hint="default"/>
      </w:rPr>
    </w:lvl>
    <w:lvl w:ilvl="4" w:tplc="A2FE7B8E">
      <w:start w:val="1"/>
      <w:numFmt w:val="bullet"/>
      <w:lvlText w:val="•"/>
      <w:lvlJc w:val="left"/>
      <w:rPr>
        <w:rFonts w:hint="default"/>
      </w:rPr>
    </w:lvl>
    <w:lvl w:ilvl="5" w:tplc="674C2778">
      <w:start w:val="1"/>
      <w:numFmt w:val="bullet"/>
      <w:lvlText w:val="•"/>
      <w:lvlJc w:val="left"/>
      <w:rPr>
        <w:rFonts w:hint="default"/>
      </w:rPr>
    </w:lvl>
    <w:lvl w:ilvl="6" w:tplc="72DE3DCE">
      <w:start w:val="1"/>
      <w:numFmt w:val="bullet"/>
      <w:lvlText w:val="•"/>
      <w:lvlJc w:val="left"/>
      <w:rPr>
        <w:rFonts w:hint="default"/>
      </w:rPr>
    </w:lvl>
    <w:lvl w:ilvl="7" w:tplc="7FE4E47A">
      <w:start w:val="1"/>
      <w:numFmt w:val="bullet"/>
      <w:lvlText w:val="•"/>
      <w:lvlJc w:val="left"/>
      <w:rPr>
        <w:rFonts w:hint="default"/>
      </w:rPr>
    </w:lvl>
    <w:lvl w:ilvl="8" w:tplc="9C54F35E">
      <w:start w:val="1"/>
      <w:numFmt w:val="bullet"/>
      <w:lvlText w:val="•"/>
      <w:lvlJc w:val="left"/>
      <w:rPr>
        <w:rFonts w:hint="default"/>
      </w:rPr>
    </w:lvl>
  </w:abstractNum>
  <w:abstractNum w:abstractNumId="6">
    <w:nsid w:val="35DF6094"/>
    <w:multiLevelType w:val="hybridMultilevel"/>
    <w:tmpl w:val="9A3C6198"/>
    <w:lvl w:ilvl="0" w:tplc="97F29C16">
      <w:start w:val="53"/>
      <w:numFmt w:val="decimal"/>
      <w:lvlText w:val="%1"/>
      <w:lvlJc w:val="left"/>
      <w:pPr>
        <w:ind w:hanging="600"/>
      </w:pPr>
      <w:rPr>
        <w:rFonts w:ascii="Times New Roman" w:eastAsia="Times New Roman" w:hAnsi="Times New Roman" w:hint="default"/>
        <w:sz w:val="24"/>
        <w:szCs w:val="24"/>
      </w:rPr>
    </w:lvl>
    <w:lvl w:ilvl="1" w:tplc="7F80CCCE">
      <w:start w:val="1"/>
      <w:numFmt w:val="bullet"/>
      <w:lvlText w:val="•"/>
      <w:lvlJc w:val="left"/>
      <w:rPr>
        <w:rFonts w:hint="default"/>
      </w:rPr>
    </w:lvl>
    <w:lvl w:ilvl="2" w:tplc="956CBEC8">
      <w:start w:val="1"/>
      <w:numFmt w:val="bullet"/>
      <w:lvlText w:val="•"/>
      <w:lvlJc w:val="left"/>
      <w:rPr>
        <w:rFonts w:hint="default"/>
      </w:rPr>
    </w:lvl>
    <w:lvl w:ilvl="3" w:tplc="A53EAC68">
      <w:start w:val="1"/>
      <w:numFmt w:val="bullet"/>
      <w:lvlText w:val="•"/>
      <w:lvlJc w:val="left"/>
      <w:rPr>
        <w:rFonts w:hint="default"/>
      </w:rPr>
    </w:lvl>
    <w:lvl w:ilvl="4" w:tplc="9746E9AC">
      <w:start w:val="1"/>
      <w:numFmt w:val="bullet"/>
      <w:lvlText w:val="•"/>
      <w:lvlJc w:val="left"/>
      <w:rPr>
        <w:rFonts w:hint="default"/>
      </w:rPr>
    </w:lvl>
    <w:lvl w:ilvl="5" w:tplc="0AEE982C">
      <w:start w:val="1"/>
      <w:numFmt w:val="bullet"/>
      <w:lvlText w:val="•"/>
      <w:lvlJc w:val="left"/>
      <w:rPr>
        <w:rFonts w:hint="default"/>
      </w:rPr>
    </w:lvl>
    <w:lvl w:ilvl="6" w:tplc="4D8A2276">
      <w:start w:val="1"/>
      <w:numFmt w:val="bullet"/>
      <w:lvlText w:val="•"/>
      <w:lvlJc w:val="left"/>
      <w:rPr>
        <w:rFonts w:hint="default"/>
      </w:rPr>
    </w:lvl>
    <w:lvl w:ilvl="7" w:tplc="76C4C4DC">
      <w:start w:val="1"/>
      <w:numFmt w:val="bullet"/>
      <w:lvlText w:val="•"/>
      <w:lvlJc w:val="left"/>
      <w:rPr>
        <w:rFonts w:hint="default"/>
      </w:rPr>
    </w:lvl>
    <w:lvl w:ilvl="8" w:tplc="B5FE7EF4">
      <w:start w:val="1"/>
      <w:numFmt w:val="bullet"/>
      <w:lvlText w:val="•"/>
      <w:lvlJc w:val="left"/>
      <w:rPr>
        <w:rFonts w:hint="default"/>
      </w:rPr>
    </w:lvl>
  </w:abstractNum>
  <w:abstractNum w:abstractNumId="7">
    <w:nsid w:val="45673991"/>
    <w:multiLevelType w:val="hybridMultilevel"/>
    <w:tmpl w:val="CED66C28"/>
    <w:lvl w:ilvl="0" w:tplc="B79211F4">
      <w:start w:val="1"/>
      <w:numFmt w:val="bullet"/>
      <w:lvlText w:val=""/>
      <w:lvlJc w:val="left"/>
      <w:pPr>
        <w:ind w:hanging="360"/>
      </w:pPr>
      <w:rPr>
        <w:rFonts w:ascii="Wingdings" w:hAnsi="Wingdings" w:hint="default"/>
        <w:w w:val="100"/>
        <w:sz w:val="24"/>
        <w:szCs w:val="24"/>
      </w:rPr>
    </w:lvl>
    <w:lvl w:ilvl="1" w:tplc="0FCE9C28">
      <w:start w:val="1"/>
      <w:numFmt w:val="bullet"/>
      <w:lvlText w:val="•"/>
      <w:lvlJc w:val="left"/>
      <w:rPr>
        <w:rFonts w:hint="default"/>
      </w:rPr>
    </w:lvl>
    <w:lvl w:ilvl="2" w:tplc="56E877C6">
      <w:start w:val="1"/>
      <w:numFmt w:val="bullet"/>
      <w:lvlText w:val="•"/>
      <w:lvlJc w:val="left"/>
      <w:rPr>
        <w:rFonts w:hint="default"/>
      </w:rPr>
    </w:lvl>
    <w:lvl w:ilvl="3" w:tplc="542A5D52">
      <w:start w:val="1"/>
      <w:numFmt w:val="bullet"/>
      <w:lvlText w:val="•"/>
      <w:lvlJc w:val="left"/>
      <w:rPr>
        <w:rFonts w:hint="default"/>
      </w:rPr>
    </w:lvl>
    <w:lvl w:ilvl="4" w:tplc="685AD4D8">
      <w:start w:val="1"/>
      <w:numFmt w:val="bullet"/>
      <w:lvlText w:val="•"/>
      <w:lvlJc w:val="left"/>
      <w:rPr>
        <w:rFonts w:hint="default"/>
      </w:rPr>
    </w:lvl>
    <w:lvl w:ilvl="5" w:tplc="DC0083D4">
      <w:start w:val="1"/>
      <w:numFmt w:val="bullet"/>
      <w:lvlText w:val="•"/>
      <w:lvlJc w:val="left"/>
      <w:rPr>
        <w:rFonts w:hint="default"/>
      </w:rPr>
    </w:lvl>
    <w:lvl w:ilvl="6" w:tplc="DCD2F6FE">
      <w:start w:val="1"/>
      <w:numFmt w:val="bullet"/>
      <w:lvlText w:val="•"/>
      <w:lvlJc w:val="left"/>
      <w:rPr>
        <w:rFonts w:hint="default"/>
      </w:rPr>
    </w:lvl>
    <w:lvl w:ilvl="7" w:tplc="2F6A82E0">
      <w:start w:val="1"/>
      <w:numFmt w:val="bullet"/>
      <w:lvlText w:val="•"/>
      <w:lvlJc w:val="left"/>
      <w:rPr>
        <w:rFonts w:hint="default"/>
      </w:rPr>
    </w:lvl>
    <w:lvl w:ilvl="8" w:tplc="56BCDFDA">
      <w:start w:val="1"/>
      <w:numFmt w:val="bullet"/>
      <w:lvlText w:val="•"/>
      <w:lvlJc w:val="left"/>
      <w:rPr>
        <w:rFonts w:hint="default"/>
      </w:rPr>
    </w:lvl>
  </w:abstractNum>
  <w:abstractNum w:abstractNumId="8">
    <w:nsid w:val="6377184F"/>
    <w:multiLevelType w:val="hybridMultilevel"/>
    <w:tmpl w:val="63E81030"/>
    <w:lvl w:ilvl="0" w:tplc="64021AF2">
      <w:start w:val="17"/>
      <w:numFmt w:val="decimal"/>
      <w:lvlText w:val="%1"/>
      <w:lvlJc w:val="left"/>
      <w:pPr>
        <w:ind w:hanging="600"/>
      </w:pPr>
      <w:rPr>
        <w:rFonts w:ascii="Times New Roman" w:eastAsia="Times New Roman" w:hAnsi="Times New Roman" w:hint="default"/>
        <w:sz w:val="24"/>
        <w:szCs w:val="24"/>
      </w:rPr>
    </w:lvl>
    <w:lvl w:ilvl="1" w:tplc="22E07212">
      <w:start w:val="1"/>
      <w:numFmt w:val="bullet"/>
      <w:lvlText w:val="•"/>
      <w:lvlJc w:val="left"/>
      <w:rPr>
        <w:rFonts w:hint="default"/>
      </w:rPr>
    </w:lvl>
    <w:lvl w:ilvl="2" w:tplc="817E2050">
      <w:start w:val="1"/>
      <w:numFmt w:val="bullet"/>
      <w:lvlText w:val="•"/>
      <w:lvlJc w:val="left"/>
      <w:rPr>
        <w:rFonts w:hint="default"/>
      </w:rPr>
    </w:lvl>
    <w:lvl w:ilvl="3" w:tplc="ED602DD0">
      <w:start w:val="1"/>
      <w:numFmt w:val="bullet"/>
      <w:lvlText w:val="•"/>
      <w:lvlJc w:val="left"/>
      <w:rPr>
        <w:rFonts w:hint="default"/>
      </w:rPr>
    </w:lvl>
    <w:lvl w:ilvl="4" w:tplc="D67E2B08">
      <w:start w:val="1"/>
      <w:numFmt w:val="bullet"/>
      <w:lvlText w:val="•"/>
      <w:lvlJc w:val="left"/>
      <w:rPr>
        <w:rFonts w:hint="default"/>
      </w:rPr>
    </w:lvl>
    <w:lvl w:ilvl="5" w:tplc="3DDA3E54">
      <w:start w:val="1"/>
      <w:numFmt w:val="bullet"/>
      <w:lvlText w:val="•"/>
      <w:lvlJc w:val="left"/>
      <w:rPr>
        <w:rFonts w:hint="default"/>
      </w:rPr>
    </w:lvl>
    <w:lvl w:ilvl="6" w:tplc="6FF8FBF8">
      <w:start w:val="1"/>
      <w:numFmt w:val="bullet"/>
      <w:lvlText w:val="•"/>
      <w:lvlJc w:val="left"/>
      <w:rPr>
        <w:rFonts w:hint="default"/>
      </w:rPr>
    </w:lvl>
    <w:lvl w:ilvl="7" w:tplc="0EA42A70">
      <w:start w:val="1"/>
      <w:numFmt w:val="bullet"/>
      <w:lvlText w:val="•"/>
      <w:lvlJc w:val="left"/>
      <w:rPr>
        <w:rFonts w:hint="default"/>
      </w:rPr>
    </w:lvl>
    <w:lvl w:ilvl="8" w:tplc="7BD87BF8">
      <w:start w:val="1"/>
      <w:numFmt w:val="bullet"/>
      <w:lvlText w:val="•"/>
      <w:lvlJc w:val="left"/>
      <w:rPr>
        <w:rFonts w:hint="default"/>
      </w:rPr>
    </w:lvl>
  </w:abstractNum>
  <w:abstractNum w:abstractNumId="9">
    <w:nsid w:val="6EA73CC7"/>
    <w:multiLevelType w:val="hybridMultilevel"/>
    <w:tmpl w:val="DAC44DE2"/>
    <w:lvl w:ilvl="0" w:tplc="2A08FEF8">
      <w:start w:val="41"/>
      <w:numFmt w:val="decimal"/>
      <w:lvlText w:val="%1"/>
      <w:lvlJc w:val="left"/>
      <w:pPr>
        <w:ind w:hanging="600"/>
      </w:pPr>
      <w:rPr>
        <w:rFonts w:ascii="Times New Roman" w:eastAsia="Times New Roman" w:hAnsi="Times New Roman" w:hint="default"/>
        <w:sz w:val="24"/>
        <w:szCs w:val="24"/>
      </w:rPr>
    </w:lvl>
    <w:lvl w:ilvl="1" w:tplc="3062977C">
      <w:start w:val="1"/>
      <w:numFmt w:val="bullet"/>
      <w:lvlText w:val="•"/>
      <w:lvlJc w:val="left"/>
      <w:rPr>
        <w:rFonts w:hint="default"/>
      </w:rPr>
    </w:lvl>
    <w:lvl w:ilvl="2" w:tplc="178CAD0C">
      <w:start w:val="1"/>
      <w:numFmt w:val="bullet"/>
      <w:lvlText w:val="•"/>
      <w:lvlJc w:val="left"/>
      <w:rPr>
        <w:rFonts w:hint="default"/>
      </w:rPr>
    </w:lvl>
    <w:lvl w:ilvl="3" w:tplc="2228AFCC">
      <w:start w:val="1"/>
      <w:numFmt w:val="bullet"/>
      <w:lvlText w:val="•"/>
      <w:lvlJc w:val="left"/>
      <w:rPr>
        <w:rFonts w:hint="default"/>
      </w:rPr>
    </w:lvl>
    <w:lvl w:ilvl="4" w:tplc="A4DE5066">
      <w:start w:val="1"/>
      <w:numFmt w:val="bullet"/>
      <w:lvlText w:val="•"/>
      <w:lvlJc w:val="left"/>
      <w:rPr>
        <w:rFonts w:hint="default"/>
      </w:rPr>
    </w:lvl>
    <w:lvl w:ilvl="5" w:tplc="CE9CC4BE">
      <w:start w:val="1"/>
      <w:numFmt w:val="bullet"/>
      <w:lvlText w:val="•"/>
      <w:lvlJc w:val="left"/>
      <w:rPr>
        <w:rFonts w:hint="default"/>
      </w:rPr>
    </w:lvl>
    <w:lvl w:ilvl="6" w:tplc="4118BBBA">
      <w:start w:val="1"/>
      <w:numFmt w:val="bullet"/>
      <w:lvlText w:val="•"/>
      <w:lvlJc w:val="left"/>
      <w:rPr>
        <w:rFonts w:hint="default"/>
      </w:rPr>
    </w:lvl>
    <w:lvl w:ilvl="7" w:tplc="7180A61E">
      <w:start w:val="1"/>
      <w:numFmt w:val="bullet"/>
      <w:lvlText w:val="•"/>
      <w:lvlJc w:val="left"/>
      <w:rPr>
        <w:rFonts w:hint="default"/>
      </w:rPr>
    </w:lvl>
    <w:lvl w:ilvl="8" w:tplc="4B3EED6E">
      <w:start w:val="1"/>
      <w:numFmt w:val="bullet"/>
      <w:lvlText w:val="•"/>
      <w:lvlJc w:val="left"/>
      <w:rPr>
        <w:rFonts w:hint="default"/>
      </w:rPr>
    </w:lvl>
  </w:abstractNum>
  <w:abstractNum w:abstractNumId="10">
    <w:nsid w:val="72560C75"/>
    <w:multiLevelType w:val="hybridMultilevel"/>
    <w:tmpl w:val="15385662"/>
    <w:lvl w:ilvl="0" w:tplc="45765598">
      <w:start w:val="75"/>
      <w:numFmt w:val="decimal"/>
      <w:lvlText w:val="%1"/>
      <w:lvlJc w:val="left"/>
      <w:pPr>
        <w:ind w:hanging="600"/>
      </w:pPr>
      <w:rPr>
        <w:rFonts w:ascii="Times New Roman" w:eastAsia="Times New Roman" w:hAnsi="Times New Roman" w:hint="default"/>
        <w:sz w:val="24"/>
        <w:szCs w:val="24"/>
      </w:rPr>
    </w:lvl>
    <w:lvl w:ilvl="1" w:tplc="394C88E8">
      <w:start w:val="1"/>
      <w:numFmt w:val="bullet"/>
      <w:lvlText w:val="•"/>
      <w:lvlJc w:val="left"/>
      <w:rPr>
        <w:rFonts w:hint="default"/>
      </w:rPr>
    </w:lvl>
    <w:lvl w:ilvl="2" w:tplc="8F82E070">
      <w:start w:val="1"/>
      <w:numFmt w:val="bullet"/>
      <w:lvlText w:val="•"/>
      <w:lvlJc w:val="left"/>
      <w:rPr>
        <w:rFonts w:hint="default"/>
      </w:rPr>
    </w:lvl>
    <w:lvl w:ilvl="3" w:tplc="B7E6A92C">
      <w:start w:val="1"/>
      <w:numFmt w:val="bullet"/>
      <w:lvlText w:val="•"/>
      <w:lvlJc w:val="left"/>
      <w:rPr>
        <w:rFonts w:hint="default"/>
      </w:rPr>
    </w:lvl>
    <w:lvl w:ilvl="4" w:tplc="814CAEBE">
      <w:start w:val="1"/>
      <w:numFmt w:val="bullet"/>
      <w:lvlText w:val="•"/>
      <w:lvlJc w:val="left"/>
      <w:rPr>
        <w:rFonts w:hint="default"/>
      </w:rPr>
    </w:lvl>
    <w:lvl w:ilvl="5" w:tplc="5B2279D2">
      <w:start w:val="1"/>
      <w:numFmt w:val="bullet"/>
      <w:lvlText w:val="•"/>
      <w:lvlJc w:val="left"/>
      <w:rPr>
        <w:rFonts w:hint="default"/>
      </w:rPr>
    </w:lvl>
    <w:lvl w:ilvl="6" w:tplc="D85A9102">
      <w:start w:val="1"/>
      <w:numFmt w:val="bullet"/>
      <w:lvlText w:val="•"/>
      <w:lvlJc w:val="left"/>
      <w:rPr>
        <w:rFonts w:hint="default"/>
      </w:rPr>
    </w:lvl>
    <w:lvl w:ilvl="7" w:tplc="9C7A61D4">
      <w:start w:val="1"/>
      <w:numFmt w:val="bullet"/>
      <w:lvlText w:val="•"/>
      <w:lvlJc w:val="left"/>
      <w:rPr>
        <w:rFonts w:hint="default"/>
      </w:rPr>
    </w:lvl>
    <w:lvl w:ilvl="8" w:tplc="942491BA">
      <w:start w:val="1"/>
      <w:numFmt w:val="bullet"/>
      <w:lvlText w:val="•"/>
      <w:lvlJc w:val="left"/>
      <w:rPr>
        <w:rFonts w:hint="default"/>
      </w:rPr>
    </w:lvl>
  </w:abstractNum>
  <w:num w:numId="1">
    <w:abstractNumId w:val="7"/>
  </w:num>
  <w:num w:numId="2">
    <w:abstractNumId w:val="5"/>
  </w:num>
  <w:num w:numId="3">
    <w:abstractNumId w:val="10"/>
  </w:num>
  <w:num w:numId="4">
    <w:abstractNumId w:val="0"/>
  </w:num>
  <w:num w:numId="5">
    <w:abstractNumId w:val="1"/>
  </w:num>
  <w:num w:numId="6">
    <w:abstractNumId w:val="6"/>
  </w:num>
  <w:num w:numId="7">
    <w:abstractNumId w:val="9"/>
  </w:num>
  <w:num w:numId="8">
    <w:abstractNumId w:val="4"/>
  </w:num>
  <w:num w:numId="9">
    <w:abstractNumId w:val="3"/>
  </w:num>
  <w:num w:numId="10">
    <w:abstractNumId w:val="8"/>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84"/>
    <w:rsid w:val="0000259A"/>
    <w:rsid w:val="00020E72"/>
    <w:rsid w:val="00022BAC"/>
    <w:rsid w:val="00041AB3"/>
    <w:rsid w:val="000C4265"/>
    <w:rsid w:val="000D7BB3"/>
    <w:rsid w:val="000E1954"/>
    <w:rsid w:val="00105375"/>
    <w:rsid w:val="00120A50"/>
    <w:rsid w:val="00126DDA"/>
    <w:rsid w:val="00146BE9"/>
    <w:rsid w:val="001D3B59"/>
    <w:rsid w:val="001F309F"/>
    <w:rsid w:val="00233468"/>
    <w:rsid w:val="00256EE7"/>
    <w:rsid w:val="00286C2F"/>
    <w:rsid w:val="002B48DE"/>
    <w:rsid w:val="00386A07"/>
    <w:rsid w:val="003B5C36"/>
    <w:rsid w:val="003C0AD7"/>
    <w:rsid w:val="00447255"/>
    <w:rsid w:val="0046494C"/>
    <w:rsid w:val="004E037B"/>
    <w:rsid w:val="005671DB"/>
    <w:rsid w:val="00577D65"/>
    <w:rsid w:val="005801D7"/>
    <w:rsid w:val="005E192C"/>
    <w:rsid w:val="00650DDD"/>
    <w:rsid w:val="0067115B"/>
    <w:rsid w:val="006A6CAD"/>
    <w:rsid w:val="00706C45"/>
    <w:rsid w:val="00756766"/>
    <w:rsid w:val="007B1744"/>
    <w:rsid w:val="008700BD"/>
    <w:rsid w:val="008B1E5D"/>
    <w:rsid w:val="00940FC1"/>
    <w:rsid w:val="00965A30"/>
    <w:rsid w:val="00966C19"/>
    <w:rsid w:val="009951F5"/>
    <w:rsid w:val="009A4866"/>
    <w:rsid w:val="009C559A"/>
    <w:rsid w:val="009C78A3"/>
    <w:rsid w:val="009D0902"/>
    <w:rsid w:val="00A34680"/>
    <w:rsid w:val="00A44378"/>
    <w:rsid w:val="00AF0850"/>
    <w:rsid w:val="00B40809"/>
    <w:rsid w:val="00B56F84"/>
    <w:rsid w:val="00B57F95"/>
    <w:rsid w:val="00BE6EBE"/>
    <w:rsid w:val="00C05221"/>
    <w:rsid w:val="00C94630"/>
    <w:rsid w:val="00C9619D"/>
    <w:rsid w:val="00CB2102"/>
    <w:rsid w:val="00D04853"/>
    <w:rsid w:val="00D051ED"/>
    <w:rsid w:val="00D44CE3"/>
    <w:rsid w:val="00D60F65"/>
    <w:rsid w:val="00D9586E"/>
    <w:rsid w:val="00DC550B"/>
    <w:rsid w:val="00DD4752"/>
    <w:rsid w:val="00DE7F44"/>
    <w:rsid w:val="00E303D2"/>
    <w:rsid w:val="00E86338"/>
    <w:rsid w:val="00E94C61"/>
    <w:rsid w:val="00EA43F7"/>
    <w:rsid w:val="00F2792F"/>
    <w:rsid w:val="00F343B7"/>
    <w:rsid w:val="00F60EEA"/>
    <w:rsid w:val="00F637DB"/>
    <w:rsid w:val="00F7676E"/>
    <w:rsid w:val="00F8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5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6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50DDD"/>
    <w:pPr>
      <w:ind w:leftChars="2500" w:left="100"/>
    </w:pPr>
  </w:style>
  <w:style w:type="character" w:customStyle="1" w:styleId="Char">
    <w:name w:val="日期 Char"/>
    <w:basedOn w:val="a0"/>
    <w:link w:val="a3"/>
    <w:uiPriority w:val="99"/>
    <w:semiHidden/>
    <w:rsid w:val="00650DDD"/>
  </w:style>
  <w:style w:type="paragraph" w:styleId="a4">
    <w:name w:val="header"/>
    <w:basedOn w:val="a"/>
    <w:link w:val="Char0"/>
    <w:uiPriority w:val="99"/>
    <w:unhideWhenUsed/>
    <w:rsid w:val="00650D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50DDD"/>
    <w:rPr>
      <w:sz w:val="18"/>
      <w:szCs w:val="18"/>
    </w:rPr>
  </w:style>
  <w:style w:type="paragraph" w:styleId="a5">
    <w:name w:val="footer"/>
    <w:basedOn w:val="a"/>
    <w:link w:val="Char1"/>
    <w:uiPriority w:val="99"/>
    <w:unhideWhenUsed/>
    <w:rsid w:val="00650DDD"/>
    <w:pPr>
      <w:tabs>
        <w:tab w:val="center" w:pos="4153"/>
        <w:tab w:val="right" w:pos="8306"/>
      </w:tabs>
      <w:snapToGrid w:val="0"/>
    </w:pPr>
    <w:rPr>
      <w:sz w:val="18"/>
      <w:szCs w:val="18"/>
    </w:rPr>
  </w:style>
  <w:style w:type="character" w:customStyle="1" w:styleId="Char1">
    <w:name w:val="页脚 Char"/>
    <w:basedOn w:val="a0"/>
    <w:link w:val="a5"/>
    <w:uiPriority w:val="99"/>
    <w:rsid w:val="00650DDD"/>
    <w:rPr>
      <w:sz w:val="18"/>
      <w:szCs w:val="18"/>
    </w:rPr>
  </w:style>
  <w:style w:type="table" w:styleId="a6">
    <w:name w:val="Table Grid"/>
    <w:basedOn w:val="a1"/>
    <w:uiPriority w:val="59"/>
    <w:rsid w:val="0065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F2792F"/>
    <w:rPr>
      <w:color w:val="0000FF" w:themeColor="hyperlink"/>
      <w:u w:val="single"/>
    </w:rPr>
  </w:style>
  <w:style w:type="paragraph" w:styleId="1">
    <w:name w:val="toc 1"/>
    <w:basedOn w:val="a"/>
    <w:next w:val="a"/>
    <w:autoRedefine/>
    <w:uiPriority w:val="39"/>
    <w:unhideWhenUsed/>
    <w:rsid w:val="00BE6EBE"/>
    <w:pPr>
      <w:tabs>
        <w:tab w:val="right" w:leader="dot" w:pos="9061"/>
      </w:tabs>
      <w:adjustRightInd w:val="0"/>
      <w:snapToGrid w:val="0"/>
      <w:spacing w:beforeLines="50" w:before="120" w:line="300" w:lineRule="auto"/>
      <w:ind w:left="723" w:hangingChars="300" w:hanging="723"/>
    </w:pPr>
    <w:rPr>
      <w:rFonts w:ascii="Times New Roman" w:hAnsi="Times New Roman"/>
      <w:sz w:val="24"/>
    </w:rPr>
  </w:style>
  <w:style w:type="paragraph" w:styleId="a8">
    <w:name w:val="Revision"/>
    <w:hidden/>
    <w:uiPriority w:val="99"/>
    <w:semiHidden/>
    <w:rsid w:val="00146BE9"/>
    <w:pPr>
      <w:widowControl/>
    </w:pPr>
  </w:style>
  <w:style w:type="paragraph" w:styleId="a9">
    <w:name w:val="Balloon Text"/>
    <w:basedOn w:val="a"/>
    <w:link w:val="Char2"/>
    <w:uiPriority w:val="99"/>
    <w:semiHidden/>
    <w:unhideWhenUsed/>
    <w:rsid w:val="00C05221"/>
    <w:rPr>
      <w:sz w:val="18"/>
      <w:szCs w:val="18"/>
    </w:rPr>
  </w:style>
  <w:style w:type="character" w:customStyle="1" w:styleId="Char2">
    <w:name w:val="批注框文本 Char"/>
    <w:basedOn w:val="a0"/>
    <w:link w:val="a9"/>
    <w:uiPriority w:val="99"/>
    <w:semiHidden/>
    <w:rsid w:val="00C05221"/>
    <w:rPr>
      <w:sz w:val="18"/>
      <w:szCs w:val="18"/>
    </w:rPr>
  </w:style>
  <w:style w:type="character" w:styleId="aa">
    <w:name w:val="annotation reference"/>
    <w:basedOn w:val="a0"/>
    <w:uiPriority w:val="99"/>
    <w:semiHidden/>
    <w:unhideWhenUsed/>
    <w:rsid w:val="005E192C"/>
    <w:rPr>
      <w:sz w:val="21"/>
      <w:szCs w:val="21"/>
    </w:rPr>
  </w:style>
  <w:style w:type="paragraph" w:styleId="ab">
    <w:name w:val="annotation text"/>
    <w:basedOn w:val="a"/>
    <w:link w:val="Char3"/>
    <w:uiPriority w:val="99"/>
    <w:semiHidden/>
    <w:unhideWhenUsed/>
    <w:rsid w:val="005E192C"/>
  </w:style>
  <w:style w:type="character" w:customStyle="1" w:styleId="Char3">
    <w:name w:val="批注文字 Char"/>
    <w:basedOn w:val="a0"/>
    <w:link w:val="ab"/>
    <w:uiPriority w:val="99"/>
    <w:semiHidden/>
    <w:rsid w:val="005E192C"/>
  </w:style>
  <w:style w:type="paragraph" w:styleId="ac">
    <w:name w:val="annotation subject"/>
    <w:basedOn w:val="ab"/>
    <w:next w:val="ab"/>
    <w:link w:val="Char4"/>
    <w:uiPriority w:val="99"/>
    <w:semiHidden/>
    <w:unhideWhenUsed/>
    <w:rsid w:val="005E192C"/>
    <w:rPr>
      <w:b/>
      <w:bCs/>
    </w:rPr>
  </w:style>
  <w:style w:type="character" w:customStyle="1" w:styleId="Char4">
    <w:name w:val="批注主题 Char"/>
    <w:basedOn w:val="Char3"/>
    <w:link w:val="ac"/>
    <w:uiPriority w:val="99"/>
    <w:semiHidden/>
    <w:rsid w:val="005E19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6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50DDD"/>
    <w:pPr>
      <w:ind w:leftChars="2500" w:left="100"/>
    </w:pPr>
  </w:style>
  <w:style w:type="character" w:customStyle="1" w:styleId="Char">
    <w:name w:val="日期 Char"/>
    <w:basedOn w:val="a0"/>
    <w:link w:val="a3"/>
    <w:uiPriority w:val="99"/>
    <w:semiHidden/>
    <w:rsid w:val="00650DDD"/>
  </w:style>
  <w:style w:type="paragraph" w:styleId="a4">
    <w:name w:val="header"/>
    <w:basedOn w:val="a"/>
    <w:link w:val="Char0"/>
    <w:uiPriority w:val="99"/>
    <w:unhideWhenUsed/>
    <w:rsid w:val="00650D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50DDD"/>
    <w:rPr>
      <w:sz w:val="18"/>
      <w:szCs w:val="18"/>
    </w:rPr>
  </w:style>
  <w:style w:type="paragraph" w:styleId="a5">
    <w:name w:val="footer"/>
    <w:basedOn w:val="a"/>
    <w:link w:val="Char1"/>
    <w:uiPriority w:val="99"/>
    <w:unhideWhenUsed/>
    <w:rsid w:val="00650DDD"/>
    <w:pPr>
      <w:tabs>
        <w:tab w:val="center" w:pos="4153"/>
        <w:tab w:val="right" w:pos="8306"/>
      </w:tabs>
      <w:snapToGrid w:val="0"/>
    </w:pPr>
    <w:rPr>
      <w:sz w:val="18"/>
      <w:szCs w:val="18"/>
    </w:rPr>
  </w:style>
  <w:style w:type="character" w:customStyle="1" w:styleId="Char1">
    <w:name w:val="页脚 Char"/>
    <w:basedOn w:val="a0"/>
    <w:link w:val="a5"/>
    <w:uiPriority w:val="99"/>
    <w:rsid w:val="00650DDD"/>
    <w:rPr>
      <w:sz w:val="18"/>
      <w:szCs w:val="18"/>
    </w:rPr>
  </w:style>
  <w:style w:type="table" w:styleId="a6">
    <w:name w:val="Table Grid"/>
    <w:basedOn w:val="a1"/>
    <w:uiPriority w:val="59"/>
    <w:rsid w:val="0065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F2792F"/>
    <w:rPr>
      <w:color w:val="0000FF" w:themeColor="hyperlink"/>
      <w:u w:val="single"/>
    </w:rPr>
  </w:style>
  <w:style w:type="paragraph" w:styleId="1">
    <w:name w:val="toc 1"/>
    <w:basedOn w:val="a"/>
    <w:next w:val="a"/>
    <w:autoRedefine/>
    <w:uiPriority w:val="39"/>
    <w:unhideWhenUsed/>
    <w:rsid w:val="00BE6EBE"/>
    <w:pPr>
      <w:tabs>
        <w:tab w:val="right" w:leader="dot" w:pos="9061"/>
      </w:tabs>
      <w:adjustRightInd w:val="0"/>
      <w:snapToGrid w:val="0"/>
      <w:spacing w:beforeLines="50" w:before="120" w:line="300" w:lineRule="auto"/>
      <w:ind w:left="723" w:hangingChars="300" w:hanging="723"/>
    </w:pPr>
    <w:rPr>
      <w:rFonts w:ascii="Times New Roman" w:hAnsi="Times New Roman"/>
      <w:sz w:val="24"/>
    </w:rPr>
  </w:style>
  <w:style w:type="paragraph" w:styleId="a8">
    <w:name w:val="Revision"/>
    <w:hidden/>
    <w:uiPriority w:val="99"/>
    <w:semiHidden/>
    <w:rsid w:val="00146BE9"/>
    <w:pPr>
      <w:widowControl/>
    </w:pPr>
  </w:style>
  <w:style w:type="paragraph" w:styleId="a9">
    <w:name w:val="Balloon Text"/>
    <w:basedOn w:val="a"/>
    <w:link w:val="Char2"/>
    <w:uiPriority w:val="99"/>
    <w:semiHidden/>
    <w:unhideWhenUsed/>
    <w:rsid w:val="00C05221"/>
    <w:rPr>
      <w:sz w:val="18"/>
      <w:szCs w:val="18"/>
    </w:rPr>
  </w:style>
  <w:style w:type="character" w:customStyle="1" w:styleId="Char2">
    <w:name w:val="批注框文本 Char"/>
    <w:basedOn w:val="a0"/>
    <w:link w:val="a9"/>
    <w:uiPriority w:val="99"/>
    <w:semiHidden/>
    <w:rsid w:val="00C05221"/>
    <w:rPr>
      <w:sz w:val="18"/>
      <w:szCs w:val="18"/>
    </w:rPr>
  </w:style>
  <w:style w:type="character" w:styleId="aa">
    <w:name w:val="annotation reference"/>
    <w:basedOn w:val="a0"/>
    <w:uiPriority w:val="99"/>
    <w:semiHidden/>
    <w:unhideWhenUsed/>
    <w:rsid w:val="005E192C"/>
    <w:rPr>
      <w:sz w:val="21"/>
      <w:szCs w:val="21"/>
    </w:rPr>
  </w:style>
  <w:style w:type="paragraph" w:styleId="ab">
    <w:name w:val="annotation text"/>
    <w:basedOn w:val="a"/>
    <w:link w:val="Char3"/>
    <w:uiPriority w:val="99"/>
    <w:semiHidden/>
    <w:unhideWhenUsed/>
    <w:rsid w:val="005E192C"/>
  </w:style>
  <w:style w:type="character" w:customStyle="1" w:styleId="Char3">
    <w:name w:val="批注文字 Char"/>
    <w:basedOn w:val="a0"/>
    <w:link w:val="ab"/>
    <w:uiPriority w:val="99"/>
    <w:semiHidden/>
    <w:rsid w:val="005E192C"/>
  </w:style>
  <w:style w:type="paragraph" w:styleId="ac">
    <w:name w:val="annotation subject"/>
    <w:basedOn w:val="ab"/>
    <w:next w:val="ab"/>
    <w:link w:val="Char4"/>
    <w:uiPriority w:val="99"/>
    <w:semiHidden/>
    <w:unhideWhenUsed/>
    <w:rsid w:val="005E192C"/>
    <w:rPr>
      <w:b/>
      <w:bCs/>
    </w:rPr>
  </w:style>
  <w:style w:type="character" w:customStyle="1" w:styleId="Char4">
    <w:name w:val="批注主题 Char"/>
    <w:basedOn w:val="Char3"/>
    <w:link w:val="ac"/>
    <w:uiPriority w:val="99"/>
    <w:semiHidden/>
    <w:rsid w:val="005E1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Drugs/GuidanceComplianceRegulatoryInformation/Guidances/default.htm" TargetMode="External"/><Relationship Id="rId18" Type="http://schemas.openxmlformats.org/officeDocument/2006/relationships/hyperlink" Target="http://www.fda.gov/MedicalDevices/DeviceRegulationandGuidance/GuidanceDocuments/default.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da.gov/FoodGuidances" TargetMode="External"/><Relationship Id="rId7" Type="http://schemas.openxmlformats.org/officeDocument/2006/relationships/footnotes" Target="footnotes.xml"/><Relationship Id="rId12" Type="http://schemas.openxmlformats.org/officeDocument/2006/relationships/hyperlink" Target="mailto:CFSANBIMO@fda.hhs.gov" TargetMode="External"/><Relationship Id="rId17" Type="http://schemas.openxmlformats.org/officeDocument/2006/relationships/hyperlink" Target="http://www.fda.gov/BiologicsBloodVaccines/GuidanceComplianceRegulatoryInformation/Guidances/default.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BiologicsBloodVaccines/GuidanceComplianceRegulatoryInformation/Guidances/default.htm" TargetMode="External"/><Relationship Id="rId20" Type="http://schemas.openxmlformats.org/officeDocument/2006/relationships/hyperlink" Target="http://www.fda.gov/AnimalVeterinary/GuidanceComplianceEnforcement/GuidanceforIndustry/default.htm"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VMONADEPolicyTeam2@cvm.fda.go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da.gov/BiologicsBloodVaccines/GuidanceComplianceRegulatoryInformation/Guidances/default.htm"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mailto:CDER-OSIS-GLP@fda.hhs.gov" TargetMode="External"/><Relationship Id="rId19" Type="http://schemas.openxmlformats.org/officeDocument/2006/relationships/hyperlink" Target="http://www.fda.gov/MedicalDevices/DeviceRegulationandGuidance/GuidanceDocuments/default.htm" TargetMode="External"/><Relationship Id="rId4" Type="http://schemas.microsoft.com/office/2007/relationships/stylesWithEffects" Target="stylesWithEffects.xml"/><Relationship Id="rId9" Type="http://schemas.openxmlformats.org/officeDocument/2006/relationships/hyperlink" Target="mailto:CDER-OSIS-GLP@fda.hhs.gov" TargetMode="External"/><Relationship Id="rId14" Type="http://schemas.openxmlformats.org/officeDocument/2006/relationships/hyperlink" Target="http://www.fda.gov/Drugs/GuidanceComplianceRegulatoryInformation/Guidances/default.htm" TargetMode="External"/><Relationship Id="rId22" Type="http://schemas.openxmlformats.org/officeDocument/2006/relationships/hyperlink" Target="http://www.fda.gov/TobaccoProducts/Labeling/RulesRegulationsGuidance/default.htm" TargetMode="External"/><Relationship Id="rId27" Type="http://schemas.microsoft.com/office/2016/09/relationships/commentsIds" Target="commentsIds.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715A3-5395-4A09-AF99-2733A08A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1310</Words>
  <Characters>7470</Characters>
  <Application>Microsoft Office Word</Application>
  <DocSecurity>0</DocSecurity>
  <Lines>62</Lines>
  <Paragraphs>17</Paragraphs>
  <ScaleCrop>false</ScaleCrop>
  <Company>Microsoft</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Pathology Peer Review in Nonclinical Toxicology Studies: Questions and Answers</dc:title>
  <dc:creator>Kylie.Haskins</dc:creator>
  <cp:lastModifiedBy>EDZ</cp:lastModifiedBy>
  <cp:revision>22</cp:revision>
  <dcterms:created xsi:type="dcterms:W3CDTF">2022-03-10T06:50:00Z</dcterms:created>
  <dcterms:modified xsi:type="dcterms:W3CDTF">2022-06-08T08:25:00Z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2021-11-09T00:00:00Z</vt:filetime>
  </property>
</Properties>
</file>