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8EDFD" w14:textId="7518CF03" w:rsidR="00F17F72" w:rsidRDefault="00000000">
      <w:pPr>
        <w:pStyle w:val="b1"/>
        <w:spacing w:before="120"/>
        <w:rPr>
          <w:color w:val="FF0000"/>
          <w:lang w:eastAsia="zh-CN"/>
        </w:rPr>
      </w:pPr>
      <w:r>
        <w:rPr>
          <w:color w:val="FF0000"/>
          <w:lang w:eastAsia="zh-CN"/>
        </w:rPr>
        <w:t>基于安全和性能途径的磁共振（</w:t>
      </w:r>
      <w:r>
        <w:rPr>
          <w:color w:val="FF0000"/>
          <w:lang w:eastAsia="zh-CN"/>
        </w:rPr>
        <w:t>MR</w:t>
      </w:r>
      <w:r>
        <w:rPr>
          <w:color w:val="FF0000"/>
          <w:lang w:eastAsia="zh-CN"/>
        </w:rPr>
        <w:t>）</w:t>
      </w:r>
      <w:r>
        <w:rPr>
          <w:rFonts w:hint="eastAsia"/>
          <w:color w:val="FF0000"/>
          <w:lang w:eastAsia="zh-CN"/>
        </w:rPr>
        <w:t>仅</w:t>
      </w:r>
      <w:r>
        <w:rPr>
          <w:color w:val="FF0000"/>
          <w:lang w:eastAsia="zh-CN"/>
        </w:rPr>
        <w:t>接收线圈的性能标准</w:t>
      </w:r>
    </w:p>
    <w:p w14:paraId="540EF0FB" w14:textId="77777777" w:rsidR="00F17F72" w:rsidRDefault="00000000">
      <w:pPr>
        <w:pStyle w:val="b2"/>
        <w:spacing w:before="120"/>
        <w:rPr>
          <w:lang w:eastAsia="zh-CN"/>
        </w:rPr>
      </w:pPr>
      <w:r>
        <w:rPr>
          <w:lang w:eastAsia="zh-CN"/>
        </w:rPr>
        <w:t>行业和美国食品药品监督管理局工作人员指南</w:t>
      </w:r>
    </w:p>
    <w:p w14:paraId="5C3FA081" w14:textId="77777777" w:rsidR="00F17F72" w:rsidRDefault="00F17F72">
      <w:pPr>
        <w:pStyle w:val="b2"/>
        <w:spacing w:before="120"/>
        <w:rPr>
          <w:lang w:eastAsia="zh-CN"/>
        </w:rPr>
      </w:pPr>
    </w:p>
    <w:p w14:paraId="0FFD4E1B" w14:textId="75A2D037" w:rsidR="00F17F72" w:rsidRDefault="00000000">
      <w:pPr>
        <w:snapToGrid w:val="0"/>
        <w:spacing w:beforeLines="50" w:before="120"/>
        <w:jc w:val="center"/>
        <w:rPr>
          <w:b/>
          <w:sz w:val="28"/>
          <w:szCs w:val="28"/>
          <w:lang w:eastAsia="zh-CN"/>
        </w:rPr>
      </w:pPr>
      <w:r>
        <w:rPr>
          <w:b/>
          <w:sz w:val="28"/>
          <w:szCs w:val="28"/>
          <w:lang w:eastAsia="zh-CN"/>
        </w:rPr>
        <w:t>文件</w:t>
      </w:r>
      <w:r w:rsidR="00873CBD">
        <w:rPr>
          <w:rFonts w:hint="eastAsia"/>
          <w:b/>
          <w:sz w:val="28"/>
          <w:szCs w:val="28"/>
          <w:lang w:eastAsia="zh-CN"/>
        </w:rPr>
        <w:t>发布日期：</w:t>
      </w:r>
      <w:r>
        <w:rPr>
          <w:b/>
          <w:sz w:val="28"/>
          <w:szCs w:val="28"/>
          <w:lang w:eastAsia="zh-CN"/>
        </w:rPr>
        <w:t>2020</w:t>
      </w:r>
      <w:r>
        <w:rPr>
          <w:b/>
          <w:sz w:val="28"/>
          <w:szCs w:val="28"/>
          <w:lang w:eastAsia="zh-CN"/>
        </w:rPr>
        <w:t>年</w:t>
      </w:r>
      <w:r>
        <w:rPr>
          <w:b/>
          <w:sz w:val="28"/>
          <w:szCs w:val="28"/>
          <w:lang w:eastAsia="zh-CN"/>
        </w:rPr>
        <w:t>12</w:t>
      </w:r>
      <w:r>
        <w:rPr>
          <w:b/>
          <w:sz w:val="28"/>
          <w:szCs w:val="28"/>
          <w:lang w:eastAsia="zh-CN"/>
        </w:rPr>
        <w:t>月</w:t>
      </w:r>
      <w:r>
        <w:rPr>
          <w:b/>
          <w:sz w:val="28"/>
          <w:szCs w:val="28"/>
          <w:lang w:eastAsia="zh-CN"/>
        </w:rPr>
        <w:t>11</w:t>
      </w:r>
      <w:r>
        <w:rPr>
          <w:b/>
          <w:sz w:val="28"/>
          <w:szCs w:val="28"/>
          <w:lang w:eastAsia="zh-CN"/>
        </w:rPr>
        <w:t>日</w:t>
      </w:r>
    </w:p>
    <w:p w14:paraId="03AA221A" w14:textId="760EFE12" w:rsidR="00F17F72" w:rsidRDefault="00000000">
      <w:pPr>
        <w:snapToGrid w:val="0"/>
        <w:spacing w:beforeLines="50" w:before="120"/>
        <w:jc w:val="center"/>
        <w:rPr>
          <w:b/>
          <w:sz w:val="28"/>
          <w:szCs w:val="28"/>
          <w:lang w:eastAsia="zh-CN"/>
        </w:rPr>
      </w:pPr>
      <w:r>
        <w:rPr>
          <w:b/>
          <w:sz w:val="28"/>
          <w:szCs w:val="28"/>
          <w:lang w:eastAsia="zh-CN"/>
        </w:rPr>
        <w:t>文件草案</w:t>
      </w:r>
      <w:r w:rsidR="00873CBD">
        <w:rPr>
          <w:rFonts w:hint="eastAsia"/>
          <w:b/>
          <w:sz w:val="28"/>
          <w:szCs w:val="28"/>
          <w:lang w:eastAsia="zh-CN"/>
        </w:rPr>
        <w:t>发布日期：</w:t>
      </w:r>
      <w:r>
        <w:rPr>
          <w:b/>
          <w:sz w:val="28"/>
          <w:szCs w:val="28"/>
          <w:lang w:eastAsia="zh-CN"/>
        </w:rPr>
        <w:t>2019</w:t>
      </w:r>
      <w:r>
        <w:rPr>
          <w:b/>
          <w:sz w:val="28"/>
          <w:szCs w:val="28"/>
          <w:lang w:eastAsia="zh-CN"/>
        </w:rPr>
        <w:t>年</w:t>
      </w:r>
      <w:r>
        <w:rPr>
          <w:b/>
          <w:sz w:val="28"/>
          <w:szCs w:val="28"/>
          <w:lang w:eastAsia="zh-CN"/>
        </w:rPr>
        <w:t>12</w:t>
      </w:r>
      <w:r>
        <w:rPr>
          <w:b/>
          <w:sz w:val="28"/>
          <w:szCs w:val="28"/>
          <w:lang w:eastAsia="zh-CN"/>
        </w:rPr>
        <w:t>月</w:t>
      </w:r>
      <w:r>
        <w:rPr>
          <w:b/>
          <w:sz w:val="28"/>
          <w:szCs w:val="28"/>
          <w:lang w:eastAsia="zh-CN"/>
        </w:rPr>
        <w:t>9</w:t>
      </w:r>
      <w:r>
        <w:rPr>
          <w:b/>
          <w:sz w:val="28"/>
          <w:szCs w:val="28"/>
          <w:lang w:eastAsia="zh-CN"/>
        </w:rPr>
        <w:t>日</w:t>
      </w:r>
    </w:p>
    <w:p w14:paraId="30EAED14" w14:textId="77777777" w:rsidR="00F17F72" w:rsidRDefault="00F17F72">
      <w:pPr>
        <w:snapToGrid w:val="0"/>
        <w:spacing w:beforeLines="50" w:before="120"/>
        <w:jc w:val="both"/>
        <w:rPr>
          <w:lang w:eastAsia="zh-CN"/>
        </w:rPr>
      </w:pPr>
    </w:p>
    <w:p w14:paraId="3F95E37E" w14:textId="77777777" w:rsidR="00F17F72" w:rsidRDefault="00000000">
      <w:pPr>
        <w:snapToGrid w:val="0"/>
        <w:spacing w:beforeLines="50" w:before="120"/>
        <w:jc w:val="both"/>
        <w:rPr>
          <w:sz w:val="24"/>
          <w:lang w:eastAsia="zh-CN"/>
        </w:rPr>
      </w:pPr>
      <w:r>
        <w:rPr>
          <w:sz w:val="24"/>
          <w:lang w:eastAsia="zh-CN"/>
        </w:rPr>
        <w:t>如对本文件有疑问，请致电</w:t>
      </w:r>
      <w:r>
        <w:rPr>
          <w:sz w:val="24"/>
          <w:lang w:eastAsia="zh-CN"/>
        </w:rPr>
        <w:t>301-796-6641</w:t>
      </w:r>
      <w:r>
        <w:rPr>
          <w:sz w:val="24"/>
          <w:lang w:eastAsia="zh-CN"/>
        </w:rPr>
        <w:t>联系辐射健康中心</w:t>
      </w:r>
      <w:r>
        <w:rPr>
          <w:rFonts w:hint="eastAsia"/>
          <w:sz w:val="24"/>
          <w:lang w:eastAsia="zh-CN"/>
        </w:rPr>
        <w:t>。</w:t>
      </w:r>
    </w:p>
    <w:p w14:paraId="744540B2" w14:textId="77777777" w:rsidR="00F17F72" w:rsidRDefault="00F17F72">
      <w:pPr>
        <w:snapToGrid w:val="0"/>
        <w:spacing w:beforeLines="50" w:before="120"/>
        <w:jc w:val="both"/>
        <w:rPr>
          <w:lang w:eastAsia="zh-CN"/>
        </w:rPr>
      </w:pPr>
    </w:p>
    <w:p w14:paraId="1FCFEA65" w14:textId="77777777" w:rsidR="00F17F72" w:rsidRDefault="00F17F72">
      <w:pPr>
        <w:snapToGrid w:val="0"/>
        <w:spacing w:beforeLines="50" w:before="120"/>
        <w:jc w:val="both"/>
        <w:rPr>
          <w:lang w:eastAsia="zh-CN"/>
        </w:rPr>
      </w:pPr>
    </w:p>
    <w:p w14:paraId="065FF6BE" w14:textId="77777777" w:rsidR="00F17F72" w:rsidRDefault="00F17F72">
      <w:pPr>
        <w:snapToGrid w:val="0"/>
        <w:spacing w:beforeLines="50" w:before="120"/>
        <w:jc w:val="both"/>
        <w:rPr>
          <w:lang w:eastAsia="zh-CN"/>
        </w:rPr>
      </w:pPr>
    </w:p>
    <w:p w14:paraId="2A898688" w14:textId="77777777" w:rsidR="00F17F72" w:rsidRDefault="00F17F72">
      <w:pPr>
        <w:snapToGrid w:val="0"/>
        <w:spacing w:beforeLines="50" w:before="120"/>
        <w:jc w:val="both"/>
        <w:rPr>
          <w:lang w:eastAsia="zh-CN"/>
        </w:rPr>
      </w:pPr>
    </w:p>
    <w:p w14:paraId="78FAC906" w14:textId="77777777" w:rsidR="00F17F72" w:rsidRDefault="00F17F72">
      <w:pPr>
        <w:snapToGrid w:val="0"/>
        <w:spacing w:beforeLines="50" w:before="120"/>
        <w:jc w:val="both"/>
        <w:rPr>
          <w:lang w:eastAsia="zh-CN"/>
        </w:rPr>
      </w:pPr>
    </w:p>
    <w:p w14:paraId="47FEDF2B" w14:textId="77777777" w:rsidR="00F17F72" w:rsidRDefault="00F17F72">
      <w:pPr>
        <w:snapToGrid w:val="0"/>
        <w:spacing w:beforeLines="50" w:before="120"/>
        <w:jc w:val="both"/>
        <w:rPr>
          <w:lang w:eastAsia="zh-CN"/>
        </w:rPr>
      </w:pPr>
    </w:p>
    <w:p w14:paraId="17C4555B" w14:textId="77777777" w:rsidR="00F17F72" w:rsidRDefault="00F17F72">
      <w:pPr>
        <w:snapToGrid w:val="0"/>
        <w:spacing w:beforeLines="50" w:before="120"/>
        <w:jc w:val="both"/>
        <w:rPr>
          <w:lang w:eastAsia="zh-CN"/>
        </w:rPr>
      </w:pPr>
    </w:p>
    <w:p w14:paraId="620B4AA4" w14:textId="77777777" w:rsidR="00F17F72" w:rsidRDefault="00F17F72">
      <w:pPr>
        <w:snapToGrid w:val="0"/>
        <w:spacing w:beforeLines="50" w:before="120"/>
        <w:jc w:val="both"/>
        <w:rPr>
          <w:lang w:eastAsia="zh-CN"/>
        </w:rPr>
      </w:pPr>
    </w:p>
    <w:p w14:paraId="663B5376" w14:textId="77777777" w:rsidR="00F17F72" w:rsidRDefault="00F17F72">
      <w:pPr>
        <w:snapToGrid w:val="0"/>
        <w:spacing w:beforeLines="50" w:before="120"/>
        <w:jc w:val="both"/>
        <w:rPr>
          <w:lang w:eastAsia="zh-CN"/>
        </w:rPr>
      </w:pPr>
    </w:p>
    <w:tbl>
      <w:tblPr>
        <w:tblW w:w="0" w:type="auto"/>
        <w:tblCellMar>
          <w:left w:w="57" w:type="dxa"/>
          <w:right w:w="57" w:type="dxa"/>
        </w:tblCellMar>
        <w:tblLook w:val="04A0" w:firstRow="1" w:lastRow="0" w:firstColumn="1" w:lastColumn="0" w:noHBand="0" w:noVBand="1"/>
      </w:tblPr>
      <w:tblGrid>
        <w:gridCol w:w="774"/>
        <w:gridCol w:w="3252"/>
        <w:gridCol w:w="426"/>
        <w:gridCol w:w="3975"/>
      </w:tblGrid>
      <w:tr w:rsidR="00F17F72" w14:paraId="066A066A" w14:textId="77777777">
        <w:tc>
          <w:tcPr>
            <w:tcW w:w="774" w:type="dxa"/>
            <w:tcBorders>
              <w:right w:val="single" w:sz="4" w:space="0" w:color="auto"/>
            </w:tcBorders>
            <w:shd w:val="clear" w:color="auto" w:fill="000000" w:themeFill="text1"/>
          </w:tcPr>
          <w:p w14:paraId="0CFDC690" w14:textId="77777777" w:rsidR="00F17F72" w:rsidRDefault="00000000">
            <w:pPr>
              <w:snapToGrid w:val="0"/>
              <w:jc w:val="right"/>
            </w:pPr>
            <w:r>
              <w:rPr>
                <w:noProof/>
                <w:lang w:eastAsia="zh-CN" w:bidi="ar-SA"/>
              </w:rPr>
              <w:drawing>
                <wp:inline distT="0" distB="0" distL="0" distR="0" wp14:anchorId="1FEDE1C5" wp14:editId="03FB0375">
                  <wp:extent cx="395605" cy="464185"/>
                  <wp:effectExtent l="19050" t="0" r="4445" b="0"/>
                  <wp:docPr id="6" name="图片 3" descr="C:\Users\Asus\Desktop\谭-11.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Asus\Desktop\谭-11.11\media\image1.jpeg"/>
                          <pic:cNvPicPr>
                            <a:picLocks noChangeAspect="1" noChangeArrowheads="1"/>
                          </pic:cNvPicPr>
                        </pic:nvPicPr>
                        <pic:blipFill>
                          <a:blip r:embed="rId7" cstate="print"/>
                          <a:srcRect/>
                          <a:stretch>
                            <a:fillRect/>
                          </a:stretch>
                        </pic:blipFill>
                        <pic:spPr>
                          <a:xfrm>
                            <a:off x="0" y="0"/>
                            <a:ext cx="395605" cy="464185"/>
                          </a:xfrm>
                          <a:prstGeom prst="rect">
                            <a:avLst/>
                          </a:prstGeom>
                          <a:noFill/>
                          <a:ln w="9525">
                            <a:noFill/>
                            <a:miter lim="800000"/>
                            <a:headEnd/>
                            <a:tailEnd/>
                          </a:ln>
                        </pic:spPr>
                      </pic:pic>
                    </a:graphicData>
                  </a:graphic>
                </wp:inline>
              </w:drawing>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7EB73CFA" w14:textId="77777777" w:rsidR="00F17F72" w:rsidRDefault="00000000">
            <w:pPr>
              <w:snapToGrid w:val="0"/>
              <w:jc w:val="both"/>
              <w:rPr>
                <w:sz w:val="28"/>
                <w:szCs w:val="28"/>
                <w:lang w:eastAsia="zh-CN"/>
              </w:rPr>
            </w:pPr>
            <w:r>
              <w:rPr>
                <w:b/>
                <w:bCs/>
                <w:sz w:val="28"/>
                <w:szCs w:val="28"/>
                <w:lang w:eastAsia="zh-CN"/>
              </w:rPr>
              <w:t>美国食品药品监督管理局</w:t>
            </w:r>
          </w:p>
        </w:tc>
        <w:tc>
          <w:tcPr>
            <w:tcW w:w="426" w:type="dxa"/>
            <w:tcBorders>
              <w:left w:val="single" w:sz="4" w:space="0" w:color="auto"/>
            </w:tcBorders>
            <w:shd w:val="clear" w:color="auto" w:fill="FFFFFF"/>
          </w:tcPr>
          <w:p w14:paraId="56AB4BA3" w14:textId="77777777" w:rsidR="00F17F72" w:rsidRDefault="00F17F72">
            <w:pPr>
              <w:rPr>
                <w:lang w:eastAsia="zh-CN"/>
              </w:rPr>
            </w:pPr>
          </w:p>
          <w:p w14:paraId="0481A022" w14:textId="77777777" w:rsidR="00F17F72" w:rsidRDefault="00F17F72">
            <w:pPr>
              <w:snapToGrid w:val="0"/>
              <w:jc w:val="both"/>
              <w:rPr>
                <w:lang w:eastAsia="zh-CN"/>
              </w:rPr>
            </w:pPr>
          </w:p>
        </w:tc>
        <w:tc>
          <w:tcPr>
            <w:tcW w:w="3975" w:type="dxa"/>
            <w:shd w:val="clear" w:color="auto" w:fill="FFFFFF"/>
          </w:tcPr>
          <w:p w14:paraId="7BE8EBC0" w14:textId="3835F9B7" w:rsidR="00F17F72" w:rsidRDefault="00000000">
            <w:pPr>
              <w:snapToGrid w:val="0"/>
              <w:jc w:val="right"/>
              <w:rPr>
                <w:lang w:eastAsia="zh-CN"/>
              </w:rPr>
            </w:pPr>
            <w:r>
              <w:rPr>
                <w:b/>
                <w:bCs/>
                <w:lang w:eastAsia="zh-CN"/>
              </w:rPr>
              <w:t>美国卫生</w:t>
            </w:r>
            <w:r w:rsidR="00873CBD">
              <w:rPr>
                <w:rFonts w:hint="eastAsia"/>
                <w:b/>
                <w:bCs/>
                <w:lang w:eastAsia="zh-CN"/>
              </w:rPr>
              <w:t>与</w:t>
            </w:r>
            <w:r>
              <w:rPr>
                <w:b/>
                <w:bCs/>
                <w:lang w:eastAsia="zh-CN"/>
              </w:rPr>
              <w:t>公众服务部</w:t>
            </w:r>
          </w:p>
          <w:p w14:paraId="31A915D1" w14:textId="77777777" w:rsidR="00F17F72" w:rsidRDefault="00000000">
            <w:pPr>
              <w:snapToGrid w:val="0"/>
              <w:jc w:val="right"/>
              <w:rPr>
                <w:lang w:eastAsia="zh-CN"/>
              </w:rPr>
            </w:pPr>
            <w:r>
              <w:rPr>
                <w:b/>
                <w:bCs/>
                <w:lang w:eastAsia="zh-CN"/>
              </w:rPr>
              <w:t>美国食品药品监督管理局</w:t>
            </w:r>
          </w:p>
          <w:p w14:paraId="3EB6D083" w14:textId="77777777" w:rsidR="00F17F72" w:rsidRDefault="00000000">
            <w:pPr>
              <w:snapToGrid w:val="0"/>
              <w:jc w:val="right"/>
              <w:rPr>
                <w:lang w:eastAsia="zh-CN"/>
              </w:rPr>
            </w:pPr>
            <w:r>
              <w:rPr>
                <w:b/>
                <w:bCs/>
                <w:lang w:eastAsia="zh-CN"/>
              </w:rPr>
              <w:t>医疗器械和放射健康中心</w:t>
            </w:r>
          </w:p>
        </w:tc>
      </w:tr>
      <w:tr w:rsidR="00F17F72" w14:paraId="6DF0AEFA" w14:textId="77777777">
        <w:tc>
          <w:tcPr>
            <w:tcW w:w="774" w:type="dxa"/>
            <w:tcBorders>
              <w:right w:val="single" w:sz="4" w:space="0" w:color="auto"/>
            </w:tcBorders>
            <w:shd w:val="clear" w:color="auto" w:fill="auto"/>
          </w:tcPr>
          <w:p w14:paraId="2C84B54D" w14:textId="77777777" w:rsidR="00F17F72" w:rsidRDefault="00F17F72">
            <w:pPr>
              <w:snapToGrid w:val="0"/>
              <w:jc w:val="both"/>
              <w:rPr>
                <w:lang w:eastAsia="zh-CN"/>
              </w:rPr>
            </w:pPr>
          </w:p>
        </w:tc>
        <w:tc>
          <w:tcPr>
            <w:tcW w:w="325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A2C0590" w14:textId="77777777" w:rsidR="00F17F72" w:rsidRDefault="00000000">
            <w:pPr>
              <w:snapToGrid w:val="0"/>
              <w:jc w:val="both"/>
              <w:rPr>
                <w:b/>
                <w:bCs/>
                <w:sz w:val="15"/>
                <w:szCs w:val="15"/>
                <w:lang w:eastAsia="zh-CN"/>
              </w:rPr>
            </w:pPr>
            <w:r>
              <w:rPr>
                <w:b/>
                <w:bCs/>
                <w:color w:val="FFFFFF"/>
                <w:sz w:val="15"/>
                <w:szCs w:val="15"/>
                <w:lang w:eastAsia="zh-CN"/>
              </w:rPr>
              <w:t>医疗器械和放射健康中心</w:t>
            </w:r>
          </w:p>
        </w:tc>
        <w:tc>
          <w:tcPr>
            <w:tcW w:w="426" w:type="dxa"/>
            <w:tcBorders>
              <w:left w:val="single" w:sz="4" w:space="0" w:color="auto"/>
            </w:tcBorders>
            <w:shd w:val="clear" w:color="auto" w:fill="FFFFFF"/>
          </w:tcPr>
          <w:p w14:paraId="05DE672B" w14:textId="77777777" w:rsidR="00F17F72" w:rsidRDefault="00F17F72">
            <w:pPr>
              <w:snapToGrid w:val="0"/>
              <w:jc w:val="both"/>
              <w:rPr>
                <w:b/>
                <w:bCs/>
                <w:sz w:val="28"/>
                <w:szCs w:val="28"/>
                <w:lang w:eastAsia="zh-CN"/>
              </w:rPr>
            </w:pPr>
          </w:p>
        </w:tc>
        <w:tc>
          <w:tcPr>
            <w:tcW w:w="3975" w:type="dxa"/>
            <w:shd w:val="clear" w:color="auto" w:fill="FFFFFF"/>
          </w:tcPr>
          <w:p w14:paraId="402887DB" w14:textId="77777777" w:rsidR="00F17F72" w:rsidRDefault="00F17F72">
            <w:pPr>
              <w:snapToGrid w:val="0"/>
              <w:jc w:val="right"/>
              <w:rPr>
                <w:b/>
                <w:bCs/>
                <w:lang w:eastAsia="zh-CN"/>
              </w:rPr>
            </w:pPr>
          </w:p>
        </w:tc>
      </w:tr>
    </w:tbl>
    <w:p w14:paraId="4575A588" w14:textId="77777777" w:rsidR="00F17F72" w:rsidRDefault="00000000">
      <w:pPr>
        <w:snapToGrid w:val="0"/>
        <w:spacing w:beforeLines="50" w:before="120"/>
        <w:jc w:val="both"/>
        <w:rPr>
          <w:lang w:eastAsia="zh-CN"/>
        </w:rPr>
      </w:pPr>
      <w:r>
        <w:rPr>
          <w:lang w:eastAsia="zh-CN"/>
        </w:rPr>
        <w:br w:type="page"/>
      </w:r>
    </w:p>
    <w:p w14:paraId="4D5C1DDC" w14:textId="77777777" w:rsidR="00F17F72" w:rsidRDefault="00000000">
      <w:pPr>
        <w:snapToGrid w:val="0"/>
        <w:spacing w:beforeLines="50" w:before="120"/>
        <w:jc w:val="center"/>
        <w:rPr>
          <w:sz w:val="44"/>
          <w:szCs w:val="44"/>
        </w:rPr>
      </w:pPr>
      <w:bookmarkStart w:id="0" w:name="bookmark0"/>
      <w:r>
        <w:rPr>
          <w:b/>
          <w:bCs/>
          <w:sz w:val="44"/>
          <w:szCs w:val="44"/>
          <w:lang w:eastAsia="zh-CN"/>
        </w:rPr>
        <w:lastRenderedPageBreak/>
        <w:t>前言</w:t>
      </w:r>
      <w:bookmarkEnd w:id="0"/>
    </w:p>
    <w:p w14:paraId="61F25763" w14:textId="77777777" w:rsidR="00F17F72" w:rsidRDefault="00F17F72">
      <w:pPr>
        <w:snapToGrid w:val="0"/>
        <w:spacing w:beforeLines="50" w:before="120"/>
        <w:jc w:val="both"/>
        <w:rPr>
          <w:b/>
          <w:bCs/>
          <w:sz w:val="28"/>
          <w:szCs w:val="28"/>
          <w:lang w:eastAsia="zh-CN"/>
        </w:rPr>
      </w:pPr>
      <w:bookmarkStart w:id="1" w:name="bookmark1"/>
    </w:p>
    <w:p w14:paraId="290F6255" w14:textId="77777777" w:rsidR="00F17F72" w:rsidRDefault="00000000">
      <w:pPr>
        <w:snapToGrid w:val="0"/>
        <w:spacing w:beforeLines="50" w:before="120"/>
        <w:jc w:val="both"/>
        <w:rPr>
          <w:sz w:val="28"/>
          <w:szCs w:val="28"/>
        </w:rPr>
      </w:pPr>
      <w:r>
        <w:rPr>
          <w:b/>
          <w:bCs/>
          <w:sz w:val="28"/>
          <w:szCs w:val="28"/>
          <w:lang w:eastAsia="zh-CN"/>
        </w:rPr>
        <w:t>公众意见</w:t>
      </w:r>
      <w:bookmarkEnd w:id="1"/>
    </w:p>
    <w:p w14:paraId="4E3C29E6" w14:textId="362E80A2" w:rsidR="00F17F72" w:rsidRDefault="00000000">
      <w:pPr>
        <w:snapToGrid w:val="0"/>
        <w:spacing w:beforeLines="50" w:before="120"/>
        <w:jc w:val="both"/>
        <w:rPr>
          <w:sz w:val="24"/>
          <w:lang w:eastAsia="zh-CN"/>
        </w:rPr>
      </w:pPr>
      <w:r>
        <w:rPr>
          <w:sz w:val="24"/>
          <w:lang w:eastAsia="zh-CN"/>
        </w:rPr>
        <w:t>贵司可随时提交电子意见和建议至</w:t>
      </w:r>
      <w:r>
        <w:fldChar w:fldCharType="begin"/>
      </w:r>
      <w:r>
        <w:instrText xml:space="preserve"> HYPERLINK "https://www.regulations.gov/" </w:instrText>
      </w:r>
      <w:r>
        <w:fldChar w:fldCharType="separate"/>
      </w:r>
      <w:r>
        <w:rPr>
          <w:rStyle w:val="a9"/>
          <w:color w:val="0000FF"/>
          <w:sz w:val="24"/>
          <w:lang w:eastAsia="zh-CN"/>
        </w:rPr>
        <w:t>https://www.regulations.gov</w:t>
      </w:r>
      <w:r>
        <w:rPr>
          <w:rStyle w:val="a9"/>
          <w:color w:val="0000FF"/>
          <w:sz w:val="24"/>
          <w:lang w:eastAsia="zh-CN"/>
        </w:rPr>
        <w:fldChar w:fldCharType="end"/>
      </w:r>
      <w:r>
        <w:rPr>
          <w:sz w:val="24"/>
          <w:lang w:eastAsia="zh-CN"/>
        </w:rPr>
        <w:t>，以供</w:t>
      </w:r>
      <w:r w:rsidR="002B198E">
        <w:rPr>
          <w:rFonts w:hint="eastAsia"/>
          <w:sz w:val="24"/>
          <w:lang w:eastAsia="zh-CN"/>
        </w:rPr>
        <w:t>F</w:t>
      </w:r>
      <w:r w:rsidR="002B198E">
        <w:rPr>
          <w:sz w:val="24"/>
          <w:lang w:eastAsia="zh-CN"/>
        </w:rPr>
        <w:t>DA</w:t>
      </w:r>
      <w:r>
        <w:rPr>
          <w:sz w:val="24"/>
          <w:lang w:eastAsia="zh-CN"/>
        </w:rPr>
        <w:t>考虑。请提交书面意见至美国食品药品监督管理局档案管理工作人员（</w:t>
      </w:r>
      <w:r>
        <w:rPr>
          <w:sz w:val="24"/>
          <w:lang w:eastAsia="zh-CN"/>
        </w:rPr>
        <w:t xml:space="preserve">5630 Fishers Lane, Room 1061, </w:t>
      </w:r>
      <w:r>
        <w:rPr>
          <w:sz w:val="24"/>
          <w:lang w:eastAsia="zh-CN"/>
        </w:rPr>
        <w:t>（</w:t>
      </w:r>
      <w:r>
        <w:rPr>
          <w:sz w:val="24"/>
          <w:lang w:eastAsia="zh-CN"/>
        </w:rPr>
        <w:t>HFA-305</w:t>
      </w:r>
      <w:r>
        <w:rPr>
          <w:sz w:val="24"/>
          <w:lang w:eastAsia="zh-CN"/>
        </w:rPr>
        <w:t>）</w:t>
      </w:r>
      <w:r>
        <w:rPr>
          <w:sz w:val="24"/>
          <w:lang w:eastAsia="zh-CN"/>
        </w:rPr>
        <w:t>, Rockville, MD 20852</w:t>
      </w:r>
      <w:r>
        <w:rPr>
          <w:sz w:val="24"/>
          <w:lang w:eastAsia="zh-CN"/>
        </w:rPr>
        <w:t>）。所有评论请标注文件号</w:t>
      </w:r>
      <w:r>
        <w:rPr>
          <w:sz w:val="24"/>
          <w:lang w:eastAsia="zh-CN"/>
        </w:rPr>
        <w:t>FDA-2019-D-1650</w:t>
      </w:r>
      <w:r>
        <w:rPr>
          <w:sz w:val="24"/>
          <w:lang w:eastAsia="zh-CN"/>
        </w:rPr>
        <w:t>。下次修订或更新文件前，</w:t>
      </w:r>
      <w:r w:rsidR="002B198E">
        <w:rPr>
          <w:rFonts w:hint="eastAsia"/>
          <w:sz w:val="24"/>
          <w:lang w:eastAsia="zh-CN"/>
        </w:rPr>
        <w:t>F</w:t>
      </w:r>
      <w:r w:rsidR="002B198E">
        <w:rPr>
          <w:sz w:val="24"/>
          <w:lang w:eastAsia="zh-CN"/>
        </w:rPr>
        <w:t>DA</w:t>
      </w:r>
      <w:r>
        <w:rPr>
          <w:sz w:val="24"/>
          <w:lang w:eastAsia="zh-CN"/>
        </w:rPr>
        <w:t>可能不会对评论意见采取行动。</w:t>
      </w:r>
    </w:p>
    <w:p w14:paraId="75204048" w14:textId="77777777" w:rsidR="00F17F72" w:rsidRDefault="00F17F72">
      <w:pPr>
        <w:snapToGrid w:val="0"/>
        <w:spacing w:beforeLines="50" w:before="120"/>
        <w:jc w:val="both"/>
        <w:rPr>
          <w:b/>
          <w:bCs/>
          <w:sz w:val="28"/>
          <w:szCs w:val="28"/>
          <w:lang w:eastAsia="zh-CN"/>
        </w:rPr>
      </w:pPr>
      <w:bookmarkStart w:id="2" w:name="bookmark2"/>
    </w:p>
    <w:p w14:paraId="714F014A" w14:textId="77777777" w:rsidR="00F17F72" w:rsidRDefault="00000000">
      <w:pPr>
        <w:snapToGrid w:val="0"/>
        <w:spacing w:beforeLines="50" w:before="120"/>
        <w:jc w:val="both"/>
        <w:rPr>
          <w:sz w:val="28"/>
          <w:szCs w:val="28"/>
          <w:lang w:eastAsia="zh-CN"/>
        </w:rPr>
      </w:pPr>
      <w:r>
        <w:rPr>
          <w:b/>
          <w:bCs/>
          <w:sz w:val="28"/>
          <w:szCs w:val="28"/>
          <w:lang w:eastAsia="zh-CN"/>
        </w:rPr>
        <w:t>其他副本</w:t>
      </w:r>
      <w:bookmarkEnd w:id="2"/>
    </w:p>
    <w:p w14:paraId="7EF16CE3" w14:textId="77777777" w:rsidR="00F17F72" w:rsidRDefault="00000000">
      <w:pPr>
        <w:snapToGrid w:val="0"/>
        <w:spacing w:beforeLines="50" w:before="120"/>
        <w:jc w:val="both"/>
        <w:rPr>
          <w:sz w:val="24"/>
          <w:lang w:eastAsia="zh-CN"/>
        </w:rPr>
      </w:pPr>
      <w:r>
        <w:rPr>
          <w:sz w:val="24"/>
          <w:lang w:eastAsia="zh-CN"/>
        </w:rPr>
        <w:t>可从互联网获取其他副本。您也可以发送邮件至</w:t>
      </w:r>
      <w:r>
        <w:fldChar w:fldCharType="begin"/>
      </w:r>
      <w:r>
        <w:rPr>
          <w:color w:val="0000FF"/>
          <w:sz w:val="24"/>
          <w:lang w:eastAsia="zh-CN"/>
        </w:rPr>
        <w:instrText xml:space="preserve"> HYPERLINK "mailto:CDRH-Guidance@fda.hhs.gov" </w:instrText>
      </w:r>
      <w:r>
        <w:fldChar w:fldCharType="separate"/>
      </w:r>
      <w:r>
        <w:rPr>
          <w:rStyle w:val="a9"/>
          <w:color w:val="0000FF"/>
          <w:sz w:val="24"/>
          <w:u w:val="none"/>
          <w:lang w:eastAsia="zh-CN"/>
        </w:rPr>
        <w:t xml:space="preserve"> </w:t>
      </w:r>
      <w:r>
        <w:rPr>
          <w:rStyle w:val="a9"/>
          <w:color w:val="0000FF"/>
          <w:sz w:val="24"/>
          <w:lang w:eastAsia="zh-CN"/>
        </w:rPr>
        <w:t>CDRH-</w:t>
      </w:r>
      <w:r>
        <w:rPr>
          <w:rStyle w:val="a9"/>
          <w:color w:val="0000FF"/>
          <w:sz w:val="24"/>
          <w:lang w:eastAsia="zh-CN"/>
        </w:rPr>
        <w:fldChar w:fldCharType="end"/>
      </w:r>
      <w:hyperlink r:id="rId8" w:history="1">
        <w:r>
          <w:rPr>
            <w:rStyle w:val="a9"/>
            <w:color w:val="0000FF"/>
            <w:sz w:val="24"/>
            <w:lang w:eastAsia="zh-CN"/>
          </w:rPr>
          <w:t>Guidance@fda.hhs.gov</w:t>
        </w:r>
      </w:hyperlink>
      <w:hyperlink r:id="rId9" w:history="1">
        <w:r>
          <w:rPr>
            <w:rStyle w:val="a9"/>
            <w:sz w:val="24"/>
            <w:lang w:eastAsia="zh-CN"/>
          </w:rPr>
          <w:t xml:space="preserve"> </w:t>
        </w:r>
      </w:hyperlink>
      <w:r>
        <w:rPr>
          <w:sz w:val="24"/>
          <w:lang w:eastAsia="zh-CN"/>
        </w:rPr>
        <w:t>索要指南副本。请在申请中提供文件编号</w:t>
      </w:r>
      <w:r>
        <w:rPr>
          <w:sz w:val="24"/>
          <w:lang w:eastAsia="zh-CN"/>
        </w:rPr>
        <w:t>19011</w:t>
      </w:r>
      <w:r>
        <w:rPr>
          <w:sz w:val="24"/>
          <w:lang w:eastAsia="zh-CN"/>
        </w:rPr>
        <w:t>和完整的指南标题。</w:t>
      </w:r>
    </w:p>
    <w:p w14:paraId="0EEB4E28" w14:textId="77777777" w:rsidR="00F17F72" w:rsidRDefault="00F17F72">
      <w:pPr>
        <w:snapToGrid w:val="0"/>
        <w:spacing w:beforeLines="50" w:before="120"/>
        <w:jc w:val="both"/>
        <w:rPr>
          <w:lang w:eastAsia="zh-CN"/>
        </w:rPr>
      </w:pPr>
    </w:p>
    <w:p w14:paraId="74221A96" w14:textId="77777777" w:rsidR="00F17F72" w:rsidRDefault="00F17F72">
      <w:pPr>
        <w:snapToGrid w:val="0"/>
        <w:spacing w:beforeLines="50" w:before="120"/>
        <w:jc w:val="both"/>
        <w:rPr>
          <w:lang w:eastAsia="zh-CN"/>
        </w:rPr>
      </w:pPr>
    </w:p>
    <w:p w14:paraId="5B62E653" w14:textId="77777777" w:rsidR="00F17F72" w:rsidRDefault="00F17F72">
      <w:pPr>
        <w:snapToGrid w:val="0"/>
        <w:spacing w:beforeLines="50" w:before="120"/>
        <w:jc w:val="both"/>
        <w:rPr>
          <w:lang w:eastAsia="zh-CN"/>
        </w:rPr>
        <w:sectPr w:rsidR="00F17F72">
          <w:headerReference w:type="default" r:id="rId10"/>
          <w:type w:val="continuous"/>
          <w:pgSz w:w="11907" w:h="16840"/>
          <w:pgMar w:top="1429" w:right="1797" w:bottom="1429" w:left="1797" w:header="720" w:footer="720" w:gutter="0"/>
          <w:cols w:space="720"/>
          <w:docGrid w:linePitch="360"/>
        </w:sectPr>
      </w:pPr>
    </w:p>
    <w:p w14:paraId="7C2AE57A" w14:textId="06542AB1" w:rsidR="00F17F72" w:rsidRDefault="00000000">
      <w:pPr>
        <w:pStyle w:val="b1"/>
        <w:spacing w:before="120"/>
        <w:rPr>
          <w:lang w:eastAsia="zh-CN"/>
        </w:rPr>
      </w:pPr>
      <w:r>
        <w:rPr>
          <w:lang w:eastAsia="zh-CN"/>
        </w:rPr>
        <w:lastRenderedPageBreak/>
        <w:t>基于安全和性能途径的磁共振（</w:t>
      </w:r>
      <w:r>
        <w:rPr>
          <w:lang w:eastAsia="zh-CN"/>
        </w:rPr>
        <w:t>MR</w:t>
      </w:r>
      <w:r>
        <w:rPr>
          <w:lang w:eastAsia="zh-CN"/>
        </w:rPr>
        <w:t>）接收线圈</w:t>
      </w:r>
      <w:r>
        <w:rPr>
          <w:rFonts w:hint="eastAsia"/>
          <w:lang w:eastAsia="zh-CN"/>
        </w:rPr>
        <w:t>的</w:t>
      </w:r>
      <w:r>
        <w:rPr>
          <w:lang w:eastAsia="zh-CN"/>
        </w:rPr>
        <w:t>性能标准</w:t>
      </w:r>
    </w:p>
    <w:p w14:paraId="14B265AB" w14:textId="77777777" w:rsidR="00F17F72" w:rsidRDefault="00000000">
      <w:pPr>
        <w:pStyle w:val="b2"/>
        <w:spacing w:before="120"/>
        <w:rPr>
          <w:lang w:eastAsia="zh-CN"/>
        </w:rPr>
      </w:pPr>
      <w:r>
        <w:rPr>
          <w:lang w:eastAsia="zh-CN"/>
        </w:rPr>
        <w:t>行业和美国食品药品监督管理局工作人员指南</w:t>
      </w:r>
    </w:p>
    <w:p w14:paraId="1AF31DC6" w14:textId="77777777" w:rsidR="00F17F72" w:rsidRDefault="00F17F72">
      <w:pPr>
        <w:snapToGrid w:val="0"/>
        <w:spacing w:beforeLines="50" w:before="120"/>
        <w:jc w:val="both"/>
        <w:rPr>
          <w:lang w:eastAsia="zh-CN"/>
        </w:rPr>
      </w:pPr>
    </w:p>
    <w:tbl>
      <w:tblPr>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529"/>
      </w:tblGrid>
      <w:tr w:rsidR="00F17F72" w14:paraId="109A1945" w14:textId="77777777">
        <w:trPr>
          <w:trHeight w:val="1795"/>
        </w:trPr>
        <w:tc>
          <w:tcPr>
            <w:tcW w:w="5000" w:type="pct"/>
            <w:shd w:val="clear" w:color="auto" w:fill="FFFFFF"/>
            <w:vAlign w:val="center"/>
          </w:tcPr>
          <w:p w14:paraId="7BCA07CC" w14:textId="11500051" w:rsidR="00F17F72" w:rsidRDefault="00873CBD">
            <w:pPr>
              <w:snapToGrid w:val="0"/>
              <w:spacing w:beforeLines="50" w:before="120"/>
              <w:jc w:val="both"/>
              <w:rPr>
                <w:lang w:eastAsia="zh-CN"/>
              </w:rPr>
            </w:pPr>
            <w:r>
              <w:rPr>
                <w:rFonts w:hint="eastAsia"/>
                <w:b/>
                <w:i/>
                <w:sz w:val="24"/>
                <w:lang w:eastAsia="zh-CN"/>
              </w:rPr>
              <w:t>本指南代表美国食品药品监督管理局（</w:t>
            </w:r>
            <w:r>
              <w:rPr>
                <w:b/>
                <w:i/>
                <w:sz w:val="24"/>
                <w:lang w:eastAsia="zh-CN"/>
              </w:rPr>
              <w:t>FDA</w:t>
            </w:r>
            <w:r>
              <w:rPr>
                <w:rFonts w:hint="eastAsia"/>
                <w:b/>
                <w:i/>
                <w:sz w:val="24"/>
                <w:lang w:eastAsia="zh-CN"/>
              </w:rPr>
              <w:t>）对该主题的当前看法。本文件不赋予任何人任何权利，对</w:t>
            </w:r>
            <w:r>
              <w:rPr>
                <w:b/>
                <w:i/>
                <w:sz w:val="24"/>
                <w:lang w:eastAsia="zh-CN"/>
              </w:rPr>
              <w:t>FDA</w:t>
            </w:r>
            <w:r>
              <w:rPr>
                <w:rFonts w:hint="eastAsia"/>
                <w:b/>
                <w:i/>
                <w:sz w:val="24"/>
                <w:lang w:eastAsia="zh-CN"/>
              </w:rPr>
              <w:t>或公众不具有约束力。如果替代方法满足适用的情形和法规</w:t>
            </w:r>
            <w:r>
              <w:rPr>
                <w:b/>
                <w:i/>
                <w:sz w:val="24"/>
                <w:lang w:eastAsia="zh-CN"/>
              </w:rPr>
              <w:t xml:space="preserve"> </w:t>
            </w:r>
            <w:r>
              <w:rPr>
                <w:rFonts w:hint="eastAsia"/>
                <w:b/>
                <w:i/>
                <w:sz w:val="24"/>
                <w:lang w:eastAsia="zh-CN"/>
              </w:rPr>
              <w:t>的要求，则贵司可使用替代方法。如需讨论替代方法，请联系标题页所列负责本指南的</w:t>
            </w:r>
            <w:r>
              <w:rPr>
                <w:b/>
                <w:i/>
                <w:sz w:val="24"/>
                <w:lang w:eastAsia="zh-CN"/>
              </w:rPr>
              <w:t>FDA</w:t>
            </w:r>
            <w:r>
              <w:rPr>
                <w:rFonts w:hint="eastAsia"/>
                <w:b/>
                <w:i/>
                <w:sz w:val="24"/>
                <w:lang w:eastAsia="zh-CN"/>
              </w:rPr>
              <w:t>工作人员或办公室。</w:t>
            </w:r>
          </w:p>
        </w:tc>
      </w:tr>
    </w:tbl>
    <w:p w14:paraId="02C81ECC" w14:textId="77777777" w:rsidR="00F17F72" w:rsidRDefault="00F17F72">
      <w:pPr>
        <w:tabs>
          <w:tab w:val="left" w:pos="720"/>
        </w:tabs>
        <w:snapToGrid w:val="0"/>
        <w:spacing w:beforeLines="50" w:before="120"/>
        <w:jc w:val="both"/>
        <w:rPr>
          <w:b/>
          <w:bCs/>
          <w:lang w:eastAsia="zh-CN"/>
        </w:rPr>
      </w:pPr>
      <w:bookmarkStart w:id="3" w:name="bookmark6"/>
    </w:p>
    <w:p w14:paraId="52522A76" w14:textId="77777777" w:rsidR="00F17F72" w:rsidRDefault="00000000">
      <w:pPr>
        <w:pStyle w:val="m1"/>
        <w:spacing w:before="120" w:after="120"/>
        <w:rPr>
          <w:lang w:eastAsia="zh-CN"/>
        </w:rPr>
      </w:pPr>
      <w:r>
        <w:rPr>
          <w:lang w:eastAsia="zh-CN"/>
        </w:rPr>
        <w:t>I.</w:t>
      </w:r>
      <w:r>
        <w:rPr>
          <w:lang w:eastAsia="zh-CN"/>
        </w:rPr>
        <w:tab/>
      </w:r>
      <w:r>
        <w:rPr>
          <w:lang w:eastAsia="zh-CN"/>
        </w:rPr>
        <w:t>引言</w:t>
      </w:r>
      <w:bookmarkEnd w:id="3"/>
    </w:p>
    <w:p w14:paraId="3533CD1B" w14:textId="77777777" w:rsidR="00F17F72" w:rsidRDefault="00000000">
      <w:pPr>
        <w:snapToGrid w:val="0"/>
        <w:spacing w:beforeLines="50" w:before="120"/>
        <w:jc w:val="both"/>
        <w:rPr>
          <w:sz w:val="24"/>
          <w:lang w:eastAsia="zh-CN"/>
        </w:rPr>
      </w:pPr>
      <w:r>
        <w:rPr>
          <w:sz w:val="24"/>
          <w:lang w:eastAsia="zh-CN"/>
        </w:rPr>
        <w:t>本指南提供了磁共振（</w:t>
      </w:r>
      <w:r>
        <w:rPr>
          <w:sz w:val="24"/>
          <w:lang w:eastAsia="zh-CN"/>
        </w:rPr>
        <w:t>MR</w:t>
      </w:r>
      <w:r>
        <w:rPr>
          <w:sz w:val="24"/>
          <w:lang w:eastAsia="zh-CN"/>
        </w:rPr>
        <w:t>）接收线圈的性能标准来支持</w:t>
      </w:r>
      <w:r>
        <w:fldChar w:fldCharType="begin"/>
      </w:r>
      <w:r>
        <w:rPr>
          <w:color w:val="0000FF"/>
          <w:sz w:val="24"/>
          <w:lang w:eastAsia="zh-CN"/>
        </w:rPr>
        <w:instrText xml:space="preserve"> HYPERLINK "https://www.fda.gov/regulatory-information/search-fda-guidance-documents/safety-and-performance-based-pathway" </w:instrText>
      </w:r>
      <w:r>
        <w:fldChar w:fldCharType="separate"/>
      </w:r>
      <w:r>
        <w:rPr>
          <w:rStyle w:val="a9"/>
          <w:color w:val="0000FF"/>
          <w:sz w:val="24"/>
          <w:u w:val="none"/>
          <w:lang w:eastAsia="zh-CN"/>
        </w:rPr>
        <w:t>《</w:t>
      </w:r>
      <w:r>
        <w:rPr>
          <w:rStyle w:val="a9"/>
          <w:color w:val="0000FF"/>
          <w:sz w:val="24"/>
          <w:lang w:eastAsia="zh-CN"/>
        </w:rPr>
        <w:t>基于安全和性能的途径》</w:t>
      </w:r>
      <w:r>
        <w:rPr>
          <w:rStyle w:val="a9"/>
          <w:color w:val="0000FF"/>
          <w:sz w:val="24"/>
          <w:lang w:eastAsia="zh-CN"/>
        </w:rPr>
        <w:fldChar w:fldCharType="end"/>
      </w:r>
      <w:r>
        <w:rPr>
          <w:rFonts w:hint="eastAsia"/>
          <w:color w:val="0000FF"/>
          <w:sz w:val="24"/>
          <w:lang w:eastAsia="zh-CN"/>
        </w:rPr>
        <w:t>。</w:t>
      </w:r>
      <w:hyperlink w:anchor="bookmark3" w:tooltip="当前文件">
        <w:r>
          <w:rPr>
            <w:sz w:val="24"/>
            <w:vertAlign w:val="superscript"/>
            <w:lang w:eastAsia="zh-CN"/>
          </w:rPr>
          <w:t>1</w:t>
        </w:r>
        <w:r>
          <w:rPr>
            <w:sz w:val="24"/>
            <w:lang w:eastAsia="zh-CN"/>
          </w:rPr>
          <w:t xml:space="preserve"> </w:t>
        </w:r>
      </w:hyperlink>
      <w:r>
        <w:rPr>
          <w:sz w:val="24"/>
          <w:lang w:eastAsia="zh-CN"/>
        </w:rPr>
        <w:t>在该框架下，计划使用基于安全和性能的途径来提交磁共振接收线圈</w:t>
      </w:r>
      <w:r>
        <w:rPr>
          <w:sz w:val="24"/>
          <w:lang w:eastAsia="zh-CN"/>
        </w:rPr>
        <w:t>510(k)</w:t>
      </w:r>
      <w:r>
        <w:rPr>
          <w:sz w:val="24"/>
          <w:lang w:eastAsia="zh-CN"/>
        </w:rPr>
        <w:t>的申请人可以选择使用本指南中提出的性能标准来确认实质等效性，而不是直接比较待申报器械和实质等同器械的性能。</w:t>
      </w:r>
    </w:p>
    <w:p w14:paraId="1F50664B" w14:textId="77777777" w:rsidR="00F17F72" w:rsidRDefault="00000000">
      <w:pPr>
        <w:snapToGrid w:val="0"/>
        <w:spacing w:beforeLines="50" w:before="120"/>
        <w:jc w:val="both"/>
        <w:rPr>
          <w:sz w:val="24"/>
          <w:lang w:eastAsia="zh-CN"/>
        </w:rPr>
      </w:pPr>
      <w:r>
        <w:rPr>
          <w:sz w:val="24"/>
          <w:lang w:eastAsia="zh-CN"/>
        </w:rPr>
        <w:t>关于本文件中引用的</w:t>
      </w:r>
      <w:r>
        <w:rPr>
          <w:sz w:val="24"/>
          <w:lang w:eastAsia="zh-CN"/>
        </w:rPr>
        <w:t>FDA</w:t>
      </w:r>
      <w:r>
        <w:rPr>
          <w:sz w:val="24"/>
          <w:lang w:eastAsia="zh-CN"/>
        </w:rPr>
        <w:t>认可标准的现行版本，请参阅</w:t>
      </w:r>
      <w:r>
        <w:fldChar w:fldCharType="begin"/>
      </w:r>
      <w:r>
        <w:rPr>
          <w:color w:val="0000FF"/>
          <w:sz w:val="24"/>
          <w:lang w:eastAsia="zh-CN"/>
        </w:rPr>
        <w:instrText xml:space="preserve"> HYPERLINK "http://www.accessdata.fda.gov/scripts/cdrh/cfdocs/cfStandards/search.cfm" </w:instrText>
      </w:r>
      <w:r>
        <w:fldChar w:fldCharType="separate"/>
      </w:r>
      <w:r>
        <w:rPr>
          <w:rStyle w:val="a9"/>
          <w:color w:val="0000FF"/>
          <w:sz w:val="24"/>
          <w:lang w:eastAsia="zh-CN"/>
        </w:rPr>
        <w:t>FDA</w:t>
      </w:r>
      <w:proofErr w:type="gramStart"/>
      <w:r>
        <w:rPr>
          <w:rStyle w:val="a9"/>
          <w:color w:val="0000FF"/>
          <w:sz w:val="24"/>
          <w:lang w:eastAsia="zh-CN"/>
        </w:rPr>
        <w:t>认可共识</w:t>
      </w:r>
      <w:proofErr w:type="gramEnd"/>
      <w:r>
        <w:rPr>
          <w:rStyle w:val="a9"/>
          <w:color w:val="0000FF"/>
          <w:sz w:val="24"/>
          <w:lang w:eastAsia="zh-CN"/>
        </w:rPr>
        <w:t>标准数据库</w:t>
      </w:r>
      <w:r>
        <w:rPr>
          <w:rStyle w:val="a9"/>
          <w:color w:val="0000FF"/>
          <w:sz w:val="24"/>
          <w:lang w:eastAsia="zh-CN"/>
        </w:rPr>
        <w:fldChar w:fldCharType="end"/>
      </w:r>
      <w:r>
        <w:rPr>
          <w:rFonts w:hint="eastAsia"/>
          <w:color w:val="0000FF"/>
          <w:sz w:val="24"/>
          <w:lang w:eastAsia="zh-CN"/>
        </w:rPr>
        <w:t>。</w:t>
      </w:r>
      <w:hyperlink w:anchor="bookmark4" w:tooltip="当前文件">
        <w:r>
          <w:rPr>
            <w:sz w:val="24"/>
            <w:vertAlign w:val="superscript"/>
            <w:lang w:eastAsia="zh-CN"/>
          </w:rPr>
          <w:t>2</w:t>
        </w:r>
      </w:hyperlink>
      <w:r>
        <w:rPr>
          <w:sz w:val="24"/>
          <w:lang w:eastAsia="zh-CN"/>
        </w:rPr>
        <w:t>更多递交过程用到的共识标准信息，请参阅</w:t>
      </w:r>
      <w:r>
        <w:rPr>
          <w:sz w:val="24"/>
          <w:lang w:eastAsia="zh-CN"/>
        </w:rPr>
        <w:t>FDA</w:t>
      </w:r>
      <w:r>
        <w:rPr>
          <w:sz w:val="24"/>
          <w:lang w:eastAsia="zh-CN"/>
        </w:rPr>
        <w:t>指南：</w:t>
      </w:r>
      <w:r>
        <w:fldChar w:fldCharType="begin"/>
      </w:r>
      <w:r>
        <w:rPr>
          <w:color w:val="0000FF"/>
          <w:sz w:val="24"/>
          <w:lang w:eastAsia="zh-CN"/>
        </w:rPr>
        <w:instrText xml:space="preserve"> HYPERLINK "https://www.fda.gov/regulatory-information/search-fda-guidance-documents/appropriate-use-voluntary-consensus-standards-premarket-submissions-medical-devices" </w:instrText>
      </w:r>
      <w:r>
        <w:fldChar w:fldCharType="separate"/>
      </w:r>
      <w:r>
        <w:rPr>
          <w:rStyle w:val="a9"/>
          <w:color w:val="0000FF"/>
          <w:sz w:val="24"/>
          <w:lang w:eastAsia="zh-CN"/>
        </w:rPr>
        <w:t>在医疗器械上市前提交文件</w:t>
      </w:r>
      <w:r>
        <w:rPr>
          <w:rStyle w:val="a9"/>
          <w:color w:val="0000FF"/>
          <w:sz w:val="24"/>
          <w:lang w:eastAsia="zh-CN"/>
        </w:rPr>
        <w:fldChar w:fldCharType="end"/>
      </w:r>
      <w:r>
        <w:rPr>
          <w:color w:val="0000FF"/>
          <w:sz w:val="24"/>
          <w:u w:val="single"/>
          <w:lang w:eastAsia="zh-CN"/>
        </w:rPr>
        <w:t xml:space="preserve"> </w:t>
      </w:r>
      <w:hyperlink r:id="rId11" w:history="1">
        <w:r>
          <w:rPr>
            <w:rStyle w:val="a9"/>
            <w:color w:val="0000FF"/>
            <w:sz w:val="24"/>
            <w:lang w:eastAsia="zh-CN"/>
          </w:rPr>
          <w:t>中适当使用非强制性共识标准</w:t>
        </w:r>
      </w:hyperlink>
      <w:hyperlink w:anchor="bookmark5" w:tooltip="当前文件">
        <w:r>
          <w:rPr>
            <w:sz w:val="24"/>
            <w:vertAlign w:val="superscript"/>
            <w:lang w:eastAsia="zh-CN"/>
          </w:rPr>
          <w:t>3</w:t>
        </w:r>
      </w:hyperlink>
    </w:p>
    <w:p w14:paraId="6A710AC8" w14:textId="36F72B18" w:rsidR="00F17F72" w:rsidRDefault="00740E44">
      <w:pPr>
        <w:snapToGrid w:val="0"/>
        <w:spacing w:beforeLines="50" w:before="120"/>
        <w:jc w:val="both"/>
        <w:rPr>
          <w:sz w:val="24"/>
          <w:lang w:eastAsia="zh-CN"/>
        </w:rPr>
      </w:pPr>
      <w:bookmarkStart w:id="4" w:name="_Hlk99545046"/>
      <w:r>
        <w:rPr>
          <w:sz w:val="24"/>
          <w:lang w:eastAsia="zh-CN"/>
        </w:rPr>
        <w:t>FDA</w:t>
      </w:r>
      <w:r>
        <w:rPr>
          <w:rFonts w:hint="eastAsia"/>
          <w:sz w:val="24"/>
          <w:lang w:eastAsia="zh-CN"/>
        </w:rPr>
        <w:t>指南文件，包括本指南，并未规定具有法律强制力的责任。相反，指南描述了</w:t>
      </w:r>
      <w:r>
        <w:rPr>
          <w:sz w:val="24"/>
          <w:lang w:eastAsia="zh-CN"/>
        </w:rPr>
        <w:t>FDA</w:t>
      </w:r>
      <w:r>
        <w:rPr>
          <w:rFonts w:hint="eastAsia"/>
          <w:sz w:val="24"/>
          <w:lang w:eastAsia="zh-CN"/>
        </w:rPr>
        <w:t>对该主题的当前看法，除非引用了具体监管或法定要求，否则应仅视为建议。</w:t>
      </w:r>
      <w:r>
        <w:rPr>
          <w:sz w:val="24"/>
          <w:lang w:eastAsia="zh-CN"/>
        </w:rPr>
        <w:t>FDA</w:t>
      </w:r>
      <w:r>
        <w:rPr>
          <w:rFonts w:hint="eastAsia"/>
          <w:sz w:val="24"/>
          <w:lang w:eastAsia="zh-CN"/>
        </w:rPr>
        <w:t>指南中使用的</w:t>
      </w:r>
      <w:r>
        <w:rPr>
          <w:rFonts w:ascii="宋体" w:hAnsi="宋体" w:hint="eastAsia"/>
          <w:sz w:val="24"/>
          <w:lang w:eastAsia="zh-CN"/>
        </w:rPr>
        <w:t>“</w:t>
      </w:r>
      <w:r>
        <w:rPr>
          <w:rFonts w:hint="eastAsia"/>
          <w:i/>
          <w:sz w:val="24"/>
          <w:lang w:eastAsia="zh-CN"/>
        </w:rPr>
        <w:t>应该（</w:t>
      </w:r>
      <w:r>
        <w:rPr>
          <w:i/>
          <w:sz w:val="24"/>
          <w:lang w:eastAsia="zh-CN"/>
        </w:rPr>
        <w:t>should</w:t>
      </w:r>
      <w:r>
        <w:rPr>
          <w:rFonts w:hint="eastAsia"/>
          <w:i/>
          <w:sz w:val="24"/>
          <w:lang w:eastAsia="zh-CN"/>
        </w:rPr>
        <w:t>）</w:t>
      </w:r>
      <w:r>
        <w:rPr>
          <w:rFonts w:ascii="宋体" w:hAnsi="宋体" w:hint="eastAsia"/>
          <w:sz w:val="24"/>
          <w:lang w:eastAsia="zh-CN"/>
        </w:rPr>
        <w:t>”</w:t>
      </w:r>
      <w:r>
        <w:rPr>
          <w:rFonts w:hint="eastAsia"/>
          <w:sz w:val="24"/>
          <w:lang w:eastAsia="zh-CN"/>
        </w:rPr>
        <w:t>一词指建议或推荐进行某一事项，并非强制要求。</w:t>
      </w:r>
      <w:bookmarkEnd w:id="4"/>
    </w:p>
    <w:p w14:paraId="0DB79C10" w14:textId="77777777" w:rsidR="00F17F72" w:rsidRDefault="00F17F72">
      <w:pPr>
        <w:snapToGrid w:val="0"/>
        <w:spacing w:beforeLines="50" w:before="120"/>
        <w:jc w:val="both"/>
        <w:rPr>
          <w:lang w:eastAsia="zh-CN"/>
        </w:rPr>
      </w:pPr>
    </w:p>
    <w:p w14:paraId="57EAB986" w14:textId="77777777" w:rsidR="00F17F72" w:rsidRDefault="00F17F72">
      <w:pPr>
        <w:snapToGrid w:val="0"/>
        <w:spacing w:beforeLines="50" w:before="120"/>
        <w:jc w:val="both"/>
        <w:rPr>
          <w:sz w:val="18"/>
          <w:szCs w:val="18"/>
          <w:lang w:eastAsia="zh-CN"/>
        </w:rPr>
      </w:pPr>
    </w:p>
    <w:p w14:paraId="62DC2DDB" w14:textId="77777777" w:rsidR="00F17F72" w:rsidRDefault="00F17F72">
      <w:pPr>
        <w:snapToGrid w:val="0"/>
        <w:spacing w:beforeLines="50" w:before="120"/>
        <w:jc w:val="both"/>
        <w:rPr>
          <w:sz w:val="18"/>
          <w:szCs w:val="18"/>
          <w:lang w:eastAsia="zh-CN"/>
        </w:rPr>
      </w:pPr>
    </w:p>
    <w:p w14:paraId="33D82524" w14:textId="77777777" w:rsidR="00F17F72" w:rsidRDefault="00F17F72">
      <w:pPr>
        <w:snapToGrid w:val="0"/>
        <w:spacing w:beforeLines="50" w:before="120"/>
        <w:jc w:val="both"/>
        <w:rPr>
          <w:sz w:val="18"/>
          <w:szCs w:val="18"/>
          <w:lang w:eastAsia="zh-CN"/>
        </w:rPr>
      </w:pPr>
    </w:p>
    <w:p w14:paraId="0615B637" w14:textId="77777777" w:rsidR="00F17F72" w:rsidRDefault="00F17F72">
      <w:pPr>
        <w:snapToGrid w:val="0"/>
        <w:spacing w:beforeLines="50" w:before="120"/>
        <w:jc w:val="both"/>
        <w:rPr>
          <w:sz w:val="18"/>
          <w:szCs w:val="18"/>
          <w:lang w:eastAsia="zh-CN"/>
        </w:rPr>
      </w:pPr>
    </w:p>
    <w:p w14:paraId="09FC112F" w14:textId="77777777" w:rsidR="00F17F72" w:rsidRDefault="00000000">
      <w:pPr>
        <w:snapToGrid w:val="0"/>
        <w:spacing w:beforeLines="50" w:before="120"/>
        <w:jc w:val="both"/>
        <w:rPr>
          <w:sz w:val="18"/>
          <w:szCs w:val="18"/>
        </w:rPr>
      </w:pPr>
      <w:r>
        <w:rPr>
          <w:sz w:val="18"/>
          <w:szCs w:val="18"/>
          <w:lang w:eastAsia="zh-CN"/>
        </w:rPr>
        <w:t>___________________________</w:t>
      </w:r>
    </w:p>
    <w:p w14:paraId="262BEA34" w14:textId="77777777" w:rsidR="00F17F72" w:rsidRDefault="00000000">
      <w:pPr>
        <w:tabs>
          <w:tab w:val="left" w:pos="125"/>
        </w:tabs>
        <w:snapToGrid w:val="0"/>
        <w:spacing w:beforeLines="50" w:before="120"/>
        <w:rPr>
          <w:color w:val="0000FF"/>
          <w:sz w:val="18"/>
          <w:szCs w:val="18"/>
        </w:rPr>
      </w:pPr>
      <w:bookmarkStart w:id="5" w:name="bookmark3"/>
      <w:bookmarkStart w:id="6" w:name="bookmark4"/>
      <w:r>
        <w:rPr>
          <w:sz w:val="18"/>
          <w:szCs w:val="18"/>
          <w:vertAlign w:val="superscript"/>
          <w:lang w:eastAsia="zh-CN"/>
        </w:rPr>
        <w:t>1</w:t>
      </w:r>
      <w:r>
        <w:rPr>
          <w:sz w:val="18"/>
          <w:szCs w:val="18"/>
          <w:lang w:eastAsia="zh-CN"/>
        </w:rPr>
        <w:tab/>
      </w:r>
      <w:proofErr w:type="gramStart"/>
      <w:r>
        <w:rPr>
          <w:sz w:val="18"/>
          <w:szCs w:val="18"/>
          <w:lang w:eastAsia="zh-CN"/>
        </w:rPr>
        <w:t>请访问</w:t>
      </w:r>
      <w:proofErr w:type="gramEnd"/>
      <w:r>
        <w:fldChar w:fldCharType="begin"/>
      </w:r>
      <w:r>
        <w:rPr>
          <w:color w:val="0000FF"/>
        </w:rPr>
        <w:instrText xml:space="preserve"> HYPERLINK "https://www.fda.gov/regulatory-information/search-fda-guidance-documents/safety-and-performance-based-pathway" </w:instrText>
      </w:r>
      <w:r>
        <w:fldChar w:fldCharType="separate"/>
      </w:r>
      <w:r>
        <w:rPr>
          <w:rStyle w:val="a9"/>
          <w:color w:val="0000FF"/>
          <w:sz w:val="18"/>
          <w:szCs w:val="18"/>
          <w:lang w:eastAsia="zh-CN"/>
        </w:rPr>
        <w:t>https://www.fda.gov/regulatory-information/search-fda-guidance-documents/safety-and-performance-</w:t>
      </w:r>
      <w:r>
        <w:rPr>
          <w:rStyle w:val="a9"/>
          <w:color w:val="0000FF"/>
          <w:sz w:val="18"/>
          <w:szCs w:val="18"/>
          <w:lang w:eastAsia="zh-CN"/>
        </w:rPr>
        <w:fldChar w:fldCharType="end"/>
      </w:r>
      <w:hyperlink r:id="rId12" w:history="1">
        <w:proofErr w:type="gramStart"/>
        <w:r>
          <w:rPr>
            <w:rStyle w:val="a9"/>
            <w:color w:val="0000FF"/>
            <w:sz w:val="18"/>
            <w:szCs w:val="18"/>
            <w:lang w:eastAsia="zh-CN"/>
          </w:rPr>
          <w:t>based-pathway</w:t>
        </w:r>
        <w:bookmarkEnd w:id="5"/>
        <w:bookmarkEnd w:id="6"/>
        <w:proofErr w:type="gramEnd"/>
      </w:hyperlink>
    </w:p>
    <w:p w14:paraId="7DC49438" w14:textId="77777777" w:rsidR="00F17F72" w:rsidRDefault="00000000">
      <w:pPr>
        <w:tabs>
          <w:tab w:val="left" w:pos="115"/>
        </w:tabs>
        <w:snapToGrid w:val="0"/>
        <w:spacing w:beforeLines="50" w:before="120"/>
        <w:rPr>
          <w:sz w:val="18"/>
          <w:szCs w:val="18"/>
          <w:lang w:eastAsia="zh-CN"/>
        </w:rPr>
      </w:pPr>
      <w:bookmarkStart w:id="7" w:name="bookmark5"/>
      <w:r>
        <w:rPr>
          <w:sz w:val="18"/>
          <w:szCs w:val="18"/>
          <w:vertAlign w:val="superscript"/>
          <w:lang w:eastAsia="zh-CN"/>
        </w:rPr>
        <w:t>2</w:t>
      </w:r>
      <w:r>
        <w:rPr>
          <w:sz w:val="18"/>
          <w:szCs w:val="18"/>
          <w:lang w:eastAsia="zh-CN"/>
        </w:rPr>
        <w:tab/>
      </w:r>
      <w:proofErr w:type="gramStart"/>
      <w:r>
        <w:rPr>
          <w:sz w:val="18"/>
          <w:szCs w:val="18"/>
          <w:lang w:eastAsia="zh-CN"/>
        </w:rPr>
        <w:t>请访问</w:t>
      </w:r>
      <w:proofErr w:type="gramEnd"/>
      <w:r>
        <w:rPr>
          <w:color w:val="0000FF"/>
          <w:sz w:val="18"/>
          <w:szCs w:val="18"/>
          <w:lang w:eastAsia="zh-CN"/>
        </w:rPr>
        <w:t xml:space="preserve"> </w:t>
      </w:r>
      <w:hyperlink r:id="rId13" w:history="1">
        <w:r>
          <w:rPr>
            <w:rStyle w:val="a9"/>
            <w:color w:val="0000FF"/>
            <w:sz w:val="18"/>
            <w:szCs w:val="18"/>
            <w:lang w:eastAsia="zh-CN"/>
          </w:rPr>
          <w:t>https://www.accessdata.fda.gov/scripts/cdrh/cfdocs/cfStandards/search.cfm</w:t>
        </w:r>
        <w:bookmarkEnd w:id="7"/>
      </w:hyperlink>
    </w:p>
    <w:p w14:paraId="7977258C" w14:textId="77777777" w:rsidR="00F17F72" w:rsidRDefault="00000000">
      <w:pPr>
        <w:tabs>
          <w:tab w:val="left" w:pos="125"/>
        </w:tabs>
        <w:snapToGrid w:val="0"/>
        <w:spacing w:beforeLines="50" w:before="120"/>
        <w:rPr>
          <w:sz w:val="18"/>
          <w:szCs w:val="18"/>
        </w:rPr>
      </w:pPr>
      <w:r>
        <w:rPr>
          <w:sz w:val="18"/>
          <w:szCs w:val="18"/>
          <w:vertAlign w:val="superscript"/>
          <w:lang w:eastAsia="zh-CN"/>
        </w:rPr>
        <w:t>3</w:t>
      </w:r>
      <w:r>
        <w:rPr>
          <w:sz w:val="18"/>
          <w:szCs w:val="18"/>
          <w:lang w:eastAsia="zh-CN"/>
        </w:rPr>
        <w:tab/>
      </w:r>
      <w:proofErr w:type="gramStart"/>
      <w:r>
        <w:rPr>
          <w:sz w:val="18"/>
          <w:szCs w:val="18"/>
          <w:lang w:eastAsia="zh-CN"/>
        </w:rPr>
        <w:t>请访问</w:t>
      </w:r>
      <w:proofErr w:type="gramEnd"/>
      <w:r>
        <w:fldChar w:fldCharType="begin"/>
      </w:r>
      <w:r>
        <w:rPr>
          <w:color w:val="0000FF"/>
        </w:rPr>
        <w:instrText xml:space="preserve"> HYPERLINK "https://www.fda.gov/regulatory-information/search-fda-guidance-documents/appropriate-use-voluntary-consensus-standards-premarket-submissions-medical-devices" </w:instrText>
      </w:r>
      <w:r>
        <w:fldChar w:fldCharType="separate"/>
      </w:r>
      <w:r>
        <w:rPr>
          <w:rStyle w:val="a9"/>
          <w:color w:val="0000FF"/>
          <w:sz w:val="18"/>
          <w:szCs w:val="18"/>
          <w:lang w:eastAsia="zh-CN"/>
        </w:rPr>
        <w:t>https://www.fda.gov/regulatorv-information/search-fda-guidance-documents/appropriate-use-</w:t>
      </w:r>
      <w:r>
        <w:rPr>
          <w:rStyle w:val="a9"/>
          <w:color w:val="0000FF"/>
          <w:sz w:val="18"/>
          <w:szCs w:val="18"/>
          <w:lang w:eastAsia="zh-CN"/>
        </w:rPr>
        <w:fldChar w:fldCharType="end"/>
      </w:r>
      <w:r>
        <w:rPr>
          <w:color w:val="0000FF"/>
          <w:sz w:val="18"/>
          <w:szCs w:val="18"/>
          <w:u w:val="single"/>
          <w:lang w:eastAsia="zh-CN"/>
        </w:rPr>
        <w:t xml:space="preserve"> </w:t>
      </w:r>
      <w:hyperlink r:id="rId14" w:history="1">
        <w:r>
          <w:rPr>
            <w:rStyle w:val="a9"/>
            <w:color w:val="0000FF"/>
            <w:sz w:val="18"/>
            <w:szCs w:val="18"/>
            <w:lang w:eastAsia="zh-CN"/>
          </w:rPr>
          <w:t>voluntary-consensus-standards-premarket-submissions-medical-devices</w:t>
        </w:r>
      </w:hyperlink>
    </w:p>
    <w:p w14:paraId="6AE859C7" w14:textId="77777777" w:rsidR="00F17F72" w:rsidRDefault="00000000">
      <w:pPr>
        <w:tabs>
          <w:tab w:val="left" w:pos="125"/>
        </w:tabs>
        <w:snapToGrid w:val="0"/>
        <w:spacing w:beforeLines="50" w:before="120"/>
        <w:jc w:val="both"/>
      </w:pPr>
      <w:r>
        <w:rPr>
          <w:lang w:eastAsia="zh-CN"/>
        </w:rPr>
        <w:lastRenderedPageBreak/>
        <w:br w:type="page"/>
      </w:r>
    </w:p>
    <w:p w14:paraId="6EC9131D" w14:textId="77777777" w:rsidR="00F17F72" w:rsidRDefault="00000000">
      <w:pPr>
        <w:pStyle w:val="m1"/>
        <w:spacing w:before="120" w:after="120"/>
        <w:rPr>
          <w:lang w:eastAsia="zh-CN"/>
        </w:rPr>
      </w:pPr>
      <w:bookmarkStart w:id="8" w:name="bookmark7"/>
      <w:r>
        <w:rPr>
          <w:lang w:eastAsia="zh-CN"/>
        </w:rPr>
        <w:lastRenderedPageBreak/>
        <w:t>II.</w:t>
      </w:r>
      <w:r>
        <w:rPr>
          <w:lang w:eastAsia="zh-CN"/>
        </w:rPr>
        <w:tab/>
        <w:t xml:space="preserve"> </w:t>
      </w:r>
      <w:r>
        <w:rPr>
          <w:lang w:eastAsia="zh-CN"/>
        </w:rPr>
        <w:t>范围</w:t>
      </w:r>
      <w:r>
        <w:rPr>
          <w:lang w:eastAsia="zh-CN"/>
        </w:rPr>
        <w:t>/</w:t>
      </w:r>
      <w:r>
        <w:rPr>
          <w:lang w:eastAsia="zh-CN"/>
        </w:rPr>
        <w:t>器械介绍</w:t>
      </w:r>
      <w:bookmarkEnd w:id="8"/>
    </w:p>
    <w:p w14:paraId="32EF2810" w14:textId="77777777" w:rsidR="00F17F72" w:rsidRDefault="00000000">
      <w:pPr>
        <w:snapToGrid w:val="0"/>
        <w:spacing w:beforeLines="50" w:before="120"/>
        <w:jc w:val="both"/>
        <w:rPr>
          <w:sz w:val="24"/>
          <w:lang w:eastAsia="zh-CN"/>
        </w:rPr>
      </w:pPr>
      <w:r>
        <w:rPr>
          <w:sz w:val="24"/>
          <w:lang w:eastAsia="zh-CN"/>
        </w:rPr>
        <w:t>作为本指南主题的磁共振接收线圈主要用于生成人体解剖图像，供受过培训的临床医生进行一般诊断。这些磁共振接收线圈属于</w:t>
      </w:r>
      <w:r>
        <w:rPr>
          <w:sz w:val="24"/>
          <w:lang w:eastAsia="zh-CN"/>
        </w:rPr>
        <w:t>II</w:t>
      </w:r>
      <w:r>
        <w:rPr>
          <w:sz w:val="24"/>
          <w:lang w:eastAsia="zh-CN"/>
        </w:rPr>
        <w:t>类线圈，由</w:t>
      </w:r>
      <w:r>
        <w:rPr>
          <w:sz w:val="24"/>
          <w:lang w:eastAsia="zh-CN"/>
        </w:rPr>
        <w:t>21 CFR 892.1000</w:t>
      </w:r>
      <w:r>
        <w:rPr>
          <w:sz w:val="24"/>
          <w:lang w:eastAsia="zh-CN"/>
        </w:rPr>
        <w:t>磁共振诊断器械规范，产品代码为</w:t>
      </w:r>
      <w:r>
        <w:rPr>
          <w:sz w:val="24"/>
          <w:lang w:eastAsia="zh-CN"/>
        </w:rPr>
        <w:t>MOS</w:t>
      </w:r>
      <w:r>
        <w:rPr>
          <w:sz w:val="24"/>
          <w:lang w:eastAsia="zh-CN"/>
        </w:rPr>
        <w:t>（线圈、磁共振、专用）。</w:t>
      </w:r>
    </w:p>
    <w:p w14:paraId="1BE0B047" w14:textId="77777777" w:rsidR="00F17F72" w:rsidRDefault="00000000">
      <w:pPr>
        <w:snapToGrid w:val="0"/>
        <w:spacing w:beforeLines="50" w:before="120"/>
        <w:jc w:val="both"/>
        <w:rPr>
          <w:sz w:val="24"/>
          <w:lang w:eastAsia="zh-CN"/>
        </w:rPr>
      </w:pPr>
      <w:r>
        <w:rPr>
          <w:b/>
          <w:bCs/>
          <w:sz w:val="24"/>
          <w:lang w:eastAsia="zh-CN"/>
        </w:rPr>
        <w:t>预期用途</w:t>
      </w:r>
      <w:r>
        <w:rPr>
          <w:b/>
          <w:bCs/>
          <w:sz w:val="24"/>
          <w:lang w:eastAsia="zh-CN"/>
        </w:rPr>
        <w:t>/</w:t>
      </w:r>
      <w:r>
        <w:rPr>
          <w:b/>
          <w:bCs/>
          <w:sz w:val="24"/>
          <w:lang w:eastAsia="zh-CN"/>
        </w:rPr>
        <w:t>适用范围：</w:t>
      </w:r>
    </w:p>
    <w:p w14:paraId="15D74BB1" w14:textId="77777777" w:rsidR="00F17F72" w:rsidRDefault="00000000">
      <w:pPr>
        <w:snapToGrid w:val="0"/>
        <w:spacing w:beforeLines="50" w:before="120"/>
        <w:jc w:val="both"/>
        <w:rPr>
          <w:sz w:val="24"/>
          <w:lang w:eastAsia="zh-CN"/>
        </w:rPr>
      </w:pPr>
      <w:r>
        <w:rPr>
          <w:sz w:val="24"/>
          <w:lang w:eastAsia="zh-CN"/>
        </w:rPr>
        <w:t>本指导文件范围内的磁共振接收线圈仅用于氢</w:t>
      </w:r>
      <w:r>
        <w:rPr>
          <w:sz w:val="24"/>
          <w:lang w:eastAsia="zh-CN"/>
        </w:rPr>
        <w:t>/</w:t>
      </w:r>
      <w:r>
        <w:rPr>
          <w:sz w:val="24"/>
          <w:lang w:eastAsia="zh-CN"/>
        </w:rPr>
        <w:t>质子成像。这些器械不与患者接触，或仅用于与完整皮肤的有限接触（即，无腔内线圈）。用于特定临床适应症（例如，疾病识别或排除、病程或严重程度方面的诊断或预后，以及预防或降低特定疾病的发病率和</w:t>
      </w:r>
      <w:r>
        <w:rPr>
          <w:sz w:val="24"/>
          <w:lang w:eastAsia="zh-CN"/>
        </w:rPr>
        <w:t>/</w:t>
      </w:r>
      <w:r>
        <w:rPr>
          <w:sz w:val="24"/>
          <w:lang w:eastAsia="zh-CN"/>
        </w:rPr>
        <w:t>或死亡率）或专门用于新型显像剂的磁共振线圈</w:t>
      </w:r>
      <w:r>
        <w:rPr>
          <w:sz w:val="24"/>
          <w:u w:val="single"/>
          <w:lang w:eastAsia="zh-CN"/>
        </w:rPr>
        <w:t>不在</w:t>
      </w:r>
      <w:r>
        <w:rPr>
          <w:sz w:val="24"/>
          <w:lang w:eastAsia="zh-CN"/>
        </w:rPr>
        <w:t>本文件范围内。</w:t>
      </w:r>
    </w:p>
    <w:p w14:paraId="7F7F8C1B" w14:textId="77777777" w:rsidR="00F17F72" w:rsidRDefault="00000000">
      <w:pPr>
        <w:snapToGrid w:val="0"/>
        <w:spacing w:beforeLines="50" w:before="120"/>
        <w:jc w:val="both"/>
        <w:rPr>
          <w:sz w:val="24"/>
          <w:lang w:eastAsia="zh-CN"/>
        </w:rPr>
      </w:pPr>
      <w:r>
        <w:rPr>
          <w:b/>
          <w:bCs/>
          <w:sz w:val="24"/>
          <w:lang w:eastAsia="zh-CN"/>
        </w:rPr>
        <w:t>器械设计特征：</w:t>
      </w:r>
    </w:p>
    <w:p w14:paraId="5B2EDA99" w14:textId="77777777" w:rsidR="00F17F72" w:rsidRDefault="00000000">
      <w:pPr>
        <w:snapToGrid w:val="0"/>
        <w:spacing w:beforeLines="50" w:before="120"/>
        <w:jc w:val="both"/>
        <w:rPr>
          <w:sz w:val="24"/>
          <w:lang w:eastAsia="zh-CN"/>
        </w:rPr>
      </w:pPr>
      <w:r>
        <w:rPr>
          <w:sz w:val="24"/>
          <w:lang w:eastAsia="zh-CN"/>
        </w:rPr>
        <w:t>本指导文件范围内的磁共振线圈为风冷式设计（即不是水冷或制冷剂冷却的电子设备）。此外，本指南范围内的线圈包括仅接收无线射频（</w:t>
      </w:r>
      <w:r>
        <w:rPr>
          <w:sz w:val="24"/>
          <w:lang w:eastAsia="zh-CN"/>
        </w:rPr>
        <w:t>RF</w:t>
      </w:r>
      <w:r>
        <w:rPr>
          <w:sz w:val="24"/>
          <w:lang w:eastAsia="zh-CN"/>
        </w:rPr>
        <w:t>）的线圈。</w:t>
      </w:r>
    </w:p>
    <w:p w14:paraId="2F8503EA" w14:textId="31BDA580" w:rsidR="00F17F72" w:rsidRDefault="00000000">
      <w:pPr>
        <w:snapToGrid w:val="0"/>
        <w:spacing w:beforeLines="50" w:before="120"/>
        <w:jc w:val="both"/>
        <w:rPr>
          <w:sz w:val="24"/>
          <w:lang w:eastAsia="zh-CN"/>
        </w:rPr>
      </w:pPr>
      <w:r>
        <w:rPr>
          <w:sz w:val="24"/>
          <w:lang w:eastAsia="zh-CN"/>
        </w:rPr>
        <w:t>关于磁共振线圈</w:t>
      </w:r>
      <w:r>
        <w:rPr>
          <w:sz w:val="24"/>
          <w:lang w:eastAsia="zh-CN"/>
        </w:rPr>
        <w:t>510(k)</w:t>
      </w:r>
      <w:r>
        <w:rPr>
          <w:sz w:val="24"/>
          <w:lang w:eastAsia="zh-CN"/>
        </w:rPr>
        <w:t>申请（</w:t>
      </w:r>
      <w:r>
        <w:rPr>
          <w:rFonts w:hint="eastAsia"/>
          <w:sz w:val="24"/>
          <w:lang w:eastAsia="zh-CN"/>
        </w:rPr>
        <w:t>如，</w:t>
      </w:r>
      <w:r>
        <w:rPr>
          <w:sz w:val="24"/>
          <w:lang w:eastAsia="zh-CN"/>
        </w:rPr>
        <w:t>标签</w:t>
      </w:r>
      <w:r>
        <w:rPr>
          <w:rFonts w:hint="eastAsia"/>
          <w:sz w:val="24"/>
          <w:lang w:eastAsia="zh-CN"/>
        </w:rPr>
        <w:t>和说明书</w:t>
      </w:r>
      <w:r>
        <w:rPr>
          <w:sz w:val="24"/>
          <w:lang w:eastAsia="zh-CN"/>
        </w:rPr>
        <w:t>）的通用指南不在</w:t>
      </w:r>
      <w:proofErr w:type="gramStart"/>
      <w:r>
        <w:rPr>
          <w:sz w:val="24"/>
          <w:lang w:eastAsia="zh-CN"/>
        </w:rPr>
        <w:t>本安全</w:t>
      </w:r>
      <w:proofErr w:type="gramEnd"/>
      <w:r>
        <w:rPr>
          <w:sz w:val="24"/>
          <w:lang w:eastAsia="zh-CN"/>
        </w:rPr>
        <w:t>和性能指导文件的范围内，请参阅</w:t>
      </w:r>
      <w:r>
        <w:rPr>
          <w:sz w:val="24"/>
          <w:lang w:eastAsia="zh-CN"/>
        </w:rPr>
        <w:t>FDA</w:t>
      </w:r>
      <w:r>
        <w:rPr>
          <w:sz w:val="24"/>
          <w:lang w:eastAsia="zh-CN"/>
        </w:rPr>
        <w:t>指南：</w:t>
      </w:r>
      <w:r>
        <w:fldChar w:fldCharType="begin"/>
      </w:r>
      <w:r>
        <w:rPr>
          <w:color w:val="0000FF"/>
          <w:sz w:val="24"/>
          <w:lang w:eastAsia="zh-CN"/>
        </w:rPr>
        <w:instrText xml:space="preserve"> HYPERLINK "https://www.fda.gov/regulatory-information/search-fda-guidance-documents/submission-premarket-notifications-magnetic-resonance-diagnostic-devices" </w:instrText>
      </w:r>
      <w:r>
        <w:fldChar w:fldCharType="separate"/>
      </w:r>
      <w:r>
        <w:rPr>
          <w:rStyle w:val="a9"/>
          <w:color w:val="0000FF"/>
          <w:sz w:val="24"/>
          <w:lang w:eastAsia="zh-CN"/>
        </w:rPr>
        <w:t>磁共振诊断器械上市前</w:t>
      </w:r>
      <w:r>
        <w:rPr>
          <w:rStyle w:val="a9"/>
          <w:rFonts w:hint="eastAsia"/>
          <w:color w:val="0000FF"/>
          <w:sz w:val="24"/>
          <w:lang w:eastAsia="zh-CN"/>
        </w:rPr>
        <w:t>告知</w:t>
      </w:r>
      <w:r>
        <w:rPr>
          <w:rStyle w:val="a9"/>
          <w:color w:val="0000FF"/>
          <w:sz w:val="24"/>
          <w:lang w:eastAsia="zh-CN"/>
        </w:rPr>
        <w:t>的提交</w:t>
      </w:r>
      <w:r>
        <w:rPr>
          <w:rStyle w:val="a9"/>
          <w:color w:val="0000FF"/>
          <w:sz w:val="24"/>
          <w:lang w:eastAsia="zh-CN"/>
        </w:rPr>
        <w:fldChar w:fldCharType="end"/>
      </w:r>
      <w:r>
        <w:rPr>
          <w:rFonts w:hint="eastAsia"/>
          <w:sz w:val="24"/>
          <w:lang w:eastAsia="zh-CN"/>
        </w:rPr>
        <w:t>。</w:t>
      </w:r>
      <w:hyperlink w:anchor="bookmark9" w:tooltip="当前文件">
        <w:r>
          <w:rPr>
            <w:sz w:val="24"/>
            <w:vertAlign w:val="superscript"/>
            <w:lang w:eastAsia="zh-CN"/>
          </w:rPr>
          <w:t>4</w:t>
        </w:r>
      </w:hyperlink>
    </w:p>
    <w:p w14:paraId="1CF3E3CE" w14:textId="5382F392" w:rsidR="00F17F72" w:rsidRDefault="00000000">
      <w:pPr>
        <w:snapToGrid w:val="0"/>
        <w:spacing w:beforeLines="50" w:before="120"/>
        <w:jc w:val="both"/>
        <w:rPr>
          <w:sz w:val="24"/>
          <w:lang w:eastAsia="zh-CN"/>
        </w:rPr>
      </w:pPr>
      <w:r>
        <w:rPr>
          <w:sz w:val="24"/>
          <w:lang w:eastAsia="zh-CN"/>
        </w:rPr>
        <w:t>FDA</w:t>
      </w:r>
      <w:r>
        <w:rPr>
          <w:sz w:val="24"/>
          <w:lang w:eastAsia="zh-CN"/>
        </w:rPr>
        <w:t>可以逐一确定是否需要其他数据来评价器械是否适用于采取基于安全性和性能的途径。除本指南中确定的测试之外，如果您确定需要进行附加测试来证明器械是否符合《基于安全和性能的途径》，我们建议您在提交</w:t>
      </w:r>
      <w:r>
        <w:rPr>
          <w:sz w:val="24"/>
          <w:lang w:eastAsia="zh-CN"/>
        </w:rPr>
        <w:t>510(k)</w:t>
      </w:r>
      <w:r>
        <w:rPr>
          <w:sz w:val="24"/>
          <w:lang w:eastAsia="zh-CN"/>
        </w:rPr>
        <w:t>申请之前提交预</w:t>
      </w:r>
      <w:r>
        <w:rPr>
          <w:rFonts w:hint="eastAsia"/>
          <w:sz w:val="24"/>
          <w:lang w:eastAsia="zh-CN"/>
        </w:rPr>
        <w:t>受理咨询</w:t>
      </w:r>
      <w:r>
        <w:fldChar w:fldCharType="begin"/>
      </w:r>
      <w:r>
        <w:rPr>
          <w:lang w:eastAsia="zh-CN"/>
        </w:rPr>
        <w:instrText xml:space="preserve"> HYPERLINK \l "bookmark10" \o "</w:instrText>
      </w:r>
      <w:r>
        <w:rPr>
          <w:lang w:eastAsia="zh-CN"/>
        </w:rPr>
        <w:instrText>当前文件</w:instrText>
      </w:r>
      <w:r>
        <w:rPr>
          <w:lang w:eastAsia="zh-CN"/>
        </w:rPr>
        <w:instrText xml:space="preserve">" \h </w:instrText>
      </w:r>
      <w:r>
        <w:fldChar w:fldCharType="separate"/>
      </w:r>
      <w:r>
        <w:rPr>
          <w:sz w:val="24"/>
          <w:vertAlign w:val="superscript"/>
          <w:lang w:eastAsia="zh-CN"/>
        </w:rPr>
        <w:t>5</w:t>
      </w:r>
      <w:r>
        <w:rPr>
          <w:sz w:val="24"/>
          <w:lang w:eastAsia="zh-CN"/>
        </w:rPr>
        <w:t xml:space="preserve"> </w:t>
      </w:r>
      <w:r>
        <w:rPr>
          <w:sz w:val="24"/>
          <w:lang w:eastAsia="zh-CN"/>
        </w:rPr>
        <w:fldChar w:fldCharType="end"/>
      </w:r>
      <w:r>
        <w:rPr>
          <w:sz w:val="24"/>
          <w:lang w:eastAsia="zh-CN"/>
        </w:rPr>
        <w:t>，与</w:t>
      </w:r>
      <w:r>
        <w:rPr>
          <w:sz w:val="24"/>
          <w:lang w:eastAsia="zh-CN"/>
        </w:rPr>
        <w:t>FDA</w:t>
      </w:r>
      <w:r>
        <w:rPr>
          <w:sz w:val="24"/>
          <w:lang w:eastAsia="zh-CN"/>
        </w:rPr>
        <w:t>进行协商。</w:t>
      </w:r>
    </w:p>
    <w:p w14:paraId="5377075D" w14:textId="77777777" w:rsidR="00F17F72" w:rsidRDefault="00000000">
      <w:pPr>
        <w:pStyle w:val="m1"/>
        <w:spacing w:before="120" w:after="120"/>
        <w:rPr>
          <w:lang w:eastAsia="zh-CN"/>
        </w:rPr>
      </w:pPr>
      <w:bookmarkStart w:id="9" w:name="bookmark8"/>
      <w:r>
        <w:rPr>
          <w:lang w:eastAsia="zh-CN"/>
        </w:rPr>
        <w:t>III.</w:t>
      </w:r>
      <w:r>
        <w:rPr>
          <w:lang w:eastAsia="zh-CN"/>
        </w:rPr>
        <w:tab/>
      </w:r>
      <w:r>
        <w:rPr>
          <w:lang w:eastAsia="zh-CN"/>
        </w:rPr>
        <w:t>试验性能标准</w:t>
      </w:r>
      <w:bookmarkEnd w:id="9"/>
    </w:p>
    <w:p w14:paraId="18625719" w14:textId="297AB39A" w:rsidR="00F17F72" w:rsidRDefault="00000000">
      <w:pPr>
        <w:snapToGrid w:val="0"/>
        <w:spacing w:beforeLines="50" w:before="120"/>
        <w:jc w:val="both"/>
        <w:rPr>
          <w:sz w:val="24"/>
          <w:lang w:eastAsia="zh-CN"/>
        </w:rPr>
      </w:pPr>
      <w:r>
        <w:rPr>
          <w:sz w:val="24"/>
          <w:lang w:eastAsia="zh-CN"/>
        </w:rPr>
        <w:t>如果器械适用于通过基于安全性和性能的途径进行提交，</w:t>
      </w:r>
      <w:proofErr w:type="gramStart"/>
      <w:r>
        <w:rPr>
          <w:sz w:val="24"/>
          <w:lang w:eastAsia="zh-CN"/>
        </w:rPr>
        <w:t>并且您</w:t>
      </w:r>
      <w:proofErr w:type="gramEnd"/>
      <w:r>
        <w:rPr>
          <w:sz w:val="24"/>
          <w:lang w:eastAsia="zh-CN"/>
        </w:rPr>
        <w:t>选择该方案，则无需与已合法上市的实质等同器械进行直接比较试验来证明性能特征具有实质等效性。为确保本指南中的性能标准能跟上时代，并且考虑到近期许可的相关数据，除以下每次试验或评价的其他提交信息（例如合</w:t>
      </w:r>
      <w:proofErr w:type="gramStart"/>
      <w:r>
        <w:rPr>
          <w:sz w:val="24"/>
          <w:lang w:eastAsia="zh-CN"/>
        </w:rPr>
        <w:t>规</w:t>
      </w:r>
      <w:proofErr w:type="gramEnd"/>
      <w:r>
        <w:rPr>
          <w:sz w:val="24"/>
          <w:lang w:eastAsia="zh-CN"/>
        </w:rPr>
        <w:t>声明（</w:t>
      </w:r>
      <w:proofErr w:type="spellStart"/>
      <w:r>
        <w:rPr>
          <w:sz w:val="24"/>
          <w:lang w:eastAsia="zh-CN"/>
        </w:rPr>
        <w:t>DoC</w:t>
      </w:r>
      <w:proofErr w:type="spellEnd"/>
      <w:r>
        <w:rPr>
          <w:sz w:val="24"/>
          <w:lang w:eastAsia="zh-CN"/>
        </w:rPr>
        <w:t>））以外，</w:t>
      </w:r>
      <w:r>
        <w:rPr>
          <w:sz w:val="24"/>
          <w:lang w:eastAsia="zh-CN"/>
        </w:rPr>
        <w:t>FDA</w:t>
      </w:r>
      <w:r>
        <w:rPr>
          <w:sz w:val="24"/>
          <w:lang w:eastAsia="zh-CN"/>
        </w:rPr>
        <w:t>建议也提供所有试验的结果汇总。除非以下关于申请信息的部分另有规定，否则测试信息，如结果总结、测试协议（包括磁共振系统信息），或完整试验报告应作为</w:t>
      </w:r>
      <w:r>
        <w:rPr>
          <w:sz w:val="24"/>
          <w:lang w:eastAsia="zh-CN"/>
        </w:rPr>
        <w:t>FDA</w:t>
      </w:r>
      <w:r>
        <w:rPr>
          <w:sz w:val="24"/>
          <w:lang w:eastAsia="zh-CN"/>
        </w:rPr>
        <w:t>指南：</w:t>
      </w:r>
      <w:r>
        <w:fldChar w:fldCharType="begin"/>
      </w:r>
      <w:r>
        <w:rPr>
          <w:color w:val="0000FF"/>
          <w:sz w:val="24"/>
          <w:lang w:eastAsia="zh-CN"/>
        </w:rPr>
        <w:instrText xml:space="preserve"> HYPERLINK "https://www.fda.gov/regulatory-information/search-fda-guidance-documents/safety-and-performance-based-pathway" </w:instrText>
      </w:r>
      <w:r>
        <w:fldChar w:fldCharType="separate"/>
      </w:r>
      <w:r>
        <w:rPr>
          <w:rStyle w:val="a9"/>
          <w:color w:val="0000FF"/>
          <w:sz w:val="24"/>
          <w:lang w:eastAsia="zh-CN"/>
        </w:rPr>
        <w:t>《基于安全和</w:t>
      </w:r>
      <w:r>
        <w:rPr>
          <w:rStyle w:val="a9"/>
          <w:color w:val="0000FF"/>
          <w:sz w:val="24"/>
          <w:lang w:eastAsia="zh-CN"/>
        </w:rPr>
        <w:fldChar w:fldCharType="end"/>
      </w:r>
      <w:r>
        <w:rPr>
          <w:color w:val="0000FF"/>
          <w:sz w:val="24"/>
          <w:u w:val="single"/>
          <w:lang w:eastAsia="zh-CN"/>
        </w:rPr>
        <w:t xml:space="preserve"> </w:t>
      </w:r>
      <w:hyperlink r:id="rId15" w:history="1">
        <w:r>
          <w:rPr>
            <w:rStyle w:val="a9"/>
            <w:color w:val="0000FF"/>
            <w:sz w:val="24"/>
            <w:lang w:eastAsia="zh-CN"/>
          </w:rPr>
          <w:t>性能审批途径》</w:t>
        </w:r>
      </w:hyperlink>
      <w:r>
        <w:rPr>
          <w:rFonts w:hint="eastAsia"/>
          <w:sz w:val="24"/>
          <w:u w:val="single"/>
          <w:lang w:eastAsia="zh-CN"/>
        </w:rPr>
        <w:t>。</w:t>
      </w:r>
      <w:hyperlink w:anchor="bookmark11" w:tooltip="当前文件">
        <w:r>
          <w:rPr>
            <w:sz w:val="24"/>
            <w:vertAlign w:val="superscript"/>
            <w:lang w:eastAsia="zh-CN"/>
          </w:rPr>
          <w:t>6</w:t>
        </w:r>
        <w:r>
          <w:rPr>
            <w:sz w:val="24"/>
            <w:lang w:eastAsia="zh-CN"/>
          </w:rPr>
          <w:t xml:space="preserve"> </w:t>
        </w:r>
      </w:hyperlink>
      <w:r>
        <w:rPr>
          <w:sz w:val="24"/>
          <w:lang w:eastAsia="zh-CN"/>
        </w:rPr>
        <w:t>中所述</w:t>
      </w:r>
      <w:r>
        <w:rPr>
          <w:sz w:val="24"/>
          <w:lang w:eastAsia="zh-CN"/>
        </w:rPr>
        <w:t>510(k)</w:t>
      </w:r>
      <w:r>
        <w:rPr>
          <w:sz w:val="24"/>
          <w:lang w:eastAsia="zh-CN"/>
        </w:rPr>
        <w:t>的一部分提交。有关提交</w:t>
      </w:r>
      <w:proofErr w:type="gramStart"/>
      <w:r>
        <w:rPr>
          <w:sz w:val="24"/>
          <w:lang w:eastAsia="zh-CN"/>
        </w:rPr>
        <w:t>非临床</w:t>
      </w:r>
      <w:r>
        <w:rPr>
          <w:rFonts w:hint="eastAsia"/>
          <w:sz w:val="24"/>
          <w:lang w:eastAsia="zh-CN"/>
        </w:rPr>
        <w:t>非临床</w:t>
      </w:r>
      <w:proofErr w:type="gramEnd"/>
      <w:r>
        <w:rPr>
          <w:rFonts w:hint="eastAsia"/>
          <w:sz w:val="24"/>
          <w:lang w:eastAsia="zh-CN"/>
        </w:rPr>
        <w:t>检测</w:t>
      </w:r>
      <w:r>
        <w:rPr>
          <w:sz w:val="24"/>
          <w:lang w:eastAsia="zh-CN"/>
        </w:rPr>
        <w:t>信息的更多信息，请参阅</w:t>
      </w:r>
      <w:r>
        <w:rPr>
          <w:sz w:val="24"/>
          <w:lang w:eastAsia="zh-CN"/>
        </w:rPr>
        <w:t>FDA</w:t>
      </w:r>
      <w:r>
        <w:rPr>
          <w:sz w:val="24"/>
          <w:lang w:eastAsia="zh-CN"/>
        </w:rPr>
        <w:t>指南：</w:t>
      </w:r>
      <w:r>
        <w:fldChar w:fldCharType="begin"/>
      </w:r>
      <w:r>
        <w:rPr>
          <w:color w:val="0000FF"/>
          <w:sz w:val="24"/>
          <w:lang w:eastAsia="zh-CN"/>
        </w:rPr>
        <w:instrText xml:space="preserve"> HYPERLINK "https://www.fda.gov/regulatory-information/search-fda-guidance-documents/recommended-content-and-format-non-clinical-bench-performance-testing-information-premarket" </w:instrText>
      </w:r>
      <w:r>
        <w:fldChar w:fldCharType="separate"/>
      </w:r>
      <w:r>
        <w:rPr>
          <w:rStyle w:val="a9"/>
          <w:color w:val="0000FF"/>
          <w:sz w:val="24"/>
          <w:lang w:eastAsia="zh-CN"/>
        </w:rPr>
        <w:t>上市前提交的非临床台架性能测试信息的推荐性内容和</w:t>
      </w:r>
      <w:r>
        <w:rPr>
          <w:rStyle w:val="a9"/>
          <w:color w:val="0000FF"/>
          <w:sz w:val="24"/>
          <w:lang w:eastAsia="zh-CN"/>
        </w:rPr>
        <w:fldChar w:fldCharType="end"/>
      </w:r>
      <w:hyperlink r:id="rId16" w:history="1">
        <w:r>
          <w:rPr>
            <w:rStyle w:val="a9"/>
            <w:color w:val="0000FF"/>
            <w:sz w:val="24"/>
            <w:lang w:eastAsia="zh-CN"/>
          </w:rPr>
          <w:t>格式</w:t>
        </w:r>
      </w:hyperlink>
      <w:r>
        <w:rPr>
          <w:rFonts w:hint="eastAsia"/>
          <w:color w:val="0000FF"/>
          <w:sz w:val="24"/>
          <w:u w:val="single"/>
          <w:lang w:eastAsia="zh-CN"/>
        </w:rPr>
        <w:t>。</w:t>
      </w:r>
      <w:hyperlink w:anchor="bookmark12" w:tooltip="当前文件">
        <w:r>
          <w:rPr>
            <w:sz w:val="24"/>
            <w:vertAlign w:val="superscript"/>
            <w:lang w:eastAsia="zh-CN"/>
          </w:rPr>
          <w:t>7</w:t>
        </w:r>
      </w:hyperlink>
    </w:p>
    <w:p w14:paraId="0FB42B88" w14:textId="77777777" w:rsidR="00F17F72" w:rsidRDefault="00F17F72">
      <w:pPr>
        <w:snapToGrid w:val="0"/>
        <w:spacing w:beforeLines="50" w:before="120"/>
        <w:jc w:val="both"/>
        <w:rPr>
          <w:sz w:val="18"/>
          <w:szCs w:val="18"/>
          <w:lang w:eastAsia="zh-CN"/>
        </w:rPr>
      </w:pPr>
      <w:bookmarkStart w:id="10" w:name="bookmark10"/>
      <w:bookmarkStart w:id="11" w:name="bookmark9"/>
    </w:p>
    <w:p w14:paraId="0DF6C4E5" w14:textId="77777777" w:rsidR="00F17F72" w:rsidRDefault="00F17F72">
      <w:pPr>
        <w:snapToGrid w:val="0"/>
        <w:spacing w:beforeLines="50" w:before="120"/>
        <w:jc w:val="both"/>
        <w:rPr>
          <w:sz w:val="18"/>
          <w:szCs w:val="18"/>
          <w:lang w:eastAsia="zh-CN"/>
        </w:rPr>
      </w:pPr>
    </w:p>
    <w:p w14:paraId="4EEC396A" w14:textId="77777777" w:rsidR="00F17F72" w:rsidRDefault="00F17F72">
      <w:pPr>
        <w:snapToGrid w:val="0"/>
        <w:spacing w:beforeLines="50" w:before="120"/>
        <w:jc w:val="both"/>
        <w:rPr>
          <w:sz w:val="18"/>
          <w:szCs w:val="18"/>
          <w:lang w:eastAsia="zh-CN"/>
        </w:rPr>
      </w:pPr>
    </w:p>
    <w:p w14:paraId="57638880" w14:textId="77777777" w:rsidR="00F17F72" w:rsidRDefault="00F17F72">
      <w:pPr>
        <w:snapToGrid w:val="0"/>
        <w:spacing w:beforeLines="50" w:before="120"/>
        <w:jc w:val="both"/>
        <w:rPr>
          <w:sz w:val="18"/>
          <w:szCs w:val="18"/>
          <w:lang w:eastAsia="zh-CN"/>
        </w:rPr>
      </w:pPr>
    </w:p>
    <w:p w14:paraId="20786D0B" w14:textId="77777777" w:rsidR="00F17F72" w:rsidRDefault="00000000">
      <w:pPr>
        <w:snapToGrid w:val="0"/>
        <w:spacing w:beforeLines="50" w:before="120"/>
        <w:jc w:val="both"/>
        <w:rPr>
          <w:sz w:val="18"/>
          <w:szCs w:val="18"/>
        </w:rPr>
      </w:pPr>
      <w:r>
        <w:rPr>
          <w:sz w:val="18"/>
          <w:szCs w:val="18"/>
          <w:lang w:eastAsia="zh-CN"/>
        </w:rPr>
        <w:t>___________________________</w:t>
      </w:r>
    </w:p>
    <w:p w14:paraId="46FC10F8" w14:textId="77777777" w:rsidR="00F17F72" w:rsidRDefault="00000000">
      <w:pPr>
        <w:tabs>
          <w:tab w:val="left" w:pos="115"/>
        </w:tabs>
        <w:snapToGrid w:val="0"/>
        <w:spacing w:beforeLines="50" w:before="120"/>
        <w:rPr>
          <w:sz w:val="18"/>
          <w:szCs w:val="18"/>
        </w:rPr>
      </w:pPr>
      <w:r>
        <w:rPr>
          <w:sz w:val="18"/>
          <w:szCs w:val="18"/>
          <w:vertAlign w:val="superscript"/>
          <w:lang w:eastAsia="zh-CN"/>
        </w:rPr>
        <w:t>4</w:t>
      </w:r>
      <w:r>
        <w:rPr>
          <w:sz w:val="18"/>
          <w:szCs w:val="18"/>
          <w:lang w:eastAsia="zh-CN"/>
        </w:rPr>
        <w:tab/>
      </w:r>
      <w:proofErr w:type="gramStart"/>
      <w:r>
        <w:rPr>
          <w:sz w:val="18"/>
          <w:szCs w:val="18"/>
          <w:lang w:eastAsia="zh-CN"/>
        </w:rPr>
        <w:t>请访问</w:t>
      </w:r>
      <w:proofErr w:type="gramEnd"/>
      <w:r>
        <w:fldChar w:fldCharType="begin"/>
      </w:r>
      <w:r>
        <w:rPr>
          <w:color w:val="0000FF"/>
        </w:rPr>
        <w:instrText xml:space="preserve"> HYPERLINK "https://www.fda.gov/regulatory-information/search-fda-guidance-documents/submission-premarket-notifications-magnetic-resonance-diagnostic-devices" </w:instrText>
      </w:r>
      <w:r>
        <w:fldChar w:fldCharType="separate"/>
      </w:r>
      <w:r>
        <w:rPr>
          <w:rStyle w:val="a9"/>
          <w:color w:val="0000FF"/>
          <w:sz w:val="18"/>
          <w:szCs w:val="18"/>
          <w:lang w:eastAsia="zh-CN"/>
        </w:rPr>
        <w:t>https://www.fda.gov/regulatory-information/search-fda-guidance-documents/submission-premarket-</w:t>
      </w:r>
      <w:bookmarkEnd w:id="10"/>
      <w:bookmarkEnd w:id="11"/>
      <w:r>
        <w:rPr>
          <w:rStyle w:val="a9"/>
          <w:color w:val="0000FF"/>
          <w:sz w:val="18"/>
          <w:szCs w:val="18"/>
          <w:lang w:eastAsia="zh-CN"/>
        </w:rPr>
        <w:fldChar w:fldCharType="end"/>
      </w:r>
      <w:hyperlink r:id="rId17" w:history="1">
        <w:r>
          <w:rPr>
            <w:rStyle w:val="a9"/>
            <w:color w:val="0000FF"/>
            <w:sz w:val="18"/>
            <w:szCs w:val="18"/>
            <w:lang w:eastAsia="zh-CN"/>
          </w:rPr>
          <w:t>notifications-magnetic-resonance-diagnostic-devices</w:t>
        </w:r>
      </w:hyperlink>
    </w:p>
    <w:p w14:paraId="4F23C8FE" w14:textId="77777777" w:rsidR="00F17F72" w:rsidRDefault="00000000">
      <w:pPr>
        <w:tabs>
          <w:tab w:val="left" w:pos="115"/>
        </w:tabs>
        <w:snapToGrid w:val="0"/>
        <w:spacing w:beforeLines="50" w:before="120"/>
        <w:rPr>
          <w:sz w:val="18"/>
          <w:szCs w:val="18"/>
        </w:rPr>
      </w:pPr>
      <w:r>
        <w:rPr>
          <w:sz w:val="18"/>
          <w:szCs w:val="18"/>
          <w:vertAlign w:val="superscript"/>
          <w:lang w:eastAsia="zh-CN"/>
        </w:rPr>
        <w:t>5</w:t>
      </w:r>
      <w:r>
        <w:rPr>
          <w:sz w:val="18"/>
          <w:szCs w:val="18"/>
          <w:lang w:eastAsia="zh-CN"/>
        </w:rPr>
        <w:tab/>
      </w:r>
      <w:proofErr w:type="gramStart"/>
      <w:r>
        <w:rPr>
          <w:sz w:val="18"/>
          <w:szCs w:val="18"/>
          <w:lang w:eastAsia="zh-CN"/>
        </w:rPr>
        <w:t>请访问</w:t>
      </w:r>
      <w:proofErr w:type="gramEnd"/>
      <w:r>
        <w:fldChar w:fldCharType="begin"/>
      </w:r>
      <w:r>
        <w:rPr>
          <w:color w:val="0000FF"/>
        </w:rPr>
        <w:instrText xml:space="preserve"> HYPERLINK "https://www.fda.gov/regulatory-information/search-fda-guidance-documents/requests-feedback-and-meetings-medical-device-submissions-q-submission-program" </w:instrText>
      </w:r>
      <w:r>
        <w:fldChar w:fldCharType="separate"/>
      </w:r>
      <w:r>
        <w:rPr>
          <w:rStyle w:val="a9"/>
          <w:color w:val="0000FF"/>
          <w:sz w:val="18"/>
          <w:szCs w:val="18"/>
          <w:lang w:eastAsia="zh-CN"/>
        </w:rPr>
        <w:t>https://www.fda.gov/regulatorv-information/search-fda-guidance-documents/requests-feedback-and-</w:t>
      </w:r>
      <w:r>
        <w:rPr>
          <w:rStyle w:val="a9"/>
          <w:color w:val="0000FF"/>
          <w:sz w:val="18"/>
          <w:szCs w:val="18"/>
          <w:lang w:eastAsia="zh-CN"/>
        </w:rPr>
        <w:fldChar w:fldCharType="end"/>
      </w:r>
      <w:hyperlink r:id="rId18" w:history="1">
        <w:r>
          <w:rPr>
            <w:rStyle w:val="a9"/>
            <w:color w:val="0000FF"/>
            <w:sz w:val="18"/>
            <w:szCs w:val="18"/>
            <w:lang w:eastAsia="zh-CN"/>
          </w:rPr>
          <w:t>meetings-medical-device-submissions-q-submission-program</w:t>
        </w:r>
      </w:hyperlink>
    </w:p>
    <w:p w14:paraId="2AE29C61" w14:textId="77777777" w:rsidR="00F17F72" w:rsidRDefault="00000000">
      <w:pPr>
        <w:tabs>
          <w:tab w:val="left" w:pos="115"/>
        </w:tabs>
        <w:snapToGrid w:val="0"/>
        <w:spacing w:beforeLines="50" w:before="120"/>
        <w:jc w:val="both"/>
      </w:pPr>
      <w:r>
        <w:rPr>
          <w:lang w:eastAsia="zh-CN"/>
        </w:rPr>
        <w:br w:type="page"/>
      </w:r>
    </w:p>
    <w:p w14:paraId="5296027D" w14:textId="77777777" w:rsidR="00F17F72" w:rsidRDefault="00000000">
      <w:pPr>
        <w:pStyle w:val="x3"/>
        <w:spacing w:before="120"/>
        <w:ind w:left="812" w:hanging="812"/>
        <w:rPr>
          <w:sz w:val="24"/>
          <w:lang w:eastAsia="zh-CN"/>
        </w:rPr>
      </w:pPr>
      <w:r>
        <w:rPr>
          <w:b/>
          <w:bCs/>
          <w:sz w:val="24"/>
          <w:lang w:eastAsia="zh-CN"/>
        </w:rPr>
        <w:lastRenderedPageBreak/>
        <w:t>1.</w:t>
      </w:r>
      <w:r>
        <w:rPr>
          <w:b/>
          <w:bCs/>
          <w:sz w:val="24"/>
          <w:lang w:eastAsia="zh-CN"/>
        </w:rPr>
        <w:tab/>
      </w:r>
      <w:r>
        <w:rPr>
          <w:b/>
          <w:bCs/>
          <w:sz w:val="24"/>
          <w:lang w:eastAsia="zh-CN"/>
        </w:rPr>
        <w:t>测试名称：</w:t>
      </w:r>
      <w:r>
        <w:rPr>
          <w:sz w:val="24"/>
          <w:lang w:eastAsia="zh-CN"/>
        </w:rPr>
        <w:t>图像信噪比（</w:t>
      </w:r>
      <w:r>
        <w:rPr>
          <w:sz w:val="24"/>
          <w:lang w:eastAsia="zh-CN"/>
        </w:rPr>
        <w:t>SNR</w:t>
      </w:r>
      <w:r>
        <w:rPr>
          <w:sz w:val="24"/>
          <w:lang w:eastAsia="zh-CN"/>
        </w:rPr>
        <w:t>）</w:t>
      </w:r>
    </w:p>
    <w:p w14:paraId="5FEA59AA" w14:textId="77777777" w:rsidR="00F17F72" w:rsidRDefault="00000000">
      <w:pPr>
        <w:snapToGrid w:val="0"/>
        <w:spacing w:beforeLines="50" w:before="120"/>
        <w:ind w:leftChars="337" w:left="708"/>
        <w:jc w:val="both"/>
        <w:rPr>
          <w:sz w:val="24"/>
          <w:lang w:eastAsia="zh-CN"/>
        </w:rPr>
      </w:pPr>
      <w:r>
        <w:rPr>
          <w:b/>
          <w:bCs/>
          <w:sz w:val="24"/>
          <w:lang w:eastAsia="zh-CN"/>
        </w:rPr>
        <w:t>方法：</w:t>
      </w:r>
      <w:r>
        <w:rPr>
          <w:sz w:val="24"/>
          <w:lang w:eastAsia="zh-CN"/>
        </w:rPr>
        <w:t>符合以下</w:t>
      </w:r>
      <w:r>
        <w:rPr>
          <w:sz w:val="24"/>
          <w:lang w:eastAsia="zh-CN"/>
        </w:rPr>
        <w:t>FDA</w:t>
      </w:r>
      <w:proofErr w:type="gramStart"/>
      <w:r>
        <w:rPr>
          <w:sz w:val="24"/>
          <w:lang w:eastAsia="zh-CN"/>
        </w:rPr>
        <w:t>认可共识</w:t>
      </w:r>
      <w:proofErr w:type="gramEnd"/>
      <w:r>
        <w:rPr>
          <w:sz w:val="24"/>
          <w:lang w:eastAsia="zh-CN"/>
        </w:rPr>
        <w:t>标准之一</w:t>
      </w:r>
      <w:r>
        <w:rPr>
          <w:sz w:val="24"/>
          <w:lang w:eastAsia="zh-CN"/>
        </w:rPr>
        <w:t>(</w:t>
      </w:r>
      <w:r>
        <w:rPr>
          <w:sz w:val="24"/>
          <w:lang w:eastAsia="zh-CN"/>
        </w:rPr>
        <w:t>如适用</w:t>
      </w:r>
      <w:r>
        <w:rPr>
          <w:sz w:val="24"/>
          <w:lang w:eastAsia="zh-CN"/>
        </w:rPr>
        <w:t>)</w:t>
      </w:r>
      <w:r>
        <w:rPr>
          <w:sz w:val="24"/>
          <w:lang w:eastAsia="zh-CN"/>
        </w:rPr>
        <w:t>：</w:t>
      </w:r>
    </w:p>
    <w:p w14:paraId="3C7EA9F2" w14:textId="77777777" w:rsidR="00F17F72" w:rsidRDefault="00000000">
      <w:pPr>
        <w:pStyle w:val="x2"/>
        <w:spacing w:before="120"/>
        <w:ind w:left="1619" w:hanging="487"/>
        <w:rPr>
          <w:i/>
          <w:sz w:val="24"/>
          <w:szCs w:val="24"/>
          <w:lang w:eastAsia="zh-CN"/>
        </w:rPr>
      </w:pPr>
      <w:r>
        <w:rPr>
          <w:sz w:val="24"/>
          <w:szCs w:val="24"/>
          <w:lang w:eastAsia="zh-CN"/>
        </w:rPr>
        <w:t>•</w:t>
      </w:r>
      <w:r>
        <w:rPr>
          <w:sz w:val="24"/>
          <w:szCs w:val="24"/>
          <w:lang w:eastAsia="zh-CN"/>
        </w:rPr>
        <w:tab/>
        <w:t xml:space="preserve"> </w:t>
      </w:r>
      <w:r>
        <w:rPr>
          <w:i/>
          <w:iCs/>
          <w:sz w:val="24"/>
          <w:szCs w:val="24"/>
          <w:lang w:eastAsia="zh-CN"/>
        </w:rPr>
        <w:t>IEC 62464-1</w:t>
      </w:r>
      <w:r>
        <w:rPr>
          <w:i/>
          <w:iCs/>
          <w:sz w:val="24"/>
          <w:szCs w:val="24"/>
          <w:lang w:eastAsia="zh-CN"/>
        </w:rPr>
        <w:t>医学成像用磁共振设备</w:t>
      </w:r>
      <w:r>
        <w:rPr>
          <w:i/>
          <w:iCs/>
          <w:sz w:val="24"/>
          <w:szCs w:val="24"/>
          <w:lang w:eastAsia="zh-CN"/>
        </w:rPr>
        <w:t>-</w:t>
      </w:r>
      <w:r>
        <w:rPr>
          <w:i/>
          <w:iCs/>
          <w:sz w:val="24"/>
          <w:szCs w:val="24"/>
          <w:lang w:eastAsia="zh-CN"/>
        </w:rPr>
        <w:t>第</w:t>
      </w:r>
      <w:r>
        <w:rPr>
          <w:i/>
          <w:iCs/>
          <w:sz w:val="24"/>
          <w:szCs w:val="24"/>
          <w:lang w:eastAsia="zh-CN"/>
        </w:rPr>
        <w:t>1</w:t>
      </w:r>
      <w:r>
        <w:rPr>
          <w:i/>
          <w:iCs/>
          <w:sz w:val="24"/>
          <w:szCs w:val="24"/>
          <w:lang w:eastAsia="zh-CN"/>
        </w:rPr>
        <w:t>部分：基本图像质量参数的测定</w:t>
      </w:r>
    </w:p>
    <w:p w14:paraId="624A84ED" w14:textId="77777777" w:rsidR="00F17F72" w:rsidRDefault="00000000">
      <w:pPr>
        <w:pStyle w:val="x2"/>
        <w:spacing w:before="120"/>
        <w:ind w:left="1619" w:hanging="487"/>
        <w:rPr>
          <w:i/>
          <w:sz w:val="24"/>
          <w:szCs w:val="24"/>
          <w:lang w:eastAsia="zh-CN"/>
        </w:rPr>
      </w:pPr>
      <w:r>
        <w:rPr>
          <w:sz w:val="24"/>
          <w:szCs w:val="24"/>
          <w:lang w:eastAsia="zh-CN"/>
        </w:rPr>
        <w:t>•</w:t>
      </w:r>
      <w:r>
        <w:rPr>
          <w:sz w:val="24"/>
          <w:szCs w:val="24"/>
          <w:lang w:eastAsia="zh-CN"/>
        </w:rPr>
        <w:tab/>
        <w:t xml:space="preserve"> </w:t>
      </w:r>
      <w:r>
        <w:rPr>
          <w:sz w:val="24"/>
          <w:szCs w:val="24"/>
          <w:lang w:eastAsia="zh-CN"/>
        </w:rPr>
        <w:t>美国电气制造商协会（</w:t>
      </w:r>
      <w:r>
        <w:rPr>
          <w:sz w:val="24"/>
          <w:szCs w:val="24"/>
          <w:lang w:eastAsia="zh-CN"/>
        </w:rPr>
        <w:t>NEMA</w:t>
      </w:r>
      <w:r>
        <w:rPr>
          <w:sz w:val="24"/>
          <w:szCs w:val="24"/>
          <w:lang w:eastAsia="zh-CN"/>
        </w:rPr>
        <w:t>）</w:t>
      </w:r>
      <w:r>
        <w:rPr>
          <w:sz w:val="24"/>
          <w:szCs w:val="24"/>
          <w:lang w:eastAsia="zh-CN"/>
        </w:rPr>
        <w:t>MS 1</w:t>
      </w:r>
      <w:r>
        <w:rPr>
          <w:i/>
          <w:iCs/>
          <w:sz w:val="24"/>
          <w:szCs w:val="24"/>
          <w:lang w:eastAsia="zh-CN"/>
        </w:rPr>
        <w:t>磁共振成像诊断信噪比（</w:t>
      </w:r>
      <w:r>
        <w:rPr>
          <w:i/>
          <w:iCs/>
          <w:sz w:val="24"/>
          <w:szCs w:val="24"/>
          <w:lang w:eastAsia="zh-CN"/>
        </w:rPr>
        <w:t>SNR</w:t>
      </w:r>
      <w:r>
        <w:rPr>
          <w:i/>
          <w:iCs/>
          <w:sz w:val="24"/>
          <w:szCs w:val="24"/>
          <w:lang w:eastAsia="zh-CN"/>
        </w:rPr>
        <w:t>）的测定</w:t>
      </w:r>
    </w:p>
    <w:p w14:paraId="5FDA5408" w14:textId="77777777" w:rsidR="00F17F72" w:rsidRDefault="00000000">
      <w:pPr>
        <w:pStyle w:val="x2"/>
        <w:spacing w:before="120"/>
        <w:ind w:left="1619" w:hanging="487"/>
        <w:rPr>
          <w:i/>
          <w:sz w:val="24"/>
          <w:szCs w:val="24"/>
          <w:lang w:eastAsia="zh-CN"/>
        </w:rPr>
      </w:pPr>
      <w:r>
        <w:rPr>
          <w:sz w:val="24"/>
          <w:szCs w:val="24"/>
          <w:lang w:eastAsia="zh-CN"/>
        </w:rPr>
        <w:t>•</w:t>
      </w:r>
      <w:r>
        <w:rPr>
          <w:sz w:val="24"/>
          <w:szCs w:val="24"/>
          <w:lang w:eastAsia="zh-CN"/>
        </w:rPr>
        <w:tab/>
        <w:t xml:space="preserve"> NEMA MS 6</w:t>
      </w:r>
      <w:r>
        <w:rPr>
          <w:i/>
          <w:iCs/>
          <w:sz w:val="24"/>
          <w:szCs w:val="24"/>
          <w:lang w:eastAsia="zh-CN"/>
        </w:rPr>
        <w:t>磁共振成像（</w:t>
      </w:r>
      <w:r>
        <w:rPr>
          <w:i/>
          <w:iCs/>
          <w:sz w:val="24"/>
          <w:szCs w:val="24"/>
          <w:lang w:eastAsia="zh-CN"/>
        </w:rPr>
        <w:t>MRI</w:t>
      </w:r>
      <w:r>
        <w:rPr>
          <w:i/>
          <w:iCs/>
          <w:sz w:val="24"/>
          <w:szCs w:val="24"/>
          <w:lang w:eastAsia="zh-CN"/>
        </w:rPr>
        <w:t>）诊断中单</w:t>
      </w:r>
      <w:proofErr w:type="gramStart"/>
      <w:r>
        <w:rPr>
          <w:i/>
          <w:iCs/>
          <w:sz w:val="24"/>
          <w:szCs w:val="24"/>
          <w:lang w:eastAsia="zh-CN"/>
        </w:rPr>
        <w:t>通道非体线圈</w:t>
      </w:r>
      <w:proofErr w:type="gramEnd"/>
      <w:r>
        <w:rPr>
          <w:i/>
          <w:iCs/>
          <w:sz w:val="24"/>
          <w:szCs w:val="24"/>
          <w:lang w:eastAsia="zh-CN"/>
        </w:rPr>
        <w:t>信噪比和图像均匀性的测定</w:t>
      </w:r>
    </w:p>
    <w:p w14:paraId="55D6B23D" w14:textId="77777777" w:rsidR="00F17F72" w:rsidRDefault="00000000">
      <w:pPr>
        <w:pStyle w:val="x2"/>
        <w:spacing w:before="120"/>
        <w:ind w:left="1619" w:hanging="487"/>
        <w:rPr>
          <w:i/>
          <w:sz w:val="24"/>
          <w:szCs w:val="24"/>
          <w:lang w:eastAsia="zh-CN"/>
        </w:rPr>
      </w:pPr>
      <w:r>
        <w:rPr>
          <w:sz w:val="24"/>
          <w:szCs w:val="24"/>
          <w:lang w:eastAsia="zh-CN"/>
        </w:rPr>
        <w:t>•</w:t>
      </w:r>
      <w:r>
        <w:rPr>
          <w:sz w:val="24"/>
          <w:szCs w:val="24"/>
          <w:lang w:eastAsia="zh-CN"/>
        </w:rPr>
        <w:tab/>
        <w:t xml:space="preserve"> NEMA MS 9</w:t>
      </w:r>
      <w:r>
        <w:rPr>
          <w:i/>
          <w:iCs/>
          <w:sz w:val="24"/>
          <w:szCs w:val="24"/>
          <w:lang w:eastAsia="zh-CN"/>
        </w:rPr>
        <w:t>磁共振成像（</w:t>
      </w:r>
      <w:r>
        <w:rPr>
          <w:i/>
          <w:iCs/>
          <w:sz w:val="24"/>
          <w:szCs w:val="24"/>
          <w:lang w:eastAsia="zh-CN"/>
        </w:rPr>
        <w:t>MRI</w:t>
      </w:r>
      <w:r>
        <w:rPr>
          <w:i/>
          <w:iCs/>
          <w:sz w:val="24"/>
          <w:szCs w:val="24"/>
          <w:lang w:eastAsia="zh-CN"/>
        </w:rPr>
        <w:t>）诊断中相控阵线圈的特性</w:t>
      </w:r>
    </w:p>
    <w:p w14:paraId="2880A740" w14:textId="77777777" w:rsidR="00F17F72" w:rsidRDefault="00000000">
      <w:pPr>
        <w:snapToGrid w:val="0"/>
        <w:spacing w:beforeLines="50" w:before="120"/>
        <w:ind w:leftChars="337" w:left="708"/>
        <w:jc w:val="both"/>
        <w:rPr>
          <w:sz w:val="24"/>
          <w:lang w:eastAsia="zh-CN"/>
        </w:rPr>
      </w:pPr>
      <w:r>
        <w:rPr>
          <w:b/>
          <w:bCs/>
          <w:sz w:val="24"/>
          <w:lang w:eastAsia="zh-CN"/>
        </w:rPr>
        <w:t>性能标准：</w:t>
      </w:r>
      <w:r>
        <w:rPr>
          <w:sz w:val="24"/>
          <w:lang w:eastAsia="zh-CN"/>
        </w:rPr>
        <w:t xml:space="preserve">&gt;130 (1.5T </w:t>
      </w:r>
      <w:r>
        <w:rPr>
          <w:sz w:val="24"/>
          <w:lang w:eastAsia="zh-CN"/>
        </w:rPr>
        <w:t>线圈</w:t>
      </w:r>
      <w:r>
        <w:rPr>
          <w:sz w:val="24"/>
          <w:lang w:eastAsia="zh-CN"/>
        </w:rPr>
        <w:t xml:space="preserve">), &gt;215 (3T </w:t>
      </w:r>
      <w:r>
        <w:rPr>
          <w:sz w:val="24"/>
          <w:lang w:eastAsia="zh-CN"/>
        </w:rPr>
        <w:t>线圈</w:t>
      </w:r>
      <w:r>
        <w:rPr>
          <w:sz w:val="24"/>
          <w:lang w:eastAsia="zh-CN"/>
        </w:rPr>
        <w:t>)</w:t>
      </w:r>
      <w:r>
        <w:rPr>
          <w:sz w:val="24"/>
          <w:lang w:eastAsia="zh-CN"/>
        </w:rPr>
        <w:t>（在所有成像线圈、平面和解剖区域使用最低信噪比测量）</w:t>
      </w:r>
    </w:p>
    <w:p w14:paraId="6A9D1AF6" w14:textId="00931851" w:rsidR="00F17F72" w:rsidRDefault="00000000">
      <w:pPr>
        <w:snapToGrid w:val="0"/>
        <w:spacing w:beforeLines="50" w:before="120"/>
        <w:ind w:leftChars="337" w:left="708"/>
        <w:jc w:val="both"/>
        <w:rPr>
          <w:sz w:val="24"/>
          <w:lang w:eastAsia="zh-CN"/>
        </w:rPr>
      </w:pPr>
      <w:r>
        <w:rPr>
          <w:b/>
          <w:bCs/>
          <w:sz w:val="24"/>
          <w:lang w:eastAsia="zh-CN"/>
        </w:rPr>
        <w:t>性能标准来源：</w:t>
      </w:r>
      <w:r>
        <w:rPr>
          <w:sz w:val="24"/>
          <w:lang w:eastAsia="zh-CN"/>
        </w:rPr>
        <w:t>该标准基于提交给</w:t>
      </w:r>
      <w:r>
        <w:rPr>
          <w:sz w:val="24"/>
          <w:lang w:eastAsia="zh-CN"/>
        </w:rPr>
        <w:t>FDA</w:t>
      </w:r>
      <w:r>
        <w:rPr>
          <w:sz w:val="24"/>
          <w:lang w:eastAsia="zh-CN"/>
        </w:rPr>
        <w:t>的</w:t>
      </w:r>
      <w:r>
        <w:rPr>
          <w:sz w:val="24"/>
          <w:lang w:eastAsia="zh-CN"/>
        </w:rPr>
        <w:t>510(k)</w:t>
      </w:r>
      <w:r>
        <w:rPr>
          <w:sz w:val="24"/>
          <w:lang w:eastAsia="zh-CN"/>
        </w:rPr>
        <w:t>申请中的磁共振线圈汇总数据，发现这些数据实质</w:t>
      </w:r>
      <w:r>
        <w:rPr>
          <w:rFonts w:hint="eastAsia"/>
          <w:sz w:val="24"/>
          <w:lang w:eastAsia="zh-CN"/>
        </w:rPr>
        <w:t>性等同</w:t>
      </w:r>
      <w:r>
        <w:rPr>
          <w:sz w:val="24"/>
          <w:lang w:eastAsia="zh-CN"/>
        </w:rPr>
        <w:t>。</w:t>
      </w:r>
    </w:p>
    <w:p w14:paraId="282051F8" w14:textId="26188EC1" w:rsidR="00F17F72" w:rsidRDefault="00000000">
      <w:pPr>
        <w:snapToGrid w:val="0"/>
        <w:spacing w:beforeLines="50" w:before="120"/>
        <w:ind w:leftChars="337" w:left="708"/>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w:t>
      </w:r>
      <w:proofErr w:type="spellStart"/>
      <w:r>
        <w:rPr>
          <w:sz w:val="24"/>
          <w:lang w:eastAsia="zh-CN"/>
        </w:rPr>
        <w:t>DoC</w:t>
      </w:r>
      <w:proofErr w:type="spellEnd"/>
      <w:r>
        <w:rPr>
          <w:sz w:val="24"/>
          <w:lang w:eastAsia="zh-CN"/>
        </w:rPr>
        <w:t>）</w:t>
      </w:r>
    </w:p>
    <w:p w14:paraId="7AF56192" w14:textId="77777777" w:rsidR="00F17F72" w:rsidRDefault="00000000">
      <w:pPr>
        <w:pStyle w:val="x3"/>
        <w:spacing w:before="120"/>
        <w:ind w:left="812" w:hanging="812"/>
        <w:rPr>
          <w:sz w:val="24"/>
          <w:lang w:eastAsia="zh-CN"/>
        </w:rPr>
      </w:pPr>
      <w:r>
        <w:rPr>
          <w:b/>
          <w:bCs/>
          <w:sz w:val="24"/>
          <w:lang w:eastAsia="zh-CN"/>
        </w:rPr>
        <w:t>2.</w:t>
      </w:r>
      <w:r>
        <w:rPr>
          <w:b/>
          <w:bCs/>
          <w:sz w:val="24"/>
          <w:lang w:eastAsia="zh-CN"/>
        </w:rPr>
        <w:tab/>
      </w:r>
      <w:r>
        <w:rPr>
          <w:b/>
          <w:bCs/>
          <w:sz w:val="24"/>
          <w:lang w:eastAsia="zh-CN"/>
        </w:rPr>
        <w:t>测试名称：</w:t>
      </w:r>
      <w:r>
        <w:rPr>
          <w:sz w:val="24"/>
          <w:lang w:eastAsia="zh-CN"/>
        </w:rPr>
        <w:t>图像均匀性</w:t>
      </w:r>
    </w:p>
    <w:p w14:paraId="32AD0D02" w14:textId="77777777" w:rsidR="00F17F72" w:rsidRDefault="00000000">
      <w:pPr>
        <w:snapToGrid w:val="0"/>
        <w:spacing w:beforeLines="50" w:before="120"/>
        <w:ind w:leftChars="337" w:left="708"/>
        <w:jc w:val="both"/>
        <w:rPr>
          <w:sz w:val="24"/>
          <w:lang w:eastAsia="zh-CN"/>
        </w:rPr>
      </w:pPr>
      <w:r>
        <w:rPr>
          <w:b/>
          <w:bCs/>
          <w:sz w:val="24"/>
          <w:lang w:eastAsia="zh-CN"/>
        </w:rPr>
        <w:t>方法：</w:t>
      </w:r>
      <w:r>
        <w:rPr>
          <w:sz w:val="24"/>
          <w:lang w:eastAsia="zh-CN"/>
        </w:rPr>
        <w:t>符合以下</w:t>
      </w:r>
      <w:r>
        <w:rPr>
          <w:sz w:val="24"/>
          <w:lang w:eastAsia="zh-CN"/>
        </w:rPr>
        <w:t>FDA</w:t>
      </w:r>
      <w:proofErr w:type="gramStart"/>
      <w:r>
        <w:rPr>
          <w:sz w:val="24"/>
          <w:lang w:eastAsia="zh-CN"/>
        </w:rPr>
        <w:t>认可共识</w:t>
      </w:r>
      <w:proofErr w:type="gramEnd"/>
      <w:r>
        <w:rPr>
          <w:sz w:val="24"/>
          <w:lang w:eastAsia="zh-CN"/>
        </w:rPr>
        <w:t>标准之一</w:t>
      </w:r>
      <w:r>
        <w:rPr>
          <w:rFonts w:hint="eastAsia"/>
          <w:sz w:val="24"/>
          <w:lang w:eastAsia="zh-CN"/>
        </w:rPr>
        <w:t>（如适用）</w:t>
      </w:r>
      <w:r>
        <w:rPr>
          <w:sz w:val="24"/>
          <w:lang w:eastAsia="zh-CN"/>
        </w:rPr>
        <w:t>：</w:t>
      </w:r>
    </w:p>
    <w:p w14:paraId="33D8E004" w14:textId="77777777" w:rsidR="00F17F72" w:rsidRDefault="00000000">
      <w:pPr>
        <w:pStyle w:val="x2"/>
        <w:spacing w:before="120"/>
        <w:ind w:left="1619" w:hanging="487"/>
        <w:rPr>
          <w:i/>
          <w:sz w:val="24"/>
          <w:szCs w:val="24"/>
          <w:lang w:eastAsia="zh-CN"/>
        </w:rPr>
      </w:pPr>
      <w:r>
        <w:rPr>
          <w:sz w:val="24"/>
          <w:szCs w:val="24"/>
          <w:lang w:eastAsia="zh-CN"/>
        </w:rPr>
        <w:t>•</w:t>
      </w:r>
      <w:r>
        <w:rPr>
          <w:sz w:val="24"/>
          <w:szCs w:val="24"/>
          <w:lang w:eastAsia="zh-CN"/>
        </w:rPr>
        <w:tab/>
        <w:t>IEC 62464-1</w:t>
      </w:r>
      <w:r>
        <w:rPr>
          <w:i/>
          <w:iCs/>
          <w:sz w:val="24"/>
          <w:szCs w:val="24"/>
          <w:lang w:eastAsia="zh-CN"/>
        </w:rPr>
        <w:t>医学成像用磁共振设备</w:t>
      </w:r>
      <w:r>
        <w:rPr>
          <w:i/>
          <w:iCs/>
          <w:sz w:val="24"/>
          <w:szCs w:val="24"/>
          <w:lang w:eastAsia="zh-CN"/>
        </w:rPr>
        <w:t>-</w:t>
      </w:r>
      <w:r>
        <w:rPr>
          <w:i/>
          <w:iCs/>
          <w:sz w:val="24"/>
          <w:szCs w:val="24"/>
          <w:lang w:eastAsia="zh-CN"/>
        </w:rPr>
        <w:t>第</w:t>
      </w:r>
      <w:r>
        <w:rPr>
          <w:i/>
          <w:iCs/>
          <w:sz w:val="24"/>
          <w:szCs w:val="24"/>
          <w:lang w:eastAsia="zh-CN"/>
        </w:rPr>
        <w:t>1</w:t>
      </w:r>
      <w:r>
        <w:rPr>
          <w:i/>
          <w:iCs/>
          <w:sz w:val="24"/>
          <w:szCs w:val="24"/>
          <w:lang w:eastAsia="zh-CN"/>
        </w:rPr>
        <w:t>部分：基本图像质量参数的测定</w:t>
      </w:r>
    </w:p>
    <w:p w14:paraId="2216CE93" w14:textId="77777777" w:rsidR="00F17F72" w:rsidRDefault="00000000">
      <w:pPr>
        <w:pStyle w:val="x2"/>
        <w:spacing w:before="120"/>
        <w:ind w:left="1619" w:hanging="487"/>
        <w:rPr>
          <w:i/>
          <w:sz w:val="24"/>
          <w:szCs w:val="24"/>
          <w:lang w:eastAsia="zh-CN"/>
        </w:rPr>
      </w:pPr>
      <w:r>
        <w:rPr>
          <w:sz w:val="24"/>
          <w:szCs w:val="24"/>
          <w:lang w:eastAsia="zh-CN"/>
        </w:rPr>
        <w:t>•</w:t>
      </w:r>
      <w:r>
        <w:rPr>
          <w:sz w:val="24"/>
          <w:szCs w:val="24"/>
          <w:lang w:eastAsia="zh-CN"/>
        </w:rPr>
        <w:tab/>
        <w:t xml:space="preserve"> NEMA MS 3</w:t>
      </w:r>
      <w:r>
        <w:rPr>
          <w:i/>
          <w:iCs/>
          <w:sz w:val="24"/>
          <w:szCs w:val="24"/>
          <w:lang w:eastAsia="zh-CN"/>
        </w:rPr>
        <w:t>磁共振成像诊断图像均匀性的测定</w:t>
      </w:r>
    </w:p>
    <w:p w14:paraId="5FFF9E10" w14:textId="77777777" w:rsidR="00F17F72" w:rsidRDefault="00000000">
      <w:pPr>
        <w:pStyle w:val="x2"/>
        <w:spacing w:before="120"/>
        <w:ind w:left="1619" w:hanging="487"/>
        <w:rPr>
          <w:i/>
          <w:sz w:val="24"/>
          <w:szCs w:val="24"/>
          <w:lang w:eastAsia="zh-CN"/>
        </w:rPr>
      </w:pPr>
      <w:r>
        <w:rPr>
          <w:sz w:val="24"/>
          <w:szCs w:val="24"/>
          <w:lang w:eastAsia="zh-CN"/>
        </w:rPr>
        <w:t>•</w:t>
      </w:r>
      <w:r>
        <w:rPr>
          <w:sz w:val="24"/>
          <w:szCs w:val="24"/>
          <w:lang w:eastAsia="zh-CN"/>
        </w:rPr>
        <w:tab/>
        <w:t xml:space="preserve"> NEMA MS 6</w:t>
      </w:r>
      <w:r>
        <w:rPr>
          <w:i/>
          <w:iCs/>
          <w:sz w:val="24"/>
          <w:szCs w:val="24"/>
          <w:lang w:eastAsia="zh-CN"/>
        </w:rPr>
        <w:t>磁共振成像（</w:t>
      </w:r>
      <w:r>
        <w:rPr>
          <w:i/>
          <w:iCs/>
          <w:sz w:val="24"/>
          <w:szCs w:val="24"/>
          <w:lang w:eastAsia="zh-CN"/>
        </w:rPr>
        <w:t>MRI</w:t>
      </w:r>
      <w:r>
        <w:rPr>
          <w:i/>
          <w:iCs/>
          <w:sz w:val="24"/>
          <w:szCs w:val="24"/>
          <w:lang w:eastAsia="zh-CN"/>
        </w:rPr>
        <w:t>）诊断中单</w:t>
      </w:r>
      <w:proofErr w:type="gramStart"/>
      <w:r>
        <w:rPr>
          <w:i/>
          <w:iCs/>
          <w:sz w:val="24"/>
          <w:szCs w:val="24"/>
          <w:lang w:eastAsia="zh-CN"/>
        </w:rPr>
        <w:t>通道非体线圈</w:t>
      </w:r>
      <w:proofErr w:type="gramEnd"/>
      <w:r>
        <w:rPr>
          <w:i/>
          <w:iCs/>
          <w:sz w:val="24"/>
          <w:szCs w:val="24"/>
          <w:lang w:eastAsia="zh-CN"/>
        </w:rPr>
        <w:t>信噪比和图像均匀性的测定</w:t>
      </w:r>
    </w:p>
    <w:p w14:paraId="6C5FC2A5" w14:textId="77777777" w:rsidR="00F17F72" w:rsidRDefault="00000000">
      <w:pPr>
        <w:pStyle w:val="x2"/>
        <w:spacing w:before="120"/>
        <w:ind w:left="1619" w:hanging="487"/>
        <w:rPr>
          <w:i/>
          <w:sz w:val="24"/>
          <w:szCs w:val="24"/>
          <w:lang w:eastAsia="zh-CN"/>
        </w:rPr>
      </w:pPr>
      <w:r>
        <w:rPr>
          <w:sz w:val="24"/>
          <w:szCs w:val="24"/>
          <w:lang w:eastAsia="zh-CN"/>
        </w:rPr>
        <w:t>•</w:t>
      </w:r>
      <w:r>
        <w:rPr>
          <w:sz w:val="24"/>
          <w:szCs w:val="24"/>
          <w:lang w:eastAsia="zh-CN"/>
        </w:rPr>
        <w:tab/>
        <w:t xml:space="preserve"> NEMA MS 9</w:t>
      </w:r>
      <w:r>
        <w:rPr>
          <w:i/>
          <w:iCs/>
          <w:sz w:val="24"/>
          <w:szCs w:val="24"/>
          <w:lang w:eastAsia="zh-CN"/>
        </w:rPr>
        <w:t>磁共振成像（</w:t>
      </w:r>
      <w:r>
        <w:rPr>
          <w:i/>
          <w:iCs/>
          <w:sz w:val="24"/>
          <w:szCs w:val="24"/>
          <w:lang w:eastAsia="zh-CN"/>
        </w:rPr>
        <w:t>MRI</w:t>
      </w:r>
      <w:r>
        <w:rPr>
          <w:i/>
          <w:iCs/>
          <w:sz w:val="24"/>
          <w:szCs w:val="24"/>
          <w:lang w:eastAsia="zh-CN"/>
        </w:rPr>
        <w:t>）诊断中相控阵线圈的特性</w:t>
      </w:r>
    </w:p>
    <w:p w14:paraId="30BB374B" w14:textId="77777777" w:rsidR="00F17F72" w:rsidRDefault="00000000">
      <w:pPr>
        <w:snapToGrid w:val="0"/>
        <w:spacing w:beforeLines="50" w:before="120"/>
        <w:ind w:leftChars="337" w:left="708"/>
        <w:jc w:val="both"/>
        <w:rPr>
          <w:sz w:val="24"/>
          <w:lang w:eastAsia="zh-CN"/>
        </w:rPr>
      </w:pPr>
      <w:r>
        <w:rPr>
          <w:b/>
          <w:bCs/>
          <w:sz w:val="24"/>
          <w:lang w:eastAsia="zh-CN"/>
        </w:rPr>
        <w:t>性能标准：</w:t>
      </w:r>
      <w:r>
        <w:rPr>
          <w:sz w:val="24"/>
          <w:lang w:eastAsia="zh-CN"/>
        </w:rPr>
        <w:t>最大不均匀性</w:t>
      </w:r>
      <w:r>
        <w:rPr>
          <w:sz w:val="24"/>
          <w:lang w:eastAsia="zh-CN"/>
        </w:rPr>
        <w:t>&lt;50%</w:t>
      </w:r>
      <w:r>
        <w:rPr>
          <w:sz w:val="24"/>
          <w:lang w:eastAsia="zh-CN"/>
        </w:rPr>
        <w:t>（例如，未应用可选择的任何软件校正算法）</w:t>
      </w:r>
    </w:p>
    <w:p w14:paraId="1944FBC2" w14:textId="77777777" w:rsidR="00F17F72" w:rsidRDefault="00F17F72">
      <w:pPr>
        <w:snapToGrid w:val="0"/>
        <w:spacing w:beforeLines="50" w:before="120"/>
        <w:jc w:val="both"/>
        <w:rPr>
          <w:sz w:val="18"/>
          <w:szCs w:val="18"/>
          <w:lang w:eastAsia="zh-CN"/>
        </w:rPr>
      </w:pPr>
      <w:bookmarkStart w:id="12" w:name="bookmark11"/>
      <w:bookmarkStart w:id="13" w:name="bookmark12"/>
    </w:p>
    <w:p w14:paraId="067B0E35" w14:textId="77777777" w:rsidR="00F17F72" w:rsidRDefault="00F17F72">
      <w:pPr>
        <w:snapToGrid w:val="0"/>
        <w:spacing w:beforeLines="50" w:before="120"/>
        <w:jc w:val="both"/>
        <w:rPr>
          <w:sz w:val="18"/>
          <w:szCs w:val="18"/>
          <w:lang w:eastAsia="zh-CN"/>
        </w:rPr>
      </w:pPr>
    </w:p>
    <w:p w14:paraId="39DCBABB" w14:textId="77777777" w:rsidR="00F17F72" w:rsidRDefault="00F17F72">
      <w:pPr>
        <w:snapToGrid w:val="0"/>
        <w:spacing w:beforeLines="50" w:before="120"/>
        <w:jc w:val="both"/>
        <w:rPr>
          <w:sz w:val="18"/>
          <w:szCs w:val="18"/>
          <w:lang w:eastAsia="zh-CN"/>
        </w:rPr>
      </w:pPr>
    </w:p>
    <w:p w14:paraId="63F4699B" w14:textId="77777777" w:rsidR="00F17F72" w:rsidRDefault="00F17F72">
      <w:pPr>
        <w:snapToGrid w:val="0"/>
        <w:spacing w:beforeLines="50" w:before="120"/>
        <w:jc w:val="both"/>
        <w:rPr>
          <w:sz w:val="18"/>
          <w:szCs w:val="18"/>
          <w:lang w:eastAsia="zh-CN"/>
        </w:rPr>
      </w:pPr>
    </w:p>
    <w:p w14:paraId="328438B3" w14:textId="77777777" w:rsidR="00F17F72" w:rsidRDefault="00F17F72">
      <w:pPr>
        <w:snapToGrid w:val="0"/>
        <w:spacing w:beforeLines="50" w:before="120"/>
        <w:jc w:val="both"/>
        <w:rPr>
          <w:sz w:val="18"/>
          <w:szCs w:val="18"/>
          <w:lang w:eastAsia="zh-CN"/>
        </w:rPr>
      </w:pPr>
    </w:p>
    <w:p w14:paraId="157FF941" w14:textId="77777777" w:rsidR="00F17F72" w:rsidRDefault="00F17F72">
      <w:pPr>
        <w:snapToGrid w:val="0"/>
        <w:spacing w:beforeLines="50" w:before="120"/>
        <w:jc w:val="both"/>
        <w:rPr>
          <w:sz w:val="18"/>
          <w:szCs w:val="18"/>
          <w:lang w:eastAsia="zh-CN"/>
        </w:rPr>
      </w:pPr>
    </w:p>
    <w:p w14:paraId="6989FE5D" w14:textId="77777777" w:rsidR="00F17F72" w:rsidRDefault="00F17F72">
      <w:pPr>
        <w:snapToGrid w:val="0"/>
        <w:spacing w:beforeLines="50" w:before="120"/>
        <w:jc w:val="both"/>
        <w:rPr>
          <w:sz w:val="18"/>
          <w:szCs w:val="18"/>
          <w:lang w:eastAsia="zh-CN"/>
        </w:rPr>
      </w:pPr>
    </w:p>
    <w:p w14:paraId="6DF02820" w14:textId="77777777" w:rsidR="00F17F72" w:rsidRDefault="00000000">
      <w:pPr>
        <w:snapToGrid w:val="0"/>
        <w:spacing w:beforeLines="50" w:before="120"/>
        <w:jc w:val="both"/>
        <w:rPr>
          <w:sz w:val="18"/>
          <w:szCs w:val="18"/>
        </w:rPr>
      </w:pPr>
      <w:r>
        <w:rPr>
          <w:sz w:val="18"/>
          <w:szCs w:val="18"/>
          <w:lang w:eastAsia="zh-CN"/>
        </w:rPr>
        <w:t>___________________________</w:t>
      </w:r>
    </w:p>
    <w:p w14:paraId="31403482" w14:textId="77777777" w:rsidR="00F17F72" w:rsidRDefault="00000000">
      <w:pPr>
        <w:tabs>
          <w:tab w:val="left" w:pos="125"/>
        </w:tabs>
        <w:snapToGrid w:val="0"/>
        <w:spacing w:beforeLines="50" w:before="120"/>
        <w:rPr>
          <w:color w:val="0000FF"/>
          <w:sz w:val="18"/>
          <w:szCs w:val="18"/>
        </w:rPr>
      </w:pPr>
      <w:r>
        <w:rPr>
          <w:sz w:val="18"/>
          <w:szCs w:val="18"/>
          <w:vertAlign w:val="superscript"/>
          <w:lang w:eastAsia="zh-CN"/>
        </w:rPr>
        <w:t>6</w:t>
      </w:r>
      <w:r>
        <w:rPr>
          <w:sz w:val="18"/>
          <w:szCs w:val="18"/>
          <w:lang w:eastAsia="zh-CN"/>
        </w:rPr>
        <w:tab/>
      </w:r>
      <w:proofErr w:type="gramStart"/>
      <w:r>
        <w:rPr>
          <w:sz w:val="18"/>
          <w:szCs w:val="18"/>
          <w:lang w:eastAsia="zh-CN"/>
        </w:rPr>
        <w:t>请访问</w:t>
      </w:r>
      <w:proofErr w:type="gramEnd"/>
      <w:r>
        <w:fldChar w:fldCharType="begin"/>
      </w:r>
      <w:r>
        <w:rPr>
          <w:color w:val="0000FF"/>
        </w:rPr>
        <w:instrText xml:space="preserve"> HYPERLINK "https://www.fda.gov/regulatory-information/search-fda-guidance-documents/safety-and-performance-based-pathway" </w:instrText>
      </w:r>
      <w:r>
        <w:fldChar w:fldCharType="separate"/>
      </w:r>
      <w:r>
        <w:rPr>
          <w:rStyle w:val="a9"/>
          <w:color w:val="0000FF"/>
          <w:sz w:val="18"/>
          <w:szCs w:val="18"/>
          <w:lang w:eastAsia="zh-CN"/>
        </w:rPr>
        <w:t>https://www.fda.gov/regulatory-information/search-fda-guidance-documents/safety-and-performance-</w:t>
      </w:r>
      <w:bookmarkEnd w:id="12"/>
      <w:bookmarkEnd w:id="13"/>
      <w:r>
        <w:rPr>
          <w:rStyle w:val="a9"/>
          <w:color w:val="0000FF"/>
          <w:sz w:val="18"/>
          <w:szCs w:val="18"/>
          <w:lang w:eastAsia="zh-CN"/>
        </w:rPr>
        <w:fldChar w:fldCharType="end"/>
      </w:r>
      <w:hyperlink r:id="rId19" w:history="1">
        <w:proofErr w:type="gramStart"/>
        <w:r>
          <w:rPr>
            <w:rStyle w:val="a9"/>
            <w:color w:val="0000FF"/>
            <w:sz w:val="18"/>
            <w:szCs w:val="18"/>
            <w:lang w:eastAsia="zh-CN"/>
          </w:rPr>
          <w:t>based-pathway</w:t>
        </w:r>
        <w:proofErr w:type="gramEnd"/>
      </w:hyperlink>
    </w:p>
    <w:p w14:paraId="072B33D3" w14:textId="77777777" w:rsidR="00F17F72" w:rsidRDefault="00000000">
      <w:pPr>
        <w:tabs>
          <w:tab w:val="left" w:pos="115"/>
        </w:tabs>
        <w:snapToGrid w:val="0"/>
        <w:spacing w:beforeLines="50" w:before="120"/>
        <w:rPr>
          <w:sz w:val="18"/>
          <w:szCs w:val="18"/>
        </w:rPr>
      </w:pPr>
      <w:r>
        <w:rPr>
          <w:sz w:val="18"/>
          <w:szCs w:val="18"/>
          <w:vertAlign w:val="superscript"/>
          <w:lang w:eastAsia="zh-CN"/>
        </w:rPr>
        <w:t>7</w:t>
      </w:r>
      <w:r>
        <w:rPr>
          <w:sz w:val="18"/>
          <w:szCs w:val="18"/>
          <w:lang w:eastAsia="zh-CN"/>
        </w:rPr>
        <w:tab/>
      </w:r>
      <w:proofErr w:type="gramStart"/>
      <w:r>
        <w:rPr>
          <w:sz w:val="18"/>
          <w:szCs w:val="18"/>
          <w:lang w:eastAsia="zh-CN"/>
        </w:rPr>
        <w:t>请访问</w:t>
      </w:r>
      <w:proofErr w:type="gramEnd"/>
      <w:r>
        <w:fldChar w:fldCharType="begin"/>
      </w:r>
      <w:r>
        <w:rPr>
          <w:color w:val="0000FF"/>
        </w:rPr>
        <w:instrText xml:space="preserve"> HYPERLINK "https://www.fda.gov/regulatory-information/search-fda-guidance-documents/recommended-content-and-format-non-clinical-bench-performance-testing-information-premarket" </w:instrText>
      </w:r>
      <w:r>
        <w:fldChar w:fldCharType="separate"/>
      </w:r>
      <w:r>
        <w:rPr>
          <w:rStyle w:val="a9"/>
          <w:color w:val="0000FF"/>
          <w:sz w:val="18"/>
          <w:szCs w:val="18"/>
          <w:lang w:eastAsia="zh-CN"/>
        </w:rPr>
        <w:t>https://www.fda.gov/regulatorv-information/search-fda-guidance-documents/recommended-content-</w:t>
      </w:r>
      <w:r>
        <w:rPr>
          <w:rStyle w:val="a9"/>
          <w:color w:val="0000FF"/>
          <w:sz w:val="18"/>
          <w:szCs w:val="18"/>
          <w:lang w:eastAsia="zh-CN"/>
        </w:rPr>
        <w:fldChar w:fldCharType="end"/>
      </w:r>
      <w:hyperlink r:id="rId20" w:history="1">
        <w:r>
          <w:rPr>
            <w:rStyle w:val="a9"/>
            <w:color w:val="0000FF"/>
            <w:sz w:val="18"/>
            <w:szCs w:val="18"/>
            <w:lang w:eastAsia="zh-CN"/>
          </w:rPr>
          <w:t>and-format-non-clinical-bench-performance-testing-information-premarket</w:t>
        </w:r>
      </w:hyperlink>
    </w:p>
    <w:p w14:paraId="1F6FDBE7" w14:textId="77777777" w:rsidR="00F17F72" w:rsidRDefault="00000000">
      <w:pPr>
        <w:tabs>
          <w:tab w:val="left" w:pos="115"/>
        </w:tabs>
        <w:snapToGrid w:val="0"/>
        <w:spacing w:beforeLines="50" w:before="120"/>
        <w:jc w:val="both"/>
      </w:pPr>
      <w:r>
        <w:rPr>
          <w:lang w:eastAsia="zh-CN"/>
        </w:rPr>
        <w:br w:type="page"/>
      </w:r>
    </w:p>
    <w:p w14:paraId="2153F3E1" w14:textId="172945DA" w:rsidR="00F17F72" w:rsidRDefault="00000000">
      <w:pPr>
        <w:snapToGrid w:val="0"/>
        <w:spacing w:beforeLines="50" w:before="120"/>
        <w:ind w:leftChars="337" w:left="708"/>
        <w:jc w:val="both"/>
        <w:rPr>
          <w:sz w:val="24"/>
          <w:lang w:eastAsia="zh-CN"/>
        </w:rPr>
      </w:pPr>
      <w:r>
        <w:rPr>
          <w:b/>
          <w:bCs/>
          <w:sz w:val="24"/>
          <w:lang w:eastAsia="zh-CN"/>
        </w:rPr>
        <w:lastRenderedPageBreak/>
        <w:t>性能标准来源：</w:t>
      </w:r>
      <w:r>
        <w:rPr>
          <w:rFonts w:hint="eastAsia"/>
          <w:sz w:val="24"/>
          <w:lang w:eastAsia="zh-CN"/>
        </w:rPr>
        <w:t>本</w:t>
      </w:r>
      <w:r>
        <w:rPr>
          <w:sz w:val="24"/>
          <w:lang w:eastAsia="zh-CN"/>
        </w:rPr>
        <w:t>标准基于提交给</w:t>
      </w:r>
      <w:r>
        <w:rPr>
          <w:sz w:val="24"/>
          <w:lang w:eastAsia="zh-CN"/>
        </w:rPr>
        <w:t>FDA</w:t>
      </w:r>
      <w:r>
        <w:rPr>
          <w:sz w:val="24"/>
          <w:lang w:eastAsia="zh-CN"/>
        </w:rPr>
        <w:t>的</w:t>
      </w:r>
      <w:r>
        <w:rPr>
          <w:sz w:val="24"/>
          <w:lang w:eastAsia="zh-CN"/>
        </w:rPr>
        <w:t>510(k)</w:t>
      </w:r>
      <w:r>
        <w:rPr>
          <w:sz w:val="24"/>
          <w:lang w:eastAsia="zh-CN"/>
        </w:rPr>
        <w:t>申请中的磁共振线圈汇总数据，发现这些数据实质</w:t>
      </w:r>
      <w:r>
        <w:rPr>
          <w:rFonts w:hint="eastAsia"/>
          <w:sz w:val="24"/>
          <w:lang w:eastAsia="zh-CN"/>
        </w:rPr>
        <w:t>性等同</w:t>
      </w:r>
      <w:r>
        <w:rPr>
          <w:sz w:val="24"/>
          <w:lang w:eastAsia="zh-CN"/>
        </w:rPr>
        <w:t>。</w:t>
      </w:r>
    </w:p>
    <w:p w14:paraId="2CBFB2BD" w14:textId="77777777" w:rsidR="00F17F72" w:rsidRDefault="00000000">
      <w:pPr>
        <w:snapToGrid w:val="0"/>
        <w:spacing w:beforeLines="50" w:before="120"/>
        <w:ind w:leftChars="337" w:left="708"/>
        <w:jc w:val="both"/>
        <w:rPr>
          <w:sz w:val="24"/>
          <w:lang w:eastAsia="zh-CN"/>
        </w:rPr>
      </w:pPr>
      <w:r>
        <w:rPr>
          <w:b/>
          <w:bCs/>
          <w:sz w:val="24"/>
          <w:lang w:eastAsia="zh-CN"/>
        </w:rPr>
        <w:t>其他考虑因素：</w:t>
      </w:r>
      <w:r>
        <w:rPr>
          <w:sz w:val="24"/>
          <w:lang w:eastAsia="zh-CN"/>
        </w:rPr>
        <w:t>NEMA MS 3</w:t>
      </w:r>
      <w:r>
        <w:rPr>
          <w:sz w:val="24"/>
          <w:lang w:eastAsia="zh-CN"/>
        </w:rPr>
        <w:t>第</w:t>
      </w:r>
      <w:r>
        <w:rPr>
          <w:sz w:val="24"/>
          <w:lang w:eastAsia="zh-CN"/>
        </w:rPr>
        <w:t>2.3.3</w:t>
      </w:r>
      <w:r>
        <w:rPr>
          <w:sz w:val="24"/>
          <w:lang w:eastAsia="zh-CN"/>
        </w:rPr>
        <w:t>节</w:t>
      </w:r>
      <w:r>
        <w:rPr>
          <w:rFonts w:ascii="宋体" w:hAnsi="宋体"/>
          <w:sz w:val="24"/>
          <w:lang w:eastAsia="zh-CN"/>
        </w:rPr>
        <w:t>“</w:t>
      </w:r>
      <w:r>
        <w:rPr>
          <w:sz w:val="24"/>
          <w:lang w:eastAsia="zh-CN"/>
        </w:rPr>
        <w:t>灰度均匀性分布图</w:t>
      </w:r>
      <w:r>
        <w:rPr>
          <w:rFonts w:ascii="宋体" w:hAnsi="宋体"/>
          <w:sz w:val="24"/>
          <w:lang w:eastAsia="zh-CN"/>
        </w:rPr>
        <w:t>”</w:t>
      </w:r>
      <w:r>
        <w:rPr>
          <w:sz w:val="24"/>
          <w:lang w:eastAsia="zh-CN"/>
        </w:rPr>
        <w:t>，</w:t>
      </w:r>
      <w:r>
        <w:rPr>
          <w:sz w:val="24"/>
          <w:lang w:eastAsia="zh-CN"/>
        </w:rPr>
        <w:t>NEMA MS 6</w:t>
      </w:r>
      <w:r>
        <w:rPr>
          <w:sz w:val="24"/>
          <w:lang w:eastAsia="zh-CN"/>
        </w:rPr>
        <w:t>第</w:t>
      </w:r>
      <w:r>
        <w:rPr>
          <w:sz w:val="24"/>
          <w:lang w:eastAsia="zh-CN"/>
        </w:rPr>
        <w:t>2.6</w:t>
      </w:r>
      <w:r>
        <w:rPr>
          <w:sz w:val="24"/>
          <w:lang w:eastAsia="zh-CN"/>
        </w:rPr>
        <w:t>节</w:t>
      </w:r>
      <w:r>
        <w:rPr>
          <w:rFonts w:ascii="宋体" w:hAnsi="宋体"/>
          <w:sz w:val="24"/>
          <w:lang w:eastAsia="zh-CN"/>
        </w:rPr>
        <w:t>“</w:t>
      </w:r>
      <w:r>
        <w:rPr>
          <w:sz w:val="24"/>
          <w:lang w:eastAsia="zh-CN"/>
        </w:rPr>
        <w:t>图像均匀性的主要测量程序</w:t>
      </w:r>
      <w:r>
        <w:rPr>
          <w:rFonts w:ascii="宋体" w:hAnsi="宋体"/>
          <w:sz w:val="24"/>
          <w:lang w:eastAsia="zh-CN"/>
        </w:rPr>
        <w:t>”</w:t>
      </w:r>
      <w:r>
        <w:rPr>
          <w:sz w:val="24"/>
          <w:lang w:eastAsia="zh-CN"/>
        </w:rPr>
        <w:t>，</w:t>
      </w:r>
      <w:r>
        <w:rPr>
          <w:sz w:val="24"/>
          <w:lang w:eastAsia="zh-CN"/>
        </w:rPr>
        <w:t>NEMA MS 9</w:t>
      </w:r>
      <w:r>
        <w:rPr>
          <w:sz w:val="24"/>
          <w:lang w:eastAsia="zh-CN"/>
        </w:rPr>
        <w:t>（参考</w:t>
      </w:r>
      <w:r>
        <w:rPr>
          <w:sz w:val="24"/>
          <w:lang w:eastAsia="zh-CN"/>
        </w:rPr>
        <w:t>NEMA MS 3</w:t>
      </w:r>
      <w:r>
        <w:rPr>
          <w:sz w:val="24"/>
          <w:lang w:eastAsia="zh-CN"/>
        </w:rPr>
        <w:t>和</w:t>
      </w:r>
      <w:r>
        <w:rPr>
          <w:sz w:val="24"/>
          <w:lang w:eastAsia="zh-CN"/>
        </w:rPr>
        <w:t>NEMA MS 6</w:t>
      </w:r>
      <w:r>
        <w:rPr>
          <w:sz w:val="24"/>
          <w:lang w:eastAsia="zh-CN"/>
        </w:rPr>
        <w:t>前面提到的章节）和</w:t>
      </w:r>
      <w:r>
        <w:rPr>
          <w:sz w:val="24"/>
          <w:lang w:eastAsia="zh-CN"/>
        </w:rPr>
        <w:t>IEC 62464-1 (2.0</w:t>
      </w:r>
      <w:r>
        <w:rPr>
          <w:sz w:val="24"/>
          <w:lang w:eastAsia="zh-CN"/>
        </w:rPr>
        <w:t>版</w:t>
      </w:r>
      <w:r>
        <w:rPr>
          <w:sz w:val="24"/>
          <w:lang w:eastAsia="zh-CN"/>
        </w:rPr>
        <w:t xml:space="preserve"> 2018-12)</w:t>
      </w:r>
      <w:r>
        <w:rPr>
          <w:sz w:val="24"/>
          <w:lang w:eastAsia="zh-CN"/>
        </w:rPr>
        <w:t>第</w:t>
      </w:r>
      <w:r>
        <w:rPr>
          <w:sz w:val="24"/>
          <w:lang w:eastAsia="zh-CN"/>
        </w:rPr>
        <w:t>A.2.2</w:t>
      </w:r>
      <w:r>
        <w:rPr>
          <w:sz w:val="24"/>
          <w:lang w:eastAsia="zh-CN"/>
        </w:rPr>
        <w:t>节中的替代方法</w:t>
      </w:r>
      <w:r>
        <w:rPr>
          <w:rFonts w:ascii="宋体" w:hAnsi="宋体"/>
          <w:sz w:val="24"/>
          <w:lang w:eastAsia="zh-CN"/>
        </w:rPr>
        <w:t>“</w:t>
      </w:r>
      <w:r>
        <w:rPr>
          <w:sz w:val="24"/>
          <w:lang w:eastAsia="zh-CN"/>
        </w:rPr>
        <w:t>灰度图示</w:t>
      </w:r>
      <w:r>
        <w:rPr>
          <w:rFonts w:ascii="宋体" w:hAnsi="宋体"/>
          <w:sz w:val="24"/>
          <w:lang w:eastAsia="zh-CN"/>
        </w:rPr>
        <w:t>”</w:t>
      </w:r>
      <w:r>
        <w:rPr>
          <w:sz w:val="24"/>
          <w:lang w:eastAsia="zh-CN"/>
        </w:rPr>
        <w:t>中提到的灰度均匀性分布图法被排除在外，因为这些方法不能使评估方法和性能标准更简单客观。</w:t>
      </w:r>
    </w:p>
    <w:p w14:paraId="5138D8BF" w14:textId="256982F8" w:rsidR="00F17F72" w:rsidRDefault="00000000">
      <w:pPr>
        <w:snapToGrid w:val="0"/>
        <w:spacing w:beforeLines="50" w:before="120"/>
        <w:ind w:leftChars="337" w:left="708"/>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w:t>
      </w:r>
      <w:proofErr w:type="spellStart"/>
      <w:r>
        <w:rPr>
          <w:sz w:val="24"/>
          <w:lang w:eastAsia="zh-CN"/>
        </w:rPr>
        <w:t>DoC</w:t>
      </w:r>
      <w:proofErr w:type="spellEnd"/>
      <w:r>
        <w:rPr>
          <w:sz w:val="24"/>
          <w:lang w:eastAsia="zh-CN"/>
        </w:rPr>
        <w:t>）</w:t>
      </w:r>
    </w:p>
    <w:p w14:paraId="0CDFFA4C" w14:textId="77777777" w:rsidR="00F17F72" w:rsidRDefault="00000000">
      <w:pPr>
        <w:pStyle w:val="x3"/>
        <w:spacing w:before="120"/>
        <w:ind w:left="812" w:hanging="812"/>
        <w:rPr>
          <w:sz w:val="24"/>
          <w:lang w:eastAsia="zh-CN"/>
        </w:rPr>
      </w:pPr>
      <w:r>
        <w:rPr>
          <w:b/>
          <w:bCs/>
          <w:sz w:val="24"/>
          <w:lang w:eastAsia="zh-CN"/>
        </w:rPr>
        <w:t>3.</w:t>
      </w:r>
      <w:r>
        <w:rPr>
          <w:b/>
          <w:bCs/>
          <w:sz w:val="24"/>
          <w:lang w:eastAsia="zh-CN"/>
        </w:rPr>
        <w:tab/>
      </w:r>
      <w:r>
        <w:rPr>
          <w:b/>
          <w:bCs/>
          <w:sz w:val="24"/>
          <w:lang w:eastAsia="zh-CN"/>
        </w:rPr>
        <w:t>测试名称：</w:t>
      </w:r>
      <w:r>
        <w:rPr>
          <w:sz w:val="24"/>
          <w:lang w:eastAsia="zh-CN"/>
        </w:rPr>
        <w:t>表面温度</w:t>
      </w:r>
    </w:p>
    <w:p w14:paraId="0791E019" w14:textId="77777777" w:rsidR="00F17F72" w:rsidRDefault="00000000">
      <w:pPr>
        <w:snapToGrid w:val="0"/>
        <w:spacing w:beforeLines="50" w:before="120"/>
        <w:ind w:leftChars="337" w:left="708"/>
        <w:jc w:val="both"/>
        <w:rPr>
          <w:sz w:val="24"/>
          <w:lang w:eastAsia="zh-CN"/>
        </w:rPr>
      </w:pPr>
      <w:r>
        <w:rPr>
          <w:b/>
          <w:bCs/>
          <w:sz w:val="24"/>
          <w:lang w:eastAsia="zh-CN"/>
        </w:rPr>
        <w:t>方法：</w:t>
      </w:r>
      <w:r>
        <w:rPr>
          <w:sz w:val="24"/>
          <w:lang w:eastAsia="zh-CN"/>
        </w:rPr>
        <w:t>符合以下</w:t>
      </w:r>
      <w:r>
        <w:rPr>
          <w:sz w:val="24"/>
          <w:lang w:eastAsia="zh-CN"/>
        </w:rPr>
        <w:t>FDA</w:t>
      </w:r>
      <w:r>
        <w:rPr>
          <w:sz w:val="24"/>
          <w:lang w:eastAsia="zh-CN"/>
        </w:rPr>
        <w:t>认可的共识标准：</w:t>
      </w:r>
    </w:p>
    <w:p w14:paraId="024ED230" w14:textId="77777777" w:rsidR="00F17F72" w:rsidRDefault="00000000">
      <w:pPr>
        <w:pStyle w:val="x2"/>
        <w:spacing w:before="120"/>
        <w:ind w:left="1619" w:hanging="487"/>
        <w:rPr>
          <w:i/>
          <w:sz w:val="24"/>
          <w:szCs w:val="24"/>
          <w:lang w:eastAsia="zh-CN"/>
        </w:rPr>
      </w:pPr>
      <w:r>
        <w:rPr>
          <w:sz w:val="24"/>
          <w:szCs w:val="24"/>
          <w:lang w:eastAsia="zh-CN"/>
        </w:rPr>
        <w:t>•</w:t>
      </w:r>
      <w:r>
        <w:rPr>
          <w:sz w:val="24"/>
          <w:szCs w:val="24"/>
          <w:lang w:eastAsia="zh-CN"/>
        </w:rPr>
        <w:tab/>
        <w:t xml:space="preserve">NEMA MS 14 </w:t>
      </w:r>
      <w:r>
        <w:rPr>
          <w:i/>
          <w:iCs/>
          <w:sz w:val="24"/>
          <w:szCs w:val="24"/>
          <w:lang w:eastAsia="zh-CN"/>
        </w:rPr>
        <w:t>磁共振成像系统中射频（</w:t>
      </w:r>
      <w:r>
        <w:rPr>
          <w:i/>
          <w:iCs/>
          <w:sz w:val="24"/>
          <w:szCs w:val="24"/>
          <w:lang w:eastAsia="zh-CN"/>
        </w:rPr>
        <w:t>RF</w:t>
      </w:r>
      <w:r>
        <w:rPr>
          <w:i/>
          <w:iCs/>
          <w:sz w:val="24"/>
          <w:szCs w:val="24"/>
          <w:lang w:eastAsia="zh-CN"/>
        </w:rPr>
        <w:t>）线圈加热的特性</w:t>
      </w:r>
    </w:p>
    <w:p w14:paraId="24E22A45" w14:textId="77777777" w:rsidR="00F17F72" w:rsidRDefault="00000000">
      <w:pPr>
        <w:snapToGrid w:val="0"/>
        <w:spacing w:beforeLines="50" w:before="120"/>
        <w:ind w:leftChars="337" w:left="708"/>
        <w:jc w:val="both"/>
        <w:rPr>
          <w:sz w:val="24"/>
          <w:lang w:eastAsia="zh-CN"/>
        </w:rPr>
      </w:pPr>
      <w:r>
        <w:rPr>
          <w:b/>
          <w:bCs/>
          <w:sz w:val="24"/>
          <w:lang w:eastAsia="zh-CN"/>
        </w:rPr>
        <w:t>性能标准：</w:t>
      </w:r>
      <w:r>
        <w:rPr>
          <w:sz w:val="24"/>
          <w:lang w:eastAsia="zh-CN"/>
        </w:rPr>
        <w:t>ANSI/AAMI ES 60601-1</w:t>
      </w:r>
      <w:r>
        <w:rPr>
          <w:sz w:val="24"/>
          <w:lang w:eastAsia="zh-CN"/>
        </w:rPr>
        <w:t>规定的温度标准：正常使用和单一故障（线圈未插入）条件下的温度均</w:t>
      </w:r>
      <w:r>
        <w:rPr>
          <w:sz w:val="24"/>
          <w:lang w:eastAsia="zh-CN"/>
        </w:rPr>
        <w:t>&lt;41℃</w:t>
      </w:r>
    </w:p>
    <w:p w14:paraId="137C60B4" w14:textId="77777777" w:rsidR="00F17F72" w:rsidRDefault="00000000">
      <w:pPr>
        <w:snapToGrid w:val="0"/>
        <w:spacing w:beforeLines="50" w:before="120"/>
        <w:ind w:leftChars="337" w:left="708"/>
        <w:jc w:val="both"/>
        <w:rPr>
          <w:sz w:val="24"/>
          <w:lang w:eastAsia="zh-CN"/>
        </w:rPr>
      </w:pPr>
      <w:r>
        <w:rPr>
          <w:b/>
          <w:bCs/>
          <w:sz w:val="24"/>
          <w:lang w:eastAsia="zh-CN"/>
        </w:rPr>
        <w:t>性能标准来源：</w:t>
      </w:r>
      <w:r>
        <w:rPr>
          <w:sz w:val="24"/>
          <w:lang w:eastAsia="zh-CN"/>
        </w:rPr>
        <w:t>FDA</w:t>
      </w:r>
      <w:r>
        <w:rPr>
          <w:sz w:val="24"/>
          <w:lang w:eastAsia="zh-CN"/>
        </w:rPr>
        <w:t>目前认可的</w:t>
      </w:r>
      <w:r>
        <w:rPr>
          <w:sz w:val="24"/>
          <w:lang w:eastAsia="zh-CN"/>
        </w:rPr>
        <w:t>ANSI/AAMI ES60601-1</w:t>
      </w:r>
      <w:r>
        <w:rPr>
          <w:sz w:val="24"/>
          <w:lang w:eastAsia="zh-CN"/>
        </w:rPr>
        <w:t>（</w:t>
      </w:r>
      <w:r>
        <w:rPr>
          <w:sz w:val="24"/>
          <w:lang w:eastAsia="zh-CN"/>
        </w:rPr>
        <w:t>2012</w:t>
      </w:r>
      <w:r>
        <w:rPr>
          <w:sz w:val="24"/>
          <w:lang w:eastAsia="zh-CN"/>
        </w:rPr>
        <w:t>）版本：</w:t>
      </w:r>
      <w:r>
        <w:rPr>
          <w:i/>
          <w:iCs/>
          <w:sz w:val="24"/>
          <w:lang w:eastAsia="zh-CN"/>
        </w:rPr>
        <w:t>医用电气设备</w:t>
      </w:r>
      <w:r>
        <w:rPr>
          <w:i/>
          <w:iCs/>
          <w:sz w:val="24"/>
          <w:lang w:eastAsia="zh-CN"/>
        </w:rPr>
        <w:t>-</w:t>
      </w:r>
      <w:r>
        <w:rPr>
          <w:i/>
          <w:iCs/>
          <w:sz w:val="24"/>
          <w:lang w:eastAsia="zh-CN"/>
        </w:rPr>
        <w:t>第</w:t>
      </w:r>
      <w:r>
        <w:rPr>
          <w:i/>
          <w:iCs/>
          <w:sz w:val="24"/>
          <w:lang w:eastAsia="zh-CN"/>
        </w:rPr>
        <w:t>1</w:t>
      </w:r>
      <w:r>
        <w:rPr>
          <w:i/>
          <w:iCs/>
          <w:sz w:val="24"/>
          <w:lang w:eastAsia="zh-CN"/>
        </w:rPr>
        <w:t>部分：基本安全和基本性能的通用要求</w:t>
      </w:r>
      <w:r>
        <w:rPr>
          <w:sz w:val="24"/>
          <w:lang w:eastAsia="zh-CN"/>
        </w:rPr>
        <w:t>，作用部位温度第</w:t>
      </w:r>
      <w:r>
        <w:rPr>
          <w:sz w:val="24"/>
          <w:lang w:eastAsia="zh-CN"/>
        </w:rPr>
        <w:t>11.1.2</w:t>
      </w:r>
      <w:r>
        <w:rPr>
          <w:sz w:val="24"/>
          <w:lang w:eastAsia="zh-CN"/>
        </w:rPr>
        <w:t>节</w:t>
      </w:r>
    </w:p>
    <w:p w14:paraId="25969662" w14:textId="5BD219DA" w:rsidR="00F17F72" w:rsidRDefault="00000000">
      <w:pPr>
        <w:snapToGrid w:val="0"/>
        <w:spacing w:beforeLines="50" w:before="120"/>
        <w:ind w:leftChars="337" w:left="708"/>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w:t>
      </w:r>
      <w:proofErr w:type="spellStart"/>
      <w:r>
        <w:rPr>
          <w:sz w:val="24"/>
          <w:lang w:eastAsia="zh-CN"/>
        </w:rPr>
        <w:t>DoC</w:t>
      </w:r>
      <w:proofErr w:type="spellEnd"/>
      <w:r>
        <w:rPr>
          <w:sz w:val="24"/>
          <w:lang w:eastAsia="zh-CN"/>
        </w:rPr>
        <w:t>）</w:t>
      </w:r>
    </w:p>
    <w:p w14:paraId="1D1401E6" w14:textId="77777777" w:rsidR="00F17F72" w:rsidRDefault="00000000">
      <w:pPr>
        <w:pStyle w:val="x3"/>
        <w:spacing w:before="120"/>
        <w:ind w:left="812" w:hanging="812"/>
        <w:rPr>
          <w:sz w:val="24"/>
          <w:lang w:eastAsia="zh-CN"/>
        </w:rPr>
      </w:pPr>
      <w:r>
        <w:rPr>
          <w:b/>
          <w:bCs/>
          <w:sz w:val="24"/>
          <w:lang w:eastAsia="zh-CN"/>
        </w:rPr>
        <w:t>4.</w:t>
      </w:r>
      <w:r>
        <w:rPr>
          <w:b/>
          <w:bCs/>
          <w:sz w:val="24"/>
          <w:lang w:eastAsia="zh-CN"/>
        </w:rPr>
        <w:tab/>
      </w:r>
      <w:r>
        <w:rPr>
          <w:b/>
          <w:bCs/>
          <w:sz w:val="24"/>
          <w:lang w:eastAsia="zh-CN"/>
        </w:rPr>
        <w:t>测试名称：</w:t>
      </w:r>
      <w:r>
        <w:rPr>
          <w:sz w:val="24"/>
          <w:lang w:eastAsia="zh-CN"/>
        </w:rPr>
        <w:t>成像质量</w:t>
      </w:r>
    </w:p>
    <w:p w14:paraId="2399954B" w14:textId="77777777" w:rsidR="00F17F72" w:rsidRDefault="00000000">
      <w:pPr>
        <w:snapToGrid w:val="0"/>
        <w:spacing w:beforeLines="50" w:before="120"/>
        <w:ind w:leftChars="337" w:left="708"/>
        <w:jc w:val="both"/>
        <w:rPr>
          <w:sz w:val="24"/>
          <w:lang w:eastAsia="zh-CN"/>
        </w:rPr>
      </w:pPr>
      <w:r>
        <w:rPr>
          <w:b/>
          <w:bCs/>
          <w:sz w:val="24"/>
          <w:lang w:eastAsia="zh-CN"/>
        </w:rPr>
        <w:t>方法：</w:t>
      </w:r>
      <w:r>
        <w:rPr>
          <w:sz w:val="24"/>
          <w:lang w:eastAsia="zh-CN"/>
        </w:rPr>
        <w:t>检查所有目标解剖位置的临床图像样本，确定器械产生的图像质量是否可以用于诊断。</w:t>
      </w:r>
    </w:p>
    <w:p w14:paraId="560135B0" w14:textId="77777777" w:rsidR="00F17F72" w:rsidRDefault="00000000">
      <w:pPr>
        <w:snapToGrid w:val="0"/>
        <w:spacing w:beforeLines="50" w:before="120"/>
        <w:ind w:leftChars="337" w:left="708"/>
        <w:jc w:val="both"/>
        <w:rPr>
          <w:sz w:val="24"/>
          <w:lang w:eastAsia="zh-CN"/>
        </w:rPr>
      </w:pPr>
      <w:r>
        <w:rPr>
          <w:b/>
          <w:bCs/>
          <w:sz w:val="24"/>
          <w:lang w:eastAsia="zh-CN"/>
        </w:rPr>
        <w:t>性能标准：</w:t>
      </w:r>
      <w:r>
        <w:rPr>
          <w:sz w:val="24"/>
          <w:lang w:eastAsia="zh-CN"/>
        </w:rPr>
        <w:t>美国委员会认证的医生或国际同等资格的医生（如放射科医生、放射肿瘤学家）声明，具有诊断质量的图像及临床样本图像可支持您的线圈生成具有诊断质量图像的能力。</w:t>
      </w:r>
    </w:p>
    <w:p w14:paraId="077579CE" w14:textId="1C817636" w:rsidR="00F17F72" w:rsidRDefault="00000000">
      <w:pPr>
        <w:snapToGrid w:val="0"/>
        <w:spacing w:beforeLines="50" w:before="120"/>
        <w:ind w:leftChars="337" w:left="708"/>
        <w:jc w:val="both"/>
        <w:rPr>
          <w:sz w:val="24"/>
          <w:lang w:eastAsia="zh-CN"/>
        </w:rPr>
      </w:pPr>
      <w:r>
        <w:rPr>
          <w:b/>
          <w:bCs/>
          <w:sz w:val="24"/>
          <w:lang w:eastAsia="zh-CN"/>
        </w:rPr>
        <w:t>性能标准来源：</w:t>
      </w:r>
      <w:r>
        <w:rPr>
          <w:sz w:val="24"/>
          <w:lang w:eastAsia="zh-CN"/>
        </w:rPr>
        <w:t>FDA</w:t>
      </w:r>
      <w:r>
        <w:rPr>
          <w:sz w:val="24"/>
          <w:lang w:eastAsia="zh-CN"/>
        </w:rPr>
        <w:t>指导文件</w:t>
      </w:r>
      <w:r>
        <w:rPr>
          <w:color w:val="0000FF"/>
          <w:sz w:val="24"/>
          <w:lang w:eastAsia="zh-CN"/>
        </w:rPr>
        <w:t>：</w:t>
      </w:r>
      <w:hyperlink r:id="rId21" w:history="1">
        <w:r>
          <w:rPr>
            <w:rStyle w:val="a9"/>
            <w:color w:val="0000FF"/>
            <w:sz w:val="24"/>
            <w:lang w:eastAsia="zh-CN"/>
          </w:rPr>
          <w:t>磁共振诊断器械上市前</w:t>
        </w:r>
      </w:hyperlink>
      <w:hyperlink r:id="rId22" w:history="1">
        <w:r>
          <w:rPr>
            <w:rFonts w:hint="eastAsia"/>
            <w:lang w:eastAsia="zh-CN"/>
          </w:rPr>
          <w:t>告知</w:t>
        </w:r>
        <w:r>
          <w:rPr>
            <w:rStyle w:val="a9"/>
            <w:color w:val="0000FF"/>
            <w:sz w:val="24"/>
            <w:lang w:eastAsia="zh-CN"/>
          </w:rPr>
          <w:t>的提交</w:t>
        </w:r>
      </w:hyperlink>
      <w:hyperlink w:anchor="bookmark13" w:tooltip="当前文件">
        <w:r>
          <w:rPr>
            <w:sz w:val="24"/>
            <w:vertAlign w:val="superscript"/>
            <w:lang w:eastAsia="zh-CN"/>
          </w:rPr>
          <w:t>8</w:t>
        </w:r>
      </w:hyperlink>
    </w:p>
    <w:p w14:paraId="40CE97A5" w14:textId="77777777" w:rsidR="00F17F72" w:rsidRDefault="00000000">
      <w:pPr>
        <w:snapToGrid w:val="0"/>
        <w:spacing w:beforeLines="50" w:before="120"/>
        <w:ind w:leftChars="337" w:left="708"/>
        <w:jc w:val="both"/>
        <w:rPr>
          <w:sz w:val="24"/>
          <w:lang w:eastAsia="zh-CN"/>
        </w:rPr>
      </w:pPr>
      <w:r>
        <w:rPr>
          <w:b/>
          <w:bCs/>
          <w:sz w:val="24"/>
          <w:lang w:eastAsia="zh-CN"/>
        </w:rPr>
        <w:t>其他考虑因素：</w:t>
      </w:r>
      <w:r>
        <w:rPr>
          <w:sz w:val="24"/>
          <w:lang w:eastAsia="zh-CN"/>
        </w:rPr>
        <w:t>由于该评估的主观性，您应该提供少量具有代表性的临床图像。此外，对这些临床样本图像的审查将作为线圈与磁共振系统互操作性的间接评估。</w:t>
      </w:r>
    </w:p>
    <w:p w14:paraId="509C7D8A" w14:textId="77777777" w:rsidR="00F17F72" w:rsidRDefault="00000000">
      <w:pPr>
        <w:snapToGrid w:val="0"/>
        <w:spacing w:beforeLines="50" w:before="120"/>
        <w:ind w:leftChars="337" w:left="708"/>
        <w:jc w:val="both"/>
        <w:rPr>
          <w:sz w:val="24"/>
          <w:lang w:eastAsia="zh-CN"/>
        </w:rPr>
      </w:pPr>
      <w:r>
        <w:rPr>
          <w:b/>
          <w:bCs/>
          <w:sz w:val="24"/>
          <w:lang w:eastAsia="zh-CN"/>
        </w:rPr>
        <w:t>申请信息：</w:t>
      </w:r>
      <w:r>
        <w:rPr>
          <w:sz w:val="24"/>
          <w:lang w:eastAsia="zh-CN"/>
        </w:rPr>
        <w:t>美国委员会认证的医生或国际同等资格的医生（如放射科医生、放射肿瘤学家）的声明包括其检查的序列和解剖区域的说明，以及少量有代表性的临床图像集合，包括对目标解剖部位的说明、使用的扫描参数，以及每张图像的总成像时间。</w:t>
      </w:r>
    </w:p>
    <w:p w14:paraId="1E8906DA" w14:textId="77777777" w:rsidR="00F17F72" w:rsidRDefault="00000000">
      <w:pPr>
        <w:pStyle w:val="x3"/>
        <w:spacing w:before="120"/>
        <w:ind w:left="812" w:hanging="812"/>
        <w:rPr>
          <w:sz w:val="24"/>
          <w:lang w:eastAsia="zh-CN"/>
        </w:rPr>
      </w:pPr>
      <w:r>
        <w:rPr>
          <w:b/>
          <w:bCs/>
          <w:sz w:val="24"/>
          <w:lang w:eastAsia="zh-CN"/>
        </w:rPr>
        <w:t>5.</w:t>
      </w:r>
      <w:r>
        <w:rPr>
          <w:b/>
          <w:bCs/>
          <w:sz w:val="24"/>
          <w:lang w:eastAsia="zh-CN"/>
        </w:rPr>
        <w:tab/>
      </w:r>
      <w:r>
        <w:rPr>
          <w:b/>
          <w:bCs/>
          <w:sz w:val="24"/>
          <w:lang w:eastAsia="zh-CN"/>
        </w:rPr>
        <w:t>测试名称：</w:t>
      </w:r>
      <w:r>
        <w:rPr>
          <w:sz w:val="24"/>
          <w:lang w:eastAsia="zh-CN"/>
        </w:rPr>
        <w:t>去</w:t>
      </w:r>
      <w:proofErr w:type="gramStart"/>
      <w:r>
        <w:rPr>
          <w:sz w:val="24"/>
          <w:lang w:eastAsia="zh-CN"/>
        </w:rPr>
        <w:t>耦</w:t>
      </w:r>
      <w:proofErr w:type="gramEnd"/>
      <w:r>
        <w:rPr>
          <w:sz w:val="24"/>
          <w:lang w:eastAsia="zh-CN"/>
        </w:rPr>
        <w:t>电路</w:t>
      </w:r>
    </w:p>
    <w:p w14:paraId="09D8AC5F" w14:textId="77777777" w:rsidR="00F17F72" w:rsidRDefault="00000000">
      <w:pPr>
        <w:tabs>
          <w:tab w:val="left" w:pos="1462"/>
        </w:tabs>
        <w:snapToGrid w:val="0"/>
        <w:spacing w:beforeLines="50" w:before="120"/>
        <w:ind w:leftChars="337" w:left="708"/>
        <w:jc w:val="both"/>
        <w:rPr>
          <w:sz w:val="24"/>
          <w:lang w:eastAsia="zh-CN"/>
        </w:rPr>
      </w:pPr>
      <w:r>
        <w:rPr>
          <w:b/>
          <w:bCs/>
          <w:sz w:val="24"/>
          <w:lang w:eastAsia="zh-CN"/>
        </w:rPr>
        <w:t>方法：</w:t>
      </w:r>
      <w:r>
        <w:rPr>
          <w:sz w:val="24"/>
          <w:lang w:eastAsia="zh-CN"/>
        </w:rPr>
        <w:t>电路图检查</w:t>
      </w:r>
    </w:p>
    <w:p w14:paraId="58595D73" w14:textId="77777777" w:rsidR="00F17F72" w:rsidRDefault="00000000">
      <w:pPr>
        <w:tabs>
          <w:tab w:val="left" w:pos="1462"/>
        </w:tabs>
        <w:snapToGrid w:val="0"/>
        <w:spacing w:beforeLines="50" w:before="120"/>
        <w:ind w:leftChars="337" w:left="708"/>
        <w:jc w:val="both"/>
        <w:rPr>
          <w:sz w:val="24"/>
          <w:lang w:eastAsia="zh-CN"/>
        </w:rPr>
      </w:pPr>
      <w:r>
        <w:rPr>
          <w:b/>
          <w:bCs/>
          <w:sz w:val="24"/>
          <w:lang w:eastAsia="zh-CN"/>
        </w:rPr>
        <w:t>性能标准：</w:t>
      </w:r>
      <w:r>
        <w:rPr>
          <w:sz w:val="24"/>
          <w:lang w:eastAsia="zh-CN"/>
        </w:rPr>
        <w:t>解耦机制的出现</w:t>
      </w:r>
    </w:p>
    <w:p w14:paraId="7762F3AB" w14:textId="77777777" w:rsidR="00F17F72" w:rsidRDefault="00000000">
      <w:pPr>
        <w:snapToGrid w:val="0"/>
        <w:spacing w:beforeLines="50" w:before="120"/>
        <w:jc w:val="both"/>
        <w:rPr>
          <w:sz w:val="18"/>
          <w:szCs w:val="18"/>
        </w:rPr>
      </w:pPr>
      <w:bookmarkStart w:id="14" w:name="bookmark13"/>
      <w:r>
        <w:rPr>
          <w:sz w:val="18"/>
          <w:szCs w:val="18"/>
          <w:lang w:eastAsia="zh-CN"/>
        </w:rPr>
        <w:t>___________________________</w:t>
      </w:r>
    </w:p>
    <w:p w14:paraId="2A2AE0BB" w14:textId="77777777" w:rsidR="00F17F72" w:rsidRDefault="00000000">
      <w:pPr>
        <w:tabs>
          <w:tab w:val="left" w:pos="115"/>
        </w:tabs>
        <w:snapToGrid w:val="0"/>
        <w:spacing w:beforeLines="50" w:before="120"/>
      </w:pPr>
      <w:r>
        <w:rPr>
          <w:sz w:val="18"/>
          <w:szCs w:val="18"/>
          <w:vertAlign w:val="superscript"/>
          <w:lang w:eastAsia="zh-CN"/>
        </w:rPr>
        <w:t>8</w:t>
      </w:r>
      <w:r>
        <w:rPr>
          <w:sz w:val="18"/>
          <w:szCs w:val="18"/>
          <w:lang w:eastAsia="zh-CN"/>
        </w:rPr>
        <w:tab/>
      </w:r>
      <w:proofErr w:type="gramStart"/>
      <w:r>
        <w:rPr>
          <w:sz w:val="18"/>
          <w:szCs w:val="18"/>
          <w:lang w:eastAsia="zh-CN"/>
        </w:rPr>
        <w:t>请访问</w:t>
      </w:r>
      <w:proofErr w:type="gramEnd"/>
      <w:r>
        <w:fldChar w:fldCharType="begin"/>
      </w:r>
      <w:r>
        <w:rPr>
          <w:color w:val="0000FF"/>
        </w:rPr>
        <w:instrText xml:space="preserve"> HYPERLINK "https://www.fda.gov/regulatory-information/search-fda-guidance-documents/submission-premarket-notifications-magnetic-resonance-diagnostic-devices" </w:instrText>
      </w:r>
      <w:r>
        <w:fldChar w:fldCharType="separate"/>
      </w:r>
      <w:r>
        <w:rPr>
          <w:rStyle w:val="a9"/>
          <w:color w:val="0000FF"/>
          <w:sz w:val="18"/>
          <w:szCs w:val="18"/>
          <w:lang w:eastAsia="zh-CN"/>
        </w:rPr>
        <w:t>https://www.fda.gov/regulatorv-information/search-fda-guidance-documents/submission-premarket-</w:t>
      </w:r>
      <w:bookmarkEnd w:id="14"/>
      <w:r>
        <w:rPr>
          <w:rStyle w:val="a9"/>
          <w:color w:val="0000FF"/>
          <w:sz w:val="18"/>
          <w:szCs w:val="18"/>
          <w:lang w:eastAsia="zh-CN"/>
        </w:rPr>
        <w:fldChar w:fldCharType="end"/>
      </w:r>
      <w:hyperlink r:id="rId23" w:history="1">
        <w:r>
          <w:rPr>
            <w:rStyle w:val="a9"/>
            <w:color w:val="0000FF"/>
            <w:sz w:val="18"/>
            <w:szCs w:val="18"/>
            <w:lang w:eastAsia="zh-CN"/>
          </w:rPr>
          <w:t>notifications-magnetic-resonance-diagnostic-devices</w:t>
        </w:r>
      </w:hyperlink>
      <w:r>
        <w:rPr>
          <w:lang w:eastAsia="zh-CN"/>
        </w:rPr>
        <w:br w:type="page"/>
      </w:r>
    </w:p>
    <w:p w14:paraId="49FC3848" w14:textId="77777777" w:rsidR="00F17F72" w:rsidRDefault="00000000">
      <w:pPr>
        <w:snapToGrid w:val="0"/>
        <w:spacing w:beforeLines="50" w:before="120"/>
        <w:ind w:leftChars="337" w:left="708"/>
        <w:jc w:val="both"/>
        <w:rPr>
          <w:color w:val="0000FF"/>
          <w:sz w:val="24"/>
          <w:lang w:eastAsia="zh-CN"/>
        </w:rPr>
      </w:pPr>
      <w:r>
        <w:rPr>
          <w:b/>
          <w:bCs/>
          <w:sz w:val="24"/>
          <w:lang w:eastAsia="zh-CN"/>
        </w:rPr>
        <w:lastRenderedPageBreak/>
        <w:t>性能标准来源：</w:t>
      </w:r>
      <w:r>
        <w:rPr>
          <w:sz w:val="24"/>
          <w:lang w:eastAsia="zh-CN"/>
        </w:rPr>
        <w:t>FDA</w:t>
      </w:r>
      <w:r>
        <w:rPr>
          <w:sz w:val="24"/>
          <w:lang w:eastAsia="zh-CN"/>
        </w:rPr>
        <w:t>指导文件：</w:t>
      </w:r>
      <w:r>
        <w:fldChar w:fldCharType="begin"/>
      </w:r>
      <w:r>
        <w:rPr>
          <w:color w:val="0000FF"/>
          <w:sz w:val="24"/>
          <w:lang w:eastAsia="zh-CN"/>
        </w:rPr>
        <w:instrText xml:space="preserve"> HYPERLINK "https://www.fda.gov/regulatory-information/search-fda-guidance-documents/submission-premarket-notifications-magnetic-resonance-diagnostic-" </w:instrText>
      </w:r>
      <w:r>
        <w:fldChar w:fldCharType="separate"/>
      </w:r>
      <w:r>
        <w:rPr>
          <w:rStyle w:val="a9"/>
          <w:color w:val="0000FF"/>
          <w:sz w:val="24"/>
          <w:lang w:eastAsia="zh-CN"/>
        </w:rPr>
        <w:t>磁共振诊断器械上市前</w:t>
      </w:r>
      <w:r>
        <w:rPr>
          <w:rStyle w:val="a9"/>
          <w:color w:val="0000FF"/>
          <w:sz w:val="24"/>
          <w:lang w:eastAsia="zh-CN"/>
        </w:rPr>
        <w:fldChar w:fldCharType="end"/>
      </w:r>
      <w:r>
        <w:rPr>
          <w:color w:val="0000FF"/>
          <w:sz w:val="24"/>
          <w:u w:val="single"/>
          <w:lang w:eastAsia="zh-CN"/>
        </w:rPr>
        <w:t xml:space="preserve"> </w:t>
      </w:r>
      <w:hyperlink r:id="rId24" w:history="1">
        <w:r>
          <w:rPr>
            <w:rStyle w:val="a9"/>
            <w:color w:val="0000FF"/>
            <w:sz w:val="24"/>
            <w:lang w:eastAsia="zh-CN"/>
          </w:rPr>
          <w:t>通知的提交</w:t>
        </w:r>
      </w:hyperlink>
    </w:p>
    <w:p w14:paraId="6C07ED88" w14:textId="77777777" w:rsidR="00F17F72" w:rsidRDefault="00000000">
      <w:pPr>
        <w:snapToGrid w:val="0"/>
        <w:spacing w:beforeLines="50" w:before="120"/>
        <w:ind w:leftChars="337" w:left="708"/>
        <w:jc w:val="both"/>
        <w:rPr>
          <w:sz w:val="24"/>
          <w:lang w:eastAsia="zh-CN"/>
        </w:rPr>
      </w:pPr>
      <w:r>
        <w:rPr>
          <w:b/>
          <w:bCs/>
          <w:sz w:val="24"/>
          <w:lang w:eastAsia="zh-CN"/>
        </w:rPr>
        <w:t>申请信息：</w:t>
      </w:r>
      <w:r>
        <w:rPr>
          <w:sz w:val="24"/>
          <w:lang w:eastAsia="zh-CN"/>
        </w:rPr>
        <w:t>解耦机制说明及电路图</w:t>
      </w:r>
    </w:p>
    <w:p w14:paraId="07307046" w14:textId="77777777" w:rsidR="00F17F72" w:rsidRDefault="00000000">
      <w:pPr>
        <w:pStyle w:val="x3"/>
        <w:spacing w:before="120"/>
        <w:ind w:left="812" w:hanging="812"/>
        <w:rPr>
          <w:sz w:val="24"/>
          <w:lang w:eastAsia="zh-CN"/>
        </w:rPr>
      </w:pPr>
      <w:r>
        <w:rPr>
          <w:b/>
          <w:bCs/>
          <w:sz w:val="24"/>
          <w:lang w:eastAsia="zh-CN"/>
        </w:rPr>
        <w:t>6.</w:t>
      </w:r>
      <w:r>
        <w:rPr>
          <w:b/>
          <w:bCs/>
          <w:sz w:val="24"/>
          <w:lang w:eastAsia="zh-CN"/>
        </w:rPr>
        <w:tab/>
      </w:r>
      <w:r>
        <w:rPr>
          <w:b/>
          <w:bCs/>
          <w:sz w:val="24"/>
          <w:lang w:eastAsia="zh-CN"/>
        </w:rPr>
        <w:t>测试名称：</w:t>
      </w:r>
      <w:r>
        <w:rPr>
          <w:sz w:val="24"/>
          <w:lang w:eastAsia="zh-CN"/>
        </w:rPr>
        <w:t>EMC-</w:t>
      </w:r>
      <w:r>
        <w:rPr>
          <w:sz w:val="24"/>
          <w:lang w:eastAsia="zh-CN"/>
        </w:rPr>
        <w:t>抗扰度、静电放电</w:t>
      </w:r>
    </w:p>
    <w:p w14:paraId="684FD643" w14:textId="77777777" w:rsidR="00F17F72" w:rsidRDefault="00000000">
      <w:pPr>
        <w:snapToGrid w:val="0"/>
        <w:spacing w:beforeLines="50" w:before="120"/>
        <w:ind w:leftChars="337" w:left="708"/>
        <w:jc w:val="both"/>
        <w:rPr>
          <w:sz w:val="24"/>
          <w:lang w:eastAsia="zh-CN"/>
        </w:rPr>
      </w:pPr>
      <w:r>
        <w:rPr>
          <w:b/>
          <w:bCs/>
          <w:sz w:val="24"/>
          <w:lang w:eastAsia="zh-CN"/>
        </w:rPr>
        <w:t>方法：</w:t>
      </w:r>
      <w:r>
        <w:rPr>
          <w:sz w:val="24"/>
          <w:lang w:eastAsia="zh-CN"/>
        </w:rPr>
        <w:t>FDA</w:t>
      </w:r>
      <w:r>
        <w:rPr>
          <w:sz w:val="24"/>
          <w:lang w:eastAsia="zh-CN"/>
        </w:rPr>
        <w:t>目前认可的</w:t>
      </w:r>
      <w:r>
        <w:rPr>
          <w:sz w:val="24"/>
          <w:lang w:eastAsia="zh-CN"/>
        </w:rPr>
        <w:t>IEC 60601-1-2</w:t>
      </w:r>
      <w:r>
        <w:rPr>
          <w:sz w:val="24"/>
          <w:lang w:eastAsia="zh-CN"/>
        </w:rPr>
        <w:t>版本：</w:t>
      </w:r>
      <w:r>
        <w:rPr>
          <w:i/>
          <w:iCs/>
          <w:sz w:val="24"/>
          <w:lang w:eastAsia="zh-CN"/>
        </w:rPr>
        <w:t>医用电气设备</w:t>
      </w:r>
      <w:r>
        <w:rPr>
          <w:i/>
          <w:iCs/>
          <w:sz w:val="24"/>
          <w:lang w:eastAsia="zh-CN"/>
        </w:rPr>
        <w:t>-</w:t>
      </w:r>
      <w:r>
        <w:rPr>
          <w:i/>
          <w:iCs/>
          <w:sz w:val="24"/>
          <w:lang w:eastAsia="zh-CN"/>
        </w:rPr>
        <w:t>第</w:t>
      </w:r>
      <w:r>
        <w:rPr>
          <w:i/>
          <w:iCs/>
          <w:sz w:val="24"/>
          <w:lang w:eastAsia="zh-CN"/>
        </w:rPr>
        <w:t>1-2</w:t>
      </w:r>
      <w:r>
        <w:rPr>
          <w:i/>
          <w:iCs/>
          <w:sz w:val="24"/>
          <w:lang w:eastAsia="zh-CN"/>
        </w:rPr>
        <w:t>部分：基本安全和基本性能的通用要求</w:t>
      </w:r>
      <w:r>
        <w:rPr>
          <w:i/>
          <w:iCs/>
          <w:sz w:val="24"/>
          <w:lang w:eastAsia="zh-CN"/>
        </w:rPr>
        <w:t xml:space="preserve"> - </w:t>
      </w:r>
      <w:r>
        <w:rPr>
          <w:i/>
          <w:iCs/>
          <w:sz w:val="24"/>
          <w:lang w:eastAsia="zh-CN"/>
        </w:rPr>
        <w:t>并列标准：电磁干扰</w:t>
      </w:r>
      <w:r>
        <w:rPr>
          <w:i/>
          <w:iCs/>
          <w:sz w:val="24"/>
          <w:lang w:eastAsia="zh-CN"/>
        </w:rPr>
        <w:t xml:space="preserve"> - </w:t>
      </w:r>
      <w:r>
        <w:rPr>
          <w:i/>
          <w:iCs/>
          <w:sz w:val="24"/>
          <w:lang w:eastAsia="zh-CN"/>
        </w:rPr>
        <w:t>要求和测试</w:t>
      </w:r>
    </w:p>
    <w:p w14:paraId="59DBC851" w14:textId="77777777" w:rsidR="00F17F72" w:rsidRDefault="00000000">
      <w:pPr>
        <w:snapToGrid w:val="0"/>
        <w:spacing w:beforeLines="50" w:before="120"/>
        <w:ind w:leftChars="337" w:left="708"/>
        <w:jc w:val="both"/>
        <w:rPr>
          <w:sz w:val="24"/>
          <w:lang w:eastAsia="zh-CN"/>
        </w:rPr>
      </w:pPr>
      <w:r>
        <w:rPr>
          <w:b/>
          <w:bCs/>
          <w:sz w:val="24"/>
          <w:lang w:eastAsia="zh-CN"/>
        </w:rPr>
        <w:t>性能标准：</w:t>
      </w:r>
      <w:r>
        <w:rPr>
          <w:sz w:val="24"/>
          <w:lang w:eastAsia="zh-CN"/>
        </w:rPr>
        <w:t>±8 kV</w:t>
      </w:r>
      <w:r>
        <w:rPr>
          <w:sz w:val="24"/>
          <w:lang w:eastAsia="zh-CN"/>
        </w:rPr>
        <w:t>接触放电，</w:t>
      </w:r>
      <w:r>
        <w:rPr>
          <w:sz w:val="24"/>
          <w:lang w:eastAsia="zh-CN"/>
        </w:rPr>
        <w:t>±2 kV, ±4 kV, ±8 kV, ±15 kV</w:t>
      </w:r>
      <w:r>
        <w:rPr>
          <w:sz w:val="24"/>
          <w:lang w:eastAsia="zh-CN"/>
        </w:rPr>
        <w:t>空气放电</w:t>
      </w:r>
    </w:p>
    <w:p w14:paraId="5FA0AE8E" w14:textId="77777777" w:rsidR="00F17F72" w:rsidRDefault="00000000">
      <w:pPr>
        <w:snapToGrid w:val="0"/>
        <w:spacing w:beforeLines="50" w:before="120"/>
        <w:ind w:leftChars="337" w:left="708"/>
        <w:jc w:val="both"/>
        <w:rPr>
          <w:sz w:val="24"/>
          <w:lang w:eastAsia="zh-CN"/>
        </w:rPr>
      </w:pPr>
      <w:r>
        <w:rPr>
          <w:b/>
          <w:bCs/>
          <w:sz w:val="24"/>
          <w:lang w:eastAsia="zh-CN"/>
        </w:rPr>
        <w:t>性能标准来源：</w:t>
      </w:r>
      <w:r>
        <w:rPr>
          <w:sz w:val="24"/>
          <w:lang w:eastAsia="zh-CN"/>
        </w:rPr>
        <w:t>FDA</w:t>
      </w:r>
      <w:proofErr w:type="gramStart"/>
      <w:r>
        <w:rPr>
          <w:sz w:val="24"/>
          <w:lang w:eastAsia="zh-CN"/>
        </w:rPr>
        <w:t>认可共识</w:t>
      </w:r>
      <w:proofErr w:type="gramEnd"/>
      <w:r>
        <w:rPr>
          <w:sz w:val="24"/>
          <w:lang w:eastAsia="zh-CN"/>
        </w:rPr>
        <w:t>标准的当前版本</w:t>
      </w:r>
      <w:r>
        <w:rPr>
          <w:sz w:val="24"/>
          <w:lang w:eastAsia="zh-CN"/>
        </w:rPr>
        <w:t>IEC 61000-4-2</w:t>
      </w:r>
      <w:r>
        <w:rPr>
          <w:sz w:val="24"/>
          <w:lang w:eastAsia="zh-CN"/>
        </w:rPr>
        <w:t>：</w:t>
      </w:r>
      <w:r>
        <w:rPr>
          <w:i/>
          <w:iCs/>
          <w:sz w:val="24"/>
          <w:lang w:eastAsia="zh-CN"/>
        </w:rPr>
        <w:t>电磁适应性（</w:t>
      </w:r>
      <w:r>
        <w:rPr>
          <w:i/>
          <w:iCs/>
          <w:sz w:val="24"/>
          <w:lang w:eastAsia="zh-CN"/>
        </w:rPr>
        <w:t>EMC</w:t>
      </w:r>
      <w:r>
        <w:rPr>
          <w:i/>
          <w:iCs/>
          <w:sz w:val="24"/>
          <w:lang w:eastAsia="zh-CN"/>
        </w:rPr>
        <w:t>）</w:t>
      </w:r>
      <w:r>
        <w:rPr>
          <w:i/>
          <w:iCs/>
          <w:sz w:val="24"/>
          <w:lang w:eastAsia="zh-CN"/>
        </w:rPr>
        <w:t>-</w:t>
      </w:r>
      <w:r>
        <w:rPr>
          <w:i/>
          <w:iCs/>
          <w:sz w:val="24"/>
          <w:lang w:eastAsia="zh-CN"/>
        </w:rPr>
        <w:t>第</w:t>
      </w:r>
      <w:r>
        <w:rPr>
          <w:i/>
          <w:iCs/>
          <w:sz w:val="24"/>
          <w:lang w:eastAsia="zh-CN"/>
        </w:rPr>
        <w:t>4-2</w:t>
      </w:r>
      <w:r>
        <w:rPr>
          <w:i/>
          <w:iCs/>
          <w:sz w:val="24"/>
          <w:lang w:eastAsia="zh-CN"/>
        </w:rPr>
        <w:t>部分：测试和测量技术</w:t>
      </w:r>
    </w:p>
    <w:p w14:paraId="32556357" w14:textId="2DA0BF93" w:rsidR="00F17F72" w:rsidRDefault="00000000">
      <w:pPr>
        <w:snapToGrid w:val="0"/>
        <w:spacing w:beforeLines="50" w:before="120"/>
        <w:ind w:leftChars="337" w:left="708"/>
        <w:jc w:val="both"/>
        <w:rPr>
          <w:sz w:val="24"/>
          <w:lang w:eastAsia="zh-CN"/>
        </w:rPr>
      </w:pPr>
      <w:r>
        <w:rPr>
          <w:b/>
          <w:bCs/>
          <w:sz w:val="24"/>
          <w:lang w:eastAsia="zh-CN"/>
        </w:rPr>
        <w:t>其他考虑因素：</w:t>
      </w:r>
      <w:r>
        <w:rPr>
          <w:sz w:val="24"/>
          <w:lang w:eastAsia="zh-CN"/>
        </w:rPr>
        <w:t>鉴于标准中的选项，</w:t>
      </w:r>
      <w:r>
        <w:rPr>
          <w:rFonts w:hint="eastAsia"/>
          <w:sz w:val="24"/>
          <w:lang w:eastAsia="zh-CN"/>
        </w:rPr>
        <w:t>符合性声明</w:t>
      </w:r>
      <w:r>
        <w:rPr>
          <w:sz w:val="24"/>
          <w:lang w:eastAsia="zh-CN"/>
        </w:rPr>
        <w:t>应用于鉴定所选选项</w:t>
      </w:r>
    </w:p>
    <w:p w14:paraId="10D0CDB6" w14:textId="0AE22899" w:rsidR="00F17F72" w:rsidRDefault="00000000">
      <w:pPr>
        <w:snapToGrid w:val="0"/>
        <w:spacing w:beforeLines="50" w:before="120"/>
        <w:ind w:leftChars="337" w:left="708"/>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w:t>
      </w:r>
      <w:proofErr w:type="spellStart"/>
      <w:r>
        <w:rPr>
          <w:sz w:val="24"/>
          <w:lang w:eastAsia="zh-CN"/>
        </w:rPr>
        <w:t>DoC</w:t>
      </w:r>
      <w:proofErr w:type="spellEnd"/>
      <w:r>
        <w:rPr>
          <w:sz w:val="24"/>
          <w:lang w:eastAsia="zh-CN"/>
        </w:rPr>
        <w:t>）</w:t>
      </w:r>
    </w:p>
    <w:p w14:paraId="35706F13" w14:textId="77777777" w:rsidR="00F17F72" w:rsidRDefault="00000000">
      <w:pPr>
        <w:pStyle w:val="x3"/>
        <w:spacing w:before="120"/>
        <w:ind w:left="812" w:hanging="812"/>
        <w:rPr>
          <w:sz w:val="24"/>
          <w:lang w:eastAsia="zh-CN"/>
        </w:rPr>
      </w:pPr>
      <w:r>
        <w:rPr>
          <w:b/>
          <w:bCs/>
          <w:sz w:val="24"/>
          <w:lang w:eastAsia="zh-CN"/>
        </w:rPr>
        <w:t>7.</w:t>
      </w:r>
      <w:r>
        <w:rPr>
          <w:b/>
          <w:bCs/>
          <w:sz w:val="24"/>
          <w:lang w:eastAsia="zh-CN"/>
        </w:rPr>
        <w:tab/>
      </w:r>
      <w:r>
        <w:rPr>
          <w:b/>
          <w:bCs/>
          <w:sz w:val="24"/>
          <w:lang w:eastAsia="zh-CN"/>
        </w:rPr>
        <w:t>测试名称</w:t>
      </w:r>
      <w:r>
        <w:rPr>
          <w:b/>
          <w:bCs/>
          <w:sz w:val="24"/>
          <w:lang w:eastAsia="zh-CN"/>
        </w:rPr>
        <w:t>:</w:t>
      </w:r>
      <w:r>
        <w:rPr>
          <w:sz w:val="24"/>
          <w:lang w:eastAsia="zh-CN"/>
        </w:rPr>
        <w:t>一般电气</w:t>
      </w:r>
      <w:r>
        <w:rPr>
          <w:sz w:val="24"/>
          <w:lang w:eastAsia="zh-CN"/>
        </w:rPr>
        <w:t>/</w:t>
      </w:r>
      <w:r>
        <w:rPr>
          <w:sz w:val="24"/>
          <w:lang w:eastAsia="zh-CN"/>
        </w:rPr>
        <w:t>机械安全</w:t>
      </w:r>
    </w:p>
    <w:p w14:paraId="3561E8F8" w14:textId="77777777" w:rsidR="00F17F72" w:rsidRDefault="00000000">
      <w:pPr>
        <w:snapToGrid w:val="0"/>
        <w:spacing w:beforeLines="50" w:before="120"/>
        <w:ind w:leftChars="337" w:left="708"/>
        <w:jc w:val="both"/>
        <w:rPr>
          <w:sz w:val="24"/>
          <w:lang w:eastAsia="zh-CN"/>
        </w:rPr>
      </w:pPr>
      <w:r>
        <w:rPr>
          <w:b/>
          <w:bCs/>
          <w:sz w:val="24"/>
          <w:lang w:eastAsia="zh-CN"/>
        </w:rPr>
        <w:t>方法：</w:t>
      </w:r>
      <w:r>
        <w:rPr>
          <w:sz w:val="24"/>
          <w:lang w:eastAsia="zh-CN"/>
        </w:rPr>
        <w:t>FDA</w:t>
      </w:r>
      <w:r>
        <w:rPr>
          <w:sz w:val="24"/>
          <w:lang w:eastAsia="zh-CN"/>
        </w:rPr>
        <w:t>共识标准的当前版本</w:t>
      </w:r>
      <w:r>
        <w:rPr>
          <w:sz w:val="24"/>
          <w:lang w:eastAsia="zh-CN"/>
        </w:rPr>
        <w:t>AAMI/ANSI ES60601-1</w:t>
      </w:r>
      <w:r>
        <w:rPr>
          <w:sz w:val="24"/>
          <w:lang w:eastAsia="zh-CN"/>
        </w:rPr>
        <w:t>：</w:t>
      </w:r>
      <w:r>
        <w:rPr>
          <w:i/>
          <w:iCs/>
          <w:sz w:val="24"/>
          <w:lang w:eastAsia="zh-CN"/>
        </w:rPr>
        <w:t>医用电气设备</w:t>
      </w:r>
      <w:r>
        <w:rPr>
          <w:i/>
          <w:iCs/>
          <w:sz w:val="24"/>
          <w:lang w:eastAsia="zh-CN"/>
        </w:rPr>
        <w:t>-</w:t>
      </w:r>
      <w:r>
        <w:rPr>
          <w:i/>
          <w:iCs/>
          <w:sz w:val="24"/>
          <w:lang w:eastAsia="zh-CN"/>
        </w:rPr>
        <w:t>第</w:t>
      </w:r>
      <w:r>
        <w:rPr>
          <w:i/>
          <w:iCs/>
          <w:sz w:val="24"/>
          <w:lang w:eastAsia="zh-CN"/>
        </w:rPr>
        <w:t>1</w:t>
      </w:r>
      <w:r>
        <w:rPr>
          <w:i/>
          <w:iCs/>
          <w:sz w:val="24"/>
          <w:lang w:eastAsia="zh-CN"/>
        </w:rPr>
        <w:t>部分：基本安全和基本性能的通用要求</w:t>
      </w:r>
      <w:r>
        <w:rPr>
          <w:sz w:val="24"/>
          <w:lang w:eastAsia="zh-CN"/>
        </w:rPr>
        <w:t>和</w:t>
      </w:r>
      <w:r>
        <w:rPr>
          <w:sz w:val="24"/>
          <w:lang w:eastAsia="zh-CN"/>
        </w:rPr>
        <w:t>IEC 60601-2-33</w:t>
      </w:r>
      <w:r>
        <w:rPr>
          <w:i/>
          <w:sz w:val="24"/>
          <w:lang w:eastAsia="zh-CN"/>
        </w:rPr>
        <w:t>医用电气设备</w:t>
      </w:r>
      <w:r>
        <w:rPr>
          <w:sz w:val="24"/>
          <w:lang w:eastAsia="zh-CN"/>
        </w:rPr>
        <w:t>-</w:t>
      </w:r>
      <w:r>
        <w:rPr>
          <w:sz w:val="24"/>
          <w:lang w:eastAsia="zh-CN"/>
        </w:rPr>
        <w:t>第</w:t>
      </w:r>
      <w:r>
        <w:rPr>
          <w:sz w:val="24"/>
          <w:lang w:eastAsia="zh-CN"/>
        </w:rPr>
        <w:t>2-33</w:t>
      </w:r>
      <w:r>
        <w:rPr>
          <w:sz w:val="24"/>
          <w:lang w:eastAsia="zh-CN"/>
        </w:rPr>
        <w:t>部分：</w:t>
      </w:r>
      <w:r>
        <w:rPr>
          <w:i/>
          <w:iCs/>
          <w:sz w:val="24"/>
          <w:lang w:eastAsia="zh-CN"/>
        </w:rPr>
        <w:t>医疗诊断用磁共振设备的基本安全和基本性能用特殊要求</w:t>
      </w:r>
    </w:p>
    <w:p w14:paraId="08334D5C" w14:textId="77777777" w:rsidR="00F17F72" w:rsidRDefault="00000000">
      <w:pPr>
        <w:snapToGrid w:val="0"/>
        <w:spacing w:beforeLines="50" w:before="120"/>
        <w:ind w:leftChars="337" w:left="708"/>
        <w:jc w:val="both"/>
        <w:rPr>
          <w:sz w:val="24"/>
          <w:lang w:eastAsia="zh-CN"/>
        </w:rPr>
      </w:pPr>
      <w:r>
        <w:rPr>
          <w:b/>
          <w:bCs/>
          <w:sz w:val="24"/>
          <w:lang w:eastAsia="zh-CN"/>
        </w:rPr>
        <w:t>性能标准：</w:t>
      </w:r>
      <w:r>
        <w:rPr>
          <w:sz w:val="24"/>
          <w:lang w:eastAsia="zh-CN"/>
        </w:rPr>
        <w:t>证明该器械在其预期使用环境中安全运行</w:t>
      </w:r>
    </w:p>
    <w:p w14:paraId="332B7F0A" w14:textId="77777777" w:rsidR="00F17F72" w:rsidRDefault="00000000">
      <w:pPr>
        <w:snapToGrid w:val="0"/>
        <w:spacing w:beforeLines="50" w:before="120"/>
        <w:ind w:leftChars="337" w:left="708"/>
        <w:jc w:val="both"/>
        <w:rPr>
          <w:sz w:val="24"/>
          <w:lang w:eastAsia="zh-CN"/>
        </w:rPr>
      </w:pPr>
      <w:r>
        <w:rPr>
          <w:b/>
          <w:bCs/>
          <w:sz w:val="24"/>
          <w:lang w:eastAsia="zh-CN"/>
        </w:rPr>
        <w:t>性能标准来源：</w:t>
      </w:r>
      <w:r>
        <w:rPr>
          <w:sz w:val="24"/>
          <w:lang w:eastAsia="zh-CN"/>
        </w:rPr>
        <w:t>FDA</w:t>
      </w:r>
      <w:r>
        <w:rPr>
          <w:sz w:val="24"/>
          <w:lang w:eastAsia="zh-CN"/>
        </w:rPr>
        <w:t>目前认可的</w:t>
      </w:r>
      <w:r>
        <w:rPr>
          <w:sz w:val="24"/>
          <w:lang w:eastAsia="zh-CN"/>
        </w:rPr>
        <w:t>AAMI/ANSI ES60601-1</w:t>
      </w:r>
      <w:r>
        <w:rPr>
          <w:sz w:val="24"/>
          <w:lang w:eastAsia="zh-CN"/>
        </w:rPr>
        <w:t>版本：</w:t>
      </w:r>
      <w:r>
        <w:rPr>
          <w:i/>
          <w:iCs/>
          <w:sz w:val="24"/>
          <w:lang w:eastAsia="zh-CN"/>
        </w:rPr>
        <w:t>医用电气设备</w:t>
      </w:r>
      <w:r>
        <w:rPr>
          <w:i/>
          <w:iCs/>
          <w:sz w:val="24"/>
          <w:lang w:eastAsia="zh-CN"/>
        </w:rPr>
        <w:t xml:space="preserve"> - </w:t>
      </w:r>
      <w:r>
        <w:rPr>
          <w:i/>
          <w:iCs/>
          <w:sz w:val="24"/>
          <w:lang w:eastAsia="zh-CN"/>
        </w:rPr>
        <w:t>第</w:t>
      </w:r>
      <w:r>
        <w:rPr>
          <w:i/>
          <w:iCs/>
          <w:sz w:val="24"/>
          <w:lang w:eastAsia="zh-CN"/>
        </w:rPr>
        <w:t>1</w:t>
      </w:r>
      <w:r>
        <w:rPr>
          <w:i/>
          <w:iCs/>
          <w:sz w:val="24"/>
          <w:lang w:eastAsia="zh-CN"/>
        </w:rPr>
        <w:t>部分：基本安全和基本性能的通用要求</w:t>
      </w:r>
      <w:r>
        <w:rPr>
          <w:sz w:val="24"/>
          <w:lang w:eastAsia="zh-CN"/>
        </w:rPr>
        <w:t>和</w:t>
      </w:r>
      <w:r>
        <w:rPr>
          <w:sz w:val="24"/>
          <w:lang w:eastAsia="zh-CN"/>
        </w:rPr>
        <w:t>IEC 60601-2-33</w:t>
      </w:r>
      <w:r>
        <w:rPr>
          <w:sz w:val="24"/>
          <w:lang w:eastAsia="zh-CN"/>
        </w:rPr>
        <w:t>：</w:t>
      </w:r>
      <w:r>
        <w:rPr>
          <w:i/>
          <w:iCs/>
          <w:sz w:val="24"/>
          <w:lang w:eastAsia="zh-CN"/>
        </w:rPr>
        <w:t>医用电气设备</w:t>
      </w:r>
      <w:r>
        <w:rPr>
          <w:i/>
          <w:iCs/>
          <w:sz w:val="24"/>
          <w:lang w:eastAsia="zh-CN"/>
        </w:rPr>
        <w:t xml:space="preserve"> - </w:t>
      </w:r>
      <w:r>
        <w:rPr>
          <w:i/>
          <w:iCs/>
          <w:sz w:val="24"/>
          <w:lang w:eastAsia="zh-CN"/>
        </w:rPr>
        <w:t>第</w:t>
      </w:r>
      <w:r>
        <w:rPr>
          <w:i/>
          <w:iCs/>
          <w:sz w:val="24"/>
          <w:lang w:eastAsia="zh-CN"/>
        </w:rPr>
        <w:t>2-33</w:t>
      </w:r>
      <w:r>
        <w:rPr>
          <w:i/>
          <w:iCs/>
          <w:sz w:val="24"/>
          <w:lang w:eastAsia="zh-CN"/>
        </w:rPr>
        <w:t>部分：医疗诊断用磁共振设备的基本安全和基本性能用特殊要求</w:t>
      </w:r>
    </w:p>
    <w:p w14:paraId="26B57A73" w14:textId="213C1FEB" w:rsidR="00F17F72" w:rsidRDefault="00000000">
      <w:pPr>
        <w:snapToGrid w:val="0"/>
        <w:spacing w:beforeLines="50" w:before="120"/>
        <w:ind w:leftChars="337" w:left="708"/>
        <w:jc w:val="both"/>
        <w:rPr>
          <w:sz w:val="24"/>
          <w:lang w:eastAsia="zh-CN"/>
        </w:rPr>
      </w:pPr>
      <w:r>
        <w:rPr>
          <w:b/>
          <w:bCs/>
          <w:sz w:val="24"/>
          <w:lang w:eastAsia="zh-CN"/>
        </w:rPr>
        <w:t>其他考虑因素：</w:t>
      </w:r>
      <w:r>
        <w:rPr>
          <w:sz w:val="24"/>
          <w:lang w:eastAsia="zh-CN"/>
        </w:rPr>
        <w:t>鉴于标准中的选项，</w:t>
      </w:r>
      <w:r>
        <w:rPr>
          <w:rFonts w:hint="eastAsia"/>
          <w:sz w:val="24"/>
          <w:lang w:eastAsia="zh-CN"/>
        </w:rPr>
        <w:t>符合性</w:t>
      </w:r>
      <w:r>
        <w:rPr>
          <w:sz w:val="24"/>
          <w:lang w:eastAsia="zh-CN"/>
        </w:rPr>
        <w:t>声明（</w:t>
      </w:r>
      <w:proofErr w:type="spellStart"/>
      <w:r>
        <w:rPr>
          <w:sz w:val="24"/>
          <w:lang w:eastAsia="zh-CN"/>
        </w:rPr>
        <w:t>DoC</w:t>
      </w:r>
      <w:proofErr w:type="spellEnd"/>
      <w:r>
        <w:rPr>
          <w:sz w:val="24"/>
          <w:lang w:eastAsia="zh-CN"/>
        </w:rPr>
        <w:t>）应用于鉴定所选选项为确保电气</w:t>
      </w:r>
      <w:r>
        <w:rPr>
          <w:sz w:val="24"/>
          <w:lang w:eastAsia="zh-CN"/>
        </w:rPr>
        <w:t>/</w:t>
      </w:r>
      <w:r>
        <w:rPr>
          <w:sz w:val="24"/>
          <w:lang w:eastAsia="zh-CN"/>
        </w:rPr>
        <w:t>机械安全，应考虑为患者提供可拆卸线圈（例如，分体式线圈）。</w:t>
      </w:r>
    </w:p>
    <w:p w14:paraId="1B276320" w14:textId="1AA145E7" w:rsidR="00F17F72" w:rsidRDefault="00000000">
      <w:pPr>
        <w:snapToGrid w:val="0"/>
        <w:spacing w:beforeLines="50" w:before="120"/>
        <w:ind w:leftChars="337" w:left="708"/>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w:t>
      </w:r>
      <w:proofErr w:type="spellStart"/>
      <w:r>
        <w:rPr>
          <w:sz w:val="24"/>
          <w:lang w:eastAsia="zh-CN"/>
        </w:rPr>
        <w:t>DoC</w:t>
      </w:r>
      <w:proofErr w:type="spellEnd"/>
      <w:r>
        <w:rPr>
          <w:sz w:val="24"/>
          <w:lang w:eastAsia="zh-CN"/>
        </w:rPr>
        <w:t>）</w:t>
      </w:r>
    </w:p>
    <w:p w14:paraId="511271D4" w14:textId="77777777" w:rsidR="00F17F72" w:rsidRDefault="00000000">
      <w:pPr>
        <w:snapToGrid w:val="0"/>
        <w:spacing w:beforeLines="50" w:before="120"/>
        <w:jc w:val="both"/>
        <w:rPr>
          <w:sz w:val="24"/>
          <w:lang w:eastAsia="zh-CN"/>
        </w:rPr>
      </w:pPr>
      <w:r>
        <w:rPr>
          <w:b/>
          <w:bCs/>
          <w:sz w:val="24"/>
          <w:u w:val="single"/>
          <w:lang w:eastAsia="zh-CN"/>
        </w:rPr>
        <w:t>生物相容性评价</w:t>
      </w:r>
      <w:r>
        <w:rPr>
          <w:b/>
          <w:bCs/>
          <w:sz w:val="24"/>
          <w:u w:val="single"/>
          <w:lang w:eastAsia="zh-CN"/>
        </w:rPr>
        <w:t>:</w:t>
      </w:r>
    </w:p>
    <w:p w14:paraId="4BA5BC7D" w14:textId="77777777" w:rsidR="00F17F72" w:rsidRDefault="00000000">
      <w:pPr>
        <w:snapToGrid w:val="0"/>
        <w:spacing w:beforeLines="50" w:before="120"/>
        <w:jc w:val="both"/>
        <w:rPr>
          <w:sz w:val="24"/>
          <w:lang w:eastAsia="zh-CN"/>
        </w:rPr>
      </w:pPr>
      <w:r>
        <w:rPr>
          <w:sz w:val="24"/>
          <w:lang w:eastAsia="zh-CN"/>
        </w:rPr>
        <w:t>为了确定生物相容性终点，将其作为生物相容性评估的一部分，您应该采用医疗器械和辐射健康中心</w:t>
      </w:r>
      <w:r>
        <w:rPr>
          <w:sz w:val="24"/>
          <w:lang w:eastAsia="zh-CN"/>
        </w:rPr>
        <w:t>(CDRH)</w:t>
      </w:r>
      <w:r>
        <w:rPr>
          <w:sz w:val="24"/>
          <w:lang w:eastAsia="zh-CN"/>
        </w:rPr>
        <w:t>指南的附件</w:t>
      </w:r>
      <w:r>
        <w:rPr>
          <w:sz w:val="24"/>
          <w:lang w:eastAsia="zh-CN"/>
        </w:rPr>
        <w:t>A</w:t>
      </w:r>
      <w:r>
        <w:fldChar w:fldCharType="begin"/>
      </w:r>
      <w:r>
        <w:rPr>
          <w:lang w:eastAsia="zh-CN"/>
        </w:rPr>
        <w:instrText xml:space="preserve"> HYPERLINK "https://www.fda.gov/regulatory-information/search-fda-guidance-documents/use-international-standard-iso-10993-1-biological-evaluation-medical-devices-part-1-evaluation-and" </w:instrText>
      </w:r>
      <w:r>
        <w:fldChar w:fldCharType="separate"/>
      </w:r>
      <w:r>
        <w:rPr>
          <w:rStyle w:val="a9"/>
          <w:color w:val="0000FF"/>
          <w:sz w:val="24"/>
          <w:lang w:eastAsia="zh-CN"/>
        </w:rPr>
        <w:t>使用国际标准</w:t>
      </w:r>
      <w:r>
        <w:rPr>
          <w:rStyle w:val="a9"/>
          <w:color w:val="0000FF"/>
          <w:sz w:val="24"/>
          <w:lang w:eastAsia="zh-CN"/>
        </w:rPr>
        <w:t>ISO 10993-1</w:t>
      </w:r>
      <w:r>
        <w:rPr>
          <w:rStyle w:val="a9"/>
          <w:color w:val="0000FF"/>
          <w:sz w:val="24"/>
          <w:lang w:eastAsia="zh-CN"/>
        </w:rPr>
        <w:t>，医疗器械生物学评价</w:t>
      </w:r>
      <w:r>
        <w:rPr>
          <w:rStyle w:val="a9"/>
          <w:color w:val="0000FF"/>
          <w:sz w:val="24"/>
          <w:lang w:eastAsia="zh-CN"/>
        </w:rPr>
        <w:t>-</w:t>
      </w:r>
      <w:r>
        <w:rPr>
          <w:rStyle w:val="a9"/>
          <w:color w:val="0000FF"/>
          <w:sz w:val="24"/>
          <w:lang w:eastAsia="zh-CN"/>
        </w:rPr>
        <w:fldChar w:fldCharType="end"/>
      </w:r>
      <w:r>
        <w:rPr>
          <w:color w:val="0000FF"/>
          <w:sz w:val="24"/>
          <w:u w:val="single"/>
          <w:lang w:eastAsia="zh-CN"/>
        </w:rPr>
        <w:t xml:space="preserve"> </w:t>
      </w:r>
      <w:r>
        <w:fldChar w:fldCharType="begin"/>
      </w:r>
      <w:r>
        <w:rPr>
          <w:lang w:eastAsia="zh-CN"/>
        </w:rPr>
        <w:instrText xml:space="preserve"> HYPERLINK "https://www.fda.gov/regulatory-information/search-fda-guidance-documents/use-international-standard-iso-10993-1-biological-evaluation-medical-devices-part-1-evaluation-and" </w:instrText>
      </w:r>
      <w:r>
        <w:fldChar w:fldCharType="separate"/>
      </w:r>
      <w:r>
        <w:rPr>
          <w:rStyle w:val="a9"/>
          <w:color w:val="0000FF"/>
          <w:sz w:val="24"/>
          <w:lang w:eastAsia="zh-CN"/>
        </w:rPr>
        <w:t>第</w:t>
      </w:r>
      <w:r>
        <w:rPr>
          <w:rStyle w:val="a9"/>
          <w:color w:val="0000FF"/>
          <w:sz w:val="24"/>
          <w:lang w:eastAsia="zh-CN"/>
        </w:rPr>
        <w:t>1</w:t>
      </w:r>
      <w:r>
        <w:rPr>
          <w:rStyle w:val="a9"/>
          <w:color w:val="0000FF"/>
          <w:sz w:val="24"/>
          <w:lang w:eastAsia="zh-CN"/>
        </w:rPr>
        <w:t>部分：风险管理过程中的评价与试验</w:t>
      </w:r>
      <w:r>
        <w:rPr>
          <w:rStyle w:val="a9"/>
          <w:color w:val="0000FF"/>
          <w:sz w:val="24"/>
          <w:lang w:eastAsia="zh-CN"/>
        </w:rPr>
        <w:fldChar w:fldCharType="end"/>
      </w:r>
      <w:r>
        <w:rPr>
          <w:sz w:val="24"/>
          <w:u w:val="single"/>
          <w:lang w:eastAsia="zh-CN"/>
        </w:rPr>
        <w:t>,</w:t>
      </w:r>
      <w:r>
        <w:fldChar w:fldCharType="begin"/>
      </w:r>
      <w:r>
        <w:rPr>
          <w:lang w:eastAsia="zh-CN"/>
        </w:rPr>
        <w:instrText xml:space="preserve"> HYPERLINK \l "bookmark14" \o "</w:instrText>
      </w:r>
      <w:r>
        <w:rPr>
          <w:lang w:eastAsia="zh-CN"/>
        </w:rPr>
        <w:instrText>当前文件</w:instrText>
      </w:r>
      <w:r>
        <w:rPr>
          <w:lang w:eastAsia="zh-CN"/>
        </w:rPr>
        <w:instrText xml:space="preserve">" \h </w:instrText>
      </w:r>
      <w:r>
        <w:fldChar w:fldCharType="separate"/>
      </w:r>
      <w:r>
        <w:rPr>
          <w:sz w:val="24"/>
          <w:vertAlign w:val="superscript"/>
          <w:lang w:eastAsia="zh-CN"/>
        </w:rPr>
        <w:t>9</w:t>
      </w:r>
      <w:r>
        <w:rPr>
          <w:sz w:val="24"/>
          <w:vertAlign w:val="superscript"/>
          <w:lang w:eastAsia="zh-CN"/>
        </w:rPr>
        <w:fldChar w:fldCharType="end"/>
      </w:r>
      <w:r>
        <w:rPr>
          <w:sz w:val="24"/>
          <w:lang w:eastAsia="zh-CN"/>
        </w:rPr>
        <w:t>为简洁起见，本文件其他部分称之为</w:t>
      </w:r>
      <w:r>
        <w:rPr>
          <w:sz w:val="24"/>
          <w:lang w:eastAsia="zh-CN"/>
        </w:rPr>
        <w:t>CDRH</w:t>
      </w:r>
      <w:r>
        <w:rPr>
          <w:sz w:val="24"/>
          <w:lang w:eastAsia="zh-CN"/>
        </w:rPr>
        <w:t>生物相容性指南。</w:t>
      </w:r>
      <w:r>
        <w:rPr>
          <w:sz w:val="24"/>
          <w:lang w:eastAsia="zh-CN"/>
        </w:rPr>
        <w:t>FDA</w:t>
      </w:r>
      <w:r>
        <w:rPr>
          <w:sz w:val="24"/>
          <w:lang w:eastAsia="zh-CN"/>
        </w:rPr>
        <w:t>认为该指南所涵盖的器械属于可接触完整皮肤并且持续时间</w:t>
      </w:r>
      <w:r>
        <w:rPr>
          <w:sz w:val="24"/>
          <w:lang w:eastAsia="zh-CN"/>
        </w:rPr>
        <w:t>≤ 24</w:t>
      </w:r>
      <w:r>
        <w:rPr>
          <w:sz w:val="24"/>
          <w:lang w:eastAsia="zh-CN"/>
        </w:rPr>
        <w:t>小时的表面器械，您应根据</w:t>
      </w:r>
      <w:r>
        <w:rPr>
          <w:sz w:val="24"/>
          <w:lang w:eastAsia="zh-CN"/>
        </w:rPr>
        <w:t>CDRH</w:t>
      </w:r>
      <w:r>
        <w:rPr>
          <w:sz w:val="24"/>
          <w:lang w:eastAsia="zh-CN"/>
        </w:rPr>
        <w:t>生物相容性指南附件</w:t>
      </w:r>
      <w:r>
        <w:rPr>
          <w:sz w:val="24"/>
          <w:lang w:eastAsia="zh-CN"/>
        </w:rPr>
        <w:t>A</w:t>
      </w:r>
      <w:r>
        <w:rPr>
          <w:sz w:val="24"/>
          <w:lang w:eastAsia="zh-CN"/>
        </w:rPr>
        <w:t>评估以下终点。</w:t>
      </w:r>
    </w:p>
    <w:p w14:paraId="303CE585" w14:textId="77777777" w:rsidR="00F17F72" w:rsidRDefault="00F17F72">
      <w:pPr>
        <w:snapToGrid w:val="0"/>
        <w:spacing w:beforeLines="50" w:before="120"/>
        <w:jc w:val="both"/>
        <w:rPr>
          <w:sz w:val="24"/>
          <w:lang w:eastAsia="zh-CN"/>
        </w:rPr>
      </w:pPr>
    </w:p>
    <w:p w14:paraId="2B3DFE8D" w14:textId="77777777" w:rsidR="00F17F72" w:rsidRDefault="00F17F72">
      <w:pPr>
        <w:snapToGrid w:val="0"/>
        <w:spacing w:beforeLines="50" w:before="120"/>
        <w:jc w:val="both"/>
        <w:rPr>
          <w:sz w:val="24"/>
          <w:lang w:eastAsia="zh-CN"/>
        </w:rPr>
      </w:pPr>
    </w:p>
    <w:p w14:paraId="045B3BE5" w14:textId="77777777" w:rsidR="00F17F72" w:rsidRDefault="00F17F72">
      <w:pPr>
        <w:snapToGrid w:val="0"/>
        <w:spacing w:beforeLines="50" w:before="120"/>
        <w:jc w:val="both"/>
        <w:rPr>
          <w:sz w:val="24"/>
          <w:lang w:eastAsia="zh-CN"/>
        </w:rPr>
      </w:pPr>
    </w:p>
    <w:p w14:paraId="3B157D69" w14:textId="77777777" w:rsidR="00F17F72" w:rsidRDefault="00000000">
      <w:pPr>
        <w:snapToGrid w:val="0"/>
        <w:spacing w:beforeLines="50" w:before="120"/>
        <w:jc w:val="both"/>
        <w:rPr>
          <w:sz w:val="18"/>
          <w:szCs w:val="18"/>
        </w:rPr>
      </w:pPr>
      <w:bookmarkStart w:id="15" w:name="bookmark14"/>
      <w:r>
        <w:rPr>
          <w:sz w:val="18"/>
          <w:szCs w:val="18"/>
          <w:lang w:eastAsia="zh-CN"/>
        </w:rPr>
        <w:t>___________________________</w:t>
      </w:r>
    </w:p>
    <w:p w14:paraId="4278E7FB" w14:textId="77777777" w:rsidR="00F17F72" w:rsidRDefault="00000000">
      <w:pPr>
        <w:tabs>
          <w:tab w:val="left" w:pos="115"/>
        </w:tabs>
        <w:snapToGrid w:val="0"/>
        <w:spacing w:beforeLines="50" w:before="120"/>
        <w:rPr>
          <w:sz w:val="18"/>
          <w:szCs w:val="18"/>
        </w:rPr>
      </w:pPr>
      <w:r>
        <w:rPr>
          <w:sz w:val="18"/>
          <w:szCs w:val="18"/>
          <w:vertAlign w:val="superscript"/>
          <w:lang w:eastAsia="zh-CN"/>
        </w:rPr>
        <w:t>9</w:t>
      </w:r>
      <w:r>
        <w:rPr>
          <w:sz w:val="18"/>
          <w:szCs w:val="18"/>
          <w:lang w:eastAsia="zh-CN"/>
        </w:rPr>
        <w:tab/>
      </w:r>
      <w:proofErr w:type="gramStart"/>
      <w:r>
        <w:rPr>
          <w:sz w:val="18"/>
          <w:szCs w:val="18"/>
          <w:lang w:eastAsia="zh-CN"/>
        </w:rPr>
        <w:t>请访问</w:t>
      </w:r>
      <w:proofErr w:type="gramEnd"/>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a9"/>
          <w:color w:val="0000FF"/>
          <w:sz w:val="18"/>
          <w:szCs w:val="18"/>
          <w:lang w:eastAsia="zh-CN"/>
        </w:rPr>
        <w:t>https://www.fda.gov/regulatory-information/search-fda-guidance-documents/use-international-</w:t>
      </w:r>
      <w:bookmarkEnd w:id="15"/>
      <w:r>
        <w:rPr>
          <w:rStyle w:val="a9"/>
          <w:color w:val="0000FF"/>
          <w:sz w:val="18"/>
          <w:szCs w:val="18"/>
          <w:lang w:eastAsia="zh-CN"/>
        </w:rPr>
        <w:fldChar w:fldCharType="end"/>
      </w:r>
      <w:hyperlink r:id="rId25" w:history="1">
        <w:r>
          <w:rPr>
            <w:rStyle w:val="a9"/>
            <w:color w:val="0000FF"/>
            <w:sz w:val="18"/>
            <w:szCs w:val="18"/>
            <w:lang w:eastAsia="zh-CN"/>
          </w:rPr>
          <w:t>standard-iso-10993-1-biological-evaluation-medical-devices-part-1-evaluation-and</w:t>
        </w:r>
      </w:hyperlink>
    </w:p>
    <w:p w14:paraId="336862EC" w14:textId="77777777" w:rsidR="00F17F72" w:rsidRDefault="00000000">
      <w:pPr>
        <w:tabs>
          <w:tab w:val="left" w:pos="115"/>
        </w:tabs>
        <w:snapToGrid w:val="0"/>
        <w:spacing w:beforeLines="50" w:before="120"/>
        <w:jc w:val="both"/>
      </w:pPr>
      <w:r>
        <w:rPr>
          <w:lang w:eastAsia="zh-CN"/>
        </w:rPr>
        <w:lastRenderedPageBreak/>
        <w:br w:type="page"/>
      </w:r>
    </w:p>
    <w:p w14:paraId="46A7D04D" w14:textId="77777777" w:rsidR="00F17F72" w:rsidRDefault="00000000">
      <w:pPr>
        <w:pStyle w:val="x2"/>
        <w:spacing w:before="120"/>
        <w:ind w:leftChars="337" w:left="1193" w:hangingChars="202" w:hanging="485"/>
        <w:rPr>
          <w:sz w:val="24"/>
          <w:szCs w:val="24"/>
          <w:lang w:eastAsia="zh-CN"/>
        </w:rPr>
      </w:pPr>
      <w:r>
        <w:rPr>
          <w:sz w:val="24"/>
          <w:szCs w:val="24"/>
          <w:lang w:eastAsia="zh-CN"/>
        </w:rPr>
        <w:lastRenderedPageBreak/>
        <w:t>•</w:t>
      </w:r>
      <w:r>
        <w:rPr>
          <w:sz w:val="24"/>
          <w:szCs w:val="24"/>
          <w:lang w:eastAsia="zh-CN"/>
        </w:rPr>
        <w:tab/>
      </w:r>
      <w:r>
        <w:rPr>
          <w:sz w:val="24"/>
          <w:szCs w:val="24"/>
          <w:lang w:eastAsia="zh-CN"/>
        </w:rPr>
        <w:t>细胞毒性</w:t>
      </w:r>
    </w:p>
    <w:p w14:paraId="2EEEE846" w14:textId="77777777" w:rsidR="00F17F72" w:rsidRDefault="00000000">
      <w:pPr>
        <w:pStyle w:val="x2"/>
        <w:spacing w:before="120"/>
        <w:ind w:leftChars="337" w:left="1193" w:hangingChars="202" w:hanging="485"/>
        <w:rPr>
          <w:sz w:val="24"/>
          <w:szCs w:val="24"/>
          <w:lang w:eastAsia="zh-CN"/>
        </w:rPr>
      </w:pPr>
      <w:r>
        <w:rPr>
          <w:sz w:val="24"/>
          <w:szCs w:val="24"/>
          <w:lang w:eastAsia="zh-CN"/>
        </w:rPr>
        <w:t>•</w:t>
      </w:r>
      <w:r>
        <w:rPr>
          <w:sz w:val="24"/>
          <w:szCs w:val="24"/>
          <w:lang w:eastAsia="zh-CN"/>
        </w:rPr>
        <w:tab/>
      </w:r>
      <w:r>
        <w:rPr>
          <w:sz w:val="24"/>
          <w:szCs w:val="24"/>
          <w:lang w:eastAsia="zh-CN"/>
        </w:rPr>
        <w:t>致敏性</w:t>
      </w:r>
    </w:p>
    <w:p w14:paraId="1E519827" w14:textId="77777777" w:rsidR="00F17F72" w:rsidRDefault="00000000">
      <w:pPr>
        <w:pStyle w:val="x2"/>
        <w:spacing w:before="120"/>
        <w:ind w:leftChars="337" w:left="1193" w:hangingChars="202" w:hanging="485"/>
        <w:rPr>
          <w:sz w:val="24"/>
          <w:szCs w:val="24"/>
          <w:lang w:eastAsia="zh-CN"/>
        </w:rPr>
      </w:pPr>
      <w:r>
        <w:rPr>
          <w:sz w:val="24"/>
          <w:szCs w:val="24"/>
          <w:lang w:eastAsia="zh-CN"/>
        </w:rPr>
        <w:t>•</w:t>
      </w:r>
      <w:r>
        <w:rPr>
          <w:sz w:val="24"/>
          <w:szCs w:val="24"/>
          <w:lang w:eastAsia="zh-CN"/>
        </w:rPr>
        <w:tab/>
      </w:r>
      <w:r>
        <w:rPr>
          <w:sz w:val="24"/>
          <w:szCs w:val="24"/>
          <w:lang w:eastAsia="zh-CN"/>
        </w:rPr>
        <w:t>刺激或皮内反应</w:t>
      </w:r>
    </w:p>
    <w:p w14:paraId="3B46D806" w14:textId="77777777" w:rsidR="00F17F72" w:rsidRDefault="00000000">
      <w:pPr>
        <w:snapToGrid w:val="0"/>
        <w:spacing w:beforeLines="50" w:before="120"/>
        <w:jc w:val="both"/>
        <w:rPr>
          <w:sz w:val="24"/>
          <w:lang w:eastAsia="zh-CN"/>
        </w:rPr>
      </w:pPr>
      <w:r>
        <w:rPr>
          <w:b/>
          <w:bCs/>
          <w:sz w:val="24"/>
          <w:lang w:eastAsia="zh-CN"/>
        </w:rPr>
        <w:t>依据替代试验：</w:t>
      </w:r>
      <w:r>
        <w:rPr>
          <w:sz w:val="24"/>
          <w:lang w:eastAsia="zh-CN"/>
        </w:rPr>
        <w:t>如果申报器械使用与实质等同器械（组织接触的类型和持续时间相同）相同的原材料和制造过程制成，并且预计几何形状的任何变化不会影响生物学反应，如果也提供了</w:t>
      </w:r>
      <w:r>
        <w:rPr>
          <w:sz w:val="24"/>
          <w:lang w:eastAsia="zh-CN"/>
        </w:rPr>
        <w:t>CDRH</w:t>
      </w:r>
      <w:r>
        <w:rPr>
          <w:sz w:val="24"/>
          <w:lang w:eastAsia="zh-CN"/>
        </w:rPr>
        <w:t>生物相容性指南的附件</w:t>
      </w:r>
      <w:r>
        <w:rPr>
          <w:sz w:val="24"/>
          <w:lang w:eastAsia="zh-CN"/>
        </w:rPr>
        <w:t>F</w:t>
      </w:r>
      <w:r>
        <w:rPr>
          <w:sz w:val="24"/>
          <w:lang w:eastAsia="zh-CN"/>
        </w:rPr>
        <w:t>中的文件，则通常足以确定生物相容性的实质等效性。</w:t>
      </w:r>
    </w:p>
    <w:p w14:paraId="27DA3F70" w14:textId="77777777" w:rsidR="00F17F72" w:rsidRDefault="00000000">
      <w:pPr>
        <w:snapToGrid w:val="0"/>
        <w:spacing w:beforeLines="50" w:before="120"/>
        <w:jc w:val="both"/>
        <w:rPr>
          <w:sz w:val="24"/>
          <w:lang w:eastAsia="zh-CN"/>
        </w:rPr>
      </w:pPr>
      <w:r>
        <w:rPr>
          <w:b/>
          <w:bCs/>
          <w:sz w:val="24"/>
          <w:lang w:eastAsia="zh-CN"/>
        </w:rPr>
        <w:t>测试：</w:t>
      </w:r>
      <w:r>
        <w:rPr>
          <w:sz w:val="24"/>
          <w:lang w:eastAsia="zh-CN"/>
        </w:rPr>
        <w:t>如果您确定需要进行试验来解决部分或所有已鉴定的生物相容性终点，</w:t>
      </w:r>
      <w:r>
        <w:rPr>
          <w:sz w:val="24"/>
          <w:lang w:eastAsia="zh-CN"/>
        </w:rPr>
        <w:t>FDA</w:t>
      </w:r>
      <w:r>
        <w:rPr>
          <w:sz w:val="24"/>
          <w:lang w:eastAsia="zh-CN"/>
        </w:rPr>
        <w:t>建议您为所有试验提供完整的试验报告，除非根据</w:t>
      </w:r>
      <w:r>
        <w:rPr>
          <w:sz w:val="24"/>
          <w:lang w:eastAsia="zh-CN"/>
        </w:rPr>
        <w:t>CDRH</w:t>
      </w:r>
      <w:r>
        <w:rPr>
          <w:sz w:val="24"/>
          <w:lang w:eastAsia="zh-CN"/>
        </w:rPr>
        <w:t>生物相容性指南附件</w:t>
      </w:r>
      <w:r>
        <w:rPr>
          <w:sz w:val="24"/>
          <w:lang w:eastAsia="zh-CN"/>
        </w:rPr>
        <w:t>E</w:t>
      </w:r>
      <w:r>
        <w:rPr>
          <w:sz w:val="24"/>
          <w:lang w:eastAsia="zh-CN"/>
        </w:rPr>
        <w:t>，可以适当提供不含补充信息的合</w:t>
      </w:r>
      <w:proofErr w:type="gramStart"/>
      <w:r>
        <w:rPr>
          <w:sz w:val="24"/>
          <w:lang w:eastAsia="zh-CN"/>
        </w:rPr>
        <w:t>规</w:t>
      </w:r>
      <w:proofErr w:type="gramEnd"/>
      <w:r>
        <w:rPr>
          <w:sz w:val="24"/>
          <w:lang w:eastAsia="zh-CN"/>
        </w:rPr>
        <w:t>声明。任何特定测试的阳性、阴性和</w:t>
      </w:r>
      <w:r>
        <w:rPr>
          <w:sz w:val="24"/>
          <w:lang w:eastAsia="zh-CN"/>
        </w:rPr>
        <w:t>/</w:t>
      </w:r>
      <w:r>
        <w:rPr>
          <w:sz w:val="24"/>
          <w:lang w:eastAsia="zh-CN"/>
        </w:rPr>
        <w:t>或试剂对照应按预期进行，且方案偏离应进行彻底说明和证明；但是，请注意，某些方案偏离可能会使下列性能标准的对比无效，并需要提交传统、特殊或简短的</w:t>
      </w:r>
      <w:r>
        <w:rPr>
          <w:sz w:val="24"/>
          <w:lang w:eastAsia="zh-CN"/>
        </w:rPr>
        <w:t>510(k)</w:t>
      </w:r>
      <w:r>
        <w:rPr>
          <w:sz w:val="24"/>
          <w:lang w:eastAsia="zh-CN"/>
        </w:rPr>
        <w:t>。</w:t>
      </w:r>
    </w:p>
    <w:p w14:paraId="7AC07CAF" w14:textId="77777777" w:rsidR="00F17F72" w:rsidRDefault="00000000">
      <w:pPr>
        <w:pStyle w:val="x3"/>
        <w:spacing w:before="120"/>
        <w:ind w:left="812" w:hanging="812"/>
        <w:rPr>
          <w:sz w:val="24"/>
          <w:lang w:eastAsia="zh-CN"/>
        </w:rPr>
      </w:pPr>
      <w:r>
        <w:rPr>
          <w:b/>
          <w:bCs/>
          <w:sz w:val="24"/>
          <w:lang w:eastAsia="zh-CN"/>
        </w:rPr>
        <w:t>8.</w:t>
      </w:r>
      <w:r>
        <w:rPr>
          <w:b/>
          <w:bCs/>
          <w:sz w:val="24"/>
          <w:lang w:eastAsia="zh-CN"/>
        </w:rPr>
        <w:tab/>
      </w:r>
      <w:r>
        <w:rPr>
          <w:b/>
          <w:bCs/>
          <w:sz w:val="24"/>
          <w:lang w:eastAsia="zh-CN"/>
        </w:rPr>
        <w:t>测试名称：</w:t>
      </w:r>
      <w:r>
        <w:rPr>
          <w:sz w:val="24"/>
          <w:lang w:eastAsia="zh-CN"/>
        </w:rPr>
        <w:t>生物相容性终点（根据</w:t>
      </w:r>
      <w:r>
        <w:rPr>
          <w:sz w:val="24"/>
          <w:lang w:eastAsia="zh-CN"/>
        </w:rPr>
        <w:t>CDRH</w:t>
      </w:r>
      <w:r>
        <w:rPr>
          <w:sz w:val="24"/>
          <w:lang w:eastAsia="zh-CN"/>
        </w:rPr>
        <w:t>生物相容性指南确定）</w:t>
      </w:r>
    </w:p>
    <w:p w14:paraId="457C2CFA" w14:textId="77777777" w:rsidR="00F17F72" w:rsidRDefault="00000000">
      <w:pPr>
        <w:snapToGrid w:val="0"/>
        <w:spacing w:beforeLines="50" w:before="120"/>
        <w:ind w:leftChars="337" w:left="708"/>
        <w:jc w:val="both"/>
        <w:rPr>
          <w:sz w:val="24"/>
          <w:lang w:eastAsia="zh-CN"/>
        </w:rPr>
      </w:pPr>
      <w:r>
        <w:rPr>
          <w:b/>
          <w:bCs/>
          <w:sz w:val="24"/>
          <w:lang w:eastAsia="zh-CN"/>
        </w:rPr>
        <w:t>方法：</w:t>
      </w:r>
      <w:r>
        <w:rPr>
          <w:sz w:val="24"/>
          <w:lang w:eastAsia="zh-CN"/>
        </w:rPr>
        <w:t>FDA</w:t>
      </w:r>
      <w:r>
        <w:rPr>
          <w:sz w:val="24"/>
          <w:lang w:eastAsia="zh-CN"/>
        </w:rPr>
        <w:t>当前许可版本的生物相容性共识标准</w:t>
      </w:r>
    </w:p>
    <w:p w14:paraId="47D63FC6" w14:textId="77777777" w:rsidR="00F17F72" w:rsidRDefault="00000000">
      <w:pPr>
        <w:snapToGrid w:val="0"/>
        <w:spacing w:beforeLines="50" w:before="120"/>
        <w:ind w:leftChars="337" w:left="708"/>
        <w:jc w:val="both"/>
        <w:rPr>
          <w:sz w:val="24"/>
          <w:lang w:eastAsia="zh-CN"/>
        </w:rPr>
      </w:pPr>
      <w:r>
        <w:rPr>
          <w:b/>
          <w:bCs/>
          <w:sz w:val="24"/>
          <w:lang w:eastAsia="zh-CN"/>
        </w:rPr>
        <w:t>性能标准：</w:t>
      </w:r>
      <w:r>
        <w:rPr>
          <w:sz w:val="24"/>
          <w:lang w:eastAsia="zh-CN"/>
        </w:rPr>
        <w:t>所有直接或间接接触器械组件和器械特定仪器的组织都应确定其具有可接受的生物反应。</w:t>
      </w:r>
    </w:p>
    <w:p w14:paraId="01595751" w14:textId="77777777" w:rsidR="00F17F72" w:rsidRDefault="00000000">
      <w:pPr>
        <w:snapToGrid w:val="0"/>
        <w:spacing w:beforeLines="50" w:before="120"/>
        <w:ind w:leftChars="337" w:left="708"/>
        <w:jc w:val="both"/>
        <w:rPr>
          <w:sz w:val="24"/>
          <w:lang w:eastAsia="zh-CN"/>
        </w:rPr>
      </w:pPr>
      <w:r>
        <w:rPr>
          <w:b/>
          <w:bCs/>
          <w:sz w:val="24"/>
          <w:lang w:eastAsia="zh-CN"/>
        </w:rPr>
        <w:t>性能标准来源：</w:t>
      </w:r>
      <w:r>
        <w:rPr>
          <w:sz w:val="24"/>
          <w:lang w:eastAsia="zh-CN"/>
        </w:rPr>
        <w:t>CDRH</w:t>
      </w:r>
      <w:r>
        <w:rPr>
          <w:sz w:val="24"/>
          <w:lang w:eastAsia="zh-CN"/>
        </w:rPr>
        <w:t>生物相容性指南</w:t>
      </w:r>
    </w:p>
    <w:p w14:paraId="5B775D5F" w14:textId="77777777" w:rsidR="00F17F72" w:rsidRDefault="00000000">
      <w:pPr>
        <w:snapToGrid w:val="0"/>
        <w:spacing w:beforeLines="50" w:before="120"/>
        <w:ind w:leftChars="337" w:left="708"/>
        <w:jc w:val="both"/>
        <w:rPr>
          <w:sz w:val="24"/>
          <w:lang w:eastAsia="zh-CN"/>
        </w:rPr>
      </w:pPr>
      <w:r>
        <w:rPr>
          <w:b/>
          <w:bCs/>
          <w:sz w:val="24"/>
          <w:lang w:eastAsia="zh-CN"/>
        </w:rPr>
        <w:t>其他考虑因素：</w:t>
      </w:r>
      <w:r>
        <w:rPr>
          <w:sz w:val="24"/>
          <w:lang w:eastAsia="zh-CN"/>
        </w:rPr>
        <w:t>对于任何发生不良生物反应的生物相容性试验样本，生物相容性评价应解释毒性水平可接受的原因。可能需要对照已合法上市的同品种器械进行一定比较（根据基于安全性和性能的途径，可接受），以支持</w:t>
      </w:r>
      <w:r>
        <w:rPr>
          <w:sz w:val="24"/>
          <w:lang w:eastAsia="zh-CN"/>
        </w:rPr>
        <w:t>CDRH</w:t>
      </w:r>
      <w:r>
        <w:rPr>
          <w:sz w:val="24"/>
          <w:lang w:eastAsia="zh-CN"/>
        </w:rPr>
        <w:t>生物相容性指南中解释的依据。对于包含比较器械对照样本的标准生物相容性试验方法，根据以上对申报器械样本的规定，已合法上市的比较器械对照样本应符合预期。</w:t>
      </w:r>
    </w:p>
    <w:p w14:paraId="0D45E008" w14:textId="77777777" w:rsidR="00F17F72" w:rsidRDefault="00000000">
      <w:pPr>
        <w:snapToGrid w:val="0"/>
        <w:spacing w:beforeLines="50" w:before="120"/>
        <w:ind w:leftChars="337" w:left="708"/>
        <w:jc w:val="both"/>
        <w:rPr>
          <w:sz w:val="24"/>
          <w:lang w:eastAsia="zh-CN"/>
        </w:rPr>
      </w:pPr>
      <w:r>
        <w:rPr>
          <w:b/>
          <w:bCs/>
          <w:color w:val="FF0000"/>
          <w:sz w:val="24"/>
          <w:lang w:eastAsia="zh-CN"/>
        </w:rPr>
        <w:t>申请信息</w:t>
      </w:r>
      <w:r>
        <w:rPr>
          <w:b/>
          <w:bCs/>
          <w:sz w:val="24"/>
          <w:lang w:eastAsia="zh-CN"/>
        </w:rPr>
        <w:t>：</w:t>
      </w:r>
      <w:r>
        <w:rPr>
          <w:sz w:val="24"/>
          <w:lang w:eastAsia="zh-CN"/>
        </w:rPr>
        <w:t>请参阅</w:t>
      </w:r>
      <w:r>
        <w:rPr>
          <w:sz w:val="24"/>
          <w:lang w:eastAsia="zh-CN"/>
        </w:rPr>
        <w:t>CDRH</w:t>
      </w:r>
      <w:r>
        <w:rPr>
          <w:sz w:val="24"/>
          <w:lang w:eastAsia="zh-CN"/>
        </w:rPr>
        <w:t>生物相容性指南</w:t>
      </w:r>
    </w:p>
    <w:p w14:paraId="4CB03BAB" w14:textId="77777777" w:rsidR="00F17F72" w:rsidRDefault="00F17F72">
      <w:pPr>
        <w:snapToGrid w:val="0"/>
        <w:spacing w:beforeLines="50" w:before="120"/>
        <w:jc w:val="both"/>
        <w:rPr>
          <w:lang w:eastAsia="zh-CN"/>
        </w:rPr>
      </w:pPr>
    </w:p>
    <w:sectPr w:rsidR="00F17F72">
      <w:footerReference w:type="default" r:id="rId26"/>
      <w:pgSz w:w="11907" w:h="16840"/>
      <w:pgMar w:top="1429" w:right="1797" w:bottom="1429"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CD51C" w14:textId="77777777" w:rsidR="00C276A7" w:rsidRDefault="00C276A7">
      <w:r>
        <w:separator/>
      </w:r>
    </w:p>
  </w:endnote>
  <w:endnote w:type="continuationSeparator" w:id="0">
    <w:p w14:paraId="557F7106" w14:textId="77777777" w:rsidR="00C276A7" w:rsidRDefault="00C27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24AF" w14:textId="77777777" w:rsidR="00F17F72" w:rsidRDefault="00000000">
    <w:pPr>
      <w:pStyle w:val="a5"/>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6</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5A10A" w14:textId="77777777" w:rsidR="00C276A7" w:rsidRDefault="00C276A7">
      <w:r>
        <w:separator/>
      </w:r>
    </w:p>
  </w:footnote>
  <w:footnote w:type="continuationSeparator" w:id="0">
    <w:p w14:paraId="56B899B8" w14:textId="77777777" w:rsidR="00C276A7" w:rsidRDefault="00C27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54EE" w14:textId="756C8827" w:rsidR="00F17F72" w:rsidRDefault="00BE4CBB">
    <w:pPr>
      <w:pStyle w:val="a7"/>
      <w:pBdr>
        <w:bottom w:val="none" w:sz="0" w:space="0" w:color="auto"/>
      </w:pBdr>
    </w:pPr>
    <w:r>
      <w:rPr>
        <w:rFonts w:hint="eastAsia"/>
        <w:b/>
        <w:bCs/>
        <w:i/>
        <w:iCs/>
        <w:sz w:val="21"/>
        <w:lang w:eastAsia="zh-CN"/>
      </w:rPr>
      <w:t>所含建议</w:t>
    </w:r>
    <w:r w:rsidR="00000000">
      <w:rPr>
        <w:b/>
        <w:bCs/>
        <w:i/>
        <w:iCs/>
        <w:sz w:val="21"/>
        <w:lang w:eastAsia="zh-CN"/>
      </w:rPr>
      <w:t>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527"/>
    <w:rsid w:val="00286599"/>
    <w:rsid w:val="002B198E"/>
    <w:rsid w:val="00342431"/>
    <w:rsid w:val="004E2292"/>
    <w:rsid w:val="00523527"/>
    <w:rsid w:val="005A3D80"/>
    <w:rsid w:val="00666140"/>
    <w:rsid w:val="00740E44"/>
    <w:rsid w:val="00873CBD"/>
    <w:rsid w:val="00913E3A"/>
    <w:rsid w:val="00A67A10"/>
    <w:rsid w:val="00BB2564"/>
    <w:rsid w:val="00BE4CBB"/>
    <w:rsid w:val="00C276A7"/>
    <w:rsid w:val="00DC1F1C"/>
    <w:rsid w:val="00E23451"/>
    <w:rsid w:val="00E95720"/>
    <w:rsid w:val="00F17F72"/>
    <w:rsid w:val="00F214F1"/>
    <w:rsid w:val="00F61B23"/>
    <w:rsid w:val="00F90DD3"/>
    <w:rsid w:val="3D8A62A5"/>
    <w:rsid w:val="69D3652B"/>
    <w:rsid w:val="7AA53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FC134"/>
  <w15:docId w15:val="{C75EFFDA-EE5F-4A26-956F-215D200D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eastAsia="宋体"/>
      <w:color w:val="000000"/>
      <w:sz w:val="21"/>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rPr>
      <w:color w:val="0066CC"/>
      <w:u w:val="single"/>
    </w:rPr>
  </w:style>
  <w:style w:type="paragraph" w:customStyle="1" w:styleId="b1">
    <w:name w:val="样式b1"/>
    <w:basedOn w:val="a"/>
    <w:pPr>
      <w:pBdr>
        <w:bottom w:val="single" w:sz="4" w:space="1" w:color="auto"/>
      </w:pBdr>
      <w:snapToGrid w:val="0"/>
      <w:spacing w:beforeLines="50"/>
      <w:jc w:val="center"/>
    </w:pPr>
    <w:rPr>
      <w:b/>
      <w:bCs/>
      <w:sz w:val="52"/>
      <w:szCs w:val="52"/>
    </w:rPr>
  </w:style>
  <w:style w:type="paragraph" w:customStyle="1" w:styleId="b2">
    <w:name w:val="样式b2"/>
    <w:basedOn w:val="a"/>
    <w:qFormat/>
    <w:pPr>
      <w:snapToGrid w:val="0"/>
      <w:spacing w:beforeLines="50"/>
      <w:jc w:val="center"/>
    </w:pPr>
    <w:rPr>
      <w:b/>
      <w:bCs/>
      <w:sz w:val="52"/>
      <w:szCs w:val="52"/>
    </w:rPr>
  </w:style>
  <w:style w:type="paragraph" w:customStyle="1" w:styleId="m1">
    <w:name w:val="样式m1"/>
    <w:basedOn w:val="a"/>
    <w:pPr>
      <w:tabs>
        <w:tab w:val="left" w:pos="567"/>
      </w:tabs>
      <w:snapToGrid w:val="0"/>
      <w:spacing w:beforeLines="50" w:afterLines="50"/>
      <w:ind w:left="565" w:hangingChars="201" w:hanging="565"/>
      <w:jc w:val="both"/>
    </w:pPr>
    <w:rPr>
      <w:b/>
      <w:bCs/>
      <w:sz w:val="28"/>
      <w:szCs w:val="28"/>
    </w:rPr>
  </w:style>
  <w:style w:type="paragraph" w:customStyle="1" w:styleId="m2">
    <w:name w:val="样式m2"/>
    <w:basedOn w:val="a"/>
    <w:pPr>
      <w:tabs>
        <w:tab w:val="left" w:pos="1276"/>
      </w:tabs>
      <w:snapToGrid w:val="0"/>
      <w:spacing w:beforeLines="50" w:afterLines="50"/>
      <w:ind w:leftChars="337" w:left="1275" w:hangingChars="269" w:hanging="567"/>
      <w:jc w:val="both"/>
    </w:pPr>
    <w:rPr>
      <w:b/>
      <w:bCs/>
      <w:szCs w:val="21"/>
    </w:rPr>
  </w:style>
  <w:style w:type="paragraph" w:customStyle="1" w:styleId="m22">
    <w:name w:val="样式m22"/>
    <w:basedOn w:val="a"/>
    <w:pPr>
      <w:tabs>
        <w:tab w:val="left" w:pos="1560"/>
      </w:tabs>
      <w:snapToGrid w:val="0"/>
      <w:spacing w:beforeLines="50" w:afterLines="50"/>
      <w:jc w:val="both"/>
    </w:pPr>
    <w:rPr>
      <w:b/>
      <w:bCs/>
      <w:szCs w:val="21"/>
    </w:rPr>
  </w:style>
  <w:style w:type="paragraph" w:customStyle="1" w:styleId="m3">
    <w:name w:val="样式m3"/>
    <w:basedOn w:val="a"/>
    <w:pPr>
      <w:snapToGrid w:val="0"/>
      <w:spacing w:beforeLines="50" w:afterLines="50"/>
      <w:jc w:val="both"/>
    </w:pPr>
    <w:rPr>
      <w:b/>
      <w:bCs/>
      <w:szCs w:val="21"/>
    </w:rPr>
  </w:style>
  <w:style w:type="paragraph" w:customStyle="1" w:styleId="x">
    <w:name w:val="样式x"/>
    <w:basedOn w:val="a"/>
    <w:qFormat/>
    <w:pPr>
      <w:tabs>
        <w:tab w:val="left" w:pos="709"/>
      </w:tabs>
      <w:snapToGrid w:val="0"/>
      <w:spacing w:beforeLines="50"/>
      <w:ind w:leftChars="203" w:left="707" w:hangingChars="134" w:hanging="281"/>
      <w:jc w:val="both"/>
    </w:pPr>
    <w:rPr>
      <w:szCs w:val="21"/>
    </w:rPr>
  </w:style>
  <w:style w:type="paragraph" w:customStyle="1" w:styleId="x2">
    <w:name w:val="样式x2"/>
    <w:basedOn w:val="a"/>
    <w:pPr>
      <w:snapToGrid w:val="0"/>
      <w:spacing w:beforeLines="50"/>
      <w:ind w:leftChars="539" w:left="1558" w:hangingChars="203" w:hanging="426"/>
      <w:jc w:val="both"/>
    </w:pPr>
    <w:rPr>
      <w:szCs w:val="21"/>
    </w:rPr>
  </w:style>
  <w:style w:type="character" w:customStyle="1" w:styleId="a8">
    <w:name w:val="页眉 字符"/>
    <w:basedOn w:val="a0"/>
    <w:link w:val="a7"/>
    <w:uiPriority w:val="99"/>
    <w:qFormat/>
    <w:rPr>
      <w:rFonts w:eastAsia="宋体"/>
      <w:color w:val="000000"/>
      <w:sz w:val="18"/>
      <w:szCs w:val="18"/>
    </w:rPr>
  </w:style>
  <w:style w:type="character" w:customStyle="1" w:styleId="a6">
    <w:name w:val="页脚 字符"/>
    <w:basedOn w:val="a0"/>
    <w:link w:val="a5"/>
    <w:uiPriority w:val="99"/>
    <w:rPr>
      <w:rFonts w:eastAsia="宋体"/>
      <w:color w:val="000000"/>
      <w:sz w:val="18"/>
      <w:szCs w:val="18"/>
    </w:rPr>
  </w:style>
  <w:style w:type="character" w:customStyle="1" w:styleId="a4">
    <w:name w:val="批注框文本 字符"/>
    <w:basedOn w:val="a0"/>
    <w:link w:val="a3"/>
    <w:uiPriority w:val="99"/>
    <w:semiHidden/>
    <w:rPr>
      <w:rFonts w:eastAsia="宋体"/>
      <w:color w:val="000000"/>
      <w:sz w:val="18"/>
      <w:szCs w:val="18"/>
    </w:rPr>
  </w:style>
  <w:style w:type="paragraph" w:customStyle="1" w:styleId="x3">
    <w:name w:val="样式x3"/>
    <w:basedOn w:val="a"/>
    <w:pPr>
      <w:tabs>
        <w:tab w:val="left" w:pos="713"/>
      </w:tabs>
      <w:snapToGrid w:val="0"/>
      <w:spacing w:beforeLines="50"/>
      <w:ind w:left="708" w:hangingChars="337" w:hanging="708"/>
      <w:jc w:val="both"/>
    </w:pPr>
  </w:style>
  <w:style w:type="paragraph" w:styleId="aa">
    <w:name w:val="List Paragraph"/>
    <w:basedOn w:val="a"/>
    <w:uiPriority w:val="34"/>
    <w:qFormat/>
    <w:pPr>
      <w:ind w:firstLineChars="200" w:firstLine="420"/>
    </w:pPr>
  </w:style>
  <w:style w:type="paragraph" w:styleId="ab">
    <w:name w:val="Revision"/>
    <w:hidden/>
    <w:uiPriority w:val="99"/>
    <w:semiHidden/>
    <w:rsid w:val="00873CBD"/>
    <w:rPr>
      <w:rFonts w:eastAsia="宋体"/>
      <w:color w:val="000000"/>
      <w:sz w:val="21"/>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37038;&#31665;&#65306;Guidance@fda.hhs.gov" TargetMode="External"/><Relationship Id="rId13" Type="http://schemas.openxmlformats.org/officeDocument/2006/relationships/hyperlink" Target="https://www.accessdata.fda.gov/scripts/cdrh/cfdocs/cfStandards/search.cfm" TargetMode="External"/><Relationship Id="rId18" Type="http://schemas.openxmlformats.org/officeDocument/2006/relationships/hyperlink" Target="https://www.fda.gov/regulatory-information/search-fda-guidance-documents/requests-feedback-and-meetings-medical-device-submissions-q-submission-progra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fda.gov/regulatory-information/search-fda-guidance-documents/submission-premarket-notifications-magnetic-resonance-diagnostic-devices" TargetMode="External"/><Relationship Id="rId7" Type="http://schemas.openxmlformats.org/officeDocument/2006/relationships/image" Target="media/image1.jpeg"/><Relationship Id="rId12" Type="http://schemas.openxmlformats.org/officeDocument/2006/relationships/hyperlink" Target="https://www.fda.gov/regulatory-information/search-fda-guidance-documents/safety-and-performance-based-pathway" TargetMode="External"/><Relationship Id="rId17" Type="http://schemas.openxmlformats.org/officeDocument/2006/relationships/hyperlink" Target="https://www.fda.gov/regulatory-information/search-fda-guidance-documents/submission-premarket-notifications-magnetic-resonance-diagnostic-devices" TargetMode="External"/><Relationship Id="rId25" Type="http://schemas.openxmlformats.org/officeDocument/2006/relationships/hyperlink" Target="https://www.fda.gov/regulatory-information/search-fda-guidance-documents/use-international-standard-iso-10993-1-biological-evaluation-medical-devices-part-1-evaluation-and" TargetMode="External"/><Relationship Id="rId2" Type="http://schemas.openxmlformats.org/officeDocument/2006/relationships/styles" Target="styles.xml"/><Relationship Id="rId16" Type="http://schemas.openxmlformats.org/officeDocument/2006/relationships/hyperlink" Target="https://www.fda.gov/regulatory-information/search-fda-guidance-documents/recommended-content-and-format-non-clinical-bench-performance-testing-information-premarket" TargetMode="External"/><Relationship Id="rId20" Type="http://schemas.openxmlformats.org/officeDocument/2006/relationships/hyperlink" Target="https://www.fda.gov/regulatory-information/search-fda-guidance-documents/recommended-content-and-format-non-clinical-bench-performance-testing-information-premarke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da.gov/regulatory-information/search-fda-guidance-documents/appropriate-use-voluntary-consensus-standards-premarket-submissions-medical-devices" TargetMode="External"/><Relationship Id="rId24" Type="http://schemas.openxmlformats.org/officeDocument/2006/relationships/hyperlink" Target="https://www.fda.gov/regulatory-information/search-fda-guidance-documents/submission-premarket-notifications-magnetic-resonance-diagnostic-" TargetMode="External"/><Relationship Id="rId5" Type="http://schemas.openxmlformats.org/officeDocument/2006/relationships/footnotes" Target="footnotes.xml"/><Relationship Id="rId15" Type="http://schemas.openxmlformats.org/officeDocument/2006/relationships/hyperlink" Target="https://www.fda.gov/regulatory-information/search-fda-guidance-documents/safety-and-performance-based-pathway" TargetMode="External"/><Relationship Id="rId23" Type="http://schemas.openxmlformats.org/officeDocument/2006/relationships/hyperlink" Target="https://www.fda.gov/regulatory-information/search-fda-guidance-documents/submission-premarket-notifications-magnetic-resonance-diagnostic-devices"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fda.gov/regulatory-information/search-fda-guidance-documents/safety-and-performance-based-pathway" TargetMode="External"/><Relationship Id="rId4" Type="http://schemas.openxmlformats.org/officeDocument/2006/relationships/webSettings" Target="webSettings.xml"/><Relationship Id="rId9" Type="http://schemas.openxmlformats.org/officeDocument/2006/relationships/hyperlink" Target="mailto:CDRH-Guidance@fda.hhs.gov" TargetMode="External"/><Relationship Id="rId14" Type="http://schemas.openxmlformats.org/officeDocument/2006/relationships/hyperlink" Target="https://www.fda.gov/regulatory-information/search-fda-guidance-documents/appropriate-use-voluntary-consensus-standards-premarket-submissions-medical-devices" TargetMode="External"/><Relationship Id="rId22" Type="http://schemas.openxmlformats.org/officeDocument/2006/relationships/hyperlink" Target="https://www.fda.gov/regulatory-information/search-fda-guidance-documents/submission-premarket-notifications-magnetic-resonance-diagnostic-devices"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1777</Words>
  <Characters>10129</Characters>
  <Application>Microsoft Office Word</Application>
  <DocSecurity>0</DocSecurity>
  <Lines>84</Lines>
  <Paragraphs>23</Paragraphs>
  <ScaleCrop>false</ScaleCrop>
  <Company>Www.SangSan.Cn</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lastModifiedBy>周世杰</cp:lastModifiedBy>
  <cp:revision>10</cp:revision>
  <dcterms:created xsi:type="dcterms:W3CDTF">2021-11-13T06:25:00Z</dcterms:created>
  <dcterms:modified xsi:type="dcterms:W3CDTF">2022-10-10T06:13:00Z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622923A4FAB044A8A670E520E6449DFE</vt:lpwstr>
  </property>
</Properties>
</file>