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465C5" w14:textId="40DB6F73" w:rsidR="004E0030" w:rsidRDefault="00046C74">
      <w:pPr>
        <w:pStyle w:val="b1"/>
        <w:spacing w:before="120"/>
        <w:rPr>
          <w:lang w:eastAsia="zh-CN"/>
        </w:rPr>
      </w:pPr>
      <w:bookmarkStart w:id="0" w:name="bookmark0"/>
      <w:r>
        <w:rPr>
          <w:i/>
          <w:iCs/>
          <w:lang w:eastAsia="zh-CN"/>
        </w:rPr>
        <w:t>体外</w:t>
      </w:r>
      <w:r>
        <w:rPr>
          <w:lang w:eastAsia="zh-CN"/>
        </w:rPr>
        <w:t>诊断</w:t>
      </w:r>
      <w:r>
        <w:rPr>
          <w:rFonts w:hint="eastAsia"/>
          <w:lang w:eastAsia="zh-CN"/>
        </w:rPr>
        <w:t>测试</w:t>
      </w:r>
      <w:r>
        <w:rPr>
          <w:lang w:eastAsia="zh-CN"/>
        </w:rPr>
        <w:t>的观测指标标识符逻辑命名与编码系统</w:t>
      </w:r>
      <w:bookmarkEnd w:id="0"/>
    </w:p>
    <w:p w14:paraId="337106BE" w14:textId="77777777" w:rsidR="004E0030" w:rsidRDefault="00372669">
      <w:pPr>
        <w:pStyle w:val="b2"/>
        <w:spacing w:before="120"/>
        <w:rPr>
          <w:lang w:eastAsia="zh-CN"/>
        </w:rPr>
      </w:pPr>
      <w:bookmarkStart w:id="1" w:name="bookmark1"/>
      <w:r>
        <w:rPr>
          <w:lang w:eastAsia="zh-CN"/>
        </w:rPr>
        <w:t>对</w:t>
      </w:r>
      <w:r w:rsidR="00046C74">
        <w:rPr>
          <w:lang w:eastAsia="zh-CN"/>
        </w:rPr>
        <w:t>行业和美国食品药品监督管理局工作人员</w:t>
      </w:r>
      <w:r>
        <w:rPr>
          <w:lang w:eastAsia="zh-CN"/>
        </w:rPr>
        <w:t>的</w:t>
      </w:r>
      <w:r w:rsidR="00046C74">
        <w:rPr>
          <w:lang w:eastAsia="zh-CN"/>
        </w:rPr>
        <w:t>指南</w:t>
      </w:r>
      <w:bookmarkEnd w:id="1"/>
    </w:p>
    <w:p w14:paraId="121C6824" w14:textId="77777777" w:rsidR="004E0030" w:rsidRDefault="004E0030">
      <w:pPr>
        <w:snapToGrid w:val="0"/>
        <w:spacing w:beforeLines="50" w:before="120"/>
        <w:jc w:val="center"/>
        <w:rPr>
          <w:b/>
          <w:bCs/>
          <w:sz w:val="28"/>
          <w:szCs w:val="28"/>
          <w:lang w:eastAsia="zh-CN"/>
        </w:rPr>
      </w:pPr>
    </w:p>
    <w:p w14:paraId="66D3DAA2" w14:textId="0BAA8732" w:rsidR="004E0030" w:rsidRDefault="00046C74">
      <w:pPr>
        <w:snapToGrid w:val="0"/>
        <w:spacing w:beforeLines="50" w:before="120"/>
        <w:jc w:val="center"/>
        <w:rPr>
          <w:b/>
          <w:bCs/>
          <w:sz w:val="28"/>
          <w:szCs w:val="28"/>
          <w:lang w:eastAsia="zh-CN"/>
        </w:rPr>
      </w:pPr>
      <w:r>
        <w:rPr>
          <w:b/>
          <w:bCs/>
          <w:sz w:val="28"/>
          <w:szCs w:val="28"/>
          <w:lang w:eastAsia="zh-CN"/>
        </w:rPr>
        <w:t>文件发布日期：</w:t>
      </w:r>
      <w:r>
        <w:rPr>
          <w:b/>
          <w:bCs/>
          <w:sz w:val="28"/>
          <w:szCs w:val="28"/>
          <w:lang w:eastAsia="zh-CN"/>
        </w:rPr>
        <w:t>2018</w:t>
      </w:r>
      <w:r>
        <w:rPr>
          <w:b/>
          <w:bCs/>
          <w:sz w:val="28"/>
          <w:szCs w:val="28"/>
          <w:lang w:eastAsia="zh-CN"/>
        </w:rPr>
        <w:t>年</w:t>
      </w:r>
      <w:r>
        <w:rPr>
          <w:b/>
          <w:bCs/>
          <w:sz w:val="28"/>
          <w:szCs w:val="28"/>
          <w:lang w:eastAsia="zh-CN"/>
        </w:rPr>
        <w:t>6</w:t>
      </w:r>
      <w:r>
        <w:rPr>
          <w:b/>
          <w:bCs/>
          <w:sz w:val="28"/>
          <w:szCs w:val="28"/>
          <w:lang w:eastAsia="zh-CN"/>
        </w:rPr>
        <w:t>月</w:t>
      </w:r>
      <w:r>
        <w:rPr>
          <w:b/>
          <w:bCs/>
          <w:sz w:val="28"/>
          <w:szCs w:val="28"/>
          <w:lang w:eastAsia="zh-CN"/>
        </w:rPr>
        <w:t>15</w:t>
      </w:r>
      <w:r>
        <w:rPr>
          <w:b/>
          <w:bCs/>
          <w:sz w:val="28"/>
          <w:szCs w:val="28"/>
          <w:lang w:eastAsia="zh-CN"/>
        </w:rPr>
        <w:t>日</w:t>
      </w:r>
    </w:p>
    <w:p w14:paraId="68776379" w14:textId="77777777" w:rsidR="004E0030" w:rsidRDefault="004E0030">
      <w:pPr>
        <w:snapToGrid w:val="0"/>
        <w:spacing w:beforeLines="50" w:before="120"/>
        <w:jc w:val="center"/>
        <w:rPr>
          <w:sz w:val="28"/>
          <w:szCs w:val="28"/>
          <w:lang w:eastAsia="zh-CN"/>
        </w:rPr>
      </w:pPr>
    </w:p>
    <w:p w14:paraId="47300501" w14:textId="28113719" w:rsidR="004E0030" w:rsidRDefault="00046C74">
      <w:pPr>
        <w:snapToGrid w:val="0"/>
        <w:spacing w:beforeLines="50" w:before="120"/>
        <w:jc w:val="both"/>
        <w:rPr>
          <w:sz w:val="24"/>
          <w:lang w:eastAsia="zh-CN"/>
        </w:rPr>
      </w:pPr>
      <w:r>
        <w:rPr>
          <w:sz w:val="24"/>
          <w:lang w:eastAsia="zh-CN"/>
        </w:rPr>
        <w:t>有关本文件的问题，请致电</w:t>
      </w:r>
      <w:r>
        <w:rPr>
          <w:sz w:val="24"/>
          <w:lang w:eastAsia="zh-CN"/>
        </w:rPr>
        <w:t>(301) 796-6900</w:t>
      </w:r>
      <w:r>
        <w:rPr>
          <w:sz w:val="24"/>
          <w:lang w:eastAsia="zh-CN"/>
        </w:rPr>
        <w:t>联系中心主任办公室的数字健康部门，或发送电子邮件</w:t>
      </w:r>
      <w:r w:rsidR="00372669">
        <w:rPr>
          <w:rFonts w:hint="eastAsia"/>
          <w:sz w:val="24"/>
          <w:lang w:eastAsia="zh-CN"/>
        </w:rPr>
        <w:t>至</w:t>
      </w:r>
      <w:hyperlink r:id="rId7" w:history="1">
        <w:r>
          <w:rPr>
            <w:rStyle w:val="a9"/>
            <w:color w:val="0000FF"/>
            <w:sz w:val="24"/>
            <w:lang w:eastAsia="zh-CN"/>
          </w:rPr>
          <w:t>DigitalHealth@fda.hhs.gov</w:t>
        </w:r>
      </w:hyperlink>
      <w:r>
        <w:rPr>
          <w:color w:val="0000FF"/>
          <w:sz w:val="24"/>
          <w:lang w:eastAsia="zh-CN"/>
        </w:rPr>
        <w:t>.</w:t>
      </w:r>
    </w:p>
    <w:p w14:paraId="183CCE5C" w14:textId="77777777" w:rsidR="004E0030" w:rsidRDefault="004E0030">
      <w:pPr>
        <w:snapToGrid w:val="0"/>
        <w:spacing w:beforeLines="50" w:before="120"/>
        <w:jc w:val="both"/>
        <w:rPr>
          <w:lang w:eastAsia="zh-CN"/>
        </w:rPr>
      </w:pPr>
    </w:p>
    <w:p w14:paraId="6FC54E79" w14:textId="77777777" w:rsidR="004E0030" w:rsidRDefault="004E0030">
      <w:pPr>
        <w:snapToGrid w:val="0"/>
        <w:spacing w:beforeLines="50" w:before="120"/>
        <w:jc w:val="both"/>
        <w:rPr>
          <w:lang w:eastAsia="zh-CN"/>
        </w:rPr>
      </w:pPr>
    </w:p>
    <w:p w14:paraId="7F607ADA" w14:textId="77777777" w:rsidR="004E0030" w:rsidRDefault="004E0030">
      <w:pPr>
        <w:snapToGrid w:val="0"/>
        <w:spacing w:beforeLines="50" w:before="120"/>
        <w:jc w:val="both"/>
        <w:rPr>
          <w:lang w:eastAsia="zh-CN"/>
        </w:rPr>
      </w:pPr>
    </w:p>
    <w:p w14:paraId="335609FD" w14:textId="77777777" w:rsidR="004E0030" w:rsidRDefault="004E0030">
      <w:pPr>
        <w:snapToGrid w:val="0"/>
        <w:spacing w:beforeLines="50" w:before="120"/>
        <w:jc w:val="both"/>
        <w:rPr>
          <w:lang w:eastAsia="zh-CN"/>
        </w:rPr>
      </w:pPr>
    </w:p>
    <w:p w14:paraId="06C9EE14" w14:textId="77777777" w:rsidR="004E0030" w:rsidRDefault="004E0030">
      <w:pPr>
        <w:snapToGrid w:val="0"/>
        <w:spacing w:beforeLines="50" w:before="120"/>
        <w:jc w:val="both"/>
        <w:rPr>
          <w:lang w:eastAsia="zh-CN"/>
        </w:rPr>
      </w:pPr>
    </w:p>
    <w:p w14:paraId="0BBF2D77" w14:textId="77777777" w:rsidR="004E0030" w:rsidRDefault="004E0030">
      <w:pPr>
        <w:snapToGrid w:val="0"/>
        <w:spacing w:beforeLines="50" w:before="120"/>
        <w:jc w:val="both"/>
        <w:rPr>
          <w:lang w:eastAsia="zh-CN"/>
        </w:rPr>
      </w:pPr>
    </w:p>
    <w:p w14:paraId="403FEA8C" w14:textId="77777777" w:rsidR="004E0030" w:rsidRDefault="004E0030">
      <w:pPr>
        <w:snapToGrid w:val="0"/>
        <w:spacing w:beforeLines="50" w:before="120"/>
        <w:jc w:val="both"/>
        <w:rPr>
          <w:lang w:eastAsia="zh-CN"/>
        </w:rPr>
      </w:pPr>
    </w:p>
    <w:p w14:paraId="6F15DF2A" w14:textId="77777777" w:rsidR="004E0030" w:rsidRDefault="004E0030">
      <w:pPr>
        <w:snapToGrid w:val="0"/>
        <w:spacing w:beforeLines="50" w:before="120"/>
        <w:jc w:val="both"/>
        <w:rPr>
          <w:lang w:eastAsia="zh-CN"/>
        </w:rPr>
      </w:pPr>
    </w:p>
    <w:p w14:paraId="351F3416" w14:textId="77777777" w:rsidR="004E0030" w:rsidRDefault="004E0030">
      <w:pPr>
        <w:snapToGrid w:val="0"/>
        <w:spacing w:beforeLines="50" w:before="120"/>
        <w:jc w:val="both"/>
        <w:rPr>
          <w:lang w:eastAsia="zh-CN"/>
        </w:rPr>
      </w:pPr>
    </w:p>
    <w:p w14:paraId="091E0424" w14:textId="77777777" w:rsidR="004E0030" w:rsidRDefault="004E0030">
      <w:pPr>
        <w:snapToGrid w:val="0"/>
        <w:spacing w:beforeLines="50" w:before="120"/>
        <w:jc w:val="both"/>
        <w:rPr>
          <w:lang w:eastAsia="zh-CN"/>
        </w:rPr>
      </w:pPr>
    </w:p>
    <w:p w14:paraId="5F918BE1" w14:textId="77777777" w:rsidR="004E0030" w:rsidRDefault="004E0030">
      <w:pPr>
        <w:snapToGrid w:val="0"/>
        <w:spacing w:beforeLines="50" w:before="120"/>
        <w:jc w:val="both"/>
        <w:rPr>
          <w:lang w:eastAsia="zh-CN"/>
        </w:rPr>
      </w:pPr>
    </w:p>
    <w:p w14:paraId="6DB0166B" w14:textId="77777777" w:rsidR="004E0030" w:rsidRDefault="004E0030">
      <w:pPr>
        <w:snapToGrid w:val="0"/>
        <w:spacing w:beforeLines="50" w:before="120"/>
        <w:jc w:val="both"/>
        <w:rPr>
          <w:lang w:eastAsia="zh-CN"/>
        </w:rPr>
      </w:pPr>
    </w:p>
    <w:p w14:paraId="1759055A" w14:textId="77777777" w:rsidR="004E0030" w:rsidRDefault="004E0030">
      <w:pPr>
        <w:snapToGrid w:val="0"/>
        <w:spacing w:beforeLines="50" w:before="120"/>
        <w:jc w:val="both"/>
        <w:rPr>
          <w:lang w:eastAsia="zh-CN"/>
        </w:rPr>
      </w:pPr>
    </w:p>
    <w:p w14:paraId="4D2F188C" w14:textId="77777777" w:rsidR="004E0030" w:rsidRDefault="004E0030">
      <w:pPr>
        <w:snapToGrid w:val="0"/>
        <w:spacing w:beforeLines="50" w:before="120"/>
        <w:jc w:val="both"/>
        <w:rPr>
          <w:lang w:eastAsia="zh-CN"/>
        </w:rPr>
      </w:pPr>
    </w:p>
    <w:p w14:paraId="22CD9E4F" w14:textId="77777777" w:rsidR="004E0030" w:rsidRDefault="004E0030">
      <w:pPr>
        <w:snapToGrid w:val="0"/>
        <w:spacing w:beforeLines="50" w:before="120"/>
        <w:jc w:val="both"/>
        <w:rPr>
          <w:lang w:eastAsia="zh-CN"/>
        </w:rPr>
      </w:pPr>
    </w:p>
    <w:p w14:paraId="453F024F" w14:textId="77777777" w:rsidR="004E0030" w:rsidRDefault="004E0030">
      <w:pPr>
        <w:snapToGrid w:val="0"/>
        <w:spacing w:beforeLines="50" w:before="120"/>
        <w:jc w:val="both"/>
        <w:rPr>
          <w:lang w:eastAsia="zh-CN"/>
        </w:rPr>
      </w:pPr>
    </w:p>
    <w:p w14:paraId="1D4860BA" w14:textId="77777777" w:rsidR="004E0030" w:rsidRDefault="004E0030">
      <w:pPr>
        <w:snapToGrid w:val="0"/>
        <w:spacing w:beforeLines="50" w:before="120"/>
        <w:jc w:val="both"/>
        <w:rPr>
          <w:lang w:eastAsia="zh-CN"/>
        </w:rPr>
      </w:pPr>
    </w:p>
    <w:p w14:paraId="7CB372BE" w14:textId="77777777" w:rsidR="004E0030" w:rsidRDefault="004E0030">
      <w:pPr>
        <w:snapToGrid w:val="0"/>
        <w:spacing w:beforeLines="50" w:before="120"/>
        <w:jc w:val="both"/>
        <w:rPr>
          <w:lang w:eastAsia="zh-CN"/>
        </w:rPr>
      </w:pPr>
    </w:p>
    <w:p w14:paraId="0B45E58D" w14:textId="77777777" w:rsidR="004E0030" w:rsidRDefault="004E0030">
      <w:pPr>
        <w:snapToGrid w:val="0"/>
        <w:spacing w:beforeLines="50" w:before="120"/>
        <w:jc w:val="both"/>
        <w:rPr>
          <w:lang w:eastAsia="zh-CN"/>
        </w:rPr>
      </w:pPr>
    </w:p>
    <w:p w14:paraId="138415E3" w14:textId="77777777" w:rsidR="004E0030" w:rsidRDefault="004E0030">
      <w:pPr>
        <w:snapToGrid w:val="0"/>
        <w:spacing w:beforeLines="50" w:before="120"/>
        <w:jc w:val="both"/>
        <w:rPr>
          <w:lang w:eastAsia="zh-CN"/>
        </w:rPr>
      </w:pPr>
    </w:p>
    <w:tbl>
      <w:tblPr>
        <w:tblW w:w="0" w:type="auto"/>
        <w:tblCellMar>
          <w:left w:w="57" w:type="dxa"/>
          <w:right w:w="57" w:type="dxa"/>
        </w:tblCellMar>
        <w:tblLook w:val="04A0" w:firstRow="1" w:lastRow="0" w:firstColumn="1" w:lastColumn="0" w:noHBand="0" w:noVBand="1"/>
      </w:tblPr>
      <w:tblGrid>
        <w:gridCol w:w="774"/>
        <w:gridCol w:w="3394"/>
        <w:gridCol w:w="284"/>
        <w:gridCol w:w="3975"/>
      </w:tblGrid>
      <w:tr w:rsidR="004E0030" w14:paraId="4F7E4654" w14:textId="77777777">
        <w:tc>
          <w:tcPr>
            <w:tcW w:w="774" w:type="dxa"/>
            <w:shd w:val="clear" w:color="auto" w:fill="000000" w:themeFill="text1"/>
            <w:vAlign w:val="center"/>
          </w:tcPr>
          <w:p w14:paraId="4D4859C4" w14:textId="77777777" w:rsidR="004E0030" w:rsidRDefault="00046C74">
            <w:pPr>
              <w:snapToGrid w:val="0"/>
              <w:jc w:val="both"/>
            </w:pPr>
            <w:r>
              <w:rPr>
                <w:noProof/>
                <w:lang w:eastAsia="zh-CN" w:bidi="ar-SA"/>
              </w:rPr>
              <w:drawing>
                <wp:inline distT="0" distB="0" distL="0" distR="0" wp14:anchorId="1AE3444D" wp14:editId="1BC0103F">
                  <wp:extent cx="395605" cy="464185"/>
                  <wp:effectExtent l="19050" t="0" r="4445" b="0"/>
                  <wp:docPr id="5" name="图片 3" descr="C:\Users\Asus\Desktop\谭-11.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C:\Users\Asus\Desktop\谭-11.11\media\image1.jpeg"/>
                          <pic:cNvPicPr>
                            <a:picLocks noChangeAspect="1" noChangeArrowheads="1"/>
                          </pic:cNvPicPr>
                        </pic:nvPicPr>
                        <pic:blipFill>
                          <a:blip r:embed="rId8" cstate="print"/>
                          <a:srcRect/>
                          <a:stretch>
                            <a:fillRect/>
                          </a:stretch>
                        </pic:blipFill>
                        <pic:spPr>
                          <a:xfrm>
                            <a:off x="0" y="0"/>
                            <a:ext cx="395605" cy="464185"/>
                          </a:xfrm>
                          <a:prstGeom prst="rect">
                            <a:avLst/>
                          </a:prstGeom>
                          <a:noFill/>
                          <a:ln w="9525">
                            <a:noFill/>
                            <a:miter lim="800000"/>
                            <a:headEnd/>
                            <a:tailEnd/>
                          </a:ln>
                        </pic:spPr>
                      </pic:pic>
                    </a:graphicData>
                  </a:graphic>
                </wp:inline>
              </w:drawing>
            </w:r>
          </w:p>
        </w:tc>
        <w:tc>
          <w:tcPr>
            <w:tcW w:w="3394" w:type="dxa"/>
            <w:shd w:val="clear" w:color="auto" w:fill="FFFFFF"/>
            <w:vAlign w:val="center"/>
          </w:tcPr>
          <w:p w14:paraId="6BA885CC" w14:textId="77777777" w:rsidR="004E0030" w:rsidRDefault="00046C74">
            <w:pPr>
              <w:snapToGrid w:val="0"/>
              <w:jc w:val="both"/>
              <w:rPr>
                <w:sz w:val="28"/>
                <w:szCs w:val="28"/>
                <w:lang w:eastAsia="zh-CN"/>
              </w:rPr>
            </w:pPr>
            <w:r>
              <w:rPr>
                <w:b/>
                <w:bCs/>
                <w:sz w:val="28"/>
                <w:szCs w:val="28"/>
                <w:lang w:eastAsia="zh-CN"/>
              </w:rPr>
              <w:t>美国食品药品监督管理局</w:t>
            </w:r>
          </w:p>
        </w:tc>
        <w:tc>
          <w:tcPr>
            <w:tcW w:w="284" w:type="dxa"/>
            <w:shd w:val="clear" w:color="auto" w:fill="FFFFFF"/>
          </w:tcPr>
          <w:p w14:paraId="3B21DBE5" w14:textId="77777777" w:rsidR="004E0030" w:rsidRDefault="004E0030">
            <w:pPr>
              <w:snapToGrid w:val="0"/>
              <w:jc w:val="both"/>
              <w:rPr>
                <w:lang w:eastAsia="zh-CN"/>
              </w:rPr>
            </w:pPr>
          </w:p>
        </w:tc>
        <w:tc>
          <w:tcPr>
            <w:tcW w:w="3975" w:type="dxa"/>
            <w:shd w:val="clear" w:color="auto" w:fill="FFFFFF"/>
          </w:tcPr>
          <w:p w14:paraId="1CFDB28A" w14:textId="377B7AD2" w:rsidR="004E0030" w:rsidRDefault="00046C74">
            <w:pPr>
              <w:snapToGrid w:val="0"/>
              <w:jc w:val="right"/>
              <w:rPr>
                <w:lang w:eastAsia="zh-CN"/>
              </w:rPr>
            </w:pPr>
            <w:r>
              <w:rPr>
                <w:b/>
                <w:bCs/>
                <w:lang w:eastAsia="zh-CN"/>
              </w:rPr>
              <w:t>美国卫生</w:t>
            </w:r>
            <w:r w:rsidR="00372669">
              <w:rPr>
                <w:rFonts w:hint="eastAsia"/>
                <w:b/>
                <w:bCs/>
                <w:lang w:eastAsia="zh-CN"/>
              </w:rPr>
              <w:t>与</w:t>
            </w:r>
            <w:r>
              <w:rPr>
                <w:b/>
                <w:bCs/>
                <w:lang w:eastAsia="zh-CN"/>
              </w:rPr>
              <w:t>公众服务部</w:t>
            </w:r>
          </w:p>
          <w:p w14:paraId="4BB72383" w14:textId="77777777" w:rsidR="004E0030" w:rsidRDefault="00046C74">
            <w:pPr>
              <w:snapToGrid w:val="0"/>
              <w:jc w:val="right"/>
              <w:rPr>
                <w:lang w:eastAsia="zh-CN"/>
              </w:rPr>
            </w:pPr>
            <w:r>
              <w:rPr>
                <w:b/>
                <w:bCs/>
                <w:lang w:eastAsia="zh-CN"/>
              </w:rPr>
              <w:t>美国食品药品监督管理局</w:t>
            </w:r>
          </w:p>
          <w:p w14:paraId="4BDA2817" w14:textId="77777777" w:rsidR="004E0030" w:rsidRDefault="00046C74">
            <w:pPr>
              <w:snapToGrid w:val="0"/>
              <w:jc w:val="right"/>
              <w:rPr>
                <w:b/>
                <w:bCs/>
                <w:lang w:eastAsia="zh-CN"/>
              </w:rPr>
            </w:pPr>
            <w:r>
              <w:rPr>
                <w:b/>
                <w:bCs/>
                <w:lang w:eastAsia="zh-CN"/>
              </w:rPr>
              <w:t>医疗器械和放射健康中心</w:t>
            </w:r>
          </w:p>
          <w:p w14:paraId="0B40C97C" w14:textId="77777777" w:rsidR="004E0030" w:rsidRDefault="00046C74">
            <w:pPr>
              <w:snapToGrid w:val="0"/>
              <w:jc w:val="right"/>
              <w:rPr>
                <w:lang w:eastAsia="zh-CN"/>
              </w:rPr>
            </w:pPr>
            <w:r>
              <w:rPr>
                <w:b/>
                <w:bCs/>
                <w:lang w:eastAsia="zh-CN"/>
              </w:rPr>
              <w:t>生物制品评价和研究中心</w:t>
            </w:r>
          </w:p>
        </w:tc>
      </w:tr>
    </w:tbl>
    <w:p w14:paraId="3A5CEBC4" w14:textId="77777777" w:rsidR="004E0030" w:rsidRDefault="004E0030">
      <w:pPr>
        <w:snapToGrid w:val="0"/>
        <w:spacing w:beforeLines="50" w:before="120"/>
        <w:jc w:val="both"/>
        <w:rPr>
          <w:szCs w:val="2"/>
          <w:lang w:eastAsia="zh-CN"/>
        </w:rPr>
      </w:pPr>
    </w:p>
    <w:p w14:paraId="19CDA395" w14:textId="77777777" w:rsidR="004E0030" w:rsidRDefault="004E0030">
      <w:pPr>
        <w:snapToGrid w:val="0"/>
        <w:spacing w:beforeLines="50" w:before="120"/>
        <w:jc w:val="both"/>
        <w:rPr>
          <w:lang w:eastAsia="zh-CN"/>
        </w:rPr>
        <w:sectPr w:rsidR="004E0030">
          <w:headerReference w:type="default" r:id="rId9"/>
          <w:type w:val="continuous"/>
          <w:pgSz w:w="11907" w:h="16840"/>
          <w:pgMar w:top="1429" w:right="1797" w:bottom="1429" w:left="1797" w:header="720" w:footer="720" w:gutter="0"/>
          <w:cols w:space="720"/>
          <w:docGrid w:linePitch="360"/>
        </w:sectPr>
      </w:pPr>
    </w:p>
    <w:p w14:paraId="01095BC2" w14:textId="77777777" w:rsidR="004E0030" w:rsidRDefault="00046C74">
      <w:pPr>
        <w:snapToGrid w:val="0"/>
        <w:spacing w:beforeLines="50" w:before="120"/>
        <w:jc w:val="center"/>
        <w:rPr>
          <w:sz w:val="44"/>
          <w:szCs w:val="44"/>
        </w:rPr>
      </w:pPr>
      <w:r>
        <w:rPr>
          <w:b/>
          <w:bCs/>
          <w:sz w:val="44"/>
          <w:szCs w:val="44"/>
          <w:lang w:eastAsia="zh-CN"/>
        </w:rPr>
        <w:lastRenderedPageBreak/>
        <w:t>前言</w:t>
      </w:r>
    </w:p>
    <w:p w14:paraId="5F11BFAC" w14:textId="77777777" w:rsidR="004E0030" w:rsidRDefault="004E0030">
      <w:pPr>
        <w:snapToGrid w:val="0"/>
        <w:spacing w:beforeLines="50" w:before="120"/>
        <w:jc w:val="both"/>
        <w:rPr>
          <w:b/>
          <w:bCs/>
          <w:sz w:val="28"/>
          <w:szCs w:val="28"/>
          <w:lang w:eastAsia="zh-CN"/>
        </w:rPr>
      </w:pPr>
      <w:bookmarkStart w:id="2" w:name="bookmark2"/>
    </w:p>
    <w:p w14:paraId="46F30B0B" w14:textId="77777777" w:rsidR="004E0030" w:rsidRDefault="00046C74">
      <w:pPr>
        <w:snapToGrid w:val="0"/>
        <w:spacing w:beforeLines="50" w:before="120"/>
        <w:jc w:val="both"/>
        <w:rPr>
          <w:sz w:val="28"/>
          <w:szCs w:val="28"/>
        </w:rPr>
      </w:pPr>
      <w:r>
        <w:rPr>
          <w:b/>
          <w:bCs/>
          <w:sz w:val="28"/>
          <w:szCs w:val="28"/>
          <w:lang w:eastAsia="zh-CN"/>
        </w:rPr>
        <w:t>公众意见</w:t>
      </w:r>
      <w:bookmarkEnd w:id="2"/>
    </w:p>
    <w:p w14:paraId="74FB76F7" w14:textId="27AA8194" w:rsidR="004E0030" w:rsidRDefault="00046C74">
      <w:pPr>
        <w:snapToGrid w:val="0"/>
        <w:spacing w:beforeLines="50" w:before="120"/>
        <w:jc w:val="both"/>
        <w:rPr>
          <w:sz w:val="24"/>
          <w:lang w:eastAsia="zh-CN"/>
        </w:rPr>
      </w:pPr>
      <w:r>
        <w:rPr>
          <w:sz w:val="24"/>
          <w:lang w:eastAsia="zh-CN"/>
        </w:rPr>
        <w:t>可随时提交电子意见和建议至</w:t>
      </w:r>
      <w:r>
        <w:fldChar w:fldCharType="begin"/>
      </w:r>
      <w:r>
        <w:instrText xml:space="preserve"> HYPERLINK "https://www.regulations.gov/" </w:instrText>
      </w:r>
      <w:r>
        <w:fldChar w:fldCharType="separate"/>
      </w:r>
      <w:r>
        <w:rPr>
          <w:rStyle w:val="a9"/>
          <w:color w:val="0000FF"/>
          <w:sz w:val="24"/>
          <w:lang w:eastAsia="zh-CN"/>
        </w:rPr>
        <w:t>https://www.regulations.gov</w:t>
      </w:r>
      <w:r>
        <w:rPr>
          <w:rStyle w:val="a9"/>
          <w:color w:val="0000FF"/>
          <w:sz w:val="24"/>
          <w:lang w:eastAsia="zh-CN"/>
        </w:rPr>
        <w:fldChar w:fldCharType="end"/>
      </w:r>
      <w:r>
        <w:rPr>
          <w:color w:val="0000FF"/>
          <w:sz w:val="24"/>
          <w:lang w:eastAsia="zh-CN"/>
        </w:rPr>
        <w:t>，</w:t>
      </w:r>
      <w:r>
        <w:rPr>
          <w:sz w:val="24"/>
          <w:lang w:eastAsia="zh-CN"/>
        </w:rPr>
        <w:t>以供</w:t>
      </w:r>
      <w:r w:rsidR="005B7614">
        <w:rPr>
          <w:rFonts w:hint="eastAsia"/>
          <w:sz w:val="24"/>
          <w:lang w:eastAsia="zh-CN"/>
        </w:rPr>
        <w:t>F</w:t>
      </w:r>
      <w:r w:rsidR="005B7614">
        <w:rPr>
          <w:sz w:val="24"/>
          <w:lang w:eastAsia="zh-CN"/>
        </w:rPr>
        <w:t>DA</w:t>
      </w:r>
      <w:r>
        <w:rPr>
          <w:sz w:val="24"/>
          <w:lang w:eastAsia="zh-CN"/>
        </w:rPr>
        <w:t>考虑。</w:t>
      </w:r>
      <w:r w:rsidR="00372669">
        <w:rPr>
          <w:sz w:val="24"/>
          <w:lang w:eastAsia="zh-CN"/>
        </w:rPr>
        <w:t>书面意见请提交至</w:t>
      </w:r>
      <w:r w:rsidR="00372669" w:rsidRPr="00E0151B">
        <w:rPr>
          <w:rFonts w:hint="eastAsia"/>
          <w:sz w:val="24"/>
          <w:lang w:eastAsia="zh-CN"/>
        </w:rPr>
        <w:t>美国食品药品监督管理局备案文件管理部（</w:t>
      </w:r>
      <w:r w:rsidR="00372669" w:rsidRPr="00E0151B">
        <w:rPr>
          <w:rFonts w:hint="eastAsia"/>
          <w:sz w:val="24"/>
          <w:lang w:eastAsia="zh-CN"/>
        </w:rPr>
        <w:t>5630 Fishers Lane, Room 1061, (HFA-305), Rockville, MD 20852</w:t>
      </w:r>
      <w:r w:rsidR="00372669" w:rsidRPr="00E0151B">
        <w:rPr>
          <w:rFonts w:hint="eastAsia"/>
          <w:sz w:val="24"/>
          <w:lang w:eastAsia="zh-CN"/>
        </w:rPr>
        <w:t>）</w:t>
      </w:r>
      <w:r>
        <w:rPr>
          <w:sz w:val="24"/>
          <w:lang w:eastAsia="zh-CN"/>
        </w:rPr>
        <w:t>。</w:t>
      </w:r>
    </w:p>
    <w:p w14:paraId="6E0FD6FE" w14:textId="77777777" w:rsidR="004E0030" w:rsidRDefault="004E0030">
      <w:pPr>
        <w:snapToGrid w:val="0"/>
        <w:spacing w:beforeLines="50" w:before="120"/>
        <w:jc w:val="both"/>
        <w:rPr>
          <w:sz w:val="24"/>
          <w:lang w:eastAsia="zh-CN"/>
        </w:rPr>
      </w:pPr>
    </w:p>
    <w:p w14:paraId="70B7B273" w14:textId="6BCDC4F7" w:rsidR="004E0030" w:rsidRDefault="00D074EB">
      <w:pPr>
        <w:snapToGrid w:val="0"/>
        <w:spacing w:beforeLines="50" w:before="120"/>
        <w:jc w:val="both"/>
        <w:rPr>
          <w:sz w:val="24"/>
          <w:lang w:eastAsia="zh-CN"/>
        </w:rPr>
      </w:pPr>
      <w:r>
        <w:rPr>
          <w:sz w:val="24"/>
          <w:lang w:eastAsia="zh-CN"/>
        </w:rPr>
        <w:t>所有意见均应注明文件</w:t>
      </w:r>
      <w:r>
        <w:rPr>
          <w:rFonts w:hint="eastAsia"/>
          <w:sz w:val="24"/>
          <w:lang w:eastAsia="zh-CN"/>
        </w:rPr>
        <w:t>编号</w:t>
      </w:r>
      <w:r w:rsidR="00046C74">
        <w:rPr>
          <w:sz w:val="24"/>
          <w:lang w:eastAsia="zh-CN"/>
        </w:rPr>
        <w:t>FDA-2017-D-6982</w:t>
      </w:r>
      <w:r w:rsidR="00046C74">
        <w:rPr>
          <w:sz w:val="24"/>
          <w:lang w:eastAsia="zh-CN"/>
        </w:rPr>
        <w:t>。</w:t>
      </w:r>
      <w:r w:rsidRPr="001C558A">
        <w:rPr>
          <w:rFonts w:hint="eastAsia"/>
          <w:sz w:val="24"/>
          <w:lang w:eastAsia="zh-CN"/>
        </w:rPr>
        <w:t>在下次修订或更新文件以前，</w:t>
      </w:r>
      <w:r w:rsidRPr="001C558A">
        <w:rPr>
          <w:rFonts w:hint="eastAsia"/>
          <w:sz w:val="24"/>
          <w:lang w:eastAsia="zh-CN"/>
        </w:rPr>
        <w:t>FDA</w:t>
      </w:r>
      <w:r w:rsidRPr="001C558A">
        <w:rPr>
          <w:rFonts w:hint="eastAsia"/>
          <w:sz w:val="24"/>
          <w:lang w:eastAsia="zh-CN"/>
        </w:rPr>
        <w:t>可能不会对公众意见采取措施</w:t>
      </w:r>
      <w:r w:rsidR="00046C74">
        <w:rPr>
          <w:sz w:val="24"/>
          <w:lang w:eastAsia="zh-CN"/>
        </w:rPr>
        <w:t>。</w:t>
      </w:r>
    </w:p>
    <w:p w14:paraId="5245E06F" w14:textId="77777777" w:rsidR="004E0030" w:rsidRDefault="004E0030">
      <w:pPr>
        <w:snapToGrid w:val="0"/>
        <w:spacing w:beforeLines="50" w:before="120"/>
        <w:jc w:val="both"/>
        <w:rPr>
          <w:sz w:val="24"/>
          <w:lang w:eastAsia="zh-CN"/>
        </w:rPr>
      </w:pPr>
    </w:p>
    <w:p w14:paraId="5DBFE980" w14:textId="500A2CD8" w:rsidR="004E0030" w:rsidRDefault="00D074EB">
      <w:pPr>
        <w:snapToGrid w:val="0"/>
        <w:spacing w:beforeLines="50" w:before="120"/>
        <w:jc w:val="both"/>
        <w:rPr>
          <w:sz w:val="28"/>
          <w:szCs w:val="28"/>
          <w:lang w:eastAsia="zh-CN"/>
        </w:rPr>
      </w:pPr>
      <w:bookmarkStart w:id="3" w:name="bookmark3"/>
      <w:r>
        <w:rPr>
          <w:b/>
          <w:bCs/>
          <w:sz w:val="28"/>
          <w:szCs w:val="28"/>
          <w:lang w:eastAsia="zh-CN"/>
        </w:rPr>
        <w:t>更多</w:t>
      </w:r>
      <w:r w:rsidR="00046C74">
        <w:rPr>
          <w:b/>
          <w:bCs/>
          <w:sz w:val="28"/>
          <w:szCs w:val="28"/>
          <w:lang w:eastAsia="zh-CN"/>
        </w:rPr>
        <w:t>副本</w:t>
      </w:r>
      <w:bookmarkEnd w:id="3"/>
    </w:p>
    <w:p w14:paraId="266DB1E9" w14:textId="48325C26" w:rsidR="004E0030" w:rsidRDefault="00046C74">
      <w:pPr>
        <w:snapToGrid w:val="0"/>
        <w:spacing w:beforeLines="50" w:before="120"/>
        <w:jc w:val="both"/>
        <w:rPr>
          <w:sz w:val="24"/>
          <w:lang w:eastAsia="zh-CN"/>
        </w:rPr>
      </w:pPr>
      <w:r>
        <w:rPr>
          <w:sz w:val="24"/>
          <w:lang w:eastAsia="zh-CN"/>
        </w:rPr>
        <w:t>可从互联网获取</w:t>
      </w:r>
      <w:r w:rsidR="005357DF">
        <w:rPr>
          <w:rFonts w:hint="eastAsia"/>
          <w:sz w:val="24"/>
          <w:lang w:eastAsia="zh-CN"/>
        </w:rPr>
        <w:t>更多</w:t>
      </w:r>
      <w:r>
        <w:rPr>
          <w:sz w:val="24"/>
          <w:lang w:eastAsia="zh-CN"/>
        </w:rPr>
        <w:t>副本。也可以向</w:t>
      </w:r>
      <w:r w:rsidR="00000000">
        <w:fldChar w:fldCharType="begin"/>
      </w:r>
      <w:r w:rsidR="00000000">
        <w:rPr>
          <w:lang w:eastAsia="zh-CN"/>
        </w:rPr>
        <w:instrText xml:space="preserve"> HYPERLINK "mailto:CDRH-Guidance@fda.hhs.gov" </w:instrText>
      </w:r>
      <w:r w:rsidR="00000000">
        <w:fldChar w:fldCharType="separate"/>
      </w:r>
      <w:r>
        <w:rPr>
          <w:rStyle w:val="a9"/>
          <w:color w:val="0000FF"/>
          <w:sz w:val="24"/>
          <w:lang w:eastAsia="zh-CN"/>
        </w:rPr>
        <w:t>CDRH</w:t>
      </w:r>
      <w:r w:rsidR="00000000">
        <w:rPr>
          <w:rStyle w:val="a9"/>
          <w:color w:val="0000FF"/>
          <w:sz w:val="24"/>
          <w:lang w:eastAsia="zh-CN"/>
        </w:rPr>
        <w:fldChar w:fldCharType="end"/>
      </w:r>
      <w:r>
        <w:rPr>
          <w:color w:val="0000FF"/>
          <w:sz w:val="24"/>
          <w:u w:val="single"/>
          <w:lang w:eastAsia="zh-CN"/>
        </w:rPr>
        <w:t>-</w:t>
      </w:r>
      <w:r w:rsidR="00000000">
        <w:fldChar w:fldCharType="begin"/>
      </w:r>
      <w:r w:rsidR="00000000">
        <w:rPr>
          <w:lang w:eastAsia="zh-CN"/>
        </w:rPr>
        <w:instrText xml:space="preserve"> HYPERLINK "</w:instrText>
      </w:r>
      <w:r w:rsidR="00000000">
        <w:rPr>
          <w:lang w:eastAsia="zh-CN"/>
        </w:rPr>
        <w:instrText>邮箱：</w:instrText>
      </w:r>
      <w:r w:rsidR="00000000">
        <w:rPr>
          <w:lang w:eastAsia="zh-CN"/>
        </w:rPr>
        <w:instrText xml:space="preserve">Guidance@fda.hhs.gov" </w:instrText>
      </w:r>
      <w:r w:rsidR="00000000">
        <w:fldChar w:fldCharType="separate"/>
      </w:r>
      <w:r>
        <w:rPr>
          <w:rStyle w:val="a9"/>
          <w:color w:val="0000FF"/>
          <w:sz w:val="24"/>
          <w:lang w:eastAsia="zh-CN"/>
        </w:rPr>
        <w:t>Guidance@fda.hhs.gov</w:t>
      </w:r>
      <w:r w:rsidR="00000000">
        <w:rPr>
          <w:rStyle w:val="a9"/>
          <w:color w:val="0000FF"/>
          <w:sz w:val="24"/>
          <w:lang w:eastAsia="zh-CN"/>
        </w:rPr>
        <w:fldChar w:fldCharType="end"/>
      </w:r>
      <w:r>
        <w:rPr>
          <w:sz w:val="24"/>
          <w:lang w:eastAsia="zh-CN"/>
        </w:rPr>
        <w:t>发送邮件</w:t>
      </w:r>
      <w:r w:rsidR="005357DF">
        <w:rPr>
          <w:rFonts w:hint="eastAsia"/>
          <w:sz w:val="24"/>
          <w:lang w:eastAsia="zh-CN"/>
        </w:rPr>
        <w:t>以获取</w:t>
      </w:r>
      <w:r>
        <w:rPr>
          <w:sz w:val="24"/>
          <w:lang w:eastAsia="zh-CN"/>
        </w:rPr>
        <w:t>指南副本。</w:t>
      </w:r>
      <w:r w:rsidR="00324ADF">
        <w:rPr>
          <w:sz w:val="24"/>
          <w:lang w:eastAsia="zh-CN"/>
        </w:rPr>
        <w:t>请使用</w:t>
      </w:r>
      <w:r>
        <w:rPr>
          <w:sz w:val="24"/>
          <w:lang w:eastAsia="zh-CN"/>
        </w:rPr>
        <w:t>文件</w:t>
      </w:r>
      <w:r w:rsidR="00324ADF">
        <w:rPr>
          <w:sz w:val="24"/>
          <w:lang w:eastAsia="zh-CN"/>
        </w:rPr>
        <w:t>编</w:t>
      </w:r>
      <w:r>
        <w:rPr>
          <w:sz w:val="24"/>
          <w:lang w:eastAsia="zh-CN"/>
        </w:rPr>
        <w:t>号</w:t>
      </w:r>
      <w:r>
        <w:rPr>
          <w:sz w:val="24"/>
          <w:lang w:eastAsia="zh-CN"/>
        </w:rPr>
        <w:t>GUD 17032</w:t>
      </w:r>
      <w:r>
        <w:rPr>
          <w:sz w:val="24"/>
          <w:lang w:eastAsia="zh-CN"/>
        </w:rPr>
        <w:t>识别</w:t>
      </w:r>
      <w:r w:rsidR="00324ADF">
        <w:rPr>
          <w:rFonts w:hint="eastAsia"/>
          <w:sz w:val="24"/>
          <w:lang w:eastAsia="zh-CN"/>
        </w:rPr>
        <w:t>申请</w:t>
      </w:r>
      <w:r>
        <w:rPr>
          <w:sz w:val="24"/>
          <w:lang w:eastAsia="zh-CN"/>
        </w:rPr>
        <w:t>的指南。</w:t>
      </w:r>
    </w:p>
    <w:p w14:paraId="594F0C63" w14:textId="77777777" w:rsidR="004E0030" w:rsidRDefault="004E0030">
      <w:pPr>
        <w:snapToGrid w:val="0"/>
        <w:spacing w:beforeLines="50" w:before="120"/>
        <w:jc w:val="both"/>
        <w:rPr>
          <w:sz w:val="24"/>
          <w:lang w:eastAsia="zh-CN"/>
        </w:rPr>
      </w:pPr>
    </w:p>
    <w:p w14:paraId="489B1C83" w14:textId="4F05E7E8" w:rsidR="004E0030" w:rsidRDefault="00046C74">
      <w:pPr>
        <w:snapToGrid w:val="0"/>
        <w:spacing w:beforeLines="50" w:before="120"/>
        <w:jc w:val="both"/>
        <w:rPr>
          <w:sz w:val="28"/>
          <w:szCs w:val="28"/>
          <w:lang w:eastAsia="zh-CN"/>
        </w:rPr>
      </w:pPr>
      <w:r>
        <w:rPr>
          <w:b/>
          <w:bCs/>
          <w:sz w:val="28"/>
          <w:szCs w:val="28"/>
          <w:lang w:eastAsia="zh-CN"/>
        </w:rPr>
        <w:t>生物制品评价</w:t>
      </w:r>
      <w:r w:rsidR="008E7D78">
        <w:rPr>
          <w:rFonts w:hint="eastAsia"/>
          <w:b/>
          <w:bCs/>
          <w:sz w:val="28"/>
          <w:szCs w:val="28"/>
          <w:lang w:eastAsia="zh-CN"/>
        </w:rPr>
        <w:t>和</w:t>
      </w:r>
      <w:r>
        <w:rPr>
          <w:b/>
          <w:bCs/>
          <w:sz w:val="28"/>
          <w:szCs w:val="28"/>
          <w:lang w:eastAsia="zh-CN"/>
        </w:rPr>
        <w:t>研究中心（</w:t>
      </w:r>
      <w:r>
        <w:rPr>
          <w:b/>
          <w:bCs/>
          <w:sz w:val="28"/>
          <w:szCs w:val="28"/>
          <w:lang w:eastAsia="zh-CN"/>
        </w:rPr>
        <w:t>CBER</w:t>
      </w:r>
      <w:r>
        <w:rPr>
          <w:b/>
          <w:bCs/>
          <w:sz w:val="28"/>
          <w:szCs w:val="28"/>
          <w:lang w:eastAsia="zh-CN"/>
        </w:rPr>
        <w:t>）</w:t>
      </w:r>
    </w:p>
    <w:p w14:paraId="01A1B2AC" w14:textId="50B0F162" w:rsidR="004E0030" w:rsidRDefault="004E20C5">
      <w:pPr>
        <w:snapToGrid w:val="0"/>
        <w:spacing w:beforeLines="50" w:before="120"/>
        <w:rPr>
          <w:sz w:val="24"/>
        </w:rPr>
      </w:pPr>
      <w:r>
        <w:rPr>
          <w:sz w:val="24"/>
          <w:lang w:eastAsia="zh-CN"/>
        </w:rPr>
        <w:t>更多</w:t>
      </w:r>
      <w:r w:rsidR="00046C74">
        <w:rPr>
          <w:sz w:val="24"/>
          <w:lang w:eastAsia="zh-CN"/>
        </w:rPr>
        <w:t>副本可从生物制品评价和研究中心（</w:t>
      </w:r>
      <w:r w:rsidR="00046C74">
        <w:rPr>
          <w:sz w:val="24"/>
          <w:lang w:eastAsia="zh-CN"/>
        </w:rPr>
        <w:t>CBER</w:t>
      </w:r>
      <w:r w:rsidR="00046C74">
        <w:rPr>
          <w:sz w:val="24"/>
          <w:lang w:eastAsia="zh-CN"/>
        </w:rPr>
        <w:t>）</w:t>
      </w:r>
      <w:r w:rsidR="00046C74">
        <w:rPr>
          <w:rFonts w:hint="eastAsia"/>
          <w:sz w:val="24"/>
          <w:lang w:eastAsia="zh-CN"/>
        </w:rPr>
        <w:t>沟通</w:t>
      </w:r>
      <w:r w:rsidR="00046C74">
        <w:rPr>
          <w:sz w:val="24"/>
          <w:lang w:eastAsia="zh-CN"/>
        </w:rPr>
        <w:t>、推广和发展办公室（</w:t>
      </w:r>
      <w:r w:rsidR="00046C74">
        <w:rPr>
          <w:sz w:val="24"/>
          <w:lang w:eastAsia="zh-CN"/>
        </w:rPr>
        <w:t>OCOD</w:t>
      </w:r>
      <w:r w:rsidR="00046C74">
        <w:rPr>
          <w:sz w:val="24"/>
          <w:lang w:eastAsia="zh-CN"/>
        </w:rPr>
        <w:t>）获取，地址：</w:t>
      </w:r>
      <w:r w:rsidR="00046C74">
        <w:rPr>
          <w:sz w:val="24"/>
          <w:lang w:eastAsia="zh-CN"/>
        </w:rPr>
        <w:t>10903 New Hampshire Ave., Bldg. 71, Room 3128, Silver Spring</w:t>
      </w:r>
      <w:r w:rsidR="00046C74">
        <w:rPr>
          <w:sz w:val="24"/>
          <w:lang w:eastAsia="zh-CN"/>
        </w:rPr>
        <w:t>，邮编：</w:t>
      </w:r>
      <w:r w:rsidR="00046C74">
        <w:rPr>
          <w:sz w:val="24"/>
          <w:lang w:eastAsia="zh-CN"/>
        </w:rPr>
        <w:t>20993-0002</w:t>
      </w:r>
      <w:r w:rsidR="00046C74">
        <w:rPr>
          <w:sz w:val="24"/>
          <w:lang w:eastAsia="zh-CN"/>
        </w:rPr>
        <w:t>，或致电</w:t>
      </w:r>
      <w:r w:rsidR="00046C74">
        <w:rPr>
          <w:sz w:val="24"/>
          <w:lang w:eastAsia="zh-CN"/>
        </w:rPr>
        <w:t>1-800-835-4709</w:t>
      </w:r>
      <w:r w:rsidR="00046C74">
        <w:rPr>
          <w:sz w:val="24"/>
          <w:lang w:eastAsia="zh-CN"/>
        </w:rPr>
        <w:t>或</w:t>
      </w:r>
      <w:r w:rsidR="00046C74">
        <w:rPr>
          <w:sz w:val="24"/>
          <w:lang w:eastAsia="zh-CN"/>
        </w:rPr>
        <w:t>240-4028010</w:t>
      </w:r>
      <w:r w:rsidR="00046C74">
        <w:rPr>
          <w:sz w:val="24"/>
          <w:lang w:eastAsia="zh-CN"/>
        </w:rPr>
        <w:t>，或发送邮件至</w:t>
      </w:r>
      <w:r w:rsidR="00046C74">
        <w:fldChar w:fldCharType="begin"/>
      </w:r>
      <w:r w:rsidR="00046C74">
        <w:instrText xml:space="preserve"> HYPERLINK "</w:instrText>
      </w:r>
      <w:r w:rsidR="00046C74">
        <w:instrText>电子邮箱：</w:instrText>
      </w:r>
      <w:r w:rsidR="00046C74">
        <w:instrText xml:space="preserve">ocod@fda.hhs.gov" </w:instrText>
      </w:r>
      <w:r w:rsidR="00046C74">
        <w:fldChar w:fldCharType="separate"/>
      </w:r>
      <w:r w:rsidR="00046C74">
        <w:rPr>
          <w:rStyle w:val="a9"/>
          <w:color w:val="0000FF"/>
          <w:sz w:val="24"/>
          <w:lang w:eastAsia="zh-CN"/>
        </w:rPr>
        <w:t>ocod@fda.hhs.gov</w:t>
      </w:r>
      <w:r w:rsidR="00046C74">
        <w:rPr>
          <w:rStyle w:val="a9"/>
          <w:color w:val="0000FF"/>
          <w:sz w:val="24"/>
          <w:lang w:eastAsia="zh-CN"/>
        </w:rPr>
        <w:fldChar w:fldCharType="end"/>
      </w:r>
      <w:r w:rsidR="00046C74">
        <w:rPr>
          <w:sz w:val="24"/>
          <w:u w:val="single"/>
          <w:lang w:eastAsia="zh-CN"/>
        </w:rPr>
        <w:t>，或访问网站</w:t>
      </w:r>
      <w:r w:rsidR="00046C74">
        <w:fldChar w:fldCharType="begin"/>
      </w:r>
      <w:r w:rsidR="00046C74">
        <w:instrText xml:space="preserve"> HYPERLINK "https://www.fda.gov/BiologicsBloodVaccines/GuidanceComplianceRegulatoryInformation/%20Guidances/default.htm" </w:instrText>
      </w:r>
      <w:r w:rsidR="00046C74">
        <w:fldChar w:fldCharType="separate"/>
      </w:r>
      <w:r w:rsidR="00046C74">
        <w:rPr>
          <w:rStyle w:val="a9"/>
          <w:color w:val="0000FF"/>
          <w:sz w:val="24"/>
          <w:lang w:eastAsia="zh-CN"/>
        </w:rPr>
        <w:t>https://www.fda.gov/BiologicsBloodVaccines/GuidanceComplianceRegulatoryInformation/</w:t>
      </w:r>
      <w:r w:rsidR="00046C74">
        <w:rPr>
          <w:rStyle w:val="a9"/>
          <w:color w:val="0000FF"/>
          <w:sz w:val="24"/>
          <w:lang w:eastAsia="zh-CN"/>
        </w:rPr>
        <w:fldChar w:fldCharType="end"/>
      </w:r>
      <w:hyperlink r:id="rId10" w:history="1">
        <w:r w:rsidR="00046C74">
          <w:rPr>
            <w:rStyle w:val="a9"/>
            <w:color w:val="0000FF"/>
            <w:sz w:val="24"/>
            <w:lang w:eastAsia="zh-CN"/>
          </w:rPr>
          <w:t>Guidances/default.htm.</w:t>
        </w:r>
      </w:hyperlink>
      <w:r w:rsidR="00046C74">
        <w:rPr>
          <w:sz w:val="24"/>
          <w:lang w:eastAsia="zh-CN"/>
        </w:rPr>
        <w:t>。</w:t>
      </w:r>
    </w:p>
    <w:p w14:paraId="3350253C" w14:textId="77777777" w:rsidR="004E0030" w:rsidRDefault="004E0030">
      <w:pPr>
        <w:snapToGrid w:val="0"/>
        <w:spacing w:beforeLines="50" w:before="120"/>
        <w:jc w:val="both"/>
      </w:pPr>
    </w:p>
    <w:p w14:paraId="24B143D8" w14:textId="77777777" w:rsidR="004E0030" w:rsidRDefault="00046C74">
      <w:pPr>
        <w:snapToGrid w:val="0"/>
        <w:spacing w:beforeLines="50" w:before="120"/>
        <w:jc w:val="both"/>
      </w:pPr>
      <w:r>
        <w:rPr>
          <w:lang w:eastAsia="zh-CN"/>
        </w:rPr>
        <w:br w:type="page"/>
      </w:r>
    </w:p>
    <w:p w14:paraId="3F847AAA" w14:textId="77777777" w:rsidR="004E0030" w:rsidRDefault="00046C74">
      <w:pPr>
        <w:snapToGrid w:val="0"/>
        <w:spacing w:beforeLines="50" w:before="120"/>
        <w:jc w:val="center"/>
        <w:rPr>
          <w:b/>
          <w:bCs/>
          <w:sz w:val="28"/>
          <w:szCs w:val="28"/>
          <w:lang w:eastAsia="zh-CN"/>
        </w:rPr>
      </w:pPr>
      <w:bookmarkStart w:id="4" w:name="bookmark4"/>
      <w:r>
        <w:rPr>
          <w:b/>
          <w:bCs/>
          <w:sz w:val="28"/>
          <w:szCs w:val="28"/>
          <w:lang w:eastAsia="zh-CN"/>
        </w:rPr>
        <w:lastRenderedPageBreak/>
        <w:t>目录</w:t>
      </w:r>
      <w:bookmarkEnd w:id="4"/>
    </w:p>
    <w:p w14:paraId="5862AF00" w14:textId="77777777" w:rsidR="004E0030" w:rsidRDefault="004E0030">
      <w:pPr>
        <w:snapToGrid w:val="0"/>
        <w:spacing w:beforeLines="50" w:before="120"/>
        <w:jc w:val="center"/>
        <w:rPr>
          <w:sz w:val="28"/>
          <w:szCs w:val="28"/>
          <w:lang w:eastAsia="zh-CN"/>
        </w:rPr>
      </w:pPr>
    </w:p>
    <w:p w14:paraId="5CE0700F" w14:textId="77777777" w:rsidR="004E0030" w:rsidRDefault="00046C74">
      <w:pPr>
        <w:pStyle w:val="TOC1"/>
        <w:spacing w:before="120"/>
        <w:rPr>
          <w:rFonts w:asciiTheme="minorHAnsi" w:eastAsiaTheme="minorEastAsia" w:hAnsiTheme="minorHAnsi" w:cstheme="minorBidi"/>
          <w:color w:val="auto"/>
          <w:kern w:val="2"/>
          <w:sz w:val="21"/>
          <w:szCs w:val="22"/>
          <w:lang w:eastAsia="zh-CN" w:bidi="ar-SA"/>
        </w:rPr>
      </w:pPr>
      <w:r>
        <w:rPr>
          <w:b/>
          <w:bCs/>
          <w:lang w:eastAsia="zh-CN"/>
        </w:rPr>
        <w:fldChar w:fldCharType="begin"/>
      </w:r>
      <w:r>
        <w:rPr>
          <w:b/>
          <w:bCs/>
          <w:lang w:eastAsia="zh-CN"/>
        </w:rPr>
        <w:instrText xml:space="preserve"> TOC \o "1-2" \t "</w:instrText>
      </w:r>
      <w:r>
        <w:rPr>
          <w:b/>
          <w:bCs/>
          <w:lang w:eastAsia="zh-CN"/>
        </w:rPr>
        <w:instrText>样式</w:instrText>
      </w:r>
      <w:r>
        <w:rPr>
          <w:b/>
          <w:bCs/>
          <w:lang w:eastAsia="zh-CN"/>
        </w:rPr>
        <w:instrText>m1,1,</w:instrText>
      </w:r>
      <w:r>
        <w:rPr>
          <w:b/>
          <w:bCs/>
          <w:lang w:eastAsia="zh-CN"/>
        </w:rPr>
        <w:instrText>样式</w:instrText>
      </w:r>
      <w:r>
        <w:rPr>
          <w:b/>
          <w:bCs/>
          <w:lang w:eastAsia="zh-CN"/>
        </w:rPr>
        <w:instrText xml:space="preserve">m2,2" </w:instrText>
      </w:r>
      <w:r>
        <w:rPr>
          <w:b/>
          <w:bCs/>
        </w:rPr>
        <w:fldChar w:fldCharType="separate"/>
      </w:r>
      <w:r>
        <w:rPr>
          <w:lang w:eastAsia="zh-CN"/>
        </w:rPr>
        <w:t>I.</w:t>
      </w:r>
      <w:r>
        <w:rPr>
          <w:rFonts w:asciiTheme="minorHAnsi" w:eastAsiaTheme="minorEastAsia" w:hAnsiTheme="minorHAnsi" w:cstheme="minorBidi"/>
          <w:color w:val="auto"/>
          <w:kern w:val="2"/>
          <w:sz w:val="21"/>
          <w:szCs w:val="22"/>
          <w:lang w:eastAsia="zh-CN" w:bidi="ar-SA"/>
        </w:rPr>
        <w:tab/>
      </w:r>
      <w:r>
        <w:rPr>
          <w:lang w:eastAsia="zh-CN"/>
        </w:rPr>
        <w:t>引言</w:t>
      </w:r>
      <w:r>
        <w:rPr>
          <w:lang w:eastAsia="zh-CN"/>
        </w:rPr>
        <w:tab/>
      </w:r>
      <w:r>
        <w:fldChar w:fldCharType="begin"/>
      </w:r>
      <w:r>
        <w:rPr>
          <w:lang w:eastAsia="zh-CN"/>
        </w:rPr>
        <w:instrText xml:space="preserve"> PAGEREF _Toc97318726 \h </w:instrText>
      </w:r>
      <w:r>
        <w:fldChar w:fldCharType="separate"/>
      </w:r>
      <w:r>
        <w:rPr>
          <w:lang w:eastAsia="zh-CN"/>
        </w:rPr>
        <w:t>4</w:t>
      </w:r>
      <w:r>
        <w:fldChar w:fldCharType="end"/>
      </w:r>
    </w:p>
    <w:p w14:paraId="2937E038" w14:textId="77777777" w:rsidR="004E0030" w:rsidRDefault="00046C74">
      <w:pPr>
        <w:pStyle w:val="TOC1"/>
        <w:spacing w:before="120"/>
        <w:rPr>
          <w:rFonts w:asciiTheme="minorHAnsi" w:eastAsiaTheme="minorEastAsia" w:hAnsiTheme="minorHAnsi" w:cstheme="minorBidi"/>
          <w:color w:val="auto"/>
          <w:kern w:val="2"/>
          <w:sz w:val="21"/>
          <w:szCs w:val="22"/>
          <w:lang w:eastAsia="zh-CN" w:bidi="ar-SA"/>
        </w:rPr>
      </w:pPr>
      <w:r>
        <w:rPr>
          <w:lang w:eastAsia="zh-CN"/>
        </w:rPr>
        <w:t>II.</w:t>
      </w:r>
      <w:r>
        <w:rPr>
          <w:rFonts w:asciiTheme="minorHAnsi" w:eastAsiaTheme="minorEastAsia" w:hAnsiTheme="minorHAnsi" w:cstheme="minorBidi"/>
          <w:color w:val="auto"/>
          <w:kern w:val="2"/>
          <w:sz w:val="21"/>
          <w:szCs w:val="22"/>
          <w:lang w:eastAsia="zh-CN" w:bidi="ar-SA"/>
        </w:rPr>
        <w:tab/>
      </w:r>
      <w:r>
        <w:rPr>
          <w:lang w:eastAsia="zh-CN"/>
        </w:rPr>
        <w:t>背景</w:t>
      </w:r>
      <w:r>
        <w:rPr>
          <w:lang w:eastAsia="zh-CN"/>
        </w:rPr>
        <w:tab/>
      </w:r>
      <w:r>
        <w:fldChar w:fldCharType="begin"/>
      </w:r>
      <w:r>
        <w:rPr>
          <w:lang w:eastAsia="zh-CN"/>
        </w:rPr>
        <w:instrText xml:space="preserve"> PAGEREF _Toc97318727 \h </w:instrText>
      </w:r>
      <w:r>
        <w:fldChar w:fldCharType="separate"/>
      </w:r>
      <w:r>
        <w:rPr>
          <w:lang w:eastAsia="zh-CN"/>
        </w:rPr>
        <w:t>5</w:t>
      </w:r>
      <w:r>
        <w:fldChar w:fldCharType="end"/>
      </w:r>
    </w:p>
    <w:p w14:paraId="5FA185FB" w14:textId="77777777" w:rsidR="004E0030" w:rsidRDefault="00046C74">
      <w:pPr>
        <w:pStyle w:val="TOC1"/>
        <w:spacing w:before="120"/>
        <w:rPr>
          <w:rFonts w:asciiTheme="minorHAnsi" w:eastAsiaTheme="minorEastAsia" w:hAnsiTheme="minorHAnsi" w:cstheme="minorBidi"/>
          <w:color w:val="auto"/>
          <w:kern w:val="2"/>
          <w:sz w:val="21"/>
          <w:szCs w:val="22"/>
          <w:lang w:eastAsia="zh-CN" w:bidi="ar-SA"/>
        </w:rPr>
      </w:pPr>
      <w:r>
        <w:rPr>
          <w:lang w:eastAsia="zh-CN"/>
        </w:rPr>
        <w:t xml:space="preserve">III. </w:t>
      </w:r>
      <w:r>
        <w:rPr>
          <w:rFonts w:asciiTheme="minorHAnsi" w:eastAsiaTheme="minorEastAsia" w:hAnsiTheme="minorHAnsi" w:cstheme="minorBidi"/>
          <w:color w:val="auto"/>
          <w:kern w:val="2"/>
          <w:sz w:val="21"/>
          <w:szCs w:val="22"/>
          <w:lang w:eastAsia="zh-CN" w:bidi="ar-SA"/>
        </w:rPr>
        <w:tab/>
      </w:r>
      <w:r>
        <w:rPr>
          <w:lang w:eastAsia="zh-CN"/>
        </w:rPr>
        <w:t>范围</w:t>
      </w:r>
      <w:r>
        <w:rPr>
          <w:lang w:eastAsia="zh-CN"/>
        </w:rPr>
        <w:tab/>
      </w:r>
      <w:r>
        <w:fldChar w:fldCharType="begin"/>
      </w:r>
      <w:r>
        <w:rPr>
          <w:lang w:eastAsia="zh-CN"/>
        </w:rPr>
        <w:instrText xml:space="preserve"> PAGEREF _Toc97318728 \h </w:instrText>
      </w:r>
      <w:r>
        <w:fldChar w:fldCharType="separate"/>
      </w:r>
      <w:r>
        <w:rPr>
          <w:lang w:eastAsia="zh-CN"/>
        </w:rPr>
        <w:t>6</w:t>
      </w:r>
      <w:r>
        <w:fldChar w:fldCharType="end"/>
      </w:r>
    </w:p>
    <w:p w14:paraId="529DCC84" w14:textId="77777777" w:rsidR="004E0030" w:rsidRDefault="00046C74">
      <w:pPr>
        <w:pStyle w:val="TOC1"/>
        <w:spacing w:before="120"/>
        <w:rPr>
          <w:rFonts w:asciiTheme="minorHAnsi" w:eastAsiaTheme="minorEastAsia" w:hAnsiTheme="minorHAnsi" w:cstheme="minorBidi"/>
          <w:color w:val="auto"/>
          <w:kern w:val="2"/>
          <w:sz w:val="21"/>
          <w:szCs w:val="22"/>
          <w:lang w:eastAsia="zh-CN" w:bidi="ar-SA"/>
        </w:rPr>
      </w:pPr>
      <w:r>
        <w:rPr>
          <w:lang w:eastAsia="zh-CN"/>
        </w:rPr>
        <w:t>IV.</w:t>
      </w:r>
      <w:r>
        <w:rPr>
          <w:rFonts w:asciiTheme="minorHAnsi" w:eastAsiaTheme="minorEastAsia" w:hAnsiTheme="minorHAnsi" w:cstheme="minorBidi"/>
          <w:color w:val="auto"/>
          <w:kern w:val="2"/>
          <w:sz w:val="21"/>
          <w:szCs w:val="22"/>
          <w:lang w:eastAsia="zh-CN" w:bidi="ar-SA"/>
        </w:rPr>
        <w:tab/>
      </w:r>
      <w:r>
        <w:rPr>
          <w:lang w:eastAsia="zh-CN"/>
        </w:rPr>
        <w:t>IVD</w:t>
      </w:r>
      <w:r>
        <w:rPr>
          <w:lang w:eastAsia="zh-CN"/>
        </w:rPr>
        <w:t>的</w:t>
      </w:r>
      <w:r>
        <w:rPr>
          <w:lang w:eastAsia="zh-CN"/>
        </w:rPr>
        <w:t>LOIINC</w:t>
      </w:r>
      <w:r>
        <w:rPr>
          <w:lang w:eastAsia="zh-CN"/>
        </w:rPr>
        <w:t>编码</w:t>
      </w:r>
      <w:r>
        <w:rPr>
          <w:lang w:eastAsia="zh-CN"/>
        </w:rPr>
        <w:tab/>
      </w:r>
      <w:r>
        <w:fldChar w:fldCharType="begin"/>
      </w:r>
      <w:r>
        <w:rPr>
          <w:lang w:eastAsia="zh-CN"/>
        </w:rPr>
        <w:instrText xml:space="preserve"> PAGEREF _Toc97318729 \h </w:instrText>
      </w:r>
      <w:r>
        <w:fldChar w:fldCharType="separate"/>
      </w:r>
      <w:r>
        <w:rPr>
          <w:lang w:eastAsia="zh-CN"/>
        </w:rPr>
        <w:t>6</w:t>
      </w:r>
      <w:r>
        <w:fldChar w:fldCharType="end"/>
      </w:r>
    </w:p>
    <w:p w14:paraId="0ABBD818" w14:textId="2F292F3E" w:rsidR="004E0030" w:rsidRDefault="00046C74">
      <w:pPr>
        <w:pStyle w:val="TOC2"/>
        <w:spacing w:before="120"/>
        <w:ind w:left="912" w:hanging="492"/>
        <w:rPr>
          <w:rFonts w:asciiTheme="minorHAnsi" w:eastAsiaTheme="minorEastAsia" w:hAnsiTheme="minorHAnsi" w:cstheme="minorBidi"/>
          <w:color w:val="auto"/>
          <w:kern w:val="2"/>
          <w:sz w:val="21"/>
          <w:szCs w:val="22"/>
          <w:lang w:eastAsia="zh-CN" w:bidi="ar-SA"/>
        </w:rPr>
      </w:pPr>
      <w:r>
        <w:rPr>
          <w:lang w:eastAsia="zh-CN"/>
        </w:rPr>
        <w:t>A.</w:t>
      </w:r>
      <w:r>
        <w:rPr>
          <w:rFonts w:asciiTheme="minorHAnsi" w:eastAsiaTheme="minorEastAsia" w:hAnsiTheme="minorHAnsi" w:cstheme="minorBidi"/>
          <w:color w:val="auto"/>
          <w:kern w:val="2"/>
          <w:sz w:val="21"/>
          <w:szCs w:val="22"/>
          <w:lang w:eastAsia="zh-CN" w:bidi="ar-SA"/>
        </w:rPr>
        <w:tab/>
      </w:r>
      <w:r>
        <w:rPr>
          <w:lang w:eastAsia="zh-CN"/>
        </w:rPr>
        <w:t>FDA</w:t>
      </w:r>
      <w:r>
        <w:rPr>
          <w:lang w:eastAsia="zh-CN"/>
        </w:rPr>
        <w:t>是否强制要求</w:t>
      </w:r>
      <w:r>
        <w:rPr>
          <w:lang w:eastAsia="zh-CN"/>
        </w:rPr>
        <w:t>IVD</w:t>
      </w:r>
      <w:r>
        <w:rPr>
          <w:rFonts w:hint="eastAsia"/>
          <w:lang w:eastAsia="zh-CN"/>
        </w:rPr>
        <w:t>测试</w:t>
      </w:r>
      <w:r>
        <w:rPr>
          <w:lang w:eastAsia="zh-CN"/>
        </w:rPr>
        <w:t>使用</w:t>
      </w:r>
      <w:r>
        <w:rPr>
          <w:lang w:eastAsia="zh-CN"/>
        </w:rPr>
        <w:t>LOINC</w:t>
      </w:r>
      <w:r>
        <w:rPr>
          <w:lang w:eastAsia="zh-CN"/>
        </w:rPr>
        <w:t>编码？</w:t>
      </w:r>
      <w:r>
        <w:rPr>
          <w:lang w:eastAsia="zh-CN"/>
        </w:rPr>
        <w:tab/>
      </w:r>
      <w:r>
        <w:fldChar w:fldCharType="begin"/>
      </w:r>
      <w:r>
        <w:rPr>
          <w:lang w:eastAsia="zh-CN"/>
        </w:rPr>
        <w:instrText xml:space="preserve"> PAGEREF _Toc97318730 \h </w:instrText>
      </w:r>
      <w:r>
        <w:fldChar w:fldCharType="separate"/>
      </w:r>
      <w:r>
        <w:rPr>
          <w:lang w:eastAsia="zh-CN"/>
        </w:rPr>
        <w:t>6</w:t>
      </w:r>
      <w:r>
        <w:fldChar w:fldCharType="end"/>
      </w:r>
    </w:p>
    <w:p w14:paraId="635DD906" w14:textId="77777777" w:rsidR="004E0030" w:rsidRDefault="00046C74">
      <w:pPr>
        <w:pStyle w:val="TOC2"/>
        <w:spacing w:before="120"/>
        <w:ind w:left="912" w:hanging="492"/>
        <w:rPr>
          <w:rFonts w:asciiTheme="minorHAnsi" w:eastAsiaTheme="minorEastAsia" w:hAnsiTheme="minorHAnsi" w:cstheme="minorBidi"/>
          <w:color w:val="auto"/>
          <w:kern w:val="2"/>
          <w:sz w:val="21"/>
          <w:szCs w:val="22"/>
          <w:lang w:eastAsia="zh-CN" w:bidi="ar-SA"/>
        </w:rPr>
      </w:pPr>
      <w:r>
        <w:rPr>
          <w:lang w:eastAsia="zh-CN"/>
        </w:rPr>
        <w:t>B.</w:t>
      </w:r>
      <w:r>
        <w:rPr>
          <w:rFonts w:asciiTheme="minorHAnsi" w:eastAsiaTheme="minorEastAsia" w:hAnsiTheme="minorHAnsi" w:cstheme="minorBidi"/>
          <w:color w:val="auto"/>
          <w:kern w:val="2"/>
          <w:sz w:val="21"/>
          <w:szCs w:val="22"/>
          <w:lang w:eastAsia="zh-CN" w:bidi="ar-SA"/>
        </w:rPr>
        <w:tab/>
      </w:r>
      <w:r>
        <w:rPr>
          <w:lang w:eastAsia="zh-CN"/>
        </w:rPr>
        <w:t>制造商是否应该将</w:t>
      </w:r>
      <w:r>
        <w:rPr>
          <w:lang w:eastAsia="zh-CN"/>
        </w:rPr>
        <w:t>LOINC</w:t>
      </w:r>
      <w:r>
        <w:rPr>
          <w:lang w:eastAsia="zh-CN"/>
        </w:rPr>
        <w:t>代码包含在器械标签中？</w:t>
      </w:r>
      <w:r>
        <w:rPr>
          <w:lang w:eastAsia="zh-CN"/>
        </w:rPr>
        <w:tab/>
      </w:r>
      <w:r>
        <w:fldChar w:fldCharType="begin"/>
      </w:r>
      <w:r>
        <w:rPr>
          <w:lang w:eastAsia="zh-CN"/>
        </w:rPr>
        <w:instrText xml:space="preserve"> PAGEREF _Toc97318731 \h </w:instrText>
      </w:r>
      <w:r>
        <w:fldChar w:fldCharType="separate"/>
      </w:r>
      <w:r>
        <w:rPr>
          <w:lang w:eastAsia="zh-CN"/>
        </w:rPr>
        <w:t>7</w:t>
      </w:r>
      <w:r>
        <w:fldChar w:fldCharType="end"/>
      </w:r>
    </w:p>
    <w:p w14:paraId="225B9FE3" w14:textId="3B028268" w:rsidR="004E0030" w:rsidRDefault="00046C74">
      <w:pPr>
        <w:pStyle w:val="TOC2"/>
        <w:spacing w:before="120"/>
        <w:ind w:left="912" w:hanging="492"/>
        <w:rPr>
          <w:rFonts w:asciiTheme="minorHAnsi" w:eastAsiaTheme="minorEastAsia" w:hAnsiTheme="minorHAnsi" w:cstheme="minorBidi"/>
          <w:color w:val="auto"/>
          <w:kern w:val="2"/>
          <w:sz w:val="21"/>
          <w:szCs w:val="22"/>
          <w:lang w:eastAsia="zh-CN" w:bidi="ar-SA"/>
        </w:rPr>
      </w:pPr>
      <w:r>
        <w:rPr>
          <w:lang w:eastAsia="zh-CN"/>
        </w:rPr>
        <w:t>C.</w:t>
      </w:r>
      <w:r>
        <w:rPr>
          <w:rFonts w:asciiTheme="minorHAnsi" w:eastAsiaTheme="minorEastAsia" w:hAnsiTheme="minorHAnsi" w:cstheme="minorBidi"/>
          <w:color w:val="auto"/>
          <w:kern w:val="2"/>
          <w:sz w:val="21"/>
          <w:szCs w:val="22"/>
          <w:lang w:eastAsia="zh-CN" w:bidi="ar-SA"/>
        </w:rPr>
        <w:tab/>
      </w:r>
      <w:r>
        <w:rPr>
          <w:lang w:eastAsia="zh-CN"/>
        </w:rPr>
        <w:t>FDA</w:t>
      </w:r>
      <w:r>
        <w:rPr>
          <w:lang w:eastAsia="zh-CN"/>
        </w:rPr>
        <w:t>对制造商为未明确或未批准的</w:t>
      </w:r>
      <w:r>
        <w:rPr>
          <w:rFonts w:hint="eastAsia"/>
          <w:lang w:eastAsia="zh-CN"/>
        </w:rPr>
        <w:t>适应症</w:t>
      </w:r>
      <w:r>
        <w:rPr>
          <w:lang w:eastAsia="zh-CN"/>
        </w:rPr>
        <w:t>提供</w:t>
      </w:r>
      <w:r>
        <w:rPr>
          <w:lang w:eastAsia="zh-CN"/>
        </w:rPr>
        <w:t>LOINC</w:t>
      </w:r>
      <w:r>
        <w:rPr>
          <w:lang w:eastAsia="zh-CN"/>
        </w:rPr>
        <w:t>代码有何看法？</w:t>
      </w:r>
      <w:r>
        <w:rPr>
          <w:lang w:eastAsia="zh-CN"/>
        </w:rPr>
        <w:tab/>
      </w:r>
      <w:r>
        <w:fldChar w:fldCharType="begin"/>
      </w:r>
      <w:r>
        <w:rPr>
          <w:lang w:eastAsia="zh-CN"/>
        </w:rPr>
        <w:instrText xml:space="preserve"> PAGEREF _Toc97318732 \h </w:instrText>
      </w:r>
      <w:r>
        <w:fldChar w:fldCharType="separate"/>
      </w:r>
      <w:r>
        <w:rPr>
          <w:lang w:eastAsia="zh-CN"/>
        </w:rPr>
        <w:t>7</w:t>
      </w:r>
      <w:r>
        <w:fldChar w:fldCharType="end"/>
      </w:r>
    </w:p>
    <w:p w14:paraId="30117FBD" w14:textId="77777777" w:rsidR="004E0030" w:rsidRDefault="00046C74">
      <w:pPr>
        <w:pStyle w:val="TOC2"/>
        <w:spacing w:before="120"/>
        <w:ind w:left="912" w:hanging="492"/>
        <w:rPr>
          <w:rFonts w:asciiTheme="minorHAnsi" w:eastAsiaTheme="minorEastAsia" w:hAnsiTheme="minorHAnsi" w:cstheme="minorBidi"/>
          <w:color w:val="auto"/>
          <w:kern w:val="2"/>
          <w:sz w:val="21"/>
          <w:szCs w:val="22"/>
          <w:lang w:eastAsia="zh-CN" w:bidi="ar-SA"/>
        </w:rPr>
      </w:pPr>
      <w:r>
        <w:rPr>
          <w:lang w:eastAsia="zh-CN"/>
        </w:rPr>
        <w:t>D.</w:t>
      </w:r>
      <w:r>
        <w:rPr>
          <w:rFonts w:asciiTheme="minorHAnsi" w:eastAsiaTheme="minorEastAsia" w:hAnsiTheme="minorHAnsi" w:cstheme="minorBidi"/>
          <w:color w:val="auto"/>
          <w:kern w:val="2"/>
          <w:sz w:val="21"/>
          <w:szCs w:val="22"/>
          <w:lang w:eastAsia="zh-CN" w:bidi="ar-SA"/>
        </w:rPr>
        <w:tab/>
      </w:r>
      <w:r>
        <w:rPr>
          <w:lang w:eastAsia="zh-CN"/>
        </w:rPr>
        <w:t>FDA</w:t>
      </w:r>
      <w:r>
        <w:rPr>
          <w:lang w:eastAsia="zh-CN"/>
        </w:rPr>
        <w:t>是否建议使用特定的格式发送</w:t>
      </w:r>
      <w:r>
        <w:rPr>
          <w:lang w:eastAsia="zh-CN"/>
        </w:rPr>
        <w:t>LOINC</w:t>
      </w:r>
      <w:r>
        <w:rPr>
          <w:lang w:eastAsia="zh-CN"/>
        </w:rPr>
        <w:t>编码？</w:t>
      </w:r>
      <w:r>
        <w:rPr>
          <w:lang w:eastAsia="zh-CN"/>
        </w:rPr>
        <w:tab/>
      </w:r>
      <w:r>
        <w:fldChar w:fldCharType="begin"/>
      </w:r>
      <w:r>
        <w:rPr>
          <w:lang w:eastAsia="zh-CN"/>
        </w:rPr>
        <w:instrText xml:space="preserve"> PAGEREF _Toc97318733 \h </w:instrText>
      </w:r>
      <w:r>
        <w:fldChar w:fldCharType="separate"/>
      </w:r>
      <w:r>
        <w:rPr>
          <w:lang w:eastAsia="zh-CN"/>
        </w:rPr>
        <w:t>8</w:t>
      </w:r>
      <w:r>
        <w:fldChar w:fldCharType="end"/>
      </w:r>
    </w:p>
    <w:p w14:paraId="2A5E38F3" w14:textId="77777777" w:rsidR="004E0030" w:rsidRDefault="00046C74">
      <w:pPr>
        <w:tabs>
          <w:tab w:val="left" w:pos="442"/>
          <w:tab w:val="right" w:leader="dot" w:pos="9326"/>
        </w:tabs>
        <w:snapToGrid w:val="0"/>
        <w:spacing w:beforeLines="50" w:before="120"/>
        <w:jc w:val="both"/>
        <w:rPr>
          <w:lang w:eastAsia="zh-CN"/>
        </w:rPr>
      </w:pPr>
      <w:r>
        <w:rPr>
          <w:b/>
          <w:bCs/>
          <w:sz w:val="24"/>
        </w:rPr>
        <w:fldChar w:fldCharType="end"/>
      </w:r>
    </w:p>
    <w:p w14:paraId="7BBB7A18" w14:textId="77777777" w:rsidR="004E0030" w:rsidRDefault="00046C74">
      <w:pPr>
        <w:tabs>
          <w:tab w:val="left" w:pos="631"/>
          <w:tab w:val="left" w:leader="dot" w:pos="9419"/>
        </w:tabs>
        <w:snapToGrid w:val="0"/>
        <w:spacing w:beforeLines="50" w:before="120"/>
        <w:jc w:val="both"/>
        <w:rPr>
          <w:lang w:eastAsia="zh-CN"/>
        </w:rPr>
      </w:pPr>
      <w:r>
        <w:rPr>
          <w:lang w:eastAsia="zh-CN"/>
        </w:rPr>
        <w:br w:type="page"/>
      </w:r>
    </w:p>
    <w:p w14:paraId="6247F748" w14:textId="6A51A6EC" w:rsidR="004E0030" w:rsidRDefault="00046C74">
      <w:pPr>
        <w:pStyle w:val="b1"/>
        <w:spacing w:before="120"/>
        <w:rPr>
          <w:lang w:eastAsia="zh-CN"/>
        </w:rPr>
      </w:pPr>
      <w:bookmarkStart w:id="5" w:name="bookmark5"/>
      <w:r>
        <w:rPr>
          <w:i/>
          <w:iCs/>
          <w:lang w:eastAsia="zh-CN"/>
        </w:rPr>
        <w:lastRenderedPageBreak/>
        <w:t>体外</w:t>
      </w:r>
      <w:r>
        <w:rPr>
          <w:lang w:eastAsia="zh-CN"/>
        </w:rPr>
        <w:t>诊断</w:t>
      </w:r>
      <w:r>
        <w:rPr>
          <w:rFonts w:hint="eastAsia"/>
          <w:lang w:eastAsia="zh-CN"/>
        </w:rPr>
        <w:t>测试</w:t>
      </w:r>
      <w:r>
        <w:rPr>
          <w:lang w:eastAsia="zh-CN"/>
        </w:rPr>
        <w:t>的观测指标标识符逻辑命名与编码系统</w:t>
      </w:r>
      <w:bookmarkEnd w:id="5"/>
    </w:p>
    <w:p w14:paraId="7DE67C10" w14:textId="77777777" w:rsidR="004E0030" w:rsidRDefault="007331F0">
      <w:pPr>
        <w:pStyle w:val="b2"/>
        <w:spacing w:before="120"/>
        <w:rPr>
          <w:lang w:eastAsia="zh-CN"/>
        </w:rPr>
      </w:pPr>
      <w:bookmarkStart w:id="6" w:name="bookmark6"/>
      <w:r>
        <w:rPr>
          <w:lang w:eastAsia="zh-CN"/>
        </w:rPr>
        <w:t>对</w:t>
      </w:r>
      <w:r w:rsidR="00046C74">
        <w:rPr>
          <w:lang w:eastAsia="zh-CN"/>
        </w:rPr>
        <w:t>行业和美国食品药品监督管理局工作人员</w:t>
      </w:r>
      <w:r>
        <w:rPr>
          <w:lang w:eastAsia="zh-CN"/>
        </w:rPr>
        <w:t>的</w:t>
      </w:r>
      <w:r w:rsidR="00046C74">
        <w:rPr>
          <w:lang w:eastAsia="zh-CN"/>
        </w:rPr>
        <w:t>指南</w:t>
      </w:r>
      <w:bookmarkEnd w:id="6"/>
    </w:p>
    <w:p w14:paraId="0E327C22" w14:textId="77777777" w:rsidR="004E0030" w:rsidRDefault="004E0030">
      <w:pPr>
        <w:snapToGrid w:val="0"/>
        <w:spacing w:beforeLines="50" w:before="120"/>
        <w:jc w:val="both"/>
        <w:rPr>
          <w:lang w:eastAsia="zh-CN"/>
        </w:rPr>
      </w:pPr>
    </w:p>
    <w:tbl>
      <w:tblPr>
        <w:tblW w:w="5000" w:type="pct"/>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CellMar>
          <w:left w:w="10" w:type="dxa"/>
          <w:right w:w="10" w:type="dxa"/>
        </w:tblCellMar>
        <w:tblLook w:val="04A0" w:firstRow="1" w:lastRow="0" w:firstColumn="1" w:lastColumn="0" w:noHBand="0" w:noVBand="1"/>
      </w:tblPr>
      <w:tblGrid>
        <w:gridCol w:w="8433"/>
      </w:tblGrid>
      <w:tr w:rsidR="004E0030" w14:paraId="05C09D00" w14:textId="77777777">
        <w:trPr>
          <w:trHeight w:val="1779"/>
        </w:trPr>
        <w:tc>
          <w:tcPr>
            <w:tcW w:w="5000" w:type="pct"/>
            <w:shd w:val="clear" w:color="auto" w:fill="FFFFFF"/>
            <w:vAlign w:val="center"/>
          </w:tcPr>
          <w:p w14:paraId="41D0E3D1" w14:textId="465DD557" w:rsidR="004E0030" w:rsidRDefault="008E7D78">
            <w:pPr>
              <w:snapToGrid w:val="0"/>
              <w:spacing w:beforeLines="50" w:before="120"/>
              <w:jc w:val="both"/>
              <w:rPr>
                <w:lang w:eastAsia="zh-CN"/>
              </w:rPr>
            </w:pPr>
            <w:r>
              <w:rPr>
                <w:rFonts w:hint="eastAsia"/>
                <w:b/>
                <w:i/>
                <w:sz w:val="24"/>
                <w:lang w:eastAsia="zh-CN"/>
              </w:rPr>
              <w:t>本指南代表美国食品药品监督管理局（</w:t>
            </w:r>
            <w:r>
              <w:rPr>
                <w:b/>
                <w:i/>
                <w:sz w:val="24"/>
                <w:lang w:eastAsia="zh-CN"/>
              </w:rPr>
              <w:t>FDA</w:t>
            </w:r>
            <w:r>
              <w:rPr>
                <w:rFonts w:hint="eastAsia"/>
                <w:b/>
                <w:i/>
                <w:sz w:val="24"/>
                <w:lang w:eastAsia="zh-CN"/>
              </w:rPr>
              <w:t>）对该主题的当前看法。本文件不赋予任何人任何权利，对</w:t>
            </w:r>
            <w:r>
              <w:rPr>
                <w:b/>
                <w:i/>
                <w:sz w:val="24"/>
                <w:lang w:eastAsia="zh-CN"/>
              </w:rPr>
              <w:t>FDA</w:t>
            </w:r>
            <w:r>
              <w:rPr>
                <w:rFonts w:hint="eastAsia"/>
                <w:b/>
                <w:i/>
                <w:sz w:val="24"/>
                <w:lang w:eastAsia="zh-CN"/>
              </w:rPr>
              <w:t>或公众不具有约束力。如果替代方法满足适用的情形和法规</w:t>
            </w:r>
            <w:r>
              <w:rPr>
                <w:b/>
                <w:i/>
                <w:sz w:val="24"/>
                <w:lang w:eastAsia="zh-CN"/>
              </w:rPr>
              <w:t xml:space="preserve"> </w:t>
            </w:r>
            <w:r>
              <w:rPr>
                <w:rFonts w:hint="eastAsia"/>
                <w:b/>
                <w:i/>
                <w:sz w:val="24"/>
                <w:lang w:eastAsia="zh-CN"/>
              </w:rPr>
              <w:t>的要求，则贵司可使用替代方法。如需讨论替代方法，请联系标题页所列负责本指南的</w:t>
            </w:r>
            <w:r>
              <w:rPr>
                <w:b/>
                <w:i/>
                <w:sz w:val="24"/>
                <w:lang w:eastAsia="zh-CN"/>
              </w:rPr>
              <w:t>FDA</w:t>
            </w:r>
            <w:r>
              <w:rPr>
                <w:rFonts w:hint="eastAsia"/>
                <w:b/>
                <w:i/>
                <w:sz w:val="24"/>
                <w:lang w:eastAsia="zh-CN"/>
              </w:rPr>
              <w:t>工作人员或办公室。</w:t>
            </w:r>
          </w:p>
        </w:tc>
      </w:tr>
    </w:tbl>
    <w:p w14:paraId="4953B4D5" w14:textId="77777777" w:rsidR="004E0030" w:rsidRDefault="004E0030">
      <w:pPr>
        <w:tabs>
          <w:tab w:val="left" w:pos="720"/>
        </w:tabs>
        <w:snapToGrid w:val="0"/>
        <w:spacing w:beforeLines="50" w:before="120"/>
        <w:jc w:val="both"/>
        <w:rPr>
          <w:b/>
          <w:bCs/>
          <w:lang w:eastAsia="zh-CN"/>
        </w:rPr>
      </w:pPr>
      <w:bookmarkStart w:id="7" w:name="bookmark7"/>
      <w:bookmarkStart w:id="8" w:name="bookmark10"/>
    </w:p>
    <w:p w14:paraId="2B4D332F" w14:textId="77777777" w:rsidR="004E0030" w:rsidRDefault="00046C74">
      <w:pPr>
        <w:pStyle w:val="m1"/>
        <w:spacing w:before="120" w:after="120"/>
        <w:rPr>
          <w:lang w:eastAsia="zh-CN"/>
        </w:rPr>
      </w:pPr>
      <w:bookmarkStart w:id="9" w:name="_Toc97318726"/>
      <w:r>
        <w:rPr>
          <w:lang w:eastAsia="zh-CN"/>
        </w:rPr>
        <w:t>I.</w:t>
      </w:r>
      <w:r>
        <w:rPr>
          <w:lang w:eastAsia="zh-CN"/>
        </w:rPr>
        <w:tab/>
      </w:r>
      <w:r>
        <w:rPr>
          <w:lang w:eastAsia="zh-CN"/>
        </w:rPr>
        <w:t>引言</w:t>
      </w:r>
      <w:bookmarkEnd w:id="7"/>
      <w:bookmarkEnd w:id="8"/>
      <w:bookmarkEnd w:id="9"/>
    </w:p>
    <w:p w14:paraId="4BB169D1" w14:textId="38330A85" w:rsidR="004E0030" w:rsidRDefault="00046C74">
      <w:pPr>
        <w:snapToGrid w:val="0"/>
        <w:spacing w:beforeLines="50" w:before="120"/>
        <w:jc w:val="both"/>
        <w:rPr>
          <w:sz w:val="24"/>
          <w:lang w:eastAsia="zh-CN"/>
        </w:rPr>
      </w:pPr>
      <w:r>
        <w:rPr>
          <w:sz w:val="24"/>
          <w:lang w:eastAsia="zh-CN"/>
        </w:rPr>
        <w:t>美国食品药品监督管理局（</w:t>
      </w:r>
      <w:r>
        <w:rPr>
          <w:sz w:val="24"/>
          <w:lang w:eastAsia="zh-CN"/>
        </w:rPr>
        <w:t>FDA</w:t>
      </w:r>
      <w:r>
        <w:rPr>
          <w:sz w:val="24"/>
          <w:lang w:eastAsia="zh-CN"/>
        </w:rPr>
        <w:t>或机构）认为，随着电子健康记录（</w:t>
      </w:r>
      <w:r>
        <w:rPr>
          <w:sz w:val="24"/>
          <w:lang w:eastAsia="zh-CN"/>
        </w:rPr>
        <w:t>EHR</w:t>
      </w:r>
      <w:r>
        <w:rPr>
          <w:sz w:val="24"/>
          <w:lang w:eastAsia="zh-CN"/>
        </w:rPr>
        <w:t>）的日益普及，</w:t>
      </w:r>
      <w:r w:rsidR="00C95687">
        <w:rPr>
          <w:sz w:val="24"/>
          <w:lang w:eastAsia="zh-CN"/>
        </w:rPr>
        <w:t>对</w:t>
      </w:r>
      <w:r>
        <w:rPr>
          <w:i/>
          <w:iCs/>
          <w:sz w:val="24"/>
          <w:lang w:eastAsia="zh-CN"/>
        </w:rPr>
        <w:t>体外</w:t>
      </w:r>
      <w:r>
        <w:rPr>
          <w:sz w:val="24"/>
          <w:lang w:eastAsia="zh-CN"/>
        </w:rPr>
        <w:t>诊断（</w:t>
      </w:r>
      <w:r>
        <w:rPr>
          <w:sz w:val="24"/>
          <w:lang w:eastAsia="zh-CN"/>
        </w:rPr>
        <w:t>IVD</w:t>
      </w:r>
      <w:r>
        <w:rPr>
          <w:sz w:val="24"/>
          <w:lang w:eastAsia="zh-CN"/>
        </w:rPr>
        <w:t>）测试编码方式的标准化有了更高的要求。</w:t>
      </w:r>
      <w:r w:rsidR="00C95687">
        <w:rPr>
          <w:rFonts w:hint="eastAsia"/>
          <w:sz w:val="24"/>
          <w:lang w:eastAsia="zh-CN"/>
        </w:rPr>
        <w:t>统一</w:t>
      </w:r>
      <w:r>
        <w:rPr>
          <w:sz w:val="24"/>
          <w:lang w:eastAsia="zh-CN"/>
        </w:rPr>
        <w:t>和标准化电子医疗系统中</w:t>
      </w:r>
      <w:r w:rsidR="00C95687">
        <w:rPr>
          <w:rFonts w:hint="eastAsia"/>
          <w:sz w:val="24"/>
          <w:lang w:eastAsia="zh-CN"/>
        </w:rPr>
        <w:t>采集</w:t>
      </w:r>
      <w:r>
        <w:rPr>
          <w:sz w:val="24"/>
          <w:lang w:eastAsia="zh-CN"/>
        </w:rPr>
        <w:t>和存储的信息对公共卫生具有重要意义，包括加快</w:t>
      </w:r>
      <w:r w:rsidR="00C95687">
        <w:rPr>
          <w:rFonts w:hint="eastAsia"/>
          <w:sz w:val="24"/>
          <w:lang w:eastAsia="zh-CN"/>
        </w:rPr>
        <w:t>医护人员</w:t>
      </w:r>
      <w:r>
        <w:rPr>
          <w:sz w:val="24"/>
          <w:lang w:eastAsia="zh-CN"/>
        </w:rPr>
        <w:t>获取患者诊断信息的速度，减轻实验室将新诊断系统连接到实验室信息系统（</w:t>
      </w:r>
      <w:r>
        <w:rPr>
          <w:sz w:val="24"/>
          <w:lang w:eastAsia="zh-CN"/>
        </w:rPr>
        <w:t>LIS</w:t>
      </w:r>
      <w:r>
        <w:rPr>
          <w:sz w:val="24"/>
          <w:lang w:eastAsia="zh-CN"/>
        </w:rPr>
        <w:t>）的负担，促进医疗保健信息在决策支持工具中的使用，以及更多潜在用途。</w:t>
      </w:r>
    </w:p>
    <w:p w14:paraId="7035454C" w14:textId="3722EF2A" w:rsidR="004E0030" w:rsidRDefault="00046C74">
      <w:pPr>
        <w:snapToGrid w:val="0"/>
        <w:spacing w:beforeLines="50" w:before="120"/>
        <w:jc w:val="both"/>
        <w:rPr>
          <w:sz w:val="24"/>
        </w:rPr>
      </w:pPr>
      <w:r>
        <w:rPr>
          <w:sz w:val="24"/>
          <w:lang w:eastAsia="zh-CN"/>
        </w:rPr>
        <w:t>IVD</w:t>
      </w:r>
      <w:r>
        <w:rPr>
          <w:rFonts w:hint="eastAsia"/>
          <w:sz w:val="24"/>
          <w:lang w:eastAsia="zh-CN"/>
        </w:rPr>
        <w:t>测试</w:t>
      </w:r>
      <w:r>
        <w:rPr>
          <w:sz w:val="24"/>
          <w:lang w:eastAsia="zh-CN"/>
        </w:rPr>
        <w:t>信息在所有</w:t>
      </w:r>
      <w:r>
        <w:rPr>
          <w:sz w:val="24"/>
          <w:lang w:eastAsia="zh-CN"/>
        </w:rPr>
        <w:t>EHR</w:t>
      </w:r>
      <w:r>
        <w:rPr>
          <w:sz w:val="24"/>
          <w:lang w:eastAsia="zh-CN"/>
        </w:rPr>
        <w:t>中占很大比例。实验室通常将</w:t>
      </w:r>
      <w:r>
        <w:rPr>
          <w:sz w:val="24"/>
          <w:lang w:eastAsia="zh-CN"/>
        </w:rPr>
        <w:t>LOINC</w:t>
      </w:r>
      <w:r>
        <w:rPr>
          <w:sz w:val="24"/>
          <w:vertAlign w:val="superscript"/>
          <w:lang w:eastAsia="zh-CN"/>
        </w:rPr>
        <w:t>®</w:t>
      </w:r>
      <w:r>
        <w:rPr>
          <w:sz w:val="24"/>
          <w:lang w:eastAsia="zh-CN"/>
        </w:rPr>
        <w:t>（观测指标标识符逻辑命名与编码系统；由</w:t>
      </w:r>
      <w:proofErr w:type="spellStart"/>
      <w:r>
        <w:rPr>
          <w:sz w:val="24"/>
          <w:lang w:eastAsia="zh-CN"/>
        </w:rPr>
        <w:t>Regenstrief</w:t>
      </w:r>
      <w:proofErr w:type="spellEnd"/>
      <w:r>
        <w:rPr>
          <w:sz w:val="24"/>
          <w:lang w:eastAsia="zh-CN"/>
        </w:rPr>
        <w:t xml:space="preserve"> Institute</w:t>
      </w:r>
      <w:r w:rsidR="009B192E">
        <w:rPr>
          <w:sz w:val="24"/>
          <w:lang w:eastAsia="zh-CN"/>
        </w:rPr>
        <w:t>所有</w:t>
      </w:r>
      <w:r w:rsidR="009B192E">
        <w:rPr>
          <w:rFonts w:hint="eastAsia"/>
          <w:sz w:val="24"/>
          <w:lang w:eastAsia="zh-CN"/>
        </w:rPr>
        <w:t>、</w:t>
      </w:r>
      <w:r>
        <w:rPr>
          <w:sz w:val="24"/>
          <w:lang w:eastAsia="zh-CN"/>
        </w:rPr>
        <w:t>开发和管理）</w:t>
      </w:r>
      <w:r w:rsidR="00000000">
        <w:fldChar w:fldCharType="begin"/>
      </w:r>
      <w:r w:rsidR="00000000">
        <w:rPr>
          <w:lang w:eastAsia="zh-CN"/>
        </w:rPr>
        <w:instrText xml:space="preserve"> HYPERLINK \l "bookmark8" \o "Current Document" \h </w:instrText>
      </w:r>
      <w:r w:rsidR="00000000">
        <w:fldChar w:fldCharType="separate"/>
      </w:r>
      <w:r>
        <w:rPr>
          <w:sz w:val="24"/>
          <w:vertAlign w:val="superscript"/>
          <w:lang w:eastAsia="zh-CN"/>
        </w:rPr>
        <w:t>1</w:t>
      </w:r>
      <w:r>
        <w:rPr>
          <w:sz w:val="24"/>
          <w:lang w:eastAsia="zh-CN"/>
        </w:rPr>
        <w:t xml:space="preserve"> </w:t>
      </w:r>
      <w:r w:rsidR="00000000">
        <w:rPr>
          <w:sz w:val="24"/>
          <w:lang w:eastAsia="zh-CN"/>
        </w:rPr>
        <w:fldChar w:fldCharType="end"/>
      </w:r>
      <w:r>
        <w:rPr>
          <w:sz w:val="24"/>
          <w:lang w:eastAsia="zh-CN"/>
        </w:rPr>
        <w:t>代码与实验室执行的各</w:t>
      </w:r>
      <w:r w:rsidR="009B192E">
        <w:rPr>
          <w:rFonts w:hint="eastAsia"/>
          <w:sz w:val="24"/>
          <w:lang w:eastAsia="zh-CN"/>
        </w:rPr>
        <w:t>项</w:t>
      </w:r>
      <w:r>
        <w:rPr>
          <w:sz w:val="24"/>
          <w:lang w:eastAsia="zh-CN"/>
        </w:rPr>
        <w:t>测试联系起来。对于每</w:t>
      </w:r>
      <w:r w:rsidR="009B192E">
        <w:rPr>
          <w:rFonts w:hint="eastAsia"/>
          <w:sz w:val="24"/>
          <w:lang w:eastAsia="zh-CN"/>
        </w:rPr>
        <w:t>项</w:t>
      </w:r>
      <w:r>
        <w:rPr>
          <w:sz w:val="24"/>
          <w:lang w:eastAsia="zh-CN"/>
        </w:rPr>
        <w:t>IVD</w:t>
      </w:r>
      <w:r>
        <w:rPr>
          <w:rFonts w:hint="eastAsia"/>
          <w:sz w:val="24"/>
          <w:lang w:eastAsia="zh-CN"/>
        </w:rPr>
        <w:t>测试</w:t>
      </w:r>
      <w:r>
        <w:rPr>
          <w:sz w:val="24"/>
          <w:lang w:eastAsia="zh-CN"/>
        </w:rPr>
        <w:t>，</w:t>
      </w:r>
      <w:r>
        <w:rPr>
          <w:sz w:val="24"/>
          <w:lang w:eastAsia="zh-CN"/>
        </w:rPr>
        <w:t>LOINC</w:t>
      </w:r>
      <w:r>
        <w:rPr>
          <w:sz w:val="24"/>
          <w:lang w:eastAsia="zh-CN"/>
        </w:rPr>
        <w:t>都会提供一个与测试属性相关联的唯一数字代码，以识别</w:t>
      </w:r>
      <w:r>
        <w:rPr>
          <w:sz w:val="24"/>
          <w:lang w:eastAsia="zh-CN"/>
        </w:rPr>
        <w:t>IVD</w:t>
      </w:r>
      <w:r>
        <w:rPr>
          <w:rFonts w:hint="eastAsia"/>
          <w:sz w:val="24"/>
          <w:lang w:eastAsia="zh-CN"/>
        </w:rPr>
        <w:t>测试</w:t>
      </w:r>
      <w:r>
        <w:rPr>
          <w:sz w:val="24"/>
          <w:lang w:eastAsia="zh-CN"/>
        </w:rPr>
        <w:t>的类型，如组成部分、属性、时间、系统、规模和方法。</w:t>
      </w:r>
      <w:r w:rsidR="00000000">
        <w:fldChar w:fldCharType="begin"/>
      </w:r>
      <w:r w:rsidR="00000000">
        <w:rPr>
          <w:lang w:eastAsia="zh-CN"/>
        </w:rPr>
        <w:instrText xml:space="preserve"> HYPERLINK \l "bookmark9" \o "</w:instrText>
      </w:r>
      <w:r w:rsidR="00000000">
        <w:rPr>
          <w:lang w:eastAsia="zh-CN"/>
        </w:rPr>
        <w:instrText>当前文件</w:instrText>
      </w:r>
      <w:r w:rsidR="00000000">
        <w:rPr>
          <w:lang w:eastAsia="zh-CN"/>
        </w:rPr>
        <w:instrText xml:space="preserve">" \h </w:instrText>
      </w:r>
      <w:r w:rsidR="00000000">
        <w:fldChar w:fldCharType="separate"/>
      </w:r>
      <w:r>
        <w:rPr>
          <w:sz w:val="24"/>
          <w:vertAlign w:val="superscript"/>
          <w:lang w:eastAsia="zh-CN"/>
        </w:rPr>
        <w:t>2</w:t>
      </w:r>
      <w:r w:rsidR="00000000">
        <w:rPr>
          <w:sz w:val="24"/>
          <w:vertAlign w:val="superscript"/>
          <w:lang w:eastAsia="zh-CN"/>
        </w:rPr>
        <w:fldChar w:fldCharType="end"/>
      </w:r>
      <w:r>
        <w:rPr>
          <w:sz w:val="24"/>
          <w:lang w:eastAsia="zh-CN"/>
        </w:rPr>
        <w:t>目前，</w:t>
      </w:r>
      <w:r>
        <w:rPr>
          <w:sz w:val="24"/>
          <w:lang w:eastAsia="zh-CN"/>
        </w:rPr>
        <w:t>LOINC</w:t>
      </w:r>
      <w:r>
        <w:rPr>
          <w:sz w:val="24"/>
          <w:lang w:eastAsia="zh-CN"/>
        </w:rPr>
        <w:t>是临床实验室和</w:t>
      </w:r>
      <w:r>
        <w:rPr>
          <w:sz w:val="24"/>
          <w:lang w:eastAsia="zh-CN"/>
        </w:rPr>
        <w:t>EHR</w:t>
      </w:r>
      <w:r>
        <w:rPr>
          <w:sz w:val="24"/>
          <w:lang w:eastAsia="zh-CN"/>
        </w:rPr>
        <w:t>使用最广泛的</w:t>
      </w:r>
      <w:r>
        <w:rPr>
          <w:sz w:val="24"/>
          <w:lang w:eastAsia="zh-CN"/>
        </w:rPr>
        <w:t>IVD</w:t>
      </w:r>
      <w:r>
        <w:rPr>
          <w:sz w:val="24"/>
          <w:lang w:eastAsia="zh-CN"/>
        </w:rPr>
        <w:t>编码系统，是美国卫生</w:t>
      </w:r>
      <w:r w:rsidR="00A869ED" w:rsidRPr="00A869ED">
        <w:rPr>
          <w:rFonts w:hint="eastAsia"/>
          <w:sz w:val="24"/>
          <w:lang w:eastAsia="zh-CN"/>
        </w:rPr>
        <w:t>与</w:t>
      </w:r>
      <w:r>
        <w:rPr>
          <w:sz w:val="24"/>
          <w:lang w:eastAsia="zh-CN"/>
        </w:rPr>
        <w:t>公众服务部（</w:t>
      </w:r>
      <w:r>
        <w:rPr>
          <w:sz w:val="24"/>
          <w:lang w:eastAsia="zh-CN"/>
        </w:rPr>
        <w:t>HHS</w:t>
      </w:r>
      <w:r>
        <w:rPr>
          <w:sz w:val="24"/>
          <w:lang w:eastAsia="zh-CN"/>
        </w:rPr>
        <w:t>）国家卫生信息技术协调办公室（</w:t>
      </w:r>
      <w:r>
        <w:rPr>
          <w:sz w:val="24"/>
          <w:lang w:eastAsia="zh-CN"/>
        </w:rPr>
        <w:t>ONC</w:t>
      </w:r>
      <w:r>
        <w:rPr>
          <w:sz w:val="24"/>
          <w:lang w:eastAsia="zh-CN"/>
        </w:rPr>
        <w:t>）推荐的</w:t>
      </w:r>
      <w:r>
        <w:rPr>
          <w:sz w:val="24"/>
          <w:lang w:eastAsia="zh-CN"/>
        </w:rPr>
        <w:t>IVD</w:t>
      </w:r>
      <w:r>
        <w:rPr>
          <w:sz w:val="24"/>
          <w:lang w:eastAsia="zh-CN"/>
        </w:rPr>
        <w:t>编码标准，是有效应用的重要部分。</w:t>
      </w:r>
      <w:r>
        <w:rPr>
          <w:sz w:val="24"/>
          <w:lang w:eastAsia="zh-CN"/>
        </w:rPr>
        <w:t>LOINC</w:t>
      </w:r>
      <w:r>
        <w:rPr>
          <w:sz w:val="24"/>
          <w:lang w:eastAsia="zh-CN"/>
        </w:rPr>
        <w:t>是</w:t>
      </w:r>
      <w:r>
        <w:rPr>
          <w:sz w:val="24"/>
          <w:lang w:eastAsia="zh-CN"/>
        </w:rPr>
        <w:t>FDA</w:t>
      </w:r>
      <w:r>
        <w:rPr>
          <w:sz w:val="24"/>
          <w:lang w:eastAsia="zh-CN"/>
        </w:rPr>
        <w:t>部分认可的共识标准，该认可仅限于</w:t>
      </w:r>
      <w:r>
        <w:rPr>
          <w:sz w:val="24"/>
          <w:lang w:eastAsia="zh-CN"/>
        </w:rPr>
        <w:t>IVD</w:t>
      </w:r>
      <w:r>
        <w:rPr>
          <w:rFonts w:hint="eastAsia"/>
          <w:sz w:val="24"/>
          <w:lang w:eastAsia="zh-CN"/>
        </w:rPr>
        <w:t>测试</w:t>
      </w:r>
      <w:r>
        <w:rPr>
          <w:sz w:val="24"/>
          <w:lang w:eastAsia="zh-CN"/>
        </w:rPr>
        <w:t>。要查看目前未被</w:t>
      </w:r>
      <w:r>
        <w:rPr>
          <w:sz w:val="24"/>
          <w:lang w:eastAsia="zh-CN"/>
        </w:rPr>
        <w:t>FDA</w:t>
      </w:r>
      <w:r>
        <w:rPr>
          <w:sz w:val="24"/>
          <w:lang w:eastAsia="zh-CN"/>
        </w:rPr>
        <w:t>承认的</w:t>
      </w:r>
      <w:r>
        <w:rPr>
          <w:sz w:val="24"/>
          <w:lang w:eastAsia="zh-CN"/>
        </w:rPr>
        <w:t>LOINC</w:t>
      </w:r>
      <w:r>
        <w:rPr>
          <w:sz w:val="24"/>
          <w:lang w:eastAsia="zh-CN"/>
        </w:rPr>
        <w:t>类别，</w:t>
      </w:r>
      <w:proofErr w:type="gramStart"/>
      <w:r>
        <w:rPr>
          <w:sz w:val="24"/>
          <w:lang w:eastAsia="zh-CN"/>
        </w:rPr>
        <w:t>请访问</w:t>
      </w:r>
      <w:proofErr w:type="gramEnd"/>
      <w:r w:rsidR="00C36816">
        <w:rPr>
          <w:sz w:val="24"/>
          <w:lang w:eastAsia="zh-CN"/>
        </w:rPr>
        <w:t>经</w:t>
      </w:r>
      <w:r>
        <w:rPr>
          <w:sz w:val="24"/>
          <w:lang w:eastAsia="zh-CN"/>
        </w:rPr>
        <w:t>FDA</w:t>
      </w:r>
      <w:r>
        <w:rPr>
          <w:sz w:val="24"/>
          <w:lang w:eastAsia="zh-CN"/>
        </w:rPr>
        <w:t>认可</w:t>
      </w:r>
      <w:r w:rsidR="00C36816">
        <w:rPr>
          <w:sz w:val="24"/>
          <w:lang w:eastAsia="zh-CN"/>
        </w:rPr>
        <w:t>的</w:t>
      </w:r>
      <w:r>
        <w:rPr>
          <w:sz w:val="24"/>
          <w:lang w:eastAsia="zh-CN"/>
        </w:rPr>
        <w:t>共识标准数据库网站。</w:t>
      </w:r>
      <w:r w:rsidR="00000000">
        <w:fldChar w:fldCharType="begin"/>
      </w:r>
      <w:r w:rsidR="00000000">
        <w:rPr>
          <w:lang w:eastAsia="zh-CN"/>
        </w:rPr>
        <w:instrText xml:space="preserve"> HYPERLINK \l "bookmark13" \o "</w:instrText>
      </w:r>
      <w:r w:rsidR="00000000">
        <w:rPr>
          <w:lang w:eastAsia="zh-CN"/>
        </w:rPr>
        <w:instrText>当前文件</w:instrText>
      </w:r>
      <w:r w:rsidR="00000000">
        <w:rPr>
          <w:lang w:eastAsia="zh-CN"/>
        </w:rPr>
        <w:instrText xml:space="preserve">" \h </w:instrText>
      </w:r>
      <w:r w:rsidR="00000000">
        <w:fldChar w:fldCharType="separate"/>
      </w:r>
      <w:r>
        <w:rPr>
          <w:sz w:val="24"/>
          <w:vertAlign w:val="superscript"/>
          <w:lang w:eastAsia="zh-CN"/>
        </w:rPr>
        <w:t>3</w:t>
      </w:r>
      <w:r w:rsidR="00000000">
        <w:rPr>
          <w:sz w:val="24"/>
          <w:vertAlign w:val="superscript"/>
          <w:lang w:eastAsia="zh-CN"/>
        </w:rPr>
        <w:fldChar w:fldCharType="end"/>
      </w:r>
    </w:p>
    <w:p w14:paraId="46B074A9" w14:textId="77777777" w:rsidR="004E0030" w:rsidRDefault="004E0030">
      <w:pPr>
        <w:snapToGrid w:val="0"/>
        <w:spacing w:beforeLines="50" w:before="120"/>
        <w:jc w:val="both"/>
        <w:rPr>
          <w:lang w:eastAsia="zh-CN"/>
        </w:rPr>
      </w:pPr>
    </w:p>
    <w:p w14:paraId="7A786191" w14:textId="77777777" w:rsidR="004E0030" w:rsidRDefault="004E0030">
      <w:pPr>
        <w:snapToGrid w:val="0"/>
        <w:spacing w:beforeLines="50" w:before="120"/>
        <w:jc w:val="both"/>
        <w:rPr>
          <w:lang w:eastAsia="zh-CN"/>
        </w:rPr>
      </w:pPr>
    </w:p>
    <w:p w14:paraId="7743E046" w14:textId="77777777" w:rsidR="004E0030" w:rsidRDefault="004E0030">
      <w:pPr>
        <w:snapToGrid w:val="0"/>
        <w:spacing w:beforeLines="50" w:before="120"/>
        <w:jc w:val="both"/>
        <w:rPr>
          <w:lang w:eastAsia="zh-CN"/>
        </w:rPr>
      </w:pPr>
    </w:p>
    <w:p w14:paraId="01FFCD27" w14:textId="77777777" w:rsidR="004E0030" w:rsidRDefault="004E0030">
      <w:pPr>
        <w:snapToGrid w:val="0"/>
        <w:spacing w:beforeLines="50" w:before="120"/>
        <w:jc w:val="both"/>
        <w:rPr>
          <w:lang w:eastAsia="zh-CN"/>
        </w:rPr>
      </w:pPr>
    </w:p>
    <w:p w14:paraId="4D6DFE0D" w14:textId="77777777" w:rsidR="004E0030" w:rsidRDefault="00046C74">
      <w:pPr>
        <w:snapToGrid w:val="0"/>
        <w:spacing w:beforeLines="50" w:before="120"/>
        <w:jc w:val="both"/>
        <w:rPr>
          <w:sz w:val="18"/>
          <w:szCs w:val="18"/>
        </w:rPr>
      </w:pPr>
      <w:r>
        <w:rPr>
          <w:sz w:val="18"/>
          <w:szCs w:val="18"/>
          <w:lang w:eastAsia="zh-CN"/>
        </w:rPr>
        <w:t>___________________________</w:t>
      </w:r>
    </w:p>
    <w:p w14:paraId="0FB80B00" w14:textId="77777777" w:rsidR="004E0030" w:rsidRDefault="00046C74">
      <w:pPr>
        <w:tabs>
          <w:tab w:val="left" w:pos="106"/>
        </w:tabs>
        <w:snapToGrid w:val="0"/>
        <w:spacing w:beforeLines="50" w:before="120"/>
        <w:jc w:val="both"/>
        <w:rPr>
          <w:sz w:val="18"/>
          <w:szCs w:val="18"/>
        </w:rPr>
      </w:pPr>
      <w:bookmarkStart w:id="10" w:name="bookmark8"/>
      <w:bookmarkStart w:id="11" w:name="bookmark9"/>
      <w:r>
        <w:rPr>
          <w:sz w:val="18"/>
          <w:szCs w:val="18"/>
          <w:vertAlign w:val="superscript"/>
          <w:lang w:eastAsia="zh-CN"/>
        </w:rPr>
        <w:t>1</w:t>
      </w:r>
      <w:r>
        <w:rPr>
          <w:sz w:val="18"/>
          <w:szCs w:val="18"/>
          <w:lang w:eastAsia="zh-CN"/>
        </w:rPr>
        <w:tab/>
      </w:r>
      <w:r>
        <w:rPr>
          <w:sz w:val="18"/>
          <w:szCs w:val="18"/>
          <w:lang w:eastAsia="zh-CN"/>
        </w:rPr>
        <w:t>见</w:t>
      </w:r>
      <w:r>
        <w:fldChar w:fldCharType="begin"/>
      </w:r>
      <w:r>
        <w:instrText xml:space="preserve"> HYPERLINK "http://loinc.org/" </w:instrText>
      </w:r>
      <w:r>
        <w:fldChar w:fldCharType="separate"/>
      </w:r>
      <w:r>
        <w:rPr>
          <w:rStyle w:val="a9"/>
          <w:color w:val="0000FF"/>
          <w:sz w:val="18"/>
          <w:szCs w:val="18"/>
          <w:lang w:eastAsia="zh-CN"/>
        </w:rPr>
        <w:t>http://loinc.org/</w:t>
      </w:r>
      <w:r>
        <w:rPr>
          <w:rStyle w:val="a9"/>
          <w:color w:val="0000FF"/>
          <w:sz w:val="18"/>
          <w:szCs w:val="18"/>
          <w:lang w:eastAsia="zh-CN"/>
        </w:rPr>
        <w:fldChar w:fldCharType="end"/>
      </w:r>
      <w:bookmarkEnd w:id="10"/>
      <w:bookmarkEnd w:id="11"/>
      <w:r>
        <w:rPr>
          <w:color w:val="0000FF"/>
          <w:sz w:val="18"/>
          <w:szCs w:val="18"/>
          <w:u w:val="single"/>
          <w:lang w:eastAsia="zh-CN"/>
        </w:rPr>
        <w:t xml:space="preserve"> </w:t>
      </w:r>
    </w:p>
    <w:p w14:paraId="228AB40D" w14:textId="77777777" w:rsidR="004E0030" w:rsidRDefault="00046C74">
      <w:pPr>
        <w:tabs>
          <w:tab w:val="left" w:pos="115"/>
        </w:tabs>
        <w:snapToGrid w:val="0"/>
        <w:spacing w:beforeLines="50" w:before="120"/>
        <w:jc w:val="both"/>
        <w:rPr>
          <w:bCs/>
          <w:color w:val="0000FF"/>
          <w:sz w:val="18"/>
          <w:szCs w:val="18"/>
          <w:u w:val="single"/>
        </w:rPr>
      </w:pPr>
      <w:r>
        <w:rPr>
          <w:sz w:val="18"/>
          <w:szCs w:val="18"/>
          <w:vertAlign w:val="superscript"/>
          <w:lang w:eastAsia="zh-CN"/>
        </w:rPr>
        <w:t>2</w:t>
      </w:r>
      <w:r>
        <w:rPr>
          <w:sz w:val="18"/>
          <w:szCs w:val="18"/>
          <w:lang w:eastAsia="zh-CN"/>
        </w:rPr>
        <w:tab/>
      </w:r>
      <w:hyperlink r:id="rId11" w:history="1">
        <w:r>
          <w:rPr>
            <w:rStyle w:val="a9"/>
            <w:color w:val="0000FF"/>
            <w:sz w:val="18"/>
            <w:szCs w:val="18"/>
            <w:lang w:eastAsia="zh-CN"/>
          </w:rPr>
          <w:t>https://loinc.org/get-started/loinc-term-basics/</w:t>
        </w:r>
      </w:hyperlink>
    </w:p>
    <w:p w14:paraId="3E2A2147" w14:textId="77777777" w:rsidR="004E0030" w:rsidRDefault="00046C74">
      <w:pPr>
        <w:tabs>
          <w:tab w:val="left" w:pos="115"/>
        </w:tabs>
        <w:snapToGrid w:val="0"/>
        <w:spacing w:beforeLines="50" w:before="120"/>
        <w:jc w:val="both"/>
      </w:pPr>
      <w:r>
        <w:rPr>
          <w:lang w:eastAsia="zh-CN"/>
        </w:rPr>
        <w:br w:type="page"/>
      </w:r>
    </w:p>
    <w:p w14:paraId="714B705D" w14:textId="2E6F283D" w:rsidR="004E0030" w:rsidRDefault="00046C74">
      <w:pPr>
        <w:snapToGrid w:val="0"/>
        <w:spacing w:beforeLines="50" w:before="120"/>
        <w:jc w:val="both"/>
        <w:rPr>
          <w:sz w:val="24"/>
          <w:lang w:eastAsia="zh-CN"/>
        </w:rPr>
      </w:pPr>
      <w:r>
        <w:rPr>
          <w:sz w:val="24"/>
          <w:lang w:eastAsia="zh-CN"/>
        </w:rPr>
        <w:lastRenderedPageBreak/>
        <w:t>区分</w:t>
      </w:r>
      <w:r>
        <w:rPr>
          <w:sz w:val="24"/>
          <w:lang w:eastAsia="zh-CN"/>
        </w:rPr>
        <w:t>LOINC</w:t>
      </w:r>
      <w:r>
        <w:rPr>
          <w:sz w:val="24"/>
          <w:lang w:eastAsia="zh-CN"/>
        </w:rPr>
        <w:t>代码和医疗器械唯一标识（</w:t>
      </w:r>
      <w:r>
        <w:rPr>
          <w:sz w:val="24"/>
          <w:lang w:eastAsia="zh-CN"/>
        </w:rPr>
        <w:t>UDI</w:t>
      </w:r>
      <w:r>
        <w:rPr>
          <w:sz w:val="24"/>
          <w:lang w:eastAsia="zh-CN"/>
        </w:rPr>
        <w:t>）至关重要。</w:t>
      </w:r>
      <w:r>
        <w:rPr>
          <w:sz w:val="24"/>
          <w:lang w:eastAsia="zh-CN"/>
        </w:rPr>
        <w:t>LOINC</w:t>
      </w:r>
      <w:r>
        <w:rPr>
          <w:sz w:val="24"/>
          <w:lang w:eastAsia="zh-CN"/>
        </w:rPr>
        <w:t>编码系统可识别</w:t>
      </w:r>
      <w:r>
        <w:rPr>
          <w:rFonts w:hint="eastAsia"/>
          <w:sz w:val="24"/>
          <w:lang w:eastAsia="zh-CN"/>
        </w:rPr>
        <w:t>已完成</w:t>
      </w:r>
      <w:r>
        <w:rPr>
          <w:sz w:val="24"/>
          <w:lang w:eastAsia="zh-CN"/>
        </w:rPr>
        <w:t>的实验室测试的类型，</w:t>
      </w:r>
      <w:r>
        <w:rPr>
          <w:sz w:val="24"/>
          <w:lang w:eastAsia="zh-CN"/>
        </w:rPr>
        <w:t>UDI</w:t>
      </w:r>
      <w:r>
        <w:rPr>
          <w:sz w:val="24"/>
          <w:lang w:eastAsia="zh-CN"/>
        </w:rPr>
        <w:t>可识别具体制造商制造的</w:t>
      </w:r>
      <w:r>
        <w:rPr>
          <w:rFonts w:hint="eastAsia"/>
          <w:sz w:val="24"/>
          <w:lang w:eastAsia="zh-CN"/>
        </w:rPr>
        <w:t>受监管的</w:t>
      </w:r>
      <w:r>
        <w:rPr>
          <w:sz w:val="24"/>
          <w:lang w:eastAsia="zh-CN"/>
        </w:rPr>
        <w:t>实验室器械的特定型号</w:t>
      </w:r>
      <w:r>
        <w:rPr>
          <w:sz w:val="24"/>
          <w:lang w:eastAsia="zh-CN"/>
        </w:rPr>
        <w:t>/</w:t>
      </w:r>
      <w:r>
        <w:rPr>
          <w:sz w:val="24"/>
          <w:lang w:eastAsia="zh-CN"/>
        </w:rPr>
        <w:t>版本。</w:t>
      </w:r>
      <w:r>
        <w:fldChar w:fldCharType="begin"/>
      </w:r>
      <w:r>
        <w:rPr>
          <w:lang w:eastAsia="zh-CN"/>
        </w:rPr>
        <w:instrText xml:space="preserve"> HYPERLINK \l "bookmark14" \o "</w:instrText>
      </w:r>
      <w:r>
        <w:rPr>
          <w:lang w:eastAsia="zh-CN"/>
        </w:rPr>
        <w:instrText>当前文件</w:instrText>
      </w:r>
      <w:r>
        <w:rPr>
          <w:lang w:eastAsia="zh-CN"/>
        </w:rPr>
        <w:instrText xml:space="preserve">" \h </w:instrText>
      </w:r>
      <w:r>
        <w:fldChar w:fldCharType="separate"/>
      </w:r>
      <w:r>
        <w:rPr>
          <w:sz w:val="24"/>
          <w:vertAlign w:val="superscript"/>
          <w:lang w:eastAsia="zh-CN"/>
        </w:rPr>
        <w:t>4</w:t>
      </w:r>
      <w:r>
        <w:rPr>
          <w:sz w:val="24"/>
          <w:lang w:eastAsia="zh-CN"/>
        </w:rPr>
        <w:t xml:space="preserve"> </w:t>
      </w:r>
      <w:r>
        <w:rPr>
          <w:sz w:val="24"/>
          <w:lang w:eastAsia="zh-CN"/>
        </w:rPr>
        <w:fldChar w:fldCharType="end"/>
      </w:r>
      <w:r>
        <w:rPr>
          <w:sz w:val="24"/>
          <w:lang w:eastAsia="zh-CN"/>
        </w:rPr>
        <w:t>本指南既不涉及也不影响与受监管器械</w:t>
      </w:r>
      <w:r>
        <w:rPr>
          <w:sz w:val="24"/>
          <w:lang w:eastAsia="zh-CN"/>
        </w:rPr>
        <w:t>UDI</w:t>
      </w:r>
      <w:r>
        <w:rPr>
          <w:sz w:val="24"/>
          <w:lang w:eastAsia="zh-CN"/>
        </w:rPr>
        <w:t>分配相关的要求。</w:t>
      </w:r>
    </w:p>
    <w:p w14:paraId="76229C3D" w14:textId="570C092F" w:rsidR="004E0030" w:rsidRDefault="004D28FA">
      <w:pPr>
        <w:snapToGrid w:val="0"/>
        <w:spacing w:beforeLines="50" w:before="120"/>
        <w:jc w:val="both"/>
        <w:rPr>
          <w:sz w:val="24"/>
          <w:lang w:eastAsia="zh-CN"/>
        </w:rPr>
      </w:pPr>
      <w:bookmarkStart w:id="12" w:name="_Hlk99545046"/>
      <w:r>
        <w:rPr>
          <w:sz w:val="24"/>
          <w:lang w:eastAsia="zh-CN"/>
        </w:rPr>
        <w:t>FDA</w:t>
      </w:r>
      <w:r>
        <w:rPr>
          <w:rFonts w:hint="eastAsia"/>
          <w:sz w:val="24"/>
          <w:lang w:eastAsia="zh-CN"/>
        </w:rPr>
        <w:t>指南文件，包括本指南，并未规定具有法律强制力的责任。相反，指南描述了</w:t>
      </w:r>
      <w:r>
        <w:rPr>
          <w:sz w:val="24"/>
          <w:lang w:eastAsia="zh-CN"/>
        </w:rPr>
        <w:t>FDA</w:t>
      </w:r>
      <w:r>
        <w:rPr>
          <w:rFonts w:hint="eastAsia"/>
          <w:sz w:val="24"/>
          <w:lang w:eastAsia="zh-CN"/>
        </w:rPr>
        <w:t>对该主题的当前看法，除非引用了具体监管或法定要求，否则应仅视为建议。</w:t>
      </w:r>
      <w:r>
        <w:rPr>
          <w:sz w:val="24"/>
          <w:lang w:eastAsia="zh-CN"/>
        </w:rPr>
        <w:t>FDA</w:t>
      </w:r>
      <w:r>
        <w:rPr>
          <w:rFonts w:hint="eastAsia"/>
          <w:sz w:val="24"/>
          <w:lang w:eastAsia="zh-CN"/>
        </w:rPr>
        <w:t>指南中使用的</w:t>
      </w:r>
      <w:r>
        <w:rPr>
          <w:rFonts w:ascii="宋体" w:hAnsi="宋体" w:hint="eastAsia"/>
          <w:sz w:val="24"/>
          <w:lang w:eastAsia="zh-CN"/>
        </w:rPr>
        <w:t>“</w:t>
      </w:r>
      <w:r>
        <w:rPr>
          <w:rFonts w:hint="eastAsia"/>
          <w:i/>
          <w:sz w:val="24"/>
          <w:lang w:eastAsia="zh-CN"/>
        </w:rPr>
        <w:t>应该（</w:t>
      </w:r>
      <w:r>
        <w:rPr>
          <w:i/>
          <w:sz w:val="24"/>
          <w:lang w:eastAsia="zh-CN"/>
        </w:rPr>
        <w:t>should</w:t>
      </w:r>
      <w:r>
        <w:rPr>
          <w:rFonts w:hint="eastAsia"/>
          <w:i/>
          <w:sz w:val="24"/>
          <w:lang w:eastAsia="zh-CN"/>
        </w:rPr>
        <w:t>）</w:t>
      </w:r>
      <w:r>
        <w:rPr>
          <w:rFonts w:ascii="宋体" w:hAnsi="宋体" w:hint="eastAsia"/>
          <w:sz w:val="24"/>
          <w:lang w:eastAsia="zh-CN"/>
        </w:rPr>
        <w:t>”</w:t>
      </w:r>
      <w:r>
        <w:rPr>
          <w:rFonts w:hint="eastAsia"/>
          <w:sz w:val="24"/>
          <w:lang w:eastAsia="zh-CN"/>
        </w:rPr>
        <w:t>一词指建议或推荐进行某一事项，并非强制要求。</w:t>
      </w:r>
      <w:bookmarkEnd w:id="12"/>
    </w:p>
    <w:p w14:paraId="28D0C520" w14:textId="77777777" w:rsidR="004E0030" w:rsidRDefault="00046C74">
      <w:pPr>
        <w:pStyle w:val="m1"/>
        <w:spacing w:before="120" w:after="120"/>
        <w:rPr>
          <w:lang w:eastAsia="zh-CN"/>
        </w:rPr>
      </w:pPr>
      <w:bookmarkStart w:id="13" w:name="_Toc97318727"/>
      <w:bookmarkStart w:id="14" w:name="bookmark11"/>
      <w:bookmarkStart w:id="15" w:name="bookmark12"/>
      <w:r>
        <w:rPr>
          <w:lang w:eastAsia="zh-CN"/>
        </w:rPr>
        <w:t>II.</w:t>
      </w:r>
      <w:r>
        <w:rPr>
          <w:lang w:eastAsia="zh-CN"/>
        </w:rPr>
        <w:tab/>
      </w:r>
      <w:r>
        <w:rPr>
          <w:lang w:eastAsia="zh-CN"/>
        </w:rPr>
        <w:t>背景</w:t>
      </w:r>
      <w:bookmarkEnd w:id="13"/>
      <w:bookmarkEnd w:id="14"/>
      <w:bookmarkEnd w:id="15"/>
    </w:p>
    <w:p w14:paraId="6C2724EE" w14:textId="029F4266" w:rsidR="004E0030" w:rsidRDefault="00046C74">
      <w:pPr>
        <w:snapToGrid w:val="0"/>
        <w:spacing w:beforeLines="50" w:before="120"/>
        <w:jc w:val="both"/>
        <w:rPr>
          <w:sz w:val="24"/>
          <w:lang w:eastAsia="zh-CN"/>
        </w:rPr>
      </w:pPr>
      <w:r>
        <w:rPr>
          <w:sz w:val="24"/>
          <w:lang w:eastAsia="zh-CN"/>
        </w:rPr>
        <w:t>语义互操作性在医疗信息技术中的重要作用已得到广泛认可。</w:t>
      </w:r>
      <w:r w:rsidR="00000000">
        <w:fldChar w:fldCharType="begin"/>
      </w:r>
      <w:r w:rsidR="00000000">
        <w:rPr>
          <w:lang w:eastAsia="zh-CN"/>
        </w:rPr>
        <w:instrText xml:space="preserve"> HYPERLINK \l "bookmark15" \o "</w:instrText>
      </w:r>
      <w:r w:rsidR="00000000">
        <w:rPr>
          <w:lang w:eastAsia="zh-CN"/>
        </w:rPr>
        <w:instrText>当前文件</w:instrText>
      </w:r>
      <w:r w:rsidR="00000000">
        <w:rPr>
          <w:lang w:eastAsia="zh-CN"/>
        </w:rPr>
        <w:instrText xml:space="preserve">" \h </w:instrText>
      </w:r>
      <w:r w:rsidR="00000000">
        <w:fldChar w:fldCharType="separate"/>
      </w:r>
      <w:r>
        <w:rPr>
          <w:sz w:val="24"/>
          <w:vertAlign w:val="superscript"/>
          <w:lang w:eastAsia="zh-CN"/>
        </w:rPr>
        <w:t>5</w:t>
      </w:r>
      <w:r>
        <w:rPr>
          <w:sz w:val="24"/>
          <w:lang w:eastAsia="zh-CN"/>
        </w:rPr>
        <w:t xml:space="preserve"> </w:t>
      </w:r>
      <w:r w:rsidR="00000000">
        <w:rPr>
          <w:sz w:val="24"/>
          <w:lang w:eastAsia="zh-CN"/>
        </w:rPr>
        <w:fldChar w:fldCharType="end"/>
      </w:r>
      <w:r>
        <w:rPr>
          <w:sz w:val="24"/>
          <w:lang w:eastAsia="zh-CN"/>
        </w:rPr>
        <w:t>13410</w:t>
      </w:r>
      <w:r>
        <w:rPr>
          <w:sz w:val="24"/>
          <w:lang w:eastAsia="zh-CN"/>
        </w:rPr>
        <w:t>号行政命令将互操作性定义为</w:t>
      </w:r>
      <w:r>
        <w:rPr>
          <w:rFonts w:ascii="宋体" w:hAnsi="宋体"/>
          <w:sz w:val="24"/>
          <w:lang w:eastAsia="zh-CN"/>
        </w:rPr>
        <w:t>“</w:t>
      </w:r>
      <w:r>
        <w:rPr>
          <w:sz w:val="24"/>
          <w:lang w:eastAsia="zh-CN"/>
        </w:rPr>
        <w:t>能够在各种环境下与不同的信息技术系统、软件应用程序和网络准确、有效、安全、一致地通信和交换数据，交换数据可确保数据的临床或手术目标意义得到保持，不被改变。</w:t>
      </w:r>
      <w:r>
        <w:rPr>
          <w:rFonts w:ascii="宋体" w:hAnsi="宋体"/>
          <w:sz w:val="24"/>
          <w:lang w:eastAsia="zh-CN"/>
        </w:rPr>
        <w:t>”</w:t>
      </w:r>
      <w:r>
        <w:rPr>
          <w:sz w:val="24"/>
          <w:vertAlign w:val="superscript"/>
          <w:lang w:eastAsia="zh-CN"/>
        </w:rPr>
        <w:t xml:space="preserve"> </w:t>
      </w:r>
      <w:r w:rsidR="00000000">
        <w:fldChar w:fldCharType="begin"/>
      </w:r>
      <w:r w:rsidR="00000000">
        <w:rPr>
          <w:lang w:eastAsia="zh-CN"/>
        </w:rPr>
        <w:instrText xml:space="preserve"> HYPERLINK \l "bookmark16" \o "</w:instrText>
      </w:r>
      <w:r w:rsidR="00000000">
        <w:rPr>
          <w:lang w:eastAsia="zh-CN"/>
        </w:rPr>
        <w:instrText>当前文件</w:instrText>
      </w:r>
      <w:r w:rsidR="00000000">
        <w:rPr>
          <w:lang w:eastAsia="zh-CN"/>
        </w:rPr>
        <w:instrText xml:space="preserve">" \h </w:instrText>
      </w:r>
      <w:r w:rsidR="00000000">
        <w:fldChar w:fldCharType="separate"/>
      </w:r>
      <w:r>
        <w:rPr>
          <w:sz w:val="24"/>
          <w:vertAlign w:val="superscript"/>
          <w:lang w:eastAsia="zh-CN"/>
        </w:rPr>
        <w:t>6</w:t>
      </w:r>
      <w:r w:rsidR="00000000">
        <w:rPr>
          <w:sz w:val="24"/>
          <w:vertAlign w:val="superscript"/>
          <w:lang w:eastAsia="zh-CN"/>
        </w:rPr>
        <w:fldChar w:fldCharType="end"/>
      </w:r>
      <w:r>
        <w:rPr>
          <w:sz w:val="24"/>
          <w:lang w:eastAsia="zh-CN"/>
        </w:rPr>
        <w:t>FDA</w:t>
      </w:r>
      <w:r>
        <w:rPr>
          <w:rFonts w:ascii="宋体" w:hAnsi="宋体"/>
          <w:sz w:val="24"/>
          <w:lang w:eastAsia="zh-CN"/>
        </w:rPr>
        <w:t>“</w:t>
      </w:r>
      <w:r>
        <w:rPr>
          <w:sz w:val="24"/>
          <w:lang w:eastAsia="zh-CN"/>
        </w:rPr>
        <w:t>研究数据技术一致性指南</w:t>
      </w:r>
      <w:r>
        <w:rPr>
          <w:rFonts w:ascii="宋体" w:hAnsi="宋体"/>
          <w:sz w:val="24"/>
          <w:lang w:eastAsia="zh-CN"/>
        </w:rPr>
        <w:t>”</w:t>
      </w:r>
      <w:r>
        <w:rPr>
          <w:sz w:val="24"/>
          <w:lang w:eastAsia="zh-CN"/>
        </w:rPr>
        <w:t>进一步将语义互操作性定义为</w:t>
      </w:r>
      <w:r>
        <w:rPr>
          <w:rFonts w:ascii="宋体" w:hAnsi="宋体"/>
          <w:sz w:val="24"/>
          <w:lang w:eastAsia="zh-CN"/>
        </w:rPr>
        <w:t>“</w:t>
      </w:r>
      <w:r>
        <w:rPr>
          <w:sz w:val="24"/>
          <w:lang w:eastAsia="zh-CN"/>
        </w:rPr>
        <w:t>理解系统共享信息的能力，以便接收系统处理非数值型数据。</w:t>
      </w:r>
      <w:r>
        <w:rPr>
          <w:rFonts w:ascii="宋体" w:hAnsi="宋体"/>
          <w:sz w:val="24"/>
          <w:lang w:eastAsia="zh-CN"/>
        </w:rPr>
        <w:t>”</w:t>
      </w:r>
      <w:r>
        <w:rPr>
          <w:sz w:val="24"/>
          <w:lang w:eastAsia="zh-CN"/>
        </w:rPr>
        <w:t>语义互操作性是一个多层次的概念，语义互操作性的程度取决于数据内容术语和其他因素的一致程度。语义互操作性的提高减少了所需的人工处理，从而减少数据分析中的错误和低效率。受控术语和具有统一定义的元数据的使用为语义互操作性提供了支持。</w:t>
      </w:r>
      <w:r>
        <w:rPr>
          <w:rFonts w:ascii="宋体" w:hAnsi="宋体"/>
          <w:sz w:val="24"/>
          <w:lang w:eastAsia="zh-CN"/>
        </w:rPr>
        <w:t>”</w:t>
      </w:r>
      <w:r>
        <w:rPr>
          <w:sz w:val="24"/>
          <w:vertAlign w:val="superscript"/>
          <w:lang w:eastAsia="zh-CN"/>
        </w:rPr>
        <w:t xml:space="preserve"> </w:t>
      </w:r>
      <w:hyperlink w:anchor="bookmark17" w:tooltip="当前文件">
        <w:r>
          <w:rPr>
            <w:sz w:val="24"/>
            <w:vertAlign w:val="superscript"/>
            <w:lang w:eastAsia="zh-CN"/>
          </w:rPr>
          <w:t>7</w:t>
        </w:r>
      </w:hyperlink>
    </w:p>
    <w:p w14:paraId="34C0A32A" w14:textId="425B84B0" w:rsidR="004E0030" w:rsidRDefault="00046C74">
      <w:pPr>
        <w:snapToGrid w:val="0"/>
        <w:spacing w:beforeLines="50" w:before="120"/>
        <w:jc w:val="both"/>
        <w:rPr>
          <w:sz w:val="24"/>
          <w:lang w:eastAsia="zh-CN"/>
        </w:rPr>
      </w:pPr>
      <w:r>
        <w:rPr>
          <w:sz w:val="24"/>
          <w:lang w:eastAsia="zh-CN"/>
        </w:rPr>
        <w:t>清晰统一地表述实验室</w:t>
      </w:r>
      <w:r>
        <w:rPr>
          <w:rFonts w:hint="eastAsia"/>
          <w:sz w:val="24"/>
          <w:lang w:eastAsia="zh-CN"/>
        </w:rPr>
        <w:t>测试</w:t>
      </w:r>
      <w:r>
        <w:rPr>
          <w:sz w:val="24"/>
          <w:lang w:eastAsia="zh-CN"/>
        </w:rPr>
        <w:t>对于实现电子健康记录的诸多潜在获益至关重要。语义互操作性对于开发能够访问和无缝聚合来自多个系统的数据的决策支持算法来说至关重要。例如，针对传染病，语义互操作的</w:t>
      </w:r>
      <w:r>
        <w:rPr>
          <w:sz w:val="24"/>
          <w:lang w:eastAsia="zh-CN"/>
        </w:rPr>
        <w:t>EHR</w:t>
      </w:r>
      <w:r>
        <w:rPr>
          <w:sz w:val="24"/>
          <w:lang w:eastAsia="zh-CN"/>
        </w:rPr>
        <w:t>系统可以通过提供对来自多个地理位置的可评估实时</w:t>
      </w:r>
      <w:r>
        <w:rPr>
          <w:sz w:val="24"/>
          <w:lang w:eastAsia="zh-CN"/>
        </w:rPr>
        <w:t>IVD</w:t>
      </w:r>
      <w:r>
        <w:rPr>
          <w:sz w:val="24"/>
          <w:lang w:eastAsia="zh-CN"/>
        </w:rPr>
        <w:t>检测信息的访问途径，更有效地追踪疫情或重大公共卫生威胁。统一表述</w:t>
      </w:r>
      <w:r w:rsidR="00806A05">
        <w:rPr>
          <w:rFonts w:hint="eastAsia"/>
          <w:sz w:val="24"/>
          <w:lang w:eastAsia="zh-CN"/>
        </w:rPr>
        <w:t>也</w:t>
      </w:r>
      <w:r>
        <w:rPr>
          <w:sz w:val="24"/>
          <w:lang w:eastAsia="zh-CN"/>
        </w:rPr>
        <w:t>让使用</w:t>
      </w:r>
      <w:r>
        <w:rPr>
          <w:sz w:val="24"/>
          <w:lang w:eastAsia="zh-CN"/>
        </w:rPr>
        <w:t>EHR</w:t>
      </w:r>
      <w:r>
        <w:rPr>
          <w:sz w:val="24"/>
          <w:lang w:eastAsia="zh-CN"/>
        </w:rPr>
        <w:t>数据库研究诊断方法成为可能，而无需调整各个位点的不同编码方案。使用</w:t>
      </w:r>
      <w:r>
        <w:rPr>
          <w:sz w:val="24"/>
          <w:lang w:eastAsia="zh-CN"/>
        </w:rPr>
        <w:t>EHR</w:t>
      </w:r>
      <w:r>
        <w:rPr>
          <w:sz w:val="24"/>
          <w:lang w:eastAsia="zh-CN"/>
        </w:rPr>
        <w:t>数据库的研究示例可能包括上市后研究，这些研究解决了在常规验证方法之后进行快速核酸检测的需要，还可能包括评估不同临床环境下</w:t>
      </w:r>
      <w:r>
        <w:rPr>
          <w:sz w:val="24"/>
          <w:lang w:eastAsia="zh-CN"/>
        </w:rPr>
        <w:t>IVD</w:t>
      </w:r>
      <w:r>
        <w:rPr>
          <w:sz w:val="24"/>
          <w:lang w:eastAsia="zh-CN"/>
        </w:rPr>
        <w:t>性能的研究。对标准化数据的潜力分析显示，获取实际循证大有希望，这些证据可能有利于未来的监管</w:t>
      </w:r>
      <w:r w:rsidR="0019037B">
        <w:rPr>
          <w:rFonts w:hint="eastAsia"/>
          <w:sz w:val="24"/>
          <w:lang w:eastAsia="zh-CN"/>
        </w:rPr>
        <w:t>措施</w:t>
      </w:r>
      <w:r>
        <w:rPr>
          <w:sz w:val="24"/>
          <w:lang w:eastAsia="zh-CN"/>
        </w:rPr>
        <w:t>。在</w:t>
      </w:r>
      <w:r>
        <w:rPr>
          <w:sz w:val="24"/>
          <w:lang w:eastAsia="zh-CN"/>
        </w:rPr>
        <w:t>EHR</w:t>
      </w:r>
      <w:r>
        <w:rPr>
          <w:sz w:val="24"/>
          <w:lang w:eastAsia="zh-CN"/>
        </w:rPr>
        <w:t>中清晰统一</w:t>
      </w:r>
      <w:r w:rsidR="00B728F6">
        <w:rPr>
          <w:rFonts w:hint="eastAsia"/>
          <w:sz w:val="24"/>
          <w:lang w:eastAsia="zh-CN"/>
        </w:rPr>
        <w:t>地</w:t>
      </w:r>
      <w:r w:rsidR="00B728F6">
        <w:rPr>
          <w:sz w:val="24"/>
          <w:lang w:eastAsia="zh-CN"/>
        </w:rPr>
        <w:t>表述</w:t>
      </w:r>
      <w:r>
        <w:rPr>
          <w:sz w:val="24"/>
          <w:lang w:eastAsia="zh-CN"/>
        </w:rPr>
        <w:t>IVD</w:t>
      </w:r>
      <w:r>
        <w:rPr>
          <w:rFonts w:hint="eastAsia"/>
          <w:sz w:val="24"/>
          <w:lang w:eastAsia="zh-CN"/>
        </w:rPr>
        <w:t>测试</w:t>
      </w:r>
      <w:r>
        <w:rPr>
          <w:sz w:val="24"/>
          <w:lang w:eastAsia="zh-CN"/>
        </w:rPr>
        <w:t>也可以在信息跨系统传输时最大限度地减少潜在错误（例如，确保测试结果单元始终保持准确），有助于在系统联系日益增多的情况下最大限度地降低患者风险。</w:t>
      </w:r>
    </w:p>
    <w:p w14:paraId="5D4060E4" w14:textId="77777777" w:rsidR="004E0030" w:rsidRDefault="004E0030">
      <w:pPr>
        <w:snapToGrid w:val="0"/>
        <w:spacing w:beforeLines="50" w:before="120"/>
        <w:jc w:val="both"/>
        <w:rPr>
          <w:sz w:val="24"/>
          <w:lang w:eastAsia="zh-CN"/>
        </w:rPr>
      </w:pPr>
    </w:p>
    <w:p w14:paraId="09D1F47B" w14:textId="77777777" w:rsidR="004E0030" w:rsidRDefault="004E0030">
      <w:pPr>
        <w:snapToGrid w:val="0"/>
        <w:spacing w:beforeLines="50" w:before="120"/>
        <w:jc w:val="both"/>
        <w:rPr>
          <w:sz w:val="24"/>
          <w:lang w:eastAsia="zh-CN"/>
        </w:rPr>
      </w:pPr>
    </w:p>
    <w:p w14:paraId="569CCA81" w14:textId="77777777" w:rsidR="004E0030" w:rsidRDefault="00046C74">
      <w:pPr>
        <w:snapToGrid w:val="0"/>
        <w:spacing w:beforeLines="50" w:before="120"/>
        <w:jc w:val="both"/>
        <w:rPr>
          <w:sz w:val="18"/>
          <w:szCs w:val="18"/>
          <w:lang w:eastAsia="zh-CN"/>
        </w:rPr>
      </w:pPr>
      <w:bookmarkStart w:id="16" w:name="bookmark13"/>
      <w:r>
        <w:rPr>
          <w:sz w:val="18"/>
          <w:szCs w:val="18"/>
          <w:lang w:eastAsia="zh-CN"/>
        </w:rPr>
        <w:t>___________________________</w:t>
      </w:r>
    </w:p>
    <w:p w14:paraId="58119D10" w14:textId="4BFE2D2D" w:rsidR="004E0030" w:rsidRDefault="00046C74">
      <w:pPr>
        <w:tabs>
          <w:tab w:val="left" w:pos="110"/>
        </w:tabs>
        <w:snapToGrid w:val="0"/>
        <w:spacing w:beforeLines="50" w:before="120"/>
        <w:rPr>
          <w:sz w:val="18"/>
          <w:szCs w:val="18"/>
          <w:lang w:eastAsia="zh-CN"/>
        </w:rPr>
      </w:pPr>
      <w:r>
        <w:rPr>
          <w:sz w:val="18"/>
          <w:szCs w:val="18"/>
          <w:vertAlign w:val="superscript"/>
          <w:lang w:eastAsia="zh-CN"/>
        </w:rPr>
        <w:t>3</w:t>
      </w:r>
      <w:r>
        <w:rPr>
          <w:sz w:val="18"/>
          <w:szCs w:val="18"/>
          <w:lang w:eastAsia="zh-CN"/>
        </w:rPr>
        <w:tab/>
      </w:r>
      <w:r>
        <w:rPr>
          <w:sz w:val="18"/>
          <w:szCs w:val="18"/>
          <w:lang w:eastAsia="zh-CN"/>
        </w:rPr>
        <w:t>有关</w:t>
      </w:r>
      <w:r>
        <w:rPr>
          <w:sz w:val="18"/>
          <w:szCs w:val="18"/>
          <w:lang w:eastAsia="zh-CN"/>
        </w:rPr>
        <w:t>LOINC</w:t>
      </w:r>
      <w:r>
        <w:rPr>
          <w:sz w:val="18"/>
          <w:szCs w:val="18"/>
          <w:lang w:eastAsia="zh-CN"/>
        </w:rPr>
        <w:t>的</w:t>
      </w:r>
      <w:proofErr w:type="gramStart"/>
      <w:r>
        <w:rPr>
          <w:sz w:val="18"/>
          <w:szCs w:val="18"/>
          <w:lang w:eastAsia="zh-CN"/>
        </w:rPr>
        <w:t>认可共识</w:t>
      </w:r>
      <w:proofErr w:type="gramEnd"/>
      <w:r>
        <w:rPr>
          <w:sz w:val="18"/>
          <w:szCs w:val="18"/>
          <w:lang w:eastAsia="zh-CN"/>
        </w:rPr>
        <w:t>标准，请参见</w:t>
      </w:r>
      <w:bookmarkEnd w:id="16"/>
      <w:r w:rsidR="00000000">
        <w:fldChar w:fldCharType="begin"/>
      </w:r>
      <w:r w:rsidR="00000000">
        <w:instrText xml:space="preserve"> HYPERLINK "https://www.accessdata.fda.gov/scripts/cdrh/cfdocs/cfstandards/detail.cfm?id=32889" </w:instrText>
      </w:r>
      <w:r w:rsidR="00000000">
        <w:fldChar w:fldCharType="separate"/>
      </w:r>
      <w:r>
        <w:rPr>
          <w:rStyle w:val="a9"/>
          <w:color w:val="0000FF"/>
          <w:sz w:val="18"/>
          <w:szCs w:val="18"/>
          <w:lang w:eastAsia="zh-CN"/>
        </w:rPr>
        <w:t>https://www.accessdata.fda.gov/scripts/cdrh/cfdocs/cfstandards/detail.cfm?id=32889</w:t>
      </w:r>
      <w:r w:rsidR="00000000">
        <w:rPr>
          <w:rStyle w:val="a9"/>
          <w:color w:val="0000FF"/>
          <w:sz w:val="18"/>
          <w:szCs w:val="18"/>
          <w:lang w:eastAsia="zh-CN"/>
        </w:rPr>
        <w:fldChar w:fldCharType="end"/>
      </w:r>
      <w:r>
        <w:rPr>
          <w:sz w:val="18"/>
          <w:szCs w:val="18"/>
          <w:lang w:eastAsia="zh-CN"/>
        </w:rPr>
        <w:t>相关页面</w:t>
      </w:r>
    </w:p>
    <w:p w14:paraId="36C365B9" w14:textId="77777777" w:rsidR="004E0030" w:rsidRDefault="00046C74">
      <w:pPr>
        <w:tabs>
          <w:tab w:val="left" w:pos="110"/>
        </w:tabs>
        <w:snapToGrid w:val="0"/>
        <w:spacing w:beforeLines="50" w:before="120"/>
        <w:rPr>
          <w:sz w:val="18"/>
          <w:szCs w:val="18"/>
        </w:rPr>
      </w:pPr>
      <w:bookmarkStart w:id="17" w:name="bookmark14"/>
      <w:r>
        <w:rPr>
          <w:sz w:val="18"/>
          <w:szCs w:val="18"/>
          <w:vertAlign w:val="superscript"/>
          <w:lang w:eastAsia="zh-CN"/>
        </w:rPr>
        <w:t>4</w:t>
      </w:r>
      <w:r>
        <w:rPr>
          <w:sz w:val="18"/>
          <w:szCs w:val="18"/>
          <w:lang w:eastAsia="zh-CN"/>
        </w:rPr>
        <w:tab/>
      </w:r>
      <w:r>
        <w:rPr>
          <w:sz w:val="18"/>
          <w:szCs w:val="18"/>
          <w:lang w:eastAsia="zh-CN"/>
        </w:rPr>
        <w:t>见</w:t>
      </w:r>
      <w:r>
        <w:fldChar w:fldCharType="begin"/>
      </w:r>
      <w:r>
        <w:instrText xml:space="preserve"> HYPERLINK "http://www.fda.gov/MedicalDevices/DeviceRegulationandGuidance/UniqueDeviceIdentification/" </w:instrText>
      </w:r>
      <w:r>
        <w:fldChar w:fldCharType="separate"/>
      </w:r>
      <w:r>
        <w:rPr>
          <w:rStyle w:val="a9"/>
          <w:color w:val="0000FF"/>
          <w:sz w:val="18"/>
          <w:szCs w:val="18"/>
          <w:lang w:eastAsia="zh-CN"/>
        </w:rPr>
        <w:t>http://www.fda.gov/MedicalDevices/DeviceRegulationandGuidance/UniqueDeviceIdentification/</w:t>
      </w:r>
      <w:r>
        <w:rPr>
          <w:rStyle w:val="a9"/>
          <w:color w:val="0000FF"/>
          <w:sz w:val="18"/>
          <w:szCs w:val="18"/>
          <w:lang w:eastAsia="zh-CN"/>
        </w:rPr>
        <w:fldChar w:fldCharType="end"/>
      </w:r>
      <w:bookmarkEnd w:id="17"/>
    </w:p>
    <w:p w14:paraId="01224E2A" w14:textId="77777777" w:rsidR="004E0030" w:rsidRDefault="00046C74">
      <w:pPr>
        <w:tabs>
          <w:tab w:val="left" w:pos="110"/>
        </w:tabs>
        <w:snapToGrid w:val="0"/>
        <w:spacing w:beforeLines="50" w:before="120"/>
        <w:rPr>
          <w:sz w:val="18"/>
          <w:szCs w:val="18"/>
        </w:rPr>
      </w:pPr>
      <w:bookmarkStart w:id="18" w:name="bookmark15"/>
      <w:r>
        <w:rPr>
          <w:sz w:val="18"/>
          <w:szCs w:val="18"/>
          <w:vertAlign w:val="superscript"/>
          <w:lang w:eastAsia="zh-CN"/>
        </w:rPr>
        <w:t>5</w:t>
      </w:r>
      <w:r>
        <w:rPr>
          <w:sz w:val="18"/>
          <w:szCs w:val="18"/>
          <w:lang w:eastAsia="zh-CN"/>
        </w:rPr>
        <w:tab/>
      </w:r>
      <w:r>
        <w:rPr>
          <w:sz w:val="18"/>
          <w:szCs w:val="18"/>
          <w:lang w:eastAsia="zh-CN"/>
        </w:rPr>
        <w:t>有关全国共享可操作性线路图，请参见</w:t>
      </w:r>
      <w:r>
        <w:fldChar w:fldCharType="begin"/>
      </w:r>
      <w:r>
        <w:instrText xml:space="preserve"> HYPERLINK "https://www.healthit.gov/sites/default/files/hie-interoperability/nationwide-interoperability-roadmap-final-version-1.0.pdf" </w:instrText>
      </w:r>
      <w:r>
        <w:fldChar w:fldCharType="separate"/>
      </w:r>
      <w:r>
        <w:rPr>
          <w:rStyle w:val="a9"/>
          <w:color w:val="0000FF"/>
          <w:sz w:val="18"/>
          <w:szCs w:val="18"/>
          <w:lang w:eastAsia="zh-CN"/>
        </w:rPr>
        <w:t>https://www.healthit.gov/sites/default/files/hie-</w:t>
      </w:r>
      <w:r>
        <w:rPr>
          <w:rStyle w:val="a9"/>
          <w:color w:val="0000FF"/>
          <w:sz w:val="18"/>
          <w:szCs w:val="18"/>
          <w:lang w:eastAsia="zh-CN"/>
        </w:rPr>
        <w:fldChar w:fldCharType="end"/>
      </w:r>
      <w:r>
        <w:rPr>
          <w:color w:val="0000FF"/>
          <w:sz w:val="18"/>
          <w:szCs w:val="18"/>
          <w:u w:val="single"/>
          <w:lang w:eastAsia="zh-CN"/>
        </w:rPr>
        <w:t xml:space="preserve"> </w:t>
      </w:r>
      <w:hyperlink r:id="rId12" w:history="1">
        <w:r>
          <w:rPr>
            <w:rStyle w:val="a9"/>
            <w:color w:val="0000FF"/>
            <w:sz w:val="18"/>
            <w:szCs w:val="18"/>
            <w:lang w:eastAsia="zh-CN"/>
          </w:rPr>
          <w:t>interoperability/nationwide-interoperability-roadmap-final-version-1.0.pdf.</w:t>
        </w:r>
        <w:bookmarkEnd w:id="18"/>
      </w:hyperlink>
    </w:p>
    <w:p w14:paraId="1C1D6093" w14:textId="7117FDFF" w:rsidR="004E0030" w:rsidRDefault="00046C74">
      <w:pPr>
        <w:tabs>
          <w:tab w:val="left" w:pos="110"/>
        </w:tabs>
        <w:snapToGrid w:val="0"/>
        <w:spacing w:beforeLines="50" w:before="120"/>
        <w:rPr>
          <w:sz w:val="18"/>
          <w:szCs w:val="18"/>
          <w:lang w:eastAsia="zh-CN"/>
        </w:rPr>
      </w:pPr>
      <w:bookmarkStart w:id="19" w:name="bookmark16"/>
      <w:r>
        <w:rPr>
          <w:sz w:val="18"/>
          <w:szCs w:val="18"/>
          <w:vertAlign w:val="superscript"/>
          <w:lang w:eastAsia="zh-CN"/>
        </w:rPr>
        <w:t>6</w:t>
      </w:r>
      <w:r>
        <w:rPr>
          <w:sz w:val="18"/>
          <w:szCs w:val="18"/>
          <w:lang w:eastAsia="zh-CN"/>
        </w:rPr>
        <w:tab/>
      </w:r>
      <w:r>
        <w:rPr>
          <w:i/>
          <w:iCs/>
          <w:sz w:val="18"/>
          <w:szCs w:val="18"/>
          <w:lang w:eastAsia="zh-CN"/>
        </w:rPr>
        <w:t>有关第</w:t>
      </w:r>
      <w:r>
        <w:rPr>
          <w:i/>
          <w:iCs/>
          <w:sz w:val="18"/>
          <w:szCs w:val="18"/>
          <w:lang w:eastAsia="zh-CN"/>
        </w:rPr>
        <w:t>13410</w:t>
      </w:r>
      <w:r>
        <w:rPr>
          <w:i/>
          <w:iCs/>
          <w:sz w:val="18"/>
          <w:szCs w:val="18"/>
          <w:lang w:eastAsia="zh-CN"/>
        </w:rPr>
        <w:t>号行政命令：在联邦政府管理下促进高质量高效率的医疗保健或</w:t>
      </w:r>
      <w:bookmarkStart w:id="20" w:name="bookmark17"/>
      <w:r>
        <w:rPr>
          <w:i/>
          <w:iCs/>
          <w:sz w:val="18"/>
          <w:szCs w:val="18"/>
          <w:lang w:eastAsia="zh-CN"/>
        </w:rPr>
        <w:t>慈</w:t>
      </w:r>
      <w:bookmarkEnd w:id="20"/>
      <w:r>
        <w:rPr>
          <w:i/>
          <w:iCs/>
          <w:sz w:val="18"/>
          <w:szCs w:val="18"/>
          <w:lang w:eastAsia="zh-CN"/>
        </w:rPr>
        <w:t>善医疗保健项目，</w:t>
      </w:r>
      <w:proofErr w:type="gramStart"/>
      <w:r>
        <w:rPr>
          <w:i/>
          <w:iCs/>
          <w:sz w:val="18"/>
          <w:szCs w:val="18"/>
          <w:lang w:eastAsia="zh-CN"/>
        </w:rPr>
        <w:t>请访问</w:t>
      </w:r>
      <w:proofErr w:type="gramEnd"/>
      <w:r w:rsidR="000A2C1A">
        <w:rPr>
          <w:i/>
          <w:iCs/>
          <w:color w:val="0000FF"/>
          <w:sz w:val="18"/>
          <w:szCs w:val="18"/>
          <w:lang w:eastAsia="zh-CN"/>
        </w:rPr>
        <w:fldChar w:fldCharType="begin"/>
      </w:r>
      <w:r w:rsidR="000A2C1A">
        <w:rPr>
          <w:i/>
          <w:iCs/>
          <w:color w:val="0000FF"/>
          <w:sz w:val="18"/>
          <w:szCs w:val="18"/>
          <w:lang w:eastAsia="zh-CN"/>
        </w:rPr>
        <w:instrText xml:space="preserve"> HYPERLINK "</w:instrText>
      </w:r>
      <w:r w:rsidR="000A2C1A" w:rsidRPr="0044036A">
        <w:instrText>https://www.gpo.gov/fdsvs/pkg/FR-2006-08-28/pdf/06-7220.p</w:instrText>
      </w:r>
      <w:r w:rsidR="000A2C1A">
        <w:rPr>
          <w:i/>
          <w:iCs/>
          <w:color w:val="0000FF"/>
          <w:sz w:val="18"/>
          <w:szCs w:val="18"/>
          <w:lang w:eastAsia="zh-CN"/>
        </w:rPr>
        <w:instrText xml:space="preserve">" </w:instrText>
      </w:r>
      <w:r w:rsidR="000A2C1A">
        <w:rPr>
          <w:i/>
          <w:iCs/>
          <w:color w:val="0000FF"/>
          <w:sz w:val="18"/>
          <w:szCs w:val="18"/>
          <w:lang w:eastAsia="zh-CN"/>
        </w:rPr>
        <w:fldChar w:fldCharType="separate"/>
      </w:r>
      <w:r w:rsidR="000A2C1A" w:rsidRPr="0044036A">
        <w:rPr>
          <w:rStyle w:val="a9"/>
          <w:i/>
          <w:iCs/>
          <w:sz w:val="18"/>
          <w:szCs w:val="18"/>
          <w:lang w:eastAsia="zh-CN"/>
        </w:rPr>
        <w:t>https://www.gpo.gov/fdsvs/pkg/FR-2006-08-28/pdf/06-7220.p</w:t>
      </w:r>
      <w:r w:rsidR="000A2C1A">
        <w:rPr>
          <w:i/>
          <w:iCs/>
          <w:color w:val="0000FF"/>
          <w:sz w:val="18"/>
          <w:szCs w:val="18"/>
          <w:lang w:eastAsia="zh-CN"/>
        </w:rPr>
        <w:fldChar w:fldCharType="end"/>
      </w:r>
      <w:r>
        <w:rPr>
          <w:i/>
          <w:iCs/>
          <w:color w:val="0000FF"/>
          <w:sz w:val="18"/>
          <w:szCs w:val="18"/>
          <w:u w:val="single"/>
          <w:lang w:eastAsia="zh-CN"/>
        </w:rPr>
        <w:t>df</w:t>
      </w:r>
      <w:bookmarkEnd w:id="19"/>
    </w:p>
    <w:p w14:paraId="2E0EAD8A" w14:textId="77777777" w:rsidR="004E0030" w:rsidRDefault="00046C74">
      <w:pPr>
        <w:tabs>
          <w:tab w:val="left" w:pos="110"/>
        </w:tabs>
        <w:snapToGrid w:val="0"/>
        <w:spacing w:beforeLines="50" w:before="120"/>
        <w:rPr>
          <w:bCs/>
          <w:sz w:val="18"/>
          <w:szCs w:val="18"/>
          <w:u w:val="single"/>
        </w:rPr>
      </w:pPr>
      <w:r>
        <w:rPr>
          <w:sz w:val="18"/>
          <w:szCs w:val="18"/>
          <w:vertAlign w:val="superscript"/>
          <w:lang w:eastAsia="zh-CN"/>
        </w:rPr>
        <w:t>7</w:t>
      </w:r>
      <w:r>
        <w:rPr>
          <w:sz w:val="18"/>
          <w:szCs w:val="18"/>
          <w:lang w:eastAsia="zh-CN"/>
        </w:rPr>
        <w:tab/>
      </w:r>
      <w:r>
        <w:rPr>
          <w:sz w:val="18"/>
          <w:szCs w:val="18"/>
          <w:lang w:eastAsia="zh-CN"/>
        </w:rPr>
        <w:t>有关研究数据技术一致性指南，</w:t>
      </w:r>
      <w:proofErr w:type="gramStart"/>
      <w:r>
        <w:rPr>
          <w:sz w:val="18"/>
          <w:szCs w:val="18"/>
          <w:lang w:eastAsia="zh-CN"/>
        </w:rPr>
        <w:t>请访问</w:t>
      </w:r>
      <w:proofErr w:type="gramEnd"/>
      <w:r>
        <w:fldChar w:fldCharType="begin"/>
      </w:r>
      <w:r>
        <w:instrText xml:space="preserve"> HYPERLINK "https://www.fda.gov/downloads/ForIndustrv/DataStandards/StudvDataStandards/UCM384744.pdf" </w:instrText>
      </w:r>
      <w:r>
        <w:fldChar w:fldCharType="separate"/>
      </w:r>
      <w:r>
        <w:rPr>
          <w:rStyle w:val="a9"/>
          <w:color w:val="0000FF"/>
          <w:sz w:val="18"/>
          <w:szCs w:val="18"/>
          <w:lang w:eastAsia="zh-CN"/>
        </w:rPr>
        <w:t>https://www.fda.gov/downloads/ForIndustrv/DataStandards/StudvDataStandards/UCM384744.pdf</w:t>
      </w:r>
      <w:r>
        <w:rPr>
          <w:rStyle w:val="a9"/>
          <w:color w:val="0000FF"/>
          <w:sz w:val="18"/>
          <w:szCs w:val="18"/>
          <w:lang w:eastAsia="zh-CN"/>
        </w:rPr>
        <w:fldChar w:fldCharType="end"/>
      </w:r>
    </w:p>
    <w:p w14:paraId="042446B7" w14:textId="77777777" w:rsidR="004E0030" w:rsidRDefault="00046C74">
      <w:pPr>
        <w:snapToGrid w:val="0"/>
        <w:spacing w:beforeLines="50" w:before="120"/>
        <w:jc w:val="both"/>
      </w:pPr>
      <w:r>
        <w:rPr>
          <w:lang w:eastAsia="zh-CN"/>
        </w:rPr>
        <w:br w:type="page"/>
      </w:r>
    </w:p>
    <w:p w14:paraId="7EB97F74" w14:textId="7690A795" w:rsidR="004E0030" w:rsidRDefault="00046C74">
      <w:pPr>
        <w:snapToGrid w:val="0"/>
        <w:spacing w:beforeLines="50" w:before="120" w:line="400" w:lineRule="exact"/>
        <w:jc w:val="both"/>
        <w:rPr>
          <w:sz w:val="24"/>
          <w:lang w:eastAsia="zh-CN"/>
        </w:rPr>
      </w:pPr>
      <w:r>
        <w:rPr>
          <w:sz w:val="24"/>
          <w:lang w:eastAsia="zh-CN"/>
        </w:rPr>
        <w:lastRenderedPageBreak/>
        <w:t>语义互操作性应被视为通用互操作性的一个具体应用。</w:t>
      </w:r>
      <w:r>
        <w:rPr>
          <w:sz w:val="24"/>
          <w:lang w:eastAsia="zh-CN"/>
        </w:rPr>
        <w:t>FDA</w:t>
      </w:r>
      <w:r>
        <w:rPr>
          <w:sz w:val="24"/>
          <w:lang w:eastAsia="zh-CN"/>
        </w:rPr>
        <w:t>支持</w:t>
      </w:r>
      <w:r>
        <w:rPr>
          <w:sz w:val="24"/>
          <w:lang w:eastAsia="zh-CN"/>
        </w:rPr>
        <w:t>IVD</w:t>
      </w:r>
      <w:r>
        <w:rPr>
          <w:rFonts w:hint="eastAsia"/>
          <w:sz w:val="24"/>
          <w:lang w:eastAsia="zh-CN"/>
        </w:rPr>
        <w:t>测试</w:t>
      </w:r>
      <w:r>
        <w:rPr>
          <w:sz w:val="24"/>
          <w:lang w:eastAsia="zh-CN"/>
        </w:rPr>
        <w:t>采用统一的</w:t>
      </w:r>
      <w:r>
        <w:rPr>
          <w:sz w:val="24"/>
          <w:lang w:eastAsia="zh-CN"/>
        </w:rPr>
        <w:t>LOINC</w:t>
      </w:r>
      <w:r>
        <w:rPr>
          <w:sz w:val="24"/>
          <w:lang w:eastAsia="zh-CN"/>
        </w:rPr>
        <w:t>编码系统，这与</w:t>
      </w:r>
      <w:r>
        <w:rPr>
          <w:sz w:val="24"/>
          <w:lang w:eastAsia="zh-CN"/>
        </w:rPr>
        <w:t>FDA</w:t>
      </w:r>
      <w:r>
        <w:rPr>
          <w:sz w:val="24"/>
          <w:lang w:eastAsia="zh-CN"/>
        </w:rPr>
        <w:t>在促进医疗器械互操作性方面的其他措施是一致的。</w:t>
      </w:r>
      <w:r>
        <w:fldChar w:fldCharType="begin"/>
      </w:r>
      <w:r>
        <w:rPr>
          <w:lang w:eastAsia="zh-CN"/>
        </w:rPr>
        <w:instrText xml:space="preserve"> HYPERLINK \l "bookmark24" \o "</w:instrText>
      </w:r>
      <w:r>
        <w:rPr>
          <w:lang w:eastAsia="zh-CN"/>
        </w:rPr>
        <w:instrText>当前文件</w:instrText>
      </w:r>
      <w:r>
        <w:rPr>
          <w:lang w:eastAsia="zh-CN"/>
        </w:rPr>
        <w:instrText xml:space="preserve">" \h </w:instrText>
      </w:r>
      <w:r>
        <w:fldChar w:fldCharType="separate"/>
      </w:r>
      <w:r>
        <w:rPr>
          <w:sz w:val="24"/>
          <w:vertAlign w:val="superscript"/>
          <w:lang w:eastAsia="zh-CN"/>
        </w:rPr>
        <w:t>8</w:t>
      </w:r>
      <w:r>
        <w:rPr>
          <w:sz w:val="24"/>
          <w:vertAlign w:val="superscript"/>
          <w:lang w:eastAsia="zh-CN"/>
        </w:rPr>
        <w:fldChar w:fldCharType="end"/>
      </w:r>
    </w:p>
    <w:p w14:paraId="2D5B8AB4" w14:textId="77777777" w:rsidR="004E0030" w:rsidRDefault="00046C74">
      <w:pPr>
        <w:pStyle w:val="m1"/>
        <w:spacing w:before="120" w:after="120" w:line="400" w:lineRule="exact"/>
        <w:rPr>
          <w:lang w:eastAsia="zh-CN"/>
        </w:rPr>
      </w:pPr>
      <w:bookmarkStart w:id="21" w:name="bookmark19"/>
      <w:bookmarkStart w:id="22" w:name="bookmark18"/>
      <w:bookmarkStart w:id="23" w:name="_Toc97318728"/>
      <w:r>
        <w:rPr>
          <w:lang w:eastAsia="zh-CN"/>
        </w:rPr>
        <w:t xml:space="preserve">III. </w:t>
      </w:r>
      <w:r>
        <w:rPr>
          <w:lang w:eastAsia="zh-CN"/>
        </w:rPr>
        <w:tab/>
      </w:r>
      <w:r>
        <w:rPr>
          <w:lang w:eastAsia="zh-CN"/>
        </w:rPr>
        <w:t>范围</w:t>
      </w:r>
      <w:bookmarkEnd w:id="21"/>
      <w:bookmarkEnd w:id="22"/>
      <w:bookmarkEnd w:id="23"/>
    </w:p>
    <w:p w14:paraId="2BE4D982" w14:textId="54989292" w:rsidR="004E0030" w:rsidRDefault="00046C74">
      <w:pPr>
        <w:snapToGrid w:val="0"/>
        <w:spacing w:beforeLines="50" w:before="120" w:line="400" w:lineRule="exact"/>
        <w:jc w:val="both"/>
        <w:rPr>
          <w:sz w:val="24"/>
          <w:lang w:eastAsia="zh-CN"/>
        </w:rPr>
      </w:pPr>
      <w:r>
        <w:rPr>
          <w:sz w:val="24"/>
          <w:lang w:eastAsia="zh-CN"/>
        </w:rPr>
        <w:t>由于</w:t>
      </w:r>
      <w:r>
        <w:rPr>
          <w:sz w:val="24"/>
          <w:lang w:eastAsia="zh-CN"/>
        </w:rPr>
        <w:t>FDA</w:t>
      </w:r>
      <w:r>
        <w:rPr>
          <w:sz w:val="24"/>
          <w:lang w:eastAsia="zh-CN"/>
        </w:rPr>
        <w:t>致力于促进</w:t>
      </w:r>
      <w:r>
        <w:rPr>
          <w:sz w:val="24"/>
          <w:lang w:eastAsia="zh-CN"/>
        </w:rPr>
        <w:t>IVD</w:t>
      </w:r>
      <w:r>
        <w:rPr>
          <w:rFonts w:hint="eastAsia"/>
          <w:sz w:val="24"/>
          <w:lang w:eastAsia="zh-CN"/>
        </w:rPr>
        <w:t>测试</w:t>
      </w:r>
      <w:r>
        <w:rPr>
          <w:sz w:val="24"/>
          <w:lang w:eastAsia="zh-CN"/>
        </w:rPr>
        <w:t>编码的一致性，本指南解决了有关</w:t>
      </w:r>
      <w:r>
        <w:rPr>
          <w:sz w:val="24"/>
          <w:lang w:eastAsia="zh-CN"/>
        </w:rPr>
        <w:t>IVD</w:t>
      </w:r>
      <w:r>
        <w:rPr>
          <w:rFonts w:hint="eastAsia"/>
          <w:sz w:val="24"/>
          <w:lang w:eastAsia="zh-CN"/>
        </w:rPr>
        <w:t>测试的</w:t>
      </w:r>
      <w:r>
        <w:rPr>
          <w:sz w:val="24"/>
          <w:lang w:eastAsia="zh-CN"/>
        </w:rPr>
        <w:t>制造商向用户（主要是临床实验室和软件供应商）发送</w:t>
      </w:r>
      <w:r>
        <w:rPr>
          <w:sz w:val="24"/>
          <w:lang w:eastAsia="zh-CN"/>
        </w:rPr>
        <w:t>LOINC</w:t>
      </w:r>
      <w:r>
        <w:rPr>
          <w:sz w:val="24"/>
          <w:lang w:eastAsia="zh-CN"/>
        </w:rPr>
        <w:t>编码的问题。本指南仅限于在特定类型的</w:t>
      </w:r>
      <w:r>
        <w:rPr>
          <w:sz w:val="24"/>
          <w:lang w:eastAsia="zh-CN"/>
        </w:rPr>
        <w:t>IVD</w:t>
      </w:r>
      <w:r>
        <w:rPr>
          <w:rFonts w:hint="eastAsia"/>
          <w:sz w:val="24"/>
          <w:lang w:eastAsia="zh-CN"/>
        </w:rPr>
        <w:t>测试</w:t>
      </w:r>
      <w:r>
        <w:rPr>
          <w:sz w:val="24"/>
          <w:lang w:eastAsia="zh-CN"/>
        </w:rPr>
        <w:t>中适当使用</w:t>
      </w:r>
      <w:r>
        <w:rPr>
          <w:sz w:val="24"/>
          <w:lang w:eastAsia="zh-CN"/>
        </w:rPr>
        <w:t>LOINC</w:t>
      </w:r>
      <w:r>
        <w:rPr>
          <w:sz w:val="24"/>
          <w:lang w:eastAsia="zh-CN"/>
        </w:rPr>
        <w:t>代码，不涉及测试结果的互操作性编码（例如，通过使用</w:t>
      </w:r>
      <w:r>
        <w:rPr>
          <w:sz w:val="24"/>
          <w:lang w:eastAsia="zh-CN"/>
        </w:rPr>
        <w:t>SNOMED-CT</w:t>
      </w:r>
      <w:r>
        <w:rPr>
          <w:sz w:val="24"/>
          <w:lang w:eastAsia="zh-CN"/>
        </w:rPr>
        <w:t>（医学系统命名法</w:t>
      </w:r>
      <w:r>
        <w:rPr>
          <w:sz w:val="24"/>
          <w:lang w:eastAsia="zh-CN"/>
        </w:rPr>
        <w:t>-</w:t>
      </w:r>
      <w:r>
        <w:rPr>
          <w:sz w:val="24"/>
          <w:lang w:eastAsia="zh-CN"/>
        </w:rPr>
        <w:t>临床术语）或</w:t>
      </w:r>
      <w:r>
        <w:rPr>
          <w:sz w:val="24"/>
          <w:lang w:eastAsia="zh-CN"/>
        </w:rPr>
        <w:t>LOINC</w:t>
      </w:r>
      <w:r>
        <w:rPr>
          <w:sz w:val="24"/>
          <w:lang w:eastAsia="zh-CN"/>
        </w:rPr>
        <w:t>等编码系统内的响应集）。它也不涉及医疗器械唯一标识（</w:t>
      </w:r>
      <w:r>
        <w:rPr>
          <w:sz w:val="24"/>
          <w:lang w:eastAsia="zh-CN"/>
        </w:rPr>
        <w:t>UDI</w:t>
      </w:r>
      <w:r>
        <w:rPr>
          <w:sz w:val="24"/>
          <w:lang w:eastAsia="zh-CN"/>
        </w:rPr>
        <w:t>），即根据法规要求识别单个器械。</w:t>
      </w:r>
      <w:r>
        <w:fldChar w:fldCharType="begin"/>
      </w:r>
      <w:r>
        <w:rPr>
          <w:lang w:eastAsia="zh-CN"/>
        </w:rPr>
        <w:instrText xml:space="preserve"> HYPERLINK \l "bookmark25" \o "</w:instrText>
      </w:r>
      <w:r>
        <w:rPr>
          <w:lang w:eastAsia="zh-CN"/>
        </w:rPr>
        <w:instrText>当前文件</w:instrText>
      </w:r>
      <w:r>
        <w:rPr>
          <w:lang w:eastAsia="zh-CN"/>
        </w:rPr>
        <w:instrText xml:space="preserve">" \h </w:instrText>
      </w:r>
      <w:r>
        <w:fldChar w:fldCharType="separate"/>
      </w:r>
      <w:r>
        <w:rPr>
          <w:sz w:val="24"/>
          <w:vertAlign w:val="superscript"/>
          <w:lang w:eastAsia="zh-CN"/>
        </w:rPr>
        <w:t>9</w:t>
      </w:r>
      <w:r>
        <w:rPr>
          <w:sz w:val="24"/>
          <w:vertAlign w:val="superscript"/>
          <w:lang w:eastAsia="zh-CN"/>
        </w:rPr>
        <w:fldChar w:fldCharType="end"/>
      </w:r>
    </w:p>
    <w:p w14:paraId="057919F6" w14:textId="77777777" w:rsidR="004E0030" w:rsidRDefault="00046C74">
      <w:pPr>
        <w:pStyle w:val="m1"/>
        <w:spacing w:before="120" w:after="120" w:line="400" w:lineRule="exact"/>
        <w:rPr>
          <w:lang w:eastAsia="zh-CN"/>
        </w:rPr>
      </w:pPr>
      <w:bookmarkStart w:id="24" w:name="bookmark21"/>
      <w:bookmarkStart w:id="25" w:name="bookmark20"/>
      <w:bookmarkStart w:id="26" w:name="_Toc97318729"/>
      <w:r>
        <w:rPr>
          <w:lang w:eastAsia="zh-CN"/>
        </w:rPr>
        <w:t>IV.</w:t>
      </w:r>
      <w:r>
        <w:rPr>
          <w:lang w:eastAsia="zh-CN"/>
        </w:rPr>
        <w:tab/>
        <w:t xml:space="preserve"> IVD</w:t>
      </w:r>
      <w:r>
        <w:rPr>
          <w:lang w:eastAsia="zh-CN"/>
        </w:rPr>
        <w:t>的</w:t>
      </w:r>
      <w:r>
        <w:rPr>
          <w:lang w:eastAsia="zh-CN"/>
        </w:rPr>
        <w:t>LOIINC</w:t>
      </w:r>
      <w:r>
        <w:rPr>
          <w:lang w:eastAsia="zh-CN"/>
        </w:rPr>
        <w:t>编码</w:t>
      </w:r>
      <w:bookmarkEnd w:id="24"/>
      <w:bookmarkEnd w:id="25"/>
      <w:bookmarkEnd w:id="26"/>
    </w:p>
    <w:p w14:paraId="11E59BA8" w14:textId="7C3BCE2A" w:rsidR="004E0030" w:rsidRDefault="00046C74">
      <w:pPr>
        <w:pStyle w:val="m2"/>
        <w:spacing w:before="120" w:after="120" w:line="400" w:lineRule="exact"/>
        <w:ind w:left="1356" w:hanging="648"/>
        <w:rPr>
          <w:szCs w:val="24"/>
          <w:lang w:eastAsia="zh-CN"/>
        </w:rPr>
      </w:pPr>
      <w:bookmarkStart w:id="27" w:name="_Toc97318730"/>
      <w:bookmarkStart w:id="28" w:name="bookmark23"/>
      <w:bookmarkStart w:id="29" w:name="bookmark22"/>
      <w:r>
        <w:rPr>
          <w:szCs w:val="24"/>
          <w:lang w:eastAsia="zh-CN"/>
        </w:rPr>
        <w:t>A.</w:t>
      </w:r>
      <w:r>
        <w:rPr>
          <w:szCs w:val="24"/>
          <w:lang w:eastAsia="zh-CN"/>
        </w:rPr>
        <w:tab/>
        <w:t>FDA</w:t>
      </w:r>
      <w:r>
        <w:rPr>
          <w:szCs w:val="24"/>
          <w:lang w:eastAsia="zh-CN"/>
        </w:rPr>
        <w:t>是否强制要求</w:t>
      </w:r>
      <w:r>
        <w:rPr>
          <w:szCs w:val="24"/>
          <w:lang w:eastAsia="zh-CN"/>
        </w:rPr>
        <w:t>IVD</w:t>
      </w:r>
      <w:r>
        <w:rPr>
          <w:rFonts w:hint="eastAsia"/>
          <w:szCs w:val="24"/>
          <w:lang w:eastAsia="zh-CN"/>
        </w:rPr>
        <w:t>测试</w:t>
      </w:r>
      <w:r>
        <w:rPr>
          <w:szCs w:val="24"/>
          <w:lang w:eastAsia="zh-CN"/>
        </w:rPr>
        <w:t>使用</w:t>
      </w:r>
      <w:r>
        <w:rPr>
          <w:szCs w:val="24"/>
          <w:lang w:eastAsia="zh-CN"/>
        </w:rPr>
        <w:t>LOINC</w:t>
      </w:r>
      <w:r>
        <w:rPr>
          <w:szCs w:val="24"/>
          <w:lang w:eastAsia="zh-CN"/>
        </w:rPr>
        <w:t>编码？</w:t>
      </w:r>
      <w:bookmarkEnd w:id="27"/>
      <w:bookmarkEnd w:id="28"/>
      <w:bookmarkEnd w:id="29"/>
    </w:p>
    <w:p w14:paraId="309132BB" w14:textId="00347357" w:rsidR="004E0030" w:rsidRDefault="00046C74">
      <w:pPr>
        <w:snapToGrid w:val="0"/>
        <w:spacing w:beforeLines="50" w:before="120" w:line="400" w:lineRule="exact"/>
        <w:jc w:val="both"/>
        <w:rPr>
          <w:sz w:val="24"/>
          <w:lang w:eastAsia="zh-CN"/>
        </w:rPr>
      </w:pPr>
      <w:r>
        <w:rPr>
          <w:sz w:val="24"/>
          <w:lang w:eastAsia="zh-CN"/>
        </w:rPr>
        <w:t>不。对</w:t>
      </w:r>
      <w:r>
        <w:rPr>
          <w:sz w:val="24"/>
          <w:lang w:eastAsia="zh-CN"/>
        </w:rPr>
        <w:t>IVD</w:t>
      </w:r>
      <w:r>
        <w:rPr>
          <w:rFonts w:hint="eastAsia"/>
          <w:sz w:val="24"/>
          <w:lang w:eastAsia="zh-CN"/>
        </w:rPr>
        <w:t>测试</w:t>
      </w:r>
      <w:r>
        <w:rPr>
          <w:sz w:val="24"/>
          <w:lang w:eastAsia="zh-CN"/>
        </w:rPr>
        <w:t>使用</w:t>
      </w:r>
      <w:r>
        <w:rPr>
          <w:sz w:val="24"/>
          <w:lang w:eastAsia="zh-CN"/>
        </w:rPr>
        <w:t>LOINC</w:t>
      </w:r>
      <w:r>
        <w:rPr>
          <w:sz w:val="24"/>
          <w:lang w:eastAsia="zh-CN"/>
        </w:rPr>
        <w:t>或任何类似的编码系统</w:t>
      </w:r>
      <w:r w:rsidR="00C752FC">
        <w:rPr>
          <w:sz w:val="24"/>
          <w:lang w:eastAsia="zh-CN"/>
        </w:rPr>
        <w:t>都</w:t>
      </w:r>
      <w:r>
        <w:rPr>
          <w:sz w:val="24"/>
          <w:lang w:eastAsia="zh-CN"/>
        </w:rPr>
        <w:t>是自愿的，</w:t>
      </w:r>
      <w:r>
        <w:rPr>
          <w:sz w:val="24"/>
          <w:lang w:eastAsia="zh-CN"/>
        </w:rPr>
        <w:t>FDA</w:t>
      </w:r>
      <w:r>
        <w:rPr>
          <w:sz w:val="24"/>
          <w:lang w:eastAsia="zh-CN"/>
        </w:rPr>
        <w:t>不做要求。</w:t>
      </w:r>
      <w:r>
        <w:fldChar w:fldCharType="begin"/>
      </w:r>
      <w:r>
        <w:rPr>
          <w:lang w:eastAsia="zh-CN"/>
        </w:rPr>
        <w:instrText xml:space="preserve"> HYPERLINK \l "bookmark26" \o "</w:instrText>
      </w:r>
      <w:r>
        <w:rPr>
          <w:lang w:eastAsia="zh-CN"/>
        </w:rPr>
        <w:instrText>当前文件</w:instrText>
      </w:r>
      <w:r>
        <w:rPr>
          <w:lang w:eastAsia="zh-CN"/>
        </w:rPr>
        <w:instrText xml:space="preserve">" \h </w:instrText>
      </w:r>
      <w:r>
        <w:fldChar w:fldCharType="separate"/>
      </w:r>
      <w:r>
        <w:rPr>
          <w:sz w:val="24"/>
          <w:vertAlign w:val="superscript"/>
          <w:lang w:eastAsia="zh-CN"/>
        </w:rPr>
        <w:t>10</w:t>
      </w:r>
      <w:r>
        <w:rPr>
          <w:sz w:val="24"/>
          <w:vertAlign w:val="superscript"/>
          <w:lang w:eastAsia="zh-CN"/>
        </w:rPr>
        <w:fldChar w:fldCharType="end"/>
      </w:r>
      <w:r>
        <w:rPr>
          <w:sz w:val="24"/>
          <w:lang w:eastAsia="zh-CN"/>
        </w:rPr>
        <w:t>但是，</w:t>
      </w:r>
      <w:r>
        <w:rPr>
          <w:sz w:val="24"/>
          <w:lang w:eastAsia="zh-CN"/>
        </w:rPr>
        <w:t>FDA</w:t>
      </w:r>
      <w:r>
        <w:rPr>
          <w:sz w:val="24"/>
          <w:lang w:eastAsia="zh-CN"/>
        </w:rPr>
        <w:t>强烈建议使用一致的标准</w:t>
      </w:r>
      <w:r w:rsidR="00C752FC">
        <w:rPr>
          <w:rFonts w:hint="eastAsia"/>
          <w:sz w:val="24"/>
          <w:lang w:eastAsia="zh-CN"/>
        </w:rPr>
        <w:t>对</w:t>
      </w:r>
      <w:r>
        <w:rPr>
          <w:sz w:val="24"/>
          <w:lang w:eastAsia="zh-CN"/>
        </w:rPr>
        <w:t>IVD</w:t>
      </w:r>
      <w:r>
        <w:rPr>
          <w:rFonts w:hint="eastAsia"/>
          <w:sz w:val="24"/>
          <w:lang w:eastAsia="zh-CN"/>
        </w:rPr>
        <w:t>测试</w:t>
      </w:r>
      <w:r w:rsidR="00C752FC">
        <w:rPr>
          <w:rFonts w:hint="eastAsia"/>
          <w:sz w:val="24"/>
          <w:lang w:eastAsia="zh-CN"/>
        </w:rPr>
        <w:t>进行</w:t>
      </w:r>
      <w:r w:rsidR="00C752FC">
        <w:rPr>
          <w:sz w:val="24"/>
          <w:lang w:eastAsia="zh-CN"/>
        </w:rPr>
        <w:t>编码</w:t>
      </w:r>
      <w:r>
        <w:rPr>
          <w:sz w:val="24"/>
          <w:lang w:eastAsia="zh-CN"/>
        </w:rPr>
        <w:t>，并明确认可</w:t>
      </w:r>
      <w:r>
        <w:rPr>
          <w:sz w:val="24"/>
          <w:lang w:eastAsia="zh-CN"/>
        </w:rPr>
        <w:t>LOINC</w:t>
      </w:r>
      <w:r>
        <w:rPr>
          <w:sz w:val="24"/>
          <w:lang w:eastAsia="zh-CN"/>
        </w:rPr>
        <w:t>在这方面的效用。</w:t>
      </w:r>
      <w:r>
        <w:fldChar w:fldCharType="begin"/>
      </w:r>
      <w:r>
        <w:rPr>
          <w:lang w:eastAsia="zh-CN"/>
        </w:rPr>
        <w:instrText xml:space="preserve"> HYPERLINK \l "bookmark27" \o "</w:instrText>
      </w:r>
      <w:r>
        <w:rPr>
          <w:lang w:eastAsia="zh-CN"/>
        </w:rPr>
        <w:instrText>当前文件</w:instrText>
      </w:r>
      <w:r>
        <w:rPr>
          <w:lang w:eastAsia="zh-CN"/>
        </w:rPr>
        <w:instrText xml:space="preserve">" \h </w:instrText>
      </w:r>
      <w:r>
        <w:fldChar w:fldCharType="separate"/>
      </w:r>
      <w:r>
        <w:rPr>
          <w:sz w:val="24"/>
          <w:vertAlign w:val="superscript"/>
          <w:lang w:eastAsia="zh-CN"/>
        </w:rPr>
        <w:t>11</w:t>
      </w:r>
      <w:r>
        <w:rPr>
          <w:sz w:val="24"/>
          <w:vertAlign w:val="superscript"/>
          <w:lang w:eastAsia="zh-CN"/>
        </w:rPr>
        <w:fldChar w:fldCharType="end"/>
      </w:r>
    </w:p>
    <w:p w14:paraId="4D53FA56" w14:textId="77777777" w:rsidR="004E0030" w:rsidRDefault="004E0030">
      <w:pPr>
        <w:snapToGrid w:val="0"/>
        <w:spacing w:beforeLines="50" w:before="120"/>
        <w:jc w:val="both"/>
        <w:rPr>
          <w:sz w:val="24"/>
          <w:lang w:eastAsia="zh-CN"/>
        </w:rPr>
      </w:pPr>
      <w:bookmarkStart w:id="30" w:name="bookmark24"/>
    </w:p>
    <w:p w14:paraId="29B79D3F" w14:textId="77777777" w:rsidR="004E0030" w:rsidRDefault="004E0030">
      <w:pPr>
        <w:snapToGrid w:val="0"/>
        <w:spacing w:beforeLines="50" w:before="120"/>
        <w:jc w:val="both"/>
        <w:rPr>
          <w:sz w:val="18"/>
          <w:szCs w:val="18"/>
          <w:lang w:eastAsia="zh-CN"/>
        </w:rPr>
      </w:pPr>
    </w:p>
    <w:p w14:paraId="041831DD" w14:textId="77777777" w:rsidR="004E0030" w:rsidRDefault="004E0030">
      <w:pPr>
        <w:snapToGrid w:val="0"/>
        <w:spacing w:beforeLines="50" w:before="120"/>
        <w:jc w:val="both"/>
        <w:rPr>
          <w:sz w:val="18"/>
          <w:szCs w:val="18"/>
          <w:lang w:eastAsia="zh-CN"/>
        </w:rPr>
      </w:pPr>
    </w:p>
    <w:p w14:paraId="2F3D92B3" w14:textId="77777777" w:rsidR="004E0030" w:rsidRDefault="004E0030">
      <w:pPr>
        <w:snapToGrid w:val="0"/>
        <w:spacing w:beforeLines="50" w:before="120"/>
        <w:jc w:val="both"/>
        <w:rPr>
          <w:sz w:val="18"/>
          <w:szCs w:val="18"/>
          <w:lang w:eastAsia="zh-CN"/>
        </w:rPr>
      </w:pPr>
    </w:p>
    <w:p w14:paraId="6831A555" w14:textId="77777777" w:rsidR="004E0030" w:rsidRDefault="004E0030">
      <w:pPr>
        <w:snapToGrid w:val="0"/>
        <w:spacing w:beforeLines="50" w:before="120"/>
        <w:jc w:val="both"/>
        <w:rPr>
          <w:sz w:val="18"/>
          <w:szCs w:val="18"/>
          <w:lang w:eastAsia="zh-CN"/>
        </w:rPr>
      </w:pPr>
    </w:p>
    <w:p w14:paraId="53A09295" w14:textId="77777777" w:rsidR="004E0030" w:rsidRDefault="004E0030">
      <w:pPr>
        <w:snapToGrid w:val="0"/>
        <w:spacing w:beforeLines="50" w:before="120"/>
        <w:jc w:val="both"/>
        <w:rPr>
          <w:sz w:val="18"/>
          <w:szCs w:val="18"/>
          <w:lang w:eastAsia="zh-CN"/>
        </w:rPr>
      </w:pPr>
    </w:p>
    <w:p w14:paraId="52243CC3" w14:textId="77777777" w:rsidR="004E0030" w:rsidRDefault="004E0030">
      <w:pPr>
        <w:snapToGrid w:val="0"/>
        <w:spacing w:beforeLines="50" w:before="120"/>
        <w:jc w:val="both"/>
        <w:rPr>
          <w:sz w:val="18"/>
          <w:szCs w:val="18"/>
          <w:lang w:eastAsia="zh-CN"/>
        </w:rPr>
      </w:pPr>
    </w:p>
    <w:p w14:paraId="533BEE7D" w14:textId="77777777" w:rsidR="004E0030" w:rsidRDefault="004E0030">
      <w:pPr>
        <w:snapToGrid w:val="0"/>
        <w:spacing w:beforeLines="50" w:before="120"/>
        <w:jc w:val="both"/>
        <w:rPr>
          <w:sz w:val="18"/>
          <w:szCs w:val="18"/>
          <w:lang w:eastAsia="zh-CN"/>
        </w:rPr>
      </w:pPr>
    </w:p>
    <w:p w14:paraId="3D390F98" w14:textId="77777777" w:rsidR="004E0030" w:rsidRDefault="004E0030">
      <w:pPr>
        <w:snapToGrid w:val="0"/>
        <w:spacing w:beforeLines="50" w:before="120"/>
        <w:jc w:val="both"/>
        <w:rPr>
          <w:sz w:val="18"/>
          <w:szCs w:val="18"/>
          <w:lang w:eastAsia="zh-CN"/>
        </w:rPr>
      </w:pPr>
    </w:p>
    <w:p w14:paraId="5118206C" w14:textId="77777777" w:rsidR="004E0030" w:rsidRDefault="004E0030">
      <w:pPr>
        <w:snapToGrid w:val="0"/>
        <w:spacing w:beforeLines="50" w:before="120"/>
        <w:jc w:val="both"/>
        <w:rPr>
          <w:sz w:val="18"/>
          <w:szCs w:val="18"/>
          <w:lang w:eastAsia="zh-CN"/>
        </w:rPr>
      </w:pPr>
    </w:p>
    <w:p w14:paraId="25A09FC9" w14:textId="77777777" w:rsidR="004E0030" w:rsidRDefault="004E0030">
      <w:pPr>
        <w:snapToGrid w:val="0"/>
        <w:spacing w:beforeLines="50" w:before="120"/>
        <w:jc w:val="both"/>
        <w:rPr>
          <w:sz w:val="18"/>
          <w:szCs w:val="18"/>
          <w:lang w:eastAsia="zh-CN"/>
        </w:rPr>
      </w:pPr>
    </w:p>
    <w:p w14:paraId="1E1E9F9D" w14:textId="77777777" w:rsidR="004E0030" w:rsidRDefault="004E0030">
      <w:pPr>
        <w:snapToGrid w:val="0"/>
        <w:spacing w:beforeLines="50" w:before="120"/>
        <w:jc w:val="both"/>
        <w:rPr>
          <w:sz w:val="18"/>
          <w:szCs w:val="18"/>
          <w:lang w:eastAsia="zh-CN"/>
        </w:rPr>
      </w:pPr>
    </w:p>
    <w:p w14:paraId="17DE095A" w14:textId="77777777" w:rsidR="004E0030" w:rsidRDefault="004E0030">
      <w:pPr>
        <w:snapToGrid w:val="0"/>
        <w:spacing w:beforeLines="50" w:before="120"/>
        <w:jc w:val="both"/>
        <w:rPr>
          <w:sz w:val="18"/>
          <w:szCs w:val="18"/>
          <w:lang w:eastAsia="zh-CN"/>
        </w:rPr>
      </w:pPr>
    </w:p>
    <w:p w14:paraId="3C1987D4" w14:textId="77777777" w:rsidR="004E0030" w:rsidRDefault="00046C74">
      <w:pPr>
        <w:snapToGrid w:val="0"/>
        <w:spacing w:beforeLines="50" w:before="120"/>
        <w:rPr>
          <w:sz w:val="18"/>
          <w:szCs w:val="18"/>
          <w:lang w:eastAsia="zh-CN"/>
        </w:rPr>
      </w:pPr>
      <w:r>
        <w:rPr>
          <w:sz w:val="18"/>
          <w:szCs w:val="18"/>
          <w:lang w:eastAsia="zh-CN"/>
        </w:rPr>
        <w:t>___________________________</w:t>
      </w:r>
    </w:p>
    <w:p w14:paraId="3A7CAA74" w14:textId="77777777" w:rsidR="004E0030" w:rsidRDefault="00046C74">
      <w:pPr>
        <w:tabs>
          <w:tab w:val="left" w:pos="110"/>
        </w:tabs>
        <w:snapToGrid w:val="0"/>
        <w:spacing w:beforeLines="50" w:before="120"/>
        <w:rPr>
          <w:color w:val="0000FF"/>
          <w:sz w:val="18"/>
          <w:szCs w:val="18"/>
        </w:rPr>
      </w:pPr>
      <w:r>
        <w:rPr>
          <w:sz w:val="18"/>
          <w:szCs w:val="18"/>
          <w:vertAlign w:val="superscript"/>
          <w:lang w:eastAsia="zh-CN"/>
        </w:rPr>
        <w:t>8</w:t>
      </w:r>
      <w:r>
        <w:rPr>
          <w:sz w:val="18"/>
          <w:szCs w:val="18"/>
          <w:lang w:eastAsia="zh-CN"/>
        </w:rPr>
        <w:tab/>
      </w:r>
      <w:r>
        <w:rPr>
          <w:i/>
          <w:iCs/>
          <w:sz w:val="18"/>
          <w:szCs w:val="18"/>
          <w:lang w:eastAsia="zh-CN"/>
        </w:rPr>
        <w:t xml:space="preserve"> </w:t>
      </w:r>
      <w:r>
        <w:rPr>
          <w:sz w:val="18"/>
          <w:szCs w:val="18"/>
          <w:lang w:eastAsia="zh-CN"/>
        </w:rPr>
        <w:t>有关《医疗器械互操作性》，</w:t>
      </w:r>
      <w:proofErr w:type="gramStart"/>
      <w:r>
        <w:rPr>
          <w:sz w:val="18"/>
          <w:szCs w:val="18"/>
          <w:lang w:eastAsia="zh-CN"/>
        </w:rPr>
        <w:t>请访问</w:t>
      </w:r>
      <w:proofErr w:type="gramEnd"/>
      <w:r>
        <w:fldChar w:fldCharType="begin"/>
      </w:r>
      <w:r>
        <w:instrText xml:space="preserve"> HYPERLINK "http://www.fda.gov/medicaldevices/digitalhealth/ucm512245.htm" </w:instrText>
      </w:r>
      <w:r>
        <w:fldChar w:fldCharType="separate"/>
      </w:r>
      <w:r>
        <w:rPr>
          <w:rStyle w:val="a9"/>
          <w:color w:val="0000FF"/>
          <w:sz w:val="18"/>
          <w:szCs w:val="18"/>
          <w:lang w:eastAsia="zh-CN"/>
        </w:rPr>
        <w:t>http://www.fda.gov/medicaldevices/digitalhealth/ucm512245.htm</w:t>
      </w:r>
      <w:r>
        <w:rPr>
          <w:rStyle w:val="a9"/>
          <w:color w:val="0000FF"/>
          <w:sz w:val="18"/>
          <w:szCs w:val="18"/>
          <w:lang w:eastAsia="zh-CN"/>
        </w:rPr>
        <w:fldChar w:fldCharType="end"/>
      </w:r>
      <w:r>
        <w:rPr>
          <w:color w:val="0000FF"/>
          <w:sz w:val="18"/>
          <w:szCs w:val="18"/>
          <w:lang w:eastAsia="zh-CN"/>
        </w:rPr>
        <w:t>.</w:t>
      </w:r>
      <w:bookmarkEnd w:id="30"/>
    </w:p>
    <w:p w14:paraId="5BA40732" w14:textId="77777777" w:rsidR="004E0030" w:rsidRDefault="00046C74">
      <w:pPr>
        <w:tabs>
          <w:tab w:val="left" w:pos="110"/>
        </w:tabs>
        <w:snapToGrid w:val="0"/>
        <w:spacing w:beforeLines="50" w:before="120"/>
        <w:rPr>
          <w:sz w:val="18"/>
          <w:szCs w:val="18"/>
        </w:rPr>
      </w:pPr>
      <w:bookmarkStart w:id="31" w:name="bookmark26"/>
      <w:bookmarkStart w:id="32" w:name="bookmark25"/>
      <w:r>
        <w:rPr>
          <w:sz w:val="18"/>
          <w:szCs w:val="18"/>
          <w:vertAlign w:val="superscript"/>
          <w:lang w:eastAsia="zh-CN"/>
        </w:rPr>
        <w:t>9</w:t>
      </w:r>
      <w:r>
        <w:rPr>
          <w:sz w:val="18"/>
          <w:szCs w:val="18"/>
          <w:lang w:eastAsia="zh-CN"/>
        </w:rPr>
        <w:tab/>
      </w:r>
      <w:r>
        <w:rPr>
          <w:i/>
          <w:iCs/>
          <w:sz w:val="18"/>
          <w:szCs w:val="18"/>
          <w:lang w:eastAsia="zh-CN"/>
        </w:rPr>
        <w:t xml:space="preserve"> </w:t>
      </w:r>
      <w:r>
        <w:rPr>
          <w:sz w:val="18"/>
          <w:szCs w:val="18"/>
          <w:lang w:eastAsia="zh-CN"/>
        </w:rPr>
        <w:t>见</w:t>
      </w:r>
      <w:r>
        <w:fldChar w:fldCharType="begin"/>
      </w:r>
      <w:r>
        <w:instrText xml:space="preserve"> HYPERLINK "http://www.fda.gov/MedicalDevices/DeviceRegulationandGuidance/UniqueDeviceIdentification/" </w:instrText>
      </w:r>
      <w:r>
        <w:fldChar w:fldCharType="separate"/>
      </w:r>
      <w:r>
        <w:rPr>
          <w:rStyle w:val="a9"/>
          <w:color w:val="0000FF"/>
          <w:sz w:val="18"/>
          <w:szCs w:val="18"/>
          <w:lang w:eastAsia="zh-CN"/>
        </w:rPr>
        <w:t>http://www.fda.gov/MedicalDevices/DeviceRegulationandGuidance/UniqueDeviceIdentification/</w:t>
      </w:r>
      <w:r>
        <w:rPr>
          <w:rStyle w:val="a9"/>
          <w:color w:val="0000FF"/>
          <w:sz w:val="18"/>
          <w:szCs w:val="18"/>
          <w:lang w:eastAsia="zh-CN"/>
        </w:rPr>
        <w:fldChar w:fldCharType="end"/>
      </w:r>
      <w:r>
        <w:rPr>
          <w:color w:val="0000FF"/>
          <w:sz w:val="18"/>
          <w:szCs w:val="18"/>
          <w:lang w:eastAsia="zh-CN"/>
        </w:rPr>
        <w:t>.</w:t>
      </w:r>
      <w:bookmarkEnd w:id="31"/>
      <w:bookmarkEnd w:id="32"/>
    </w:p>
    <w:p w14:paraId="3EB4E7F3" w14:textId="77777777" w:rsidR="004E0030" w:rsidRDefault="00046C74">
      <w:pPr>
        <w:tabs>
          <w:tab w:val="left" w:pos="182"/>
        </w:tabs>
        <w:snapToGrid w:val="0"/>
        <w:spacing w:beforeLines="50" w:before="120"/>
        <w:rPr>
          <w:sz w:val="18"/>
          <w:szCs w:val="18"/>
          <w:lang w:eastAsia="zh-CN"/>
        </w:rPr>
      </w:pPr>
      <w:r>
        <w:rPr>
          <w:sz w:val="18"/>
          <w:szCs w:val="18"/>
          <w:vertAlign w:val="superscript"/>
          <w:lang w:eastAsia="zh-CN"/>
        </w:rPr>
        <w:t>10</w:t>
      </w:r>
      <w:r>
        <w:rPr>
          <w:sz w:val="18"/>
          <w:szCs w:val="18"/>
          <w:lang w:eastAsia="zh-CN"/>
        </w:rPr>
        <w:tab/>
      </w:r>
      <w:bookmarkStart w:id="33" w:name="bookmark27"/>
      <w:r>
        <w:rPr>
          <w:sz w:val="18"/>
          <w:szCs w:val="18"/>
          <w:lang w:eastAsia="zh-CN"/>
        </w:rPr>
        <w:t>如</w:t>
      </w:r>
      <w:bookmarkEnd w:id="33"/>
      <w:r>
        <w:rPr>
          <w:sz w:val="18"/>
          <w:szCs w:val="18"/>
          <w:lang w:eastAsia="zh-CN"/>
        </w:rPr>
        <w:t>前所述，本指南既不涉及也不影响</w:t>
      </w:r>
      <w:r>
        <w:rPr>
          <w:sz w:val="18"/>
          <w:szCs w:val="18"/>
          <w:lang w:eastAsia="zh-CN"/>
        </w:rPr>
        <w:t>UDI</w:t>
      </w:r>
      <w:r>
        <w:rPr>
          <w:sz w:val="18"/>
          <w:szCs w:val="18"/>
          <w:lang w:eastAsia="zh-CN"/>
        </w:rPr>
        <w:t>要求。</w:t>
      </w:r>
    </w:p>
    <w:p w14:paraId="3D332680" w14:textId="77777777" w:rsidR="004E0030" w:rsidRDefault="00046C74">
      <w:pPr>
        <w:tabs>
          <w:tab w:val="left" w:pos="182"/>
        </w:tabs>
        <w:snapToGrid w:val="0"/>
        <w:spacing w:beforeLines="50" w:before="120"/>
        <w:rPr>
          <w:bCs/>
          <w:sz w:val="18"/>
          <w:szCs w:val="18"/>
        </w:rPr>
      </w:pPr>
      <w:r>
        <w:rPr>
          <w:sz w:val="18"/>
          <w:szCs w:val="18"/>
          <w:vertAlign w:val="superscript"/>
          <w:lang w:eastAsia="zh-CN"/>
        </w:rPr>
        <w:t>11</w:t>
      </w:r>
      <w:r>
        <w:rPr>
          <w:sz w:val="18"/>
          <w:szCs w:val="18"/>
          <w:lang w:eastAsia="zh-CN"/>
        </w:rPr>
        <w:tab/>
        <w:t xml:space="preserve"> </w:t>
      </w:r>
      <w:r>
        <w:rPr>
          <w:sz w:val="18"/>
          <w:szCs w:val="18"/>
          <w:lang w:eastAsia="zh-CN"/>
        </w:rPr>
        <w:t>有关</w:t>
      </w:r>
      <w:r>
        <w:rPr>
          <w:sz w:val="18"/>
          <w:szCs w:val="18"/>
          <w:lang w:eastAsia="zh-CN"/>
        </w:rPr>
        <w:t>LOINC</w:t>
      </w:r>
      <w:r>
        <w:rPr>
          <w:sz w:val="18"/>
          <w:szCs w:val="18"/>
          <w:lang w:eastAsia="zh-CN"/>
        </w:rPr>
        <w:t>的</w:t>
      </w:r>
      <w:proofErr w:type="gramStart"/>
      <w:r>
        <w:rPr>
          <w:sz w:val="18"/>
          <w:szCs w:val="18"/>
          <w:lang w:eastAsia="zh-CN"/>
        </w:rPr>
        <w:t>认可共识</w:t>
      </w:r>
      <w:proofErr w:type="gramEnd"/>
      <w:r>
        <w:rPr>
          <w:sz w:val="18"/>
          <w:szCs w:val="18"/>
          <w:lang w:eastAsia="zh-CN"/>
        </w:rPr>
        <w:t>标准，请参见</w:t>
      </w:r>
      <w:r>
        <w:fldChar w:fldCharType="begin"/>
      </w:r>
      <w:r>
        <w:instrText xml:space="preserve"> HYPERLINK "https://www.accessdata.fda.gov/scripts/cdrh/cfdocs/cfstandards/detail.cfm?standard__identification_no=32889" </w:instrText>
      </w:r>
      <w:r>
        <w:fldChar w:fldCharType="separate"/>
      </w:r>
      <w:r>
        <w:rPr>
          <w:rStyle w:val="a9"/>
          <w:color w:val="0000FF"/>
          <w:sz w:val="18"/>
          <w:szCs w:val="18"/>
          <w:lang w:eastAsia="zh-CN"/>
        </w:rPr>
        <w:t>https://www.accessdata.fda.gov/scripts/cdrh/cfdocs/cfstandards/detail.cfm7standard identification no=32889</w:t>
      </w:r>
      <w:r>
        <w:rPr>
          <w:rStyle w:val="a9"/>
          <w:color w:val="0000FF"/>
          <w:sz w:val="18"/>
          <w:szCs w:val="18"/>
          <w:lang w:eastAsia="zh-CN"/>
        </w:rPr>
        <w:fldChar w:fldCharType="end"/>
      </w:r>
      <w:r>
        <w:rPr>
          <w:sz w:val="18"/>
          <w:szCs w:val="18"/>
          <w:lang w:eastAsia="zh-CN"/>
        </w:rPr>
        <w:t>相关页面</w:t>
      </w:r>
    </w:p>
    <w:p w14:paraId="6E58D271" w14:textId="77777777" w:rsidR="004E0030" w:rsidRDefault="004E0030">
      <w:pPr>
        <w:snapToGrid w:val="0"/>
        <w:spacing w:beforeLines="50" w:before="120"/>
        <w:jc w:val="both"/>
      </w:pPr>
    </w:p>
    <w:p w14:paraId="608E2000" w14:textId="77777777" w:rsidR="004E0030" w:rsidRDefault="00046C74">
      <w:pPr>
        <w:snapToGrid w:val="0"/>
        <w:spacing w:beforeLines="50" w:before="120"/>
        <w:jc w:val="both"/>
      </w:pPr>
      <w:r>
        <w:rPr>
          <w:lang w:eastAsia="zh-CN"/>
        </w:rPr>
        <w:br w:type="page"/>
      </w:r>
    </w:p>
    <w:p w14:paraId="476E9005" w14:textId="77777777" w:rsidR="004E0030" w:rsidRDefault="00046C74">
      <w:pPr>
        <w:pStyle w:val="m2"/>
        <w:spacing w:before="120" w:after="120"/>
        <w:ind w:left="1356" w:hanging="648"/>
        <w:rPr>
          <w:szCs w:val="24"/>
          <w:lang w:eastAsia="zh-CN"/>
        </w:rPr>
      </w:pPr>
      <w:bookmarkStart w:id="34" w:name="bookmark29"/>
      <w:bookmarkStart w:id="35" w:name="bookmark28"/>
      <w:bookmarkStart w:id="36" w:name="_Toc97318731"/>
      <w:r>
        <w:rPr>
          <w:szCs w:val="24"/>
          <w:lang w:eastAsia="zh-CN"/>
        </w:rPr>
        <w:lastRenderedPageBreak/>
        <w:t>B.</w:t>
      </w:r>
      <w:r>
        <w:rPr>
          <w:b w:val="0"/>
          <w:bCs w:val="0"/>
          <w:szCs w:val="24"/>
          <w:lang w:eastAsia="zh-CN"/>
        </w:rPr>
        <w:tab/>
      </w:r>
      <w:r>
        <w:rPr>
          <w:szCs w:val="24"/>
          <w:lang w:eastAsia="zh-CN"/>
        </w:rPr>
        <w:t>制造商是否应该将</w:t>
      </w:r>
      <w:r>
        <w:rPr>
          <w:szCs w:val="24"/>
          <w:lang w:eastAsia="zh-CN"/>
        </w:rPr>
        <w:t>LOINC</w:t>
      </w:r>
      <w:r>
        <w:rPr>
          <w:szCs w:val="24"/>
          <w:lang w:eastAsia="zh-CN"/>
        </w:rPr>
        <w:t>代码包含在器械标签中？</w:t>
      </w:r>
      <w:bookmarkEnd w:id="34"/>
      <w:bookmarkEnd w:id="35"/>
      <w:bookmarkEnd w:id="36"/>
    </w:p>
    <w:p w14:paraId="7797D87E" w14:textId="7739867A" w:rsidR="004E0030" w:rsidRDefault="00046C74">
      <w:pPr>
        <w:snapToGrid w:val="0"/>
        <w:spacing w:beforeLines="50" w:before="120"/>
        <w:jc w:val="both"/>
        <w:rPr>
          <w:sz w:val="24"/>
          <w:lang w:eastAsia="zh-CN"/>
        </w:rPr>
      </w:pPr>
      <w:r>
        <w:rPr>
          <w:sz w:val="24"/>
          <w:lang w:eastAsia="zh-CN"/>
        </w:rPr>
        <w:t>FDA</w:t>
      </w:r>
      <w:r>
        <w:rPr>
          <w:sz w:val="24"/>
          <w:lang w:eastAsia="zh-CN"/>
        </w:rPr>
        <w:t>支持自发在标签中包含</w:t>
      </w:r>
      <w:r>
        <w:rPr>
          <w:sz w:val="24"/>
          <w:lang w:eastAsia="zh-CN"/>
        </w:rPr>
        <w:t>IVD</w:t>
      </w:r>
      <w:r>
        <w:rPr>
          <w:rFonts w:hint="eastAsia"/>
          <w:sz w:val="24"/>
          <w:lang w:eastAsia="zh-CN"/>
        </w:rPr>
        <w:t>测试</w:t>
      </w:r>
      <w:r>
        <w:rPr>
          <w:sz w:val="24"/>
          <w:lang w:eastAsia="zh-CN"/>
        </w:rPr>
        <w:t>的</w:t>
      </w:r>
      <w:r>
        <w:rPr>
          <w:sz w:val="24"/>
          <w:lang w:eastAsia="zh-CN"/>
        </w:rPr>
        <w:t>LOINC</w:t>
      </w:r>
      <w:r>
        <w:rPr>
          <w:sz w:val="24"/>
          <w:lang w:eastAsia="zh-CN"/>
        </w:rPr>
        <w:t>代码，前提是信息准确且与器械已批准或已明确的适应症一致。</w:t>
      </w:r>
      <w:r>
        <w:rPr>
          <w:sz w:val="24"/>
          <w:lang w:eastAsia="zh-CN"/>
        </w:rPr>
        <w:t>FDA</w:t>
      </w:r>
      <w:r>
        <w:rPr>
          <w:sz w:val="24"/>
          <w:lang w:eastAsia="zh-CN"/>
        </w:rPr>
        <w:t>不会对制造商可能选择提供给临床实验室或其他用户的</w:t>
      </w:r>
      <w:r>
        <w:rPr>
          <w:sz w:val="24"/>
          <w:lang w:eastAsia="zh-CN"/>
        </w:rPr>
        <w:t>LOINC</w:t>
      </w:r>
      <w:r>
        <w:rPr>
          <w:sz w:val="24"/>
          <w:lang w:eastAsia="zh-CN"/>
        </w:rPr>
        <w:t>编码进行上市前审查。然而，一般来说，器械标签仍受《联邦食品、药品和化妆品法案》其他要求的约束，包括错误标签和掺假。</w:t>
      </w:r>
    </w:p>
    <w:p w14:paraId="17596152" w14:textId="74E8E729" w:rsidR="004E0030" w:rsidRDefault="00046C74">
      <w:pPr>
        <w:snapToGrid w:val="0"/>
        <w:spacing w:beforeLines="50" w:before="120"/>
        <w:jc w:val="both"/>
        <w:rPr>
          <w:sz w:val="24"/>
          <w:lang w:eastAsia="zh-CN"/>
        </w:rPr>
      </w:pPr>
      <w:r>
        <w:rPr>
          <w:sz w:val="24"/>
          <w:lang w:eastAsia="zh-CN"/>
        </w:rPr>
        <w:t>制造商可选择在打印标签中包含</w:t>
      </w:r>
      <w:r>
        <w:rPr>
          <w:sz w:val="24"/>
          <w:lang w:eastAsia="zh-CN"/>
        </w:rPr>
        <w:t>LOINC</w:t>
      </w:r>
      <w:r>
        <w:rPr>
          <w:sz w:val="24"/>
          <w:lang w:eastAsia="zh-CN"/>
        </w:rPr>
        <w:t>编码，或在标签外部设置一个参考位置，该位置列出或以其他方式提供</w:t>
      </w:r>
      <w:r>
        <w:rPr>
          <w:sz w:val="24"/>
          <w:lang w:eastAsia="zh-CN"/>
        </w:rPr>
        <w:t>IVD</w:t>
      </w:r>
      <w:r>
        <w:rPr>
          <w:rFonts w:hint="eastAsia"/>
          <w:sz w:val="24"/>
          <w:lang w:eastAsia="zh-CN"/>
        </w:rPr>
        <w:t>测试</w:t>
      </w:r>
      <w:r>
        <w:rPr>
          <w:sz w:val="24"/>
          <w:lang w:eastAsia="zh-CN"/>
        </w:rPr>
        <w:t>的</w:t>
      </w:r>
      <w:r>
        <w:rPr>
          <w:sz w:val="24"/>
          <w:lang w:eastAsia="zh-CN"/>
        </w:rPr>
        <w:t>LOINC</w:t>
      </w:r>
      <w:r>
        <w:rPr>
          <w:sz w:val="24"/>
          <w:lang w:eastAsia="zh-CN"/>
        </w:rPr>
        <w:t>编码。例如，标签可以包括网站的超链接，网站内容为与制造商测试相关的</w:t>
      </w:r>
      <w:r>
        <w:rPr>
          <w:sz w:val="24"/>
          <w:lang w:eastAsia="zh-CN"/>
        </w:rPr>
        <w:t>LOINC</w:t>
      </w:r>
      <w:r>
        <w:rPr>
          <w:sz w:val="24"/>
          <w:lang w:eastAsia="zh-CN"/>
        </w:rPr>
        <w:t>编码表。直接并入器械的</w:t>
      </w:r>
      <w:r>
        <w:rPr>
          <w:sz w:val="24"/>
          <w:lang w:eastAsia="zh-CN"/>
        </w:rPr>
        <w:t>LOINC</w:t>
      </w:r>
      <w:r>
        <w:rPr>
          <w:sz w:val="24"/>
          <w:lang w:eastAsia="zh-CN"/>
        </w:rPr>
        <w:t>代码</w:t>
      </w:r>
      <w:r>
        <w:rPr>
          <w:sz w:val="24"/>
          <w:lang w:eastAsia="zh-CN"/>
        </w:rPr>
        <w:t xml:space="preserve"> - </w:t>
      </w:r>
      <w:r>
        <w:rPr>
          <w:sz w:val="24"/>
          <w:lang w:eastAsia="zh-CN"/>
        </w:rPr>
        <w:t>例如，直接传输到</w:t>
      </w:r>
      <w:r>
        <w:rPr>
          <w:sz w:val="24"/>
          <w:lang w:eastAsia="zh-CN"/>
        </w:rPr>
        <w:t>LIS</w:t>
      </w:r>
      <w:r>
        <w:rPr>
          <w:sz w:val="24"/>
          <w:lang w:eastAsia="zh-CN"/>
        </w:rPr>
        <w:t>等外部系统的器械输出中包含的</w:t>
      </w:r>
      <w:r>
        <w:rPr>
          <w:sz w:val="24"/>
          <w:lang w:eastAsia="zh-CN"/>
        </w:rPr>
        <w:t>LOINC</w:t>
      </w:r>
      <w:r>
        <w:rPr>
          <w:sz w:val="24"/>
          <w:lang w:eastAsia="zh-CN"/>
        </w:rPr>
        <w:t>编码</w:t>
      </w:r>
      <w:r>
        <w:rPr>
          <w:sz w:val="24"/>
          <w:lang w:eastAsia="zh-CN"/>
        </w:rPr>
        <w:t xml:space="preserve"> - </w:t>
      </w:r>
      <w:r>
        <w:rPr>
          <w:sz w:val="24"/>
          <w:lang w:eastAsia="zh-CN"/>
        </w:rPr>
        <w:t>可能受到适用于器械的质量体系要求的约束。</w:t>
      </w:r>
    </w:p>
    <w:p w14:paraId="5AF750E4" w14:textId="77777777" w:rsidR="004E0030" w:rsidRDefault="004E0030">
      <w:pPr>
        <w:snapToGrid w:val="0"/>
        <w:spacing w:beforeLines="50" w:before="120"/>
        <w:jc w:val="both"/>
        <w:rPr>
          <w:sz w:val="24"/>
          <w:lang w:eastAsia="zh-CN"/>
        </w:rPr>
      </w:pPr>
    </w:p>
    <w:p w14:paraId="5CE72D51" w14:textId="5E7E25BE" w:rsidR="004E0030" w:rsidRDefault="00046C74">
      <w:pPr>
        <w:pStyle w:val="m2"/>
        <w:spacing w:before="120" w:after="120"/>
        <w:ind w:left="1356" w:hanging="648"/>
        <w:rPr>
          <w:szCs w:val="24"/>
          <w:lang w:eastAsia="zh-CN"/>
        </w:rPr>
      </w:pPr>
      <w:bookmarkStart w:id="37" w:name="_Toc97318732"/>
      <w:bookmarkStart w:id="38" w:name="bookmark30"/>
      <w:bookmarkStart w:id="39" w:name="bookmark31"/>
      <w:r>
        <w:rPr>
          <w:szCs w:val="24"/>
          <w:lang w:eastAsia="zh-CN"/>
        </w:rPr>
        <w:t>C.</w:t>
      </w:r>
      <w:r>
        <w:rPr>
          <w:szCs w:val="24"/>
          <w:lang w:eastAsia="zh-CN"/>
        </w:rPr>
        <w:tab/>
        <w:t>FDA</w:t>
      </w:r>
      <w:r>
        <w:rPr>
          <w:szCs w:val="24"/>
          <w:lang w:eastAsia="zh-CN"/>
        </w:rPr>
        <w:t>对制造商为未明确或未批准的</w:t>
      </w:r>
      <w:r>
        <w:rPr>
          <w:rFonts w:hint="eastAsia"/>
          <w:szCs w:val="24"/>
          <w:lang w:eastAsia="zh-CN"/>
        </w:rPr>
        <w:t>适应症</w:t>
      </w:r>
      <w:r>
        <w:rPr>
          <w:szCs w:val="24"/>
          <w:lang w:eastAsia="zh-CN"/>
        </w:rPr>
        <w:t>提供</w:t>
      </w:r>
      <w:r>
        <w:rPr>
          <w:szCs w:val="24"/>
          <w:lang w:eastAsia="zh-CN"/>
        </w:rPr>
        <w:t>LOINC</w:t>
      </w:r>
      <w:r>
        <w:rPr>
          <w:szCs w:val="24"/>
          <w:lang w:eastAsia="zh-CN"/>
        </w:rPr>
        <w:t>代码有何看法？</w:t>
      </w:r>
      <w:bookmarkEnd w:id="37"/>
      <w:bookmarkEnd w:id="38"/>
      <w:bookmarkEnd w:id="39"/>
    </w:p>
    <w:p w14:paraId="2BC26B3F" w14:textId="4E894E4A" w:rsidR="004E0030" w:rsidRDefault="00046C74">
      <w:pPr>
        <w:snapToGrid w:val="0"/>
        <w:spacing w:beforeLines="50" w:before="120"/>
        <w:jc w:val="both"/>
        <w:rPr>
          <w:sz w:val="24"/>
          <w:lang w:eastAsia="zh-CN"/>
        </w:rPr>
      </w:pPr>
      <w:r>
        <w:rPr>
          <w:sz w:val="24"/>
          <w:lang w:eastAsia="zh-CN"/>
        </w:rPr>
        <w:t>一般来说，制造商提供的</w:t>
      </w:r>
      <w:r>
        <w:rPr>
          <w:sz w:val="24"/>
          <w:lang w:eastAsia="zh-CN"/>
        </w:rPr>
        <w:t>LOINC</w:t>
      </w:r>
      <w:r>
        <w:rPr>
          <w:sz w:val="24"/>
          <w:lang w:eastAsia="zh-CN"/>
        </w:rPr>
        <w:t>代码应与</w:t>
      </w:r>
      <w:r>
        <w:rPr>
          <w:sz w:val="24"/>
          <w:lang w:eastAsia="zh-CN"/>
        </w:rPr>
        <w:t>FDA</w:t>
      </w:r>
      <w:r>
        <w:rPr>
          <w:sz w:val="24"/>
          <w:lang w:eastAsia="zh-CN"/>
        </w:rPr>
        <w:t>明确或</w:t>
      </w:r>
      <w:r>
        <w:rPr>
          <w:sz w:val="24"/>
          <w:lang w:eastAsia="zh-CN"/>
        </w:rPr>
        <w:t>FDA</w:t>
      </w:r>
      <w:r>
        <w:rPr>
          <w:sz w:val="24"/>
          <w:lang w:eastAsia="zh-CN"/>
        </w:rPr>
        <w:t>批准的用于</w:t>
      </w:r>
      <w:r>
        <w:rPr>
          <w:sz w:val="24"/>
          <w:lang w:eastAsia="zh-CN"/>
        </w:rPr>
        <w:t>IVD</w:t>
      </w:r>
      <w:r>
        <w:rPr>
          <w:rFonts w:hint="eastAsia"/>
          <w:sz w:val="24"/>
          <w:lang w:eastAsia="zh-CN"/>
        </w:rPr>
        <w:t>测试</w:t>
      </w:r>
      <w:r>
        <w:rPr>
          <w:sz w:val="24"/>
          <w:lang w:eastAsia="zh-CN"/>
        </w:rPr>
        <w:t>的适应症一致。例如，制造商通过印刷标签或制造商网站散布未批准</w:t>
      </w:r>
      <w:r w:rsidR="00A768FA">
        <w:rPr>
          <w:sz w:val="24"/>
          <w:lang w:eastAsia="zh-CN"/>
        </w:rPr>
        <w:t>或未明确</w:t>
      </w:r>
      <w:r>
        <w:rPr>
          <w:sz w:val="24"/>
          <w:lang w:eastAsia="zh-CN"/>
        </w:rPr>
        <w:t>的适应症</w:t>
      </w:r>
      <w:r>
        <w:rPr>
          <w:sz w:val="24"/>
          <w:lang w:eastAsia="zh-CN"/>
        </w:rPr>
        <w:t>LOINC</w:t>
      </w:r>
      <w:r>
        <w:rPr>
          <w:sz w:val="24"/>
          <w:lang w:eastAsia="zh-CN"/>
        </w:rPr>
        <w:t>代码，可视为新</w:t>
      </w:r>
      <w:r w:rsidR="00E84755">
        <w:rPr>
          <w:rFonts w:hint="eastAsia"/>
          <w:sz w:val="24"/>
          <w:lang w:eastAsia="zh-CN"/>
        </w:rPr>
        <w:t>预期</w:t>
      </w:r>
      <w:r w:rsidR="00E84755">
        <w:rPr>
          <w:sz w:val="24"/>
          <w:lang w:eastAsia="zh-CN"/>
        </w:rPr>
        <w:t>用途</w:t>
      </w:r>
      <w:r>
        <w:rPr>
          <w:sz w:val="24"/>
          <w:lang w:eastAsia="zh-CN"/>
        </w:rPr>
        <w:t>的证据。根据《</w:t>
      </w:r>
      <w:r>
        <w:rPr>
          <w:sz w:val="24"/>
          <w:lang w:eastAsia="zh-CN"/>
        </w:rPr>
        <w:t>FD&amp;C</w:t>
      </w:r>
      <w:r>
        <w:rPr>
          <w:sz w:val="24"/>
          <w:lang w:eastAsia="zh-CN"/>
        </w:rPr>
        <w:t>法案》，器械会被认为掺假和</w:t>
      </w:r>
      <w:r>
        <w:rPr>
          <w:sz w:val="24"/>
          <w:lang w:eastAsia="zh-CN"/>
        </w:rPr>
        <w:t>/</w:t>
      </w:r>
      <w:r>
        <w:rPr>
          <w:sz w:val="24"/>
          <w:lang w:eastAsia="zh-CN"/>
        </w:rPr>
        <w:t>或</w:t>
      </w:r>
      <w:r w:rsidR="00BA4746">
        <w:rPr>
          <w:rFonts w:hint="eastAsia"/>
          <w:sz w:val="24"/>
          <w:lang w:eastAsia="zh-CN"/>
        </w:rPr>
        <w:t>错误标签</w:t>
      </w:r>
      <w:r>
        <w:rPr>
          <w:sz w:val="24"/>
          <w:lang w:eastAsia="zh-CN"/>
        </w:rPr>
        <w:t>。</w:t>
      </w:r>
      <w:r w:rsidR="00000000">
        <w:fldChar w:fldCharType="begin"/>
      </w:r>
      <w:r w:rsidR="00000000">
        <w:rPr>
          <w:lang w:eastAsia="zh-CN"/>
        </w:rPr>
        <w:instrText xml:space="preserve"> HYPERLINK \l "bookmark32" \o "</w:instrText>
      </w:r>
      <w:r w:rsidR="00000000">
        <w:rPr>
          <w:lang w:eastAsia="zh-CN"/>
        </w:rPr>
        <w:instrText>当前文件</w:instrText>
      </w:r>
      <w:r w:rsidR="00000000">
        <w:rPr>
          <w:lang w:eastAsia="zh-CN"/>
        </w:rPr>
        <w:instrText xml:space="preserve">" \h </w:instrText>
      </w:r>
      <w:r w:rsidR="00000000">
        <w:fldChar w:fldCharType="separate"/>
      </w:r>
      <w:r>
        <w:rPr>
          <w:sz w:val="24"/>
          <w:vertAlign w:val="superscript"/>
          <w:lang w:eastAsia="zh-CN"/>
        </w:rPr>
        <w:t>12</w:t>
      </w:r>
      <w:r w:rsidR="00000000">
        <w:rPr>
          <w:sz w:val="24"/>
          <w:vertAlign w:val="superscript"/>
          <w:lang w:eastAsia="zh-CN"/>
        </w:rPr>
        <w:fldChar w:fldCharType="end"/>
      </w:r>
    </w:p>
    <w:p w14:paraId="5C991C2A" w14:textId="16FFA202" w:rsidR="004E0030" w:rsidRDefault="00046C74">
      <w:pPr>
        <w:snapToGrid w:val="0"/>
        <w:spacing w:beforeLines="50" w:before="120"/>
        <w:jc w:val="both"/>
        <w:rPr>
          <w:sz w:val="24"/>
        </w:rPr>
      </w:pPr>
      <w:r>
        <w:rPr>
          <w:sz w:val="24"/>
          <w:lang w:eastAsia="zh-CN"/>
        </w:rPr>
        <w:t>然而，</w:t>
      </w:r>
      <w:r>
        <w:rPr>
          <w:sz w:val="24"/>
          <w:lang w:eastAsia="zh-CN"/>
        </w:rPr>
        <w:t>FDA</w:t>
      </w:r>
      <w:r>
        <w:rPr>
          <w:sz w:val="24"/>
          <w:lang w:eastAsia="zh-CN"/>
        </w:rPr>
        <w:t>了解到，临床实验室或其他人员可能会向制造商另外提出单独的请求，以获取特定未明确或未批准的适应症的</w:t>
      </w:r>
      <w:r>
        <w:rPr>
          <w:sz w:val="24"/>
          <w:lang w:eastAsia="zh-CN"/>
        </w:rPr>
        <w:t>LOINC</w:t>
      </w:r>
      <w:r>
        <w:rPr>
          <w:sz w:val="24"/>
          <w:lang w:eastAsia="zh-CN"/>
        </w:rPr>
        <w:t>编码。在</w:t>
      </w:r>
      <w:r w:rsidR="007A217B">
        <w:rPr>
          <w:rFonts w:hint="eastAsia"/>
          <w:sz w:val="24"/>
          <w:lang w:eastAsia="zh-CN"/>
        </w:rPr>
        <w:t>此</w:t>
      </w:r>
      <w:r>
        <w:rPr>
          <w:sz w:val="24"/>
          <w:lang w:eastAsia="zh-CN"/>
        </w:rPr>
        <w:t>情况下，如果制造商的回复针对请求中指定的特定情况提供了适当的</w:t>
      </w:r>
      <w:r>
        <w:rPr>
          <w:sz w:val="24"/>
          <w:lang w:eastAsia="zh-CN"/>
        </w:rPr>
        <w:t>LOINC</w:t>
      </w:r>
      <w:r>
        <w:rPr>
          <w:sz w:val="24"/>
          <w:lang w:eastAsia="zh-CN"/>
        </w:rPr>
        <w:t>编码，或确定需要新的</w:t>
      </w:r>
      <w:r>
        <w:rPr>
          <w:sz w:val="24"/>
          <w:lang w:eastAsia="zh-CN"/>
        </w:rPr>
        <w:t>LOINC</w:t>
      </w:r>
      <w:r>
        <w:rPr>
          <w:sz w:val="24"/>
          <w:lang w:eastAsia="zh-CN"/>
        </w:rPr>
        <w:t>编码来解决请求中提到的临床用途，</w:t>
      </w:r>
      <w:r>
        <w:rPr>
          <w:sz w:val="24"/>
          <w:lang w:eastAsia="zh-CN"/>
        </w:rPr>
        <w:t>FDA</w:t>
      </w:r>
      <w:r>
        <w:rPr>
          <w:sz w:val="24"/>
          <w:lang w:eastAsia="zh-CN"/>
        </w:rPr>
        <w:t>不会将该回复视为公司意图将产品用于未明确或未批准的</w:t>
      </w:r>
      <w:r>
        <w:rPr>
          <w:rFonts w:hint="eastAsia"/>
          <w:sz w:val="24"/>
          <w:lang w:eastAsia="zh-CN"/>
        </w:rPr>
        <w:t>适应症</w:t>
      </w:r>
      <w:r>
        <w:rPr>
          <w:sz w:val="24"/>
          <w:lang w:eastAsia="zh-CN"/>
        </w:rPr>
        <w:t>的证据。</w:t>
      </w:r>
      <w:r w:rsidR="00000000">
        <w:fldChar w:fldCharType="begin"/>
      </w:r>
      <w:r w:rsidR="00000000">
        <w:rPr>
          <w:lang w:eastAsia="zh-CN"/>
        </w:rPr>
        <w:instrText xml:space="preserve"> HYPERLINK \l "bookmark33" \o "</w:instrText>
      </w:r>
      <w:r w:rsidR="00000000">
        <w:rPr>
          <w:lang w:eastAsia="zh-CN"/>
        </w:rPr>
        <w:instrText>当前文件</w:instrText>
      </w:r>
      <w:r w:rsidR="00000000">
        <w:rPr>
          <w:lang w:eastAsia="zh-CN"/>
        </w:rPr>
        <w:instrText xml:space="preserve">" \h </w:instrText>
      </w:r>
      <w:r w:rsidR="00000000">
        <w:fldChar w:fldCharType="separate"/>
      </w:r>
      <w:r>
        <w:rPr>
          <w:sz w:val="24"/>
          <w:vertAlign w:val="superscript"/>
          <w:lang w:eastAsia="zh-CN"/>
        </w:rPr>
        <w:t>13</w:t>
      </w:r>
      <w:r w:rsidR="00000000">
        <w:rPr>
          <w:sz w:val="24"/>
          <w:vertAlign w:val="superscript"/>
          <w:lang w:eastAsia="zh-CN"/>
        </w:rPr>
        <w:fldChar w:fldCharType="end"/>
      </w:r>
    </w:p>
    <w:p w14:paraId="78DA4DA6" w14:textId="77777777" w:rsidR="004E0030" w:rsidRDefault="004E0030">
      <w:pPr>
        <w:snapToGrid w:val="0"/>
        <w:spacing w:beforeLines="50" w:before="120"/>
        <w:jc w:val="both"/>
        <w:rPr>
          <w:sz w:val="18"/>
          <w:szCs w:val="18"/>
        </w:rPr>
      </w:pPr>
      <w:bookmarkStart w:id="40" w:name="bookmark32"/>
    </w:p>
    <w:p w14:paraId="69E1C3B3" w14:textId="77777777" w:rsidR="004E0030" w:rsidRDefault="004E0030">
      <w:pPr>
        <w:snapToGrid w:val="0"/>
        <w:spacing w:beforeLines="50" w:before="120"/>
        <w:jc w:val="both"/>
        <w:rPr>
          <w:sz w:val="18"/>
          <w:szCs w:val="18"/>
          <w:lang w:eastAsia="zh-CN"/>
        </w:rPr>
      </w:pPr>
    </w:p>
    <w:p w14:paraId="151DA789" w14:textId="77777777" w:rsidR="004E0030" w:rsidRDefault="004E0030">
      <w:pPr>
        <w:snapToGrid w:val="0"/>
        <w:spacing w:beforeLines="50" w:before="120"/>
        <w:jc w:val="both"/>
        <w:rPr>
          <w:sz w:val="18"/>
          <w:szCs w:val="18"/>
          <w:lang w:eastAsia="zh-CN"/>
        </w:rPr>
      </w:pPr>
    </w:p>
    <w:p w14:paraId="2DB0EFC3" w14:textId="77777777" w:rsidR="004E0030" w:rsidRDefault="004E0030">
      <w:pPr>
        <w:snapToGrid w:val="0"/>
        <w:spacing w:beforeLines="50" w:before="120"/>
        <w:jc w:val="both"/>
        <w:rPr>
          <w:sz w:val="18"/>
          <w:szCs w:val="18"/>
          <w:lang w:eastAsia="zh-CN"/>
        </w:rPr>
      </w:pPr>
    </w:p>
    <w:p w14:paraId="77EAE022" w14:textId="77777777" w:rsidR="004E0030" w:rsidRDefault="004E0030">
      <w:pPr>
        <w:snapToGrid w:val="0"/>
        <w:spacing w:beforeLines="50" w:before="120"/>
        <w:jc w:val="both"/>
        <w:rPr>
          <w:sz w:val="18"/>
          <w:szCs w:val="18"/>
          <w:lang w:eastAsia="zh-CN"/>
        </w:rPr>
      </w:pPr>
    </w:p>
    <w:p w14:paraId="08A55F75" w14:textId="77777777" w:rsidR="004E0030" w:rsidRDefault="004E0030">
      <w:pPr>
        <w:snapToGrid w:val="0"/>
        <w:spacing w:beforeLines="50" w:before="120"/>
        <w:jc w:val="both"/>
        <w:rPr>
          <w:sz w:val="18"/>
          <w:szCs w:val="18"/>
          <w:lang w:eastAsia="zh-CN"/>
        </w:rPr>
      </w:pPr>
    </w:p>
    <w:p w14:paraId="4B4BBC95" w14:textId="77777777" w:rsidR="004E0030" w:rsidRDefault="004E0030">
      <w:pPr>
        <w:snapToGrid w:val="0"/>
        <w:spacing w:beforeLines="50" w:before="120"/>
        <w:jc w:val="both"/>
        <w:rPr>
          <w:sz w:val="18"/>
          <w:szCs w:val="18"/>
          <w:lang w:eastAsia="zh-CN"/>
        </w:rPr>
      </w:pPr>
    </w:p>
    <w:p w14:paraId="338E78FF" w14:textId="77777777" w:rsidR="004E0030" w:rsidRDefault="004E0030">
      <w:pPr>
        <w:snapToGrid w:val="0"/>
        <w:spacing w:beforeLines="50" w:before="120"/>
        <w:jc w:val="both"/>
        <w:rPr>
          <w:sz w:val="18"/>
          <w:szCs w:val="18"/>
          <w:lang w:eastAsia="zh-CN"/>
        </w:rPr>
      </w:pPr>
    </w:p>
    <w:p w14:paraId="7BC49272" w14:textId="77777777" w:rsidR="004E0030" w:rsidRDefault="004E0030">
      <w:pPr>
        <w:snapToGrid w:val="0"/>
        <w:spacing w:beforeLines="50" w:before="120"/>
        <w:jc w:val="both"/>
        <w:rPr>
          <w:sz w:val="18"/>
          <w:szCs w:val="18"/>
          <w:lang w:eastAsia="zh-CN"/>
        </w:rPr>
      </w:pPr>
    </w:p>
    <w:p w14:paraId="3F330804" w14:textId="77777777" w:rsidR="004E0030" w:rsidRDefault="004E0030">
      <w:pPr>
        <w:snapToGrid w:val="0"/>
        <w:spacing w:beforeLines="50" w:before="120"/>
        <w:jc w:val="both"/>
        <w:rPr>
          <w:sz w:val="18"/>
          <w:szCs w:val="18"/>
          <w:lang w:eastAsia="zh-CN"/>
        </w:rPr>
      </w:pPr>
    </w:p>
    <w:p w14:paraId="23C74ACF" w14:textId="77777777" w:rsidR="004E0030" w:rsidRDefault="004E0030">
      <w:pPr>
        <w:snapToGrid w:val="0"/>
        <w:spacing w:beforeLines="50" w:before="120"/>
        <w:jc w:val="both"/>
        <w:rPr>
          <w:sz w:val="18"/>
          <w:szCs w:val="18"/>
          <w:lang w:eastAsia="zh-CN"/>
        </w:rPr>
      </w:pPr>
    </w:p>
    <w:p w14:paraId="2F8DBA5F" w14:textId="77777777" w:rsidR="004E0030" w:rsidRDefault="00046C74">
      <w:pPr>
        <w:snapToGrid w:val="0"/>
        <w:spacing w:beforeLines="50" w:before="120"/>
        <w:jc w:val="both"/>
        <w:rPr>
          <w:sz w:val="18"/>
          <w:szCs w:val="18"/>
        </w:rPr>
      </w:pPr>
      <w:r>
        <w:rPr>
          <w:sz w:val="18"/>
          <w:szCs w:val="18"/>
          <w:lang w:eastAsia="zh-CN"/>
        </w:rPr>
        <w:t>___________________________</w:t>
      </w:r>
    </w:p>
    <w:p w14:paraId="6B3399D0" w14:textId="238C1BFB" w:rsidR="004E0030" w:rsidRDefault="00046C74">
      <w:pPr>
        <w:tabs>
          <w:tab w:val="left" w:pos="182"/>
        </w:tabs>
        <w:snapToGrid w:val="0"/>
        <w:spacing w:beforeLines="50" w:before="120"/>
        <w:rPr>
          <w:sz w:val="18"/>
          <w:szCs w:val="18"/>
          <w:lang w:eastAsia="zh-CN"/>
        </w:rPr>
      </w:pPr>
      <w:r>
        <w:rPr>
          <w:sz w:val="18"/>
          <w:szCs w:val="18"/>
          <w:vertAlign w:val="superscript"/>
          <w:lang w:eastAsia="zh-CN"/>
        </w:rPr>
        <w:t>12</w:t>
      </w:r>
      <w:r>
        <w:rPr>
          <w:sz w:val="18"/>
          <w:szCs w:val="18"/>
          <w:lang w:eastAsia="zh-CN"/>
        </w:rPr>
        <w:tab/>
      </w:r>
      <w:r>
        <w:rPr>
          <w:sz w:val="18"/>
          <w:szCs w:val="18"/>
          <w:lang w:eastAsia="zh-CN"/>
        </w:rPr>
        <w:t>见《</w:t>
      </w:r>
      <w:r>
        <w:rPr>
          <w:sz w:val="18"/>
          <w:szCs w:val="18"/>
          <w:lang w:eastAsia="zh-CN"/>
        </w:rPr>
        <w:t>FD&amp;C</w:t>
      </w:r>
      <w:r>
        <w:rPr>
          <w:sz w:val="18"/>
          <w:szCs w:val="18"/>
          <w:lang w:eastAsia="zh-CN"/>
        </w:rPr>
        <w:t>法案》的第</w:t>
      </w:r>
      <w:r>
        <w:rPr>
          <w:sz w:val="18"/>
          <w:szCs w:val="18"/>
          <w:lang w:eastAsia="zh-CN"/>
        </w:rPr>
        <w:t>501(f)(1)</w:t>
      </w:r>
      <w:r>
        <w:rPr>
          <w:sz w:val="18"/>
          <w:szCs w:val="18"/>
          <w:lang w:eastAsia="zh-CN"/>
        </w:rPr>
        <w:t>、</w:t>
      </w:r>
      <w:r>
        <w:rPr>
          <w:sz w:val="18"/>
          <w:szCs w:val="18"/>
          <w:lang w:eastAsia="zh-CN"/>
        </w:rPr>
        <w:t>502(o)</w:t>
      </w:r>
      <w:r>
        <w:rPr>
          <w:sz w:val="18"/>
          <w:szCs w:val="18"/>
          <w:lang w:eastAsia="zh-CN"/>
        </w:rPr>
        <w:t>、</w:t>
      </w:r>
      <w:r>
        <w:rPr>
          <w:sz w:val="18"/>
          <w:szCs w:val="18"/>
          <w:lang w:eastAsia="zh-CN"/>
        </w:rPr>
        <w:t>513(f)(1)</w:t>
      </w:r>
      <w:r>
        <w:rPr>
          <w:sz w:val="18"/>
          <w:szCs w:val="18"/>
          <w:lang w:eastAsia="zh-CN"/>
        </w:rPr>
        <w:t>和</w:t>
      </w:r>
      <w:r>
        <w:rPr>
          <w:sz w:val="18"/>
          <w:szCs w:val="18"/>
          <w:lang w:eastAsia="zh-CN"/>
        </w:rPr>
        <w:t>515</w:t>
      </w:r>
      <w:r>
        <w:rPr>
          <w:sz w:val="18"/>
          <w:szCs w:val="18"/>
          <w:lang w:eastAsia="zh-CN"/>
        </w:rPr>
        <w:t>节（</w:t>
      </w:r>
      <w:r>
        <w:rPr>
          <w:sz w:val="18"/>
          <w:szCs w:val="18"/>
          <w:lang w:eastAsia="zh-CN"/>
        </w:rPr>
        <w:t>21 U.S.C. 351(f)(1)</w:t>
      </w:r>
      <w:r>
        <w:rPr>
          <w:sz w:val="18"/>
          <w:szCs w:val="18"/>
          <w:lang w:eastAsia="zh-CN"/>
        </w:rPr>
        <w:t>、</w:t>
      </w:r>
      <w:r>
        <w:rPr>
          <w:sz w:val="18"/>
          <w:szCs w:val="18"/>
          <w:lang w:eastAsia="zh-CN"/>
        </w:rPr>
        <w:t>352(o)</w:t>
      </w:r>
      <w:r>
        <w:rPr>
          <w:sz w:val="18"/>
          <w:szCs w:val="18"/>
          <w:lang w:eastAsia="zh-CN"/>
        </w:rPr>
        <w:t>、</w:t>
      </w:r>
      <w:r>
        <w:rPr>
          <w:sz w:val="18"/>
          <w:szCs w:val="18"/>
          <w:lang w:eastAsia="zh-CN"/>
        </w:rPr>
        <w:t>360c(f)(1)</w:t>
      </w:r>
      <w:r>
        <w:rPr>
          <w:sz w:val="18"/>
          <w:szCs w:val="18"/>
          <w:lang w:eastAsia="zh-CN"/>
        </w:rPr>
        <w:t>和</w:t>
      </w:r>
      <w:r>
        <w:rPr>
          <w:sz w:val="18"/>
          <w:szCs w:val="18"/>
          <w:lang w:eastAsia="zh-CN"/>
        </w:rPr>
        <w:t>360e</w:t>
      </w:r>
      <w:r>
        <w:rPr>
          <w:sz w:val="18"/>
          <w:szCs w:val="18"/>
          <w:lang w:eastAsia="zh-CN"/>
        </w:rPr>
        <w:t>）。也可参</w:t>
      </w:r>
      <w:r w:rsidR="009C15A3">
        <w:rPr>
          <w:sz w:val="18"/>
          <w:szCs w:val="18"/>
          <w:lang w:eastAsia="zh-CN"/>
        </w:rPr>
        <w:t>见</w:t>
      </w:r>
      <w:r>
        <w:rPr>
          <w:sz w:val="18"/>
          <w:szCs w:val="18"/>
          <w:lang w:eastAsia="zh-CN"/>
        </w:rPr>
        <w:t>FDA</w:t>
      </w:r>
      <w:r>
        <w:rPr>
          <w:sz w:val="18"/>
          <w:szCs w:val="18"/>
          <w:lang w:eastAsia="zh-CN"/>
        </w:rPr>
        <w:t>行业指南：《药品和器械生产商与支付方、处方委员会和类似机构进行沟通的问答》，</w:t>
      </w:r>
      <w:proofErr w:type="gramStart"/>
      <w:r>
        <w:rPr>
          <w:sz w:val="18"/>
          <w:szCs w:val="18"/>
          <w:lang w:eastAsia="zh-CN"/>
        </w:rPr>
        <w:t>请访问</w:t>
      </w:r>
      <w:bookmarkEnd w:id="40"/>
      <w:proofErr w:type="gramEnd"/>
      <w:r w:rsidR="00000000">
        <w:fldChar w:fldCharType="begin"/>
      </w:r>
      <w:r w:rsidR="00000000">
        <w:instrText xml:space="preserve"> HYPERLINK "https://www.fda.gov/downloads/drugs/guidancecomplianceregulatoryinformation/guidances/ucm537347.pdf" </w:instrText>
      </w:r>
      <w:r w:rsidR="00000000">
        <w:fldChar w:fldCharType="separate"/>
      </w:r>
      <w:r>
        <w:rPr>
          <w:rStyle w:val="a9"/>
          <w:color w:val="0000FF"/>
          <w:sz w:val="18"/>
          <w:szCs w:val="18"/>
          <w:lang w:eastAsia="zh-CN"/>
        </w:rPr>
        <w:t>https://www.fda. gov/downloads/drugs/guidancecomplianceregulatoryinformation/guidances/ucm537347.p</w:t>
      </w:r>
      <w:r w:rsidR="00000000">
        <w:rPr>
          <w:rStyle w:val="a9"/>
          <w:color w:val="0000FF"/>
          <w:sz w:val="18"/>
          <w:szCs w:val="18"/>
          <w:lang w:eastAsia="zh-CN"/>
        </w:rPr>
        <w:fldChar w:fldCharType="end"/>
      </w:r>
      <w:r>
        <w:rPr>
          <w:color w:val="0000FF"/>
          <w:sz w:val="18"/>
          <w:szCs w:val="18"/>
          <w:u w:val="single"/>
          <w:lang w:eastAsia="zh-CN"/>
        </w:rPr>
        <w:t xml:space="preserve">df </w:t>
      </w:r>
    </w:p>
    <w:p w14:paraId="35A0AF75" w14:textId="20CAD53E" w:rsidR="004E0030" w:rsidRDefault="00046C74">
      <w:pPr>
        <w:tabs>
          <w:tab w:val="left" w:pos="182"/>
        </w:tabs>
        <w:snapToGrid w:val="0"/>
        <w:spacing w:beforeLines="50" w:before="120"/>
        <w:rPr>
          <w:bCs/>
          <w:sz w:val="18"/>
          <w:szCs w:val="18"/>
          <w:lang w:eastAsia="zh-CN"/>
        </w:rPr>
      </w:pPr>
      <w:bookmarkStart w:id="41" w:name="bookmark33"/>
      <w:r>
        <w:rPr>
          <w:sz w:val="18"/>
          <w:szCs w:val="18"/>
          <w:vertAlign w:val="superscript"/>
          <w:lang w:eastAsia="zh-CN"/>
        </w:rPr>
        <w:t>13</w:t>
      </w:r>
      <w:r>
        <w:rPr>
          <w:sz w:val="18"/>
          <w:szCs w:val="18"/>
          <w:lang w:eastAsia="zh-CN"/>
        </w:rPr>
        <w:tab/>
      </w:r>
      <w:r>
        <w:rPr>
          <w:sz w:val="18"/>
          <w:szCs w:val="18"/>
          <w:lang w:eastAsia="zh-CN"/>
        </w:rPr>
        <w:t>例如，</w:t>
      </w:r>
      <w:r>
        <w:rPr>
          <w:sz w:val="18"/>
          <w:szCs w:val="18"/>
          <w:lang w:eastAsia="zh-CN"/>
        </w:rPr>
        <w:t>FDA</w:t>
      </w:r>
      <w:r>
        <w:rPr>
          <w:sz w:val="18"/>
          <w:szCs w:val="18"/>
          <w:lang w:eastAsia="zh-CN"/>
        </w:rPr>
        <w:t>指南草案：《回应未</w:t>
      </w:r>
      <w:r w:rsidR="00FC5C2A">
        <w:rPr>
          <w:rFonts w:hint="eastAsia"/>
          <w:sz w:val="18"/>
          <w:szCs w:val="18"/>
          <w:lang w:eastAsia="zh-CN"/>
        </w:rPr>
        <w:t>申请</w:t>
      </w:r>
      <w:r>
        <w:rPr>
          <w:sz w:val="18"/>
          <w:szCs w:val="18"/>
          <w:lang w:eastAsia="zh-CN"/>
        </w:rPr>
        <w:t>的关于处方药和医疗器械操作的</w:t>
      </w:r>
      <w:r w:rsidR="00FC5C2A">
        <w:rPr>
          <w:rFonts w:hint="eastAsia"/>
          <w:sz w:val="18"/>
          <w:szCs w:val="18"/>
          <w:lang w:eastAsia="zh-CN"/>
        </w:rPr>
        <w:t>适应症</w:t>
      </w:r>
      <w:r>
        <w:rPr>
          <w:sz w:val="18"/>
          <w:szCs w:val="18"/>
          <w:lang w:eastAsia="zh-CN"/>
        </w:rPr>
        <w:t>外信息》，</w:t>
      </w:r>
      <w:proofErr w:type="gramStart"/>
      <w:r>
        <w:rPr>
          <w:sz w:val="18"/>
          <w:szCs w:val="18"/>
          <w:lang w:eastAsia="zh-CN"/>
        </w:rPr>
        <w:t>请访问</w:t>
      </w:r>
      <w:bookmarkEnd w:id="41"/>
      <w:proofErr w:type="gramEnd"/>
      <w:r>
        <w:fldChar w:fldCharType="begin"/>
      </w:r>
      <w:r>
        <w:rPr>
          <w:color w:val="0000FF"/>
        </w:rPr>
        <w:instrText xml:space="preserve"> HYPERLINK "https://www.fda.gov/downloads/drugs/guidancecomplianceregulatoryinformation/guidances/ucm285145.pdf" </w:instrText>
      </w:r>
      <w:r>
        <w:fldChar w:fldCharType="separate"/>
      </w:r>
      <w:r>
        <w:rPr>
          <w:rStyle w:val="a9"/>
          <w:color w:val="0000FF"/>
          <w:sz w:val="18"/>
          <w:szCs w:val="18"/>
          <w:lang w:eastAsia="zh-CN"/>
        </w:rPr>
        <w:t>https://www.fda.gov/downloads/drugs/guidancecomplianceregulatorvinformation/guidances/ucm285145.pdf</w:t>
      </w:r>
      <w:r>
        <w:rPr>
          <w:rStyle w:val="a9"/>
          <w:color w:val="0000FF"/>
          <w:sz w:val="18"/>
          <w:szCs w:val="18"/>
          <w:lang w:eastAsia="zh-CN"/>
        </w:rPr>
        <w:fldChar w:fldCharType="end"/>
      </w:r>
      <w:r>
        <w:rPr>
          <w:color w:val="0000FF"/>
          <w:sz w:val="18"/>
          <w:szCs w:val="18"/>
          <w:lang w:eastAsia="zh-CN"/>
        </w:rPr>
        <w:t>。</w:t>
      </w:r>
      <w:r>
        <w:rPr>
          <w:sz w:val="18"/>
          <w:szCs w:val="18"/>
          <w:lang w:eastAsia="zh-CN"/>
        </w:rPr>
        <w:t>最后，本指南代表</w:t>
      </w:r>
      <w:r>
        <w:rPr>
          <w:sz w:val="18"/>
          <w:szCs w:val="18"/>
          <w:lang w:eastAsia="zh-CN"/>
        </w:rPr>
        <w:t>FDA</w:t>
      </w:r>
      <w:r w:rsidR="00835F22">
        <w:rPr>
          <w:sz w:val="18"/>
          <w:szCs w:val="18"/>
          <w:lang w:eastAsia="zh-CN"/>
        </w:rPr>
        <w:t>当前</w:t>
      </w:r>
      <w:r>
        <w:rPr>
          <w:sz w:val="18"/>
          <w:szCs w:val="18"/>
          <w:lang w:eastAsia="zh-CN"/>
        </w:rPr>
        <w:t>对该主题的观点。</w:t>
      </w:r>
    </w:p>
    <w:p w14:paraId="7077EEBF" w14:textId="77777777" w:rsidR="004E0030" w:rsidRDefault="00046C74">
      <w:pPr>
        <w:snapToGrid w:val="0"/>
        <w:spacing w:beforeLines="50" w:before="120"/>
        <w:jc w:val="both"/>
        <w:rPr>
          <w:lang w:eastAsia="zh-CN"/>
        </w:rPr>
      </w:pPr>
      <w:r>
        <w:rPr>
          <w:lang w:eastAsia="zh-CN"/>
        </w:rPr>
        <w:br w:type="page"/>
      </w:r>
    </w:p>
    <w:p w14:paraId="440F0E05" w14:textId="10060B8E" w:rsidR="004E0030" w:rsidRDefault="00046C74">
      <w:pPr>
        <w:snapToGrid w:val="0"/>
        <w:spacing w:beforeLines="50" w:before="120" w:line="400" w:lineRule="exact"/>
        <w:jc w:val="both"/>
        <w:rPr>
          <w:sz w:val="24"/>
          <w:lang w:eastAsia="zh-CN"/>
        </w:rPr>
      </w:pPr>
      <w:r>
        <w:rPr>
          <w:sz w:val="24"/>
          <w:lang w:eastAsia="zh-CN"/>
        </w:rPr>
        <w:lastRenderedPageBreak/>
        <w:t>本指南不</w:t>
      </w:r>
      <w:r w:rsidR="00686262">
        <w:rPr>
          <w:sz w:val="24"/>
          <w:lang w:eastAsia="zh-CN"/>
        </w:rPr>
        <w:t>会</w:t>
      </w:r>
      <w:r>
        <w:rPr>
          <w:sz w:val="24"/>
          <w:lang w:eastAsia="zh-CN"/>
        </w:rPr>
        <w:t>改变关于</w:t>
      </w:r>
      <w:r>
        <w:rPr>
          <w:sz w:val="24"/>
          <w:lang w:eastAsia="zh-CN"/>
        </w:rPr>
        <w:t>IVD</w:t>
      </w:r>
      <w:r>
        <w:rPr>
          <w:rFonts w:hint="eastAsia"/>
          <w:sz w:val="24"/>
          <w:lang w:eastAsia="zh-CN"/>
        </w:rPr>
        <w:t>测试</w:t>
      </w:r>
      <w:r>
        <w:rPr>
          <w:sz w:val="24"/>
          <w:lang w:eastAsia="zh-CN"/>
        </w:rPr>
        <w:t>何时需提交新的</w:t>
      </w:r>
      <w:r>
        <w:rPr>
          <w:rFonts w:hint="eastAsia"/>
          <w:sz w:val="24"/>
          <w:lang w:eastAsia="zh-CN"/>
        </w:rPr>
        <w:t>上市前告知</w:t>
      </w:r>
      <w:r>
        <w:rPr>
          <w:sz w:val="24"/>
          <w:lang w:eastAsia="zh-CN"/>
        </w:rPr>
        <w:t>材料</w:t>
      </w:r>
      <w:r>
        <w:rPr>
          <w:sz w:val="24"/>
          <w:lang w:eastAsia="zh-CN"/>
        </w:rPr>
        <w:t>(510(k))</w:t>
      </w:r>
      <w:r>
        <w:rPr>
          <w:sz w:val="24"/>
          <w:lang w:eastAsia="zh-CN"/>
        </w:rPr>
        <w:t>或新</w:t>
      </w:r>
      <w:r>
        <w:rPr>
          <w:rFonts w:hint="eastAsia"/>
          <w:sz w:val="24"/>
          <w:lang w:eastAsia="zh-CN"/>
        </w:rPr>
        <w:t>上市前</w:t>
      </w:r>
      <w:r>
        <w:rPr>
          <w:sz w:val="24"/>
          <w:lang w:eastAsia="zh-CN"/>
        </w:rPr>
        <w:t>批准申请</w:t>
      </w:r>
      <w:r w:rsidR="00686262">
        <w:rPr>
          <w:rFonts w:hint="eastAsia"/>
          <w:sz w:val="24"/>
          <w:lang w:eastAsia="zh-CN"/>
        </w:rPr>
        <w:t>（</w:t>
      </w:r>
      <w:r w:rsidR="00686262">
        <w:rPr>
          <w:sz w:val="24"/>
          <w:lang w:eastAsia="zh-CN"/>
        </w:rPr>
        <w:t>PMA</w:t>
      </w:r>
      <w:r w:rsidR="00686262">
        <w:rPr>
          <w:rFonts w:hint="eastAsia"/>
          <w:sz w:val="24"/>
          <w:lang w:eastAsia="zh-CN"/>
        </w:rPr>
        <w:t>）</w:t>
      </w:r>
      <w:r>
        <w:rPr>
          <w:sz w:val="24"/>
          <w:lang w:eastAsia="zh-CN"/>
        </w:rPr>
        <w:t>的要求。此外，本指南不影响</w:t>
      </w:r>
      <w:r w:rsidR="00342F1C" w:rsidRPr="00342F1C">
        <w:rPr>
          <w:rFonts w:hint="eastAsia"/>
          <w:sz w:val="24"/>
          <w:lang w:eastAsia="zh-CN"/>
        </w:rPr>
        <w:t>适用于现行其他法令或法规的临床实验室的要求</w:t>
      </w:r>
      <w:r>
        <w:rPr>
          <w:sz w:val="24"/>
          <w:lang w:eastAsia="zh-CN"/>
        </w:rPr>
        <w:t>。</w:t>
      </w:r>
    </w:p>
    <w:p w14:paraId="1099C0BE" w14:textId="52F60167" w:rsidR="004E0030" w:rsidRDefault="00046C74">
      <w:pPr>
        <w:pStyle w:val="m2"/>
        <w:spacing w:before="120" w:after="120" w:line="400" w:lineRule="exact"/>
        <w:ind w:left="1274" w:hangingChars="235" w:hanging="566"/>
        <w:rPr>
          <w:szCs w:val="24"/>
          <w:lang w:eastAsia="zh-CN"/>
        </w:rPr>
      </w:pPr>
      <w:bookmarkStart w:id="42" w:name="bookmark34"/>
      <w:bookmarkStart w:id="43" w:name="_Toc97318733"/>
      <w:bookmarkStart w:id="44" w:name="bookmark35"/>
      <w:r>
        <w:rPr>
          <w:szCs w:val="24"/>
          <w:lang w:eastAsia="zh-CN"/>
        </w:rPr>
        <w:t>D.</w:t>
      </w:r>
      <w:r>
        <w:rPr>
          <w:szCs w:val="24"/>
          <w:lang w:eastAsia="zh-CN"/>
        </w:rPr>
        <w:tab/>
        <w:t>FDA</w:t>
      </w:r>
      <w:r>
        <w:rPr>
          <w:szCs w:val="24"/>
          <w:lang w:eastAsia="zh-CN"/>
        </w:rPr>
        <w:t>是否建议使用特定格式发送</w:t>
      </w:r>
      <w:r>
        <w:rPr>
          <w:szCs w:val="24"/>
          <w:lang w:eastAsia="zh-CN"/>
        </w:rPr>
        <w:t>LOINC</w:t>
      </w:r>
      <w:r>
        <w:rPr>
          <w:szCs w:val="24"/>
          <w:lang w:eastAsia="zh-CN"/>
        </w:rPr>
        <w:t>编码？</w:t>
      </w:r>
      <w:bookmarkEnd w:id="42"/>
      <w:bookmarkEnd w:id="43"/>
      <w:bookmarkEnd w:id="44"/>
    </w:p>
    <w:p w14:paraId="7583F437" w14:textId="694702F1" w:rsidR="004E0030" w:rsidRDefault="00046C74">
      <w:pPr>
        <w:snapToGrid w:val="0"/>
        <w:spacing w:beforeLines="50" w:before="120" w:line="400" w:lineRule="exact"/>
        <w:jc w:val="both"/>
        <w:rPr>
          <w:sz w:val="24"/>
          <w:lang w:eastAsia="zh-CN"/>
        </w:rPr>
      </w:pPr>
      <w:r>
        <w:rPr>
          <w:sz w:val="24"/>
          <w:lang w:eastAsia="zh-CN"/>
        </w:rPr>
        <w:t>不。</w:t>
      </w:r>
      <w:r>
        <w:rPr>
          <w:sz w:val="24"/>
          <w:lang w:eastAsia="zh-CN"/>
        </w:rPr>
        <w:t>FDA</w:t>
      </w:r>
      <w:r w:rsidR="007701EC">
        <w:rPr>
          <w:rFonts w:hint="eastAsia"/>
          <w:sz w:val="24"/>
          <w:lang w:eastAsia="zh-CN"/>
        </w:rPr>
        <w:t>并未</w:t>
      </w:r>
      <w:r>
        <w:rPr>
          <w:sz w:val="24"/>
          <w:lang w:eastAsia="zh-CN"/>
        </w:rPr>
        <w:t>推荐发送</w:t>
      </w:r>
      <w:r>
        <w:rPr>
          <w:sz w:val="24"/>
          <w:lang w:eastAsia="zh-CN"/>
        </w:rPr>
        <w:t>LOINC</w:t>
      </w:r>
      <w:r>
        <w:rPr>
          <w:sz w:val="24"/>
          <w:lang w:eastAsia="zh-CN"/>
        </w:rPr>
        <w:t>编码的具体格式。</w:t>
      </w:r>
      <w:r>
        <w:rPr>
          <w:sz w:val="24"/>
          <w:lang w:eastAsia="zh-CN"/>
        </w:rPr>
        <w:t>FDA</w:t>
      </w:r>
      <w:r>
        <w:rPr>
          <w:sz w:val="24"/>
          <w:lang w:eastAsia="zh-CN"/>
        </w:rPr>
        <w:t>认为，</w:t>
      </w:r>
      <w:r>
        <w:rPr>
          <w:sz w:val="24"/>
          <w:lang w:eastAsia="zh-CN"/>
        </w:rPr>
        <w:t>LOINC</w:t>
      </w:r>
      <w:r>
        <w:rPr>
          <w:sz w:val="24"/>
          <w:lang w:eastAsia="zh-CN"/>
        </w:rPr>
        <w:t>代码可能以表格格式显示为简单文本，也可能以结构化格式显示，如</w:t>
      </w:r>
      <w:r>
        <w:rPr>
          <w:sz w:val="24"/>
          <w:lang w:eastAsia="zh-CN"/>
        </w:rPr>
        <w:t>Java</w:t>
      </w:r>
      <w:r>
        <w:rPr>
          <w:sz w:val="24"/>
          <w:lang w:eastAsia="zh-CN"/>
        </w:rPr>
        <w:t>脚本对象表示法（</w:t>
      </w:r>
      <w:r>
        <w:rPr>
          <w:sz w:val="24"/>
          <w:lang w:eastAsia="zh-CN"/>
        </w:rPr>
        <w:t>JSON</w:t>
      </w:r>
      <w:r>
        <w:rPr>
          <w:sz w:val="24"/>
          <w:lang w:eastAsia="zh-CN"/>
        </w:rPr>
        <w:t>）或可扩展标记语言（</w:t>
      </w:r>
      <w:r>
        <w:rPr>
          <w:sz w:val="24"/>
          <w:lang w:eastAsia="zh-CN"/>
        </w:rPr>
        <w:t>XML</w:t>
      </w:r>
      <w:r>
        <w:rPr>
          <w:sz w:val="24"/>
          <w:lang w:eastAsia="zh-CN"/>
        </w:rPr>
        <w:t>）。</w:t>
      </w:r>
    </w:p>
    <w:p w14:paraId="623CCED9" w14:textId="58DA80AC" w:rsidR="004E0030" w:rsidRDefault="00046C74">
      <w:pPr>
        <w:snapToGrid w:val="0"/>
        <w:spacing w:beforeLines="50" w:before="120" w:line="400" w:lineRule="exact"/>
        <w:jc w:val="both"/>
        <w:rPr>
          <w:sz w:val="24"/>
          <w:lang w:eastAsia="zh-CN"/>
        </w:rPr>
      </w:pPr>
      <w:r>
        <w:rPr>
          <w:sz w:val="24"/>
          <w:lang w:eastAsia="zh-CN"/>
        </w:rPr>
        <w:t>然而，</w:t>
      </w:r>
      <w:r>
        <w:rPr>
          <w:sz w:val="24"/>
          <w:lang w:eastAsia="zh-CN"/>
        </w:rPr>
        <w:t>FDA</w:t>
      </w:r>
      <w:r>
        <w:rPr>
          <w:sz w:val="24"/>
          <w:lang w:eastAsia="zh-CN"/>
        </w:rPr>
        <w:t>强烈建议使用</w:t>
      </w:r>
      <w:r w:rsidR="005A1A40">
        <w:rPr>
          <w:sz w:val="24"/>
          <w:lang w:eastAsia="zh-CN"/>
        </w:rPr>
        <w:t>经</w:t>
      </w:r>
      <w:r>
        <w:rPr>
          <w:sz w:val="24"/>
          <w:lang w:eastAsia="zh-CN"/>
        </w:rPr>
        <w:t>FDA</w:t>
      </w:r>
      <w:r>
        <w:rPr>
          <w:sz w:val="24"/>
          <w:lang w:eastAsia="zh-CN"/>
        </w:rPr>
        <w:t>认可</w:t>
      </w:r>
      <w:r w:rsidR="005A1A40">
        <w:rPr>
          <w:sz w:val="24"/>
          <w:lang w:eastAsia="zh-CN"/>
        </w:rPr>
        <w:t>的</w:t>
      </w:r>
      <w:r>
        <w:rPr>
          <w:sz w:val="24"/>
          <w:lang w:eastAsia="zh-CN"/>
        </w:rPr>
        <w:t>共识标准作为向实验室或其他最终用户传递或传播制造商或其他方（例如</w:t>
      </w:r>
      <w:proofErr w:type="spellStart"/>
      <w:r>
        <w:rPr>
          <w:sz w:val="24"/>
          <w:lang w:eastAsia="zh-CN"/>
        </w:rPr>
        <w:t>Regenstrief</w:t>
      </w:r>
      <w:proofErr w:type="spellEnd"/>
      <w:r w:rsidR="005A1A40">
        <w:rPr>
          <w:rFonts w:hint="eastAsia"/>
          <w:sz w:val="24"/>
          <w:lang w:eastAsia="zh-CN"/>
        </w:rPr>
        <w:t xml:space="preserve"> </w:t>
      </w:r>
      <w:r w:rsidR="005A1A40" w:rsidRPr="005A1A40">
        <w:rPr>
          <w:sz w:val="24"/>
          <w:lang w:eastAsia="zh-CN"/>
        </w:rPr>
        <w:t>Institute</w:t>
      </w:r>
      <w:r>
        <w:rPr>
          <w:sz w:val="24"/>
          <w:lang w:eastAsia="zh-CN"/>
        </w:rPr>
        <w:t>）提供的</w:t>
      </w:r>
      <w:r>
        <w:rPr>
          <w:sz w:val="24"/>
          <w:lang w:eastAsia="zh-CN"/>
        </w:rPr>
        <w:t>LOINC</w:t>
      </w:r>
      <w:r>
        <w:rPr>
          <w:sz w:val="24"/>
          <w:lang w:eastAsia="zh-CN"/>
        </w:rPr>
        <w:t>编码的机制。</w:t>
      </w:r>
      <w:r>
        <w:rPr>
          <w:sz w:val="24"/>
          <w:lang w:eastAsia="zh-CN"/>
        </w:rPr>
        <w:t>IVD</w:t>
      </w:r>
      <w:r>
        <w:rPr>
          <w:sz w:val="24"/>
          <w:lang w:eastAsia="zh-CN"/>
        </w:rPr>
        <w:t>的</w:t>
      </w:r>
      <w:r>
        <w:rPr>
          <w:sz w:val="24"/>
          <w:lang w:eastAsia="zh-CN"/>
        </w:rPr>
        <w:t>LOINC</w:t>
      </w:r>
      <w:r>
        <w:rPr>
          <w:sz w:val="24"/>
          <w:lang w:eastAsia="zh-CN"/>
        </w:rPr>
        <w:t>传输文件</w:t>
      </w:r>
      <w:r w:rsidR="00084C6A">
        <w:rPr>
          <w:rFonts w:hint="eastAsia"/>
          <w:sz w:val="24"/>
          <w:lang w:eastAsia="zh-CN"/>
        </w:rPr>
        <w:t>（</w:t>
      </w:r>
      <w:r w:rsidR="00084C6A">
        <w:rPr>
          <w:sz w:val="24"/>
          <w:lang w:eastAsia="zh-CN"/>
        </w:rPr>
        <w:t>LIVD</w:t>
      </w:r>
      <w:r w:rsidR="00084C6A">
        <w:rPr>
          <w:rFonts w:hint="eastAsia"/>
          <w:sz w:val="24"/>
          <w:lang w:eastAsia="zh-CN"/>
        </w:rPr>
        <w:t>）</w:t>
      </w:r>
      <w:r>
        <w:rPr>
          <w:sz w:val="24"/>
          <w:lang w:eastAsia="zh-CN"/>
        </w:rPr>
        <w:t>标准是</w:t>
      </w:r>
      <w:r>
        <w:rPr>
          <w:sz w:val="24"/>
          <w:lang w:eastAsia="zh-CN"/>
        </w:rPr>
        <w:t>IVD</w:t>
      </w:r>
      <w:r>
        <w:rPr>
          <w:sz w:val="24"/>
          <w:lang w:eastAsia="zh-CN"/>
        </w:rPr>
        <w:t>行业互联联盟为此明确制定的一种通信标准。</w:t>
      </w:r>
      <w:hyperlink w:anchor="bookmark36" w:tooltip="当前文件">
        <w:r>
          <w:rPr>
            <w:sz w:val="24"/>
            <w:vertAlign w:val="superscript"/>
            <w:lang w:eastAsia="zh-CN"/>
          </w:rPr>
          <w:t>14</w:t>
        </w:r>
        <w:r>
          <w:rPr>
            <w:sz w:val="24"/>
            <w:lang w:eastAsia="zh-CN"/>
          </w:rPr>
          <w:t xml:space="preserve"> </w:t>
        </w:r>
      </w:hyperlink>
      <w:r>
        <w:rPr>
          <w:sz w:val="24"/>
          <w:lang w:eastAsia="zh-CN"/>
        </w:rPr>
        <w:t>标准化格式有助于实验室采用新</w:t>
      </w:r>
      <w:r>
        <w:rPr>
          <w:sz w:val="24"/>
          <w:lang w:eastAsia="zh-CN"/>
        </w:rPr>
        <w:t>LOINC</w:t>
      </w:r>
      <w:r>
        <w:rPr>
          <w:sz w:val="24"/>
          <w:lang w:eastAsia="zh-CN"/>
        </w:rPr>
        <w:t>编码，对现有</w:t>
      </w:r>
      <w:r>
        <w:rPr>
          <w:sz w:val="24"/>
          <w:lang w:eastAsia="zh-CN"/>
        </w:rPr>
        <w:t>LOINC</w:t>
      </w:r>
      <w:r>
        <w:rPr>
          <w:sz w:val="24"/>
          <w:lang w:eastAsia="zh-CN"/>
        </w:rPr>
        <w:t>编码进行更新或更改，并维护适用于本地使用的</w:t>
      </w:r>
      <w:r>
        <w:rPr>
          <w:sz w:val="24"/>
          <w:lang w:eastAsia="zh-CN"/>
        </w:rPr>
        <w:t>LOINC</w:t>
      </w:r>
      <w:r>
        <w:rPr>
          <w:sz w:val="24"/>
          <w:lang w:eastAsia="zh-CN"/>
        </w:rPr>
        <w:t>编码数据库。如今，适用于电子传输的</w:t>
      </w:r>
      <w:r>
        <w:rPr>
          <w:sz w:val="24"/>
          <w:lang w:eastAsia="zh-CN"/>
        </w:rPr>
        <w:t>LOINC</w:t>
      </w:r>
      <w:r>
        <w:rPr>
          <w:sz w:val="24"/>
          <w:lang w:eastAsia="zh-CN"/>
        </w:rPr>
        <w:t>编码的标准被不断修改或扩展，或者出现了新</w:t>
      </w:r>
      <w:r w:rsidR="00232DEF">
        <w:rPr>
          <w:sz w:val="24"/>
          <w:lang w:eastAsia="zh-CN"/>
        </w:rPr>
        <w:t>的</w:t>
      </w:r>
      <w:r>
        <w:rPr>
          <w:sz w:val="24"/>
          <w:lang w:eastAsia="zh-CN"/>
        </w:rPr>
        <w:t>标准，</w:t>
      </w:r>
      <w:r>
        <w:rPr>
          <w:sz w:val="24"/>
          <w:lang w:eastAsia="zh-CN"/>
        </w:rPr>
        <w:t>FDA</w:t>
      </w:r>
      <w:r>
        <w:rPr>
          <w:sz w:val="24"/>
          <w:lang w:eastAsia="zh-CN"/>
        </w:rPr>
        <w:t>建议制造商关注这一领域的发展，因为这些标准可能进一步促进实验室内部和实验室之间阐述更强大的语义互操作性。</w:t>
      </w:r>
    </w:p>
    <w:p w14:paraId="51D85830" w14:textId="77777777" w:rsidR="004E0030" w:rsidRDefault="004E0030">
      <w:pPr>
        <w:snapToGrid w:val="0"/>
        <w:spacing w:beforeLines="50" w:before="120"/>
        <w:jc w:val="both"/>
        <w:rPr>
          <w:sz w:val="18"/>
          <w:szCs w:val="18"/>
          <w:lang w:eastAsia="zh-CN"/>
        </w:rPr>
      </w:pPr>
      <w:bookmarkStart w:id="45" w:name="bookmark36"/>
    </w:p>
    <w:p w14:paraId="73BBFEDA" w14:textId="77777777" w:rsidR="004E0030" w:rsidRDefault="004E0030">
      <w:pPr>
        <w:snapToGrid w:val="0"/>
        <w:spacing w:beforeLines="50" w:before="120"/>
        <w:jc w:val="both"/>
        <w:rPr>
          <w:sz w:val="18"/>
          <w:szCs w:val="18"/>
          <w:lang w:eastAsia="zh-CN"/>
        </w:rPr>
      </w:pPr>
    </w:p>
    <w:p w14:paraId="0E2CF419" w14:textId="77777777" w:rsidR="004E0030" w:rsidRDefault="004E0030">
      <w:pPr>
        <w:snapToGrid w:val="0"/>
        <w:spacing w:beforeLines="50" w:before="120"/>
        <w:jc w:val="both"/>
        <w:rPr>
          <w:sz w:val="18"/>
          <w:szCs w:val="18"/>
          <w:lang w:eastAsia="zh-CN"/>
        </w:rPr>
      </w:pPr>
    </w:p>
    <w:p w14:paraId="6D9D2325" w14:textId="77777777" w:rsidR="004E0030" w:rsidRDefault="004E0030">
      <w:pPr>
        <w:snapToGrid w:val="0"/>
        <w:spacing w:beforeLines="50" w:before="120"/>
        <w:jc w:val="both"/>
        <w:rPr>
          <w:sz w:val="18"/>
          <w:szCs w:val="18"/>
          <w:lang w:eastAsia="zh-CN"/>
        </w:rPr>
      </w:pPr>
    </w:p>
    <w:p w14:paraId="405A27E5" w14:textId="77777777" w:rsidR="004E0030" w:rsidRDefault="004E0030">
      <w:pPr>
        <w:snapToGrid w:val="0"/>
        <w:spacing w:beforeLines="50" w:before="120"/>
        <w:jc w:val="both"/>
        <w:rPr>
          <w:sz w:val="18"/>
          <w:szCs w:val="18"/>
          <w:lang w:eastAsia="zh-CN"/>
        </w:rPr>
      </w:pPr>
    </w:p>
    <w:p w14:paraId="5DB953EE" w14:textId="77777777" w:rsidR="004E0030" w:rsidRDefault="004E0030">
      <w:pPr>
        <w:snapToGrid w:val="0"/>
        <w:spacing w:beforeLines="50" w:before="120"/>
        <w:jc w:val="both"/>
        <w:rPr>
          <w:sz w:val="18"/>
          <w:szCs w:val="18"/>
          <w:lang w:eastAsia="zh-CN"/>
        </w:rPr>
      </w:pPr>
    </w:p>
    <w:p w14:paraId="29D5C633" w14:textId="77777777" w:rsidR="004E0030" w:rsidRDefault="004E0030">
      <w:pPr>
        <w:snapToGrid w:val="0"/>
        <w:spacing w:beforeLines="50" w:before="120"/>
        <w:jc w:val="both"/>
        <w:rPr>
          <w:sz w:val="18"/>
          <w:szCs w:val="18"/>
          <w:lang w:eastAsia="zh-CN"/>
        </w:rPr>
      </w:pPr>
    </w:p>
    <w:p w14:paraId="09216C38" w14:textId="77777777" w:rsidR="004E0030" w:rsidRDefault="004E0030">
      <w:pPr>
        <w:snapToGrid w:val="0"/>
        <w:spacing w:beforeLines="50" w:before="120"/>
        <w:jc w:val="both"/>
        <w:rPr>
          <w:sz w:val="18"/>
          <w:szCs w:val="18"/>
          <w:lang w:eastAsia="zh-CN"/>
        </w:rPr>
      </w:pPr>
    </w:p>
    <w:p w14:paraId="62416414" w14:textId="77777777" w:rsidR="004E0030" w:rsidRDefault="004E0030">
      <w:pPr>
        <w:snapToGrid w:val="0"/>
        <w:spacing w:beforeLines="50" w:before="120"/>
        <w:jc w:val="both"/>
        <w:rPr>
          <w:sz w:val="18"/>
          <w:szCs w:val="18"/>
          <w:lang w:eastAsia="zh-CN"/>
        </w:rPr>
      </w:pPr>
    </w:p>
    <w:p w14:paraId="01A934E7" w14:textId="77777777" w:rsidR="004E0030" w:rsidRDefault="004E0030">
      <w:pPr>
        <w:snapToGrid w:val="0"/>
        <w:spacing w:beforeLines="50" w:before="120"/>
        <w:jc w:val="both"/>
        <w:rPr>
          <w:sz w:val="18"/>
          <w:szCs w:val="18"/>
          <w:lang w:eastAsia="zh-CN"/>
        </w:rPr>
      </w:pPr>
    </w:p>
    <w:p w14:paraId="535F2908" w14:textId="77777777" w:rsidR="004E0030" w:rsidRDefault="004E0030">
      <w:pPr>
        <w:snapToGrid w:val="0"/>
        <w:spacing w:beforeLines="50" w:before="120"/>
        <w:jc w:val="both"/>
        <w:rPr>
          <w:sz w:val="18"/>
          <w:szCs w:val="18"/>
          <w:lang w:eastAsia="zh-CN"/>
        </w:rPr>
      </w:pPr>
    </w:p>
    <w:p w14:paraId="04B5EAB5" w14:textId="77777777" w:rsidR="004E0030" w:rsidRDefault="004E0030">
      <w:pPr>
        <w:snapToGrid w:val="0"/>
        <w:spacing w:beforeLines="50" w:before="120"/>
        <w:jc w:val="both"/>
        <w:rPr>
          <w:sz w:val="18"/>
          <w:szCs w:val="18"/>
          <w:lang w:eastAsia="zh-CN"/>
        </w:rPr>
      </w:pPr>
    </w:p>
    <w:p w14:paraId="51F9D5AE" w14:textId="77777777" w:rsidR="004E0030" w:rsidRDefault="004E0030">
      <w:pPr>
        <w:snapToGrid w:val="0"/>
        <w:spacing w:beforeLines="50" w:before="120"/>
        <w:jc w:val="both"/>
        <w:rPr>
          <w:sz w:val="18"/>
          <w:szCs w:val="18"/>
          <w:lang w:eastAsia="zh-CN"/>
        </w:rPr>
      </w:pPr>
    </w:p>
    <w:p w14:paraId="78874954" w14:textId="77777777" w:rsidR="004E0030" w:rsidRDefault="004E0030">
      <w:pPr>
        <w:snapToGrid w:val="0"/>
        <w:spacing w:beforeLines="50" w:before="120"/>
        <w:jc w:val="both"/>
        <w:rPr>
          <w:sz w:val="18"/>
          <w:szCs w:val="18"/>
          <w:lang w:eastAsia="zh-CN"/>
        </w:rPr>
      </w:pPr>
    </w:p>
    <w:p w14:paraId="7915028A" w14:textId="77777777" w:rsidR="004E0030" w:rsidRDefault="004E0030">
      <w:pPr>
        <w:snapToGrid w:val="0"/>
        <w:spacing w:beforeLines="50" w:before="120"/>
        <w:jc w:val="both"/>
        <w:rPr>
          <w:sz w:val="18"/>
          <w:szCs w:val="18"/>
          <w:lang w:eastAsia="zh-CN"/>
        </w:rPr>
      </w:pPr>
    </w:p>
    <w:p w14:paraId="360F5F0C" w14:textId="77777777" w:rsidR="004E0030" w:rsidRDefault="004E0030">
      <w:pPr>
        <w:snapToGrid w:val="0"/>
        <w:spacing w:beforeLines="50" w:before="120"/>
        <w:jc w:val="both"/>
        <w:rPr>
          <w:sz w:val="18"/>
          <w:szCs w:val="18"/>
          <w:lang w:eastAsia="zh-CN"/>
        </w:rPr>
      </w:pPr>
    </w:p>
    <w:p w14:paraId="06BE0D07" w14:textId="77777777" w:rsidR="004E0030" w:rsidRDefault="004E0030">
      <w:pPr>
        <w:snapToGrid w:val="0"/>
        <w:spacing w:beforeLines="50" w:before="120"/>
        <w:jc w:val="both"/>
        <w:rPr>
          <w:sz w:val="18"/>
          <w:szCs w:val="18"/>
          <w:lang w:eastAsia="zh-CN"/>
        </w:rPr>
      </w:pPr>
    </w:p>
    <w:p w14:paraId="44068BD3" w14:textId="77777777" w:rsidR="004E0030" w:rsidRDefault="004E0030">
      <w:pPr>
        <w:snapToGrid w:val="0"/>
        <w:spacing w:beforeLines="50" w:before="120"/>
        <w:jc w:val="both"/>
        <w:rPr>
          <w:sz w:val="18"/>
          <w:szCs w:val="18"/>
          <w:lang w:eastAsia="zh-CN"/>
        </w:rPr>
      </w:pPr>
    </w:p>
    <w:p w14:paraId="4A2F0607" w14:textId="77777777" w:rsidR="004E0030" w:rsidRDefault="004E0030">
      <w:pPr>
        <w:snapToGrid w:val="0"/>
        <w:spacing w:beforeLines="50" w:before="120"/>
        <w:jc w:val="both"/>
        <w:rPr>
          <w:sz w:val="18"/>
          <w:szCs w:val="18"/>
          <w:lang w:eastAsia="zh-CN"/>
        </w:rPr>
      </w:pPr>
    </w:p>
    <w:p w14:paraId="0907155C" w14:textId="77777777" w:rsidR="004E0030" w:rsidRDefault="004E0030">
      <w:pPr>
        <w:snapToGrid w:val="0"/>
        <w:spacing w:beforeLines="50" w:before="120"/>
        <w:jc w:val="both"/>
        <w:rPr>
          <w:sz w:val="18"/>
          <w:szCs w:val="18"/>
          <w:lang w:eastAsia="zh-CN"/>
        </w:rPr>
      </w:pPr>
    </w:p>
    <w:p w14:paraId="6FCB2397" w14:textId="77777777" w:rsidR="004E0030" w:rsidRDefault="00046C74">
      <w:pPr>
        <w:snapToGrid w:val="0"/>
        <w:spacing w:beforeLines="50" w:before="120"/>
        <w:jc w:val="both"/>
        <w:rPr>
          <w:sz w:val="18"/>
          <w:szCs w:val="18"/>
          <w:lang w:eastAsia="zh-CN"/>
        </w:rPr>
      </w:pPr>
      <w:r>
        <w:rPr>
          <w:sz w:val="18"/>
          <w:szCs w:val="18"/>
          <w:lang w:eastAsia="zh-CN"/>
        </w:rPr>
        <w:t>___________________________</w:t>
      </w:r>
    </w:p>
    <w:p w14:paraId="5F214865" w14:textId="77777777" w:rsidR="004E0030" w:rsidRDefault="00046C74">
      <w:pPr>
        <w:tabs>
          <w:tab w:val="left" w:pos="182"/>
        </w:tabs>
        <w:snapToGrid w:val="0"/>
        <w:spacing w:beforeLines="50" w:before="120"/>
        <w:jc w:val="both"/>
        <w:rPr>
          <w:color w:val="0000FF"/>
          <w:sz w:val="18"/>
          <w:szCs w:val="18"/>
          <w:lang w:eastAsia="zh-CN"/>
        </w:rPr>
      </w:pPr>
      <w:r>
        <w:rPr>
          <w:sz w:val="18"/>
          <w:szCs w:val="18"/>
          <w:vertAlign w:val="superscript"/>
          <w:lang w:eastAsia="zh-CN"/>
        </w:rPr>
        <w:t>14</w:t>
      </w:r>
      <w:r>
        <w:rPr>
          <w:sz w:val="18"/>
          <w:szCs w:val="18"/>
          <w:lang w:eastAsia="zh-CN"/>
        </w:rPr>
        <w:tab/>
      </w:r>
      <w:r>
        <w:rPr>
          <w:rFonts w:hint="eastAsia"/>
          <w:sz w:val="18"/>
          <w:szCs w:val="18"/>
          <w:lang w:eastAsia="zh-CN"/>
        </w:rPr>
        <w:t>参见</w:t>
      </w:r>
      <w:r>
        <w:rPr>
          <w:sz w:val="18"/>
          <w:szCs w:val="18"/>
          <w:lang w:eastAsia="zh-CN"/>
        </w:rPr>
        <w:t xml:space="preserve"> </w:t>
      </w:r>
      <w:hyperlink r:id="rId13" w:history="1">
        <w:r>
          <w:rPr>
            <w:rStyle w:val="a9"/>
            <w:color w:val="0000FF"/>
            <w:sz w:val="18"/>
            <w:szCs w:val="18"/>
            <w:lang w:eastAsia="zh-CN"/>
          </w:rPr>
          <w:t>http://ivdconnectivity.org/livd</w:t>
        </w:r>
      </w:hyperlink>
      <w:r>
        <w:rPr>
          <w:color w:val="0000FF"/>
          <w:sz w:val="18"/>
          <w:szCs w:val="18"/>
          <w:u w:val="single"/>
          <w:lang w:eastAsia="zh-CN"/>
        </w:rPr>
        <w:t>/</w:t>
      </w:r>
      <w:bookmarkEnd w:id="45"/>
    </w:p>
    <w:sectPr w:rsidR="004E0030">
      <w:headerReference w:type="default" r:id="rId14"/>
      <w:footerReference w:type="default" r:id="rId15"/>
      <w:pgSz w:w="11907" w:h="16840"/>
      <w:pgMar w:top="1429" w:right="1797" w:bottom="1429"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963F7" w14:textId="77777777" w:rsidR="004108DB" w:rsidRDefault="004108DB">
      <w:r>
        <w:separator/>
      </w:r>
    </w:p>
  </w:endnote>
  <w:endnote w:type="continuationSeparator" w:id="0">
    <w:p w14:paraId="18DF1FA4" w14:textId="77777777" w:rsidR="004108DB" w:rsidRDefault="00410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6242" w14:textId="77777777" w:rsidR="004E0030" w:rsidRDefault="00046C74">
    <w:pPr>
      <w:pStyle w:val="a5"/>
      <w:jc w:val="right"/>
      <w:rPr>
        <w:sz w:val="21"/>
        <w:szCs w:val="21"/>
      </w:rPr>
    </w:pPr>
    <w:r>
      <w:rPr>
        <w:sz w:val="21"/>
        <w:szCs w:val="21"/>
        <w:lang w:eastAsia="zh-CN"/>
      </w:rPr>
      <w:fldChar w:fldCharType="begin"/>
    </w:r>
    <w:r>
      <w:rPr>
        <w:sz w:val="21"/>
        <w:szCs w:val="21"/>
        <w:lang w:eastAsia="zh-CN"/>
      </w:rPr>
      <w:instrText xml:space="preserve"> PAGE   \* MERGEFORMAT </w:instrText>
    </w:r>
    <w:r>
      <w:rPr>
        <w:sz w:val="21"/>
        <w:szCs w:val="21"/>
        <w:lang w:eastAsia="zh-CN"/>
      </w:rPr>
      <w:fldChar w:fldCharType="separate"/>
    </w:r>
    <w:r w:rsidR="00121A71">
      <w:rPr>
        <w:noProof/>
        <w:sz w:val="21"/>
        <w:szCs w:val="21"/>
        <w:lang w:eastAsia="zh-CN"/>
      </w:rPr>
      <w:t>4</w:t>
    </w:r>
    <w:r>
      <w:rPr>
        <w:sz w:val="21"/>
        <w:szCs w:val="21"/>
        <w:lang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58D10" w14:textId="77777777" w:rsidR="004108DB" w:rsidRDefault="004108DB">
      <w:r>
        <w:separator/>
      </w:r>
    </w:p>
  </w:footnote>
  <w:footnote w:type="continuationSeparator" w:id="0">
    <w:p w14:paraId="7E7C78AB" w14:textId="77777777" w:rsidR="004108DB" w:rsidRDefault="00410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34607" w14:textId="77777777" w:rsidR="004E0030" w:rsidRDefault="004E0030">
    <w:pPr>
      <w:pStyle w:val="a7"/>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68EA9" w14:textId="51873514" w:rsidR="004E0030" w:rsidRDefault="00121A71">
    <w:pPr>
      <w:snapToGrid w:val="0"/>
      <w:spacing w:beforeLines="50" w:before="120"/>
      <w:jc w:val="center"/>
    </w:pPr>
    <w:r w:rsidRPr="00121A71">
      <w:rPr>
        <w:rFonts w:hint="eastAsia"/>
        <w:b/>
        <w:bCs/>
        <w:i/>
        <w:iCs/>
        <w:lang w:eastAsia="zh-CN"/>
      </w:rPr>
      <w:t>所含建议不具约束力</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6797"/>
    <w:rsid w:val="000459C7"/>
    <w:rsid w:val="00046C74"/>
    <w:rsid w:val="00081CB5"/>
    <w:rsid w:val="00084C6A"/>
    <w:rsid w:val="000A2970"/>
    <w:rsid w:val="000A2C1A"/>
    <w:rsid w:val="000C733B"/>
    <w:rsid w:val="00121A71"/>
    <w:rsid w:val="0019037B"/>
    <w:rsid w:val="00232DEF"/>
    <w:rsid w:val="002527E8"/>
    <w:rsid w:val="002A6797"/>
    <w:rsid w:val="002D25C8"/>
    <w:rsid w:val="00324ADF"/>
    <w:rsid w:val="00342F1C"/>
    <w:rsid w:val="00372669"/>
    <w:rsid w:val="00397EB3"/>
    <w:rsid w:val="004108DB"/>
    <w:rsid w:val="0044036A"/>
    <w:rsid w:val="004419E3"/>
    <w:rsid w:val="004D28FA"/>
    <w:rsid w:val="004E0030"/>
    <w:rsid w:val="004E20C5"/>
    <w:rsid w:val="005357DF"/>
    <w:rsid w:val="00546128"/>
    <w:rsid w:val="005A1A40"/>
    <w:rsid w:val="005B7614"/>
    <w:rsid w:val="005C71D2"/>
    <w:rsid w:val="006068D7"/>
    <w:rsid w:val="00630F3D"/>
    <w:rsid w:val="00664283"/>
    <w:rsid w:val="0068591A"/>
    <w:rsid w:val="00686262"/>
    <w:rsid w:val="0072274E"/>
    <w:rsid w:val="007331F0"/>
    <w:rsid w:val="007701EC"/>
    <w:rsid w:val="007A217B"/>
    <w:rsid w:val="00806A05"/>
    <w:rsid w:val="008167AF"/>
    <w:rsid w:val="00827BE9"/>
    <w:rsid w:val="00835F22"/>
    <w:rsid w:val="008E7D78"/>
    <w:rsid w:val="00906B51"/>
    <w:rsid w:val="00937479"/>
    <w:rsid w:val="00993332"/>
    <w:rsid w:val="009B192E"/>
    <w:rsid w:val="009C15A3"/>
    <w:rsid w:val="009F37D4"/>
    <w:rsid w:val="00A3020C"/>
    <w:rsid w:val="00A64874"/>
    <w:rsid w:val="00A72008"/>
    <w:rsid w:val="00A768FA"/>
    <w:rsid w:val="00A869ED"/>
    <w:rsid w:val="00AB5232"/>
    <w:rsid w:val="00B20727"/>
    <w:rsid w:val="00B22961"/>
    <w:rsid w:val="00B45EC1"/>
    <w:rsid w:val="00B728F6"/>
    <w:rsid w:val="00B8010E"/>
    <w:rsid w:val="00BA4746"/>
    <w:rsid w:val="00BF1B18"/>
    <w:rsid w:val="00C36816"/>
    <w:rsid w:val="00C752FC"/>
    <w:rsid w:val="00C83074"/>
    <w:rsid w:val="00C95687"/>
    <w:rsid w:val="00D074EB"/>
    <w:rsid w:val="00D33D92"/>
    <w:rsid w:val="00D67C0D"/>
    <w:rsid w:val="00E674D7"/>
    <w:rsid w:val="00E84755"/>
    <w:rsid w:val="00F72F2D"/>
    <w:rsid w:val="00FC5C2A"/>
    <w:rsid w:val="36AA6F51"/>
    <w:rsid w:val="6DBE0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20487"/>
  <w15:docId w15:val="{F367897A-FB09-458C-B95E-F529681E3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pPr>
    <w:rPr>
      <w:rFonts w:eastAsia="宋体"/>
      <w:color w:val="000000"/>
      <w:sz w:val="21"/>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pPr>
      <w:tabs>
        <w:tab w:val="left" w:pos="426"/>
        <w:tab w:val="right" w:leader="dot" w:pos="8303"/>
      </w:tabs>
      <w:spacing w:beforeLines="50"/>
    </w:pPr>
    <w:rPr>
      <w:sz w:val="24"/>
      <w:szCs w:val="21"/>
    </w:rPr>
  </w:style>
  <w:style w:type="paragraph" w:styleId="TOC2">
    <w:name w:val="toc 2"/>
    <w:basedOn w:val="a"/>
    <w:next w:val="a"/>
    <w:uiPriority w:val="39"/>
    <w:unhideWhenUsed/>
    <w:pPr>
      <w:tabs>
        <w:tab w:val="left" w:pos="840"/>
        <w:tab w:val="right" w:leader="dot" w:pos="8303"/>
      </w:tabs>
      <w:spacing w:beforeLines="50"/>
      <w:ind w:leftChars="200" w:left="850" w:hangingChars="205" w:hanging="430"/>
    </w:pPr>
    <w:rPr>
      <w:sz w:val="24"/>
      <w:szCs w:val="21"/>
    </w:rPr>
  </w:style>
  <w:style w:type="character" w:styleId="a9">
    <w:name w:val="Hyperlink"/>
    <w:basedOn w:val="a0"/>
    <w:rPr>
      <w:color w:val="0066CC"/>
      <w:u w:val="single"/>
    </w:rPr>
  </w:style>
  <w:style w:type="paragraph" w:customStyle="1" w:styleId="b1">
    <w:name w:val="样式b1"/>
    <w:basedOn w:val="a"/>
    <w:pPr>
      <w:pBdr>
        <w:bottom w:val="single" w:sz="4" w:space="1" w:color="auto"/>
      </w:pBdr>
      <w:snapToGrid w:val="0"/>
      <w:spacing w:beforeLines="50"/>
      <w:jc w:val="center"/>
    </w:pPr>
    <w:rPr>
      <w:b/>
      <w:bCs/>
      <w:sz w:val="52"/>
      <w:szCs w:val="52"/>
    </w:rPr>
  </w:style>
  <w:style w:type="paragraph" w:customStyle="1" w:styleId="b2">
    <w:name w:val="样式b2"/>
    <w:basedOn w:val="a"/>
    <w:pPr>
      <w:snapToGrid w:val="0"/>
      <w:spacing w:beforeLines="50"/>
      <w:jc w:val="center"/>
    </w:pPr>
    <w:rPr>
      <w:b/>
      <w:bCs/>
      <w:sz w:val="52"/>
      <w:szCs w:val="52"/>
    </w:rPr>
  </w:style>
  <w:style w:type="paragraph" w:customStyle="1" w:styleId="m1">
    <w:name w:val="样式m1"/>
    <w:basedOn w:val="a"/>
    <w:pPr>
      <w:tabs>
        <w:tab w:val="left" w:pos="567"/>
      </w:tabs>
      <w:snapToGrid w:val="0"/>
      <w:spacing w:beforeLines="50" w:afterLines="50"/>
      <w:ind w:left="565" w:hangingChars="201" w:hanging="565"/>
      <w:jc w:val="both"/>
    </w:pPr>
    <w:rPr>
      <w:b/>
      <w:bCs/>
      <w:sz w:val="28"/>
      <w:szCs w:val="28"/>
    </w:rPr>
  </w:style>
  <w:style w:type="paragraph" w:customStyle="1" w:styleId="m2">
    <w:name w:val="样式m2"/>
    <w:basedOn w:val="a"/>
    <w:pPr>
      <w:tabs>
        <w:tab w:val="left" w:pos="1276"/>
      </w:tabs>
      <w:snapToGrid w:val="0"/>
      <w:spacing w:beforeLines="50" w:afterLines="50"/>
      <w:ind w:leftChars="337" w:left="1275" w:hangingChars="269" w:hanging="567"/>
      <w:jc w:val="both"/>
    </w:pPr>
    <w:rPr>
      <w:b/>
      <w:bCs/>
      <w:sz w:val="24"/>
      <w:szCs w:val="21"/>
    </w:rPr>
  </w:style>
  <w:style w:type="paragraph" w:customStyle="1" w:styleId="m22">
    <w:name w:val="样式m22"/>
    <w:basedOn w:val="a"/>
    <w:pPr>
      <w:tabs>
        <w:tab w:val="left" w:pos="1560"/>
      </w:tabs>
      <w:snapToGrid w:val="0"/>
      <w:spacing w:beforeLines="50" w:afterLines="50"/>
      <w:jc w:val="both"/>
    </w:pPr>
    <w:rPr>
      <w:b/>
      <w:bCs/>
      <w:szCs w:val="21"/>
    </w:rPr>
  </w:style>
  <w:style w:type="paragraph" w:customStyle="1" w:styleId="m3">
    <w:name w:val="样式m3"/>
    <w:basedOn w:val="a"/>
    <w:pPr>
      <w:snapToGrid w:val="0"/>
      <w:spacing w:beforeLines="50" w:afterLines="50"/>
      <w:jc w:val="both"/>
    </w:pPr>
    <w:rPr>
      <w:b/>
      <w:bCs/>
      <w:szCs w:val="21"/>
    </w:rPr>
  </w:style>
  <w:style w:type="paragraph" w:customStyle="1" w:styleId="x">
    <w:name w:val="样式x"/>
    <w:basedOn w:val="a"/>
    <w:pPr>
      <w:tabs>
        <w:tab w:val="left" w:pos="709"/>
      </w:tabs>
      <w:snapToGrid w:val="0"/>
      <w:spacing w:beforeLines="50"/>
      <w:ind w:leftChars="203" w:left="707" w:hangingChars="134" w:hanging="281"/>
      <w:jc w:val="both"/>
    </w:pPr>
    <w:rPr>
      <w:szCs w:val="21"/>
    </w:rPr>
  </w:style>
  <w:style w:type="paragraph" w:customStyle="1" w:styleId="x2">
    <w:name w:val="样式x2"/>
    <w:basedOn w:val="a"/>
    <w:pPr>
      <w:snapToGrid w:val="0"/>
      <w:spacing w:beforeLines="50"/>
      <w:ind w:leftChars="539" w:left="1558" w:hangingChars="203" w:hanging="426"/>
      <w:jc w:val="both"/>
    </w:pPr>
    <w:rPr>
      <w:szCs w:val="21"/>
    </w:rPr>
  </w:style>
  <w:style w:type="character" w:customStyle="1" w:styleId="a4">
    <w:name w:val="批注框文本 字符"/>
    <w:basedOn w:val="a0"/>
    <w:link w:val="a3"/>
    <w:uiPriority w:val="99"/>
    <w:semiHidden/>
    <w:rPr>
      <w:rFonts w:eastAsia="宋体"/>
      <w:color w:val="000000"/>
      <w:sz w:val="18"/>
      <w:szCs w:val="18"/>
    </w:rPr>
  </w:style>
  <w:style w:type="character" w:customStyle="1" w:styleId="a8">
    <w:name w:val="页眉 字符"/>
    <w:basedOn w:val="a0"/>
    <w:link w:val="a7"/>
    <w:uiPriority w:val="99"/>
    <w:rPr>
      <w:rFonts w:eastAsia="宋体"/>
      <w:color w:val="000000"/>
      <w:sz w:val="18"/>
      <w:szCs w:val="18"/>
    </w:rPr>
  </w:style>
  <w:style w:type="character" w:customStyle="1" w:styleId="a6">
    <w:name w:val="页脚 字符"/>
    <w:basedOn w:val="a0"/>
    <w:link w:val="a5"/>
    <w:uiPriority w:val="99"/>
    <w:rPr>
      <w:rFonts w:eastAsia="宋体"/>
      <w:color w:val="000000"/>
      <w:sz w:val="18"/>
      <w:szCs w:val="18"/>
    </w:rPr>
  </w:style>
  <w:style w:type="paragraph" w:styleId="aa">
    <w:name w:val="Revision"/>
    <w:hidden/>
    <w:uiPriority w:val="99"/>
    <w:semiHidden/>
    <w:rsid w:val="008E7D78"/>
    <w:rPr>
      <w:rFonts w:eastAsia="宋体"/>
      <w:color w:val="000000"/>
      <w:sz w:val="21"/>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ivdconnectivity.org/livd/" TargetMode="External"/><Relationship Id="rId3" Type="http://schemas.openxmlformats.org/officeDocument/2006/relationships/settings" Target="settings.xml"/><Relationship Id="rId7" Type="http://schemas.openxmlformats.org/officeDocument/2006/relationships/hyperlink" Target="&#25910;&#20214;&#20154;&#65306;DigitalHealth@fda.hhs.gov" TargetMode="External"/><Relationship Id="rId12" Type="http://schemas.openxmlformats.org/officeDocument/2006/relationships/hyperlink" Target="https://www.healthit.gov/sites/default/files/hie-interoperability/nationwide-interoperability-roadmap-final-version-1.0.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inc.org/get-started/loinc-term-basic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fda.gov/BiologicsBloodVaccines/GuidanceComplianceRegulatoryInformation/%20Guidances/default.htm"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8</Pages>
  <Words>1279</Words>
  <Characters>7292</Characters>
  <Application>Microsoft Office Word</Application>
  <DocSecurity>0</DocSecurity>
  <Lines>60</Lines>
  <Paragraphs>17</Paragraphs>
  <ScaleCrop>false</ScaleCrop>
  <Company>Www.SangSan.Cn</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Certificates of Confidentiality Draft Guidance</dc:title>
  <dc:subject>Draft guidance for sponsors, sponsor-investigators, researchers, industry, and FDA Staff</dc:subject>
  <dc:creator>Food and Drug Administration</dc:creator>
  <cp:lastModifiedBy>周世杰</cp:lastModifiedBy>
  <cp:revision>50</cp:revision>
  <dcterms:created xsi:type="dcterms:W3CDTF">2021-11-13T06:11:00Z</dcterms:created>
  <dcterms:modified xsi:type="dcterms:W3CDTF">2022-10-10T06:11:00Z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655EDC00854041ECA4F22413F979B78B</vt:lpwstr>
  </property>
</Properties>
</file>