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994E" w14:textId="77777777" w:rsidR="00084784" w:rsidRPr="00FA0DD1" w:rsidRDefault="00C00292" w:rsidP="00E8044B">
      <w:pPr>
        <w:pBdr>
          <w:top w:val="single" w:sz="18" w:space="1" w:color="000000" w:themeColor="text1"/>
        </w:pBdr>
        <w:spacing w:beforeLines="50" w:before="156" w:afterLines="50" w:after="156"/>
        <w:jc w:val="center"/>
        <w:rPr>
          <w:rFonts w:ascii="Times New Roman" w:hAnsi="Times New Roman" w:cs="Times New Roman"/>
          <w:b/>
          <w:sz w:val="52"/>
          <w:szCs w:val="52"/>
        </w:rPr>
      </w:pPr>
      <w:commentRangeStart w:id="0"/>
      <w:r w:rsidRPr="00FA0DD1">
        <w:rPr>
          <w:rFonts w:ascii="Times New Roman" w:hAnsi="Times New Roman" w:cs="Times New Roman"/>
          <w:b/>
          <w:sz w:val="52"/>
          <w:szCs w:val="52"/>
        </w:rPr>
        <w:t>ICH Q12</w:t>
      </w:r>
      <w:r w:rsidRPr="00FA0DD1">
        <w:rPr>
          <w:rFonts w:ascii="Times New Roman" w:hAnsi="Times New Roman" w:cs="Times New Roman"/>
          <w:b/>
          <w:sz w:val="52"/>
          <w:szCs w:val="52"/>
        </w:rPr>
        <w:t>：</w:t>
      </w:r>
      <w:r w:rsidRPr="00FA0DD1">
        <w:rPr>
          <w:rFonts w:ascii="Times New Roman" w:hAnsi="Times New Roman" w:cs="Times New Roman"/>
          <w:b/>
          <w:sz w:val="52"/>
          <w:szCs w:val="52"/>
        </w:rPr>
        <w:t>FDA</w:t>
      </w:r>
      <w:r w:rsidRPr="00FA0DD1">
        <w:rPr>
          <w:rFonts w:ascii="Times New Roman" w:hAnsi="Times New Roman" w:cs="Times New Roman"/>
          <w:b/>
          <w:sz w:val="52"/>
          <w:szCs w:val="52"/>
        </w:rPr>
        <w:t>监管产品的实施</w:t>
      </w:r>
      <w:r w:rsidRPr="00FA0DD1">
        <w:rPr>
          <w:rFonts w:ascii="Times New Roman" w:hAnsi="Times New Roman" w:cs="Times New Roman" w:hint="eastAsia"/>
          <w:b/>
          <w:sz w:val="52"/>
          <w:szCs w:val="52"/>
        </w:rPr>
        <w:t>注意事项</w:t>
      </w:r>
    </w:p>
    <w:p w14:paraId="6A720818" w14:textId="77777777" w:rsidR="00C00292" w:rsidRPr="00FA0DD1" w:rsidRDefault="00C00292" w:rsidP="00E8044B">
      <w:pPr>
        <w:pBdr>
          <w:top w:val="single" w:sz="18" w:space="1" w:color="000000" w:themeColor="text1"/>
        </w:pBdr>
        <w:spacing w:beforeLines="50" w:before="156" w:afterLines="50" w:after="156"/>
        <w:jc w:val="center"/>
        <w:rPr>
          <w:rFonts w:ascii="Times New Roman" w:hAnsi="Times New Roman" w:cs="Times New Roman"/>
          <w:b/>
          <w:sz w:val="52"/>
          <w:szCs w:val="52"/>
        </w:rPr>
      </w:pPr>
      <w:r w:rsidRPr="00FA0DD1">
        <w:rPr>
          <w:rFonts w:ascii="Times New Roman" w:hAnsi="Times New Roman" w:cs="Times New Roman"/>
          <w:b/>
          <w:sz w:val="52"/>
          <w:szCs w:val="52"/>
        </w:rPr>
        <w:t>行业指南</w:t>
      </w:r>
      <w:commentRangeEnd w:id="0"/>
      <w:r w:rsidR="006C177D">
        <w:rPr>
          <w:rStyle w:val="af4"/>
        </w:rPr>
        <w:commentReference w:id="0"/>
      </w:r>
    </w:p>
    <w:p w14:paraId="33AD7ADA" w14:textId="77777777" w:rsidR="00084784" w:rsidRPr="00C13D65" w:rsidRDefault="00C00292" w:rsidP="00E8044B">
      <w:pPr>
        <w:spacing w:beforeLines="50" w:before="156" w:afterLines="50" w:after="156"/>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214ED9E2" w14:textId="77777777" w:rsidR="00084784" w:rsidRPr="00C13D65" w:rsidRDefault="00C00292" w:rsidP="00E8044B">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本指南文件仅供征求意见使用。</w:t>
      </w:r>
    </w:p>
    <w:p w14:paraId="69098106" w14:textId="77777777" w:rsidR="00AA060A" w:rsidRPr="00904708" w:rsidRDefault="00AA060A" w:rsidP="00E8044B">
      <w:pPr>
        <w:spacing w:beforeLines="50" w:before="156" w:afterLines="50" w:after="156"/>
        <w:rPr>
          <w:rFonts w:ascii="Times New Roman" w:hAnsi="Times New Roman" w:cs="Times New Roman"/>
          <w:sz w:val="24"/>
          <w:szCs w:val="24"/>
        </w:rPr>
      </w:pPr>
      <w:r w:rsidRPr="00904708">
        <w:rPr>
          <w:rFonts w:ascii="Times New Roman" w:hAnsi="Times New Roman" w:cs="Times New Roman"/>
          <w:sz w:val="24"/>
          <w:szCs w:val="24"/>
        </w:rPr>
        <w:t>应在《联邦公报》发布指南草案有效性通知后</w:t>
      </w:r>
      <w:r w:rsidRPr="00904708">
        <w:rPr>
          <w:rFonts w:ascii="Times New Roman" w:hAnsi="Times New Roman" w:cs="Times New Roman"/>
          <w:sz w:val="24"/>
          <w:szCs w:val="24"/>
        </w:rPr>
        <w:t>60</w:t>
      </w:r>
      <w:r w:rsidRPr="00904708">
        <w:rPr>
          <w:rFonts w:ascii="Times New Roman" w:hAnsi="Times New Roman" w:cs="Times New Roman"/>
          <w:sz w:val="24"/>
          <w:szCs w:val="24"/>
        </w:rPr>
        <w:t>天内提交关于本文件草案的意见和建议。</w:t>
      </w:r>
      <w:r w:rsidRPr="008D2911">
        <w:rPr>
          <w:sz w:val="24"/>
          <w:szCs w:val="24"/>
        </w:rPr>
        <w:t>电子版意见和建议可随时提交至</w:t>
      </w:r>
      <w:hyperlink r:id="rId11" w:history="1">
        <w:r w:rsidRPr="008D2911">
          <w:rPr>
            <w:rStyle w:val="af"/>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w:t>
      </w:r>
      <w:r w:rsidRPr="00904708">
        <w:rPr>
          <w:rFonts w:ascii="Times New Roman" w:hAnsi="Times New Roman" w:cs="Times New Roman"/>
          <w:sz w:val="24"/>
          <w:szCs w:val="24"/>
        </w:rPr>
        <w:t>《联邦公报》发布通知中所列的</w:t>
      </w:r>
      <w:r w:rsidRPr="008D2911">
        <w:rPr>
          <w:sz w:val="24"/>
          <w:szCs w:val="24"/>
        </w:rPr>
        <w:t>备案文件编号</w:t>
      </w:r>
      <w:r w:rsidRPr="00904708">
        <w:rPr>
          <w:rFonts w:ascii="Times New Roman" w:hAnsi="Times New Roman" w:cs="Times New Roman"/>
          <w:sz w:val="24"/>
          <w:szCs w:val="24"/>
        </w:rPr>
        <w:t>。</w:t>
      </w:r>
    </w:p>
    <w:p w14:paraId="3A755E7B" w14:textId="78E04CB7" w:rsidR="00C00292" w:rsidRPr="00FA0DD1" w:rsidRDefault="00AA060A" w:rsidP="00E8044B">
      <w:pPr>
        <w:spacing w:beforeLines="50" w:before="156" w:afterLines="50" w:after="156"/>
        <w:jc w:val="left"/>
        <w:rPr>
          <w:rFonts w:ascii="Times New Roman" w:hAnsi="Times New Roman" w:cs="Times New Roman"/>
          <w:sz w:val="24"/>
          <w:szCs w:val="24"/>
        </w:rPr>
      </w:pPr>
      <w:r w:rsidRPr="008D2911">
        <w:rPr>
          <w:sz w:val="24"/>
          <w:szCs w:val="24"/>
        </w:rPr>
        <w:t>如对本文件有任何疑问，</w:t>
      </w:r>
      <w:r w:rsidR="00C00292" w:rsidRPr="00FA0DD1">
        <w:rPr>
          <w:rFonts w:ascii="Times New Roman" w:hAnsi="Times New Roman" w:cs="Times New Roman"/>
          <w:sz w:val="24"/>
          <w:szCs w:val="24"/>
        </w:rPr>
        <w:t>请联系药品审评和研究中心（</w:t>
      </w:r>
      <w:r w:rsidR="00C00292" w:rsidRPr="00FA0DD1">
        <w:rPr>
          <w:rFonts w:ascii="Times New Roman" w:hAnsi="Times New Roman" w:cs="Times New Roman"/>
          <w:sz w:val="24"/>
          <w:szCs w:val="24"/>
        </w:rPr>
        <w:t>CDER</w:t>
      </w:r>
      <w:r w:rsidR="00C00292" w:rsidRPr="00FA0DD1">
        <w:rPr>
          <w:rFonts w:ascii="Times New Roman" w:hAnsi="Times New Roman" w:cs="Times New Roman"/>
          <w:sz w:val="24"/>
          <w:szCs w:val="24"/>
        </w:rPr>
        <w:t>）</w:t>
      </w:r>
      <w:r w:rsidR="00C00292" w:rsidRPr="00FA0DD1">
        <w:rPr>
          <w:rFonts w:ascii="Times New Roman" w:hAnsi="Times New Roman" w:cs="Times New Roman"/>
          <w:sz w:val="24"/>
          <w:szCs w:val="24"/>
        </w:rPr>
        <w:t xml:space="preserve">Ashley </w:t>
      </w:r>
      <w:proofErr w:type="spellStart"/>
      <w:r w:rsidR="00C00292" w:rsidRPr="00FA0DD1">
        <w:rPr>
          <w:rFonts w:ascii="Times New Roman" w:hAnsi="Times New Roman" w:cs="Times New Roman"/>
          <w:sz w:val="24"/>
          <w:szCs w:val="24"/>
        </w:rPr>
        <w:t>Boam</w:t>
      </w:r>
      <w:proofErr w:type="spellEnd"/>
      <w:r w:rsidR="00C00292" w:rsidRPr="00FA0DD1">
        <w:rPr>
          <w:rFonts w:ascii="Times New Roman" w:hAnsi="Times New Roman" w:cs="Times New Roman"/>
          <w:sz w:val="24"/>
          <w:szCs w:val="24"/>
        </w:rPr>
        <w:t xml:space="preserve"> 301-796-6341</w:t>
      </w:r>
      <w:r w:rsidR="00C00292" w:rsidRPr="00FA0DD1">
        <w:rPr>
          <w:rFonts w:ascii="Times New Roman" w:hAnsi="Times New Roman" w:cs="Times New Roman"/>
          <w:sz w:val="24"/>
          <w:szCs w:val="24"/>
        </w:rPr>
        <w:t>，生物制品评价和研究中心（</w:t>
      </w:r>
      <w:r w:rsidR="00C00292" w:rsidRPr="00FA0DD1">
        <w:rPr>
          <w:rFonts w:ascii="Times New Roman" w:hAnsi="Times New Roman" w:cs="Times New Roman"/>
          <w:sz w:val="24"/>
          <w:szCs w:val="24"/>
        </w:rPr>
        <w:t>CBER</w:t>
      </w:r>
      <w:r w:rsidR="00C00292" w:rsidRPr="00FA0DD1">
        <w:rPr>
          <w:rFonts w:ascii="Times New Roman" w:hAnsi="Times New Roman" w:cs="Times New Roman"/>
          <w:sz w:val="24"/>
          <w:szCs w:val="24"/>
        </w:rPr>
        <w:t>）通信、拓展和发展办公室</w:t>
      </w:r>
      <w:r w:rsidR="00C00292" w:rsidRPr="00FA0DD1">
        <w:rPr>
          <w:rFonts w:ascii="Times New Roman" w:hAnsi="Times New Roman" w:cs="Times New Roman"/>
          <w:sz w:val="24"/>
          <w:szCs w:val="24"/>
        </w:rPr>
        <w:t>800-835-470</w:t>
      </w:r>
      <w:r w:rsidR="001A2A1C">
        <w:rPr>
          <w:rFonts w:ascii="Times New Roman" w:hAnsi="Times New Roman" w:cs="Times New Roman"/>
          <w:sz w:val="24"/>
          <w:szCs w:val="24"/>
        </w:rPr>
        <w:t>9</w:t>
      </w:r>
      <w:r w:rsidR="00C00292" w:rsidRPr="00FA0DD1">
        <w:rPr>
          <w:rFonts w:ascii="Times New Roman" w:hAnsi="Times New Roman" w:cs="Times New Roman"/>
          <w:sz w:val="24"/>
          <w:szCs w:val="24"/>
        </w:rPr>
        <w:t>或</w:t>
      </w:r>
      <w:r w:rsidR="00C00292" w:rsidRPr="00FA0DD1">
        <w:rPr>
          <w:rFonts w:ascii="Times New Roman" w:hAnsi="Times New Roman" w:cs="Times New Roman"/>
          <w:sz w:val="24"/>
          <w:szCs w:val="24"/>
        </w:rPr>
        <w:t>240-402-8010</w:t>
      </w:r>
      <w:r w:rsidR="00C00292" w:rsidRPr="00FA0DD1">
        <w:rPr>
          <w:rFonts w:ascii="Times New Roman" w:hAnsi="Times New Roman" w:cs="Times New Roman"/>
          <w:sz w:val="24"/>
          <w:szCs w:val="24"/>
        </w:rPr>
        <w:t>，或</w:t>
      </w:r>
      <w:r>
        <w:rPr>
          <w:rFonts w:ascii="Times New Roman" w:hAnsi="Times New Roman" w:cs="Times New Roman"/>
          <w:sz w:val="24"/>
          <w:szCs w:val="24"/>
        </w:rPr>
        <w:t>医疗器械和放射健康中心</w:t>
      </w:r>
      <w:r w:rsidR="00C00292" w:rsidRPr="00FA0DD1">
        <w:rPr>
          <w:rFonts w:ascii="Times New Roman" w:hAnsi="Times New Roman" w:cs="Times New Roman"/>
          <w:sz w:val="24"/>
          <w:szCs w:val="24"/>
        </w:rPr>
        <w:t>（</w:t>
      </w:r>
      <w:r w:rsidR="00C00292" w:rsidRPr="00FA0DD1">
        <w:rPr>
          <w:rFonts w:ascii="Times New Roman" w:hAnsi="Times New Roman" w:cs="Times New Roman"/>
          <w:sz w:val="24"/>
          <w:szCs w:val="24"/>
        </w:rPr>
        <w:t>CDRH</w:t>
      </w:r>
      <w:r w:rsidR="00C00292" w:rsidRPr="00FA0DD1">
        <w:rPr>
          <w:rFonts w:ascii="Times New Roman" w:hAnsi="Times New Roman" w:cs="Times New Roman"/>
          <w:sz w:val="24"/>
          <w:szCs w:val="24"/>
        </w:rPr>
        <w:t>）</w:t>
      </w:r>
      <w:proofErr w:type="spellStart"/>
      <w:r w:rsidR="00C00292" w:rsidRPr="00FA0DD1">
        <w:rPr>
          <w:rFonts w:ascii="Times New Roman" w:hAnsi="Times New Roman" w:cs="Times New Roman"/>
          <w:sz w:val="24"/>
          <w:szCs w:val="24"/>
        </w:rPr>
        <w:t>CDRH</w:t>
      </w:r>
      <w:proofErr w:type="spellEnd"/>
      <w:r w:rsidR="00C00292" w:rsidRPr="00FA0DD1">
        <w:rPr>
          <w:rFonts w:ascii="Times New Roman" w:hAnsi="Times New Roman" w:cs="Times New Roman"/>
          <w:sz w:val="24"/>
          <w:szCs w:val="24"/>
        </w:rPr>
        <w:t>产品</w:t>
      </w:r>
      <w:r w:rsidR="00694D9C">
        <w:rPr>
          <w:rFonts w:ascii="Times New Roman" w:hAnsi="Times New Roman" w:cs="Times New Roman" w:hint="eastAsia"/>
          <w:sz w:val="24"/>
          <w:szCs w:val="24"/>
        </w:rPr>
        <w:t>司法官</w:t>
      </w:r>
      <w:hyperlink r:id="rId12" w:history="1">
        <w:r w:rsidR="00C00292" w:rsidRPr="00FA0DD1">
          <w:rPr>
            <w:rStyle w:val="af"/>
            <w:rFonts w:ascii="Times New Roman" w:hAnsi="Times New Roman" w:cs="Times New Roman"/>
            <w:sz w:val="24"/>
            <w:szCs w:val="24"/>
          </w:rPr>
          <w:t>CDRHProductJurisdiction@fda.hhs.gov</w:t>
        </w:r>
      </w:hyperlink>
      <w:r w:rsidR="00C00292" w:rsidRPr="00FA0DD1">
        <w:rPr>
          <w:rFonts w:ascii="Times New Roman" w:hAnsi="Times New Roman" w:cs="Times New Roman"/>
          <w:sz w:val="24"/>
          <w:szCs w:val="24"/>
        </w:rPr>
        <w:t>。</w:t>
      </w:r>
    </w:p>
    <w:p w14:paraId="43B67411" w14:textId="77777777" w:rsidR="00FB4E3B" w:rsidRPr="00AA060A" w:rsidRDefault="00FB4E3B" w:rsidP="00C00292">
      <w:pPr>
        <w:jc w:val="center"/>
        <w:rPr>
          <w:rFonts w:ascii="Times New Roman" w:hAnsi="Times New Roman" w:cs="Times New Roman"/>
          <w:b/>
          <w:bCs/>
          <w:szCs w:val="15"/>
        </w:rPr>
      </w:pPr>
    </w:p>
    <w:p w14:paraId="498F92C8" w14:textId="77777777" w:rsidR="00FB4E3B" w:rsidRDefault="00FB4E3B" w:rsidP="00C00292">
      <w:pPr>
        <w:jc w:val="center"/>
        <w:rPr>
          <w:rFonts w:ascii="Times New Roman" w:hAnsi="Times New Roman" w:cs="Times New Roman"/>
          <w:b/>
          <w:bCs/>
          <w:szCs w:val="15"/>
        </w:rPr>
      </w:pPr>
    </w:p>
    <w:p w14:paraId="23FEDDFF" w14:textId="77777777" w:rsidR="00FB4E3B" w:rsidRDefault="00FB4E3B" w:rsidP="00C00292">
      <w:pPr>
        <w:jc w:val="center"/>
        <w:rPr>
          <w:rFonts w:ascii="Times New Roman" w:hAnsi="Times New Roman" w:cs="Times New Roman"/>
          <w:b/>
          <w:bCs/>
          <w:szCs w:val="15"/>
        </w:rPr>
      </w:pPr>
    </w:p>
    <w:p w14:paraId="0397433A" w14:textId="77777777" w:rsidR="00FB4E3B" w:rsidRDefault="00FB4E3B" w:rsidP="00C00292">
      <w:pPr>
        <w:jc w:val="center"/>
        <w:rPr>
          <w:rFonts w:ascii="Times New Roman" w:hAnsi="Times New Roman" w:cs="Times New Roman"/>
          <w:b/>
          <w:bCs/>
          <w:szCs w:val="15"/>
        </w:rPr>
      </w:pPr>
    </w:p>
    <w:p w14:paraId="5CFAB567" w14:textId="77777777" w:rsidR="00FB4E3B" w:rsidRDefault="00FB4E3B" w:rsidP="00C00292">
      <w:pPr>
        <w:jc w:val="center"/>
        <w:rPr>
          <w:rFonts w:ascii="Times New Roman" w:hAnsi="Times New Roman" w:cs="Times New Roman"/>
          <w:b/>
          <w:bCs/>
          <w:szCs w:val="15"/>
        </w:rPr>
      </w:pPr>
    </w:p>
    <w:p w14:paraId="190E0623" w14:textId="77777777" w:rsidR="00FB4E3B" w:rsidRDefault="00FB4E3B" w:rsidP="00C00292">
      <w:pPr>
        <w:jc w:val="center"/>
        <w:rPr>
          <w:rFonts w:ascii="Times New Roman" w:hAnsi="Times New Roman" w:cs="Times New Roman"/>
          <w:b/>
          <w:bCs/>
          <w:szCs w:val="15"/>
        </w:rPr>
      </w:pPr>
    </w:p>
    <w:p w14:paraId="4A0E3EC3" w14:textId="77777777" w:rsidR="00FB4E3B" w:rsidRDefault="00FB4E3B" w:rsidP="00C00292">
      <w:pPr>
        <w:jc w:val="center"/>
        <w:rPr>
          <w:rFonts w:ascii="Times New Roman" w:hAnsi="Times New Roman" w:cs="Times New Roman"/>
          <w:b/>
          <w:bCs/>
          <w:szCs w:val="15"/>
        </w:rPr>
      </w:pPr>
    </w:p>
    <w:p w14:paraId="1F8A94B6" w14:textId="77777777" w:rsidR="00FB4E3B" w:rsidRDefault="00FB4E3B" w:rsidP="00C00292">
      <w:pPr>
        <w:jc w:val="center"/>
        <w:rPr>
          <w:rFonts w:ascii="Times New Roman" w:hAnsi="Times New Roman" w:cs="Times New Roman"/>
          <w:b/>
          <w:bCs/>
          <w:szCs w:val="15"/>
        </w:rPr>
      </w:pPr>
    </w:p>
    <w:p w14:paraId="2277C3BD" w14:textId="77777777" w:rsidR="00FB4E3B" w:rsidRDefault="00FB4E3B" w:rsidP="00C00292">
      <w:pPr>
        <w:jc w:val="center"/>
        <w:rPr>
          <w:rFonts w:ascii="Times New Roman" w:hAnsi="Times New Roman" w:cs="Times New Roman"/>
          <w:b/>
          <w:bCs/>
          <w:szCs w:val="15"/>
        </w:rPr>
      </w:pPr>
    </w:p>
    <w:p w14:paraId="679CF749" w14:textId="77777777" w:rsidR="00FB4E3B" w:rsidRDefault="00FB4E3B" w:rsidP="00C00292">
      <w:pPr>
        <w:jc w:val="center"/>
        <w:rPr>
          <w:rFonts w:ascii="Times New Roman" w:hAnsi="Times New Roman" w:cs="Times New Roman"/>
          <w:b/>
          <w:bCs/>
          <w:szCs w:val="15"/>
        </w:rPr>
      </w:pPr>
    </w:p>
    <w:p w14:paraId="0BC78C41" w14:textId="77777777" w:rsidR="00FB4E3B" w:rsidRDefault="00FB4E3B" w:rsidP="00C00292">
      <w:pPr>
        <w:jc w:val="center"/>
        <w:rPr>
          <w:rFonts w:ascii="Times New Roman" w:hAnsi="Times New Roman" w:cs="Times New Roman"/>
          <w:b/>
          <w:bCs/>
          <w:szCs w:val="15"/>
        </w:rPr>
      </w:pPr>
    </w:p>
    <w:p w14:paraId="015C6033" w14:textId="4FEC12F3" w:rsidR="00A1365A" w:rsidRPr="00C13D65" w:rsidRDefault="00C00292" w:rsidP="00C00292">
      <w:pPr>
        <w:jc w:val="center"/>
        <w:rPr>
          <w:rFonts w:ascii="Times New Roman" w:hAnsi="Times New Roman" w:cs="Times New Roman"/>
          <w:b/>
          <w:szCs w:val="15"/>
        </w:rPr>
      </w:pPr>
      <w:r>
        <w:rPr>
          <w:rFonts w:ascii="Times New Roman" w:hAnsi="Times New Roman" w:cs="Times New Roman"/>
          <w:b/>
          <w:bCs/>
          <w:szCs w:val="15"/>
        </w:rPr>
        <w:t>美国</w:t>
      </w:r>
      <w:r w:rsidR="00AA060A">
        <w:rPr>
          <w:rFonts w:ascii="Times New Roman" w:hAnsi="Times New Roman" w:cs="Times New Roman"/>
          <w:b/>
          <w:bCs/>
          <w:szCs w:val="15"/>
        </w:rPr>
        <w:t>卫生与公众服务部</w:t>
      </w:r>
    </w:p>
    <w:p w14:paraId="4FE33C0C" w14:textId="77777777" w:rsidR="00C00292" w:rsidRPr="00C13D65" w:rsidRDefault="00C00292" w:rsidP="00C00292">
      <w:pPr>
        <w:jc w:val="center"/>
        <w:rPr>
          <w:rFonts w:ascii="Times New Roman" w:hAnsi="Times New Roman" w:cs="Times New Roman"/>
          <w:b/>
          <w:szCs w:val="15"/>
        </w:rPr>
      </w:pPr>
      <w:r>
        <w:rPr>
          <w:rFonts w:ascii="Times New Roman" w:hAnsi="Times New Roman" w:cs="Times New Roman"/>
          <w:b/>
          <w:bCs/>
          <w:szCs w:val="15"/>
        </w:rPr>
        <w:t>美国食品药品监督管理局</w:t>
      </w:r>
    </w:p>
    <w:p w14:paraId="5B83890D" w14:textId="77777777" w:rsidR="00A1365A" w:rsidRPr="00C13D65" w:rsidRDefault="00C00292" w:rsidP="00C00292">
      <w:pPr>
        <w:jc w:val="center"/>
        <w:rPr>
          <w:rFonts w:ascii="Times New Roman" w:hAnsi="Times New Roman" w:cs="Times New Roman"/>
          <w:b/>
          <w:szCs w:val="15"/>
        </w:rPr>
      </w:pPr>
      <w:r>
        <w:rPr>
          <w:rFonts w:ascii="Times New Roman" w:hAnsi="Times New Roman" w:cs="Times New Roman"/>
          <w:b/>
          <w:bCs/>
          <w:szCs w:val="15"/>
        </w:rPr>
        <w:t>药品审评和研究中心（</w:t>
      </w:r>
      <w:r>
        <w:rPr>
          <w:rFonts w:ascii="Times New Roman" w:hAnsi="Times New Roman" w:cs="Times New Roman"/>
          <w:b/>
          <w:bCs/>
          <w:szCs w:val="15"/>
        </w:rPr>
        <w:t>CEDR</w:t>
      </w:r>
      <w:r>
        <w:rPr>
          <w:rFonts w:ascii="Times New Roman" w:hAnsi="Times New Roman" w:cs="Times New Roman"/>
          <w:b/>
          <w:bCs/>
          <w:szCs w:val="15"/>
        </w:rPr>
        <w:t>）</w:t>
      </w:r>
    </w:p>
    <w:p w14:paraId="602DA438" w14:textId="2E9FC188" w:rsidR="00A1365A" w:rsidRPr="00C13D65" w:rsidRDefault="00AA060A" w:rsidP="00C00292">
      <w:pPr>
        <w:jc w:val="center"/>
        <w:rPr>
          <w:rFonts w:ascii="Times New Roman" w:hAnsi="Times New Roman" w:cs="Times New Roman"/>
          <w:b/>
          <w:szCs w:val="15"/>
        </w:rPr>
      </w:pPr>
      <w:r>
        <w:rPr>
          <w:rFonts w:ascii="Times New Roman" w:hAnsi="Times New Roman" w:cs="Times New Roman"/>
          <w:b/>
          <w:bCs/>
          <w:szCs w:val="15"/>
        </w:rPr>
        <w:t>生物制品评价和研究中心</w:t>
      </w:r>
      <w:r w:rsidR="00C00292">
        <w:rPr>
          <w:rFonts w:ascii="Times New Roman" w:hAnsi="Times New Roman" w:cs="Times New Roman"/>
          <w:b/>
          <w:bCs/>
          <w:szCs w:val="15"/>
        </w:rPr>
        <w:t>（</w:t>
      </w:r>
      <w:r w:rsidR="00C00292">
        <w:rPr>
          <w:rFonts w:ascii="Times New Roman" w:hAnsi="Times New Roman" w:cs="Times New Roman"/>
          <w:b/>
          <w:bCs/>
          <w:szCs w:val="15"/>
        </w:rPr>
        <w:t>CBER</w:t>
      </w:r>
      <w:r w:rsidR="00C00292">
        <w:rPr>
          <w:rFonts w:ascii="Times New Roman" w:hAnsi="Times New Roman" w:cs="Times New Roman"/>
          <w:b/>
          <w:bCs/>
          <w:szCs w:val="15"/>
        </w:rPr>
        <w:t>）</w:t>
      </w:r>
    </w:p>
    <w:p w14:paraId="5201D2C8" w14:textId="41D03C4C" w:rsidR="00A1365A" w:rsidRPr="00C13D65" w:rsidRDefault="00AA060A" w:rsidP="00C00292">
      <w:pPr>
        <w:jc w:val="center"/>
        <w:rPr>
          <w:rFonts w:ascii="Times New Roman" w:hAnsi="Times New Roman" w:cs="Times New Roman"/>
          <w:b/>
          <w:szCs w:val="15"/>
        </w:rPr>
      </w:pPr>
      <w:r>
        <w:rPr>
          <w:rFonts w:ascii="Times New Roman" w:hAnsi="Times New Roman" w:cs="Times New Roman"/>
          <w:b/>
          <w:bCs/>
          <w:szCs w:val="15"/>
        </w:rPr>
        <w:t>医疗器械和放射健康中心</w:t>
      </w:r>
      <w:r w:rsidR="00C00292">
        <w:rPr>
          <w:rFonts w:ascii="Times New Roman" w:hAnsi="Times New Roman" w:cs="Times New Roman"/>
          <w:b/>
          <w:bCs/>
          <w:szCs w:val="15"/>
        </w:rPr>
        <w:t>（</w:t>
      </w:r>
      <w:r w:rsidR="00C00292">
        <w:rPr>
          <w:rFonts w:ascii="Times New Roman" w:hAnsi="Times New Roman" w:cs="Times New Roman"/>
          <w:b/>
          <w:bCs/>
          <w:szCs w:val="15"/>
        </w:rPr>
        <w:t>CDRH</w:t>
      </w:r>
      <w:r w:rsidR="00C00292">
        <w:rPr>
          <w:rFonts w:ascii="Times New Roman" w:hAnsi="Times New Roman" w:cs="Times New Roman"/>
          <w:b/>
          <w:bCs/>
          <w:szCs w:val="15"/>
        </w:rPr>
        <w:t>）</w:t>
      </w:r>
    </w:p>
    <w:p w14:paraId="2B0025B7" w14:textId="77777777" w:rsidR="00084784" w:rsidRPr="00C13D65" w:rsidRDefault="00C00292" w:rsidP="00E8044B">
      <w:pPr>
        <w:spacing w:afterLines="50" w:after="156"/>
        <w:jc w:val="center"/>
        <w:rPr>
          <w:rFonts w:ascii="Times New Roman" w:hAnsi="Times New Roman" w:cs="Times New Roman"/>
          <w:b/>
          <w:szCs w:val="15"/>
        </w:rPr>
      </w:pPr>
      <w:r>
        <w:rPr>
          <w:rFonts w:ascii="Times New Roman" w:hAnsi="Times New Roman" w:cs="Times New Roman"/>
          <w:b/>
          <w:bCs/>
          <w:szCs w:val="15"/>
        </w:rPr>
        <w:t>组合产品办公室（</w:t>
      </w:r>
      <w:r>
        <w:rPr>
          <w:rFonts w:ascii="Times New Roman" w:hAnsi="Times New Roman" w:cs="Times New Roman"/>
          <w:b/>
          <w:bCs/>
          <w:szCs w:val="15"/>
        </w:rPr>
        <w:t>OCP</w:t>
      </w:r>
      <w:r>
        <w:rPr>
          <w:rFonts w:ascii="Times New Roman" w:hAnsi="Times New Roman" w:cs="Times New Roman"/>
          <w:b/>
          <w:bCs/>
          <w:szCs w:val="15"/>
        </w:rPr>
        <w:t>）</w:t>
      </w:r>
    </w:p>
    <w:p w14:paraId="3FB395E7" w14:textId="77777777" w:rsidR="00C00292" w:rsidRPr="00C13D65" w:rsidRDefault="00C00292" w:rsidP="00C00292">
      <w:pPr>
        <w:jc w:val="center"/>
        <w:rPr>
          <w:rFonts w:ascii="Times New Roman" w:hAnsi="Times New Roman" w:cs="Times New Roman"/>
          <w:b/>
          <w:szCs w:val="15"/>
        </w:rPr>
      </w:pPr>
      <w:r>
        <w:rPr>
          <w:rFonts w:ascii="Times New Roman" w:hAnsi="Times New Roman" w:cs="Times New Roman"/>
          <w:b/>
          <w:bCs/>
          <w:szCs w:val="15"/>
        </w:rPr>
        <w:t>2021</w:t>
      </w:r>
      <w:r>
        <w:rPr>
          <w:rFonts w:ascii="Times New Roman" w:hAnsi="Times New Roman" w:cs="Times New Roman"/>
          <w:b/>
          <w:bCs/>
          <w:szCs w:val="15"/>
        </w:rPr>
        <w:t>年</w:t>
      </w:r>
      <w:r>
        <w:rPr>
          <w:rFonts w:ascii="Times New Roman" w:hAnsi="Times New Roman" w:cs="Times New Roman"/>
          <w:b/>
          <w:bCs/>
          <w:szCs w:val="15"/>
        </w:rPr>
        <w:t>5</w:t>
      </w:r>
      <w:r>
        <w:rPr>
          <w:rFonts w:ascii="Times New Roman" w:hAnsi="Times New Roman" w:cs="Times New Roman"/>
          <w:b/>
          <w:bCs/>
          <w:szCs w:val="15"/>
        </w:rPr>
        <w:t>月</w:t>
      </w:r>
    </w:p>
    <w:p w14:paraId="678A9023" w14:textId="77777777" w:rsidR="00084784" w:rsidRPr="00C13D65" w:rsidRDefault="00C00292" w:rsidP="00A1365A">
      <w:pPr>
        <w:pBdr>
          <w:bottom w:val="single" w:sz="24" w:space="1" w:color="000000" w:themeColor="text1"/>
        </w:pBdr>
        <w:jc w:val="center"/>
        <w:rPr>
          <w:rFonts w:ascii="Times New Roman" w:hAnsi="Times New Roman" w:cs="Times New Roman"/>
          <w:b/>
          <w:szCs w:val="15"/>
        </w:rPr>
      </w:pPr>
      <w:r>
        <w:rPr>
          <w:rFonts w:ascii="Times New Roman" w:hAnsi="Times New Roman" w:cs="Times New Roman"/>
          <w:b/>
          <w:bCs/>
          <w:szCs w:val="15"/>
        </w:rPr>
        <w:t>药品质量</w:t>
      </w:r>
      <w:r>
        <w:rPr>
          <w:rFonts w:ascii="Times New Roman" w:hAnsi="Times New Roman" w:cs="Times New Roman"/>
          <w:b/>
          <w:bCs/>
          <w:szCs w:val="15"/>
        </w:rPr>
        <w:t>/CMC</w:t>
      </w:r>
    </w:p>
    <w:p w14:paraId="49C88B05" w14:textId="77777777" w:rsidR="00084784" w:rsidRPr="00C13D65" w:rsidRDefault="00084784" w:rsidP="00084784">
      <w:pPr>
        <w:widowControl/>
        <w:jc w:val="left"/>
        <w:rPr>
          <w:rFonts w:ascii="Times New Roman" w:hAnsi="Times New Roman" w:cs="Times New Roman"/>
          <w:szCs w:val="15"/>
        </w:rPr>
      </w:pPr>
      <w:r>
        <w:rPr>
          <w:rFonts w:ascii="Times New Roman" w:hAnsi="Times New Roman" w:cs="Times New Roman"/>
          <w:szCs w:val="15"/>
        </w:rPr>
        <w:br w:type="page"/>
      </w:r>
    </w:p>
    <w:p w14:paraId="2D8A25C5" w14:textId="77777777" w:rsidR="00084784" w:rsidRPr="00C13D65" w:rsidRDefault="00C00292" w:rsidP="00E8044B">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ICH Q12</w:t>
      </w:r>
      <w:r>
        <w:rPr>
          <w:rFonts w:ascii="Times New Roman" w:hAnsi="Times New Roman" w:cs="Times New Roman"/>
          <w:b/>
          <w:bCs/>
          <w:sz w:val="52"/>
          <w:szCs w:val="52"/>
        </w:rPr>
        <w:t>：</w:t>
      </w:r>
      <w:r>
        <w:rPr>
          <w:rFonts w:ascii="Times New Roman" w:hAnsi="Times New Roman" w:cs="Times New Roman"/>
          <w:b/>
          <w:bCs/>
          <w:sz w:val="52"/>
          <w:szCs w:val="52"/>
        </w:rPr>
        <w:t>FDA</w:t>
      </w:r>
      <w:r>
        <w:rPr>
          <w:rFonts w:ascii="Times New Roman" w:hAnsi="Times New Roman" w:cs="Times New Roman"/>
          <w:b/>
          <w:bCs/>
          <w:sz w:val="52"/>
          <w:szCs w:val="52"/>
        </w:rPr>
        <w:t>监管产品的实施</w:t>
      </w:r>
      <w:r>
        <w:rPr>
          <w:rFonts w:ascii="Times New Roman" w:hAnsi="Times New Roman" w:cs="Times New Roman" w:hint="eastAsia"/>
          <w:b/>
          <w:bCs/>
          <w:sz w:val="52"/>
          <w:szCs w:val="52"/>
        </w:rPr>
        <w:t>注意事项</w:t>
      </w:r>
    </w:p>
    <w:p w14:paraId="27D7C013" w14:textId="77777777" w:rsidR="00C00292" w:rsidRPr="00C13D65" w:rsidRDefault="00C00292" w:rsidP="00E8044B">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行业指南</w:t>
      </w:r>
    </w:p>
    <w:p w14:paraId="1AF053A6" w14:textId="6CA60ACB" w:rsidR="00C00292" w:rsidRPr="00C13D65" w:rsidRDefault="00AA060A" w:rsidP="00C00292">
      <w:pPr>
        <w:widowControl/>
        <w:jc w:val="center"/>
        <w:rPr>
          <w:rFonts w:ascii="Times New Roman" w:hAnsi="Times New Roman" w:cs="Times New Roman"/>
          <w:i/>
          <w:szCs w:val="15"/>
        </w:rPr>
      </w:pPr>
      <w:r>
        <w:rPr>
          <w:rFonts w:ascii="Times New Roman" w:hAnsi="Times New Roman" w:cs="Times New Roman" w:hint="eastAsia"/>
          <w:i/>
          <w:iCs/>
          <w:szCs w:val="15"/>
        </w:rPr>
        <w:t>更多</w:t>
      </w:r>
      <w:r w:rsidR="00C00292">
        <w:rPr>
          <w:rFonts w:ascii="Times New Roman" w:hAnsi="Times New Roman" w:cs="Times New Roman"/>
          <w:i/>
          <w:iCs/>
          <w:szCs w:val="15"/>
        </w:rPr>
        <w:t>副本可从以下获取：</w:t>
      </w:r>
    </w:p>
    <w:p w14:paraId="10C5CA5E" w14:textId="77777777" w:rsidR="00A1365A"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对外信息办公室，药品信息处</w:t>
      </w:r>
    </w:p>
    <w:p w14:paraId="0EF1416E"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药品审评和研究中心</w:t>
      </w:r>
    </w:p>
    <w:p w14:paraId="5867E529"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24CF4BAF" w14:textId="77777777" w:rsidR="00A1365A"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10001 New Hampshire Ave., Hillandale Bldg., 4</w:t>
      </w:r>
      <w:r>
        <w:rPr>
          <w:rFonts w:ascii="Times New Roman" w:hAnsi="Times New Roman" w:cs="Times New Roman"/>
          <w:i/>
          <w:iCs/>
          <w:szCs w:val="15"/>
          <w:vertAlign w:val="superscript"/>
        </w:rPr>
        <w:t>th</w:t>
      </w:r>
      <w:r>
        <w:rPr>
          <w:rFonts w:ascii="Times New Roman" w:hAnsi="Times New Roman" w:cs="Times New Roman"/>
          <w:i/>
          <w:iCs/>
          <w:szCs w:val="15"/>
        </w:rPr>
        <w:t xml:space="preserve"> Floor</w:t>
      </w:r>
    </w:p>
    <w:p w14:paraId="3F9740BB" w14:textId="77777777" w:rsidR="00C00292" w:rsidRPr="00FA0DD1" w:rsidRDefault="00C00292" w:rsidP="00C00292">
      <w:pPr>
        <w:widowControl/>
        <w:jc w:val="center"/>
        <w:rPr>
          <w:rFonts w:ascii="Times New Roman" w:hAnsi="Times New Roman" w:cs="Times New Roman"/>
          <w:i/>
          <w:szCs w:val="15"/>
          <w:lang w:val="de-DE"/>
        </w:rPr>
      </w:pPr>
      <w:r w:rsidRPr="00FA0DD1">
        <w:rPr>
          <w:rFonts w:ascii="Times New Roman" w:hAnsi="Times New Roman" w:cs="Times New Roman"/>
          <w:i/>
          <w:iCs/>
          <w:szCs w:val="15"/>
          <w:lang w:val="de-DE"/>
        </w:rPr>
        <w:t>Silver Spring, MD 20993-0002</w:t>
      </w:r>
    </w:p>
    <w:p w14:paraId="289B1CB4" w14:textId="77777777" w:rsidR="00C00292" w:rsidRPr="00FA0DD1" w:rsidRDefault="00C00292" w:rsidP="00C00292">
      <w:pPr>
        <w:widowControl/>
        <w:jc w:val="center"/>
        <w:rPr>
          <w:rFonts w:ascii="Times New Roman" w:hAnsi="Times New Roman" w:cs="Times New Roman"/>
          <w:i/>
          <w:szCs w:val="15"/>
          <w:lang w:val="de-DE"/>
        </w:rPr>
      </w:pPr>
      <w:r>
        <w:rPr>
          <w:rFonts w:ascii="Times New Roman" w:hAnsi="Times New Roman" w:cs="Times New Roman"/>
          <w:i/>
          <w:iCs/>
          <w:szCs w:val="15"/>
        </w:rPr>
        <w:t>电话</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855-543-3784</w:t>
      </w:r>
      <w:r>
        <w:rPr>
          <w:rFonts w:ascii="Times New Roman" w:hAnsi="Times New Roman" w:cs="Times New Roman"/>
          <w:i/>
          <w:iCs/>
          <w:szCs w:val="15"/>
        </w:rPr>
        <w:t>或</w:t>
      </w:r>
      <w:r w:rsidRPr="00FA0DD1">
        <w:rPr>
          <w:rFonts w:ascii="Times New Roman" w:hAnsi="Times New Roman" w:cs="Times New Roman"/>
          <w:i/>
          <w:iCs/>
          <w:szCs w:val="15"/>
          <w:lang w:val="de-DE"/>
        </w:rPr>
        <w:t>301-796-3400</w:t>
      </w:r>
      <w:r w:rsidRPr="00FA0DD1">
        <w:rPr>
          <w:rFonts w:ascii="Times New Roman" w:hAnsi="Times New Roman" w:cs="Times New Roman"/>
          <w:i/>
          <w:iCs/>
          <w:szCs w:val="15"/>
          <w:lang w:val="de-DE"/>
        </w:rPr>
        <w:t>；</w:t>
      </w:r>
      <w:r>
        <w:rPr>
          <w:rFonts w:ascii="Times New Roman" w:hAnsi="Times New Roman" w:cs="Times New Roman"/>
          <w:i/>
          <w:iCs/>
          <w:szCs w:val="15"/>
        </w:rPr>
        <w:t>传真</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301-431-6353</w:t>
      </w:r>
    </w:p>
    <w:p w14:paraId="61A8E5E7" w14:textId="77777777" w:rsidR="00C00292" w:rsidRPr="00FA0DD1" w:rsidRDefault="00C00292" w:rsidP="00C00292">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druginfo@fda.hhs.gov</w:t>
      </w:r>
    </w:p>
    <w:p w14:paraId="2788B7D2" w14:textId="77777777" w:rsidR="00C00292" w:rsidRPr="00FA0DD1" w:rsidRDefault="00E8044B" w:rsidP="00C00292">
      <w:pPr>
        <w:widowControl/>
        <w:jc w:val="center"/>
        <w:rPr>
          <w:rFonts w:ascii="Times New Roman" w:hAnsi="Times New Roman" w:cs="Times New Roman"/>
          <w:i/>
          <w:szCs w:val="15"/>
          <w:lang w:val="de-DE"/>
        </w:rPr>
      </w:pPr>
      <w:hyperlink r:id="rId13" w:history="1">
        <w:r w:rsidR="00A1365A" w:rsidRPr="00FA0DD1">
          <w:rPr>
            <w:rStyle w:val="af"/>
            <w:rFonts w:ascii="Times New Roman" w:hAnsi="Times New Roman" w:cs="Times New Roman"/>
            <w:i/>
            <w:iCs/>
            <w:szCs w:val="15"/>
            <w:lang w:val="de-DE"/>
          </w:rPr>
          <w:t>https://www.fda.gov/drugs/guidance-compliance-regulatory-information/guidances-drugs</w:t>
        </w:r>
      </w:hyperlink>
    </w:p>
    <w:p w14:paraId="4300B227"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和</w:t>
      </w:r>
      <w:r>
        <w:rPr>
          <w:rFonts w:ascii="Times New Roman" w:hAnsi="Times New Roman" w:cs="Times New Roman"/>
          <w:i/>
          <w:iCs/>
          <w:szCs w:val="15"/>
        </w:rPr>
        <w:t>/</w:t>
      </w:r>
      <w:r>
        <w:rPr>
          <w:rFonts w:ascii="Times New Roman" w:hAnsi="Times New Roman" w:cs="Times New Roman"/>
          <w:i/>
          <w:iCs/>
          <w:szCs w:val="15"/>
        </w:rPr>
        <w:t>或</w:t>
      </w:r>
    </w:p>
    <w:p w14:paraId="0CBF6B39" w14:textId="77777777" w:rsidR="00A1365A"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对外信息、外联与发展办公室</w:t>
      </w:r>
    </w:p>
    <w:p w14:paraId="26811026"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生物制品评价和研究中心</w:t>
      </w:r>
    </w:p>
    <w:p w14:paraId="40553C40"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20F530CE" w14:textId="77777777" w:rsidR="00A1365A"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10903 New Hampshire Ave., Bldg. 71, Room 3128</w:t>
      </w:r>
    </w:p>
    <w:p w14:paraId="795E023C" w14:textId="77777777" w:rsidR="00C00292" w:rsidRPr="00FA0DD1" w:rsidRDefault="00C00292" w:rsidP="00C00292">
      <w:pPr>
        <w:widowControl/>
        <w:jc w:val="center"/>
        <w:rPr>
          <w:rFonts w:ascii="Times New Roman" w:hAnsi="Times New Roman" w:cs="Times New Roman"/>
          <w:i/>
          <w:szCs w:val="15"/>
          <w:lang w:val="de-DE"/>
        </w:rPr>
      </w:pPr>
      <w:r w:rsidRPr="00FA0DD1">
        <w:rPr>
          <w:rFonts w:ascii="Times New Roman" w:hAnsi="Times New Roman" w:cs="Times New Roman"/>
          <w:i/>
          <w:iCs/>
          <w:szCs w:val="15"/>
          <w:lang w:val="de-DE"/>
        </w:rPr>
        <w:t>Silver Spring, MD 20993-0002</w:t>
      </w:r>
    </w:p>
    <w:p w14:paraId="2688A8DE" w14:textId="77777777" w:rsidR="00C00292" w:rsidRPr="00FA0DD1" w:rsidRDefault="00C00292" w:rsidP="00C00292">
      <w:pPr>
        <w:widowControl/>
        <w:jc w:val="center"/>
        <w:rPr>
          <w:rFonts w:ascii="Times New Roman" w:hAnsi="Times New Roman" w:cs="Times New Roman"/>
          <w:i/>
          <w:szCs w:val="15"/>
          <w:lang w:val="de-DE"/>
        </w:rPr>
      </w:pPr>
      <w:r>
        <w:rPr>
          <w:rFonts w:ascii="Times New Roman" w:hAnsi="Times New Roman" w:cs="Times New Roman"/>
          <w:i/>
          <w:iCs/>
          <w:szCs w:val="15"/>
        </w:rPr>
        <w:t>电话</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800-835-4709</w:t>
      </w:r>
      <w:r>
        <w:rPr>
          <w:rFonts w:ascii="Times New Roman" w:hAnsi="Times New Roman" w:cs="Times New Roman"/>
          <w:i/>
          <w:iCs/>
          <w:szCs w:val="15"/>
        </w:rPr>
        <w:t>或</w:t>
      </w:r>
      <w:r w:rsidRPr="00FA0DD1">
        <w:rPr>
          <w:rFonts w:ascii="Times New Roman" w:hAnsi="Times New Roman" w:cs="Times New Roman"/>
          <w:i/>
          <w:iCs/>
          <w:szCs w:val="15"/>
          <w:lang w:val="de-DE"/>
        </w:rPr>
        <w:t>240-402-8010</w:t>
      </w:r>
    </w:p>
    <w:p w14:paraId="63C303DE" w14:textId="77777777" w:rsidR="00C00292" w:rsidRPr="00FA0DD1" w:rsidRDefault="00C00292" w:rsidP="00C00292">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ocod@fda.hhs.gov</w:t>
      </w:r>
    </w:p>
    <w:p w14:paraId="4B7856D5" w14:textId="77777777" w:rsidR="00C00292" w:rsidRPr="00FA0DD1" w:rsidRDefault="00E8044B" w:rsidP="00C00292">
      <w:pPr>
        <w:widowControl/>
        <w:jc w:val="center"/>
        <w:rPr>
          <w:rFonts w:ascii="Times New Roman" w:hAnsi="Times New Roman" w:cs="Times New Roman"/>
          <w:i/>
          <w:szCs w:val="15"/>
          <w:lang w:val="de-DE"/>
        </w:rPr>
      </w:pPr>
      <w:hyperlink r:id="rId14" w:history="1">
        <w:r w:rsidR="00A1365A" w:rsidRPr="00FA0DD1">
          <w:rPr>
            <w:rStyle w:val="af"/>
            <w:rFonts w:ascii="Times New Roman" w:hAnsi="Times New Roman" w:cs="Times New Roman"/>
            <w:i/>
            <w:iCs/>
            <w:szCs w:val="15"/>
            <w:lang w:val="de-DE"/>
          </w:rPr>
          <w:t>https://www.fda.gov/vaccines-blood-biologics/guidance-compliance-regulatory-information-biologics/biologics-guidances</w:t>
        </w:r>
      </w:hyperlink>
    </w:p>
    <w:p w14:paraId="62A7F488" w14:textId="77777777" w:rsidR="00A1365A" w:rsidRPr="00C13D65" w:rsidRDefault="00A1365A" w:rsidP="00C00292">
      <w:pPr>
        <w:widowControl/>
        <w:jc w:val="center"/>
        <w:rPr>
          <w:rFonts w:ascii="Times New Roman" w:hAnsi="Times New Roman" w:cs="Times New Roman"/>
          <w:i/>
          <w:szCs w:val="15"/>
        </w:rPr>
      </w:pPr>
      <w:r>
        <w:rPr>
          <w:rFonts w:ascii="Times New Roman" w:hAnsi="Times New Roman" w:cs="Times New Roman"/>
          <w:i/>
          <w:iCs/>
          <w:szCs w:val="15"/>
        </w:rPr>
        <w:t>和</w:t>
      </w:r>
      <w:r>
        <w:rPr>
          <w:rFonts w:ascii="Times New Roman" w:hAnsi="Times New Roman" w:cs="Times New Roman"/>
          <w:i/>
          <w:iCs/>
          <w:szCs w:val="15"/>
        </w:rPr>
        <w:t>/</w:t>
      </w:r>
      <w:r>
        <w:rPr>
          <w:rFonts w:ascii="Times New Roman" w:hAnsi="Times New Roman" w:cs="Times New Roman"/>
          <w:i/>
          <w:iCs/>
          <w:szCs w:val="15"/>
        </w:rPr>
        <w:t>或</w:t>
      </w:r>
    </w:p>
    <w:p w14:paraId="605CE65D"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政策办公室</w:t>
      </w:r>
    </w:p>
    <w:p w14:paraId="66FE5945" w14:textId="38F9101F" w:rsidR="00A1365A" w:rsidRPr="00C13D65" w:rsidRDefault="00AA060A" w:rsidP="00C00292">
      <w:pPr>
        <w:widowControl/>
        <w:jc w:val="center"/>
        <w:rPr>
          <w:rFonts w:ascii="Times New Roman" w:hAnsi="Times New Roman" w:cs="Times New Roman"/>
          <w:i/>
          <w:szCs w:val="15"/>
        </w:rPr>
      </w:pPr>
      <w:r>
        <w:rPr>
          <w:rFonts w:ascii="Times New Roman" w:hAnsi="Times New Roman" w:cs="Times New Roman"/>
          <w:i/>
          <w:iCs/>
          <w:szCs w:val="15"/>
        </w:rPr>
        <w:t>医疗器械和放射健康中心</w:t>
      </w:r>
    </w:p>
    <w:p w14:paraId="46B3A3F4" w14:textId="77777777" w:rsidR="00C00292"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74A59317" w14:textId="77777777" w:rsidR="00A1365A" w:rsidRPr="00C13D65" w:rsidRDefault="00C00292" w:rsidP="00C00292">
      <w:pPr>
        <w:widowControl/>
        <w:jc w:val="center"/>
        <w:rPr>
          <w:rFonts w:ascii="Times New Roman" w:hAnsi="Times New Roman" w:cs="Times New Roman"/>
          <w:i/>
          <w:szCs w:val="15"/>
        </w:rPr>
      </w:pPr>
      <w:r>
        <w:rPr>
          <w:rFonts w:ascii="Times New Roman" w:hAnsi="Times New Roman" w:cs="Times New Roman"/>
          <w:i/>
          <w:iCs/>
          <w:szCs w:val="15"/>
        </w:rPr>
        <w:t>10903 New Hampshire Ave., Bldg. 66, Room 5431</w:t>
      </w:r>
    </w:p>
    <w:p w14:paraId="0F08D630" w14:textId="77777777" w:rsidR="00C00292" w:rsidRPr="00FA0DD1" w:rsidRDefault="00C00292" w:rsidP="00C00292">
      <w:pPr>
        <w:widowControl/>
        <w:jc w:val="center"/>
        <w:rPr>
          <w:rFonts w:ascii="Times New Roman" w:hAnsi="Times New Roman" w:cs="Times New Roman"/>
          <w:i/>
          <w:szCs w:val="15"/>
          <w:lang w:val="de-DE"/>
        </w:rPr>
      </w:pPr>
      <w:r w:rsidRPr="00FA0DD1">
        <w:rPr>
          <w:rFonts w:ascii="Times New Roman" w:hAnsi="Times New Roman" w:cs="Times New Roman"/>
          <w:i/>
          <w:iCs/>
          <w:szCs w:val="15"/>
          <w:lang w:val="de-DE"/>
        </w:rPr>
        <w:t>Silver Spring, MD 20993-0002</w:t>
      </w:r>
    </w:p>
    <w:p w14:paraId="610DBA97" w14:textId="77777777" w:rsidR="00C00292" w:rsidRPr="00FA0DD1" w:rsidRDefault="00C00292" w:rsidP="00C00292">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sidRPr="00FA0DD1">
        <w:rPr>
          <w:rFonts w:ascii="Times New Roman" w:hAnsi="Times New Roman" w:cs="Times New Roman"/>
          <w:i/>
          <w:iCs/>
          <w:szCs w:val="15"/>
          <w:lang w:val="de-DE"/>
        </w:rPr>
        <w:t>：</w:t>
      </w:r>
      <w:r w:rsidRPr="00FA0DD1">
        <w:rPr>
          <w:rFonts w:ascii="Times New Roman" w:hAnsi="Times New Roman" w:cs="Times New Roman"/>
          <w:i/>
          <w:iCs/>
          <w:szCs w:val="15"/>
          <w:lang w:val="de-DE"/>
        </w:rPr>
        <w:t>CDRH-Guidance@fda.hhs.gov</w:t>
      </w:r>
    </w:p>
    <w:p w14:paraId="66BC13D0" w14:textId="77777777" w:rsidR="00C00292" w:rsidRPr="00FA0DD1" w:rsidRDefault="00E8044B" w:rsidP="00E8044B">
      <w:pPr>
        <w:widowControl/>
        <w:spacing w:afterLines="50" w:after="156"/>
        <w:jc w:val="center"/>
        <w:rPr>
          <w:rFonts w:ascii="Times New Roman" w:hAnsi="Times New Roman" w:cs="Times New Roman"/>
          <w:i/>
          <w:szCs w:val="15"/>
          <w:lang w:val="de-DE"/>
        </w:rPr>
      </w:pPr>
      <w:hyperlink r:id="rId15" w:history="1">
        <w:r w:rsidR="00A1365A" w:rsidRPr="00FA0DD1">
          <w:rPr>
            <w:rStyle w:val="af"/>
            <w:rFonts w:ascii="Times New Roman" w:hAnsi="Times New Roman" w:cs="Times New Roman"/>
            <w:i/>
            <w:iCs/>
            <w:szCs w:val="15"/>
            <w:lang w:val="de-DE"/>
          </w:rPr>
          <w:t>https://www.fda.gov/medical-devices/device-advice-comprehensive-regulatory-assistance/guidance-documents-medical-devices-and-radiation-emitting-products</w:t>
        </w:r>
      </w:hyperlink>
    </w:p>
    <w:p w14:paraId="5850EE0C" w14:textId="45EC5133" w:rsidR="00A1365A" w:rsidRPr="00C13D65" w:rsidRDefault="00C00292" w:rsidP="00C00292">
      <w:pPr>
        <w:widowControl/>
        <w:jc w:val="center"/>
        <w:rPr>
          <w:rFonts w:ascii="Times New Roman" w:hAnsi="Times New Roman" w:cs="Times New Roman"/>
          <w:b/>
          <w:szCs w:val="15"/>
        </w:rPr>
      </w:pPr>
      <w:r>
        <w:rPr>
          <w:rFonts w:ascii="Times New Roman" w:hAnsi="Times New Roman" w:cs="Times New Roman"/>
          <w:b/>
          <w:bCs/>
          <w:szCs w:val="15"/>
        </w:rPr>
        <w:t>美国</w:t>
      </w:r>
      <w:r w:rsidR="00AA060A">
        <w:rPr>
          <w:rFonts w:ascii="Times New Roman" w:hAnsi="Times New Roman" w:cs="Times New Roman"/>
          <w:b/>
          <w:bCs/>
          <w:szCs w:val="15"/>
        </w:rPr>
        <w:t>卫生与公众服务部</w:t>
      </w:r>
    </w:p>
    <w:p w14:paraId="33C93A3F" w14:textId="77777777" w:rsidR="00C00292" w:rsidRPr="00C13D65" w:rsidRDefault="00C00292" w:rsidP="00C00292">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49CC4E57" w14:textId="77777777" w:rsidR="00A1365A" w:rsidRPr="00C13D65" w:rsidRDefault="00C00292" w:rsidP="00C00292">
      <w:pPr>
        <w:widowControl/>
        <w:jc w:val="center"/>
        <w:rPr>
          <w:rFonts w:ascii="Times New Roman" w:hAnsi="Times New Roman" w:cs="Times New Roman"/>
          <w:b/>
          <w:szCs w:val="15"/>
        </w:rPr>
      </w:pPr>
      <w:r>
        <w:rPr>
          <w:rFonts w:ascii="Times New Roman" w:hAnsi="Times New Roman" w:cs="Times New Roman"/>
          <w:b/>
          <w:bCs/>
          <w:szCs w:val="15"/>
        </w:rPr>
        <w:t>药品审评和研究中心（</w:t>
      </w:r>
      <w:r>
        <w:rPr>
          <w:rFonts w:ascii="Times New Roman" w:hAnsi="Times New Roman" w:cs="Times New Roman"/>
          <w:b/>
          <w:bCs/>
          <w:szCs w:val="15"/>
        </w:rPr>
        <w:t>CEDR</w:t>
      </w:r>
      <w:r>
        <w:rPr>
          <w:rFonts w:ascii="Times New Roman" w:hAnsi="Times New Roman" w:cs="Times New Roman"/>
          <w:b/>
          <w:bCs/>
          <w:szCs w:val="15"/>
        </w:rPr>
        <w:t>）</w:t>
      </w:r>
    </w:p>
    <w:p w14:paraId="3DE63613" w14:textId="15F3E680" w:rsidR="00A1365A" w:rsidRPr="00C13D65" w:rsidRDefault="00AA060A" w:rsidP="00C00292">
      <w:pPr>
        <w:widowControl/>
        <w:jc w:val="center"/>
        <w:rPr>
          <w:rFonts w:ascii="Times New Roman" w:hAnsi="Times New Roman" w:cs="Times New Roman"/>
          <w:b/>
          <w:szCs w:val="15"/>
        </w:rPr>
      </w:pPr>
      <w:r>
        <w:rPr>
          <w:rFonts w:ascii="Times New Roman" w:hAnsi="Times New Roman" w:cs="Times New Roman"/>
          <w:b/>
          <w:bCs/>
          <w:szCs w:val="15"/>
        </w:rPr>
        <w:t>生物制品评价和研究中心</w:t>
      </w:r>
      <w:r w:rsidR="00C00292">
        <w:rPr>
          <w:rFonts w:ascii="Times New Roman" w:hAnsi="Times New Roman" w:cs="Times New Roman"/>
          <w:b/>
          <w:bCs/>
          <w:szCs w:val="15"/>
        </w:rPr>
        <w:t>（</w:t>
      </w:r>
      <w:r w:rsidR="00C00292">
        <w:rPr>
          <w:rFonts w:ascii="Times New Roman" w:hAnsi="Times New Roman" w:cs="Times New Roman"/>
          <w:b/>
          <w:bCs/>
          <w:szCs w:val="15"/>
        </w:rPr>
        <w:t>CBER</w:t>
      </w:r>
      <w:r w:rsidR="00C00292">
        <w:rPr>
          <w:rFonts w:ascii="Times New Roman" w:hAnsi="Times New Roman" w:cs="Times New Roman"/>
          <w:b/>
          <w:bCs/>
          <w:szCs w:val="15"/>
        </w:rPr>
        <w:t>）</w:t>
      </w:r>
    </w:p>
    <w:p w14:paraId="43B541E8" w14:textId="48DE6F3A" w:rsidR="00A1365A" w:rsidRPr="00C13D65" w:rsidRDefault="00AA060A" w:rsidP="00C00292">
      <w:pPr>
        <w:widowControl/>
        <w:jc w:val="center"/>
        <w:rPr>
          <w:rFonts w:ascii="Times New Roman" w:hAnsi="Times New Roman" w:cs="Times New Roman"/>
          <w:b/>
          <w:szCs w:val="15"/>
        </w:rPr>
      </w:pPr>
      <w:r>
        <w:rPr>
          <w:rFonts w:ascii="Times New Roman" w:hAnsi="Times New Roman" w:cs="Times New Roman"/>
          <w:b/>
          <w:bCs/>
          <w:szCs w:val="15"/>
        </w:rPr>
        <w:t>医疗器械和放射健康中心</w:t>
      </w:r>
      <w:r w:rsidR="00C00292">
        <w:rPr>
          <w:rFonts w:ascii="Times New Roman" w:hAnsi="Times New Roman" w:cs="Times New Roman"/>
          <w:b/>
          <w:bCs/>
          <w:szCs w:val="15"/>
        </w:rPr>
        <w:t>（</w:t>
      </w:r>
      <w:r w:rsidR="00C00292">
        <w:rPr>
          <w:rFonts w:ascii="Times New Roman" w:hAnsi="Times New Roman" w:cs="Times New Roman"/>
          <w:b/>
          <w:bCs/>
          <w:szCs w:val="15"/>
        </w:rPr>
        <w:t>CDRH</w:t>
      </w:r>
      <w:r w:rsidR="00C00292">
        <w:rPr>
          <w:rFonts w:ascii="Times New Roman" w:hAnsi="Times New Roman" w:cs="Times New Roman"/>
          <w:b/>
          <w:bCs/>
          <w:szCs w:val="15"/>
        </w:rPr>
        <w:t>）</w:t>
      </w:r>
    </w:p>
    <w:p w14:paraId="1BAE344E" w14:textId="77777777" w:rsidR="00084784" w:rsidRPr="00C13D65" w:rsidRDefault="00C00292" w:rsidP="00E8044B">
      <w:pPr>
        <w:widowControl/>
        <w:spacing w:afterLines="50" w:after="156"/>
        <w:jc w:val="center"/>
        <w:rPr>
          <w:rFonts w:ascii="Times New Roman" w:hAnsi="Times New Roman" w:cs="Times New Roman"/>
          <w:b/>
          <w:szCs w:val="15"/>
        </w:rPr>
      </w:pPr>
      <w:r>
        <w:rPr>
          <w:rFonts w:ascii="Times New Roman" w:hAnsi="Times New Roman" w:cs="Times New Roman"/>
          <w:b/>
          <w:bCs/>
          <w:szCs w:val="15"/>
        </w:rPr>
        <w:t>组合产品办公室（</w:t>
      </w:r>
      <w:r>
        <w:rPr>
          <w:rFonts w:ascii="Times New Roman" w:hAnsi="Times New Roman" w:cs="Times New Roman"/>
          <w:b/>
          <w:bCs/>
          <w:szCs w:val="15"/>
        </w:rPr>
        <w:t>OCP</w:t>
      </w:r>
      <w:r>
        <w:rPr>
          <w:rFonts w:ascii="Times New Roman" w:hAnsi="Times New Roman" w:cs="Times New Roman"/>
          <w:b/>
          <w:bCs/>
          <w:szCs w:val="15"/>
        </w:rPr>
        <w:t>）</w:t>
      </w:r>
    </w:p>
    <w:p w14:paraId="051951B5" w14:textId="77777777" w:rsidR="00C00292" w:rsidRPr="00C13D65" w:rsidRDefault="00C00292" w:rsidP="00C00292">
      <w:pPr>
        <w:widowControl/>
        <w:jc w:val="center"/>
        <w:rPr>
          <w:rFonts w:ascii="Times New Roman" w:hAnsi="Times New Roman" w:cs="Times New Roman"/>
          <w:b/>
          <w:szCs w:val="15"/>
        </w:rPr>
      </w:pPr>
      <w:r>
        <w:rPr>
          <w:rFonts w:ascii="Times New Roman" w:hAnsi="Times New Roman" w:cs="Times New Roman"/>
          <w:b/>
          <w:bCs/>
          <w:szCs w:val="15"/>
        </w:rPr>
        <w:t>2021</w:t>
      </w:r>
      <w:r>
        <w:rPr>
          <w:rFonts w:ascii="Times New Roman" w:hAnsi="Times New Roman" w:cs="Times New Roman"/>
          <w:b/>
          <w:bCs/>
          <w:szCs w:val="15"/>
        </w:rPr>
        <w:t>年</w:t>
      </w:r>
      <w:r>
        <w:rPr>
          <w:rFonts w:ascii="Times New Roman" w:hAnsi="Times New Roman" w:cs="Times New Roman"/>
          <w:b/>
          <w:bCs/>
          <w:szCs w:val="15"/>
        </w:rPr>
        <w:t>5</w:t>
      </w:r>
      <w:r>
        <w:rPr>
          <w:rFonts w:ascii="Times New Roman" w:hAnsi="Times New Roman" w:cs="Times New Roman"/>
          <w:b/>
          <w:bCs/>
          <w:szCs w:val="15"/>
        </w:rPr>
        <w:t>月</w:t>
      </w:r>
    </w:p>
    <w:p w14:paraId="3760372A" w14:textId="77777777" w:rsidR="00084784" w:rsidRPr="00C13D65" w:rsidRDefault="00C00292" w:rsidP="00C00292">
      <w:pPr>
        <w:widowControl/>
        <w:jc w:val="center"/>
        <w:rPr>
          <w:rFonts w:ascii="Times New Roman" w:hAnsi="Times New Roman" w:cs="Times New Roman"/>
          <w:b/>
          <w:szCs w:val="15"/>
        </w:rPr>
      </w:pPr>
      <w:r>
        <w:rPr>
          <w:rFonts w:ascii="Times New Roman" w:hAnsi="Times New Roman" w:cs="Times New Roman"/>
          <w:b/>
          <w:bCs/>
          <w:szCs w:val="15"/>
        </w:rPr>
        <w:t>药品质量</w:t>
      </w:r>
      <w:r>
        <w:rPr>
          <w:rFonts w:ascii="Times New Roman" w:hAnsi="Times New Roman" w:cs="Times New Roman"/>
          <w:b/>
          <w:bCs/>
          <w:szCs w:val="15"/>
        </w:rPr>
        <w:t>/CMC</w:t>
      </w:r>
    </w:p>
    <w:p w14:paraId="013118C2" w14:textId="77777777" w:rsidR="00084784" w:rsidRPr="00C13D65" w:rsidRDefault="00084784" w:rsidP="00E8044B">
      <w:pPr>
        <w:spacing w:beforeLines="50" w:before="156" w:afterLines="50" w:after="156"/>
        <w:jc w:val="center"/>
        <w:rPr>
          <w:rFonts w:ascii="Times New Roman" w:hAnsi="Times New Roman" w:cs="Times New Roman"/>
          <w:b/>
          <w:sz w:val="32"/>
          <w:szCs w:val="32"/>
        </w:rPr>
        <w:sectPr w:rsidR="00084784" w:rsidRPr="00C13D65" w:rsidSect="00AE5438">
          <w:headerReference w:type="default" r:id="rId16"/>
          <w:pgSz w:w="11906" w:h="16838"/>
          <w:pgMar w:top="1134" w:right="1134" w:bottom="1134" w:left="1134" w:header="851" w:footer="992" w:gutter="0"/>
          <w:cols w:space="425"/>
          <w:docGrid w:type="lines" w:linePitch="312"/>
        </w:sectPr>
      </w:pPr>
    </w:p>
    <w:p w14:paraId="538F7D6D" w14:textId="77777777" w:rsidR="00084784" w:rsidRPr="00C13D65" w:rsidRDefault="00C00292" w:rsidP="00E8044B">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lastRenderedPageBreak/>
        <w:t>目录</w:t>
      </w:r>
    </w:p>
    <w:p w14:paraId="42CBAC38" w14:textId="77777777" w:rsidR="00E20989" w:rsidRPr="00FA0DD1" w:rsidRDefault="00E8044B">
      <w:pPr>
        <w:pStyle w:val="TOC1"/>
        <w:rPr>
          <w:b w:val="0"/>
        </w:rPr>
      </w:pPr>
      <w:r w:rsidRPr="00FA0DD1">
        <w:rPr>
          <w:bCs/>
        </w:rPr>
        <w:fldChar w:fldCharType="begin"/>
      </w:r>
      <w:r w:rsidR="00084784" w:rsidRPr="00FA0DD1">
        <w:instrText xml:space="preserve"> TOC \o "1-3" \h \z \u </w:instrText>
      </w:r>
      <w:r w:rsidRPr="00FA0DD1">
        <w:fldChar w:fldCharType="separate"/>
      </w:r>
      <w:hyperlink w:anchor="_Toc97322906" w:history="1">
        <w:r w:rsidR="00E20989" w:rsidRPr="00FA0DD1">
          <w:rPr>
            <w:rStyle w:val="af"/>
            <w:bCs/>
          </w:rPr>
          <w:t>I.</w:t>
        </w:r>
        <w:r w:rsidR="00E20989" w:rsidRPr="00FA0DD1">
          <w:rPr>
            <w:b w:val="0"/>
          </w:rPr>
          <w:tab/>
        </w:r>
        <w:r w:rsidR="00E20989" w:rsidRPr="00FA0DD1">
          <w:rPr>
            <w:rStyle w:val="af"/>
            <w:bCs/>
          </w:rPr>
          <w:t>引言</w:t>
        </w:r>
        <w:r w:rsidR="00E20989" w:rsidRPr="00FA0DD1">
          <w:rPr>
            <w:webHidden/>
          </w:rPr>
          <w:tab/>
        </w:r>
        <w:r w:rsidRPr="00FA0DD1">
          <w:rPr>
            <w:webHidden/>
          </w:rPr>
          <w:fldChar w:fldCharType="begin"/>
        </w:r>
        <w:r w:rsidR="00E20989" w:rsidRPr="00FA0DD1">
          <w:rPr>
            <w:webHidden/>
          </w:rPr>
          <w:instrText xml:space="preserve"> PAGEREF _Toc97322906 \h </w:instrText>
        </w:r>
        <w:r w:rsidRPr="00FA0DD1">
          <w:rPr>
            <w:webHidden/>
          </w:rPr>
        </w:r>
        <w:r w:rsidRPr="00FA0DD1">
          <w:rPr>
            <w:webHidden/>
          </w:rPr>
          <w:fldChar w:fldCharType="separate"/>
        </w:r>
        <w:r w:rsidR="00E20989" w:rsidRPr="00FA0DD1">
          <w:rPr>
            <w:webHidden/>
          </w:rPr>
          <w:t>1</w:t>
        </w:r>
        <w:r w:rsidRPr="00FA0DD1">
          <w:rPr>
            <w:webHidden/>
          </w:rPr>
          <w:fldChar w:fldCharType="end"/>
        </w:r>
      </w:hyperlink>
    </w:p>
    <w:p w14:paraId="1A9ABBAF" w14:textId="77777777" w:rsidR="00E20989" w:rsidRPr="00FA0DD1" w:rsidRDefault="00000000">
      <w:pPr>
        <w:pStyle w:val="TOC1"/>
        <w:rPr>
          <w:b w:val="0"/>
        </w:rPr>
      </w:pPr>
      <w:hyperlink w:anchor="_Toc97322907" w:history="1">
        <w:r w:rsidR="00E20989" w:rsidRPr="00FA0DD1">
          <w:rPr>
            <w:rStyle w:val="af"/>
            <w:bCs/>
          </w:rPr>
          <w:t>II.</w:t>
        </w:r>
        <w:r w:rsidR="00E20989" w:rsidRPr="00FA0DD1">
          <w:rPr>
            <w:b w:val="0"/>
          </w:rPr>
          <w:tab/>
        </w:r>
        <w:r w:rsidR="00E20989" w:rsidRPr="00FA0DD1">
          <w:rPr>
            <w:rStyle w:val="af"/>
            <w:bCs/>
          </w:rPr>
          <w:t>实施</w:t>
        </w:r>
        <w:r w:rsidR="00E20989" w:rsidRPr="00FA0DD1">
          <w:rPr>
            <w:rStyle w:val="af"/>
            <w:rFonts w:hint="eastAsia"/>
            <w:bCs/>
          </w:rPr>
          <w:t>注意事项</w:t>
        </w:r>
        <w:r w:rsidR="00E20989" w:rsidRPr="00FA0DD1">
          <w:rPr>
            <w:webHidden/>
          </w:rPr>
          <w:tab/>
        </w:r>
        <w:r w:rsidR="00E8044B" w:rsidRPr="00FA0DD1">
          <w:rPr>
            <w:webHidden/>
          </w:rPr>
          <w:fldChar w:fldCharType="begin"/>
        </w:r>
        <w:r w:rsidR="00E20989" w:rsidRPr="00FA0DD1">
          <w:rPr>
            <w:webHidden/>
          </w:rPr>
          <w:instrText xml:space="preserve"> PAGEREF _Toc97322907 \h </w:instrText>
        </w:r>
        <w:r w:rsidR="00E8044B" w:rsidRPr="00FA0DD1">
          <w:rPr>
            <w:webHidden/>
          </w:rPr>
        </w:r>
        <w:r w:rsidR="00E8044B" w:rsidRPr="00FA0DD1">
          <w:rPr>
            <w:webHidden/>
          </w:rPr>
          <w:fldChar w:fldCharType="separate"/>
        </w:r>
        <w:r w:rsidR="00E20989" w:rsidRPr="00FA0DD1">
          <w:rPr>
            <w:webHidden/>
          </w:rPr>
          <w:t>2</w:t>
        </w:r>
        <w:r w:rsidR="00E8044B" w:rsidRPr="00FA0DD1">
          <w:rPr>
            <w:webHidden/>
          </w:rPr>
          <w:fldChar w:fldCharType="end"/>
        </w:r>
      </w:hyperlink>
    </w:p>
    <w:p w14:paraId="3D1EEC29" w14:textId="77777777" w:rsidR="00E20989" w:rsidRPr="00FA0DD1" w:rsidRDefault="00000000">
      <w:pPr>
        <w:pStyle w:val="TOC2"/>
        <w:tabs>
          <w:tab w:val="left" w:pos="840"/>
          <w:tab w:val="right" w:leader="dot" w:pos="9628"/>
        </w:tabs>
        <w:rPr>
          <w:rFonts w:ascii="Times New Roman" w:hAnsi="Times New Roman" w:cs="Times New Roman"/>
          <w:noProof/>
          <w:sz w:val="24"/>
          <w:szCs w:val="24"/>
        </w:rPr>
      </w:pPr>
      <w:hyperlink w:anchor="_Toc97322908" w:history="1">
        <w:r w:rsidR="00E20989" w:rsidRPr="00FA0DD1">
          <w:rPr>
            <w:rStyle w:val="af"/>
            <w:rFonts w:ascii="Times New Roman" w:hAnsi="Times New Roman" w:cs="Times New Roman"/>
            <w:b/>
            <w:bCs/>
            <w:noProof/>
            <w:sz w:val="24"/>
            <w:szCs w:val="24"/>
          </w:rPr>
          <w:t>A.</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引言</w:t>
        </w:r>
        <w:r w:rsidR="00E20989" w:rsidRPr="00FA0DD1">
          <w:rPr>
            <w:rFonts w:ascii="Times New Roman" w:hAnsi="Times New Roman" w:cs="Times New Roman"/>
            <w:noProof/>
            <w:webHidden/>
            <w:sz w:val="24"/>
            <w:szCs w:val="24"/>
          </w:rPr>
          <w:tab/>
        </w:r>
        <w:r w:rsidR="00E8044B"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_Toc97322908 \h </w:instrText>
        </w:r>
        <w:r w:rsidR="00E8044B" w:rsidRPr="00FA0DD1">
          <w:rPr>
            <w:rFonts w:ascii="Times New Roman" w:hAnsi="Times New Roman" w:cs="Times New Roman"/>
            <w:noProof/>
            <w:webHidden/>
            <w:sz w:val="24"/>
            <w:szCs w:val="24"/>
          </w:rPr>
        </w:r>
        <w:r w:rsidR="00E8044B"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2</w:t>
        </w:r>
        <w:r w:rsidR="00E8044B" w:rsidRPr="00FA0DD1">
          <w:rPr>
            <w:rFonts w:ascii="Times New Roman" w:hAnsi="Times New Roman" w:cs="Times New Roman"/>
            <w:noProof/>
            <w:webHidden/>
            <w:sz w:val="24"/>
            <w:szCs w:val="24"/>
          </w:rPr>
          <w:fldChar w:fldCharType="end"/>
        </w:r>
      </w:hyperlink>
    </w:p>
    <w:p w14:paraId="6656B496" w14:textId="63EBE741" w:rsidR="00E20989" w:rsidRPr="00FA0DD1" w:rsidRDefault="00E8044B">
      <w:pPr>
        <w:pStyle w:val="TOC2"/>
        <w:tabs>
          <w:tab w:val="left" w:pos="840"/>
          <w:tab w:val="right" w:leader="dot" w:pos="9628"/>
        </w:tabs>
        <w:rPr>
          <w:rFonts w:ascii="Times New Roman" w:hAnsi="Times New Roman" w:cs="Times New Roman"/>
          <w:noProof/>
          <w:sz w:val="24"/>
          <w:szCs w:val="24"/>
        </w:rPr>
      </w:pPr>
      <w:hyperlink w:anchor="_Toc97322909" w:history="1">
        <w:r w:rsidR="00E20989" w:rsidRPr="00FA0DD1">
          <w:rPr>
            <w:rStyle w:val="af"/>
            <w:rFonts w:ascii="Times New Roman" w:hAnsi="Times New Roman" w:cs="Times New Roman"/>
            <w:b/>
            <w:bCs/>
            <w:noProof/>
            <w:sz w:val="24"/>
            <w:szCs w:val="24"/>
          </w:rPr>
          <w:t>B.</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批准后</w:t>
        </w:r>
        <w:r w:rsidR="00BC26F6">
          <w:rPr>
            <w:rStyle w:val="af"/>
            <w:rFonts w:ascii="Times New Roman" w:hAnsi="Times New Roman" w:cs="Times New Roman" w:hint="eastAsia"/>
            <w:b/>
            <w:bCs/>
            <w:noProof/>
            <w:sz w:val="24"/>
            <w:szCs w:val="24"/>
          </w:rPr>
          <w:t>C</w:t>
        </w:r>
        <w:r w:rsidR="00BC26F6">
          <w:rPr>
            <w:rStyle w:val="af"/>
            <w:rFonts w:ascii="Times New Roman" w:hAnsi="Times New Roman" w:cs="Times New Roman"/>
            <w:b/>
            <w:bCs/>
            <w:noProof/>
            <w:sz w:val="24"/>
            <w:szCs w:val="24"/>
          </w:rPr>
          <w:t>MC</w:t>
        </w:r>
        <w:r w:rsidR="00E20989" w:rsidRPr="00FA0DD1">
          <w:rPr>
            <w:rStyle w:val="af"/>
            <w:rFonts w:ascii="Times New Roman" w:hAnsi="Times New Roman" w:cs="Times New Roman"/>
            <w:b/>
            <w:bCs/>
            <w:noProof/>
            <w:sz w:val="24"/>
            <w:szCs w:val="24"/>
          </w:rPr>
          <w:t>变更的分类</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_Toc97322909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2</w:t>
        </w:r>
        <w:r w:rsidRPr="00FA0DD1">
          <w:rPr>
            <w:rFonts w:ascii="Times New Roman" w:hAnsi="Times New Roman" w:cs="Times New Roman"/>
            <w:noProof/>
            <w:webHidden/>
            <w:sz w:val="24"/>
            <w:szCs w:val="24"/>
          </w:rPr>
          <w:fldChar w:fldCharType="end"/>
        </w:r>
      </w:hyperlink>
    </w:p>
    <w:p w14:paraId="275ADA93" w14:textId="6C139974" w:rsidR="00E20989" w:rsidRPr="00FA0DD1" w:rsidRDefault="00E8044B">
      <w:pPr>
        <w:pStyle w:val="TOC2"/>
        <w:tabs>
          <w:tab w:val="left" w:pos="840"/>
          <w:tab w:val="right" w:leader="dot" w:pos="9628"/>
        </w:tabs>
        <w:rPr>
          <w:rFonts w:ascii="Times New Roman" w:hAnsi="Times New Roman" w:cs="Times New Roman"/>
          <w:noProof/>
          <w:sz w:val="24"/>
          <w:szCs w:val="24"/>
        </w:rPr>
      </w:pPr>
      <w:hyperlink w:anchor="_Toc97322910" w:history="1">
        <w:r w:rsidR="00E20989" w:rsidRPr="00FA0DD1">
          <w:rPr>
            <w:rStyle w:val="af"/>
            <w:rFonts w:ascii="Times New Roman" w:hAnsi="Times New Roman" w:cs="Times New Roman"/>
            <w:b/>
            <w:bCs/>
            <w:noProof/>
            <w:sz w:val="24"/>
            <w:szCs w:val="24"/>
          </w:rPr>
          <w:t>C.</w:t>
        </w:r>
        <w:r w:rsidR="00E20989" w:rsidRPr="00FA0DD1">
          <w:rPr>
            <w:rFonts w:ascii="Times New Roman" w:hAnsi="Times New Roman" w:cs="Times New Roman"/>
            <w:noProof/>
            <w:sz w:val="24"/>
            <w:szCs w:val="24"/>
          </w:rPr>
          <w:tab/>
        </w:r>
        <w:r w:rsidR="00AA53A9">
          <w:rPr>
            <w:rStyle w:val="af"/>
            <w:rFonts w:ascii="Times New Roman" w:hAnsi="Times New Roman" w:cs="Times New Roman" w:hint="eastAsia"/>
            <w:b/>
            <w:bCs/>
            <w:noProof/>
            <w:sz w:val="24"/>
            <w:szCs w:val="24"/>
          </w:rPr>
          <w:t>既定</w:t>
        </w:r>
        <w:r w:rsidR="00E20989" w:rsidRPr="00FA0DD1">
          <w:rPr>
            <w:rStyle w:val="af"/>
            <w:rFonts w:ascii="Times New Roman" w:hAnsi="Times New Roman" w:cs="Times New Roman"/>
            <w:b/>
            <w:bCs/>
            <w:noProof/>
            <w:sz w:val="24"/>
            <w:szCs w:val="24"/>
          </w:rPr>
          <w:t>条件</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_Toc97322910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2</w:t>
        </w:r>
        <w:r w:rsidRPr="00FA0DD1">
          <w:rPr>
            <w:rFonts w:ascii="Times New Roman" w:hAnsi="Times New Roman" w:cs="Times New Roman"/>
            <w:noProof/>
            <w:webHidden/>
            <w:sz w:val="24"/>
            <w:szCs w:val="24"/>
          </w:rPr>
          <w:fldChar w:fldCharType="end"/>
        </w:r>
      </w:hyperlink>
    </w:p>
    <w:p w14:paraId="63800B72" w14:textId="46F2E61C"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1" w:history="1">
        <w:r w:rsidR="00E20989" w:rsidRPr="00FA0DD1">
          <w:rPr>
            <w:rStyle w:val="af"/>
            <w:rFonts w:ascii="Times New Roman" w:hAnsi="Times New Roman" w:cs="Times New Roman"/>
            <w:i/>
            <w:iCs/>
            <w:noProof/>
            <w:sz w:val="24"/>
            <w:szCs w:val="24"/>
          </w:rPr>
          <w:t>1.</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提交</w:t>
        </w:r>
        <w:r w:rsidR="00AA53A9">
          <w:rPr>
            <w:rStyle w:val="af"/>
            <w:rFonts w:ascii="Times New Roman" w:hAnsi="Times New Roman" w:cs="Times New Roman" w:hint="eastAsia"/>
            <w:i/>
            <w:iCs/>
            <w:noProof/>
            <w:sz w:val="24"/>
            <w:szCs w:val="24"/>
          </w:rPr>
          <w:t>既定</w:t>
        </w:r>
        <w:r w:rsidR="00E20989" w:rsidRPr="00FA0DD1">
          <w:rPr>
            <w:rStyle w:val="af"/>
            <w:rFonts w:ascii="Times New Roman" w:hAnsi="Times New Roman" w:cs="Times New Roman"/>
            <w:i/>
            <w:iCs/>
            <w:noProof/>
            <w:sz w:val="24"/>
            <w:szCs w:val="24"/>
          </w:rPr>
          <w:t>条件</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_Toc97322911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3</w:t>
        </w:r>
        <w:r w:rsidRPr="00FA0DD1">
          <w:rPr>
            <w:rFonts w:ascii="Times New Roman" w:hAnsi="Times New Roman" w:cs="Times New Roman"/>
            <w:noProof/>
            <w:webHidden/>
            <w:sz w:val="24"/>
            <w:szCs w:val="24"/>
          </w:rPr>
          <w:fldChar w:fldCharType="end"/>
        </w:r>
      </w:hyperlink>
    </w:p>
    <w:p w14:paraId="424410A5" w14:textId="6F729A75"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2" w:history="1">
        <w:r w:rsidR="00E20989" w:rsidRPr="00FA0DD1">
          <w:rPr>
            <w:rStyle w:val="af"/>
            <w:rFonts w:ascii="Times New Roman" w:hAnsi="Times New Roman" w:cs="Times New Roman"/>
            <w:i/>
            <w:iCs/>
            <w:noProof/>
            <w:sz w:val="24"/>
            <w:szCs w:val="24"/>
          </w:rPr>
          <w:t>2.</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hint="eastAsia"/>
            <w:i/>
            <w:iCs/>
            <w:noProof/>
            <w:sz w:val="24"/>
            <w:szCs w:val="24"/>
          </w:rPr>
          <w:t>既定</w:t>
        </w:r>
        <w:r w:rsidR="00E20989" w:rsidRPr="00FA0DD1">
          <w:rPr>
            <w:rStyle w:val="af"/>
            <w:rFonts w:ascii="Times New Roman" w:hAnsi="Times New Roman" w:cs="Times New Roman"/>
            <w:i/>
            <w:iCs/>
            <w:noProof/>
            <w:sz w:val="24"/>
            <w:szCs w:val="24"/>
          </w:rPr>
          <w:t>条件</w:t>
        </w:r>
        <w:r w:rsidR="00FF602F">
          <w:rPr>
            <w:rStyle w:val="af"/>
            <w:rFonts w:ascii="Times New Roman" w:hAnsi="Times New Roman" w:cs="Times New Roman" w:hint="eastAsia"/>
            <w:i/>
            <w:iCs/>
            <w:noProof/>
            <w:sz w:val="24"/>
            <w:szCs w:val="24"/>
          </w:rPr>
          <w:t>确认</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_Toc97322912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4</w:t>
        </w:r>
        <w:r w:rsidRPr="00FA0DD1">
          <w:rPr>
            <w:rFonts w:ascii="Times New Roman" w:hAnsi="Times New Roman" w:cs="Times New Roman"/>
            <w:noProof/>
            <w:webHidden/>
            <w:sz w:val="24"/>
            <w:szCs w:val="24"/>
          </w:rPr>
          <w:fldChar w:fldCharType="end"/>
        </w:r>
      </w:hyperlink>
    </w:p>
    <w:p w14:paraId="483F69ED" w14:textId="57040EF6"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3" w:history="1">
        <w:r w:rsidR="00E20989" w:rsidRPr="00FA0DD1">
          <w:rPr>
            <w:rStyle w:val="af"/>
            <w:rFonts w:ascii="Times New Roman" w:hAnsi="Times New Roman" w:cs="Times New Roman"/>
            <w:i/>
            <w:iCs/>
            <w:noProof/>
            <w:sz w:val="24"/>
            <w:szCs w:val="24"/>
          </w:rPr>
          <w:t>3.</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药物主文件中</w:t>
        </w:r>
        <w:r w:rsidR="00B46AB4">
          <w:rPr>
            <w:rStyle w:val="af"/>
            <w:rFonts w:ascii="Times New Roman" w:hAnsi="Times New Roman" w:cs="Times New Roman" w:hint="eastAsia"/>
            <w:i/>
            <w:iCs/>
            <w:noProof/>
            <w:sz w:val="24"/>
            <w:szCs w:val="24"/>
          </w:rPr>
          <w:t>原料药</w:t>
        </w:r>
        <w:r w:rsidR="00E20989" w:rsidRPr="00FA0DD1">
          <w:rPr>
            <w:rStyle w:val="af"/>
            <w:rFonts w:ascii="Times New Roman" w:hAnsi="Times New Roman" w:cs="Times New Roman"/>
            <w:i/>
            <w:iCs/>
            <w:noProof/>
            <w:sz w:val="24"/>
            <w:szCs w:val="24"/>
          </w:rPr>
          <w:t>或</w:t>
        </w:r>
        <w:r w:rsidR="00B46AB4">
          <w:rPr>
            <w:rStyle w:val="af"/>
            <w:rFonts w:ascii="Times New Roman" w:hAnsi="Times New Roman" w:cs="Times New Roman" w:hint="eastAsia"/>
            <w:i/>
            <w:iCs/>
            <w:noProof/>
            <w:sz w:val="24"/>
            <w:szCs w:val="24"/>
          </w:rPr>
          <w:t>制剂</w:t>
        </w:r>
        <w:r w:rsidR="00E20989" w:rsidRPr="00FA0DD1">
          <w:rPr>
            <w:rStyle w:val="af"/>
            <w:rFonts w:ascii="Times New Roman" w:hAnsi="Times New Roman" w:cs="Times New Roman"/>
            <w:i/>
            <w:iCs/>
            <w:noProof/>
            <w:sz w:val="24"/>
            <w:szCs w:val="24"/>
          </w:rPr>
          <w:t>的</w:t>
        </w:r>
        <w:r w:rsidR="00B95239" w:rsidRPr="00B95239">
          <w:rPr>
            <w:rStyle w:val="af"/>
            <w:rFonts w:ascii="Times New Roman" w:hAnsi="Times New Roman" w:cs="Times New Roman"/>
            <w:i/>
            <w:iCs/>
            <w:noProof/>
            <w:sz w:val="24"/>
            <w:szCs w:val="24"/>
          </w:rPr>
          <w:t>确定</w:t>
        </w:r>
        <w:r w:rsidR="00E20989" w:rsidRPr="00FA0DD1">
          <w:rPr>
            <w:rStyle w:val="af"/>
            <w:rFonts w:ascii="Times New Roman" w:hAnsi="Times New Roman" w:cs="Times New Roman"/>
            <w:i/>
            <w:iCs/>
            <w:noProof/>
            <w:sz w:val="24"/>
            <w:szCs w:val="24"/>
          </w:rPr>
          <w:t>条件</w:t>
        </w:r>
        <w:r w:rsidR="00F04BFA">
          <w:rPr>
            <w:rStyle w:val="af"/>
            <w:rFonts w:ascii="Times New Roman" w:hAnsi="Times New Roman" w:cs="Times New Roman" w:hint="eastAsia"/>
            <w:i/>
            <w:iCs/>
            <w:noProof/>
            <w:sz w:val="24"/>
            <w:szCs w:val="24"/>
          </w:rPr>
          <w:t>确认</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_Toc97322913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5</w:t>
        </w:r>
        <w:r w:rsidRPr="00FA0DD1">
          <w:rPr>
            <w:rFonts w:ascii="Times New Roman" w:hAnsi="Times New Roman" w:cs="Times New Roman"/>
            <w:noProof/>
            <w:webHidden/>
            <w:sz w:val="24"/>
            <w:szCs w:val="24"/>
          </w:rPr>
          <w:fldChar w:fldCharType="end"/>
        </w:r>
      </w:hyperlink>
    </w:p>
    <w:p w14:paraId="43CF76B9" w14:textId="51BED73F"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4" w:history="1">
        <w:r w:rsidR="00E20989" w:rsidRPr="00FA0DD1">
          <w:rPr>
            <w:rStyle w:val="af"/>
            <w:rFonts w:ascii="Times New Roman" w:hAnsi="Times New Roman" w:cs="Times New Roman"/>
            <w:i/>
            <w:iCs/>
            <w:noProof/>
            <w:sz w:val="24"/>
            <w:szCs w:val="24"/>
          </w:rPr>
          <w:t>4.</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组合产品器械组成部分的既定条件</w:t>
        </w:r>
        <w:r w:rsidR="00F04BFA">
          <w:rPr>
            <w:rStyle w:val="af"/>
            <w:rFonts w:ascii="Times New Roman" w:hAnsi="Times New Roman" w:cs="Times New Roman" w:hint="eastAsia"/>
            <w:i/>
            <w:iCs/>
            <w:noProof/>
            <w:sz w:val="24"/>
            <w:szCs w:val="24"/>
          </w:rPr>
          <w:t>确认</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_Toc97322914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6</w:t>
        </w:r>
        <w:r w:rsidRPr="00FA0DD1">
          <w:rPr>
            <w:rFonts w:ascii="Times New Roman" w:hAnsi="Times New Roman" w:cs="Times New Roman"/>
            <w:noProof/>
            <w:webHidden/>
            <w:sz w:val="24"/>
            <w:szCs w:val="24"/>
          </w:rPr>
          <w:fldChar w:fldCharType="end"/>
        </w:r>
      </w:hyperlink>
    </w:p>
    <w:p w14:paraId="090A77F1" w14:textId="77777777" w:rsidR="00E20989" w:rsidRPr="00FA0DD1" w:rsidRDefault="00000000">
      <w:pPr>
        <w:pStyle w:val="TOC3"/>
        <w:tabs>
          <w:tab w:val="left" w:pos="1260"/>
          <w:tab w:val="right" w:leader="dot" w:pos="9628"/>
        </w:tabs>
        <w:rPr>
          <w:rFonts w:ascii="Times New Roman" w:hAnsi="Times New Roman" w:cs="Times New Roman"/>
          <w:noProof/>
          <w:sz w:val="24"/>
          <w:szCs w:val="24"/>
        </w:rPr>
      </w:pPr>
      <w:hyperlink w:anchor="_Toc97322915" w:history="1">
        <w:r w:rsidR="00E20989" w:rsidRPr="00FA0DD1">
          <w:rPr>
            <w:rStyle w:val="af"/>
            <w:rFonts w:ascii="Times New Roman" w:hAnsi="Times New Roman" w:cs="Times New Roman"/>
            <w:i/>
            <w:iCs/>
            <w:noProof/>
            <w:sz w:val="24"/>
            <w:szCs w:val="24"/>
          </w:rPr>
          <w:t>5.</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经批准的</w:t>
        </w:r>
        <w:r w:rsidR="00E20989" w:rsidRPr="00FA0DD1">
          <w:rPr>
            <w:rStyle w:val="af"/>
            <w:rFonts w:ascii="Times New Roman" w:hAnsi="Times New Roman" w:cs="Times New Roman" w:hint="eastAsia"/>
            <w:i/>
            <w:iCs/>
            <w:noProof/>
            <w:sz w:val="24"/>
            <w:szCs w:val="24"/>
          </w:rPr>
          <w:t>既定</w:t>
        </w:r>
        <w:r w:rsidR="00E20989" w:rsidRPr="00FA0DD1">
          <w:rPr>
            <w:rStyle w:val="af"/>
            <w:rFonts w:ascii="Times New Roman" w:hAnsi="Times New Roman" w:cs="Times New Roman"/>
            <w:i/>
            <w:iCs/>
            <w:noProof/>
            <w:sz w:val="24"/>
            <w:szCs w:val="24"/>
          </w:rPr>
          <w:t>条件变更</w:t>
        </w:r>
        <w:r w:rsidR="00E20989" w:rsidRPr="00FA0DD1">
          <w:rPr>
            <w:rFonts w:ascii="Times New Roman" w:hAnsi="Times New Roman" w:cs="Times New Roman"/>
            <w:noProof/>
            <w:webHidden/>
            <w:sz w:val="24"/>
            <w:szCs w:val="24"/>
          </w:rPr>
          <w:tab/>
        </w:r>
        <w:r w:rsidR="00E8044B"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_Toc97322915 \h </w:instrText>
        </w:r>
        <w:r w:rsidR="00E8044B" w:rsidRPr="00FA0DD1">
          <w:rPr>
            <w:rFonts w:ascii="Times New Roman" w:hAnsi="Times New Roman" w:cs="Times New Roman"/>
            <w:noProof/>
            <w:webHidden/>
            <w:sz w:val="24"/>
            <w:szCs w:val="24"/>
          </w:rPr>
        </w:r>
        <w:r w:rsidR="00E8044B"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7</w:t>
        </w:r>
        <w:r w:rsidR="00E8044B" w:rsidRPr="00FA0DD1">
          <w:rPr>
            <w:rFonts w:ascii="Times New Roman" w:hAnsi="Times New Roman" w:cs="Times New Roman"/>
            <w:noProof/>
            <w:webHidden/>
            <w:sz w:val="24"/>
            <w:szCs w:val="24"/>
          </w:rPr>
          <w:fldChar w:fldCharType="end"/>
        </w:r>
      </w:hyperlink>
    </w:p>
    <w:p w14:paraId="71A81F21" w14:textId="21546A99"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6" w:history="1">
        <w:r w:rsidR="00E20989" w:rsidRPr="00FA0DD1">
          <w:rPr>
            <w:rStyle w:val="af"/>
            <w:rFonts w:ascii="Times New Roman" w:hAnsi="Times New Roman" w:cs="Times New Roman"/>
            <w:i/>
            <w:iCs/>
            <w:noProof/>
            <w:sz w:val="24"/>
            <w:szCs w:val="24"/>
          </w:rPr>
          <w:t>6.</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根据已批准的</w:t>
        </w:r>
        <w:r w:rsidR="00E20989" w:rsidRPr="00FA0DD1">
          <w:rPr>
            <w:rStyle w:val="af"/>
            <w:rFonts w:ascii="Times New Roman" w:hAnsi="Times New Roman" w:cs="Times New Roman" w:hint="eastAsia"/>
            <w:i/>
            <w:iCs/>
            <w:noProof/>
            <w:sz w:val="24"/>
            <w:szCs w:val="24"/>
          </w:rPr>
          <w:t>既定</w:t>
        </w:r>
        <w:r w:rsidR="00E20989" w:rsidRPr="00FA0DD1">
          <w:rPr>
            <w:rStyle w:val="af"/>
            <w:rFonts w:ascii="Times New Roman" w:hAnsi="Times New Roman" w:cs="Times New Roman"/>
            <w:i/>
            <w:iCs/>
            <w:noProof/>
            <w:sz w:val="24"/>
            <w:szCs w:val="24"/>
          </w:rPr>
          <w:t>条件提交的批准后</w:t>
        </w:r>
        <w:r w:rsidR="003201C0">
          <w:rPr>
            <w:rStyle w:val="af"/>
            <w:rFonts w:ascii="Times New Roman" w:hAnsi="Times New Roman" w:cs="Times New Roman" w:hint="eastAsia"/>
            <w:i/>
            <w:iCs/>
            <w:noProof/>
            <w:sz w:val="24"/>
            <w:szCs w:val="24"/>
          </w:rPr>
          <w:t>申请</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_Toc97322916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7</w:t>
        </w:r>
        <w:r w:rsidRPr="00FA0DD1">
          <w:rPr>
            <w:rFonts w:ascii="Times New Roman" w:hAnsi="Times New Roman" w:cs="Times New Roman"/>
            <w:noProof/>
            <w:webHidden/>
            <w:sz w:val="24"/>
            <w:szCs w:val="24"/>
          </w:rPr>
          <w:fldChar w:fldCharType="end"/>
        </w:r>
      </w:hyperlink>
    </w:p>
    <w:p w14:paraId="59BF393C" w14:textId="3E8A39D6" w:rsidR="00E20989" w:rsidRPr="00FA0DD1" w:rsidRDefault="00E8044B">
      <w:pPr>
        <w:pStyle w:val="TOC3"/>
        <w:tabs>
          <w:tab w:val="left" w:pos="1260"/>
          <w:tab w:val="right" w:leader="dot" w:pos="9628"/>
        </w:tabs>
        <w:rPr>
          <w:rFonts w:ascii="Times New Roman" w:hAnsi="Times New Roman" w:cs="Times New Roman"/>
          <w:noProof/>
          <w:sz w:val="24"/>
          <w:szCs w:val="24"/>
        </w:rPr>
      </w:pPr>
      <w:hyperlink w:anchor="_Toc97322917" w:history="1">
        <w:r w:rsidR="00E20989" w:rsidRPr="00FA0DD1">
          <w:rPr>
            <w:rStyle w:val="af"/>
            <w:rFonts w:ascii="Times New Roman" w:hAnsi="Times New Roman" w:cs="Times New Roman"/>
            <w:i/>
            <w:iCs/>
            <w:noProof/>
            <w:sz w:val="24"/>
            <w:szCs w:val="24"/>
          </w:rPr>
          <w:t>7.</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i/>
            <w:iCs/>
            <w:noProof/>
            <w:sz w:val="24"/>
            <w:szCs w:val="24"/>
          </w:rPr>
          <w:t>申请</w:t>
        </w:r>
        <w:r w:rsidR="00D84FF3">
          <w:rPr>
            <w:rStyle w:val="af"/>
            <w:rFonts w:ascii="Times New Roman" w:hAnsi="Times New Roman" w:cs="Times New Roman" w:hint="eastAsia"/>
            <w:i/>
            <w:iCs/>
            <w:noProof/>
            <w:sz w:val="24"/>
            <w:szCs w:val="24"/>
          </w:rPr>
          <w:t>的维护</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_Toc97322917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7</w:t>
        </w:r>
        <w:r w:rsidRPr="00FA0DD1">
          <w:rPr>
            <w:rFonts w:ascii="Times New Roman" w:hAnsi="Times New Roman" w:cs="Times New Roman"/>
            <w:noProof/>
            <w:webHidden/>
            <w:sz w:val="24"/>
            <w:szCs w:val="24"/>
          </w:rPr>
          <w:fldChar w:fldCharType="end"/>
        </w:r>
      </w:hyperlink>
    </w:p>
    <w:p w14:paraId="1803A391" w14:textId="77777777" w:rsidR="00E20989" w:rsidRPr="00FA0DD1" w:rsidRDefault="00000000">
      <w:pPr>
        <w:pStyle w:val="TOC2"/>
        <w:tabs>
          <w:tab w:val="left" w:pos="840"/>
          <w:tab w:val="right" w:leader="dot" w:pos="9628"/>
        </w:tabs>
        <w:rPr>
          <w:rFonts w:ascii="Times New Roman" w:hAnsi="Times New Roman" w:cs="Times New Roman"/>
          <w:noProof/>
          <w:sz w:val="24"/>
          <w:szCs w:val="24"/>
        </w:rPr>
      </w:pPr>
      <w:hyperlink w:anchor="_Toc97322918" w:history="1">
        <w:r w:rsidR="00E20989" w:rsidRPr="00FA0DD1">
          <w:rPr>
            <w:rStyle w:val="af"/>
            <w:rFonts w:ascii="Times New Roman" w:hAnsi="Times New Roman" w:cs="Times New Roman"/>
            <w:b/>
            <w:bCs/>
            <w:noProof/>
            <w:sz w:val="24"/>
            <w:szCs w:val="24"/>
          </w:rPr>
          <w:t>D.</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批准后变更管理方案</w:t>
        </w:r>
        <w:r w:rsidR="00E20989" w:rsidRPr="00FA0DD1">
          <w:rPr>
            <w:rFonts w:ascii="Times New Roman" w:hAnsi="Times New Roman" w:cs="Times New Roman"/>
            <w:noProof/>
            <w:webHidden/>
            <w:sz w:val="24"/>
            <w:szCs w:val="24"/>
          </w:rPr>
          <w:tab/>
        </w:r>
        <w:r w:rsidR="00E8044B"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_Toc97322918 \h </w:instrText>
        </w:r>
        <w:r w:rsidR="00E8044B" w:rsidRPr="00FA0DD1">
          <w:rPr>
            <w:rFonts w:ascii="Times New Roman" w:hAnsi="Times New Roman" w:cs="Times New Roman"/>
            <w:noProof/>
            <w:webHidden/>
            <w:sz w:val="24"/>
            <w:szCs w:val="24"/>
          </w:rPr>
        </w:r>
        <w:r w:rsidR="00E8044B"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8</w:t>
        </w:r>
        <w:r w:rsidR="00E8044B" w:rsidRPr="00FA0DD1">
          <w:rPr>
            <w:rFonts w:ascii="Times New Roman" w:hAnsi="Times New Roman" w:cs="Times New Roman"/>
            <w:noProof/>
            <w:webHidden/>
            <w:sz w:val="24"/>
            <w:szCs w:val="24"/>
          </w:rPr>
          <w:fldChar w:fldCharType="end"/>
        </w:r>
      </w:hyperlink>
    </w:p>
    <w:p w14:paraId="5EA6B350" w14:textId="77777777" w:rsidR="00E20989" w:rsidRPr="00FA0DD1" w:rsidRDefault="00000000">
      <w:pPr>
        <w:pStyle w:val="TOC2"/>
        <w:tabs>
          <w:tab w:val="left" w:pos="840"/>
          <w:tab w:val="right" w:leader="dot" w:pos="9628"/>
        </w:tabs>
        <w:rPr>
          <w:rFonts w:ascii="Times New Roman" w:hAnsi="Times New Roman" w:cs="Times New Roman"/>
          <w:noProof/>
          <w:sz w:val="24"/>
          <w:szCs w:val="24"/>
        </w:rPr>
      </w:pPr>
      <w:hyperlink w:anchor="_Toc97322919" w:history="1">
        <w:r w:rsidR="00E20989" w:rsidRPr="00FA0DD1">
          <w:rPr>
            <w:rStyle w:val="af"/>
            <w:rFonts w:ascii="Times New Roman" w:hAnsi="Times New Roman" w:cs="Times New Roman"/>
            <w:b/>
            <w:bCs/>
            <w:noProof/>
            <w:sz w:val="24"/>
            <w:szCs w:val="24"/>
          </w:rPr>
          <w:t>E.</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产品生命周期管理文档</w:t>
        </w:r>
        <w:r w:rsidR="00E20989" w:rsidRPr="00FA0DD1">
          <w:rPr>
            <w:rFonts w:ascii="Times New Roman" w:hAnsi="Times New Roman" w:cs="Times New Roman"/>
            <w:noProof/>
            <w:webHidden/>
            <w:sz w:val="24"/>
            <w:szCs w:val="24"/>
          </w:rPr>
          <w:tab/>
        </w:r>
        <w:r w:rsidR="00E8044B"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_Toc97322919 \h </w:instrText>
        </w:r>
        <w:r w:rsidR="00E8044B" w:rsidRPr="00FA0DD1">
          <w:rPr>
            <w:rFonts w:ascii="Times New Roman" w:hAnsi="Times New Roman" w:cs="Times New Roman"/>
            <w:noProof/>
            <w:webHidden/>
            <w:sz w:val="24"/>
            <w:szCs w:val="24"/>
          </w:rPr>
        </w:r>
        <w:r w:rsidR="00E8044B"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8</w:t>
        </w:r>
        <w:r w:rsidR="00E8044B" w:rsidRPr="00FA0DD1">
          <w:rPr>
            <w:rFonts w:ascii="Times New Roman" w:hAnsi="Times New Roman" w:cs="Times New Roman"/>
            <w:noProof/>
            <w:webHidden/>
            <w:sz w:val="24"/>
            <w:szCs w:val="24"/>
          </w:rPr>
          <w:fldChar w:fldCharType="end"/>
        </w:r>
      </w:hyperlink>
    </w:p>
    <w:p w14:paraId="3C39E266" w14:textId="77777777" w:rsidR="00E20989" w:rsidRPr="00FA0DD1" w:rsidRDefault="00000000">
      <w:pPr>
        <w:pStyle w:val="TOC2"/>
        <w:tabs>
          <w:tab w:val="left" w:pos="840"/>
          <w:tab w:val="right" w:leader="dot" w:pos="9628"/>
        </w:tabs>
        <w:rPr>
          <w:rFonts w:ascii="Times New Roman" w:hAnsi="Times New Roman" w:cs="Times New Roman"/>
          <w:noProof/>
          <w:sz w:val="24"/>
          <w:szCs w:val="24"/>
        </w:rPr>
      </w:pPr>
      <w:hyperlink w:anchor="_Toc97322920" w:history="1">
        <w:r w:rsidR="00E20989" w:rsidRPr="00FA0DD1">
          <w:rPr>
            <w:rStyle w:val="af"/>
            <w:rFonts w:ascii="Times New Roman" w:hAnsi="Times New Roman" w:cs="Times New Roman"/>
            <w:b/>
            <w:bCs/>
            <w:noProof/>
            <w:sz w:val="24"/>
            <w:szCs w:val="24"/>
          </w:rPr>
          <w:t>F.</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药</w:t>
        </w:r>
        <w:r w:rsidR="00E20989" w:rsidRPr="00FA0DD1">
          <w:rPr>
            <w:rStyle w:val="af"/>
            <w:rFonts w:ascii="Times New Roman" w:hAnsi="Times New Roman" w:cs="Times New Roman" w:hint="eastAsia"/>
            <w:b/>
            <w:bCs/>
            <w:noProof/>
            <w:sz w:val="24"/>
            <w:szCs w:val="24"/>
          </w:rPr>
          <w:t>品</w:t>
        </w:r>
        <w:r w:rsidR="00E20989" w:rsidRPr="00FA0DD1">
          <w:rPr>
            <w:rStyle w:val="af"/>
            <w:rFonts w:ascii="Times New Roman" w:hAnsi="Times New Roman" w:cs="Times New Roman"/>
            <w:b/>
            <w:bCs/>
            <w:noProof/>
            <w:sz w:val="24"/>
            <w:szCs w:val="24"/>
          </w:rPr>
          <w:t>质量体系和变更管理</w:t>
        </w:r>
        <w:r w:rsidR="00E20989" w:rsidRPr="00FA0DD1">
          <w:rPr>
            <w:rFonts w:ascii="Times New Roman" w:hAnsi="Times New Roman" w:cs="Times New Roman"/>
            <w:noProof/>
            <w:webHidden/>
            <w:sz w:val="24"/>
            <w:szCs w:val="24"/>
          </w:rPr>
          <w:tab/>
        </w:r>
        <w:r w:rsidR="00E8044B"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_Toc97322920 \h </w:instrText>
        </w:r>
        <w:r w:rsidR="00E8044B" w:rsidRPr="00FA0DD1">
          <w:rPr>
            <w:rFonts w:ascii="Times New Roman" w:hAnsi="Times New Roman" w:cs="Times New Roman"/>
            <w:noProof/>
            <w:webHidden/>
            <w:sz w:val="24"/>
            <w:szCs w:val="24"/>
          </w:rPr>
        </w:r>
        <w:r w:rsidR="00E8044B"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9</w:t>
        </w:r>
        <w:r w:rsidR="00E8044B" w:rsidRPr="00FA0DD1">
          <w:rPr>
            <w:rFonts w:ascii="Times New Roman" w:hAnsi="Times New Roman" w:cs="Times New Roman"/>
            <w:noProof/>
            <w:webHidden/>
            <w:sz w:val="24"/>
            <w:szCs w:val="24"/>
          </w:rPr>
          <w:fldChar w:fldCharType="end"/>
        </w:r>
      </w:hyperlink>
    </w:p>
    <w:p w14:paraId="13AF30D5" w14:textId="57D9A0CE" w:rsidR="00E20989" w:rsidRPr="00FA0DD1" w:rsidRDefault="00E8044B">
      <w:pPr>
        <w:pStyle w:val="TOC2"/>
        <w:tabs>
          <w:tab w:val="left" w:pos="1050"/>
          <w:tab w:val="right" w:leader="dot" w:pos="9628"/>
        </w:tabs>
        <w:rPr>
          <w:rFonts w:ascii="Times New Roman" w:hAnsi="Times New Roman" w:cs="Times New Roman"/>
          <w:noProof/>
          <w:sz w:val="24"/>
          <w:szCs w:val="24"/>
        </w:rPr>
      </w:pPr>
      <w:hyperlink w:anchor="_Toc97322921" w:history="1">
        <w:r w:rsidR="00E20989" w:rsidRPr="00FA0DD1">
          <w:rPr>
            <w:rStyle w:val="af"/>
            <w:rFonts w:ascii="Times New Roman" w:hAnsi="Times New Roman" w:cs="Times New Roman"/>
            <w:b/>
            <w:bCs/>
            <w:noProof/>
            <w:sz w:val="24"/>
            <w:szCs w:val="24"/>
          </w:rPr>
          <w:t>G.</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监管</w:t>
        </w:r>
        <w:r w:rsidR="00E20989" w:rsidRPr="00FA0DD1">
          <w:rPr>
            <w:rStyle w:val="af"/>
            <w:rFonts w:ascii="Times New Roman" w:hAnsi="Times New Roman" w:cs="Times New Roman" w:hint="eastAsia"/>
            <w:b/>
            <w:bCs/>
            <w:noProof/>
            <w:sz w:val="24"/>
            <w:szCs w:val="24"/>
          </w:rPr>
          <w:t>评估</w:t>
        </w:r>
        <w:r w:rsidR="00E20989" w:rsidRPr="00FA0DD1">
          <w:rPr>
            <w:rStyle w:val="af"/>
            <w:rFonts w:ascii="Times New Roman" w:hAnsi="Times New Roman" w:cs="Times New Roman"/>
            <w:b/>
            <w:bCs/>
            <w:noProof/>
            <w:sz w:val="24"/>
            <w:szCs w:val="24"/>
          </w:rPr>
          <w:t>与检查的关系</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_Toc97322921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9</w:t>
        </w:r>
        <w:r w:rsidRPr="00FA0DD1">
          <w:rPr>
            <w:rFonts w:ascii="Times New Roman" w:hAnsi="Times New Roman" w:cs="Times New Roman"/>
            <w:noProof/>
            <w:webHidden/>
            <w:sz w:val="24"/>
            <w:szCs w:val="24"/>
          </w:rPr>
          <w:fldChar w:fldCharType="end"/>
        </w:r>
      </w:hyperlink>
    </w:p>
    <w:p w14:paraId="42F123AF" w14:textId="7E3FE088" w:rsidR="00E20989" w:rsidRPr="00FA0DD1" w:rsidRDefault="00E8044B">
      <w:pPr>
        <w:pStyle w:val="TOC2"/>
        <w:tabs>
          <w:tab w:val="left" w:pos="1050"/>
          <w:tab w:val="right" w:leader="dot" w:pos="9628"/>
        </w:tabs>
        <w:rPr>
          <w:rFonts w:ascii="Times New Roman" w:hAnsi="Times New Roman" w:cs="Times New Roman"/>
          <w:noProof/>
          <w:sz w:val="24"/>
          <w:szCs w:val="24"/>
        </w:rPr>
      </w:pPr>
      <w:hyperlink w:anchor="_Toc97322922" w:history="1">
        <w:r w:rsidR="00E20989" w:rsidRPr="00FA0DD1">
          <w:rPr>
            <w:rStyle w:val="af"/>
            <w:rFonts w:ascii="Times New Roman" w:hAnsi="Times New Roman" w:cs="Times New Roman"/>
            <w:b/>
            <w:bCs/>
            <w:noProof/>
            <w:sz w:val="24"/>
            <w:szCs w:val="24"/>
          </w:rPr>
          <w:t>H.</w:t>
        </w:r>
        <w:r w:rsidR="00E20989" w:rsidRPr="00FA0DD1">
          <w:rPr>
            <w:rFonts w:ascii="Times New Roman" w:hAnsi="Times New Roman" w:cs="Times New Roman"/>
            <w:noProof/>
            <w:sz w:val="24"/>
            <w:szCs w:val="24"/>
          </w:rPr>
          <w:tab/>
        </w:r>
        <w:r w:rsidR="00E20989" w:rsidRPr="00FA0DD1">
          <w:rPr>
            <w:rStyle w:val="af"/>
            <w:rFonts w:ascii="Times New Roman" w:hAnsi="Times New Roman" w:cs="Times New Roman"/>
            <w:b/>
            <w:bCs/>
            <w:noProof/>
            <w:sz w:val="24"/>
            <w:szCs w:val="24"/>
          </w:rPr>
          <w:t>批准后</w:t>
        </w:r>
        <w:r w:rsidR="00E16242" w:rsidRPr="00E16242">
          <w:rPr>
            <w:rStyle w:val="af"/>
            <w:rFonts w:ascii="Times New Roman" w:hAnsi="Times New Roman" w:cs="Times New Roman" w:hint="eastAsia"/>
            <w:b/>
            <w:bCs/>
            <w:noProof/>
            <w:sz w:val="24"/>
            <w:szCs w:val="24"/>
          </w:rPr>
          <w:t>C</w:t>
        </w:r>
        <w:r w:rsidR="00E16242" w:rsidRPr="00E16242">
          <w:rPr>
            <w:rStyle w:val="af"/>
            <w:rFonts w:ascii="Times New Roman" w:hAnsi="Times New Roman" w:cs="Times New Roman"/>
            <w:b/>
            <w:bCs/>
            <w:noProof/>
            <w:sz w:val="24"/>
            <w:szCs w:val="24"/>
          </w:rPr>
          <w:t>MC</w:t>
        </w:r>
        <w:r w:rsidR="00E20989" w:rsidRPr="00FA0DD1">
          <w:rPr>
            <w:rStyle w:val="af"/>
            <w:rFonts w:ascii="Times New Roman" w:hAnsi="Times New Roman" w:cs="Times New Roman"/>
            <w:b/>
            <w:bCs/>
            <w:noProof/>
            <w:sz w:val="24"/>
            <w:szCs w:val="24"/>
          </w:rPr>
          <w:t>频繁变更的结构化方法</w:t>
        </w:r>
        <w:r w:rsidR="00E20989" w:rsidRPr="00FA0DD1">
          <w:rPr>
            <w:rFonts w:ascii="Times New Roman" w:hAnsi="Times New Roman" w:cs="Times New Roman"/>
            <w:noProof/>
            <w:webHidden/>
            <w:sz w:val="24"/>
            <w:szCs w:val="24"/>
          </w:rPr>
          <w:tab/>
        </w:r>
        <w:r w:rsidRPr="00FA0DD1">
          <w:rPr>
            <w:rFonts w:ascii="Times New Roman" w:hAnsi="Times New Roman" w:cs="Times New Roman"/>
            <w:noProof/>
            <w:webHidden/>
            <w:sz w:val="24"/>
            <w:szCs w:val="24"/>
          </w:rPr>
          <w:fldChar w:fldCharType="begin"/>
        </w:r>
        <w:r w:rsidR="00E20989" w:rsidRPr="00FA0DD1">
          <w:rPr>
            <w:rFonts w:ascii="Times New Roman" w:hAnsi="Times New Roman" w:cs="Times New Roman"/>
            <w:noProof/>
            <w:webHidden/>
            <w:sz w:val="24"/>
            <w:szCs w:val="24"/>
          </w:rPr>
          <w:instrText xml:space="preserve"> PAGEREF _Toc97322922 \h </w:instrText>
        </w:r>
        <w:r w:rsidRPr="00FA0DD1">
          <w:rPr>
            <w:rFonts w:ascii="Times New Roman" w:hAnsi="Times New Roman" w:cs="Times New Roman"/>
            <w:noProof/>
            <w:webHidden/>
            <w:sz w:val="24"/>
            <w:szCs w:val="24"/>
          </w:rPr>
        </w:r>
        <w:r w:rsidRPr="00FA0DD1">
          <w:rPr>
            <w:rFonts w:ascii="Times New Roman" w:hAnsi="Times New Roman" w:cs="Times New Roman"/>
            <w:noProof/>
            <w:webHidden/>
            <w:sz w:val="24"/>
            <w:szCs w:val="24"/>
          </w:rPr>
          <w:fldChar w:fldCharType="separate"/>
        </w:r>
        <w:r w:rsidR="00E20989" w:rsidRPr="00FA0DD1">
          <w:rPr>
            <w:rFonts w:ascii="Times New Roman" w:hAnsi="Times New Roman" w:cs="Times New Roman"/>
            <w:noProof/>
            <w:webHidden/>
            <w:sz w:val="24"/>
            <w:szCs w:val="24"/>
          </w:rPr>
          <w:t>10</w:t>
        </w:r>
        <w:r w:rsidRPr="00FA0DD1">
          <w:rPr>
            <w:rFonts w:ascii="Times New Roman" w:hAnsi="Times New Roman" w:cs="Times New Roman"/>
            <w:noProof/>
            <w:webHidden/>
            <w:sz w:val="24"/>
            <w:szCs w:val="24"/>
          </w:rPr>
          <w:fldChar w:fldCharType="end"/>
        </w:r>
      </w:hyperlink>
    </w:p>
    <w:p w14:paraId="37F2D547" w14:textId="7395B71E" w:rsidR="00E20989" w:rsidRPr="00FA0DD1" w:rsidRDefault="00E8044B">
      <w:pPr>
        <w:pStyle w:val="TOC1"/>
        <w:rPr>
          <w:b w:val="0"/>
        </w:rPr>
      </w:pPr>
      <w:hyperlink w:anchor="_Toc97322923" w:history="1">
        <w:r w:rsidR="00E20989" w:rsidRPr="00FA0DD1">
          <w:rPr>
            <w:rStyle w:val="af"/>
            <w:bCs/>
          </w:rPr>
          <w:t>附录</w:t>
        </w:r>
        <w:r w:rsidR="00E20989" w:rsidRPr="00FA0DD1">
          <w:rPr>
            <w:rStyle w:val="af"/>
            <w:bCs/>
          </w:rPr>
          <w:t>A .</w:t>
        </w:r>
        <w:r w:rsidR="00E20989" w:rsidRPr="00FA0DD1">
          <w:rPr>
            <w:rStyle w:val="af"/>
            <w:bCs/>
          </w:rPr>
          <w:t>具有器械组成部分的组合产品既定条件</w:t>
        </w:r>
        <w:r w:rsidR="00E20989" w:rsidRPr="00FA0DD1">
          <w:rPr>
            <w:webHidden/>
          </w:rPr>
          <w:tab/>
        </w:r>
        <w:r w:rsidRPr="00FA0DD1">
          <w:rPr>
            <w:webHidden/>
          </w:rPr>
          <w:fldChar w:fldCharType="begin"/>
        </w:r>
        <w:r w:rsidR="00E20989" w:rsidRPr="00FA0DD1">
          <w:rPr>
            <w:webHidden/>
          </w:rPr>
          <w:instrText xml:space="preserve"> PAGEREF _Toc97322923 \h </w:instrText>
        </w:r>
        <w:r w:rsidRPr="00FA0DD1">
          <w:rPr>
            <w:webHidden/>
          </w:rPr>
        </w:r>
        <w:r w:rsidRPr="00FA0DD1">
          <w:rPr>
            <w:webHidden/>
          </w:rPr>
          <w:fldChar w:fldCharType="separate"/>
        </w:r>
        <w:r w:rsidR="00E20989" w:rsidRPr="00FA0DD1">
          <w:rPr>
            <w:webHidden/>
          </w:rPr>
          <w:t>11</w:t>
        </w:r>
        <w:r w:rsidRPr="00FA0DD1">
          <w:rPr>
            <w:webHidden/>
          </w:rPr>
          <w:fldChar w:fldCharType="end"/>
        </w:r>
      </w:hyperlink>
    </w:p>
    <w:p w14:paraId="79ECE36D" w14:textId="519EE186" w:rsidR="00E20989" w:rsidRPr="00FA0DD1" w:rsidRDefault="00E8044B">
      <w:pPr>
        <w:pStyle w:val="TOC1"/>
        <w:rPr>
          <w:b w:val="0"/>
        </w:rPr>
      </w:pPr>
      <w:hyperlink w:anchor="_Toc97322924" w:history="1">
        <w:r w:rsidR="00E20989" w:rsidRPr="00FA0DD1">
          <w:rPr>
            <w:rStyle w:val="af"/>
            <w:bCs/>
          </w:rPr>
          <w:t>附录</w:t>
        </w:r>
        <w:r w:rsidR="00E20989" w:rsidRPr="00FA0DD1">
          <w:rPr>
            <w:rStyle w:val="af"/>
            <w:bCs/>
          </w:rPr>
          <w:t>B .</w:t>
        </w:r>
        <w:r w:rsidR="00E20989" w:rsidRPr="00FA0DD1">
          <w:rPr>
            <w:rStyle w:val="af"/>
            <w:bCs/>
          </w:rPr>
          <w:t>用于</w:t>
        </w:r>
        <w:r w:rsidR="00B55D58">
          <w:rPr>
            <w:rStyle w:val="af"/>
            <w:rFonts w:hint="eastAsia"/>
            <w:bCs/>
          </w:rPr>
          <w:t>确认</w:t>
        </w:r>
        <w:r w:rsidR="00E20989" w:rsidRPr="00FA0DD1">
          <w:rPr>
            <w:rStyle w:val="af"/>
            <w:bCs/>
          </w:rPr>
          <w:t>器械组成部分的既定条件和报告类别的决策树</w:t>
        </w:r>
        <w:r w:rsidR="00E20989" w:rsidRPr="00FA0DD1">
          <w:rPr>
            <w:webHidden/>
          </w:rPr>
          <w:tab/>
        </w:r>
        <w:r w:rsidRPr="00FA0DD1">
          <w:rPr>
            <w:webHidden/>
          </w:rPr>
          <w:fldChar w:fldCharType="begin"/>
        </w:r>
        <w:r w:rsidR="00E20989" w:rsidRPr="00FA0DD1">
          <w:rPr>
            <w:webHidden/>
          </w:rPr>
          <w:instrText xml:space="preserve"> PAGEREF _Toc97322924 \h </w:instrText>
        </w:r>
        <w:r w:rsidRPr="00FA0DD1">
          <w:rPr>
            <w:webHidden/>
          </w:rPr>
        </w:r>
        <w:r w:rsidRPr="00FA0DD1">
          <w:rPr>
            <w:webHidden/>
          </w:rPr>
          <w:fldChar w:fldCharType="separate"/>
        </w:r>
        <w:r w:rsidR="00E20989" w:rsidRPr="00FA0DD1">
          <w:rPr>
            <w:webHidden/>
          </w:rPr>
          <w:t>12</w:t>
        </w:r>
        <w:r w:rsidRPr="00FA0DD1">
          <w:rPr>
            <w:webHidden/>
          </w:rPr>
          <w:fldChar w:fldCharType="end"/>
        </w:r>
      </w:hyperlink>
    </w:p>
    <w:p w14:paraId="0FDDB640" w14:textId="77777777" w:rsidR="00E20989" w:rsidRPr="00FA0DD1" w:rsidRDefault="00000000">
      <w:pPr>
        <w:pStyle w:val="TOC1"/>
        <w:rPr>
          <w:b w:val="0"/>
        </w:rPr>
      </w:pPr>
      <w:hyperlink w:anchor="_Toc97322925" w:history="1">
        <w:r w:rsidR="00E20989" w:rsidRPr="00FA0DD1">
          <w:rPr>
            <w:rStyle w:val="af"/>
            <w:bCs/>
          </w:rPr>
          <w:t>附录</w:t>
        </w:r>
        <w:r w:rsidR="00E20989" w:rsidRPr="00FA0DD1">
          <w:rPr>
            <w:rStyle w:val="af"/>
            <w:bCs/>
          </w:rPr>
          <w:t>C .</w:t>
        </w:r>
        <w:r w:rsidR="00E20989" w:rsidRPr="00FA0DD1">
          <w:rPr>
            <w:rStyle w:val="af"/>
            <w:bCs/>
          </w:rPr>
          <w:t>产品生命周期管理文档示例</w:t>
        </w:r>
        <w:r w:rsidR="00E20989" w:rsidRPr="00FA0DD1">
          <w:rPr>
            <w:webHidden/>
          </w:rPr>
          <w:tab/>
        </w:r>
        <w:r w:rsidR="00E8044B" w:rsidRPr="00FA0DD1">
          <w:rPr>
            <w:webHidden/>
          </w:rPr>
          <w:fldChar w:fldCharType="begin"/>
        </w:r>
        <w:r w:rsidR="00E20989" w:rsidRPr="00FA0DD1">
          <w:rPr>
            <w:webHidden/>
          </w:rPr>
          <w:instrText xml:space="preserve"> PAGEREF _Toc97322925 \h </w:instrText>
        </w:r>
        <w:r w:rsidR="00E8044B" w:rsidRPr="00FA0DD1">
          <w:rPr>
            <w:webHidden/>
          </w:rPr>
        </w:r>
        <w:r w:rsidR="00E8044B" w:rsidRPr="00FA0DD1">
          <w:rPr>
            <w:webHidden/>
          </w:rPr>
          <w:fldChar w:fldCharType="separate"/>
        </w:r>
        <w:r w:rsidR="00E20989" w:rsidRPr="00FA0DD1">
          <w:rPr>
            <w:webHidden/>
          </w:rPr>
          <w:t>13</w:t>
        </w:r>
        <w:r w:rsidR="00E8044B" w:rsidRPr="00FA0DD1">
          <w:rPr>
            <w:webHidden/>
          </w:rPr>
          <w:fldChar w:fldCharType="end"/>
        </w:r>
      </w:hyperlink>
    </w:p>
    <w:p w14:paraId="47A56D39" w14:textId="77777777" w:rsidR="00084784" w:rsidRPr="00C13D65" w:rsidRDefault="00E8044B" w:rsidP="00E8044B">
      <w:pPr>
        <w:spacing w:beforeLines="50" w:before="156" w:afterLines="50" w:after="156"/>
        <w:rPr>
          <w:rFonts w:ascii="Times New Roman" w:hAnsi="Times New Roman" w:cs="Times New Roman"/>
          <w:szCs w:val="15"/>
        </w:rPr>
      </w:pPr>
      <w:r w:rsidRPr="00FA0DD1">
        <w:rPr>
          <w:rFonts w:ascii="Times New Roman" w:hAnsi="Times New Roman" w:cs="Times New Roman"/>
          <w:b/>
          <w:sz w:val="24"/>
          <w:szCs w:val="24"/>
        </w:rPr>
        <w:fldChar w:fldCharType="end"/>
      </w:r>
    </w:p>
    <w:p w14:paraId="305BF17C" w14:textId="77777777" w:rsidR="00084784" w:rsidRPr="00C13D65" w:rsidRDefault="00084784" w:rsidP="00E8044B">
      <w:pPr>
        <w:spacing w:beforeLines="50" w:before="156" w:afterLines="50" w:after="156"/>
        <w:rPr>
          <w:rFonts w:ascii="Times New Roman" w:hAnsi="Times New Roman" w:cs="Times New Roman"/>
          <w:szCs w:val="15"/>
        </w:rPr>
        <w:sectPr w:rsidR="00084784" w:rsidRPr="00C13D65" w:rsidSect="00AE5438">
          <w:headerReference w:type="default" r:id="rId17"/>
          <w:pgSz w:w="11906" w:h="16838"/>
          <w:pgMar w:top="1134" w:right="1134" w:bottom="1134" w:left="1134" w:header="851" w:footer="992" w:gutter="0"/>
          <w:cols w:space="425"/>
          <w:docGrid w:type="lines" w:linePitch="312"/>
        </w:sectPr>
      </w:pPr>
    </w:p>
    <w:p w14:paraId="524BEA5A" w14:textId="77777777" w:rsidR="00C00292" w:rsidRPr="00C13D65" w:rsidRDefault="00C00292" w:rsidP="00E8044B">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ICH Q12</w:t>
      </w:r>
      <w:r>
        <w:rPr>
          <w:rFonts w:ascii="Times New Roman" w:hAnsi="Times New Roman" w:cs="Times New Roman"/>
          <w:b/>
          <w:bCs/>
          <w:sz w:val="32"/>
          <w:szCs w:val="32"/>
        </w:rPr>
        <w:t>：</w:t>
      </w:r>
      <w:r>
        <w:rPr>
          <w:rFonts w:ascii="Times New Roman" w:hAnsi="Times New Roman" w:cs="Times New Roman"/>
          <w:b/>
          <w:bCs/>
          <w:sz w:val="32"/>
          <w:szCs w:val="32"/>
        </w:rPr>
        <w:t>FDA</w:t>
      </w:r>
      <w:r>
        <w:rPr>
          <w:rFonts w:ascii="Times New Roman" w:hAnsi="Times New Roman" w:cs="Times New Roman"/>
          <w:b/>
          <w:bCs/>
          <w:sz w:val="32"/>
          <w:szCs w:val="32"/>
        </w:rPr>
        <w:t>监管产品的实施注意事项</w:t>
      </w:r>
    </w:p>
    <w:p w14:paraId="456A6366" w14:textId="77777777" w:rsidR="00084784" w:rsidRPr="00C13D65" w:rsidRDefault="00C00292" w:rsidP="00E8044B">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行业指南</w:t>
      </w:r>
      <w:r>
        <w:rPr>
          <w:rStyle w:val="af2"/>
          <w:rFonts w:ascii="Times New Roman" w:hAnsi="Times New Roman" w:cs="Times New Roman"/>
          <w:b/>
          <w:bCs/>
          <w:sz w:val="32"/>
          <w:szCs w:val="32"/>
        </w:rPr>
        <w:footnoteReference w:id="1"/>
      </w:r>
    </w:p>
    <w:tbl>
      <w:tblPr>
        <w:tblStyle w:val="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084784" w:rsidRPr="00C13D65" w14:paraId="0ACA2F97" w14:textId="77777777" w:rsidTr="009630D0">
        <w:tc>
          <w:tcPr>
            <w:tcW w:w="9854" w:type="dxa"/>
          </w:tcPr>
          <w:p w14:paraId="1D741EB1" w14:textId="5F7BC75E" w:rsidR="00084784" w:rsidRPr="00FA0DD1" w:rsidRDefault="00B45FBC" w:rsidP="00E8044B">
            <w:pPr>
              <w:spacing w:beforeLines="50" w:before="156" w:afterLines="50" w:after="156"/>
              <w:rPr>
                <w:rFonts w:ascii="Times New Roman" w:hAnsi="Times New Roman" w:cs="Times New Roman"/>
                <w:sz w:val="24"/>
                <w:szCs w:val="24"/>
              </w:rPr>
            </w:pPr>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1"/>
            <w:r w:rsidRPr="00174588">
              <w:rPr>
                <w:b/>
                <w:i/>
                <w:sz w:val="24"/>
              </w:rPr>
              <w:t>适用</w:t>
            </w:r>
            <w:r>
              <w:rPr>
                <w:rFonts w:hint="eastAsia"/>
                <w:b/>
                <w:i/>
                <w:sz w:val="24"/>
              </w:rPr>
              <w:t>的情形和</w:t>
            </w:r>
            <w:r w:rsidRPr="00174588">
              <w:rPr>
                <w:b/>
                <w:i/>
                <w:sz w:val="24"/>
              </w:rPr>
              <w:t>法规</w:t>
            </w:r>
            <w:commentRangeEnd w:id="1"/>
            <w:r>
              <w:rPr>
                <w:rStyle w:val="af4"/>
              </w:rPr>
              <w:commentReference w:id="1"/>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r w:rsidR="00AA060A" w:rsidRPr="00CF74E0">
              <w:rPr>
                <w:b/>
                <w:i/>
                <w:sz w:val="24"/>
                <w:szCs w:val="24"/>
              </w:rPr>
              <w:t>。</w:t>
            </w:r>
          </w:p>
        </w:tc>
      </w:tr>
    </w:tbl>
    <w:p w14:paraId="09906BAE" w14:textId="77777777" w:rsidR="00084784" w:rsidRPr="00C13D65" w:rsidRDefault="00C00292" w:rsidP="00E8044B">
      <w:pPr>
        <w:spacing w:beforeLines="50" w:before="156" w:afterLines="50" w:after="156"/>
        <w:ind w:left="565" w:hangingChars="201" w:hanging="565"/>
        <w:outlineLvl w:val="0"/>
        <w:rPr>
          <w:rFonts w:ascii="Times New Roman" w:hAnsi="Times New Roman" w:cs="Times New Roman"/>
          <w:b/>
          <w:sz w:val="28"/>
          <w:szCs w:val="28"/>
        </w:rPr>
      </w:pPr>
      <w:bookmarkStart w:id="2" w:name="_Toc97322906"/>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047FB20E" w14:textId="11E696E3" w:rsidR="00C13D65" w:rsidRPr="00FA0DD1" w:rsidRDefault="00C00292" w:rsidP="00E8044B">
      <w:pPr>
        <w:spacing w:beforeLines="50" w:before="156" w:afterLines="50" w:after="156"/>
        <w:rPr>
          <w:rStyle w:val="af3"/>
          <w:sz w:val="24"/>
          <w:szCs w:val="24"/>
        </w:rPr>
      </w:pPr>
      <w:r w:rsidRPr="00FA0DD1">
        <w:rPr>
          <w:rStyle w:val="af3"/>
          <w:sz w:val="24"/>
          <w:szCs w:val="24"/>
        </w:rPr>
        <w:t>国际</w:t>
      </w:r>
      <w:r w:rsidR="00D84E2C">
        <w:rPr>
          <w:rStyle w:val="af3"/>
          <w:rFonts w:hint="eastAsia"/>
          <w:sz w:val="24"/>
          <w:szCs w:val="24"/>
        </w:rPr>
        <w:t>人用药品注册技术要求</w:t>
      </w:r>
      <w:r w:rsidRPr="00FA0DD1">
        <w:rPr>
          <w:rStyle w:val="af3"/>
          <w:sz w:val="24"/>
          <w:szCs w:val="24"/>
        </w:rPr>
        <w:t>协调会（</w:t>
      </w:r>
      <w:r w:rsidRPr="00FA0DD1">
        <w:rPr>
          <w:rStyle w:val="af3"/>
          <w:sz w:val="24"/>
          <w:szCs w:val="24"/>
        </w:rPr>
        <w:t>ICH</w:t>
      </w:r>
      <w:r w:rsidRPr="00FA0DD1">
        <w:rPr>
          <w:rStyle w:val="af3"/>
          <w:sz w:val="24"/>
          <w:szCs w:val="24"/>
        </w:rPr>
        <w:t>）</w:t>
      </w:r>
      <w:r w:rsidR="006A36F8">
        <w:rPr>
          <w:rStyle w:val="af3"/>
          <w:rFonts w:hint="eastAsia"/>
          <w:sz w:val="24"/>
          <w:szCs w:val="24"/>
        </w:rPr>
        <w:t>行业</w:t>
      </w:r>
      <w:r w:rsidR="0091795F">
        <w:rPr>
          <w:rStyle w:val="af3"/>
          <w:rFonts w:hint="eastAsia"/>
          <w:sz w:val="24"/>
          <w:szCs w:val="24"/>
        </w:rPr>
        <w:t>指导原则</w:t>
      </w:r>
      <w:r w:rsidR="00BE72B8" w:rsidRPr="00FA0DD1">
        <w:rPr>
          <w:rStyle w:val="af3"/>
          <w:i/>
          <w:iCs/>
          <w:sz w:val="24"/>
          <w:szCs w:val="24"/>
        </w:rPr>
        <w:t>Q12</w:t>
      </w:r>
      <w:r w:rsidRPr="00FA0DD1">
        <w:rPr>
          <w:rStyle w:val="af3"/>
          <w:i/>
          <w:iCs/>
          <w:sz w:val="24"/>
          <w:szCs w:val="24"/>
        </w:rPr>
        <w:t>药品生命周期管理技术和监管考虑</w:t>
      </w:r>
      <w:r w:rsidR="00E8044B" w:rsidRPr="003D05EF">
        <w:rPr>
          <w:rStyle w:val="af3"/>
          <w:rFonts w:hint="eastAsia"/>
          <w:sz w:val="24"/>
          <w:szCs w:val="24"/>
        </w:rPr>
        <w:t>及其</w:t>
      </w:r>
      <w:r w:rsidRPr="00F51EBC">
        <w:rPr>
          <w:rStyle w:val="af3"/>
          <w:i/>
          <w:iCs/>
          <w:sz w:val="24"/>
          <w:szCs w:val="24"/>
        </w:rPr>
        <w:t>附件</w:t>
      </w:r>
      <w:r w:rsidRPr="00FA0DD1">
        <w:rPr>
          <w:rStyle w:val="af3"/>
          <w:sz w:val="24"/>
          <w:szCs w:val="24"/>
        </w:rPr>
        <w:t>（</w:t>
      </w:r>
      <w:r w:rsidR="00F51EBC">
        <w:rPr>
          <w:rStyle w:val="af3"/>
          <w:rFonts w:hint="eastAsia"/>
          <w:sz w:val="24"/>
          <w:szCs w:val="24"/>
        </w:rPr>
        <w:t>I</w:t>
      </w:r>
      <w:r w:rsidR="00F51EBC">
        <w:rPr>
          <w:rStyle w:val="af3"/>
          <w:sz w:val="24"/>
          <w:szCs w:val="24"/>
        </w:rPr>
        <w:t xml:space="preserve">CH </w:t>
      </w:r>
      <w:r w:rsidRPr="00FA0DD1">
        <w:rPr>
          <w:rStyle w:val="af3"/>
          <w:sz w:val="24"/>
          <w:szCs w:val="24"/>
        </w:rPr>
        <w:t>Q12</w:t>
      </w:r>
      <w:r w:rsidR="00FA0DD1">
        <w:rPr>
          <w:rStyle w:val="af3"/>
          <w:rFonts w:hint="eastAsia"/>
          <w:sz w:val="24"/>
          <w:szCs w:val="24"/>
        </w:rPr>
        <w:t>，</w:t>
      </w:r>
      <w:r w:rsidRPr="00FA0DD1">
        <w:rPr>
          <w:rStyle w:val="af3"/>
          <w:sz w:val="24"/>
          <w:szCs w:val="24"/>
        </w:rPr>
        <w:t>2021</w:t>
      </w:r>
      <w:r w:rsidRPr="00FA0DD1">
        <w:rPr>
          <w:rStyle w:val="af3"/>
          <w:sz w:val="24"/>
          <w:szCs w:val="24"/>
        </w:rPr>
        <w:t>年</w:t>
      </w:r>
      <w:r w:rsidRPr="00FA0DD1">
        <w:rPr>
          <w:rStyle w:val="af3"/>
          <w:sz w:val="24"/>
          <w:szCs w:val="24"/>
        </w:rPr>
        <w:t>5</w:t>
      </w:r>
      <w:r w:rsidRPr="00FA0DD1">
        <w:rPr>
          <w:rStyle w:val="af3"/>
          <w:sz w:val="24"/>
          <w:szCs w:val="24"/>
        </w:rPr>
        <w:t>月）提供了一个框架，以一种更可预测和更有效的方式促进批准后化学、制造、和控制（</w:t>
      </w:r>
      <w:r w:rsidRPr="00FA0DD1">
        <w:rPr>
          <w:rStyle w:val="af3"/>
          <w:sz w:val="24"/>
          <w:szCs w:val="24"/>
        </w:rPr>
        <w:t>CMC</w:t>
      </w:r>
      <w:r w:rsidRPr="00FA0DD1">
        <w:rPr>
          <w:rStyle w:val="af3"/>
          <w:sz w:val="24"/>
          <w:szCs w:val="24"/>
        </w:rPr>
        <w:t>）</w:t>
      </w:r>
      <w:r w:rsidR="00867006">
        <w:rPr>
          <w:rStyle w:val="af3"/>
          <w:rFonts w:hint="eastAsia"/>
          <w:sz w:val="24"/>
          <w:szCs w:val="24"/>
        </w:rPr>
        <w:t>变更</w:t>
      </w:r>
      <w:r w:rsidRPr="00FA0DD1">
        <w:rPr>
          <w:rStyle w:val="af3"/>
          <w:sz w:val="24"/>
          <w:szCs w:val="24"/>
        </w:rPr>
        <w:t>的管理。</w:t>
      </w:r>
      <w:r w:rsidRPr="00FA0DD1">
        <w:rPr>
          <w:rStyle w:val="af2"/>
          <w:rFonts w:ascii="Times New Roman" w:hAnsi="Times New Roman" w:cs="Times New Roman"/>
          <w:sz w:val="24"/>
          <w:szCs w:val="24"/>
        </w:rPr>
        <w:footnoteReference w:id="2"/>
      </w:r>
      <w:r w:rsidR="00D94478">
        <w:rPr>
          <w:rStyle w:val="af3"/>
          <w:rFonts w:hint="eastAsia"/>
          <w:sz w:val="24"/>
          <w:szCs w:val="24"/>
        </w:rPr>
        <w:t>I</w:t>
      </w:r>
      <w:r w:rsidR="00D94478">
        <w:rPr>
          <w:rStyle w:val="af3"/>
          <w:sz w:val="24"/>
          <w:szCs w:val="24"/>
        </w:rPr>
        <w:t xml:space="preserve">CH </w:t>
      </w:r>
      <w:r w:rsidRPr="00FA0DD1">
        <w:rPr>
          <w:rStyle w:val="af3"/>
          <w:sz w:val="24"/>
          <w:szCs w:val="24"/>
        </w:rPr>
        <w:t>Q12</w:t>
      </w:r>
      <w:r w:rsidRPr="00FA0DD1">
        <w:rPr>
          <w:rStyle w:val="af3"/>
          <w:sz w:val="24"/>
          <w:szCs w:val="24"/>
        </w:rPr>
        <w:t>包括与相关指导原则相关的监管工具和</w:t>
      </w:r>
      <w:r w:rsidR="0091795F">
        <w:rPr>
          <w:rStyle w:val="af3"/>
          <w:rFonts w:hint="eastAsia"/>
          <w:sz w:val="24"/>
          <w:szCs w:val="24"/>
        </w:rPr>
        <w:t>实现方法</w:t>
      </w:r>
      <w:r w:rsidRPr="00FA0DD1">
        <w:rPr>
          <w:rStyle w:val="af3"/>
          <w:sz w:val="24"/>
          <w:szCs w:val="24"/>
        </w:rPr>
        <w:t>，该指导原则应增强行业管理批准后变更的能力，并提高行业与</w:t>
      </w:r>
      <w:r w:rsidR="004670C4">
        <w:rPr>
          <w:rStyle w:val="af3"/>
          <w:sz w:val="24"/>
          <w:szCs w:val="24"/>
        </w:rPr>
        <w:t>FDA</w:t>
      </w:r>
      <w:r w:rsidRPr="00FA0DD1">
        <w:rPr>
          <w:rStyle w:val="af3"/>
          <w:sz w:val="24"/>
          <w:szCs w:val="24"/>
        </w:rPr>
        <w:t>之间的透明度，支持创新和持续改进。</w:t>
      </w:r>
    </w:p>
    <w:p w14:paraId="31DE6D46" w14:textId="6278E8AD" w:rsidR="00C00292" w:rsidRPr="00FA0DD1" w:rsidRDefault="00C00292" w:rsidP="00E8044B">
      <w:pPr>
        <w:spacing w:beforeLines="50" w:before="156" w:afterLines="50" w:after="156"/>
        <w:rPr>
          <w:rStyle w:val="af3"/>
          <w:sz w:val="24"/>
          <w:szCs w:val="24"/>
        </w:rPr>
      </w:pPr>
      <w:r w:rsidRPr="00FA0DD1">
        <w:rPr>
          <w:rStyle w:val="af3"/>
          <w:sz w:val="24"/>
          <w:szCs w:val="24"/>
        </w:rPr>
        <w:t>本指南应与</w:t>
      </w:r>
      <w:r w:rsidR="00002523">
        <w:rPr>
          <w:rStyle w:val="af3"/>
          <w:rFonts w:hint="eastAsia"/>
          <w:sz w:val="24"/>
          <w:szCs w:val="24"/>
        </w:rPr>
        <w:t>I</w:t>
      </w:r>
      <w:r w:rsidR="00002523">
        <w:rPr>
          <w:rStyle w:val="af3"/>
          <w:sz w:val="24"/>
          <w:szCs w:val="24"/>
        </w:rPr>
        <w:t xml:space="preserve">CH </w:t>
      </w:r>
      <w:r w:rsidRPr="00FA0DD1">
        <w:rPr>
          <w:rStyle w:val="af3"/>
          <w:sz w:val="24"/>
          <w:szCs w:val="24"/>
        </w:rPr>
        <w:t>Q12</w:t>
      </w:r>
      <w:r w:rsidRPr="00FA0DD1">
        <w:rPr>
          <w:rStyle w:val="af3"/>
          <w:sz w:val="24"/>
          <w:szCs w:val="24"/>
        </w:rPr>
        <w:t>一起阅读，通过阐明</w:t>
      </w:r>
      <w:r w:rsidR="00C50D50">
        <w:rPr>
          <w:rStyle w:val="af3"/>
          <w:sz w:val="24"/>
          <w:szCs w:val="24"/>
        </w:rPr>
        <w:t xml:space="preserve">ICH </w:t>
      </w:r>
      <w:r w:rsidRPr="00FA0DD1">
        <w:rPr>
          <w:rStyle w:val="af3"/>
          <w:sz w:val="24"/>
          <w:szCs w:val="24"/>
        </w:rPr>
        <w:t>Q12</w:t>
      </w:r>
      <w:r w:rsidRPr="00FA0DD1">
        <w:rPr>
          <w:rStyle w:val="af3"/>
          <w:sz w:val="24"/>
          <w:szCs w:val="24"/>
        </w:rPr>
        <w:t>工具和使能器在美国监管体系内的实施方法以补充</w:t>
      </w:r>
      <w:r w:rsidR="00C50D50">
        <w:rPr>
          <w:rStyle w:val="af3"/>
          <w:sz w:val="24"/>
          <w:szCs w:val="24"/>
        </w:rPr>
        <w:t xml:space="preserve">ICH </w:t>
      </w:r>
      <w:r w:rsidRPr="00FA0DD1">
        <w:rPr>
          <w:rStyle w:val="af3"/>
          <w:sz w:val="24"/>
          <w:szCs w:val="24"/>
        </w:rPr>
        <w:t>Q12</w:t>
      </w:r>
      <w:r w:rsidRPr="00FA0DD1">
        <w:rPr>
          <w:rStyle w:val="af3"/>
          <w:sz w:val="24"/>
          <w:szCs w:val="24"/>
        </w:rPr>
        <w:t>。本指南适用于作为新药申请（</w:t>
      </w:r>
      <w:r w:rsidRPr="00FA0DD1">
        <w:rPr>
          <w:rStyle w:val="af3"/>
          <w:sz w:val="24"/>
          <w:szCs w:val="24"/>
        </w:rPr>
        <w:t>NDAs</w:t>
      </w:r>
      <w:r w:rsidRPr="00FA0DD1">
        <w:rPr>
          <w:rStyle w:val="af3"/>
          <w:sz w:val="24"/>
          <w:szCs w:val="24"/>
        </w:rPr>
        <w:t>）、生物制品许可申请（</w:t>
      </w:r>
      <w:r w:rsidRPr="00FA0DD1">
        <w:rPr>
          <w:rStyle w:val="af3"/>
          <w:sz w:val="24"/>
          <w:szCs w:val="24"/>
        </w:rPr>
        <w:t>BLAs</w:t>
      </w:r>
      <w:r w:rsidRPr="00FA0DD1">
        <w:rPr>
          <w:rStyle w:val="af3"/>
          <w:sz w:val="24"/>
          <w:szCs w:val="24"/>
        </w:rPr>
        <w:t>）、简化新药申请（</w:t>
      </w:r>
      <w:r w:rsidRPr="00FA0DD1">
        <w:rPr>
          <w:rStyle w:val="af3"/>
          <w:sz w:val="24"/>
          <w:szCs w:val="24"/>
        </w:rPr>
        <w:t>ANDAs</w:t>
      </w:r>
      <w:r w:rsidRPr="00FA0DD1">
        <w:rPr>
          <w:rStyle w:val="af3"/>
          <w:sz w:val="24"/>
          <w:szCs w:val="24"/>
        </w:rPr>
        <w:t>）的</w:t>
      </w:r>
      <w:r w:rsidR="003C4DA2">
        <w:rPr>
          <w:rStyle w:val="af3"/>
          <w:rFonts w:hint="eastAsia"/>
          <w:sz w:val="24"/>
          <w:szCs w:val="24"/>
        </w:rPr>
        <w:t>申报</w:t>
      </w:r>
      <w:r w:rsidRPr="00FA0DD1">
        <w:rPr>
          <w:rStyle w:val="af3"/>
          <w:sz w:val="24"/>
          <w:szCs w:val="24"/>
        </w:rPr>
        <w:t>原料药和制剂</w:t>
      </w:r>
      <w:r w:rsidRPr="00FA0DD1">
        <w:rPr>
          <w:rStyle w:val="af2"/>
          <w:rFonts w:ascii="Times New Roman" w:hAnsi="Times New Roman" w:cs="Times New Roman"/>
          <w:sz w:val="24"/>
          <w:szCs w:val="24"/>
        </w:rPr>
        <w:footnoteReference w:id="3"/>
      </w:r>
      <w:r w:rsidRPr="00FA0DD1">
        <w:rPr>
          <w:rStyle w:val="af3"/>
          <w:sz w:val="24"/>
          <w:szCs w:val="24"/>
        </w:rPr>
        <w:t>以及由药物评估和研究中心（</w:t>
      </w:r>
      <w:r w:rsidRPr="00FA0DD1">
        <w:rPr>
          <w:rStyle w:val="af3"/>
          <w:sz w:val="24"/>
          <w:szCs w:val="24"/>
        </w:rPr>
        <w:t>CDER</w:t>
      </w:r>
      <w:r w:rsidRPr="00FA0DD1">
        <w:rPr>
          <w:rStyle w:val="af3"/>
          <w:sz w:val="24"/>
          <w:szCs w:val="24"/>
        </w:rPr>
        <w:t>）和生物制品评估和研究中心（</w:t>
      </w:r>
      <w:r w:rsidRPr="00FA0DD1">
        <w:rPr>
          <w:rStyle w:val="af3"/>
          <w:sz w:val="24"/>
          <w:szCs w:val="24"/>
        </w:rPr>
        <w:t>CBER</w:t>
      </w:r>
      <w:r w:rsidRPr="00FA0DD1">
        <w:rPr>
          <w:rStyle w:val="af3"/>
          <w:sz w:val="24"/>
          <w:szCs w:val="24"/>
        </w:rPr>
        <w:t>）监管的</w:t>
      </w:r>
      <w:r w:rsidR="004E2316">
        <w:rPr>
          <w:rStyle w:val="af3"/>
          <w:rFonts w:hint="eastAsia"/>
          <w:sz w:val="24"/>
          <w:szCs w:val="24"/>
        </w:rPr>
        <w:t>申请</w:t>
      </w:r>
      <w:r w:rsidRPr="00FA0DD1">
        <w:rPr>
          <w:rStyle w:val="af3"/>
          <w:sz w:val="24"/>
          <w:szCs w:val="24"/>
        </w:rPr>
        <w:t>补充资料。本指南同样适用于</w:t>
      </w:r>
      <w:r w:rsidR="00D360CA">
        <w:rPr>
          <w:rStyle w:val="af3"/>
          <w:rFonts w:hint="eastAsia"/>
          <w:sz w:val="24"/>
          <w:szCs w:val="24"/>
        </w:rPr>
        <w:t>含</w:t>
      </w:r>
      <w:r w:rsidRPr="00FA0DD1">
        <w:rPr>
          <w:rStyle w:val="af3"/>
          <w:sz w:val="24"/>
          <w:szCs w:val="24"/>
        </w:rPr>
        <w:t>器械组成</w:t>
      </w:r>
      <w:r w:rsidR="00D360CA">
        <w:rPr>
          <w:rStyle w:val="af3"/>
          <w:rFonts w:hint="eastAsia"/>
          <w:sz w:val="24"/>
          <w:szCs w:val="24"/>
        </w:rPr>
        <w:t>部分</w:t>
      </w:r>
      <w:r w:rsidRPr="00FA0DD1">
        <w:rPr>
          <w:rStyle w:val="af3"/>
          <w:sz w:val="24"/>
          <w:szCs w:val="24"/>
        </w:rPr>
        <w:t>的组合产品</w:t>
      </w:r>
      <w:r w:rsidRPr="00FA0DD1">
        <w:rPr>
          <w:rStyle w:val="af2"/>
          <w:rFonts w:ascii="Times New Roman" w:hAnsi="Times New Roman" w:cs="Times New Roman"/>
          <w:sz w:val="24"/>
          <w:szCs w:val="24"/>
        </w:rPr>
        <w:footnoteReference w:id="4"/>
      </w:r>
      <w:r w:rsidRPr="00FA0DD1">
        <w:rPr>
          <w:rStyle w:val="af3"/>
          <w:sz w:val="24"/>
          <w:szCs w:val="24"/>
        </w:rPr>
        <w:t>，该</w:t>
      </w:r>
      <w:r w:rsidR="00D360CA">
        <w:rPr>
          <w:rStyle w:val="af3"/>
          <w:rFonts w:hint="eastAsia"/>
          <w:sz w:val="24"/>
          <w:szCs w:val="24"/>
        </w:rPr>
        <w:t>组成部分</w:t>
      </w:r>
      <w:r w:rsidRPr="00FA0DD1">
        <w:rPr>
          <w:rStyle w:val="af3"/>
          <w:sz w:val="24"/>
          <w:szCs w:val="24"/>
        </w:rPr>
        <w:t>是新药申请、生物制品许可申请、简化新药申请的</w:t>
      </w:r>
      <w:r w:rsidR="006A0CF2">
        <w:rPr>
          <w:rStyle w:val="af3"/>
          <w:rFonts w:hint="eastAsia"/>
          <w:sz w:val="24"/>
          <w:szCs w:val="24"/>
        </w:rPr>
        <w:t>申报器械</w:t>
      </w:r>
      <w:r w:rsidRPr="00FA0DD1">
        <w:rPr>
          <w:rStyle w:val="af3"/>
          <w:sz w:val="24"/>
          <w:szCs w:val="24"/>
        </w:rPr>
        <w:t>，以及</w:t>
      </w:r>
      <w:r w:rsidRPr="00FA0DD1">
        <w:rPr>
          <w:rStyle w:val="af3"/>
          <w:sz w:val="24"/>
          <w:szCs w:val="24"/>
        </w:rPr>
        <w:t>CDER</w:t>
      </w:r>
      <w:r w:rsidRPr="00FA0DD1">
        <w:rPr>
          <w:rStyle w:val="af3"/>
          <w:sz w:val="24"/>
          <w:szCs w:val="24"/>
        </w:rPr>
        <w:t>和</w:t>
      </w:r>
      <w:r w:rsidRPr="00FA0DD1">
        <w:rPr>
          <w:rStyle w:val="af3"/>
          <w:sz w:val="24"/>
          <w:szCs w:val="24"/>
        </w:rPr>
        <w:t>CBER</w:t>
      </w:r>
      <w:r w:rsidRPr="00FA0DD1">
        <w:rPr>
          <w:rStyle w:val="af3"/>
          <w:sz w:val="24"/>
          <w:szCs w:val="24"/>
        </w:rPr>
        <w:t>监管的</w:t>
      </w:r>
      <w:r w:rsidR="00C74491" w:rsidRPr="00FA0DD1">
        <w:rPr>
          <w:rStyle w:val="af3"/>
          <w:sz w:val="24"/>
          <w:szCs w:val="24"/>
        </w:rPr>
        <w:t>补充</w:t>
      </w:r>
      <w:r w:rsidR="004E2316">
        <w:rPr>
          <w:rStyle w:val="af3"/>
          <w:rFonts w:hint="eastAsia"/>
          <w:sz w:val="24"/>
          <w:szCs w:val="24"/>
        </w:rPr>
        <w:t>申请</w:t>
      </w:r>
      <w:r w:rsidRPr="00FA0DD1">
        <w:rPr>
          <w:rStyle w:val="af3"/>
          <w:sz w:val="24"/>
          <w:szCs w:val="24"/>
        </w:rPr>
        <w:t>。</w:t>
      </w:r>
    </w:p>
    <w:p w14:paraId="3D12D405" w14:textId="77777777" w:rsidR="00AA060A" w:rsidRDefault="00C00292" w:rsidP="00E8044B">
      <w:pPr>
        <w:spacing w:beforeLines="50" w:before="156" w:afterLines="50" w:after="156"/>
        <w:rPr>
          <w:rStyle w:val="af3"/>
          <w:sz w:val="24"/>
          <w:szCs w:val="24"/>
        </w:rPr>
      </w:pPr>
      <w:r w:rsidRPr="00FA0DD1">
        <w:rPr>
          <w:rStyle w:val="af3"/>
          <w:sz w:val="24"/>
          <w:szCs w:val="24"/>
        </w:rPr>
        <w:t>除非合同中明确规定，否则本文件的内容不具有法律效力，不以任何方式约束公众。本文件仅用于向公众说明法律规定的现有要求。</w:t>
      </w:r>
      <w:r w:rsidR="00AA060A" w:rsidRPr="008D2911">
        <w:rPr>
          <w:sz w:val="24"/>
          <w:szCs w:val="24"/>
        </w:rPr>
        <w:t>除非引用了具体监管或法定要求，否则应仅视为建议。</w:t>
      </w:r>
      <w:r w:rsidR="00AA060A" w:rsidRPr="008D2911">
        <w:rPr>
          <w:sz w:val="24"/>
          <w:szCs w:val="24"/>
        </w:rPr>
        <w:t>FDA</w:t>
      </w:r>
      <w:r w:rsidR="00AA060A" w:rsidRPr="008D2911">
        <w:rPr>
          <w:sz w:val="24"/>
          <w:szCs w:val="24"/>
        </w:rPr>
        <w:t>指南中使用的</w:t>
      </w:r>
      <w:r w:rsidR="00AA060A">
        <w:rPr>
          <w:rFonts w:ascii="宋体" w:hAnsi="宋体" w:hint="eastAsia"/>
          <w:sz w:val="24"/>
          <w:szCs w:val="24"/>
        </w:rPr>
        <w:t>“</w:t>
      </w:r>
      <w:r w:rsidR="00AA060A" w:rsidRPr="008D2911">
        <w:rPr>
          <w:i/>
          <w:iCs/>
          <w:sz w:val="24"/>
          <w:szCs w:val="24"/>
        </w:rPr>
        <w:t>应该（</w:t>
      </w:r>
      <w:r w:rsidR="00AA060A" w:rsidRPr="008D2911">
        <w:rPr>
          <w:i/>
          <w:iCs/>
          <w:sz w:val="24"/>
          <w:szCs w:val="24"/>
        </w:rPr>
        <w:t>should</w:t>
      </w:r>
      <w:r w:rsidR="00AA060A" w:rsidRPr="008D2911">
        <w:rPr>
          <w:i/>
          <w:iCs/>
          <w:sz w:val="24"/>
          <w:szCs w:val="24"/>
        </w:rPr>
        <w:t>）</w:t>
      </w:r>
      <w:r w:rsidR="00AA060A">
        <w:rPr>
          <w:rFonts w:ascii="宋体" w:hAnsi="宋体" w:hint="eastAsia"/>
          <w:sz w:val="24"/>
          <w:szCs w:val="24"/>
        </w:rPr>
        <w:t>”</w:t>
      </w:r>
      <w:r w:rsidR="00AA060A" w:rsidRPr="008D2911">
        <w:rPr>
          <w:sz w:val="24"/>
          <w:szCs w:val="24"/>
        </w:rPr>
        <w:t>一词指建议或推荐进行某一事项，并非强制要求。</w:t>
      </w:r>
    </w:p>
    <w:p w14:paraId="7BDF3344" w14:textId="77777777" w:rsidR="00C13D65" w:rsidRDefault="00C13D65">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3CBEB881" w14:textId="77777777" w:rsidR="00C00292" w:rsidRPr="00C13D65" w:rsidRDefault="00C00292" w:rsidP="00E8044B">
      <w:pPr>
        <w:spacing w:beforeLines="50" w:before="156" w:afterLines="50" w:after="156"/>
        <w:ind w:left="565" w:hangingChars="201" w:hanging="565"/>
        <w:outlineLvl w:val="0"/>
        <w:rPr>
          <w:rFonts w:ascii="Times New Roman" w:hAnsi="Times New Roman" w:cs="Times New Roman"/>
          <w:b/>
          <w:sz w:val="28"/>
          <w:szCs w:val="28"/>
        </w:rPr>
      </w:pPr>
      <w:bookmarkStart w:id="3" w:name="_Toc97322907"/>
      <w:r>
        <w:rPr>
          <w:rFonts w:ascii="Times New Roman" w:hAnsi="Times New Roman" w:cs="Times New Roman"/>
          <w:b/>
          <w:bCs/>
          <w:sz w:val="28"/>
          <w:szCs w:val="28"/>
        </w:rPr>
        <w:lastRenderedPageBreak/>
        <w:t>II.</w:t>
      </w:r>
      <w:r>
        <w:rPr>
          <w:rFonts w:ascii="Times New Roman" w:hAnsi="Times New Roman" w:cs="Times New Roman"/>
          <w:b/>
          <w:bCs/>
          <w:sz w:val="28"/>
          <w:szCs w:val="28"/>
        </w:rPr>
        <w:tab/>
      </w:r>
      <w:r>
        <w:rPr>
          <w:rFonts w:ascii="Times New Roman" w:hAnsi="Times New Roman" w:cs="Times New Roman"/>
          <w:b/>
          <w:bCs/>
          <w:sz w:val="28"/>
          <w:szCs w:val="28"/>
        </w:rPr>
        <w:t>实施注意事项</w:t>
      </w:r>
      <w:bookmarkEnd w:id="3"/>
    </w:p>
    <w:p w14:paraId="7BB90FFD" w14:textId="34E38610" w:rsidR="00C00292" w:rsidRPr="00FA0DD1" w:rsidRDefault="00C00292" w:rsidP="00E8044B">
      <w:pPr>
        <w:spacing w:beforeLines="50" w:before="156" w:afterLines="50" w:after="156"/>
        <w:rPr>
          <w:rStyle w:val="af3"/>
          <w:sz w:val="24"/>
          <w:szCs w:val="24"/>
        </w:rPr>
      </w:pPr>
      <w:r w:rsidRPr="00FA0DD1">
        <w:rPr>
          <w:rStyle w:val="af3"/>
          <w:sz w:val="24"/>
          <w:szCs w:val="24"/>
        </w:rPr>
        <w:t>以下注意事项遵循</w:t>
      </w:r>
      <w:r w:rsidR="00C50D50">
        <w:rPr>
          <w:rStyle w:val="af3"/>
          <w:sz w:val="24"/>
          <w:szCs w:val="24"/>
        </w:rPr>
        <w:t xml:space="preserve">ICH </w:t>
      </w:r>
      <w:r w:rsidRPr="00FA0DD1">
        <w:rPr>
          <w:rStyle w:val="af3"/>
          <w:sz w:val="24"/>
          <w:szCs w:val="24"/>
        </w:rPr>
        <w:t>Q12</w:t>
      </w:r>
      <w:r w:rsidRPr="00FA0DD1">
        <w:rPr>
          <w:rStyle w:val="af3"/>
          <w:sz w:val="24"/>
          <w:szCs w:val="24"/>
        </w:rPr>
        <w:t>中各部分的顺序，并</w:t>
      </w:r>
      <w:r w:rsidR="00B30CF4">
        <w:rPr>
          <w:rStyle w:val="af3"/>
          <w:rFonts w:hint="eastAsia"/>
          <w:sz w:val="24"/>
          <w:szCs w:val="24"/>
        </w:rPr>
        <w:t>针对</w:t>
      </w:r>
      <w:r w:rsidRPr="00FA0DD1">
        <w:rPr>
          <w:rStyle w:val="af3"/>
          <w:sz w:val="24"/>
          <w:szCs w:val="24"/>
        </w:rPr>
        <w:t>于</w:t>
      </w:r>
      <w:r w:rsidRPr="00FA0DD1">
        <w:rPr>
          <w:rStyle w:val="af3"/>
          <w:sz w:val="24"/>
          <w:szCs w:val="24"/>
        </w:rPr>
        <w:t>FDA</w:t>
      </w:r>
      <w:r w:rsidRPr="00FA0DD1">
        <w:rPr>
          <w:rStyle w:val="af3"/>
          <w:sz w:val="24"/>
          <w:szCs w:val="24"/>
        </w:rPr>
        <w:t>的实施。</w:t>
      </w:r>
    </w:p>
    <w:p w14:paraId="05A76908" w14:textId="77777777" w:rsidR="00C00292" w:rsidRPr="00FA0DD1"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4" w:name="_Toc97322908"/>
      <w:r w:rsidRPr="00FA0DD1">
        <w:rPr>
          <w:rFonts w:ascii="Times New Roman" w:hAnsi="Times New Roman" w:cs="Times New Roman"/>
          <w:b/>
          <w:bCs/>
          <w:sz w:val="24"/>
          <w:szCs w:val="24"/>
        </w:rPr>
        <w:t>A.</w:t>
      </w:r>
      <w:r w:rsidRPr="00FA0DD1">
        <w:rPr>
          <w:rFonts w:ascii="Times New Roman" w:hAnsi="Times New Roman" w:cs="Times New Roman"/>
          <w:b/>
          <w:bCs/>
          <w:sz w:val="24"/>
          <w:szCs w:val="24"/>
        </w:rPr>
        <w:tab/>
      </w:r>
      <w:r w:rsidRPr="00FA0DD1">
        <w:rPr>
          <w:rFonts w:ascii="Times New Roman" w:hAnsi="Times New Roman" w:cs="Times New Roman"/>
          <w:b/>
          <w:bCs/>
          <w:sz w:val="24"/>
          <w:szCs w:val="24"/>
        </w:rPr>
        <w:t>引言</w:t>
      </w:r>
      <w:bookmarkEnd w:id="4"/>
    </w:p>
    <w:p w14:paraId="0274FECC" w14:textId="68811D33" w:rsidR="00C00292" w:rsidRPr="00FA0DD1" w:rsidRDefault="00C00292" w:rsidP="00E8044B">
      <w:pPr>
        <w:spacing w:beforeLines="50" w:before="156" w:afterLines="50" w:after="156"/>
        <w:rPr>
          <w:rStyle w:val="af3"/>
          <w:sz w:val="24"/>
          <w:szCs w:val="24"/>
        </w:rPr>
      </w:pPr>
      <w:r w:rsidRPr="00FA0DD1">
        <w:rPr>
          <w:rStyle w:val="af3"/>
          <w:sz w:val="24"/>
          <w:szCs w:val="24"/>
        </w:rPr>
        <w:t>如上所述，</w:t>
      </w:r>
      <w:r w:rsidR="00C50D50">
        <w:rPr>
          <w:rStyle w:val="af3"/>
          <w:sz w:val="24"/>
          <w:szCs w:val="24"/>
        </w:rPr>
        <w:t xml:space="preserve">ICH </w:t>
      </w:r>
      <w:r w:rsidRPr="00FA0DD1">
        <w:rPr>
          <w:rStyle w:val="af3"/>
          <w:sz w:val="24"/>
          <w:szCs w:val="24"/>
        </w:rPr>
        <w:t>Q12</w:t>
      </w:r>
      <w:r w:rsidRPr="00FA0DD1">
        <w:rPr>
          <w:rStyle w:val="af3"/>
          <w:sz w:val="24"/>
          <w:szCs w:val="24"/>
        </w:rPr>
        <w:t>和本指南适用于</w:t>
      </w:r>
      <w:r w:rsidR="00905A8F" w:rsidRPr="00905A8F">
        <w:rPr>
          <w:rStyle w:val="af3"/>
          <w:sz w:val="24"/>
          <w:szCs w:val="24"/>
        </w:rPr>
        <w:t>NDA, BLA, ANDA</w:t>
      </w:r>
      <w:r w:rsidRPr="00FA0DD1">
        <w:rPr>
          <w:rStyle w:val="af3"/>
          <w:sz w:val="24"/>
          <w:szCs w:val="24"/>
        </w:rPr>
        <w:t>的</w:t>
      </w:r>
      <w:r w:rsidR="009D13FB">
        <w:rPr>
          <w:rStyle w:val="af3"/>
          <w:rFonts w:hint="eastAsia"/>
          <w:sz w:val="24"/>
          <w:szCs w:val="24"/>
        </w:rPr>
        <w:t>申报</w:t>
      </w:r>
      <w:r w:rsidRPr="00FA0DD1">
        <w:rPr>
          <w:rStyle w:val="af3"/>
          <w:sz w:val="24"/>
          <w:szCs w:val="24"/>
        </w:rPr>
        <w:t>原料药和制剂以及由</w:t>
      </w:r>
      <w:r w:rsidRPr="00FA0DD1">
        <w:rPr>
          <w:rStyle w:val="af3"/>
          <w:sz w:val="24"/>
          <w:szCs w:val="24"/>
        </w:rPr>
        <w:t>CDER</w:t>
      </w:r>
      <w:r w:rsidRPr="00FA0DD1">
        <w:rPr>
          <w:rStyle w:val="af3"/>
          <w:sz w:val="24"/>
          <w:szCs w:val="24"/>
        </w:rPr>
        <w:t>和</w:t>
      </w:r>
      <w:r w:rsidRPr="00FA0DD1">
        <w:rPr>
          <w:rStyle w:val="af3"/>
          <w:sz w:val="24"/>
          <w:szCs w:val="24"/>
        </w:rPr>
        <w:t>CBER</w:t>
      </w:r>
      <w:r w:rsidRPr="00FA0DD1">
        <w:rPr>
          <w:rStyle w:val="af3"/>
          <w:sz w:val="24"/>
          <w:szCs w:val="24"/>
        </w:rPr>
        <w:t>监管的</w:t>
      </w:r>
      <w:r w:rsidR="00C74491" w:rsidRPr="00FA0DD1">
        <w:rPr>
          <w:rStyle w:val="af3"/>
          <w:sz w:val="24"/>
          <w:szCs w:val="24"/>
        </w:rPr>
        <w:t>补充</w:t>
      </w:r>
      <w:r w:rsidR="009D13FB">
        <w:rPr>
          <w:rStyle w:val="af3"/>
          <w:rFonts w:hint="eastAsia"/>
          <w:sz w:val="24"/>
          <w:szCs w:val="24"/>
        </w:rPr>
        <w:t>申请</w:t>
      </w:r>
      <w:r w:rsidRPr="00FA0DD1">
        <w:rPr>
          <w:rStyle w:val="af3"/>
          <w:sz w:val="24"/>
          <w:szCs w:val="24"/>
        </w:rPr>
        <w:t>。</w:t>
      </w:r>
      <w:r w:rsidR="00C50D50">
        <w:rPr>
          <w:rStyle w:val="af3"/>
          <w:sz w:val="24"/>
          <w:szCs w:val="24"/>
        </w:rPr>
        <w:t xml:space="preserve">ICH </w:t>
      </w:r>
      <w:r w:rsidRPr="00FA0DD1">
        <w:rPr>
          <w:rStyle w:val="af3"/>
          <w:sz w:val="24"/>
          <w:szCs w:val="24"/>
        </w:rPr>
        <w:t>Q12</w:t>
      </w:r>
      <w:r w:rsidRPr="00FA0DD1">
        <w:rPr>
          <w:rStyle w:val="af3"/>
          <w:sz w:val="24"/>
          <w:szCs w:val="24"/>
        </w:rPr>
        <w:t>和本指南同样适用于</w:t>
      </w:r>
      <w:r w:rsidR="00A77DBA">
        <w:rPr>
          <w:rStyle w:val="af3"/>
          <w:rFonts w:hint="eastAsia"/>
          <w:sz w:val="24"/>
          <w:szCs w:val="24"/>
        </w:rPr>
        <w:t>有</w:t>
      </w:r>
      <w:r w:rsidRPr="00FA0DD1">
        <w:rPr>
          <w:rStyle w:val="af3"/>
          <w:sz w:val="24"/>
          <w:szCs w:val="24"/>
        </w:rPr>
        <w:t>器械组成</w:t>
      </w:r>
      <w:r w:rsidR="00A77DBA">
        <w:rPr>
          <w:rStyle w:val="af3"/>
          <w:rFonts w:hint="eastAsia"/>
          <w:sz w:val="24"/>
          <w:szCs w:val="24"/>
        </w:rPr>
        <w:t>部分</w:t>
      </w:r>
      <w:r w:rsidRPr="00FA0DD1">
        <w:rPr>
          <w:rStyle w:val="af3"/>
          <w:sz w:val="24"/>
          <w:szCs w:val="24"/>
        </w:rPr>
        <w:t>的组合产品，该</w:t>
      </w:r>
      <w:r w:rsidR="00D360CA">
        <w:rPr>
          <w:rStyle w:val="af3"/>
          <w:rFonts w:hint="eastAsia"/>
          <w:sz w:val="24"/>
          <w:szCs w:val="24"/>
        </w:rPr>
        <w:t>组成部分</w:t>
      </w:r>
      <w:r w:rsidRPr="00FA0DD1">
        <w:rPr>
          <w:rStyle w:val="af3"/>
          <w:sz w:val="24"/>
          <w:szCs w:val="24"/>
        </w:rPr>
        <w:t>是</w:t>
      </w:r>
      <w:r w:rsidR="00905A8F" w:rsidRPr="00905A8F">
        <w:rPr>
          <w:rStyle w:val="af3"/>
          <w:sz w:val="24"/>
          <w:szCs w:val="24"/>
        </w:rPr>
        <w:t>NDAs, BLAs, ANDAs</w:t>
      </w:r>
      <w:r w:rsidR="00D360CA">
        <w:rPr>
          <w:rStyle w:val="af3"/>
          <w:rFonts w:hint="eastAsia"/>
          <w:sz w:val="24"/>
          <w:szCs w:val="24"/>
        </w:rPr>
        <w:t>的申报器械</w:t>
      </w:r>
      <w:r w:rsidRPr="00FA0DD1">
        <w:rPr>
          <w:rStyle w:val="af3"/>
          <w:sz w:val="24"/>
          <w:szCs w:val="24"/>
        </w:rPr>
        <w:t>，以及</w:t>
      </w:r>
      <w:r w:rsidRPr="00FA0DD1">
        <w:rPr>
          <w:rStyle w:val="af3"/>
          <w:sz w:val="24"/>
          <w:szCs w:val="24"/>
        </w:rPr>
        <w:t>CDER</w:t>
      </w:r>
      <w:r w:rsidRPr="00FA0DD1">
        <w:rPr>
          <w:rStyle w:val="af3"/>
          <w:sz w:val="24"/>
          <w:szCs w:val="24"/>
        </w:rPr>
        <w:t>和</w:t>
      </w:r>
      <w:r w:rsidRPr="00FA0DD1">
        <w:rPr>
          <w:rStyle w:val="af3"/>
          <w:sz w:val="24"/>
          <w:szCs w:val="24"/>
        </w:rPr>
        <w:t>CBER</w:t>
      </w:r>
      <w:r w:rsidRPr="00FA0DD1">
        <w:rPr>
          <w:rStyle w:val="af3"/>
          <w:sz w:val="24"/>
          <w:szCs w:val="24"/>
        </w:rPr>
        <w:t>监管的</w:t>
      </w:r>
      <w:r w:rsidR="00C74491" w:rsidRPr="00FA0DD1">
        <w:rPr>
          <w:rStyle w:val="af3"/>
          <w:sz w:val="24"/>
          <w:szCs w:val="24"/>
        </w:rPr>
        <w:t>补充</w:t>
      </w:r>
      <w:r w:rsidR="00D360CA">
        <w:rPr>
          <w:rStyle w:val="af3"/>
          <w:rFonts w:hint="eastAsia"/>
          <w:sz w:val="24"/>
          <w:szCs w:val="24"/>
        </w:rPr>
        <w:t>申请</w:t>
      </w:r>
      <w:r w:rsidRPr="00FA0DD1">
        <w:rPr>
          <w:rStyle w:val="af3"/>
          <w:sz w:val="24"/>
          <w:szCs w:val="24"/>
        </w:rPr>
        <w:t>。</w:t>
      </w:r>
    </w:p>
    <w:p w14:paraId="5D5F9600" w14:textId="77777777" w:rsidR="00C00292" w:rsidRPr="00FA0DD1"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5" w:name="_Toc97322909"/>
      <w:r w:rsidRPr="00FA0DD1">
        <w:rPr>
          <w:rFonts w:ascii="Times New Roman" w:hAnsi="Times New Roman" w:cs="Times New Roman"/>
          <w:b/>
          <w:bCs/>
          <w:sz w:val="24"/>
          <w:szCs w:val="24"/>
        </w:rPr>
        <w:t>B.</w:t>
      </w:r>
      <w:r w:rsidRPr="00FA0DD1">
        <w:rPr>
          <w:rFonts w:ascii="Times New Roman" w:hAnsi="Times New Roman" w:cs="Times New Roman"/>
          <w:b/>
          <w:bCs/>
          <w:sz w:val="24"/>
          <w:szCs w:val="24"/>
        </w:rPr>
        <w:tab/>
      </w:r>
      <w:r w:rsidRPr="00FA0DD1">
        <w:rPr>
          <w:rFonts w:ascii="Times New Roman" w:hAnsi="Times New Roman" w:cs="Times New Roman"/>
          <w:b/>
          <w:bCs/>
          <w:sz w:val="24"/>
          <w:szCs w:val="24"/>
        </w:rPr>
        <w:t>批准后化学、制造和控制变更的分类</w:t>
      </w:r>
      <w:bookmarkEnd w:id="5"/>
    </w:p>
    <w:p w14:paraId="370A5931" w14:textId="6FD60370" w:rsidR="00C00292" w:rsidRPr="00FA0DD1" w:rsidRDefault="00C50D50" w:rsidP="00E8044B">
      <w:pPr>
        <w:spacing w:beforeLines="50" w:before="156" w:afterLines="50" w:after="156"/>
        <w:rPr>
          <w:rStyle w:val="af3"/>
          <w:sz w:val="24"/>
          <w:szCs w:val="24"/>
        </w:rPr>
      </w:pPr>
      <w:r>
        <w:rPr>
          <w:rStyle w:val="af3"/>
          <w:sz w:val="24"/>
          <w:szCs w:val="24"/>
        </w:rPr>
        <w:t xml:space="preserve">ICH </w:t>
      </w:r>
      <w:r w:rsidR="00C00292" w:rsidRPr="00FA0DD1">
        <w:rPr>
          <w:rStyle w:val="af3"/>
          <w:sz w:val="24"/>
          <w:szCs w:val="24"/>
        </w:rPr>
        <w:t>Q12</w:t>
      </w:r>
      <w:r w:rsidR="00C00292" w:rsidRPr="00FA0DD1">
        <w:rPr>
          <w:rStyle w:val="af3"/>
          <w:sz w:val="24"/>
          <w:szCs w:val="24"/>
        </w:rPr>
        <w:t>描述了两类监管沟通：事先批准和通知。在美国的监管体系中，预先批准指</w:t>
      </w:r>
      <w:r w:rsidR="00C00292" w:rsidRPr="00FA0DD1">
        <w:rPr>
          <w:rStyle w:val="af3"/>
          <w:i/>
          <w:iCs/>
          <w:sz w:val="24"/>
          <w:szCs w:val="24"/>
        </w:rPr>
        <w:t>事先批准</w:t>
      </w:r>
      <w:r w:rsidR="00C00292" w:rsidRPr="00FA0DD1">
        <w:rPr>
          <w:rStyle w:val="af3"/>
          <w:sz w:val="24"/>
          <w:szCs w:val="24"/>
        </w:rPr>
        <w:t>补充</w:t>
      </w:r>
      <w:r w:rsidR="00407815">
        <w:rPr>
          <w:rStyle w:val="af3"/>
          <w:rFonts w:hint="eastAsia"/>
          <w:sz w:val="24"/>
          <w:szCs w:val="24"/>
        </w:rPr>
        <w:t>申请</w:t>
      </w:r>
      <w:r w:rsidR="00C00292" w:rsidRPr="00FA0DD1">
        <w:rPr>
          <w:rStyle w:val="af3"/>
          <w:sz w:val="24"/>
          <w:szCs w:val="24"/>
        </w:rPr>
        <w:t>（</w:t>
      </w:r>
      <w:r w:rsidR="00C00292" w:rsidRPr="00FA0DD1">
        <w:rPr>
          <w:rStyle w:val="af3"/>
          <w:sz w:val="24"/>
          <w:szCs w:val="24"/>
        </w:rPr>
        <w:t>PAS</w:t>
      </w:r>
      <w:r w:rsidR="00C00292" w:rsidRPr="00FA0DD1">
        <w:rPr>
          <w:rStyle w:val="af3"/>
          <w:sz w:val="24"/>
          <w:szCs w:val="24"/>
        </w:rPr>
        <w:t>），</w:t>
      </w:r>
      <w:r w:rsidR="00C00292" w:rsidRPr="00FA0DD1">
        <w:rPr>
          <w:rStyle w:val="af3"/>
          <w:i/>
          <w:iCs/>
          <w:sz w:val="24"/>
          <w:szCs w:val="24"/>
        </w:rPr>
        <w:t>中</w:t>
      </w:r>
      <w:r w:rsidR="00700943">
        <w:rPr>
          <w:rStyle w:val="af3"/>
          <w:rFonts w:hint="eastAsia"/>
          <w:i/>
          <w:iCs/>
          <w:sz w:val="24"/>
          <w:szCs w:val="24"/>
        </w:rPr>
        <w:t>等</w:t>
      </w:r>
      <w:r w:rsidR="00C00292" w:rsidRPr="00FA0DD1">
        <w:rPr>
          <w:rStyle w:val="af3"/>
          <w:i/>
          <w:iCs/>
          <w:sz w:val="24"/>
          <w:szCs w:val="24"/>
        </w:rPr>
        <w:t>通知</w:t>
      </w:r>
      <w:r w:rsidR="00C00292" w:rsidRPr="00FA0DD1">
        <w:rPr>
          <w:rStyle w:val="af3"/>
          <w:sz w:val="24"/>
          <w:szCs w:val="24"/>
        </w:rPr>
        <w:t>指</w:t>
      </w:r>
      <w:r w:rsidR="00130135">
        <w:rPr>
          <w:rStyle w:val="af3"/>
          <w:rFonts w:hint="eastAsia"/>
          <w:sz w:val="24"/>
          <w:szCs w:val="24"/>
        </w:rPr>
        <w:t>30</w:t>
      </w:r>
      <w:r w:rsidR="00130135">
        <w:rPr>
          <w:rStyle w:val="af3"/>
          <w:rFonts w:hint="eastAsia"/>
          <w:sz w:val="24"/>
          <w:szCs w:val="24"/>
        </w:rPr>
        <w:t>天</w:t>
      </w:r>
      <w:r w:rsidR="009970D2">
        <w:rPr>
          <w:rStyle w:val="af3"/>
          <w:rFonts w:hint="eastAsia"/>
          <w:sz w:val="24"/>
          <w:szCs w:val="24"/>
        </w:rPr>
        <w:t>后</w:t>
      </w:r>
      <w:r w:rsidR="005D6621">
        <w:rPr>
          <w:rStyle w:val="af3"/>
          <w:rFonts w:hint="eastAsia"/>
          <w:sz w:val="24"/>
          <w:szCs w:val="24"/>
        </w:rPr>
        <w:t>生效</w:t>
      </w:r>
      <w:r w:rsidR="007E5625">
        <w:rPr>
          <w:rStyle w:val="af3"/>
          <w:rFonts w:hint="eastAsia"/>
          <w:sz w:val="24"/>
          <w:szCs w:val="24"/>
        </w:rPr>
        <w:t>变更</w:t>
      </w:r>
      <w:r w:rsidR="00C00292" w:rsidRPr="00FA0DD1">
        <w:rPr>
          <w:rStyle w:val="af3"/>
          <w:sz w:val="24"/>
          <w:szCs w:val="24"/>
        </w:rPr>
        <w:t>（</w:t>
      </w:r>
      <w:r w:rsidR="00C00292" w:rsidRPr="00FA0DD1">
        <w:rPr>
          <w:rStyle w:val="af3"/>
          <w:sz w:val="24"/>
          <w:szCs w:val="24"/>
        </w:rPr>
        <w:t>CBE-30</w:t>
      </w:r>
      <w:r w:rsidR="00C00292" w:rsidRPr="00FA0DD1">
        <w:rPr>
          <w:rStyle w:val="af3"/>
          <w:sz w:val="24"/>
          <w:szCs w:val="24"/>
        </w:rPr>
        <w:t>）</w:t>
      </w:r>
      <w:r w:rsidR="00014A56">
        <w:rPr>
          <w:rStyle w:val="af3"/>
          <w:rFonts w:hint="eastAsia"/>
          <w:sz w:val="24"/>
          <w:szCs w:val="24"/>
        </w:rPr>
        <w:t>补充申请</w:t>
      </w:r>
      <w:r w:rsidR="00C00292" w:rsidRPr="00FA0DD1">
        <w:rPr>
          <w:rStyle w:val="af3"/>
          <w:sz w:val="24"/>
          <w:szCs w:val="24"/>
        </w:rPr>
        <w:t>，</w:t>
      </w:r>
      <w:r w:rsidR="00700943">
        <w:rPr>
          <w:rStyle w:val="af3"/>
          <w:rFonts w:hint="eastAsia"/>
          <w:i/>
          <w:iCs/>
          <w:sz w:val="24"/>
          <w:szCs w:val="24"/>
        </w:rPr>
        <w:t>微小</w:t>
      </w:r>
      <w:r w:rsidR="00C00292" w:rsidRPr="00FA0DD1">
        <w:rPr>
          <w:rStyle w:val="af3"/>
          <w:i/>
          <w:iCs/>
          <w:sz w:val="24"/>
          <w:szCs w:val="24"/>
        </w:rPr>
        <w:t>通知</w:t>
      </w:r>
      <w:r w:rsidR="00C00292" w:rsidRPr="00FA0DD1">
        <w:rPr>
          <w:rStyle w:val="af3"/>
          <w:sz w:val="24"/>
          <w:szCs w:val="24"/>
        </w:rPr>
        <w:t>指</w:t>
      </w:r>
      <w:r w:rsidR="00B11AC5">
        <w:rPr>
          <w:rStyle w:val="af3"/>
          <w:rFonts w:hint="eastAsia"/>
          <w:sz w:val="24"/>
          <w:szCs w:val="24"/>
        </w:rPr>
        <w:t>即时</w:t>
      </w:r>
      <w:r w:rsidR="00C1394C">
        <w:rPr>
          <w:rStyle w:val="af3"/>
          <w:rFonts w:hint="eastAsia"/>
          <w:sz w:val="24"/>
          <w:szCs w:val="24"/>
        </w:rPr>
        <w:t>生效</w:t>
      </w:r>
      <w:r w:rsidR="007E5625">
        <w:rPr>
          <w:rStyle w:val="af3"/>
          <w:rFonts w:hint="eastAsia"/>
          <w:sz w:val="24"/>
          <w:szCs w:val="24"/>
        </w:rPr>
        <w:t>变更</w:t>
      </w:r>
      <w:r w:rsidR="00C00292" w:rsidRPr="00FA0DD1">
        <w:rPr>
          <w:rStyle w:val="af3"/>
          <w:sz w:val="24"/>
          <w:szCs w:val="24"/>
        </w:rPr>
        <w:t>补充</w:t>
      </w:r>
      <w:r w:rsidR="00C1394C">
        <w:rPr>
          <w:rStyle w:val="af3"/>
          <w:rFonts w:hint="eastAsia"/>
          <w:sz w:val="24"/>
          <w:szCs w:val="24"/>
        </w:rPr>
        <w:t>申请</w:t>
      </w:r>
      <w:r w:rsidR="00C00292" w:rsidRPr="00FA0DD1">
        <w:rPr>
          <w:rStyle w:val="af3"/>
          <w:sz w:val="24"/>
          <w:szCs w:val="24"/>
        </w:rPr>
        <w:t>或年度报告。</w:t>
      </w:r>
      <w:r w:rsidR="00C00292" w:rsidRPr="00FA0DD1">
        <w:rPr>
          <w:rStyle w:val="af2"/>
          <w:rFonts w:ascii="Times New Roman" w:hAnsi="Times New Roman" w:cs="Times New Roman"/>
          <w:sz w:val="24"/>
          <w:szCs w:val="24"/>
        </w:rPr>
        <w:footnoteReference w:id="5"/>
      </w:r>
      <w:r w:rsidR="00C00292" w:rsidRPr="00FA0DD1">
        <w:rPr>
          <w:rStyle w:val="af3"/>
          <w:sz w:val="24"/>
          <w:szCs w:val="24"/>
        </w:rPr>
        <w:t>正如</w:t>
      </w:r>
      <w:r>
        <w:rPr>
          <w:rStyle w:val="af3"/>
          <w:sz w:val="24"/>
          <w:szCs w:val="24"/>
        </w:rPr>
        <w:t xml:space="preserve">ICH </w:t>
      </w:r>
      <w:r w:rsidR="00C00292" w:rsidRPr="00FA0DD1">
        <w:rPr>
          <w:rStyle w:val="af3"/>
          <w:sz w:val="24"/>
          <w:szCs w:val="24"/>
        </w:rPr>
        <w:t>Q12</w:t>
      </w:r>
      <w:r w:rsidR="00C00292" w:rsidRPr="00FA0DD1">
        <w:rPr>
          <w:rStyle w:val="af3"/>
          <w:sz w:val="24"/>
          <w:szCs w:val="24"/>
        </w:rPr>
        <w:t>所述，最低风险的变更在药品质量体系（</w:t>
      </w:r>
      <w:r w:rsidR="00C00292" w:rsidRPr="00FA0DD1">
        <w:rPr>
          <w:rStyle w:val="af3"/>
          <w:sz w:val="24"/>
          <w:szCs w:val="24"/>
        </w:rPr>
        <w:t>PQS</w:t>
      </w:r>
      <w:r w:rsidR="00C00292" w:rsidRPr="00FA0DD1">
        <w:rPr>
          <w:rStyle w:val="af3"/>
          <w:sz w:val="24"/>
          <w:szCs w:val="24"/>
        </w:rPr>
        <w:t>）内进行管理和记录，无需报告，但可在</w:t>
      </w:r>
      <w:r w:rsidR="00DA570B">
        <w:rPr>
          <w:rStyle w:val="af3"/>
          <w:rFonts w:hint="eastAsia"/>
          <w:sz w:val="24"/>
          <w:szCs w:val="24"/>
        </w:rPr>
        <w:t>监督</w:t>
      </w:r>
      <w:r w:rsidR="00376744">
        <w:rPr>
          <w:rStyle w:val="af3"/>
          <w:rFonts w:hint="eastAsia"/>
          <w:sz w:val="24"/>
          <w:szCs w:val="24"/>
        </w:rPr>
        <w:t>检查</w:t>
      </w:r>
      <w:r w:rsidR="00C00292" w:rsidRPr="00FA0DD1">
        <w:rPr>
          <w:rStyle w:val="af3"/>
          <w:sz w:val="24"/>
          <w:szCs w:val="24"/>
        </w:rPr>
        <w:t>或其他检查期间进行验证。</w:t>
      </w:r>
    </w:p>
    <w:p w14:paraId="230C7974" w14:textId="004ED4F4" w:rsidR="00C00292" w:rsidRPr="00FA0DD1"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2910"/>
      <w:r w:rsidRPr="00FA0DD1">
        <w:rPr>
          <w:rFonts w:ascii="Times New Roman" w:hAnsi="Times New Roman" w:cs="Times New Roman"/>
          <w:b/>
          <w:bCs/>
          <w:sz w:val="24"/>
          <w:szCs w:val="24"/>
        </w:rPr>
        <w:t>C.</w:t>
      </w:r>
      <w:r w:rsidRPr="00FA0DD1">
        <w:rPr>
          <w:rFonts w:ascii="Times New Roman" w:hAnsi="Times New Roman" w:cs="Times New Roman"/>
          <w:b/>
          <w:bCs/>
          <w:sz w:val="24"/>
          <w:szCs w:val="24"/>
        </w:rPr>
        <w:tab/>
      </w:r>
      <w:bookmarkEnd w:id="6"/>
      <w:r w:rsidR="00565A44">
        <w:rPr>
          <w:rFonts w:ascii="Times New Roman" w:hAnsi="Times New Roman" w:cs="Times New Roman"/>
          <w:b/>
          <w:bCs/>
          <w:sz w:val="24"/>
          <w:szCs w:val="24"/>
        </w:rPr>
        <w:t>既定条件</w:t>
      </w:r>
    </w:p>
    <w:p w14:paraId="309C2A03" w14:textId="12AD04B7" w:rsidR="00C00292" w:rsidRPr="00FA0DD1" w:rsidRDefault="00C50D50" w:rsidP="00E8044B">
      <w:pPr>
        <w:spacing w:beforeLines="50" w:before="156" w:afterLines="50" w:after="156"/>
        <w:rPr>
          <w:rStyle w:val="af3"/>
          <w:sz w:val="24"/>
          <w:szCs w:val="24"/>
        </w:rPr>
      </w:pPr>
      <w:r>
        <w:rPr>
          <w:rStyle w:val="af3"/>
          <w:sz w:val="24"/>
          <w:szCs w:val="24"/>
        </w:rPr>
        <w:t xml:space="preserve">ICH </w:t>
      </w:r>
      <w:r w:rsidR="00C00292" w:rsidRPr="00FA0DD1">
        <w:rPr>
          <w:rStyle w:val="af3"/>
          <w:sz w:val="24"/>
          <w:szCs w:val="24"/>
        </w:rPr>
        <w:t>Q12</w:t>
      </w:r>
      <w:r w:rsidR="00C00292" w:rsidRPr="00FA0DD1">
        <w:rPr>
          <w:rStyle w:val="af3"/>
          <w:sz w:val="24"/>
          <w:szCs w:val="24"/>
        </w:rPr>
        <w:t>将</w:t>
      </w:r>
      <w:r w:rsidR="00565A44">
        <w:rPr>
          <w:rStyle w:val="af3"/>
          <w:sz w:val="24"/>
          <w:szCs w:val="24"/>
        </w:rPr>
        <w:t>既定条件</w:t>
      </w:r>
      <w:r w:rsidR="00C00292" w:rsidRPr="00FA0DD1">
        <w:rPr>
          <w:rStyle w:val="af3"/>
          <w:sz w:val="24"/>
          <w:szCs w:val="24"/>
        </w:rPr>
        <w:t>（</w:t>
      </w:r>
      <w:r w:rsidR="00C00292" w:rsidRPr="00FA0DD1">
        <w:rPr>
          <w:rStyle w:val="af3"/>
          <w:sz w:val="24"/>
          <w:szCs w:val="24"/>
        </w:rPr>
        <w:t>EC</w:t>
      </w:r>
      <w:r w:rsidR="00C00292" w:rsidRPr="00FA0DD1">
        <w:rPr>
          <w:rStyle w:val="af3"/>
          <w:sz w:val="24"/>
          <w:szCs w:val="24"/>
        </w:rPr>
        <w:t>）定义为确保产品质量所必需的具有法律约束力的信息。因此，对</w:t>
      </w:r>
      <w:r w:rsidR="00565A44">
        <w:rPr>
          <w:rStyle w:val="af3"/>
          <w:sz w:val="24"/>
          <w:szCs w:val="24"/>
        </w:rPr>
        <w:t>既定条件</w:t>
      </w:r>
      <w:r w:rsidR="00C00292" w:rsidRPr="00FA0DD1">
        <w:rPr>
          <w:rStyle w:val="af3"/>
          <w:sz w:val="24"/>
          <w:szCs w:val="24"/>
        </w:rPr>
        <w:t>的任何变更均需提交给</w:t>
      </w:r>
      <w:r w:rsidR="004670C4">
        <w:rPr>
          <w:rStyle w:val="af3"/>
          <w:sz w:val="24"/>
          <w:szCs w:val="24"/>
        </w:rPr>
        <w:t>FDA</w:t>
      </w:r>
      <w:r w:rsidR="00C00292" w:rsidRPr="00FA0DD1">
        <w:rPr>
          <w:rStyle w:val="af3"/>
          <w:sz w:val="24"/>
          <w:szCs w:val="24"/>
        </w:rPr>
        <w:t>。这与</w:t>
      </w:r>
      <w:r w:rsidR="00C00292" w:rsidRPr="00FA0DD1">
        <w:rPr>
          <w:rStyle w:val="af3"/>
          <w:sz w:val="24"/>
          <w:szCs w:val="24"/>
        </w:rPr>
        <w:t>FDA</w:t>
      </w:r>
      <w:r w:rsidR="00C00292" w:rsidRPr="00FA0DD1">
        <w:rPr>
          <w:rStyle w:val="af3"/>
          <w:sz w:val="24"/>
          <w:szCs w:val="24"/>
        </w:rPr>
        <w:t>在</w:t>
      </w:r>
      <w:r w:rsidR="00AA060A">
        <w:rPr>
          <w:rStyle w:val="af3"/>
          <w:sz w:val="24"/>
          <w:szCs w:val="24"/>
        </w:rPr>
        <w:t xml:space="preserve">21 CFR </w:t>
      </w:r>
      <w:r w:rsidR="00C00292" w:rsidRPr="00FA0DD1">
        <w:rPr>
          <w:rStyle w:val="af3"/>
          <w:sz w:val="24"/>
          <w:szCs w:val="24"/>
        </w:rPr>
        <w:t>314.70</w:t>
      </w:r>
      <w:r w:rsidR="00C00292" w:rsidRPr="00FA0DD1">
        <w:rPr>
          <w:rStyle w:val="af3"/>
          <w:sz w:val="24"/>
          <w:szCs w:val="24"/>
        </w:rPr>
        <w:t>（</w:t>
      </w:r>
      <w:r w:rsidR="00C00292" w:rsidRPr="00FA0DD1">
        <w:rPr>
          <w:rStyle w:val="af3"/>
          <w:sz w:val="24"/>
          <w:szCs w:val="24"/>
        </w:rPr>
        <w:t>a</w:t>
      </w:r>
      <w:r w:rsidR="00C00292" w:rsidRPr="00FA0DD1">
        <w:rPr>
          <w:rStyle w:val="af3"/>
          <w:sz w:val="24"/>
          <w:szCs w:val="24"/>
        </w:rPr>
        <w:t>）（</w:t>
      </w:r>
      <w:r w:rsidR="00C00292" w:rsidRPr="00FA0DD1">
        <w:rPr>
          <w:rStyle w:val="af3"/>
          <w:sz w:val="24"/>
          <w:szCs w:val="24"/>
        </w:rPr>
        <w:t>1</w:t>
      </w:r>
      <w:r w:rsidR="00C00292" w:rsidRPr="00FA0DD1">
        <w:rPr>
          <w:rStyle w:val="af3"/>
          <w:sz w:val="24"/>
          <w:szCs w:val="24"/>
        </w:rPr>
        <w:t>）（</w:t>
      </w:r>
      <w:proofErr w:type="spellStart"/>
      <w:r w:rsidR="00C00292" w:rsidRPr="00FA0DD1">
        <w:rPr>
          <w:rStyle w:val="af3"/>
          <w:sz w:val="24"/>
          <w:szCs w:val="24"/>
        </w:rPr>
        <w:t>i</w:t>
      </w:r>
      <w:proofErr w:type="spellEnd"/>
      <w:r w:rsidR="00C00292" w:rsidRPr="00FA0DD1">
        <w:rPr>
          <w:rStyle w:val="af3"/>
          <w:sz w:val="24"/>
          <w:szCs w:val="24"/>
        </w:rPr>
        <w:t>）、</w:t>
      </w:r>
      <w:r w:rsidR="00C00292" w:rsidRPr="00FA0DD1">
        <w:rPr>
          <w:rStyle w:val="af3"/>
          <w:sz w:val="24"/>
          <w:szCs w:val="24"/>
        </w:rPr>
        <w:t>314.97</w:t>
      </w:r>
      <w:r w:rsidR="00C00292" w:rsidRPr="00FA0DD1">
        <w:rPr>
          <w:rStyle w:val="af3"/>
          <w:sz w:val="24"/>
          <w:szCs w:val="24"/>
        </w:rPr>
        <w:t>（</w:t>
      </w:r>
      <w:r w:rsidR="00C00292" w:rsidRPr="00FA0DD1">
        <w:rPr>
          <w:rStyle w:val="af3"/>
          <w:sz w:val="24"/>
          <w:szCs w:val="24"/>
        </w:rPr>
        <w:t>a</w:t>
      </w:r>
      <w:r w:rsidR="00C00292" w:rsidRPr="00FA0DD1">
        <w:rPr>
          <w:rStyle w:val="af3"/>
          <w:sz w:val="24"/>
          <w:szCs w:val="24"/>
        </w:rPr>
        <w:t>）和</w:t>
      </w:r>
      <w:r w:rsidR="00C00292" w:rsidRPr="00FA0DD1">
        <w:rPr>
          <w:rStyle w:val="af3"/>
          <w:sz w:val="24"/>
          <w:szCs w:val="24"/>
        </w:rPr>
        <w:t>601.12</w:t>
      </w:r>
      <w:r w:rsidR="00C00292" w:rsidRPr="00FA0DD1">
        <w:rPr>
          <w:rStyle w:val="af3"/>
          <w:sz w:val="24"/>
          <w:szCs w:val="24"/>
        </w:rPr>
        <w:t>（</w:t>
      </w:r>
      <w:r w:rsidR="00C00292" w:rsidRPr="00FA0DD1">
        <w:rPr>
          <w:rStyle w:val="af3"/>
          <w:sz w:val="24"/>
          <w:szCs w:val="24"/>
        </w:rPr>
        <w:t>a</w:t>
      </w:r>
      <w:r w:rsidR="00C00292" w:rsidRPr="00FA0DD1">
        <w:rPr>
          <w:rStyle w:val="af3"/>
          <w:sz w:val="24"/>
          <w:szCs w:val="24"/>
        </w:rPr>
        <w:t>）（</w:t>
      </w:r>
      <w:r w:rsidR="00C00292" w:rsidRPr="00FA0DD1">
        <w:rPr>
          <w:rStyle w:val="af3"/>
          <w:sz w:val="24"/>
          <w:szCs w:val="24"/>
        </w:rPr>
        <w:t>1</w:t>
      </w:r>
      <w:r w:rsidR="00C00292" w:rsidRPr="00FA0DD1">
        <w:rPr>
          <w:rStyle w:val="af3"/>
          <w:sz w:val="24"/>
          <w:szCs w:val="24"/>
        </w:rPr>
        <w:t>）中的规定一致。尽管该法规没有明确规定</w:t>
      </w:r>
      <w:r w:rsidR="00565A44">
        <w:rPr>
          <w:rStyle w:val="af3"/>
          <w:sz w:val="24"/>
          <w:szCs w:val="24"/>
        </w:rPr>
        <w:t>既定条件</w:t>
      </w:r>
      <w:r w:rsidR="00C00292" w:rsidRPr="00FA0DD1">
        <w:rPr>
          <w:rStyle w:val="af3"/>
          <w:sz w:val="24"/>
          <w:szCs w:val="24"/>
        </w:rPr>
        <w:t>的构成，但确实提出了一种基于风险的报告变更</w:t>
      </w:r>
      <w:r w:rsidR="00565A44">
        <w:rPr>
          <w:rStyle w:val="af3"/>
          <w:rFonts w:hint="eastAsia"/>
          <w:sz w:val="24"/>
          <w:szCs w:val="24"/>
        </w:rPr>
        <w:t>范例</w:t>
      </w:r>
      <w:r w:rsidR="00C00292" w:rsidRPr="00FA0DD1">
        <w:rPr>
          <w:rStyle w:val="af3"/>
          <w:sz w:val="24"/>
          <w:szCs w:val="24"/>
        </w:rPr>
        <w:t>。此外，现有的</w:t>
      </w:r>
      <w:r w:rsidR="00C00292" w:rsidRPr="00FA0DD1">
        <w:rPr>
          <w:rStyle w:val="af3"/>
          <w:sz w:val="24"/>
          <w:szCs w:val="24"/>
        </w:rPr>
        <w:t>FDA</w:t>
      </w:r>
      <w:r w:rsidR="00C00292" w:rsidRPr="00FA0DD1">
        <w:rPr>
          <w:rStyle w:val="af3"/>
          <w:sz w:val="24"/>
          <w:szCs w:val="24"/>
        </w:rPr>
        <w:t>指南文件描述了一系列广泛的批准后变更，</w:t>
      </w:r>
      <w:proofErr w:type="gramStart"/>
      <w:r w:rsidR="00C00292" w:rsidRPr="00FA0DD1">
        <w:rPr>
          <w:rStyle w:val="af3"/>
          <w:sz w:val="24"/>
          <w:szCs w:val="24"/>
        </w:rPr>
        <w:t>并关于</w:t>
      </w:r>
      <w:proofErr w:type="gramEnd"/>
      <w:r w:rsidR="00C00292" w:rsidRPr="00FA0DD1">
        <w:rPr>
          <w:rStyle w:val="af3"/>
          <w:sz w:val="24"/>
          <w:szCs w:val="24"/>
        </w:rPr>
        <w:t>如何报告变更提出了建议。</w:t>
      </w:r>
      <w:r w:rsidR="00C00292" w:rsidRPr="00FA0DD1">
        <w:rPr>
          <w:rStyle w:val="af2"/>
          <w:rFonts w:ascii="Times New Roman" w:hAnsi="Times New Roman" w:cs="Times New Roman"/>
          <w:sz w:val="24"/>
          <w:szCs w:val="24"/>
        </w:rPr>
        <w:footnoteReference w:id="6"/>
      </w:r>
      <w:r w:rsidR="00C00292" w:rsidRPr="00FA0DD1">
        <w:rPr>
          <w:rStyle w:val="af3"/>
          <w:sz w:val="24"/>
          <w:szCs w:val="24"/>
        </w:rPr>
        <w:t>法规中规定的基于风险的</w:t>
      </w:r>
      <w:r w:rsidR="00565A44">
        <w:rPr>
          <w:rStyle w:val="af3"/>
          <w:rFonts w:hint="eastAsia"/>
          <w:sz w:val="24"/>
          <w:szCs w:val="24"/>
        </w:rPr>
        <w:t>范例</w:t>
      </w:r>
      <w:r w:rsidR="00C00292" w:rsidRPr="00FA0DD1">
        <w:rPr>
          <w:rStyle w:val="af3"/>
          <w:sz w:val="24"/>
          <w:szCs w:val="24"/>
        </w:rPr>
        <w:t>以及相关指南文件中的建议可帮助申请人确定</w:t>
      </w:r>
      <w:r w:rsidR="00565A44" w:rsidRPr="00FA0DD1">
        <w:rPr>
          <w:rStyle w:val="af3"/>
          <w:sz w:val="24"/>
          <w:szCs w:val="24"/>
        </w:rPr>
        <w:t>通常</w:t>
      </w:r>
      <w:r w:rsidR="00565A44">
        <w:rPr>
          <w:rStyle w:val="af3"/>
          <w:rFonts w:hint="eastAsia"/>
          <w:sz w:val="24"/>
          <w:szCs w:val="24"/>
        </w:rPr>
        <w:t>被</w:t>
      </w:r>
      <w:r w:rsidR="00C00292" w:rsidRPr="00FA0DD1">
        <w:rPr>
          <w:rStyle w:val="af3"/>
          <w:sz w:val="24"/>
          <w:szCs w:val="24"/>
        </w:rPr>
        <w:t>FDA</w:t>
      </w:r>
      <w:r w:rsidR="00C00292" w:rsidRPr="00FA0DD1">
        <w:rPr>
          <w:rStyle w:val="af3"/>
          <w:sz w:val="24"/>
          <w:szCs w:val="24"/>
        </w:rPr>
        <w:t>视为</w:t>
      </w:r>
      <w:r w:rsidR="00565A44">
        <w:rPr>
          <w:rStyle w:val="af3"/>
          <w:sz w:val="24"/>
          <w:szCs w:val="24"/>
        </w:rPr>
        <w:t>既定条件</w:t>
      </w:r>
      <w:r w:rsidR="00C00292" w:rsidRPr="00FA0DD1">
        <w:rPr>
          <w:rStyle w:val="af3"/>
          <w:sz w:val="24"/>
          <w:szCs w:val="24"/>
        </w:rPr>
        <w:t>的申请要素。</w:t>
      </w:r>
      <w:r>
        <w:rPr>
          <w:rStyle w:val="af3"/>
          <w:sz w:val="24"/>
          <w:szCs w:val="24"/>
        </w:rPr>
        <w:t xml:space="preserve">ICH </w:t>
      </w:r>
      <w:r w:rsidR="00C00292" w:rsidRPr="00FA0DD1">
        <w:rPr>
          <w:rStyle w:val="af3"/>
          <w:sz w:val="24"/>
          <w:szCs w:val="24"/>
        </w:rPr>
        <w:t>Q12</w:t>
      </w:r>
      <w:r w:rsidR="00C00292" w:rsidRPr="00FA0DD1">
        <w:rPr>
          <w:rStyle w:val="af3"/>
          <w:sz w:val="24"/>
          <w:szCs w:val="24"/>
        </w:rPr>
        <w:t>进一步帮助申请人明确其申请中被视为</w:t>
      </w:r>
      <w:r w:rsidR="00565A44">
        <w:rPr>
          <w:rStyle w:val="af3"/>
          <w:sz w:val="24"/>
          <w:szCs w:val="24"/>
        </w:rPr>
        <w:t>既定条件</w:t>
      </w:r>
      <w:r w:rsidR="00565A44">
        <w:rPr>
          <w:rStyle w:val="af3"/>
          <w:rFonts w:hint="eastAsia"/>
          <w:sz w:val="24"/>
          <w:szCs w:val="24"/>
        </w:rPr>
        <w:t>的</w:t>
      </w:r>
      <w:r w:rsidR="00C00292" w:rsidRPr="00FA0DD1">
        <w:rPr>
          <w:rStyle w:val="af3"/>
          <w:sz w:val="24"/>
          <w:szCs w:val="24"/>
        </w:rPr>
        <w:t>产品、制造过程、设施和设备以及控制策略的要素，因此如果发生</w:t>
      </w:r>
      <w:r w:rsidR="00565A44">
        <w:rPr>
          <w:rStyle w:val="af3"/>
          <w:rFonts w:hint="eastAsia"/>
          <w:sz w:val="24"/>
          <w:szCs w:val="24"/>
        </w:rPr>
        <w:t>这些要素的</w:t>
      </w:r>
      <w:r w:rsidR="00C00292" w:rsidRPr="00FA0DD1">
        <w:rPr>
          <w:rStyle w:val="af3"/>
          <w:sz w:val="24"/>
          <w:szCs w:val="24"/>
        </w:rPr>
        <w:t>变更则需要报告。</w:t>
      </w:r>
    </w:p>
    <w:p w14:paraId="72048AE1" w14:textId="77777777" w:rsidR="001F6146" w:rsidRDefault="001F6146">
      <w:pPr>
        <w:widowControl/>
        <w:jc w:val="left"/>
        <w:rPr>
          <w:rStyle w:val="af3"/>
        </w:rPr>
      </w:pPr>
      <w:r>
        <w:rPr>
          <w:rStyle w:val="af3"/>
        </w:rPr>
        <w:br w:type="page"/>
      </w:r>
    </w:p>
    <w:p w14:paraId="3350D91E" w14:textId="4AD87445" w:rsidR="00C00292" w:rsidRPr="00FA0DD1" w:rsidRDefault="00C00292" w:rsidP="00E8044B">
      <w:pPr>
        <w:spacing w:beforeLines="50" w:before="156" w:afterLines="50" w:after="156"/>
        <w:rPr>
          <w:rStyle w:val="af3"/>
          <w:sz w:val="24"/>
          <w:szCs w:val="24"/>
        </w:rPr>
      </w:pPr>
      <w:r w:rsidRPr="00FA0DD1">
        <w:rPr>
          <w:rStyle w:val="af3"/>
          <w:sz w:val="24"/>
          <w:szCs w:val="24"/>
        </w:rPr>
        <w:lastRenderedPageBreak/>
        <w:t>根据法规中规定的基于风险的</w:t>
      </w:r>
      <w:r w:rsidR="00565A44">
        <w:rPr>
          <w:rStyle w:val="af3"/>
          <w:rFonts w:hint="eastAsia"/>
          <w:sz w:val="24"/>
          <w:szCs w:val="24"/>
        </w:rPr>
        <w:t>范例</w:t>
      </w:r>
      <w:r w:rsidRPr="00FA0DD1">
        <w:rPr>
          <w:rStyle w:val="af3"/>
          <w:sz w:val="24"/>
          <w:szCs w:val="24"/>
        </w:rPr>
        <w:t>，提议被视为</w:t>
      </w:r>
      <w:r w:rsidR="00565A44">
        <w:rPr>
          <w:rStyle w:val="af3"/>
          <w:sz w:val="24"/>
          <w:szCs w:val="24"/>
        </w:rPr>
        <w:t>既定条件</w:t>
      </w:r>
      <w:r w:rsidRPr="00FA0DD1">
        <w:rPr>
          <w:rStyle w:val="af3"/>
          <w:sz w:val="24"/>
          <w:szCs w:val="24"/>
        </w:rPr>
        <w:t>要素可能不同于</w:t>
      </w:r>
      <w:r w:rsidRPr="00FA0DD1">
        <w:rPr>
          <w:rStyle w:val="af3"/>
          <w:sz w:val="24"/>
          <w:szCs w:val="24"/>
        </w:rPr>
        <w:t>FDA</w:t>
      </w:r>
      <w:r w:rsidRPr="00FA0DD1">
        <w:rPr>
          <w:rStyle w:val="af3"/>
          <w:sz w:val="24"/>
          <w:szCs w:val="24"/>
        </w:rPr>
        <w:t>通常视为</w:t>
      </w:r>
      <w:r w:rsidR="00565A44">
        <w:rPr>
          <w:rStyle w:val="af3"/>
          <w:sz w:val="24"/>
          <w:szCs w:val="24"/>
        </w:rPr>
        <w:t>既定条件</w:t>
      </w:r>
      <w:r w:rsidRPr="00FA0DD1">
        <w:rPr>
          <w:rStyle w:val="af3"/>
          <w:sz w:val="24"/>
          <w:szCs w:val="24"/>
        </w:rPr>
        <w:t>要素，并且指南中包含的建议是自愿的。申请人可在其初始申请书或事先批准</w:t>
      </w:r>
      <w:r w:rsidR="00C63D05">
        <w:rPr>
          <w:rStyle w:val="af3"/>
          <w:sz w:val="24"/>
          <w:szCs w:val="24"/>
        </w:rPr>
        <w:t>补充申请</w:t>
      </w:r>
      <w:r w:rsidRPr="00FA0DD1">
        <w:rPr>
          <w:rStyle w:val="af3"/>
          <w:sz w:val="24"/>
          <w:szCs w:val="24"/>
        </w:rPr>
        <w:t>中提出</w:t>
      </w:r>
      <w:r w:rsidR="00565A44">
        <w:rPr>
          <w:rStyle w:val="af3"/>
          <w:sz w:val="24"/>
          <w:szCs w:val="24"/>
        </w:rPr>
        <w:t>既定条件</w:t>
      </w:r>
      <w:r w:rsidRPr="00FA0DD1">
        <w:rPr>
          <w:rStyle w:val="af3"/>
          <w:sz w:val="24"/>
          <w:szCs w:val="24"/>
        </w:rPr>
        <w:t>。</w:t>
      </w:r>
      <w:r w:rsidRPr="00FA0DD1">
        <w:rPr>
          <w:rStyle w:val="af2"/>
          <w:rFonts w:ascii="Times New Roman" w:hAnsi="Times New Roman" w:cs="Times New Roman"/>
          <w:sz w:val="24"/>
          <w:szCs w:val="24"/>
        </w:rPr>
        <w:footnoteReference w:id="7"/>
      </w:r>
      <w:r w:rsidRPr="00FA0DD1">
        <w:rPr>
          <w:rStyle w:val="af3"/>
          <w:sz w:val="24"/>
          <w:szCs w:val="24"/>
        </w:rPr>
        <w:t>如果没有提出特定</w:t>
      </w:r>
      <w:r w:rsidR="00565A44">
        <w:rPr>
          <w:rStyle w:val="af3"/>
          <w:sz w:val="24"/>
          <w:szCs w:val="24"/>
        </w:rPr>
        <w:t>既定条件</w:t>
      </w:r>
      <w:r w:rsidRPr="00FA0DD1">
        <w:rPr>
          <w:rStyle w:val="af3"/>
          <w:sz w:val="24"/>
          <w:szCs w:val="24"/>
        </w:rPr>
        <w:t>，则</w:t>
      </w:r>
      <w:r w:rsidR="00C63D05" w:rsidRPr="00FA0DD1">
        <w:rPr>
          <w:rStyle w:val="af3"/>
          <w:sz w:val="24"/>
          <w:szCs w:val="24"/>
        </w:rPr>
        <w:t>FDA</w:t>
      </w:r>
      <w:r w:rsidRPr="00FA0DD1">
        <w:rPr>
          <w:rStyle w:val="af3"/>
          <w:sz w:val="24"/>
          <w:szCs w:val="24"/>
        </w:rPr>
        <w:t>根据法规中规定的基于风险的</w:t>
      </w:r>
      <w:r w:rsidR="00565A44">
        <w:rPr>
          <w:rStyle w:val="af3"/>
          <w:rFonts w:hint="eastAsia"/>
          <w:sz w:val="24"/>
          <w:szCs w:val="24"/>
        </w:rPr>
        <w:t>范例</w:t>
      </w:r>
      <w:r w:rsidRPr="00FA0DD1">
        <w:rPr>
          <w:rStyle w:val="af3"/>
          <w:sz w:val="24"/>
          <w:szCs w:val="24"/>
        </w:rPr>
        <w:t>和批准后变更指南中的建议，</w:t>
      </w:r>
      <w:r w:rsidR="00C63D05">
        <w:rPr>
          <w:rStyle w:val="af3"/>
          <w:rFonts w:hint="eastAsia"/>
          <w:sz w:val="24"/>
          <w:szCs w:val="24"/>
        </w:rPr>
        <w:t>来考虑</w:t>
      </w:r>
      <w:r w:rsidRPr="00FA0DD1">
        <w:rPr>
          <w:rStyle w:val="af3"/>
          <w:sz w:val="24"/>
          <w:szCs w:val="24"/>
        </w:rPr>
        <w:t>通常认为的</w:t>
      </w:r>
      <w:r w:rsidR="00565A44">
        <w:rPr>
          <w:rStyle w:val="af3"/>
          <w:sz w:val="24"/>
          <w:szCs w:val="24"/>
        </w:rPr>
        <w:t>既定条件</w:t>
      </w:r>
      <w:r w:rsidRPr="00FA0DD1">
        <w:rPr>
          <w:rStyle w:val="af3"/>
          <w:sz w:val="24"/>
          <w:szCs w:val="24"/>
        </w:rPr>
        <w:t>。</w:t>
      </w:r>
    </w:p>
    <w:p w14:paraId="3FA625A5" w14:textId="5C0692D8" w:rsidR="00C00292" w:rsidRPr="00FA0DD1" w:rsidRDefault="00C00292" w:rsidP="00E8044B">
      <w:pPr>
        <w:spacing w:beforeLines="50" w:before="156" w:afterLines="50" w:after="156"/>
        <w:rPr>
          <w:rStyle w:val="af3"/>
          <w:sz w:val="24"/>
          <w:szCs w:val="24"/>
        </w:rPr>
      </w:pPr>
      <w:r w:rsidRPr="00FA0DD1">
        <w:rPr>
          <w:rStyle w:val="af3"/>
          <w:sz w:val="24"/>
          <w:szCs w:val="24"/>
        </w:rPr>
        <w:t>申请者还可提议</w:t>
      </w:r>
      <w:r w:rsidR="00565A44">
        <w:rPr>
          <w:rStyle w:val="af3"/>
          <w:sz w:val="24"/>
          <w:szCs w:val="24"/>
        </w:rPr>
        <w:t>既定条件</w:t>
      </w:r>
      <w:r w:rsidRPr="00FA0DD1">
        <w:rPr>
          <w:rStyle w:val="af3"/>
          <w:sz w:val="24"/>
          <w:szCs w:val="24"/>
        </w:rPr>
        <w:t>变更的报告类别。提议的报告类别可能与法规中规定的基于风险的</w:t>
      </w:r>
      <w:r w:rsidR="00565A44">
        <w:rPr>
          <w:rStyle w:val="af3"/>
          <w:rFonts w:hint="eastAsia"/>
          <w:sz w:val="24"/>
          <w:szCs w:val="24"/>
        </w:rPr>
        <w:t>范例</w:t>
      </w:r>
      <w:r w:rsidRPr="00FA0DD1">
        <w:rPr>
          <w:rStyle w:val="af3"/>
          <w:sz w:val="24"/>
          <w:szCs w:val="24"/>
        </w:rPr>
        <w:t>和指南中的建议一致。或者，加深</w:t>
      </w:r>
      <w:r w:rsidR="00565A44">
        <w:rPr>
          <w:rStyle w:val="af3"/>
          <w:sz w:val="24"/>
          <w:szCs w:val="24"/>
        </w:rPr>
        <w:t>既定条件</w:t>
      </w:r>
      <w:r w:rsidRPr="00FA0DD1">
        <w:rPr>
          <w:rStyle w:val="af3"/>
          <w:sz w:val="24"/>
          <w:szCs w:val="24"/>
        </w:rPr>
        <w:t>变更对产品质量造成风险的了解可能会支持减少报告类别的提议。</w:t>
      </w:r>
    </w:p>
    <w:p w14:paraId="63FF0B4C" w14:textId="033C55DF" w:rsidR="00C00292" w:rsidRPr="00FA0DD1" w:rsidRDefault="00C00292" w:rsidP="00E8044B">
      <w:pPr>
        <w:spacing w:beforeLines="50" w:before="156" w:afterLines="50" w:after="156"/>
        <w:ind w:leftChars="539" w:left="1617" w:hangingChars="202" w:hanging="485"/>
        <w:outlineLvl w:val="2"/>
        <w:rPr>
          <w:rStyle w:val="af3"/>
          <w:i/>
          <w:sz w:val="24"/>
          <w:szCs w:val="24"/>
        </w:rPr>
      </w:pPr>
      <w:bookmarkStart w:id="7" w:name="_Toc97322911"/>
      <w:r w:rsidRPr="00FA0DD1">
        <w:rPr>
          <w:rStyle w:val="af3"/>
          <w:i/>
          <w:iCs/>
          <w:sz w:val="24"/>
          <w:szCs w:val="24"/>
        </w:rPr>
        <w:t>1.</w:t>
      </w:r>
      <w:r w:rsidRPr="00FA0DD1">
        <w:rPr>
          <w:rStyle w:val="af3"/>
          <w:i/>
          <w:iCs/>
          <w:sz w:val="24"/>
          <w:szCs w:val="24"/>
        </w:rPr>
        <w:tab/>
      </w:r>
      <w:r w:rsidRPr="00FA0DD1">
        <w:rPr>
          <w:rStyle w:val="af3"/>
          <w:i/>
          <w:iCs/>
          <w:sz w:val="24"/>
          <w:szCs w:val="24"/>
        </w:rPr>
        <w:t>提交</w:t>
      </w:r>
      <w:bookmarkEnd w:id="7"/>
      <w:r w:rsidR="00565A44">
        <w:rPr>
          <w:rStyle w:val="af3"/>
          <w:i/>
          <w:iCs/>
          <w:sz w:val="24"/>
          <w:szCs w:val="24"/>
        </w:rPr>
        <w:t>既定条件</w:t>
      </w:r>
    </w:p>
    <w:p w14:paraId="4A615314" w14:textId="1AC6A6E2" w:rsidR="00C00292" w:rsidRPr="00FA0DD1" w:rsidRDefault="00C00292" w:rsidP="00E8044B">
      <w:pPr>
        <w:spacing w:beforeLines="50" w:before="156" w:afterLines="50" w:after="156"/>
        <w:rPr>
          <w:rStyle w:val="af3"/>
          <w:sz w:val="24"/>
          <w:szCs w:val="24"/>
        </w:rPr>
      </w:pPr>
      <w:r w:rsidRPr="00FA0DD1">
        <w:rPr>
          <w:rStyle w:val="af3"/>
          <w:sz w:val="24"/>
          <w:szCs w:val="24"/>
        </w:rPr>
        <w:t>为确保在提交初始</w:t>
      </w:r>
      <w:r w:rsidRPr="00FA0DD1">
        <w:rPr>
          <w:rStyle w:val="af3"/>
          <w:sz w:val="24"/>
          <w:szCs w:val="24"/>
        </w:rPr>
        <w:t>NDA</w:t>
      </w:r>
      <w:r w:rsidRPr="00FA0DD1">
        <w:rPr>
          <w:rStyle w:val="af3"/>
          <w:sz w:val="24"/>
          <w:szCs w:val="24"/>
        </w:rPr>
        <w:t>、</w:t>
      </w:r>
      <w:r w:rsidRPr="00FA0DD1">
        <w:rPr>
          <w:rStyle w:val="af3"/>
          <w:sz w:val="24"/>
          <w:szCs w:val="24"/>
        </w:rPr>
        <w:t>BLA</w:t>
      </w:r>
      <w:r w:rsidRPr="00FA0DD1">
        <w:rPr>
          <w:rStyle w:val="af3"/>
          <w:sz w:val="24"/>
          <w:szCs w:val="24"/>
        </w:rPr>
        <w:t>或</w:t>
      </w:r>
      <w:r w:rsidRPr="00FA0DD1">
        <w:rPr>
          <w:rStyle w:val="af3"/>
          <w:sz w:val="24"/>
          <w:szCs w:val="24"/>
        </w:rPr>
        <w:t>ANDA</w:t>
      </w:r>
      <w:r w:rsidRPr="00FA0DD1">
        <w:rPr>
          <w:rStyle w:val="af3"/>
          <w:sz w:val="24"/>
          <w:szCs w:val="24"/>
        </w:rPr>
        <w:t>时明确</w:t>
      </w:r>
      <w:r w:rsidR="00C63D05">
        <w:rPr>
          <w:rStyle w:val="af3"/>
          <w:rFonts w:hint="eastAsia"/>
          <w:sz w:val="24"/>
          <w:szCs w:val="24"/>
        </w:rPr>
        <w:t>清晰</w:t>
      </w:r>
      <w:r w:rsidRPr="00FA0DD1">
        <w:rPr>
          <w:rStyle w:val="af3"/>
          <w:sz w:val="24"/>
          <w:szCs w:val="24"/>
        </w:rPr>
        <w:t>，申请人应：</w:t>
      </w:r>
    </w:p>
    <w:p w14:paraId="12BCF265" w14:textId="51FCF801"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00CD4BF1">
        <w:rPr>
          <w:rStyle w:val="af3"/>
          <w:sz w:val="24"/>
          <w:szCs w:val="24"/>
        </w:rPr>
        <w:t>在</w:t>
      </w:r>
      <w:r w:rsidR="00C63D05">
        <w:rPr>
          <w:rStyle w:val="af3"/>
          <w:rFonts w:hint="eastAsia"/>
          <w:sz w:val="24"/>
          <w:szCs w:val="24"/>
        </w:rPr>
        <w:t>封面页</w:t>
      </w:r>
      <w:r w:rsidRPr="00FA0DD1">
        <w:rPr>
          <w:rStyle w:val="af3"/>
          <w:sz w:val="24"/>
          <w:szCs w:val="24"/>
        </w:rPr>
        <w:t>中包含以下陈述</w:t>
      </w:r>
      <w:r w:rsidRPr="00FA0DD1">
        <w:rPr>
          <w:rStyle w:val="af3"/>
          <w:b/>
          <w:bCs/>
          <w:sz w:val="24"/>
          <w:szCs w:val="24"/>
        </w:rPr>
        <w:t>之一</w:t>
      </w:r>
      <w:r w:rsidRPr="00FA0DD1">
        <w:rPr>
          <w:rStyle w:val="af3"/>
          <w:sz w:val="24"/>
          <w:szCs w:val="24"/>
        </w:rPr>
        <w:t>：</w:t>
      </w:r>
      <w:r w:rsidRPr="00FA0DD1">
        <w:rPr>
          <w:rStyle w:val="af3"/>
          <w:sz w:val="24"/>
          <w:szCs w:val="24"/>
        </w:rPr>
        <w:t xml:space="preserve"> </w:t>
      </w:r>
    </w:p>
    <w:p w14:paraId="75ABD525" w14:textId="70C31846" w:rsidR="00C00292" w:rsidRPr="00FA0DD1" w:rsidRDefault="00C00292"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sz w:val="24"/>
          <w:szCs w:val="24"/>
        </w:rPr>
        <w:t>提出</w:t>
      </w:r>
      <w:r w:rsidR="001936F9">
        <w:rPr>
          <w:rFonts w:hint="eastAsia"/>
          <w:sz w:val="24"/>
          <w:szCs w:val="24"/>
        </w:rPr>
        <w:t>特定</w:t>
      </w:r>
      <w:r w:rsidR="00565A44">
        <w:rPr>
          <w:sz w:val="24"/>
          <w:szCs w:val="24"/>
        </w:rPr>
        <w:t>既定条件</w:t>
      </w:r>
      <w:r w:rsidRPr="00FA0DD1">
        <w:rPr>
          <w:rStyle w:val="af3"/>
          <w:sz w:val="24"/>
          <w:szCs w:val="24"/>
        </w:rPr>
        <w:t>。</w:t>
      </w:r>
    </w:p>
    <w:p w14:paraId="5C1CDF15" w14:textId="07873470"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未提出</w:t>
      </w:r>
      <w:r w:rsidR="001936F9">
        <w:rPr>
          <w:rStyle w:val="af3"/>
          <w:rFonts w:hint="eastAsia"/>
          <w:sz w:val="24"/>
          <w:szCs w:val="24"/>
        </w:rPr>
        <w:t>特定</w:t>
      </w:r>
      <w:r w:rsidR="00565A44">
        <w:rPr>
          <w:rStyle w:val="af3"/>
          <w:sz w:val="24"/>
          <w:szCs w:val="24"/>
        </w:rPr>
        <w:t>既定条件</w:t>
      </w:r>
      <w:r w:rsidR="00C63D05">
        <w:rPr>
          <w:rStyle w:val="af3"/>
          <w:rFonts w:hint="eastAsia"/>
          <w:sz w:val="24"/>
          <w:szCs w:val="24"/>
        </w:rPr>
        <w:t>的</w:t>
      </w:r>
      <w:r w:rsidRPr="00FA0DD1">
        <w:rPr>
          <w:rStyle w:val="af3"/>
          <w:sz w:val="24"/>
          <w:szCs w:val="24"/>
        </w:rPr>
        <w:t>；批准后的变更将遵循法规和指南中的建议。</w:t>
      </w:r>
      <w:r w:rsidRPr="00FA0DD1">
        <w:rPr>
          <w:rStyle w:val="af2"/>
          <w:rFonts w:ascii="Times New Roman" w:hAnsi="Times New Roman" w:cs="Times New Roman"/>
          <w:sz w:val="24"/>
          <w:szCs w:val="24"/>
        </w:rPr>
        <w:footnoteReference w:id="8"/>
      </w:r>
    </w:p>
    <w:p w14:paraId="5AA6FF2B"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申请电子通用技术文档</w:t>
      </w:r>
      <w:r w:rsidR="001936F9">
        <w:rPr>
          <w:rStyle w:val="af3"/>
          <w:rFonts w:hint="eastAsia"/>
          <w:sz w:val="24"/>
          <w:szCs w:val="24"/>
        </w:rPr>
        <w:t>的</w:t>
      </w:r>
      <w:r w:rsidRPr="00FA0DD1">
        <w:rPr>
          <w:rStyle w:val="af3"/>
          <w:sz w:val="24"/>
          <w:szCs w:val="24"/>
        </w:rPr>
        <w:t>第</w:t>
      </w:r>
      <w:r w:rsidRPr="00FA0DD1">
        <w:rPr>
          <w:rStyle w:val="af3"/>
          <w:sz w:val="24"/>
          <w:szCs w:val="24"/>
        </w:rPr>
        <w:t>3.2.R</w:t>
      </w:r>
      <w:r w:rsidRPr="00FA0DD1">
        <w:rPr>
          <w:rStyle w:val="af3"/>
          <w:sz w:val="24"/>
          <w:szCs w:val="24"/>
        </w:rPr>
        <w:t>节中包含以下声明</w:t>
      </w:r>
      <w:r w:rsidRPr="00FA0DD1">
        <w:rPr>
          <w:rStyle w:val="af3"/>
          <w:b/>
          <w:bCs/>
          <w:sz w:val="24"/>
          <w:szCs w:val="24"/>
        </w:rPr>
        <w:t>之一</w:t>
      </w:r>
      <w:r w:rsidRPr="00FA0DD1">
        <w:rPr>
          <w:rStyle w:val="af2"/>
          <w:rFonts w:ascii="Times New Roman" w:hAnsi="Times New Roman" w:cs="Times New Roman"/>
          <w:sz w:val="24"/>
          <w:szCs w:val="24"/>
        </w:rPr>
        <w:footnoteReference w:id="9"/>
      </w:r>
      <w:r w:rsidRPr="00FA0DD1">
        <w:rPr>
          <w:rStyle w:val="af3"/>
          <w:sz w:val="24"/>
          <w:szCs w:val="24"/>
        </w:rPr>
        <w:t>：</w:t>
      </w:r>
    </w:p>
    <w:p w14:paraId="53980CF4" w14:textId="7ACA2040"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提出</w:t>
      </w:r>
      <w:r w:rsidR="001936F9">
        <w:rPr>
          <w:rStyle w:val="af3"/>
          <w:rFonts w:hint="eastAsia"/>
          <w:sz w:val="24"/>
          <w:szCs w:val="24"/>
        </w:rPr>
        <w:t>特定</w:t>
      </w:r>
      <w:r w:rsidR="00565A44">
        <w:rPr>
          <w:rStyle w:val="af3"/>
          <w:sz w:val="24"/>
          <w:szCs w:val="24"/>
        </w:rPr>
        <w:t>既定条件</w:t>
      </w:r>
      <w:r w:rsidRPr="00FA0DD1">
        <w:rPr>
          <w:rStyle w:val="af3"/>
          <w:sz w:val="24"/>
          <w:szCs w:val="24"/>
        </w:rPr>
        <w:t>。未提</w:t>
      </w:r>
      <w:r w:rsidRPr="00FA0DD1">
        <w:rPr>
          <w:rStyle w:val="af3"/>
          <w:rFonts w:hint="eastAsia"/>
          <w:sz w:val="24"/>
          <w:szCs w:val="24"/>
        </w:rPr>
        <w:t>议</w:t>
      </w:r>
      <w:r w:rsidR="001936F9">
        <w:rPr>
          <w:rStyle w:val="af3"/>
          <w:rFonts w:hint="eastAsia"/>
          <w:sz w:val="24"/>
          <w:szCs w:val="24"/>
        </w:rPr>
        <w:t>的，</w:t>
      </w:r>
      <w:r w:rsidRPr="00FA0DD1">
        <w:rPr>
          <w:rStyle w:val="af3"/>
          <w:sz w:val="24"/>
          <w:szCs w:val="24"/>
        </w:rPr>
        <w:t>对该</w:t>
      </w:r>
      <w:r w:rsidR="00565A44">
        <w:rPr>
          <w:rStyle w:val="af3"/>
          <w:sz w:val="24"/>
          <w:szCs w:val="24"/>
        </w:rPr>
        <w:t>既定条件</w:t>
      </w:r>
      <w:r w:rsidRPr="00FA0DD1">
        <w:rPr>
          <w:rStyle w:val="af3"/>
          <w:sz w:val="24"/>
          <w:szCs w:val="24"/>
        </w:rPr>
        <w:t>进行变更的具体报告类别将遵循法规和指南中的建议。</w:t>
      </w:r>
    </w:p>
    <w:p w14:paraId="0B35E1E8" w14:textId="77777777" w:rsidR="009630D0" w:rsidRDefault="009630D0">
      <w:pPr>
        <w:widowControl/>
        <w:jc w:val="left"/>
        <w:rPr>
          <w:rStyle w:val="af3"/>
        </w:rPr>
      </w:pPr>
      <w:r>
        <w:rPr>
          <w:rStyle w:val="af3"/>
        </w:rPr>
        <w:br w:type="page"/>
      </w:r>
    </w:p>
    <w:p w14:paraId="2D283F06" w14:textId="4FDF2593"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lastRenderedPageBreak/>
        <w:t>o</w:t>
      </w:r>
      <w:r w:rsidRPr="00FA0DD1">
        <w:rPr>
          <w:rStyle w:val="af3"/>
          <w:sz w:val="24"/>
          <w:szCs w:val="24"/>
        </w:rPr>
        <w:tab/>
      </w:r>
      <w:r w:rsidRPr="00FA0DD1">
        <w:rPr>
          <w:rStyle w:val="af3"/>
          <w:sz w:val="24"/>
          <w:szCs w:val="24"/>
        </w:rPr>
        <w:t>提出</w:t>
      </w:r>
      <w:r w:rsidRPr="00FA0DD1">
        <w:rPr>
          <w:rStyle w:val="af3"/>
          <w:rFonts w:hint="eastAsia"/>
          <w:sz w:val="24"/>
          <w:szCs w:val="24"/>
        </w:rPr>
        <w:t>特定</w:t>
      </w:r>
      <w:r w:rsidR="00565A44">
        <w:rPr>
          <w:rStyle w:val="af3"/>
          <w:sz w:val="24"/>
          <w:szCs w:val="24"/>
        </w:rPr>
        <w:t>既定条件</w:t>
      </w:r>
      <w:r w:rsidRPr="00FA0DD1">
        <w:rPr>
          <w:rStyle w:val="af3"/>
          <w:sz w:val="24"/>
          <w:szCs w:val="24"/>
        </w:rPr>
        <w:t>。对该</w:t>
      </w:r>
      <w:r w:rsidR="00565A44">
        <w:rPr>
          <w:rStyle w:val="af3"/>
          <w:sz w:val="24"/>
          <w:szCs w:val="24"/>
        </w:rPr>
        <w:t>既定条件</w:t>
      </w:r>
      <w:r w:rsidRPr="00FA0DD1">
        <w:rPr>
          <w:rStyle w:val="af3"/>
          <w:sz w:val="24"/>
          <w:szCs w:val="24"/>
        </w:rPr>
        <w:t>的变更提出了具体报告类别。</w:t>
      </w:r>
    </w:p>
    <w:p w14:paraId="7C06966D" w14:textId="3EB162F3"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未提出</w:t>
      </w:r>
      <w:r w:rsidRPr="00FA0DD1">
        <w:rPr>
          <w:rStyle w:val="af3"/>
          <w:rFonts w:hint="eastAsia"/>
          <w:sz w:val="24"/>
          <w:szCs w:val="24"/>
        </w:rPr>
        <w:t>特定</w:t>
      </w:r>
      <w:r w:rsidR="00565A44">
        <w:rPr>
          <w:rStyle w:val="af3"/>
          <w:sz w:val="24"/>
          <w:szCs w:val="24"/>
        </w:rPr>
        <w:t>既定条件</w:t>
      </w:r>
      <w:r w:rsidRPr="00FA0DD1">
        <w:rPr>
          <w:rStyle w:val="af3"/>
          <w:sz w:val="24"/>
          <w:szCs w:val="24"/>
        </w:rPr>
        <w:t>；批准后的变更将遵循法规和指南中的建议。</w:t>
      </w:r>
    </w:p>
    <w:p w14:paraId="23C5DE38" w14:textId="362DE95B" w:rsidR="00C00292" w:rsidRPr="00FA0DD1" w:rsidRDefault="00C00292" w:rsidP="00E8044B">
      <w:pPr>
        <w:spacing w:beforeLines="50" w:before="156" w:afterLines="50" w:after="156"/>
        <w:rPr>
          <w:rStyle w:val="af3"/>
          <w:sz w:val="24"/>
          <w:szCs w:val="24"/>
        </w:rPr>
      </w:pPr>
      <w:r w:rsidRPr="00FA0DD1">
        <w:rPr>
          <w:rStyle w:val="af3"/>
          <w:sz w:val="24"/>
          <w:szCs w:val="24"/>
        </w:rPr>
        <w:t>在事先批准中提议</w:t>
      </w:r>
      <w:r w:rsidR="00565A44">
        <w:rPr>
          <w:rStyle w:val="af3"/>
          <w:sz w:val="24"/>
          <w:szCs w:val="24"/>
        </w:rPr>
        <w:t>既定条件</w:t>
      </w:r>
      <w:r w:rsidRPr="00FA0DD1">
        <w:rPr>
          <w:rStyle w:val="af3"/>
          <w:sz w:val="24"/>
          <w:szCs w:val="24"/>
        </w:rPr>
        <w:t>时，申请人应：</w:t>
      </w:r>
    </w:p>
    <w:p w14:paraId="78EABF51" w14:textId="240B009A"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在</w:t>
      </w:r>
      <w:r w:rsidR="001936F9">
        <w:rPr>
          <w:rStyle w:val="af3"/>
          <w:rFonts w:hint="eastAsia"/>
          <w:sz w:val="24"/>
          <w:szCs w:val="24"/>
        </w:rPr>
        <w:t>封面页</w:t>
      </w:r>
      <w:r w:rsidRPr="00FA0DD1">
        <w:rPr>
          <w:rStyle w:val="af3"/>
          <w:sz w:val="24"/>
          <w:szCs w:val="24"/>
        </w:rPr>
        <w:t>中</w:t>
      </w:r>
      <w:r w:rsidR="001936F9">
        <w:rPr>
          <w:rStyle w:val="af3"/>
          <w:rFonts w:hint="eastAsia"/>
          <w:sz w:val="24"/>
          <w:szCs w:val="24"/>
        </w:rPr>
        <w:t>陈述</w:t>
      </w:r>
      <w:r w:rsidRPr="00FA0DD1">
        <w:rPr>
          <w:rStyle w:val="af3"/>
          <w:sz w:val="24"/>
          <w:szCs w:val="24"/>
        </w:rPr>
        <w:t>提议的</w:t>
      </w:r>
      <w:r w:rsidR="00565A44">
        <w:rPr>
          <w:rStyle w:val="af3"/>
          <w:sz w:val="24"/>
          <w:szCs w:val="24"/>
        </w:rPr>
        <w:t>既定条件</w:t>
      </w:r>
      <w:r w:rsidRPr="00FA0DD1">
        <w:rPr>
          <w:rStyle w:val="af3"/>
          <w:sz w:val="24"/>
          <w:szCs w:val="24"/>
        </w:rPr>
        <w:t>。</w:t>
      </w:r>
    </w:p>
    <w:p w14:paraId="60BA705F"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电子通用技术文档第</w:t>
      </w:r>
      <w:r w:rsidRPr="00FA0DD1">
        <w:rPr>
          <w:rStyle w:val="af3"/>
          <w:sz w:val="24"/>
          <w:szCs w:val="24"/>
        </w:rPr>
        <w:t>3.2.R</w:t>
      </w:r>
      <w:r w:rsidRPr="00FA0DD1">
        <w:rPr>
          <w:rStyle w:val="af3"/>
          <w:sz w:val="24"/>
          <w:szCs w:val="24"/>
        </w:rPr>
        <w:t>节中包含以下声明</w:t>
      </w:r>
      <w:r w:rsidRPr="00FA0DD1">
        <w:rPr>
          <w:rStyle w:val="af3"/>
          <w:b/>
          <w:bCs/>
          <w:sz w:val="24"/>
          <w:szCs w:val="24"/>
        </w:rPr>
        <w:t>之一</w:t>
      </w:r>
      <w:r w:rsidRPr="00FA0DD1">
        <w:rPr>
          <w:rStyle w:val="af3"/>
          <w:sz w:val="24"/>
          <w:szCs w:val="24"/>
        </w:rPr>
        <w:t>：</w:t>
      </w:r>
    </w:p>
    <w:p w14:paraId="6B75E6B8" w14:textId="2684B058"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提出特定</w:t>
      </w:r>
      <w:r w:rsidR="00565A44">
        <w:rPr>
          <w:rStyle w:val="af3"/>
          <w:sz w:val="24"/>
          <w:szCs w:val="24"/>
        </w:rPr>
        <w:t>既定条件</w:t>
      </w:r>
      <w:r w:rsidRPr="00FA0DD1">
        <w:rPr>
          <w:rStyle w:val="af3"/>
          <w:sz w:val="24"/>
          <w:szCs w:val="24"/>
        </w:rPr>
        <w:t>。未提议</w:t>
      </w:r>
      <w:r w:rsidR="004C46EA">
        <w:rPr>
          <w:rStyle w:val="af3"/>
          <w:rFonts w:hint="eastAsia"/>
          <w:sz w:val="24"/>
          <w:szCs w:val="24"/>
        </w:rPr>
        <w:t>的</w:t>
      </w:r>
      <w:r w:rsidR="00BF4A10">
        <w:rPr>
          <w:rStyle w:val="af3"/>
          <w:rFonts w:hint="eastAsia"/>
          <w:sz w:val="24"/>
          <w:szCs w:val="24"/>
        </w:rPr>
        <w:t>，</w:t>
      </w:r>
      <w:r w:rsidRPr="00FA0DD1">
        <w:rPr>
          <w:rStyle w:val="af3"/>
          <w:sz w:val="24"/>
          <w:szCs w:val="24"/>
        </w:rPr>
        <w:t>对该</w:t>
      </w:r>
      <w:r w:rsidR="00565A44">
        <w:rPr>
          <w:rStyle w:val="af3"/>
          <w:sz w:val="24"/>
          <w:szCs w:val="24"/>
        </w:rPr>
        <w:t>既定条件</w:t>
      </w:r>
      <w:r w:rsidRPr="00FA0DD1">
        <w:rPr>
          <w:rStyle w:val="af3"/>
          <w:sz w:val="24"/>
          <w:szCs w:val="24"/>
        </w:rPr>
        <w:t>进行变更的具体报告类别将遵循法规和指南中的建议。</w:t>
      </w:r>
    </w:p>
    <w:p w14:paraId="25210480" w14:textId="55296AF7"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提出特定</w:t>
      </w:r>
      <w:r w:rsidR="00565A44">
        <w:rPr>
          <w:rStyle w:val="af3"/>
          <w:sz w:val="24"/>
          <w:szCs w:val="24"/>
        </w:rPr>
        <w:t>既定条件</w:t>
      </w:r>
      <w:r w:rsidRPr="00FA0DD1">
        <w:rPr>
          <w:rStyle w:val="af3"/>
          <w:sz w:val="24"/>
          <w:szCs w:val="24"/>
        </w:rPr>
        <w:t>。对该</w:t>
      </w:r>
      <w:r w:rsidR="00565A44">
        <w:rPr>
          <w:rStyle w:val="af3"/>
          <w:sz w:val="24"/>
          <w:szCs w:val="24"/>
        </w:rPr>
        <w:t>既定条件</w:t>
      </w:r>
      <w:r w:rsidRPr="00FA0DD1">
        <w:rPr>
          <w:rStyle w:val="af3"/>
          <w:sz w:val="24"/>
          <w:szCs w:val="24"/>
        </w:rPr>
        <w:t>的变更提出了具体报告类别。</w:t>
      </w:r>
    </w:p>
    <w:p w14:paraId="7EB66C73" w14:textId="72871AA0" w:rsidR="00C00292" w:rsidRPr="00FA0DD1" w:rsidRDefault="00C00292" w:rsidP="00E8044B">
      <w:pPr>
        <w:spacing w:beforeLines="50" w:before="156" w:afterLines="50" w:after="156"/>
        <w:rPr>
          <w:rStyle w:val="af3"/>
          <w:sz w:val="24"/>
          <w:szCs w:val="24"/>
        </w:rPr>
      </w:pPr>
      <w:r w:rsidRPr="00FA0DD1">
        <w:rPr>
          <w:rStyle w:val="af3"/>
          <w:sz w:val="24"/>
          <w:szCs w:val="24"/>
        </w:rPr>
        <w:t>如果申请人选择提出特定</w:t>
      </w:r>
      <w:r w:rsidR="00565A44">
        <w:rPr>
          <w:rStyle w:val="af3"/>
          <w:sz w:val="24"/>
          <w:szCs w:val="24"/>
        </w:rPr>
        <w:t>既定条件</w:t>
      </w:r>
      <w:r w:rsidRPr="00FA0DD1">
        <w:rPr>
          <w:rStyle w:val="af3"/>
          <w:sz w:val="24"/>
          <w:szCs w:val="24"/>
        </w:rPr>
        <w:t>，可以为申请的整个</w:t>
      </w:r>
      <w:r w:rsidR="00097871">
        <w:rPr>
          <w:rStyle w:val="af3"/>
          <w:rFonts w:hint="eastAsia"/>
          <w:sz w:val="24"/>
          <w:szCs w:val="24"/>
        </w:rPr>
        <w:t>C</w:t>
      </w:r>
      <w:r w:rsidR="00097871">
        <w:rPr>
          <w:rStyle w:val="af3"/>
          <w:sz w:val="24"/>
          <w:szCs w:val="24"/>
        </w:rPr>
        <w:t>MC</w:t>
      </w:r>
      <w:r w:rsidRPr="00FA0DD1">
        <w:rPr>
          <w:rStyle w:val="af3"/>
          <w:sz w:val="24"/>
          <w:szCs w:val="24"/>
        </w:rPr>
        <w:t>部分（模块</w:t>
      </w:r>
      <w:r w:rsidRPr="00FA0DD1">
        <w:rPr>
          <w:rStyle w:val="af3"/>
          <w:sz w:val="24"/>
          <w:szCs w:val="24"/>
        </w:rPr>
        <w:t>3</w:t>
      </w:r>
      <w:r w:rsidRPr="00FA0DD1">
        <w:rPr>
          <w:rStyle w:val="af3"/>
          <w:sz w:val="24"/>
          <w:szCs w:val="24"/>
        </w:rPr>
        <w:t>：质量）或模块</w:t>
      </w:r>
      <w:r w:rsidRPr="00FA0DD1">
        <w:rPr>
          <w:rStyle w:val="af3"/>
          <w:sz w:val="24"/>
          <w:szCs w:val="24"/>
        </w:rPr>
        <w:t>3</w:t>
      </w:r>
      <w:r w:rsidRPr="00FA0DD1">
        <w:rPr>
          <w:rStyle w:val="af3"/>
          <w:sz w:val="24"/>
          <w:szCs w:val="24"/>
        </w:rPr>
        <w:t>中提供的信息子集（例如，电子通用技术文档第</w:t>
      </w:r>
      <w:r w:rsidRPr="00FA0DD1">
        <w:rPr>
          <w:rStyle w:val="af3"/>
          <w:sz w:val="24"/>
          <w:szCs w:val="24"/>
        </w:rPr>
        <w:t>3.2.S</w:t>
      </w:r>
      <w:r w:rsidRPr="00FA0DD1">
        <w:rPr>
          <w:rStyle w:val="af3"/>
          <w:sz w:val="24"/>
          <w:szCs w:val="24"/>
        </w:rPr>
        <w:t>条或电子通用技术文档第</w:t>
      </w:r>
      <w:r w:rsidRPr="00FA0DD1">
        <w:rPr>
          <w:rStyle w:val="af3"/>
          <w:sz w:val="24"/>
          <w:szCs w:val="24"/>
        </w:rPr>
        <w:t>3.2.P.3.3</w:t>
      </w:r>
      <w:r w:rsidRPr="00FA0DD1">
        <w:rPr>
          <w:rStyle w:val="af3"/>
          <w:sz w:val="24"/>
          <w:szCs w:val="24"/>
        </w:rPr>
        <w:t>条）提出</w:t>
      </w:r>
      <w:r w:rsidR="00565A44">
        <w:rPr>
          <w:rStyle w:val="af3"/>
          <w:sz w:val="24"/>
          <w:szCs w:val="24"/>
        </w:rPr>
        <w:t>既定条件</w:t>
      </w:r>
      <w:r w:rsidRPr="00FA0DD1">
        <w:rPr>
          <w:rStyle w:val="af3"/>
          <w:sz w:val="24"/>
          <w:szCs w:val="24"/>
        </w:rPr>
        <w:t>。如果提出一组有限的</w:t>
      </w:r>
      <w:r w:rsidR="00565A44">
        <w:rPr>
          <w:rStyle w:val="af3"/>
          <w:sz w:val="24"/>
          <w:szCs w:val="24"/>
        </w:rPr>
        <w:t>既定条件</w:t>
      </w:r>
      <w:r w:rsidRPr="00FA0DD1">
        <w:rPr>
          <w:rStyle w:val="af3"/>
          <w:sz w:val="24"/>
          <w:szCs w:val="24"/>
        </w:rPr>
        <w:t>，例如在制造过程中针对单个单元操作，申请人应在适用的电子通用技术文档条款中列出该单元操作的所有</w:t>
      </w:r>
      <w:r w:rsidR="00565A44">
        <w:rPr>
          <w:rStyle w:val="af3"/>
          <w:sz w:val="24"/>
          <w:szCs w:val="24"/>
        </w:rPr>
        <w:t>既定条件</w:t>
      </w:r>
      <w:r w:rsidRPr="00FA0DD1">
        <w:rPr>
          <w:rStyle w:val="af3"/>
          <w:sz w:val="24"/>
          <w:szCs w:val="24"/>
        </w:rPr>
        <w:t>。此外，申请人应声明，相应的电子通用技术文档条款将根据法规和指南中的建议</w:t>
      </w:r>
      <w:r w:rsidR="006D08F1">
        <w:rPr>
          <w:rStyle w:val="af3"/>
          <w:rFonts w:hint="eastAsia"/>
          <w:sz w:val="24"/>
          <w:szCs w:val="24"/>
        </w:rPr>
        <w:t>的</w:t>
      </w:r>
      <w:r w:rsidRPr="00FA0DD1">
        <w:rPr>
          <w:rStyle w:val="af3"/>
          <w:sz w:val="24"/>
          <w:szCs w:val="24"/>
        </w:rPr>
        <w:t>报告</w:t>
      </w:r>
      <w:r w:rsidR="006D08F1">
        <w:rPr>
          <w:rStyle w:val="af3"/>
          <w:rFonts w:hint="eastAsia"/>
          <w:sz w:val="24"/>
          <w:szCs w:val="24"/>
        </w:rPr>
        <w:t>类别</w:t>
      </w:r>
      <w:r w:rsidRPr="00FA0DD1">
        <w:rPr>
          <w:rStyle w:val="af3"/>
          <w:sz w:val="24"/>
          <w:szCs w:val="24"/>
        </w:rPr>
        <w:t>对未提议</w:t>
      </w:r>
      <w:r w:rsidR="00565A44">
        <w:rPr>
          <w:rStyle w:val="af3"/>
          <w:sz w:val="24"/>
          <w:szCs w:val="24"/>
        </w:rPr>
        <w:t>既定条件</w:t>
      </w:r>
      <w:r w:rsidRPr="00FA0DD1">
        <w:rPr>
          <w:rStyle w:val="af3"/>
          <w:sz w:val="24"/>
          <w:szCs w:val="24"/>
        </w:rPr>
        <w:t>的单元操作进行更改。</w:t>
      </w:r>
    </w:p>
    <w:p w14:paraId="376B82B2" w14:textId="0E437C5C" w:rsidR="00C00292" w:rsidRPr="00FA0DD1" w:rsidRDefault="00C00292" w:rsidP="00E8044B">
      <w:pPr>
        <w:spacing w:beforeLines="50" w:before="156" w:afterLines="50" w:after="156"/>
        <w:rPr>
          <w:rStyle w:val="af3"/>
          <w:sz w:val="24"/>
          <w:szCs w:val="24"/>
        </w:rPr>
      </w:pPr>
      <w:r w:rsidRPr="00FA0DD1">
        <w:rPr>
          <w:rStyle w:val="af3"/>
          <w:sz w:val="24"/>
          <w:szCs w:val="24"/>
        </w:rPr>
        <w:t>提议</w:t>
      </w:r>
      <w:r w:rsidR="00565A44">
        <w:rPr>
          <w:rStyle w:val="af3"/>
          <w:sz w:val="24"/>
          <w:szCs w:val="24"/>
        </w:rPr>
        <w:t>既定条件</w:t>
      </w:r>
      <w:r w:rsidRPr="00FA0DD1">
        <w:rPr>
          <w:rStyle w:val="af3"/>
          <w:sz w:val="24"/>
          <w:szCs w:val="24"/>
        </w:rPr>
        <w:t>的完整列表、其报告类别（如提议）以及用于科学论证的电子通用技术文档位置应包含在电子通用技术文档第</w:t>
      </w:r>
      <w:r w:rsidRPr="00FA0DD1">
        <w:rPr>
          <w:rStyle w:val="af3"/>
          <w:sz w:val="24"/>
          <w:szCs w:val="24"/>
        </w:rPr>
        <w:t>3.2.R</w:t>
      </w:r>
      <w:r w:rsidRPr="00FA0DD1">
        <w:rPr>
          <w:rStyle w:val="af3"/>
          <w:sz w:val="24"/>
          <w:szCs w:val="24"/>
        </w:rPr>
        <w:t>节的产品生命周期管理（</w:t>
      </w:r>
      <w:r w:rsidRPr="00FA0DD1">
        <w:rPr>
          <w:rStyle w:val="af3"/>
          <w:sz w:val="24"/>
          <w:szCs w:val="24"/>
        </w:rPr>
        <w:t>PLCM</w:t>
      </w:r>
      <w:r w:rsidRPr="00FA0DD1">
        <w:rPr>
          <w:rStyle w:val="af3"/>
          <w:sz w:val="24"/>
          <w:szCs w:val="24"/>
        </w:rPr>
        <w:t>）文件中。有关产品生命周期管理文件更多信息，请参见本</w:t>
      </w:r>
      <w:proofErr w:type="gramStart"/>
      <w:r w:rsidRPr="00FA0DD1">
        <w:rPr>
          <w:rStyle w:val="af3"/>
          <w:sz w:val="24"/>
          <w:szCs w:val="24"/>
        </w:rPr>
        <w:t>指南第</w:t>
      </w:r>
      <w:proofErr w:type="gramEnd"/>
      <w:r w:rsidRPr="00FA0DD1">
        <w:rPr>
          <w:rStyle w:val="af3"/>
          <w:sz w:val="24"/>
          <w:szCs w:val="24"/>
        </w:rPr>
        <w:t>II.E</w:t>
      </w:r>
      <w:r w:rsidRPr="00FA0DD1">
        <w:rPr>
          <w:rStyle w:val="af3"/>
          <w:sz w:val="24"/>
          <w:szCs w:val="24"/>
        </w:rPr>
        <w:t>节。有关提议</w:t>
      </w:r>
      <w:r w:rsidR="00565A44">
        <w:rPr>
          <w:rStyle w:val="af3"/>
          <w:sz w:val="24"/>
          <w:szCs w:val="24"/>
        </w:rPr>
        <w:t>既定条件</w:t>
      </w:r>
      <w:r w:rsidRPr="00FA0DD1">
        <w:rPr>
          <w:rStyle w:val="af3"/>
          <w:sz w:val="24"/>
          <w:szCs w:val="24"/>
        </w:rPr>
        <w:t>理由的信息，包括此类理由在申请中的位置，请</w:t>
      </w:r>
      <w:proofErr w:type="gramStart"/>
      <w:r w:rsidRPr="00FA0DD1">
        <w:rPr>
          <w:rStyle w:val="af3"/>
          <w:sz w:val="24"/>
          <w:szCs w:val="24"/>
        </w:rPr>
        <w:t>参见第</w:t>
      </w:r>
      <w:proofErr w:type="gramEnd"/>
      <w:r w:rsidRPr="00FA0DD1">
        <w:rPr>
          <w:rStyle w:val="af3"/>
          <w:sz w:val="24"/>
          <w:szCs w:val="24"/>
        </w:rPr>
        <w:t>II.C.2</w:t>
      </w:r>
      <w:r w:rsidRPr="00FA0DD1">
        <w:rPr>
          <w:rStyle w:val="af3"/>
          <w:sz w:val="24"/>
          <w:szCs w:val="24"/>
        </w:rPr>
        <w:t>节。</w:t>
      </w:r>
    </w:p>
    <w:p w14:paraId="3281B783" w14:textId="4E068EE4" w:rsidR="00715E2F" w:rsidRPr="00FA0DD1" w:rsidRDefault="00715E2F" w:rsidP="00E8044B">
      <w:pPr>
        <w:spacing w:beforeLines="50" w:before="156" w:afterLines="50" w:after="156"/>
        <w:ind w:leftChars="539" w:left="1617" w:hangingChars="202" w:hanging="485"/>
        <w:outlineLvl w:val="2"/>
        <w:rPr>
          <w:rStyle w:val="af3"/>
          <w:i/>
          <w:sz w:val="24"/>
          <w:szCs w:val="24"/>
        </w:rPr>
      </w:pPr>
      <w:bookmarkStart w:id="8" w:name="_Toc97322912"/>
      <w:r w:rsidRPr="00FA0DD1">
        <w:rPr>
          <w:rStyle w:val="af3"/>
          <w:i/>
          <w:iCs/>
          <w:sz w:val="24"/>
          <w:szCs w:val="24"/>
        </w:rPr>
        <w:t>2.</w:t>
      </w:r>
      <w:r w:rsidRPr="00FA0DD1">
        <w:rPr>
          <w:rStyle w:val="af3"/>
          <w:i/>
          <w:iCs/>
          <w:sz w:val="24"/>
          <w:szCs w:val="24"/>
        </w:rPr>
        <w:tab/>
      </w:r>
      <w:r w:rsidRPr="00FA0DD1">
        <w:rPr>
          <w:rStyle w:val="af3"/>
          <w:i/>
          <w:iCs/>
          <w:sz w:val="24"/>
          <w:szCs w:val="24"/>
        </w:rPr>
        <w:t>既定条件</w:t>
      </w:r>
      <w:bookmarkEnd w:id="8"/>
      <w:r>
        <w:rPr>
          <w:rStyle w:val="af3"/>
          <w:rFonts w:hint="eastAsia"/>
          <w:i/>
          <w:iCs/>
          <w:sz w:val="24"/>
          <w:szCs w:val="24"/>
        </w:rPr>
        <w:t>确认</w:t>
      </w:r>
    </w:p>
    <w:p w14:paraId="3569F60E" w14:textId="2E9A6FC0" w:rsidR="00C00292" w:rsidRPr="00FA0DD1" w:rsidRDefault="00715E2F" w:rsidP="00E8044B">
      <w:pPr>
        <w:spacing w:beforeLines="50" w:before="156" w:afterLines="50" w:after="156"/>
        <w:rPr>
          <w:rStyle w:val="af3"/>
          <w:sz w:val="24"/>
          <w:szCs w:val="24"/>
        </w:rPr>
      </w:pPr>
      <w:r w:rsidRPr="00FA0DD1">
        <w:rPr>
          <w:rStyle w:val="af3"/>
          <w:sz w:val="24"/>
          <w:szCs w:val="24"/>
        </w:rPr>
        <w:t>提出特定的既定条</w:t>
      </w:r>
      <w:r w:rsidR="00C00292" w:rsidRPr="00FA0DD1">
        <w:rPr>
          <w:rStyle w:val="af3"/>
          <w:sz w:val="24"/>
          <w:szCs w:val="24"/>
        </w:rPr>
        <w:t>件时，申请人应在申请模块</w:t>
      </w:r>
      <w:r w:rsidR="00C00292" w:rsidRPr="00FA0DD1">
        <w:rPr>
          <w:rStyle w:val="af3"/>
          <w:sz w:val="24"/>
          <w:szCs w:val="24"/>
        </w:rPr>
        <w:t>3</w:t>
      </w:r>
      <w:r w:rsidR="00C00292" w:rsidRPr="00FA0DD1">
        <w:rPr>
          <w:rStyle w:val="af3"/>
          <w:sz w:val="24"/>
          <w:szCs w:val="24"/>
        </w:rPr>
        <w:t>的相关部分中提供选择的科学依据。在科学依据部分，申请人应说明特定参数或属性作为既定条件的</w:t>
      </w:r>
      <w:r w:rsidR="00B76709">
        <w:rPr>
          <w:rStyle w:val="af3"/>
          <w:rFonts w:hint="eastAsia"/>
          <w:sz w:val="24"/>
          <w:szCs w:val="24"/>
        </w:rPr>
        <w:t>确认</w:t>
      </w:r>
      <w:r w:rsidR="00C00292" w:rsidRPr="00FA0DD1">
        <w:rPr>
          <w:rStyle w:val="af3"/>
          <w:sz w:val="24"/>
          <w:szCs w:val="24"/>
        </w:rPr>
        <w:t>和建议的报告类别（如适用）。</w:t>
      </w:r>
    </w:p>
    <w:p w14:paraId="3D114C48" w14:textId="11B76C0D" w:rsidR="00C00292" w:rsidRPr="00FA0DD1" w:rsidRDefault="00C00292" w:rsidP="00E8044B">
      <w:pPr>
        <w:spacing w:beforeLines="50" w:before="156" w:afterLines="50" w:after="156"/>
        <w:ind w:leftChars="743" w:left="2045" w:hangingChars="202" w:hanging="485"/>
        <w:rPr>
          <w:rStyle w:val="af3"/>
          <w:sz w:val="24"/>
          <w:szCs w:val="24"/>
        </w:rPr>
      </w:pPr>
      <w:r w:rsidRPr="00FA0DD1">
        <w:rPr>
          <w:rStyle w:val="af3"/>
          <w:sz w:val="24"/>
          <w:szCs w:val="24"/>
        </w:rPr>
        <w:t xml:space="preserve">a. </w:t>
      </w:r>
      <w:r w:rsidRPr="00FA0DD1">
        <w:rPr>
          <w:rStyle w:val="af3"/>
          <w:sz w:val="24"/>
          <w:szCs w:val="24"/>
        </w:rPr>
        <w:tab/>
      </w:r>
      <w:r w:rsidR="00042A86">
        <w:rPr>
          <w:rStyle w:val="af3"/>
          <w:rFonts w:hint="eastAsia"/>
          <w:sz w:val="24"/>
          <w:szCs w:val="24"/>
        </w:rPr>
        <w:t>确认</w:t>
      </w:r>
      <w:r w:rsidRPr="00FA0DD1">
        <w:rPr>
          <w:rStyle w:val="af3"/>
          <w:sz w:val="24"/>
          <w:szCs w:val="24"/>
        </w:rPr>
        <w:t>为既定条件的参数和属性</w:t>
      </w:r>
    </w:p>
    <w:p w14:paraId="5BA82DC9" w14:textId="27BD8265" w:rsidR="009630D0" w:rsidRDefault="00C00292" w:rsidP="00E8044B">
      <w:pPr>
        <w:spacing w:beforeLines="50" w:before="156" w:afterLines="50" w:after="156"/>
        <w:rPr>
          <w:rStyle w:val="af3"/>
        </w:rPr>
      </w:pPr>
      <w:r w:rsidRPr="00FA0DD1">
        <w:rPr>
          <w:rStyle w:val="af3"/>
          <w:sz w:val="24"/>
          <w:szCs w:val="24"/>
        </w:rPr>
        <w:t>在科学依据部分，申请人应解释其如何</w:t>
      </w:r>
      <w:proofErr w:type="gramStart"/>
      <w:r w:rsidRPr="00FA0DD1">
        <w:rPr>
          <w:rStyle w:val="af3"/>
          <w:sz w:val="24"/>
          <w:szCs w:val="24"/>
        </w:rPr>
        <w:t>确定拟被视为</w:t>
      </w:r>
      <w:proofErr w:type="gramEnd"/>
      <w:r w:rsidRPr="00FA0DD1">
        <w:rPr>
          <w:rStyle w:val="af3"/>
          <w:sz w:val="24"/>
          <w:szCs w:val="24"/>
        </w:rPr>
        <w:t>既定条件的参数或属性，以及（考虑到上述法规和指南建议）为何未选择通常被视为既定条件的其他参数或属性。例如，一个制造单元操作中的五个工艺参数中，有三个参数拟作为既定条件（采用参数化方法），申请人应解释如何将这三个参数确定为既定条件，以及为什么其他两个参数不是既定条件。应提供申请人用于将特定参数或属性确定为既定条件的风险评估流程（包括工具）的说明，为确定每个参数对产品质量的影响程度而进行的临界评估，以及各个参数的支持信息（如基础知识、经验调查、从其他产品经验中获得的先验知识、商业经验）。另请参见</w:t>
      </w:r>
      <w:r w:rsidRPr="00FA0DD1">
        <w:rPr>
          <w:rStyle w:val="af3"/>
          <w:sz w:val="24"/>
          <w:szCs w:val="24"/>
        </w:rPr>
        <w:t>ICH Q12</w:t>
      </w:r>
      <w:r w:rsidRPr="00FA0DD1">
        <w:rPr>
          <w:rStyle w:val="af3"/>
          <w:sz w:val="24"/>
          <w:szCs w:val="24"/>
        </w:rPr>
        <w:t>中的第</w:t>
      </w:r>
      <w:r w:rsidRPr="00FA0DD1">
        <w:rPr>
          <w:rStyle w:val="af3"/>
          <w:sz w:val="24"/>
          <w:szCs w:val="24"/>
        </w:rPr>
        <w:t>3.2.3.1</w:t>
      </w:r>
      <w:r w:rsidRPr="00FA0DD1">
        <w:rPr>
          <w:rStyle w:val="af3"/>
          <w:sz w:val="24"/>
          <w:szCs w:val="24"/>
        </w:rPr>
        <w:t>节</w:t>
      </w:r>
      <w:r w:rsidRPr="00FA0DD1">
        <w:rPr>
          <w:rStyle w:val="af3"/>
          <w:rFonts w:ascii="宋体" w:eastAsia="宋体" w:hAnsi="宋体"/>
          <w:sz w:val="24"/>
          <w:szCs w:val="24"/>
        </w:rPr>
        <w:t>“</w:t>
      </w:r>
      <w:r w:rsidR="008561AE">
        <w:rPr>
          <w:rStyle w:val="af3"/>
          <w:rFonts w:asciiTheme="minorEastAsia" w:hAnsiTheme="minorEastAsia"/>
          <w:sz w:val="24"/>
          <w:szCs w:val="24"/>
        </w:rPr>
        <w:t>生产过程</w:t>
      </w:r>
      <w:r w:rsidR="00C2103E">
        <w:rPr>
          <w:rStyle w:val="af3"/>
          <w:rFonts w:asciiTheme="minorEastAsia" w:hAnsiTheme="minorEastAsia" w:hint="eastAsia"/>
          <w:sz w:val="24"/>
          <w:szCs w:val="24"/>
        </w:rPr>
        <w:t>E</w:t>
      </w:r>
      <w:r w:rsidR="00C2103E">
        <w:rPr>
          <w:rStyle w:val="af3"/>
          <w:rFonts w:asciiTheme="minorEastAsia" w:hAnsiTheme="minorEastAsia"/>
          <w:sz w:val="24"/>
          <w:szCs w:val="24"/>
        </w:rPr>
        <w:t>C</w:t>
      </w:r>
      <w:r w:rsidRPr="00FA0DD1">
        <w:rPr>
          <w:rStyle w:val="af3"/>
          <w:rFonts w:asciiTheme="minorEastAsia" w:hAnsiTheme="minorEastAsia"/>
          <w:sz w:val="24"/>
          <w:szCs w:val="24"/>
        </w:rPr>
        <w:t>的</w:t>
      </w:r>
      <w:r w:rsidR="002B43F7">
        <w:rPr>
          <w:rStyle w:val="af3"/>
          <w:rFonts w:asciiTheme="minorEastAsia" w:hAnsiTheme="minorEastAsia" w:hint="eastAsia"/>
          <w:sz w:val="24"/>
          <w:szCs w:val="24"/>
        </w:rPr>
        <w:t>确认</w:t>
      </w:r>
      <w:r w:rsidRPr="00FA0DD1">
        <w:rPr>
          <w:rStyle w:val="af3"/>
          <w:rFonts w:ascii="宋体" w:eastAsia="宋体" w:hAnsi="宋体"/>
          <w:sz w:val="24"/>
          <w:szCs w:val="24"/>
        </w:rPr>
        <w:t>”</w:t>
      </w:r>
      <w:r w:rsidRPr="00FA0DD1">
        <w:rPr>
          <w:rStyle w:val="af3"/>
          <w:sz w:val="24"/>
          <w:szCs w:val="24"/>
        </w:rPr>
        <w:t>和第</w:t>
      </w:r>
      <w:r w:rsidRPr="00FA0DD1">
        <w:rPr>
          <w:rStyle w:val="af3"/>
          <w:sz w:val="24"/>
          <w:szCs w:val="24"/>
        </w:rPr>
        <w:t>3.2.3.2</w:t>
      </w:r>
      <w:r w:rsidRPr="00FA0DD1">
        <w:rPr>
          <w:rStyle w:val="af3"/>
          <w:sz w:val="24"/>
          <w:szCs w:val="24"/>
        </w:rPr>
        <w:t>节</w:t>
      </w:r>
      <w:r w:rsidRPr="00FA0DD1">
        <w:rPr>
          <w:rStyle w:val="af3"/>
          <w:rFonts w:ascii="宋体" w:eastAsia="宋体" w:hAnsi="宋体"/>
          <w:sz w:val="24"/>
          <w:szCs w:val="24"/>
        </w:rPr>
        <w:t>“</w:t>
      </w:r>
      <w:r w:rsidRPr="00FA0DD1">
        <w:rPr>
          <w:rStyle w:val="af3"/>
          <w:rFonts w:asciiTheme="minorEastAsia" w:hAnsiTheme="minorEastAsia"/>
          <w:sz w:val="24"/>
          <w:szCs w:val="24"/>
        </w:rPr>
        <w:t>分析</w:t>
      </w:r>
      <w:r w:rsidR="00C2103E">
        <w:rPr>
          <w:rStyle w:val="af3"/>
          <w:rFonts w:asciiTheme="minorEastAsia" w:hAnsiTheme="minorEastAsia" w:hint="eastAsia"/>
          <w:sz w:val="24"/>
          <w:szCs w:val="24"/>
        </w:rPr>
        <w:t>方法中E</w:t>
      </w:r>
      <w:r w:rsidR="00C2103E">
        <w:rPr>
          <w:rStyle w:val="af3"/>
          <w:rFonts w:asciiTheme="minorEastAsia" w:hAnsiTheme="minorEastAsia"/>
          <w:sz w:val="24"/>
          <w:szCs w:val="24"/>
        </w:rPr>
        <w:t>C</w:t>
      </w:r>
      <w:r w:rsidRPr="00FA0DD1">
        <w:rPr>
          <w:rStyle w:val="af3"/>
          <w:rFonts w:asciiTheme="minorEastAsia" w:hAnsiTheme="minorEastAsia"/>
          <w:sz w:val="24"/>
          <w:szCs w:val="24"/>
        </w:rPr>
        <w:t>的</w:t>
      </w:r>
      <w:r w:rsidR="002B43F7">
        <w:rPr>
          <w:rStyle w:val="af3"/>
          <w:rFonts w:asciiTheme="minorEastAsia" w:hAnsiTheme="minorEastAsia" w:hint="eastAsia"/>
          <w:sz w:val="24"/>
          <w:szCs w:val="24"/>
        </w:rPr>
        <w:t>确认</w:t>
      </w:r>
      <w:r w:rsidRPr="00FA0DD1">
        <w:rPr>
          <w:rStyle w:val="af3"/>
          <w:rFonts w:ascii="宋体" w:eastAsia="宋体" w:hAnsi="宋体"/>
          <w:sz w:val="24"/>
          <w:szCs w:val="24"/>
        </w:rPr>
        <w:t>”</w:t>
      </w:r>
      <w:r w:rsidRPr="00FA0DD1">
        <w:rPr>
          <w:rStyle w:val="af3"/>
          <w:sz w:val="24"/>
          <w:szCs w:val="24"/>
        </w:rPr>
        <w:t>。如属性改变后需要提交新的</w:t>
      </w:r>
      <w:r w:rsidR="008561AE">
        <w:rPr>
          <w:rStyle w:val="af3"/>
          <w:rFonts w:hint="eastAsia"/>
          <w:sz w:val="24"/>
          <w:szCs w:val="24"/>
        </w:rPr>
        <w:t>首次</w:t>
      </w:r>
      <w:r w:rsidRPr="00FA0DD1">
        <w:rPr>
          <w:rStyle w:val="af3"/>
          <w:sz w:val="24"/>
          <w:szCs w:val="24"/>
        </w:rPr>
        <w:t>申请（例如，</w:t>
      </w:r>
      <w:r w:rsidRPr="00FA0DD1">
        <w:rPr>
          <w:rStyle w:val="af3"/>
          <w:sz w:val="24"/>
          <w:szCs w:val="24"/>
        </w:rPr>
        <w:t>NDA</w:t>
      </w:r>
      <w:r w:rsidRPr="00FA0DD1">
        <w:rPr>
          <w:rStyle w:val="af3"/>
          <w:sz w:val="24"/>
          <w:szCs w:val="24"/>
        </w:rPr>
        <w:t>剂型的改变），则申请人不应提议将这些属性作为既定条件进行管理。</w:t>
      </w:r>
      <w:r>
        <w:rPr>
          <w:rStyle w:val="af3"/>
        </w:rPr>
        <w:br w:type="page"/>
      </w:r>
    </w:p>
    <w:p w14:paraId="5DF16ABC" w14:textId="2C401F74" w:rsidR="00C00292" w:rsidRPr="00FA0DD1" w:rsidRDefault="00C00292" w:rsidP="00E8044B">
      <w:pPr>
        <w:spacing w:beforeLines="50" w:before="156" w:afterLines="50" w:after="156"/>
        <w:rPr>
          <w:rStyle w:val="af3"/>
          <w:sz w:val="24"/>
          <w:szCs w:val="24"/>
        </w:rPr>
      </w:pPr>
      <w:r w:rsidRPr="00FA0DD1">
        <w:rPr>
          <w:rStyle w:val="af3"/>
          <w:sz w:val="24"/>
          <w:szCs w:val="24"/>
        </w:rPr>
        <w:lastRenderedPageBreak/>
        <w:t>如具有相关可接受范围的参数或属性</w:t>
      </w:r>
      <w:r w:rsidR="008561AE">
        <w:rPr>
          <w:rStyle w:val="af3"/>
          <w:rFonts w:hint="eastAsia"/>
          <w:sz w:val="24"/>
          <w:szCs w:val="24"/>
        </w:rPr>
        <w:t>确认</w:t>
      </w:r>
      <w:r w:rsidRPr="00FA0DD1">
        <w:rPr>
          <w:rStyle w:val="af3"/>
          <w:sz w:val="24"/>
          <w:szCs w:val="24"/>
        </w:rPr>
        <w:t>为既定条件，申请人应提供建议范围的原因说明。</w:t>
      </w:r>
    </w:p>
    <w:p w14:paraId="11988BA9" w14:textId="77777777" w:rsidR="00C00292" w:rsidRPr="00FA0DD1" w:rsidRDefault="009630D0" w:rsidP="00E8044B">
      <w:pPr>
        <w:spacing w:beforeLines="50" w:before="156" w:afterLines="50" w:after="156"/>
        <w:ind w:leftChars="743" w:left="2045" w:hangingChars="202" w:hanging="485"/>
        <w:rPr>
          <w:rStyle w:val="af3"/>
          <w:sz w:val="24"/>
          <w:szCs w:val="24"/>
        </w:rPr>
      </w:pPr>
      <w:r w:rsidRPr="00FA0DD1">
        <w:rPr>
          <w:rStyle w:val="af3"/>
          <w:sz w:val="24"/>
          <w:szCs w:val="24"/>
        </w:rPr>
        <w:t xml:space="preserve">b. </w:t>
      </w:r>
      <w:r w:rsidRPr="00FA0DD1">
        <w:rPr>
          <w:rStyle w:val="af3"/>
          <w:sz w:val="24"/>
          <w:szCs w:val="24"/>
        </w:rPr>
        <w:tab/>
      </w:r>
      <w:r w:rsidRPr="00FA0DD1">
        <w:rPr>
          <w:rStyle w:val="af3"/>
          <w:sz w:val="24"/>
          <w:szCs w:val="24"/>
        </w:rPr>
        <w:t>报告类别</w:t>
      </w:r>
    </w:p>
    <w:p w14:paraId="2432924F" w14:textId="38500DCE" w:rsidR="00C00292" w:rsidRPr="00FA0DD1" w:rsidRDefault="00C00292" w:rsidP="00E8044B">
      <w:pPr>
        <w:spacing w:beforeLines="50" w:before="156" w:afterLines="50" w:after="156"/>
        <w:rPr>
          <w:rStyle w:val="af3"/>
          <w:sz w:val="24"/>
          <w:szCs w:val="24"/>
        </w:rPr>
      </w:pPr>
      <w:r w:rsidRPr="00FA0DD1">
        <w:rPr>
          <w:rStyle w:val="af3"/>
          <w:sz w:val="24"/>
          <w:szCs w:val="24"/>
        </w:rPr>
        <w:t>对于每项</w:t>
      </w:r>
      <w:r w:rsidR="008561AE">
        <w:rPr>
          <w:rStyle w:val="af3"/>
          <w:rFonts w:hint="eastAsia"/>
          <w:sz w:val="24"/>
          <w:szCs w:val="24"/>
        </w:rPr>
        <w:t>提议</w:t>
      </w:r>
      <w:r w:rsidRPr="00FA0DD1">
        <w:rPr>
          <w:rStyle w:val="af3"/>
          <w:sz w:val="24"/>
          <w:szCs w:val="24"/>
        </w:rPr>
        <w:t>的既定条件，申请人可确定一个</w:t>
      </w:r>
      <w:r w:rsidR="008561AE">
        <w:rPr>
          <w:rStyle w:val="af3"/>
          <w:rFonts w:hint="eastAsia"/>
          <w:sz w:val="24"/>
          <w:szCs w:val="24"/>
        </w:rPr>
        <w:t>提议</w:t>
      </w:r>
      <w:r w:rsidRPr="00FA0DD1">
        <w:rPr>
          <w:rStyle w:val="af3"/>
          <w:sz w:val="24"/>
          <w:szCs w:val="24"/>
        </w:rPr>
        <w:t>的报告类别：</w:t>
      </w:r>
      <w:r w:rsidRPr="00FA0DD1">
        <w:rPr>
          <w:rStyle w:val="af3"/>
          <w:sz w:val="24"/>
          <w:szCs w:val="24"/>
        </w:rPr>
        <w:t>PAS</w:t>
      </w:r>
      <w:r w:rsidRPr="00FA0DD1">
        <w:rPr>
          <w:rStyle w:val="af3"/>
          <w:sz w:val="24"/>
          <w:szCs w:val="24"/>
        </w:rPr>
        <w:t>、</w:t>
      </w:r>
      <w:r w:rsidRPr="00FA0DD1">
        <w:rPr>
          <w:rStyle w:val="af3"/>
          <w:sz w:val="24"/>
          <w:szCs w:val="24"/>
        </w:rPr>
        <w:t>CBE-30</w:t>
      </w:r>
      <w:r w:rsidRPr="00FA0DD1">
        <w:rPr>
          <w:rStyle w:val="af3"/>
          <w:sz w:val="24"/>
          <w:szCs w:val="24"/>
        </w:rPr>
        <w:t>、</w:t>
      </w:r>
      <w:r w:rsidRPr="00FA0DD1">
        <w:rPr>
          <w:rStyle w:val="af3"/>
          <w:sz w:val="24"/>
          <w:szCs w:val="24"/>
        </w:rPr>
        <w:t>CBE-0</w:t>
      </w:r>
      <w:r w:rsidRPr="00FA0DD1">
        <w:rPr>
          <w:rStyle w:val="af3"/>
          <w:sz w:val="24"/>
          <w:szCs w:val="24"/>
        </w:rPr>
        <w:t>或年度报告。如此报告类别与现有指南中建议的有所不同，申请人应在模块</w:t>
      </w:r>
      <w:r w:rsidRPr="00FA0DD1">
        <w:rPr>
          <w:rStyle w:val="af3"/>
          <w:sz w:val="24"/>
          <w:szCs w:val="24"/>
        </w:rPr>
        <w:t>3</w:t>
      </w:r>
      <w:r w:rsidRPr="00FA0DD1">
        <w:rPr>
          <w:rStyle w:val="af3"/>
          <w:sz w:val="24"/>
          <w:szCs w:val="24"/>
        </w:rPr>
        <w:t>的相关章节中提供原因说明。</w:t>
      </w:r>
      <w:proofErr w:type="gramStart"/>
      <w:r w:rsidRPr="00FA0DD1">
        <w:rPr>
          <w:rStyle w:val="af3"/>
          <w:sz w:val="24"/>
          <w:szCs w:val="24"/>
        </w:rPr>
        <w:t>该原因</w:t>
      </w:r>
      <w:proofErr w:type="gramEnd"/>
      <w:r w:rsidRPr="00FA0DD1">
        <w:rPr>
          <w:rStyle w:val="af3"/>
          <w:sz w:val="24"/>
          <w:szCs w:val="24"/>
        </w:rPr>
        <w:t>说明可以是为支持</w:t>
      </w:r>
      <w:r w:rsidR="008561AE">
        <w:rPr>
          <w:rStyle w:val="af3"/>
          <w:rFonts w:hint="eastAsia"/>
          <w:sz w:val="24"/>
          <w:szCs w:val="24"/>
        </w:rPr>
        <w:t>确认</w:t>
      </w:r>
      <w:r w:rsidRPr="00FA0DD1">
        <w:rPr>
          <w:rStyle w:val="af3"/>
          <w:sz w:val="24"/>
          <w:szCs w:val="24"/>
        </w:rPr>
        <w:t>既定条件而提供的原因说明的一部分或对其的补充。如申请人选择不说明报告类别，申请人应提供一份声明，说明这些既定条件变更的报告类别将遵循法规和指南建议。</w:t>
      </w:r>
    </w:p>
    <w:p w14:paraId="4323B837" w14:textId="77777777" w:rsidR="00C00292" w:rsidRPr="00FA0DD1" w:rsidRDefault="00FA0DD1" w:rsidP="00E8044B">
      <w:pPr>
        <w:spacing w:beforeLines="50" w:before="156" w:afterLines="50" w:after="156"/>
        <w:ind w:leftChars="539" w:left="1617" w:hangingChars="202" w:hanging="485"/>
        <w:outlineLvl w:val="2"/>
        <w:rPr>
          <w:rStyle w:val="af3"/>
          <w:i/>
          <w:sz w:val="24"/>
          <w:szCs w:val="24"/>
        </w:rPr>
      </w:pPr>
      <w:bookmarkStart w:id="9" w:name="_Toc97322913"/>
      <w:r>
        <w:rPr>
          <w:rStyle w:val="af3"/>
          <w:i/>
          <w:iCs/>
          <w:sz w:val="24"/>
          <w:szCs w:val="24"/>
        </w:rPr>
        <w:t>3.</w:t>
      </w:r>
      <w:r>
        <w:rPr>
          <w:rStyle w:val="af3"/>
          <w:i/>
          <w:iCs/>
          <w:sz w:val="24"/>
          <w:szCs w:val="24"/>
        </w:rPr>
        <w:tab/>
      </w:r>
      <w:r w:rsidR="00C00292" w:rsidRPr="00FA0DD1">
        <w:rPr>
          <w:rStyle w:val="af3"/>
          <w:i/>
          <w:iCs/>
          <w:sz w:val="24"/>
          <w:szCs w:val="24"/>
        </w:rPr>
        <w:t>药物主文件中药物或药品的既定条件确定</w:t>
      </w:r>
      <w:bookmarkEnd w:id="9"/>
    </w:p>
    <w:p w14:paraId="4C5EF5D0" w14:textId="265547DB" w:rsidR="00C00292" w:rsidRPr="00FA0DD1" w:rsidRDefault="00C00292" w:rsidP="00E8044B">
      <w:pPr>
        <w:spacing w:beforeLines="50" w:before="156" w:afterLines="50" w:after="156"/>
        <w:rPr>
          <w:rStyle w:val="af3"/>
          <w:sz w:val="24"/>
          <w:szCs w:val="24"/>
        </w:rPr>
      </w:pPr>
      <w:r w:rsidRPr="00FA0DD1">
        <w:rPr>
          <w:rStyle w:val="af3"/>
          <w:sz w:val="24"/>
          <w:szCs w:val="24"/>
        </w:rPr>
        <w:t>如参照</w:t>
      </w:r>
      <w:r w:rsidRPr="00FA0DD1">
        <w:rPr>
          <w:rStyle w:val="af3"/>
          <w:sz w:val="24"/>
          <w:szCs w:val="24"/>
        </w:rPr>
        <w:t>II</w:t>
      </w:r>
      <w:r w:rsidRPr="00FA0DD1">
        <w:rPr>
          <w:rStyle w:val="af3"/>
          <w:sz w:val="24"/>
          <w:szCs w:val="24"/>
        </w:rPr>
        <w:t>型药物主</w:t>
      </w:r>
      <w:r w:rsidR="008561AE">
        <w:rPr>
          <w:rStyle w:val="af3"/>
          <w:rFonts w:hint="eastAsia"/>
          <w:sz w:val="24"/>
          <w:szCs w:val="24"/>
        </w:rPr>
        <w:t>文档</w:t>
      </w:r>
      <w:r w:rsidRPr="00FA0DD1">
        <w:rPr>
          <w:rStyle w:val="af3"/>
          <w:sz w:val="24"/>
          <w:szCs w:val="24"/>
        </w:rPr>
        <w:t>（</w:t>
      </w:r>
      <w:r w:rsidRPr="00FA0DD1">
        <w:rPr>
          <w:rStyle w:val="af3"/>
          <w:sz w:val="24"/>
          <w:szCs w:val="24"/>
        </w:rPr>
        <w:t>DMF</w:t>
      </w:r>
      <w:r w:rsidRPr="00FA0DD1">
        <w:rPr>
          <w:rStyle w:val="af3"/>
          <w:sz w:val="24"/>
          <w:szCs w:val="24"/>
        </w:rPr>
        <w:t>）将有关</w:t>
      </w:r>
      <w:r w:rsidR="008561AE">
        <w:rPr>
          <w:rStyle w:val="af3"/>
          <w:rFonts w:hint="eastAsia"/>
          <w:sz w:val="24"/>
          <w:szCs w:val="24"/>
        </w:rPr>
        <w:t>原料药</w:t>
      </w:r>
      <w:r w:rsidRPr="00FA0DD1">
        <w:rPr>
          <w:rStyle w:val="af3"/>
          <w:sz w:val="24"/>
          <w:szCs w:val="24"/>
        </w:rPr>
        <w:t>或</w:t>
      </w:r>
      <w:r w:rsidR="008561AE">
        <w:rPr>
          <w:rStyle w:val="af3"/>
          <w:rFonts w:hint="eastAsia"/>
          <w:sz w:val="24"/>
          <w:szCs w:val="24"/>
        </w:rPr>
        <w:t>制剂</w:t>
      </w:r>
      <w:r w:rsidRPr="00FA0DD1">
        <w:rPr>
          <w:rStyle w:val="af3"/>
          <w:sz w:val="24"/>
          <w:szCs w:val="24"/>
        </w:rPr>
        <w:t>的信息纳入申请中，则可提出与该</w:t>
      </w:r>
      <w:r w:rsidR="008561AE">
        <w:rPr>
          <w:rStyle w:val="af3"/>
          <w:rFonts w:hint="eastAsia"/>
          <w:sz w:val="24"/>
          <w:szCs w:val="24"/>
        </w:rPr>
        <w:t>原料药</w:t>
      </w:r>
      <w:r w:rsidRPr="00FA0DD1">
        <w:rPr>
          <w:rStyle w:val="af3"/>
          <w:sz w:val="24"/>
          <w:szCs w:val="24"/>
        </w:rPr>
        <w:t>或</w:t>
      </w:r>
      <w:r w:rsidR="008561AE">
        <w:rPr>
          <w:rStyle w:val="af3"/>
          <w:rFonts w:hint="eastAsia"/>
          <w:sz w:val="24"/>
          <w:szCs w:val="24"/>
        </w:rPr>
        <w:t>制剂</w:t>
      </w:r>
      <w:r w:rsidRPr="00FA0DD1">
        <w:rPr>
          <w:rStyle w:val="af3"/>
          <w:sz w:val="24"/>
          <w:szCs w:val="24"/>
        </w:rPr>
        <w:t>相关的</w:t>
      </w:r>
      <w:r w:rsidRPr="00FA0DD1">
        <w:rPr>
          <w:rStyle w:val="af2"/>
          <w:rFonts w:ascii="Times New Roman" w:hAnsi="Times New Roman" w:cs="Times New Roman"/>
          <w:sz w:val="24"/>
          <w:szCs w:val="24"/>
        </w:rPr>
        <w:footnoteReference w:id="10"/>
      </w:r>
      <w:r w:rsidRPr="00FA0DD1">
        <w:rPr>
          <w:rStyle w:val="af3"/>
          <w:sz w:val="24"/>
          <w:szCs w:val="24"/>
        </w:rPr>
        <w:t>既定条件，但这些既定条件应仅作为申请的一部分提出。</w:t>
      </w:r>
      <w:r w:rsidRPr="00FA0DD1">
        <w:rPr>
          <w:rStyle w:val="af2"/>
          <w:rFonts w:ascii="Times New Roman" w:hAnsi="Times New Roman" w:cs="Times New Roman"/>
          <w:sz w:val="24"/>
          <w:szCs w:val="24"/>
        </w:rPr>
        <w:footnoteReference w:id="11"/>
      </w:r>
      <w:r w:rsidRPr="00FA0DD1">
        <w:rPr>
          <w:rStyle w:val="af3"/>
          <w:sz w:val="24"/>
          <w:szCs w:val="24"/>
        </w:rPr>
        <w:t>在这种情况下，药物主</w:t>
      </w:r>
      <w:r w:rsidR="008561AE">
        <w:rPr>
          <w:rStyle w:val="af3"/>
          <w:rFonts w:hint="eastAsia"/>
          <w:sz w:val="24"/>
          <w:szCs w:val="24"/>
        </w:rPr>
        <w:t>文档</w:t>
      </w:r>
      <w:r w:rsidRPr="00FA0DD1">
        <w:rPr>
          <w:rStyle w:val="af3"/>
          <w:sz w:val="24"/>
          <w:szCs w:val="24"/>
        </w:rPr>
        <w:t>持有人需要与申请人分享足够多的信息</w:t>
      </w:r>
      <w:r w:rsidRPr="00FA0DD1">
        <w:rPr>
          <w:rStyle w:val="af2"/>
          <w:rFonts w:ascii="Times New Roman" w:hAnsi="Times New Roman" w:cs="Times New Roman"/>
          <w:sz w:val="24"/>
          <w:szCs w:val="24"/>
        </w:rPr>
        <w:footnoteReference w:id="12"/>
      </w:r>
      <w:r w:rsidRPr="00FA0DD1">
        <w:rPr>
          <w:rStyle w:val="af3"/>
          <w:sz w:val="24"/>
          <w:szCs w:val="24"/>
        </w:rPr>
        <w:t>，以便规定</w:t>
      </w:r>
      <w:r w:rsidR="008561AE">
        <w:rPr>
          <w:rStyle w:val="af3"/>
          <w:rFonts w:hint="eastAsia"/>
          <w:sz w:val="24"/>
          <w:szCs w:val="24"/>
        </w:rPr>
        <w:t>提议</w:t>
      </w:r>
      <w:r w:rsidRPr="00FA0DD1">
        <w:rPr>
          <w:rStyle w:val="af3"/>
          <w:sz w:val="24"/>
          <w:szCs w:val="24"/>
        </w:rPr>
        <w:t>的既定条件及其相关报告类别，并作为申请的一部分予以批准。如申请提及了药物</w:t>
      </w:r>
      <w:r w:rsidR="008561AE">
        <w:rPr>
          <w:rStyle w:val="af3"/>
          <w:sz w:val="24"/>
          <w:szCs w:val="24"/>
        </w:rPr>
        <w:t>主文档</w:t>
      </w:r>
      <w:r w:rsidRPr="00FA0DD1">
        <w:rPr>
          <w:rStyle w:val="af3"/>
          <w:sz w:val="24"/>
          <w:szCs w:val="24"/>
        </w:rPr>
        <w:t>中原因说明的</w:t>
      </w:r>
      <w:r w:rsidR="008561AE">
        <w:rPr>
          <w:rStyle w:val="af3"/>
          <w:rFonts w:hint="eastAsia"/>
          <w:sz w:val="24"/>
          <w:szCs w:val="24"/>
        </w:rPr>
        <w:t>具体</w:t>
      </w:r>
      <w:r w:rsidRPr="00FA0DD1">
        <w:rPr>
          <w:rStyle w:val="af3"/>
          <w:sz w:val="24"/>
          <w:szCs w:val="24"/>
        </w:rPr>
        <w:t>位置，则支持</w:t>
      </w:r>
      <w:r w:rsidR="008561AE">
        <w:rPr>
          <w:rStyle w:val="af3"/>
          <w:rFonts w:hint="eastAsia"/>
          <w:sz w:val="24"/>
          <w:szCs w:val="24"/>
        </w:rPr>
        <w:t>既定</w:t>
      </w:r>
      <w:r w:rsidRPr="00FA0DD1">
        <w:rPr>
          <w:rStyle w:val="af3"/>
          <w:sz w:val="24"/>
          <w:szCs w:val="24"/>
        </w:rPr>
        <w:t>条件</w:t>
      </w:r>
      <w:r w:rsidR="008561AE">
        <w:rPr>
          <w:rStyle w:val="af3"/>
          <w:rFonts w:hint="eastAsia"/>
          <w:sz w:val="24"/>
          <w:szCs w:val="24"/>
        </w:rPr>
        <w:t>确认</w:t>
      </w:r>
      <w:r w:rsidRPr="00FA0DD1">
        <w:rPr>
          <w:rStyle w:val="af3"/>
          <w:sz w:val="24"/>
          <w:szCs w:val="24"/>
        </w:rPr>
        <w:t>的原因说明可参见药物</w:t>
      </w:r>
      <w:r w:rsidR="008561AE">
        <w:rPr>
          <w:rStyle w:val="af3"/>
          <w:sz w:val="24"/>
          <w:szCs w:val="24"/>
        </w:rPr>
        <w:t>主文档</w:t>
      </w:r>
      <w:r w:rsidRPr="00FA0DD1">
        <w:rPr>
          <w:rStyle w:val="af3"/>
          <w:sz w:val="24"/>
          <w:szCs w:val="24"/>
        </w:rPr>
        <w:t>。申请人应在申请书提供拟议报告类别的原因说明，因为原因说明通常是针对最终</w:t>
      </w:r>
      <w:r w:rsidR="008561AE">
        <w:rPr>
          <w:rStyle w:val="af3"/>
          <w:rFonts w:hint="eastAsia"/>
          <w:sz w:val="24"/>
          <w:szCs w:val="24"/>
        </w:rPr>
        <w:t>制剂</w:t>
      </w:r>
      <w:r w:rsidRPr="00FA0DD1">
        <w:rPr>
          <w:rStyle w:val="af3"/>
          <w:sz w:val="24"/>
          <w:szCs w:val="24"/>
        </w:rPr>
        <w:t>及其批准条件（如给药、给药途径）</w:t>
      </w:r>
      <w:r w:rsidR="008561AE">
        <w:rPr>
          <w:rStyle w:val="af3"/>
          <w:rFonts w:hint="eastAsia"/>
          <w:sz w:val="24"/>
          <w:szCs w:val="24"/>
        </w:rPr>
        <w:t>的</w:t>
      </w:r>
      <w:r w:rsidRPr="00FA0DD1">
        <w:rPr>
          <w:rStyle w:val="af3"/>
          <w:sz w:val="24"/>
          <w:szCs w:val="24"/>
        </w:rPr>
        <w:t>，而非对含有相同</w:t>
      </w:r>
      <w:r w:rsidR="008561AE">
        <w:rPr>
          <w:rStyle w:val="af3"/>
          <w:rFonts w:hint="eastAsia"/>
          <w:sz w:val="24"/>
          <w:szCs w:val="24"/>
        </w:rPr>
        <w:t>原料药</w:t>
      </w:r>
      <w:r w:rsidRPr="00FA0DD1">
        <w:rPr>
          <w:rStyle w:val="af3"/>
          <w:sz w:val="24"/>
          <w:szCs w:val="24"/>
        </w:rPr>
        <w:t>或</w:t>
      </w:r>
      <w:r w:rsidR="008561AE">
        <w:rPr>
          <w:rStyle w:val="af3"/>
          <w:rFonts w:hint="eastAsia"/>
          <w:sz w:val="24"/>
          <w:szCs w:val="24"/>
        </w:rPr>
        <w:t>制剂</w:t>
      </w:r>
      <w:r w:rsidRPr="00FA0DD1">
        <w:rPr>
          <w:rStyle w:val="af3"/>
          <w:sz w:val="24"/>
          <w:szCs w:val="24"/>
        </w:rPr>
        <w:t>的不同产品进行概括说明。就通过引用包含药物</w:t>
      </w:r>
      <w:r w:rsidR="008561AE">
        <w:rPr>
          <w:rStyle w:val="af3"/>
          <w:sz w:val="24"/>
          <w:szCs w:val="24"/>
        </w:rPr>
        <w:t>主文档</w:t>
      </w:r>
      <w:r w:rsidRPr="00FA0DD1">
        <w:rPr>
          <w:rStyle w:val="af3"/>
          <w:sz w:val="24"/>
          <w:szCs w:val="24"/>
        </w:rPr>
        <w:t>信息的申请而言，如既定条件获得批准，申请人仍有责任报告既定条件变更；然而，申请人应与药物</w:t>
      </w:r>
      <w:r w:rsidR="008561AE">
        <w:rPr>
          <w:rStyle w:val="af3"/>
          <w:sz w:val="24"/>
          <w:szCs w:val="24"/>
        </w:rPr>
        <w:t>主文档</w:t>
      </w:r>
      <w:r w:rsidRPr="00FA0DD1">
        <w:rPr>
          <w:rStyle w:val="af3"/>
          <w:sz w:val="24"/>
          <w:szCs w:val="24"/>
        </w:rPr>
        <w:t>持有人共享相关的已批准既定条件，以确保药物</w:t>
      </w:r>
      <w:r w:rsidR="008561AE">
        <w:rPr>
          <w:rStyle w:val="af3"/>
          <w:sz w:val="24"/>
          <w:szCs w:val="24"/>
        </w:rPr>
        <w:t>主文档</w:t>
      </w:r>
      <w:r w:rsidRPr="00FA0DD1">
        <w:rPr>
          <w:rStyle w:val="af3"/>
          <w:sz w:val="24"/>
          <w:szCs w:val="24"/>
        </w:rPr>
        <w:t>持有人知悉申请人将如何管理参考</w:t>
      </w:r>
      <w:r w:rsidR="008561AE">
        <w:rPr>
          <w:rStyle w:val="af3"/>
          <w:rFonts w:hint="eastAsia"/>
          <w:sz w:val="24"/>
          <w:szCs w:val="24"/>
        </w:rPr>
        <w:t>原料药</w:t>
      </w:r>
      <w:r w:rsidRPr="00FA0DD1">
        <w:rPr>
          <w:rStyle w:val="af3"/>
          <w:sz w:val="24"/>
          <w:szCs w:val="24"/>
        </w:rPr>
        <w:t>或</w:t>
      </w:r>
      <w:r w:rsidR="008561AE">
        <w:rPr>
          <w:rStyle w:val="af3"/>
          <w:rFonts w:hint="eastAsia"/>
          <w:sz w:val="24"/>
          <w:szCs w:val="24"/>
        </w:rPr>
        <w:t>制剂</w:t>
      </w:r>
      <w:r w:rsidRPr="00FA0DD1">
        <w:rPr>
          <w:rStyle w:val="af3"/>
          <w:sz w:val="24"/>
          <w:szCs w:val="24"/>
        </w:rPr>
        <w:t>的变更。</w:t>
      </w:r>
    </w:p>
    <w:p w14:paraId="7209129D" w14:textId="77777777" w:rsidR="009630D0" w:rsidRDefault="009630D0">
      <w:pPr>
        <w:widowControl/>
        <w:jc w:val="left"/>
        <w:rPr>
          <w:rStyle w:val="af3"/>
        </w:rPr>
      </w:pPr>
      <w:r>
        <w:rPr>
          <w:rStyle w:val="af3"/>
        </w:rPr>
        <w:br w:type="page"/>
      </w:r>
    </w:p>
    <w:p w14:paraId="611BFA02" w14:textId="30B25EF2" w:rsidR="009630D0" w:rsidRPr="00FA0DD1" w:rsidRDefault="00C00292" w:rsidP="00E8044B">
      <w:pPr>
        <w:spacing w:beforeLines="50" w:before="156" w:afterLines="50" w:after="156"/>
        <w:ind w:leftChars="539" w:left="1617" w:hangingChars="202" w:hanging="485"/>
        <w:outlineLvl w:val="2"/>
        <w:rPr>
          <w:rStyle w:val="af3"/>
          <w:i/>
          <w:sz w:val="24"/>
          <w:szCs w:val="24"/>
        </w:rPr>
      </w:pPr>
      <w:bookmarkStart w:id="10" w:name="_Toc97322914"/>
      <w:r w:rsidRPr="00FA0DD1">
        <w:rPr>
          <w:rStyle w:val="af3"/>
          <w:i/>
          <w:iCs/>
          <w:sz w:val="24"/>
          <w:szCs w:val="24"/>
        </w:rPr>
        <w:lastRenderedPageBreak/>
        <w:t>4.</w:t>
      </w:r>
      <w:r w:rsidRPr="00FA0DD1">
        <w:rPr>
          <w:rStyle w:val="af3"/>
          <w:i/>
          <w:iCs/>
          <w:sz w:val="24"/>
          <w:szCs w:val="24"/>
        </w:rPr>
        <w:tab/>
      </w:r>
      <w:r w:rsidRPr="00FA0DD1">
        <w:rPr>
          <w:rStyle w:val="af3"/>
          <w:i/>
          <w:iCs/>
          <w:sz w:val="24"/>
          <w:szCs w:val="24"/>
        </w:rPr>
        <w:t>组合产品器械组成部分的既定条件</w:t>
      </w:r>
      <w:bookmarkEnd w:id="10"/>
      <w:r w:rsidR="00D55F09">
        <w:rPr>
          <w:rStyle w:val="af3"/>
          <w:rFonts w:hint="eastAsia"/>
          <w:i/>
          <w:iCs/>
          <w:sz w:val="24"/>
          <w:szCs w:val="24"/>
        </w:rPr>
        <w:t>确认</w:t>
      </w:r>
    </w:p>
    <w:p w14:paraId="09530B00" w14:textId="11CABA30" w:rsidR="00C00292" w:rsidRPr="00FA0DD1" w:rsidRDefault="00C00292" w:rsidP="00E8044B">
      <w:pPr>
        <w:spacing w:beforeLines="50" w:before="156" w:afterLines="50" w:after="156"/>
        <w:rPr>
          <w:rStyle w:val="af3"/>
          <w:sz w:val="24"/>
          <w:szCs w:val="24"/>
        </w:rPr>
      </w:pPr>
      <w:r w:rsidRPr="00FA0DD1">
        <w:rPr>
          <w:rStyle w:val="af3"/>
          <w:sz w:val="24"/>
          <w:szCs w:val="24"/>
        </w:rPr>
        <w:t>申请人可针对</w:t>
      </w:r>
      <w:r w:rsidR="00D55F09" w:rsidRPr="00D55F09">
        <w:rPr>
          <w:rStyle w:val="af3"/>
          <w:sz w:val="24"/>
          <w:szCs w:val="24"/>
        </w:rPr>
        <w:t>NDA</w:t>
      </w:r>
      <w:r w:rsidR="00D55F09">
        <w:rPr>
          <w:rStyle w:val="af3"/>
          <w:rFonts w:hint="eastAsia"/>
          <w:sz w:val="24"/>
          <w:szCs w:val="24"/>
        </w:rPr>
        <w:t>、</w:t>
      </w:r>
      <w:r w:rsidR="00D55F09" w:rsidRPr="00D55F09">
        <w:rPr>
          <w:rStyle w:val="af3"/>
          <w:sz w:val="24"/>
          <w:szCs w:val="24"/>
        </w:rPr>
        <w:t>BLA</w:t>
      </w:r>
      <w:r w:rsidR="00D55F09">
        <w:rPr>
          <w:rStyle w:val="af3"/>
          <w:rFonts w:hint="eastAsia"/>
          <w:sz w:val="24"/>
          <w:szCs w:val="24"/>
        </w:rPr>
        <w:t>或</w:t>
      </w:r>
      <w:r w:rsidR="00D55F09" w:rsidRPr="00D55F09">
        <w:rPr>
          <w:rStyle w:val="af3"/>
          <w:sz w:val="24"/>
          <w:szCs w:val="24"/>
        </w:rPr>
        <w:t>ANDA</w:t>
      </w:r>
      <w:r w:rsidRPr="00FA0DD1">
        <w:rPr>
          <w:rStyle w:val="af3"/>
          <w:sz w:val="24"/>
          <w:szCs w:val="24"/>
        </w:rPr>
        <w:t>组合产品的器械组成部分提出既定条件。提出产品（包括每个组成部分）的既定条件和报告类别时，应将组合产品作为一个整体考虑，包括组成部分的作用和相互作用。本节主要</w:t>
      </w:r>
      <w:r w:rsidR="00D55F09">
        <w:rPr>
          <w:rStyle w:val="af3"/>
          <w:rFonts w:hint="eastAsia"/>
          <w:sz w:val="24"/>
          <w:szCs w:val="24"/>
        </w:rPr>
        <w:t>关注确认</w:t>
      </w:r>
      <w:r w:rsidRPr="00FA0DD1">
        <w:rPr>
          <w:rStyle w:val="af3"/>
          <w:sz w:val="24"/>
          <w:szCs w:val="24"/>
        </w:rPr>
        <w:t>特别适用于器械组成部分的既定条件。一种方法是评估与器械组成部分相关的</w:t>
      </w:r>
      <w:r w:rsidRPr="00FA0DD1">
        <w:rPr>
          <w:rStyle w:val="af3"/>
          <w:rFonts w:ascii="宋体" w:eastAsia="宋体" w:hAnsi="宋体"/>
          <w:sz w:val="24"/>
          <w:szCs w:val="24"/>
        </w:rPr>
        <w:t>“</w:t>
      </w:r>
      <w:r w:rsidRPr="00FA0DD1">
        <w:rPr>
          <w:rStyle w:val="af3"/>
          <w:sz w:val="24"/>
          <w:szCs w:val="24"/>
        </w:rPr>
        <w:t>是其安全和正确使用必不可少的产品特性</w:t>
      </w:r>
      <w:r w:rsidRPr="00FA0DD1">
        <w:rPr>
          <w:rStyle w:val="af3"/>
          <w:rFonts w:ascii="宋体" w:eastAsia="宋体" w:hAnsi="宋体"/>
          <w:sz w:val="24"/>
          <w:szCs w:val="24"/>
        </w:rPr>
        <w:t>”</w:t>
      </w:r>
      <w:r w:rsidRPr="00FA0DD1">
        <w:rPr>
          <w:rStyle w:val="af2"/>
          <w:rFonts w:ascii="Times New Roman" w:hAnsi="Times New Roman" w:cs="Times New Roman"/>
          <w:sz w:val="24"/>
          <w:szCs w:val="24"/>
        </w:rPr>
        <w:footnoteReference w:id="13"/>
      </w:r>
      <w:r w:rsidRPr="00FA0DD1">
        <w:rPr>
          <w:rStyle w:val="af3"/>
          <w:sz w:val="24"/>
          <w:szCs w:val="24"/>
        </w:rPr>
        <w:t>（主要特性），并</w:t>
      </w:r>
      <w:r w:rsidR="00D55F09">
        <w:rPr>
          <w:rStyle w:val="af3"/>
          <w:rFonts w:hint="eastAsia"/>
          <w:sz w:val="24"/>
          <w:szCs w:val="24"/>
        </w:rPr>
        <w:t>确认</w:t>
      </w:r>
      <w:r w:rsidRPr="00FA0DD1">
        <w:rPr>
          <w:rStyle w:val="af3"/>
          <w:sz w:val="24"/>
          <w:szCs w:val="24"/>
        </w:rPr>
        <w:t>相关的既定条件。组合产品器械组成部分的主要特性通常包括以下方面：</w:t>
      </w:r>
    </w:p>
    <w:p w14:paraId="51D9C488"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基于风险管理原则的安全使用基本功能（例如，参见</w:t>
      </w:r>
      <w:r w:rsidRPr="00FA0DD1">
        <w:rPr>
          <w:rStyle w:val="af3"/>
          <w:sz w:val="24"/>
          <w:szCs w:val="24"/>
        </w:rPr>
        <w:t>ICH Q9</w:t>
      </w:r>
      <w:r w:rsidRPr="00FA0DD1">
        <w:rPr>
          <w:rStyle w:val="af3"/>
          <w:sz w:val="24"/>
          <w:szCs w:val="24"/>
        </w:rPr>
        <w:t>行业质量风险管理指南（</w:t>
      </w:r>
      <w:r w:rsidRPr="00FA0DD1">
        <w:rPr>
          <w:rStyle w:val="af3"/>
          <w:sz w:val="24"/>
          <w:szCs w:val="24"/>
        </w:rPr>
        <w:t>2006</w:t>
      </w:r>
      <w:r w:rsidRPr="00FA0DD1">
        <w:rPr>
          <w:rStyle w:val="af3"/>
          <w:sz w:val="24"/>
          <w:szCs w:val="24"/>
        </w:rPr>
        <w:t>年</w:t>
      </w:r>
      <w:r w:rsidRPr="00FA0DD1">
        <w:rPr>
          <w:rStyle w:val="af3"/>
          <w:sz w:val="24"/>
          <w:szCs w:val="24"/>
        </w:rPr>
        <w:t>6</w:t>
      </w:r>
      <w:r w:rsidRPr="00FA0DD1">
        <w:rPr>
          <w:rStyle w:val="af3"/>
          <w:sz w:val="24"/>
          <w:szCs w:val="24"/>
        </w:rPr>
        <w:t>月）；</w:t>
      </w:r>
      <w:r w:rsidRPr="00FA0DD1">
        <w:rPr>
          <w:rStyle w:val="af3"/>
          <w:sz w:val="24"/>
          <w:szCs w:val="24"/>
        </w:rPr>
        <w:t>ISO 14971</w:t>
      </w:r>
      <w:r w:rsidRPr="00FA0DD1">
        <w:rPr>
          <w:rStyle w:val="af3"/>
          <w:sz w:val="24"/>
          <w:szCs w:val="24"/>
        </w:rPr>
        <w:t>：</w:t>
      </w:r>
      <w:r w:rsidRPr="00FA0DD1">
        <w:rPr>
          <w:rStyle w:val="af3"/>
          <w:sz w:val="24"/>
          <w:szCs w:val="24"/>
        </w:rPr>
        <w:t>2019</w:t>
      </w:r>
      <w:r w:rsidRPr="00FA0DD1">
        <w:rPr>
          <w:rStyle w:val="af3"/>
          <w:sz w:val="24"/>
          <w:szCs w:val="24"/>
        </w:rPr>
        <w:t>，医疗器械风险管理对医疗器械的应用）。</w:t>
      </w:r>
    </w:p>
    <w:p w14:paraId="2A5584D4" w14:textId="29556D40"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将</w:t>
      </w:r>
      <w:r w:rsidR="00D55F09">
        <w:rPr>
          <w:rStyle w:val="af3"/>
          <w:rFonts w:hint="eastAsia"/>
          <w:sz w:val="24"/>
          <w:szCs w:val="24"/>
        </w:rPr>
        <w:t>标示</w:t>
      </w:r>
      <w:r w:rsidRPr="00FA0DD1">
        <w:rPr>
          <w:rStyle w:val="af3"/>
          <w:sz w:val="24"/>
          <w:szCs w:val="24"/>
        </w:rPr>
        <w:t>剂量输送至特定身体部位所需的设计特征（例如，进行药物输送的器械组成部分）。</w:t>
      </w:r>
    </w:p>
    <w:p w14:paraId="2DD57050" w14:textId="77777777" w:rsidR="009630D0"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影响药物组成部分关键质量属性的特性。</w:t>
      </w:r>
    </w:p>
    <w:p w14:paraId="704288D9" w14:textId="4D4CF15D" w:rsidR="00C00292" w:rsidRPr="00FA0DD1" w:rsidRDefault="00C00292" w:rsidP="00E8044B">
      <w:pPr>
        <w:spacing w:beforeLines="50" w:before="156" w:afterLines="50" w:after="156"/>
        <w:rPr>
          <w:rStyle w:val="af3"/>
          <w:sz w:val="24"/>
          <w:szCs w:val="24"/>
        </w:rPr>
      </w:pPr>
      <w:r w:rsidRPr="00FA0DD1">
        <w:rPr>
          <w:rStyle w:val="af3"/>
          <w:sz w:val="24"/>
          <w:szCs w:val="24"/>
        </w:rPr>
        <w:t>申请人应将以下视为潜在的既定条件：</w:t>
      </w:r>
    </w:p>
    <w:p w14:paraId="4388DA3A"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作为主要特性的设计特征。</w:t>
      </w:r>
      <w:r w:rsidRPr="00FA0DD1">
        <w:rPr>
          <w:rStyle w:val="af3"/>
          <w:sz w:val="24"/>
          <w:szCs w:val="24"/>
        </w:rPr>
        <w:t xml:space="preserve"> </w:t>
      </w:r>
    </w:p>
    <w:p w14:paraId="7428C466" w14:textId="1BD450B5"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器械组成部分的</w:t>
      </w:r>
      <w:r w:rsidR="00D55F09">
        <w:rPr>
          <w:rStyle w:val="af3"/>
          <w:rFonts w:hint="eastAsia"/>
          <w:sz w:val="24"/>
          <w:szCs w:val="24"/>
        </w:rPr>
        <w:t>生产过程</w:t>
      </w:r>
      <w:r w:rsidRPr="00FA0DD1">
        <w:rPr>
          <w:rStyle w:val="af3"/>
          <w:sz w:val="24"/>
          <w:szCs w:val="24"/>
        </w:rPr>
        <w:t>要素（需加以控制以确保主要特性）。</w:t>
      </w:r>
    </w:p>
    <w:p w14:paraId="5B037B62"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确保主要特性的器械组成部分的其他控制策略元素。</w:t>
      </w:r>
    </w:p>
    <w:p w14:paraId="2FA14208" w14:textId="77777777" w:rsidR="00C00292" w:rsidRPr="00FA0DD1" w:rsidRDefault="00C00292" w:rsidP="00E8044B">
      <w:pPr>
        <w:spacing w:beforeLines="50" w:before="156" w:afterLines="50" w:after="156"/>
        <w:rPr>
          <w:rStyle w:val="af3"/>
          <w:sz w:val="24"/>
          <w:szCs w:val="24"/>
        </w:rPr>
      </w:pPr>
      <w:r w:rsidRPr="00FA0DD1">
        <w:rPr>
          <w:rStyle w:val="af3"/>
          <w:sz w:val="24"/>
          <w:szCs w:val="24"/>
        </w:rPr>
        <w:t>关于通常被认为是器械组成部分的既定条件的元素说明，请参见附录</w:t>
      </w:r>
      <w:r w:rsidRPr="00FA0DD1">
        <w:rPr>
          <w:rStyle w:val="af3"/>
          <w:sz w:val="24"/>
          <w:szCs w:val="24"/>
        </w:rPr>
        <w:t>A</w:t>
      </w:r>
      <w:r w:rsidRPr="00FA0DD1">
        <w:rPr>
          <w:rStyle w:val="af3"/>
          <w:sz w:val="24"/>
          <w:szCs w:val="24"/>
        </w:rPr>
        <w:t>。与确定药物组成部分的既定条件一样，提议用于器械组成部分的既定条件或用于器械组成部分较低报告类别是否合适，会根据具体情况而变化，具体取决于产品和工艺理解程度、从设计和开发中获得的风险管理知识以及对主要特性的指定和证明提供支持的证据。同样，与既定条件变更相关的风险水平将决定该变更的适当报告类别。关于在确定既定条件及其相关报告类别时可遵循的器械组成部分的方法，请参见附录</w:t>
      </w:r>
      <w:r w:rsidRPr="00FA0DD1">
        <w:rPr>
          <w:rStyle w:val="af3"/>
          <w:sz w:val="24"/>
          <w:szCs w:val="24"/>
        </w:rPr>
        <w:t>B</w:t>
      </w:r>
      <w:r w:rsidRPr="00FA0DD1">
        <w:rPr>
          <w:rStyle w:val="af3"/>
          <w:sz w:val="24"/>
          <w:szCs w:val="24"/>
        </w:rPr>
        <w:t>。</w:t>
      </w:r>
    </w:p>
    <w:p w14:paraId="586F082B" w14:textId="77777777" w:rsidR="009630D0" w:rsidRPr="00FA0DD1" w:rsidRDefault="009630D0">
      <w:pPr>
        <w:widowControl/>
        <w:jc w:val="left"/>
        <w:rPr>
          <w:rStyle w:val="af3"/>
          <w:i/>
          <w:sz w:val="24"/>
          <w:szCs w:val="24"/>
        </w:rPr>
      </w:pPr>
      <w:r w:rsidRPr="00FA0DD1">
        <w:rPr>
          <w:rStyle w:val="af3"/>
          <w:i/>
          <w:iCs/>
          <w:sz w:val="24"/>
          <w:szCs w:val="24"/>
        </w:rPr>
        <w:br w:type="page"/>
      </w:r>
    </w:p>
    <w:p w14:paraId="36993C9A" w14:textId="77777777" w:rsidR="00C00292" w:rsidRPr="00FA0DD1" w:rsidRDefault="00C00292" w:rsidP="00E8044B">
      <w:pPr>
        <w:spacing w:beforeLines="50" w:before="156" w:afterLines="50" w:after="156"/>
        <w:ind w:leftChars="539" w:left="1617" w:hangingChars="202" w:hanging="485"/>
        <w:outlineLvl w:val="2"/>
        <w:rPr>
          <w:rStyle w:val="af3"/>
          <w:i/>
          <w:sz w:val="24"/>
          <w:szCs w:val="24"/>
        </w:rPr>
      </w:pPr>
      <w:bookmarkStart w:id="11" w:name="_Toc97322915"/>
      <w:r w:rsidRPr="00FA0DD1">
        <w:rPr>
          <w:rStyle w:val="af3"/>
          <w:i/>
          <w:iCs/>
          <w:sz w:val="24"/>
          <w:szCs w:val="24"/>
        </w:rPr>
        <w:lastRenderedPageBreak/>
        <w:t>5.</w:t>
      </w:r>
      <w:r w:rsidRPr="00FA0DD1">
        <w:rPr>
          <w:rStyle w:val="af3"/>
          <w:i/>
          <w:iCs/>
          <w:sz w:val="24"/>
          <w:szCs w:val="24"/>
        </w:rPr>
        <w:tab/>
      </w:r>
      <w:r w:rsidRPr="00FA0DD1">
        <w:rPr>
          <w:rStyle w:val="af3"/>
          <w:i/>
          <w:iCs/>
          <w:sz w:val="24"/>
          <w:szCs w:val="24"/>
        </w:rPr>
        <w:t>经批准的既定条件变更</w:t>
      </w:r>
      <w:bookmarkEnd w:id="11"/>
    </w:p>
    <w:p w14:paraId="2FB6B7C3" w14:textId="77777777" w:rsidR="00C00292" w:rsidRPr="00FA0DD1" w:rsidRDefault="00C00292" w:rsidP="00E8044B">
      <w:pPr>
        <w:spacing w:beforeLines="50" w:before="156" w:afterLines="50" w:after="156"/>
        <w:rPr>
          <w:rStyle w:val="af3"/>
          <w:sz w:val="24"/>
          <w:szCs w:val="24"/>
        </w:rPr>
      </w:pPr>
      <w:r w:rsidRPr="00FA0DD1">
        <w:rPr>
          <w:rStyle w:val="af3"/>
          <w:sz w:val="24"/>
          <w:szCs w:val="24"/>
        </w:rPr>
        <w:t>如</w:t>
      </w:r>
      <w:r w:rsidRPr="00FA0DD1">
        <w:rPr>
          <w:rStyle w:val="af3"/>
          <w:sz w:val="24"/>
          <w:szCs w:val="24"/>
        </w:rPr>
        <w:t>ICH Q12</w:t>
      </w:r>
      <w:r w:rsidRPr="00FA0DD1">
        <w:rPr>
          <w:rStyle w:val="af3"/>
          <w:sz w:val="24"/>
          <w:szCs w:val="24"/>
        </w:rPr>
        <w:t>所示，申请人可通过以下方式提议增加、取消或更改已批准的既定条件或修订其相关报告类别：</w:t>
      </w:r>
    </w:p>
    <w:p w14:paraId="0FB48930" w14:textId="3B28F404"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提交</w:t>
      </w:r>
      <w:r w:rsidR="00C63D05">
        <w:rPr>
          <w:rStyle w:val="af3"/>
          <w:sz w:val="24"/>
          <w:szCs w:val="24"/>
        </w:rPr>
        <w:t>补充申请</w:t>
      </w:r>
      <w:r w:rsidRPr="00FA0DD1">
        <w:rPr>
          <w:rStyle w:val="af3"/>
          <w:sz w:val="24"/>
          <w:szCs w:val="24"/>
        </w:rPr>
        <w:t>。</w:t>
      </w:r>
      <w:r w:rsidRPr="00FA0DD1">
        <w:rPr>
          <w:rStyle w:val="af3"/>
          <w:sz w:val="24"/>
          <w:szCs w:val="24"/>
        </w:rPr>
        <w:t xml:space="preserve"> </w:t>
      </w:r>
    </w:p>
    <w:p w14:paraId="1BFFA5A5" w14:textId="26532CB5"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增加既定条件，从而进一步保证</w:t>
      </w:r>
      <w:r w:rsidR="00D25AA0">
        <w:rPr>
          <w:rStyle w:val="af3"/>
          <w:rFonts w:hint="eastAsia"/>
          <w:sz w:val="24"/>
          <w:szCs w:val="24"/>
        </w:rPr>
        <w:t>原料药</w:t>
      </w:r>
      <w:r w:rsidRPr="00FA0DD1">
        <w:rPr>
          <w:rStyle w:val="af3"/>
          <w:sz w:val="24"/>
          <w:szCs w:val="24"/>
        </w:rPr>
        <w:t>或</w:t>
      </w:r>
      <w:r w:rsidR="00D25AA0">
        <w:rPr>
          <w:rStyle w:val="af3"/>
          <w:rFonts w:hint="eastAsia"/>
          <w:sz w:val="24"/>
          <w:szCs w:val="24"/>
        </w:rPr>
        <w:t>制剂</w:t>
      </w:r>
      <w:r w:rsidRPr="00FA0DD1">
        <w:rPr>
          <w:rStyle w:val="af3"/>
          <w:sz w:val="24"/>
          <w:szCs w:val="24"/>
        </w:rPr>
        <w:t>的质量，报告类别按照法规或指南建议规定，作为</w:t>
      </w:r>
      <w:r w:rsidRPr="00FA0DD1">
        <w:rPr>
          <w:rStyle w:val="af3"/>
          <w:sz w:val="24"/>
          <w:szCs w:val="24"/>
        </w:rPr>
        <w:t>CBE-0</w:t>
      </w:r>
      <w:r w:rsidRPr="00FA0DD1">
        <w:rPr>
          <w:rStyle w:val="af3"/>
          <w:sz w:val="24"/>
          <w:szCs w:val="24"/>
        </w:rPr>
        <w:t>提交（见第</w:t>
      </w:r>
      <w:r w:rsidRPr="00FA0DD1">
        <w:rPr>
          <w:rStyle w:val="af3"/>
          <w:sz w:val="24"/>
          <w:szCs w:val="24"/>
        </w:rPr>
        <w:t>314.70</w:t>
      </w:r>
      <w:r w:rsidRPr="00FA0DD1">
        <w:rPr>
          <w:rStyle w:val="af3"/>
          <w:sz w:val="24"/>
          <w:szCs w:val="24"/>
        </w:rPr>
        <w:t>（</w:t>
      </w:r>
      <w:r w:rsidRPr="00FA0DD1">
        <w:rPr>
          <w:rStyle w:val="af3"/>
          <w:sz w:val="24"/>
          <w:szCs w:val="24"/>
        </w:rPr>
        <w:t>c</w:t>
      </w:r>
      <w:r w:rsidRPr="00FA0DD1">
        <w:rPr>
          <w:rStyle w:val="af3"/>
          <w:sz w:val="24"/>
          <w:szCs w:val="24"/>
        </w:rPr>
        <w:t>）（</w:t>
      </w:r>
      <w:r w:rsidRPr="00FA0DD1">
        <w:rPr>
          <w:rStyle w:val="af3"/>
          <w:sz w:val="24"/>
          <w:szCs w:val="24"/>
        </w:rPr>
        <w:t>6</w:t>
      </w:r>
      <w:r w:rsidRPr="00FA0DD1">
        <w:rPr>
          <w:rStyle w:val="af3"/>
          <w:sz w:val="24"/>
          <w:szCs w:val="24"/>
        </w:rPr>
        <w:t>）条）。</w:t>
      </w:r>
    </w:p>
    <w:p w14:paraId="39826F0D" w14:textId="39BF0186" w:rsidR="00C00292" w:rsidRPr="00FA0DD1" w:rsidRDefault="001F6146" w:rsidP="00E8044B">
      <w:pPr>
        <w:spacing w:beforeLines="50" w:before="156" w:afterLines="50" w:after="156"/>
        <w:ind w:leftChars="270" w:left="1052" w:hangingChars="202" w:hanging="485"/>
        <w:rPr>
          <w:rStyle w:val="af3"/>
          <w:sz w:val="24"/>
          <w:szCs w:val="24"/>
        </w:rPr>
      </w:pPr>
      <w:r w:rsidRPr="00FA0DD1">
        <w:rPr>
          <w:rStyle w:val="af3"/>
          <w:sz w:val="24"/>
          <w:szCs w:val="24"/>
        </w:rPr>
        <w:t>o</w:t>
      </w:r>
      <w:r w:rsidRPr="00FA0DD1">
        <w:rPr>
          <w:rStyle w:val="af3"/>
          <w:sz w:val="24"/>
          <w:szCs w:val="24"/>
        </w:rPr>
        <w:tab/>
      </w:r>
      <w:r w:rsidRPr="00FA0DD1">
        <w:rPr>
          <w:rStyle w:val="af3"/>
          <w:sz w:val="24"/>
          <w:szCs w:val="24"/>
        </w:rPr>
        <w:t>所有其他变更应作为</w:t>
      </w:r>
      <w:r w:rsidR="00175676">
        <w:rPr>
          <w:rStyle w:val="af3"/>
          <w:rFonts w:hint="eastAsia"/>
          <w:sz w:val="24"/>
          <w:szCs w:val="24"/>
        </w:rPr>
        <w:t>事先</w:t>
      </w:r>
      <w:r w:rsidRPr="00FA0DD1">
        <w:rPr>
          <w:rStyle w:val="af3"/>
          <w:sz w:val="24"/>
          <w:szCs w:val="24"/>
        </w:rPr>
        <w:t>批准补充申请提交。</w:t>
      </w:r>
    </w:p>
    <w:p w14:paraId="5BEB23D5"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提交批准后变更管理方案（</w:t>
      </w:r>
      <w:r w:rsidRPr="00FA0DD1">
        <w:rPr>
          <w:rStyle w:val="af3"/>
          <w:sz w:val="24"/>
          <w:szCs w:val="24"/>
        </w:rPr>
        <w:t>PACMP</w:t>
      </w:r>
      <w:r w:rsidRPr="00FA0DD1">
        <w:rPr>
          <w:rStyle w:val="af3"/>
          <w:sz w:val="24"/>
          <w:szCs w:val="24"/>
        </w:rPr>
        <w:t>）；见本</w:t>
      </w:r>
      <w:proofErr w:type="gramStart"/>
      <w:r w:rsidRPr="00FA0DD1">
        <w:rPr>
          <w:rStyle w:val="af3"/>
          <w:sz w:val="24"/>
          <w:szCs w:val="24"/>
        </w:rPr>
        <w:t>指南第</w:t>
      </w:r>
      <w:proofErr w:type="gramEnd"/>
      <w:r w:rsidRPr="00FA0DD1">
        <w:rPr>
          <w:rStyle w:val="af3"/>
          <w:sz w:val="24"/>
          <w:szCs w:val="24"/>
        </w:rPr>
        <w:t>II.D</w:t>
      </w:r>
      <w:r w:rsidRPr="00FA0DD1">
        <w:rPr>
          <w:rStyle w:val="af3"/>
          <w:sz w:val="24"/>
          <w:szCs w:val="24"/>
        </w:rPr>
        <w:t>节）。</w:t>
      </w:r>
    </w:p>
    <w:p w14:paraId="66CA819C" w14:textId="6FAA31AA"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在补充</w:t>
      </w:r>
      <w:r w:rsidR="007C2910">
        <w:rPr>
          <w:rStyle w:val="af3"/>
          <w:rFonts w:hint="eastAsia"/>
          <w:sz w:val="24"/>
          <w:szCs w:val="24"/>
        </w:rPr>
        <w:t>申请</w:t>
      </w:r>
      <w:r w:rsidRPr="00FA0DD1">
        <w:rPr>
          <w:rStyle w:val="af3"/>
          <w:sz w:val="24"/>
          <w:szCs w:val="24"/>
        </w:rPr>
        <w:t>或年度报告中提交的先前批准的批准后承诺的履行情况。例如，如某项既定条件获得批准，并允许在某些信息可用和提交（如有规定）之前进行修改，则可以采取上述做法</w:t>
      </w:r>
    </w:p>
    <w:p w14:paraId="01DB38B5" w14:textId="77777777" w:rsidR="00C00292" w:rsidRPr="00FA0DD1" w:rsidRDefault="00C00292" w:rsidP="00E8044B">
      <w:pPr>
        <w:spacing w:beforeLines="50" w:before="156" w:afterLines="50" w:after="156"/>
        <w:ind w:leftChars="539" w:left="1617" w:hangingChars="202" w:hanging="485"/>
        <w:outlineLvl w:val="2"/>
        <w:rPr>
          <w:rStyle w:val="af3"/>
          <w:i/>
          <w:sz w:val="24"/>
          <w:szCs w:val="24"/>
        </w:rPr>
      </w:pPr>
      <w:bookmarkStart w:id="12" w:name="_Toc97322916"/>
      <w:r w:rsidRPr="00FA0DD1">
        <w:rPr>
          <w:rStyle w:val="af3"/>
          <w:i/>
          <w:iCs/>
          <w:sz w:val="24"/>
          <w:szCs w:val="24"/>
        </w:rPr>
        <w:t>6.</w:t>
      </w:r>
      <w:r w:rsidRPr="00FA0DD1">
        <w:rPr>
          <w:rStyle w:val="af3"/>
          <w:i/>
          <w:iCs/>
          <w:sz w:val="24"/>
          <w:szCs w:val="24"/>
        </w:rPr>
        <w:tab/>
      </w:r>
      <w:r w:rsidRPr="00FA0DD1">
        <w:rPr>
          <w:rStyle w:val="af3"/>
          <w:i/>
          <w:iCs/>
          <w:sz w:val="24"/>
          <w:szCs w:val="24"/>
        </w:rPr>
        <w:t>根据已批准的既定条件提交的批准后文件</w:t>
      </w:r>
      <w:bookmarkEnd w:id="12"/>
    </w:p>
    <w:p w14:paraId="521B34F8" w14:textId="184A6731" w:rsidR="00C00292" w:rsidRPr="00FA0DD1" w:rsidRDefault="00C00292" w:rsidP="00E8044B">
      <w:pPr>
        <w:spacing w:beforeLines="50" w:before="156" w:afterLines="50" w:after="156"/>
        <w:rPr>
          <w:rStyle w:val="af3"/>
          <w:sz w:val="24"/>
          <w:szCs w:val="24"/>
        </w:rPr>
      </w:pPr>
      <w:r w:rsidRPr="00FA0DD1">
        <w:rPr>
          <w:rStyle w:val="af3"/>
          <w:sz w:val="24"/>
          <w:szCs w:val="24"/>
        </w:rPr>
        <w:t>当提交批准后补充</w:t>
      </w:r>
      <w:r w:rsidR="000534C0">
        <w:rPr>
          <w:rStyle w:val="af3"/>
          <w:rFonts w:hint="eastAsia"/>
          <w:sz w:val="24"/>
          <w:szCs w:val="24"/>
        </w:rPr>
        <w:t>申请</w:t>
      </w:r>
      <w:r w:rsidRPr="00FA0DD1">
        <w:rPr>
          <w:rStyle w:val="af3"/>
          <w:sz w:val="24"/>
          <w:szCs w:val="24"/>
        </w:rPr>
        <w:t>和年度报告</w:t>
      </w:r>
      <w:r w:rsidR="006E34CE">
        <w:rPr>
          <w:rStyle w:val="af3"/>
          <w:rFonts w:hint="eastAsia"/>
          <w:sz w:val="24"/>
          <w:szCs w:val="24"/>
        </w:rPr>
        <w:t>时</w:t>
      </w:r>
      <w:r w:rsidRPr="00FA0DD1">
        <w:rPr>
          <w:rStyle w:val="af3"/>
          <w:sz w:val="24"/>
          <w:szCs w:val="24"/>
        </w:rPr>
        <w:t>，根据批准的既定条件报告</w:t>
      </w:r>
      <w:r w:rsidR="006E34CE">
        <w:rPr>
          <w:rStyle w:val="af3"/>
          <w:rFonts w:hint="eastAsia"/>
          <w:sz w:val="24"/>
          <w:szCs w:val="24"/>
        </w:rPr>
        <w:t>C</w:t>
      </w:r>
      <w:r w:rsidR="006E34CE">
        <w:rPr>
          <w:rStyle w:val="af3"/>
          <w:sz w:val="24"/>
          <w:szCs w:val="24"/>
        </w:rPr>
        <w:t>MC</w:t>
      </w:r>
      <w:r w:rsidRPr="00FA0DD1">
        <w:rPr>
          <w:rStyle w:val="af3"/>
          <w:sz w:val="24"/>
          <w:szCs w:val="24"/>
        </w:rPr>
        <w:t>变更时，申请人应在申请信中说明提交材料包含根据先前批准的既定条件所做的变更。这些提交材料还应包括最新的</w:t>
      </w:r>
      <w:r w:rsidRPr="00FA0DD1">
        <w:rPr>
          <w:rStyle w:val="af3"/>
          <w:sz w:val="24"/>
          <w:szCs w:val="24"/>
        </w:rPr>
        <w:t>PLCM</w:t>
      </w:r>
      <w:r w:rsidRPr="00FA0DD1">
        <w:rPr>
          <w:rStyle w:val="af3"/>
          <w:sz w:val="24"/>
          <w:szCs w:val="24"/>
        </w:rPr>
        <w:t>情况（见本</w:t>
      </w:r>
      <w:proofErr w:type="gramStart"/>
      <w:r w:rsidRPr="00FA0DD1">
        <w:rPr>
          <w:rStyle w:val="af3"/>
          <w:sz w:val="24"/>
          <w:szCs w:val="24"/>
        </w:rPr>
        <w:t>指南第</w:t>
      </w:r>
      <w:proofErr w:type="gramEnd"/>
      <w:r w:rsidRPr="00FA0DD1">
        <w:rPr>
          <w:rStyle w:val="af3"/>
          <w:sz w:val="24"/>
          <w:szCs w:val="24"/>
        </w:rPr>
        <w:t>II.E</w:t>
      </w:r>
      <w:r w:rsidRPr="00FA0DD1">
        <w:rPr>
          <w:rStyle w:val="af3"/>
          <w:sz w:val="24"/>
          <w:szCs w:val="24"/>
        </w:rPr>
        <w:t>节）</w:t>
      </w:r>
    </w:p>
    <w:p w14:paraId="78CBF74B" w14:textId="77777777" w:rsidR="00C00292" w:rsidRPr="00FA0DD1" w:rsidRDefault="00C00292" w:rsidP="00E8044B">
      <w:pPr>
        <w:spacing w:beforeLines="50" w:before="156" w:afterLines="50" w:after="156"/>
        <w:ind w:leftChars="539" w:left="1617" w:hangingChars="202" w:hanging="485"/>
        <w:outlineLvl w:val="2"/>
        <w:rPr>
          <w:rStyle w:val="af3"/>
          <w:i/>
          <w:sz w:val="24"/>
          <w:szCs w:val="24"/>
        </w:rPr>
      </w:pPr>
      <w:bookmarkStart w:id="13" w:name="_Toc97322917"/>
      <w:r w:rsidRPr="00FA0DD1">
        <w:rPr>
          <w:rStyle w:val="af3"/>
          <w:i/>
          <w:iCs/>
          <w:sz w:val="24"/>
          <w:szCs w:val="24"/>
        </w:rPr>
        <w:t>7.</w:t>
      </w:r>
      <w:r w:rsidRPr="00FA0DD1">
        <w:rPr>
          <w:rStyle w:val="af3"/>
          <w:i/>
          <w:iCs/>
          <w:sz w:val="24"/>
          <w:szCs w:val="24"/>
        </w:rPr>
        <w:tab/>
      </w:r>
      <w:r w:rsidRPr="00FA0DD1">
        <w:rPr>
          <w:rStyle w:val="af3"/>
          <w:i/>
          <w:iCs/>
          <w:sz w:val="24"/>
          <w:szCs w:val="24"/>
        </w:rPr>
        <w:t>申请保持</w:t>
      </w:r>
      <w:bookmarkEnd w:id="13"/>
    </w:p>
    <w:p w14:paraId="43DAE9FD" w14:textId="4EFDFA5C" w:rsidR="00C00292" w:rsidRPr="00FA0DD1" w:rsidRDefault="00C00292" w:rsidP="00E8044B">
      <w:pPr>
        <w:spacing w:beforeLines="50" w:before="156" w:afterLines="50" w:after="156"/>
        <w:rPr>
          <w:rStyle w:val="af3"/>
          <w:sz w:val="24"/>
          <w:szCs w:val="24"/>
        </w:rPr>
      </w:pPr>
      <w:r w:rsidRPr="00FA0DD1">
        <w:rPr>
          <w:rStyle w:val="af3"/>
          <w:sz w:val="24"/>
          <w:szCs w:val="24"/>
        </w:rPr>
        <w:t>如</w:t>
      </w:r>
      <w:r w:rsidRPr="00FA0DD1">
        <w:rPr>
          <w:rStyle w:val="af3"/>
          <w:sz w:val="24"/>
          <w:szCs w:val="24"/>
        </w:rPr>
        <w:t>ICH Q12</w:t>
      </w:r>
      <w:r w:rsidRPr="00FA0DD1">
        <w:rPr>
          <w:rStyle w:val="af3"/>
          <w:sz w:val="24"/>
          <w:szCs w:val="24"/>
        </w:rPr>
        <w:t>所示，</w:t>
      </w:r>
      <w:r w:rsidR="00851119">
        <w:rPr>
          <w:rStyle w:val="af3"/>
          <w:rFonts w:hint="eastAsia"/>
          <w:sz w:val="24"/>
          <w:szCs w:val="24"/>
        </w:rPr>
        <w:t>维护</w:t>
      </w:r>
      <w:r w:rsidRPr="00FA0DD1">
        <w:rPr>
          <w:rStyle w:val="af3"/>
          <w:sz w:val="24"/>
          <w:szCs w:val="24"/>
        </w:rPr>
        <w:t>申请应符合地区要求。为确保</w:t>
      </w:r>
      <w:r w:rsidRPr="00FA0DD1">
        <w:rPr>
          <w:rStyle w:val="af3"/>
          <w:sz w:val="24"/>
          <w:szCs w:val="24"/>
        </w:rPr>
        <w:t>FDA</w:t>
      </w:r>
      <w:r w:rsidRPr="00FA0DD1">
        <w:rPr>
          <w:rStyle w:val="af3"/>
          <w:sz w:val="24"/>
          <w:szCs w:val="24"/>
        </w:rPr>
        <w:t>可使用最新的分析</w:t>
      </w:r>
      <w:r w:rsidR="002A67B5">
        <w:rPr>
          <w:rStyle w:val="af3"/>
          <w:rFonts w:hint="eastAsia"/>
          <w:sz w:val="24"/>
          <w:szCs w:val="24"/>
        </w:rPr>
        <w:t>方法</w:t>
      </w:r>
      <w:r w:rsidRPr="00FA0DD1">
        <w:rPr>
          <w:rStyle w:val="af3"/>
          <w:sz w:val="24"/>
          <w:szCs w:val="24"/>
        </w:rPr>
        <w:t>，申请人应在年度报告中</w:t>
      </w:r>
      <w:r w:rsidR="00216028">
        <w:rPr>
          <w:rStyle w:val="af3"/>
          <w:rFonts w:hint="eastAsia"/>
          <w:sz w:val="24"/>
          <w:szCs w:val="24"/>
        </w:rPr>
        <w:t>包含</w:t>
      </w:r>
      <w:r w:rsidRPr="00FA0DD1">
        <w:rPr>
          <w:rStyle w:val="af3"/>
          <w:sz w:val="24"/>
          <w:szCs w:val="24"/>
        </w:rPr>
        <w:t>一份所有分析</w:t>
      </w:r>
      <w:r w:rsidR="000C239E">
        <w:rPr>
          <w:rStyle w:val="af3"/>
          <w:rFonts w:hint="eastAsia"/>
          <w:sz w:val="24"/>
          <w:szCs w:val="24"/>
        </w:rPr>
        <w:t>方法</w:t>
      </w:r>
      <w:r w:rsidRPr="00FA0DD1">
        <w:rPr>
          <w:rStyle w:val="af3"/>
          <w:sz w:val="24"/>
          <w:szCs w:val="24"/>
        </w:rPr>
        <w:t>的副本，这些分析</w:t>
      </w:r>
      <w:r w:rsidR="000C239E">
        <w:rPr>
          <w:rStyle w:val="af3"/>
          <w:rFonts w:hint="eastAsia"/>
          <w:sz w:val="24"/>
          <w:szCs w:val="24"/>
        </w:rPr>
        <w:t>方法</w:t>
      </w:r>
      <w:r w:rsidR="00BB58BE">
        <w:rPr>
          <w:rStyle w:val="af3"/>
          <w:rFonts w:hint="eastAsia"/>
          <w:sz w:val="24"/>
          <w:szCs w:val="24"/>
        </w:rPr>
        <w:t>此前</w:t>
      </w:r>
      <w:r w:rsidRPr="00FA0DD1">
        <w:rPr>
          <w:rStyle w:val="af3"/>
          <w:sz w:val="24"/>
          <w:szCs w:val="24"/>
        </w:rPr>
        <w:t>并未提交，但是已在报告期内进行了适当修改（即，因为更改与既定条件无关，仅通过</w:t>
      </w:r>
      <w:r w:rsidRPr="00FA0DD1">
        <w:rPr>
          <w:rStyle w:val="af3"/>
          <w:sz w:val="24"/>
          <w:szCs w:val="24"/>
        </w:rPr>
        <w:t>PQS</w:t>
      </w:r>
      <w:r w:rsidRPr="00FA0DD1">
        <w:rPr>
          <w:rStyle w:val="af3"/>
          <w:sz w:val="24"/>
          <w:szCs w:val="24"/>
        </w:rPr>
        <w:t>进行管理）。除非确定实际上</w:t>
      </w:r>
      <w:r w:rsidR="00CA2488">
        <w:rPr>
          <w:rStyle w:val="af3"/>
          <w:rFonts w:hint="eastAsia"/>
          <w:sz w:val="24"/>
          <w:szCs w:val="24"/>
        </w:rPr>
        <w:t>分析方法</w:t>
      </w:r>
      <w:r w:rsidRPr="00FA0DD1">
        <w:rPr>
          <w:rStyle w:val="af3"/>
          <w:sz w:val="24"/>
          <w:szCs w:val="24"/>
        </w:rPr>
        <w:t>对既定条件进行了更改，</w:t>
      </w:r>
      <w:r w:rsidR="005401CF">
        <w:rPr>
          <w:rStyle w:val="af3"/>
          <w:rFonts w:hint="eastAsia"/>
          <w:sz w:val="24"/>
          <w:szCs w:val="24"/>
        </w:rPr>
        <w:t>否则</w:t>
      </w:r>
      <w:r w:rsidRPr="00FA0DD1">
        <w:rPr>
          <w:rStyle w:val="af3"/>
          <w:sz w:val="24"/>
          <w:szCs w:val="24"/>
        </w:rPr>
        <w:t>此信息仅供参考，通常无需审核。申请人应将此信息包含在电子通用技术文档第</w:t>
      </w:r>
      <w:r w:rsidRPr="00FA0DD1">
        <w:rPr>
          <w:rStyle w:val="af3"/>
          <w:sz w:val="24"/>
          <w:szCs w:val="24"/>
        </w:rPr>
        <w:t>1.13.5</w:t>
      </w:r>
      <w:r w:rsidRPr="00FA0DD1">
        <w:rPr>
          <w:rStyle w:val="af3"/>
          <w:sz w:val="24"/>
          <w:szCs w:val="24"/>
        </w:rPr>
        <w:t>或</w:t>
      </w:r>
      <w:r w:rsidRPr="00FA0DD1">
        <w:rPr>
          <w:rStyle w:val="af3"/>
          <w:sz w:val="24"/>
          <w:szCs w:val="24"/>
        </w:rPr>
        <w:t>1.13.7</w:t>
      </w:r>
      <w:r w:rsidRPr="00FA0DD1">
        <w:rPr>
          <w:rStyle w:val="af3"/>
          <w:sz w:val="24"/>
          <w:szCs w:val="24"/>
        </w:rPr>
        <w:t>节中，并声明</w:t>
      </w:r>
      <w:r w:rsidRPr="00FA0DD1">
        <w:rPr>
          <w:rStyle w:val="af3"/>
          <w:rFonts w:ascii="宋体" w:eastAsia="宋体" w:hAnsi="宋体"/>
          <w:sz w:val="24"/>
          <w:szCs w:val="24"/>
        </w:rPr>
        <w:t>“</w:t>
      </w:r>
      <w:r w:rsidRPr="00FA0DD1">
        <w:rPr>
          <w:rStyle w:val="af3"/>
          <w:sz w:val="24"/>
          <w:szCs w:val="24"/>
        </w:rPr>
        <w:t>仅供参考：分析方法的变更，包括不需要提交的变更。</w:t>
      </w:r>
      <w:r w:rsidRPr="00FA0DD1">
        <w:rPr>
          <w:rStyle w:val="af3"/>
          <w:rFonts w:ascii="宋体" w:eastAsia="宋体" w:hAnsi="宋体"/>
          <w:sz w:val="24"/>
          <w:szCs w:val="24"/>
        </w:rPr>
        <w:t>”</w:t>
      </w:r>
    </w:p>
    <w:p w14:paraId="404F5E8F" w14:textId="77777777" w:rsidR="009630D0" w:rsidRPr="00FA0DD1" w:rsidRDefault="009630D0">
      <w:pPr>
        <w:widowControl/>
        <w:jc w:val="left"/>
        <w:rPr>
          <w:rStyle w:val="af3"/>
          <w:sz w:val="24"/>
          <w:szCs w:val="24"/>
        </w:rPr>
      </w:pPr>
      <w:r w:rsidRPr="00FA0DD1">
        <w:rPr>
          <w:rStyle w:val="af3"/>
          <w:sz w:val="24"/>
          <w:szCs w:val="24"/>
        </w:rPr>
        <w:br w:type="page"/>
      </w:r>
    </w:p>
    <w:p w14:paraId="3FEB7103" w14:textId="77777777" w:rsidR="00C00292" w:rsidRPr="00C13D65"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2918"/>
      <w:r>
        <w:rPr>
          <w:rFonts w:ascii="Times New Roman" w:hAnsi="Times New Roman" w:cs="Times New Roman"/>
          <w:b/>
          <w:bCs/>
          <w:sz w:val="24"/>
          <w:szCs w:val="24"/>
        </w:rPr>
        <w:lastRenderedPageBreak/>
        <w:t>D.</w:t>
      </w:r>
      <w:r>
        <w:rPr>
          <w:rFonts w:ascii="Times New Roman" w:hAnsi="Times New Roman" w:cs="Times New Roman"/>
          <w:b/>
          <w:bCs/>
          <w:sz w:val="24"/>
          <w:szCs w:val="24"/>
        </w:rPr>
        <w:tab/>
      </w:r>
      <w:r>
        <w:rPr>
          <w:rFonts w:ascii="Times New Roman" w:hAnsi="Times New Roman" w:cs="Times New Roman"/>
          <w:b/>
          <w:bCs/>
          <w:sz w:val="24"/>
          <w:szCs w:val="24"/>
        </w:rPr>
        <w:t>批准后变更管理方案</w:t>
      </w:r>
      <w:bookmarkEnd w:id="14"/>
    </w:p>
    <w:p w14:paraId="465B4A7E" w14:textId="17C13E7C" w:rsidR="009630D0" w:rsidRPr="00FA0DD1" w:rsidRDefault="00C00292" w:rsidP="00E8044B">
      <w:pPr>
        <w:spacing w:beforeLines="50" w:before="156" w:afterLines="50" w:after="156"/>
        <w:rPr>
          <w:rStyle w:val="af3"/>
          <w:sz w:val="24"/>
          <w:szCs w:val="24"/>
        </w:rPr>
      </w:pPr>
      <w:r w:rsidRPr="00FA0DD1">
        <w:rPr>
          <w:rStyle w:val="af3"/>
          <w:sz w:val="24"/>
          <w:szCs w:val="24"/>
        </w:rPr>
        <w:t>在美国监管体系中，批准后变更管理方案称为可比性方案，属于自愿性质。这些方案在一个重要方面不同于既定条件的使用。可比性方案和既定条件的使用均涉及</w:t>
      </w:r>
      <w:proofErr w:type="gramStart"/>
      <w:r w:rsidRPr="00FA0DD1">
        <w:rPr>
          <w:rStyle w:val="af3"/>
          <w:sz w:val="24"/>
          <w:szCs w:val="24"/>
        </w:rPr>
        <w:t>需报告</w:t>
      </w:r>
      <w:proofErr w:type="gramEnd"/>
      <w:r w:rsidRPr="00FA0DD1">
        <w:rPr>
          <w:rStyle w:val="af3"/>
          <w:sz w:val="24"/>
          <w:szCs w:val="24"/>
        </w:rPr>
        <w:t>的要素（如已更改）和报告机制，但可比性方案要求进行测试和研究，以支持在方案提交时需说明的将来对既定条件的更改（</w:t>
      </w:r>
      <w:r w:rsidR="00AA060A">
        <w:rPr>
          <w:rStyle w:val="af3"/>
          <w:sz w:val="24"/>
          <w:szCs w:val="24"/>
        </w:rPr>
        <w:t xml:space="preserve">21 CFR </w:t>
      </w:r>
      <w:r w:rsidRPr="00FA0DD1">
        <w:rPr>
          <w:rStyle w:val="af3"/>
          <w:sz w:val="24"/>
          <w:szCs w:val="24"/>
        </w:rPr>
        <w:t>314.70</w:t>
      </w:r>
      <w:r w:rsidRPr="00FA0DD1">
        <w:rPr>
          <w:rStyle w:val="af3"/>
          <w:sz w:val="24"/>
          <w:szCs w:val="24"/>
        </w:rPr>
        <w:t>（</w:t>
      </w:r>
      <w:r w:rsidRPr="00FA0DD1">
        <w:rPr>
          <w:rStyle w:val="af3"/>
          <w:sz w:val="24"/>
          <w:szCs w:val="24"/>
        </w:rPr>
        <w:t>e</w:t>
      </w:r>
      <w:r w:rsidRPr="00FA0DD1">
        <w:rPr>
          <w:rStyle w:val="af3"/>
          <w:sz w:val="24"/>
          <w:szCs w:val="24"/>
        </w:rPr>
        <w:t>））。</w:t>
      </w:r>
    </w:p>
    <w:p w14:paraId="3745ABC6" w14:textId="77777777" w:rsidR="00C00292" w:rsidRPr="00FA0DD1" w:rsidRDefault="00C00292" w:rsidP="00E8044B">
      <w:pPr>
        <w:spacing w:beforeLines="50" w:before="156" w:afterLines="50" w:after="156"/>
        <w:rPr>
          <w:rStyle w:val="af3"/>
          <w:sz w:val="24"/>
          <w:szCs w:val="24"/>
        </w:rPr>
      </w:pPr>
      <w:r w:rsidRPr="00FA0DD1">
        <w:rPr>
          <w:rStyle w:val="af3"/>
          <w:sz w:val="24"/>
          <w:szCs w:val="24"/>
        </w:rPr>
        <w:t>FDA</w:t>
      </w:r>
      <w:r w:rsidRPr="00FA0DD1">
        <w:rPr>
          <w:rStyle w:val="af3"/>
          <w:sz w:val="24"/>
          <w:szCs w:val="24"/>
        </w:rPr>
        <w:t>建议在电子通用技术文档第</w:t>
      </w:r>
      <w:r w:rsidRPr="00FA0DD1">
        <w:rPr>
          <w:rStyle w:val="af3"/>
          <w:sz w:val="24"/>
          <w:szCs w:val="24"/>
        </w:rPr>
        <w:t>3.2.R</w:t>
      </w:r>
      <w:r w:rsidRPr="00FA0DD1">
        <w:rPr>
          <w:rStyle w:val="af3"/>
          <w:sz w:val="24"/>
          <w:szCs w:val="24"/>
        </w:rPr>
        <w:t>节中提交可比性方案。对于包含适用于多种产品的一项或多项变更的可比性方案，请参见行业指南草案《人用药物和生物制品的可比性方案：</w:t>
      </w:r>
      <w:r w:rsidRPr="00FA0DD1">
        <w:rPr>
          <w:rStyle w:val="af3"/>
          <w:sz w:val="24"/>
          <w:szCs w:val="24"/>
        </w:rPr>
        <w:t xml:space="preserve"> </w:t>
      </w:r>
      <w:r w:rsidRPr="00FA0DD1">
        <w:rPr>
          <w:rStyle w:val="af3"/>
          <w:sz w:val="24"/>
          <w:szCs w:val="24"/>
        </w:rPr>
        <w:t>工业化学、制造和控制信息》（</w:t>
      </w:r>
      <w:r w:rsidRPr="00FA0DD1">
        <w:rPr>
          <w:rStyle w:val="af3"/>
          <w:sz w:val="24"/>
          <w:szCs w:val="24"/>
        </w:rPr>
        <w:t>2016</w:t>
      </w:r>
      <w:r w:rsidRPr="00FA0DD1">
        <w:rPr>
          <w:rStyle w:val="af3"/>
          <w:sz w:val="24"/>
          <w:szCs w:val="24"/>
        </w:rPr>
        <w:t>年</w:t>
      </w:r>
      <w:r w:rsidRPr="00FA0DD1">
        <w:rPr>
          <w:rStyle w:val="af3"/>
          <w:sz w:val="24"/>
          <w:szCs w:val="24"/>
        </w:rPr>
        <w:t>4</w:t>
      </w:r>
      <w:r w:rsidRPr="00FA0DD1">
        <w:rPr>
          <w:rStyle w:val="af3"/>
          <w:sz w:val="24"/>
          <w:szCs w:val="24"/>
        </w:rPr>
        <w:t>月）</w:t>
      </w:r>
      <w:r w:rsidRPr="00FA0DD1">
        <w:rPr>
          <w:rStyle w:val="af2"/>
          <w:rFonts w:ascii="Times New Roman" w:hAnsi="Times New Roman" w:cs="Times New Roman"/>
          <w:sz w:val="24"/>
          <w:szCs w:val="24"/>
        </w:rPr>
        <w:footnoteReference w:id="14"/>
      </w:r>
      <w:r w:rsidRPr="00FA0DD1">
        <w:rPr>
          <w:rStyle w:val="af3"/>
          <w:sz w:val="24"/>
          <w:szCs w:val="24"/>
        </w:rPr>
        <w:t>获取与提交材料的适当内容和格式以及可比性方案可能有用的情况相关的信息。</w:t>
      </w:r>
    </w:p>
    <w:p w14:paraId="06DBA945" w14:textId="6B86C767" w:rsidR="00C00292" w:rsidRPr="00FA0DD1"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15" w:name="_Toc97322919"/>
      <w:r w:rsidRPr="00FA0DD1">
        <w:rPr>
          <w:rFonts w:ascii="Times New Roman" w:hAnsi="Times New Roman" w:cs="Times New Roman"/>
          <w:b/>
          <w:bCs/>
          <w:sz w:val="24"/>
          <w:szCs w:val="24"/>
        </w:rPr>
        <w:t>E.</w:t>
      </w:r>
      <w:r w:rsidRPr="00FA0DD1">
        <w:rPr>
          <w:rFonts w:ascii="Times New Roman" w:hAnsi="Times New Roman" w:cs="Times New Roman"/>
          <w:b/>
          <w:bCs/>
          <w:sz w:val="24"/>
          <w:szCs w:val="24"/>
        </w:rPr>
        <w:tab/>
      </w:r>
      <w:r w:rsidRPr="00FA0DD1">
        <w:rPr>
          <w:rFonts w:ascii="Times New Roman" w:hAnsi="Times New Roman" w:cs="Times New Roman"/>
          <w:b/>
          <w:bCs/>
          <w:sz w:val="24"/>
          <w:szCs w:val="24"/>
        </w:rPr>
        <w:t>产品生命周期管理</w:t>
      </w:r>
      <w:bookmarkEnd w:id="15"/>
      <w:r w:rsidR="001D1559">
        <w:rPr>
          <w:rFonts w:ascii="Times New Roman" w:hAnsi="Times New Roman" w:cs="Times New Roman" w:hint="eastAsia"/>
          <w:b/>
          <w:bCs/>
          <w:sz w:val="24"/>
          <w:szCs w:val="24"/>
        </w:rPr>
        <w:t>文件</w:t>
      </w:r>
    </w:p>
    <w:p w14:paraId="33F9637B" w14:textId="5089B879" w:rsidR="00C00292" w:rsidRPr="00FA0DD1" w:rsidRDefault="00C00292" w:rsidP="00E8044B">
      <w:pPr>
        <w:spacing w:beforeLines="50" w:before="156" w:afterLines="50" w:after="156"/>
        <w:rPr>
          <w:rStyle w:val="af3"/>
          <w:sz w:val="24"/>
          <w:szCs w:val="24"/>
        </w:rPr>
      </w:pPr>
      <w:r w:rsidRPr="00FA0DD1">
        <w:rPr>
          <w:rStyle w:val="af3"/>
          <w:sz w:val="24"/>
          <w:szCs w:val="24"/>
        </w:rPr>
        <w:t>如</w:t>
      </w:r>
      <w:r w:rsidRPr="00FA0DD1">
        <w:rPr>
          <w:rStyle w:val="af3"/>
          <w:sz w:val="24"/>
          <w:szCs w:val="24"/>
        </w:rPr>
        <w:t>ICH Q12</w:t>
      </w:r>
      <w:r w:rsidRPr="00FA0DD1">
        <w:rPr>
          <w:rStyle w:val="af3"/>
          <w:sz w:val="24"/>
          <w:szCs w:val="24"/>
        </w:rPr>
        <w:t>中所述，产品生命周期管理文件应包括</w:t>
      </w:r>
      <w:r w:rsidR="002A7667">
        <w:rPr>
          <w:rStyle w:val="af3"/>
          <w:rFonts w:hint="eastAsia"/>
          <w:sz w:val="24"/>
          <w:szCs w:val="24"/>
        </w:rPr>
        <w:t>提议</w:t>
      </w:r>
      <w:r w:rsidRPr="00FA0DD1">
        <w:rPr>
          <w:rStyle w:val="af3"/>
          <w:sz w:val="24"/>
          <w:szCs w:val="24"/>
        </w:rPr>
        <w:t>的既定条件、对已批准的既定条件进行变更的报告类别、可比性方案列表（如已提交）以及批准后的</w:t>
      </w:r>
      <w:r w:rsidR="00802C0A">
        <w:rPr>
          <w:rStyle w:val="af3"/>
          <w:rFonts w:hint="eastAsia"/>
          <w:sz w:val="24"/>
          <w:szCs w:val="24"/>
        </w:rPr>
        <w:t>C</w:t>
      </w:r>
      <w:r w:rsidR="00802C0A">
        <w:rPr>
          <w:rStyle w:val="af3"/>
          <w:sz w:val="24"/>
          <w:szCs w:val="24"/>
        </w:rPr>
        <w:t>MC</w:t>
      </w:r>
      <w:r w:rsidRPr="00FA0DD1">
        <w:rPr>
          <w:rStyle w:val="af3"/>
          <w:sz w:val="24"/>
          <w:szCs w:val="24"/>
        </w:rPr>
        <w:t>承诺（如适用）。</w:t>
      </w:r>
      <w:r w:rsidRPr="00FA0DD1">
        <w:rPr>
          <w:rStyle w:val="af3"/>
          <w:sz w:val="24"/>
          <w:szCs w:val="24"/>
        </w:rPr>
        <w:t>FDA</w:t>
      </w:r>
      <w:r w:rsidRPr="00FA0DD1">
        <w:rPr>
          <w:rStyle w:val="af3"/>
          <w:sz w:val="24"/>
          <w:szCs w:val="24"/>
        </w:rPr>
        <w:t>建议在电子通用技术文档第</w:t>
      </w:r>
      <w:r w:rsidRPr="00FA0DD1">
        <w:rPr>
          <w:rStyle w:val="af3"/>
          <w:sz w:val="24"/>
          <w:szCs w:val="24"/>
        </w:rPr>
        <w:t>3.2.R</w:t>
      </w:r>
      <w:r w:rsidRPr="00FA0DD1">
        <w:rPr>
          <w:rStyle w:val="af3"/>
          <w:sz w:val="24"/>
          <w:szCs w:val="24"/>
        </w:rPr>
        <w:t>节中以表格形式提供产品生命周期管理文件，并特别提及提交顺序、电子通用技术文档章节号和各既定条件科学依据的页码位置。</w:t>
      </w:r>
      <w:r w:rsidRPr="00FA0DD1">
        <w:rPr>
          <w:rStyle w:val="af3"/>
          <w:sz w:val="24"/>
          <w:szCs w:val="24"/>
        </w:rPr>
        <w:t>FDA</w:t>
      </w:r>
      <w:r w:rsidRPr="00FA0DD1">
        <w:rPr>
          <w:rStyle w:val="af3"/>
          <w:sz w:val="24"/>
          <w:szCs w:val="24"/>
        </w:rPr>
        <w:t>还建议，产品生命周期管理应说明将实施既定条件的制造地点（最好通过工厂识别号（</w:t>
      </w:r>
      <w:r w:rsidRPr="00FA0DD1">
        <w:rPr>
          <w:rStyle w:val="af3"/>
          <w:sz w:val="24"/>
          <w:szCs w:val="24"/>
        </w:rPr>
        <w:t>FEI</w:t>
      </w:r>
      <w:r w:rsidRPr="00FA0DD1">
        <w:rPr>
          <w:rStyle w:val="af3"/>
          <w:sz w:val="24"/>
          <w:szCs w:val="24"/>
        </w:rPr>
        <w:t>）编号）。</w:t>
      </w:r>
      <w:r w:rsidRPr="00FA0DD1">
        <w:rPr>
          <w:rStyle w:val="af2"/>
          <w:rFonts w:ascii="Times New Roman" w:hAnsi="Times New Roman" w:cs="Times New Roman"/>
          <w:sz w:val="24"/>
          <w:szCs w:val="24"/>
        </w:rPr>
        <w:footnoteReference w:id="15"/>
      </w:r>
      <w:r w:rsidRPr="00FA0DD1">
        <w:rPr>
          <w:rStyle w:val="af3"/>
          <w:sz w:val="24"/>
          <w:szCs w:val="24"/>
        </w:rPr>
        <w:t>例如，如申请中指定了两个药品制造地点，但与</w:t>
      </w:r>
      <w:r w:rsidR="008561AE">
        <w:rPr>
          <w:rStyle w:val="af3"/>
          <w:sz w:val="24"/>
          <w:szCs w:val="24"/>
        </w:rPr>
        <w:t>生产过程</w:t>
      </w:r>
      <w:r w:rsidRPr="00FA0DD1">
        <w:rPr>
          <w:rStyle w:val="af3"/>
          <w:sz w:val="24"/>
          <w:szCs w:val="24"/>
        </w:rPr>
        <w:t>相关的既定条件仅与这两个地点其中一个地点的制造相关，则应在产品生命周期管理阶段为这些与工艺相关的既定条件</w:t>
      </w:r>
      <w:r w:rsidR="003E6BF8">
        <w:rPr>
          <w:rStyle w:val="af3"/>
          <w:rFonts w:hint="eastAsia"/>
          <w:sz w:val="24"/>
          <w:szCs w:val="24"/>
        </w:rPr>
        <w:t>指明</w:t>
      </w:r>
      <w:r w:rsidRPr="00FA0DD1">
        <w:rPr>
          <w:rStyle w:val="af3"/>
          <w:sz w:val="24"/>
          <w:szCs w:val="24"/>
        </w:rPr>
        <w:t>该地点的工厂识别号。然后，</w:t>
      </w:r>
      <w:r w:rsidR="00175486">
        <w:rPr>
          <w:rStyle w:val="af3"/>
          <w:rFonts w:hint="eastAsia"/>
          <w:sz w:val="24"/>
          <w:szCs w:val="24"/>
        </w:rPr>
        <w:t>默认</w:t>
      </w:r>
      <w:r w:rsidRPr="00FA0DD1">
        <w:rPr>
          <w:rStyle w:val="af3"/>
          <w:sz w:val="24"/>
          <w:szCs w:val="24"/>
        </w:rPr>
        <w:t>另一家工厂适用的既定条件将遵循法规和指南建议。如</w:t>
      </w:r>
      <w:r w:rsidR="00175486">
        <w:rPr>
          <w:rStyle w:val="af3"/>
          <w:rFonts w:hint="eastAsia"/>
          <w:sz w:val="24"/>
          <w:szCs w:val="24"/>
        </w:rPr>
        <w:t>果</w:t>
      </w:r>
      <w:r w:rsidRPr="00FA0DD1">
        <w:rPr>
          <w:rStyle w:val="af3"/>
          <w:sz w:val="24"/>
          <w:szCs w:val="24"/>
        </w:rPr>
        <w:t>在两个地点实施既定条件，则应列出两个工厂识别号。申请人应将工厂识别号视为产品生命周期管理中含义最广的既定条件（例如，如该部分所有后续既定条件均与一家药品生产机构相关，则应在</w:t>
      </w:r>
      <w:r w:rsidRPr="00FA0DD1">
        <w:rPr>
          <w:rStyle w:val="af3"/>
          <w:sz w:val="24"/>
          <w:szCs w:val="24"/>
        </w:rPr>
        <w:t>3.2.P</w:t>
      </w:r>
      <w:r w:rsidRPr="00FA0DD1">
        <w:rPr>
          <w:rStyle w:val="af3"/>
          <w:sz w:val="24"/>
          <w:szCs w:val="24"/>
        </w:rPr>
        <w:t>文首列出一个工厂识别号）。有关产品生命周期管理文件的示例，请参见本指南中的附录</w:t>
      </w:r>
      <w:r w:rsidRPr="00FA0DD1">
        <w:rPr>
          <w:rStyle w:val="af3"/>
          <w:sz w:val="24"/>
          <w:szCs w:val="24"/>
        </w:rPr>
        <w:t>C</w:t>
      </w:r>
      <w:r w:rsidRPr="00FA0DD1">
        <w:rPr>
          <w:rStyle w:val="af3"/>
          <w:sz w:val="24"/>
          <w:szCs w:val="24"/>
        </w:rPr>
        <w:t>。</w:t>
      </w:r>
    </w:p>
    <w:p w14:paraId="016A2DFE" w14:textId="42F804A1" w:rsidR="00C00292" w:rsidRPr="00FA0DD1" w:rsidRDefault="00C00292" w:rsidP="00E8044B">
      <w:pPr>
        <w:spacing w:beforeLines="50" w:before="156" w:afterLines="50" w:after="156"/>
        <w:rPr>
          <w:rStyle w:val="af3"/>
          <w:sz w:val="24"/>
          <w:szCs w:val="24"/>
        </w:rPr>
      </w:pPr>
      <w:r w:rsidRPr="00FA0DD1">
        <w:rPr>
          <w:rStyle w:val="af3"/>
          <w:sz w:val="24"/>
          <w:szCs w:val="24"/>
        </w:rPr>
        <w:t>申请人应在每份补充</w:t>
      </w:r>
      <w:r w:rsidR="00EC4DAD">
        <w:rPr>
          <w:rStyle w:val="af3"/>
          <w:rFonts w:hint="eastAsia"/>
          <w:sz w:val="24"/>
          <w:szCs w:val="24"/>
        </w:rPr>
        <w:t>申请</w:t>
      </w:r>
      <w:r w:rsidRPr="00FA0DD1">
        <w:rPr>
          <w:rStyle w:val="af3"/>
          <w:sz w:val="24"/>
          <w:szCs w:val="24"/>
        </w:rPr>
        <w:t>中提供最新的产品生命周期管理文件，</w:t>
      </w:r>
      <w:r w:rsidR="007646AD" w:rsidRPr="00FA0DD1">
        <w:rPr>
          <w:rStyle w:val="af3"/>
          <w:sz w:val="24"/>
          <w:szCs w:val="24"/>
        </w:rPr>
        <w:t>或</w:t>
      </w:r>
      <w:r w:rsidR="007646AD">
        <w:rPr>
          <w:rStyle w:val="af3"/>
          <w:rFonts w:hint="eastAsia"/>
          <w:sz w:val="24"/>
          <w:szCs w:val="24"/>
        </w:rPr>
        <w:t>在</w:t>
      </w:r>
      <w:r w:rsidR="007646AD" w:rsidRPr="00FA0DD1">
        <w:rPr>
          <w:rStyle w:val="af3"/>
          <w:sz w:val="24"/>
          <w:szCs w:val="24"/>
        </w:rPr>
        <w:t>年度报告</w:t>
      </w:r>
      <w:r w:rsidRPr="00FA0DD1">
        <w:rPr>
          <w:rStyle w:val="af3"/>
          <w:sz w:val="24"/>
          <w:szCs w:val="24"/>
        </w:rPr>
        <w:t>报告已批准的既定条件的变化情况。如未提出具体的既定条件，则无需提交产品生命周期管理文件。</w:t>
      </w:r>
    </w:p>
    <w:p w14:paraId="6173279D" w14:textId="77777777" w:rsidR="009630D0" w:rsidRDefault="009630D0">
      <w:pPr>
        <w:widowControl/>
        <w:jc w:val="left"/>
        <w:rPr>
          <w:rStyle w:val="af3"/>
        </w:rPr>
      </w:pPr>
      <w:r>
        <w:rPr>
          <w:rStyle w:val="af3"/>
        </w:rPr>
        <w:br w:type="page"/>
      </w:r>
    </w:p>
    <w:p w14:paraId="19C390AC" w14:textId="77777777" w:rsidR="00C00292" w:rsidRPr="00C13D65"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16" w:name="_Toc97322920"/>
      <w:r>
        <w:rPr>
          <w:rFonts w:ascii="Times New Roman" w:hAnsi="Times New Roman" w:cs="Times New Roman"/>
          <w:b/>
          <w:bCs/>
          <w:sz w:val="24"/>
          <w:szCs w:val="24"/>
        </w:rPr>
        <w:lastRenderedPageBreak/>
        <w:t>F.</w:t>
      </w:r>
      <w:r>
        <w:rPr>
          <w:rFonts w:ascii="Times New Roman" w:hAnsi="Times New Roman" w:cs="Times New Roman"/>
          <w:b/>
          <w:bCs/>
          <w:sz w:val="24"/>
          <w:szCs w:val="24"/>
        </w:rPr>
        <w:tab/>
      </w:r>
      <w:r>
        <w:rPr>
          <w:rFonts w:ascii="Times New Roman" w:hAnsi="Times New Roman" w:cs="Times New Roman"/>
          <w:b/>
          <w:bCs/>
          <w:sz w:val="24"/>
          <w:szCs w:val="24"/>
        </w:rPr>
        <w:t>药品质量体系和变更管理</w:t>
      </w:r>
      <w:bookmarkEnd w:id="16"/>
    </w:p>
    <w:p w14:paraId="7E91E53B" w14:textId="3FD679CB" w:rsidR="009630D0" w:rsidRPr="00FA0DD1" w:rsidRDefault="00C00292" w:rsidP="00E8044B">
      <w:pPr>
        <w:spacing w:beforeLines="50" w:before="156" w:afterLines="50" w:after="156"/>
        <w:rPr>
          <w:rStyle w:val="af3"/>
          <w:sz w:val="24"/>
          <w:szCs w:val="24"/>
        </w:rPr>
      </w:pPr>
      <w:r w:rsidRPr="00FA0DD1">
        <w:rPr>
          <w:rStyle w:val="af3"/>
          <w:sz w:val="24"/>
          <w:szCs w:val="24"/>
        </w:rPr>
        <w:t>如</w:t>
      </w:r>
      <w:r w:rsidRPr="00FA0DD1">
        <w:rPr>
          <w:rStyle w:val="af3"/>
          <w:sz w:val="24"/>
          <w:szCs w:val="24"/>
        </w:rPr>
        <w:t>ICH Q12</w:t>
      </w:r>
      <w:r w:rsidRPr="00FA0DD1">
        <w:rPr>
          <w:rStyle w:val="af3"/>
          <w:sz w:val="24"/>
          <w:szCs w:val="24"/>
        </w:rPr>
        <w:t>所示，除了符合现行良好生产规范（</w:t>
      </w:r>
      <w:r w:rsidRPr="00FA0DD1">
        <w:rPr>
          <w:rStyle w:val="af3"/>
          <w:sz w:val="24"/>
          <w:szCs w:val="24"/>
        </w:rPr>
        <w:t>CGMP</w:t>
      </w:r>
      <w:r w:rsidRPr="00FA0DD1">
        <w:rPr>
          <w:rStyle w:val="af3"/>
          <w:sz w:val="24"/>
          <w:szCs w:val="24"/>
        </w:rPr>
        <w:t>）要求外，</w:t>
      </w:r>
      <w:r w:rsidRPr="00FA0DD1">
        <w:rPr>
          <w:rStyle w:val="af2"/>
          <w:rFonts w:ascii="Times New Roman" w:hAnsi="Times New Roman" w:cs="Times New Roman"/>
          <w:sz w:val="24"/>
          <w:szCs w:val="24"/>
        </w:rPr>
        <w:footnoteReference w:id="16"/>
      </w:r>
      <w:r w:rsidRPr="00FA0DD1">
        <w:rPr>
          <w:rStyle w:val="af3"/>
          <w:sz w:val="24"/>
          <w:szCs w:val="24"/>
        </w:rPr>
        <w:t>对于支持使用本指南中的工具而言，有效的药品质量体系是必不可少的。然而，如本指南所述，在申请人利用本指南中的原则之前，</w:t>
      </w:r>
      <w:r w:rsidRPr="00FA0DD1">
        <w:rPr>
          <w:rStyle w:val="af3"/>
          <w:sz w:val="24"/>
          <w:szCs w:val="24"/>
        </w:rPr>
        <w:t>FDA</w:t>
      </w:r>
      <w:r w:rsidRPr="00FA0DD1">
        <w:rPr>
          <w:rStyle w:val="af3"/>
          <w:sz w:val="24"/>
          <w:szCs w:val="24"/>
        </w:rPr>
        <w:t>不会要求进行特定检查。</w:t>
      </w:r>
      <w:r w:rsidRPr="00FA0DD1">
        <w:rPr>
          <w:rStyle w:val="af3"/>
          <w:sz w:val="24"/>
          <w:szCs w:val="24"/>
        </w:rPr>
        <w:t>FDA</w:t>
      </w:r>
      <w:r w:rsidRPr="00FA0DD1">
        <w:rPr>
          <w:rStyle w:val="af3"/>
          <w:sz w:val="24"/>
          <w:szCs w:val="24"/>
        </w:rPr>
        <w:t>对药品质量体系有效性的评估通常会依据</w:t>
      </w:r>
      <w:r w:rsidRPr="00FA0DD1">
        <w:rPr>
          <w:rStyle w:val="af3"/>
          <w:sz w:val="24"/>
          <w:szCs w:val="24"/>
        </w:rPr>
        <w:t>FDA</w:t>
      </w:r>
      <w:r w:rsidRPr="00FA0DD1">
        <w:rPr>
          <w:rStyle w:val="af3"/>
          <w:sz w:val="24"/>
          <w:szCs w:val="24"/>
        </w:rPr>
        <w:t>和相应外国</w:t>
      </w:r>
      <w:r w:rsidR="004670C4">
        <w:rPr>
          <w:rStyle w:val="af3"/>
          <w:sz w:val="24"/>
          <w:szCs w:val="24"/>
        </w:rPr>
        <w:t>FDA</w:t>
      </w:r>
      <w:r w:rsidRPr="00FA0DD1">
        <w:rPr>
          <w:rStyle w:val="af3"/>
          <w:sz w:val="24"/>
          <w:szCs w:val="24"/>
        </w:rPr>
        <w:t>进行的常规检查</w:t>
      </w:r>
      <w:r w:rsidRPr="00FA0DD1">
        <w:rPr>
          <w:rStyle w:val="af2"/>
          <w:rFonts w:ascii="Times New Roman" w:hAnsi="Times New Roman" w:cs="Times New Roman"/>
          <w:sz w:val="24"/>
          <w:szCs w:val="24"/>
        </w:rPr>
        <w:footnoteReference w:id="17"/>
      </w:r>
      <w:r w:rsidRPr="00FA0DD1">
        <w:rPr>
          <w:rStyle w:val="af3"/>
          <w:sz w:val="24"/>
          <w:szCs w:val="24"/>
        </w:rPr>
        <w:t>以及其他可用信息。管理层应采用</w:t>
      </w:r>
      <w:r w:rsidRPr="00FA0DD1">
        <w:rPr>
          <w:rStyle w:val="af3"/>
          <w:sz w:val="24"/>
          <w:szCs w:val="24"/>
        </w:rPr>
        <w:t>ICH Q10</w:t>
      </w:r>
      <w:r w:rsidRPr="00FA0DD1">
        <w:rPr>
          <w:rStyle w:val="af3"/>
          <w:sz w:val="24"/>
          <w:szCs w:val="24"/>
        </w:rPr>
        <w:t>药品质量体系（行业指南）（</w:t>
      </w:r>
      <w:r w:rsidRPr="00FA0DD1">
        <w:rPr>
          <w:rStyle w:val="af3"/>
          <w:sz w:val="24"/>
          <w:szCs w:val="24"/>
        </w:rPr>
        <w:t>2009</w:t>
      </w:r>
      <w:r w:rsidRPr="00FA0DD1">
        <w:rPr>
          <w:rStyle w:val="af3"/>
          <w:sz w:val="24"/>
          <w:szCs w:val="24"/>
        </w:rPr>
        <w:t>年</w:t>
      </w:r>
      <w:r w:rsidRPr="00FA0DD1">
        <w:rPr>
          <w:rStyle w:val="af3"/>
          <w:sz w:val="24"/>
          <w:szCs w:val="24"/>
        </w:rPr>
        <w:t>4</w:t>
      </w:r>
      <w:r w:rsidRPr="00FA0DD1">
        <w:rPr>
          <w:rStyle w:val="af3"/>
          <w:sz w:val="24"/>
          <w:szCs w:val="24"/>
        </w:rPr>
        <w:t>月）的原则，以确保药品质量体系可持续支持既定条件管理。</w:t>
      </w:r>
    </w:p>
    <w:p w14:paraId="3E1404F7" w14:textId="4F68E4BB" w:rsidR="00C00292" w:rsidRPr="00FA0DD1" w:rsidRDefault="00C00292" w:rsidP="00E8044B">
      <w:pPr>
        <w:spacing w:beforeLines="50" w:before="156" w:afterLines="50" w:after="156"/>
        <w:rPr>
          <w:rStyle w:val="af3"/>
          <w:sz w:val="24"/>
          <w:szCs w:val="24"/>
        </w:rPr>
      </w:pPr>
      <w:r w:rsidRPr="00FA0DD1">
        <w:rPr>
          <w:rStyle w:val="af3"/>
          <w:sz w:val="24"/>
          <w:szCs w:val="24"/>
        </w:rPr>
        <w:t>鉴于药品质量体系对于支持</w:t>
      </w:r>
      <w:r w:rsidRPr="00FA0DD1">
        <w:rPr>
          <w:rStyle w:val="af3"/>
          <w:sz w:val="24"/>
          <w:szCs w:val="24"/>
        </w:rPr>
        <w:t>ICH Q12</w:t>
      </w:r>
      <w:r w:rsidRPr="00FA0DD1">
        <w:rPr>
          <w:rStyle w:val="af3"/>
          <w:sz w:val="24"/>
          <w:szCs w:val="24"/>
        </w:rPr>
        <w:t>工具使用起着重要作用，当申请人在获得批准后提议引进新的生产地时，申请人不应</w:t>
      </w:r>
      <w:r w:rsidR="00864D09">
        <w:rPr>
          <w:rStyle w:val="af3"/>
          <w:rFonts w:hint="eastAsia"/>
          <w:sz w:val="24"/>
          <w:szCs w:val="24"/>
        </w:rPr>
        <w:t>默认</w:t>
      </w:r>
      <w:r w:rsidRPr="00FA0DD1">
        <w:rPr>
          <w:rStyle w:val="af3"/>
          <w:sz w:val="24"/>
          <w:szCs w:val="24"/>
        </w:rPr>
        <w:t>最初批准的既定条件</w:t>
      </w:r>
      <w:r w:rsidR="00864D09">
        <w:rPr>
          <w:rStyle w:val="af3"/>
          <w:rFonts w:hint="eastAsia"/>
          <w:sz w:val="24"/>
          <w:szCs w:val="24"/>
        </w:rPr>
        <w:t>仍</w:t>
      </w:r>
      <w:r w:rsidRPr="00FA0DD1">
        <w:rPr>
          <w:rStyle w:val="af3"/>
          <w:sz w:val="24"/>
          <w:szCs w:val="24"/>
        </w:rPr>
        <w:t>适用。相反，如提议了既定条件，申请人应在提议新地点的</w:t>
      </w:r>
      <w:r w:rsidR="00C63D05">
        <w:rPr>
          <w:rStyle w:val="af3"/>
          <w:sz w:val="24"/>
          <w:szCs w:val="24"/>
        </w:rPr>
        <w:t>补充申请</w:t>
      </w:r>
      <w:r w:rsidRPr="00FA0DD1">
        <w:rPr>
          <w:rStyle w:val="af3"/>
          <w:sz w:val="24"/>
          <w:szCs w:val="24"/>
        </w:rPr>
        <w:t>中涵盖以下内容：</w:t>
      </w:r>
    </w:p>
    <w:p w14:paraId="210F4D60"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对相关既定条件的重新评估。</w:t>
      </w:r>
      <w:r w:rsidRPr="00FA0DD1">
        <w:rPr>
          <w:rStyle w:val="af3"/>
          <w:sz w:val="24"/>
          <w:szCs w:val="24"/>
        </w:rPr>
        <w:t xml:space="preserve"> </w:t>
      </w:r>
    </w:p>
    <w:p w14:paraId="631826F4" w14:textId="061BC576"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由于本申请模块</w:t>
      </w:r>
      <w:r w:rsidRPr="00FA0DD1">
        <w:rPr>
          <w:rStyle w:val="af3"/>
          <w:sz w:val="24"/>
          <w:szCs w:val="24"/>
        </w:rPr>
        <w:t>3</w:t>
      </w:r>
      <w:r w:rsidRPr="00FA0DD1">
        <w:rPr>
          <w:rStyle w:val="af3"/>
          <w:sz w:val="24"/>
          <w:szCs w:val="24"/>
        </w:rPr>
        <w:t>相关部分重新评估而需要的既定条件</w:t>
      </w:r>
      <w:r w:rsidR="00043304">
        <w:rPr>
          <w:rStyle w:val="af3"/>
          <w:rFonts w:hint="eastAsia"/>
          <w:sz w:val="24"/>
          <w:szCs w:val="24"/>
        </w:rPr>
        <w:t>提议</w:t>
      </w:r>
      <w:r w:rsidRPr="00FA0DD1">
        <w:rPr>
          <w:rStyle w:val="af3"/>
          <w:sz w:val="24"/>
          <w:szCs w:val="24"/>
        </w:rPr>
        <w:t>变更的原因说明。</w:t>
      </w:r>
    </w:p>
    <w:p w14:paraId="309B38A1" w14:textId="496A74C6" w:rsidR="009630D0" w:rsidRPr="00FA0DD1" w:rsidRDefault="00C00292" w:rsidP="00E8044B">
      <w:pPr>
        <w:spacing w:beforeLines="50" w:before="156" w:afterLines="50" w:after="156"/>
        <w:rPr>
          <w:rStyle w:val="af3"/>
          <w:sz w:val="24"/>
          <w:szCs w:val="24"/>
        </w:rPr>
      </w:pPr>
      <w:r w:rsidRPr="00FA0DD1">
        <w:rPr>
          <w:rStyle w:val="af3"/>
          <w:sz w:val="24"/>
          <w:szCs w:val="24"/>
        </w:rPr>
        <w:t>FDA</w:t>
      </w:r>
      <w:r w:rsidRPr="00FA0DD1">
        <w:rPr>
          <w:rStyle w:val="af3"/>
          <w:sz w:val="24"/>
          <w:szCs w:val="24"/>
        </w:rPr>
        <w:t>还将考虑</w:t>
      </w:r>
      <w:r w:rsidR="00C63D05">
        <w:rPr>
          <w:rStyle w:val="af3"/>
          <w:sz w:val="24"/>
          <w:szCs w:val="24"/>
        </w:rPr>
        <w:t>补充申请</w:t>
      </w:r>
      <w:r w:rsidRPr="00FA0DD1">
        <w:rPr>
          <w:rStyle w:val="af3"/>
          <w:sz w:val="24"/>
          <w:szCs w:val="24"/>
        </w:rPr>
        <w:t>中包含的信息，从而进一步确定，在批准后变更方面，新地</w:t>
      </w:r>
      <w:r w:rsidR="000225C1">
        <w:rPr>
          <w:rStyle w:val="af3"/>
          <w:rFonts w:hint="eastAsia"/>
          <w:sz w:val="24"/>
          <w:szCs w:val="24"/>
        </w:rPr>
        <w:t>址</w:t>
      </w:r>
      <w:r w:rsidRPr="00FA0DD1">
        <w:rPr>
          <w:rStyle w:val="af3"/>
          <w:sz w:val="24"/>
          <w:szCs w:val="24"/>
        </w:rPr>
        <w:t>需要与原申请中所包含地点相同</w:t>
      </w:r>
      <w:r w:rsidR="003408DB">
        <w:rPr>
          <w:rStyle w:val="af3"/>
          <w:rFonts w:hint="eastAsia"/>
          <w:sz w:val="24"/>
          <w:szCs w:val="24"/>
        </w:rPr>
        <w:t>级别</w:t>
      </w:r>
      <w:r w:rsidRPr="00FA0DD1">
        <w:rPr>
          <w:rStyle w:val="af3"/>
          <w:sz w:val="24"/>
          <w:szCs w:val="24"/>
        </w:rPr>
        <w:t>的监管灵活性。确定药品质量体系能力时，</w:t>
      </w:r>
      <w:r w:rsidR="00BF7CB3">
        <w:rPr>
          <w:rStyle w:val="af3"/>
          <w:rFonts w:hint="eastAsia"/>
          <w:sz w:val="24"/>
          <w:szCs w:val="24"/>
        </w:rPr>
        <w:t>要</w:t>
      </w:r>
      <w:r w:rsidRPr="00FA0DD1">
        <w:rPr>
          <w:rStyle w:val="af3"/>
          <w:sz w:val="24"/>
          <w:szCs w:val="24"/>
        </w:rPr>
        <w:t>考虑因素</w:t>
      </w:r>
      <w:r w:rsidR="00BF7CB3">
        <w:rPr>
          <w:rStyle w:val="af3"/>
          <w:rFonts w:hint="eastAsia"/>
          <w:sz w:val="24"/>
          <w:szCs w:val="24"/>
        </w:rPr>
        <w:t>包含</w:t>
      </w:r>
      <w:r w:rsidRPr="00FA0DD1">
        <w:rPr>
          <w:rStyle w:val="af3"/>
          <w:sz w:val="24"/>
          <w:szCs w:val="24"/>
        </w:rPr>
        <w:t>，新</w:t>
      </w:r>
      <w:r w:rsidR="00A06DD8">
        <w:rPr>
          <w:rStyle w:val="af3"/>
          <w:rFonts w:hint="eastAsia"/>
          <w:sz w:val="24"/>
          <w:szCs w:val="24"/>
        </w:rPr>
        <w:t>地址</w:t>
      </w:r>
      <w:r w:rsidRPr="00FA0DD1">
        <w:rPr>
          <w:rStyle w:val="af3"/>
          <w:sz w:val="24"/>
          <w:szCs w:val="24"/>
        </w:rPr>
        <w:t>是否按照与原</w:t>
      </w:r>
      <w:r w:rsidR="00A06DD8">
        <w:rPr>
          <w:rStyle w:val="af3"/>
          <w:rFonts w:hint="eastAsia"/>
          <w:sz w:val="24"/>
          <w:szCs w:val="24"/>
        </w:rPr>
        <w:t>地址</w:t>
      </w:r>
      <w:r w:rsidRPr="00FA0DD1">
        <w:rPr>
          <w:rStyle w:val="af3"/>
          <w:sz w:val="24"/>
          <w:szCs w:val="24"/>
        </w:rPr>
        <w:t>相同的药品质量体系</w:t>
      </w:r>
      <w:r w:rsidR="004D7FF0">
        <w:rPr>
          <w:rStyle w:val="af3"/>
          <w:rFonts w:hint="eastAsia"/>
          <w:sz w:val="24"/>
          <w:szCs w:val="24"/>
        </w:rPr>
        <w:t>运行情况</w:t>
      </w:r>
      <w:r w:rsidRPr="00FA0DD1">
        <w:rPr>
          <w:rStyle w:val="af3"/>
          <w:sz w:val="24"/>
          <w:szCs w:val="24"/>
        </w:rPr>
        <w:t>；由</w:t>
      </w:r>
      <w:r w:rsidRPr="00FA0DD1">
        <w:rPr>
          <w:rStyle w:val="af3"/>
          <w:sz w:val="24"/>
          <w:szCs w:val="24"/>
        </w:rPr>
        <w:t>FDA</w:t>
      </w:r>
      <w:r w:rsidRPr="00FA0DD1">
        <w:rPr>
          <w:rStyle w:val="af3"/>
          <w:sz w:val="24"/>
          <w:szCs w:val="24"/>
        </w:rPr>
        <w:t>和其他国家药物</w:t>
      </w:r>
      <w:r w:rsidR="004670C4">
        <w:rPr>
          <w:rStyle w:val="af3"/>
          <w:sz w:val="24"/>
          <w:szCs w:val="24"/>
        </w:rPr>
        <w:t>FDA</w:t>
      </w:r>
      <w:r w:rsidRPr="00FA0DD1">
        <w:rPr>
          <w:rStyle w:val="af3"/>
          <w:sz w:val="24"/>
          <w:szCs w:val="24"/>
        </w:rPr>
        <w:t>确定的</w:t>
      </w:r>
      <w:r w:rsidR="00D13D33">
        <w:rPr>
          <w:rStyle w:val="af3"/>
          <w:rFonts w:hint="eastAsia"/>
          <w:sz w:val="24"/>
          <w:szCs w:val="24"/>
        </w:rPr>
        <w:t>合</w:t>
      </w:r>
      <w:proofErr w:type="gramStart"/>
      <w:r w:rsidR="00D13D33">
        <w:rPr>
          <w:rStyle w:val="af3"/>
          <w:rFonts w:hint="eastAsia"/>
          <w:sz w:val="24"/>
          <w:szCs w:val="24"/>
        </w:rPr>
        <w:t>规</w:t>
      </w:r>
      <w:proofErr w:type="gramEnd"/>
      <w:r w:rsidRPr="00FA0DD1">
        <w:rPr>
          <w:rStyle w:val="af3"/>
          <w:sz w:val="24"/>
          <w:szCs w:val="24"/>
        </w:rPr>
        <w:t>状态；与</w:t>
      </w:r>
      <w:r w:rsidRPr="00FA0DD1">
        <w:rPr>
          <w:rStyle w:val="af3"/>
          <w:sz w:val="24"/>
          <w:szCs w:val="24"/>
        </w:rPr>
        <w:t>ICH Q10</w:t>
      </w:r>
      <w:r w:rsidRPr="00FA0DD1">
        <w:rPr>
          <w:rStyle w:val="af3"/>
          <w:sz w:val="24"/>
          <w:szCs w:val="24"/>
        </w:rPr>
        <w:t>的符合性，尤其是在变更管理实践方面；以及与其他适用的变更管理法规和政策的一致性。</w:t>
      </w:r>
    </w:p>
    <w:p w14:paraId="4DD85819" w14:textId="3991A833" w:rsidR="00C00292" w:rsidRPr="00FA0DD1" w:rsidRDefault="00C00292" w:rsidP="00E8044B">
      <w:pPr>
        <w:spacing w:beforeLines="50" w:before="156" w:afterLines="50" w:after="156"/>
        <w:rPr>
          <w:rStyle w:val="af3"/>
          <w:sz w:val="24"/>
          <w:szCs w:val="24"/>
        </w:rPr>
      </w:pPr>
      <w:r w:rsidRPr="00FA0DD1">
        <w:rPr>
          <w:rStyle w:val="af3"/>
          <w:sz w:val="24"/>
          <w:szCs w:val="24"/>
        </w:rPr>
        <w:t>如</w:t>
      </w:r>
      <w:r w:rsidRPr="00FA0DD1">
        <w:rPr>
          <w:rStyle w:val="af3"/>
          <w:sz w:val="24"/>
          <w:szCs w:val="24"/>
        </w:rPr>
        <w:t>ICH Q12</w:t>
      </w:r>
      <w:r w:rsidRPr="00FA0DD1">
        <w:rPr>
          <w:rStyle w:val="af3"/>
          <w:sz w:val="24"/>
          <w:szCs w:val="24"/>
        </w:rPr>
        <w:t>所示，</w:t>
      </w:r>
      <w:r w:rsidR="00623061">
        <w:rPr>
          <w:rStyle w:val="af3"/>
          <w:rFonts w:hint="eastAsia"/>
          <w:sz w:val="24"/>
          <w:szCs w:val="24"/>
        </w:rPr>
        <w:t>当</w:t>
      </w:r>
      <w:r w:rsidRPr="00FA0DD1">
        <w:rPr>
          <w:rStyle w:val="af3"/>
          <w:sz w:val="24"/>
          <w:szCs w:val="24"/>
        </w:rPr>
        <w:t>检查观察</w:t>
      </w:r>
      <w:proofErr w:type="gramStart"/>
      <w:r w:rsidR="00065EF8">
        <w:rPr>
          <w:rStyle w:val="af3"/>
          <w:rFonts w:hint="eastAsia"/>
          <w:sz w:val="24"/>
          <w:szCs w:val="24"/>
        </w:rPr>
        <w:t>项</w:t>
      </w:r>
      <w:r w:rsidRPr="00FA0DD1">
        <w:rPr>
          <w:rStyle w:val="af3"/>
          <w:sz w:val="24"/>
          <w:szCs w:val="24"/>
        </w:rPr>
        <w:t>引起</w:t>
      </w:r>
      <w:proofErr w:type="gramEnd"/>
      <w:r w:rsidRPr="00FA0DD1">
        <w:rPr>
          <w:rStyle w:val="af3"/>
          <w:sz w:val="24"/>
          <w:szCs w:val="24"/>
        </w:rPr>
        <w:t>对药品质量体系有效性（尤其是变更管理）的关注</w:t>
      </w:r>
      <w:r w:rsidR="00623061">
        <w:rPr>
          <w:rStyle w:val="af3"/>
          <w:rFonts w:hint="eastAsia"/>
          <w:sz w:val="24"/>
          <w:szCs w:val="24"/>
        </w:rPr>
        <w:t>时</w:t>
      </w:r>
      <w:r w:rsidRPr="00FA0DD1">
        <w:rPr>
          <w:rStyle w:val="af3"/>
          <w:sz w:val="24"/>
          <w:szCs w:val="24"/>
        </w:rPr>
        <w:t>，可能需要修改先前批准的既定条件、报告类别或可比性</w:t>
      </w:r>
      <w:r w:rsidR="00623061">
        <w:rPr>
          <w:rStyle w:val="af3"/>
          <w:rFonts w:hint="eastAsia"/>
          <w:sz w:val="24"/>
          <w:szCs w:val="24"/>
        </w:rPr>
        <w:t>方案</w:t>
      </w:r>
      <w:r w:rsidRPr="00FA0DD1">
        <w:rPr>
          <w:rStyle w:val="af3"/>
          <w:sz w:val="24"/>
          <w:szCs w:val="24"/>
        </w:rPr>
        <w:t>，直至药品质量体系有效性恢复至可接受状态。在这些情况下，</w:t>
      </w:r>
      <w:r w:rsidRPr="00FA0DD1">
        <w:rPr>
          <w:rStyle w:val="af3"/>
          <w:sz w:val="24"/>
          <w:szCs w:val="24"/>
        </w:rPr>
        <w:t>FDA</w:t>
      </w:r>
      <w:r w:rsidRPr="00FA0DD1">
        <w:rPr>
          <w:rStyle w:val="af3"/>
          <w:sz w:val="24"/>
          <w:szCs w:val="24"/>
        </w:rPr>
        <w:t>拟将此类发现</w:t>
      </w:r>
      <w:r w:rsidR="009E1C42">
        <w:rPr>
          <w:rStyle w:val="af3"/>
          <w:rFonts w:hint="eastAsia"/>
          <w:sz w:val="24"/>
          <w:szCs w:val="24"/>
        </w:rPr>
        <w:t>项</w:t>
      </w:r>
      <w:r w:rsidRPr="00FA0DD1">
        <w:rPr>
          <w:rStyle w:val="af3"/>
          <w:sz w:val="24"/>
          <w:szCs w:val="24"/>
        </w:rPr>
        <w:t>对先前批准的既定条件、报告类别和可比性方案的影响告知相关机构和申请人（如适用）。</w:t>
      </w:r>
    </w:p>
    <w:p w14:paraId="7FB8883A" w14:textId="23EE7908" w:rsidR="00C00292" w:rsidRPr="00FA0DD1"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17" w:name="_Toc97322921"/>
      <w:r w:rsidRPr="00FA0DD1">
        <w:rPr>
          <w:rFonts w:ascii="Times New Roman" w:hAnsi="Times New Roman" w:cs="Times New Roman"/>
          <w:b/>
          <w:bCs/>
          <w:sz w:val="24"/>
          <w:szCs w:val="24"/>
        </w:rPr>
        <w:t>G.</w:t>
      </w:r>
      <w:r w:rsidRPr="00FA0DD1">
        <w:rPr>
          <w:rFonts w:ascii="Times New Roman" w:hAnsi="Times New Roman" w:cs="Times New Roman"/>
          <w:b/>
          <w:bCs/>
          <w:sz w:val="24"/>
          <w:szCs w:val="24"/>
        </w:rPr>
        <w:tab/>
      </w:r>
      <w:r w:rsidRPr="00FA0DD1">
        <w:rPr>
          <w:rFonts w:ascii="Times New Roman" w:hAnsi="Times New Roman" w:cs="Times New Roman"/>
          <w:b/>
          <w:bCs/>
          <w:sz w:val="24"/>
          <w:szCs w:val="24"/>
        </w:rPr>
        <w:t>监管评估</w:t>
      </w:r>
      <w:r w:rsidRPr="00FA0DD1">
        <w:rPr>
          <w:rFonts w:ascii="Times New Roman" w:hAnsi="Times New Roman" w:cs="Times New Roman" w:hint="eastAsia"/>
          <w:b/>
          <w:bCs/>
          <w:sz w:val="24"/>
          <w:szCs w:val="24"/>
        </w:rPr>
        <w:t>与</w:t>
      </w:r>
      <w:r w:rsidRPr="00FA0DD1">
        <w:rPr>
          <w:rFonts w:ascii="Times New Roman" w:hAnsi="Times New Roman" w:cs="Times New Roman"/>
          <w:b/>
          <w:bCs/>
          <w:sz w:val="24"/>
          <w:szCs w:val="24"/>
        </w:rPr>
        <w:t>检查的关系</w:t>
      </w:r>
      <w:bookmarkEnd w:id="17"/>
    </w:p>
    <w:p w14:paraId="654F0E68" w14:textId="03C88A93" w:rsidR="00C00292" w:rsidRPr="00FA0DD1" w:rsidRDefault="00C00292" w:rsidP="00E8044B">
      <w:pPr>
        <w:spacing w:beforeLines="50" w:before="156" w:afterLines="50" w:after="156"/>
        <w:rPr>
          <w:rStyle w:val="af3"/>
          <w:sz w:val="24"/>
          <w:szCs w:val="24"/>
        </w:rPr>
      </w:pPr>
      <w:r w:rsidRPr="00FA0DD1">
        <w:rPr>
          <w:rStyle w:val="af3"/>
          <w:sz w:val="24"/>
          <w:szCs w:val="24"/>
        </w:rPr>
        <w:t>ICH Q12</w:t>
      </w:r>
      <w:r w:rsidRPr="00FA0DD1">
        <w:rPr>
          <w:rStyle w:val="af3"/>
          <w:sz w:val="24"/>
          <w:szCs w:val="24"/>
        </w:rPr>
        <w:t>工具（如既定条件）的使用不会改变</w:t>
      </w:r>
      <w:r w:rsidRPr="00FA0DD1">
        <w:rPr>
          <w:rStyle w:val="af3"/>
          <w:sz w:val="24"/>
          <w:szCs w:val="24"/>
        </w:rPr>
        <w:t>FDA</w:t>
      </w:r>
      <w:r w:rsidRPr="00FA0DD1">
        <w:rPr>
          <w:rStyle w:val="af3"/>
          <w:sz w:val="24"/>
          <w:szCs w:val="24"/>
        </w:rPr>
        <w:t>评估信息</w:t>
      </w:r>
      <w:r w:rsidR="00173984">
        <w:rPr>
          <w:rStyle w:val="af3"/>
          <w:rFonts w:hint="eastAsia"/>
          <w:sz w:val="24"/>
          <w:szCs w:val="24"/>
        </w:rPr>
        <w:t>作为</w:t>
      </w:r>
      <w:r w:rsidR="00173984" w:rsidRPr="00FA0DD1">
        <w:rPr>
          <w:rStyle w:val="af3"/>
          <w:sz w:val="24"/>
          <w:szCs w:val="24"/>
        </w:rPr>
        <w:t>申请的一部分</w:t>
      </w:r>
      <w:r w:rsidRPr="00FA0DD1">
        <w:rPr>
          <w:rStyle w:val="af3"/>
          <w:sz w:val="24"/>
          <w:szCs w:val="24"/>
        </w:rPr>
        <w:t>流程，，或工厂检查</w:t>
      </w:r>
      <w:r w:rsidR="00D33F17">
        <w:rPr>
          <w:rStyle w:val="af3"/>
          <w:rFonts w:hint="eastAsia"/>
          <w:sz w:val="24"/>
          <w:szCs w:val="24"/>
        </w:rPr>
        <w:t>的</w:t>
      </w:r>
      <w:r w:rsidR="00B54CDA">
        <w:rPr>
          <w:rStyle w:val="af3"/>
          <w:rFonts w:hint="eastAsia"/>
          <w:sz w:val="24"/>
          <w:szCs w:val="24"/>
        </w:rPr>
        <w:t>流程</w:t>
      </w:r>
      <w:r w:rsidRPr="00FA0DD1">
        <w:rPr>
          <w:rStyle w:val="af3"/>
          <w:sz w:val="24"/>
          <w:szCs w:val="24"/>
        </w:rPr>
        <w:t>。同样，其不会改变对申请中提交的信息或可用于检查的信息类型</w:t>
      </w:r>
      <w:r w:rsidR="00131772">
        <w:rPr>
          <w:rStyle w:val="af3"/>
          <w:rFonts w:hint="eastAsia"/>
          <w:sz w:val="24"/>
          <w:szCs w:val="24"/>
        </w:rPr>
        <w:t>所作的</w:t>
      </w:r>
      <w:r w:rsidRPr="00FA0DD1">
        <w:rPr>
          <w:rStyle w:val="af3"/>
          <w:sz w:val="24"/>
          <w:szCs w:val="24"/>
        </w:rPr>
        <w:t>预期。</w:t>
      </w:r>
    </w:p>
    <w:p w14:paraId="24E89701" w14:textId="77777777" w:rsidR="009630D0" w:rsidRDefault="009630D0">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09F5D86F" w14:textId="1D117AA4" w:rsidR="00C00292" w:rsidRPr="00C13D65" w:rsidRDefault="00C00292" w:rsidP="00E8044B">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2922"/>
      <w:r>
        <w:rPr>
          <w:rFonts w:ascii="Times New Roman" w:hAnsi="Times New Roman" w:cs="Times New Roman"/>
          <w:b/>
          <w:bCs/>
          <w:sz w:val="24"/>
          <w:szCs w:val="24"/>
        </w:rPr>
        <w:lastRenderedPageBreak/>
        <w:t>H.</w:t>
      </w:r>
      <w:r>
        <w:rPr>
          <w:rFonts w:ascii="Times New Roman" w:hAnsi="Times New Roman" w:cs="Times New Roman"/>
          <w:b/>
          <w:bCs/>
          <w:sz w:val="24"/>
          <w:szCs w:val="24"/>
        </w:rPr>
        <w:tab/>
      </w:r>
      <w:r>
        <w:rPr>
          <w:rFonts w:ascii="Times New Roman" w:hAnsi="Times New Roman" w:cs="Times New Roman"/>
          <w:b/>
          <w:bCs/>
          <w:sz w:val="24"/>
          <w:szCs w:val="24"/>
        </w:rPr>
        <w:t>批准后</w:t>
      </w:r>
      <w:r w:rsidR="00F45D0C">
        <w:rPr>
          <w:rFonts w:ascii="Times New Roman" w:hAnsi="Times New Roman" w:cs="Times New Roman" w:hint="eastAsia"/>
          <w:b/>
          <w:bCs/>
          <w:sz w:val="24"/>
          <w:szCs w:val="24"/>
        </w:rPr>
        <w:t>C</w:t>
      </w:r>
      <w:r w:rsidR="00F45D0C">
        <w:rPr>
          <w:rFonts w:ascii="Times New Roman" w:hAnsi="Times New Roman" w:cs="Times New Roman"/>
          <w:b/>
          <w:bCs/>
          <w:sz w:val="24"/>
          <w:szCs w:val="24"/>
        </w:rPr>
        <w:t>MC</w:t>
      </w:r>
      <w:r>
        <w:rPr>
          <w:rFonts w:ascii="Times New Roman" w:hAnsi="Times New Roman" w:cs="Times New Roman"/>
          <w:b/>
          <w:bCs/>
          <w:sz w:val="24"/>
          <w:szCs w:val="24"/>
        </w:rPr>
        <w:t>频繁变更的结构化方法</w:t>
      </w:r>
      <w:bookmarkEnd w:id="18"/>
    </w:p>
    <w:p w14:paraId="377CD059" w14:textId="0705A227" w:rsidR="00C00292" w:rsidRPr="00FA0DD1" w:rsidRDefault="00C00292" w:rsidP="00E8044B">
      <w:pPr>
        <w:spacing w:beforeLines="50" w:before="156" w:afterLines="50" w:after="156"/>
        <w:rPr>
          <w:rStyle w:val="af3"/>
          <w:sz w:val="24"/>
          <w:szCs w:val="24"/>
        </w:rPr>
      </w:pPr>
      <w:r w:rsidRPr="00FA0DD1">
        <w:rPr>
          <w:rStyle w:val="af3"/>
          <w:sz w:val="24"/>
          <w:szCs w:val="24"/>
        </w:rPr>
        <w:t>ICH Q12</w:t>
      </w:r>
      <w:r w:rsidRPr="00FA0DD1">
        <w:rPr>
          <w:rStyle w:val="af3"/>
          <w:sz w:val="24"/>
          <w:szCs w:val="24"/>
        </w:rPr>
        <w:t>第</w:t>
      </w:r>
      <w:r w:rsidRPr="00FA0DD1">
        <w:rPr>
          <w:rStyle w:val="af3"/>
          <w:sz w:val="24"/>
          <w:szCs w:val="24"/>
        </w:rPr>
        <w:t>VIII</w:t>
      </w:r>
      <w:r w:rsidRPr="00FA0DD1">
        <w:rPr>
          <w:rStyle w:val="af3"/>
          <w:sz w:val="24"/>
          <w:szCs w:val="24"/>
        </w:rPr>
        <w:t>和</w:t>
      </w:r>
      <w:r w:rsidRPr="00FA0DD1">
        <w:rPr>
          <w:rStyle w:val="af3"/>
          <w:sz w:val="24"/>
          <w:szCs w:val="24"/>
        </w:rPr>
        <w:t>IX</w:t>
      </w:r>
      <w:r w:rsidRPr="00FA0DD1">
        <w:rPr>
          <w:rStyle w:val="af3"/>
          <w:sz w:val="24"/>
          <w:szCs w:val="24"/>
        </w:rPr>
        <w:t>节以及</w:t>
      </w:r>
      <w:r w:rsidRPr="00FA0DD1">
        <w:rPr>
          <w:rStyle w:val="af3"/>
          <w:sz w:val="24"/>
          <w:szCs w:val="24"/>
        </w:rPr>
        <w:t>ICH Q12</w:t>
      </w:r>
      <w:r w:rsidRPr="00FA0DD1">
        <w:rPr>
          <w:rStyle w:val="af3"/>
          <w:sz w:val="24"/>
          <w:szCs w:val="24"/>
        </w:rPr>
        <w:t>第</w:t>
      </w:r>
      <w:r w:rsidRPr="00FA0DD1">
        <w:rPr>
          <w:rStyle w:val="af3"/>
          <w:sz w:val="24"/>
          <w:szCs w:val="24"/>
        </w:rPr>
        <w:t>II</w:t>
      </w:r>
      <w:r w:rsidRPr="00FA0DD1">
        <w:rPr>
          <w:rStyle w:val="af3"/>
          <w:sz w:val="24"/>
          <w:szCs w:val="24"/>
        </w:rPr>
        <w:t>节附件提供了某些</w:t>
      </w:r>
      <w:r w:rsidR="0005762F">
        <w:rPr>
          <w:rStyle w:val="af3"/>
          <w:rFonts w:hint="eastAsia"/>
          <w:sz w:val="24"/>
          <w:szCs w:val="24"/>
        </w:rPr>
        <w:t>C</w:t>
      </w:r>
      <w:r w:rsidR="0005762F">
        <w:rPr>
          <w:rStyle w:val="af3"/>
          <w:sz w:val="24"/>
          <w:szCs w:val="24"/>
        </w:rPr>
        <w:t>MC</w:t>
      </w:r>
      <w:r w:rsidRPr="00FA0DD1">
        <w:rPr>
          <w:rStyle w:val="af3"/>
          <w:sz w:val="24"/>
          <w:szCs w:val="24"/>
        </w:rPr>
        <w:t>批准后变更的替代方法。</w:t>
      </w:r>
      <w:r w:rsidRPr="00FA0DD1">
        <w:rPr>
          <w:rStyle w:val="af3"/>
          <w:sz w:val="24"/>
          <w:szCs w:val="24"/>
        </w:rPr>
        <w:t>FDA</w:t>
      </w:r>
      <w:r w:rsidRPr="00FA0DD1">
        <w:rPr>
          <w:rStyle w:val="af3"/>
          <w:sz w:val="24"/>
          <w:szCs w:val="24"/>
        </w:rPr>
        <w:t>支持使用此类方法。</w:t>
      </w:r>
      <w:r w:rsidRPr="00FA0DD1">
        <w:rPr>
          <w:rStyle w:val="af3"/>
          <w:sz w:val="24"/>
          <w:szCs w:val="24"/>
        </w:rPr>
        <w:t>FDA</w:t>
      </w:r>
      <w:r w:rsidRPr="00FA0DD1">
        <w:rPr>
          <w:rStyle w:val="af3"/>
          <w:sz w:val="24"/>
          <w:szCs w:val="24"/>
        </w:rPr>
        <w:t>还鼓励申请人在提出或实施新方法之前获得反馈。</w:t>
      </w:r>
    </w:p>
    <w:p w14:paraId="4A51BEBF" w14:textId="77777777" w:rsidR="00067617" w:rsidRDefault="00067617">
      <w:pPr>
        <w:widowControl/>
        <w:jc w:val="left"/>
        <w:rPr>
          <w:rStyle w:val="af3"/>
        </w:rPr>
      </w:pPr>
      <w:r>
        <w:rPr>
          <w:rStyle w:val="af3"/>
        </w:rPr>
        <w:br w:type="page"/>
      </w:r>
    </w:p>
    <w:p w14:paraId="3D0F8C1D" w14:textId="77777777" w:rsidR="00C00292" w:rsidRPr="00C13D65" w:rsidRDefault="00C00292" w:rsidP="00E8044B">
      <w:pPr>
        <w:spacing w:beforeLines="50" w:before="156" w:afterLines="50" w:after="156"/>
        <w:outlineLvl w:val="0"/>
        <w:rPr>
          <w:rFonts w:ascii="Times New Roman" w:hAnsi="Times New Roman" w:cs="Times New Roman"/>
          <w:b/>
          <w:sz w:val="28"/>
          <w:szCs w:val="28"/>
        </w:rPr>
      </w:pPr>
      <w:bookmarkStart w:id="19" w:name="_Toc97322923"/>
      <w:r>
        <w:rPr>
          <w:rFonts w:ascii="Times New Roman" w:hAnsi="Times New Roman" w:cs="Times New Roman"/>
          <w:b/>
          <w:bCs/>
          <w:sz w:val="28"/>
          <w:szCs w:val="28"/>
        </w:rPr>
        <w:lastRenderedPageBreak/>
        <w:t>附录</w:t>
      </w:r>
      <w:r>
        <w:rPr>
          <w:rFonts w:ascii="Times New Roman" w:hAnsi="Times New Roman" w:cs="Times New Roman"/>
          <w:b/>
          <w:bCs/>
          <w:sz w:val="28"/>
          <w:szCs w:val="28"/>
        </w:rPr>
        <w:t>A .</w:t>
      </w:r>
      <w:r>
        <w:rPr>
          <w:rFonts w:ascii="Times New Roman" w:hAnsi="Times New Roman" w:cs="Times New Roman"/>
          <w:b/>
          <w:bCs/>
          <w:sz w:val="28"/>
          <w:szCs w:val="28"/>
        </w:rPr>
        <w:t>具有器械组成部分的组合产品的既定条件</w:t>
      </w:r>
      <w:bookmarkEnd w:id="19"/>
    </w:p>
    <w:p w14:paraId="187F0F80" w14:textId="047BD9EC" w:rsidR="00C00292" w:rsidRPr="00FA0DD1" w:rsidRDefault="00C00292" w:rsidP="00E8044B">
      <w:pPr>
        <w:spacing w:beforeLines="50" w:before="156" w:afterLines="50" w:after="156"/>
        <w:rPr>
          <w:rStyle w:val="af3"/>
          <w:sz w:val="24"/>
          <w:szCs w:val="24"/>
        </w:rPr>
      </w:pPr>
      <w:r w:rsidRPr="00FA0DD1">
        <w:rPr>
          <w:rStyle w:val="af3"/>
          <w:sz w:val="24"/>
          <w:szCs w:val="24"/>
        </w:rPr>
        <w:t>提出产品（包括每个组成部分）的既定条件（</w:t>
      </w:r>
      <w:r w:rsidRPr="00FA0DD1">
        <w:rPr>
          <w:rStyle w:val="af3"/>
          <w:sz w:val="24"/>
          <w:szCs w:val="24"/>
        </w:rPr>
        <w:t>ECs</w:t>
      </w:r>
      <w:r w:rsidRPr="00FA0DD1">
        <w:rPr>
          <w:rStyle w:val="af3"/>
          <w:sz w:val="24"/>
          <w:szCs w:val="24"/>
        </w:rPr>
        <w:t>）和报告类别时，应将组合产品作为一个整体考虑，包括组成部分的作用和相互作用。本附录提供了关于通常被视为组合产品器械组成部分的既定条件</w:t>
      </w:r>
      <w:r w:rsidR="00201C71">
        <w:rPr>
          <w:rStyle w:val="af3"/>
          <w:rFonts w:hint="eastAsia"/>
          <w:sz w:val="24"/>
          <w:szCs w:val="24"/>
        </w:rPr>
        <w:t>要</w:t>
      </w:r>
      <w:r w:rsidRPr="00FA0DD1">
        <w:rPr>
          <w:rStyle w:val="af3"/>
          <w:sz w:val="24"/>
          <w:szCs w:val="24"/>
        </w:rPr>
        <w:t>素的一般指南。</w:t>
      </w:r>
      <w:r w:rsidRPr="00FA0DD1">
        <w:rPr>
          <w:rStyle w:val="af2"/>
          <w:rFonts w:ascii="Times New Roman" w:hAnsi="Times New Roman" w:cs="Times New Roman"/>
          <w:sz w:val="24"/>
          <w:szCs w:val="24"/>
        </w:rPr>
        <w:footnoteReference w:customMarkFollows="1" w:id="18"/>
        <w:t>1</w:t>
      </w:r>
      <w:r w:rsidRPr="00FA0DD1">
        <w:rPr>
          <w:rStyle w:val="af3"/>
          <w:sz w:val="24"/>
          <w:szCs w:val="24"/>
        </w:rPr>
        <w:t>不包括器械组成部分的完整既定条件列表；每份申请均应包括确定</w:t>
      </w:r>
      <w:r w:rsidR="0043587B">
        <w:rPr>
          <w:rStyle w:val="af3"/>
          <w:rFonts w:hint="eastAsia"/>
          <w:sz w:val="24"/>
          <w:szCs w:val="24"/>
        </w:rPr>
        <w:t>提议</w:t>
      </w:r>
      <w:r w:rsidRPr="00FA0DD1">
        <w:rPr>
          <w:rStyle w:val="af3"/>
          <w:sz w:val="24"/>
          <w:szCs w:val="24"/>
        </w:rPr>
        <w:t>既定条件的原因说明。</w:t>
      </w:r>
    </w:p>
    <w:p w14:paraId="5D82689B" w14:textId="77777777" w:rsidR="00C00292" w:rsidRPr="00FA0DD1" w:rsidRDefault="00C00292" w:rsidP="00E8044B">
      <w:pPr>
        <w:spacing w:beforeLines="50" w:before="156" w:afterLines="50" w:after="156"/>
        <w:rPr>
          <w:rStyle w:val="af3"/>
          <w:sz w:val="24"/>
          <w:szCs w:val="24"/>
        </w:rPr>
      </w:pPr>
      <w:r w:rsidRPr="00FA0DD1">
        <w:rPr>
          <w:rStyle w:val="af3"/>
          <w:sz w:val="24"/>
          <w:szCs w:val="24"/>
        </w:rPr>
        <w:t>以下通常被视为组合产品器械组成部分的既定条件：</w:t>
      </w:r>
    </w:p>
    <w:p w14:paraId="6EF3EA9B" w14:textId="7777777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器械标识：如从第三方购买，器械的制造商标识（例如，品牌名称）；器械许可或批准的参考资料（如适用）。</w:t>
      </w:r>
    </w:p>
    <w:p w14:paraId="1E7C3685" w14:textId="1E63D31B"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描述和设计特点：器械描述；药品输送的操作原理（例如，机械、电气原理）和</w:t>
      </w:r>
      <w:r w:rsidR="006C394C">
        <w:rPr>
          <w:rStyle w:val="af3"/>
          <w:rFonts w:hint="eastAsia"/>
          <w:sz w:val="24"/>
          <w:szCs w:val="24"/>
        </w:rPr>
        <w:t>机制</w:t>
      </w:r>
      <w:r w:rsidRPr="00FA0DD1">
        <w:rPr>
          <w:rStyle w:val="af3"/>
          <w:sz w:val="24"/>
          <w:szCs w:val="24"/>
        </w:rPr>
        <w:t>（例如，喷雾、混合）；作为主要特性的设计特征；与药品和患者直接或间接接触的结构材料。</w:t>
      </w:r>
    </w:p>
    <w:p w14:paraId="1E4449AF" w14:textId="76A67844"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制造商：对器械组成部分进行组装、封装和测试的</w:t>
      </w:r>
      <w:r w:rsidR="00B6643C">
        <w:rPr>
          <w:rStyle w:val="af3"/>
          <w:rFonts w:hint="eastAsia"/>
          <w:sz w:val="24"/>
          <w:szCs w:val="24"/>
        </w:rPr>
        <w:t>场地</w:t>
      </w:r>
      <w:r w:rsidRPr="00FA0DD1">
        <w:rPr>
          <w:rStyle w:val="af3"/>
          <w:sz w:val="24"/>
          <w:szCs w:val="24"/>
        </w:rPr>
        <w:t>名称、地址和职责。</w:t>
      </w:r>
    </w:p>
    <w:p w14:paraId="3CCB8F59" w14:textId="6B60B127"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制造（如组装）：制造过程中的单元操作和顺序；制造过程参数、材料属性和过程控制，其中影响主要特性</w:t>
      </w:r>
      <w:r w:rsidR="00E02CFC">
        <w:rPr>
          <w:rStyle w:val="af3"/>
          <w:rFonts w:hint="eastAsia"/>
          <w:sz w:val="24"/>
          <w:szCs w:val="24"/>
        </w:rPr>
        <w:t>的</w:t>
      </w:r>
      <w:r w:rsidR="00E02CFC" w:rsidRPr="00FA0DD1">
        <w:rPr>
          <w:rStyle w:val="af3"/>
          <w:sz w:val="24"/>
          <w:szCs w:val="24"/>
        </w:rPr>
        <w:t>可变性</w:t>
      </w:r>
      <w:r w:rsidRPr="00FA0DD1">
        <w:rPr>
          <w:rStyle w:val="af3"/>
          <w:sz w:val="24"/>
          <w:szCs w:val="24"/>
        </w:rPr>
        <w:t>。</w:t>
      </w:r>
    </w:p>
    <w:p w14:paraId="68471BD3" w14:textId="77790719" w:rsidR="00C00292" w:rsidRPr="00FA0DD1" w:rsidRDefault="00C00292" w:rsidP="00E8044B">
      <w:pPr>
        <w:spacing w:beforeLines="50" w:before="156" w:afterLines="50" w:after="156"/>
        <w:ind w:leftChars="134" w:left="603" w:hangingChars="134" w:hanging="322"/>
        <w:rPr>
          <w:rStyle w:val="af3"/>
          <w:sz w:val="24"/>
          <w:szCs w:val="24"/>
        </w:rPr>
      </w:pPr>
      <w:r w:rsidRPr="00FA0DD1">
        <w:rPr>
          <w:rStyle w:val="af3"/>
          <w:sz w:val="24"/>
          <w:szCs w:val="24"/>
        </w:rPr>
        <w:t>•</w:t>
      </w:r>
      <w:r w:rsidRPr="00FA0DD1">
        <w:rPr>
          <w:rStyle w:val="af3"/>
          <w:sz w:val="24"/>
          <w:szCs w:val="24"/>
        </w:rPr>
        <w:tab/>
      </w:r>
      <w:r w:rsidRPr="00FA0DD1">
        <w:rPr>
          <w:rStyle w:val="af3"/>
          <w:sz w:val="24"/>
          <w:szCs w:val="24"/>
        </w:rPr>
        <w:t>确保主要特性的属性</w:t>
      </w:r>
      <w:r w:rsidR="00E02CFC">
        <w:rPr>
          <w:rStyle w:val="af3"/>
          <w:rFonts w:hint="eastAsia"/>
          <w:sz w:val="24"/>
          <w:szCs w:val="24"/>
        </w:rPr>
        <w:t>放行</w:t>
      </w:r>
      <w:r w:rsidRPr="00FA0DD1">
        <w:rPr>
          <w:rStyle w:val="af3"/>
          <w:sz w:val="24"/>
          <w:szCs w:val="24"/>
        </w:rPr>
        <w:t>/</w:t>
      </w:r>
      <w:r w:rsidRPr="00FA0DD1">
        <w:rPr>
          <w:rStyle w:val="af3"/>
          <w:sz w:val="24"/>
          <w:szCs w:val="24"/>
        </w:rPr>
        <w:t>失效规范和相关测试方法。</w:t>
      </w:r>
    </w:p>
    <w:p w14:paraId="0B036D55" w14:textId="77777777" w:rsidR="00067617" w:rsidRDefault="00067617">
      <w:pPr>
        <w:widowControl/>
        <w:jc w:val="left"/>
        <w:rPr>
          <w:rStyle w:val="af3"/>
        </w:rPr>
      </w:pPr>
      <w:r>
        <w:rPr>
          <w:rStyle w:val="af3"/>
        </w:rPr>
        <w:br w:type="page"/>
      </w:r>
    </w:p>
    <w:p w14:paraId="1D861D23" w14:textId="77777777" w:rsidR="00C00292" w:rsidRPr="00C13D65" w:rsidRDefault="00C00292" w:rsidP="00E8044B">
      <w:pPr>
        <w:spacing w:beforeLines="50" w:before="156" w:afterLines="50" w:after="156"/>
        <w:outlineLvl w:val="0"/>
        <w:rPr>
          <w:rFonts w:ascii="Times New Roman" w:hAnsi="Times New Roman" w:cs="Times New Roman"/>
          <w:b/>
          <w:sz w:val="28"/>
          <w:szCs w:val="28"/>
        </w:rPr>
      </w:pPr>
      <w:bookmarkStart w:id="20" w:name="_Toc97322924"/>
      <w:r>
        <w:rPr>
          <w:rFonts w:ascii="Times New Roman" w:hAnsi="Times New Roman" w:cs="Times New Roman"/>
          <w:b/>
          <w:bCs/>
          <w:sz w:val="28"/>
          <w:szCs w:val="28"/>
        </w:rPr>
        <w:lastRenderedPageBreak/>
        <w:t>附录</w:t>
      </w:r>
      <w:r>
        <w:rPr>
          <w:rFonts w:ascii="Times New Roman" w:hAnsi="Times New Roman" w:cs="Times New Roman"/>
          <w:b/>
          <w:bCs/>
          <w:sz w:val="28"/>
          <w:szCs w:val="28"/>
        </w:rPr>
        <w:t>B .</w:t>
      </w:r>
      <w:r>
        <w:rPr>
          <w:rFonts w:ascii="Times New Roman" w:hAnsi="Times New Roman" w:cs="Times New Roman"/>
          <w:b/>
          <w:bCs/>
          <w:sz w:val="28"/>
          <w:szCs w:val="28"/>
        </w:rPr>
        <w:t>用于确定器械组成部分的既定条件和报告类别的决策树</w:t>
      </w:r>
      <w:bookmarkEnd w:id="20"/>
    </w:p>
    <w:p w14:paraId="3D189797" w14:textId="79123381" w:rsidR="00C00292" w:rsidRPr="00C13D65" w:rsidRDefault="00C00292" w:rsidP="00E8044B">
      <w:pPr>
        <w:spacing w:beforeLines="50" w:before="156" w:afterLines="50" w:after="156"/>
        <w:rPr>
          <w:rStyle w:val="af3"/>
        </w:rPr>
      </w:pPr>
      <w:r>
        <w:rPr>
          <w:rStyle w:val="af3"/>
        </w:rPr>
        <w:t>以下</w:t>
      </w:r>
      <w:r w:rsidR="00DC1BE7">
        <w:rPr>
          <w:rStyle w:val="af3"/>
          <w:rFonts w:hint="eastAsia"/>
        </w:rPr>
        <w:t>决策</w:t>
      </w:r>
      <w:r>
        <w:rPr>
          <w:rStyle w:val="af3"/>
        </w:rPr>
        <w:t>树可用于指导确定组合产品器械组成部分的既定条件和相关报告类别。</w:t>
      </w:r>
    </w:p>
    <w:p w14:paraId="737C4775" w14:textId="77777777" w:rsidR="00067617" w:rsidRDefault="00000000" w:rsidP="0097448D">
      <w:pPr>
        <w:widowControl/>
        <w:spacing w:line="0" w:lineRule="atLeast"/>
        <w:jc w:val="center"/>
        <w:rPr>
          <w:rStyle w:val="af3"/>
        </w:rPr>
      </w:pPr>
      <w:r>
        <w:rPr>
          <w:rFonts w:ascii="Times New Roman" w:hAnsi="Times New Roman" w:cs="Times New Roman"/>
          <w:noProof/>
        </w:rPr>
        <w:pict w14:anchorId="34A5FF77">
          <v:shapetype id="_x0000_t202" coordsize="21600,21600" o:spt="202" path="m,l,21600r21600,l21600,xe">
            <v:stroke joinstyle="miter"/>
            <v:path gradientshapeok="t" o:connecttype="rect"/>
          </v:shapetype>
          <v:shape id="_x0000_s2057" type="#_x0000_t202" style="position:absolute;left:0;text-align:left;margin-left:105.3pt;margin-top:76.65pt;width:127.8pt;height:13.8pt;z-index:251665408" filled="f" stroked="f">
            <v:textbox inset="0,0,0,0">
              <w:txbxContent>
                <w:p w14:paraId="6D49A907" w14:textId="0750F95A" w:rsidR="0097448D" w:rsidRPr="00FA0DD1" w:rsidRDefault="00481A83" w:rsidP="0097448D">
                  <w:pPr>
                    <w:spacing w:line="0" w:lineRule="atLeast"/>
                    <w:jc w:val="center"/>
                    <w:rPr>
                      <w:rFonts w:asciiTheme="minorEastAsia" w:hAnsiTheme="minorEastAsia" w:cs="Times New Roman"/>
                      <w:b/>
                      <w:sz w:val="18"/>
                      <w:szCs w:val="18"/>
                    </w:rPr>
                  </w:pPr>
                  <w:r>
                    <w:rPr>
                      <w:rFonts w:ascii="Times New Roman" w:hAnsi="Times New Roman" w:cs="Times New Roman" w:hint="eastAsia"/>
                      <w:b/>
                      <w:bCs/>
                      <w:sz w:val="18"/>
                      <w:szCs w:val="18"/>
                    </w:rPr>
                    <w:t>任意一个</w:t>
                  </w:r>
                  <w:r w:rsidR="00301CB7">
                    <w:rPr>
                      <w:rFonts w:ascii="Times New Roman" w:hAnsi="Times New Roman" w:cs="Times New Roman" w:hint="eastAsia"/>
                      <w:b/>
                      <w:bCs/>
                      <w:sz w:val="18"/>
                      <w:szCs w:val="18"/>
                    </w:rPr>
                    <w:t>为</w:t>
                  </w:r>
                  <w:r w:rsidR="00336092" w:rsidRPr="00FA0DD1">
                    <w:rPr>
                      <w:rFonts w:asciiTheme="minorEastAsia" w:hAnsiTheme="minorEastAsia" w:cs="Times New Roman"/>
                      <w:b/>
                      <w:bCs/>
                      <w:sz w:val="18"/>
                      <w:szCs w:val="18"/>
                    </w:rPr>
                    <w:t>“是”</w:t>
                  </w:r>
                </w:p>
              </w:txbxContent>
            </v:textbox>
          </v:shape>
        </w:pict>
      </w:r>
      <w:r>
        <w:rPr>
          <w:rFonts w:ascii="Times New Roman" w:hAnsi="Times New Roman" w:cs="Times New Roman"/>
          <w:noProof/>
        </w:rPr>
        <w:pict w14:anchorId="5F46513E">
          <v:shape id="_x0000_s2062" type="#_x0000_t202" style="position:absolute;left:0;text-align:left;margin-left:57.9pt;margin-top:367.2pt;width:186pt;height:20.4pt;z-index:251670528" filled="f" stroked="f">
            <v:textbox inset="0,0,0,0">
              <w:txbxContent>
                <w:p w14:paraId="4D41B726" w14:textId="77777777" w:rsidR="006A7314" w:rsidRPr="0097448D" w:rsidRDefault="00336092" w:rsidP="006A7314">
                  <w:pPr>
                    <w:spacing w:line="0" w:lineRule="atLeast"/>
                    <w:jc w:val="center"/>
                    <w:rPr>
                      <w:rFonts w:ascii="Times New Roman" w:hAnsi="Times New Roman" w:cs="Times New Roman"/>
                      <w:sz w:val="18"/>
                      <w:szCs w:val="18"/>
                    </w:rPr>
                  </w:pPr>
                  <w:r>
                    <w:rPr>
                      <w:rFonts w:ascii="Times New Roman" w:hAnsi="Times New Roman" w:cs="Times New Roman"/>
                      <w:sz w:val="18"/>
                      <w:szCs w:val="18"/>
                    </w:rPr>
                    <w:t>与拟议变更相关的潜在风险水平是多少？</w:t>
                  </w:r>
                </w:p>
              </w:txbxContent>
            </v:textbox>
          </v:shape>
        </w:pict>
      </w:r>
      <w:r>
        <w:rPr>
          <w:rFonts w:ascii="Times New Roman" w:hAnsi="Times New Roman" w:cs="Times New Roman"/>
          <w:noProof/>
        </w:rPr>
        <w:pict w14:anchorId="27A7AFA3">
          <v:shape id="_x0000_s2066" type="#_x0000_t202" style="position:absolute;left:0;text-align:left;margin-left:167.1pt;margin-top:409.5pt;width:73.8pt;height:14.4pt;z-index:251674624" filled="f" stroked="f">
            <v:textbox style="mso-next-textbox:#_x0000_s2066" inset="0,0,0,0">
              <w:txbxContent>
                <w:p w14:paraId="6957012B" w14:textId="77777777" w:rsidR="00336092" w:rsidRPr="00336092" w:rsidRDefault="00336092" w:rsidP="00336092">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中到低</w:t>
                  </w:r>
                </w:p>
              </w:txbxContent>
            </v:textbox>
          </v:shape>
        </w:pict>
      </w:r>
      <w:r>
        <w:rPr>
          <w:rFonts w:ascii="Times New Roman" w:hAnsi="Times New Roman" w:cs="Times New Roman"/>
          <w:noProof/>
        </w:rPr>
        <w:pict w14:anchorId="6709BA35">
          <v:shape id="_x0000_s2065" type="#_x0000_t202" style="position:absolute;left:0;text-align:left;margin-left:58.65pt;margin-top:413.5pt;width:53.4pt;height:14.4pt;z-index:251673600" filled="f" stroked="f">
            <v:textbox inset="0,0,0,0">
              <w:txbxContent>
                <w:p w14:paraId="02435B05" w14:textId="77777777" w:rsidR="006A7314" w:rsidRPr="00336092" w:rsidRDefault="00336092" w:rsidP="006A7314">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高</w:t>
                  </w:r>
                </w:p>
              </w:txbxContent>
            </v:textbox>
          </v:shape>
        </w:pict>
      </w:r>
      <w:r>
        <w:rPr>
          <w:rFonts w:ascii="Times New Roman" w:hAnsi="Times New Roman" w:cs="Times New Roman"/>
          <w:noProof/>
        </w:rPr>
        <w:pict w14:anchorId="7B3973B8">
          <v:shape id="_x0000_s2064" type="#_x0000_t202" style="position:absolute;left:0;text-align:left;margin-left:336.9pt;margin-top:462.25pt;width:80.4pt;height:14.4pt;z-index:251672576" filled="f" stroked="f">
            <v:textbox inset="0,.5mm,0,0">
              <w:txbxContent>
                <w:p w14:paraId="5520FD48" w14:textId="487AA2EC" w:rsidR="006A7314" w:rsidRPr="00336092" w:rsidRDefault="003C21C2" w:rsidP="006A7314">
                  <w:pPr>
                    <w:spacing w:line="0" w:lineRule="atLeast"/>
                    <w:jc w:val="center"/>
                    <w:rPr>
                      <w:rFonts w:ascii="Times New Roman" w:hAnsi="Times New Roman" w:cs="Times New Roman"/>
                      <w:b/>
                      <w:sz w:val="18"/>
                      <w:szCs w:val="18"/>
                    </w:rPr>
                  </w:pPr>
                  <w:r>
                    <w:rPr>
                      <w:rFonts w:ascii="Times New Roman" w:hAnsi="Times New Roman" w:cs="Times New Roman" w:hint="eastAsia"/>
                      <w:b/>
                      <w:bCs/>
                      <w:sz w:val="18"/>
                      <w:szCs w:val="18"/>
                    </w:rPr>
                    <w:t>无需</w:t>
                  </w:r>
                  <w:r w:rsidR="00336092">
                    <w:rPr>
                      <w:rFonts w:ascii="Times New Roman" w:hAnsi="Times New Roman" w:cs="Times New Roman"/>
                      <w:b/>
                      <w:bCs/>
                      <w:sz w:val="18"/>
                      <w:szCs w:val="18"/>
                    </w:rPr>
                    <w:t>报告</w:t>
                  </w:r>
                </w:p>
              </w:txbxContent>
            </v:textbox>
          </v:shape>
        </w:pict>
      </w:r>
      <w:r>
        <w:rPr>
          <w:rFonts w:ascii="Times New Roman" w:hAnsi="Times New Roman" w:cs="Times New Roman"/>
          <w:noProof/>
        </w:rPr>
        <w:pict w14:anchorId="66194C55">
          <v:shape id="_x0000_s2063" type="#_x0000_t202" style="position:absolute;left:0;text-align:left;margin-left:164.1pt;margin-top:462.25pt;width:79.8pt;height:14.4pt;z-index:251671552" filled="f" stroked="f">
            <v:textbox inset="0,.5mm,0,0">
              <w:txbxContent>
                <w:p w14:paraId="6937E97B" w14:textId="77777777" w:rsidR="006A7314" w:rsidRPr="00336092" w:rsidRDefault="00336092" w:rsidP="006A7314">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CBE-30</w:t>
                  </w:r>
                  <w:r>
                    <w:rPr>
                      <w:rFonts w:ascii="Times New Roman" w:hAnsi="Times New Roman" w:cs="Times New Roman"/>
                      <w:b/>
                      <w:bCs/>
                      <w:sz w:val="18"/>
                      <w:szCs w:val="18"/>
                    </w:rPr>
                    <w:t>或</w:t>
                  </w:r>
                  <w:r>
                    <w:rPr>
                      <w:rFonts w:ascii="Times New Roman" w:hAnsi="Times New Roman" w:cs="Times New Roman"/>
                      <w:b/>
                      <w:bCs/>
                      <w:sz w:val="18"/>
                      <w:szCs w:val="18"/>
                    </w:rPr>
                    <w:t>CBE-0</w:t>
                  </w:r>
                </w:p>
              </w:txbxContent>
            </v:textbox>
          </v:shape>
        </w:pict>
      </w:r>
      <w:r>
        <w:rPr>
          <w:rFonts w:ascii="Times New Roman" w:hAnsi="Times New Roman" w:cs="Times New Roman"/>
          <w:noProof/>
        </w:rPr>
        <w:pict w14:anchorId="739247B2">
          <v:shape id="_x0000_s2052" type="#_x0000_t202" style="position:absolute;left:0;text-align:left;margin-left:48.9pt;margin-top:462.25pt;width:76.8pt;height:14.4pt;z-index:251660288" filled="f" stroked="f">
            <v:textbox inset="0,.5mm,0,0">
              <w:txbxContent>
                <w:p w14:paraId="56C26C36" w14:textId="77777777" w:rsidR="0097448D" w:rsidRPr="00336092" w:rsidRDefault="00336092" w:rsidP="0097448D">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PAS</w:t>
                  </w:r>
                </w:p>
              </w:txbxContent>
            </v:textbox>
          </v:shape>
        </w:pict>
      </w:r>
      <w:r>
        <w:rPr>
          <w:rFonts w:ascii="Times New Roman" w:hAnsi="Times New Roman" w:cs="Times New Roman"/>
          <w:noProof/>
        </w:rPr>
        <w:pict w14:anchorId="4DD56A4E">
          <v:shape id="_x0000_s2053" type="#_x0000_t202" style="position:absolute;left:0;text-align:left;margin-left:48.75pt;margin-top:491.85pt;width:394.2pt;height:81.6pt;z-index:251661312" filled="f" stroked="f">
            <v:textbox inset="0,0,0,0">
              <w:txbxContent>
                <w:p w14:paraId="4A66ED3A" w14:textId="77777777" w:rsidR="00A77E18" w:rsidRPr="00A77E18" w:rsidRDefault="00A77E18" w:rsidP="00A77E18">
                  <w:pPr>
                    <w:spacing w:line="0" w:lineRule="atLeas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采用</w:t>
                  </w:r>
                  <w:r>
                    <w:rPr>
                      <w:rFonts w:ascii="Times New Roman" w:hAnsi="Times New Roman" w:cs="Times New Roman"/>
                      <w:sz w:val="18"/>
                      <w:szCs w:val="18"/>
                    </w:rPr>
                    <w:t>ICH</w:t>
                  </w:r>
                  <w:r>
                    <w:rPr>
                      <w:rFonts w:ascii="Times New Roman" w:hAnsi="Times New Roman" w:cs="Times New Roman"/>
                      <w:sz w:val="18"/>
                      <w:szCs w:val="18"/>
                    </w:rPr>
                    <w:t>行业指南</w:t>
                  </w:r>
                  <w:r>
                    <w:rPr>
                      <w:rFonts w:ascii="Times New Roman" w:hAnsi="Times New Roman" w:cs="Times New Roman"/>
                      <w:i/>
                      <w:iCs/>
                      <w:sz w:val="18"/>
                      <w:szCs w:val="18"/>
                    </w:rPr>
                    <w:t>Q9</w:t>
                  </w:r>
                  <w:r>
                    <w:rPr>
                      <w:rFonts w:ascii="Times New Roman" w:hAnsi="Times New Roman" w:cs="Times New Roman"/>
                      <w:sz w:val="18"/>
                      <w:szCs w:val="18"/>
                    </w:rPr>
                    <w:t>《质量风险管理》（</w:t>
                  </w:r>
                  <w:r>
                    <w:rPr>
                      <w:rFonts w:ascii="Times New Roman" w:hAnsi="Times New Roman" w:cs="Times New Roman"/>
                      <w:sz w:val="18"/>
                      <w:szCs w:val="18"/>
                    </w:rPr>
                    <w:t>2006</w:t>
                  </w:r>
                  <w:r>
                    <w:rPr>
                      <w:rFonts w:ascii="Times New Roman" w:hAnsi="Times New Roman" w:cs="Times New Roman"/>
                      <w:sz w:val="18"/>
                      <w:szCs w:val="18"/>
                    </w:rPr>
                    <w:t>年</w:t>
                  </w:r>
                  <w:r>
                    <w:rPr>
                      <w:rFonts w:ascii="Times New Roman" w:hAnsi="Times New Roman" w:cs="Times New Roman"/>
                      <w:sz w:val="18"/>
                      <w:szCs w:val="18"/>
                    </w:rPr>
                    <w:t>6</w:t>
                  </w:r>
                  <w:r>
                    <w:rPr>
                      <w:rFonts w:ascii="Times New Roman" w:hAnsi="Times New Roman" w:cs="Times New Roman"/>
                      <w:sz w:val="18"/>
                      <w:szCs w:val="18"/>
                    </w:rPr>
                    <w:t>月）或</w:t>
                  </w:r>
                  <w:r>
                    <w:rPr>
                      <w:rFonts w:ascii="Times New Roman" w:hAnsi="Times New Roman" w:cs="Times New Roman"/>
                      <w:sz w:val="18"/>
                      <w:szCs w:val="18"/>
                    </w:rPr>
                    <w:t>ISO 14971</w:t>
                  </w:r>
                  <w:r>
                    <w:rPr>
                      <w:rFonts w:ascii="Times New Roman" w:hAnsi="Times New Roman" w:cs="Times New Roman"/>
                      <w:sz w:val="18"/>
                      <w:szCs w:val="18"/>
                    </w:rPr>
                    <w:t>：</w:t>
                  </w:r>
                  <w:r>
                    <w:rPr>
                      <w:rFonts w:ascii="Times New Roman" w:hAnsi="Times New Roman" w:cs="Times New Roman"/>
                      <w:sz w:val="18"/>
                      <w:szCs w:val="18"/>
                    </w:rPr>
                    <w:t>2019</w:t>
                  </w:r>
                  <w:r>
                    <w:rPr>
                      <w:rFonts w:ascii="Times New Roman" w:hAnsi="Times New Roman" w:cs="Times New Roman"/>
                      <w:sz w:val="18"/>
                      <w:szCs w:val="18"/>
                    </w:rPr>
                    <w:t>《医疗器械</w:t>
                  </w:r>
                  <w:r>
                    <w:rPr>
                      <w:rFonts w:ascii="Times New Roman" w:hAnsi="Times New Roman" w:cs="Times New Roman"/>
                      <w:sz w:val="18"/>
                      <w:szCs w:val="18"/>
                    </w:rPr>
                    <w:t>—</w:t>
                  </w:r>
                  <w:r>
                    <w:rPr>
                      <w:rFonts w:ascii="Times New Roman" w:hAnsi="Times New Roman" w:cs="Times New Roman"/>
                      <w:sz w:val="18"/>
                      <w:szCs w:val="18"/>
                    </w:rPr>
                    <w:t>风险管理在医疗器械中的应用》中的风险管理原则确定。</w:t>
                  </w:r>
                </w:p>
                <w:p w14:paraId="69A7A5B5" w14:textId="77777777" w:rsidR="00A77E18" w:rsidRPr="00A77E18" w:rsidRDefault="00A77E18" w:rsidP="00A77E18">
                  <w:pPr>
                    <w:spacing w:line="0" w:lineRule="atLeast"/>
                    <w:rPr>
                      <w:rFonts w:ascii="Times New Roman" w:hAnsi="Times New Roman" w:cs="Times New Roman"/>
                      <w:sz w:val="18"/>
                      <w:szCs w:val="18"/>
                    </w:rPr>
                  </w:pPr>
                  <w:r>
                    <w:rPr>
                      <w:rFonts w:ascii="Times New Roman" w:hAnsi="Times New Roman" w:cs="Times New Roman"/>
                      <w:sz w:val="18"/>
                      <w:szCs w:val="18"/>
                    </w:rPr>
                    <w:t>* *</w:t>
                  </w:r>
                  <w:r>
                    <w:rPr>
                      <w:rFonts w:ascii="Times New Roman" w:hAnsi="Times New Roman" w:cs="Times New Roman"/>
                      <w:sz w:val="18"/>
                      <w:szCs w:val="18"/>
                    </w:rPr>
                    <w:t>请参见</w:t>
                  </w:r>
                  <w:r>
                    <w:rPr>
                      <w:rFonts w:ascii="Times New Roman" w:hAnsi="Times New Roman" w:cs="Times New Roman"/>
                      <w:sz w:val="18"/>
                      <w:szCs w:val="18"/>
                    </w:rPr>
                    <w:t>ISO 13485</w:t>
                  </w:r>
                  <w:r>
                    <w:rPr>
                      <w:rFonts w:ascii="Times New Roman" w:hAnsi="Times New Roman" w:cs="Times New Roman"/>
                      <w:sz w:val="18"/>
                      <w:szCs w:val="18"/>
                    </w:rPr>
                    <w:t>：</w:t>
                  </w:r>
                  <w:r>
                    <w:rPr>
                      <w:rFonts w:ascii="Times New Roman" w:hAnsi="Times New Roman" w:cs="Times New Roman"/>
                      <w:sz w:val="18"/>
                      <w:szCs w:val="18"/>
                    </w:rPr>
                    <w:t>2016</w:t>
                  </w:r>
                  <w:r>
                    <w:rPr>
                      <w:rFonts w:ascii="Times New Roman" w:hAnsi="Times New Roman" w:cs="Times New Roman"/>
                      <w:sz w:val="18"/>
                      <w:szCs w:val="18"/>
                    </w:rPr>
                    <w:t>《医疗器械</w:t>
                  </w:r>
                  <w:r>
                    <w:rPr>
                      <w:rFonts w:ascii="Times New Roman" w:hAnsi="Times New Roman" w:cs="Times New Roman"/>
                      <w:sz w:val="18"/>
                      <w:szCs w:val="18"/>
                    </w:rPr>
                    <w:t>—</w:t>
                  </w:r>
                  <w:r>
                    <w:rPr>
                      <w:rFonts w:ascii="Times New Roman" w:hAnsi="Times New Roman" w:cs="Times New Roman"/>
                      <w:sz w:val="18"/>
                      <w:szCs w:val="18"/>
                    </w:rPr>
                    <w:t>质量管理体系</w:t>
                  </w:r>
                  <w:r>
                    <w:rPr>
                      <w:rFonts w:ascii="Times New Roman" w:hAnsi="Times New Roman" w:cs="Times New Roman"/>
                      <w:sz w:val="18"/>
                      <w:szCs w:val="18"/>
                    </w:rPr>
                    <w:t>—</w:t>
                  </w:r>
                  <w:r>
                    <w:rPr>
                      <w:rFonts w:ascii="Times New Roman" w:hAnsi="Times New Roman" w:cs="Times New Roman"/>
                      <w:sz w:val="18"/>
                      <w:szCs w:val="18"/>
                    </w:rPr>
                    <w:t>用于法规的要求，第</w:t>
                  </w:r>
                  <w:r>
                    <w:rPr>
                      <w:rFonts w:ascii="Times New Roman" w:hAnsi="Times New Roman" w:cs="Times New Roman"/>
                      <w:sz w:val="18"/>
                      <w:szCs w:val="18"/>
                    </w:rPr>
                    <w:t>7.3.4</w:t>
                  </w:r>
                  <w:r>
                    <w:rPr>
                      <w:rFonts w:ascii="Times New Roman" w:hAnsi="Times New Roman" w:cs="Times New Roman"/>
                      <w:sz w:val="18"/>
                      <w:szCs w:val="18"/>
                    </w:rPr>
                    <w:t>节</w:t>
                  </w:r>
                  <w:r>
                    <w:rPr>
                      <w:rFonts w:ascii="Times New Roman" w:hAnsi="Times New Roman" w:cs="Times New Roman"/>
                      <w:sz w:val="18"/>
                      <w:szCs w:val="18"/>
                    </w:rPr>
                    <w:t>“</w:t>
                  </w:r>
                  <w:r>
                    <w:rPr>
                      <w:rFonts w:ascii="Times New Roman" w:hAnsi="Times New Roman" w:cs="Times New Roman"/>
                      <w:sz w:val="18"/>
                      <w:szCs w:val="18"/>
                    </w:rPr>
                    <w:t>产品实现</w:t>
                  </w:r>
                  <w:r>
                    <w:rPr>
                      <w:rFonts w:ascii="Times New Roman" w:hAnsi="Times New Roman" w:cs="Times New Roman"/>
                      <w:sz w:val="18"/>
                      <w:szCs w:val="18"/>
                    </w:rPr>
                    <w:t>—</w:t>
                  </w:r>
                  <w:r>
                    <w:rPr>
                      <w:rFonts w:ascii="Times New Roman" w:hAnsi="Times New Roman" w:cs="Times New Roman"/>
                      <w:sz w:val="18"/>
                      <w:szCs w:val="18"/>
                    </w:rPr>
                    <w:t>设计和开发</w:t>
                  </w:r>
                  <w:r>
                    <w:rPr>
                      <w:rFonts w:ascii="Times New Roman" w:hAnsi="Times New Roman" w:cs="Times New Roman"/>
                      <w:sz w:val="18"/>
                      <w:szCs w:val="18"/>
                    </w:rPr>
                    <w:t>—</w:t>
                  </w:r>
                  <w:r>
                    <w:rPr>
                      <w:rFonts w:ascii="Times New Roman" w:hAnsi="Times New Roman" w:cs="Times New Roman"/>
                      <w:sz w:val="18"/>
                      <w:szCs w:val="18"/>
                    </w:rPr>
                    <w:t>设计和开发输出</w:t>
                  </w:r>
                  <w:r>
                    <w:rPr>
                      <w:rFonts w:ascii="Times New Roman" w:hAnsi="Times New Roman" w:cs="Times New Roman"/>
                      <w:sz w:val="18"/>
                      <w:szCs w:val="18"/>
                    </w:rPr>
                    <w:t xml:space="preserve">” </w:t>
                  </w:r>
                  <w:r>
                    <w:rPr>
                      <w:rFonts w:ascii="Times New Roman" w:hAnsi="Times New Roman" w:cs="Times New Roman"/>
                      <w:sz w:val="18"/>
                      <w:szCs w:val="18"/>
                    </w:rPr>
                    <w:t>》。</w:t>
                  </w:r>
                </w:p>
                <w:p w14:paraId="5F8CF036" w14:textId="39909EB3" w:rsidR="0097448D" w:rsidRPr="0097448D" w:rsidRDefault="00A77E18" w:rsidP="00A77E18">
                  <w:pPr>
                    <w:spacing w:line="0" w:lineRule="atLeast"/>
                    <w:rPr>
                      <w:rFonts w:ascii="Times New Roman" w:hAnsi="Times New Roman" w:cs="Times New Roman"/>
                      <w:sz w:val="18"/>
                      <w:szCs w:val="18"/>
                    </w:rPr>
                  </w:pPr>
                  <w:r>
                    <w:rPr>
                      <w:rFonts w:ascii="Times New Roman" w:hAnsi="Times New Roman" w:cs="Times New Roman"/>
                      <w:sz w:val="18"/>
                      <w:szCs w:val="18"/>
                    </w:rPr>
                    <w:t>备注：</w:t>
                  </w:r>
                  <w:r>
                    <w:rPr>
                      <w:rFonts w:ascii="Times New Roman" w:hAnsi="Times New Roman" w:cs="Times New Roman"/>
                      <w:sz w:val="18"/>
                      <w:szCs w:val="18"/>
                    </w:rPr>
                    <w:t>CQA =</w:t>
                  </w:r>
                  <w:r>
                    <w:rPr>
                      <w:rFonts w:ascii="Times New Roman" w:hAnsi="Times New Roman" w:cs="Times New Roman"/>
                      <w:sz w:val="18"/>
                      <w:szCs w:val="18"/>
                    </w:rPr>
                    <w:t>关键质量属性；</w:t>
                  </w:r>
                  <w:r>
                    <w:rPr>
                      <w:rFonts w:ascii="Times New Roman" w:hAnsi="Times New Roman" w:cs="Times New Roman"/>
                      <w:sz w:val="18"/>
                      <w:szCs w:val="18"/>
                    </w:rPr>
                    <w:t>EC =</w:t>
                  </w:r>
                  <w:r w:rsidR="00246993">
                    <w:rPr>
                      <w:rFonts w:ascii="Times New Roman" w:hAnsi="Times New Roman" w:cs="Times New Roman" w:hint="eastAsia"/>
                      <w:sz w:val="18"/>
                      <w:szCs w:val="18"/>
                    </w:rPr>
                    <w:t>既定</w:t>
                  </w:r>
                  <w:r>
                    <w:rPr>
                      <w:rFonts w:ascii="Times New Roman" w:hAnsi="Times New Roman" w:cs="Times New Roman"/>
                      <w:sz w:val="18"/>
                      <w:szCs w:val="18"/>
                    </w:rPr>
                    <w:t>条件；</w:t>
                  </w:r>
                  <w:r>
                    <w:rPr>
                      <w:rFonts w:ascii="Times New Roman" w:hAnsi="Times New Roman" w:cs="Times New Roman"/>
                      <w:sz w:val="18"/>
                      <w:szCs w:val="18"/>
                    </w:rPr>
                    <w:t>PAS =</w:t>
                  </w:r>
                  <w:r>
                    <w:rPr>
                      <w:rFonts w:ascii="Times New Roman" w:hAnsi="Times New Roman" w:cs="Times New Roman"/>
                      <w:sz w:val="18"/>
                      <w:szCs w:val="18"/>
                    </w:rPr>
                    <w:t>事先批准补充</w:t>
                  </w:r>
                  <w:r w:rsidR="00246993">
                    <w:rPr>
                      <w:rFonts w:ascii="Times New Roman" w:hAnsi="Times New Roman" w:cs="Times New Roman" w:hint="eastAsia"/>
                      <w:sz w:val="18"/>
                      <w:szCs w:val="18"/>
                    </w:rPr>
                    <w:t>申请</w:t>
                  </w:r>
                  <w:r>
                    <w:rPr>
                      <w:rFonts w:ascii="Times New Roman" w:hAnsi="Times New Roman" w:cs="Times New Roman"/>
                      <w:sz w:val="18"/>
                      <w:szCs w:val="18"/>
                    </w:rPr>
                    <w:t>；</w:t>
                  </w:r>
                  <w:r>
                    <w:rPr>
                      <w:rFonts w:ascii="Times New Roman" w:hAnsi="Times New Roman" w:cs="Times New Roman"/>
                      <w:sz w:val="18"/>
                      <w:szCs w:val="18"/>
                    </w:rPr>
                    <w:t>CBE =</w:t>
                  </w:r>
                  <w:r w:rsidR="00FD030B">
                    <w:rPr>
                      <w:rFonts w:ascii="Times New Roman" w:hAnsi="Times New Roman" w:cs="Times New Roman" w:hint="eastAsia"/>
                      <w:sz w:val="18"/>
                      <w:szCs w:val="18"/>
                    </w:rPr>
                    <w:t>生效变更</w:t>
                  </w:r>
                  <w:r>
                    <w:rPr>
                      <w:rFonts w:ascii="Times New Roman" w:hAnsi="Times New Roman" w:cs="Times New Roman"/>
                      <w:sz w:val="18"/>
                      <w:szCs w:val="18"/>
                    </w:rPr>
                    <w:t>；</w:t>
                  </w:r>
                  <w:r>
                    <w:rPr>
                      <w:rFonts w:ascii="Times New Roman" w:hAnsi="Times New Roman" w:cs="Times New Roman"/>
                      <w:sz w:val="18"/>
                      <w:szCs w:val="18"/>
                    </w:rPr>
                    <w:t>ICH =</w:t>
                  </w:r>
                  <w:r>
                    <w:rPr>
                      <w:rFonts w:ascii="Times New Roman" w:hAnsi="Times New Roman" w:cs="Times New Roman"/>
                      <w:sz w:val="18"/>
                      <w:szCs w:val="18"/>
                    </w:rPr>
                    <w:t>国际</w:t>
                  </w:r>
                  <w:r w:rsidR="00FD030B">
                    <w:rPr>
                      <w:rFonts w:ascii="Times New Roman" w:hAnsi="Times New Roman" w:cs="Times New Roman" w:hint="eastAsia"/>
                      <w:sz w:val="18"/>
                      <w:szCs w:val="18"/>
                    </w:rPr>
                    <w:t>人用药注册技术</w:t>
                  </w:r>
                  <w:r>
                    <w:rPr>
                      <w:rFonts w:ascii="Times New Roman" w:hAnsi="Times New Roman" w:cs="Times New Roman"/>
                      <w:sz w:val="18"/>
                      <w:szCs w:val="18"/>
                    </w:rPr>
                    <w:t>协调会；</w:t>
                  </w:r>
                  <w:r>
                    <w:rPr>
                      <w:rFonts w:ascii="Times New Roman" w:hAnsi="Times New Roman" w:cs="Times New Roman"/>
                      <w:sz w:val="18"/>
                      <w:szCs w:val="18"/>
                    </w:rPr>
                    <w:t>ISO=</w:t>
                  </w:r>
                  <w:r>
                    <w:rPr>
                      <w:rFonts w:ascii="Times New Roman" w:hAnsi="Times New Roman" w:cs="Times New Roman"/>
                      <w:sz w:val="18"/>
                      <w:szCs w:val="18"/>
                    </w:rPr>
                    <w:t>国际标准化组织。</w:t>
                  </w:r>
                </w:p>
              </w:txbxContent>
            </v:textbox>
          </v:shape>
        </w:pict>
      </w:r>
      <w:r>
        <w:rPr>
          <w:rFonts w:ascii="Times New Roman" w:hAnsi="Times New Roman" w:cs="Times New Roman"/>
          <w:noProof/>
        </w:rPr>
        <w:pict w14:anchorId="0F5C08E2">
          <v:shape id="_x0000_s2061" type="#_x0000_t202" style="position:absolute;left:0;text-align:left;margin-left:347.1pt;margin-top:240.4pt;width:60.6pt;height:69pt;z-index:251669504" filled="f" stroked="f">
            <v:textbox inset="0,0,0,0">
              <w:txbxContent>
                <w:p w14:paraId="32B3FC05" w14:textId="77777777" w:rsidR="006A7314" w:rsidRPr="00336092" w:rsidRDefault="00336092" w:rsidP="006A7314">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其他特性的设计、过程和控制要素</w:t>
                  </w:r>
                  <w:r>
                    <w:rPr>
                      <w:rFonts w:ascii="Times New Roman" w:hAnsi="Times New Roman" w:cs="Times New Roman"/>
                      <w:b/>
                      <w:bCs/>
                      <w:color w:val="FFFFFF" w:themeColor="background1"/>
                      <w:sz w:val="18"/>
                      <w:szCs w:val="18"/>
                    </w:rPr>
                    <w:t>不</w:t>
                  </w:r>
                  <w:r>
                    <w:rPr>
                      <w:rFonts w:ascii="Times New Roman" w:hAnsi="Times New Roman" w:cs="Times New Roman"/>
                      <w:color w:val="FFFFFF" w:themeColor="background1"/>
                      <w:sz w:val="18"/>
                      <w:szCs w:val="18"/>
                    </w:rPr>
                    <w:t>属于既定条件</w:t>
                  </w:r>
                </w:p>
              </w:txbxContent>
            </v:textbox>
          </v:shape>
        </w:pict>
      </w:r>
      <w:r>
        <w:rPr>
          <w:rFonts w:ascii="Times New Roman" w:hAnsi="Times New Roman" w:cs="Times New Roman"/>
          <w:noProof/>
        </w:rPr>
        <w:pict w14:anchorId="58CD71B5">
          <v:shape id="_x0000_s2060" type="#_x0000_t202" style="position:absolute;left:0;text-align:left;margin-left:193.5pt;margin-top:250pt;width:60.6pt;height:59.4pt;z-index:251668480" filled="f" stroked="f">
            <v:textbox inset="0,0,0,0">
              <w:txbxContent>
                <w:p w14:paraId="24E21578" w14:textId="77777777" w:rsidR="006A7314" w:rsidRPr="00336092" w:rsidRDefault="00336092" w:rsidP="006A7314">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确保主要特性的其他控制策略元素</w:t>
                  </w:r>
                </w:p>
              </w:txbxContent>
            </v:textbox>
          </v:shape>
        </w:pict>
      </w:r>
      <w:r>
        <w:rPr>
          <w:rFonts w:ascii="Times New Roman" w:hAnsi="Times New Roman" w:cs="Times New Roman"/>
          <w:noProof/>
        </w:rPr>
        <w:pict w14:anchorId="5C902204">
          <v:shape id="_x0000_s2059" type="#_x0000_t202" style="position:absolute;left:0;text-align:left;margin-left:117.3pt;margin-top:244.65pt;width:60.6pt;height:76.2pt;z-index:251667456" filled="f" stroked="f">
            <v:textbox inset="0,0,0,0">
              <w:txbxContent>
                <w:p w14:paraId="0F3DBCAD" w14:textId="7C251749" w:rsidR="006A7314" w:rsidRPr="00336092" w:rsidRDefault="00336092" w:rsidP="006A7314">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为确保主要特性而需要加以控制的</w:t>
                  </w:r>
                  <w:r w:rsidR="00F03AA9">
                    <w:rPr>
                      <w:rFonts w:ascii="Times New Roman" w:hAnsi="Times New Roman" w:cs="Times New Roman" w:hint="eastAsia"/>
                      <w:color w:val="FFFFFF" w:themeColor="background1"/>
                      <w:sz w:val="18"/>
                      <w:szCs w:val="18"/>
                    </w:rPr>
                    <w:t>生产过程</w:t>
                  </w:r>
                  <w:r>
                    <w:rPr>
                      <w:rFonts w:ascii="Times New Roman" w:hAnsi="Times New Roman" w:cs="Times New Roman"/>
                      <w:color w:val="FFFFFF" w:themeColor="background1"/>
                      <w:sz w:val="18"/>
                      <w:szCs w:val="18"/>
                    </w:rPr>
                    <w:t>要素</w:t>
                  </w:r>
                </w:p>
              </w:txbxContent>
            </v:textbox>
          </v:shape>
        </w:pict>
      </w:r>
      <w:r>
        <w:rPr>
          <w:rFonts w:ascii="Times New Roman" w:hAnsi="Times New Roman" w:cs="Times New Roman"/>
          <w:noProof/>
        </w:rPr>
        <w:pict w14:anchorId="2075D78F">
          <v:shape id="_x0000_s2056" type="#_x0000_t202" style="position:absolute;left:0;text-align:left;margin-left:54.9pt;margin-top:192.3pt;width:199.2pt;height:21pt;z-index:251664384" filled="f" stroked="f">
            <v:textbox inset="0,0,0,0">
              <w:txbxContent>
                <w:p w14:paraId="05A9E0DC" w14:textId="35FB38B1" w:rsidR="0097448D" w:rsidRPr="0097448D" w:rsidRDefault="00336092" w:rsidP="0097448D">
                  <w:pPr>
                    <w:spacing w:line="0" w:lineRule="atLeast"/>
                    <w:jc w:val="center"/>
                    <w:rPr>
                      <w:rFonts w:ascii="Times New Roman" w:hAnsi="Times New Roman" w:cs="Times New Roman"/>
                      <w:sz w:val="18"/>
                      <w:szCs w:val="18"/>
                    </w:rPr>
                  </w:pPr>
                  <w:r>
                    <w:rPr>
                      <w:rFonts w:ascii="Times New Roman" w:hAnsi="Times New Roman" w:cs="Times New Roman"/>
                      <w:sz w:val="18"/>
                      <w:szCs w:val="18"/>
                    </w:rPr>
                    <w:t>定义属于既定条件的设计、过程和控制策略</w:t>
                  </w:r>
                  <w:r w:rsidR="00D30EB1">
                    <w:rPr>
                      <w:rFonts w:ascii="Times New Roman" w:hAnsi="Times New Roman" w:cs="Times New Roman" w:hint="eastAsia"/>
                      <w:sz w:val="18"/>
                      <w:szCs w:val="18"/>
                    </w:rPr>
                    <w:t>要素</w:t>
                  </w:r>
                </w:p>
              </w:txbxContent>
            </v:textbox>
          </v:shape>
        </w:pict>
      </w:r>
      <w:r>
        <w:rPr>
          <w:rFonts w:ascii="Times New Roman" w:hAnsi="Times New Roman" w:cs="Times New Roman"/>
          <w:noProof/>
        </w:rPr>
        <w:pict w14:anchorId="63DB5633">
          <v:shape id="_x0000_s2055" type="#_x0000_t202" style="position:absolute;left:0;text-align:left;margin-left:328.5pt;margin-top:123.6pt;width:99pt;height:42pt;z-index:251663360" filled="f" stroked="f">
            <v:textbox inset="0,0,0,0">
              <w:txbxContent>
                <w:p w14:paraId="3E68DEA4" w14:textId="77777777" w:rsidR="00336092" w:rsidRPr="00336092" w:rsidRDefault="00336092" w:rsidP="00336092">
                  <w:pPr>
                    <w:spacing w:line="0" w:lineRule="atLeast"/>
                    <w:jc w:val="center"/>
                    <w:rPr>
                      <w:rFonts w:ascii="Times New Roman" w:hAnsi="Times New Roman" w:cs="Times New Roman"/>
                      <w:b/>
                      <w:color w:val="FFFFFF" w:themeColor="background1"/>
                      <w:sz w:val="18"/>
                      <w:szCs w:val="18"/>
                    </w:rPr>
                  </w:pPr>
                  <w:r>
                    <w:rPr>
                      <w:rFonts w:ascii="Times New Roman" w:hAnsi="Times New Roman" w:cs="Times New Roman"/>
                      <w:b/>
                      <w:bCs/>
                      <w:color w:val="FFFFFF" w:themeColor="background1"/>
                      <w:sz w:val="18"/>
                      <w:szCs w:val="18"/>
                    </w:rPr>
                    <w:t>其他特性：</w:t>
                  </w:r>
                </w:p>
                <w:p w14:paraId="5832161D" w14:textId="77777777" w:rsidR="0097448D" w:rsidRPr="00336092" w:rsidRDefault="00336092" w:rsidP="00336092">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不是安全和正确使用所必需的</w:t>
                  </w:r>
                </w:p>
              </w:txbxContent>
            </v:textbox>
          </v:shape>
        </w:pict>
      </w:r>
      <w:r>
        <w:rPr>
          <w:rFonts w:ascii="Times New Roman" w:hAnsi="Times New Roman" w:cs="Times New Roman"/>
          <w:noProof/>
        </w:rPr>
        <w:pict w14:anchorId="7086C6C7">
          <v:shape id="_x0000_s2051" type="#_x0000_t202" style="position:absolute;left:0;text-align:left;margin-left:98.1pt;margin-top:123.6pt;width:105.6pt;height:42pt;z-index:251659264" filled="f" stroked="f">
            <v:textbox inset="0,0,0,0">
              <w:txbxContent>
                <w:p w14:paraId="2337AEF4" w14:textId="77777777" w:rsidR="00336092" w:rsidRDefault="00336092" w:rsidP="0097448D">
                  <w:pPr>
                    <w:spacing w:line="0" w:lineRule="atLeast"/>
                    <w:jc w:val="center"/>
                    <w:rPr>
                      <w:rFonts w:ascii="Times New Roman" w:hAnsi="Times New Roman" w:cs="Times New Roman"/>
                      <w:b/>
                      <w:color w:val="FFFFFF" w:themeColor="background1"/>
                      <w:sz w:val="18"/>
                      <w:szCs w:val="18"/>
                    </w:rPr>
                  </w:pPr>
                  <w:r>
                    <w:rPr>
                      <w:rFonts w:ascii="Times New Roman" w:hAnsi="Times New Roman" w:cs="Times New Roman"/>
                      <w:b/>
                      <w:bCs/>
                      <w:color w:val="FFFFFF" w:themeColor="background1"/>
                      <w:sz w:val="18"/>
                      <w:szCs w:val="18"/>
                    </w:rPr>
                    <w:t>主要特性：</w:t>
                  </w:r>
                </w:p>
                <w:p w14:paraId="2A3F7BFE" w14:textId="77777777" w:rsidR="0097448D" w:rsidRPr="00336092" w:rsidRDefault="00336092" w:rsidP="0097448D">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b/>
                      <w:bCs/>
                      <w:color w:val="FFFFFF" w:themeColor="background1"/>
                      <w:sz w:val="18"/>
                      <w:szCs w:val="18"/>
                    </w:rPr>
                    <w:t xml:space="preserve"> </w:t>
                  </w:r>
                  <w:r>
                    <w:rPr>
                      <w:rFonts w:ascii="Times New Roman" w:hAnsi="Times New Roman" w:cs="Times New Roman"/>
                      <w:color w:val="FFFFFF" w:themeColor="background1"/>
                      <w:sz w:val="18"/>
                      <w:szCs w:val="18"/>
                    </w:rPr>
                    <w:t>是安全和正确使用所必需的</w:t>
                  </w:r>
                  <w:r>
                    <w:rPr>
                      <w:rFonts w:ascii="Times New Roman" w:hAnsi="Times New Roman" w:cs="Times New Roman"/>
                      <w:color w:val="FFFFFF" w:themeColor="background1"/>
                      <w:sz w:val="18"/>
                      <w:szCs w:val="18"/>
                    </w:rPr>
                    <w:t>**</w:t>
                  </w:r>
                </w:p>
              </w:txbxContent>
            </v:textbox>
          </v:shape>
        </w:pict>
      </w:r>
      <w:r>
        <w:rPr>
          <w:rFonts w:ascii="Times New Roman" w:hAnsi="Times New Roman" w:cs="Times New Roman"/>
          <w:noProof/>
        </w:rPr>
        <w:pict w14:anchorId="7D84C1D7">
          <v:shape id="_x0000_s2050" type="#_x0000_t202" style="position:absolute;left:0;text-align:left;margin-left:125.7pt;margin-top:14.25pt;width:265.2pt;height:50.5pt;z-index:251658240" filled="f" stroked="f">
            <v:textbox inset="0,0,0,0">
              <w:txbxContent>
                <w:p w14:paraId="5615EBB2" w14:textId="77777777" w:rsidR="0097448D" w:rsidRPr="0097448D" w:rsidRDefault="0097448D" w:rsidP="0097448D">
                  <w:pPr>
                    <w:spacing w:line="0" w:lineRule="atLeast"/>
                    <w:rPr>
                      <w:rFonts w:ascii="Times New Roman" w:hAnsi="Times New Roman" w:cs="Times New Roman"/>
                      <w:sz w:val="18"/>
                      <w:szCs w:val="18"/>
                    </w:rPr>
                  </w:pPr>
                  <w:r>
                    <w:rPr>
                      <w:rFonts w:ascii="Times New Roman" w:hAnsi="Times New Roman" w:cs="Times New Roman"/>
                      <w:sz w:val="18"/>
                      <w:szCs w:val="18"/>
                    </w:rPr>
                    <w:t>回答以下关于特性的问题：</w:t>
                  </w:r>
                </w:p>
                <w:p w14:paraId="21FFE342" w14:textId="77777777" w:rsidR="0097448D" w:rsidRPr="0097448D" w:rsidRDefault="0097448D" w:rsidP="0097448D">
                  <w:pPr>
                    <w:spacing w:line="0" w:lineRule="atLeast"/>
                    <w:ind w:left="283" w:hangingChars="157" w:hanging="283"/>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其对基于风险管理的安全使用是必需的吗？</w:t>
                  </w:r>
                  <w:r>
                    <w:rPr>
                      <w:rFonts w:ascii="Times New Roman" w:hAnsi="Times New Roman" w:cs="Times New Roman"/>
                      <w:sz w:val="18"/>
                      <w:szCs w:val="18"/>
                    </w:rPr>
                    <w:t>*</w:t>
                  </w:r>
                </w:p>
                <w:p w14:paraId="70BE1B6A" w14:textId="77777777" w:rsidR="0097448D" w:rsidRPr="0097448D" w:rsidRDefault="0097448D" w:rsidP="0097448D">
                  <w:pPr>
                    <w:spacing w:line="0" w:lineRule="atLeast"/>
                    <w:ind w:left="283" w:hangingChars="157" w:hanging="283"/>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其对于达到标示剂量的输送是必需的吗？</w:t>
                  </w:r>
                </w:p>
                <w:p w14:paraId="482E9370" w14:textId="77777777" w:rsidR="0097448D" w:rsidRPr="0097448D" w:rsidRDefault="0097448D" w:rsidP="0097448D">
                  <w:pPr>
                    <w:spacing w:line="0" w:lineRule="atLeast"/>
                    <w:ind w:left="283" w:hangingChars="157" w:hanging="283"/>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其是否会影响该药品的关键质量属性？</w:t>
                  </w:r>
                </w:p>
              </w:txbxContent>
            </v:textbox>
          </v:shape>
        </w:pict>
      </w:r>
      <w:r>
        <w:rPr>
          <w:rFonts w:ascii="Times New Roman" w:hAnsi="Times New Roman" w:cs="Times New Roman"/>
          <w:noProof/>
        </w:rPr>
        <w:pict w14:anchorId="690D578E">
          <v:shape id="_x0000_s2054" type="#_x0000_t202" style="position:absolute;left:0;text-align:left;margin-left:44.7pt;margin-top:244.65pt;width:60.6pt;height:39pt;z-index:251662336" filled="f" stroked="f">
            <v:textbox inset="0,0,0,0">
              <w:txbxContent>
                <w:p w14:paraId="195F36D1" w14:textId="77777777" w:rsidR="0097448D" w:rsidRPr="00336092" w:rsidRDefault="00336092" w:rsidP="0097448D">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作为主要特性的设计特征</w:t>
                  </w:r>
                </w:p>
              </w:txbxContent>
            </v:textbox>
          </v:shape>
        </w:pict>
      </w:r>
      <w:r>
        <w:rPr>
          <w:rFonts w:ascii="Times New Roman" w:hAnsi="Times New Roman" w:cs="Times New Roman"/>
          <w:noProof/>
        </w:rPr>
        <w:pict w14:anchorId="3FE4C591">
          <v:shape id="_x0000_s2058" type="#_x0000_t202" style="position:absolute;left:0;text-align:left;margin-left:290.7pt;margin-top:76.65pt;width:82.2pt;height:13.8pt;z-index:251666432" filled="f" stroked="f">
            <v:textbox inset="0,0,0,0">
              <w:txbxContent>
                <w:p w14:paraId="072C0D6B" w14:textId="77777777" w:rsidR="006A7314" w:rsidRPr="00FA0DD1" w:rsidRDefault="00336092" w:rsidP="006A7314">
                  <w:pPr>
                    <w:spacing w:line="0" w:lineRule="atLeast"/>
                    <w:jc w:val="center"/>
                    <w:rPr>
                      <w:rFonts w:asciiTheme="minorEastAsia" w:hAnsiTheme="minorEastAsia" w:cs="Times New Roman"/>
                      <w:b/>
                      <w:sz w:val="18"/>
                      <w:szCs w:val="18"/>
                    </w:rPr>
                  </w:pPr>
                  <w:r>
                    <w:rPr>
                      <w:rFonts w:ascii="Times New Roman" w:hAnsi="Times New Roman" w:cs="Times New Roman"/>
                      <w:b/>
                      <w:bCs/>
                      <w:sz w:val="18"/>
                      <w:szCs w:val="18"/>
                    </w:rPr>
                    <w:t>所有均</w:t>
                  </w:r>
                  <w:r w:rsidRPr="00FA0DD1">
                    <w:rPr>
                      <w:rFonts w:asciiTheme="minorEastAsia" w:hAnsiTheme="minorEastAsia" w:cs="Times New Roman"/>
                      <w:b/>
                      <w:bCs/>
                      <w:sz w:val="18"/>
                      <w:szCs w:val="18"/>
                    </w:rPr>
                    <w:t>“不是”</w:t>
                  </w:r>
                </w:p>
              </w:txbxContent>
            </v:textbox>
          </v:shape>
        </w:pict>
      </w:r>
      <w:r w:rsidR="00A77E18">
        <w:rPr>
          <w:rFonts w:ascii="Times New Roman" w:hAnsi="Times New Roman" w:cs="Times New Roman"/>
          <w:noProof/>
        </w:rPr>
        <w:drawing>
          <wp:inline distT="0" distB="0" distL="0" distR="0" wp14:anchorId="467C237E" wp14:editId="236A6E1E">
            <wp:extent cx="5416346" cy="757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17820" cy="7574436"/>
                    </a:xfrm>
                    <a:prstGeom prst="rect">
                      <a:avLst/>
                    </a:prstGeom>
                    <a:noFill/>
                    <a:ln w="9525">
                      <a:noFill/>
                      <a:miter lim="800000"/>
                      <a:headEnd/>
                      <a:tailEnd/>
                    </a:ln>
                  </pic:spPr>
                </pic:pic>
              </a:graphicData>
            </a:graphic>
          </wp:inline>
        </w:drawing>
      </w:r>
      <w:r w:rsidR="00A77E18">
        <w:rPr>
          <w:rStyle w:val="af3"/>
        </w:rPr>
        <w:br w:type="page"/>
      </w:r>
    </w:p>
    <w:p w14:paraId="01CE37E9" w14:textId="4BE4E660" w:rsidR="00C00292" w:rsidRPr="00C13D65" w:rsidRDefault="00C00292" w:rsidP="00E8044B">
      <w:pPr>
        <w:spacing w:beforeLines="50" w:before="156" w:afterLines="50" w:after="156"/>
        <w:outlineLvl w:val="0"/>
        <w:rPr>
          <w:rFonts w:ascii="Times New Roman" w:hAnsi="Times New Roman" w:cs="Times New Roman"/>
          <w:b/>
          <w:sz w:val="28"/>
          <w:szCs w:val="28"/>
        </w:rPr>
      </w:pPr>
      <w:bookmarkStart w:id="21" w:name="_Toc97322925"/>
      <w:r>
        <w:rPr>
          <w:rFonts w:ascii="Times New Roman" w:hAnsi="Times New Roman" w:cs="Times New Roman"/>
          <w:b/>
          <w:bCs/>
          <w:sz w:val="28"/>
          <w:szCs w:val="28"/>
        </w:rPr>
        <w:lastRenderedPageBreak/>
        <w:t>附录</w:t>
      </w:r>
      <w:r>
        <w:rPr>
          <w:rFonts w:ascii="Times New Roman" w:hAnsi="Times New Roman" w:cs="Times New Roman"/>
          <w:b/>
          <w:bCs/>
          <w:sz w:val="28"/>
          <w:szCs w:val="28"/>
        </w:rPr>
        <w:t>C .</w:t>
      </w:r>
      <w:r>
        <w:rPr>
          <w:rFonts w:ascii="Times New Roman" w:hAnsi="Times New Roman" w:cs="Times New Roman"/>
          <w:b/>
          <w:bCs/>
          <w:sz w:val="28"/>
          <w:szCs w:val="28"/>
        </w:rPr>
        <w:t>产品生命周期管理文</w:t>
      </w:r>
      <w:r w:rsidR="00676605">
        <w:rPr>
          <w:rFonts w:ascii="Times New Roman" w:hAnsi="Times New Roman" w:cs="Times New Roman" w:hint="eastAsia"/>
          <w:b/>
          <w:bCs/>
          <w:sz w:val="28"/>
          <w:szCs w:val="28"/>
        </w:rPr>
        <w:t>件</w:t>
      </w:r>
      <w:r>
        <w:rPr>
          <w:rFonts w:ascii="Times New Roman" w:hAnsi="Times New Roman" w:cs="Times New Roman"/>
          <w:b/>
          <w:bCs/>
          <w:sz w:val="28"/>
          <w:szCs w:val="28"/>
        </w:rPr>
        <w:t>示例</w:t>
      </w:r>
      <w:bookmarkEnd w:id="21"/>
    </w:p>
    <w:p w14:paraId="5F43A867" w14:textId="77777777" w:rsidR="00C00292" w:rsidRPr="00C13D65" w:rsidRDefault="00B674B4" w:rsidP="00E8044B">
      <w:pPr>
        <w:spacing w:beforeLines="50" w:before="156" w:afterLines="50" w:after="156"/>
        <w:rPr>
          <w:rStyle w:val="af3"/>
        </w:rPr>
      </w:pPr>
      <w:r>
        <w:rPr>
          <w:rStyle w:val="af3"/>
        </w:rPr>
        <w:t>在本例中，</w:t>
      </w:r>
      <w:r>
        <w:rPr>
          <w:rStyle w:val="af2"/>
          <w:rFonts w:ascii="Times New Roman" w:hAnsi="Times New Roman" w:cs="Times New Roman"/>
        </w:rPr>
        <w:footnoteReference w:customMarkFollows="1" w:id="19"/>
        <w:t>1</w:t>
      </w:r>
      <w:r>
        <w:rPr>
          <w:rStyle w:val="af3"/>
        </w:rPr>
        <w:t>当申请人建议遵循</w:t>
      </w:r>
      <w:r>
        <w:rPr>
          <w:rStyle w:val="af3"/>
        </w:rPr>
        <w:t>FDA</w:t>
      </w:r>
      <w:r>
        <w:rPr>
          <w:rStyle w:val="af3"/>
        </w:rPr>
        <w:t>法规和指南建议对特定既定条件进行更改时，报告类别留空。</w:t>
      </w:r>
    </w:p>
    <w:tbl>
      <w:tblPr>
        <w:tblStyle w:val="a7"/>
        <w:tblW w:w="0" w:type="auto"/>
        <w:tblLayout w:type="fixed"/>
        <w:tblLook w:val="04A0" w:firstRow="1" w:lastRow="0" w:firstColumn="1" w:lastColumn="0" w:noHBand="0" w:noVBand="1"/>
      </w:tblPr>
      <w:tblGrid>
        <w:gridCol w:w="2235"/>
        <w:gridCol w:w="5386"/>
        <w:gridCol w:w="2233"/>
      </w:tblGrid>
      <w:tr w:rsidR="00397B2E" w:rsidRPr="00397B2E" w14:paraId="4B76F9DE" w14:textId="77777777" w:rsidTr="00397B2E">
        <w:tc>
          <w:tcPr>
            <w:tcW w:w="2235" w:type="dxa"/>
            <w:shd w:val="clear" w:color="auto" w:fill="D5DCE4"/>
          </w:tcPr>
          <w:p w14:paraId="41A0718E" w14:textId="77777777" w:rsidR="00397B2E" w:rsidRPr="00397B2E" w:rsidRDefault="00397B2E" w:rsidP="00397B2E">
            <w:pPr>
              <w:jc w:val="center"/>
              <w:rPr>
                <w:rStyle w:val="af3"/>
                <w:b/>
              </w:rPr>
            </w:pPr>
            <w:r>
              <w:rPr>
                <w:rStyle w:val="af3"/>
                <w:b/>
                <w:bCs/>
              </w:rPr>
              <w:t>电子通用技术文档章节</w:t>
            </w:r>
          </w:p>
        </w:tc>
        <w:tc>
          <w:tcPr>
            <w:tcW w:w="5386" w:type="dxa"/>
            <w:shd w:val="clear" w:color="auto" w:fill="D5DCE4"/>
          </w:tcPr>
          <w:p w14:paraId="433121E9" w14:textId="77777777" w:rsidR="00397B2E" w:rsidRPr="00397B2E" w:rsidRDefault="00397B2E" w:rsidP="00397B2E">
            <w:pPr>
              <w:rPr>
                <w:rStyle w:val="af3"/>
                <w:b/>
              </w:rPr>
            </w:pPr>
            <w:r>
              <w:rPr>
                <w:rStyle w:val="af3"/>
                <w:b/>
                <w:bCs/>
              </w:rPr>
              <w:t>既定条件</w:t>
            </w:r>
          </w:p>
          <w:p w14:paraId="4EEED2DE" w14:textId="77777777" w:rsidR="00397B2E" w:rsidRPr="00397B2E" w:rsidRDefault="00397B2E" w:rsidP="00397B2E">
            <w:pPr>
              <w:rPr>
                <w:rStyle w:val="af3"/>
                <w:b/>
                <w:i/>
              </w:rPr>
            </w:pPr>
            <w:r>
              <w:rPr>
                <w:rStyle w:val="af3"/>
                <w:b/>
                <w:bCs/>
                <w:i/>
                <w:iCs/>
              </w:rPr>
              <w:t>（请注意，各项既定条件的确定和证明请参见相关的电子通用技术文档章节）</w:t>
            </w:r>
          </w:p>
        </w:tc>
        <w:tc>
          <w:tcPr>
            <w:tcW w:w="2233" w:type="dxa"/>
            <w:shd w:val="clear" w:color="auto" w:fill="D5DCE4"/>
          </w:tcPr>
          <w:p w14:paraId="3B1C65B7" w14:textId="77777777" w:rsidR="00397B2E" w:rsidRPr="00397B2E" w:rsidRDefault="00397B2E" w:rsidP="00397B2E">
            <w:pPr>
              <w:jc w:val="center"/>
              <w:rPr>
                <w:rStyle w:val="af3"/>
                <w:b/>
              </w:rPr>
            </w:pPr>
            <w:r>
              <w:rPr>
                <w:rStyle w:val="af3"/>
                <w:b/>
                <w:bCs/>
              </w:rPr>
              <w:t>既定条件变更时的报告类别</w:t>
            </w:r>
          </w:p>
        </w:tc>
      </w:tr>
      <w:tr w:rsidR="00397B2E" w:rsidRPr="00397B2E" w14:paraId="61BF5481" w14:textId="77777777" w:rsidTr="00397B2E">
        <w:tc>
          <w:tcPr>
            <w:tcW w:w="2235" w:type="dxa"/>
          </w:tcPr>
          <w:p w14:paraId="2E5C9211" w14:textId="77777777" w:rsidR="00397B2E" w:rsidRPr="00397B2E" w:rsidRDefault="00397B2E" w:rsidP="00397B2E">
            <w:pPr>
              <w:jc w:val="center"/>
              <w:rPr>
                <w:rStyle w:val="af3"/>
                <w:b/>
              </w:rPr>
            </w:pPr>
          </w:p>
        </w:tc>
        <w:tc>
          <w:tcPr>
            <w:tcW w:w="5386" w:type="dxa"/>
          </w:tcPr>
          <w:p w14:paraId="305C568A" w14:textId="77777777" w:rsidR="00397B2E" w:rsidRPr="00397B2E" w:rsidRDefault="00397B2E" w:rsidP="00397B2E">
            <w:pPr>
              <w:rPr>
                <w:rStyle w:val="af3"/>
              </w:rPr>
            </w:pPr>
            <w:r>
              <w:rPr>
                <w:rStyle w:val="af3"/>
              </w:rPr>
              <w:t>以下既定条件将在以下地点实施：</w:t>
            </w:r>
          </w:p>
          <w:p w14:paraId="6170C718" w14:textId="77777777" w:rsidR="00397B2E" w:rsidRDefault="00397B2E" w:rsidP="00397B2E">
            <w:pPr>
              <w:rPr>
                <w:rStyle w:val="af3"/>
              </w:rPr>
            </w:pPr>
            <w:r>
              <w:rPr>
                <w:rStyle w:val="af3"/>
              </w:rPr>
              <w:t xml:space="preserve">FEI </w:t>
            </w:r>
            <w:proofErr w:type="spellStart"/>
            <w:r>
              <w:rPr>
                <w:rStyle w:val="af3"/>
              </w:rPr>
              <w:t>xxxxxx</w:t>
            </w:r>
            <w:proofErr w:type="spellEnd"/>
          </w:p>
          <w:p w14:paraId="3E92D130" w14:textId="77777777" w:rsidR="00397B2E" w:rsidRPr="00397B2E" w:rsidRDefault="00397B2E" w:rsidP="00397B2E">
            <w:pPr>
              <w:rPr>
                <w:rStyle w:val="af3"/>
              </w:rPr>
            </w:pPr>
            <w:r>
              <w:rPr>
                <w:rStyle w:val="af3"/>
              </w:rPr>
              <w:t xml:space="preserve">FEI </w:t>
            </w:r>
            <w:proofErr w:type="spellStart"/>
            <w:r>
              <w:rPr>
                <w:rStyle w:val="af3"/>
              </w:rPr>
              <w:t>yyyyyy</w:t>
            </w:r>
            <w:proofErr w:type="spellEnd"/>
          </w:p>
        </w:tc>
        <w:tc>
          <w:tcPr>
            <w:tcW w:w="2233" w:type="dxa"/>
          </w:tcPr>
          <w:p w14:paraId="217006BD" w14:textId="77777777" w:rsidR="00397B2E" w:rsidRPr="00397B2E" w:rsidRDefault="00397B2E" w:rsidP="00397B2E">
            <w:pPr>
              <w:jc w:val="center"/>
              <w:rPr>
                <w:rStyle w:val="af3"/>
              </w:rPr>
            </w:pPr>
          </w:p>
        </w:tc>
      </w:tr>
      <w:tr w:rsidR="00397B2E" w:rsidRPr="00397B2E" w14:paraId="15199F25" w14:textId="77777777" w:rsidTr="00397B2E">
        <w:tc>
          <w:tcPr>
            <w:tcW w:w="2235" w:type="dxa"/>
          </w:tcPr>
          <w:p w14:paraId="0419BC86" w14:textId="77777777" w:rsidR="00397B2E" w:rsidRPr="00397B2E" w:rsidRDefault="00397B2E" w:rsidP="00397B2E">
            <w:pPr>
              <w:jc w:val="center"/>
              <w:rPr>
                <w:rStyle w:val="af3"/>
                <w:b/>
              </w:rPr>
            </w:pPr>
            <w:r>
              <w:rPr>
                <w:rStyle w:val="af3"/>
                <w:b/>
                <w:bCs/>
              </w:rPr>
              <w:t>Seq 0001</w:t>
            </w:r>
            <w:r>
              <w:rPr>
                <w:rStyle w:val="af3"/>
                <w:b/>
                <w:bCs/>
              </w:rPr>
              <w:t>，</w:t>
            </w:r>
            <w:r>
              <w:rPr>
                <w:rStyle w:val="af3"/>
                <w:b/>
                <w:bCs/>
              </w:rPr>
              <w:t>3.2.P.3.3</w:t>
            </w:r>
            <w:r>
              <w:rPr>
                <w:rStyle w:val="af3"/>
                <w:b/>
                <w:bCs/>
              </w:rPr>
              <w:t>，</w:t>
            </w:r>
          </w:p>
          <w:p w14:paraId="6A62041E" w14:textId="77777777" w:rsidR="00397B2E" w:rsidRPr="00397B2E" w:rsidRDefault="00397B2E" w:rsidP="00397B2E">
            <w:pPr>
              <w:jc w:val="center"/>
              <w:rPr>
                <w:rStyle w:val="af3"/>
                <w:b/>
              </w:rPr>
            </w:pPr>
            <w:r>
              <w:rPr>
                <w:rStyle w:val="af3"/>
                <w:b/>
                <w:bCs/>
              </w:rPr>
              <w:t>p. 4</w:t>
            </w:r>
          </w:p>
        </w:tc>
        <w:tc>
          <w:tcPr>
            <w:tcW w:w="5386" w:type="dxa"/>
          </w:tcPr>
          <w:p w14:paraId="4D44EFE1" w14:textId="77777777" w:rsidR="00397B2E" w:rsidRPr="00397B2E" w:rsidRDefault="00397B2E" w:rsidP="00397B2E">
            <w:pPr>
              <w:rPr>
                <w:rStyle w:val="af3"/>
              </w:rPr>
            </w:pPr>
            <w:r>
              <w:rPr>
                <w:rStyle w:val="af3"/>
              </w:rPr>
              <w:t>制造过程由以下单元操作顺序组成：</w:t>
            </w:r>
          </w:p>
          <w:p w14:paraId="68B363AD" w14:textId="77777777" w:rsidR="00397B2E" w:rsidRPr="00397B2E" w:rsidRDefault="00397B2E" w:rsidP="00397B2E">
            <w:pPr>
              <w:rPr>
                <w:rStyle w:val="af3"/>
              </w:rPr>
            </w:pPr>
            <w:r>
              <w:rPr>
                <w:rStyle w:val="af3"/>
              </w:rPr>
              <w:t>1.</w:t>
            </w:r>
            <w:r>
              <w:rPr>
                <w:rStyle w:val="af3"/>
              </w:rPr>
              <w:t>粉末混合</w:t>
            </w:r>
          </w:p>
          <w:p w14:paraId="4503D4FD" w14:textId="77777777" w:rsidR="00397B2E" w:rsidRPr="00397B2E" w:rsidRDefault="00397B2E" w:rsidP="00397B2E">
            <w:pPr>
              <w:rPr>
                <w:rStyle w:val="af3"/>
              </w:rPr>
            </w:pPr>
            <w:r>
              <w:rPr>
                <w:rStyle w:val="af3"/>
              </w:rPr>
              <w:t>2.</w:t>
            </w:r>
            <w:r>
              <w:rPr>
                <w:rStyle w:val="af3"/>
              </w:rPr>
              <w:t>碾压</w:t>
            </w:r>
          </w:p>
          <w:p w14:paraId="3F0ED264" w14:textId="77777777" w:rsidR="00397B2E" w:rsidRPr="00397B2E" w:rsidRDefault="00397B2E" w:rsidP="00397B2E">
            <w:pPr>
              <w:rPr>
                <w:rStyle w:val="af3"/>
              </w:rPr>
            </w:pPr>
            <w:r>
              <w:rPr>
                <w:rStyle w:val="af3"/>
              </w:rPr>
              <w:t>3.</w:t>
            </w:r>
            <w:r>
              <w:rPr>
                <w:rStyle w:val="af3"/>
              </w:rPr>
              <w:t>片剂压缩</w:t>
            </w:r>
          </w:p>
          <w:p w14:paraId="36AA100F" w14:textId="77777777" w:rsidR="00397B2E" w:rsidRPr="00397B2E" w:rsidRDefault="00397B2E" w:rsidP="00397B2E">
            <w:pPr>
              <w:rPr>
                <w:rStyle w:val="af3"/>
              </w:rPr>
            </w:pPr>
            <w:r>
              <w:rPr>
                <w:rStyle w:val="af3"/>
              </w:rPr>
              <w:t>4.</w:t>
            </w:r>
            <w:r>
              <w:rPr>
                <w:rStyle w:val="af3"/>
              </w:rPr>
              <w:t>涂膜</w:t>
            </w:r>
          </w:p>
        </w:tc>
        <w:tc>
          <w:tcPr>
            <w:tcW w:w="2233" w:type="dxa"/>
          </w:tcPr>
          <w:p w14:paraId="3536DF19" w14:textId="77777777" w:rsidR="00397B2E" w:rsidRPr="00397B2E" w:rsidRDefault="00397B2E" w:rsidP="00397B2E">
            <w:pPr>
              <w:jc w:val="center"/>
              <w:rPr>
                <w:rStyle w:val="af3"/>
              </w:rPr>
            </w:pPr>
            <w:r>
              <w:rPr>
                <w:rStyle w:val="af3"/>
              </w:rPr>
              <w:t>PAS</w:t>
            </w:r>
          </w:p>
        </w:tc>
      </w:tr>
      <w:tr w:rsidR="00397B2E" w:rsidRPr="00397B2E" w14:paraId="481B48EF" w14:textId="77777777" w:rsidTr="00397B2E">
        <w:tc>
          <w:tcPr>
            <w:tcW w:w="2235" w:type="dxa"/>
          </w:tcPr>
          <w:p w14:paraId="12FB18D9" w14:textId="77777777" w:rsidR="00397B2E" w:rsidRPr="00397B2E" w:rsidRDefault="00397B2E" w:rsidP="00397B2E">
            <w:pPr>
              <w:jc w:val="center"/>
              <w:rPr>
                <w:rStyle w:val="af3"/>
                <w:b/>
              </w:rPr>
            </w:pPr>
            <w:r>
              <w:rPr>
                <w:rStyle w:val="af3"/>
                <w:b/>
                <w:bCs/>
              </w:rPr>
              <w:t>Seq 0001</w:t>
            </w:r>
            <w:r>
              <w:rPr>
                <w:rStyle w:val="af3"/>
                <w:b/>
                <w:bCs/>
              </w:rPr>
              <w:t>，</w:t>
            </w:r>
            <w:r>
              <w:rPr>
                <w:rStyle w:val="af3"/>
                <w:b/>
                <w:bCs/>
              </w:rPr>
              <w:t>3.2.P.3.3</w:t>
            </w:r>
            <w:r>
              <w:rPr>
                <w:rStyle w:val="af3"/>
                <w:b/>
                <w:bCs/>
              </w:rPr>
              <w:t>，</w:t>
            </w:r>
          </w:p>
          <w:p w14:paraId="45F4FE78" w14:textId="77777777" w:rsidR="00397B2E" w:rsidRPr="00397B2E" w:rsidRDefault="00397B2E" w:rsidP="00397B2E">
            <w:pPr>
              <w:jc w:val="center"/>
              <w:rPr>
                <w:rStyle w:val="af3"/>
                <w:b/>
              </w:rPr>
            </w:pPr>
            <w:r>
              <w:rPr>
                <w:rStyle w:val="af3"/>
                <w:b/>
                <w:bCs/>
              </w:rPr>
              <w:t>p. 44</w:t>
            </w:r>
          </w:p>
        </w:tc>
        <w:tc>
          <w:tcPr>
            <w:tcW w:w="5386" w:type="dxa"/>
          </w:tcPr>
          <w:p w14:paraId="62D31FED" w14:textId="77777777" w:rsidR="00397B2E" w:rsidRPr="00397B2E" w:rsidRDefault="00397B2E" w:rsidP="00397B2E">
            <w:pPr>
              <w:rPr>
                <w:rStyle w:val="af3"/>
                <w:b/>
              </w:rPr>
            </w:pPr>
            <w:r>
              <w:rPr>
                <w:rStyle w:val="af3"/>
                <w:b/>
                <w:bCs/>
              </w:rPr>
              <w:t>1.</w:t>
            </w:r>
            <w:r>
              <w:rPr>
                <w:rStyle w:val="af3"/>
                <w:b/>
                <w:bCs/>
              </w:rPr>
              <w:t>粉末混合</w:t>
            </w:r>
          </w:p>
          <w:p w14:paraId="587CBB3C" w14:textId="77777777" w:rsidR="00397B2E" w:rsidRPr="00397B2E" w:rsidRDefault="00397B2E" w:rsidP="00397B2E">
            <w:pPr>
              <w:rPr>
                <w:rStyle w:val="af3"/>
              </w:rPr>
            </w:pPr>
            <w:r>
              <w:rPr>
                <w:rStyle w:val="af3"/>
              </w:rPr>
              <w:t>将活性物质和三种赋形剂混合在一起。以下过程参数定义为既定条件。</w:t>
            </w:r>
          </w:p>
        </w:tc>
        <w:tc>
          <w:tcPr>
            <w:tcW w:w="2233" w:type="dxa"/>
          </w:tcPr>
          <w:p w14:paraId="4427DB77" w14:textId="77777777" w:rsidR="00397B2E" w:rsidRPr="00397B2E" w:rsidRDefault="00397B2E" w:rsidP="00397B2E">
            <w:pPr>
              <w:jc w:val="center"/>
              <w:rPr>
                <w:rStyle w:val="af3"/>
              </w:rPr>
            </w:pPr>
          </w:p>
        </w:tc>
      </w:tr>
      <w:tr w:rsidR="00397B2E" w:rsidRPr="00397B2E" w14:paraId="6451891A" w14:textId="77777777" w:rsidTr="00397B2E">
        <w:tc>
          <w:tcPr>
            <w:tcW w:w="2235" w:type="dxa"/>
          </w:tcPr>
          <w:p w14:paraId="59C9D775" w14:textId="77777777" w:rsidR="00397B2E" w:rsidRPr="00397B2E" w:rsidRDefault="00397B2E" w:rsidP="00397B2E">
            <w:pPr>
              <w:jc w:val="center"/>
              <w:rPr>
                <w:rStyle w:val="af3"/>
                <w:b/>
              </w:rPr>
            </w:pPr>
            <w:r>
              <w:rPr>
                <w:rStyle w:val="af3"/>
                <w:b/>
                <w:bCs/>
              </w:rPr>
              <w:t>Seq 0003</w:t>
            </w:r>
            <w:r>
              <w:rPr>
                <w:rStyle w:val="af3"/>
                <w:b/>
                <w:bCs/>
              </w:rPr>
              <w:t>，</w:t>
            </w:r>
            <w:r>
              <w:rPr>
                <w:rStyle w:val="af3"/>
                <w:b/>
                <w:bCs/>
              </w:rPr>
              <w:t>3.2.P.3.3</w:t>
            </w:r>
            <w:r>
              <w:rPr>
                <w:rStyle w:val="af3"/>
                <w:b/>
                <w:bCs/>
              </w:rPr>
              <w:t>，</w:t>
            </w:r>
          </w:p>
          <w:p w14:paraId="2F5B8D27" w14:textId="77777777" w:rsidR="00397B2E" w:rsidRPr="00397B2E" w:rsidRDefault="00397B2E" w:rsidP="00397B2E">
            <w:pPr>
              <w:jc w:val="center"/>
              <w:rPr>
                <w:rStyle w:val="af3"/>
                <w:b/>
              </w:rPr>
            </w:pPr>
            <w:r>
              <w:rPr>
                <w:rStyle w:val="af3"/>
                <w:b/>
                <w:bCs/>
              </w:rPr>
              <w:t>p. 45</w:t>
            </w:r>
          </w:p>
        </w:tc>
        <w:tc>
          <w:tcPr>
            <w:tcW w:w="5386" w:type="dxa"/>
          </w:tcPr>
          <w:p w14:paraId="6642EF5A" w14:textId="77777777" w:rsidR="00397B2E" w:rsidRPr="00397B2E" w:rsidRDefault="00397B2E" w:rsidP="00397B2E">
            <w:pPr>
              <w:rPr>
                <w:rStyle w:val="af3"/>
              </w:rPr>
            </w:pPr>
            <w:r>
              <w:rPr>
                <w:rStyle w:val="af3"/>
              </w:rPr>
              <w:t>工作原理：扩散式混合</w:t>
            </w:r>
          </w:p>
        </w:tc>
        <w:tc>
          <w:tcPr>
            <w:tcW w:w="2233" w:type="dxa"/>
          </w:tcPr>
          <w:p w14:paraId="30E535E6" w14:textId="77777777" w:rsidR="00397B2E" w:rsidRPr="00397B2E" w:rsidRDefault="00397B2E" w:rsidP="00397B2E">
            <w:pPr>
              <w:jc w:val="center"/>
              <w:rPr>
                <w:rStyle w:val="af3"/>
              </w:rPr>
            </w:pPr>
            <w:r>
              <w:rPr>
                <w:rStyle w:val="af3"/>
              </w:rPr>
              <w:t>PAS</w:t>
            </w:r>
          </w:p>
        </w:tc>
      </w:tr>
      <w:tr w:rsidR="00397B2E" w:rsidRPr="00397B2E" w14:paraId="3880401C" w14:textId="77777777" w:rsidTr="00397B2E">
        <w:tc>
          <w:tcPr>
            <w:tcW w:w="2235" w:type="dxa"/>
          </w:tcPr>
          <w:p w14:paraId="27058E67" w14:textId="77777777" w:rsidR="00397B2E" w:rsidRPr="00397B2E" w:rsidRDefault="00397B2E" w:rsidP="00397B2E">
            <w:pPr>
              <w:jc w:val="center"/>
              <w:rPr>
                <w:rStyle w:val="af3"/>
                <w:b/>
              </w:rPr>
            </w:pPr>
            <w:r>
              <w:rPr>
                <w:rStyle w:val="af3"/>
                <w:b/>
                <w:bCs/>
              </w:rPr>
              <w:t>Seq 0001</w:t>
            </w:r>
            <w:r>
              <w:rPr>
                <w:rStyle w:val="af3"/>
                <w:b/>
                <w:bCs/>
              </w:rPr>
              <w:t>，</w:t>
            </w:r>
            <w:r>
              <w:rPr>
                <w:rStyle w:val="af3"/>
                <w:b/>
                <w:bCs/>
              </w:rPr>
              <w:t>3.2.P.3.3</w:t>
            </w:r>
            <w:r>
              <w:rPr>
                <w:rStyle w:val="af3"/>
                <w:b/>
                <w:bCs/>
              </w:rPr>
              <w:t>，</w:t>
            </w:r>
          </w:p>
          <w:p w14:paraId="1B34C4BC" w14:textId="77777777" w:rsidR="00397B2E" w:rsidRPr="00397B2E" w:rsidRDefault="00397B2E" w:rsidP="00397B2E">
            <w:pPr>
              <w:jc w:val="center"/>
              <w:rPr>
                <w:rStyle w:val="af3"/>
                <w:b/>
              </w:rPr>
            </w:pPr>
            <w:r>
              <w:rPr>
                <w:rStyle w:val="af3"/>
                <w:b/>
                <w:bCs/>
              </w:rPr>
              <w:t>pp. 45–47</w:t>
            </w:r>
          </w:p>
        </w:tc>
        <w:tc>
          <w:tcPr>
            <w:tcW w:w="5386" w:type="dxa"/>
          </w:tcPr>
          <w:p w14:paraId="526C266E" w14:textId="77777777" w:rsidR="00397B2E" w:rsidRPr="00397B2E" w:rsidRDefault="00397B2E" w:rsidP="00397B2E">
            <w:pPr>
              <w:rPr>
                <w:rStyle w:val="af3"/>
              </w:rPr>
            </w:pPr>
            <w:r>
              <w:rPr>
                <w:rStyle w:val="af3"/>
              </w:rPr>
              <w:t>设备类型：</w:t>
            </w:r>
            <w:r>
              <w:rPr>
                <w:rStyle w:val="af3"/>
              </w:rPr>
              <w:t>V</w:t>
            </w:r>
            <w:r>
              <w:rPr>
                <w:rStyle w:val="af3"/>
              </w:rPr>
              <w:t>型混合机</w:t>
            </w:r>
          </w:p>
        </w:tc>
        <w:tc>
          <w:tcPr>
            <w:tcW w:w="2233" w:type="dxa"/>
          </w:tcPr>
          <w:p w14:paraId="1A0B2467" w14:textId="38AD671C" w:rsidR="00397B2E" w:rsidRPr="00397B2E" w:rsidRDefault="00397B2E" w:rsidP="00397B2E">
            <w:pPr>
              <w:jc w:val="center"/>
              <w:rPr>
                <w:rStyle w:val="af3"/>
              </w:rPr>
            </w:pPr>
            <w:r>
              <w:rPr>
                <w:rStyle w:val="af3"/>
              </w:rPr>
              <w:t>工作原理相同的</w:t>
            </w:r>
            <w:r w:rsidR="00F40CAE">
              <w:rPr>
                <w:rStyle w:val="af3"/>
                <w:rFonts w:hint="eastAsia"/>
              </w:rPr>
              <w:t>设备</w:t>
            </w:r>
            <w:r>
              <w:rPr>
                <w:rStyle w:val="af3"/>
              </w:rPr>
              <w:t>变更：</w:t>
            </w:r>
            <w:r>
              <w:rPr>
                <w:rStyle w:val="af3"/>
              </w:rPr>
              <w:t>AR</w:t>
            </w:r>
          </w:p>
        </w:tc>
      </w:tr>
      <w:tr w:rsidR="00397B2E" w:rsidRPr="00397B2E" w14:paraId="00E3C79C" w14:textId="77777777" w:rsidTr="00397B2E">
        <w:tc>
          <w:tcPr>
            <w:tcW w:w="2235" w:type="dxa"/>
          </w:tcPr>
          <w:p w14:paraId="2B2850F5" w14:textId="77777777" w:rsidR="00397B2E" w:rsidRPr="00397B2E" w:rsidRDefault="00397B2E" w:rsidP="00397B2E">
            <w:pPr>
              <w:jc w:val="center"/>
              <w:rPr>
                <w:rStyle w:val="af3"/>
                <w:b/>
              </w:rPr>
            </w:pPr>
            <w:r>
              <w:rPr>
                <w:rStyle w:val="af3"/>
                <w:b/>
                <w:bCs/>
              </w:rPr>
              <w:t>Seq 0001</w:t>
            </w:r>
            <w:r>
              <w:rPr>
                <w:rStyle w:val="af3"/>
                <w:b/>
                <w:bCs/>
              </w:rPr>
              <w:t>，</w:t>
            </w:r>
            <w:r>
              <w:rPr>
                <w:rStyle w:val="af3"/>
                <w:b/>
                <w:bCs/>
              </w:rPr>
              <w:t>3.2.P.3.2</w:t>
            </w:r>
            <w:r>
              <w:rPr>
                <w:rStyle w:val="af3"/>
                <w:b/>
                <w:bCs/>
              </w:rPr>
              <w:t>，</w:t>
            </w:r>
          </w:p>
          <w:p w14:paraId="44B6983A" w14:textId="77777777" w:rsidR="00397B2E" w:rsidRPr="00397B2E" w:rsidRDefault="00397B2E" w:rsidP="00397B2E">
            <w:pPr>
              <w:jc w:val="center"/>
              <w:rPr>
                <w:rStyle w:val="af3"/>
                <w:b/>
              </w:rPr>
            </w:pPr>
            <w:r>
              <w:rPr>
                <w:rStyle w:val="af3"/>
                <w:b/>
                <w:bCs/>
              </w:rPr>
              <w:t>p. 8</w:t>
            </w:r>
            <w:r>
              <w:rPr>
                <w:rStyle w:val="af3"/>
                <w:b/>
                <w:bCs/>
              </w:rPr>
              <w:t>、</w:t>
            </w:r>
            <w:r>
              <w:rPr>
                <w:rStyle w:val="af3"/>
                <w:b/>
                <w:bCs/>
              </w:rPr>
              <w:t xml:space="preserve"> </w:t>
            </w:r>
            <w:r>
              <w:rPr>
                <w:rStyle w:val="af3"/>
                <w:b/>
                <w:bCs/>
              </w:rPr>
              <w:t>和</w:t>
            </w:r>
            <w:r>
              <w:rPr>
                <w:rStyle w:val="af3"/>
                <w:b/>
                <w:bCs/>
              </w:rPr>
              <w:t xml:space="preserve"> 3.2.P.3.3</w:t>
            </w:r>
            <w:r>
              <w:rPr>
                <w:rStyle w:val="af3"/>
                <w:b/>
                <w:bCs/>
              </w:rPr>
              <w:t>、</w:t>
            </w:r>
            <w:r>
              <w:rPr>
                <w:rStyle w:val="af3"/>
                <w:b/>
                <w:bCs/>
              </w:rPr>
              <w:t xml:space="preserve"> pp. 48–49</w:t>
            </w:r>
          </w:p>
        </w:tc>
        <w:tc>
          <w:tcPr>
            <w:tcW w:w="5386" w:type="dxa"/>
          </w:tcPr>
          <w:p w14:paraId="2BFABF04" w14:textId="6F597270" w:rsidR="00397B2E" w:rsidRPr="00397B2E" w:rsidRDefault="00F40CAE" w:rsidP="00397B2E">
            <w:pPr>
              <w:rPr>
                <w:rStyle w:val="af3"/>
              </w:rPr>
            </w:pPr>
            <w:r>
              <w:rPr>
                <w:rStyle w:val="af3"/>
                <w:rFonts w:hint="eastAsia"/>
              </w:rPr>
              <w:t>规模</w:t>
            </w:r>
            <w:r w:rsidR="00397B2E">
              <w:rPr>
                <w:rStyle w:val="af3"/>
              </w:rPr>
              <w:t>：</w:t>
            </w:r>
            <w:r w:rsidR="00397B2E">
              <w:rPr>
                <w:rStyle w:val="af3"/>
              </w:rPr>
              <w:t>200 kg</w:t>
            </w:r>
          </w:p>
        </w:tc>
        <w:tc>
          <w:tcPr>
            <w:tcW w:w="2233" w:type="dxa"/>
          </w:tcPr>
          <w:p w14:paraId="4D7EBD0A" w14:textId="77777777" w:rsidR="00397B2E" w:rsidRPr="00397B2E" w:rsidRDefault="00397B2E" w:rsidP="00397B2E">
            <w:pPr>
              <w:jc w:val="center"/>
              <w:rPr>
                <w:rStyle w:val="af3"/>
              </w:rPr>
            </w:pPr>
            <w:r>
              <w:rPr>
                <w:rStyle w:val="af3"/>
              </w:rPr>
              <w:t>增加至原来的</w:t>
            </w:r>
            <w:r>
              <w:rPr>
                <w:rStyle w:val="af3"/>
              </w:rPr>
              <w:t>10</w:t>
            </w:r>
            <w:r>
              <w:rPr>
                <w:rStyle w:val="af3"/>
              </w:rPr>
              <w:t>倍：</w:t>
            </w:r>
            <w:r>
              <w:rPr>
                <w:rStyle w:val="af3"/>
              </w:rPr>
              <w:t>AR</w:t>
            </w:r>
          </w:p>
          <w:p w14:paraId="12271881" w14:textId="77777777" w:rsidR="00397B2E" w:rsidRPr="00397B2E" w:rsidRDefault="00397B2E" w:rsidP="00397B2E">
            <w:pPr>
              <w:jc w:val="center"/>
              <w:rPr>
                <w:rStyle w:val="af3"/>
              </w:rPr>
            </w:pPr>
            <w:r>
              <w:rPr>
                <w:rStyle w:val="af3"/>
              </w:rPr>
              <w:t>增加</w:t>
            </w:r>
            <w:r>
              <w:rPr>
                <w:rStyle w:val="af3"/>
              </w:rPr>
              <w:t>10</w:t>
            </w:r>
            <w:r>
              <w:rPr>
                <w:rStyle w:val="af3"/>
              </w:rPr>
              <w:t>倍以上：</w:t>
            </w:r>
            <w:r>
              <w:rPr>
                <w:rStyle w:val="af3"/>
              </w:rPr>
              <w:t>CBE-0</w:t>
            </w:r>
          </w:p>
        </w:tc>
      </w:tr>
      <w:tr w:rsidR="00397B2E" w:rsidRPr="00397B2E" w14:paraId="2B033EC0" w14:textId="77777777" w:rsidTr="00397B2E">
        <w:tc>
          <w:tcPr>
            <w:tcW w:w="2235" w:type="dxa"/>
          </w:tcPr>
          <w:p w14:paraId="3D6D6EBC" w14:textId="77777777" w:rsidR="00397B2E" w:rsidRPr="00397B2E" w:rsidRDefault="00397B2E" w:rsidP="00397B2E">
            <w:pPr>
              <w:jc w:val="center"/>
              <w:rPr>
                <w:rStyle w:val="af3"/>
                <w:b/>
              </w:rPr>
            </w:pPr>
            <w:r>
              <w:rPr>
                <w:rStyle w:val="af3"/>
                <w:b/>
                <w:bCs/>
              </w:rPr>
              <w:t>Seq 0004</w:t>
            </w:r>
            <w:r>
              <w:rPr>
                <w:rStyle w:val="af3"/>
                <w:b/>
                <w:bCs/>
              </w:rPr>
              <w:t>，</w:t>
            </w:r>
            <w:r>
              <w:rPr>
                <w:rStyle w:val="af3"/>
                <w:b/>
                <w:bCs/>
              </w:rPr>
              <w:t>3.2.P.3.4</w:t>
            </w:r>
            <w:r>
              <w:rPr>
                <w:rStyle w:val="af3"/>
                <w:b/>
                <w:bCs/>
              </w:rPr>
              <w:t>，</w:t>
            </w:r>
          </w:p>
          <w:p w14:paraId="2A3DEB94" w14:textId="77777777" w:rsidR="00397B2E" w:rsidRPr="00397B2E" w:rsidRDefault="00397B2E" w:rsidP="00397B2E">
            <w:pPr>
              <w:jc w:val="center"/>
              <w:rPr>
                <w:rStyle w:val="af3"/>
                <w:b/>
              </w:rPr>
            </w:pPr>
            <w:r>
              <w:rPr>
                <w:rStyle w:val="af3"/>
                <w:b/>
                <w:bCs/>
              </w:rPr>
              <w:t>pp. 10–15</w:t>
            </w:r>
          </w:p>
        </w:tc>
        <w:tc>
          <w:tcPr>
            <w:tcW w:w="5386" w:type="dxa"/>
          </w:tcPr>
          <w:p w14:paraId="2483646F" w14:textId="77777777" w:rsidR="00397B2E" w:rsidRDefault="00397B2E" w:rsidP="00397B2E">
            <w:pPr>
              <w:rPr>
                <w:rStyle w:val="af3"/>
              </w:rPr>
            </w:pPr>
            <w:r>
              <w:rPr>
                <w:rStyle w:val="af3"/>
              </w:rPr>
              <w:t>混合工艺参数的设计空间</w:t>
            </w:r>
          </w:p>
          <w:p w14:paraId="5FB0BDBB" w14:textId="77777777" w:rsidR="00397B2E" w:rsidRPr="00397B2E" w:rsidRDefault="00397B2E" w:rsidP="00397B2E">
            <w:pPr>
              <w:rPr>
                <w:rStyle w:val="af3"/>
              </w:rPr>
            </w:pPr>
            <w:r>
              <w:rPr>
                <w:rStyle w:val="af3"/>
              </w:rPr>
              <w:t>混合速度：</w:t>
            </w:r>
            <w:r>
              <w:rPr>
                <w:rStyle w:val="af3"/>
              </w:rPr>
              <w:t>10-20</w:t>
            </w:r>
            <w:r>
              <w:rPr>
                <w:rStyle w:val="af3"/>
              </w:rPr>
              <w:t>转</w:t>
            </w:r>
            <w:r>
              <w:rPr>
                <w:rStyle w:val="af3"/>
              </w:rPr>
              <w:t>/</w:t>
            </w:r>
            <w:r>
              <w:rPr>
                <w:rStyle w:val="af3"/>
              </w:rPr>
              <w:t>分</w:t>
            </w:r>
          </w:p>
        </w:tc>
        <w:tc>
          <w:tcPr>
            <w:tcW w:w="2233" w:type="dxa"/>
          </w:tcPr>
          <w:p w14:paraId="1A6B8CBF" w14:textId="77777777" w:rsidR="00397B2E" w:rsidRPr="00397B2E" w:rsidRDefault="00397B2E" w:rsidP="00397B2E">
            <w:pPr>
              <w:jc w:val="center"/>
              <w:rPr>
                <w:rStyle w:val="af3"/>
              </w:rPr>
            </w:pPr>
            <w:r>
              <w:rPr>
                <w:rStyle w:val="af3"/>
              </w:rPr>
              <w:t>CBE-30</w:t>
            </w:r>
          </w:p>
        </w:tc>
      </w:tr>
    </w:tbl>
    <w:p w14:paraId="368B0A8A" w14:textId="77777777" w:rsidR="00397B2E" w:rsidRDefault="00397B2E">
      <w:r>
        <w:br w:type="page"/>
      </w:r>
    </w:p>
    <w:tbl>
      <w:tblPr>
        <w:tblStyle w:val="a7"/>
        <w:tblW w:w="0" w:type="auto"/>
        <w:tblLayout w:type="fixed"/>
        <w:tblLook w:val="04A0" w:firstRow="1" w:lastRow="0" w:firstColumn="1" w:lastColumn="0" w:noHBand="0" w:noVBand="1"/>
      </w:tblPr>
      <w:tblGrid>
        <w:gridCol w:w="2235"/>
        <w:gridCol w:w="5386"/>
        <w:gridCol w:w="2233"/>
      </w:tblGrid>
      <w:tr w:rsidR="00397B2E" w:rsidRPr="00397B2E" w14:paraId="719E0BC4" w14:textId="77777777" w:rsidTr="00397B2E">
        <w:tc>
          <w:tcPr>
            <w:tcW w:w="2235" w:type="dxa"/>
          </w:tcPr>
          <w:p w14:paraId="0F203238" w14:textId="77777777" w:rsidR="00397B2E" w:rsidRPr="00397B2E" w:rsidRDefault="00397B2E" w:rsidP="00397B2E">
            <w:pPr>
              <w:jc w:val="center"/>
              <w:rPr>
                <w:rStyle w:val="af3"/>
                <w:b/>
              </w:rPr>
            </w:pPr>
          </w:p>
        </w:tc>
        <w:tc>
          <w:tcPr>
            <w:tcW w:w="5386" w:type="dxa"/>
          </w:tcPr>
          <w:p w14:paraId="613338E7" w14:textId="77777777" w:rsidR="00397B2E" w:rsidRPr="00397B2E" w:rsidRDefault="00397B2E" w:rsidP="00397B2E">
            <w:pPr>
              <w:rPr>
                <w:rStyle w:val="af3"/>
              </w:rPr>
            </w:pPr>
            <w:r>
              <w:rPr>
                <w:rStyle w:val="af3"/>
              </w:rPr>
              <w:t>混合时间：</w:t>
            </w:r>
            <w:r>
              <w:rPr>
                <w:rStyle w:val="af3"/>
              </w:rPr>
              <w:t>15-25</w:t>
            </w:r>
            <w:r>
              <w:rPr>
                <w:rStyle w:val="af3"/>
              </w:rPr>
              <w:t>分钟</w:t>
            </w:r>
          </w:p>
        </w:tc>
        <w:tc>
          <w:tcPr>
            <w:tcW w:w="2233" w:type="dxa"/>
          </w:tcPr>
          <w:p w14:paraId="051AD65B" w14:textId="77777777" w:rsidR="00397B2E" w:rsidRPr="00397B2E" w:rsidRDefault="00397B2E" w:rsidP="00397B2E">
            <w:pPr>
              <w:jc w:val="center"/>
              <w:rPr>
                <w:rStyle w:val="af3"/>
              </w:rPr>
            </w:pPr>
          </w:p>
        </w:tc>
      </w:tr>
      <w:tr w:rsidR="00397B2E" w:rsidRPr="00397B2E" w14:paraId="110A2D44" w14:textId="77777777" w:rsidTr="00397B2E">
        <w:tc>
          <w:tcPr>
            <w:tcW w:w="2235" w:type="dxa"/>
          </w:tcPr>
          <w:p w14:paraId="57364C92" w14:textId="77777777" w:rsidR="00397B2E" w:rsidRPr="00397B2E" w:rsidRDefault="00397B2E" w:rsidP="00397B2E">
            <w:pPr>
              <w:jc w:val="center"/>
              <w:rPr>
                <w:rStyle w:val="af3"/>
                <w:b/>
              </w:rPr>
            </w:pPr>
          </w:p>
        </w:tc>
        <w:tc>
          <w:tcPr>
            <w:tcW w:w="5386" w:type="dxa"/>
          </w:tcPr>
          <w:p w14:paraId="59246C4E" w14:textId="77777777" w:rsidR="00397B2E" w:rsidRPr="00397B2E" w:rsidRDefault="00397B2E" w:rsidP="00397B2E">
            <w:pPr>
              <w:rPr>
                <w:rStyle w:val="af3"/>
                <w:b/>
              </w:rPr>
            </w:pPr>
            <w:r>
              <w:rPr>
                <w:rStyle w:val="af3"/>
                <w:b/>
                <w:bCs/>
              </w:rPr>
              <w:t>2.</w:t>
            </w:r>
            <w:r>
              <w:rPr>
                <w:rStyle w:val="af3"/>
                <w:b/>
                <w:bCs/>
              </w:rPr>
              <w:t>碾压</w:t>
            </w:r>
          </w:p>
        </w:tc>
        <w:tc>
          <w:tcPr>
            <w:tcW w:w="2233" w:type="dxa"/>
          </w:tcPr>
          <w:p w14:paraId="655BE26C" w14:textId="77777777" w:rsidR="00397B2E" w:rsidRPr="00397B2E" w:rsidRDefault="00397B2E" w:rsidP="00397B2E">
            <w:pPr>
              <w:jc w:val="center"/>
              <w:rPr>
                <w:rStyle w:val="af3"/>
              </w:rPr>
            </w:pPr>
          </w:p>
        </w:tc>
      </w:tr>
      <w:tr w:rsidR="00397B2E" w:rsidRPr="00397B2E" w14:paraId="570A0064" w14:textId="77777777" w:rsidTr="00397B2E">
        <w:tc>
          <w:tcPr>
            <w:tcW w:w="2235" w:type="dxa"/>
          </w:tcPr>
          <w:p w14:paraId="4E774FFC" w14:textId="77777777" w:rsidR="00397B2E" w:rsidRPr="00397B2E" w:rsidRDefault="00397B2E" w:rsidP="00397B2E">
            <w:pPr>
              <w:jc w:val="center"/>
              <w:rPr>
                <w:rStyle w:val="af3"/>
                <w:b/>
              </w:rPr>
            </w:pPr>
          </w:p>
        </w:tc>
        <w:tc>
          <w:tcPr>
            <w:tcW w:w="5386" w:type="dxa"/>
          </w:tcPr>
          <w:p w14:paraId="52445EEC" w14:textId="77777777" w:rsidR="00397B2E" w:rsidRPr="00397B2E" w:rsidRDefault="00397B2E" w:rsidP="00397B2E">
            <w:pPr>
              <w:rPr>
                <w:rStyle w:val="af3"/>
                <w:b/>
              </w:rPr>
            </w:pPr>
            <w:r>
              <w:rPr>
                <w:rStyle w:val="af3"/>
                <w:b/>
                <w:bCs/>
              </w:rPr>
              <w:t>3.</w:t>
            </w:r>
            <w:r>
              <w:rPr>
                <w:rStyle w:val="af3"/>
                <w:b/>
                <w:bCs/>
              </w:rPr>
              <w:t>片剂压缩</w:t>
            </w:r>
          </w:p>
        </w:tc>
        <w:tc>
          <w:tcPr>
            <w:tcW w:w="2233" w:type="dxa"/>
          </w:tcPr>
          <w:p w14:paraId="23FA5E8D" w14:textId="77777777" w:rsidR="00397B2E" w:rsidRPr="00397B2E" w:rsidRDefault="00397B2E" w:rsidP="00397B2E">
            <w:pPr>
              <w:jc w:val="center"/>
              <w:rPr>
                <w:rStyle w:val="af3"/>
              </w:rPr>
            </w:pPr>
          </w:p>
        </w:tc>
      </w:tr>
      <w:tr w:rsidR="00397B2E" w:rsidRPr="00397B2E" w14:paraId="22F7EFE1" w14:textId="77777777" w:rsidTr="00397B2E">
        <w:tc>
          <w:tcPr>
            <w:tcW w:w="2235" w:type="dxa"/>
          </w:tcPr>
          <w:p w14:paraId="35BDECDF" w14:textId="77777777" w:rsidR="00397B2E" w:rsidRPr="00397B2E" w:rsidRDefault="00397B2E" w:rsidP="00397B2E">
            <w:pPr>
              <w:jc w:val="center"/>
              <w:rPr>
                <w:rStyle w:val="af3"/>
                <w:b/>
              </w:rPr>
            </w:pPr>
          </w:p>
        </w:tc>
        <w:tc>
          <w:tcPr>
            <w:tcW w:w="5386" w:type="dxa"/>
          </w:tcPr>
          <w:p w14:paraId="5234FA1B" w14:textId="77777777" w:rsidR="00397B2E" w:rsidRPr="00397B2E" w:rsidRDefault="00397B2E" w:rsidP="00397B2E">
            <w:pPr>
              <w:rPr>
                <w:rStyle w:val="af3"/>
                <w:b/>
              </w:rPr>
            </w:pPr>
            <w:r>
              <w:rPr>
                <w:rStyle w:val="af3"/>
                <w:b/>
                <w:bCs/>
              </w:rPr>
              <w:t>4.</w:t>
            </w:r>
            <w:r>
              <w:rPr>
                <w:rStyle w:val="af3"/>
                <w:b/>
                <w:bCs/>
              </w:rPr>
              <w:t>涂膜</w:t>
            </w:r>
          </w:p>
        </w:tc>
        <w:tc>
          <w:tcPr>
            <w:tcW w:w="2233" w:type="dxa"/>
          </w:tcPr>
          <w:p w14:paraId="556BC881" w14:textId="77777777" w:rsidR="00397B2E" w:rsidRPr="00397B2E" w:rsidRDefault="00397B2E" w:rsidP="00397B2E">
            <w:pPr>
              <w:jc w:val="center"/>
              <w:rPr>
                <w:rStyle w:val="af3"/>
              </w:rPr>
            </w:pPr>
          </w:p>
        </w:tc>
      </w:tr>
    </w:tbl>
    <w:p w14:paraId="1CBA5D9D" w14:textId="5A33AA29" w:rsidR="00C00292" w:rsidRPr="00397B2E" w:rsidRDefault="00C00292" w:rsidP="00E8044B">
      <w:pPr>
        <w:spacing w:beforeLines="50" w:before="156" w:afterLines="50" w:after="156"/>
        <w:rPr>
          <w:rFonts w:ascii="Times New Roman" w:hAnsi="Times New Roman" w:cs="Times New Roman"/>
        </w:rPr>
      </w:pPr>
      <w:r>
        <w:rPr>
          <w:rStyle w:val="af3"/>
        </w:rPr>
        <w:t>注：</w:t>
      </w:r>
      <w:r>
        <w:rPr>
          <w:rStyle w:val="af3"/>
        </w:rPr>
        <w:t>eCTD =</w:t>
      </w:r>
      <w:r>
        <w:rPr>
          <w:rStyle w:val="af3"/>
        </w:rPr>
        <w:t>电子通用技术文档；</w:t>
      </w:r>
      <w:r>
        <w:rPr>
          <w:rStyle w:val="af3"/>
        </w:rPr>
        <w:t>EC =</w:t>
      </w:r>
      <w:r w:rsidR="00565A44">
        <w:rPr>
          <w:rStyle w:val="af3"/>
        </w:rPr>
        <w:t>既定条件</w:t>
      </w:r>
      <w:r>
        <w:rPr>
          <w:rStyle w:val="af3"/>
        </w:rPr>
        <w:t>；</w:t>
      </w:r>
      <w:r>
        <w:rPr>
          <w:rStyle w:val="af3"/>
        </w:rPr>
        <w:t>FEI =</w:t>
      </w:r>
      <w:r>
        <w:rPr>
          <w:rStyle w:val="af3"/>
        </w:rPr>
        <w:t>工厂识别号；</w:t>
      </w:r>
      <w:r>
        <w:rPr>
          <w:rStyle w:val="af3"/>
        </w:rPr>
        <w:t>PAS =</w:t>
      </w:r>
      <w:r>
        <w:rPr>
          <w:rStyle w:val="af3"/>
        </w:rPr>
        <w:t>事先批准</w:t>
      </w:r>
      <w:r w:rsidR="00C63D05">
        <w:rPr>
          <w:rStyle w:val="af3"/>
        </w:rPr>
        <w:t>补充申请</w:t>
      </w:r>
      <w:r>
        <w:rPr>
          <w:rStyle w:val="af3"/>
        </w:rPr>
        <w:t>；</w:t>
      </w:r>
      <w:r>
        <w:rPr>
          <w:rStyle w:val="af3"/>
        </w:rPr>
        <w:t>AR =</w:t>
      </w:r>
      <w:r>
        <w:rPr>
          <w:rStyle w:val="af3"/>
        </w:rPr>
        <w:t>年度报告；</w:t>
      </w:r>
      <w:r>
        <w:rPr>
          <w:rStyle w:val="af3"/>
        </w:rPr>
        <w:t>CBE =</w:t>
      </w:r>
      <w:r w:rsidR="00336528">
        <w:rPr>
          <w:rStyle w:val="af3"/>
          <w:rFonts w:hint="eastAsia"/>
        </w:rPr>
        <w:t>生效</w:t>
      </w:r>
      <w:r>
        <w:rPr>
          <w:rStyle w:val="af3"/>
        </w:rPr>
        <w:t>变更。</w:t>
      </w:r>
    </w:p>
    <w:sectPr w:rsidR="00C00292" w:rsidRPr="00397B2E" w:rsidSect="009630D0">
      <w:footerReference w:type="default" r:id="rId19"/>
      <w:pgSz w:w="11906" w:h="16838" w:code="9"/>
      <w:pgMar w:top="1134" w:right="1134" w:bottom="1134" w:left="1134" w:header="851" w:footer="992" w:gutter="0"/>
      <w:lnNumType w:countBy="1" w:restart="continuous"/>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u, Tank" w:date="2022-03-21T13:30:00Z" w:initials="WT">
    <w:p w14:paraId="450F4A77" w14:textId="77777777" w:rsidR="006C177D" w:rsidRDefault="006C177D">
      <w:pPr>
        <w:pStyle w:val="af5"/>
      </w:pPr>
      <w:r>
        <w:rPr>
          <w:rStyle w:val="af4"/>
        </w:rPr>
        <w:annotationRef/>
      </w:r>
      <w:r>
        <w:rPr>
          <w:rFonts w:hint="eastAsia"/>
        </w:rPr>
        <w:t>主要参考</w:t>
      </w:r>
      <w:r w:rsidR="00FF5F04">
        <w:rPr>
          <w:rFonts w:hint="eastAsia"/>
        </w:rPr>
        <w:t>C</w:t>
      </w:r>
      <w:r w:rsidR="00FF5F04">
        <w:t>DE</w:t>
      </w:r>
      <w:r w:rsidR="00FF5F04">
        <w:rPr>
          <w:rFonts w:hint="eastAsia"/>
        </w:rPr>
        <w:t>采纳的</w:t>
      </w:r>
      <w:r>
        <w:rPr>
          <w:rFonts w:hint="eastAsia"/>
        </w:rPr>
        <w:t>I</w:t>
      </w:r>
      <w:r>
        <w:t>CH Q</w:t>
      </w:r>
      <w:r>
        <w:rPr>
          <w:rFonts w:hint="eastAsia"/>
        </w:rPr>
        <w:t>12</w:t>
      </w:r>
      <w:r w:rsidR="00FF5F04">
        <w:rPr>
          <w:rFonts w:hint="eastAsia"/>
        </w:rPr>
        <w:t>指导原则进行修改。</w:t>
      </w:r>
    </w:p>
  </w:comment>
  <w:comment w:id="1" w:author="小 倩" w:date="2022-08-09T13:46:00Z" w:initials="小">
    <w:p w14:paraId="76A8A1B3" w14:textId="77777777" w:rsidR="00B45FBC" w:rsidRDefault="00B45FBC" w:rsidP="00B45FBC">
      <w:pPr>
        <w:pStyle w:val="af5"/>
      </w:pPr>
      <w:r>
        <w:rPr>
          <w:rStyle w:val="af4"/>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F4A77" w15:done="0"/>
  <w15:commentEx w15:paraId="76A8A1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F4A77" w16cid:durableId="26EE68E4"/>
  <w16cid:commentId w16cid:paraId="76A8A1B3" w16cid:durableId="26EE6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5C1A" w14:textId="77777777" w:rsidR="00E30907" w:rsidRDefault="00E30907" w:rsidP="00AE5438">
      <w:r>
        <w:separator/>
      </w:r>
    </w:p>
  </w:endnote>
  <w:endnote w:type="continuationSeparator" w:id="0">
    <w:p w14:paraId="3A324533" w14:textId="77777777" w:rsidR="00E30907" w:rsidRDefault="00E30907"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DFD1" w14:textId="77777777" w:rsidR="009630D0" w:rsidRPr="00AB0BE6" w:rsidRDefault="00E8044B" w:rsidP="009630D0">
    <w:pPr>
      <w:pStyle w:val="a5"/>
      <w:jc w:val="center"/>
      <w:rPr>
        <w:rFonts w:ascii="Times New Roman" w:hAnsi="Times New Roman" w:cs="Times New Roman"/>
      </w:rPr>
    </w:pPr>
    <w:r>
      <w:rPr>
        <w:rFonts w:ascii="Times New Roman" w:hAnsi="Times New Roman" w:cs="Times New Roman"/>
      </w:rPr>
      <w:fldChar w:fldCharType="begin"/>
    </w:r>
    <w:r w:rsidR="009630D0">
      <w:rPr>
        <w:rFonts w:ascii="Times New Roman" w:hAnsi="Times New Roman" w:cs="Times New Roman"/>
      </w:rPr>
      <w:instrText xml:space="preserve"> PAGE   \* MERGEFORMAT </w:instrText>
    </w:r>
    <w:r>
      <w:rPr>
        <w:rFonts w:ascii="Times New Roman" w:hAnsi="Times New Roman" w:cs="Times New Roman"/>
      </w:rPr>
      <w:fldChar w:fldCharType="separate"/>
    </w:r>
    <w:r w:rsidR="004670C4">
      <w:rPr>
        <w:rFonts w:ascii="Times New Roman" w:hAnsi="Times New Roman" w:cs="Times New Roman"/>
        <w:noProof/>
      </w:rPr>
      <w:t>9</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78CB" w14:textId="77777777" w:rsidR="00E30907" w:rsidRDefault="00E30907" w:rsidP="00AE5438">
      <w:r>
        <w:separator/>
      </w:r>
    </w:p>
  </w:footnote>
  <w:footnote w:type="continuationSeparator" w:id="0">
    <w:p w14:paraId="6D80FEBF" w14:textId="77777777" w:rsidR="00E30907" w:rsidRDefault="00E30907" w:rsidP="00AE5438">
      <w:r>
        <w:continuationSeparator/>
      </w:r>
    </w:p>
  </w:footnote>
  <w:footnote w:id="1">
    <w:p w14:paraId="659A8B46"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本指南由药品评价与研究中心药品质量办公室与美国食品药品监督管理局生物制品评价与研究中心、器械与放射健康中心和组合产品办公室合作编写。</w:t>
      </w:r>
    </w:p>
  </w:footnote>
  <w:footnote w:id="2">
    <w:p w14:paraId="74DDD91D"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我局将定期更新指南。有关最新版指南，请登录</w:t>
      </w:r>
      <w:r>
        <w:rPr>
          <w:rStyle w:val="af3"/>
        </w:rPr>
        <w:t>FDA</w:t>
      </w:r>
      <w:r>
        <w:rPr>
          <w:rStyle w:val="af3"/>
        </w:rPr>
        <w:t>指南网页</w:t>
      </w:r>
      <w:hyperlink r:id="rId1" w:history="1">
        <w:r>
          <w:rPr>
            <w:rStyle w:val="af"/>
            <w:rFonts w:ascii="Times New Roman" w:hAnsi="Times New Roman" w:cs="Times New Roman"/>
          </w:rPr>
          <w:t>https://www.fda.gov/regulatory-information/search-fda-guidance-documents</w:t>
        </w:r>
      </w:hyperlink>
      <w:r>
        <w:rPr>
          <w:rStyle w:val="af3"/>
        </w:rPr>
        <w:t>。</w:t>
      </w:r>
    </w:p>
  </w:footnote>
  <w:footnote w:id="3">
    <w:p w14:paraId="7DDF21D2"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就本指南而言，原料药和制剂包括生物原料药和制剂。</w:t>
      </w:r>
    </w:p>
  </w:footnote>
  <w:footnote w:id="4">
    <w:p w14:paraId="742171E4" w14:textId="5BB623CC"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请参见</w:t>
      </w:r>
      <w:r w:rsidR="00AA060A">
        <w:rPr>
          <w:rStyle w:val="af3"/>
        </w:rPr>
        <w:t xml:space="preserve">21 CFR 21 CFR </w:t>
      </w:r>
      <w:r>
        <w:rPr>
          <w:rStyle w:val="af3"/>
        </w:rPr>
        <w:t>3.2</w:t>
      </w:r>
      <w:r>
        <w:rPr>
          <w:rStyle w:val="af3"/>
        </w:rPr>
        <w:t>（</w:t>
      </w:r>
      <w:r>
        <w:rPr>
          <w:rStyle w:val="af3"/>
        </w:rPr>
        <w:t>e</w:t>
      </w:r>
      <w:r>
        <w:rPr>
          <w:rStyle w:val="af3"/>
        </w:rPr>
        <w:t>）。</w:t>
      </w:r>
    </w:p>
  </w:footnote>
  <w:footnote w:id="5">
    <w:p w14:paraId="421B3ABA"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见</w:t>
      </w:r>
      <w:r>
        <w:rPr>
          <w:rStyle w:val="af3"/>
        </w:rPr>
        <w:t>21 CFR 314.70</w:t>
      </w:r>
      <w:r>
        <w:rPr>
          <w:rStyle w:val="af3"/>
        </w:rPr>
        <w:t>、</w:t>
      </w:r>
      <w:r>
        <w:rPr>
          <w:rStyle w:val="af3"/>
        </w:rPr>
        <w:t>314.97</w:t>
      </w:r>
      <w:r>
        <w:rPr>
          <w:rStyle w:val="af3"/>
        </w:rPr>
        <w:t>和</w:t>
      </w:r>
      <w:r>
        <w:rPr>
          <w:rStyle w:val="af3"/>
        </w:rPr>
        <w:t>601.12</w:t>
      </w:r>
      <w:r>
        <w:rPr>
          <w:rStyle w:val="af3"/>
        </w:rPr>
        <w:t>。</w:t>
      </w:r>
    </w:p>
  </w:footnote>
  <w:footnote w:id="6">
    <w:p w14:paraId="29A8D800" w14:textId="1724EFBB"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例如，请参见</w:t>
      </w:r>
      <w:r>
        <w:rPr>
          <w:rStyle w:val="af3"/>
        </w:rPr>
        <w:t>FDA</w:t>
      </w:r>
      <w:r>
        <w:rPr>
          <w:rStyle w:val="af3"/>
        </w:rPr>
        <w:t>的扩大和批准后变更（</w:t>
      </w:r>
      <w:r>
        <w:rPr>
          <w:rStyle w:val="af3"/>
        </w:rPr>
        <w:t>SUPAC</w:t>
      </w:r>
      <w:r>
        <w:rPr>
          <w:rStyle w:val="af3"/>
        </w:rPr>
        <w:t>）指南以及</w:t>
      </w:r>
      <w:r>
        <w:rPr>
          <w:rStyle w:val="af3"/>
          <w:i/>
          <w:iCs/>
        </w:rPr>
        <w:t>特定生物技术和特定合成生物产品已批准申请的行业变更</w:t>
      </w:r>
      <w:r>
        <w:rPr>
          <w:rStyle w:val="af3"/>
        </w:rPr>
        <w:t>（</w:t>
      </w:r>
      <w:r>
        <w:rPr>
          <w:rStyle w:val="af3"/>
        </w:rPr>
        <w:t>1997</w:t>
      </w:r>
      <w:r>
        <w:rPr>
          <w:rStyle w:val="af3"/>
        </w:rPr>
        <w:t>年</w:t>
      </w:r>
      <w:r>
        <w:rPr>
          <w:rStyle w:val="af3"/>
        </w:rPr>
        <w:t>7</w:t>
      </w:r>
      <w:r>
        <w:rPr>
          <w:rStyle w:val="af3"/>
        </w:rPr>
        <w:t>月）、</w:t>
      </w:r>
      <w:r>
        <w:rPr>
          <w:rStyle w:val="af3"/>
          <w:i/>
          <w:iCs/>
        </w:rPr>
        <w:t>已批准新药申请或简化新药申请变更</w:t>
      </w:r>
      <w:r>
        <w:rPr>
          <w:rStyle w:val="af3"/>
        </w:rPr>
        <w:t>（</w:t>
      </w:r>
      <w:r>
        <w:rPr>
          <w:rStyle w:val="af3"/>
        </w:rPr>
        <w:t>2004</w:t>
      </w:r>
      <w:r>
        <w:rPr>
          <w:rStyle w:val="af3"/>
        </w:rPr>
        <w:t>年</w:t>
      </w:r>
      <w:r>
        <w:rPr>
          <w:rStyle w:val="af3"/>
        </w:rPr>
        <w:t>4</w:t>
      </w:r>
      <w:r>
        <w:rPr>
          <w:rStyle w:val="af3"/>
        </w:rPr>
        <w:t>月）和</w:t>
      </w:r>
      <w:r>
        <w:rPr>
          <w:rStyle w:val="af3"/>
          <w:i/>
          <w:iCs/>
        </w:rPr>
        <w:t>化学、制造和控制批准后制造变更将在年度报告中记录</w:t>
      </w:r>
      <w:r>
        <w:rPr>
          <w:rStyle w:val="af3"/>
        </w:rPr>
        <w:t>（</w:t>
      </w:r>
      <w:r>
        <w:rPr>
          <w:rStyle w:val="af3"/>
        </w:rPr>
        <w:t>2014</w:t>
      </w:r>
      <w:r>
        <w:rPr>
          <w:rStyle w:val="af3"/>
        </w:rPr>
        <w:t>年</w:t>
      </w:r>
      <w:r>
        <w:rPr>
          <w:rStyle w:val="af3"/>
        </w:rPr>
        <w:t>3</w:t>
      </w:r>
      <w:r>
        <w:rPr>
          <w:rStyle w:val="af3"/>
        </w:rPr>
        <w:t>月）。根据《联邦食品、药品和化妆品法案》（</w:t>
      </w:r>
      <w:r>
        <w:rPr>
          <w:rStyle w:val="af3"/>
        </w:rPr>
        <w:t>FD&amp;C</w:t>
      </w:r>
      <w:r>
        <w:rPr>
          <w:rStyle w:val="af3"/>
        </w:rPr>
        <w:t>法案）第</w:t>
      </w:r>
      <w:r>
        <w:rPr>
          <w:rStyle w:val="af3"/>
        </w:rPr>
        <w:t>506A</w:t>
      </w:r>
      <w:r>
        <w:rPr>
          <w:rStyle w:val="af3"/>
        </w:rPr>
        <w:t>条和</w:t>
      </w:r>
      <w:r w:rsidR="00AA060A">
        <w:rPr>
          <w:rStyle w:val="af3"/>
        </w:rPr>
        <w:t xml:space="preserve">21 CFR 21 CFR </w:t>
      </w:r>
      <w:r>
        <w:rPr>
          <w:rStyle w:val="af3"/>
        </w:rPr>
        <w:t>314.70</w:t>
      </w:r>
      <w:r>
        <w:rPr>
          <w:rStyle w:val="af3"/>
        </w:rPr>
        <w:t>和</w:t>
      </w:r>
      <w:r>
        <w:rPr>
          <w:rStyle w:val="af3"/>
        </w:rPr>
        <w:t>601.12</w:t>
      </w:r>
      <w:r>
        <w:rPr>
          <w:rStyle w:val="af3"/>
        </w:rPr>
        <w:t>，对报告类别进行了指导性调整，该调整确立了法律上可强制执行的责任，而不仅仅是建议。</w:t>
      </w:r>
    </w:p>
  </w:footnote>
  <w:footnote w:id="7">
    <w:p w14:paraId="4D733717"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在初始申请或事先批准补充材料中包含特定确定条件的计划是与</w:t>
      </w:r>
      <w:r>
        <w:rPr>
          <w:rStyle w:val="af3"/>
        </w:rPr>
        <w:t>FDA</w:t>
      </w:r>
      <w:r>
        <w:rPr>
          <w:rStyle w:val="af3"/>
        </w:rPr>
        <w:t>进行预提交资料会议的合适主题（如有）。</w:t>
      </w:r>
    </w:p>
  </w:footnote>
  <w:footnote w:id="8">
    <w:p w14:paraId="581544F2" w14:textId="4F5495ED"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在本指南中，</w:t>
      </w:r>
      <w:r>
        <w:rPr>
          <w:rStyle w:val="af3"/>
        </w:rPr>
        <w:t>FDA</w:t>
      </w:r>
      <w:r>
        <w:rPr>
          <w:rStyle w:val="af3"/>
        </w:rPr>
        <w:t>建议作为一种选择，申请人声明其将遵循法规和指南中的建议。在大多数情况下，申请人可选择遵循法规，同时采用与指南中建议的不同方法，并说明其与指南的偏差将如何满足适用的法律要求。然而，如果指南根据《</w:t>
      </w:r>
      <w:r>
        <w:rPr>
          <w:rStyle w:val="af3"/>
        </w:rPr>
        <w:t>FD&amp;C</w:t>
      </w:r>
      <w:r>
        <w:rPr>
          <w:rStyle w:val="af3"/>
        </w:rPr>
        <w:t>法案》第</w:t>
      </w:r>
      <w:r>
        <w:rPr>
          <w:rStyle w:val="af3"/>
        </w:rPr>
        <w:t>506A</w:t>
      </w:r>
      <w:r>
        <w:rPr>
          <w:rStyle w:val="af3"/>
        </w:rPr>
        <w:t>条和</w:t>
      </w:r>
      <w:r w:rsidR="00AA060A">
        <w:rPr>
          <w:rStyle w:val="af3"/>
        </w:rPr>
        <w:t xml:space="preserve">21 CFR 21 CFR </w:t>
      </w:r>
      <w:r>
        <w:rPr>
          <w:rStyle w:val="af3"/>
        </w:rPr>
        <w:t>314.70</w:t>
      </w:r>
      <w:r>
        <w:rPr>
          <w:rStyle w:val="af3"/>
        </w:rPr>
        <w:t>和</w:t>
      </w:r>
      <w:r>
        <w:rPr>
          <w:rStyle w:val="af3"/>
        </w:rPr>
        <w:t>601.12</w:t>
      </w:r>
      <w:r>
        <w:rPr>
          <w:rStyle w:val="af3"/>
        </w:rPr>
        <w:t>调整报告类别，则该调整确立了法律上可执行的责任，而不仅仅是建议。</w:t>
      </w:r>
    </w:p>
  </w:footnote>
  <w:footnote w:id="9">
    <w:p w14:paraId="4302DEB7"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eCTD=</w:t>
      </w:r>
      <w:r>
        <w:rPr>
          <w:rStyle w:val="af3"/>
        </w:rPr>
        <w:t>电子通用技术文档，向</w:t>
      </w:r>
      <w:r>
        <w:rPr>
          <w:rStyle w:val="af3"/>
        </w:rPr>
        <w:t>FDA</w:t>
      </w:r>
      <w:r>
        <w:rPr>
          <w:rStyle w:val="af3"/>
        </w:rPr>
        <w:t>提交申请、补充资料和其他信息的标准格式。有关更多信息，请参见</w:t>
      </w:r>
      <w:hyperlink r:id="rId2" w:history="1">
        <w:r>
          <w:rPr>
            <w:rStyle w:val="af"/>
            <w:rFonts w:ascii="Times New Roman" w:hAnsi="Times New Roman" w:cs="Times New Roman"/>
          </w:rPr>
          <w:t>https://www.fda.gov/drugs/electronic-regulatory-submission-and-review/electronic-common-technical-document-ectd</w:t>
        </w:r>
      </w:hyperlink>
      <w:r>
        <w:rPr>
          <w:rStyle w:val="af3"/>
        </w:rPr>
        <w:t>。</w:t>
      </w:r>
    </w:p>
  </w:footnote>
  <w:footnote w:id="10">
    <w:p w14:paraId="6026F469"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FDA</w:t>
      </w:r>
      <w:r>
        <w:rPr>
          <w:rStyle w:val="af3"/>
        </w:rPr>
        <w:t>已提议制定相关规则，对生物制品许可申请的申请人将药物、药物中间产品和药品信息直接提交给生物制品许可申请的程序要求编成法典，而非通过引用将其纳入主文件。见</w:t>
      </w:r>
      <w:r>
        <w:rPr>
          <w:rStyle w:val="af3"/>
        </w:rPr>
        <w:t>84 FR 30968</w:t>
      </w:r>
      <w:r>
        <w:rPr>
          <w:rStyle w:val="af3"/>
        </w:rPr>
        <w:t>。</w:t>
      </w:r>
    </w:p>
  </w:footnote>
  <w:footnote w:id="11">
    <w:p w14:paraId="517B497E"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FA0DD1">
        <w:rPr>
          <w:rStyle w:val="af3"/>
        </w:rPr>
        <w:t>相同方法适用于通过引用纳入的</w:t>
      </w:r>
      <w:r>
        <w:rPr>
          <w:rStyle w:val="af3"/>
        </w:rPr>
        <w:t>信息，这些信息来自其他类型（例如，</w:t>
      </w:r>
      <w:r>
        <w:rPr>
          <w:rStyle w:val="af3"/>
        </w:rPr>
        <w:t>III</w:t>
      </w:r>
      <w:r>
        <w:rPr>
          <w:rStyle w:val="af3"/>
        </w:rPr>
        <w:t>、</w:t>
      </w:r>
      <w:r>
        <w:rPr>
          <w:rStyle w:val="af3"/>
        </w:rPr>
        <w:t>IV</w:t>
      </w:r>
      <w:r>
        <w:rPr>
          <w:rStyle w:val="af3"/>
        </w:rPr>
        <w:t>或</w:t>
      </w:r>
      <w:r>
        <w:rPr>
          <w:rStyle w:val="af3"/>
        </w:rPr>
        <w:t>V</w:t>
      </w:r>
      <w:r>
        <w:rPr>
          <w:rStyle w:val="af3"/>
        </w:rPr>
        <w:t>类，如适用）的药物主文件。</w:t>
      </w:r>
    </w:p>
  </w:footnote>
  <w:footnote w:id="12">
    <w:p w14:paraId="01BF4F74"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Style w:val="af3"/>
        </w:rPr>
        <w:t>参见行业指南《药品合同生产安排：质量协议》（</w:t>
      </w:r>
      <w:r>
        <w:rPr>
          <w:rStyle w:val="af3"/>
        </w:rPr>
        <w:t>2016</w:t>
      </w:r>
      <w:r>
        <w:rPr>
          <w:rStyle w:val="af3"/>
        </w:rPr>
        <w:t>年</w:t>
      </w:r>
      <w:r>
        <w:rPr>
          <w:rStyle w:val="af3"/>
        </w:rPr>
        <w:t>11</w:t>
      </w:r>
      <w:r>
        <w:rPr>
          <w:rStyle w:val="af3"/>
        </w:rPr>
        <w:t>月）。</w:t>
      </w:r>
    </w:p>
  </w:footnote>
  <w:footnote w:id="13">
    <w:p w14:paraId="2357BF1A"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请参见</w:t>
      </w:r>
      <w:r>
        <w:rPr>
          <w:rStyle w:val="af3"/>
        </w:rPr>
        <w:t>ISO 13485</w:t>
      </w:r>
      <w:r>
        <w:rPr>
          <w:rStyle w:val="af3"/>
        </w:rPr>
        <w:t>：</w:t>
      </w:r>
      <w:r>
        <w:rPr>
          <w:rStyle w:val="af3"/>
        </w:rPr>
        <w:t>2016</w:t>
      </w:r>
      <w:r>
        <w:rPr>
          <w:rStyle w:val="af3"/>
        </w:rPr>
        <w:t>，医疗器械</w:t>
      </w:r>
      <w:r>
        <w:rPr>
          <w:rStyle w:val="af3"/>
        </w:rPr>
        <w:t>-</w:t>
      </w:r>
      <w:r>
        <w:rPr>
          <w:rStyle w:val="af3"/>
        </w:rPr>
        <w:t>质量管理体系</w:t>
      </w:r>
      <w:r>
        <w:rPr>
          <w:rStyle w:val="af3"/>
        </w:rPr>
        <w:t>-</w:t>
      </w:r>
      <w:r>
        <w:rPr>
          <w:rStyle w:val="af3"/>
        </w:rPr>
        <w:t>监管要求，第</w:t>
      </w:r>
      <w:r>
        <w:rPr>
          <w:rStyle w:val="af3"/>
        </w:rPr>
        <w:t>7.3.4</w:t>
      </w:r>
      <w:r>
        <w:rPr>
          <w:rStyle w:val="af3"/>
        </w:rPr>
        <w:t>节产品实现</w:t>
      </w:r>
      <w:r>
        <w:rPr>
          <w:rStyle w:val="af3"/>
        </w:rPr>
        <w:t>-</w:t>
      </w:r>
      <w:r>
        <w:rPr>
          <w:rStyle w:val="af3"/>
        </w:rPr>
        <w:t>设计和开发</w:t>
      </w:r>
      <w:r>
        <w:rPr>
          <w:rStyle w:val="af3"/>
        </w:rPr>
        <w:t>-</w:t>
      </w:r>
      <w:r>
        <w:rPr>
          <w:rStyle w:val="af3"/>
        </w:rPr>
        <w:t>设计和开发输出。</w:t>
      </w:r>
      <w:r>
        <w:rPr>
          <w:rStyle w:val="af3"/>
        </w:rPr>
        <w:t>ISO=</w:t>
      </w:r>
      <w:r>
        <w:rPr>
          <w:rStyle w:val="af3"/>
        </w:rPr>
        <w:t>国际标准化组织。</w:t>
      </w:r>
    </w:p>
  </w:footnote>
  <w:footnote w:id="14">
    <w:p w14:paraId="784B177E"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更具体而言，请参见</w:t>
      </w:r>
      <w:proofErr w:type="gramStart"/>
      <w:r>
        <w:rPr>
          <w:rStyle w:val="af3"/>
        </w:rPr>
        <w:t>附录第</w:t>
      </w:r>
      <w:r>
        <w:rPr>
          <w:rStyle w:val="af3"/>
        </w:rPr>
        <w:t>A</w:t>
      </w:r>
      <w:r>
        <w:rPr>
          <w:rStyle w:val="af3"/>
        </w:rPr>
        <w:t>节问题</w:t>
      </w:r>
      <w:proofErr w:type="gramEnd"/>
      <w:r>
        <w:rPr>
          <w:rStyle w:val="af3"/>
        </w:rPr>
        <w:t>6</w:t>
      </w:r>
      <w:r>
        <w:rPr>
          <w:rStyle w:val="af3"/>
        </w:rPr>
        <w:t>。该指南一旦定稿，将代表</w:t>
      </w:r>
      <w:r>
        <w:rPr>
          <w:rStyle w:val="af3"/>
        </w:rPr>
        <w:t>FDA</w:t>
      </w:r>
      <w:r>
        <w:rPr>
          <w:rStyle w:val="af3"/>
        </w:rPr>
        <w:t>目前对该主题的想法。</w:t>
      </w:r>
    </w:p>
  </w:footnote>
  <w:footnote w:id="15">
    <w:p w14:paraId="73D145D0" w14:textId="77777777" w:rsidR="009630D0" w:rsidRPr="00397B2E" w:rsidRDefault="009630D0" w:rsidP="00397B2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此类工厂可能包括负责组合产品设计控制的工厂。请参见行业《组合产品的现行良好生产规范要求指南》（</w:t>
      </w:r>
      <w:r>
        <w:rPr>
          <w:rStyle w:val="af3"/>
        </w:rPr>
        <w:t>2017</w:t>
      </w:r>
      <w:r>
        <w:rPr>
          <w:rStyle w:val="af3"/>
        </w:rPr>
        <w:t>年</w:t>
      </w:r>
      <w:r>
        <w:rPr>
          <w:rStyle w:val="af3"/>
        </w:rPr>
        <w:t>1</w:t>
      </w:r>
      <w:r>
        <w:rPr>
          <w:rStyle w:val="af3"/>
        </w:rPr>
        <w:t>月）。</w:t>
      </w:r>
    </w:p>
  </w:footnote>
  <w:footnote w:id="16">
    <w:p w14:paraId="3E70454F" w14:textId="1D98BB2A"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请参见《</w:t>
      </w:r>
      <w:r>
        <w:rPr>
          <w:rStyle w:val="af3"/>
        </w:rPr>
        <w:t>FD&amp;C</w:t>
      </w:r>
      <w:r>
        <w:rPr>
          <w:rStyle w:val="af3"/>
        </w:rPr>
        <w:t>法案》第</w:t>
      </w:r>
      <w:r>
        <w:rPr>
          <w:rStyle w:val="af3"/>
        </w:rPr>
        <w:t>510</w:t>
      </w:r>
      <w:r>
        <w:rPr>
          <w:rStyle w:val="af3"/>
        </w:rPr>
        <w:t>（</w:t>
      </w:r>
      <w:r>
        <w:rPr>
          <w:rStyle w:val="af3"/>
        </w:rPr>
        <w:t>a</w:t>
      </w:r>
      <w:r>
        <w:rPr>
          <w:rStyle w:val="af3"/>
        </w:rPr>
        <w:t>）（</w:t>
      </w:r>
      <w:r>
        <w:rPr>
          <w:rStyle w:val="af3"/>
        </w:rPr>
        <w:t>2</w:t>
      </w:r>
      <w:r>
        <w:rPr>
          <w:rStyle w:val="af3"/>
        </w:rPr>
        <w:t>）（</w:t>
      </w:r>
      <w:r>
        <w:rPr>
          <w:rStyle w:val="af3"/>
        </w:rPr>
        <w:t>B</w:t>
      </w:r>
      <w:r>
        <w:rPr>
          <w:rStyle w:val="af3"/>
        </w:rPr>
        <w:t>）条；</w:t>
      </w:r>
      <w:r w:rsidR="00AA060A">
        <w:rPr>
          <w:rStyle w:val="af3"/>
        </w:rPr>
        <w:t xml:space="preserve">21 CFR 21 CFR </w:t>
      </w:r>
      <w:r>
        <w:rPr>
          <w:rStyle w:val="af3"/>
        </w:rPr>
        <w:t>4</w:t>
      </w:r>
      <w:r>
        <w:rPr>
          <w:rStyle w:val="af3"/>
        </w:rPr>
        <w:t>、</w:t>
      </w:r>
      <w:r>
        <w:rPr>
          <w:rStyle w:val="af3"/>
        </w:rPr>
        <w:t>210</w:t>
      </w:r>
      <w:r>
        <w:rPr>
          <w:rStyle w:val="af3"/>
        </w:rPr>
        <w:t>、</w:t>
      </w:r>
      <w:r>
        <w:rPr>
          <w:rStyle w:val="af3"/>
        </w:rPr>
        <w:t>211</w:t>
      </w:r>
      <w:r>
        <w:rPr>
          <w:rStyle w:val="af3"/>
        </w:rPr>
        <w:t>和</w:t>
      </w:r>
      <w:r>
        <w:rPr>
          <w:rStyle w:val="af3"/>
        </w:rPr>
        <w:t>600</w:t>
      </w:r>
      <w:r>
        <w:rPr>
          <w:rStyle w:val="af3"/>
        </w:rPr>
        <w:t>部分；以及行业指南《组合产品的现行良好生产规范要求》。</w:t>
      </w:r>
    </w:p>
  </w:footnote>
  <w:footnote w:id="17">
    <w:p w14:paraId="741FAE34" w14:textId="77777777" w:rsidR="009630D0" w:rsidRPr="00397B2E" w:rsidRDefault="009630D0" w:rsidP="00FB4E3B">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Style w:val="af3"/>
        </w:rPr>
        <w:t>根据《</w:t>
      </w:r>
      <w:r>
        <w:rPr>
          <w:rStyle w:val="af3"/>
        </w:rPr>
        <w:t>FD&amp;C</w:t>
      </w:r>
      <w:r>
        <w:rPr>
          <w:rStyle w:val="af3"/>
        </w:rPr>
        <w:t>法案》第</w:t>
      </w:r>
      <w:r>
        <w:rPr>
          <w:rStyle w:val="af3"/>
        </w:rPr>
        <w:t>809</w:t>
      </w:r>
      <w:r>
        <w:rPr>
          <w:rStyle w:val="af3"/>
        </w:rPr>
        <w:t>条确定生产能力；另请参见</w:t>
      </w:r>
      <w:hyperlink r:id="rId3" w:history="1">
        <w:r>
          <w:rPr>
            <w:rStyle w:val="af"/>
            <w:rFonts w:ascii="Times New Roman" w:hAnsi="Times New Roman" w:cs="Times New Roman"/>
          </w:rPr>
          <w:t>https</w:t>
        </w:r>
        <w:r>
          <w:rPr>
            <w:rStyle w:val="af"/>
            <w:rFonts w:ascii="Times New Roman" w:hAnsi="Times New Roman" w:cs="Times New Roman"/>
          </w:rPr>
          <w:t>：</w:t>
        </w:r>
        <w:r>
          <w:rPr>
            <w:rStyle w:val="af"/>
            <w:rFonts w:ascii="Times New Roman" w:hAnsi="Times New Roman" w:cs="Times New Roman"/>
          </w:rPr>
          <w:t>//www.fda.gov/international-programs/international-arrangements/mutual-recognition-agreement-mra</w:t>
        </w:r>
      </w:hyperlink>
    </w:p>
  </w:footnote>
  <w:footnote w:id="18">
    <w:p w14:paraId="7E6AFE2B" w14:textId="77777777" w:rsidR="00067617" w:rsidRPr="00397B2E" w:rsidRDefault="00067617" w:rsidP="00397B2E">
      <w:pPr>
        <w:pStyle w:val="af0"/>
        <w:jc w:val="both"/>
        <w:rPr>
          <w:rFonts w:ascii="Times New Roman" w:hAnsi="Times New Roman" w:cs="Times New Roman"/>
        </w:rPr>
      </w:pPr>
      <w:r>
        <w:rPr>
          <w:rStyle w:val="af2"/>
          <w:rFonts w:ascii="Times New Roman" w:hAnsi="Times New Roman" w:cs="Times New Roman"/>
        </w:rPr>
        <w:t>1</w:t>
      </w:r>
      <w:r>
        <w:rPr>
          <w:rFonts w:ascii="Times New Roman" w:hAnsi="Times New Roman" w:cs="Times New Roman"/>
        </w:rPr>
        <w:t xml:space="preserve"> </w:t>
      </w:r>
      <w:r>
        <w:rPr>
          <w:rStyle w:val="af3"/>
        </w:rPr>
        <w:t>类似于国际协调理事会行业指南</w:t>
      </w:r>
      <w:r>
        <w:rPr>
          <w:rStyle w:val="af3"/>
        </w:rPr>
        <w:t>Q12</w:t>
      </w:r>
      <w:r>
        <w:rPr>
          <w:rStyle w:val="af3"/>
        </w:rPr>
        <w:t>《药品生命周期管理的技术和监管考虑》（</w:t>
      </w:r>
      <w:r>
        <w:rPr>
          <w:rStyle w:val="af3"/>
        </w:rPr>
        <w:t>2021</w:t>
      </w:r>
      <w:r>
        <w:rPr>
          <w:rStyle w:val="af3"/>
        </w:rPr>
        <w:t>年</w:t>
      </w:r>
      <w:r>
        <w:rPr>
          <w:rStyle w:val="af3"/>
        </w:rPr>
        <w:t>5</w:t>
      </w:r>
      <w:r>
        <w:rPr>
          <w:rStyle w:val="af3"/>
        </w:rPr>
        <w:t>月）附录</w:t>
      </w:r>
      <w:r>
        <w:rPr>
          <w:rStyle w:val="af3"/>
        </w:rPr>
        <w:t>1</w:t>
      </w:r>
      <w:r>
        <w:rPr>
          <w:rStyle w:val="af3"/>
        </w:rPr>
        <w:t>。</w:t>
      </w:r>
    </w:p>
  </w:footnote>
  <w:footnote w:id="19">
    <w:p w14:paraId="69A5AC6F" w14:textId="77777777" w:rsidR="00B674B4" w:rsidRPr="00397B2E" w:rsidRDefault="00B674B4" w:rsidP="00397B2E">
      <w:pPr>
        <w:pStyle w:val="af0"/>
        <w:jc w:val="both"/>
        <w:rPr>
          <w:rFonts w:ascii="Times New Roman" w:hAnsi="Times New Roman" w:cs="Times New Roman"/>
        </w:rPr>
      </w:pPr>
      <w:r>
        <w:rPr>
          <w:rStyle w:val="af2"/>
          <w:rFonts w:ascii="Times New Roman" w:hAnsi="Times New Roman" w:cs="Times New Roman"/>
        </w:rPr>
        <w:t>1</w:t>
      </w:r>
      <w:r>
        <w:rPr>
          <w:rFonts w:ascii="Times New Roman" w:hAnsi="Times New Roman" w:cs="Times New Roman"/>
        </w:rPr>
        <w:t xml:space="preserve"> </w:t>
      </w:r>
      <w:r>
        <w:rPr>
          <w:rStyle w:val="af3"/>
        </w:rPr>
        <w:t>根据国际协调理事会行业指南</w:t>
      </w:r>
      <w:r>
        <w:rPr>
          <w:rStyle w:val="af3"/>
        </w:rPr>
        <w:t>Q12</w:t>
      </w:r>
      <w:r>
        <w:rPr>
          <w:rStyle w:val="af3"/>
        </w:rPr>
        <w:t>《药品生命周期管理的技术和监管考虑》附件（</w:t>
      </w:r>
      <w:r>
        <w:rPr>
          <w:rStyle w:val="af3"/>
        </w:rPr>
        <w:t>2021</w:t>
      </w:r>
      <w:r>
        <w:rPr>
          <w:rStyle w:val="af3"/>
        </w:rPr>
        <w:t>年</w:t>
      </w:r>
      <w:r>
        <w:rPr>
          <w:rStyle w:val="af3"/>
        </w:rPr>
        <w:t>5</w:t>
      </w:r>
      <w:r>
        <w:rPr>
          <w:rStyle w:val="af3"/>
        </w:rPr>
        <w:t>月）中的附件</w:t>
      </w:r>
      <w:r>
        <w:rPr>
          <w:rStyle w:val="af3"/>
        </w:rPr>
        <w:t>IF</w:t>
      </w:r>
      <w:r>
        <w:rPr>
          <w:rStyle w:val="af3"/>
        </w:rPr>
        <w:t>修改。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60CA" w14:textId="77777777" w:rsidR="009630D0" w:rsidRPr="00AB0BE6" w:rsidRDefault="009630D0" w:rsidP="009630D0">
    <w:pPr>
      <w:pStyle w:val="a3"/>
      <w:pBdr>
        <w:bottom w:val="none" w:sz="0" w:space="0" w:color="auto"/>
      </w:pBd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BADF" w14:textId="77777777" w:rsidR="00AA060A" w:rsidRDefault="00AA060A" w:rsidP="00E8044B">
    <w:pPr>
      <w:pStyle w:val="a3"/>
      <w:pBdr>
        <w:bottom w:val="none" w:sz="0" w:space="0" w:color="auto"/>
      </w:pBdr>
      <w:spacing w:beforeLines="50" w:before="120" w:afterLines="50" w:after="120"/>
      <w:rPr>
        <w:b/>
        <w:bCs/>
        <w:i/>
        <w:iCs/>
        <w:sz w:val="21"/>
        <w:szCs w:val="21"/>
      </w:rPr>
    </w:pPr>
    <w:r w:rsidRPr="009D18EE">
      <w:rPr>
        <w:rFonts w:hint="eastAsia"/>
        <w:b/>
        <w:bCs/>
        <w:i/>
        <w:iCs/>
        <w:sz w:val="21"/>
        <w:szCs w:val="21"/>
      </w:rPr>
      <w:t>所含建议不具约束力</w:t>
    </w:r>
  </w:p>
  <w:p w14:paraId="2C90A271" w14:textId="77777777" w:rsidR="009630D0" w:rsidRPr="00AB0BE6" w:rsidRDefault="009630D0" w:rsidP="00E8044B">
    <w:pPr>
      <w:pStyle w:val="a3"/>
      <w:pBdr>
        <w:bottom w:val="none" w:sz="0" w:space="0" w:color="auto"/>
      </w:pBdr>
      <w:spacing w:beforeLines="50" w:before="120" w:afterLines="50" w:after="120"/>
      <w:rPr>
        <w:rFonts w:ascii="Times New Roman" w:hAnsi="Times New Roman" w:cs="Times New Roman"/>
        <w:i/>
      </w:rPr>
    </w:pPr>
    <w:r>
      <w:rPr>
        <w:rFonts w:ascii="Times New Roman" w:hAnsi="Times New Roman" w:cs="Times New Roman"/>
        <w:i/>
        <w:iCs/>
      </w:rPr>
      <w:t>草案</w:t>
    </w:r>
    <w:r>
      <w:rPr>
        <w:rFonts w:ascii="Times New Roman" w:hAnsi="Times New Roman" w:cs="Times New Roman"/>
        <w:i/>
        <w:iCs/>
      </w:rPr>
      <w:t xml:space="preserve"> - </w:t>
    </w:r>
    <w:proofErr w:type="gramStart"/>
    <w:r>
      <w:rPr>
        <w:rFonts w:ascii="Times New Roman" w:hAnsi="Times New Roman" w:cs="Times New Roman"/>
        <w:i/>
        <w:iCs/>
      </w:rPr>
      <w:t>非实施稿</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3B"/>
    <w:multiLevelType w:val="multilevel"/>
    <w:tmpl w:val="000008BE"/>
    <w:lvl w:ilvl="0">
      <w:start w:val="1"/>
      <w:numFmt w:val="decimal"/>
      <w:lvlText w:val="%1."/>
      <w:lvlJc w:val="left"/>
      <w:pPr>
        <w:ind w:left="323" w:hanging="221"/>
      </w:pPr>
      <w:rPr>
        <w:rFonts w:ascii="Times New Roman" w:hAnsi="Times New Roman" w:cs="Times New Roman"/>
        <w:b w:val="0"/>
        <w:bCs w:val="0"/>
        <w:w w:val="99"/>
        <w:sz w:val="22"/>
        <w:szCs w:val="22"/>
      </w:rPr>
    </w:lvl>
    <w:lvl w:ilvl="1">
      <w:numFmt w:val="bullet"/>
      <w:lvlText w:val="•"/>
      <w:lvlJc w:val="left"/>
      <w:pPr>
        <w:ind w:left="854" w:hanging="221"/>
      </w:pPr>
    </w:lvl>
    <w:lvl w:ilvl="2">
      <w:numFmt w:val="bullet"/>
      <w:lvlText w:val="•"/>
      <w:lvlJc w:val="left"/>
      <w:pPr>
        <w:ind w:left="1388" w:hanging="221"/>
      </w:pPr>
    </w:lvl>
    <w:lvl w:ilvl="3">
      <w:numFmt w:val="bullet"/>
      <w:lvlText w:val="•"/>
      <w:lvlJc w:val="left"/>
      <w:pPr>
        <w:ind w:left="1922" w:hanging="221"/>
      </w:pPr>
    </w:lvl>
    <w:lvl w:ilvl="4">
      <w:numFmt w:val="bullet"/>
      <w:lvlText w:val="•"/>
      <w:lvlJc w:val="left"/>
      <w:pPr>
        <w:ind w:left="2456" w:hanging="221"/>
      </w:pPr>
    </w:lvl>
    <w:lvl w:ilvl="5">
      <w:numFmt w:val="bullet"/>
      <w:lvlText w:val="•"/>
      <w:lvlJc w:val="left"/>
      <w:pPr>
        <w:ind w:left="2990" w:hanging="221"/>
      </w:pPr>
    </w:lvl>
    <w:lvl w:ilvl="6">
      <w:numFmt w:val="bullet"/>
      <w:lvlText w:val="•"/>
      <w:lvlJc w:val="left"/>
      <w:pPr>
        <w:ind w:left="3524" w:hanging="221"/>
      </w:pPr>
    </w:lvl>
    <w:lvl w:ilvl="7">
      <w:numFmt w:val="bullet"/>
      <w:lvlText w:val="•"/>
      <w:lvlJc w:val="left"/>
      <w:pPr>
        <w:ind w:left="4058" w:hanging="221"/>
      </w:pPr>
    </w:lvl>
    <w:lvl w:ilvl="8">
      <w:numFmt w:val="bullet"/>
      <w:lvlText w:val="•"/>
      <w:lvlJc w:val="left"/>
      <w:pPr>
        <w:ind w:left="4592" w:hanging="221"/>
      </w:pPr>
    </w:lvl>
  </w:abstractNum>
  <w:num w:numId="1" w16cid:durableId="652218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 Tank">
    <w15:presenceInfo w15:providerId="AD" w15:userId="S::wut9@medtronic.com::71ca3361-56bb-49b6-ae12-f7f3a220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6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02523"/>
    <w:rsid w:val="0001481D"/>
    <w:rsid w:val="00014A56"/>
    <w:rsid w:val="000225C1"/>
    <w:rsid w:val="000426F7"/>
    <w:rsid w:val="00042A86"/>
    <w:rsid w:val="00043304"/>
    <w:rsid w:val="00046DBB"/>
    <w:rsid w:val="000534C0"/>
    <w:rsid w:val="0005762F"/>
    <w:rsid w:val="00065EF8"/>
    <w:rsid w:val="00067617"/>
    <w:rsid w:val="000677A0"/>
    <w:rsid w:val="00067F11"/>
    <w:rsid w:val="00084784"/>
    <w:rsid w:val="00097871"/>
    <w:rsid w:val="000C239E"/>
    <w:rsid w:val="000E6C5E"/>
    <w:rsid w:val="00130135"/>
    <w:rsid w:val="00131772"/>
    <w:rsid w:val="00173984"/>
    <w:rsid w:val="00175486"/>
    <w:rsid w:val="00175676"/>
    <w:rsid w:val="001936F9"/>
    <w:rsid w:val="00194914"/>
    <w:rsid w:val="001A2A1C"/>
    <w:rsid w:val="001B4DD1"/>
    <w:rsid w:val="001D1559"/>
    <w:rsid w:val="001E073F"/>
    <w:rsid w:val="001F6146"/>
    <w:rsid w:val="00201C71"/>
    <w:rsid w:val="00204A9A"/>
    <w:rsid w:val="00216028"/>
    <w:rsid w:val="0022072B"/>
    <w:rsid w:val="002376F4"/>
    <w:rsid w:val="00246993"/>
    <w:rsid w:val="00247DB9"/>
    <w:rsid w:val="00254FDA"/>
    <w:rsid w:val="002579C0"/>
    <w:rsid w:val="00270A59"/>
    <w:rsid w:val="002818F6"/>
    <w:rsid w:val="0029317C"/>
    <w:rsid w:val="002963B1"/>
    <w:rsid w:val="002A0347"/>
    <w:rsid w:val="002A67B5"/>
    <w:rsid w:val="002A6E8F"/>
    <w:rsid w:val="002A7667"/>
    <w:rsid w:val="002B43F7"/>
    <w:rsid w:val="00301CB7"/>
    <w:rsid w:val="003201C0"/>
    <w:rsid w:val="00336092"/>
    <w:rsid w:val="00336528"/>
    <w:rsid w:val="003408DB"/>
    <w:rsid w:val="00343BBC"/>
    <w:rsid w:val="003566E3"/>
    <w:rsid w:val="00372CD5"/>
    <w:rsid w:val="00376744"/>
    <w:rsid w:val="00396B6B"/>
    <w:rsid w:val="00397B2E"/>
    <w:rsid w:val="003A16F6"/>
    <w:rsid w:val="003B700E"/>
    <w:rsid w:val="003C21C2"/>
    <w:rsid w:val="003C4DA2"/>
    <w:rsid w:val="003D05EF"/>
    <w:rsid w:val="003E6BF8"/>
    <w:rsid w:val="00407815"/>
    <w:rsid w:val="0042191B"/>
    <w:rsid w:val="00422507"/>
    <w:rsid w:val="00434C7E"/>
    <w:rsid w:val="004355E7"/>
    <w:rsid w:val="0043587B"/>
    <w:rsid w:val="0043589C"/>
    <w:rsid w:val="004400D8"/>
    <w:rsid w:val="004415A4"/>
    <w:rsid w:val="004523C7"/>
    <w:rsid w:val="00452DBA"/>
    <w:rsid w:val="00462D85"/>
    <w:rsid w:val="004670C4"/>
    <w:rsid w:val="00481A83"/>
    <w:rsid w:val="00483F84"/>
    <w:rsid w:val="004A26DF"/>
    <w:rsid w:val="004B231E"/>
    <w:rsid w:val="004B52B2"/>
    <w:rsid w:val="004C46EA"/>
    <w:rsid w:val="004D1F47"/>
    <w:rsid w:val="004D7FF0"/>
    <w:rsid w:val="004E2316"/>
    <w:rsid w:val="00500B28"/>
    <w:rsid w:val="0051201D"/>
    <w:rsid w:val="005401CF"/>
    <w:rsid w:val="00565A44"/>
    <w:rsid w:val="00566F81"/>
    <w:rsid w:val="005B2A31"/>
    <w:rsid w:val="005C56D4"/>
    <w:rsid w:val="005D6621"/>
    <w:rsid w:val="005E18AF"/>
    <w:rsid w:val="005F4A92"/>
    <w:rsid w:val="00600254"/>
    <w:rsid w:val="00614EF0"/>
    <w:rsid w:val="00623061"/>
    <w:rsid w:val="00643107"/>
    <w:rsid w:val="0065637B"/>
    <w:rsid w:val="00675F4C"/>
    <w:rsid w:val="00676605"/>
    <w:rsid w:val="00694D9C"/>
    <w:rsid w:val="006A0CF2"/>
    <w:rsid w:val="006A36F8"/>
    <w:rsid w:val="006A7314"/>
    <w:rsid w:val="006B5E39"/>
    <w:rsid w:val="006C177D"/>
    <w:rsid w:val="006C394C"/>
    <w:rsid w:val="006C5CE2"/>
    <w:rsid w:val="006D08F1"/>
    <w:rsid w:val="006E0359"/>
    <w:rsid w:val="006E34CE"/>
    <w:rsid w:val="00700943"/>
    <w:rsid w:val="0070542F"/>
    <w:rsid w:val="00715E2F"/>
    <w:rsid w:val="00724B3B"/>
    <w:rsid w:val="00726F3F"/>
    <w:rsid w:val="0074266F"/>
    <w:rsid w:val="00753268"/>
    <w:rsid w:val="00760E53"/>
    <w:rsid w:val="007646AD"/>
    <w:rsid w:val="007670C1"/>
    <w:rsid w:val="007A6E26"/>
    <w:rsid w:val="007B1AE4"/>
    <w:rsid w:val="007C12CA"/>
    <w:rsid w:val="007C2910"/>
    <w:rsid w:val="007C38ED"/>
    <w:rsid w:val="007E0023"/>
    <w:rsid w:val="007E5625"/>
    <w:rsid w:val="00802C0A"/>
    <w:rsid w:val="00826482"/>
    <w:rsid w:val="00826BFD"/>
    <w:rsid w:val="008300E8"/>
    <w:rsid w:val="00845116"/>
    <w:rsid w:val="00851119"/>
    <w:rsid w:val="008561AE"/>
    <w:rsid w:val="00861A42"/>
    <w:rsid w:val="00864D09"/>
    <w:rsid w:val="00867006"/>
    <w:rsid w:val="008C740E"/>
    <w:rsid w:val="008D3B3F"/>
    <w:rsid w:val="00905A8F"/>
    <w:rsid w:val="00915FFE"/>
    <w:rsid w:val="009160A7"/>
    <w:rsid w:val="0091795F"/>
    <w:rsid w:val="009630D0"/>
    <w:rsid w:val="00966AD2"/>
    <w:rsid w:val="00973869"/>
    <w:rsid w:val="0097448D"/>
    <w:rsid w:val="009970D2"/>
    <w:rsid w:val="009A371E"/>
    <w:rsid w:val="009B3A19"/>
    <w:rsid w:val="009B43C8"/>
    <w:rsid w:val="009C6CED"/>
    <w:rsid w:val="009D13FB"/>
    <w:rsid w:val="009E1C42"/>
    <w:rsid w:val="009F401D"/>
    <w:rsid w:val="00A036A8"/>
    <w:rsid w:val="00A06DD8"/>
    <w:rsid w:val="00A1365A"/>
    <w:rsid w:val="00A634C9"/>
    <w:rsid w:val="00A756DC"/>
    <w:rsid w:val="00A77DBA"/>
    <w:rsid w:val="00A77E18"/>
    <w:rsid w:val="00A81E42"/>
    <w:rsid w:val="00AA060A"/>
    <w:rsid w:val="00AA0DF1"/>
    <w:rsid w:val="00AA38D8"/>
    <w:rsid w:val="00AA53A9"/>
    <w:rsid w:val="00AC4F90"/>
    <w:rsid w:val="00AE5438"/>
    <w:rsid w:val="00AF66A9"/>
    <w:rsid w:val="00B0280E"/>
    <w:rsid w:val="00B06277"/>
    <w:rsid w:val="00B11AC5"/>
    <w:rsid w:val="00B11FA3"/>
    <w:rsid w:val="00B30CF4"/>
    <w:rsid w:val="00B32B0F"/>
    <w:rsid w:val="00B45FBC"/>
    <w:rsid w:val="00B46AB4"/>
    <w:rsid w:val="00B54CDA"/>
    <w:rsid w:val="00B55D58"/>
    <w:rsid w:val="00B6643C"/>
    <w:rsid w:val="00B674B4"/>
    <w:rsid w:val="00B76709"/>
    <w:rsid w:val="00B819B3"/>
    <w:rsid w:val="00B844E4"/>
    <w:rsid w:val="00B95239"/>
    <w:rsid w:val="00B96CDE"/>
    <w:rsid w:val="00BB58BE"/>
    <w:rsid w:val="00BC26F6"/>
    <w:rsid w:val="00BC426B"/>
    <w:rsid w:val="00BE72B8"/>
    <w:rsid w:val="00BF4A10"/>
    <w:rsid w:val="00BF7CB3"/>
    <w:rsid w:val="00C00292"/>
    <w:rsid w:val="00C1394C"/>
    <w:rsid w:val="00C13D65"/>
    <w:rsid w:val="00C2103E"/>
    <w:rsid w:val="00C50D50"/>
    <w:rsid w:val="00C63D05"/>
    <w:rsid w:val="00C74491"/>
    <w:rsid w:val="00C74DB8"/>
    <w:rsid w:val="00C77CC6"/>
    <w:rsid w:val="00C85F9A"/>
    <w:rsid w:val="00C97D2D"/>
    <w:rsid w:val="00CA2488"/>
    <w:rsid w:val="00CA3A92"/>
    <w:rsid w:val="00CA7A8A"/>
    <w:rsid w:val="00CC5F75"/>
    <w:rsid w:val="00CD2A3E"/>
    <w:rsid w:val="00CD3FFD"/>
    <w:rsid w:val="00CD4BF1"/>
    <w:rsid w:val="00CF3A8E"/>
    <w:rsid w:val="00D13D33"/>
    <w:rsid w:val="00D25AA0"/>
    <w:rsid w:val="00D30EB1"/>
    <w:rsid w:val="00D33F17"/>
    <w:rsid w:val="00D360CA"/>
    <w:rsid w:val="00D364FA"/>
    <w:rsid w:val="00D4570B"/>
    <w:rsid w:val="00D55F09"/>
    <w:rsid w:val="00D84E2C"/>
    <w:rsid w:val="00D84FF3"/>
    <w:rsid w:val="00D865A8"/>
    <w:rsid w:val="00D94478"/>
    <w:rsid w:val="00DA570B"/>
    <w:rsid w:val="00DC1BE7"/>
    <w:rsid w:val="00DD512B"/>
    <w:rsid w:val="00DE482A"/>
    <w:rsid w:val="00DF199D"/>
    <w:rsid w:val="00DF5D49"/>
    <w:rsid w:val="00E02CFC"/>
    <w:rsid w:val="00E06C57"/>
    <w:rsid w:val="00E16242"/>
    <w:rsid w:val="00E17CAD"/>
    <w:rsid w:val="00E20989"/>
    <w:rsid w:val="00E30907"/>
    <w:rsid w:val="00E3413A"/>
    <w:rsid w:val="00E64A21"/>
    <w:rsid w:val="00E72368"/>
    <w:rsid w:val="00E8044B"/>
    <w:rsid w:val="00E818C9"/>
    <w:rsid w:val="00EA45E1"/>
    <w:rsid w:val="00EA51B2"/>
    <w:rsid w:val="00EC13FD"/>
    <w:rsid w:val="00EC4DAD"/>
    <w:rsid w:val="00EF39FF"/>
    <w:rsid w:val="00F03AA9"/>
    <w:rsid w:val="00F04BFA"/>
    <w:rsid w:val="00F128F9"/>
    <w:rsid w:val="00F241D7"/>
    <w:rsid w:val="00F25C4C"/>
    <w:rsid w:val="00F40CAE"/>
    <w:rsid w:val="00F44055"/>
    <w:rsid w:val="00F45D0C"/>
    <w:rsid w:val="00F51EBC"/>
    <w:rsid w:val="00F9340A"/>
    <w:rsid w:val="00F963C8"/>
    <w:rsid w:val="00FA0DD1"/>
    <w:rsid w:val="00FB1088"/>
    <w:rsid w:val="00FB4E3B"/>
    <w:rsid w:val="00FB760F"/>
    <w:rsid w:val="00FD030B"/>
    <w:rsid w:val="00FE6624"/>
    <w:rsid w:val="00FF03F9"/>
    <w:rsid w:val="00FF5F04"/>
    <w:rsid w:val="00FF602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4151E7C"/>
  <w15:docId w15:val="{54DE1953-47B3-4BAA-93A6-E88B1E75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table" w:customStyle="1" w:styleId="11">
    <w:name w:val="网格型1"/>
    <w:basedOn w:val="a1"/>
    <w:next w:val="a7"/>
    <w:uiPriority w:val="39"/>
    <w:qFormat/>
    <w:rsid w:val="000847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084784"/>
    <w:rPr>
      <w:color w:val="0000FF" w:themeColor="hyperlink"/>
      <w:u w:val="single"/>
    </w:rPr>
  </w:style>
  <w:style w:type="paragraph" w:styleId="af0">
    <w:name w:val="footnote text"/>
    <w:basedOn w:val="a"/>
    <w:link w:val="af1"/>
    <w:uiPriority w:val="99"/>
    <w:semiHidden/>
    <w:unhideWhenUsed/>
    <w:rsid w:val="00084784"/>
    <w:pPr>
      <w:snapToGrid w:val="0"/>
      <w:jc w:val="left"/>
    </w:pPr>
    <w:rPr>
      <w:sz w:val="18"/>
      <w:szCs w:val="18"/>
    </w:rPr>
  </w:style>
  <w:style w:type="character" w:customStyle="1" w:styleId="af1">
    <w:name w:val="脚注文本 字符"/>
    <w:basedOn w:val="a0"/>
    <w:link w:val="af0"/>
    <w:uiPriority w:val="99"/>
    <w:semiHidden/>
    <w:rsid w:val="00084784"/>
    <w:rPr>
      <w:sz w:val="18"/>
      <w:szCs w:val="18"/>
    </w:rPr>
  </w:style>
  <w:style w:type="character" w:styleId="af2">
    <w:name w:val="footnote reference"/>
    <w:basedOn w:val="a0"/>
    <w:uiPriority w:val="99"/>
    <w:semiHidden/>
    <w:unhideWhenUsed/>
    <w:rsid w:val="00084784"/>
    <w:rPr>
      <w:vertAlign w:val="superscript"/>
    </w:rPr>
  </w:style>
  <w:style w:type="paragraph" w:styleId="TOC1">
    <w:name w:val="toc 1"/>
    <w:basedOn w:val="a"/>
    <w:next w:val="a"/>
    <w:autoRedefine/>
    <w:uiPriority w:val="39"/>
    <w:unhideWhenUsed/>
    <w:rsid w:val="00084784"/>
    <w:pPr>
      <w:tabs>
        <w:tab w:val="left" w:pos="426"/>
        <w:tab w:val="right" w:leader="dot" w:pos="9628"/>
      </w:tabs>
    </w:pPr>
    <w:rPr>
      <w:rFonts w:ascii="Times New Roman" w:hAnsi="Times New Roman" w:cs="Times New Roman"/>
      <w:b/>
      <w:noProof/>
      <w:sz w:val="24"/>
      <w:szCs w:val="24"/>
    </w:rPr>
  </w:style>
  <w:style w:type="paragraph" w:styleId="TOC2">
    <w:name w:val="toc 2"/>
    <w:basedOn w:val="a"/>
    <w:next w:val="a"/>
    <w:autoRedefine/>
    <w:uiPriority w:val="39"/>
    <w:unhideWhenUsed/>
    <w:rsid w:val="00084784"/>
    <w:pPr>
      <w:ind w:leftChars="200" w:left="420"/>
    </w:pPr>
  </w:style>
  <w:style w:type="character" w:styleId="af3">
    <w:name w:val="line number"/>
    <w:uiPriority w:val="99"/>
    <w:unhideWhenUsed/>
    <w:rsid w:val="00C00292"/>
    <w:rPr>
      <w:rFonts w:ascii="Times New Roman" w:hAnsi="Times New Roman" w:cs="Times New Roman"/>
    </w:rPr>
  </w:style>
  <w:style w:type="paragraph" w:customStyle="1" w:styleId="TableParagraph">
    <w:name w:val="Table Paragraph"/>
    <w:basedOn w:val="a"/>
    <w:uiPriority w:val="1"/>
    <w:qFormat/>
    <w:rsid w:val="00397B2E"/>
    <w:pPr>
      <w:autoSpaceDE w:val="0"/>
      <w:autoSpaceDN w:val="0"/>
      <w:adjustRightInd w:val="0"/>
      <w:jc w:val="left"/>
    </w:pPr>
    <w:rPr>
      <w:rFonts w:ascii="Times New Roman" w:hAnsi="Times New Roman" w:cs="Times New Roman"/>
      <w:kern w:val="0"/>
      <w:sz w:val="24"/>
      <w:szCs w:val="24"/>
    </w:rPr>
  </w:style>
  <w:style w:type="paragraph" w:styleId="TOC3">
    <w:name w:val="toc 3"/>
    <w:basedOn w:val="a"/>
    <w:next w:val="a"/>
    <w:autoRedefine/>
    <w:uiPriority w:val="39"/>
    <w:unhideWhenUsed/>
    <w:rsid w:val="00CC5F75"/>
    <w:pPr>
      <w:ind w:leftChars="400" w:left="840"/>
    </w:pPr>
  </w:style>
  <w:style w:type="character" w:styleId="af4">
    <w:name w:val="annotation reference"/>
    <w:basedOn w:val="a0"/>
    <w:uiPriority w:val="99"/>
    <w:semiHidden/>
    <w:unhideWhenUsed/>
    <w:rsid w:val="006C177D"/>
    <w:rPr>
      <w:sz w:val="21"/>
      <w:szCs w:val="21"/>
    </w:rPr>
  </w:style>
  <w:style w:type="paragraph" w:styleId="af5">
    <w:name w:val="annotation text"/>
    <w:basedOn w:val="a"/>
    <w:link w:val="af6"/>
    <w:uiPriority w:val="99"/>
    <w:semiHidden/>
    <w:unhideWhenUsed/>
    <w:rsid w:val="006C177D"/>
    <w:pPr>
      <w:jc w:val="left"/>
    </w:pPr>
  </w:style>
  <w:style w:type="character" w:customStyle="1" w:styleId="af6">
    <w:name w:val="批注文字 字符"/>
    <w:basedOn w:val="a0"/>
    <w:link w:val="af5"/>
    <w:uiPriority w:val="99"/>
    <w:semiHidden/>
    <w:rsid w:val="006C177D"/>
  </w:style>
  <w:style w:type="paragraph" w:styleId="af7">
    <w:name w:val="annotation subject"/>
    <w:basedOn w:val="af5"/>
    <w:next w:val="af5"/>
    <w:link w:val="af8"/>
    <w:uiPriority w:val="99"/>
    <w:semiHidden/>
    <w:unhideWhenUsed/>
    <w:rsid w:val="006C177D"/>
    <w:rPr>
      <w:b/>
      <w:bCs/>
    </w:rPr>
  </w:style>
  <w:style w:type="character" w:customStyle="1" w:styleId="af8">
    <w:name w:val="批注主题 字符"/>
    <w:basedOn w:val="af6"/>
    <w:link w:val="af7"/>
    <w:uiPriority w:val="99"/>
    <w:semiHidden/>
    <w:rsid w:val="006C1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da.gov/drugs/guidance-compliance-regulatory-information/guidances-drugs" TargetMode="Externa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CDRHProductJurisdiction@fda.hhs.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s://www.fda.gov/medical-devices/device-advice-comprehensive-regulatory-assistance/guidance-documents-medical-devices-and-radiation-emitting-products"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da.gov/vaccines-blood-biologics/guidance-compliance-regulatory-information-biologics/biologics-guidan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65306;//www.fda.gov/international-programs/international-arrangements/mutual-recognition-agreement-mra" TargetMode="External"/><Relationship Id="rId2" Type="http://schemas.openxmlformats.org/officeDocument/2006/relationships/hyperlink" Target="https://www.fda.gov/drugs/electronic-regulatory-submission-and-review/electronic-common-technical-document-ectd" TargetMode="External"/><Relationship Id="rId1" Type="http://schemas.openxmlformats.org/officeDocument/2006/relationships/hyperlink" Target="https://www.fda.gov/regulatory-information/search-fda-guidance-documen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83A5-DDC3-4756-AFB5-5825B8A8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214</cp:revision>
  <dcterms:created xsi:type="dcterms:W3CDTF">2019-03-25T05:36:00Z</dcterms:created>
  <dcterms:modified xsi:type="dcterms:W3CDTF">2022-10-10T01:48:00Z</dcterms:modified>
</cp:coreProperties>
</file>