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Bdr>
          <w:bottom w:val="single" w:color="auto" w:sz="2" w:space="1"/>
        </w:pBdr>
        <w:spacing w:before="156" w:beforeLines="50" w:after="156" w:afterLines="50"/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24" w:name="_GoBack"/>
      <w:r>
        <w:rPr>
          <w:rFonts w:ascii="Times New Roman" w:hAnsi="Times New Roman" w:cs="Times New Roman"/>
          <w:b/>
          <w:bCs/>
          <w:sz w:val="52"/>
          <w:szCs w:val="52"/>
        </w:rPr>
        <w:t>FDA和行业针对上市前通知（510（K））</w:t>
      </w:r>
      <w:r>
        <w:rPr>
          <w:rFonts w:hint="eastAsia" w:ascii="Times New Roman" w:hAnsi="Times New Roman" w:cs="Times New Roman"/>
          <w:b/>
          <w:bCs/>
          <w:sz w:val="52"/>
          <w:szCs w:val="52"/>
        </w:rPr>
        <w:t>申请</w:t>
      </w:r>
      <w:r>
        <w:rPr>
          <w:rFonts w:ascii="Times New Roman" w:hAnsi="Times New Roman" w:cs="Times New Roman"/>
          <w:b/>
          <w:bCs/>
          <w:sz w:val="52"/>
          <w:szCs w:val="52"/>
        </w:rPr>
        <w:t>采取的</w:t>
      </w:r>
      <w:r>
        <w:rPr>
          <w:rFonts w:hint="eastAsia" w:ascii="Times New Roman" w:hAnsi="Times New Roman" w:cs="Times New Roman"/>
          <w:b/>
          <w:bCs/>
          <w:sz w:val="52"/>
          <w:szCs w:val="52"/>
        </w:rPr>
        <w:t>行动：</w:t>
      </w:r>
      <w:r>
        <w:rPr>
          <w:rFonts w:ascii="Times New Roman" w:hAnsi="Times New Roman" w:cs="Times New Roman"/>
          <w:b/>
          <w:bCs/>
          <w:sz w:val="52"/>
          <w:szCs w:val="52"/>
        </w:rPr>
        <w:t>对FDA审评程序和目标的影响</w:t>
      </w:r>
    </w:p>
    <w:p>
      <w:pPr>
        <w:spacing w:before="156" w:beforeLines="50" w:after="156" w:afterLines="5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>行业和美国食品药品监督管理局工作人员指南</w:t>
      </w:r>
    </w:p>
    <w:bookmarkEnd w:id="24"/>
    <w:p>
      <w:pPr>
        <w:spacing w:before="156" w:beforeLines="50" w:after="156" w:afterLines="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文件发布日期：2017年10月2日</w:t>
      </w:r>
    </w:p>
    <w:p>
      <w:pPr>
        <w:spacing w:before="156" w:beforeLines="50" w:after="156" w:afterLines="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文件最初发布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日期：</w:t>
      </w:r>
      <w:r>
        <w:rPr>
          <w:rFonts w:ascii="Times New Roman" w:hAnsi="Times New Roman" w:cs="Times New Roman"/>
          <w:b/>
          <w:bCs/>
          <w:sz w:val="24"/>
          <w:szCs w:val="24"/>
        </w:rPr>
        <w:t>2004年5月21日</w:t>
      </w:r>
    </w:p>
    <w:p>
      <w:pPr>
        <w:spacing w:before="156" w:beforeLines="50" w:after="156" w:afterLines="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本文件取代2012年10月15日发布的</w:t>
      </w:r>
      <w:r>
        <w:rPr>
          <w:rFonts w:ascii="宋体" w:hAnsi="宋体" w:eastAsia="宋体" w:cs="Times New Roman"/>
          <w:b/>
          <w:bCs/>
          <w:sz w:val="24"/>
          <w:szCs w:val="24"/>
        </w:rPr>
        <w:t>“</w:t>
      </w:r>
      <w:r>
        <w:rPr>
          <w:rFonts w:ascii="Times New Roman" w:hAnsi="Times New Roman" w:cs="Times New Roman"/>
          <w:b/>
          <w:bCs/>
          <w:sz w:val="24"/>
          <w:szCs w:val="24"/>
        </w:rPr>
        <w:t>FDA和行业针对上市前通知（510（k））：对FDA审评时间和目标的影响采取的措施</w:t>
      </w:r>
      <w:r>
        <w:rPr>
          <w:rFonts w:ascii="宋体" w:hAnsi="宋体" w:eastAsia="宋体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sz w:val="24"/>
          <w:szCs w:val="24"/>
        </w:rPr>
        <w:t>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如</w:t>
      </w:r>
      <w:r>
        <w:rPr>
          <w:rFonts w:ascii="Times New Roman" w:hAnsi="Times New Roman" w:cs="Times New Roman"/>
          <w:sz w:val="24"/>
          <w:szCs w:val="24"/>
        </w:rPr>
        <w:t>对本文件中医疗器械和放射健康中心（CDRH）监管的器械</w:t>
      </w:r>
      <w:r>
        <w:rPr>
          <w:rFonts w:hint="eastAsia" w:ascii="Times New Roman" w:hAnsi="Times New Roman" w:cs="Times New Roman"/>
          <w:sz w:val="24"/>
          <w:szCs w:val="24"/>
        </w:rPr>
        <w:t>有</w:t>
      </w:r>
      <w:r>
        <w:rPr>
          <w:rFonts w:ascii="Times New Roman" w:hAnsi="Times New Roman" w:cs="Times New Roman"/>
          <w:sz w:val="24"/>
          <w:szCs w:val="24"/>
        </w:rPr>
        <w:t>任何疑问，请致电510（k）程序（301）796-5640，或发送电子邮件至</w:t>
      </w:r>
      <w:r>
        <w:fldChar w:fldCharType="begin"/>
      </w:r>
      <w:r>
        <w:instrText xml:space="preserve"> HYPERLINK "邮箱：510k_program@fda.hhs.gov"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510k_program@fda.hhs.gov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如对</w:t>
      </w:r>
      <w:r>
        <w:rPr>
          <w:rFonts w:ascii="Times New Roman" w:hAnsi="Times New Roman" w:cs="Times New Roman"/>
          <w:sz w:val="24"/>
          <w:szCs w:val="24"/>
        </w:rPr>
        <w:t>本文件中CBER监管的器械</w:t>
      </w:r>
      <w:r>
        <w:rPr>
          <w:rFonts w:hint="eastAsia" w:ascii="Times New Roman" w:hAnsi="Times New Roman" w:cs="Times New Roman"/>
          <w:sz w:val="24"/>
          <w:szCs w:val="24"/>
        </w:rPr>
        <w:t>有</w:t>
      </w:r>
      <w:r>
        <w:rPr>
          <w:rFonts w:ascii="Times New Roman" w:hAnsi="Times New Roman" w:cs="Times New Roman"/>
          <w:sz w:val="24"/>
          <w:szCs w:val="24"/>
        </w:rPr>
        <w:t>任何疑问，请致电1-800-835-4709或240-402-8010联系</w:t>
      </w:r>
      <w:r>
        <w:rPr>
          <w:rFonts w:hint="eastAsia" w:ascii="Times New Roman" w:hAnsi="Times New Roman" w:cs="Times New Roman"/>
          <w:sz w:val="24"/>
          <w:szCs w:val="24"/>
        </w:rPr>
        <w:t>通信</w:t>
      </w:r>
      <w:r>
        <w:rPr>
          <w:rFonts w:ascii="Times New Roman" w:hAnsi="Times New Roman" w:cs="Times New Roman"/>
          <w:sz w:val="24"/>
          <w:szCs w:val="24"/>
        </w:rPr>
        <w:t>、外联和发展办公室（OCOD）。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</w:p>
    <w:tbl>
      <w:tblPr>
        <w:tblStyle w:val="29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62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drawing>
                <wp:inline distT="0" distB="0" distL="0" distR="0">
                  <wp:extent cx="2179320" cy="472440"/>
                  <wp:effectExtent l="19050" t="0" r="0" b="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320" cy="472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>
            <w:pPr>
              <w:jc w:val="right"/>
              <w:rPr>
                <w:rFonts w:ascii="Times New Roman" w:hAnsi="Times New Roman" w:cs="Times New Roman"/>
                <w:b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szCs w:val="15"/>
              </w:rPr>
              <w:t>美国卫生与公众服务部</w:t>
            </w:r>
          </w:p>
          <w:p>
            <w:pPr>
              <w:jc w:val="right"/>
              <w:rPr>
                <w:rFonts w:ascii="Times New Roman" w:hAnsi="Times New Roman" w:cs="Times New Roman"/>
                <w:b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szCs w:val="15"/>
              </w:rPr>
              <w:t>美国食品药品监督管理局</w:t>
            </w:r>
          </w:p>
          <w:p>
            <w:pPr>
              <w:jc w:val="right"/>
              <w:rPr>
                <w:rFonts w:ascii="Times New Roman" w:hAnsi="Times New Roman" w:cs="Times New Roman"/>
                <w:b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szCs w:val="15"/>
              </w:rPr>
              <w:t>医疗器械和放射健康中心</w:t>
            </w:r>
          </w:p>
          <w:p>
            <w:pPr>
              <w:jc w:val="right"/>
              <w:rPr>
                <w:rFonts w:ascii="Times New Roman" w:hAnsi="Times New Roman" w:cs="Times New Roman"/>
                <w:b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szCs w:val="15"/>
              </w:rPr>
              <w:t>生物制品评价和研究中心</w:t>
            </w:r>
          </w:p>
        </w:tc>
      </w:tr>
    </w:tbl>
    <w:p>
      <w:pPr>
        <w:widowControl/>
        <w:jc w:val="left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br w:type="page"/>
      </w:r>
    </w:p>
    <w:p>
      <w:pPr>
        <w:spacing w:before="156" w:beforeLines="50" w:after="156" w:afterLines="5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前言</w:t>
      </w: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公众意见</w:t>
      </w: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bookmarkStart w:id="0" w:name="_Hlk99439541"/>
      <w:r>
        <w:rPr>
          <w:sz w:val="24"/>
          <w:szCs w:val="24"/>
        </w:rPr>
        <w:t>电子版意见和建议可随时提交至</w:t>
      </w:r>
      <w:r>
        <w:rPr>
          <w:sz w:val="20"/>
          <w:szCs w:val="20"/>
        </w:rPr>
        <w:fldChar w:fldCharType="begin"/>
      </w:r>
      <w:r>
        <w:instrText xml:space="preserve"> HYPERLINK "http://www.regulations.gov/" </w:instrText>
      </w:r>
      <w:r>
        <w:rPr>
          <w:sz w:val="20"/>
          <w:szCs w:val="20"/>
        </w:rPr>
        <w:fldChar w:fldCharType="separate"/>
      </w:r>
      <w:r>
        <w:rPr>
          <w:rStyle w:val="12"/>
          <w:sz w:val="24"/>
          <w:szCs w:val="24"/>
        </w:rPr>
        <w:t>http://www.regulations.gov</w:t>
      </w:r>
      <w:r>
        <w:rPr>
          <w:rStyle w:val="12"/>
          <w:sz w:val="24"/>
          <w:szCs w:val="24"/>
        </w:rPr>
        <w:fldChar w:fldCharType="end"/>
      </w:r>
      <w:r>
        <w:rPr>
          <w:sz w:val="24"/>
          <w:szCs w:val="24"/>
        </w:rPr>
        <w:t>，供</w:t>
      </w:r>
      <w:r>
        <w:rPr>
          <w:szCs w:val="24"/>
        </w:rPr>
        <w:t>FDA审议</w:t>
      </w:r>
      <w:r>
        <w:rPr>
          <w:sz w:val="24"/>
          <w:szCs w:val="24"/>
        </w:rPr>
        <w:t>。可将书面意见提交至：美国食品药品监督管理局备案文件管理部（5630 Fishers Lane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Room 1061</w:t>
      </w:r>
      <w:r>
        <w:rPr>
          <w:rFonts w:hint="eastAsia"/>
          <w:sz w:val="24"/>
          <w:szCs w:val="24"/>
        </w:rPr>
        <w:t>，（</w:t>
      </w:r>
      <w:r>
        <w:rPr>
          <w:sz w:val="24"/>
          <w:szCs w:val="24"/>
        </w:rPr>
        <w:t>HFA-305</w:t>
      </w:r>
      <w:r>
        <w:rPr>
          <w:rFonts w:hint="eastAsia"/>
          <w:sz w:val="24"/>
          <w:szCs w:val="24"/>
        </w:rPr>
        <w:t>），</w:t>
      </w:r>
      <w:r>
        <w:rPr>
          <w:sz w:val="24"/>
          <w:szCs w:val="24"/>
        </w:rPr>
        <w:t>Rockville，MD 20852）。所有意见均应注明备案文件编号</w:t>
      </w:r>
      <w:r>
        <w:rPr>
          <w:rFonts w:ascii="Times New Roman" w:hAnsi="Times New Roman" w:cs="Times New Roman"/>
          <w:sz w:val="24"/>
          <w:szCs w:val="24"/>
        </w:rPr>
        <w:t>FDA-2003-D-0033</w:t>
      </w:r>
      <w:r>
        <w:rPr>
          <w:sz w:val="24"/>
          <w:szCs w:val="24"/>
        </w:rPr>
        <w:t>。下次修订或更新本文件前，FDA可能不会对意见采取行动。</w:t>
      </w:r>
      <w:bookmarkEnd w:id="0"/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b/>
          <w:sz w:val="32"/>
          <w:szCs w:val="32"/>
        </w:rPr>
      </w:pPr>
      <w:r>
        <w:rPr>
          <w:rFonts w:hint="eastAsia" w:ascii="Times New Roman" w:hAnsi="Times New Roman" w:cs="Times New Roman"/>
          <w:b/>
          <w:bCs/>
          <w:sz w:val="32"/>
          <w:szCs w:val="32"/>
        </w:rPr>
        <w:t>更多</w:t>
      </w:r>
      <w:r>
        <w:rPr>
          <w:rFonts w:ascii="Times New Roman" w:hAnsi="Times New Roman" w:cs="Times New Roman"/>
          <w:b/>
          <w:bCs/>
          <w:sz w:val="32"/>
          <w:szCs w:val="32"/>
        </w:rPr>
        <w:t>副本</w:t>
      </w: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医疗器械和放射健康中心（CDRH）</w:t>
      </w:r>
    </w:p>
    <w:p>
      <w:pPr>
        <w:shd w:val="clear" w:color="auto" w:fill="FFFFFF"/>
        <w:snapToGrid w:val="0"/>
        <w:rPr>
          <w:rFonts w:eastAsia="宋体"/>
          <w:sz w:val="24"/>
          <w:szCs w:val="24"/>
        </w:rPr>
      </w:pPr>
      <w:bookmarkStart w:id="1" w:name="_Hlk99439567"/>
      <w:r>
        <w:rPr>
          <w:sz w:val="24"/>
          <w:szCs w:val="24"/>
        </w:rPr>
        <w:t>更多副本可通过互联网获取。贵司也可以通过电子邮件发送请求至</w:t>
      </w:r>
      <w:r>
        <w:rPr>
          <w:sz w:val="20"/>
          <w:szCs w:val="20"/>
        </w:rPr>
        <w:fldChar w:fldCharType="begin"/>
      </w:r>
      <w:r>
        <w:instrText xml:space="preserve"> HYPERLINK "mailto:CDRH-Guidance@fda.hhs.gov" </w:instrText>
      </w:r>
      <w:r>
        <w:rPr>
          <w:sz w:val="20"/>
          <w:szCs w:val="20"/>
        </w:rPr>
        <w:fldChar w:fldCharType="separate"/>
      </w:r>
      <w:r>
        <w:rPr>
          <w:rStyle w:val="12"/>
          <w:sz w:val="24"/>
          <w:szCs w:val="24"/>
        </w:rPr>
        <w:t>CDRH-Guidance@fda.hhs.gov</w:t>
      </w:r>
      <w:r>
        <w:rPr>
          <w:rStyle w:val="12"/>
          <w:sz w:val="24"/>
          <w:szCs w:val="24"/>
        </w:rPr>
        <w:fldChar w:fldCharType="end"/>
      </w:r>
      <w:r>
        <w:rPr>
          <w:sz w:val="24"/>
          <w:szCs w:val="24"/>
        </w:rPr>
        <w:t>获取本指南的副本。请在申请中提供文件编号</w:t>
      </w:r>
      <w:r>
        <w:rPr>
          <w:rFonts w:ascii="Times New Roman" w:hAnsi="Times New Roman" w:cs="Times New Roman"/>
          <w:sz w:val="24"/>
          <w:szCs w:val="24"/>
        </w:rPr>
        <w:t>1219</w:t>
      </w:r>
      <w:r>
        <w:rPr>
          <w:sz w:val="24"/>
          <w:szCs w:val="24"/>
        </w:rPr>
        <w:t>和完整的指南标题。</w:t>
      </w:r>
      <w:bookmarkEnd w:id="1"/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生物制品评价和研究中心（CBER）</w:t>
      </w: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可向生物制品评价和研究中心（CBER）</w:t>
      </w:r>
      <w:r>
        <w:rPr>
          <w:rFonts w:hint="eastAsia" w:ascii="Times New Roman" w:hAnsi="Times New Roman" w:cs="Times New Roman"/>
          <w:sz w:val="24"/>
          <w:szCs w:val="24"/>
        </w:rPr>
        <w:t>通信</w:t>
      </w:r>
      <w:r>
        <w:rPr>
          <w:rFonts w:ascii="Times New Roman" w:hAnsi="Times New Roman" w:cs="Times New Roman"/>
          <w:sz w:val="24"/>
          <w:szCs w:val="24"/>
        </w:rPr>
        <w:t>、外联和发展办公室（OCOD，地址：马里兰州银泉市新罕布什尔大道WO71号10903号3128室，邮编：20903）发出书面请求，以获取</w:t>
      </w:r>
      <w:r>
        <w:rPr>
          <w:rFonts w:hint="eastAsia" w:ascii="Times New Roman" w:hAnsi="Times New Roman" w:cs="Times New Roman"/>
          <w:sz w:val="24"/>
          <w:szCs w:val="24"/>
        </w:rPr>
        <w:t>更多</w:t>
      </w:r>
      <w:r>
        <w:rPr>
          <w:rFonts w:ascii="Times New Roman" w:hAnsi="Times New Roman" w:cs="Times New Roman"/>
          <w:sz w:val="24"/>
          <w:szCs w:val="24"/>
        </w:rPr>
        <w:t>副本，或致电1-800-835-4709或240-402-8010或发送邮件至</w:t>
      </w:r>
      <w:r>
        <w:fldChar w:fldCharType="begin"/>
      </w:r>
      <w:r>
        <w:instrText xml:space="preserve"> HYPERLINK "电子邮箱：ocod@fda.hhs.gov"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ocod@fda.hhs.gov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或访问互联网</w:t>
      </w:r>
      <w:r>
        <w:fldChar w:fldCharType="begin"/>
      </w:r>
      <w:r>
        <w:instrText xml:space="preserve"> HYPERLINK "https://www.fda.gov/BiologicsBloodVaccines/GuidanceComplianceRegulatory%20Information/Guidances/default.htm"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https://www.fda.gov/BiologicsBloodVaccines/GuidanceComplianceRegulatory</w:t>
      </w:r>
      <w:r>
        <w:rPr>
          <w:rStyle w:val="12"/>
          <w:rFonts w:hint="eastAsia" w:ascii="Times New Roman" w:hAnsi="Times New Roman" w:cs="Times New Roman"/>
          <w:sz w:val="24"/>
          <w:szCs w:val="24"/>
        </w:rPr>
        <w:t xml:space="preserve"> </w:t>
      </w:r>
      <w:r>
        <w:rPr>
          <w:rStyle w:val="12"/>
          <w:rFonts w:ascii="Times New Roman" w:hAnsi="Times New Roman" w:cs="Times New Roman"/>
          <w:sz w:val="24"/>
          <w:szCs w:val="24"/>
        </w:rPr>
        <w:t>Information/Guidances/default.htm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，以获取</w:t>
      </w:r>
      <w:r>
        <w:rPr>
          <w:rFonts w:hint="eastAsia" w:ascii="Times New Roman" w:hAnsi="Times New Roman" w:cs="Times New Roman"/>
          <w:sz w:val="24"/>
          <w:szCs w:val="24"/>
        </w:rPr>
        <w:t>更多</w:t>
      </w:r>
      <w:r>
        <w:rPr>
          <w:rFonts w:ascii="Times New Roman" w:hAnsi="Times New Roman" w:cs="Times New Roman"/>
          <w:sz w:val="24"/>
          <w:szCs w:val="24"/>
        </w:rPr>
        <w:t>副本。</w:t>
      </w:r>
    </w:p>
    <w:p>
      <w:pPr>
        <w:widowControl/>
        <w:jc w:val="left"/>
        <w:rPr>
          <w:rFonts w:ascii="Times New Roman" w:hAnsi="Times New Roman" w:cs="Times New Roman"/>
          <w:szCs w:val="15"/>
        </w:rPr>
      </w:pPr>
      <w:r>
        <w:rPr>
          <w:rFonts w:ascii="Times New Roman" w:hAnsi="Times New Roman" w:cs="Times New Roman"/>
          <w:szCs w:val="15"/>
        </w:rPr>
        <w:br w:type="page"/>
      </w:r>
    </w:p>
    <w:p>
      <w:pPr>
        <w:spacing w:before="156" w:beforeLines="50" w:after="156" w:afterLines="5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目录</w:t>
      </w:r>
    </w:p>
    <w:p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TOC \o "1-3" \h \z \u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fldChar w:fldCharType="begin"/>
      </w:r>
      <w:r>
        <w:instrText xml:space="preserve"> HYPERLINK \l "_Toc97322212"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I.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引言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_Toc97322212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6"/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"_Toc97322213"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II.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适用范围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_Toc97322213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6"/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"_Toc97322214"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III.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FDA措施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_Toc97322214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"_Toc97322215"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发布声明宣布器械实质等同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_Toc97322215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"_Toc97322216"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发布声明宣布器械非实质等同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_Toc97322216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"_Toc97322217"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额外信息请求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_Toc97322217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"_Toc97322218"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通知提交人并不需要510（k）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_Toc97322218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2"/>
        <w:tabs>
          <w:tab w:val="left" w:pos="126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"_Toc97322219"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非器械</w:t>
      </w:r>
      <w:r>
        <w:rPr>
          <w:rStyle w:val="12"/>
          <w:rFonts w:hint="eastAsia" w:ascii="Times New Roman" w:hAnsi="Times New Roman" w:cs="Times New Roman"/>
          <w:sz w:val="24"/>
          <w:szCs w:val="24"/>
        </w:rPr>
        <w:t>决定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_Toc97322219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2"/>
        <w:tabs>
          <w:tab w:val="left" w:pos="126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"_Toc97322220"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510（k）豁免决定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_Toc97322220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"_Toc97322221"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发布撤回通知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_Toc97322221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6"/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"_Toc97322222"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IV.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MDUFA III的绩效目标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_Toc97322222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6"/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"_Toc97322223"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V.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 xml:space="preserve"> MDUFA IV的510（k）绩效目标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_Toc97322223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"_Toc97322224"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提交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_Toc97322224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"_Toc97322225"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验收审评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_Toc97322225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"_Toc97322226"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实质性互动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_Toc97322226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"_Toc97322227"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 xml:space="preserve"> MDUFA IV目标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_Toc97322227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"_Toc97322228"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不符合MDUFA决定的函件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_Toc97322228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6"/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"_Toc97322229"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VI.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提交人行动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_Toc97322229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"_Toc97322230"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额外信息请求回复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_Toc97322230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"_Toc97322231"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请求撤回510（k）申请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_Toc97322231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pStyle w:val="8"/>
        <w:tabs>
          <w:tab w:val="left" w:pos="840"/>
          <w:tab w:val="right" w:leader="dot" w:pos="9628"/>
        </w:tabs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\l "_Toc97322232"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C.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12"/>
          <w:rFonts w:ascii="Times New Roman" w:hAnsi="Times New Roman" w:cs="Times New Roman"/>
          <w:sz w:val="24"/>
          <w:szCs w:val="24"/>
        </w:rPr>
        <w:t>延长额外信息请求回复期限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PAGEREF _Toc97322232 \h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>
      <w:pPr>
        <w:spacing w:before="156" w:beforeLines="50" w:after="156" w:afterLines="5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br w:type="page"/>
      </w:r>
    </w:p>
    <w:p>
      <w:pPr>
        <w:pBdr>
          <w:bottom w:val="single" w:color="auto" w:sz="2" w:space="1"/>
        </w:pBdr>
        <w:spacing w:before="156" w:beforeLines="50" w:after="156" w:afterLines="5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FDA和行业针对上市前通知（510（K））</w:t>
      </w:r>
      <w:r>
        <w:rPr>
          <w:rFonts w:hint="eastAsia" w:ascii="Times New Roman" w:hAnsi="Times New Roman" w:cs="Times New Roman"/>
          <w:b/>
          <w:bCs/>
          <w:sz w:val="44"/>
          <w:szCs w:val="44"/>
        </w:rPr>
        <w:t>申请</w:t>
      </w:r>
      <w:r>
        <w:rPr>
          <w:rFonts w:ascii="Times New Roman" w:hAnsi="Times New Roman" w:cs="Times New Roman"/>
          <w:b/>
          <w:bCs/>
          <w:sz w:val="44"/>
          <w:szCs w:val="44"/>
        </w:rPr>
        <w:t>采取的</w:t>
      </w:r>
      <w:r>
        <w:rPr>
          <w:rFonts w:hint="eastAsia" w:ascii="Times New Roman" w:hAnsi="Times New Roman" w:cs="Times New Roman"/>
          <w:b/>
          <w:bCs/>
          <w:sz w:val="44"/>
          <w:szCs w:val="44"/>
        </w:rPr>
        <w:t>行动：</w:t>
      </w:r>
      <w:r>
        <w:rPr>
          <w:rFonts w:ascii="Times New Roman" w:hAnsi="Times New Roman" w:cs="Times New Roman"/>
          <w:b/>
          <w:bCs/>
          <w:sz w:val="44"/>
          <w:szCs w:val="44"/>
        </w:rPr>
        <w:t>对FDA审评程序和目标的影响</w:t>
      </w:r>
    </w:p>
    <w:p>
      <w:pPr>
        <w:spacing w:before="156" w:beforeLines="50" w:after="156" w:afterLines="5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行业和美国食品药品监督管理局工作人员指南</w:t>
      </w:r>
    </w:p>
    <w:tbl>
      <w:tblPr>
        <w:tblStyle w:val="10"/>
        <w:tblW w:w="0" w:type="auto"/>
        <w:tblInd w:w="0" w:type="dxa"/>
        <w:tblBorders>
          <w:top w:val="thinThickSmallGap" w:color="auto" w:sz="24" w:space="0"/>
          <w:left w:val="thinThickSmallGap" w:color="auto" w:sz="24" w:space="0"/>
          <w:bottom w:val="thinThickSmallGap" w:color="auto" w:sz="24" w:space="0"/>
          <w:right w:val="thinThickSmallGap" w:color="auto" w:sz="24" w:space="0"/>
          <w:insideH w:val="thinThickSmallGap" w:color="auto" w:sz="24" w:space="0"/>
          <w:insideV w:val="thinThickSmallGap" w:color="auto" w:sz="2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4"/>
      </w:tblGrid>
      <w:tr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thinThickSmallGap" w:color="auto" w:sz="24" w:space="0"/>
            <w:insideV w:val="thinThickSmallGap" w:color="auto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</w:tcPr>
          <w:p>
            <w:pPr>
              <w:spacing w:before="156" w:beforeLines="50" w:after="156" w:afterLines="5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</w:rPr>
              <w:t>本指南代表美国食品药品监督管理局（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</w:rPr>
              <w:t>FDA</w:t>
            </w:r>
            <w:r>
              <w:rPr>
                <w:rFonts w:hint="eastAsia" w:ascii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</w:rPr>
              <w:t>）对该主题的当前看法。本文件不赋予任何人任何权利，对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</w:rPr>
              <w:t>FDA</w:t>
            </w:r>
            <w:r>
              <w:rPr>
                <w:rFonts w:hint="eastAsia" w:ascii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</w:rPr>
              <w:t>或公众不具有约束力。如果替代方法满足适用的情形和法规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</w:rPr>
              <w:t>的要求，则贵司可使用替代方法。如需讨论替代方法，请联系标题页所列负责本指南的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</w:rPr>
              <w:t>FDA</w:t>
            </w:r>
            <w:r>
              <w:rPr>
                <w:rFonts w:hint="eastAsia" w:ascii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</w:rPr>
              <w:t>工作人员或办公室。</w:t>
            </w:r>
          </w:p>
        </w:tc>
      </w:tr>
    </w:tbl>
    <w:p>
      <w:pPr>
        <w:spacing w:before="156" w:beforeLines="50" w:after="156" w:afterLines="50"/>
        <w:ind w:left="565" w:hanging="565" w:hangingChars="201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" w:name="_Toc97322212"/>
      <w:r>
        <w:rPr>
          <w:rFonts w:ascii="Times New Roman" w:hAnsi="Times New Roman" w:cs="Times New Roman"/>
          <w:b/>
          <w:bCs/>
          <w:sz w:val="28"/>
          <w:szCs w:val="28"/>
        </w:rPr>
        <w:t>I.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引言</w:t>
      </w:r>
      <w:bookmarkEnd w:id="2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《2017年</w:t>
      </w:r>
      <w:r>
        <w:rPr>
          <w:rStyle w:val="13"/>
          <w:rFonts w:ascii="Times New Roman" w:hAnsi="Times New Roman" w:cs="Times New Roman"/>
          <w:sz w:val="24"/>
          <w:szCs w:val="24"/>
        </w:rPr>
        <w:footnoteReference w:id="0"/>
      </w:r>
      <w:r>
        <w:rPr>
          <w:rFonts w:ascii="Times New Roman" w:hAnsi="Times New Roman" w:cs="Times New Roman"/>
          <w:sz w:val="24"/>
          <w:szCs w:val="24"/>
        </w:rPr>
        <w:t>医疗器械用户费用法案修正案》（MDUFA IV）修订了《联邦食品、药品和化妆品法案》（以下简称本法案），授权FDA对2017年10月1日或之后收到的包括上市前提交和上市前通知提交（510（k）s）的审评收取用户费用。从用户费用中获得的额外资金将使FDA能够与行业合作，进而改进器械审评流程，以满足一定绩效目标，并改进医疗器械审评流程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绩效目标最初根据收录于2003-2007财年的《2002年</w:t>
      </w:r>
      <w:r>
        <w:rPr>
          <w:rStyle w:val="13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版医疗器械用户费用和现代化法案》510（k）s（现指MDUFA I）商定。新的绩效目标和工艺改进收录于2008-2012财年《2007年</w:t>
      </w:r>
      <w:r>
        <w:rPr>
          <w:rStyle w:val="13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医疗器械用户费用法案修正案》510（k）（现指MDUFA II），随后被纳入收录于2013-2017财年《2012年</w:t>
      </w:r>
      <w:r>
        <w:rPr>
          <w:rStyle w:val="13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>医疗器械用户费用法案修正案》（MDUFA III）。对于2018-2022财年期间收录的510（k）提交，有关功能目标和工艺改进的修订，美国国会卫生与公众服务部</w:t>
      </w:r>
      <w:r>
        <w:rPr>
          <w:rStyle w:val="13"/>
          <w:rFonts w:ascii="Times New Roman" w:hAnsi="Times New Roman" w:cs="Times New Roman"/>
          <w:sz w:val="24"/>
          <w:szCs w:val="24"/>
        </w:rPr>
        <w:footnoteReference w:id="4"/>
      </w:r>
      <w:r>
        <w:rPr>
          <w:rFonts w:ascii="Times New Roman" w:hAnsi="Times New Roman" w:cs="Times New Roman"/>
          <w:sz w:val="24"/>
          <w:szCs w:val="24"/>
        </w:rPr>
        <w:t>列出了大纲（MDUFA IV承诺函），并且接下来将会进一步详述。</w:t>
      </w:r>
    </w:p>
    <w:p>
      <w:pPr>
        <w:spacing w:before="156" w:beforeLines="50" w:after="156" w:afterLines="5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156" w:beforeLines="50" w:after="156" w:afterLines="50"/>
        <w:jc w:val="center"/>
        <w:rPr>
          <w:rFonts w:ascii="Times New Roman" w:hAnsi="Times New Roman" w:cs="Times New Roman"/>
          <w:b/>
          <w:sz w:val="44"/>
          <w:szCs w:val="44"/>
        </w:rPr>
        <w:sectPr>
          <w:headerReference r:id="rId4" w:type="default"/>
          <w:pgSz w:w="11906" w:h="16838"/>
          <w:pgMar w:top="1134" w:right="1134" w:bottom="1134" w:left="1134" w:header="851" w:footer="992" w:gutter="0"/>
          <w:cols w:space="425" w:num="1"/>
          <w:docGrid w:type="lines" w:linePitch="312" w:charSpace="0"/>
        </w:sectPr>
      </w:pP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bookmarkStart w:id="3" w:name="_Hlk99545046"/>
      <w:r>
        <w:rPr>
          <w:kern w:val="0"/>
          <w:sz w:val="24"/>
        </w:rPr>
        <w:t>FDA</w:t>
      </w:r>
      <w:r>
        <w:rPr>
          <w:rFonts w:hint="eastAsia"/>
          <w:kern w:val="0"/>
          <w:sz w:val="24"/>
        </w:rPr>
        <w:t>指南文件，包括本指南，并未规定具有法律强制力的责任。相反，指南描述了</w:t>
      </w:r>
      <w:r>
        <w:rPr>
          <w:kern w:val="0"/>
          <w:sz w:val="24"/>
        </w:rPr>
        <w:t>FDA</w:t>
      </w:r>
      <w:r>
        <w:rPr>
          <w:rFonts w:hint="eastAsia"/>
          <w:kern w:val="0"/>
          <w:sz w:val="24"/>
        </w:rPr>
        <w:t>对该主题的当前看法，除非引用了具体监管或法定要求，否则应仅视为建议。</w:t>
      </w:r>
      <w:r>
        <w:rPr>
          <w:kern w:val="0"/>
          <w:sz w:val="24"/>
        </w:rPr>
        <w:t>FDA</w:t>
      </w:r>
      <w:r>
        <w:rPr>
          <w:rFonts w:hint="eastAsia"/>
          <w:kern w:val="0"/>
          <w:sz w:val="24"/>
        </w:rPr>
        <w:t>指南中使用的</w:t>
      </w:r>
      <w:r>
        <w:rPr>
          <w:rFonts w:hint="eastAsia" w:ascii="宋体" w:hAnsi="宋体"/>
          <w:kern w:val="0"/>
          <w:sz w:val="24"/>
        </w:rPr>
        <w:t>“</w:t>
      </w:r>
      <w:r>
        <w:rPr>
          <w:rFonts w:hint="eastAsia"/>
          <w:i/>
          <w:kern w:val="0"/>
          <w:sz w:val="24"/>
        </w:rPr>
        <w:t>应该（</w:t>
      </w:r>
      <w:r>
        <w:rPr>
          <w:i/>
          <w:kern w:val="0"/>
          <w:sz w:val="24"/>
        </w:rPr>
        <w:t>should</w:t>
      </w:r>
      <w:r>
        <w:rPr>
          <w:rFonts w:hint="eastAsia"/>
          <w:i/>
          <w:kern w:val="0"/>
          <w:sz w:val="24"/>
        </w:rPr>
        <w:t>）</w:t>
      </w:r>
      <w:r>
        <w:rPr>
          <w:rFonts w:hint="eastAsia" w:ascii="宋体" w:hAnsi="宋体"/>
          <w:kern w:val="0"/>
          <w:sz w:val="24"/>
        </w:rPr>
        <w:t>”</w:t>
      </w:r>
      <w:r>
        <w:rPr>
          <w:rFonts w:hint="eastAsia"/>
          <w:kern w:val="0"/>
          <w:sz w:val="24"/>
        </w:rPr>
        <w:t>一词指建议或推荐</w:t>
      </w:r>
      <w:r>
        <w:rPr>
          <w:rFonts w:hint="eastAsia"/>
          <w:kern w:val="0"/>
          <w:sz w:val="24"/>
          <w:szCs w:val="24"/>
        </w:rPr>
        <w:t>进行某一事项，并非强制要求</w:t>
      </w:r>
      <w:r>
        <w:rPr>
          <w:rFonts w:hint="eastAsia"/>
          <w:kern w:val="0"/>
          <w:sz w:val="24"/>
        </w:rPr>
        <w:t>。</w:t>
      </w:r>
      <w:bookmarkEnd w:id="3"/>
    </w:p>
    <w:p>
      <w:pPr>
        <w:spacing w:before="156" w:beforeLines="50" w:after="156" w:afterLines="50"/>
        <w:ind w:left="565" w:hanging="565" w:hangingChars="201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4" w:name="_Toc97322213"/>
      <w:r>
        <w:rPr>
          <w:rFonts w:ascii="Times New Roman" w:hAnsi="Times New Roman" w:cs="Times New Roman"/>
          <w:b/>
          <w:bCs/>
          <w:sz w:val="28"/>
          <w:szCs w:val="28"/>
        </w:rPr>
        <w:t>II.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适用范围</w:t>
      </w:r>
      <w:bookmarkEnd w:id="4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本指南文件说明了：</w:t>
      </w:r>
    </w:p>
    <w:p>
      <w:pPr>
        <w:spacing w:before="156" w:beforeLines="50" w:after="156" w:afterLines="50"/>
        <w:ind w:left="324" w:hanging="324" w:hangingChars="1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FDA针对上市前通知（510（k）s）可能采取不同的行动。</w:t>
      </w:r>
    </w:p>
    <w:p>
      <w:pPr>
        <w:spacing w:before="156" w:beforeLines="50" w:after="156" w:afterLines="50"/>
        <w:ind w:left="324" w:hanging="324" w:hangingChars="1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在收录于2013-2017财年的MDUFA III 510（k）s指导下FDA的各项行动对目标的影响。</w:t>
      </w:r>
    </w:p>
    <w:p>
      <w:pPr>
        <w:spacing w:before="156" w:beforeLines="50" w:after="156" w:afterLines="50"/>
        <w:ind w:left="324" w:hanging="324" w:hangingChars="1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在收录于2018-2022财年的MDUFA IV 510（k）s指导下FDA的各项行动对目标的影响。</w:t>
      </w:r>
    </w:p>
    <w:p>
      <w:pPr>
        <w:spacing w:before="156" w:beforeLines="50" w:after="156" w:afterLines="50"/>
        <w:ind w:left="324" w:hanging="324" w:hangingChars="1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就510（k）s采取的不同行业行动</w:t>
      </w:r>
      <w:r>
        <w:rPr>
          <w:rFonts w:hint="eastAsia" w:ascii="Times New Roman" w:hAnsi="Times New Roman" w:cs="Times New Roman"/>
          <w:sz w:val="24"/>
          <w:szCs w:val="24"/>
        </w:rPr>
        <w:t>。</w:t>
      </w:r>
    </w:p>
    <w:p>
      <w:pPr>
        <w:spacing w:before="156" w:beforeLines="50" w:after="156" w:afterLines="50"/>
        <w:ind w:left="565" w:hanging="565" w:hangingChars="201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5" w:name="_Toc97322214"/>
      <w:r>
        <w:rPr>
          <w:rFonts w:ascii="Times New Roman" w:hAnsi="Times New Roman" w:cs="Times New Roman"/>
          <w:b/>
          <w:bCs/>
          <w:sz w:val="28"/>
          <w:szCs w:val="28"/>
        </w:rPr>
        <w:t>III.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FDA措施</w:t>
      </w:r>
      <w:bookmarkEnd w:id="5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当一份510（k）提交接受了实质性审评，FDA可在进行审评之后采取申请所述的任何一项行动（21 CFR 807.100（a））。</w:t>
      </w:r>
    </w:p>
    <w:p>
      <w:pPr>
        <w:spacing w:before="156" w:beforeLines="50" w:after="156" w:afterLines="50"/>
        <w:ind w:left="324" w:hanging="324" w:hangingChars="1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发布一则声明，宣布这一器械实质上等同（实质等同性（SE））于已经合法上市的上市器械（实质等同性函件）；</w:t>
      </w:r>
    </w:p>
    <w:p>
      <w:pPr>
        <w:spacing w:before="156" w:beforeLines="50" w:after="156" w:afterLines="50"/>
        <w:ind w:left="324" w:hanging="324" w:hangingChars="1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发布一则声明，宣布这一器械实质上并不等同（非实质等同性（NSE））于任何已经合法上市的上市器械（非实质等同性函件）</w:t>
      </w:r>
    </w:p>
    <w:p>
      <w:pPr>
        <w:spacing w:before="156" w:beforeLines="50" w:after="156" w:afterLines="50"/>
        <w:ind w:left="324" w:hanging="324" w:hangingChars="1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发布对额外信息的请求（额外信息请求）</w:t>
      </w:r>
    </w:p>
    <w:p>
      <w:pPr>
        <w:spacing w:before="156" w:beforeLines="50" w:after="156" w:afterLines="50"/>
        <w:ind w:left="324" w:hanging="324" w:hangingChars="1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通知提交人并不需要提交510（k）申请（即：这一产品不在管制器械的范围内，或该器械不受本法案上市前通知要求的制约。）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此外，依照21 CFR 807.87（I），如果在发出额外信息请求后的30天之内没有收到提供的额外信息，</w:t>
      </w:r>
      <w:r>
        <w:rPr>
          <w:rFonts w:hint="eastAsia"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DA可考虑撤回510（k）。在这种情况下，FDA可能会发出撤回通知。撤回通知有时被称为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删除函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。术语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删除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用于区分21 CFR 807.87（I）指导的撤回请求和提交人对于待处理的510（k）的撤回请求</w:t>
      </w:r>
      <w:r>
        <w:rPr>
          <w:rFonts w:hint="eastAsia" w:ascii="Times New Roman" w:hAnsi="Times New Roman" w:cs="Times New Roman"/>
          <w:sz w:val="24"/>
          <w:szCs w:val="24"/>
        </w:rPr>
        <w:t>。</w:t>
      </w:r>
      <w:r>
        <w:rPr>
          <w:rFonts w:ascii="Times New Roman" w:hAnsi="Times New Roman" w:cs="Times New Roman"/>
          <w:sz w:val="24"/>
          <w:szCs w:val="24"/>
        </w:rPr>
        <w:t>请注意，FDA目前的政策是允许申办者在180天以内回复额外信息请求。参考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  <w:t xml:space="preserve"> 第III.E节</w:t>
      </w:r>
      <w:r>
        <w:rPr>
          <w:rFonts w:ascii="Times New Roman" w:hAnsi="Times New Roman" w:cs="Times New Roman"/>
          <w:color w:val="0000FF"/>
          <w:sz w:val="24"/>
          <w:szCs w:val="24"/>
        </w:rPr>
        <w:t>：发布撤回通知</w:t>
      </w:r>
      <w:r>
        <w:rPr>
          <w:rFonts w:ascii="Times New Roman" w:hAnsi="Times New Roman" w:cs="Times New Roman"/>
          <w:sz w:val="24"/>
          <w:szCs w:val="24"/>
        </w:rPr>
        <w:t>，以了解更多细节。</w:t>
      </w:r>
    </w:p>
    <w:p>
      <w:pPr>
        <w:widowControl/>
        <w:jc w:val="left"/>
        <w:rPr>
          <w:rFonts w:ascii="Times New Roman" w:hAnsi="Times New Roman" w:cs="Times New Roman"/>
          <w:szCs w:val="15"/>
        </w:rPr>
      </w:pPr>
      <w:r>
        <w:rPr>
          <w:rFonts w:ascii="Times New Roman" w:hAnsi="Times New Roman" w:cs="Times New Roman"/>
          <w:szCs w:val="15"/>
        </w:rPr>
        <w:br w:type="page"/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如MDUFA III</w:t>
      </w:r>
      <w:r>
        <w:rPr>
          <w:rStyle w:val="13"/>
          <w:rFonts w:ascii="Times New Roman" w:hAnsi="Times New Roman" w:cs="Times New Roman"/>
          <w:sz w:val="24"/>
          <w:szCs w:val="24"/>
        </w:rPr>
        <w:footnoteReference w:id="5"/>
      </w:r>
      <w:r>
        <w:rPr>
          <w:rFonts w:ascii="Times New Roman" w:hAnsi="Times New Roman" w:cs="Times New Roman"/>
          <w:sz w:val="24"/>
          <w:szCs w:val="24"/>
        </w:rPr>
        <w:t>和MDUFA IV</w:t>
      </w:r>
      <w:r>
        <w:rPr>
          <w:rStyle w:val="13"/>
          <w:rFonts w:ascii="Times New Roman" w:hAnsi="Times New Roman" w:cs="Times New Roman"/>
          <w:sz w:val="24"/>
          <w:szCs w:val="24"/>
        </w:rPr>
        <w:footnoteReference w:id="6"/>
      </w:r>
      <w:r>
        <w:rPr>
          <w:rFonts w:ascii="Times New Roman" w:hAnsi="Times New Roman" w:cs="Times New Roman"/>
          <w:sz w:val="24"/>
          <w:szCs w:val="24"/>
        </w:rPr>
        <w:t>承诺函所定义，在这些FDA的行动中，发布实质等同性函件和非实质等同性函件均视作是MDUFA的决定。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以下几节将阐述FDA可能就510（k）采取的行动，解释这些行动何时可能是适当的，讨论各项行动对审评程序的影响。</w:t>
      </w:r>
    </w:p>
    <w:p>
      <w:pPr>
        <w:spacing w:before="156" w:beforeLines="50" w:after="156" w:afterLines="50"/>
        <w:ind w:left="1133" w:leftChars="270" w:hanging="566" w:hangingChars="236"/>
        <w:jc w:val="left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6" w:name="_Toc97322215"/>
      <w:r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发布声明宣布器械实质等同</w:t>
      </w:r>
      <w:bookmarkEnd w:id="6"/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宣布这一器械是实质等同器械（实质等同性函件）的声明是向510（k）提交者发出的，说明FDA已经判定510（k）中的器械在实质上等同于已经合法上市的器械。</w:t>
      </w:r>
      <w:r>
        <w:rPr>
          <w:rStyle w:val="13"/>
          <w:rFonts w:ascii="Times New Roman" w:hAnsi="Times New Roman" w:cs="Times New Roman"/>
          <w:sz w:val="24"/>
          <w:szCs w:val="24"/>
        </w:rPr>
        <w:footnoteReference w:id="7"/>
      </w:r>
      <w:r>
        <w:rPr>
          <w:rFonts w:ascii="Times New Roman" w:hAnsi="Times New Roman" w:cs="Times New Roman"/>
          <w:sz w:val="24"/>
          <w:szCs w:val="24"/>
        </w:rPr>
        <w:t>宣布这一器械为实质等同器械的声明授权这一器械在美国（U.S）市场上销售，并受到FDA特定法律法规的管制。</w:t>
      </w: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关于判定该器械是否是实质等同器械的标准，请参考本法案第513（i）条和21 CFR 807 100（b）条。有关实质等同性判定的额外信息，可参考题为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510（k）计划：评估上市前通知中的实质等同性[510（k）]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的指南文件，网址：</w:t>
      </w:r>
      <w:r>
        <w:fldChar w:fldCharType="begin"/>
      </w:r>
      <w:r>
        <w:instrText xml:space="preserve"> HYPERLINK "https://www.fda.gov/downloads/MedicalDevices/.../UCM284443.pdf"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https://www.fda.gov/downloads/MedicalDevices/.../UCM284443.pdf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，以及题为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对510（k）器械用途的判定；医疗器械和放射健康中心（CDRH）工作人员指南（更新至K98-1）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，网址：</w:t>
      </w:r>
      <w:r>
        <w:fldChar w:fldCharType="begin"/>
      </w:r>
      <w:r>
        <w:instrText xml:space="preserve"> HYPERLINK "https://www.fda.gov/downloads/MedicalDevices/DeviceRegulationandGuidance/GuidanceDocuments/ucm082166.pdf"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https://www.fda.gov/downloads/MedicalDevices/DeviceRegulationandGuidance/GuidanceDocuments/ucm082166.pdf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。</w:t>
      </w: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审评程序截止于做出实质等同性决定后，标志着FDA审评的结束，并被视作最终行动。</w:t>
      </w:r>
    </w:p>
    <w:p>
      <w:pPr>
        <w:spacing w:before="156" w:beforeLines="50" w:after="156" w:afterLines="50"/>
        <w:ind w:left="1136" w:leftChars="270" w:hanging="569" w:hangingChars="236"/>
        <w:jc w:val="left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7" w:name="_Toc97322216"/>
      <w:r>
        <w:rPr>
          <w:rFonts w:ascii="Times New Roman" w:hAnsi="Times New Roman" w:cs="Times New Roman"/>
          <w:b/>
          <w:bCs/>
          <w:sz w:val="24"/>
          <w:szCs w:val="24"/>
        </w:rPr>
        <w:t>B.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发布声明宣布器械非实质等同</w:t>
      </w:r>
      <w:bookmarkEnd w:id="7"/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宣布这一器械是非实质等同器械的声明是向510（k）提交者发出的，说明FDA已经判定510（k）中的这一器械在实质上并不等同于已经上市的合法器械，可能不会投入美国市场进行商业流通。</w:t>
      </w:r>
    </w:p>
    <w:p>
      <w:pPr>
        <w:widowControl/>
        <w:jc w:val="left"/>
        <w:rPr>
          <w:rFonts w:ascii="Times New Roman" w:hAnsi="Times New Roman" w:cs="Times New Roman"/>
          <w:szCs w:val="15"/>
        </w:rPr>
      </w:pPr>
      <w:r>
        <w:rPr>
          <w:rFonts w:ascii="Times New Roman" w:hAnsi="Times New Roman" w:cs="Times New Roman"/>
          <w:szCs w:val="15"/>
        </w:rPr>
        <w:br w:type="page"/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一般而言，FDA在以下情况会发布非实质等同文件：</w:t>
      </w:r>
    </w:p>
    <w:p>
      <w:pPr>
        <w:spacing w:before="156" w:beforeLines="50" w:after="156" w:afterLines="50"/>
        <w:ind w:left="602" w:leftChars="134" w:hanging="321" w:hangingChars="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不存在已上市的器械；</w:t>
      </w:r>
    </w:p>
    <w:p>
      <w:pPr>
        <w:spacing w:before="156" w:beforeLines="50" w:after="156" w:afterLines="50"/>
        <w:ind w:left="602" w:leftChars="134" w:hanging="321" w:hangingChars="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与已获认可的上市器械相比，该器械有新的预期用途；</w:t>
      </w:r>
    </w:p>
    <w:p>
      <w:pPr>
        <w:spacing w:before="156" w:beforeLines="50" w:after="156" w:afterLines="50"/>
        <w:ind w:left="602" w:leftChars="134" w:hanging="321" w:hangingChars="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与既定参比器械相比，该器械有着不同的技术特征，引起了安全性和有效性方面不同的问题。</w:t>
      </w:r>
    </w:p>
    <w:p>
      <w:pPr>
        <w:spacing w:before="156" w:beforeLines="50" w:after="156" w:afterLines="50"/>
        <w:ind w:left="602" w:leftChars="134" w:hanging="321" w:hangingChars="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与既定参比器械相比，该器械有着新的使用适应症和不同的技术特征，并且没有提供允许FDA符合实质等同判定的性能数据。这可能包括不充分或者不确定的性能数据（例如：实验数据、临床数据、或者动物数据）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审评程序截止于做出非实质等同决定后，标志着FDA审评结束，并被视作最终行动。</w:t>
      </w:r>
    </w:p>
    <w:p>
      <w:pPr>
        <w:spacing w:before="156" w:beforeLines="50" w:after="156" w:afterLines="50"/>
        <w:ind w:left="1136" w:leftChars="270" w:hanging="569" w:hangingChars="236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8" w:name="_Toc97322217"/>
      <w:r>
        <w:rPr>
          <w:rFonts w:ascii="Times New Roman" w:hAnsi="Times New Roman" w:cs="Times New Roman"/>
          <w:b/>
          <w:bCs/>
          <w:sz w:val="24"/>
          <w:szCs w:val="24"/>
        </w:rPr>
        <w:t>C.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额外信息请求</w:t>
      </w:r>
      <w:bookmarkEnd w:id="8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当510（k）申请缺乏支撑</w:t>
      </w:r>
      <w:r>
        <w:rPr>
          <w:rFonts w:hint="eastAsia"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DA继续或者完成审评，以及判定该器械是否是等效器械（21 CFR 807.87）的必要信息时，FDA会发布一份额外信息请求（AI请求）。额外信息请求通过电子邮件的形式发出，并且随附一份说明缺陷的附件。</w:t>
      </w:r>
      <w:r>
        <w:rPr>
          <w:rStyle w:val="13"/>
          <w:rFonts w:ascii="Times New Roman" w:hAnsi="Times New Roman" w:cs="Times New Roman"/>
          <w:sz w:val="24"/>
          <w:szCs w:val="24"/>
        </w:rPr>
        <w:footnoteReference w:id="8"/>
      </w:r>
      <w:r>
        <w:rPr>
          <w:rFonts w:ascii="Times New Roman" w:hAnsi="Times New Roman" w:cs="Times New Roman"/>
          <w:sz w:val="24"/>
          <w:szCs w:val="24"/>
        </w:rPr>
        <w:t>这些要求是在告知提交人，510（k）被暂时搁置，直到收到一份有关所有确定缺陷的完整回复。暂停从额外信息请求发布日期开始。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通常情况下，当FDA认为提交人需要的额外信息并不适合交互式审评，并且/或者不能在合理期限内提供，FDA会发布额外信息请求（即：在这种情况下，如果提交并未被搁置，则审评会过度延期。）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额外信息请求是一种临时行动，其会停止审评程序，并标志着FDA 审评周期的结束。在相应的文件控制中心收到对所有要求的完整回复后，审评程序将重启。</w:t>
      </w:r>
    </w:p>
    <w:p>
      <w:pPr>
        <w:spacing w:before="156" w:beforeLines="50" w:after="156" w:afterLines="50"/>
        <w:ind w:left="1136" w:leftChars="270" w:hanging="569" w:hangingChars="236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9" w:name="_Toc97322218"/>
      <w:r>
        <w:rPr>
          <w:rFonts w:ascii="Times New Roman" w:hAnsi="Times New Roman" w:cs="Times New Roman"/>
          <w:b/>
          <w:bCs/>
          <w:sz w:val="24"/>
          <w:szCs w:val="24"/>
        </w:rPr>
        <w:t>D.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通知提交人并不需要510（k）</w:t>
      </w:r>
      <w:bookmarkEnd w:id="9"/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制造商有责任根据本法案、医疗器械法规和FDA发布的指南文件决定是否需要提交510（k）申请。</w:t>
      </w:r>
      <w:r>
        <w:rPr>
          <w:rFonts w:hint="eastAsia" w:ascii="Times New Roman" w:hAnsi="Times New Roman" w:cs="Times New Roman"/>
          <w:sz w:val="24"/>
          <w:szCs w:val="24"/>
        </w:rPr>
        <w:t>行业</w:t>
      </w:r>
      <w:r>
        <w:rPr>
          <w:rFonts w:ascii="Times New Roman" w:hAnsi="Times New Roman" w:cs="Times New Roman"/>
          <w:sz w:val="24"/>
          <w:szCs w:val="24"/>
        </w:rPr>
        <w:t>和消费者教育处（DICE）、项目</w:t>
      </w:r>
      <w:r>
        <w:rPr>
          <w:rFonts w:hint="eastAsia" w:ascii="Times New Roman" w:hAnsi="Times New Roman" w:cs="Times New Roman"/>
          <w:sz w:val="24"/>
          <w:szCs w:val="24"/>
        </w:rPr>
        <w:t>运行</w:t>
      </w:r>
      <w:r>
        <w:rPr>
          <w:rFonts w:ascii="Times New Roman" w:hAnsi="Times New Roman" w:cs="Times New Roman"/>
          <w:sz w:val="24"/>
          <w:szCs w:val="24"/>
        </w:rPr>
        <w:t>人员（POS）、审核部门以及CDRH器械建议网站上的产品分类资源，可以在以下网址获取：</w:t>
      </w:r>
      <w:r>
        <w:fldChar w:fldCharType="begin"/>
      </w:r>
      <w:r>
        <w:instrText xml:space="preserve"> HYPERLINK "https://www.fda.gov/MedicalDevices/DeviceRegulationandGuidance/default.htm"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https://www.fda.gov/MedicalDevices/DeviceRegulationandGuidance/default.htm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，可以帮助制造商确定该器械是否不受法规限制。制造商同样可以通过提交513（g）获取有关器械或产品的监管状态信息。有关513（g）要求的更多信息，请参考题为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FDA和行业程序基于《联邦食品、药品和化妆品法案》下的513（g）要求相关信息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的指南文件，网址：</w:t>
      </w:r>
      <w:r>
        <w:fldChar w:fldCharType="begin"/>
      </w:r>
      <w:r>
        <w:instrText xml:space="preserve"> HYPERLINK "https://www.fda.gov/downloads/medicaldevices/deviceregulationandguidance/guidancedocuments/ucm209851.pdf"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https://www.fda.gov/downloads/medicaldevices/deviceregulationandguidance/guidancedocuments/ucm209851.pdf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</w:p>
    <w:p>
      <w:pPr>
        <w:widowControl/>
        <w:jc w:val="left"/>
        <w:rPr>
          <w:rFonts w:ascii="Times New Roman" w:hAnsi="Times New Roman" w:cs="Times New Roman"/>
          <w:szCs w:val="15"/>
        </w:rPr>
      </w:pPr>
      <w:r>
        <w:rPr>
          <w:rFonts w:ascii="Times New Roman" w:hAnsi="Times New Roman" w:cs="Times New Roman"/>
          <w:szCs w:val="15"/>
        </w:rPr>
        <w:br w:type="page"/>
      </w:r>
    </w:p>
    <w:p>
      <w:pPr>
        <w:spacing w:before="156" w:beforeLines="50" w:after="156" w:afterLines="50"/>
        <w:ind w:left="1619" w:leftChars="539" w:hanging="487" w:hangingChars="202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10" w:name="_Toc97322219"/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非器械决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定</w:t>
      </w:r>
      <w:bookmarkEnd w:id="10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一份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非器械决定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的文件是通知提交人，510（k）中的产品不在</w:t>
      </w:r>
      <w:r>
        <w:rPr>
          <w:rFonts w:hint="eastAsia" w:ascii="Times New Roman" w:hAnsi="Times New Roman" w:cs="Times New Roman"/>
          <w:sz w:val="24"/>
          <w:szCs w:val="24"/>
        </w:rPr>
        <w:t>监管</w:t>
      </w:r>
      <w:r>
        <w:rPr>
          <w:rFonts w:ascii="Times New Roman" w:hAnsi="Times New Roman" w:cs="Times New Roman"/>
          <w:sz w:val="24"/>
          <w:szCs w:val="24"/>
        </w:rPr>
        <w:t>器械范围内。FDA判定510（k）申请中的产品不符合本法案201（h）条中器械的定义时，FDA应发布一份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非器械决定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hint="eastAsia" w:ascii="宋体" w:hAnsi="宋体" w:eastAsia="宋体" w:cs="Times New Roman"/>
          <w:sz w:val="24"/>
          <w:szCs w:val="24"/>
        </w:rPr>
        <w:t>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审评程序截止于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非器械决定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文件发布后，标志着FDA审评结束，并被视为是最终行动。</w:t>
      </w:r>
    </w:p>
    <w:p>
      <w:pPr>
        <w:spacing w:before="156" w:beforeLines="50" w:after="156" w:afterLines="50"/>
        <w:ind w:left="1619" w:leftChars="539" w:hanging="487" w:hangingChars="202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11" w:name="_Toc97322220"/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510（k）豁免决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定</w:t>
      </w:r>
      <w:bookmarkEnd w:id="11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一份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豁免文件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是通知510（k）提交人，510（k）申请中的器械被归类于不受本法案510（k）条中上市前通知要求限制的器械。FDA判定510（k）申请中的器械根据法规被本法案510（k）条中上市前通知要求豁免时，FDA将发布一份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豁免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文件，或者以其他方式发出通知。</w:t>
      </w:r>
      <w:r>
        <w:rPr>
          <w:rFonts w:hint="eastAsia" w:ascii="Times New Roman" w:hAnsi="Times New Roman" w:cs="Times New Roman"/>
          <w:sz w:val="24"/>
          <w:szCs w:val="24"/>
        </w:rPr>
        <w:t>“豁免行为”</w:t>
      </w:r>
      <w:r>
        <w:rPr>
          <w:rFonts w:ascii="Times New Roman" w:hAnsi="Times New Roman" w:cs="Times New Roman"/>
          <w:sz w:val="24"/>
          <w:szCs w:val="24"/>
        </w:rPr>
        <w:t>可参见21 CFR 807.20（c）和第807.65、 807.85，以及个别分类法规</w:t>
      </w:r>
      <w:r>
        <w:rPr>
          <w:rFonts w:hint="eastAsia" w:ascii="Times New Roman" w:hAnsi="Times New Roman" w:cs="Times New Roman"/>
          <w:sz w:val="24"/>
          <w:szCs w:val="24"/>
        </w:rPr>
        <w:t>（</w:t>
      </w:r>
      <w:r>
        <w:rPr>
          <w:rFonts w:ascii="Times New Roman" w:hAnsi="Times New Roman" w:cs="Times New Roman"/>
          <w:sz w:val="24"/>
          <w:szCs w:val="24"/>
        </w:rPr>
        <w:t xml:space="preserve">21 CFR </w:t>
      </w:r>
      <w:r>
        <w:rPr>
          <w:rFonts w:hint="eastAsia"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62</w:t>
      </w:r>
      <w:r>
        <w:rPr>
          <w:rFonts w:hint="eastAsia" w:ascii="Times New Roman" w:hAnsi="Times New Roman" w:cs="Times New Roman"/>
          <w:sz w:val="24"/>
          <w:szCs w:val="24"/>
        </w:rPr>
        <w:t>-8</w:t>
      </w:r>
      <w:r>
        <w:rPr>
          <w:rFonts w:ascii="Times New Roman" w:hAnsi="Times New Roman" w:cs="Times New Roman"/>
          <w:sz w:val="24"/>
          <w:szCs w:val="24"/>
        </w:rPr>
        <w:t>92</w:t>
      </w:r>
      <w:r>
        <w:rPr>
          <w:rFonts w:hint="eastAsia" w:ascii="Times New Roman" w:hAnsi="Times New Roman" w:cs="Times New Roman"/>
          <w:sz w:val="24"/>
          <w:szCs w:val="24"/>
        </w:rPr>
        <w:t>）</w:t>
      </w:r>
      <w:r>
        <w:rPr>
          <w:rFonts w:ascii="Times New Roman" w:hAnsi="Times New Roman" w:cs="Times New Roman"/>
          <w:sz w:val="24"/>
          <w:szCs w:val="24"/>
        </w:rPr>
        <w:t>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审评程序截止于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豁免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文件的发布后，标志着FDA审评结束，并被视作最终行动。</w:t>
      </w:r>
    </w:p>
    <w:p>
      <w:pPr>
        <w:spacing w:before="156" w:beforeLines="50" w:after="156" w:afterLines="50"/>
        <w:ind w:left="1136" w:leftChars="270" w:hanging="569" w:hangingChars="236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2" w:name="_Toc97322221"/>
      <w:r>
        <w:rPr>
          <w:rFonts w:ascii="Times New Roman" w:hAnsi="Times New Roman" w:cs="Times New Roman"/>
          <w:b/>
          <w:bCs/>
          <w:sz w:val="24"/>
          <w:szCs w:val="24"/>
        </w:rPr>
        <w:t>E.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发布撤回通知</w:t>
      </w:r>
      <w:bookmarkEnd w:id="12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撤回通知是告知510（k）资料提交人，FDA认为510（k）申请被撤回。（21 CFR 807.87（l））。撤回通知代表FDA决定不再继续对510（k）申请进行审评 ，因为提交人未能就额外信息请求给出及时完整的回复，以至于申请被搁置。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依照21 CFR 807.87（l），如提交人未能在30天之内对额外信息请求提供完整的回复，FDA可考虑撤回510（k）申请。以前，FDA并没有严格执行这一时间范围，并且允许提交人有额外的时间回复额外信息请求。</w:t>
      </w:r>
    </w:p>
    <w:p>
      <w:pPr>
        <w:widowControl/>
        <w:jc w:val="left"/>
        <w:rPr>
          <w:rFonts w:ascii="Times New Roman" w:hAnsi="Times New Roman" w:cs="Times New Roman"/>
          <w:szCs w:val="15"/>
        </w:rPr>
      </w:pPr>
      <w:r>
        <w:rPr>
          <w:rFonts w:ascii="Times New Roman" w:hAnsi="Times New Roman" w:cs="Times New Roman"/>
          <w:szCs w:val="15"/>
        </w:rPr>
        <w:br w:type="page"/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DA拟延续宽裕额外时间的做法，提交人可在FDA发布额外信息请求后180天内给出完整回复。如在额外信息请求发出180天内，FDA在提交给相关文件控制中心的申请中，未能收到对额外信息中涉及的所有缺陷的完整回复，510（k）申请将视为撤回。因此，提交人不需要提交延期的书面申请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由于510（k）申请在</w:t>
      </w:r>
      <w:r>
        <w:rPr>
          <w:rFonts w:hint="eastAsia"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DA发布文件时正处于待定状态，所以FDA撤回通知并不影响审评程序。通知的发布标志着FDA审评的结束，并被视为最终行动。</w:t>
      </w:r>
    </w:p>
    <w:p>
      <w:pPr>
        <w:spacing w:before="156" w:beforeLines="50" w:after="156" w:afterLines="50"/>
        <w:ind w:left="484" w:hanging="484" w:hangingChars="201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3" w:name="_Toc97322222"/>
      <w:r>
        <w:rPr>
          <w:rFonts w:ascii="Times New Roman" w:hAnsi="Times New Roman" w:cs="Times New Roman"/>
          <w:b/>
          <w:bCs/>
          <w:sz w:val="24"/>
          <w:szCs w:val="24"/>
        </w:rPr>
        <w:t>IV.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MDUFA III的绩效目标</w:t>
      </w:r>
      <w:bookmarkEnd w:id="13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2013财年到2017财年收到的510（k）申请的绩效目标（MDUFA III的时间范围）在MDUFA III承诺函中定义 </w:t>
      </w:r>
      <w:r>
        <w:rPr>
          <w:rStyle w:val="13"/>
          <w:rFonts w:ascii="Times New Roman" w:hAnsi="Times New Roman" w:cs="Times New Roman"/>
          <w:sz w:val="24"/>
          <w:szCs w:val="24"/>
        </w:rPr>
        <w:footnoteReference w:id="9"/>
      </w:r>
      <w:r>
        <w:rPr>
          <w:rFonts w:ascii="Times New Roman" w:hAnsi="Times New Roman" w:cs="Times New Roman"/>
          <w:sz w:val="24"/>
          <w:szCs w:val="24"/>
        </w:rPr>
        <w:t>。以下的</w:t>
      </w:r>
      <w:r>
        <w:rPr>
          <w:rFonts w:ascii="Times New Roman" w:hAnsi="Times New Roman" w:cs="Times New Roman"/>
          <w:color w:val="0000FF"/>
          <w:sz w:val="24"/>
          <w:szCs w:val="24"/>
        </w:rPr>
        <w:t>表1</w:t>
      </w:r>
      <w:r>
        <w:rPr>
          <w:rFonts w:ascii="Times New Roman" w:hAnsi="Times New Roman" w:cs="Times New Roman"/>
          <w:sz w:val="24"/>
          <w:szCs w:val="24"/>
        </w:rPr>
        <w:t>总结了510（k）申请的绩效目标，其中的510（k）决定包括实质等同性和非实质等同性，所有审评程序均定在FDA</w:t>
      </w:r>
      <w:r>
        <w:rPr>
          <w:rFonts w:hint="eastAsia" w:ascii="Times New Roman" w:hAnsi="Times New Roman" w:cs="Times New Roman"/>
          <w:sz w:val="24"/>
          <w:szCs w:val="24"/>
        </w:rPr>
        <w:t>自然日</w:t>
      </w:r>
      <w:r>
        <w:rPr>
          <w:rFonts w:ascii="Times New Roman" w:hAnsi="Times New Roman" w:cs="Times New Roman"/>
          <w:sz w:val="24"/>
          <w:szCs w:val="24"/>
        </w:rPr>
        <w:t>进行。绩效目标用于510（k）申请中MDUFA III的适用范围，包括实质性交互目标、MDUFA决定以及总决定时间。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实质性交互目标和MDUFA决定根据FDA日确定，MDUFA III承诺函中给出了FDA日的定义。如</w:t>
      </w:r>
      <w:r>
        <w:rPr>
          <w:rFonts w:hint="eastAsia"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DA已接收并正在审评申请，则这段时间的</w:t>
      </w:r>
      <w:r>
        <w:rPr>
          <w:rFonts w:hint="eastAsia" w:ascii="Times New Roman" w:hAnsi="Times New Roman" w:cs="Times New Roman"/>
          <w:sz w:val="24"/>
          <w:szCs w:val="24"/>
        </w:rPr>
        <w:t>自然日</w:t>
      </w:r>
      <w:r>
        <w:rPr>
          <w:rFonts w:ascii="Times New Roman" w:hAnsi="Times New Roman" w:cs="Times New Roman"/>
          <w:sz w:val="24"/>
          <w:szCs w:val="24"/>
        </w:rPr>
        <w:t>被认为是FDA日。FDA日开始于申请的提交日期或者为使FDA接受申请而做出修改的日期。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总决定时间的共享结果目标是MDUFA III期间FDA 和行业绩效的新绩效目标。FDA和提交人共同负责这一目标，从而实现减少MDUFA 决定平均总时间这一目标（实质等同性或非实质等同性）。该目标衡量决定总时间，包括FDA审评申请所花的时间以及申请人回复FDA问题所花的时间。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总决定时间是从收到申请的日期到MDUFA 做出决定期间</w:t>
      </w:r>
      <w:r>
        <w:rPr>
          <w:rFonts w:hint="eastAsia" w:ascii="Times New Roman" w:hAnsi="Times New Roman" w:cs="Times New Roman"/>
          <w:sz w:val="24"/>
          <w:szCs w:val="24"/>
        </w:rPr>
        <w:t>自然日</w:t>
      </w:r>
      <w:r>
        <w:rPr>
          <w:rFonts w:ascii="Times New Roman" w:hAnsi="Times New Roman" w:cs="Times New Roman"/>
          <w:sz w:val="24"/>
          <w:szCs w:val="24"/>
        </w:rPr>
        <w:t>的天数。510（k）申请的平均总决定时间是按照510（k）申请在固定范围内的</w:t>
      </w:r>
      <w:r>
        <w:rPr>
          <w:rFonts w:hint="eastAsia" w:ascii="Times New Roman" w:hAnsi="Times New Roman" w:cs="Times New Roman"/>
          <w:sz w:val="24"/>
          <w:szCs w:val="24"/>
        </w:rPr>
        <w:t>切</w:t>
      </w:r>
      <w:r>
        <w:rPr>
          <w:rFonts w:ascii="Times New Roman" w:hAnsi="Times New Roman" w:cs="Times New Roman"/>
          <w:sz w:val="24"/>
          <w:szCs w:val="24"/>
        </w:rPr>
        <w:t>尾均值计算，排除2%的最高值和2%的最低值。当已接收的申请中有99%已经达到了MDUFA 决定时，该范围被认为是固定的。</w:t>
      </w:r>
    </w:p>
    <w:p>
      <w:pPr>
        <w:widowControl/>
        <w:jc w:val="left"/>
        <w:rPr>
          <w:rFonts w:ascii="Times New Roman" w:hAnsi="Times New Roman" w:cs="Times New Roman"/>
          <w:szCs w:val="15"/>
        </w:rPr>
      </w:pPr>
      <w:r>
        <w:rPr>
          <w:rFonts w:ascii="Times New Roman" w:hAnsi="Times New Roman" w:cs="Times New Roman"/>
          <w:szCs w:val="15"/>
        </w:rPr>
        <w:br w:type="page"/>
      </w:r>
    </w:p>
    <w:p>
      <w:pPr>
        <w:spacing w:before="156" w:beforeLines="50" w:after="156" w:afterLines="50"/>
        <w:rPr>
          <w:rFonts w:ascii="Times New Roman" w:hAnsi="Times New Roman" w:cs="Times New Roman"/>
          <w:b/>
          <w:szCs w:val="15"/>
        </w:rPr>
      </w:pPr>
      <w:r>
        <w:rPr>
          <w:rFonts w:ascii="Times New Roman" w:hAnsi="Times New Roman" w:cs="Times New Roman"/>
          <w:b/>
          <w:bCs/>
          <w:szCs w:val="15"/>
        </w:rPr>
        <w:t>表1 MDUFA III下的510（k）绩效目标</w:t>
      </w:r>
    </w:p>
    <w:tbl>
      <w:tblPr>
        <w:tblStyle w:val="10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2"/>
        <w:gridCol w:w="1232"/>
        <w:gridCol w:w="1232"/>
        <w:gridCol w:w="1232"/>
        <w:gridCol w:w="1232"/>
        <w:gridCol w:w="1232"/>
        <w:gridCol w:w="123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2" w:type="dxa"/>
            <w:vMerge w:val="restart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15"/>
              </w:rPr>
              <w:t>行动</w:t>
            </w:r>
          </w:p>
        </w:tc>
        <w:tc>
          <w:tcPr>
            <w:tcW w:w="1232" w:type="dxa"/>
            <w:vMerge w:val="restart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审评时间（FDA日）</w:t>
            </w:r>
          </w:p>
        </w:tc>
        <w:tc>
          <w:tcPr>
            <w:tcW w:w="6160" w:type="dxa"/>
            <w:gridSpan w:val="5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绩效级别（每一财年）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2" w:type="dxa"/>
            <w:vMerge w:val="continue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</w:p>
        </w:tc>
        <w:tc>
          <w:tcPr>
            <w:tcW w:w="1232" w:type="dxa"/>
            <w:vMerge w:val="continue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</w:p>
        </w:tc>
        <w:tc>
          <w:tcPr>
            <w:tcW w:w="1232" w:type="dxa"/>
            <w:shd w:val="clear" w:color="auto" w:fill="CCFFFF"/>
            <w:vAlign w:val="center"/>
          </w:tcPr>
          <w:p>
            <w:pPr>
              <w:spacing w:before="156" w:beforeLines="50" w:after="156" w:afterLines="50"/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2013</w:t>
            </w:r>
            <w:r>
              <w:rPr>
                <w:rFonts w:hint="eastAsia" w:ascii="Times New Roman" w:hAnsi="Times New Roman" w:cs="Times New Roman"/>
                <w:szCs w:val="15"/>
              </w:rPr>
              <w:t>财年</w:t>
            </w:r>
          </w:p>
        </w:tc>
        <w:tc>
          <w:tcPr>
            <w:tcW w:w="1232" w:type="dxa"/>
            <w:shd w:val="clear" w:color="auto" w:fill="CCFFFF"/>
            <w:vAlign w:val="center"/>
          </w:tcPr>
          <w:p>
            <w:pPr>
              <w:spacing w:before="156" w:beforeLines="50" w:after="156" w:afterLines="50"/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 xml:space="preserve"> 2014</w:t>
            </w:r>
            <w:r>
              <w:rPr>
                <w:rFonts w:hint="eastAsia" w:ascii="Times New Roman" w:hAnsi="Times New Roman" w:cs="Times New Roman"/>
                <w:szCs w:val="15"/>
              </w:rPr>
              <w:t>财年</w:t>
            </w:r>
          </w:p>
        </w:tc>
        <w:tc>
          <w:tcPr>
            <w:tcW w:w="1232" w:type="dxa"/>
            <w:shd w:val="clear" w:color="auto" w:fill="CCFFFF"/>
            <w:vAlign w:val="center"/>
          </w:tcPr>
          <w:p>
            <w:pPr>
              <w:spacing w:before="156" w:beforeLines="50" w:after="156" w:afterLines="50"/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 xml:space="preserve"> 2015</w:t>
            </w:r>
            <w:r>
              <w:rPr>
                <w:rFonts w:hint="eastAsia" w:ascii="Times New Roman" w:hAnsi="Times New Roman" w:cs="Times New Roman"/>
                <w:szCs w:val="15"/>
              </w:rPr>
              <w:t>财年</w:t>
            </w:r>
          </w:p>
        </w:tc>
        <w:tc>
          <w:tcPr>
            <w:tcW w:w="1232" w:type="dxa"/>
            <w:shd w:val="clear" w:color="auto" w:fill="CCFFFF"/>
            <w:vAlign w:val="center"/>
          </w:tcPr>
          <w:p>
            <w:pPr>
              <w:spacing w:before="156" w:beforeLines="50" w:after="156" w:afterLines="50"/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 xml:space="preserve"> 2016</w:t>
            </w:r>
            <w:r>
              <w:rPr>
                <w:rFonts w:hint="eastAsia" w:ascii="Times New Roman" w:hAnsi="Times New Roman" w:cs="Times New Roman"/>
                <w:szCs w:val="15"/>
              </w:rPr>
              <w:t>财年</w:t>
            </w:r>
          </w:p>
        </w:tc>
        <w:tc>
          <w:tcPr>
            <w:tcW w:w="1232" w:type="dxa"/>
            <w:shd w:val="clear" w:color="auto" w:fill="CCFFFF"/>
            <w:vAlign w:val="center"/>
          </w:tcPr>
          <w:p>
            <w:pPr>
              <w:spacing w:before="156" w:beforeLines="50" w:after="156" w:afterLines="50"/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 xml:space="preserve"> 2017</w:t>
            </w:r>
            <w:r>
              <w:rPr>
                <w:rFonts w:hint="eastAsia" w:ascii="Times New Roman" w:hAnsi="Times New Roman" w:cs="Times New Roman"/>
                <w:szCs w:val="15"/>
              </w:rPr>
              <w:t>财年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2" w:type="dxa"/>
            <w:vAlign w:val="center"/>
          </w:tcPr>
          <w:p>
            <w:pPr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实质性互动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60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65%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75%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85%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2" w:type="dxa"/>
            <w:vAlign w:val="center"/>
          </w:tcPr>
          <w:p>
            <w:pPr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MDUFA决</w:t>
            </w:r>
            <w:r>
              <w:rPr>
                <w:rFonts w:hint="eastAsia" w:ascii="Times New Roman" w:hAnsi="Times New Roman" w:cs="Times New Roman"/>
                <w:szCs w:val="15"/>
              </w:rPr>
              <w:t>定</w:t>
            </w:r>
            <w:r>
              <w:rPr>
                <w:rFonts w:ascii="Times New Roman" w:hAnsi="Times New Roman" w:cs="Times New Roman"/>
                <w:szCs w:val="15"/>
              </w:rPr>
              <w:t>（实质等同性/非实质等同性）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90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91%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93%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94" w:type="dxa"/>
            <w:gridSpan w:val="2"/>
            <w:vAlign w:val="center"/>
          </w:tcPr>
          <w:p>
            <w:pPr>
              <w:rPr>
                <w:rFonts w:ascii="Times New Roman" w:hAnsi="Times New Roman" w:cs="Times New Roman"/>
                <w:szCs w:val="15"/>
              </w:rPr>
            </w:pPr>
          </w:p>
        </w:tc>
        <w:tc>
          <w:tcPr>
            <w:tcW w:w="6160" w:type="dxa"/>
            <w:gridSpan w:val="5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hint="eastAsia" w:ascii="Times New Roman" w:hAnsi="Times New Roman" w:cs="Times New Roman"/>
                <w:szCs w:val="15"/>
              </w:rPr>
              <w:t>自然</w:t>
            </w:r>
            <w:r>
              <w:rPr>
                <w:rFonts w:ascii="Times New Roman" w:hAnsi="Times New Roman" w:cs="Times New Roman"/>
                <w:szCs w:val="15"/>
              </w:rPr>
              <w:t>日总时间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2" w:type="dxa"/>
            <w:vAlign w:val="center"/>
          </w:tcPr>
          <w:p>
            <w:pPr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平均决定总时间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135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135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130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130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124</w:t>
            </w:r>
          </w:p>
        </w:tc>
      </w:tr>
    </w:tbl>
    <w:p>
      <w:pPr>
        <w:spacing w:before="156" w:beforeLines="50" w:after="156" w:afterLines="50"/>
        <w:ind w:left="565" w:hanging="565" w:hangingChars="201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4" w:name="_Toc97322223"/>
      <w:r>
        <w:rPr>
          <w:rFonts w:ascii="Times New Roman" w:hAnsi="Times New Roman" w:cs="Times New Roman"/>
          <w:b/>
          <w:bCs/>
          <w:sz w:val="28"/>
          <w:szCs w:val="28"/>
        </w:rPr>
        <w:t>V.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MDUFA IV的510（k）绩效目标</w:t>
      </w:r>
      <w:bookmarkEnd w:id="14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2018财年到2022财年（MDUFA IV）收到的510（k）申请的绩效目标在MDUFA IV承诺函中定义。MDUFA III中引入且MDUFA IV中保留的绩效目标和相关变更包括：</w:t>
      </w:r>
    </w:p>
    <w:p>
      <w:pPr>
        <w:spacing w:before="156" w:beforeLines="50" w:after="156" w:afterLines="50"/>
        <w:ind w:left="602" w:leftChars="134" w:hanging="321" w:hangingChars="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大多数510（k）申请的提交需收取用户费用，所有510（k）申请的提交均需随附一份有效的电子副本，以便展开审评。</w:t>
      </w:r>
    </w:p>
    <w:p>
      <w:pPr>
        <w:spacing w:before="156" w:beforeLines="50" w:after="156" w:afterLines="50"/>
        <w:ind w:left="602" w:leftChars="134" w:hanging="321" w:hangingChars="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510（k）申请拟进行实质</w:t>
      </w:r>
      <w:r>
        <w:rPr>
          <w:rFonts w:hint="eastAsia" w:ascii="Times New Roman" w:hAnsi="Times New Roman" w:cs="Times New Roman"/>
          <w:sz w:val="24"/>
          <w:szCs w:val="24"/>
        </w:rPr>
        <w:t>性</w:t>
      </w:r>
      <w:r>
        <w:rPr>
          <w:rFonts w:ascii="Times New Roman" w:hAnsi="Times New Roman" w:cs="Times New Roman"/>
          <w:sz w:val="24"/>
          <w:szCs w:val="24"/>
        </w:rPr>
        <w:t>审评之前，需先进行一次</w:t>
      </w:r>
      <w:r>
        <w:rPr>
          <w:rFonts w:hint="eastAsia" w:ascii="Times New Roman" w:hAnsi="Times New Roman" w:cs="Times New Roman"/>
          <w:sz w:val="24"/>
          <w:szCs w:val="24"/>
        </w:rPr>
        <w:t>验收</w:t>
      </w:r>
      <w:r>
        <w:rPr>
          <w:rFonts w:ascii="Times New Roman" w:hAnsi="Times New Roman" w:cs="Times New Roman"/>
          <w:sz w:val="24"/>
          <w:szCs w:val="24"/>
        </w:rPr>
        <w:t>审评。</w:t>
      </w:r>
    </w:p>
    <w:p>
      <w:pPr>
        <w:spacing w:before="156" w:beforeLines="50" w:after="156" w:afterLines="50"/>
        <w:ind w:left="602" w:leftChars="134" w:hanging="321" w:hangingChars="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510（k）申请需遵循实质性交互（SI）目标</w:t>
      </w:r>
    </w:p>
    <w:p>
      <w:pPr>
        <w:spacing w:before="156" w:beforeLines="50" w:after="156" w:afterLines="50"/>
        <w:ind w:left="602" w:leftChars="134" w:hanging="321" w:hangingChars="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510（k）申请需遵循一级MDUFA决定目标（对于FDA日和总决定时间而言）；以及</w:t>
      </w:r>
    </w:p>
    <w:p>
      <w:pPr>
        <w:spacing w:before="156" w:beforeLines="50" w:after="156" w:afterLines="50"/>
        <w:ind w:left="602" w:leftChars="134" w:hanging="321" w:hangingChars="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对于MDUFA决定超过十天的510（k）申请，FDA将向提交人发送不符合MDUFA决定的（MMD）函件。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根据MDUFA IV规定引入的绩效目标和相关变化包括：</w:t>
      </w:r>
    </w:p>
    <w:p>
      <w:pPr>
        <w:spacing w:before="156" w:beforeLines="50" w:after="156" w:afterLines="50"/>
        <w:ind w:left="602" w:leftChars="134" w:hanging="321" w:hangingChars="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经修订的实质性交互目标、MDUFA 决策和总决定时间（见下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  <w:t>表2</w:t>
      </w:r>
      <w:r>
        <w:rPr>
          <w:rFonts w:ascii="Times New Roman" w:hAnsi="Times New Roman" w:cs="Times New Roman"/>
          <w:sz w:val="24"/>
          <w:szCs w:val="24"/>
        </w:rPr>
        <w:t>）。</w:t>
      </w:r>
    </w:p>
    <w:p>
      <w:pPr>
        <w:spacing w:before="156" w:beforeLines="50" w:after="156" w:afterLines="50"/>
        <w:ind w:left="1136" w:leftChars="270" w:hanging="569" w:hangingChars="236"/>
        <w:jc w:val="left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5" w:name="_Toc97322224"/>
      <w:r>
        <w:rPr>
          <w:rFonts w:ascii="Times New Roman" w:hAnsi="Times New Roman" w:cs="Times New Roman"/>
          <w:b/>
          <w:bCs/>
          <w:sz w:val="24"/>
          <w:szCs w:val="24"/>
        </w:rPr>
        <w:t>A.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提交</w:t>
      </w:r>
      <w:bookmarkEnd w:id="15"/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大多数510（k）申请的提交需按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上市前通知（510（k）s</w:t>
      </w:r>
      <w:r>
        <w:rPr>
          <w:rFonts w:hint="eastAsia" w:ascii="Times New Roman" w:hAnsi="Times New Roman" w:cs="Times New Roman"/>
          <w:sz w:val="24"/>
          <w:szCs w:val="24"/>
        </w:rPr>
        <w:t>）</w:t>
      </w:r>
      <w:r>
        <w:rPr>
          <w:rFonts w:ascii="Times New Roman" w:hAnsi="Times New Roman" w:cs="Times New Roman"/>
          <w:sz w:val="24"/>
          <w:szCs w:val="24"/>
        </w:rPr>
        <w:t>申请的用户费用和退款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指南所述收取用户费用。网址：（</w:t>
      </w:r>
      <w:r>
        <w:fldChar w:fldCharType="begin"/>
      </w:r>
      <w:r>
        <w:instrText xml:space="preserve"> HYPERLINK "https://www.fda.gov/downloads/MedicalDevices/DeviceRegulationandGuidance/GuidanceDocuments/UCM345931.pdf"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https://www.fda.gov/downloads/MedicalDevices/DeviceRegulationandGuidance/GuidanceDocuments/UCM345931.pdf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）。所有510（k）s均需随附一份 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医疗器械申请电子副本程序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指南所述电子副本。网址：（</w:t>
      </w:r>
      <w:r>
        <w:fldChar w:fldCharType="begin"/>
      </w:r>
      <w:r>
        <w:instrText xml:space="preserve"> HYPERLINK "https://www.fda.gov/downloads/MedicalDevices/DeviceRegulationandGuidance/GuidanceDocuments/UCM313794.pdf"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https://www.fda.gov/downloads/MedicalDevices/DeviceRegulationandGuidance/GuidanceDocuments/UCM313794.pdf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）.提交者应注意，如没有用户费用账单和有效电子副本的证明，510（k）申请将不会予以处理并分发到相应审评部门。</w:t>
      </w:r>
    </w:p>
    <w:p>
      <w:pPr>
        <w:widowControl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>
      <w:pPr>
        <w:spacing w:before="156" w:beforeLines="50" w:after="156" w:afterLines="50"/>
        <w:ind w:left="1136" w:leftChars="270" w:hanging="569" w:hangingChars="236"/>
        <w:jc w:val="left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6" w:name="_Toc97322225"/>
      <w:r>
        <w:rPr>
          <w:rFonts w:ascii="Times New Roman" w:hAnsi="Times New Roman" w:cs="Times New Roman"/>
          <w:b/>
          <w:bCs/>
          <w:sz w:val="24"/>
          <w:szCs w:val="24"/>
        </w:rPr>
        <w:t>B.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验收</w:t>
      </w:r>
      <w:bookmarkEnd w:id="16"/>
      <w:r>
        <w:rPr>
          <w:rFonts w:ascii="Times New Roman" w:hAnsi="Times New Roman" w:cs="Times New Roman"/>
          <w:b/>
          <w:bCs/>
          <w:sz w:val="24"/>
          <w:szCs w:val="24"/>
        </w:rPr>
        <w:t>审评</w:t>
      </w: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收到申请的15个</w:t>
      </w:r>
      <w:r>
        <w:rPr>
          <w:rFonts w:hint="eastAsia" w:ascii="Times New Roman" w:hAnsi="Times New Roman" w:cs="Times New Roman"/>
          <w:sz w:val="24"/>
          <w:szCs w:val="24"/>
        </w:rPr>
        <w:t>自然</w:t>
      </w:r>
      <w:r>
        <w:rPr>
          <w:rFonts w:ascii="Times New Roman" w:hAnsi="Times New Roman" w:cs="Times New Roman"/>
          <w:sz w:val="24"/>
          <w:szCs w:val="24"/>
        </w:rPr>
        <w:t>日内，FDA将进行验收审评，从而决定该申请是否完整，是否能进行实质性审评。如发现该申请不完整，FDA 将在15个日历日内通知提交人未接受该申请，并确认哪些项目是做出拒绝接收（</w:t>
      </w:r>
      <w:r>
        <w:rPr>
          <w:rFonts w:hint="eastAsia"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TA）决定的理由，以及若希望该申请被接受，哪些项目是必须的。在提供遗漏的内容之前，提交将被搁置，审评程序将不会开始。对于额外信息，请参考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510（k）s拒绝接收政策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指南。网址：（</w:t>
      </w:r>
      <w:r>
        <w:fldChar w:fldCharType="begin"/>
      </w:r>
      <w:r>
        <w:instrText xml:space="preserve"> HYPERLINK "https://www.fda.gov/downloads/MedicalDevices/DeviceRegulationandGuidance/GuidanceDocuments/UCM315014.pdf"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https://www.fda.gov/downloads/MedicalDevices/DeviceRegulationandGuidance/GuidanceDocuments/UCM315014.pdf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）。</w:t>
      </w: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该函件代表对申请的初步审评，但并不表明可能在审评周期后期发现的缺陷。</w:t>
      </w:r>
    </w:p>
    <w:p>
      <w:pPr>
        <w:spacing w:before="156" w:beforeLines="50" w:after="156" w:afterLines="50"/>
        <w:ind w:left="1136" w:leftChars="270" w:hanging="569" w:hangingChars="236"/>
        <w:jc w:val="left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7" w:name="_Toc97322226"/>
      <w:r>
        <w:rPr>
          <w:rFonts w:ascii="Times New Roman" w:hAnsi="Times New Roman" w:cs="Times New Roman"/>
          <w:b/>
          <w:bCs/>
          <w:sz w:val="24"/>
          <w:szCs w:val="24"/>
        </w:rPr>
        <w:t>C.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实质性互动</w:t>
      </w:r>
      <w:bookmarkEnd w:id="17"/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一旦接受该申请展开审评（即：审评的拒绝接收阶段之后），FDA将在510（k）申请被接受后60个</w:t>
      </w:r>
      <w:r>
        <w:rPr>
          <w:rFonts w:hint="eastAsia" w:ascii="Times New Roman" w:hAnsi="Times New Roman" w:cs="Times New Roman"/>
          <w:sz w:val="24"/>
          <w:szCs w:val="24"/>
        </w:rPr>
        <w:t>自然日</w:t>
      </w:r>
      <w:r>
        <w:rPr>
          <w:rFonts w:ascii="Times New Roman" w:hAnsi="Times New Roman" w:cs="Times New Roman"/>
          <w:sz w:val="24"/>
          <w:szCs w:val="24"/>
        </w:rPr>
        <w:t>内，对其进行实质性审评，并通过实质性交互的方式与提交人进行沟通。实质性交互沟通可以是一则额外信息请求或一封电子邮件，说明FDA将继续通过交互式审评解决任何突出缺陷。为达到MDUFA IV目标，在实质性交互目标日期之前发布的实质等同性函件，也将被视作实质性交互。</w:t>
      </w: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实质性交互后，FDA拟通过交互式审评与提交者合作，以达到MDUFA决定。</w:t>
      </w:r>
    </w:p>
    <w:p>
      <w:pPr>
        <w:spacing w:before="156" w:beforeLines="50" w:after="156" w:afterLines="50"/>
        <w:ind w:left="1136" w:leftChars="270" w:hanging="569" w:hangingChars="236"/>
        <w:jc w:val="left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8" w:name="_Toc97322227"/>
      <w:r>
        <w:rPr>
          <w:rFonts w:ascii="Times New Roman" w:hAnsi="Times New Roman" w:cs="Times New Roman"/>
          <w:b/>
          <w:bCs/>
          <w:sz w:val="24"/>
          <w:szCs w:val="24"/>
        </w:rPr>
        <w:t>D.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MDUFA IV目标</w:t>
      </w:r>
      <w:bookmarkEnd w:id="18"/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MDUFA IV包括实质性交互目标、MDUFA 决定、和决定总时间（见以下表2）。</w:t>
      </w:r>
    </w:p>
    <w:p>
      <w:pPr>
        <w:widowControl/>
        <w:jc w:val="left"/>
        <w:rPr>
          <w:rFonts w:ascii="Times New Roman" w:hAnsi="Times New Roman" w:cs="Times New Roman"/>
          <w:szCs w:val="15"/>
        </w:rPr>
      </w:pPr>
      <w:r>
        <w:rPr>
          <w:rFonts w:ascii="Times New Roman" w:hAnsi="Times New Roman" w:cs="Times New Roman"/>
          <w:szCs w:val="15"/>
        </w:rPr>
        <w:br w:type="page"/>
      </w:r>
    </w:p>
    <w:p>
      <w:pPr>
        <w:spacing w:before="156" w:beforeLines="50" w:after="156" w:afterLines="50"/>
        <w:rPr>
          <w:rFonts w:ascii="Times New Roman" w:hAnsi="Times New Roman" w:cs="Times New Roman"/>
          <w:b/>
          <w:szCs w:val="15"/>
        </w:rPr>
      </w:pPr>
      <w:r>
        <w:rPr>
          <w:rFonts w:ascii="Times New Roman" w:hAnsi="Times New Roman" w:cs="Times New Roman"/>
          <w:b/>
          <w:bCs/>
          <w:szCs w:val="15"/>
        </w:rPr>
        <w:t>表2、MDUFA IV下的绩效目标</w:t>
      </w:r>
    </w:p>
    <w:tbl>
      <w:tblPr>
        <w:tblStyle w:val="10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2"/>
        <w:gridCol w:w="1232"/>
        <w:gridCol w:w="1232"/>
        <w:gridCol w:w="1232"/>
        <w:gridCol w:w="1232"/>
        <w:gridCol w:w="1232"/>
        <w:gridCol w:w="123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2" w:type="dxa"/>
            <w:vMerge w:val="restart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b/>
                <w:bCs/>
                <w:szCs w:val="15"/>
              </w:rPr>
              <w:t xml:space="preserve"> </w:t>
            </w:r>
          </w:p>
        </w:tc>
        <w:tc>
          <w:tcPr>
            <w:tcW w:w="1232" w:type="dxa"/>
            <w:vMerge w:val="restart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审评时间（FDA</w:t>
            </w:r>
            <w:r>
              <w:rPr>
                <w:rFonts w:hint="eastAsia" w:ascii="Times New Roman" w:hAnsi="Times New Roman" w:cs="Times New Roman"/>
                <w:szCs w:val="15"/>
              </w:rPr>
              <w:t>日</w:t>
            </w:r>
            <w:r>
              <w:rPr>
                <w:rFonts w:ascii="Times New Roman" w:hAnsi="Times New Roman" w:cs="Times New Roman"/>
                <w:szCs w:val="15"/>
              </w:rPr>
              <w:t>）</w:t>
            </w:r>
          </w:p>
        </w:tc>
        <w:tc>
          <w:tcPr>
            <w:tcW w:w="6160" w:type="dxa"/>
            <w:gridSpan w:val="5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绩效级别（每一财年）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2" w:type="dxa"/>
            <w:vMerge w:val="continue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</w:p>
        </w:tc>
        <w:tc>
          <w:tcPr>
            <w:tcW w:w="1232" w:type="dxa"/>
            <w:vMerge w:val="continue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</w:p>
        </w:tc>
        <w:tc>
          <w:tcPr>
            <w:tcW w:w="1232" w:type="dxa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2018</w:t>
            </w:r>
            <w:r>
              <w:rPr>
                <w:rFonts w:hint="eastAsia" w:ascii="Times New Roman" w:hAnsi="Times New Roman" w:cs="Times New Roman"/>
                <w:szCs w:val="15"/>
              </w:rPr>
              <w:t>财年</w:t>
            </w:r>
          </w:p>
        </w:tc>
        <w:tc>
          <w:tcPr>
            <w:tcW w:w="1232" w:type="dxa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 xml:space="preserve"> 2019</w:t>
            </w:r>
            <w:r>
              <w:rPr>
                <w:rFonts w:hint="eastAsia" w:ascii="Times New Roman" w:hAnsi="Times New Roman" w:cs="Times New Roman"/>
                <w:szCs w:val="15"/>
              </w:rPr>
              <w:t>财年</w:t>
            </w:r>
          </w:p>
        </w:tc>
        <w:tc>
          <w:tcPr>
            <w:tcW w:w="1232" w:type="dxa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 xml:space="preserve"> 2020</w:t>
            </w:r>
            <w:r>
              <w:rPr>
                <w:rFonts w:hint="eastAsia" w:ascii="Times New Roman" w:hAnsi="Times New Roman" w:cs="Times New Roman"/>
                <w:szCs w:val="15"/>
              </w:rPr>
              <w:t>财年</w:t>
            </w:r>
          </w:p>
        </w:tc>
        <w:tc>
          <w:tcPr>
            <w:tcW w:w="1232" w:type="dxa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 xml:space="preserve"> 2021</w:t>
            </w:r>
            <w:r>
              <w:rPr>
                <w:rFonts w:hint="eastAsia" w:ascii="Times New Roman" w:hAnsi="Times New Roman" w:cs="Times New Roman"/>
                <w:szCs w:val="15"/>
              </w:rPr>
              <w:t>财年</w:t>
            </w:r>
          </w:p>
        </w:tc>
        <w:tc>
          <w:tcPr>
            <w:tcW w:w="1232" w:type="dxa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 xml:space="preserve"> 2022</w:t>
            </w:r>
            <w:r>
              <w:rPr>
                <w:rFonts w:hint="eastAsia" w:ascii="Times New Roman" w:hAnsi="Times New Roman" w:cs="Times New Roman"/>
                <w:szCs w:val="15"/>
              </w:rPr>
              <w:t>财年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实质性互动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60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MDUFA决定（实质等同性/非实质等同性）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90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95%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9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</w:p>
        </w:tc>
        <w:tc>
          <w:tcPr>
            <w:tcW w:w="6160" w:type="dxa"/>
            <w:gridSpan w:val="5"/>
            <w:shd w:val="clear" w:color="auto" w:fill="CC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hint="eastAsia" w:ascii="Times New Roman" w:hAnsi="Times New Roman" w:cs="Times New Roman"/>
                <w:szCs w:val="15"/>
              </w:rPr>
              <w:t>自然日</w:t>
            </w:r>
            <w:r>
              <w:rPr>
                <w:rFonts w:ascii="Times New Roman" w:hAnsi="Times New Roman" w:cs="Times New Roman"/>
                <w:szCs w:val="15"/>
              </w:rPr>
              <w:t>总时间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平均决定总时间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124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120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116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112</w:t>
            </w:r>
          </w:p>
        </w:tc>
        <w:tc>
          <w:tcPr>
            <w:tcW w:w="1232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15"/>
              </w:rPr>
            </w:pPr>
            <w:r>
              <w:rPr>
                <w:rFonts w:ascii="Times New Roman" w:hAnsi="Times New Roman" w:cs="Times New Roman"/>
                <w:szCs w:val="15"/>
              </w:rPr>
              <w:t>108</w:t>
            </w:r>
          </w:p>
        </w:tc>
      </w:tr>
    </w:tbl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请注意，评估实质性交互目标、MDUFA 决定、和决定总时间的方法在MDUFA III中并未改变。</w:t>
      </w:r>
    </w:p>
    <w:p>
      <w:pPr>
        <w:spacing w:before="156" w:beforeLines="50" w:after="156" w:afterLines="50"/>
        <w:ind w:left="1136" w:leftChars="270" w:hanging="569" w:hangingChars="236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9" w:name="_Toc97322228"/>
      <w:r>
        <w:rPr>
          <w:rFonts w:ascii="Times New Roman" w:hAnsi="Times New Roman" w:cs="Times New Roman"/>
          <w:b/>
          <w:bCs/>
          <w:sz w:val="24"/>
          <w:szCs w:val="24"/>
        </w:rPr>
        <w:t>E.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不符合MDUFA决定的函件</w:t>
      </w:r>
      <w:bookmarkEnd w:id="19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对于所有未能在100 个FDA日内达到MDUFA决定的510（k）s申请（即：MDUFA目标制定后十天），FDA将提供一则不符合MDUFA决定的函件，该函件是给提交人的书面反馈，将在会议或远程会议上讨论，包括主要的未完成审评主题范围、阻碍FDA做出最终决定的缘由以及预计完成日期。</w:t>
      </w:r>
    </w:p>
    <w:p>
      <w:pPr>
        <w:spacing w:before="156" w:beforeLines="50" w:after="156" w:afterLines="50"/>
        <w:ind w:left="565" w:hanging="565" w:hangingChars="201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0" w:name="_Toc97322229"/>
      <w:r>
        <w:rPr>
          <w:rFonts w:ascii="Times New Roman" w:hAnsi="Times New Roman" w:cs="Times New Roman"/>
          <w:b/>
          <w:bCs/>
          <w:sz w:val="28"/>
          <w:szCs w:val="28"/>
        </w:rPr>
        <w:t>VI.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提交人行动</w:t>
      </w:r>
      <w:bookmarkEnd w:id="20"/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待定的510（k）申请的提交人采取的行动可能包括提交关于FDA额外信息请求的回复（即：并不是通过交互式审评提出的请求）或撤回整个510（k）申请（无论是通过写信的方式或是在180 天内不回复FDA的额外信息请求）。以下信息阐述了提交人可能采取的行动以及各项行动对FDA审评程序产生的影响。</w:t>
      </w:r>
    </w:p>
    <w:p>
      <w:pPr>
        <w:spacing w:before="156" w:beforeLines="50" w:after="156" w:afterLines="5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和原始的510（k）申请一样，任何510（k）额外信息的提交或撤回整个510（k）申请的请求均需包含一份电子副本，作为提交给相应文件控制中心的文件的一部分，并且需按照 </w:t>
      </w:r>
      <w:r>
        <w:rPr>
          <w:rFonts w:ascii="宋体" w:hAnsi="宋体" w:eastAsia="宋体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医疗器械申请电子副本程序</w:t>
      </w:r>
      <w:r>
        <w:rPr>
          <w:rFonts w:ascii="宋体" w:hAnsi="宋体" w:eastAsia="宋体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指南文件对其进行处理。网址：</w:t>
      </w:r>
      <w:r>
        <w:fldChar w:fldCharType="begin"/>
      </w:r>
      <w:r>
        <w:instrText xml:space="preserve"> HYPERLINK "https://www.fda.gov/downloads/medicaldevices/deviceregulationandguidance/guidancedocuments/ucm313794.pdf" </w:instrText>
      </w:r>
      <w:r>
        <w:fldChar w:fldCharType="separate"/>
      </w:r>
      <w:r>
        <w:rPr>
          <w:rStyle w:val="12"/>
          <w:rFonts w:ascii="Times New Roman" w:hAnsi="Times New Roman" w:cs="Times New Roman"/>
          <w:sz w:val="24"/>
          <w:szCs w:val="24"/>
        </w:rPr>
        <w:t>https://www.fda.gov/downloads/medicaldevices/deviceregulationandguidance/guidancedocuments/ucm313794.pdf</w:t>
      </w:r>
      <w:r>
        <w:rPr>
          <w:rStyle w:val="12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。</w:t>
      </w:r>
    </w:p>
    <w:p>
      <w:pPr>
        <w:spacing w:before="156" w:beforeLines="50" w:after="156" w:afterLines="50"/>
        <w:ind w:left="1136" w:leftChars="270" w:hanging="569" w:hangingChars="236"/>
        <w:jc w:val="left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1" w:name="_Toc97322230"/>
      <w:r>
        <w:rPr>
          <w:rFonts w:ascii="Times New Roman" w:hAnsi="Times New Roman" w:cs="Times New Roman"/>
          <w:b/>
          <w:bCs/>
          <w:sz w:val="24"/>
          <w:szCs w:val="24"/>
        </w:rPr>
        <w:t>A.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额外信息请求回复</w:t>
      </w:r>
      <w:bookmarkEnd w:id="21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对FDA额外信息请求的回复指提交人提交额外信息，处理额外信息请求中涉及的所有缺陷，以便FDA继续或完成实质性审评，对该510（k）申请做出决定。</w:t>
      </w:r>
    </w:p>
    <w:p>
      <w:pPr>
        <w:widowControl/>
        <w:jc w:val="left"/>
        <w:rPr>
          <w:rFonts w:ascii="Times New Roman" w:hAnsi="Times New Roman" w:cs="Times New Roman"/>
          <w:szCs w:val="15"/>
        </w:rPr>
      </w:pPr>
      <w:r>
        <w:rPr>
          <w:rFonts w:ascii="Times New Roman" w:hAnsi="Times New Roman" w:cs="Times New Roman"/>
          <w:szCs w:val="15"/>
        </w:rPr>
        <w:br w:type="page"/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对于FDA的额外信息请求，提交人应提供完整的回复。请求人应设法解决FDA的额外信息请求确定的所有缺陷，以视为完整回复。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关于提交人对额外信息请求提交回复这项行动，FDA将在收到回复后，重启FDA审评程序，意即，为期90天的审评程序将在收到额外信息后重启。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备注：如FDA判定提交人并没有处理其中一个或多个额外信息请求中确定的缺陷，审评周期将终止，直到FDA收到处理遗留缺陷的回复。该类情况下，FDA将通过电子邮件的方式通知提交人，该回复不完整，并且510（k）申请将从原始额外信息请求发布的日期开始，再次被搁置。因此，审评程序并没有被重启。自原始额外信息请求发布的日期起，提交人有180天的期限提交一份完整的回复，否则整个510（k）申请将被视作撤回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如果提交人提交未经请求的额外信息（即：不是FDA提出的），构成了新的使用指示，或新的或不同技术，提交人将需要提交一份新的510（k）申请，并缴纳相关费用。这是由于提交未经请求的信息本质上是要求FDA重启实质性审评。</w:t>
      </w:r>
    </w:p>
    <w:p>
      <w:pPr>
        <w:spacing w:before="156" w:beforeLines="50" w:after="156" w:afterLines="50"/>
        <w:ind w:left="1136" w:leftChars="270" w:hanging="569" w:hangingChars="236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2" w:name="_Toc97322231"/>
      <w:r>
        <w:rPr>
          <w:rFonts w:ascii="Times New Roman" w:hAnsi="Times New Roman" w:cs="Times New Roman"/>
          <w:b/>
          <w:bCs/>
          <w:sz w:val="24"/>
          <w:szCs w:val="24"/>
        </w:rPr>
        <w:t>B.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请求撤回510（k）</w:t>
      </w:r>
      <w:bookmarkEnd w:id="22"/>
      <w:r>
        <w:rPr>
          <w:rFonts w:ascii="Times New Roman" w:hAnsi="Times New Roman" w:cs="Times New Roman"/>
          <w:b/>
          <w:bCs/>
          <w:sz w:val="24"/>
          <w:szCs w:val="24"/>
        </w:rPr>
        <w:t>申请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撤回整份510（k）申请的请求是通知FDA，提交人不再继续申请FDA对该510（k）申请的审评。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在该申请申请审评之后，FDA提供最终决定之前，510（k）提交人可以基于任何原因随时撤回整份待决定的510（k）申请。FDA在做出最终决定后不考虑撤回请求。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审评程序截止于提交人请求撤回整份待决定的510（k）申请后，标志着FDA审评终止，并被视为最终行动。如FDA收到撤回请求时，510（k）申请正被审评，则审评程序从当天开始截止。如FDA收到撤回请求时，510（k）处于待审评状态，则审评程序保持暂停，并从510（k）申请最后一次被搁置的日期开始计算。</w:t>
      </w:r>
    </w:p>
    <w:p>
      <w:pPr>
        <w:spacing w:before="156" w:beforeLines="50" w:after="156" w:afterLines="50"/>
        <w:ind w:left="1136" w:leftChars="270" w:hanging="569" w:hangingChars="236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3" w:name="_Toc97322232"/>
      <w:r>
        <w:rPr>
          <w:rFonts w:ascii="Times New Roman" w:hAnsi="Times New Roman" w:cs="Times New Roman"/>
          <w:b/>
          <w:bCs/>
          <w:sz w:val="24"/>
          <w:szCs w:val="24"/>
        </w:rPr>
        <w:t>C.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延长额外信息请求回复期限</w:t>
      </w:r>
      <w:bookmarkEnd w:id="23"/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依照21 CFR 807.87（I）条，如提交人未能在请求发布后30天内提供额外信息，FDA可以考虑撤回该申请。如上文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  <w:t>第III.E节</w:t>
      </w:r>
      <w:r>
        <w:rPr>
          <w:rFonts w:ascii="Times New Roman" w:hAnsi="Times New Roman" w:cs="Times New Roman"/>
          <w:sz w:val="24"/>
          <w:szCs w:val="24"/>
        </w:rPr>
        <w:t>所述，FDA一般会允许提交人有额外的时间回复该请求。</w:t>
      </w:r>
    </w:p>
    <w:p>
      <w:pPr>
        <w:widowControl/>
        <w:jc w:val="left"/>
        <w:rPr>
          <w:rFonts w:ascii="Times New Roman" w:hAnsi="Times New Roman" w:cs="Times New Roman"/>
          <w:szCs w:val="15"/>
        </w:rPr>
      </w:pPr>
      <w:r>
        <w:rPr>
          <w:rFonts w:ascii="Times New Roman" w:hAnsi="Times New Roman" w:cs="Times New Roman"/>
          <w:szCs w:val="15"/>
        </w:rPr>
        <w:br w:type="page"/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即使提交人没有申请延长期限，从</w:t>
      </w:r>
      <w:r>
        <w:rPr>
          <w:rFonts w:hint="eastAsia" w:ascii="Times New Roman" w:hAnsi="Times New Roman" w:cs="Times New Roman"/>
          <w:sz w:val="24"/>
          <w:szCs w:val="24"/>
        </w:rPr>
        <w:t>额外信息</w:t>
      </w:r>
      <w:r>
        <w:rPr>
          <w:rFonts w:ascii="Times New Roman" w:hAnsi="Times New Roman" w:cs="Times New Roman"/>
          <w:sz w:val="24"/>
          <w:szCs w:val="24"/>
        </w:rPr>
        <w:t>请求发出的日期开始计算，FDA会自动给予提交人最大限度的180天的期限。因此，提交人不需要提交延长期限的书面申请。</w:t>
      </w:r>
    </w:p>
    <w:p>
      <w:pPr>
        <w:spacing w:before="156" w:beforeLines="50" w:after="156" w:afterLines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但是，提交人应注意，如额外信息请求发出后180天内，FDA没有在提交给相应文件控制中心的文件中，收到一份针对额外信息请求中涉及的所有缺陷的完整回复，则将按照21 CFR 807.87（I），发布撤回通知。</w:t>
      </w:r>
    </w:p>
    <w:sectPr>
      <w:headerReference r:id="rId5" w:type="default"/>
      <w:footerReference r:id="rId6" w:type="default"/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  <w:rPr>
        <w:rFonts w:ascii="Times New Roman" w:hAnsi="Times New Roman" w:cs="Times New Roman"/>
        <w:sz w:val="21"/>
        <w:szCs w:val="21"/>
      </w:rPr>
    </w:pPr>
    <w:r>
      <w:rPr>
        <w:rFonts w:ascii="Times New Roman" w:hAnsi="Times New Roman" w:cs="Times New Roman"/>
        <w:sz w:val="21"/>
        <w:szCs w:val="21"/>
      </w:rPr>
      <w:fldChar w:fldCharType="begin"/>
    </w:r>
    <w:r>
      <w:rPr>
        <w:rFonts w:ascii="Times New Roman" w:hAnsi="Times New Roman" w:cs="Times New Roman"/>
        <w:sz w:val="21"/>
        <w:szCs w:val="21"/>
      </w:rPr>
      <w:instrText xml:space="preserve"> PAGE   \* MERGEFORMAT </w:instrText>
    </w:r>
    <w:r>
      <w:rPr>
        <w:rFonts w:ascii="Times New Roman" w:hAnsi="Times New Roman" w:cs="Times New Roman"/>
        <w:sz w:val="21"/>
        <w:szCs w:val="21"/>
      </w:rPr>
      <w:fldChar w:fldCharType="separate"/>
    </w:r>
    <w:r>
      <w:rPr>
        <w:rFonts w:ascii="Times New Roman" w:hAnsi="Times New Roman" w:cs="Times New Roman"/>
        <w:sz w:val="21"/>
        <w:szCs w:val="21"/>
      </w:rPr>
      <w:t>5</w:t>
    </w:r>
    <w:r>
      <w:rPr>
        <w:rFonts w:ascii="Times New Roman" w:hAnsi="Times New Roman" w:cs="Times New Roman"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0">
    <w:p>
      <w:r>
        <w:separator/>
      </w:r>
    </w:p>
  </w:footnote>
  <w:footnote w:type="continuationSeparator" w:id="21">
    <w:p>
      <w:r>
        <w:continuationSeparator/>
      </w:r>
    </w:p>
  </w:footnote>
  <w:footnote w:id="0">
    <w:p>
      <w:pPr>
        <w:pStyle w:val="7"/>
        <w:rPr>
          <w:rFonts w:ascii="Times New Roman" w:hAnsi="Times New Roman" w:cs="Times New Roman"/>
        </w:rPr>
      </w:pPr>
      <w:r>
        <w:rPr>
          <w:rStyle w:val="1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15"/>
        </w:rPr>
        <w:t>请参见2017年《FDA再授权法案》第二篇（公法115-52）。</w:t>
      </w:r>
    </w:p>
  </w:footnote>
  <w:footnote w:id="1">
    <w:p>
      <w:pPr>
        <w:pStyle w:val="7"/>
        <w:rPr>
          <w:rFonts w:ascii="Times New Roman" w:hAnsi="Times New Roman" w:cs="Times New Roman"/>
        </w:rPr>
      </w:pPr>
      <w:r>
        <w:rPr>
          <w:rStyle w:val="1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15"/>
        </w:rPr>
        <w:t>请参见2002年《医疗器械使用费和现代化法案》（公法107—250）。</w:t>
      </w:r>
    </w:p>
  </w:footnote>
  <w:footnote w:id="2">
    <w:p>
      <w:pPr>
        <w:pStyle w:val="7"/>
        <w:rPr>
          <w:rFonts w:ascii="Times New Roman" w:hAnsi="Times New Roman" w:cs="Times New Roman"/>
        </w:rPr>
      </w:pPr>
      <w:r>
        <w:rPr>
          <w:rStyle w:val="1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15"/>
        </w:rPr>
        <w:t>请参见2007年《食品与药品</w:t>
      </w:r>
      <w:r>
        <w:rPr>
          <w:rFonts w:hint="eastAsia" w:ascii="Times New Roman" w:hAnsi="Times New Roman" w:cs="Times New Roman"/>
          <w:szCs w:val="15"/>
        </w:rPr>
        <w:t>局</w:t>
      </w:r>
      <w:r>
        <w:rPr>
          <w:rFonts w:ascii="Times New Roman" w:hAnsi="Times New Roman" w:cs="Times New Roman"/>
          <w:szCs w:val="15"/>
        </w:rPr>
        <w:t>管理修订案》（公法110-85）第二篇。</w:t>
      </w:r>
    </w:p>
  </w:footnote>
  <w:footnote w:id="3">
    <w:p>
      <w:pPr>
        <w:pStyle w:val="7"/>
        <w:rPr>
          <w:rFonts w:ascii="Times New Roman" w:hAnsi="Times New Roman" w:cs="Times New Roman"/>
        </w:rPr>
      </w:pPr>
      <w:r>
        <w:rPr>
          <w:rStyle w:val="1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15"/>
        </w:rPr>
        <w:t>请参见《食品与药品管理</w:t>
      </w:r>
      <w:r>
        <w:rPr>
          <w:rFonts w:hint="eastAsia" w:ascii="Times New Roman" w:hAnsi="Times New Roman" w:cs="Times New Roman"/>
          <w:szCs w:val="15"/>
        </w:rPr>
        <w:t>局</w:t>
      </w:r>
      <w:r>
        <w:rPr>
          <w:rFonts w:ascii="Times New Roman" w:hAnsi="Times New Roman" w:cs="Times New Roman"/>
          <w:szCs w:val="15"/>
        </w:rPr>
        <w:t>安全和创新法案》（公法112-144）第二篇。</w:t>
      </w:r>
    </w:p>
  </w:footnote>
  <w:footnote w:id="4">
    <w:p>
      <w:pPr>
        <w:pStyle w:val="7"/>
        <w:rPr>
          <w:rFonts w:ascii="Times New Roman" w:hAnsi="Times New Roman" w:cs="Times New Roman"/>
        </w:rPr>
      </w:pPr>
      <w:r>
        <w:rPr>
          <w:rStyle w:val="1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15"/>
        </w:rPr>
        <w:t>见163 CONG.REC。S4729-S4736（每日出版，2017年8月2日）（《食品药品管理重新授权法》）可以在以下网址获取：</w:t>
      </w:r>
      <w:r>
        <w:fldChar w:fldCharType="begin"/>
      </w:r>
      <w:r>
        <w:instrText xml:space="preserve"> HYPERLINK "https://www.fda.gov/downloads/ForIndustry/UserFees/MedicalDeviceUserFee/UCM535548.pdf" </w:instrText>
      </w:r>
      <w:r>
        <w:fldChar w:fldCharType="separate"/>
      </w:r>
      <w:r>
        <w:rPr>
          <w:rStyle w:val="12"/>
          <w:rFonts w:ascii="Times New Roman" w:hAnsi="Times New Roman" w:cs="Times New Roman"/>
          <w:szCs w:val="15"/>
        </w:rPr>
        <w:t>https://www.fda.gov/downloads/ForIndustry/UserFees/MedicalDeviceUserFee/UCM535548.pdf</w:t>
      </w:r>
      <w:r>
        <w:rPr>
          <w:rStyle w:val="12"/>
          <w:rFonts w:ascii="Times New Roman" w:hAnsi="Times New Roman" w:cs="Times New Roman"/>
          <w:szCs w:val="15"/>
        </w:rPr>
        <w:fldChar w:fldCharType="end"/>
      </w:r>
      <w:r>
        <w:rPr>
          <w:rFonts w:ascii="Times New Roman" w:hAnsi="Times New Roman" w:cs="Times New Roman"/>
          <w:szCs w:val="15"/>
        </w:rPr>
        <w:t>.</w:t>
      </w:r>
    </w:p>
  </w:footnote>
  <w:footnote w:id="5">
    <w:p>
      <w:pPr>
        <w:pStyle w:val="7"/>
        <w:rPr>
          <w:rFonts w:ascii="Times New Roman" w:hAnsi="Times New Roman" w:cs="Times New Roman"/>
        </w:rPr>
      </w:pPr>
      <w:r>
        <w:rPr>
          <w:rStyle w:val="1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15"/>
        </w:rPr>
        <w:t>请参见158 CONG. S8277-S8281（每日版，2012年12月20日更正 ）（来自卫生和公</w:t>
      </w:r>
      <w:r>
        <w:rPr>
          <w:rFonts w:hint="eastAsia" w:ascii="Times New Roman" w:hAnsi="Times New Roman" w:cs="Times New Roman"/>
          <w:szCs w:val="15"/>
        </w:rPr>
        <w:t>众</w:t>
      </w:r>
      <w:r>
        <w:rPr>
          <w:rFonts w:ascii="Times New Roman" w:hAnsi="Times New Roman" w:cs="Times New Roman"/>
          <w:szCs w:val="15"/>
        </w:rPr>
        <w:t>服务部部长的信函，关于：医疗器械使用费计划），另请参见网址</w:t>
      </w:r>
      <w:r>
        <w:fldChar w:fldCharType="begin"/>
      </w:r>
      <w:r>
        <w:instrText xml:space="preserve"> HYPERLINK "https://www.fda.gov/downloads/MedicalDevices/NewsEvents/WorkshopsConferences/UCM295454.pdf" </w:instrText>
      </w:r>
      <w:r>
        <w:fldChar w:fldCharType="separate"/>
      </w:r>
      <w:r>
        <w:rPr>
          <w:rStyle w:val="12"/>
          <w:rFonts w:ascii="Times New Roman" w:hAnsi="Times New Roman" w:cs="Times New Roman"/>
          <w:szCs w:val="15"/>
        </w:rPr>
        <w:t>https://www.fda.gov/downloads/MedicalDevices/NewsEvents/WorkshopsConferences/UCM295454.pdf</w:t>
      </w:r>
      <w:r>
        <w:rPr>
          <w:rStyle w:val="12"/>
          <w:rFonts w:ascii="Times New Roman" w:hAnsi="Times New Roman" w:cs="Times New Roman"/>
          <w:szCs w:val="15"/>
        </w:rPr>
        <w:fldChar w:fldCharType="end"/>
      </w:r>
      <w:r>
        <w:rPr>
          <w:rFonts w:ascii="Times New Roman" w:hAnsi="Times New Roman" w:cs="Times New Roman"/>
          <w:szCs w:val="15"/>
        </w:rPr>
        <w:t>。</w:t>
      </w:r>
    </w:p>
  </w:footnote>
  <w:footnote w:id="6">
    <w:p>
      <w:pPr>
        <w:pStyle w:val="7"/>
        <w:rPr>
          <w:rFonts w:ascii="Times New Roman" w:hAnsi="Times New Roman" w:cs="Times New Roman"/>
        </w:rPr>
      </w:pPr>
      <w:r>
        <w:rPr>
          <w:rStyle w:val="1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15"/>
        </w:rPr>
        <w:t>请参见163 CONG. REC. S4729-S4736（每日版，2017年8月2日）（美国食品药品监督管理局使用费再授权），另请参见网址</w:t>
      </w:r>
      <w:r>
        <w:fldChar w:fldCharType="begin"/>
      </w:r>
      <w:r>
        <w:instrText xml:space="preserve"> HYPERLINK "https://www.fda.gov/downloads/ForIndustry/UserFees/MedicalDeviceUserFee/UCM535548.pdf" </w:instrText>
      </w:r>
      <w:r>
        <w:fldChar w:fldCharType="separate"/>
      </w:r>
      <w:r>
        <w:rPr>
          <w:rStyle w:val="12"/>
          <w:rFonts w:ascii="Times New Roman" w:hAnsi="Times New Roman" w:cs="Times New Roman"/>
          <w:szCs w:val="15"/>
        </w:rPr>
        <w:t>https://www.fda.gov/downloads/ForIndustry/UserFees/MedicalDeviceUserFee/UCM535548.pdf</w:t>
      </w:r>
      <w:r>
        <w:rPr>
          <w:rStyle w:val="12"/>
          <w:rFonts w:ascii="Times New Roman" w:hAnsi="Times New Roman" w:cs="Times New Roman"/>
          <w:szCs w:val="15"/>
        </w:rPr>
        <w:fldChar w:fldCharType="end"/>
      </w:r>
      <w:r>
        <w:rPr>
          <w:rFonts w:ascii="Times New Roman" w:hAnsi="Times New Roman" w:cs="Times New Roman"/>
          <w:szCs w:val="15"/>
        </w:rPr>
        <w:t>。</w:t>
      </w:r>
    </w:p>
  </w:footnote>
  <w:footnote w:id="7">
    <w:p>
      <w:pPr>
        <w:pStyle w:val="7"/>
        <w:rPr>
          <w:rFonts w:ascii="Times New Roman" w:hAnsi="Times New Roman" w:cs="Times New Roman"/>
        </w:rPr>
      </w:pPr>
      <w:r>
        <w:rPr>
          <w:rStyle w:val="1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15"/>
        </w:rPr>
        <w:t>关于“合法上市器械”的定义参考21 CFR 807.92（a）（3）</w:t>
      </w:r>
      <w:r>
        <w:t>。</w:t>
      </w:r>
    </w:p>
  </w:footnote>
  <w:footnote w:id="8">
    <w:p>
      <w:pPr>
        <w:pStyle w:val="7"/>
        <w:jc w:val="both"/>
        <w:rPr>
          <w:rFonts w:ascii="Times New Roman" w:hAnsi="Times New Roman" w:cs="Times New Roman"/>
        </w:rPr>
      </w:pPr>
      <w:r>
        <w:rPr>
          <w:rStyle w:val="1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15"/>
        </w:rPr>
        <w:t>请注意，CBER的额外信息请求将以邮件形式发出。</w:t>
      </w:r>
    </w:p>
  </w:footnote>
  <w:footnote w:id="9">
    <w:p>
      <w:pPr>
        <w:pStyle w:val="7"/>
        <w:rPr>
          <w:rFonts w:ascii="Times New Roman" w:hAnsi="Times New Roman" w:cs="Times New Roman"/>
        </w:rPr>
      </w:pPr>
      <w:r>
        <w:rPr>
          <w:rStyle w:val="1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15"/>
        </w:rPr>
        <w:t>请参见158 CONG. S8277-S8281（每日版，2012年12月20日更正 ）（来自卫生</w:t>
      </w:r>
      <w:r>
        <w:rPr>
          <w:rFonts w:hint="eastAsia" w:ascii="Times New Roman" w:hAnsi="Times New Roman" w:cs="Times New Roman"/>
          <w:szCs w:val="15"/>
        </w:rPr>
        <w:t>与</w:t>
      </w:r>
      <w:r>
        <w:rPr>
          <w:rFonts w:ascii="Times New Roman" w:hAnsi="Times New Roman" w:cs="Times New Roman"/>
          <w:szCs w:val="15"/>
        </w:rPr>
        <w:t>公</w:t>
      </w:r>
      <w:r>
        <w:rPr>
          <w:rFonts w:hint="eastAsia" w:ascii="Times New Roman" w:hAnsi="Times New Roman" w:cs="Times New Roman"/>
          <w:szCs w:val="15"/>
        </w:rPr>
        <w:t>众</w:t>
      </w:r>
      <w:r>
        <w:rPr>
          <w:rFonts w:ascii="Times New Roman" w:hAnsi="Times New Roman" w:cs="Times New Roman"/>
          <w:szCs w:val="15"/>
        </w:rPr>
        <w:t>服务部部长的信函，关于：医疗器械使用费计划），另请参见网址</w:t>
      </w:r>
      <w:r>
        <w:fldChar w:fldCharType="begin"/>
      </w:r>
      <w:r>
        <w:instrText xml:space="preserve"> HYPERLINK "https://www.fda.gov/downloads/MedicalDevices/NewsEvents/WorkshopsConferences/UCM295454.pdf" </w:instrText>
      </w:r>
      <w:r>
        <w:fldChar w:fldCharType="separate"/>
      </w:r>
      <w:r>
        <w:rPr>
          <w:rStyle w:val="12"/>
          <w:rFonts w:ascii="Times New Roman" w:hAnsi="Times New Roman" w:cs="Times New Roman"/>
          <w:szCs w:val="15"/>
        </w:rPr>
        <w:t>https://www.fda.gov/downloads/MedicalDevices/NewsEvents/WorkshopsConferences/UCM295454.pdf</w:t>
      </w:r>
      <w:r>
        <w:rPr>
          <w:rStyle w:val="12"/>
          <w:rFonts w:ascii="Times New Roman" w:hAnsi="Times New Roman" w:cs="Times New Roman"/>
          <w:szCs w:val="15"/>
        </w:rPr>
        <w:fldChar w:fldCharType="end"/>
      </w:r>
      <w:r>
        <w:rPr>
          <w:rFonts w:ascii="Times New Roman" w:hAnsi="Times New Roman" w:cs="Times New Roman"/>
          <w:szCs w:val="15"/>
        </w:rPr>
        <w:t>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spacing w:before="120" w:beforeLines="50" w:after="120" w:afterLines="50"/>
      <w:rPr>
        <w:rFonts w:ascii="Times New Roman" w:hAnsi="Times New Roman" w:cs="Times New Roman"/>
        <w:b/>
        <w:i/>
        <w:sz w:val="21"/>
        <w:szCs w:val="21"/>
      </w:rPr>
    </w:pPr>
    <w:r>
      <w:rPr>
        <w:rFonts w:hint="eastAsia"/>
        <w:b/>
        <w:bCs/>
        <w:i/>
        <w:iCs/>
        <w:sz w:val="21"/>
        <w:szCs w:val="21"/>
      </w:rPr>
      <w:t>所含建议不具约束力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spacing w:before="120" w:beforeLines="50" w:after="120" w:afterLines="50"/>
      <w:rPr>
        <w:rFonts w:ascii="Times New Roman" w:hAnsi="Times New Roman" w:cs="Times New Roman"/>
        <w:b/>
        <w:i/>
        <w:sz w:val="21"/>
        <w:szCs w:val="21"/>
      </w:rPr>
    </w:pPr>
    <w:r>
      <w:rPr>
        <w:rFonts w:hint="eastAsia"/>
        <w:b/>
        <w:bCs/>
        <w:i/>
        <w:iCs/>
        <w:sz w:val="21"/>
        <w:szCs w:val="21"/>
      </w:rPr>
      <w:t>所含建议不具约束力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0"/>
    <w:footnote w:id="2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lkZDE3MDVmM2FiZWEwYmQ4NGQzZTU2NDlkMTE0MGIifQ=="/>
  </w:docVars>
  <w:rsids>
    <w:rsidRoot w:val="00AE5438"/>
    <w:rsid w:val="0001481D"/>
    <w:rsid w:val="00037F06"/>
    <w:rsid w:val="0004647D"/>
    <w:rsid w:val="00046DBB"/>
    <w:rsid w:val="000740F1"/>
    <w:rsid w:val="000868BF"/>
    <w:rsid w:val="000E6C5E"/>
    <w:rsid w:val="001410B1"/>
    <w:rsid w:val="00186FAF"/>
    <w:rsid w:val="00194914"/>
    <w:rsid w:val="001B4DD1"/>
    <w:rsid w:val="001E073F"/>
    <w:rsid w:val="00204A9A"/>
    <w:rsid w:val="002376F4"/>
    <w:rsid w:val="00247DB9"/>
    <w:rsid w:val="002579C0"/>
    <w:rsid w:val="002818F6"/>
    <w:rsid w:val="0029317C"/>
    <w:rsid w:val="002963B1"/>
    <w:rsid w:val="002A0347"/>
    <w:rsid w:val="002A6E8F"/>
    <w:rsid w:val="002F64D9"/>
    <w:rsid w:val="00305FAE"/>
    <w:rsid w:val="00384715"/>
    <w:rsid w:val="00387DEF"/>
    <w:rsid w:val="00396B6B"/>
    <w:rsid w:val="003A16F6"/>
    <w:rsid w:val="003B700E"/>
    <w:rsid w:val="0042191B"/>
    <w:rsid w:val="00422507"/>
    <w:rsid w:val="00434C7E"/>
    <w:rsid w:val="004355E7"/>
    <w:rsid w:val="00443D2C"/>
    <w:rsid w:val="004523C7"/>
    <w:rsid w:val="004B231E"/>
    <w:rsid w:val="00500B28"/>
    <w:rsid w:val="0051201D"/>
    <w:rsid w:val="005275FB"/>
    <w:rsid w:val="00574B93"/>
    <w:rsid w:val="005B2A31"/>
    <w:rsid w:val="005B2B4C"/>
    <w:rsid w:val="005C56D4"/>
    <w:rsid w:val="005D3BFB"/>
    <w:rsid w:val="005D42DC"/>
    <w:rsid w:val="005E18AF"/>
    <w:rsid w:val="005F4A92"/>
    <w:rsid w:val="00640B10"/>
    <w:rsid w:val="0065637B"/>
    <w:rsid w:val="006C5CE2"/>
    <w:rsid w:val="00723927"/>
    <w:rsid w:val="00724B3B"/>
    <w:rsid w:val="00726F3F"/>
    <w:rsid w:val="0074266F"/>
    <w:rsid w:val="007523F8"/>
    <w:rsid w:val="00753268"/>
    <w:rsid w:val="00760E53"/>
    <w:rsid w:val="007670C1"/>
    <w:rsid w:val="00791193"/>
    <w:rsid w:val="007A6E26"/>
    <w:rsid w:val="007B1AE4"/>
    <w:rsid w:val="007C12CA"/>
    <w:rsid w:val="007C38ED"/>
    <w:rsid w:val="007C5029"/>
    <w:rsid w:val="00826482"/>
    <w:rsid w:val="00826BFD"/>
    <w:rsid w:val="008300E8"/>
    <w:rsid w:val="00865750"/>
    <w:rsid w:val="008C740E"/>
    <w:rsid w:val="00915FFE"/>
    <w:rsid w:val="009160A7"/>
    <w:rsid w:val="00950810"/>
    <w:rsid w:val="00966AD2"/>
    <w:rsid w:val="00973869"/>
    <w:rsid w:val="009744B5"/>
    <w:rsid w:val="009B3A19"/>
    <w:rsid w:val="00A62C70"/>
    <w:rsid w:val="00A634C9"/>
    <w:rsid w:val="00A756DC"/>
    <w:rsid w:val="00A77FB3"/>
    <w:rsid w:val="00A81E42"/>
    <w:rsid w:val="00A94C2D"/>
    <w:rsid w:val="00AC4F90"/>
    <w:rsid w:val="00AE5438"/>
    <w:rsid w:val="00AF66A9"/>
    <w:rsid w:val="00AF6F4E"/>
    <w:rsid w:val="00B11FA3"/>
    <w:rsid w:val="00B57F8D"/>
    <w:rsid w:val="00B748E0"/>
    <w:rsid w:val="00B819B3"/>
    <w:rsid w:val="00B96CDE"/>
    <w:rsid w:val="00BC426B"/>
    <w:rsid w:val="00C85F9A"/>
    <w:rsid w:val="00C97D2D"/>
    <w:rsid w:val="00CA3A92"/>
    <w:rsid w:val="00CA7A8A"/>
    <w:rsid w:val="00CD2A3E"/>
    <w:rsid w:val="00CD3FFD"/>
    <w:rsid w:val="00CF3A8E"/>
    <w:rsid w:val="00D364FA"/>
    <w:rsid w:val="00D4570B"/>
    <w:rsid w:val="00D514A9"/>
    <w:rsid w:val="00DC2CE6"/>
    <w:rsid w:val="00DD512B"/>
    <w:rsid w:val="00DE7532"/>
    <w:rsid w:val="00DF5D49"/>
    <w:rsid w:val="00E20FD1"/>
    <w:rsid w:val="00E64A21"/>
    <w:rsid w:val="00E72213"/>
    <w:rsid w:val="00E72368"/>
    <w:rsid w:val="00EA51B2"/>
    <w:rsid w:val="00EA6C8B"/>
    <w:rsid w:val="00EC13FD"/>
    <w:rsid w:val="00EF39FF"/>
    <w:rsid w:val="00EF7B6D"/>
    <w:rsid w:val="00F241D7"/>
    <w:rsid w:val="00F25C4C"/>
    <w:rsid w:val="00F44055"/>
    <w:rsid w:val="00F66BC6"/>
    <w:rsid w:val="00F9340A"/>
    <w:rsid w:val="00FC7855"/>
    <w:rsid w:val="00FF03F9"/>
    <w:rsid w:val="23CA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unhideWhenUsed/>
    <w:uiPriority w:val="39"/>
    <w:pPr>
      <w:ind w:left="840" w:leftChars="400"/>
    </w:pPr>
  </w:style>
  <w:style w:type="paragraph" w:styleId="3">
    <w:name w:val="Balloon Text"/>
    <w:basedOn w:val="1"/>
    <w:link w:val="16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unhideWhenUsed/>
    <w:uiPriority w:val="39"/>
    <w:pPr>
      <w:tabs>
        <w:tab w:val="left" w:pos="567"/>
        <w:tab w:val="right" w:leader="dot" w:pos="9628"/>
      </w:tabs>
    </w:pPr>
  </w:style>
  <w:style w:type="paragraph" w:styleId="7">
    <w:name w:val="footnote text"/>
    <w:basedOn w:val="1"/>
    <w:link w:val="28"/>
    <w:semiHidden/>
    <w:unhideWhenUsed/>
    <w:uiPriority w:val="99"/>
    <w:pPr>
      <w:snapToGrid w:val="0"/>
      <w:jc w:val="left"/>
    </w:pPr>
    <w:rPr>
      <w:sz w:val="18"/>
      <w:szCs w:val="18"/>
    </w:rPr>
  </w:style>
  <w:style w:type="paragraph" w:styleId="8">
    <w:name w:val="toc 2"/>
    <w:basedOn w:val="1"/>
    <w:next w:val="1"/>
    <w:unhideWhenUsed/>
    <w:uiPriority w:val="39"/>
    <w:pPr>
      <w:ind w:left="420" w:leftChars="200"/>
    </w:pPr>
  </w:style>
  <w:style w:type="table" w:styleId="10">
    <w:name w:val="Table Grid"/>
    <w:basedOn w:val="9"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2">
    <w:name w:val="Hyperlink"/>
    <w:basedOn w:val="11"/>
    <w:unhideWhenUsed/>
    <w:uiPriority w:val="99"/>
    <w:rPr>
      <w:color w:val="0000FF" w:themeColor="hyperlink"/>
      <w:u w:val="single"/>
    </w:rPr>
  </w:style>
  <w:style w:type="character" w:styleId="13">
    <w:name w:val="footnote reference"/>
    <w:basedOn w:val="11"/>
    <w:semiHidden/>
    <w:unhideWhenUsed/>
    <w:uiPriority w:val="99"/>
    <w:rPr>
      <w:vertAlign w:val="superscript"/>
    </w:rPr>
  </w:style>
  <w:style w:type="character" w:customStyle="1" w:styleId="14">
    <w:name w:val="页眉 字符"/>
    <w:basedOn w:val="11"/>
    <w:link w:val="5"/>
    <w:uiPriority w:val="99"/>
    <w:rPr>
      <w:sz w:val="18"/>
      <w:szCs w:val="18"/>
    </w:rPr>
  </w:style>
  <w:style w:type="character" w:customStyle="1" w:styleId="15">
    <w:name w:val="页脚 字符"/>
    <w:basedOn w:val="11"/>
    <w:link w:val="4"/>
    <w:uiPriority w:val="99"/>
    <w:rPr>
      <w:sz w:val="18"/>
      <w:szCs w:val="18"/>
    </w:rPr>
  </w:style>
  <w:style w:type="character" w:customStyle="1" w:styleId="16">
    <w:name w:val="批注框文本 字符"/>
    <w:basedOn w:val="11"/>
    <w:link w:val="3"/>
    <w:semiHidden/>
    <w:qFormat/>
    <w:uiPriority w:val="99"/>
    <w:rPr>
      <w:sz w:val="18"/>
      <w:szCs w:val="18"/>
    </w:rPr>
  </w:style>
  <w:style w:type="character" w:customStyle="1" w:styleId="17">
    <w:name w:val="其他_"/>
    <w:basedOn w:val="11"/>
    <w:link w:val="18"/>
    <w:qFormat/>
    <w:uiPriority w:val="0"/>
    <w:rPr>
      <w:rFonts w:ascii="Arial" w:hAnsi="Arial" w:eastAsia="Arial" w:cs="Arial"/>
      <w:sz w:val="14"/>
      <w:szCs w:val="14"/>
      <w:shd w:val="clear" w:color="auto" w:fill="FFFFFF"/>
    </w:rPr>
  </w:style>
  <w:style w:type="paragraph" w:customStyle="1" w:styleId="18">
    <w:name w:val="其他"/>
    <w:basedOn w:val="1"/>
    <w:link w:val="17"/>
    <w:uiPriority w:val="0"/>
    <w:pPr>
      <w:shd w:val="clear" w:color="auto" w:fill="FFFFFF"/>
      <w:jc w:val="left"/>
    </w:pPr>
    <w:rPr>
      <w:rFonts w:ascii="Arial" w:hAnsi="Arial" w:eastAsia="Arial" w:cs="Arial"/>
      <w:sz w:val="14"/>
      <w:szCs w:val="14"/>
    </w:rPr>
  </w:style>
  <w:style w:type="character" w:customStyle="1" w:styleId="19">
    <w:name w:val="标题 #1_"/>
    <w:basedOn w:val="11"/>
    <w:link w:val="20"/>
    <w:uiPriority w:val="0"/>
    <w:rPr>
      <w:rFonts w:ascii="Arial" w:hAnsi="Arial" w:eastAsia="Arial" w:cs="Arial"/>
      <w:w w:val="60"/>
      <w:sz w:val="78"/>
      <w:szCs w:val="78"/>
      <w:shd w:val="clear" w:color="auto" w:fill="FFFFFF"/>
    </w:rPr>
  </w:style>
  <w:style w:type="paragraph" w:customStyle="1" w:styleId="20">
    <w:name w:val="标题 #1"/>
    <w:basedOn w:val="1"/>
    <w:link w:val="19"/>
    <w:uiPriority w:val="0"/>
    <w:pPr>
      <w:shd w:val="clear" w:color="auto" w:fill="FFFFFF"/>
      <w:jc w:val="right"/>
      <w:outlineLvl w:val="0"/>
    </w:pPr>
    <w:rPr>
      <w:rFonts w:ascii="Arial" w:hAnsi="Arial" w:eastAsia="Arial" w:cs="Arial"/>
      <w:w w:val="60"/>
      <w:sz w:val="78"/>
      <w:szCs w:val="78"/>
    </w:rPr>
  </w:style>
  <w:style w:type="character" w:customStyle="1" w:styleId="21">
    <w:name w:val="标题 #3_"/>
    <w:basedOn w:val="11"/>
    <w:link w:val="22"/>
    <w:uiPriority w:val="0"/>
    <w:rPr>
      <w:rFonts w:ascii="Arial" w:hAnsi="Arial" w:eastAsia="Arial" w:cs="Arial"/>
      <w:b/>
      <w:bCs/>
      <w:sz w:val="40"/>
      <w:szCs w:val="40"/>
      <w:shd w:val="clear" w:color="auto" w:fill="FFFFFF"/>
    </w:rPr>
  </w:style>
  <w:style w:type="paragraph" w:customStyle="1" w:styleId="22">
    <w:name w:val="标题 #3"/>
    <w:basedOn w:val="1"/>
    <w:link w:val="21"/>
    <w:uiPriority w:val="0"/>
    <w:pPr>
      <w:shd w:val="clear" w:color="auto" w:fill="FFFFFF"/>
      <w:jc w:val="left"/>
      <w:outlineLvl w:val="2"/>
    </w:pPr>
    <w:rPr>
      <w:rFonts w:ascii="Arial" w:hAnsi="Arial" w:eastAsia="Arial" w:cs="Arial"/>
      <w:b/>
      <w:bCs/>
      <w:sz w:val="40"/>
      <w:szCs w:val="40"/>
    </w:rPr>
  </w:style>
  <w:style w:type="paragraph" w:styleId="23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4">
    <w:name w:val="表格标题_"/>
    <w:basedOn w:val="11"/>
    <w:link w:val="25"/>
    <w:uiPriority w:val="0"/>
    <w:rPr>
      <w:rFonts w:ascii="Arial" w:hAnsi="Arial" w:eastAsia="Arial" w:cs="Arial"/>
      <w:sz w:val="14"/>
      <w:szCs w:val="14"/>
      <w:shd w:val="clear" w:color="auto" w:fill="FFFFFF"/>
    </w:rPr>
  </w:style>
  <w:style w:type="paragraph" w:customStyle="1" w:styleId="25">
    <w:name w:val="表格标题"/>
    <w:basedOn w:val="1"/>
    <w:link w:val="24"/>
    <w:uiPriority w:val="0"/>
    <w:pPr>
      <w:shd w:val="clear" w:color="auto" w:fill="FFFFFF"/>
      <w:jc w:val="left"/>
    </w:pPr>
    <w:rPr>
      <w:rFonts w:ascii="Arial" w:hAnsi="Arial" w:eastAsia="Arial" w:cs="Arial"/>
      <w:sz w:val="14"/>
      <w:szCs w:val="14"/>
    </w:rPr>
  </w:style>
  <w:style w:type="character" w:customStyle="1" w:styleId="26">
    <w:name w:val="正文文本 (6)_"/>
    <w:basedOn w:val="11"/>
    <w:link w:val="27"/>
    <w:uiPriority w:val="0"/>
    <w:rPr>
      <w:rFonts w:ascii="Calibri" w:hAnsi="Calibri" w:eastAsia="Calibri" w:cs="Calibri"/>
      <w:sz w:val="32"/>
      <w:szCs w:val="32"/>
      <w:shd w:val="clear" w:color="auto" w:fill="FFFFFF"/>
    </w:rPr>
  </w:style>
  <w:style w:type="paragraph" w:customStyle="1" w:styleId="27">
    <w:name w:val="正文文本 (6)"/>
    <w:basedOn w:val="1"/>
    <w:link w:val="26"/>
    <w:uiPriority w:val="0"/>
    <w:pPr>
      <w:shd w:val="clear" w:color="auto" w:fill="FFFFFF"/>
      <w:spacing w:after="20"/>
      <w:jc w:val="left"/>
    </w:pPr>
    <w:rPr>
      <w:rFonts w:ascii="Calibri" w:hAnsi="Calibri" w:eastAsia="Calibri" w:cs="Calibri"/>
      <w:sz w:val="32"/>
      <w:szCs w:val="32"/>
    </w:rPr>
  </w:style>
  <w:style w:type="character" w:customStyle="1" w:styleId="28">
    <w:name w:val="脚注文本 字符"/>
    <w:basedOn w:val="11"/>
    <w:link w:val="7"/>
    <w:semiHidden/>
    <w:uiPriority w:val="99"/>
    <w:rPr>
      <w:sz w:val="18"/>
      <w:szCs w:val="18"/>
    </w:rPr>
  </w:style>
  <w:style w:type="table" w:customStyle="1" w:styleId="29">
    <w:name w:val="网格型1"/>
    <w:basedOn w:val="9"/>
    <w:qFormat/>
    <w:uiPriority w:val="39"/>
    <w:rPr>
      <w:szCs w:val="21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30">
    <w:name w:val="Revision"/>
    <w:hidden/>
    <w:semiHidden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25C57-72BA-43B0-AB18-3837E95E852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14</Pages>
  <Words>8344</Words>
  <Characters>10632</Characters>
  <Lines>97</Lines>
  <Paragraphs>27</Paragraphs>
  <TotalTime>716</TotalTime>
  <ScaleCrop>false</ScaleCrop>
  <LinksUpToDate>false</LinksUpToDate>
  <CharactersWithSpaces>10819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2019-03-25T05:36:00Z</dcterms:created>
  <dc:creator>Sky123.Org</dc:creator>
  <cp:lastModifiedBy>文晓霏</cp:lastModifiedBy>
  <dcterms:modified xsi:type="dcterms:W3CDTF">2022-10-09T09:02:48Z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32C6B82146BF40CE85B962977D0EED4A</vt:lpwstr>
  </property>
</Properties>
</file>