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8C2CE" w14:textId="77777777" w:rsidR="00CE6F56" w:rsidRPr="001F432F" w:rsidRDefault="00CE6F56" w:rsidP="00CE6F56">
      <w:pPr>
        <w:pStyle w:val="Default"/>
        <w:pBdr>
          <w:bottom w:val="single" w:sz="4" w:space="1" w:color="auto"/>
        </w:pBdr>
        <w:jc w:val="center"/>
        <w:rPr>
          <w:rFonts w:eastAsia="宋体"/>
          <w:sz w:val="56"/>
          <w:szCs w:val="56"/>
        </w:rPr>
      </w:pPr>
      <w:r w:rsidRPr="001F432F">
        <w:rPr>
          <w:rFonts w:eastAsia="宋体"/>
          <w:b/>
          <w:bCs/>
          <w:sz w:val="56"/>
          <w:szCs w:val="56"/>
        </w:rPr>
        <w:t>互操作性医疗器械的设计考虑事项和</w:t>
      </w:r>
      <w:r w:rsidR="004826CF">
        <w:rPr>
          <w:rFonts w:eastAsia="宋体"/>
          <w:b/>
          <w:bCs/>
          <w:sz w:val="56"/>
          <w:szCs w:val="56"/>
        </w:rPr>
        <w:t>上市前申报资料建议</w:t>
      </w:r>
    </w:p>
    <w:p w14:paraId="291642DC" w14:textId="77777777" w:rsidR="00CE6F56" w:rsidRPr="001F432F" w:rsidRDefault="00CE6F56" w:rsidP="00CE6F56">
      <w:pPr>
        <w:pStyle w:val="Default"/>
        <w:jc w:val="center"/>
        <w:rPr>
          <w:rFonts w:eastAsia="宋体"/>
          <w:sz w:val="56"/>
          <w:szCs w:val="56"/>
        </w:rPr>
      </w:pPr>
      <w:r w:rsidRPr="001F432F">
        <w:rPr>
          <w:rFonts w:eastAsia="宋体"/>
          <w:b/>
          <w:bCs/>
          <w:sz w:val="56"/>
          <w:szCs w:val="56"/>
        </w:rPr>
        <w:t>行业和美国食品药品监督管理局工作人员指南</w:t>
      </w:r>
    </w:p>
    <w:p w14:paraId="560FCCA9" w14:textId="77777777" w:rsidR="00CE6F56" w:rsidRPr="001F432F" w:rsidRDefault="00CE6F56" w:rsidP="00CE6F56">
      <w:pPr>
        <w:pStyle w:val="Default"/>
        <w:jc w:val="center"/>
        <w:rPr>
          <w:rFonts w:eastAsia="宋体"/>
          <w:b/>
          <w:bCs/>
          <w:sz w:val="28"/>
          <w:szCs w:val="28"/>
        </w:rPr>
      </w:pPr>
    </w:p>
    <w:p w14:paraId="372B47F6" w14:textId="77777777" w:rsidR="00CE6F56" w:rsidRPr="001F432F" w:rsidRDefault="00CE6F56" w:rsidP="00CE6F56">
      <w:pPr>
        <w:pStyle w:val="Default"/>
        <w:jc w:val="center"/>
        <w:rPr>
          <w:rFonts w:eastAsia="宋体"/>
          <w:b/>
          <w:bCs/>
          <w:sz w:val="28"/>
          <w:szCs w:val="28"/>
        </w:rPr>
      </w:pPr>
    </w:p>
    <w:p w14:paraId="127476AC" w14:textId="77777777" w:rsidR="00CE6F56" w:rsidRPr="001F432F" w:rsidRDefault="00CE6F56" w:rsidP="00CE6F56">
      <w:pPr>
        <w:pStyle w:val="Default"/>
        <w:jc w:val="center"/>
        <w:rPr>
          <w:rFonts w:eastAsia="宋体"/>
          <w:b/>
          <w:bCs/>
          <w:sz w:val="28"/>
          <w:szCs w:val="28"/>
        </w:rPr>
      </w:pPr>
    </w:p>
    <w:p w14:paraId="18F950D8" w14:textId="77777777" w:rsidR="00CE6F56" w:rsidRPr="001F432F" w:rsidRDefault="00CE6F56" w:rsidP="00CE6F56">
      <w:pPr>
        <w:pStyle w:val="Default"/>
        <w:jc w:val="center"/>
        <w:rPr>
          <w:rFonts w:eastAsia="宋体"/>
          <w:b/>
          <w:bCs/>
          <w:sz w:val="28"/>
          <w:szCs w:val="28"/>
        </w:rPr>
      </w:pPr>
    </w:p>
    <w:p w14:paraId="2F9F3654" w14:textId="77777777" w:rsidR="00CE6F56" w:rsidRPr="001F432F" w:rsidRDefault="00CE6F56" w:rsidP="00CE6F56">
      <w:pPr>
        <w:pStyle w:val="Default"/>
        <w:jc w:val="center"/>
        <w:rPr>
          <w:rFonts w:eastAsia="宋体"/>
          <w:sz w:val="28"/>
          <w:szCs w:val="28"/>
        </w:rPr>
      </w:pPr>
      <w:r w:rsidRPr="001F432F">
        <w:rPr>
          <w:rFonts w:eastAsia="宋体"/>
          <w:b/>
          <w:bCs/>
          <w:sz w:val="28"/>
          <w:szCs w:val="28"/>
        </w:rPr>
        <w:t>文件发布日期：</w:t>
      </w:r>
      <w:r w:rsidRPr="001F432F">
        <w:rPr>
          <w:rFonts w:eastAsia="宋体"/>
          <w:b/>
          <w:bCs/>
          <w:sz w:val="28"/>
          <w:szCs w:val="28"/>
        </w:rPr>
        <w:t>2017</w:t>
      </w:r>
      <w:r w:rsidRPr="001F432F">
        <w:rPr>
          <w:rFonts w:eastAsia="宋体"/>
          <w:b/>
          <w:bCs/>
          <w:sz w:val="28"/>
          <w:szCs w:val="28"/>
        </w:rPr>
        <w:t>年</w:t>
      </w:r>
      <w:r w:rsidRPr="001F432F">
        <w:rPr>
          <w:rFonts w:eastAsia="宋体"/>
          <w:b/>
          <w:bCs/>
          <w:sz w:val="28"/>
          <w:szCs w:val="28"/>
        </w:rPr>
        <w:t>9</w:t>
      </w:r>
      <w:r w:rsidRPr="001F432F">
        <w:rPr>
          <w:rFonts w:eastAsia="宋体"/>
          <w:b/>
          <w:bCs/>
          <w:sz w:val="28"/>
          <w:szCs w:val="28"/>
        </w:rPr>
        <w:t>月</w:t>
      </w:r>
      <w:r w:rsidRPr="001F432F">
        <w:rPr>
          <w:rFonts w:eastAsia="宋体"/>
          <w:b/>
          <w:bCs/>
          <w:sz w:val="28"/>
          <w:szCs w:val="28"/>
        </w:rPr>
        <w:t>6</w:t>
      </w:r>
      <w:r w:rsidRPr="001F432F">
        <w:rPr>
          <w:rFonts w:eastAsia="宋体"/>
          <w:b/>
          <w:bCs/>
          <w:sz w:val="28"/>
          <w:szCs w:val="28"/>
        </w:rPr>
        <w:t>日</w:t>
      </w:r>
    </w:p>
    <w:p w14:paraId="09F3EF6A" w14:textId="60EB70E1" w:rsidR="00CE6F56" w:rsidRPr="001F432F" w:rsidRDefault="00CE6F56" w:rsidP="00CE6F56">
      <w:pPr>
        <w:shd w:val="clear" w:color="auto" w:fill="FFFFFF"/>
        <w:snapToGrid w:val="0"/>
        <w:jc w:val="center"/>
        <w:rPr>
          <w:rFonts w:eastAsia="宋体"/>
          <w:b/>
          <w:bCs/>
          <w:sz w:val="28"/>
          <w:szCs w:val="28"/>
        </w:rPr>
      </w:pPr>
      <w:r w:rsidRPr="001F432F">
        <w:rPr>
          <w:rFonts w:eastAsia="宋体"/>
          <w:b/>
          <w:bCs/>
          <w:sz w:val="28"/>
          <w:szCs w:val="28"/>
        </w:rPr>
        <w:t>文件草案</w:t>
      </w:r>
      <w:r w:rsidR="00630112">
        <w:rPr>
          <w:rFonts w:eastAsia="宋体" w:hint="eastAsia"/>
          <w:b/>
          <w:bCs/>
          <w:sz w:val="28"/>
          <w:szCs w:val="28"/>
        </w:rPr>
        <w:t>发布日期：</w:t>
      </w:r>
      <w:r w:rsidRPr="001F432F">
        <w:rPr>
          <w:rFonts w:eastAsia="宋体"/>
          <w:b/>
          <w:bCs/>
          <w:sz w:val="28"/>
          <w:szCs w:val="28"/>
        </w:rPr>
        <w:t>2016</w:t>
      </w:r>
      <w:r w:rsidRPr="001F432F">
        <w:rPr>
          <w:rFonts w:eastAsia="宋体"/>
          <w:b/>
          <w:bCs/>
          <w:sz w:val="28"/>
          <w:szCs w:val="28"/>
        </w:rPr>
        <w:t>年</w:t>
      </w:r>
      <w:r w:rsidRPr="001F432F">
        <w:rPr>
          <w:rFonts w:eastAsia="宋体"/>
          <w:b/>
          <w:bCs/>
          <w:sz w:val="28"/>
          <w:szCs w:val="28"/>
        </w:rPr>
        <w:t>1</w:t>
      </w:r>
      <w:r w:rsidRPr="001F432F">
        <w:rPr>
          <w:rFonts w:eastAsia="宋体"/>
          <w:b/>
          <w:bCs/>
          <w:sz w:val="28"/>
          <w:szCs w:val="28"/>
        </w:rPr>
        <w:t>月</w:t>
      </w:r>
      <w:r w:rsidRPr="001F432F">
        <w:rPr>
          <w:rFonts w:eastAsia="宋体"/>
          <w:b/>
          <w:bCs/>
          <w:sz w:val="28"/>
          <w:szCs w:val="28"/>
        </w:rPr>
        <w:t>26</w:t>
      </w:r>
      <w:r w:rsidRPr="001F432F">
        <w:rPr>
          <w:rFonts w:eastAsia="宋体"/>
          <w:b/>
          <w:bCs/>
          <w:sz w:val="28"/>
          <w:szCs w:val="28"/>
        </w:rPr>
        <w:t>日</w:t>
      </w:r>
    </w:p>
    <w:p w14:paraId="6E346024" w14:textId="77777777" w:rsidR="00CE6F56" w:rsidRPr="001F432F" w:rsidRDefault="00CE6F56" w:rsidP="00CE6F56">
      <w:pPr>
        <w:shd w:val="clear" w:color="auto" w:fill="FFFFFF"/>
        <w:snapToGrid w:val="0"/>
        <w:jc w:val="center"/>
        <w:rPr>
          <w:rFonts w:eastAsia="宋体"/>
          <w:b/>
          <w:bCs/>
          <w:sz w:val="28"/>
          <w:szCs w:val="28"/>
        </w:rPr>
      </w:pPr>
    </w:p>
    <w:p w14:paraId="6A592C7A" w14:textId="77777777" w:rsidR="00CE6F56" w:rsidRPr="001F432F" w:rsidRDefault="00CE6F56" w:rsidP="00CE6F56">
      <w:pPr>
        <w:shd w:val="clear" w:color="auto" w:fill="FFFFFF"/>
        <w:snapToGrid w:val="0"/>
        <w:jc w:val="center"/>
        <w:rPr>
          <w:rFonts w:eastAsia="宋体"/>
          <w:b/>
          <w:bCs/>
          <w:sz w:val="28"/>
          <w:szCs w:val="28"/>
        </w:rPr>
      </w:pPr>
    </w:p>
    <w:p w14:paraId="7A0C37A2" w14:textId="77777777" w:rsidR="00CE6F56" w:rsidRPr="001F432F" w:rsidRDefault="00CE6F56" w:rsidP="00CE6F56">
      <w:pPr>
        <w:shd w:val="clear" w:color="auto" w:fill="FFFFFF"/>
        <w:snapToGrid w:val="0"/>
        <w:jc w:val="both"/>
        <w:rPr>
          <w:rFonts w:eastAsia="宋体"/>
          <w:sz w:val="24"/>
          <w:szCs w:val="24"/>
        </w:rPr>
      </w:pPr>
      <w:r w:rsidRPr="001F432F">
        <w:rPr>
          <w:rFonts w:eastAsia="宋体"/>
          <w:color w:val="000000"/>
          <w:sz w:val="24"/>
          <w:szCs w:val="24"/>
        </w:rPr>
        <w:t>如对本文件有任何关于</w:t>
      </w:r>
      <w:r w:rsidRPr="001F432F">
        <w:rPr>
          <w:rFonts w:eastAsia="宋体"/>
          <w:color w:val="000000"/>
          <w:sz w:val="24"/>
          <w:szCs w:val="24"/>
        </w:rPr>
        <w:t>CDRH</w:t>
      </w:r>
      <w:r w:rsidRPr="001F432F">
        <w:rPr>
          <w:rFonts w:eastAsia="宋体"/>
          <w:color w:val="000000"/>
          <w:sz w:val="24"/>
          <w:szCs w:val="24"/>
        </w:rPr>
        <w:t>监管器械的问题，请发送电子邮件至：</w:t>
      </w:r>
      <w:r w:rsidRPr="001F432F">
        <w:rPr>
          <w:rFonts w:eastAsia="宋体"/>
          <w:color w:val="0000FF"/>
          <w:sz w:val="24"/>
          <w:szCs w:val="24"/>
          <w:u w:val="single"/>
        </w:rPr>
        <w:t>DigitalHealth@fda.hhs.gov</w:t>
      </w:r>
      <w:r w:rsidRPr="001F432F">
        <w:rPr>
          <w:rFonts w:eastAsia="宋体"/>
          <w:color w:val="000000"/>
          <w:sz w:val="24"/>
          <w:szCs w:val="24"/>
        </w:rPr>
        <w:t>.</w:t>
      </w:r>
    </w:p>
    <w:p w14:paraId="41BF3099" w14:textId="77777777" w:rsidR="00CE6F56" w:rsidRPr="001F432F" w:rsidRDefault="00CE6F56" w:rsidP="00FE4CD1">
      <w:pPr>
        <w:shd w:val="clear" w:color="auto" w:fill="FFFFFF"/>
        <w:snapToGrid w:val="0"/>
        <w:jc w:val="both"/>
        <w:rPr>
          <w:rFonts w:eastAsia="宋体"/>
          <w:color w:val="000000"/>
          <w:sz w:val="24"/>
          <w:szCs w:val="24"/>
        </w:rPr>
      </w:pPr>
    </w:p>
    <w:p w14:paraId="5EB8230A"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如对本文件有任何关于</w:t>
      </w:r>
      <w:r w:rsidRPr="001F432F">
        <w:rPr>
          <w:rFonts w:eastAsia="宋体"/>
          <w:color w:val="000000"/>
          <w:sz w:val="24"/>
          <w:szCs w:val="24"/>
        </w:rPr>
        <w:t>CBER</w:t>
      </w:r>
      <w:r w:rsidRPr="001F432F">
        <w:rPr>
          <w:rFonts w:eastAsia="宋体"/>
          <w:color w:val="000000"/>
          <w:sz w:val="24"/>
          <w:szCs w:val="24"/>
        </w:rPr>
        <w:t>监管器械的问题，请致电</w:t>
      </w:r>
      <w:r w:rsidRPr="001F432F">
        <w:rPr>
          <w:rFonts w:eastAsia="宋体"/>
          <w:color w:val="000000"/>
          <w:sz w:val="24"/>
          <w:szCs w:val="24"/>
        </w:rPr>
        <w:t>1-800-835-4709</w:t>
      </w:r>
      <w:r w:rsidRPr="001F432F">
        <w:rPr>
          <w:rFonts w:eastAsia="宋体"/>
          <w:color w:val="000000"/>
          <w:sz w:val="24"/>
          <w:szCs w:val="24"/>
        </w:rPr>
        <w:t>或</w:t>
      </w:r>
      <w:r w:rsidRPr="001F432F">
        <w:rPr>
          <w:rFonts w:eastAsia="宋体"/>
          <w:color w:val="000000"/>
          <w:sz w:val="24"/>
          <w:szCs w:val="24"/>
        </w:rPr>
        <w:t>240-402-8010</w:t>
      </w:r>
      <w:r w:rsidRPr="001F432F">
        <w:rPr>
          <w:rFonts w:eastAsia="宋体"/>
          <w:color w:val="000000"/>
          <w:sz w:val="24"/>
          <w:szCs w:val="24"/>
        </w:rPr>
        <w:t>与通信、推广和发展办公室（</w:t>
      </w:r>
      <w:r w:rsidRPr="001F432F">
        <w:rPr>
          <w:rFonts w:eastAsia="宋体"/>
          <w:color w:val="000000"/>
          <w:sz w:val="24"/>
          <w:szCs w:val="24"/>
        </w:rPr>
        <w:t>OCOD</w:t>
      </w:r>
      <w:r w:rsidRPr="001F432F">
        <w:rPr>
          <w:rFonts w:eastAsia="宋体"/>
          <w:color w:val="000000"/>
          <w:sz w:val="24"/>
          <w:szCs w:val="24"/>
        </w:rPr>
        <w:t>）联系。</w:t>
      </w:r>
    </w:p>
    <w:p w14:paraId="59251F15" w14:textId="77777777" w:rsidR="00CE6F56" w:rsidRPr="001F432F" w:rsidRDefault="00CE6F56" w:rsidP="00FE4CD1">
      <w:pPr>
        <w:snapToGrid w:val="0"/>
        <w:jc w:val="both"/>
        <w:rPr>
          <w:rFonts w:eastAsia="宋体"/>
          <w:sz w:val="24"/>
          <w:szCs w:val="24"/>
        </w:rPr>
      </w:pPr>
    </w:p>
    <w:p w14:paraId="00264A6A" w14:textId="77777777" w:rsidR="00CE6F56" w:rsidRPr="001F432F" w:rsidRDefault="00CE6F56" w:rsidP="00FE4CD1">
      <w:pPr>
        <w:snapToGrid w:val="0"/>
        <w:jc w:val="both"/>
        <w:rPr>
          <w:rFonts w:eastAsia="宋体"/>
          <w:sz w:val="24"/>
          <w:szCs w:val="24"/>
        </w:rPr>
      </w:pPr>
    </w:p>
    <w:p w14:paraId="5801798E" w14:textId="77777777" w:rsidR="00CE6F56" w:rsidRPr="001F432F" w:rsidRDefault="00CE6F56" w:rsidP="00FE4CD1">
      <w:pPr>
        <w:snapToGrid w:val="0"/>
        <w:jc w:val="both"/>
        <w:rPr>
          <w:rFonts w:eastAsia="宋体"/>
          <w:sz w:val="24"/>
          <w:szCs w:val="24"/>
        </w:rPr>
      </w:pPr>
    </w:p>
    <w:p w14:paraId="4BA12D81" w14:textId="77777777" w:rsidR="00CE6F56" w:rsidRPr="001F432F" w:rsidRDefault="00CE6F56" w:rsidP="00FE4CD1">
      <w:pPr>
        <w:snapToGrid w:val="0"/>
        <w:jc w:val="both"/>
        <w:rPr>
          <w:rFonts w:eastAsia="宋体"/>
          <w:sz w:val="24"/>
          <w:szCs w:val="24"/>
        </w:rPr>
      </w:pPr>
    </w:p>
    <w:p w14:paraId="015B8BD4" w14:textId="77777777" w:rsidR="00CE6F56" w:rsidRPr="001F432F" w:rsidRDefault="00CE6F56" w:rsidP="00FE4CD1">
      <w:pPr>
        <w:snapToGrid w:val="0"/>
        <w:jc w:val="both"/>
        <w:rPr>
          <w:rFonts w:eastAsia="宋体"/>
          <w:sz w:val="24"/>
          <w:szCs w:val="24"/>
        </w:rPr>
      </w:pPr>
    </w:p>
    <w:p w14:paraId="300FEEF3" w14:textId="77777777" w:rsidR="00CE6F56" w:rsidRPr="001F432F" w:rsidRDefault="00CE6F56" w:rsidP="00FE4CD1">
      <w:pPr>
        <w:snapToGrid w:val="0"/>
        <w:jc w:val="both"/>
        <w:rPr>
          <w:rFonts w:eastAsia="宋体"/>
          <w:sz w:val="24"/>
          <w:szCs w:val="24"/>
        </w:rPr>
      </w:pPr>
    </w:p>
    <w:p w14:paraId="6E4EBD30" w14:textId="77777777" w:rsidR="00CE6F56" w:rsidRPr="001F432F" w:rsidRDefault="00CE6F56" w:rsidP="00FE4CD1">
      <w:pPr>
        <w:snapToGrid w:val="0"/>
        <w:jc w:val="both"/>
        <w:rPr>
          <w:rFonts w:eastAsia="宋体"/>
          <w:sz w:val="24"/>
          <w:szCs w:val="24"/>
        </w:rPr>
      </w:pPr>
    </w:p>
    <w:p w14:paraId="5DBCC8C5" w14:textId="77777777" w:rsidR="00CE6F56" w:rsidRDefault="00CE6F56" w:rsidP="00FE4CD1">
      <w:pPr>
        <w:snapToGrid w:val="0"/>
        <w:jc w:val="both"/>
        <w:rPr>
          <w:rFonts w:eastAsia="宋体"/>
          <w:sz w:val="24"/>
          <w:szCs w:val="24"/>
        </w:rPr>
      </w:pPr>
    </w:p>
    <w:p w14:paraId="2E6F0635" w14:textId="77777777" w:rsidR="004826CF" w:rsidRDefault="004826CF" w:rsidP="00FE4CD1">
      <w:pPr>
        <w:snapToGrid w:val="0"/>
        <w:jc w:val="both"/>
        <w:rPr>
          <w:rFonts w:eastAsia="宋体"/>
          <w:sz w:val="24"/>
          <w:szCs w:val="24"/>
        </w:rPr>
      </w:pPr>
    </w:p>
    <w:p w14:paraId="744DF485" w14:textId="77777777" w:rsidR="004826CF" w:rsidRDefault="004826CF" w:rsidP="00FE4CD1">
      <w:pPr>
        <w:snapToGrid w:val="0"/>
        <w:jc w:val="both"/>
        <w:rPr>
          <w:rFonts w:eastAsia="宋体"/>
          <w:sz w:val="24"/>
          <w:szCs w:val="24"/>
        </w:rPr>
      </w:pPr>
    </w:p>
    <w:p w14:paraId="6DAA8747" w14:textId="77777777" w:rsidR="004826CF" w:rsidRDefault="004826CF" w:rsidP="00FE4CD1">
      <w:pPr>
        <w:snapToGrid w:val="0"/>
        <w:jc w:val="both"/>
        <w:rPr>
          <w:rFonts w:eastAsia="宋体"/>
          <w:sz w:val="24"/>
          <w:szCs w:val="24"/>
        </w:rPr>
      </w:pPr>
    </w:p>
    <w:p w14:paraId="42149D76" w14:textId="77777777" w:rsidR="004826CF" w:rsidRDefault="004826CF" w:rsidP="00FE4CD1">
      <w:pPr>
        <w:snapToGrid w:val="0"/>
        <w:jc w:val="both"/>
        <w:rPr>
          <w:rFonts w:eastAsia="宋体"/>
          <w:sz w:val="24"/>
          <w:szCs w:val="24"/>
        </w:rPr>
      </w:pPr>
    </w:p>
    <w:p w14:paraId="2BE99CA6" w14:textId="77777777" w:rsidR="004826CF" w:rsidRDefault="004826CF" w:rsidP="00FE4CD1">
      <w:pPr>
        <w:snapToGrid w:val="0"/>
        <w:jc w:val="both"/>
        <w:rPr>
          <w:rFonts w:eastAsia="宋体"/>
          <w:sz w:val="24"/>
          <w:szCs w:val="24"/>
        </w:rPr>
      </w:pPr>
    </w:p>
    <w:p w14:paraId="3C2B4B8B" w14:textId="77777777" w:rsidR="004826CF" w:rsidRDefault="004826CF" w:rsidP="00FE4CD1">
      <w:pPr>
        <w:snapToGrid w:val="0"/>
        <w:jc w:val="both"/>
        <w:rPr>
          <w:rFonts w:eastAsia="宋体"/>
          <w:sz w:val="24"/>
          <w:szCs w:val="24"/>
        </w:rPr>
      </w:pPr>
    </w:p>
    <w:p w14:paraId="63FDF906" w14:textId="77777777" w:rsidR="004826CF" w:rsidRPr="001F432F" w:rsidRDefault="004826CF" w:rsidP="00FE4CD1">
      <w:pPr>
        <w:snapToGrid w:val="0"/>
        <w:jc w:val="both"/>
        <w:rPr>
          <w:rFonts w:eastAsia="宋体"/>
          <w:sz w:val="24"/>
          <w:szCs w:val="24"/>
        </w:rPr>
      </w:pPr>
    </w:p>
    <w:p w14:paraId="214739BE" w14:textId="77777777" w:rsidR="00CE6F56" w:rsidRPr="001F432F" w:rsidRDefault="00CE6F56" w:rsidP="00FE4CD1">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844"/>
        <w:gridCol w:w="5342"/>
      </w:tblGrid>
      <w:tr w:rsidR="00CE6F56" w:rsidRPr="001F432F" w14:paraId="7928E1D4" w14:textId="77777777" w:rsidTr="00CE6F56">
        <w:tc>
          <w:tcPr>
            <w:tcW w:w="3946" w:type="dxa"/>
            <w:tcBorders>
              <w:top w:val="nil"/>
              <w:left w:val="nil"/>
              <w:bottom w:val="nil"/>
              <w:right w:val="nil"/>
            </w:tcBorders>
            <w:shd w:val="clear" w:color="auto" w:fill="FFFFFF"/>
            <w:tcMar>
              <w:left w:w="57" w:type="dxa"/>
              <w:right w:w="57" w:type="dxa"/>
            </w:tcMar>
            <w:vAlign w:val="center"/>
          </w:tcPr>
          <w:p w14:paraId="447EEA57" w14:textId="77777777" w:rsidR="00CE6F56" w:rsidRPr="001F432F" w:rsidRDefault="00CE6F56" w:rsidP="003E1C97">
            <w:pPr>
              <w:shd w:val="clear" w:color="auto" w:fill="FFFFFF"/>
              <w:snapToGrid w:val="0"/>
              <w:rPr>
                <w:rFonts w:eastAsia="宋体"/>
                <w:sz w:val="24"/>
                <w:szCs w:val="24"/>
              </w:rPr>
            </w:pPr>
            <w:r w:rsidRPr="001F432F">
              <w:rPr>
                <w:rFonts w:eastAsia="宋体"/>
                <w:noProof/>
                <w:sz w:val="24"/>
                <w:szCs w:val="24"/>
              </w:rPr>
              <w:drawing>
                <wp:inline distT="0" distB="0" distL="0" distR="0" wp14:anchorId="4B5A649A" wp14:editId="65D23904">
                  <wp:extent cx="2217612" cy="510584"/>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7612" cy="510584"/>
                          </a:xfrm>
                          <a:prstGeom prst="rect">
                            <a:avLst/>
                          </a:prstGeom>
                        </pic:spPr>
                      </pic:pic>
                    </a:graphicData>
                  </a:graphic>
                </wp:inline>
              </w:drawing>
            </w:r>
          </w:p>
        </w:tc>
        <w:tc>
          <w:tcPr>
            <w:tcW w:w="5486" w:type="dxa"/>
            <w:tcBorders>
              <w:top w:val="nil"/>
              <w:left w:val="nil"/>
              <w:bottom w:val="nil"/>
              <w:right w:val="nil"/>
            </w:tcBorders>
            <w:shd w:val="clear" w:color="auto" w:fill="FFFFFF"/>
            <w:tcMar>
              <w:left w:w="57" w:type="dxa"/>
              <w:right w:w="57" w:type="dxa"/>
            </w:tcMar>
          </w:tcPr>
          <w:p w14:paraId="53F0EDE9" w14:textId="43564519" w:rsidR="00CE6F56" w:rsidRPr="001F432F" w:rsidRDefault="00CE6F56" w:rsidP="00CE6F56">
            <w:pPr>
              <w:shd w:val="clear" w:color="auto" w:fill="FFFFFF"/>
              <w:snapToGrid w:val="0"/>
              <w:jc w:val="right"/>
              <w:rPr>
                <w:rFonts w:eastAsia="宋体"/>
                <w:b/>
                <w:bCs/>
                <w:color w:val="000000"/>
                <w:sz w:val="24"/>
                <w:szCs w:val="24"/>
              </w:rPr>
            </w:pPr>
            <w:r w:rsidRPr="001F432F">
              <w:rPr>
                <w:rFonts w:eastAsia="宋体"/>
                <w:b/>
                <w:bCs/>
                <w:color w:val="000000"/>
                <w:sz w:val="24"/>
                <w:szCs w:val="24"/>
              </w:rPr>
              <w:t>美国卫生</w:t>
            </w:r>
            <w:r w:rsidR="00F77677">
              <w:rPr>
                <w:rFonts w:eastAsia="宋体" w:hint="eastAsia"/>
                <w:b/>
                <w:bCs/>
                <w:color w:val="000000"/>
                <w:sz w:val="24"/>
                <w:szCs w:val="24"/>
              </w:rPr>
              <w:t>与</w:t>
            </w:r>
            <w:r w:rsidRPr="001F432F">
              <w:rPr>
                <w:rFonts w:eastAsia="宋体"/>
                <w:b/>
                <w:bCs/>
                <w:color w:val="000000"/>
                <w:sz w:val="24"/>
                <w:szCs w:val="24"/>
              </w:rPr>
              <w:t>公众服务部</w:t>
            </w:r>
          </w:p>
          <w:p w14:paraId="5CE3E978" w14:textId="77777777" w:rsidR="00CE6F56" w:rsidRPr="001F432F" w:rsidRDefault="00CE6F56" w:rsidP="00CE6F56">
            <w:pPr>
              <w:shd w:val="clear" w:color="auto" w:fill="FFFFFF"/>
              <w:snapToGrid w:val="0"/>
              <w:jc w:val="right"/>
              <w:rPr>
                <w:rFonts w:eastAsia="宋体"/>
                <w:b/>
                <w:bCs/>
                <w:color w:val="000000"/>
                <w:sz w:val="24"/>
                <w:szCs w:val="24"/>
              </w:rPr>
            </w:pPr>
            <w:r w:rsidRPr="001F432F">
              <w:rPr>
                <w:rFonts w:eastAsia="宋体"/>
                <w:b/>
                <w:bCs/>
                <w:color w:val="000000"/>
                <w:sz w:val="24"/>
                <w:szCs w:val="24"/>
              </w:rPr>
              <w:t>美国食品药品监督管理局</w:t>
            </w:r>
          </w:p>
          <w:p w14:paraId="2E809B07" w14:textId="77777777" w:rsidR="00CE6F56" w:rsidRPr="001F432F" w:rsidRDefault="00CE6F56" w:rsidP="00CE6F56">
            <w:pPr>
              <w:shd w:val="clear" w:color="auto" w:fill="FFFFFF"/>
              <w:snapToGrid w:val="0"/>
              <w:jc w:val="right"/>
              <w:rPr>
                <w:rFonts w:eastAsia="宋体"/>
                <w:sz w:val="24"/>
                <w:szCs w:val="24"/>
              </w:rPr>
            </w:pPr>
          </w:p>
          <w:p w14:paraId="16C82DBE" w14:textId="5FA5B65C" w:rsidR="00CE6F56" w:rsidRPr="001F432F" w:rsidRDefault="00CE6F56" w:rsidP="00CE6F56">
            <w:pPr>
              <w:shd w:val="clear" w:color="auto" w:fill="FFFFFF"/>
              <w:snapToGrid w:val="0"/>
              <w:jc w:val="right"/>
              <w:rPr>
                <w:rFonts w:eastAsia="宋体"/>
                <w:b/>
                <w:bCs/>
                <w:color w:val="000000"/>
                <w:sz w:val="24"/>
                <w:szCs w:val="24"/>
              </w:rPr>
            </w:pPr>
            <w:r w:rsidRPr="001F432F">
              <w:rPr>
                <w:rFonts w:eastAsia="宋体"/>
                <w:b/>
                <w:bCs/>
                <w:color w:val="000000"/>
                <w:sz w:val="24"/>
                <w:szCs w:val="24"/>
              </w:rPr>
              <w:t>医疗器械</w:t>
            </w:r>
            <w:r w:rsidR="00F77677">
              <w:rPr>
                <w:rFonts w:eastAsia="宋体" w:hint="eastAsia"/>
                <w:b/>
                <w:bCs/>
                <w:color w:val="000000"/>
                <w:sz w:val="24"/>
                <w:szCs w:val="24"/>
              </w:rPr>
              <w:t>和</w:t>
            </w:r>
            <w:r w:rsidRPr="001F432F">
              <w:rPr>
                <w:rFonts w:eastAsia="宋体"/>
                <w:b/>
                <w:bCs/>
                <w:color w:val="000000"/>
                <w:sz w:val="24"/>
                <w:szCs w:val="24"/>
              </w:rPr>
              <w:t>放射健康中心</w:t>
            </w:r>
          </w:p>
          <w:p w14:paraId="188F8F78" w14:textId="77777777" w:rsidR="00CE6F56" w:rsidRPr="001F432F" w:rsidRDefault="00CE6F56" w:rsidP="00CE6F56">
            <w:pPr>
              <w:shd w:val="clear" w:color="auto" w:fill="FFFFFF"/>
              <w:snapToGrid w:val="0"/>
              <w:jc w:val="right"/>
              <w:rPr>
                <w:rFonts w:eastAsia="宋体"/>
                <w:sz w:val="24"/>
                <w:szCs w:val="24"/>
              </w:rPr>
            </w:pPr>
          </w:p>
          <w:p w14:paraId="567F9FF8" w14:textId="77777777" w:rsidR="00CE6F56" w:rsidRPr="001F432F" w:rsidRDefault="00CE6F56" w:rsidP="00CE6F56">
            <w:pPr>
              <w:shd w:val="clear" w:color="auto" w:fill="FFFFFF"/>
              <w:snapToGrid w:val="0"/>
              <w:jc w:val="right"/>
              <w:rPr>
                <w:rFonts w:eastAsia="宋体"/>
                <w:sz w:val="24"/>
                <w:szCs w:val="24"/>
              </w:rPr>
            </w:pPr>
            <w:r w:rsidRPr="001F432F">
              <w:rPr>
                <w:rFonts w:eastAsia="宋体"/>
                <w:b/>
                <w:bCs/>
                <w:color w:val="000000"/>
                <w:sz w:val="24"/>
                <w:szCs w:val="24"/>
              </w:rPr>
              <w:t>生物制品评价和研究中心</w:t>
            </w:r>
          </w:p>
        </w:tc>
      </w:tr>
    </w:tbl>
    <w:p w14:paraId="306C8212" w14:textId="77777777" w:rsidR="00CE6F56" w:rsidRPr="001F432F" w:rsidRDefault="00CE6F56" w:rsidP="00FE4CD1">
      <w:pPr>
        <w:snapToGrid w:val="0"/>
        <w:jc w:val="both"/>
        <w:rPr>
          <w:rFonts w:eastAsia="宋体"/>
          <w:sz w:val="21"/>
          <w:szCs w:val="21"/>
        </w:rPr>
        <w:sectPr w:rsidR="00CE6F56" w:rsidRPr="001F432F" w:rsidSect="00FE4CD1">
          <w:headerReference w:type="default" r:id="rId9"/>
          <w:type w:val="continuous"/>
          <w:pgSz w:w="11906" w:h="16838"/>
          <w:pgMar w:top="1134" w:right="1417" w:bottom="1134" w:left="1417" w:header="850" w:footer="720" w:gutter="0"/>
          <w:cols w:space="60"/>
          <w:noEndnote/>
          <w:docGrid w:linePitch="272"/>
        </w:sectPr>
      </w:pPr>
    </w:p>
    <w:p w14:paraId="4DC6B059" w14:textId="77777777" w:rsidR="00CE6F56" w:rsidRPr="001F432F" w:rsidRDefault="00CE6F56" w:rsidP="00CE6F56">
      <w:pPr>
        <w:pStyle w:val="Default"/>
        <w:jc w:val="center"/>
        <w:rPr>
          <w:rFonts w:eastAsia="宋体"/>
          <w:b/>
          <w:bCs/>
          <w:sz w:val="48"/>
          <w:szCs w:val="48"/>
        </w:rPr>
      </w:pPr>
      <w:r w:rsidRPr="001F432F">
        <w:rPr>
          <w:rFonts w:eastAsia="宋体"/>
          <w:b/>
          <w:bCs/>
          <w:sz w:val="48"/>
          <w:szCs w:val="48"/>
        </w:rPr>
        <w:lastRenderedPageBreak/>
        <w:t>前言</w:t>
      </w:r>
    </w:p>
    <w:p w14:paraId="5A682EEE" w14:textId="77777777" w:rsidR="00CE6F56" w:rsidRPr="001F432F" w:rsidRDefault="00CE6F56" w:rsidP="00CE6F56">
      <w:pPr>
        <w:pStyle w:val="Default"/>
        <w:jc w:val="center"/>
        <w:rPr>
          <w:rFonts w:eastAsia="宋体"/>
          <w:sz w:val="48"/>
          <w:szCs w:val="48"/>
        </w:rPr>
      </w:pPr>
    </w:p>
    <w:p w14:paraId="69DD502D" w14:textId="77777777" w:rsidR="00CE6F56" w:rsidRPr="001F432F" w:rsidRDefault="00CE6F56" w:rsidP="00CE6F56">
      <w:pPr>
        <w:shd w:val="clear" w:color="auto" w:fill="FFFFFF"/>
        <w:snapToGrid w:val="0"/>
        <w:jc w:val="both"/>
        <w:rPr>
          <w:rFonts w:eastAsia="宋体"/>
          <w:b/>
          <w:bCs/>
          <w:sz w:val="36"/>
          <w:szCs w:val="36"/>
        </w:rPr>
      </w:pPr>
      <w:r w:rsidRPr="001F432F">
        <w:rPr>
          <w:rFonts w:eastAsia="宋体"/>
          <w:b/>
          <w:bCs/>
          <w:sz w:val="36"/>
          <w:szCs w:val="36"/>
        </w:rPr>
        <w:t>公众意见</w:t>
      </w:r>
    </w:p>
    <w:p w14:paraId="6A59C7E1" w14:textId="77777777" w:rsidR="00CE6F56" w:rsidRPr="001F432F" w:rsidRDefault="00CE6F56" w:rsidP="00CE6F56">
      <w:pPr>
        <w:shd w:val="clear" w:color="auto" w:fill="FFFFFF"/>
        <w:snapToGrid w:val="0"/>
        <w:jc w:val="both"/>
        <w:rPr>
          <w:rFonts w:eastAsia="宋体"/>
          <w:b/>
          <w:bCs/>
          <w:sz w:val="36"/>
          <w:szCs w:val="36"/>
        </w:rPr>
      </w:pPr>
    </w:p>
    <w:p w14:paraId="1155F468" w14:textId="46C4CA3D" w:rsidR="00CE6F56" w:rsidRPr="001F432F" w:rsidRDefault="003C7B7C" w:rsidP="00CE6F56">
      <w:pPr>
        <w:shd w:val="clear" w:color="auto" w:fill="FFFFFF"/>
        <w:snapToGrid w:val="0"/>
        <w:jc w:val="both"/>
        <w:rPr>
          <w:rFonts w:eastAsia="宋体"/>
          <w:sz w:val="24"/>
          <w:szCs w:val="24"/>
        </w:rPr>
      </w:pPr>
      <w:r>
        <w:rPr>
          <w:rFonts w:eastAsia="宋体" w:hint="eastAsia"/>
          <w:color w:val="000000"/>
          <w:sz w:val="24"/>
          <w:szCs w:val="24"/>
        </w:rPr>
        <w:t>公众</w:t>
      </w:r>
      <w:r w:rsidR="00CE6F56" w:rsidRPr="001F432F">
        <w:rPr>
          <w:rFonts w:eastAsia="宋体"/>
          <w:color w:val="000000"/>
          <w:sz w:val="24"/>
          <w:szCs w:val="24"/>
        </w:rPr>
        <w:t>可随时提交电子意见和建议至</w:t>
      </w:r>
      <w:r w:rsidR="00CE6F56" w:rsidRPr="001F432F">
        <w:rPr>
          <w:rFonts w:eastAsia="宋体"/>
          <w:color w:val="0000FF"/>
          <w:sz w:val="24"/>
          <w:szCs w:val="24"/>
          <w:u w:val="single"/>
        </w:rPr>
        <w:t>http://www.regulations.gov</w:t>
      </w:r>
      <w:r w:rsidR="00CE6F56" w:rsidRPr="001F432F">
        <w:rPr>
          <w:rFonts w:eastAsia="宋体"/>
          <w:color w:val="000000"/>
          <w:sz w:val="24"/>
          <w:szCs w:val="24"/>
        </w:rPr>
        <w:t>，以供</w:t>
      </w:r>
      <w:r w:rsidR="005D7B45">
        <w:rPr>
          <w:rFonts w:eastAsia="宋体" w:hint="eastAsia"/>
          <w:color w:val="000000"/>
          <w:sz w:val="24"/>
          <w:szCs w:val="24"/>
        </w:rPr>
        <w:t>F</w:t>
      </w:r>
      <w:r w:rsidR="005D7B45">
        <w:rPr>
          <w:rFonts w:eastAsia="宋体"/>
          <w:color w:val="000000"/>
          <w:sz w:val="24"/>
          <w:szCs w:val="24"/>
        </w:rPr>
        <w:t>DA</w:t>
      </w:r>
      <w:r w:rsidR="00CE6F56" w:rsidRPr="001F432F">
        <w:rPr>
          <w:rFonts w:eastAsia="宋体"/>
          <w:color w:val="000000"/>
          <w:sz w:val="24"/>
          <w:szCs w:val="24"/>
        </w:rPr>
        <w:t>考虑。请提交书面意见至美国食品药品监督管理局档案管理工作人员（</w:t>
      </w:r>
      <w:r w:rsidR="00CE6F56" w:rsidRPr="001F432F">
        <w:rPr>
          <w:rFonts w:eastAsia="宋体"/>
          <w:color w:val="000000"/>
          <w:sz w:val="24"/>
          <w:szCs w:val="24"/>
        </w:rPr>
        <w:t xml:space="preserve">5630 Fishers Lane, Room 1061, </w:t>
      </w:r>
      <w:r w:rsidR="00CE6F56" w:rsidRPr="001F432F">
        <w:rPr>
          <w:rFonts w:eastAsia="宋体"/>
          <w:color w:val="000000"/>
          <w:sz w:val="24"/>
          <w:szCs w:val="24"/>
        </w:rPr>
        <w:t>（</w:t>
      </w:r>
      <w:r w:rsidR="00CE6F56" w:rsidRPr="001F432F">
        <w:rPr>
          <w:rFonts w:eastAsia="宋体"/>
          <w:color w:val="000000"/>
          <w:sz w:val="24"/>
          <w:szCs w:val="24"/>
        </w:rPr>
        <w:t>HFA-305</w:t>
      </w:r>
      <w:r w:rsidR="00CE6F56" w:rsidRPr="001F432F">
        <w:rPr>
          <w:rFonts w:eastAsia="宋体"/>
          <w:color w:val="000000"/>
          <w:sz w:val="24"/>
          <w:szCs w:val="24"/>
        </w:rPr>
        <w:t>）</w:t>
      </w:r>
      <w:r w:rsidR="00CE6F56" w:rsidRPr="001F432F">
        <w:rPr>
          <w:rFonts w:eastAsia="宋体"/>
          <w:color w:val="000000"/>
          <w:sz w:val="24"/>
          <w:szCs w:val="24"/>
        </w:rPr>
        <w:t>, Rockville, MD 20852</w:t>
      </w:r>
      <w:r w:rsidR="00CE6F56" w:rsidRPr="001F432F">
        <w:rPr>
          <w:rFonts w:eastAsia="宋体"/>
          <w:color w:val="000000"/>
          <w:sz w:val="24"/>
          <w:szCs w:val="24"/>
        </w:rPr>
        <w:t>）。</w:t>
      </w:r>
      <w:r w:rsidR="00A40308">
        <w:rPr>
          <w:rFonts w:eastAsia="宋体" w:hint="eastAsia"/>
          <w:color w:val="000000"/>
          <w:sz w:val="24"/>
          <w:szCs w:val="24"/>
        </w:rPr>
        <w:t>所有意见标注</w:t>
      </w:r>
      <w:r w:rsidR="00CE6F56" w:rsidRPr="001F432F">
        <w:rPr>
          <w:rFonts w:eastAsia="宋体"/>
          <w:color w:val="000000"/>
          <w:sz w:val="24"/>
          <w:szCs w:val="24"/>
        </w:rPr>
        <w:t>[FDA-2015-4852]</w:t>
      </w:r>
      <w:r w:rsidR="00A40308">
        <w:rPr>
          <w:rFonts w:eastAsia="宋体" w:hint="eastAsia"/>
          <w:color w:val="000000"/>
          <w:sz w:val="24"/>
          <w:szCs w:val="24"/>
        </w:rPr>
        <w:t>识别</w:t>
      </w:r>
      <w:r w:rsidR="00CE6F56" w:rsidRPr="001F432F">
        <w:rPr>
          <w:rFonts w:eastAsia="宋体"/>
          <w:color w:val="000000"/>
          <w:sz w:val="24"/>
          <w:szCs w:val="24"/>
        </w:rPr>
        <w:t>。下次修订或更新文件</w:t>
      </w:r>
      <w:r w:rsidR="00A40308">
        <w:rPr>
          <w:rFonts w:eastAsia="宋体" w:hint="eastAsia"/>
          <w:color w:val="000000"/>
          <w:sz w:val="24"/>
          <w:szCs w:val="24"/>
        </w:rPr>
        <w:t>时</w:t>
      </w:r>
      <w:r w:rsidR="00CE6F56" w:rsidRPr="001F432F">
        <w:rPr>
          <w:rFonts w:eastAsia="宋体"/>
          <w:color w:val="000000"/>
          <w:sz w:val="24"/>
          <w:szCs w:val="24"/>
        </w:rPr>
        <w:t>，</w:t>
      </w:r>
      <w:r w:rsidR="005D7B45">
        <w:rPr>
          <w:rFonts w:eastAsia="宋体" w:hint="eastAsia"/>
          <w:color w:val="000000"/>
          <w:sz w:val="24"/>
          <w:szCs w:val="24"/>
        </w:rPr>
        <w:t>F</w:t>
      </w:r>
      <w:r w:rsidR="005D7B45">
        <w:rPr>
          <w:rFonts w:eastAsia="宋体"/>
          <w:color w:val="000000"/>
          <w:sz w:val="24"/>
          <w:szCs w:val="24"/>
        </w:rPr>
        <w:t>DA</w:t>
      </w:r>
      <w:r w:rsidR="00CE6F56" w:rsidRPr="001F432F">
        <w:rPr>
          <w:rFonts w:eastAsia="宋体"/>
          <w:color w:val="000000"/>
          <w:sz w:val="24"/>
          <w:szCs w:val="24"/>
        </w:rPr>
        <w:t>会对评论意见采取行动。</w:t>
      </w:r>
    </w:p>
    <w:p w14:paraId="298E0250" w14:textId="77777777" w:rsidR="00CE6F56" w:rsidRPr="001F432F" w:rsidRDefault="00CE6F56" w:rsidP="00CE6F56">
      <w:pPr>
        <w:pStyle w:val="Default"/>
        <w:rPr>
          <w:rFonts w:eastAsia="宋体"/>
          <w:b/>
          <w:bCs/>
        </w:rPr>
      </w:pPr>
    </w:p>
    <w:p w14:paraId="47FB8A4F" w14:textId="77777777" w:rsidR="00CE6F56" w:rsidRPr="001F432F" w:rsidRDefault="00CE6F56" w:rsidP="00CE6F56">
      <w:pPr>
        <w:pStyle w:val="Default"/>
        <w:rPr>
          <w:rFonts w:eastAsia="宋体"/>
          <w:b/>
          <w:bCs/>
          <w:sz w:val="36"/>
          <w:szCs w:val="36"/>
        </w:rPr>
      </w:pPr>
    </w:p>
    <w:p w14:paraId="17F5CAF9" w14:textId="068F7116" w:rsidR="00CE6F56" w:rsidRPr="001F432F" w:rsidRDefault="00F77677" w:rsidP="00CE6F56">
      <w:pPr>
        <w:pStyle w:val="Default"/>
        <w:rPr>
          <w:rFonts w:eastAsia="宋体"/>
          <w:sz w:val="36"/>
          <w:szCs w:val="36"/>
        </w:rPr>
      </w:pPr>
      <w:r>
        <w:rPr>
          <w:rFonts w:eastAsia="宋体" w:hint="eastAsia"/>
          <w:b/>
          <w:bCs/>
          <w:sz w:val="36"/>
          <w:szCs w:val="36"/>
        </w:rPr>
        <w:t>更多</w:t>
      </w:r>
      <w:r w:rsidR="00CE6F56" w:rsidRPr="001F432F">
        <w:rPr>
          <w:rFonts w:eastAsia="宋体"/>
          <w:b/>
          <w:bCs/>
          <w:sz w:val="36"/>
          <w:szCs w:val="36"/>
        </w:rPr>
        <w:t>副本</w:t>
      </w:r>
      <w:r w:rsidR="00CE6F56" w:rsidRPr="001F432F">
        <w:rPr>
          <w:rFonts w:eastAsia="宋体"/>
          <w:b/>
          <w:bCs/>
          <w:sz w:val="36"/>
          <w:szCs w:val="36"/>
        </w:rPr>
        <w:t xml:space="preserve"> </w:t>
      </w:r>
    </w:p>
    <w:p w14:paraId="4B7876DE" w14:textId="77777777" w:rsidR="00CE6F56" w:rsidRPr="001F432F" w:rsidRDefault="00CE6F56" w:rsidP="00CE6F56">
      <w:pPr>
        <w:shd w:val="clear" w:color="auto" w:fill="FFFFFF"/>
        <w:snapToGrid w:val="0"/>
        <w:jc w:val="both"/>
        <w:rPr>
          <w:rFonts w:eastAsia="宋体"/>
          <w:b/>
          <w:bCs/>
          <w:sz w:val="36"/>
          <w:szCs w:val="36"/>
        </w:rPr>
      </w:pPr>
    </w:p>
    <w:p w14:paraId="6774F644" w14:textId="77777777" w:rsidR="00CE6F56" w:rsidRPr="001F432F" w:rsidRDefault="00CE6F56" w:rsidP="00CE6F56">
      <w:pPr>
        <w:shd w:val="clear" w:color="auto" w:fill="FFFFFF"/>
        <w:snapToGrid w:val="0"/>
        <w:jc w:val="both"/>
        <w:rPr>
          <w:rFonts w:eastAsia="宋体"/>
          <w:b/>
          <w:bCs/>
          <w:sz w:val="36"/>
          <w:szCs w:val="36"/>
        </w:rPr>
      </w:pPr>
      <w:r w:rsidRPr="001F432F">
        <w:rPr>
          <w:rFonts w:eastAsia="宋体"/>
          <w:b/>
          <w:bCs/>
          <w:sz w:val="36"/>
          <w:szCs w:val="36"/>
        </w:rPr>
        <w:t>医疗器械和放射健康中心（</w:t>
      </w:r>
      <w:r w:rsidRPr="001F432F">
        <w:rPr>
          <w:rFonts w:eastAsia="宋体"/>
          <w:b/>
          <w:bCs/>
          <w:sz w:val="36"/>
          <w:szCs w:val="36"/>
        </w:rPr>
        <w:t>CDRH</w:t>
      </w:r>
      <w:r w:rsidRPr="001F432F">
        <w:rPr>
          <w:rFonts w:eastAsia="宋体"/>
          <w:b/>
          <w:bCs/>
          <w:sz w:val="36"/>
          <w:szCs w:val="36"/>
        </w:rPr>
        <w:t>）</w:t>
      </w:r>
    </w:p>
    <w:p w14:paraId="0D1883D2" w14:textId="77777777" w:rsidR="00CE6F56" w:rsidRPr="001F432F" w:rsidRDefault="00CE6F56" w:rsidP="00CE6F56">
      <w:pPr>
        <w:shd w:val="clear" w:color="auto" w:fill="FFFFFF"/>
        <w:snapToGrid w:val="0"/>
        <w:jc w:val="both"/>
        <w:rPr>
          <w:rFonts w:eastAsia="宋体"/>
          <w:sz w:val="24"/>
          <w:szCs w:val="24"/>
        </w:rPr>
      </w:pPr>
      <w:r w:rsidRPr="001F432F">
        <w:rPr>
          <w:rFonts w:eastAsia="宋体"/>
          <w:color w:val="000000"/>
          <w:sz w:val="24"/>
          <w:szCs w:val="24"/>
        </w:rPr>
        <w:t>可从互联网获取其他副本。同时，也可发送电子邮件请求至</w:t>
      </w:r>
      <w:r w:rsidRPr="001F432F">
        <w:rPr>
          <w:rFonts w:eastAsia="宋体"/>
          <w:color w:val="0000FF"/>
          <w:sz w:val="24"/>
          <w:szCs w:val="24"/>
          <w:u w:val="single"/>
        </w:rPr>
        <w:t>CDRH-Guidance@fda.hhs.gov</w:t>
      </w:r>
      <w:r w:rsidRPr="001F432F">
        <w:rPr>
          <w:rFonts w:eastAsia="宋体"/>
          <w:color w:val="000000"/>
          <w:sz w:val="24"/>
          <w:szCs w:val="24"/>
        </w:rPr>
        <w:t>接收指南副本。请使用文件编号</w:t>
      </w:r>
      <w:r w:rsidRPr="001F432F">
        <w:rPr>
          <w:rFonts w:eastAsia="宋体"/>
          <w:color w:val="000000"/>
          <w:sz w:val="24"/>
          <w:szCs w:val="24"/>
        </w:rPr>
        <w:t>1500015</w:t>
      </w:r>
      <w:r w:rsidRPr="001F432F">
        <w:rPr>
          <w:rFonts w:eastAsia="宋体"/>
          <w:color w:val="000000"/>
          <w:sz w:val="24"/>
          <w:szCs w:val="24"/>
        </w:rPr>
        <w:t>识别贵司请求的指南。</w:t>
      </w:r>
    </w:p>
    <w:p w14:paraId="0085BF19" w14:textId="77777777" w:rsidR="00CE6F56" w:rsidRPr="001F432F" w:rsidRDefault="00CE6F56" w:rsidP="00FE4CD1">
      <w:pPr>
        <w:shd w:val="clear" w:color="auto" w:fill="FFFFFF"/>
        <w:snapToGrid w:val="0"/>
        <w:jc w:val="both"/>
        <w:rPr>
          <w:rFonts w:eastAsia="宋体"/>
          <w:b/>
          <w:bCs/>
          <w:sz w:val="24"/>
          <w:szCs w:val="24"/>
        </w:rPr>
      </w:pPr>
    </w:p>
    <w:p w14:paraId="2600D137" w14:textId="77777777" w:rsidR="00CE6F56" w:rsidRPr="001F432F" w:rsidRDefault="00CE6F56" w:rsidP="00FE4CD1">
      <w:pPr>
        <w:shd w:val="clear" w:color="auto" w:fill="FFFFFF"/>
        <w:snapToGrid w:val="0"/>
        <w:jc w:val="both"/>
        <w:rPr>
          <w:rFonts w:eastAsia="宋体"/>
          <w:b/>
          <w:bCs/>
          <w:sz w:val="36"/>
          <w:szCs w:val="36"/>
        </w:rPr>
      </w:pPr>
    </w:p>
    <w:p w14:paraId="0866E820" w14:textId="47F2142F" w:rsidR="00CE6F56" w:rsidRPr="001F432F" w:rsidRDefault="00CE6F56" w:rsidP="00FE4CD1">
      <w:pPr>
        <w:shd w:val="clear" w:color="auto" w:fill="FFFFFF"/>
        <w:snapToGrid w:val="0"/>
        <w:jc w:val="both"/>
        <w:rPr>
          <w:rFonts w:eastAsia="宋体"/>
          <w:b/>
          <w:bCs/>
          <w:sz w:val="36"/>
          <w:szCs w:val="36"/>
        </w:rPr>
      </w:pPr>
      <w:r w:rsidRPr="001F432F">
        <w:rPr>
          <w:rFonts w:eastAsia="宋体"/>
          <w:b/>
          <w:bCs/>
          <w:sz w:val="36"/>
          <w:szCs w:val="36"/>
        </w:rPr>
        <w:t>生物制品评价</w:t>
      </w:r>
      <w:r w:rsidR="00630112">
        <w:rPr>
          <w:rFonts w:eastAsia="宋体" w:hint="eastAsia"/>
          <w:b/>
          <w:bCs/>
          <w:sz w:val="36"/>
          <w:szCs w:val="36"/>
        </w:rPr>
        <w:t>和</w:t>
      </w:r>
      <w:r w:rsidRPr="001F432F">
        <w:rPr>
          <w:rFonts w:eastAsia="宋体"/>
          <w:b/>
          <w:bCs/>
          <w:sz w:val="36"/>
          <w:szCs w:val="36"/>
        </w:rPr>
        <w:t>研究中心（</w:t>
      </w:r>
      <w:r w:rsidRPr="001F432F">
        <w:rPr>
          <w:rFonts w:eastAsia="宋体"/>
          <w:b/>
          <w:bCs/>
          <w:sz w:val="36"/>
          <w:szCs w:val="36"/>
        </w:rPr>
        <w:t>CBER</w:t>
      </w:r>
      <w:r w:rsidRPr="001F432F">
        <w:rPr>
          <w:rFonts w:eastAsia="宋体"/>
          <w:b/>
          <w:bCs/>
          <w:sz w:val="36"/>
          <w:szCs w:val="36"/>
        </w:rPr>
        <w:t>）</w:t>
      </w:r>
    </w:p>
    <w:p w14:paraId="6EE3DAFE" w14:textId="09F189D6"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其他副本可从生物制品评价和研究中心（</w:t>
      </w:r>
      <w:r w:rsidRPr="001F432F">
        <w:rPr>
          <w:rFonts w:eastAsia="宋体"/>
          <w:color w:val="000000"/>
          <w:sz w:val="24"/>
          <w:szCs w:val="24"/>
        </w:rPr>
        <w:t>CBER</w:t>
      </w:r>
      <w:r w:rsidRPr="001F432F">
        <w:rPr>
          <w:rFonts w:eastAsia="宋体"/>
          <w:color w:val="000000"/>
          <w:sz w:val="24"/>
          <w:szCs w:val="24"/>
        </w:rPr>
        <w:t>）</w:t>
      </w:r>
      <w:r w:rsidR="003C7B7C">
        <w:rPr>
          <w:rFonts w:eastAsia="宋体" w:hint="eastAsia"/>
          <w:color w:val="000000"/>
          <w:sz w:val="24"/>
          <w:szCs w:val="24"/>
        </w:rPr>
        <w:t>获取</w:t>
      </w:r>
      <w:r w:rsidRPr="001F432F">
        <w:rPr>
          <w:rFonts w:eastAsia="宋体"/>
          <w:color w:val="000000"/>
          <w:sz w:val="24"/>
          <w:szCs w:val="24"/>
        </w:rPr>
        <w:t>，</w:t>
      </w:r>
      <w:r w:rsidR="003C7B7C" w:rsidRPr="001F432F">
        <w:rPr>
          <w:rFonts w:eastAsia="宋体"/>
          <w:color w:val="000000"/>
          <w:sz w:val="24"/>
          <w:szCs w:val="24"/>
        </w:rPr>
        <w:t>书面申请</w:t>
      </w:r>
      <w:r w:rsidR="003C7B7C">
        <w:rPr>
          <w:rFonts w:eastAsia="宋体" w:hint="eastAsia"/>
          <w:color w:val="000000"/>
          <w:sz w:val="24"/>
          <w:szCs w:val="24"/>
        </w:rPr>
        <w:t>至</w:t>
      </w:r>
      <w:r w:rsidRPr="001F432F">
        <w:rPr>
          <w:rFonts w:eastAsia="宋体"/>
          <w:color w:val="000000"/>
          <w:sz w:val="24"/>
          <w:szCs w:val="24"/>
        </w:rPr>
        <w:t>通信、推广和发展办公室（</w:t>
      </w:r>
      <w:r w:rsidRPr="001F432F">
        <w:rPr>
          <w:rFonts w:eastAsia="宋体"/>
          <w:color w:val="000000"/>
          <w:sz w:val="24"/>
          <w:szCs w:val="24"/>
        </w:rPr>
        <w:t>OCOD</w:t>
      </w:r>
      <w:r w:rsidRPr="001F432F">
        <w:rPr>
          <w:rFonts w:eastAsia="宋体"/>
          <w:color w:val="000000"/>
          <w:sz w:val="24"/>
          <w:szCs w:val="24"/>
        </w:rPr>
        <w:t>）（</w:t>
      </w:r>
      <w:r w:rsidRPr="001F432F">
        <w:rPr>
          <w:rFonts w:eastAsia="宋体"/>
          <w:color w:val="000000"/>
          <w:sz w:val="24"/>
          <w:szCs w:val="24"/>
        </w:rPr>
        <w:t>10903 New Hampshire Ave., Bldg. 71, Room 3128, Silver Spring, MD 20993-0002</w:t>
      </w:r>
      <w:r w:rsidRPr="001F432F">
        <w:rPr>
          <w:rFonts w:eastAsia="宋体"/>
          <w:color w:val="000000"/>
          <w:sz w:val="24"/>
          <w:szCs w:val="24"/>
        </w:rPr>
        <w:t>），或致电</w:t>
      </w:r>
      <w:r w:rsidRPr="001F432F">
        <w:rPr>
          <w:rFonts w:eastAsia="宋体"/>
          <w:color w:val="000000"/>
          <w:sz w:val="24"/>
          <w:szCs w:val="24"/>
        </w:rPr>
        <w:t>1-800-835 -4709</w:t>
      </w:r>
      <w:r w:rsidRPr="001F432F">
        <w:rPr>
          <w:rFonts w:eastAsia="宋体"/>
          <w:color w:val="000000"/>
          <w:sz w:val="24"/>
          <w:szCs w:val="24"/>
        </w:rPr>
        <w:t>或</w:t>
      </w:r>
      <w:r w:rsidRPr="001F432F">
        <w:rPr>
          <w:rFonts w:eastAsia="宋体"/>
          <w:color w:val="000000"/>
          <w:sz w:val="24"/>
          <w:szCs w:val="24"/>
        </w:rPr>
        <w:t>240-402-8010</w:t>
      </w:r>
      <w:r w:rsidRPr="001F432F">
        <w:rPr>
          <w:rFonts w:eastAsia="宋体"/>
          <w:color w:val="000000"/>
          <w:sz w:val="24"/>
          <w:szCs w:val="24"/>
        </w:rPr>
        <w:t>，发送电子邮件到以下电子邮箱：</w:t>
      </w:r>
      <w:r w:rsidRPr="001F432F">
        <w:rPr>
          <w:rFonts w:eastAsia="宋体"/>
          <w:color w:val="000000"/>
          <w:sz w:val="24"/>
          <w:szCs w:val="24"/>
        </w:rPr>
        <w:t xml:space="preserve"> </w:t>
      </w:r>
      <w:r w:rsidRPr="001F432F">
        <w:rPr>
          <w:rFonts w:eastAsia="宋体"/>
          <w:color w:val="0000FF"/>
          <w:sz w:val="24"/>
          <w:szCs w:val="24"/>
          <w:u w:val="single"/>
        </w:rPr>
        <w:t>ocod@fda.hhs.gov</w:t>
      </w:r>
      <w:r w:rsidRPr="001F432F">
        <w:rPr>
          <w:rFonts w:eastAsia="宋体"/>
          <w:color w:val="0000FF"/>
          <w:sz w:val="24"/>
          <w:szCs w:val="24"/>
        </w:rPr>
        <w:t xml:space="preserve"> </w:t>
      </w:r>
      <w:r w:rsidRPr="001F432F">
        <w:rPr>
          <w:rFonts w:eastAsia="宋体"/>
          <w:color w:val="000000"/>
          <w:sz w:val="24"/>
          <w:szCs w:val="24"/>
        </w:rPr>
        <w:t>或登录以下网站：</w:t>
      </w:r>
    </w:p>
    <w:p w14:paraId="36552FC8"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FF"/>
          <w:sz w:val="24"/>
          <w:szCs w:val="24"/>
          <w:u w:val="single"/>
        </w:rPr>
        <w:t>http://www.fda.gov/BiologicsBloodVaccines/GuidanceComplianceRegulatoryInformation/Guidances/default.htm.</w:t>
      </w:r>
    </w:p>
    <w:p w14:paraId="7D16E44B" w14:textId="77777777" w:rsidR="00CE6F56" w:rsidRPr="001F432F" w:rsidRDefault="00CE6F56" w:rsidP="00FE4CD1">
      <w:pPr>
        <w:shd w:val="clear" w:color="auto" w:fill="FFFFFF"/>
        <w:snapToGrid w:val="0"/>
        <w:jc w:val="both"/>
        <w:rPr>
          <w:rFonts w:eastAsia="宋体"/>
          <w:sz w:val="24"/>
          <w:szCs w:val="24"/>
        </w:rPr>
      </w:pPr>
    </w:p>
    <w:p w14:paraId="72410CE0" w14:textId="77777777" w:rsidR="00CE6F56" w:rsidRPr="001F432F" w:rsidRDefault="00CE6F56" w:rsidP="00FE4CD1">
      <w:pPr>
        <w:shd w:val="clear" w:color="auto" w:fill="FFFFFF"/>
        <w:snapToGrid w:val="0"/>
        <w:jc w:val="both"/>
        <w:rPr>
          <w:rFonts w:eastAsia="宋体"/>
          <w:sz w:val="21"/>
          <w:szCs w:val="21"/>
        </w:rPr>
        <w:sectPr w:rsidR="00CE6F56" w:rsidRPr="001F432F" w:rsidSect="00FE4CD1">
          <w:pgSz w:w="11906" w:h="16838"/>
          <w:pgMar w:top="1134" w:right="1417" w:bottom="1134" w:left="1417" w:header="850" w:footer="720" w:gutter="0"/>
          <w:cols w:space="60"/>
          <w:noEndnote/>
          <w:docGrid w:linePitch="272"/>
        </w:sectPr>
      </w:pPr>
    </w:p>
    <w:p w14:paraId="4497E27D" w14:textId="77777777" w:rsidR="00CE6F56" w:rsidRPr="001F432F" w:rsidRDefault="00CE6F56" w:rsidP="00CE6F56">
      <w:pPr>
        <w:snapToGrid w:val="0"/>
        <w:jc w:val="center"/>
        <w:rPr>
          <w:rFonts w:eastAsia="宋体"/>
          <w:b/>
          <w:bCs/>
          <w:sz w:val="36"/>
          <w:szCs w:val="36"/>
        </w:rPr>
      </w:pPr>
      <w:r w:rsidRPr="001F432F">
        <w:rPr>
          <w:rFonts w:eastAsia="宋体"/>
          <w:b/>
          <w:bCs/>
          <w:sz w:val="36"/>
          <w:szCs w:val="36"/>
        </w:rPr>
        <w:lastRenderedPageBreak/>
        <w:t>目录</w:t>
      </w:r>
    </w:p>
    <w:p w14:paraId="11D8ABA8" w14:textId="77777777" w:rsidR="00CE6F56" w:rsidRPr="001F432F" w:rsidRDefault="00CE6F56" w:rsidP="00CE6F56">
      <w:pPr>
        <w:snapToGrid w:val="0"/>
        <w:jc w:val="both"/>
        <w:rPr>
          <w:rFonts w:eastAsia="宋体"/>
          <w:sz w:val="21"/>
          <w:szCs w:val="21"/>
        </w:rPr>
      </w:pPr>
    </w:p>
    <w:p w14:paraId="403E0221" w14:textId="12417ED5" w:rsidR="001F432F" w:rsidRDefault="00CC5685">
      <w:pPr>
        <w:pStyle w:val="11"/>
        <w:rPr>
          <w:rFonts w:asciiTheme="minorHAnsi" w:eastAsiaTheme="minorEastAsia" w:hAnsiTheme="minorHAnsi" w:cstheme="minorBidi"/>
          <w:noProof/>
          <w:kern w:val="2"/>
          <w:sz w:val="21"/>
          <w:szCs w:val="22"/>
        </w:rPr>
      </w:pPr>
      <w:r w:rsidRPr="001F432F">
        <w:rPr>
          <w:b/>
          <w:bCs/>
          <w:sz w:val="21"/>
          <w:szCs w:val="21"/>
        </w:rPr>
        <w:fldChar w:fldCharType="begin"/>
      </w:r>
      <w:r w:rsidR="00CE6F56" w:rsidRPr="001F432F">
        <w:rPr>
          <w:b/>
          <w:sz w:val="21"/>
          <w:szCs w:val="21"/>
        </w:rPr>
        <w:instrText xml:space="preserve"> TOC \o "1-2" \h \z \u </w:instrText>
      </w:r>
      <w:r w:rsidRPr="001F432F">
        <w:rPr>
          <w:b/>
          <w:sz w:val="21"/>
          <w:szCs w:val="21"/>
        </w:rPr>
        <w:fldChar w:fldCharType="separate"/>
      </w:r>
      <w:hyperlink w:anchor="_Toc97485687" w:history="1">
        <w:r w:rsidR="001F432F" w:rsidRPr="006E45E9">
          <w:rPr>
            <w:rStyle w:val="aa"/>
            <w:noProof/>
          </w:rPr>
          <w:t>I.</w:t>
        </w:r>
        <w:r w:rsidR="001F432F">
          <w:rPr>
            <w:rFonts w:asciiTheme="minorHAnsi" w:eastAsiaTheme="minorEastAsia" w:hAnsiTheme="minorHAnsi" w:cstheme="minorBidi"/>
            <w:noProof/>
            <w:kern w:val="2"/>
            <w:sz w:val="21"/>
            <w:szCs w:val="22"/>
          </w:rPr>
          <w:tab/>
        </w:r>
        <w:r w:rsidR="00F77677">
          <w:rPr>
            <w:rStyle w:val="aa"/>
            <w:rFonts w:hint="eastAsia"/>
            <w:noProof/>
          </w:rPr>
          <w:t>前</w:t>
        </w:r>
        <w:r w:rsidR="001F432F" w:rsidRPr="006E45E9">
          <w:rPr>
            <w:rStyle w:val="aa"/>
            <w:rFonts w:hint="eastAsia"/>
            <w:noProof/>
          </w:rPr>
          <w:t>言</w:t>
        </w:r>
        <w:r w:rsidR="001F432F">
          <w:rPr>
            <w:noProof/>
            <w:webHidden/>
          </w:rPr>
          <w:tab/>
        </w:r>
        <w:r>
          <w:rPr>
            <w:noProof/>
            <w:webHidden/>
          </w:rPr>
          <w:fldChar w:fldCharType="begin"/>
        </w:r>
        <w:r w:rsidR="001F432F">
          <w:rPr>
            <w:noProof/>
            <w:webHidden/>
          </w:rPr>
          <w:instrText xml:space="preserve"> PAGEREF _Toc97485687 \h </w:instrText>
        </w:r>
        <w:r>
          <w:rPr>
            <w:noProof/>
            <w:webHidden/>
          </w:rPr>
        </w:r>
        <w:r>
          <w:rPr>
            <w:noProof/>
            <w:webHidden/>
          </w:rPr>
          <w:fldChar w:fldCharType="separate"/>
        </w:r>
        <w:r w:rsidR="001F432F">
          <w:rPr>
            <w:noProof/>
            <w:webHidden/>
          </w:rPr>
          <w:t>1</w:t>
        </w:r>
        <w:r>
          <w:rPr>
            <w:noProof/>
            <w:webHidden/>
          </w:rPr>
          <w:fldChar w:fldCharType="end"/>
        </w:r>
      </w:hyperlink>
    </w:p>
    <w:p w14:paraId="25E48B60" w14:textId="77777777" w:rsidR="001F432F" w:rsidRDefault="00797844">
      <w:pPr>
        <w:pStyle w:val="11"/>
        <w:rPr>
          <w:rFonts w:asciiTheme="minorHAnsi" w:eastAsiaTheme="minorEastAsia" w:hAnsiTheme="minorHAnsi" w:cstheme="minorBidi"/>
          <w:noProof/>
          <w:kern w:val="2"/>
          <w:sz w:val="21"/>
          <w:szCs w:val="22"/>
        </w:rPr>
      </w:pPr>
      <w:hyperlink w:anchor="_Toc97485688" w:history="1">
        <w:r w:rsidR="001F432F" w:rsidRPr="006E45E9">
          <w:rPr>
            <w:rStyle w:val="aa"/>
            <w:noProof/>
          </w:rPr>
          <w:t>II.</w:t>
        </w:r>
        <w:r w:rsidR="001F432F">
          <w:rPr>
            <w:rFonts w:asciiTheme="minorHAnsi" w:eastAsiaTheme="minorEastAsia" w:hAnsiTheme="minorHAnsi" w:cstheme="minorBidi"/>
            <w:noProof/>
            <w:kern w:val="2"/>
            <w:sz w:val="21"/>
            <w:szCs w:val="22"/>
          </w:rPr>
          <w:tab/>
        </w:r>
        <w:r w:rsidR="001F432F" w:rsidRPr="006E45E9">
          <w:rPr>
            <w:rStyle w:val="aa"/>
            <w:rFonts w:hint="eastAsia"/>
            <w:noProof/>
          </w:rPr>
          <w:t>背景</w:t>
        </w:r>
        <w:r w:rsidR="001F432F">
          <w:rPr>
            <w:noProof/>
            <w:webHidden/>
          </w:rPr>
          <w:tab/>
        </w:r>
        <w:r w:rsidR="00CC5685">
          <w:rPr>
            <w:noProof/>
            <w:webHidden/>
          </w:rPr>
          <w:fldChar w:fldCharType="begin"/>
        </w:r>
        <w:r w:rsidR="001F432F">
          <w:rPr>
            <w:noProof/>
            <w:webHidden/>
          </w:rPr>
          <w:instrText xml:space="preserve"> PAGEREF _Toc97485688 \h </w:instrText>
        </w:r>
        <w:r w:rsidR="00CC5685">
          <w:rPr>
            <w:noProof/>
            <w:webHidden/>
          </w:rPr>
        </w:r>
        <w:r w:rsidR="00CC5685">
          <w:rPr>
            <w:noProof/>
            <w:webHidden/>
          </w:rPr>
          <w:fldChar w:fldCharType="separate"/>
        </w:r>
        <w:r w:rsidR="001F432F">
          <w:rPr>
            <w:noProof/>
            <w:webHidden/>
          </w:rPr>
          <w:t>2</w:t>
        </w:r>
        <w:r w:rsidR="00CC5685">
          <w:rPr>
            <w:noProof/>
            <w:webHidden/>
          </w:rPr>
          <w:fldChar w:fldCharType="end"/>
        </w:r>
      </w:hyperlink>
    </w:p>
    <w:p w14:paraId="4BC39E1E" w14:textId="77777777" w:rsidR="001F432F" w:rsidRDefault="00797844">
      <w:pPr>
        <w:pStyle w:val="11"/>
        <w:rPr>
          <w:rFonts w:asciiTheme="minorHAnsi" w:eastAsiaTheme="minorEastAsia" w:hAnsiTheme="minorHAnsi" w:cstheme="minorBidi"/>
          <w:noProof/>
          <w:kern w:val="2"/>
          <w:sz w:val="21"/>
          <w:szCs w:val="22"/>
        </w:rPr>
      </w:pPr>
      <w:hyperlink w:anchor="_Toc97485689" w:history="1">
        <w:r w:rsidR="001F432F" w:rsidRPr="006E45E9">
          <w:rPr>
            <w:rStyle w:val="aa"/>
            <w:noProof/>
          </w:rPr>
          <w:t>III.</w:t>
        </w:r>
        <w:r w:rsidR="001F432F">
          <w:rPr>
            <w:rFonts w:asciiTheme="minorHAnsi" w:eastAsiaTheme="minorEastAsia" w:hAnsiTheme="minorHAnsi" w:cstheme="minorBidi"/>
            <w:noProof/>
            <w:kern w:val="2"/>
            <w:sz w:val="21"/>
            <w:szCs w:val="22"/>
          </w:rPr>
          <w:tab/>
        </w:r>
        <w:r w:rsidR="001F432F" w:rsidRPr="006E45E9">
          <w:rPr>
            <w:rStyle w:val="aa"/>
            <w:rFonts w:hint="eastAsia"/>
            <w:noProof/>
          </w:rPr>
          <w:t>范围</w:t>
        </w:r>
        <w:r w:rsidR="001F432F">
          <w:rPr>
            <w:noProof/>
            <w:webHidden/>
          </w:rPr>
          <w:tab/>
        </w:r>
        <w:r w:rsidR="00CC5685">
          <w:rPr>
            <w:noProof/>
            <w:webHidden/>
          </w:rPr>
          <w:fldChar w:fldCharType="begin"/>
        </w:r>
        <w:r w:rsidR="001F432F">
          <w:rPr>
            <w:noProof/>
            <w:webHidden/>
          </w:rPr>
          <w:instrText xml:space="preserve"> PAGEREF _Toc97485689 \h </w:instrText>
        </w:r>
        <w:r w:rsidR="00CC5685">
          <w:rPr>
            <w:noProof/>
            <w:webHidden/>
          </w:rPr>
        </w:r>
        <w:r w:rsidR="00CC5685">
          <w:rPr>
            <w:noProof/>
            <w:webHidden/>
          </w:rPr>
          <w:fldChar w:fldCharType="separate"/>
        </w:r>
        <w:r w:rsidR="001F432F">
          <w:rPr>
            <w:noProof/>
            <w:webHidden/>
          </w:rPr>
          <w:t>3</w:t>
        </w:r>
        <w:r w:rsidR="00CC5685">
          <w:rPr>
            <w:noProof/>
            <w:webHidden/>
          </w:rPr>
          <w:fldChar w:fldCharType="end"/>
        </w:r>
      </w:hyperlink>
    </w:p>
    <w:p w14:paraId="2A95C03D" w14:textId="77777777" w:rsidR="001F432F" w:rsidRDefault="00797844">
      <w:pPr>
        <w:pStyle w:val="11"/>
        <w:rPr>
          <w:rFonts w:asciiTheme="minorHAnsi" w:eastAsiaTheme="minorEastAsia" w:hAnsiTheme="minorHAnsi" w:cstheme="minorBidi"/>
          <w:noProof/>
          <w:kern w:val="2"/>
          <w:sz w:val="21"/>
          <w:szCs w:val="22"/>
        </w:rPr>
      </w:pPr>
      <w:hyperlink w:anchor="_Toc97485690" w:history="1">
        <w:r w:rsidR="001F432F" w:rsidRPr="006E45E9">
          <w:rPr>
            <w:rStyle w:val="aa"/>
            <w:noProof/>
          </w:rPr>
          <w:t>IV.</w:t>
        </w:r>
        <w:r w:rsidR="001F432F">
          <w:rPr>
            <w:rFonts w:asciiTheme="minorHAnsi" w:eastAsiaTheme="minorEastAsia" w:hAnsiTheme="minorHAnsi" w:cstheme="minorBidi"/>
            <w:noProof/>
            <w:kern w:val="2"/>
            <w:sz w:val="21"/>
            <w:szCs w:val="22"/>
          </w:rPr>
          <w:tab/>
        </w:r>
        <w:r w:rsidR="001F432F" w:rsidRPr="006E45E9">
          <w:rPr>
            <w:rStyle w:val="aa"/>
            <w:rFonts w:hint="eastAsia"/>
            <w:noProof/>
          </w:rPr>
          <w:t>定义</w:t>
        </w:r>
        <w:r w:rsidR="001F432F">
          <w:rPr>
            <w:noProof/>
            <w:webHidden/>
          </w:rPr>
          <w:tab/>
        </w:r>
        <w:r w:rsidR="00CC5685">
          <w:rPr>
            <w:noProof/>
            <w:webHidden/>
          </w:rPr>
          <w:fldChar w:fldCharType="begin"/>
        </w:r>
        <w:r w:rsidR="001F432F">
          <w:rPr>
            <w:noProof/>
            <w:webHidden/>
          </w:rPr>
          <w:instrText xml:space="preserve"> PAGEREF _Toc97485690 \h </w:instrText>
        </w:r>
        <w:r w:rsidR="00CC5685">
          <w:rPr>
            <w:noProof/>
            <w:webHidden/>
          </w:rPr>
        </w:r>
        <w:r w:rsidR="00CC5685">
          <w:rPr>
            <w:noProof/>
            <w:webHidden/>
          </w:rPr>
          <w:fldChar w:fldCharType="separate"/>
        </w:r>
        <w:r w:rsidR="001F432F">
          <w:rPr>
            <w:noProof/>
            <w:webHidden/>
          </w:rPr>
          <w:t>4</w:t>
        </w:r>
        <w:r w:rsidR="00CC5685">
          <w:rPr>
            <w:noProof/>
            <w:webHidden/>
          </w:rPr>
          <w:fldChar w:fldCharType="end"/>
        </w:r>
      </w:hyperlink>
    </w:p>
    <w:p w14:paraId="4DFCA7BF" w14:textId="77777777" w:rsidR="001F432F" w:rsidRDefault="00797844">
      <w:pPr>
        <w:pStyle w:val="11"/>
        <w:rPr>
          <w:rFonts w:asciiTheme="minorHAnsi" w:eastAsiaTheme="minorEastAsia" w:hAnsiTheme="minorHAnsi" w:cstheme="minorBidi"/>
          <w:noProof/>
          <w:kern w:val="2"/>
          <w:sz w:val="21"/>
          <w:szCs w:val="22"/>
        </w:rPr>
      </w:pPr>
      <w:hyperlink w:anchor="_Toc97485691" w:history="1">
        <w:r w:rsidR="001F432F" w:rsidRPr="006E45E9">
          <w:rPr>
            <w:rStyle w:val="aa"/>
            <w:noProof/>
          </w:rPr>
          <w:t>V.</w:t>
        </w:r>
        <w:r w:rsidR="001F432F">
          <w:rPr>
            <w:rFonts w:asciiTheme="minorHAnsi" w:eastAsiaTheme="minorEastAsia" w:hAnsiTheme="minorHAnsi" w:cstheme="minorBidi"/>
            <w:noProof/>
            <w:kern w:val="2"/>
            <w:sz w:val="21"/>
            <w:szCs w:val="22"/>
          </w:rPr>
          <w:tab/>
        </w:r>
        <w:r w:rsidR="001F432F" w:rsidRPr="006E45E9">
          <w:rPr>
            <w:rStyle w:val="aa"/>
            <w:rFonts w:hint="eastAsia"/>
            <w:noProof/>
          </w:rPr>
          <w:t>互操作性医疗器械的设计考虑事项</w:t>
        </w:r>
        <w:r w:rsidR="001F432F">
          <w:rPr>
            <w:noProof/>
            <w:webHidden/>
          </w:rPr>
          <w:tab/>
        </w:r>
        <w:r w:rsidR="00CC5685">
          <w:rPr>
            <w:noProof/>
            <w:webHidden/>
          </w:rPr>
          <w:fldChar w:fldCharType="begin"/>
        </w:r>
        <w:r w:rsidR="001F432F">
          <w:rPr>
            <w:noProof/>
            <w:webHidden/>
          </w:rPr>
          <w:instrText xml:space="preserve"> PAGEREF _Toc97485691 \h </w:instrText>
        </w:r>
        <w:r w:rsidR="00CC5685">
          <w:rPr>
            <w:noProof/>
            <w:webHidden/>
          </w:rPr>
        </w:r>
        <w:r w:rsidR="00CC5685">
          <w:rPr>
            <w:noProof/>
            <w:webHidden/>
          </w:rPr>
          <w:fldChar w:fldCharType="separate"/>
        </w:r>
        <w:r w:rsidR="001F432F">
          <w:rPr>
            <w:noProof/>
            <w:webHidden/>
          </w:rPr>
          <w:t>5</w:t>
        </w:r>
        <w:r w:rsidR="00CC5685">
          <w:rPr>
            <w:noProof/>
            <w:webHidden/>
          </w:rPr>
          <w:fldChar w:fldCharType="end"/>
        </w:r>
      </w:hyperlink>
    </w:p>
    <w:p w14:paraId="70BC1E14" w14:textId="77777777" w:rsidR="001F432F" w:rsidRDefault="00797844" w:rsidP="001F432F">
      <w:pPr>
        <w:pStyle w:val="21"/>
        <w:rPr>
          <w:rFonts w:asciiTheme="minorHAnsi" w:eastAsiaTheme="minorEastAsia" w:hAnsiTheme="minorHAnsi" w:cstheme="minorBidi"/>
          <w:noProof/>
          <w:kern w:val="2"/>
          <w:szCs w:val="22"/>
        </w:rPr>
      </w:pPr>
      <w:hyperlink w:anchor="_Toc97485692" w:history="1">
        <w:r w:rsidR="001F432F" w:rsidRPr="006E45E9">
          <w:rPr>
            <w:rStyle w:val="aa"/>
            <w:noProof/>
          </w:rPr>
          <w:t>A.</w:t>
        </w:r>
        <w:r w:rsidR="001F432F">
          <w:rPr>
            <w:rFonts w:asciiTheme="minorHAnsi" w:eastAsiaTheme="minorEastAsia" w:hAnsiTheme="minorHAnsi" w:cstheme="minorBidi"/>
            <w:noProof/>
            <w:kern w:val="2"/>
            <w:szCs w:val="22"/>
          </w:rPr>
          <w:tab/>
        </w:r>
        <w:r w:rsidR="001F432F" w:rsidRPr="006E45E9">
          <w:rPr>
            <w:rStyle w:val="aa"/>
            <w:rFonts w:hint="eastAsia"/>
            <w:noProof/>
          </w:rPr>
          <w:t>电子接口的用途</w:t>
        </w:r>
        <w:r w:rsidR="001F432F">
          <w:rPr>
            <w:noProof/>
            <w:webHidden/>
          </w:rPr>
          <w:tab/>
        </w:r>
        <w:r w:rsidR="00CC5685">
          <w:rPr>
            <w:noProof/>
            <w:webHidden/>
          </w:rPr>
          <w:fldChar w:fldCharType="begin"/>
        </w:r>
        <w:r w:rsidR="001F432F">
          <w:rPr>
            <w:noProof/>
            <w:webHidden/>
          </w:rPr>
          <w:instrText xml:space="preserve"> PAGEREF _Toc97485692 \h </w:instrText>
        </w:r>
        <w:r w:rsidR="00CC5685">
          <w:rPr>
            <w:noProof/>
            <w:webHidden/>
          </w:rPr>
        </w:r>
        <w:r w:rsidR="00CC5685">
          <w:rPr>
            <w:noProof/>
            <w:webHidden/>
          </w:rPr>
          <w:fldChar w:fldCharType="separate"/>
        </w:r>
        <w:r w:rsidR="001F432F">
          <w:rPr>
            <w:noProof/>
            <w:webHidden/>
          </w:rPr>
          <w:t>6</w:t>
        </w:r>
        <w:r w:rsidR="00CC5685">
          <w:rPr>
            <w:noProof/>
            <w:webHidden/>
          </w:rPr>
          <w:fldChar w:fldCharType="end"/>
        </w:r>
      </w:hyperlink>
    </w:p>
    <w:p w14:paraId="7BDAE158" w14:textId="77777777" w:rsidR="001F432F" w:rsidRDefault="00797844" w:rsidP="001F432F">
      <w:pPr>
        <w:pStyle w:val="21"/>
        <w:rPr>
          <w:rFonts w:asciiTheme="minorHAnsi" w:eastAsiaTheme="minorEastAsia" w:hAnsiTheme="minorHAnsi" w:cstheme="minorBidi"/>
          <w:noProof/>
          <w:kern w:val="2"/>
          <w:szCs w:val="22"/>
        </w:rPr>
      </w:pPr>
      <w:hyperlink w:anchor="_Toc97485693" w:history="1">
        <w:r w:rsidR="001F432F" w:rsidRPr="006E45E9">
          <w:rPr>
            <w:rStyle w:val="aa"/>
            <w:noProof/>
          </w:rPr>
          <w:t>B.</w:t>
        </w:r>
        <w:r w:rsidR="001F432F">
          <w:rPr>
            <w:rFonts w:asciiTheme="minorHAnsi" w:eastAsiaTheme="minorEastAsia" w:hAnsiTheme="minorHAnsi" w:cstheme="minorBidi"/>
            <w:noProof/>
            <w:kern w:val="2"/>
            <w:szCs w:val="22"/>
          </w:rPr>
          <w:tab/>
        </w:r>
        <w:r w:rsidR="004826CF">
          <w:rPr>
            <w:rStyle w:val="aa"/>
            <w:rFonts w:hint="eastAsia"/>
            <w:noProof/>
          </w:rPr>
          <w:t>预期用户</w:t>
        </w:r>
        <w:r w:rsidR="001F432F">
          <w:rPr>
            <w:noProof/>
            <w:webHidden/>
          </w:rPr>
          <w:tab/>
        </w:r>
        <w:r w:rsidR="00CC5685">
          <w:rPr>
            <w:noProof/>
            <w:webHidden/>
          </w:rPr>
          <w:fldChar w:fldCharType="begin"/>
        </w:r>
        <w:r w:rsidR="001F432F">
          <w:rPr>
            <w:noProof/>
            <w:webHidden/>
          </w:rPr>
          <w:instrText xml:space="preserve"> PAGEREF _Toc97485693 \h </w:instrText>
        </w:r>
        <w:r w:rsidR="00CC5685">
          <w:rPr>
            <w:noProof/>
            <w:webHidden/>
          </w:rPr>
        </w:r>
        <w:r w:rsidR="00CC5685">
          <w:rPr>
            <w:noProof/>
            <w:webHidden/>
          </w:rPr>
          <w:fldChar w:fldCharType="separate"/>
        </w:r>
        <w:r w:rsidR="001F432F">
          <w:rPr>
            <w:noProof/>
            <w:webHidden/>
          </w:rPr>
          <w:t>7</w:t>
        </w:r>
        <w:r w:rsidR="00CC5685">
          <w:rPr>
            <w:noProof/>
            <w:webHidden/>
          </w:rPr>
          <w:fldChar w:fldCharType="end"/>
        </w:r>
      </w:hyperlink>
    </w:p>
    <w:p w14:paraId="1703E562" w14:textId="77777777" w:rsidR="001F432F" w:rsidRDefault="00797844" w:rsidP="001F432F">
      <w:pPr>
        <w:pStyle w:val="21"/>
        <w:rPr>
          <w:rFonts w:asciiTheme="minorHAnsi" w:eastAsiaTheme="minorEastAsia" w:hAnsiTheme="minorHAnsi" w:cstheme="minorBidi"/>
          <w:noProof/>
          <w:kern w:val="2"/>
          <w:szCs w:val="22"/>
        </w:rPr>
      </w:pPr>
      <w:hyperlink w:anchor="_Toc97485694" w:history="1">
        <w:r w:rsidR="001F432F" w:rsidRPr="006E45E9">
          <w:rPr>
            <w:rStyle w:val="aa"/>
            <w:noProof/>
          </w:rPr>
          <w:t>C.</w:t>
        </w:r>
        <w:r w:rsidR="001F432F">
          <w:rPr>
            <w:rFonts w:asciiTheme="minorHAnsi" w:eastAsiaTheme="minorEastAsia" w:hAnsiTheme="minorHAnsi" w:cstheme="minorBidi"/>
            <w:noProof/>
            <w:kern w:val="2"/>
            <w:szCs w:val="22"/>
          </w:rPr>
          <w:tab/>
        </w:r>
        <w:r w:rsidR="001F432F" w:rsidRPr="006E45E9">
          <w:rPr>
            <w:rStyle w:val="aa"/>
            <w:rFonts w:hint="eastAsia"/>
            <w:noProof/>
          </w:rPr>
          <w:t>风险管理考虑事项</w:t>
        </w:r>
        <w:r w:rsidR="001F432F">
          <w:rPr>
            <w:noProof/>
            <w:webHidden/>
          </w:rPr>
          <w:tab/>
        </w:r>
        <w:r w:rsidR="00CC5685">
          <w:rPr>
            <w:noProof/>
            <w:webHidden/>
          </w:rPr>
          <w:fldChar w:fldCharType="begin"/>
        </w:r>
        <w:r w:rsidR="001F432F">
          <w:rPr>
            <w:noProof/>
            <w:webHidden/>
          </w:rPr>
          <w:instrText xml:space="preserve"> PAGEREF _Toc97485694 \h </w:instrText>
        </w:r>
        <w:r w:rsidR="00CC5685">
          <w:rPr>
            <w:noProof/>
            <w:webHidden/>
          </w:rPr>
        </w:r>
        <w:r w:rsidR="00CC5685">
          <w:rPr>
            <w:noProof/>
            <w:webHidden/>
          </w:rPr>
          <w:fldChar w:fldCharType="separate"/>
        </w:r>
        <w:r w:rsidR="001F432F">
          <w:rPr>
            <w:noProof/>
            <w:webHidden/>
          </w:rPr>
          <w:t>8</w:t>
        </w:r>
        <w:r w:rsidR="00CC5685">
          <w:rPr>
            <w:noProof/>
            <w:webHidden/>
          </w:rPr>
          <w:fldChar w:fldCharType="end"/>
        </w:r>
      </w:hyperlink>
    </w:p>
    <w:p w14:paraId="0B83902F" w14:textId="77777777" w:rsidR="001F432F" w:rsidRDefault="00797844" w:rsidP="001F432F">
      <w:pPr>
        <w:pStyle w:val="21"/>
        <w:rPr>
          <w:rFonts w:asciiTheme="minorHAnsi" w:eastAsiaTheme="minorEastAsia" w:hAnsiTheme="minorHAnsi" w:cstheme="minorBidi"/>
          <w:noProof/>
          <w:kern w:val="2"/>
          <w:szCs w:val="22"/>
        </w:rPr>
      </w:pPr>
      <w:hyperlink w:anchor="_Toc97485695" w:history="1">
        <w:r w:rsidR="001F432F" w:rsidRPr="006E45E9">
          <w:rPr>
            <w:rStyle w:val="aa"/>
            <w:noProof/>
          </w:rPr>
          <w:t>D.</w:t>
        </w:r>
        <w:r w:rsidR="001F432F">
          <w:rPr>
            <w:rFonts w:asciiTheme="minorHAnsi" w:eastAsiaTheme="minorEastAsia" w:hAnsiTheme="minorHAnsi" w:cstheme="minorBidi"/>
            <w:noProof/>
            <w:kern w:val="2"/>
            <w:szCs w:val="22"/>
          </w:rPr>
          <w:tab/>
        </w:r>
        <w:r w:rsidR="001F432F" w:rsidRPr="006E45E9">
          <w:rPr>
            <w:rStyle w:val="aa"/>
            <w:rFonts w:hint="eastAsia"/>
            <w:noProof/>
          </w:rPr>
          <w:t>验证和确认考虑事项</w:t>
        </w:r>
        <w:r w:rsidR="001F432F">
          <w:rPr>
            <w:noProof/>
            <w:webHidden/>
          </w:rPr>
          <w:tab/>
        </w:r>
        <w:r w:rsidR="00CC5685">
          <w:rPr>
            <w:noProof/>
            <w:webHidden/>
          </w:rPr>
          <w:fldChar w:fldCharType="begin"/>
        </w:r>
        <w:r w:rsidR="001F432F">
          <w:rPr>
            <w:noProof/>
            <w:webHidden/>
          </w:rPr>
          <w:instrText xml:space="preserve"> PAGEREF _Toc97485695 \h </w:instrText>
        </w:r>
        <w:r w:rsidR="00CC5685">
          <w:rPr>
            <w:noProof/>
            <w:webHidden/>
          </w:rPr>
        </w:r>
        <w:r w:rsidR="00CC5685">
          <w:rPr>
            <w:noProof/>
            <w:webHidden/>
          </w:rPr>
          <w:fldChar w:fldCharType="separate"/>
        </w:r>
        <w:r w:rsidR="001F432F">
          <w:rPr>
            <w:noProof/>
            <w:webHidden/>
          </w:rPr>
          <w:t>10</w:t>
        </w:r>
        <w:r w:rsidR="00CC5685">
          <w:rPr>
            <w:noProof/>
            <w:webHidden/>
          </w:rPr>
          <w:fldChar w:fldCharType="end"/>
        </w:r>
      </w:hyperlink>
    </w:p>
    <w:p w14:paraId="513F1BA9" w14:textId="75AB6BAC" w:rsidR="001F432F" w:rsidRDefault="00CC5685" w:rsidP="001F432F">
      <w:pPr>
        <w:pStyle w:val="21"/>
        <w:rPr>
          <w:rFonts w:asciiTheme="minorHAnsi" w:eastAsiaTheme="minorEastAsia" w:hAnsiTheme="minorHAnsi" w:cstheme="minorBidi"/>
          <w:noProof/>
          <w:kern w:val="2"/>
          <w:szCs w:val="22"/>
        </w:rPr>
      </w:pPr>
      <w:hyperlink w:anchor="_Toc97485696" w:history="1">
        <w:r w:rsidR="001F432F" w:rsidRPr="006E45E9">
          <w:rPr>
            <w:rStyle w:val="aa"/>
            <w:noProof/>
          </w:rPr>
          <w:t>E.</w:t>
        </w:r>
        <w:r w:rsidR="001F432F">
          <w:rPr>
            <w:rFonts w:asciiTheme="minorHAnsi" w:eastAsiaTheme="minorEastAsia" w:hAnsiTheme="minorHAnsi" w:cstheme="minorBidi"/>
            <w:noProof/>
            <w:kern w:val="2"/>
            <w:szCs w:val="22"/>
          </w:rPr>
          <w:tab/>
        </w:r>
        <w:r w:rsidR="003C7B7C">
          <w:rPr>
            <w:rStyle w:val="aa"/>
            <w:rFonts w:hint="eastAsia"/>
            <w:noProof/>
          </w:rPr>
          <w:t>标记</w:t>
        </w:r>
        <w:r w:rsidR="001F432F" w:rsidRPr="006E45E9">
          <w:rPr>
            <w:rStyle w:val="aa"/>
            <w:rFonts w:hint="eastAsia"/>
            <w:noProof/>
          </w:rPr>
          <w:t>考虑事项</w:t>
        </w:r>
        <w:r w:rsidR="001F432F">
          <w:rPr>
            <w:noProof/>
            <w:webHidden/>
          </w:rPr>
          <w:tab/>
        </w:r>
        <w:r>
          <w:rPr>
            <w:noProof/>
            <w:webHidden/>
          </w:rPr>
          <w:fldChar w:fldCharType="begin"/>
        </w:r>
        <w:r w:rsidR="001F432F">
          <w:rPr>
            <w:noProof/>
            <w:webHidden/>
          </w:rPr>
          <w:instrText xml:space="preserve"> PAGEREF _Toc97485696 \h </w:instrText>
        </w:r>
        <w:r>
          <w:rPr>
            <w:noProof/>
            <w:webHidden/>
          </w:rPr>
        </w:r>
        <w:r>
          <w:rPr>
            <w:noProof/>
            <w:webHidden/>
          </w:rPr>
          <w:fldChar w:fldCharType="separate"/>
        </w:r>
        <w:r w:rsidR="001F432F">
          <w:rPr>
            <w:noProof/>
            <w:webHidden/>
          </w:rPr>
          <w:t>11</w:t>
        </w:r>
        <w:r>
          <w:rPr>
            <w:noProof/>
            <w:webHidden/>
          </w:rPr>
          <w:fldChar w:fldCharType="end"/>
        </w:r>
      </w:hyperlink>
    </w:p>
    <w:p w14:paraId="7D151242" w14:textId="77777777" w:rsidR="001F432F" w:rsidRDefault="00797844" w:rsidP="001F432F">
      <w:pPr>
        <w:pStyle w:val="21"/>
        <w:rPr>
          <w:rFonts w:asciiTheme="minorHAnsi" w:eastAsiaTheme="minorEastAsia" w:hAnsiTheme="minorHAnsi" w:cstheme="minorBidi"/>
          <w:noProof/>
          <w:kern w:val="2"/>
          <w:szCs w:val="22"/>
        </w:rPr>
      </w:pPr>
      <w:hyperlink w:anchor="_Toc97485697" w:history="1">
        <w:r w:rsidR="001F432F" w:rsidRPr="006E45E9">
          <w:rPr>
            <w:rStyle w:val="aa"/>
            <w:noProof/>
          </w:rPr>
          <w:t>F.</w:t>
        </w:r>
        <w:r w:rsidR="001F432F">
          <w:rPr>
            <w:rFonts w:asciiTheme="minorHAnsi" w:eastAsiaTheme="minorEastAsia" w:hAnsiTheme="minorHAnsi" w:cstheme="minorBidi"/>
            <w:noProof/>
            <w:kern w:val="2"/>
            <w:szCs w:val="22"/>
          </w:rPr>
          <w:tab/>
        </w:r>
        <w:r w:rsidR="001F432F" w:rsidRPr="006E45E9">
          <w:rPr>
            <w:rStyle w:val="aa"/>
            <w:rFonts w:hint="eastAsia"/>
            <w:noProof/>
          </w:rPr>
          <w:t>共识标准的使用</w:t>
        </w:r>
        <w:r w:rsidR="001F432F">
          <w:rPr>
            <w:noProof/>
            <w:webHidden/>
          </w:rPr>
          <w:tab/>
        </w:r>
        <w:r w:rsidR="00CC5685">
          <w:rPr>
            <w:noProof/>
            <w:webHidden/>
          </w:rPr>
          <w:fldChar w:fldCharType="begin"/>
        </w:r>
        <w:r w:rsidR="001F432F">
          <w:rPr>
            <w:noProof/>
            <w:webHidden/>
          </w:rPr>
          <w:instrText xml:space="preserve"> PAGEREF _Toc97485697 \h </w:instrText>
        </w:r>
        <w:r w:rsidR="00CC5685">
          <w:rPr>
            <w:noProof/>
            <w:webHidden/>
          </w:rPr>
        </w:r>
        <w:r w:rsidR="00CC5685">
          <w:rPr>
            <w:noProof/>
            <w:webHidden/>
          </w:rPr>
          <w:fldChar w:fldCharType="separate"/>
        </w:r>
        <w:r w:rsidR="001F432F">
          <w:rPr>
            <w:noProof/>
            <w:webHidden/>
          </w:rPr>
          <w:t>12</w:t>
        </w:r>
        <w:r w:rsidR="00CC5685">
          <w:rPr>
            <w:noProof/>
            <w:webHidden/>
          </w:rPr>
          <w:fldChar w:fldCharType="end"/>
        </w:r>
      </w:hyperlink>
    </w:p>
    <w:p w14:paraId="2C6A7573" w14:textId="77777777" w:rsidR="001F432F" w:rsidRDefault="00797844">
      <w:pPr>
        <w:pStyle w:val="11"/>
        <w:rPr>
          <w:rFonts w:asciiTheme="minorHAnsi" w:eastAsiaTheme="minorEastAsia" w:hAnsiTheme="minorHAnsi" w:cstheme="minorBidi"/>
          <w:noProof/>
          <w:kern w:val="2"/>
          <w:sz w:val="21"/>
          <w:szCs w:val="22"/>
        </w:rPr>
      </w:pPr>
      <w:hyperlink w:anchor="_Toc97485698" w:history="1">
        <w:r w:rsidR="001F432F" w:rsidRPr="006E45E9">
          <w:rPr>
            <w:rStyle w:val="aa"/>
            <w:noProof/>
          </w:rPr>
          <w:t>VI.</w:t>
        </w:r>
        <w:r w:rsidR="001F432F">
          <w:rPr>
            <w:rFonts w:asciiTheme="minorHAnsi" w:eastAsiaTheme="minorEastAsia" w:hAnsiTheme="minorHAnsi" w:cstheme="minorBidi"/>
            <w:noProof/>
            <w:kern w:val="2"/>
            <w:sz w:val="21"/>
            <w:szCs w:val="22"/>
          </w:rPr>
          <w:tab/>
        </w:r>
        <w:r w:rsidR="001F432F" w:rsidRPr="006E45E9">
          <w:rPr>
            <w:rStyle w:val="aa"/>
            <w:rFonts w:hint="eastAsia"/>
            <w:noProof/>
          </w:rPr>
          <w:t>上市前</w:t>
        </w:r>
        <w:r w:rsidR="004826CF">
          <w:rPr>
            <w:rStyle w:val="aa"/>
            <w:rFonts w:hint="eastAsia"/>
            <w:noProof/>
          </w:rPr>
          <w:t>申报资料</w:t>
        </w:r>
        <w:r w:rsidR="001F432F" w:rsidRPr="006E45E9">
          <w:rPr>
            <w:rStyle w:val="aa"/>
            <w:rFonts w:hint="eastAsia"/>
            <w:noProof/>
          </w:rPr>
          <w:t>内容的建议</w:t>
        </w:r>
        <w:r w:rsidR="001F432F">
          <w:rPr>
            <w:noProof/>
            <w:webHidden/>
          </w:rPr>
          <w:tab/>
        </w:r>
        <w:r w:rsidR="00CC5685">
          <w:rPr>
            <w:noProof/>
            <w:webHidden/>
          </w:rPr>
          <w:fldChar w:fldCharType="begin"/>
        </w:r>
        <w:r w:rsidR="001F432F">
          <w:rPr>
            <w:noProof/>
            <w:webHidden/>
          </w:rPr>
          <w:instrText xml:space="preserve"> PAGEREF _Toc97485698 \h </w:instrText>
        </w:r>
        <w:r w:rsidR="00CC5685">
          <w:rPr>
            <w:noProof/>
            <w:webHidden/>
          </w:rPr>
        </w:r>
        <w:r w:rsidR="00CC5685">
          <w:rPr>
            <w:noProof/>
            <w:webHidden/>
          </w:rPr>
          <w:fldChar w:fldCharType="separate"/>
        </w:r>
        <w:r w:rsidR="001F432F">
          <w:rPr>
            <w:noProof/>
            <w:webHidden/>
          </w:rPr>
          <w:t>12</w:t>
        </w:r>
        <w:r w:rsidR="00CC5685">
          <w:rPr>
            <w:noProof/>
            <w:webHidden/>
          </w:rPr>
          <w:fldChar w:fldCharType="end"/>
        </w:r>
      </w:hyperlink>
    </w:p>
    <w:p w14:paraId="0B287FD7" w14:textId="77777777" w:rsidR="001F432F" w:rsidRDefault="00797844" w:rsidP="001F432F">
      <w:pPr>
        <w:pStyle w:val="21"/>
        <w:rPr>
          <w:rFonts w:asciiTheme="minorHAnsi" w:eastAsiaTheme="minorEastAsia" w:hAnsiTheme="minorHAnsi" w:cstheme="minorBidi"/>
          <w:noProof/>
          <w:kern w:val="2"/>
          <w:szCs w:val="22"/>
        </w:rPr>
      </w:pPr>
      <w:hyperlink w:anchor="_Toc97485699" w:history="1">
        <w:r w:rsidR="001F432F" w:rsidRPr="006E45E9">
          <w:rPr>
            <w:rStyle w:val="aa"/>
            <w:noProof/>
          </w:rPr>
          <w:t>A.</w:t>
        </w:r>
        <w:r w:rsidR="001F432F">
          <w:rPr>
            <w:rFonts w:asciiTheme="minorHAnsi" w:eastAsiaTheme="minorEastAsia" w:hAnsiTheme="minorHAnsi" w:cstheme="minorBidi"/>
            <w:noProof/>
            <w:kern w:val="2"/>
            <w:szCs w:val="22"/>
          </w:rPr>
          <w:tab/>
        </w:r>
        <w:r w:rsidR="001F432F" w:rsidRPr="006E45E9">
          <w:rPr>
            <w:rStyle w:val="aa"/>
            <w:rFonts w:hint="eastAsia"/>
            <w:noProof/>
          </w:rPr>
          <w:t>器械描述</w:t>
        </w:r>
        <w:r w:rsidR="001F432F">
          <w:rPr>
            <w:noProof/>
            <w:webHidden/>
          </w:rPr>
          <w:tab/>
        </w:r>
        <w:r w:rsidR="00CC5685">
          <w:rPr>
            <w:noProof/>
            <w:webHidden/>
          </w:rPr>
          <w:fldChar w:fldCharType="begin"/>
        </w:r>
        <w:r w:rsidR="001F432F">
          <w:rPr>
            <w:noProof/>
            <w:webHidden/>
          </w:rPr>
          <w:instrText xml:space="preserve"> PAGEREF _Toc97485699 \h </w:instrText>
        </w:r>
        <w:r w:rsidR="00CC5685">
          <w:rPr>
            <w:noProof/>
            <w:webHidden/>
          </w:rPr>
        </w:r>
        <w:r w:rsidR="00CC5685">
          <w:rPr>
            <w:noProof/>
            <w:webHidden/>
          </w:rPr>
          <w:fldChar w:fldCharType="separate"/>
        </w:r>
        <w:r w:rsidR="001F432F">
          <w:rPr>
            <w:noProof/>
            <w:webHidden/>
          </w:rPr>
          <w:t>13</w:t>
        </w:r>
        <w:r w:rsidR="00CC5685">
          <w:rPr>
            <w:noProof/>
            <w:webHidden/>
          </w:rPr>
          <w:fldChar w:fldCharType="end"/>
        </w:r>
      </w:hyperlink>
    </w:p>
    <w:p w14:paraId="2BBD2463" w14:textId="77777777" w:rsidR="001F432F" w:rsidRDefault="00797844" w:rsidP="001F432F">
      <w:pPr>
        <w:pStyle w:val="21"/>
        <w:rPr>
          <w:rFonts w:asciiTheme="minorHAnsi" w:eastAsiaTheme="minorEastAsia" w:hAnsiTheme="minorHAnsi" w:cstheme="minorBidi"/>
          <w:noProof/>
          <w:kern w:val="2"/>
          <w:szCs w:val="22"/>
        </w:rPr>
      </w:pPr>
      <w:hyperlink w:anchor="_Toc97485700" w:history="1">
        <w:r w:rsidR="001F432F" w:rsidRPr="006E45E9">
          <w:rPr>
            <w:rStyle w:val="aa"/>
            <w:noProof/>
          </w:rPr>
          <w:t>B.</w:t>
        </w:r>
        <w:r w:rsidR="001F432F">
          <w:rPr>
            <w:rFonts w:asciiTheme="minorHAnsi" w:eastAsiaTheme="minorEastAsia" w:hAnsiTheme="minorHAnsi" w:cstheme="minorBidi"/>
            <w:noProof/>
            <w:kern w:val="2"/>
            <w:szCs w:val="22"/>
          </w:rPr>
          <w:tab/>
        </w:r>
        <w:r w:rsidR="001F432F" w:rsidRPr="006E45E9">
          <w:rPr>
            <w:rStyle w:val="aa"/>
            <w:rFonts w:hint="eastAsia"/>
            <w:noProof/>
          </w:rPr>
          <w:t>风险分析</w:t>
        </w:r>
        <w:r w:rsidR="001F432F">
          <w:rPr>
            <w:noProof/>
            <w:webHidden/>
          </w:rPr>
          <w:tab/>
        </w:r>
        <w:r w:rsidR="00CC5685">
          <w:rPr>
            <w:noProof/>
            <w:webHidden/>
          </w:rPr>
          <w:fldChar w:fldCharType="begin"/>
        </w:r>
        <w:r w:rsidR="001F432F">
          <w:rPr>
            <w:noProof/>
            <w:webHidden/>
          </w:rPr>
          <w:instrText xml:space="preserve"> PAGEREF _Toc97485700 \h </w:instrText>
        </w:r>
        <w:r w:rsidR="00CC5685">
          <w:rPr>
            <w:noProof/>
            <w:webHidden/>
          </w:rPr>
        </w:r>
        <w:r w:rsidR="00CC5685">
          <w:rPr>
            <w:noProof/>
            <w:webHidden/>
          </w:rPr>
          <w:fldChar w:fldCharType="separate"/>
        </w:r>
        <w:r w:rsidR="001F432F">
          <w:rPr>
            <w:noProof/>
            <w:webHidden/>
          </w:rPr>
          <w:t>14</w:t>
        </w:r>
        <w:r w:rsidR="00CC5685">
          <w:rPr>
            <w:noProof/>
            <w:webHidden/>
          </w:rPr>
          <w:fldChar w:fldCharType="end"/>
        </w:r>
      </w:hyperlink>
    </w:p>
    <w:p w14:paraId="1229B62C" w14:textId="77777777" w:rsidR="001F432F" w:rsidRDefault="00797844" w:rsidP="001F432F">
      <w:pPr>
        <w:pStyle w:val="21"/>
        <w:rPr>
          <w:rFonts w:asciiTheme="minorHAnsi" w:eastAsiaTheme="minorEastAsia" w:hAnsiTheme="minorHAnsi" w:cstheme="minorBidi"/>
          <w:noProof/>
          <w:kern w:val="2"/>
          <w:szCs w:val="22"/>
        </w:rPr>
      </w:pPr>
      <w:hyperlink w:anchor="_Toc97485701" w:history="1">
        <w:r w:rsidR="001F432F" w:rsidRPr="006E45E9">
          <w:rPr>
            <w:rStyle w:val="aa"/>
            <w:noProof/>
          </w:rPr>
          <w:t>C.</w:t>
        </w:r>
        <w:r w:rsidR="001F432F">
          <w:rPr>
            <w:rFonts w:asciiTheme="minorHAnsi" w:eastAsiaTheme="minorEastAsia" w:hAnsiTheme="minorHAnsi" w:cstheme="minorBidi"/>
            <w:noProof/>
            <w:kern w:val="2"/>
            <w:szCs w:val="22"/>
          </w:rPr>
          <w:tab/>
        </w:r>
        <w:r w:rsidR="001F432F" w:rsidRPr="006E45E9">
          <w:rPr>
            <w:rStyle w:val="aa"/>
            <w:rFonts w:hint="eastAsia"/>
            <w:noProof/>
          </w:rPr>
          <w:t>验证和确认</w:t>
        </w:r>
        <w:r w:rsidR="001F432F">
          <w:rPr>
            <w:noProof/>
            <w:webHidden/>
          </w:rPr>
          <w:tab/>
        </w:r>
        <w:r w:rsidR="00CC5685">
          <w:rPr>
            <w:noProof/>
            <w:webHidden/>
          </w:rPr>
          <w:fldChar w:fldCharType="begin"/>
        </w:r>
        <w:r w:rsidR="001F432F">
          <w:rPr>
            <w:noProof/>
            <w:webHidden/>
          </w:rPr>
          <w:instrText xml:space="preserve"> PAGEREF _Toc97485701 \h </w:instrText>
        </w:r>
        <w:r w:rsidR="00CC5685">
          <w:rPr>
            <w:noProof/>
            <w:webHidden/>
          </w:rPr>
        </w:r>
        <w:r w:rsidR="00CC5685">
          <w:rPr>
            <w:noProof/>
            <w:webHidden/>
          </w:rPr>
          <w:fldChar w:fldCharType="separate"/>
        </w:r>
        <w:r w:rsidR="001F432F">
          <w:rPr>
            <w:noProof/>
            <w:webHidden/>
          </w:rPr>
          <w:t>15</w:t>
        </w:r>
        <w:r w:rsidR="00CC5685">
          <w:rPr>
            <w:noProof/>
            <w:webHidden/>
          </w:rPr>
          <w:fldChar w:fldCharType="end"/>
        </w:r>
      </w:hyperlink>
    </w:p>
    <w:p w14:paraId="653E5F0B" w14:textId="4C4E8B76" w:rsidR="001F432F" w:rsidRDefault="00CC5685" w:rsidP="001F432F">
      <w:pPr>
        <w:pStyle w:val="21"/>
        <w:rPr>
          <w:rFonts w:asciiTheme="minorHAnsi" w:eastAsiaTheme="minorEastAsia" w:hAnsiTheme="minorHAnsi" w:cstheme="minorBidi"/>
          <w:noProof/>
          <w:kern w:val="2"/>
          <w:szCs w:val="22"/>
        </w:rPr>
      </w:pPr>
      <w:hyperlink w:anchor="_Toc97485702" w:history="1">
        <w:r w:rsidR="001F432F" w:rsidRPr="006E45E9">
          <w:rPr>
            <w:rStyle w:val="aa"/>
            <w:noProof/>
          </w:rPr>
          <w:t>D.</w:t>
        </w:r>
        <w:r w:rsidR="001F432F">
          <w:rPr>
            <w:rFonts w:asciiTheme="minorHAnsi" w:eastAsiaTheme="minorEastAsia" w:hAnsiTheme="minorHAnsi" w:cstheme="minorBidi"/>
            <w:noProof/>
            <w:kern w:val="2"/>
            <w:szCs w:val="22"/>
          </w:rPr>
          <w:tab/>
        </w:r>
        <w:r w:rsidR="003C7B7C">
          <w:rPr>
            <w:rStyle w:val="aa"/>
            <w:rFonts w:hint="eastAsia"/>
            <w:noProof/>
          </w:rPr>
          <w:t>标记</w:t>
        </w:r>
        <w:r w:rsidR="001F432F">
          <w:rPr>
            <w:noProof/>
            <w:webHidden/>
          </w:rPr>
          <w:tab/>
        </w:r>
        <w:r>
          <w:rPr>
            <w:noProof/>
            <w:webHidden/>
          </w:rPr>
          <w:fldChar w:fldCharType="begin"/>
        </w:r>
        <w:r w:rsidR="001F432F">
          <w:rPr>
            <w:noProof/>
            <w:webHidden/>
          </w:rPr>
          <w:instrText xml:space="preserve"> PAGEREF _Toc97485702 \h </w:instrText>
        </w:r>
        <w:r>
          <w:rPr>
            <w:noProof/>
            <w:webHidden/>
          </w:rPr>
        </w:r>
        <w:r>
          <w:rPr>
            <w:noProof/>
            <w:webHidden/>
          </w:rPr>
          <w:fldChar w:fldCharType="separate"/>
        </w:r>
        <w:r w:rsidR="001F432F">
          <w:rPr>
            <w:noProof/>
            <w:webHidden/>
          </w:rPr>
          <w:t>16</w:t>
        </w:r>
        <w:r>
          <w:rPr>
            <w:noProof/>
            <w:webHidden/>
          </w:rPr>
          <w:fldChar w:fldCharType="end"/>
        </w:r>
      </w:hyperlink>
    </w:p>
    <w:p w14:paraId="24D11784" w14:textId="77777777" w:rsidR="00CE6F56" w:rsidRPr="001F432F" w:rsidRDefault="00CC5685" w:rsidP="00CE6F56">
      <w:pPr>
        <w:shd w:val="clear" w:color="auto" w:fill="FFFFFF"/>
        <w:snapToGrid w:val="0"/>
        <w:jc w:val="both"/>
        <w:rPr>
          <w:rFonts w:eastAsia="宋体"/>
          <w:sz w:val="21"/>
          <w:szCs w:val="21"/>
        </w:rPr>
        <w:sectPr w:rsidR="00CE6F56" w:rsidRPr="001F432F" w:rsidSect="00FE4CD1">
          <w:pgSz w:w="11906" w:h="16838"/>
          <w:pgMar w:top="1134" w:right="1417" w:bottom="1134" w:left="1417" w:header="850" w:footer="720" w:gutter="0"/>
          <w:cols w:space="60"/>
          <w:noEndnote/>
          <w:docGrid w:linePitch="272"/>
        </w:sectPr>
      </w:pPr>
      <w:r w:rsidRPr="001F432F">
        <w:rPr>
          <w:rFonts w:eastAsia="宋体"/>
          <w:b/>
          <w:sz w:val="21"/>
          <w:szCs w:val="21"/>
        </w:rPr>
        <w:fldChar w:fldCharType="end"/>
      </w:r>
    </w:p>
    <w:p w14:paraId="047FF9B9" w14:textId="77777777" w:rsidR="00CE6F56" w:rsidRPr="001F432F" w:rsidRDefault="00CE6F56" w:rsidP="00CE6F56">
      <w:pPr>
        <w:pStyle w:val="Default"/>
        <w:jc w:val="center"/>
        <w:rPr>
          <w:rFonts w:eastAsia="宋体"/>
          <w:sz w:val="60"/>
          <w:szCs w:val="60"/>
        </w:rPr>
      </w:pPr>
      <w:r w:rsidRPr="001F432F">
        <w:rPr>
          <w:rFonts w:eastAsia="宋体"/>
          <w:b/>
          <w:bCs/>
          <w:sz w:val="60"/>
          <w:szCs w:val="60"/>
        </w:rPr>
        <w:lastRenderedPageBreak/>
        <w:t>互操作性医疗器械的设计考虑事项和</w:t>
      </w:r>
      <w:r w:rsidR="004826CF">
        <w:rPr>
          <w:rFonts w:eastAsia="宋体"/>
          <w:b/>
          <w:bCs/>
          <w:sz w:val="60"/>
          <w:szCs w:val="60"/>
        </w:rPr>
        <w:t>上市前申报资料建议</w:t>
      </w:r>
    </w:p>
    <w:p w14:paraId="3C9BEEB9" w14:textId="77777777" w:rsidR="00CE6F56" w:rsidRPr="001F432F" w:rsidRDefault="00CE6F56" w:rsidP="00CE6F56">
      <w:pPr>
        <w:pStyle w:val="Default"/>
        <w:pBdr>
          <w:bottom w:val="single" w:sz="4" w:space="1" w:color="auto"/>
        </w:pBdr>
        <w:jc w:val="center"/>
        <w:rPr>
          <w:rFonts w:eastAsia="宋体"/>
          <w:b/>
          <w:bCs/>
          <w:sz w:val="21"/>
          <w:szCs w:val="21"/>
        </w:rPr>
      </w:pPr>
    </w:p>
    <w:p w14:paraId="4521F1BE" w14:textId="77777777" w:rsidR="00CE6F56" w:rsidRPr="001F432F" w:rsidRDefault="00CE6F56" w:rsidP="00CE6F56">
      <w:pPr>
        <w:pStyle w:val="Default"/>
        <w:jc w:val="center"/>
        <w:rPr>
          <w:rFonts w:eastAsia="宋体"/>
          <w:sz w:val="48"/>
          <w:szCs w:val="48"/>
        </w:rPr>
      </w:pPr>
      <w:r w:rsidRPr="001F432F">
        <w:rPr>
          <w:rFonts w:eastAsia="宋体"/>
          <w:b/>
          <w:bCs/>
          <w:sz w:val="48"/>
          <w:szCs w:val="48"/>
        </w:rPr>
        <w:t>行业指南和</w:t>
      </w:r>
    </w:p>
    <w:p w14:paraId="4243EB40" w14:textId="77777777" w:rsidR="00CE6F56" w:rsidRPr="001F432F" w:rsidRDefault="00CE6F56" w:rsidP="00CE6F56">
      <w:pPr>
        <w:shd w:val="clear" w:color="auto" w:fill="FFFFFF"/>
        <w:snapToGrid w:val="0"/>
        <w:jc w:val="center"/>
        <w:rPr>
          <w:rFonts w:eastAsia="宋体"/>
          <w:b/>
          <w:bCs/>
          <w:sz w:val="48"/>
          <w:szCs w:val="48"/>
        </w:rPr>
      </w:pPr>
      <w:r w:rsidRPr="001F432F">
        <w:rPr>
          <w:rFonts w:eastAsia="宋体"/>
          <w:b/>
          <w:bCs/>
          <w:sz w:val="48"/>
          <w:szCs w:val="48"/>
        </w:rPr>
        <w:t>美国食品药品监督管理局工作人员</w:t>
      </w:r>
    </w:p>
    <w:p w14:paraId="42A4DF4D" w14:textId="77777777" w:rsidR="00CE6F56" w:rsidRPr="001F432F" w:rsidRDefault="00CE6F56" w:rsidP="00CE6F56">
      <w:pPr>
        <w:shd w:val="clear" w:color="auto" w:fill="FFFFFF"/>
        <w:snapToGrid w:val="0"/>
        <w:jc w:val="both"/>
        <w:rPr>
          <w:rFonts w:eastAsia="宋体"/>
          <w:b/>
          <w:bCs/>
          <w:i/>
          <w:iCs/>
          <w:color w:val="000000"/>
          <w:sz w:val="21"/>
          <w:szCs w:val="21"/>
        </w:rPr>
      </w:pPr>
    </w:p>
    <w:p w14:paraId="7CDBE1BC" w14:textId="75241210" w:rsidR="00CE6F56" w:rsidRPr="001F432F" w:rsidRDefault="00630112" w:rsidP="00F77677">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rPr>
      </w:pPr>
      <w:r w:rsidRPr="004F10CC">
        <w:rPr>
          <w:rFonts w:eastAsia="宋体" w:hint="eastAsia"/>
          <w:b/>
          <w:bCs/>
          <w:i/>
          <w:iCs/>
          <w:color w:val="000000"/>
          <w:sz w:val="24"/>
          <w:szCs w:val="24"/>
        </w:rPr>
        <w:t>本指南代表美国食品药品监督管理局（</w:t>
      </w:r>
      <w:r w:rsidRPr="004F10CC">
        <w:rPr>
          <w:rFonts w:eastAsia="宋体" w:hint="eastAsia"/>
          <w:b/>
          <w:bCs/>
          <w:i/>
          <w:iCs/>
          <w:color w:val="000000"/>
          <w:sz w:val="24"/>
          <w:szCs w:val="24"/>
        </w:rPr>
        <w:t>FDA</w:t>
      </w:r>
      <w:r w:rsidRPr="004F10CC">
        <w:rPr>
          <w:rFonts w:eastAsia="宋体" w:hint="eastAsia"/>
          <w:b/>
          <w:bCs/>
          <w:i/>
          <w:iCs/>
          <w:color w:val="000000"/>
          <w:sz w:val="24"/>
          <w:szCs w:val="24"/>
        </w:rPr>
        <w:t>）对该主题的当前看法。本文件不赋予任何人任何权利，对</w:t>
      </w:r>
      <w:r w:rsidRPr="004F10CC">
        <w:rPr>
          <w:rFonts w:eastAsia="宋体" w:hint="eastAsia"/>
          <w:b/>
          <w:bCs/>
          <w:i/>
          <w:iCs/>
          <w:color w:val="000000"/>
          <w:sz w:val="24"/>
          <w:szCs w:val="24"/>
        </w:rPr>
        <w:t>FDA</w:t>
      </w:r>
      <w:r w:rsidRPr="004F10CC">
        <w:rPr>
          <w:rFonts w:eastAsia="宋体" w:hint="eastAsia"/>
          <w:b/>
          <w:bCs/>
          <w:i/>
          <w:iCs/>
          <w:color w:val="000000"/>
          <w:sz w:val="24"/>
          <w:szCs w:val="24"/>
        </w:rPr>
        <w:t>或公众不具有约束力。如果替代方法满足适用的情形和法规</w:t>
      </w:r>
      <w:r w:rsidRPr="004F10CC">
        <w:rPr>
          <w:rFonts w:eastAsia="宋体" w:hint="eastAsia"/>
          <w:b/>
          <w:bCs/>
          <w:i/>
          <w:iCs/>
          <w:color w:val="000000"/>
          <w:sz w:val="24"/>
          <w:szCs w:val="24"/>
        </w:rPr>
        <w:t xml:space="preserve"> </w:t>
      </w:r>
      <w:r w:rsidRPr="004F10CC">
        <w:rPr>
          <w:rFonts w:eastAsia="宋体" w:hint="eastAsia"/>
          <w:b/>
          <w:bCs/>
          <w:i/>
          <w:iCs/>
          <w:color w:val="000000"/>
          <w:sz w:val="24"/>
          <w:szCs w:val="24"/>
        </w:rPr>
        <w:t>的要求，则贵司可使用替代方法。如需讨论替代方法，请联系标题页所列负责本指南的</w:t>
      </w:r>
      <w:r w:rsidRPr="004F10CC">
        <w:rPr>
          <w:rFonts w:eastAsia="宋体" w:hint="eastAsia"/>
          <w:b/>
          <w:bCs/>
          <w:i/>
          <w:iCs/>
          <w:color w:val="000000"/>
          <w:sz w:val="24"/>
          <w:szCs w:val="24"/>
        </w:rPr>
        <w:t>FDA</w:t>
      </w:r>
      <w:r w:rsidRPr="004F10CC">
        <w:rPr>
          <w:rFonts w:eastAsia="宋体" w:hint="eastAsia"/>
          <w:b/>
          <w:bCs/>
          <w:i/>
          <w:iCs/>
          <w:color w:val="000000"/>
          <w:sz w:val="24"/>
          <w:szCs w:val="24"/>
        </w:rPr>
        <w:t>工作人员或办公室。</w:t>
      </w:r>
      <w:bookmarkStart w:id="0" w:name="bookmark0"/>
      <w:bookmarkStart w:id="1" w:name="_Toc97485687"/>
      <w:r w:rsidR="00CE6F56" w:rsidRPr="001F432F">
        <w:rPr>
          <w:rFonts w:eastAsia="宋体"/>
        </w:rPr>
        <w:t>I</w:t>
      </w:r>
      <w:bookmarkEnd w:id="0"/>
      <w:r w:rsidR="00CE6F56" w:rsidRPr="001F432F">
        <w:rPr>
          <w:rFonts w:eastAsia="宋体"/>
        </w:rPr>
        <w:t>.</w:t>
      </w:r>
      <w:r w:rsidR="00CE6F56" w:rsidRPr="001F432F">
        <w:rPr>
          <w:rFonts w:eastAsia="宋体"/>
        </w:rPr>
        <w:tab/>
      </w:r>
      <w:r w:rsidR="00F77677">
        <w:rPr>
          <w:rFonts w:eastAsia="宋体" w:hint="eastAsia"/>
        </w:rPr>
        <w:t>前</w:t>
      </w:r>
      <w:r w:rsidR="00CE6F56" w:rsidRPr="001F432F">
        <w:rPr>
          <w:rFonts w:eastAsia="宋体"/>
        </w:rPr>
        <w:t>言</w:t>
      </w:r>
      <w:bookmarkEnd w:id="1"/>
    </w:p>
    <w:p w14:paraId="1A6FDD37" w14:textId="5FF60B92"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随着电子医疗器械彼此之间以及与其他技术之间的连接越来越紧密，这些连接系统安全有效地交换</w:t>
      </w:r>
      <w:r w:rsidR="00A649DA">
        <w:rPr>
          <w:rFonts w:eastAsia="宋体" w:hint="eastAsia"/>
          <w:color w:val="000000"/>
          <w:sz w:val="24"/>
          <w:szCs w:val="24"/>
        </w:rPr>
        <w:t>信息</w:t>
      </w:r>
      <w:r w:rsidRPr="001F432F">
        <w:rPr>
          <w:rFonts w:eastAsia="宋体"/>
          <w:color w:val="000000"/>
          <w:sz w:val="24"/>
          <w:szCs w:val="24"/>
        </w:rPr>
        <w:t>和使用</w:t>
      </w:r>
      <w:r w:rsidR="00A649DA">
        <w:rPr>
          <w:rFonts w:eastAsia="宋体" w:hint="eastAsia"/>
          <w:color w:val="000000"/>
          <w:sz w:val="24"/>
          <w:szCs w:val="24"/>
        </w:rPr>
        <w:t>该</w:t>
      </w:r>
      <w:r w:rsidRPr="001F432F">
        <w:rPr>
          <w:rFonts w:eastAsia="宋体"/>
          <w:color w:val="000000"/>
          <w:sz w:val="24"/>
          <w:szCs w:val="24"/>
        </w:rPr>
        <w:t>信息的能力变得越来越重要。提高医疗器械与其他医疗器械以及其他技术安全有效地交换和使用信息的能力，</w:t>
      </w:r>
      <w:r w:rsidR="00115AC0">
        <w:rPr>
          <w:rFonts w:eastAsia="宋体" w:hint="eastAsia"/>
          <w:color w:val="000000"/>
          <w:sz w:val="24"/>
          <w:szCs w:val="24"/>
        </w:rPr>
        <w:t>可潜在地</w:t>
      </w:r>
      <w:r w:rsidRPr="001F432F">
        <w:rPr>
          <w:rFonts w:eastAsia="宋体"/>
          <w:color w:val="000000"/>
          <w:sz w:val="24"/>
          <w:szCs w:val="24"/>
        </w:rPr>
        <w:t>提高</w:t>
      </w:r>
      <w:r w:rsidR="00115AC0">
        <w:rPr>
          <w:rFonts w:eastAsia="宋体" w:hint="eastAsia"/>
          <w:color w:val="000000"/>
          <w:sz w:val="24"/>
          <w:szCs w:val="24"/>
        </w:rPr>
        <w:t>照护</w:t>
      </w:r>
      <w:r w:rsidRPr="001F432F">
        <w:rPr>
          <w:rFonts w:eastAsia="宋体"/>
          <w:color w:val="000000"/>
          <w:sz w:val="24"/>
          <w:szCs w:val="24"/>
        </w:rPr>
        <w:t>患者的效率。</w:t>
      </w:r>
    </w:p>
    <w:p w14:paraId="50863A75" w14:textId="77777777" w:rsidR="00CE6F56" w:rsidRPr="001F432F" w:rsidRDefault="00CE6F56" w:rsidP="00FE4CD1">
      <w:pPr>
        <w:shd w:val="clear" w:color="auto" w:fill="FFFFFF"/>
        <w:snapToGrid w:val="0"/>
        <w:jc w:val="both"/>
        <w:rPr>
          <w:rFonts w:eastAsia="宋体"/>
          <w:sz w:val="24"/>
          <w:szCs w:val="24"/>
        </w:rPr>
      </w:pPr>
    </w:p>
    <w:p w14:paraId="487D6C2D" w14:textId="7D26D3CD"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FDA</w:t>
      </w:r>
      <w:r w:rsidRPr="001F432F">
        <w:rPr>
          <w:rFonts w:eastAsia="宋体"/>
          <w:color w:val="000000"/>
          <w:sz w:val="24"/>
          <w:szCs w:val="24"/>
        </w:rPr>
        <w:t>拟促进安全有效的互操作性医疗器械的开发和可用性。</w:t>
      </w:r>
      <w:r w:rsidRPr="001F432F">
        <w:rPr>
          <w:rFonts w:eastAsia="宋体"/>
          <w:color w:val="000000"/>
          <w:sz w:val="24"/>
          <w:szCs w:val="24"/>
        </w:rPr>
        <w:t>FDA</w:t>
      </w:r>
      <w:r w:rsidRPr="001F432F">
        <w:rPr>
          <w:rFonts w:eastAsia="宋体"/>
          <w:color w:val="000000"/>
          <w:sz w:val="24"/>
          <w:szCs w:val="24"/>
        </w:rPr>
        <w:t>发布本指南是为了帮助行业和</w:t>
      </w:r>
      <w:r w:rsidRPr="001F432F">
        <w:rPr>
          <w:rFonts w:eastAsia="宋体"/>
          <w:color w:val="000000"/>
          <w:sz w:val="24"/>
          <w:szCs w:val="24"/>
        </w:rPr>
        <w:t>FDA</w:t>
      </w:r>
      <w:r w:rsidRPr="001F432F">
        <w:rPr>
          <w:rFonts w:eastAsia="宋体"/>
          <w:color w:val="000000"/>
          <w:sz w:val="24"/>
          <w:szCs w:val="24"/>
        </w:rPr>
        <w:t>工作人员确定与电子医疗器械安全有效地交换信息和使用交换信息能力相关的具体考虑事项。本文件强调了在开发和设计互操作性医疗器械时应纳入的考虑事项，并就此类器械上市前</w:t>
      </w:r>
      <w:r w:rsidR="004826CF">
        <w:rPr>
          <w:rFonts w:eastAsia="宋体"/>
          <w:color w:val="000000"/>
          <w:sz w:val="24"/>
          <w:szCs w:val="24"/>
        </w:rPr>
        <w:t>申报资料</w:t>
      </w:r>
      <w:r w:rsidRPr="001F432F">
        <w:rPr>
          <w:rFonts w:eastAsia="宋体"/>
          <w:color w:val="000000"/>
          <w:sz w:val="24"/>
          <w:szCs w:val="24"/>
        </w:rPr>
        <w:t>的内容和</w:t>
      </w:r>
      <w:r w:rsidR="00292998">
        <w:rPr>
          <w:rFonts w:eastAsia="宋体" w:hint="eastAsia"/>
          <w:color w:val="000000"/>
          <w:sz w:val="24"/>
          <w:szCs w:val="24"/>
        </w:rPr>
        <w:t>标记</w:t>
      </w:r>
      <w:r w:rsidRPr="001F432F">
        <w:rPr>
          <w:rFonts w:eastAsia="宋体"/>
          <w:color w:val="000000"/>
          <w:sz w:val="24"/>
          <w:szCs w:val="24"/>
        </w:rPr>
        <w:t>提供了建议。</w:t>
      </w:r>
    </w:p>
    <w:p w14:paraId="0EABD3BE" w14:textId="77777777" w:rsidR="00CE6F56" w:rsidRPr="001F432F" w:rsidRDefault="00CE6F56" w:rsidP="00FE4CD1">
      <w:pPr>
        <w:shd w:val="clear" w:color="auto" w:fill="FFFFFF"/>
        <w:snapToGrid w:val="0"/>
        <w:jc w:val="both"/>
        <w:rPr>
          <w:rFonts w:eastAsia="宋体"/>
          <w:sz w:val="24"/>
          <w:szCs w:val="24"/>
        </w:rPr>
      </w:pPr>
    </w:p>
    <w:p w14:paraId="70E6C7E2" w14:textId="3EBE0B2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有关本文件中</w:t>
      </w:r>
      <w:r w:rsidR="00115AC0" w:rsidRPr="001F432F">
        <w:rPr>
          <w:rFonts w:eastAsia="宋体"/>
          <w:color w:val="000000"/>
          <w:sz w:val="24"/>
          <w:szCs w:val="24"/>
        </w:rPr>
        <w:t>FDA</w:t>
      </w:r>
      <w:r w:rsidR="00115AC0" w:rsidRPr="001F432F">
        <w:rPr>
          <w:rFonts w:eastAsia="宋体"/>
          <w:color w:val="000000"/>
          <w:sz w:val="24"/>
          <w:szCs w:val="24"/>
        </w:rPr>
        <w:t>认可</w:t>
      </w:r>
      <w:r w:rsidRPr="001F432F">
        <w:rPr>
          <w:rFonts w:eastAsia="宋体"/>
          <w:color w:val="000000"/>
          <w:sz w:val="24"/>
          <w:szCs w:val="24"/>
        </w:rPr>
        <w:t>引用的标准的最新版本，请参见</w:t>
      </w:r>
      <w:r w:rsidRPr="001F432F">
        <w:rPr>
          <w:rFonts w:eastAsia="宋体"/>
          <w:color w:val="000000"/>
          <w:sz w:val="24"/>
          <w:szCs w:val="24"/>
        </w:rPr>
        <w:t>FDA</w:t>
      </w:r>
      <w:r w:rsidRPr="001F432F">
        <w:rPr>
          <w:rFonts w:eastAsia="宋体"/>
          <w:color w:val="000000"/>
          <w:sz w:val="24"/>
          <w:szCs w:val="24"/>
        </w:rPr>
        <w:t>认可的共识标准数据库，网站：</w:t>
      </w:r>
    </w:p>
    <w:p w14:paraId="608F1B37"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FF"/>
          <w:sz w:val="24"/>
          <w:szCs w:val="24"/>
          <w:u w:val="single"/>
        </w:rPr>
        <w:t>http://www.accessdata.fda.gov/scripts/cdrh/cfdocs/cfStandards/search.cfm</w:t>
      </w:r>
      <w:r w:rsidRPr="001F432F">
        <w:rPr>
          <w:rFonts w:eastAsia="宋体"/>
          <w:color w:val="000000"/>
          <w:sz w:val="24"/>
          <w:szCs w:val="24"/>
        </w:rPr>
        <w:t>.</w:t>
      </w:r>
      <w:r w:rsidRPr="001F432F">
        <w:rPr>
          <w:rFonts w:ascii="宋体" w:eastAsia="宋体" w:hAnsi="宋体"/>
          <w:color w:val="000000"/>
          <w:sz w:val="24"/>
          <w:szCs w:val="24"/>
        </w:rPr>
        <w:t>”</w:t>
      </w:r>
    </w:p>
    <w:p w14:paraId="6D13FF65" w14:textId="77777777" w:rsidR="00CE6F56" w:rsidRPr="001F432F" w:rsidRDefault="00CE6F56" w:rsidP="00FE4CD1">
      <w:pPr>
        <w:shd w:val="clear" w:color="auto" w:fill="FFFFFF"/>
        <w:snapToGrid w:val="0"/>
        <w:jc w:val="both"/>
        <w:rPr>
          <w:rFonts w:eastAsia="宋体"/>
          <w:sz w:val="21"/>
          <w:szCs w:val="21"/>
        </w:rPr>
      </w:pPr>
    </w:p>
    <w:p w14:paraId="3339AD8B" w14:textId="77777777" w:rsidR="00CE6F56" w:rsidRPr="001F432F" w:rsidRDefault="00CE6F56" w:rsidP="00FE4CD1">
      <w:pPr>
        <w:shd w:val="clear" w:color="auto" w:fill="FFFFFF"/>
        <w:snapToGrid w:val="0"/>
        <w:jc w:val="both"/>
        <w:rPr>
          <w:rFonts w:eastAsia="宋体"/>
          <w:sz w:val="21"/>
          <w:szCs w:val="21"/>
        </w:rPr>
        <w:sectPr w:rsidR="00CE6F56" w:rsidRPr="001F432F" w:rsidSect="00CE6F56">
          <w:footerReference w:type="default" r:id="rId10"/>
          <w:pgSz w:w="11906" w:h="16838"/>
          <w:pgMar w:top="1134" w:right="1417" w:bottom="1134" w:left="1417" w:header="850" w:footer="720" w:gutter="0"/>
          <w:pgNumType w:start="1"/>
          <w:cols w:space="60"/>
          <w:noEndnote/>
          <w:docGrid w:linePitch="272"/>
        </w:sectPr>
      </w:pPr>
    </w:p>
    <w:p w14:paraId="46C37E0B" w14:textId="2C287613"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lastRenderedPageBreak/>
        <w:t>FDA</w:t>
      </w:r>
      <w:r w:rsidR="00115AC0">
        <w:rPr>
          <w:rFonts w:eastAsia="宋体" w:hint="eastAsia"/>
          <w:color w:val="000000"/>
          <w:sz w:val="24"/>
          <w:szCs w:val="24"/>
        </w:rPr>
        <w:t>识别</w:t>
      </w:r>
      <w:r w:rsidRPr="001F432F">
        <w:rPr>
          <w:rFonts w:eastAsia="宋体"/>
          <w:color w:val="000000"/>
          <w:sz w:val="24"/>
          <w:szCs w:val="24"/>
        </w:rPr>
        <w:t>并预期</w:t>
      </w:r>
      <w:r w:rsidR="005D7B45">
        <w:rPr>
          <w:rFonts w:eastAsia="宋体" w:hint="eastAsia"/>
          <w:color w:val="000000"/>
          <w:sz w:val="24"/>
          <w:szCs w:val="24"/>
        </w:rPr>
        <w:t>F</w:t>
      </w:r>
      <w:r w:rsidR="005D7B45">
        <w:rPr>
          <w:rFonts w:eastAsia="宋体"/>
          <w:color w:val="000000"/>
          <w:sz w:val="24"/>
          <w:szCs w:val="24"/>
        </w:rPr>
        <w:t>DA</w:t>
      </w:r>
      <w:r w:rsidRPr="001F432F">
        <w:rPr>
          <w:rFonts w:eastAsia="宋体"/>
          <w:color w:val="000000"/>
          <w:sz w:val="24"/>
          <w:szCs w:val="24"/>
        </w:rPr>
        <w:t>和行业可能需要多达</w:t>
      </w:r>
      <w:r w:rsidRPr="001F432F">
        <w:rPr>
          <w:rFonts w:eastAsia="宋体"/>
          <w:color w:val="000000"/>
          <w:sz w:val="24"/>
          <w:szCs w:val="24"/>
        </w:rPr>
        <w:t>60</w:t>
      </w:r>
      <w:r w:rsidRPr="001F432F">
        <w:rPr>
          <w:rFonts w:eastAsia="宋体"/>
          <w:color w:val="000000"/>
          <w:sz w:val="24"/>
          <w:szCs w:val="24"/>
        </w:rPr>
        <w:t>天的时间来实施指南内的政策。如果在发布本指南</w:t>
      </w:r>
      <w:r w:rsidRPr="001F432F">
        <w:rPr>
          <w:rFonts w:eastAsia="宋体"/>
          <w:color w:val="000000"/>
          <w:sz w:val="24"/>
          <w:szCs w:val="24"/>
        </w:rPr>
        <w:t>60</w:t>
      </w:r>
      <w:r w:rsidRPr="001F432F">
        <w:rPr>
          <w:rFonts w:eastAsia="宋体"/>
          <w:color w:val="000000"/>
          <w:sz w:val="24"/>
          <w:szCs w:val="24"/>
        </w:rPr>
        <w:t>天之前或不超过</w:t>
      </w:r>
      <w:r w:rsidRPr="001F432F">
        <w:rPr>
          <w:rFonts w:eastAsia="宋体"/>
          <w:color w:val="000000"/>
          <w:sz w:val="24"/>
          <w:szCs w:val="24"/>
        </w:rPr>
        <w:t>60</w:t>
      </w:r>
      <w:r w:rsidRPr="001F432F">
        <w:rPr>
          <w:rFonts w:eastAsia="宋体"/>
          <w:color w:val="000000"/>
          <w:sz w:val="24"/>
          <w:szCs w:val="24"/>
        </w:rPr>
        <w:t>天时</w:t>
      </w:r>
      <w:r w:rsidRPr="001F432F">
        <w:rPr>
          <w:rFonts w:eastAsia="宋体"/>
          <w:color w:val="000000"/>
          <w:sz w:val="24"/>
          <w:szCs w:val="24"/>
        </w:rPr>
        <w:t>FDA</w:t>
      </w:r>
      <w:r w:rsidRPr="001F432F">
        <w:rPr>
          <w:rFonts w:eastAsia="宋体"/>
          <w:color w:val="000000"/>
          <w:sz w:val="24"/>
          <w:szCs w:val="24"/>
        </w:rPr>
        <w:t>收到的上市前</w:t>
      </w:r>
      <w:r w:rsidR="004826CF">
        <w:rPr>
          <w:rFonts w:eastAsia="宋体"/>
          <w:color w:val="000000"/>
          <w:sz w:val="24"/>
          <w:szCs w:val="24"/>
        </w:rPr>
        <w:t>申报资料</w:t>
      </w:r>
      <w:r w:rsidRPr="001F432F">
        <w:rPr>
          <w:rFonts w:eastAsia="宋体"/>
          <w:color w:val="000000"/>
          <w:sz w:val="24"/>
          <w:szCs w:val="24"/>
        </w:rPr>
        <w:t>中不包括本指南中概述的有关器械互操作性的信息，那么</w:t>
      </w:r>
      <w:r w:rsidRPr="001F432F">
        <w:rPr>
          <w:rFonts w:eastAsia="宋体"/>
          <w:color w:val="000000"/>
          <w:sz w:val="24"/>
          <w:szCs w:val="24"/>
        </w:rPr>
        <w:t>CDRH</w:t>
      </w:r>
      <w:r w:rsidRPr="001F432F">
        <w:rPr>
          <w:rFonts w:eastAsia="宋体"/>
          <w:color w:val="000000"/>
          <w:sz w:val="24"/>
          <w:szCs w:val="24"/>
        </w:rPr>
        <w:t>工作人员在审评</w:t>
      </w:r>
      <w:r w:rsidR="004826CF">
        <w:rPr>
          <w:rFonts w:eastAsia="宋体"/>
          <w:color w:val="000000"/>
          <w:sz w:val="24"/>
          <w:szCs w:val="24"/>
        </w:rPr>
        <w:t>申报资料</w:t>
      </w:r>
      <w:r w:rsidRPr="001F432F">
        <w:rPr>
          <w:rFonts w:eastAsia="宋体"/>
          <w:color w:val="000000"/>
          <w:sz w:val="24"/>
          <w:szCs w:val="24"/>
        </w:rPr>
        <w:t>期间一般不会要求提供此类信息。然而，</w:t>
      </w:r>
      <w:r w:rsidR="00B60225">
        <w:rPr>
          <w:rFonts w:eastAsia="宋体" w:hint="eastAsia"/>
          <w:color w:val="000000"/>
          <w:sz w:val="24"/>
          <w:szCs w:val="24"/>
        </w:rPr>
        <w:t>如递交，</w:t>
      </w:r>
      <w:r w:rsidRPr="001F432F">
        <w:rPr>
          <w:rFonts w:eastAsia="宋体"/>
          <w:color w:val="000000"/>
          <w:sz w:val="24"/>
          <w:szCs w:val="24"/>
        </w:rPr>
        <w:t>CDRH</w:t>
      </w:r>
      <w:r w:rsidRPr="001F432F">
        <w:rPr>
          <w:rFonts w:eastAsia="宋体"/>
          <w:color w:val="000000"/>
          <w:sz w:val="24"/>
          <w:szCs w:val="24"/>
        </w:rPr>
        <w:t>确实</w:t>
      </w:r>
      <w:r w:rsidR="00B60225">
        <w:rPr>
          <w:rFonts w:eastAsia="宋体" w:hint="eastAsia"/>
          <w:color w:val="000000"/>
          <w:sz w:val="24"/>
          <w:szCs w:val="24"/>
        </w:rPr>
        <w:t>会</w:t>
      </w:r>
      <w:r w:rsidRPr="001F432F">
        <w:rPr>
          <w:rFonts w:eastAsia="宋体"/>
          <w:color w:val="000000"/>
          <w:sz w:val="24"/>
          <w:szCs w:val="24"/>
        </w:rPr>
        <w:t>审查任何此类</w:t>
      </w:r>
      <w:r w:rsidR="00B60225">
        <w:rPr>
          <w:rFonts w:eastAsia="宋体" w:hint="eastAsia"/>
          <w:color w:val="000000"/>
          <w:sz w:val="24"/>
          <w:szCs w:val="24"/>
        </w:rPr>
        <w:t>相关</w:t>
      </w:r>
      <w:r w:rsidRPr="001F432F">
        <w:rPr>
          <w:rFonts w:eastAsia="宋体"/>
          <w:color w:val="000000"/>
          <w:sz w:val="24"/>
          <w:szCs w:val="24"/>
        </w:rPr>
        <w:t>信息。</w:t>
      </w:r>
    </w:p>
    <w:p w14:paraId="54C74FF3" w14:textId="77777777" w:rsidR="00CE6F56" w:rsidRPr="001F432F" w:rsidRDefault="00CE6F56" w:rsidP="00FE4CD1">
      <w:pPr>
        <w:shd w:val="clear" w:color="auto" w:fill="FFFFFF"/>
        <w:snapToGrid w:val="0"/>
        <w:jc w:val="both"/>
        <w:rPr>
          <w:rFonts w:eastAsia="宋体"/>
          <w:sz w:val="24"/>
          <w:szCs w:val="24"/>
        </w:rPr>
      </w:pPr>
    </w:p>
    <w:p w14:paraId="7D5302F4" w14:textId="2909D618" w:rsidR="00CE6F56" w:rsidRPr="001F432F" w:rsidRDefault="00630112" w:rsidP="00FE4CD1">
      <w:pPr>
        <w:shd w:val="clear" w:color="auto" w:fill="FFFFFF"/>
        <w:snapToGrid w:val="0"/>
        <w:jc w:val="both"/>
        <w:rPr>
          <w:rFonts w:eastAsia="宋体"/>
          <w:sz w:val="24"/>
          <w:szCs w:val="24"/>
        </w:rPr>
      </w:pPr>
      <w:r w:rsidRPr="004F10CC">
        <w:rPr>
          <w:rFonts w:eastAsia="宋体" w:hint="eastAsia"/>
          <w:color w:val="000000"/>
          <w:sz w:val="24"/>
          <w:szCs w:val="24"/>
        </w:rPr>
        <w:t>FDA</w:t>
      </w:r>
      <w:r w:rsidRPr="004F10CC">
        <w:rPr>
          <w:rFonts w:eastAsia="宋体" w:hint="eastAsia"/>
          <w:color w:val="000000"/>
          <w:sz w:val="24"/>
          <w:szCs w:val="24"/>
        </w:rPr>
        <w:t>指南文件，包括本指南，并未规定具有法律强制力的责任。相反，指南描述了</w:t>
      </w:r>
      <w:r w:rsidRPr="004F10CC">
        <w:rPr>
          <w:rFonts w:eastAsia="宋体" w:hint="eastAsia"/>
          <w:color w:val="000000"/>
          <w:sz w:val="24"/>
          <w:szCs w:val="24"/>
        </w:rPr>
        <w:t>FDA</w:t>
      </w:r>
      <w:r w:rsidRPr="004F10CC">
        <w:rPr>
          <w:rFonts w:eastAsia="宋体" w:hint="eastAsia"/>
          <w:color w:val="000000"/>
          <w:sz w:val="24"/>
          <w:szCs w:val="24"/>
        </w:rPr>
        <w:t>对该主题的当前看法，除非引用了具体监管或法定要求，否则应仅视为建议。</w:t>
      </w:r>
      <w:r w:rsidRPr="004F10CC">
        <w:rPr>
          <w:rFonts w:eastAsia="宋体" w:hint="eastAsia"/>
          <w:color w:val="000000"/>
          <w:sz w:val="24"/>
          <w:szCs w:val="24"/>
        </w:rPr>
        <w:t>FDA</w:t>
      </w:r>
      <w:r w:rsidRPr="004F10CC">
        <w:rPr>
          <w:rFonts w:eastAsia="宋体" w:hint="eastAsia"/>
          <w:color w:val="000000"/>
          <w:sz w:val="24"/>
          <w:szCs w:val="24"/>
        </w:rPr>
        <w:t>指南中使用的“</w:t>
      </w:r>
      <w:r w:rsidRPr="001C7732">
        <w:rPr>
          <w:rFonts w:eastAsia="宋体" w:hint="eastAsia"/>
          <w:i/>
          <w:iCs/>
          <w:color w:val="000000"/>
          <w:sz w:val="24"/>
          <w:szCs w:val="24"/>
        </w:rPr>
        <w:t>应该（</w:t>
      </w:r>
      <w:r w:rsidRPr="001C7732">
        <w:rPr>
          <w:rFonts w:eastAsia="宋体" w:hint="eastAsia"/>
          <w:i/>
          <w:iCs/>
          <w:color w:val="000000"/>
          <w:sz w:val="24"/>
          <w:szCs w:val="24"/>
        </w:rPr>
        <w:t>should</w:t>
      </w:r>
      <w:r w:rsidRPr="001C7732">
        <w:rPr>
          <w:rFonts w:eastAsia="宋体" w:hint="eastAsia"/>
          <w:i/>
          <w:iCs/>
          <w:color w:val="000000"/>
          <w:sz w:val="24"/>
          <w:szCs w:val="24"/>
        </w:rPr>
        <w:t>）</w:t>
      </w:r>
      <w:r w:rsidRPr="004F10CC">
        <w:rPr>
          <w:rFonts w:eastAsia="宋体" w:hint="eastAsia"/>
          <w:color w:val="000000"/>
          <w:sz w:val="24"/>
          <w:szCs w:val="24"/>
        </w:rPr>
        <w:t>”一词指建议或推荐进行某一事项，并非强制要求。</w:t>
      </w:r>
    </w:p>
    <w:p w14:paraId="74A53722" w14:textId="77777777" w:rsidR="00CE6F56" w:rsidRPr="001F432F" w:rsidRDefault="00CE6F56" w:rsidP="004826CF">
      <w:pPr>
        <w:pStyle w:val="1"/>
        <w:spacing w:before="240" w:after="240"/>
        <w:ind w:left="632" w:hanging="632"/>
        <w:rPr>
          <w:rFonts w:eastAsia="宋体"/>
        </w:rPr>
      </w:pPr>
      <w:bookmarkStart w:id="2" w:name="bookmark1"/>
      <w:bookmarkStart w:id="3" w:name="_Toc97485688"/>
      <w:r w:rsidRPr="001F432F">
        <w:rPr>
          <w:rFonts w:eastAsia="宋体"/>
        </w:rPr>
        <w:t>I</w:t>
      </w:r>
      <w:bookmarkEnd w:id="2"/>
      <w:r w:rsidRPr="001F432F">
        <w:rPr>
          <w:rFonts w:eastAsia="宋体"/>
        </w:rPr>
        <w:t>I.</w:t>
      </w:r>
      <w:r w:rsidRPr="001F432F">
        <w:rPr>
          <w:rFonts w:eastAsia="宋体"/>
        </w:rPr>
        <w:tab/>
      </w:r>
      <w:r w:rsidRPr="001F432F">
        <w:rPr>
          <w:rFonts w:eastAsia="宋体"/>
        </w:rPr>
        <w:t>背景</w:t>
      </w:r>
      <w:bookmarkEnd w:id="3"/>
    </w:p>
    <w:p w14:paraId="01411428" w14:textId="4A9619A9" w:rsidR="00CE6F56" w:rsidRPr="001F432F" w:rsidRDefault="00CE6F56" w:rsidP="00FE4CD1">
      <w:pPr>
        <w:shd w:val="clear" w:color="auto" w:fill="FFFFFF"/>
        <w:snapToGrid w:val="0"/>
        <w:jc w:val="both"/>
        <w:rPr>
          <w:rFonts w:eastAsia="宋体"/>
          <w:color w:val="221E1F"/>
          <w:sz w:val="24"/>
          <w:szCs w:val="24"/>
        </w:rPr>
      </w:pPr>
      <w:r w:rsidRPr="001F432F">
        <w:rPr>
          <w:rFonts w:eastAsia="宋体"/>
          <w:color w:val="000000"/>
          <w:sz w:val="24"/>
          <w:szCs w:val="24"/>
        </w:rPr>
        <w:t>在医疗保健界，将医疗器械以及其他产品、技术和系统相互连接的需求和意愿正在增长。这种可能包括医疗器械在内的各种产品或系统的相互连结性多被表征为</w:t>
      </w:r>
      <w:r w:rsidRPr="001F432F">
        <w:rPr>
          <w:rFonts w:ascii="宋体" w:eastAsia="宋体" w:hAnsi="宋体"/>
          <w:color w:val="000000"/>
          <w:sz w:val="24"/>
          <w:szCs w:val="24"/>
        </w:rPr>
        <w:t>“</w:t>
      </w:r>
      <w:r w:rsidRPr="001F432F">
        <w:rPr>
          <w:rFonts w:eastAsia="宋体"/>
          <w:color w:val="000000"/>
          <w:sz w:val="24"/>
          <w:szCs w:val="24"/>
        </w:rPr>
        <w:t>互操作性</w:t>
      </w:r>
      <w:r w:rsidRPr="001F432F">
        <w:rPr>
          <w:rFonts w:ascii="宋体" w:eastAsia="宋体" w:hAnsi="宋体"/>
          <w:color w:val="000000"/>
          <w:sz w:val="24"/>
          <w:szCs w:val="24"/>
        </w:rPr>
        <w:t>”</w:t>
      </w:r>
      <w:r w:rsidRPr="001F432F">
        <w:rPr>
          <w:rFonts w:eastAsia="宋体"/>
          <w:color w:val="000000"/>
          <w:sz w:val="24"/>
          <w:szCs w:val="24"/>
        </w:rPr>
        <w:t>。</w:t>
      </w:r>
      <w:r w:rsidRPr="001F432F">
        <w:rPr>
          <w:rStyle w:val="a9"/>
          <w:rFonts w:eastAsia="宋体"/>
          <w:sz w:val="24"/>
          <w:szCs w:val="24"/>
        </w:rPr>
        <w:t xml:space="preserve"> </w:t>
      </w:r>
      <w:r w:rsidRPr="001F432F">
        <w:rPr>
          <w:rStyle w:val="a9"/>
          <w:rFonts w:eastAsia="宋体"/>
          <w:sz w:val="24"/>
          <w:szCs w:val="24"/>
        </w:rPr>
        <w:footnoteReference w:id="1"/>
      </w:r>
      <w:r w:rsidRPr="001F432F">
        <w:rPr>
          <w:rFonts w:eastAsia="宋体"/>
          <w:color w:val="000000"/>
          <w:sz w:val="24"/>
          <w:szCs w:val="24"/>
        </w:rPr>
        <w:t xml:space="preserve"> </w:t>
      </w:r>
      <w:r w:rsidRPr="001F432F">
        <w:rPr>
          <w:rFonts w:eastAsia="宋体"/>
          <w:color w:val="000000"/>
          <w:sz w:val="24"/>
          <w:szCs w:val="24"/>
        </w:rPr>
        <w:t>医疗保健领域的互操作性通过促进跨系统的信息可用性和共享，</w:t>
      </w:r>
      <w:r w:rsidRPr="001F432F">
        <w:rPr>
          <w:rFonts w:eastAsia="宋体"/>
          <w:color w:val="000000"/>
          <w:sz w:val="24"/>
          <w:szCs w:val="24"/>
        </w:rPr>
        <w:t xml:space="preserve"> </w:t>
      </w:r>
      <w:r w:rsidRPr="001F432F">
        <w:rPr>
          <w:rFonts w:eastAsia="宋体"/>
          <w:color w:val="221E1F"/>
          <w:sz w:val="24"/>
          <w:szCs w:val="24"/>
        </w:rPr>
        <w:t>即使不同制造商</w:t>
      </w:r>
      <w:r w:rsidR="00BE3F06">
        <w:rPr>
          <w:rFonts w:eastAsia="宋体" w:hint="eastAsia"/>
          <w:color w:val="221E1F"/>
          <w:sz w:val="24"/>
          <w:szCs w:val="24"/>
        </w:rPr>
        <w:t>之间</w:t>
      </w:r>
      <w:r w:rsidRPr="001F432F">
        <w:rPr>
          <w:rFonts w:eastAsia="宋体"/>
          <w:color w:val="221E1F"/>
          <w:sz w:val="24"/>
          <w:szCs w:val="24"/>
        </w:rPr>
        <w:t>的产品，</w:t>
      </w:r>
      <w:r w:rsidR="00BE3F06">
        <w:rPr>
          <w:rFonts w:eastAsia="宋体" w:hint="eastAsia"/>
          <w:color w:val="221E1F"/>
          <w:sz w:val="24"/>
          <w:szCs w:val="24"/>
        </w:rPr>
        <w:t>从而会</w:t>
      </w:r>
      <w:r w:rsidRPr="001F432F">
        <w:rPr>
          <w:rFonts w:eastAsia="宋体"/>
          <w:color w:val="221E1F"/>
          <w:sz w:val="24"/>
          <w:szCs w:val="24"/>
        </w:rPr>
        <w:t>鼓励创新和促进新的医疗保健提供模式的出现。</w:t>
      </w:r>
    </w:p>
    <w:p w14:paraId="38AEFF4D" w14:textId="77777777" w:rsidR="00CE6F56" w:rsidRPr="001F432F" w:rsidRDefault="00CE6F56" w:rsidP="00FE4CD1">
      <w:pPr>
        <w:shd w:val="clear" w:color="auto" w:fill="FFFFFF"/>
        <w:snapToGrid w:val="0"/>
        <w:jc w:val="both"/>
        <w:rPr>
          <w:rFonts w:eastAsia="宋体"/>
          <w:sz w:val="24"/>
          <w:szCs w:val="24"/>
        </w:rPr>
      </w:pPr>
    </w:p>
    <w:p w14:paraId="2C84EC5D" w14:textId="27DC0D02"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在本指南中，我们将互操作性称为两个或多个产品、技术或系统交换信息和使用已交换信息的能力。在这种背景下，信息交换包括传输、接收或两者兼有，无论交换通过何种方式或按照何种方案进行。交换信息的使用可以包括显示、存储、解释、分析，以及自动操作或控制另一个产品。当医疗器械涉及到一个互操作性系统（器械</w:t>
      </w:r>
      <w:r w:rsidR="00BE3F06" w:rsidRPr="001F432F">
        <w:rPr>
          <w:rFonts w:eastAsia="宋体"/>
          <w:color w:val="000000"/>
          <w:sz w:val="24"/>
          <w:szCs w:val="24"/>
        </w:rPr>
        <w:t>连接</w:t>
      </w:r>
      <w:r w:rsidRPr="001F432F">
        <w:rPr>
          <w:rFonts w:eastAsia="宋体"/>
          <w:color w:val="000000"/>
          <w:sz w:val="24"/>
          <w:szCs w:val="24"/>
        </w:rPr>
        <w:t>的系统，信息</w:t>
      </w:r>
      <w:r w:rsidR="00BE3F06">
        <w:rPr>
          <w:rFonts w:eastAsia="宋体" w:hint="eastAsia"/>
          <w:color w:val="000000"/>
          <w:sz w:val="24"/>
          <w:szCs w:val="24"/>
        </w:rPr>
        <w:t>通过</w:t>
      </w:r>
      <w:r w:rsidRPr="001F432F">
        <w:rPr>
          <w:rFonts w:eastAsia="宋体"/>
          <w:color w:val="000000"/>
          <w:sz w:val="24"/>
          <w:szCs w:val="24"/>
        </w:rPr>
        <w:t>连接交换和使用，并且至少包括一个医疗器械）时，患者和</w:t>
      </w:r>
      <w:r w:rsidR="00BE3F06">
        <w:rPr>
          <w:rFonts w:eastAsia="宋体" w:hint="eastAsia"/>
          <w:color w:val="000000"/>
          <w:sz w:val="24"/>
          <w:szCs w:val="24"/>
        </w:rPr>
        <w:t>操作</w:t>
      </w:r>
      <w:r w:rsidRPr="001F432F">
        <w:rPr>
          <w:rFonts w:eastAsia="宋体"/>
          <w:color w:val="000000"/>
          <w:sz w:val="24"/>
          <w:szCs w:val="24"/>
        </w:rPr>
        <w:t>者的安全是最重要的考虑事项。</w:t>
      </w:r>
    </w:p>
    <w:p w14:paraId="026C845B" w14:textId="77777777" w:rsidR="00CE6F56" w:rsidRPr="001F432F" w:rsidRDefault="00CE6F56" w:rsidP="00FE4CD1">
      <w:pPr>
        <w:shd w:val="clear" w:color="auto" w:fill="FFFFFF"/>
        <w:snapToGrid w:val="0"/>
        <w:jc w:val="both"/>
        <w:rPr>
          <w:rFonts w:eastAsia="宋体"/>
          <w:sz w:val="24"/>
          <w:szCs w:val="24"/>
        </w:rPr>
      </w:pPr>
    </w:p>
    <w:p w14:paraId="181E3F00" w14:textId="51F048C4" w:rsidR="00CE6F56" w:rsidRPr="001F432F" w:rsidRDefault="00CE6F56" w:rsidP="00CE6F56">
      <w:pPr>
        <w:shd w:val="clear" w:color="auto" w:fill="FFFFFF"/>
        <w:snapToGrid w:val="0"/>
        <w:jc w:val="both"/>
        <w:rPr>
          <w:rFonts w:eastAsia="宋体"/>
          <w:sz w:val="24"/>
          <w:szCs w:val="24"/>
        </w:rPr>
      </w:pPr>
      <w:r w:rsidRPr="001F432F">
        <w:rPr>
          <w:rFonts w:eastAsia="宋体"/>
          <w:color w:val="000000"/>
          <w:sz w:val="24"/>
          <w:szCs w:val="24"/>
        </w:rPr>
        <w:t>包括互操作性医疗器械的系统可能由现有器械、产品或技术组成，共同作用以实现不同于单个医疗器械的功能。医疗器械可以是独立的，可以广播数据以便任何人都可以访问该数据，可以与其他医疗器械、非医疗器械技术和系统连接和交换信息，或者可以</w:t>
      </w:r>
      <w:r w:rsidR="001D7A01">
        <w:rPr>
          <w:rFonts w:eastAsia="宋体" w:hint="eastAsia"/>
          <w:color w:val="000000"/>
          <w:sz w:val="24"/>
          <w:szCs w:val="24"/>
        </w:rPr>
        <w:t>融入</w:t>
      </w:r>
      <w:r w:rsidRPr="001F432F">
        <w:rPr>
          <w:rFonts w:eastAsia="宋体"/>
          <w:color w:val="000000"/>
          <w:sz w:val="24"/>
          <w:szCs w:val="24"/>
        </w:rPr>
        <w:t>到一个复杂的医疗器械和</w:t>
      </w:r>
      <w:r w:rsidRPr="001F432F">
        <w:rPr>
          <w:rFonts w:eastAsia="宋体"/>
          <w:color w:val="000000"/>
          <w:sz w:val="24"/>
          <w:szCs w:val="24"/>
        </w:rPr>
        <w:t>/</w:t>
      </w:r>
      <w:r w:rsidRPr="001F432F">
        <w:rPr>
          <w:rFonts w:eastAsia="宋体"/>
          <w:color w:val="000000"/>
          <w:sz w:val="24"/>
          <w:szCs w:val="24"/>
        </w:rPr>
        <w:t>或非医疗器械技术系统中。增加互操作性医疗器械的使用有可能以更低的成本促进快速创新。然而，适当的安全考虑事项（包括器械设计中没有考虑到的系统层面的安全考虑事项）可能会对患者、术者、器械或系统造成不可预见的安全性和有效性问题。</w:t>
      </w:r>
    </w:p>
    <w:p w14:paraId="5B638F5C" w14:textId="77777777" w:rsidR="00CE6F56" w:rsidRPr="001F432F" w:rsidRDefault="00CE6F56" w:rsidP="00FE4CD1">
      <w:pPr>
        <w:shd w:val="clear" w:color="auto" w:fill="FFFFFF"/>
        <w:snapToGrid w:val="0"/>
        <w:jc w:val="both"/>
        <w:rPr>
          <w:rFonts w:eastAsia="宋体"/>
          <w:sz w:val="24"/>
          <w:szCs w:val="24"/>
        </w:rPr>
      </w:pPr>
    </w:p>
    <w:p w14:paraId="157F9B49" w14:textId="77777777" w:rsidR="00CE6F56" w:rsidRPr="001F432F" w:rsidRDefault="00CE6F56" w:rsidP="00FE4CD1">
      <w:pPr>
        <w:shd w:val="clear" w:color="auto" w:fill="FFFFFF"/>
        <w:snapToGrid w:val="0"/>
        <w:jc w:val="both"/>
        <w:rPr>
          <w:rFonts w:eastAsia="宋体"/>
          <w:sz w:val="24"/>
          <w:szCs w:val="24"/>
        </w:rPr>
      </w:pPr>
    </w:p>
    <w:p w14:paraId="5B74F158" w14:textId="77777777" w:rsidR="00CE6F56" w:rsidRPr="001F432F" w:rsidRDefault="00CE6F56" w:rsidP="00FE4CD1">
      <w:pPr>
        <w:shd w:val="clear" w:color="auto" w:fill="FFFFFF"/>
        <w:snapToGrid w:val="0"/>
        <w:jc w:val="both"/>
        <w:rPr>
          <w:rFonts w:eastAsia="宋体"/>
          <w:sz w:val="24"/>
          <w:szCs w:val="24"/>
        </w:rPr>
      </w:pPr>
    </w:p>
    <w:p w14:paraId="305BB528" w14:textId="77777777" w:rsidR="003E1C97" w:rsidRPr="001F432F" w:rsidRDefault="003E1C97" w:rsidP="00FE4CD1">
      <w:pPr>
        <w:shd w:val="clear" w:color="auto" w:fill="FFFFFF"/>
        <w:snapToGrid w:val="0"/>
        <w:jc w:val="both"/>
        <w:rPr>
          <w:rFonts w:eastAsia="宋体"/>
          <w:sz w:val="21"/>
          <w:szCs w:val="21"/>
        </w:rPr>
        <w:sectPr w:rsidR="003E1C97" w:rsidRPr="001F432F" w:rsidSect="00FE4CD1">
          <w:pgSz w:w="11906" w:h="16838"/>
          <w:pgMar w:top="1134" w:right="1417" w:bottom="1134" w:left="1417" w:header="850" w:footer="720" w:gutter="0"/>
          <w:cols w:space="60"/>
          <w:noEndnote/>
          <w:docGrid w:linePitch="272"/>
        </w:sectPr>
      </w:pPr>
    </w:p>
    <w:p w14:paraId="4941807E" w14:textId="0A247B45"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lastRenderedPageBreak/>
        <w:t>医疗器械互操作性不仅限于单向的患者数据，还包括更复杂的交互，例如对医疗器械执行命令和控制。为具有这种交互的器械建立和实现适当的功能、性能和接口需求非常重要。实现这一目标的一种方法是使用标准化体系结构和通信方案。另一种方法是在</w:t>
      </w:r>
      <w:r w:rsidR="00292998">
        <w:rPr>
          <w:rFonts w:eastAsia="宋体" w:hint="eastAsia"/>
          <w:color w:val="000000"/>
          <w:sz w:val="24"/>
          <w:szCs w:val="24"/>
        </w:rPr>
        <w:t>标记</w:t>
      </w:r>
      <w:r w:rsidRPr="001F432F">
        <w:rPr>
          <w:rFonts w:eastAsia="宋体"/>
          <w:color w:val="000000"/>
          <w:sz w:val="24"/>
          <w:szCs w:val="24"/>
        </w:rPr>
        <w:t>中指定非标准化接口需求和特征。</w:t>
      </w:r>
    </w:p>
    <w:p w14:paraId="70EB4E1E" w14:textId="77777777" w:rsidR="00CE6F56" w:rsidRPr="001F432F" w:rsidRDefault="00CE6F56" w:rsidP="00FE4CD1">
      <w:pPr>
        <w:shd w:val="clear" w:color="auto" w:fill="FFFFFF"/>
        <w:snapToGrid w:val="0"/>
        <w:jc w:val="both"/>
        <w:rPr>
          <w:rFonts w:eastAsia="宋体"/>
          <w:sz w:val="24"/>
          <w:szCs w:val="24"/>
        </w:rPr>
      </w:pPr>
    </w:p>
    <w:p w14:paraId="0E20C7C4" w14:textId="771A5FC8"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221E1F"/>
          <w:sz w:val="24"/>
          <w:szCs w:val="24"/>
        </w:rPr>
        <w:t>考虑互操作性考虑事项的器械设计要素可以提高数据的可移植性和患者的安全性。然而，可能会发生由于互操作性不足而产生的错误，例如当接收医疗器械</w:t>
      </w:r>
      <w:r w:rsidR="00B23B3D">
        <w:rPr>
          <w:rFonts w:eastAsia="宋体" w:hint="eastAsia"/>
          <w:color w:val="221E1F"/>
          <w:sz w:val="24"/>
          <w:szCs w:val="24"/>
        </w:rPr>
        <w:t>接收了</w:t>
      </w:r>
      <w:r w:rsidR="00B23B3D">
        <w:rPr>
          <w:rFonts w:eastAsia="宋体" w:hint="eastAsia"/>
          <w:color w:val="221E1F"/>
          <w:sz w:val="24"/>
          <w:szCs w:val="24"/>
        </w:rPr>
        <w:t>kg</w:t>
      </w:r>
      <w:r w:rsidR="00B23B3D">
        <w:rPr>
          <w:rFonts w:eastAsia="宋体" w:hint="eastAsia"/>
          <w:color w:val="221E1F"/>
          <w:sz w:val="24"/>
          <w:szCs w:val="24"/>
        </w:rPr>
        <w:t>的重量信息而</w:t>
      </w:r>
      <w:r w:rsidR="00567306">
        <w:rPr>
          <w:rFonts w:eastAsia="宋体" w:hint="eastAsia"/>
          <w:color w:val="221E1F"/>
          <w:sz w:val="24"/>
          <w:szCs w:val="24"/>
        </w:rPr>
        <w:t>预</w:t>
      </w:r>
      <w:r w:rsidRPr="001F432F">
        <w:rPr>
          <w:rFonts w:eastAsia="宋体"/>
          <w:color w:val="221E1F"/>
          <w:sz w:val="24"/>
          <w:szCs w:val="24"/>
        </w:rPr>
        <w:t>定测量单位为磅时，这可能会导致患者伤害甚至死亡。</w:t>
      </w:r>
      <w:r w:rsidRPr="001F432F">
        <w:rPr>
          <w:rFonts w:eastAsia="宋体"/>
          <w:color w:val="000000"/>
          <w:sz w:val="24"/>
          <w:szCs w:val="24"/>
        </w:rPr>
        <w:t>因此，在产品开发过程中，未能建立和实现适当的功能、性能和接口需求可能会导致不准确、不及时或误导性信息的交换。</w:t>
      </w:r>
      <w:r w:rsidRPr="001F432F">
        <w:rPr>
          <w:rFonts w:eastAsia="宋体"/>
          <w:color w:val="221E1F"/>
          <w:sz w:val="24"/>
          <w:szCs w:val="24"/>
        </w:rPr>
        <w:t>还可能导致器械</w:t>
      </w:r>
      <w:r w:rsidRPr="001F432F">
        <w:rPr>
          <w:rFonts w:eastAsia="宋体"/>
          <w:color w:val="000000"/>
          <w:sz w:val="24"/>
          <w:szCs w:val="24"/>
        </w:rPr>
        <w:t>故障，包括操作失败，并可能导致患者受伤甚至死亡。</w:t>
      </w:r>
    </w:p>
    <w:p w14:paraId="1A9C6F37" w14:textId="77777777" w:rsidR="00CE6F56" w:rsidRPr="001F432F" w:rsidRDefault="00CE6F56" w:rsidP="00FE4CD1">
      <w:pPr>
        <w:shd w:val="clear" w:color="auto" w:fill="FFFFFF"/>
        <w:snapToGrid w:val="0"/>
        <w:jc w:val="both"/>
        <w:rPr>
          <w:rFonts w:eastAsia="宋体"/>
          <w:sz w:val="24"/>
          <w:szCs w:val="24"/>
        </w:rPr>
      </w:pPr>
    </w:p>
    <w:p w14:paraId="7E634F9E"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特定器械识别信息，如</w:t>
      </w:r>
      <w:r w:rsidRPr="001F432F">
        <w:rPr>
          <w:rFonts w:eastAsia="宋体"/>
          <w:color w:val="000000"/>
          <w:sz w:val="24"/>
          <w:szCs w:val="24"/>
        </w:rPr>
        <w:t>UDI</w:t>
      </w:r>
      <w:r w:rsidRPr="001F432F">
        <w:rPr>
          <w:rFonts w:eastAsia="宋体"/>
          <w:color w:val="000000"/>
          <w:sz w:val="24"/>
          <w:szCs w:val="24"/>
        </w:rPr>
        <w:t>（医疗器械唯一标识）和特定患者数据，如</w:t>
      </w:r>
      <w:r w:rsidRPr="001F432F">
        <w:rPr>
          <w:rFonts w:eastAsia="宋体"/>
          <w:color w:val="000000"/>
          <w:sz w:val="24"/>
          <w:szCs w:val="24"/>
        </w:rPr>
        <w:t>ECG</w:t>
      </w:r>
      <w:r w:rsidRPr="001F432F">
        <w:rPr>
          <w:rFonts w:eastAsia="宋体"/>
          <w:color w:val="000000"/>
          <w:sz w:val="24"/>
          <w:szCs w:val="24"/>
        </w:rPr>
        <w:t>（心电图）波形，可以对患者护理和改善患者结局发挥重要作用。此外，这些信息和数据可以与权威数据源（如全球医疗器械唯一标识数据库（</w:t>
      </w:r>
      <w:r w:rsidRPr="001F432F">
        <w:rPr>
          <w:rFonts w:eastAsia="宋体"/>
          <w:color w:val="000000"/>
          <w:sz w:val="24"/>
          <w:szCs w:val="24"/>
        </w:rPr>
        <w:t>GUDID</w:t>
      </w:r>
      <w:r w:rsidRPr="001F432F">
        <w:rPr>
          <w:rFonts w:eastAsia="宋体"/>
          <w:color w:val="000000"/>
          <w:sz w:val="24"/>
          <w:szCs w:val="24"/>
        </w:rPr>
        <w:t>））一起使用，以填充电子健康记录，并允许患者及其家属和医护人员做出更明智的医疗决策。</w:t>
      </w:r>
      <w:r w:rsidRPr="001F432F">
        <w:rPr>
          <w:rFonts w:eastAsia="宋体"/>
          <w:color w:val="000000"/>
          <w:sz w:val="24"/>
          <w:szCs w:val="24"/>
        </w:rPr>
        <w:t>FDA</w:t>
      </w:r>
      <w:r w:rsidRPr="001F432F">
        <w:rPr>
          <w:rFonts w:eastAsia="宋体"/>
          <w:color w:val="000000"/>
          <w:sz w:val="24"/>
          <w:szCs w:val="24"/>
        </w:rPr>
        <w:t>已采取措施促进医疗器械数据的使用，并促进安全和有效的互操作性。例如，</w:t>
      </w:r>
      <w:r w:rsidRPr="001F432F">
        <w:rPr>
          <w:rFonts w:eastAsia="宋体"/>
          <w:color w:val="000000"/>
          <w:sz w:val="24"/>
          <w:szCs w:val="24"/>
        </w:rPr>
        <w:t>FDA</w:t>
      </w:r>
      <w:r w:rsidRPr="001F432F">
        <w:rPr>
          <w:rFonts w:eastAsia="宋体"/>
          <w:color w:val="000000"/>
          <w:sz w:val="24"/>
          <w:szCs w:val="24"/>
        </w:rPr>
        <w:t>已经认可了支持医疗器械互操作性的各种共识标准。</w:t>
      </w:r>
    </w:p>
    <w:p w14:paraId="42F25AE8" w14:textId="77777777" w:rsidR="00CE6F56" w:rsidRPr="001F432F" w:rsidRDefault="00CE6F56" w:rsidP="00FE4CD1">
      <w:pPr>
        <w:shd w:val="clear" w:color="auto" w:fill="FFFFFF"/>
        <w:snapToGrid w:val="0"/>
        <w:jc w:val="both"/>
        <w:rPr>
          <w:rFonts w:eastAsia="宋体"/>
          <w:sz w:val="24"/>
          <w:szCs w:val="24"/>
        </w:rPr>
      </w:pPr>
    </w:p>
    <w:p w14:paraId="66964F85" w14:textId="49D968D4"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本指南旨在强调医疗器械制造商应考虑的以下事项，以合理确保其互操作性医疗器械的安全性和有效性：</w:t>
      </w:r>
      <w:r w:rsidRPr="001F432F">
        <w:rPr>
          <w:rFonts w:eastAsia="宋体"/>
          <w:color w:val="000000"/>
          <w:sz w:val="24"/>
          <w:szCs w:val="24"/>
        </w:rPr>
        <w:t>1</w:t>
      </w:r>
      <w:r w:rsidRPr="001F432F">
        <w:rPr>
          <w:rFonts w:eastAsia="宋体"/>
          <w:color w:val="000000"/>
          <w:sz w:val="24"/>
          <w:szCs w:val="24"/>
        </w:rPr>
        <w:t>）以互操作性为目的设计系统；</w:t>
      </w:r>
      <w:r w:rsidRPr="001F432F">
        <w:rPr>
          <w:rFonts w:eastAsia="宋体"/>
          <w:color w:val="000000"/>
          <w:sz w:val="24"/>
          <w:szCs w:val="24"/>
        </w:rPr>
        <w:t>2</w:t>
      </w:r>
      <w:r w:rsidRPr="001F432F">
        <w:rPr>
          <w:rFonts w:eastAsia="宋体"/>
          <w:color w:val="000000"/>
          <w:sz w:val="24"/>
          <w:szCs w:val="24"/>
        </w:rPr>
        <w:t>）进行适当的验证、确认和风险管理活动；</w:t>
      </w:r>
      <w:r w:rsidRPr="001F432F">
        <w:rPr>
          <w:rFonts w:eastAsia="宋体"/>
          <w:color w:val="000000"/>
          <w:sz w:val="24"/>
          <w:szCs w:val="24"/>
        </w:rPr>
        <w:t xml:space="preserve"> 3</w:t>
      </w:r>
      <w:r w:rsidRPr="001F432F">
        <w:rPr>
          <w:rFonts w:eastAsia="宋体"/>
          <w:color w:val="000000"/>
          <w:sz w:val="24"/>
          <w:szCs w:val="24"/>
        </w:rPr>
        <w:t>）以使用者可用的方式指定相关的功能、性能和接口特征，如</w:t>
      </w:r>
      <w:r w:rsidR="00292998">
        <w:rPr>
          <w:rFonts w:eastAsia="宋体" w:hint="eastAsia"/>
          <w:color w:val="000000"/>
          <w:sz w:val="24"/>
          <w:szCs w:val="24"/>
        </w:rPr>
        <w:t>标记</w:t>
      </w:r>
      <w:r w:rsidRPr="001F432F">
        <w:rPr>
          <w:rFonts w:eastAsia="宋体"/>
          <w:color w:val="000000"/>
          <w:sz w:val="24"/>
          <w:szCs w:val="24"/>
        </w:rPr>
        <w:t>。</w:t>
      </w:r>
    </w:p>
    <w:p w14:paraId="2F7587F8" w14:textId="77777777" w:rsidR="00CE6F56" w:rsidRPr="001F432F" w:rsidRDefault="00CE6F56" w:rsidP="004826CF">
      <w:pPr>
        <w:pStyle w:val="1"/>
        <w:spacing w:before="240" w:after="240"/>
        <w:ind w:left="632" w:hanging="632"/>
        <w:rPr>
          <w:rFonts w:eastAsia="宋体"/>
        </w:rPr>
      </w:pPr>
      <w:bookmarkStart w:id="4" w:name="bookmark3"/>
      <w:bookmarkStart w:id="5" w:name="_Toc97485689"/>
      <w:r w:rsidRPr="001F432F">
        <w:rPr>
          <w:rFonts w:eastAsia="宋体"/>
        </w:rPr>
        <w:t>I</w:t>
      </w:r>
      <w:bookmarkEnd w:id="4"/>
      <w:r w:rsidRPr="001F432F">
        <w:rPr>
          <w:rFonts w:eastAsia="宋体"/>
        </w:rPr>
        <w:t>II.</w:t>
      </w:r>
      <w:r w:rsidRPr="001F432F">
        <w:rPr>
          <w:rFonts w:eastAsia="宋体"/>
        </w:rPr>
        <w:tab/>
      </w:r>
      <w:r w:rsidRPr="001F432F">
        <w:rPr>
          <w:rFonts w:eastAsia="宋体"/>
        </w:rPr>
        <w:t>范围</w:t>
      </w:r>
      <w:bookmarkEnd w:id="5"/>
    </w:p>
    <w:p w14:paraId="4AEE0917" w14:textId="34975985"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本指南为制造商在开发互操作性医疗器械时提供设计考虑事项，并就上市前</w:t>
      </w:r>
      <w:r w:rsidR="004826CF">
        <w:rPr>
          <w:rFonts w:eastAsia="宋体"/>
          <w:color w:val="000000"/>
          <w:sz w:val="24"/>
          <w:szCs w:val="24"/>
        </w:rPr>
        <w:t>申报资料</w:t>
      </w:r>
      <w:r w:rsidRPr="001F432F">
        <w:rPr>
          <w:rFonts w:eastAsia="宋体"/>
          <w:color w:val="000000"/>
          <w:sz w:val="24"/>
          <w:szCs w:val="24"/>
        </w:rPr>
        <w:t>和器械</w:t>
      </w:r>
      <w:r w:rsidR="00292998">
        <w:rPr>
          <w:rFonts w:eastAsia="宋体" w:hint="eastAsia"/>
          <w:color w:val="000000"/>
          <w:sz w:val="24"/>
          <w:szCs w:val="24"/>
        </w:rPr>
        <w:t>标记</w:t>
      </w:r>
      <w:r w:rsidRPr="001F432F">
        <w:rPr>
          <w:rFonts w:eastAsia="宋体"/>
          <w:color w:val="000000"/>
          <w:sz w:val="24"/>
          <w:szCs w:val="24"/>
        </w:rPr>
        <w:t>中应包括的信息提供建议。</w:t>
      </w:r>
    </w:p>
    <w:p w14:paraId="28DF8296" w14:textId="77777777" w:rsidR="00CE6F56" w:rsidRPr="001F432F" w:rsidRDefault="00CE6F56" w:rsidP="00FE4CD1">
      <w:pPr>
        <w:shd w:val="clear" w:color="auto" w:fill="FFFFFF"/>
        <w:snapToGrid w:val="0"/>
        <w:jc w:val="both"/>
        <w:rPr>
          <w:rFonts w:eastAsia="宋体"/>
          <w:sz w:val="24"/>
          <w:szCs w:val="24"/>
        </w:rPr>
      </w:pPr>
    </w:p>
    <w:p w14:paraId="21A1760E" w14:textId="77777777" w:rsidR="00CE6F56" w:rsidRPr="001F432F" w:rsidRDefault="00CE6F56" w:rsidP="00FE4CD1">
      <w:pPr>
        <w:shd w:val="clear" w:color="auto" w:fill="FFFFFF"/>
        <w:snapToGrid w:val="0"/>
        <w:jc w:val="both"/>
        <w:rPr>
          <w:rFonts w:eastAsia="宋体"/>
          <w:sz w:val="21"/>
          <w:szCs w:val="21"/>
        </w:rPr>
        <w:sectPr w:rsidR="00CE6F56" w:rsidRPr="001F432F" w:rsidSect="00FE4CD1">
          <w:pgSz w:w="11906" w:h="16838"/>
          <w:pgMar w:top="1134" w:right="1417" w:bottom="1134" w:left="1417" w:header="850" w:footer="720" w:gutter="0"/>
          <w:cols w:space="60"/>
          <w:noEndnote/>
          <w:docGrid w:linePitch="272"/>
        </w:sectPr>
      </w:pPr>
    </w:p>
    <w:p w14:paraId="4A3ACE74"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lastRenderedPageBreak/>
        <w:t>本文件重点在于通过连接（如通用串行总线（</w:t>
      </w:r>
      <w:r w:rsidRPr="001F432F">
        <w:rPr>
          <w:rFonts w:eastAsia="宋体"/>
          <w:color w:val="000000"/>
          <w:sz w:val="24"/>
          <w:szCs w:val="24"/>
        </w:rPr>
        <w:t>USB</w:t>
      </w:r>
      <w:r w:rsidRPr="001F432F">
        <w:rPr>
          <w:rFonts w:eastAsia="宋体"/>
          <w:color w:val="000000"/>
          <w:sz w:val="24"/>
          <w:szCs w:val="24"/>
        </w:rPr>
        <w:t>）、无线连接）交换的信息内容。本文件重点不在于物理兼容性方面，如物理连接器，但确实建议制造商指定支持电子接口的连接类型。</w:t>
      </w:r>
    </w:p>
    <w:p w14:paraId="4D0F0A09" w14:textId="77777777" w:rsidR="00CE6F56" w:rsidRPr="001F432F" w:rsidRDefault="00CE6F56" w:rsidP="00FE4CD1">
      <w:pPr>
        <w:shd w:val="clear" w:color="auto" w:fill="FFFFFF"/>
        <w:snapToGrid w:val="0"/>
        <w:jc w:val="both"/>
        <w:rPr>
          <w:rFonts w:eastAsia="宋体"/>
          <w:sz w:val="24"/>
          <w:szCs w:val="24"/>
        </w:rPr>
      </w:pPr>
    </w:p>
    <w:p w14:paraId="5500E990"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本文件预期并不就特定产品或产品的修改是否需要上市前递交提供指导。我们打算将本文件作为其他</w:t>
      </w:r>
      <w:r w:rsidRPr="001F432F">
        <w:rPr>
          <w:rFonts w:eastAsia="宋体"/>
          <w:color w:val="000000"/>
          <w:sz w:val="24"/>
          <w:szCs w:val="24"/>
        </w:rPr>
        <w:t>FDA</w:t>
      </w:r>
      <w:r w:rsidRPr="001F432F">
        <w:rPr>
          <w:rFonts w:eastAsia="宋体"/>
          <w:color w:val="000000"/>
          <w:sz w:val="24"/>
          <w:szCs w:val="24"/>
        </w:rPr>
        <w:t>指导文件的补充。</w:t>
      </w:r>
    </w:p>
    <w:p w14:paraId="1F0D218A" w14:textId="77777777" w:rsidR="00CE6F56" w:rsidRPr="001F432F" w:rsidRDefault="00CE6F56" w:rsidP="00FE4CD1">
      <w:pPr>
        <w:shd w:val="clear" w:color="auto" w:fill="FFFFFF"/>
        <w:snapToGrid w:val="0"/>
        <w:jc w:val="both"/>
        <w:rPr>
          <w:rFonts w:eastAsia="宋体"/>
          <w:sz w:val="24"/>
          <w:szCs w:val="24"/>
        </w:rPr>
      </w:pPr>
    </w:p>
    <w:p w14:paraId="55CC7802"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本指南内的上市前讨论适用于以下互操作性医疗器械的上市前</w:t>
      </w:r>
      <w:r w:rsidR="004826CF">
        <w:rPr>
          <w:rFonts w:eastAsia="宋体"/>
          <w:color w:val="000000"/>
          <w:sz w:val="24"/>
          <w:szCs w:val="24"/>
        </w:rPr>
        <w:t>申报资料</w:t>
      </w:r>
      <w:r w:rsidRPr="001F432F">
        <w:rPr>
          <w:rFonts w:eastAsia="宋体"/>
          <w:color w:val="000000"/>
          <w:sz w:val="24"/>
          <w:szCs w:val="24"/>
        </w:rPr>
        <w:t>；</w:t>
      </w:r>
      <w:r w:rsidRPr="001F432F">
        <w:rPr>
          <w:rStyle w:val="a9"/>
          <w:rFonts w:eastAsia="宋体"/>
          <w:sz w:val="24"/>
          <w:szCs w:val="24"/>
        </w:rPr>
        <w:footnoteReference w:id="2"/>
      </w:r>
    </w:p>
    <w:p w14:paraId="2024CC81" w14:textId="3F135D49" w:rsidR="00CE6F56" w:rsidRPr="001F432F" w:rsidRDefault="00CE6F56" w:rsidP="001F432F">
      <w:pPr>
        <w:shd w:val="clear" w:color="auto" w:fill="FFFFFF"/>
        <w:snapToGrid w:val="0"/>
        <w:ind w:leftChars="150" w:left="660" w:hangingChars="150" w:hanging="360"/>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上市前通知（</w:t>
      </w:r>
      <w:r w:rsidR="00DA4F6F">
        <w:rPr>
          <w:rFonts w:eastAsia="宋体"/>
          <w:color w:val="000000"/>
          <w:sz w:val="24"/>
          <w:szCs w:val="24"/>
        </w:rPr>
        <w:t>510</w:t>
      </w:r>
      <w:r w:rsidR="00DA4F6F">
        <w:rPr>
          <w:rFonts w:eastAsia="宋体"/>
          <w:color w:val="000000"/>
          <w:sz w:val="24"/>
          <w:szCs w:val="24"/>
        </w:rPr>
        <w:t>（</w:t>
      </w:r>
      <w:r w:rsidR="00DA4F6F">
        <w:rPr>
          <w:rFonts w:eastAsia="宋体"/>
          <w:color w:val="000000"/>
          <w:sz w:val="24"/>
          <w:szCs w:val="24"/>
        </w:rPr>
        <w:t>k</w:t>
      </w:r>
      <w:r w:rsidR="00DA4F6F">
        <w:rPr>
          <w:rFonts w:eastAsia="宋体"/>
          <w:color w:val="000000"/>
          <w:sz w:val="24"/>
          <w:szCs w:val="24"/>
        </w:rPr>
        <w:t>）</w:t>
      </w:r>
      <w:r w:rsidRPr="001F432F">
        <w:rPr>
          <w:rFonts w:eastAsia="宋体"/>
          <w:color w:val="000000"/>
          <w:sz w:val="24"/>
          <w:szCs w:val="24"/>
        </w:rPr>
        <w:t>），包括传统、特殊和简化</w:t>
      </w:r>
      <w:r w:rsidR="00DA4F6F">
        <w:rPr>
          <w:rFonts w:eastAsia="宋体"/>
          <w:color w:val="000000"/>
          <w:sz w:val="24"/>
          <w:szCs w:val="24"/>
        </w:rPr>
        <w:t>510</w:t>
      </w:r>
      <w:r w:rsidR="00DA4F6F">
        <w:rPr>
          <w:rFonts w:eastAsia="宋体"/>
          <w:color w:val="000000"/>
          <w:sz w:val="24"/>
          <w:szCs w:val="24"/>
        </w:rPr>
        <w:t>（</w:t>
      </w:r>
      <w:r w:rsidR="00DA4F6F">
        <w:rPr>
          <w:rFonts w:eastAsia="宋体"/>
          <w:color w:val="000000"/>
          <w:sz w:val="24"/>
          <w:szCs w:val="24"/>
        </w:rPr>
        <w:t>k</w:t>
      </w:r>
      <w:r w:rsidR="00DA4F6F">
        <w:rPr>
          <w:rFonts w:eastAsia="宋体"/>
          <w:color w:val="000000"/>
          <w:sz w:val="24"/>
          <w:szCs w:val="24"/>
        </w:rPr>
        <w:t>）</w:t>
      </w:r>
      <w:r w:rsidRPr="001F432F">
        <w:rPr>
          <w:rFonts w:eastAsia="宋体"/>
          <w:color w:val="000000"/>
          <w:sz w:val="24"/>
          <w:szCs w:val="24"/>
        </w:rPr>
        <w:t>递交；</w:t>
      </w:r>
    </w:p>
    <w:p w14:paraId="3EC63A4B" w14:textId="77777777" w:rsidR="00CE6F56" w:rsidRPr="001F432F" w:rsidRDefault="00CE6F56" w:rsidP="001F432F">
      <w:pPr>
        <w:shd w:val="clear" w:color="auto" w:fill="FFFFFF"/>
        <w:snapToGrid w:val="0"/>
        <w:ind w:leftChars="150" w:left="660" w:hangingChars="150" w:hanging="360"/>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重新申请；</w:t>
      </w:r>
    </w:p>
    <w:p w14:paraId="55B72962" w14:textId="77777777" w:rsidR="00CE6F56" w:rsidRPr="001F432F" w:rsidRDefault="00CE6F56" w:rsidP="001F432F">
      <w:pPr>
        <w:shd w:val="clear" w:color="auto" w:fill="FFFFFF"/>
        <w:snapToGrid w:val="0"/>
        <w:ind w:leftChars="150" w:left="660" w:hangingChars="150" w:hanging="360"/>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上市前批准申请（</w:t>
      </w:r>
      <w:r w:rsidRPr="001F432F">
        <w:rPr>
          <w:rFonts w:eastAsia="宋体"/>
          <w:color w:val="000000"/>
          <w:sz w:val="24"/>
          <w:szCs w:val="24"/>
        </w:rPr>
        <w:t>PMA</w:t>
      </w:r>
      <w:r w:rsidR="001F1D49">
        <w:rPr>
          <w:rFonts w:eastAsia="宋体" w:hint="eastAsia"/>
          <w:color w:val="000000"/>
          <w:sz w:val="24"/>
          <w:szCs w:val="24"/>
        </w:rPr>
        <w:t>s</w:t>
      </w:r>
      <w:r w:rsidRPr="001F432F">
        <w:rPr>
          <w:rFonts w:eastAsia="宋体"/>
          <w:color w:val="000000"/>
          <w:sz w:val="24"/>
          <w:szCs w:val="24"/>
        </w:rPr>
        <w:t>）；</w:t>
      </w:r>
    </w:p>
    <w:p w14:paraId="6EBB8225" w14:textId="77777777" w:rsidR="00CE6F56" w:rsidRPr="001F432F" w:rsidRDefault="00CE6F56" w:rsidP="001F432F">
      <w:pPr>
        <w:shd w:val="clear" w:color="auto" w:fill="FFFFFF"/>
        <w:snapToGrid w:val="0"/>
        <w:ind w:leftChars="150" w:left="660" w:hangingChars="150" w:hanging="360"/>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产品开发方案（</w:t>
      </w:r>
      <w:r w:rsidRPr="001F432F">
        <w:rPr>
          <w:rFonts w:eastAsia="宋体"/>
          <w:color w:val="000000"/>
          <w:sz w:val="24"/>
          <w:szCs w:val="24"/>
        </w:rPr>
        <w:t>PDP</w:t>
      </w:r>
      <w:r w:rsidR="001F1D49">
        <w:rPr>
          <w:rFonts w:eastAsia="宋体" w:hint="eastAsia"/>
          <w:color w:val="000000"/>
          <w:sz w:val="24"/>
          <w:szCs w:val="24"/>
        </w:rPr>
        <w:t>s</w:t>
      </w:r>
      <w:r w:rsidRPr="001F432F">
        <w:rPr>
          <w:rFonts w:eastAsia="宋体"/>
          <w:color w:val="000000"/>
          <w:sz w:val="24"/>
          <w:szCs w:val="24"/>
        </w:rPr>
        <w:t>）；</w:t>
      </w:r>
    </w:p>
    <w:p w14:paraId="2A7CB4B6" w14:textId="77777777" w:rsidR="00CE6F56" w:rsidRPr="001F432F" w:rsidRDefault="00CE6F56" w:rsidP="001F432F">
      <w:pPr>
        <w:shd w:val="clear" w:color="auto" w:fill="FFFFFF"/>
        <w:snapToGrid w:val="0"/>
        <w:ind w:leftChars="150" w:left="660" w:hangingChars="150" w:hanging="360"/>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人道主义器械豁免（</w:t>
      </w:r>
      <w:r w:rsidRPr="001F432F">
        <w:rPr>
          <w:rFonts w:eastAsia="宋体"/>
          <w:color w:val="000000"/>
          <w:sz w:val="24"/>
          <w:szCs w:val="24"/>
        </w:rPr>
        <w:t>HDE</w:t>
      </w:r>
      <w:r w:rsidRPr="001F432F">
        <w:rPr>
          <w:rFonts w:eastAsia="宋体"/>
          <w:color w:val="000000"/>
          <w:sz w:val="24"/>
          <w:szCs w:val="24"/>
        </w:rPr>
        <w:t>）递交；和</w:t>
      </w:r>
    </w:p>
    <w:p w14:paraId="0D2D79EB" w14:textId="77777777" w:rsidR="00CE6F56" w:rsidRPr="001F432F" w:rsidRDefault="00CE6F56" w:rsidP="001F432F">
      <w:pPr>
        <w:shd w:val="clear" w:color="auto" w:fill="FFFFFF"/>
        <w:snapToGrid w:val="0"/>
        <w:ind w:leftChars="150" w:left="660" w:hangingChars="150" w:hanging="360"/>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生物制品注册证申请（</w:t>
      </w:r>
      <w:r w:rsidRPr="001F432F">
        <w:rPr>
          <w:rFonts w:eastAsia="宋体"/>
          <w:color w:val="000000"/>
          <w:sz w:val="24"/>
          <w:szCs w:val="24"/>
        </w:rPr>
        <w:t>BLA</w:t>
      </w:r>
      <w:r w:rsidR="001F1D49">
        <w:rPr>
          <w:rFonts w:eastAsia="宋体" w:hint="eastAsia"/>
          <w:color w:val="000000"/>
          <w:sz w:val="24"/>
          <w:szCs w:val="24"/>
        </w:rPr>
        <w:t>s</w:t>
      </w:r>
      <w:r w:rsidRPr="001F432F">
        <w:rPr>
          <w:rFonts w:eastAsia="宋体"/>
          <w:color w:val="000000"/>
          <w:sz w:val="24"/>
          <w:szCs w:val="24"/>
        </w:rPr>
        <w:t>）。</w:t>
      </w:r>
    </w:p>
    <w:p w14:paraId="24AAF102" w14:textId="77777777" w:rsidR="00CE6F56" w:rsidRPr="001F432F" w:rsidRDefault="00CE6F56" w:rsidP="004826CF">
      <w:pPr>
        <w:pStyle w:val="1"/>
        <w:spacing w:before="240" w:after="240"/>
        <w:ind w:left="632" w:hanging="632"/>
        <w:rPr>
          <w:rFonts w:eastAsia="宋体"/>
        </w:rPr>
      </w:pPr>
      <w:bookmarkStart w:id="6" w:name="bookmark4"/>
      <w:bookmarkStart w:id="7" w:name="_Toc97485690"/>
      <w:r w:rsidRPr="001F432F">
        <w:rPr>
          <w:rFonts w:eastAsia="宋体"/>
        </w:rPr>
        <w:t>I</w:t>
      </w:r>
      <w:bookmarkEnd w:id="6"/>
      <w:r w:rsidRPr="001F432F">
        <w:rPr>
          <w:rFonts w:eastAsia="宋体"/>
        </w:rPr>
        <w:t>V.</w:t>
      </w:r>
      <w:r w:rsidRPr="001F432F">
        <w:rPr>
          <w:rFonts w:eastAsia="宋体"/>
        </w:rPr>
        <w:tab/>
      </w:r>
      <w:r w:rsidRPr="001F432F">
        <w:rPr>
          <w:rFonts w:eastAsia="宋体"/>
        </w:rPr>
        <w:t>定义</w:t>
      </w:r>
      <w:bookmarkEnd w:id="7"/>
    </w:p>
    <w:p w14:paraId="4CEC9BE3" w14:textId="77777777" w:rsidR="00CE6F56" w:rsidRPr="001F432F" w:rsidRDefault="00CE6F56" w:rsidP="00FE4CD1">
      <w:pPr>
        <w:shd w:val="clear" w:color="auto" w:fill="FFFFFF"/>
        <w:snapToGrid w:val="0"/>
        <w:jc w:val="both"/>
        <w:rPr>
          <w:rFonts w:eastAsia="宋体"/>
          <w:sz w:val="24"/>
          <w:szCs w:val="24"/>
        </w:rPr>
      </w:pPr>
      <w:r w:rsidRPr="001F432F">
        <w:rPr>
          <w:rFonts w:eastAsia="宋体"/>
          <w:b/>
          <w:bCs/>
          <w:color w:val="000000"/>
          <w:sz w:val="24"/>
          <w:szCs w:val="24"/>
        </w:rPr>
        <w:t>电子接口：</w:t>
      </w:r>
    </w:p>
    <w:p w14:paraId="2C253C37"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就本指南而言，电子接口是系统相互交互和</w:t>
      </w:r>
      <w:r w:rsidRPr="001F432F">
        <w:rPr>
          <w:rFonts w:eastAsia="宋体"/>
          <w:color w:val="000000"/>
          <w:sz w:val="24"/>
          <w:szCs w:val="24"/>
        </w:rPr>
        <w:t>/</w:t>
      </w:r>
      <w:r w:rsidRPr="001F432F">
        <w:rPr>
          <w:rFonts w:eastAsia="宋体"/>
          <w:color w:val="000000"/>
          <w:sz w:val="24"/>
          <w:szCs w:val="24"/>
        </w:rPr>
        <w:t>或通信的媒介，从而允许系统之间交换信息。电子接口包括连接类型（例如</w:t>
      </w:r>
      <w:r w:rsidRPr="001F432F">
        <w:rPr>
          <w:rFonts w:eastAsia="宋体"/>
          <w:color w:val="000000"/>
          <w:sz w:val="24"/>
          <w:szCs w:val="24"/>
        </w:rPr>
        <w:t>USB</w:t>
      </w:r>
      <w:r w:rsidRPr="001F432F">
        <w:rPr>
          <w:rFonts w:eastAsia="宋体"/>
          <w:color w:val="000000"/>
          <w:sz w:val="24"/>
          <w:szCs w:val="24"/>
        </w:rPr>
        <w:t>端口、无线连接）和信息内容。其是医疗器械与其他设备或其他医疗器械交换和使用信息的媒介。</w:t>
      </w:r>
    </w:p>
    <w:p w14:paraId="2B83E146" w14:textId="77777777" w:rsidR="00CE6F56" w:rsidRPr="001F432F" w:rsidRDefault="00CE6F56" w:rsidP="00FE4CD1">
      <w:pPr>
        <w:shd w:val="clear" w:color="auto" w:fill="FFFFFF"/>
        <w:snapToGrid w:val="0"/>
        <w:jc w:val="both"/>
        <w:rPr>
          <w:rFonts w:eastAsia="宋体"/>
          <w:b/>
          <w:bCs/>
          <w:color w:val="000000"/>
          <w:sz w:val="24"/>
          <w:szCs w:val="24"/>
        </w:rPr>
      </w:pPr>
    </w:p>
    <w:p w14:paraId="7D66055B" w14:textId="77777777" w:rsidR="00CE6F56" w:rsidRPr="001F432F" w:rsidRDefault="00CE6F56" w:rsidP="00FE4CD1">
      <w:pPr>
        <w:shd w:val="clear" w:color="auto" w:fill="FFFFFF"/>
        <w:snapToGrid w:val="0"/>
        <w:jc w:val="both"/>
        <w:rPr>
          <w:rFonts w:eastAsia="宋体"/>
          <w:sz w:val="24"/>
          <w:szCs w:val="24"/>
        </w:rPr>
      </w:pPr>
      <w:r w:rsidRPr="001F432F">
        <w:rPr>
          <w:rFonts w:eastAsia="宋体"/>
          <w:b/>
          <w:bCs/>
          <w:color w:val="000000"/>
          <w:sz w:val="24"/>
          <w:szCs w:val="24"/>
        </w:rPr>
        <w:t>互操作性医疗器械：</w:t>
      </w:r>
    </w:p>
    <w:p w14:paraId="4DE86679"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就本指南而言，互操作性医疗器械指《联邦食品、药品和化妆品法案》（《</w:t>
      </w:r>
      <w:r w:rsidRPr="001F432F">
        <w:rPr>
          <w:rFonts w:eastAsia="宋体"/>
          <w:color w:val="000000"/>
          <w:sz w:val="24"/>
          <w:szCs w:val="24"/>
        </w:rPr>
        <w:t>FD&amp;C</w:t>
      </w:r>
      <w:r w:rsidRPr="001F432F">
        <w:rPr>
          <w:rFonts w:eastAsia="宋体"/>
          <w:color w:val="000000"/>
          <w:sz w:val="24"/>
          <w:szCs w:val="24"/>
        </w:rPr>
        <w:t>法案》）第</w:t>
      </w:r>
      <w:r w:rsidRPr="001F432F">
        <w:rPr>
          <w:rFonts w:eastAsia="宋体"/>
          <w:color w:val="000000"/>
          <w:sz w:val="24"/>
          <w:szCs w:val="24"/>
        </w:rPr>
        <w:t>201</w:t>
      </w:r>
      <w:r w:rsidRPr="001F432F">
        <w:rPr>
          <w:rFonts w:eastAsia="宋体"/>
          <w:color w:val="000000"/>
          <w:sz w:val="24"/>
          <w:szCs w:val="24"/>
        </w:rPr>
        <w:t>（</w:t>
      </w:r>
      <w:r w:rsidRPr="001F432F">
        <w:rPr>
          <w:rFonts w:eastAsia="宋体"/>
          <w:color w:val="000000"/>
          <w:sz w:val="24"/>
          <w:szCs w:val="24"/>
        </w:rPr>
        <w:t>h</w:t>
      </w:r>
      <w:r w:rsidRPr="001F432F">
        <w:rPr>
          <w:rFonts w:eastAsia="宋体"/>
          <w:color w:val="000000"/>
          <w:sz w:val="24"/>
          <w:szCs w:val="24"/>
        </w:rPr>
        <w:t>）条中定义的能够通过电子接口与其他医疗</w:t>
      </w:r>
      <w:r w:rsidRPr="001F432F">
        <w:rPr>
          <w:rFonts w:eastAsia="宋体"/>
          <w:color w:val="000000"/>
          <w:sz w:val="24"/>
          <w:szCs w:val="24"/>
        </w:rPr>
        <w:t>/</w:t>
      </w:r>
      <w:r w:rsidRPr="001F432F">
        <w:rPr>
          <w:rFonts w:eastAsia="宋体"/>
          <w:color w:val="000000"/>
          <w:sz w:val="24"/>
          <w:szCs w:val="24"/>
        </w:rPr>
        <w:t>非医疗产品、系统或器械交换和使用信息的器械。互操作性医疗器械可以涉及到向另一器械或产品的简单单向数据传输或更复杂的交互，例如对一个或多个医疗器械执行命令和控制。互操作性医疗器械也可以是包含多个医疗器械的复杂系统的一部分。</w:t>
      </w:r>
    </w:p>
    <w:p w14:paraId="67B017E1" w14:textId="77777777" w:rsidR="00CE6F56" w:rsidRPr="001F432F" w:rsidRDefault="00CE6F56" w:rsidP="00FE4CD1">
      <w:pPr>
        <w:shd w:val="clear" w:color="auto" w:fill="FFFFFF"/>
        <w:snapToGrid w:val="0"/>
        <w:jc w:val="both"/>
        <w:rPr>
          <w:rFonts w:eastAsia="宋体"/>
          <w:sz w:val="24"/>
          <w:szCs w:val="24"/>
        </w:rPr>
      </w:pPr>
    </w:p>
    <w:p w14:paraId="69911077" w14:textId="77777777" w:rsidR="00CE6F56" w:rsidRPr="001F432F" w:rsidRDefault="00CE6F56" w:rsidP="00FE4CD1">
      <w:pPr>
        <w:shd w:val="clear" w:color="auto" w:fill="FFFFFF"/>
        <w:snapToGrid w:val="0"/>
        <w:jc w:val="both"/>
        <w:rPr>
          <w:rFonts w:eastAsia="宋体"/>
          <w:sz w:val="24"/>
          <w:szCs w:val="24"/>
        </w:rPr>
      </w:pPr>
    </w:p>
    <w:p w14:paraId="7D319D7D" w14:textId="77777777" w:rsidR="00CE6F56" w:rsidRPr="001F432F" w:rsidRDefault="00CE6F56" w:rsidP="00FE4CD1">
      <w:pPr>
        <w:shd w:val="clear" w:color="auto" w:fill="FFFFFF"/>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7373B2B4" w14:textId="77777777" w:rsidR="00CE6F56" w:rsidRPr="001F432F" w:rsidRDefault="00CE6F56" w:rsidP="004826CF">
      <w:pPr>
        <w:pStyle w:val="1"/>
        <w:spacing w:before="240" w:after="240"/>
        <w:ind w:left="632" w:hanging="632"/>
        <w:rPr>
          <w:rFonts w:eastAsia="宋体"/>
        </w:rPr>
      </w:pPr>
      <w:bookmarkStart w:id="8" w:name="_Toc97485691"/>
      <w:r w:rsidRPr="001F432F">
        <w:rPr>
          <w:rFonts w:eastAsia="宋体"/>
        </w:rPr>
        <w:lastRenderedPageBreak/>
        <w:t>V.</w:t>
      </w:r>
      <w:r w:rsidRPr="001F432F">
        <w:rPr>
          <w:rFonts w:eastAsia="宋体"/>
        </w:rPr>
        <w:tab/>
      </w:r>
      <w:r w:rsidRPr="001F432F">
        <w:rPr>
          <w:rFonts w:eastAsia="宋体"/>
        </w:rPr>
        <w:t>互操作性医疗器械的设计考虑事项</w:t>
      </w:r>
      <w:bookmarkEnd w:id="8"/>
    </w:p>
    <w:p w14:paraId="389B8B9E"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制造商可以从许多设计解决方案中进行选择，以创建互操作性医疗器械。在互操作性医疗器械的设计和开发过程中，应考虑信息模型（数据属性）、功能模型（在互操作性系统中发挥的作用）和体系结构模型（器械如何在系统中连接）。设计输入应包括电子接口所需的功能和性能特征。</w:t>
      </w:r>
    </w:p>
    <w:p w14:paraId="4247F95A" w14:textId="77777777" w:rsidR="00CE6F56" w:rsidRPr="001F432F" w:rsidRDefault="00CE6F56" w:rsidP="00FE4CD1">
      <w:pPr>
        <w:shd w:val="clear" w:color="auto" w:fill="FFFFFF"/>
        <w:snapToGrid w:val="0"/>
        <w:jc w:val="both"/>
        <w:rPr>
          <w:rFonts w:eastAsia="宋体"/>
          <w:sz w:val="24"/>
          <w:szCs w:val="24"/>
        </w:rPr>
      </w:pPr>
    </w:p>
    <w:p w14:paraId="5E35BA13" w14:textId="69CE7C6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互操作性医疗器械的制造商应进行风险分析并进行适当的测试，考虑与互操作性、</w:t>
      </w:r>
      <w:r w:rsidR="004826CF">
        <w:rPr>
          <w:rFonts w:eastAsia="宋体"/>
          <w:color w:val="000000"/>
          <w:sz w:val="24"/>
          <w:szCs w:val="24"/>
        </w:rPr>
        <w:t>预期用户</w:t>
      </w:r>
      <w:r w:rsidRPr="001F432F">
        <w:rPr>
          <w:rFonts w:eastAsia="宋体"/>
          <w:color w:val="000000"/>
          <w:sz w:val="24"/>
          <w:szCs w:val="24"/>
        </w:rPr>
        <w:t>、合理可预见的误用以及</w:t>
      </w:r>
      <w:r w:rsidR="002A34BF" w:rsidRPr="001F432F">
        <w:rPr>
          <w:rFonts w:eastAsia="宋体"/>
          <w:color w:val="000000"/>
          <w:sz w:val="24"/>
          <w:szCs w:val="24"/>
        </w:rPr>
        <w:t>合理可预见的</w:t>
      </w:r>
      <w:r w:rsidRPr="001F432F">
        <w:rPr>
          <w:rFonts w:eastAsia="宋体"/>
          <w:color w:val="000000"/>
          <w:sz w:val="24"/>
          <w:szCs w:val="24"/>
        </w:rPr>
        <w:t>可导致危险情况的事件组合。</w:t>
      </w:r>
    </w:p>
    <w:p w14:paraId="4E305693" w14:textId="77777777" w:rsidR="00CE6F56" w:rsidRPr="001F432F" w:rsidRDefault="00CE6F56" w:rsidP="00FE4CD1">
      <w:pPr>
        <w:shd w:val="clear" w:color="auto" w:fill="FFFFFF"/>
        <w:snapToGrid w:val="0"/>
        <w:jc w:val="both"/>
        <w:rPr>
          <w:rFonts w:eastAsia="宋体"/>
          <w:sz w:val="24"/>
          <w:szCs w:val="24"/>
        </w:rPr>
      </w:pPr>
    </w:p>
    <w:p w14:paraId="2F761FEB" w14:textId="02B27892" w:rsidR="00CE6F56"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一般来说，制造商可以采取的一项措施</w:t>
      </w:r>
      <w:r w:rsidR="002A34BF" w:rsidRPr="001F432F">
        <w:rPr>
          <w:rFonts w:eastAsia="宋体"/>
          <w:color w:val="000000"/>
          <w:sz w:val="24"/>
          <w:szCs w:val="24"/>
        </w:rPr>
        <w:t>是在器械标</w:t>
      </w:r>
      <w:r w:rsidR="002A34BF">
        <w:rPr>
          <w:rFonts w:eastAsia="宋体" w:hint="eastAsia"/>
          <w:color w:val="000000"/>
          <w:sz w:val="24"/>
          <w:szCs w:val="24"/>
        </w:rPr>
        <w:t>价</w:t>
      </w:r>
      <w:r w:rsidR="002A34BF" w:rsidRPr="001F432F">
        <w:rPr>
          <w:rFonts w:eastAsia="宋体"/>
          <w:color w:val="000000"/>
          <w:sz w:val="24"/>
          <w:szCs w:val="24"/>
        </w:rPr>
        <w:t>中明确规定其电子接口的功能和性能要求</w:t>
      </w:r>
      <w:r w:rsidR="002A34BF">
        <w:rPr>
          <w:rFonts w:eastAsia="宋体" w:hint="eastAsia"/>
          <w:color w:val="000000"/>
          <w:sz w:val="24"/>
          <w:szCs w:val="24"/>
        </w:rPr>
        <w:t>，</w:t>
      </w:r>
      <w:r w:rsidRPr="001F432F">
        <w:rPr>
          <w:rFonts w:eastAsia="宋体"/>
          <w:color w:val="000000"/>
          <w:sz w:val="24"/>
          <w:szCs w:val="24"/>
        </w:rPr>
        <w:t>来降低风险并促进安全有效的互操作性</w:t>
      </w:r>
      <w:r w:rsidR="005E576D">
        <w:rPr>
          <w:rFonts w:eastAsia="宋体"/>
          <w:color w:val="000000"/>
          <w:sz w:val="24"/>
          <w:szCs w:val="24"/>
        </w:rPr>
        <w:t>标记</w:t>
      </w:r>
      <w:r w:rsidRPr="001F432F">
        <w:rPr>
          <w:rFonts w:eastAsia="宋体"/>
          <w:color w:val="000000"/>
          <w:sz w:val="24"/>
          <w:szCs w:val="24"/>
        </w:rPr>
        <w:t>。在互操作性系统中提供这些器械的接口或使用限制</w:t>
      </w:r>
      <w:r w:rsidR="00390EA1">
        <w:rPr>
          <w:rFonts w:eastAsia="宋体" w:hint="eastAsia"/>
          <w:color w:val="000000"/>
          <w:sz w:val="24"/>
          <w:szCs w:val="24"/>
        </w:rPr>
        <w:t>特征</w:t>
      </w:r>
      <w:r w:rsidRPr="001F432F">
        <w:rPr>
          <w:rFonts w:eastAsia="宋体"/>
          <w:color w:val="000000"/>
          <w:sz w:val="24"/>
          <w:szCs w:val="24"/>
        </w:rPr>
        <w:t>，可以最大限度地降低未能按预期交换和使用数据相关的风险。</w:t>
      </w:r>
    </w:p>
    <w:p w14:paraId="61B33E08" w14:textId="77777777" w:rsidR="002A34BF" w:rsidRPr="001F432F" w:rsidRDefault="002A34BF" w:rsidP="00FE4CD1">
      <w:pPr>
        <w:shd w:val="clear" w:color="auto" w:fill="FFFFFF"/>
        <w:snapToGrid w:val="0"/>
        <w:jc w:val="both"/>
        <w:rPr>
          <w:rFonts w:eastAsia="宋体"/>
          <w:sz w:val="24"/>
          <w:szCs w:val="24"/>
        </w:rPr>
      </w:pPr>
    </w:p>
    <w:p w14:paraId="345F9392" w14:textId="13C83788"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作为</w:t>
      </w:r>
      <w:r w:rsidRPr="001F432F">
        <w:rPr>
          <w:rFonts w:eastAsia="宋体"/>
          <w:color w:val="000000"/>
          <w:sz w:val="24"/>
          <w:szCs w:val="24"/>
        </w:rPr>
        <w:t>21 CFR</w:t>
      </w:r>
      <w:r w:rsidRPr="001F432F">
        <w:rPr>
          <w:rFonts w:eastAsia="宋体"/>
          <w:color w:val="000000"/>
          <w:sz w:val="24"/>
          <w:szCs w:val="24"/>
        </w:rPr>
        <w:t>第</w:t>
      </w:r>
      <w:r w:rsidRPr="001F432F">
        <w:rPr>
          <w:rFonts w:eastAsia="宋体"/>
          <w:color w:val="000000"/>
          <w:sz w:val="24"/>
          <w:szCs w:val="24"/>
        </w:rPr>
        <w:t>820</w:t>
      </w:r>
      <w:r w:rsidRPr="001F432F">
        <w:rPr>
          <w:rFonts w:eastAsia="宋体"/>
          <w:color w:val="000000"/>
          <w:sz w:val="24"/>
          <w:szCs w:val="24"/>
        </w:rPr>
        <w:t>部分中全面质量体系的一部分，医疗器械制造商必须管理包括与医疗器械中集成的电子接口相关的风险。以下考虑事项应根据选定的接口技术以及医疗器械的预期用途和使用环境进行适当调整。</w:t>
      </w:r>
    </w:p>
    <w:p w14:paraId="51AD19A3" w14:textId="77777777" w:rsidR="00CE6F56" w:rsidRPr="001F432F" w:rsidRDefault="00CE6F56" w:rsidP="00FE4CD1">
      <w:pPr>
        <w:shd w:val="clear" w:color="auto" w:fill="FFFFFF"/>
        <w:snapToGrid w:val="0"/>
        <w:jc w:val="both"/>
        <w:rPr>
          <w:rFonts w:eastAsia="宋体"/>
          <w:sz w:val="24"/>
          <w:szCs w:val="24"/>
        </w:rPr>
      </w:pPr>
    </w:p>
    <w:p w14:paraId="78BD54A2" w14:textId="0307229F" w:rsidR="00CE6F56" w:rsidRPr="001F432F" w:rsidRDefault="00FE4CD1" w:rsidP="00CE6F56">
      <w:pPr>
        <w:shd w:val="clear" w:color="auto" w:fill="FFFFFF"/>
        <w:snapToGrid w:val="0"/>
        <w:ind w:leftChars="480" w:left="1275" w:hanging="315"/>
        <w:jc w:val="both"/>
        <w:rPr>
          <w:rFonts w:eastAsia="宋体"/>
          <w:color w:val="000000"/>
          <w:sz w:val="24"/>
          <w:szCs w:val="24"/>
        </w:rPr>
      </w:pPr>
      <w:r w:rsidRPr="001F432F">
        <w:rPr>
          <w:rFonts w:eastAsia="宋体"/>
          <w:color w:val="000000"/>
          <w:sz w:val="24"/>
          <w:szCs w:val="24"/>
        </w:rPr>
        <w:t>1.</w:t>
      </w:r>
      <w:r w:rsidRPr="001F432F">
        <w:rPr>
          <w:rFonts w:eastAsia="宋体"/>
          <w:color w:val="000000"/>
          <w:sz w:val="24"/>
          <w:szCs w:val="24"/>
        </w:rPr>
        <w:tab/>
      </w:r>
      <w:r w:rsidRPr="001F432F">
        <w:rPr>
          <w:rFonts w:eastAsia="宋体"/>
          <w:b/>
          <w:bCs/>
          <w:i/>
          <w:iCs/>
          <w:color w:val="000000"/>
          <w:sz w:val="24"/>
          <w:szCs w:val="24"/>
        </w:rPr>
        <w:t>电子接口的用途：</w:t>
      </w:r>
      <w:r w:rsidRPr="001F432F">
        <w:rPr>
          <w:rFonts w:eastAsia="宋体"/>
          <w:color w:val="000000"/>
          <w:sz w:val="24"/>
          <w:szCs w:val="24"/>
        </w:rPr>
        <w:t>器械制造商应考虑每个电子接口的用途。这应包括数据交换</w:t>
      </w:r>
      <w:r w:rsidR="00390EA1" w:rsidRPr="001F432F">
        <w:rPr>
          <w:rFonts w:eastAsia="宋体"/>
          <w:color w:val="000000"/>
          <w:sz w:val="24"/>
          <w:szCs w:val="24"/>
        </w:rPr>
        <w:t>发生</w:t>
      </w:r>
      <w:r w:rsidRPr="001F432F">
        <w:rPr>
          <w:rFonts w:eastAsia="宋体"/>
          <w:color w:val="000000"/>
          <w:sz w:val="24"/>
          <w:szCs w:val="24"/>
        </w:rPr>
        <w:t>的类型（例如，发送、接收、发出命令和控制）。</w:t>
      </w:r>
    </w:p>
    <w:p w14:paraId="1264C390"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p>
    <w:p w14:paraId="3EAF36C4" w14:textId="77777777" w:rsidR="00CE6F56" w:rsidRPr="001F432F" w:rsidRDefault="00FE4CD1" w:rsidP="00CE6F56">
      <w:pPr>
        <w:shd w:val="clear" w:color="auto" w:fill="FFFFFF"/>
        <w:snapToGrid w:val="0"/>
        <w:ind w:leftChars="480" w:left="1275" w:hanging="315"/>
        <w:jc w:val="both"/>
        <w:rPr>
          <w:rFonts w:eastAsia="宋体"/>
          <w:color w:val="000000"/>
          <w:sz w:val="24"/>
          <w:szCs w:val="24"/>
        </w:rPr>
      </w:pPr>
      <w:r w:rsidRPr="001F432F">
        <w:rPr>
          <w:rFonts w:eastAsia="宋体"/>
          <w:color w:val="000000"/>
          <w:sz w:val="24"/>
          <w:szCs w:val="24"/>
        </w:rPr>
        <w:t>2.</w:t>
      </w:r>
      <w:r w:rsidRPr="001F432F">
        <w:rPr>
          <w:rFonts w:eastAsia="宋体"/>
          <w:color w:val="000000"/>
          <w:sz w:val="24"/>
          <w:szCs w:val="24"/>
        </w:rPr>
        <w:tab/>
      </w:r>
      <w:r w:rsidR="004826CF">
        <w:rPr>
          <w:rFonts w:eastAsia="宋体"/>
          <w:b/>
          <w:bCs/>
          <w:i/>
          <w:iCs/>
          <w:color w:val="000000"/>
          <w:sz w:val="24"/>
          <w:szCs w:val="24"/>
        </w:rPr>
        <w:t>预期用户</w:t>
      </w:r>
      <w:r w:rsidRPr="001F432F">
        <w:rPr>
          <w:rFonts w:eastAsia="宋体"/>
          <w:b/>
          <w:bCs/>
          <w:i/>
          <w:iCs/>
          <w:color w:val="000000"/>
          <w:sz w:val="24"/>
          <w:szCs w:val="24"/>
        </w:rPr>
        <w:t>：</w:t>
      </w:r>
      <w:r w:rsidRPr="001F432F">
        <w:rPr>
          <w:rFonts w:eastAsia="宋体"/>
          <w:color w:val="000000"/>
          <w:sz w:val="24"/>
          <w:szCs w:val="24"/>
        </w:rPr>
        <w:t>制造商应确定每个电子接口的</w:t>
      </w:r>
      <w:r w:rsidR="004826CF">
        <w:rPr>
          <w:rFonts w:eastAsia="宋体"/>
          <w:color w:val="000000"/>
          <w:sz w:val="24"/>
          <w:szCs w:val="24"/>
        </w:rPr>
        <w:t>预期用户</w:t>
      </w:r>
      <w:r w:rsidRPr="001F432F">
        <w:rPr>
          <w:rFonts w:eastAsia="宋体"/>
          <w:color w:val="000000"/>
          <w:sz w:val="24"/>
          <w:szCs w:val="24"/>
        </w:rPr>
        <w:t>。使用者的示例包括：临床使用者、生物医学工程师、家庭医疗使用者、信息技术（</w:t>
      </w:r>
      <w:r w:rsidRPr="001F432F">
        <w:rPr>
          <w:rFonts w:eastAsia="宋体"/>
          <w:color w:val="000000"/>
          <w:sz w:val="24"/>
          <w:szCs w:val="24"/>
        </w:rPr>
        <w:t>IT</w:t>
      </w:r>
      <w:r w:rsidRPr="001F432F">
        <w:rPr>
          <w:rFonts w:eastAsia="宋体"/>
          <w:color w:val="000000"/>
          <w:sz w:val="24"/>
          <w:szCs w:val="24"/>
        </w:rPr>
        <w:t>）专业人员、系统集成商、系统设计师、患者、研究人员和医疗器械设计师。</w:t>
      </w:r>
    </w:p>
    <w:p w14:paraId="62D4D3AB"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p>
    <w:p w14:paraId="19C9387E" w14:textId="7EC52CFF" w:rsidR="00CE6F56" w:rsidRPr="001F432F" w:rsidRDefault="00FE4CD1" w:rsidP="00CE6F56">
      <w:pPr>
        <w:shd w:val="clear" w:color="auto" w:fill="FFFFFF"/>
        <w:snapToGrid w:val="0"/>
        <w:ind w:leftChars="480" w:left="1275" w:hanging="315"/>
        <w:jc w:val="both"/>
        <w:rPr>
          <w:rFonts w:eastAsia="宋体"/>
          <w:color w:val="000000"/>
          <w:sz w:val="24"/>
          <w:szCs w:val="24"/>
        </w:rPr>
      </w:pPr>
      <w:r w:rsidRPr="001F432F">
        <w:rPr>
          <w:rFonts w:eastAsia="宋体"/>
          <w:b/>
          <w:bCs/>
          <w:color w:val="000000"/>
          <w:sz w:val="24"/>
          <w:szCs w:val="24"/>
        </w:rPr>
        <w:t>3.</w:t>
      </w:r>
      <w:r w:rsidRPr="001F432F">
        <w:rPr>
          <w:rFonts w:eastAsia="宋体"/>
          <w:b/>
          <w:bCs/>
          <w:color w:val="000000"/>
          <w:sz w:val="24"/>
          <w:szCs w:val="24"/>
        </w:rPr>
        <w:tab/>
      </w:r>
      <w:r w:rsidRPr="001F432F">
        <w:rPr>
          <w:rFonts w:eastAsia="宋体"/>
          <w:b/>
          <w:bCs/>
          <w:i/>
          <w:iCs/>
          <w:color w:val="000000"/>
          <w:sz w:val="24"/>
          <w:szCs w:val="24"/>
        </w:rPr>
        <w:t>风险管理：</w:t>
      </w:r>
      <w:r w:rsidRPr="001F432F">
        <w:rPr>
          <w:rFonts w:eastAsia="宋体"/>
          <w:color w:val="000000"/>
          <w:sz w:val="24"/>
          <w:szCs w:val="24"/>
        </w:rPr>
        <w:t>制造商应考虑缓解风险分析中</w:t>
      </w:r>
      <w:r w:rsidR="00390EA1">
        <w:rPr>
          <w:rFonts w:eastAsia="宋体" w:hint="eastAsia"/>
          <w:color w:val="000000"/>
          <w:sz w:val="24"/>
          <w:szCs w:val="24"/>
        </w:rPr>
        <w:t>识别</w:t>
      </w:r>
      <w:r w:rsidRPr="001F432F">
        <w:rPr>
          <w:rFonts w:eastAsia="宋体"/>
          <w:color w:val="000000"/>
          <w:sz w:val="24"/>
          <w:szCs w:val="24"/>
        </w:rPr>
        <w:t>的风险。这包括电子接口的其他</w:t>
      </w:r>
      <w:r w:rsidR="00D346C2">
        <w:rPr>
          <w:rFonts w:eastAsia="宋体" w:hint="eastAsia"/>
          <w:color w:val="000000"/>
          <w:sz w:val="24"/>
          <w:szCs w:val="24"/>
        </w:rPr>
        <w:t>连接</w:t>
      </w:r>
      <w:r w:rsidRPr="001F432F">
        <w:rPr>
          <w:rFonts w:eastAsia="宋体"/>
          <w:color w:val="000000"/>
          <w:sz w:val="24"/>
          <w:szCs w:val="24"/>
        </w:rPr>
        <w:t>所产生的风险。</w:t>
      </w:r>
    </w:p>
    <w:p w14:paraId="5788E66E" w14:textId="77777777" w:rsidR="00CE6F56" w:rsidRPr="001F432F" w:rsidRDefault="00CE6F56" w:rsidP="00FE4CD1">
      <w:pPr>
        <w:shd w:val="clear" w:color="auto" w:fill="FFFFFF"/>
        <w:tabs>
          <w:tab w:val="left" w:pos="1440"/>
        </w:tabs>
        <w:snapToGrid w:val="0"/>
        <w:jc w:val="both"/>
        <w:rPr>
          <w:rFonts w:eastAsia="宋体"/>
          <w:color w:val="000000"/>
          <w:sz w:val="24"/>
          <w:szCs w:val="24"/>
        </w:rPr>
      </w:pPr>
    </w:p>
    <w:p w14:paraId="39FCEDB1" w14:textId="77777777" w:rsidR="00CE6F56" w:rsidRPr="001F432F" w:rsidRDefault="00CE6F56" w:rsidP="00FE4CD1">
      <w:pPr>
        <w:shd w:val="clear" w:color="auto" w:fill="FFFFFF"/>
        <w:tabs>
          <w:tab w:val="left" w:pos="1440"/>
        </w:tabs>
        <w:snapToGrid w:val="0"/>
        <w:jc w:val="both"/>
        <w:rPr>
          <w:rFonts w:eastAsia="宋体"/>
          <w:color w:val="000000"/>
          <w:sz w:val="24"/>
          <w:szCs w:val="24"/>
        </w:rPr>
        <w:sectPr w:rsidR="00CE6F56" w:rsidRPr="001F432F" w:rsidSect="00FE4CD1">
          <w:pgSz w:w="11906" w:h="16838"/>
          <w:pgMar w:top="1134" w:right="1417" w:bottom="1134" w:left="1417" w:header="850" w:footer="720" w:gutter="0"/>
          <w:cols w:space="60"/>
          <w:noEndnote/>
          <w:docGrid w:linePitch="272"/>
        </w:sectPr>
      </w:pPr>
    </w:p>
    <w:p w14:paraId="37377013" w14:textId="063F469C" w:rsidR="00CE6F56" w:rsidRPr="001F432F" w:rsidRDefault="00FE4CD1" w:rsidP="00CE6F56">
      <w:pPr>
        <w:shd w:val="clear" w:color="auto" w:fill="FFFFFF"/>
        <w:snapToGrid w:val="0"/>
        <w:ind w:leftChars="480" w:left="1275" w:hanging="315"/>
        <w:jc w:val="both"/>
        <w:rPr>
          <w:rFonts w:eastAsia="宋体"/>
          <w:color w:val="000000"/>
          <w:sz w:val="24"/>
          <w:szCs w:val="24"/>
        </w:rPr>
      </w:pPr>
      <w:r w:rsidRPr="001F432F">
        <w:rPr>
          <w:rFonts w:eastAsia="宋体"/>
          <w:b/>
          <w:bCs/>
          <w:color w:val="000000"/>
          <w:sz w:val="24"/>
          <w:szCs w:val="24"/>
        </w:rPr>
        <w:lastRenderedPageBreak/>
        <w:t>4.</w:t>
      </w:r>
      <w:r w:rsidRPr="001F432F">
        <w:rPr>
          <w:rFonts w:eastAsia="宋体"/>
          <w:b/>
          <w:bCs/>
          <w:color w:val="000000"/>
          <w:sz w:val="24"/>
          <w:szCs w:val="24"/>
        </w:rPr>
        <w:tab/>
      </w:r>
      <w:r w:rsidRPr="001F432F">
        <w:rPr>
          <w:rFonts w:eastAsia="宋体"/>
          <w:b/>
          <w:bCs/>
          <w:i/>
          <w:iCs/>
          <w:color w:val="000000"/>
          <w:sz w:val="24"/>
          <w:szCs w:val="24"/>
        </w:rPr>
        <w:t>验证和确认：</w:t>
      </w:r>
      <w:r w:rsidRPr="001F432F">
        <w:rPr>
          <w:rFonts w:eastAsia="宋体"/>
          <w:color w:val="000000"/>
          <w:sz w:val="24"/>
          <w:szCs w:val="24"/>
        </w:rPr>
        <w:t>制造商应建立、维护和实施适当的验证和确认，以确保其带有电子接口的器械在交付前、集成过程中、在使用中继续工作以及维护</w:t>
      </w:r>
      <w:r w:rsidR="00011AEF">
        <w:rPr>
          <w:rFonts w:eastAsia="宋体" w:hint="eastAsia"/>
          <w:color w:val="000000"/>
          <w:sz w:val="24"/>
          <w:szCs w:val="24"/>
        </w:rPr>
        <w:t>过程中</w:t>
      </w:r>
      <w:r w:rsidRPr="001F432F">
        <w:rPr>
          <w:rFonts w:eastAsia="宋体"/>
          <w:color w:val="000000"/>
          <w:sz w:val="24"/>
          <w:szCs w:val="24"/>
        </w:rPr>
        <w:t>和软件更新</w:t>
      </w:r>
      <w:r w:rsidR="00011AEF">
        <w:rPr>
          <w:rFonts w:eastAsia="宋体" w:hint="eastAsia"/>
          <w:color w:val="000000"/>
          <w:sz w:val="24"/>
          <w:szCs w:val="24"/>
        </w:rPr>
        <w:t>发布</w:t>
      </w:r>
      <w:r w:rsidRPr="001F432F">
        <w:rPr>
          <w:rFonts w:eastAsia="宋体"/>
          <w:color w:val="000000"/>
          <w:sz w:val="24"/>
          <w:szCs w:val="24"/>
        </w:rPr>
        <w:t>时能够正常工作。</w:t>
      </w:r>
    </w:p>
    <w:p w14:paraId="64D35B65"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p>
    <w:p w14:paraId="1B66315F" w14:textId="44848D3D" w:rsidR="00CE6F56" w:rsidRPr="001F432F" w:rsidRDefault="00FE4CD1" w:rsidP="00CE6F56">
      <w:pPr>
        <w:shd w:val="clear" w:color="auto" w:fill="FFFFFF"/>
        <w:snapToGrid w:val="0"/>
        <w:ind w:leftChars="480" w:left="1275" w:hanging="315"/>
        <w:jc w:val="both"/>
        <w:rPr>
          <w:rFonts w:eastAsia="宋体"/>
          <w:color w:val="000000"/>
          <w:sz w:val="24"/>
          <w:szCs w:val="24"/>
        </w:rPr>
      </w:pPr>
      <w:r w:rsidRPr="001F432F">
        <w:rPr>
          <w:rFonts w:eastAsia="宋体"/>
          <w:color w:val="000000"/>
          <w:sz w:val="24"/>
          <w:szCs w:val="24"/>
        </w:rPr>
        <w:t>5.</w:t>
      </w:r>
      <w:r w:rsidRPr="001F432F">
        <w:rPr>
          <w:rFonts w:eastAsia="宋体"/>
          <w:color w:val="000000"/>
          <w:sz w:val="24"/>
          <w:szCs w:val="24"/>
        </w:rPr>
        <w:tab/>
      </w:r>
      <w:r w:rsidR="00292998">
        <w:rPr>
          <w:rFonts w:eastAsia="宋体" w:hint="eastAsia"/>
          <w:b/>
          <w:bCs/>
          <w:i/>
          <w:iCs/>
          <w:color w:val="000000"/>
          <w:sz w:val="24"/>
          <w:szCs w:val="24"/>
        </w:rPr>
        <w:t>标记</w:t>
      </w:r>
      <w:r w:rsidRPr="001F432F">
        <w:rPr>
          <w:rFonts w:eastAsia="宋体"/>
          <w:b/>
          <w:bCs/>
          <w:i/>
          <w:iCs/>
          <w:color w:val="000000"/>
          <w:sz w:val="24"/>
          <w:szCs w:val="24"/>
        </w:rPr>
        <w:t>考虑事项：</w:t>
      </w:r>
      <w:r w:rsidRPr="001F432F">
        <w:rPr>
          <w:rFonts w:eastAsia="宋体"/>
          <w:color w:val="000000"/>
          <w:sz w:val="24"/>
          <w:szCs w:val="24"/>
        </w:rPr>
        <w:t>制造商应包括使用者可能需要的信息，以便可预测且安全地连接到接口以达到预期目的。</w:t>
      </w:r>
    </w:p>
    <w:p w14:paraId="3A80D0C5"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p>
    <w:p w14:paraId="7AD5E570" w14:textId="77777777" w:rsidR="00CE6F56" w:rsidRPr="001F432F" w:rsidRDefault="00FE4CD1" w:rsidP="00CE6F56">
      <w:pPr>
        <w:shd w:val="clear" w:color="auto" w:fill="FFFFFF"/>
        <w:snapToGrid w:val="0"/>
        <w:ind w:leftChars="480" w:left="1275" w:hanging="315"/>
        <w:jc w:val="both"/>
        <w:rPr>
          <w:rFonts w:eastAsia="宋体"/>
          <w:color w:val="000000"/>
          <w:sz w:val="24"/>
          <w:szCs w:val="24"/>
        </w:rPr>
      </w:pPr>
      <w:r w:rsidRPr="001F432F">
        <w:rPr>
          <w:rFonts w:eastAsia="宋体"/>
          <w:color w:val="000000"/>
          <w:sz w:val="24"/>
          <w:szCs w:val="24"/>
        </w:rPr>
        <w:t>6.</w:t>
      </w:r>
      <w:r w:rsidRPr="001F432F">
        <w:rPr>
          <w:rFonts w:eastAsia="宋体"/>
          <w:color w:val="000000"/>
          <w:sz w:val="24"/>
          <w:szCs w:val="24"/>
        </w:rPr>
        <w:tab/>
      </w:r>
      <w:r w:rsidRPr="001F432F">
        <w:rPr>
          <w:rFonts w:eastAsia="宋体"/>
          <w:b/>
          <w:bCs/>
          <w:i/>
          <w:iCs/>
          <w:color w:val="000000"/>
          <w:sz w:val="24"/>
          <w:szCs w:val="24"/>
        </w:rPr>
        <w:t>共识标准的使用：</w:t>
      </w:r>
      <w:r w:rsidRPr="001F432F">
        <w:rPr>
          <w:rFonts w:eastAsia="宋体"/>
          <w:color w:val="000000"/>
          <w:sz w:val="24"/>
          <w:szCs w:val="24"/>
        </w:rPr>
        <w:t>制造商应考虑使用与医疗器械互操作性相关的共识标准。</w:t>
      </w:r>
    </w:p>
    <w:p w14:paraId="7ACFEBA6"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p>
    <w:p w14:paraId="15904A26" w14:textId="77777777" w:rsidR="00CE6F56" w:rsidRPr="001F432F" w:rsidRDefault="00CE6F56" w:rsidP="004826CF">
      <w:pPr>
        <w:pStyle w:val="2"/>
        <w:spacing w:before="240" w:after="240"/>
        <w:rPr>
          <w:rFonts w:eastAsia="宋体"/>
        </w:rPr>
      </w:pPr>
      <w:bookmarkStart w:id="9" w:name="bookmark6"/>
      <w:bookmarkStart w:id="10" w:name="_Toc97485692"/>
      <w:r w:rsidRPr="001F432F">
        <w:rPr>
          <w:rFonts w:eastAsia="宋体"/>
        </w:rPr>
        <w:t>A</w:t>
      </w:r>
      <w:bookmarkEnd w:id="9"/>
      <w:r w:rsidRPr="001F432F">
        <w:rPr>
          <w:rFonts w:eastAsia="宋体"/>
        </w:rPr>
        <w:t>.</w:t>
      </w:r>
      <w:r w:rsidRPr="001F432F">
        <w:rPr>
          <w:rFonts w:eastAsia="宋体"/>
        </w:rPr>
        <w:tab/>
      </w:r>
      <w:r w:rsidRPr="001F432F">
        <w:rPr>
          <w:rFonts w:eastAsia="宋体"/>
        </w:rPr>
        <w:t>电子接口的用途</w:t>
      </w:r>
      <w:bookmarkEnd w:id="10"/>
    </w:p>
    <w:p w14:paraId="5B795D9C" w14:textId="128F085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作为器械设计的一部分，制造商应明确确定医疗器械上电子接口的用途，并在设计器械（包括电子接口）和开发器械说明时考虑该用途。有时，接口的用途包含在预期用途中，而其他</w:t>
      </w:r>
      <w:r w:rsidR="003E3184">
        <w:rPr>
          <w:rFonts w:eastAsia="宋体" w:hint="eastAsia"/>
          <w:color w:val="000000"/>
          <w:sz w:val="24"/>
          <w:szCs w:val="24"/>
        </w:rPr>
        <w:t>情况</w:t>
      </w:r>
      <w:r w:rsidRPr="001F432F">
        <w:rPr>
          <w:rFonts w:eastAsia="宋体"/>
          <w:color w:val="000000"/>
          <w:sz w:val="24"/>
          <w:szCs w:val="24"/>
        </w:rPr>
        <w:t>，接口</w:t>
      </w:r>
      <w:r w:rsidR="003E3184" w:rsidRPr="001F432F">
        <w:rPr>
          <w:rFonts w:eastAsia="宋体"/>
          <w:color w:val="000000"/>
          <w:sz w:val="24"/>
          <w:szCs w:val="24"/>
        </w:rPr>
        <w:t>发挥</w:t>
      </w:r>
      <w:r w:rsidR="003E3184">
        <w:rPr>
          <w:rFonts w:eastAsia="宋体" w:hint="eastAsia"/>
          <w:color w:val="000000"/>
          <w:sz w:val="24"/>
          <w:szCs w:val="24"/>
        </w:rPr>
        <w:t>很小</w:t>
      </w:r>
      <w:r w:rsidRPr="001F432F">
        <w:rPr>
          <w:rFonts w:eastAsia="宋体"/>
          <w:color w:val="000000"/>
          <w:sz w:val="24"/>
          <w:szCs w:val="24"/>
        </w:rPr>
        <w:t>的用途，</w:t>
      </w:r>
      <w:r w:rsidR="003E3184">
        <w:rPr>
          <w:rFonts w:eastAsia="宋体" w:hint="eastAsia"/>
          <w:color w:val="000000"/>
          <w:sz w:val="24"/>
          <w:szCs w:val="24"/>
        </w:rPr>
        <w:t>因此</w:t>
      </w:r>
      <w:r w:rsidRPr="001F432F">
        <w:rPr>
          <w:rFonts w:eastAsia="宋体"/>
          <w:color w:val="000000"/>
          <w:sz w:val="24"/>
          <w:szCs w:val="24"/>
        </w:rPr>
        <w:t>不包含在预期用途中。</w:t>
      </w:r>
    </w:p>
    <w:p w14:paraId="5A09004A" w14:textId="77777777" w:rsidR="00CE6F56" w:rsidRPr="001F432F" w:rsidRDefault="00CE6F56" w:rsidP="00FE4CD1">
      <w:pPr>
        <w:shd w:val="clear" w:color="auto" w:fill="FFFFFF"/>
        <w:snapToGrid w:val="0"/>
        <w:jc w:val="both"/>
        <w:rPr>
          <w:rFonts w:eastAsia="宋体"/>
          <w:sz w:val="24"/>
          <w:szCs w:val="24"/>
        </w:rPr>
      </w:pPr>
    </w:p>
    <w:p w14:paraId="265CEFD3" w14:textId="143FB4D2"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在设计医疗器械的电子接口时，制造商应考虑实现接口用途所需的互操作性级别</w:t>
      </w:r>
      <w:r w:rsidRPr="001F432F">
        <w:rPr>
          <w:rStyle w:val="a9"/>
          <w:rFonts w:eastAsia="宋体"/>
          <w:sz w:val="24"/>
          <w:szCs w:val="24"/>
        </w:rPr>
        <w:footnoteReference w:id="3"/>
      </w:r>
      <w:r w:rsidRPr="001F432F">
        <w:rPr>
          <w:rFonts w:eastAsia="宋体"/>
          <w:color w:val="000000"/>
          <w:sz w:val="24"/>
          <w:szCs w:val="24"/>
        </w:rPr>
        <w:t>，以及描述接口所需的信息。</w:t>
      </w:r>
      <w:r w:rsidR="00292998">
        <w:rPr>
          <w:rFonts w:eastAsia="宋体" w:hint="eastAsia"/>
          <w:color w:val="000000"/>
          <w:sz w:val="24"/>
          <w:szCs w:val="24"/>
        </w:rPr>
        <w:t>标记</w:t>
      </w:r>
      <w:r w:rsidRPr="001F432F">
        <w:rPr>
          <w:rFonts w:eastAsia="宋体"/>
          <w:color w:val="000000"/>
          <w:sz w:val="24"/>
          <w:szCs w:val="24"/>
        </w:rPr>
        <w:t>应足够详细，以允许</w:t>
      </w:r>
      <w:r w:rsidR="004826CF">
        <w:rPr>
          <w:rFonts w:eastAsia="宋体"/>
          <w:color w:val="000000"/>
          <w:sz w:val="24"/>
          <w:szCs w:val="24"/>
        </w:rPr>
        <w:t>预期用户</w:t>
      </w:r>
      <w:r w:rsidRPr="001F432F">
        <w:rPr>
          <w:rFonts w:eastAsia="宋体"/>
          <w:color w:val="000000"/>
          <w:sz w:val="24"/>
          <w:szCs w:val="24"/>
        </w:rPr>
        <w:t>按预期连接并使用医疗器械和接口。</w:t>
      </w:r>
    </w:p>
    <w:p w14:paraId="56693C6E" w14:textId="77777777" w:rsidR="00CE6F56" w:rsidRPr="001F432F" w:rsidRDefault="00CE6F56" w:rsidP="00FE4CD1">
      <w:pPr>
        <w:shd w:val="clear" w:color="auto" w:fill="FFFFFF"/>
        <w:snapToGrid w:val="0"/>
        <w:jc w:val="both"/>
        <w:rPr>
          <w:rFonts w:eastAsia="宋体"/>
          <w:sz w:val="24"/>
          <w:szCs w:val="24"/>
        </w:rPr>
      </w:pPr>
    </w:p>
    <w:p w14:paraId="1E402C71"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不同类型的电子接口的设计考虑事项可能有所不同。与向信息系统传递信息的接口相比，预期为了同步目的而传递电脉冲的接口有不同的要求。在设计器械的电子接口时应考虑的要素包括但不限于以下内容：</w:t>
      </w:r>
    </w:p>
    <w:p w14:paraId="1EF5B4C8"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p>
    <w:p w14:paraId="53252C4E" w14:textId="421B886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003E3184">
        <w:rPr>
          <w:rFonts w:eastAsia="宋体" w:hint="eastAsia"/>
          <w:color w:val="000000"/>
          <w:sz w:val="24"/>
          <w:szCs w:val="24"/>
        </w:rPr>
        <w:t>预期</w:t>
      </w:r>
      <w:r w:rsidRPr="001F432F">
        <w:rPr>
          <w:rFonts w:eastAsia="宋体"/>
          <w:color w:val="000000"/>
          <w:sz w:val="24"/>
          <w:szCs w:val="24"/>
        </w:rPr>
        <w:t>连接的器械类型；</w:t>
      </w:r>
    </w:p>
    <w:p w14:paraId="54218965" w14:textId="77777777" w:rsidR="00CE6F56" w:rsidRPr="001F432F" w:rsidRDefault="00CE6F56" w:rsidP="00FE4CD1">
      <w:pPr>
        <w:shd w:val="clear" w:color="auto" w:fill="FFFFFF"/>
        <w:tabs>
          <w:tab w:val="left" w:pos="360"/>
        </w:tabs>
        <w:snapToGrid w:val="0"/>
        <w:jc w:val="both"/>
        <w:rPr>
          <w:rFonts w:eastAsia="宋体"/>
          <w:sz w:val="24"/>
          <w:szCs w:val="24"/>
        </w:rPr>
      </w:pPr>
    </w:p>
    <w:p w14:paraId="25A0D876" w14:textId="77777777" w:rsidR="00CE6F56" w:rsidRPr="001F432F" w:rsidRDefault="00CE6F56" w:rsidP="00FE4CD1">
      <w:pPr>
        <w:shd w:val="clear" w:color="auto" w:fill="FFFFFF"/>
        <w:tabs>
          <w:tab w:val="left" w:pos="360"/>
        </w:tabs>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269CE882"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lastRenderedPageBreak/>
        <w:t>•</w:t>
      </w:r>
      <w:r w:rsidRPr="001F432F">
        <w:rPr>
          <w:rFonts w:eastAsia="宋体"/>
          <w:color w:val="000000"/>
          <w:sz w:val="24"/>
          <w:szCs w:val="24"/>
        </w:rPr>
        <w:tab/>
      </w:r>
      <w:r w:rsidRPr="001F432F">
        <w:rPr>
          <w:rFonts w:eastAsia="宋体"/>
          <w:color w:val="000000"/>
          <w:sz w:val="24"/>
          <w:szCs w:val="24"/>
        </w:rPr>
        <w:t>发生的数据交换的类型（例如，发送、接收、发出命令和控制）；</w:t>
      </w:r>
    </w:p>
    <w:p w14:paraId="6C907B32"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标准的使用（例如，数据格式、传输、接口标准、标准术语）；</w:t>
      </w:r>
    </w:p>
    <w:p w14:paraId="7DD3214D"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时间同步的需求</w:t>
      </w:r>
      <w:r w:rsidRPr="001F432F">
        <w:rPr>
          <w:rStyle w:val="a9"/>
          <w:rFonts w:eastAsia="宋体"/>
          <w:sz w:val="24"/>
          <w:szCs w:val="24"/>
        </w:rPr>
        <w:footnoteReference w:id="4"/>
      </w:r>
      <w:r w:rsidRPr="001F432F">
        <w:rPr>
          <w:rFonts w:eastAsia="宋体"/>
          <w:color w:val="000000"/>
          <w:sz w:val="24"/>
          <w:szCs w:val="24"/>
        </w:rPr>
        <w:t>；</w:t>
      </w:r>
    </w:p>
    <w:p w14:paraId="27B175CB"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数据传输的方法；</w:t>
      </w:r>
    </w:p>
    <w:p w14:paraId="5E00B919" w14:textId="58C91333"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00C11BF9">
        <w:rPr>
          <w:rFonts w:eastAsia="宋体" w:hint="eastAsia"/>
          <w:color w:val="000000"/>
          <w:sz w:val="24"/>
          <w:szCs w:val="24"/>
        </w:rPr>
        <w:t>数据</w:t>
      </w:r>
      <w:r w:rsidRPr="001F432F">
        <w:rPr>
          <w:rFonts w:eastAsia="宋体"/>
          <w:color w:val="000000"/>
          <w:sz w:val="24"/>
          <w:szCs w:val="24"/>
        </w:rPr>
        <w:t>必</w:t>
      </w:r>
      <w:r w:rsidR="00C11BF9">
        <w:rPr>
          <w:rFonts w:eastAsia="宋体" w:hint="eastAsia"/>
          <w:color w:val="000000"/>
          <w:sz w:val="24"/>
          <w:szCs w:val="24"/>
        </w:rPr>
        <w:t>需</w:t>
      </w:r>
      <w:r w:rsidRPr="001F432F">
        <w:rPr>
          <w:rFonts w:eastAsia="宋体"/>
          <w:color w:val="000000"/>
          <w:sz w:val="24"/>
          <w:szCs w:val="24"/>
        </w:rPr>
        <w:t>的及时性和可靠性（如取样率、传输率）；</w:t>
      </w:r>
    </w:p>
    <w:p w14:paraId="5CC9D171"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使用者在使用电子接口时应做或不应做的事，包括使用交换信息的禁忌症、警告及注意事项；</w:t>
      </w:r>
    </w:p>
    <w:p w14:paraId="4574C254"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在接口中使用交换信息的临床背景，例如用于在重症监护病房中将麻醉剂输送给镇静患者的输液泵；</w:t>
      </w:r>
    </w:p>
    <w:p w14:paraId="2B4FE809"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使用接口的互操作性场景，例如，制造商如何预期被使用的接口。例如，在一项新生儿</w:t>
      </w:r>
      <w:r w:rsidRPr="001F432F">
        <w:rPr>
          <w:rFonts w:eastAsia="宋体"/>
          <w:color w:val="000000"/>
          <w:sz w:val="24"/>
          <w:szCs w:val="24"/>
        </w:rPr>
        <w:t>8</w:t>
      </w:r>
      <w:r w:rsidRPr="001F432F">
        <w:rPr>
          <w:rFonts w:eastAsia="宋体"/>
          <w:color w:val="000000"/>
          <w:sz w:val="24"/>
          <w:szCs w:val="24"/>
        </w:rPr>
        <w:t>小时研究中，将脉搏血氧仪的接口用于把数据发送到计算机系统以评估睡眠情况。计算机系统也从心电图中收集信息。因此，脉搏血氧仪和心电图的信息需要时间同步，并以特定的速率采集数据。了解这个场景可以证明对特定功能的需求；</w:t>
      </w:r>
    </w:p>
    <w:p w14:paraId="33855ABE"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006E19D0">
        <w:rPr>
          <w:rFonts w:eastAsia="宋体" w:hint="eastAsia"/>
          <w:color w:val="000000"/>
          <w:sz w:val="24"/>
          <w:szCs w:val="24"/>
        </w:rPr>
        <w:t>获取</w:t>
      </w:r>
      <w:r w:rsidRPr="001F432F">
        <w:rPr>
          <w:rFonts w:eastAsia="宋体"/>
          <w:color w:val="000000"/>
          <w:sz w:val="24"/>
          <w:szCs w:val="24"/>
        </w:rPr>
        <w:t>交换信息后该器械的功能和性能要求；</w:t>
      </w:r>
    </w:p>
    <w:p w14:paraId="1DF6EAB7" w14:textId="11431316"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通过应用程序编程接口（</w:t>
      </w:r>
      <w:r w:rsidRPr="001F432F">
        <w:rPr>
          <w:rFonts w:eastAsia="宋体"/>
          <w:color w:val="000000"/>
          <w:sz w:val="24"/>
          <w:szCs w:val="24"/>
        </w:rPr>
        <w:t>API</w:t>
      </w:r>
      <w:r w:rsidRPr="001F432F">
        <w:rPr>
          <w:rFonts w:eastAsia="宋体"/>
          <w:color w:val="000000"/>
          <w:sz w:val="24"/>
          <w:szCs w:val="24"/>
        </w:rPr>
        <w:t>）的预期信息流或信息交换，</w:t>
      </w:r>
      <w:r w:rsidR="006E19D0">
        <w:rPr>
          <w:rFonts w:eastAsia="宋体" w:hint="eastAsia"/>
          <w:color w:val="000000"/>
          <w:sz w:val="24"/>
          <w:szCs w:val="24"/>
        </w:rPr>
        <w:t>需考虑</w:t>
      </w:r>
      <w:r w:rsidRPr="001F432F">
        <w:rPr>
          <w:rFonts w:eastAsia="宋体"/>
          <w:color w:val="000000"/>
          <w:sz w:val="24"/>
          <w:szCs w:val="24"/>
        </w:rPr>
        <w:t>可接受和不可接受命令</w:t>
      </w:r>
      <w:r w:rsidR="006E19D0">
        <w:rPr>
          <w:rFonts w:eastAsia="宋体" w:hint="eastAsia"/>
          <w:color w:val="000000"/>
          <w:sz w:val="24"/>
          <w:szCs w:val="24"/>
        </w:rPr>
        <w:t>对接口的影响</w:t>
      </w:r>
      <w:r w:rsidRPr="001F432F">
        <w:rPr>
          <w:rFonts w:eastAsia="宋体"/>
          <w:color w:val="000000"/>
          <w:sz w:val="24"/>
          <w:szCs w:val="24"/>
        </w:rPr>
        <w:t>，以及</w:t>
      </w:r>
      <w:r w:rsidR="006E19D0">
        <w:rPr>
          <w:rFonts w:eastAsia="宋体" w:hint="eastAsia"/>
          <w:color w:val="000000"/>
          <w:sz w:val="24"/>
          <w:szCs w:val="24"/>
        </w:rPr>
        <w:t>该</w:t>
      </w:r>
      <w:r w:rsidRPr="001F432F">
        <w:rPr>
          <w:rFonts w:eastAsia="宋体"/>
          <w:color w:val="000000"/>
          <w:sz w:val="24"/>
          <w:szCs w:val="24"/>
        </w:rPr>
        <w:t>接口对器械安全性和有效性的影响；和</w:t>
      </w:r>
    </w:p>
    <w:p w14:paraId="24973118"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元数据的传输（例如，医疗器械唯一标识（</w:t>
      </w:r>
      <w:r w:rsidRPr="001F432F">
        <w:rPr>
          <w:rFonts w:eastAsia="宋体"/>
          <w:color w:val="000000"/>
          <w:sz w:val="24"/>
          <w:szCs w:val="24"/>
        </w:rPr>
        <w:t>UDI</w:t>
      </w:r>
      <w:r w:rsidRPr="001F432F">
        <w:rPr>
          <w:rFonts w:eastAsia="宋体"/>
          <w:color w:val="000000"/>
          <w:sz w:val="24"/>
          <w:szCs w:val="24"/>
        </w:rPr>
        <w:t>）、软件版本、配置、设置）。</w:t>
      </w:r>
    </w:p>
    <w:p w14:paraId="57432B8D" w14:textId="77777777" w:rsidR="00CE6F56" w:rsidRPr="001F432F" w:rsidRDefault="00CE6F56" w:rsidP="00CE6F56">
      <w:pPr>
        <w:shd w:val="clear" w:color="auto" w:fill="FFFFFF"/>
        <w:snapToGrid w:val="0"/>
        <w:ind w:leftChars="480" w:left="1275" w:hanging="315"/>
        <w:jc w:val="both"/>
        <w:rPr>
          <w:rFonts w:eastAsia="宋体"/>
          <w:sz w:val="21"/>
          <w:szCs w:val="21"/>
        </w:rPr>
      </w:pPr>
    </w:p>
    <w:p w14:paraId="46EAA527" w14:textId="77777777" w:rsidR="00CE6F56" w:rsidRPr="001F432F" w:rsidRDefault="00CE6F56" w:rsidP="004826CF">
      <w:pPr>
        <w:pStyle w:val="2"/>
        <w:spacing w:before="240" w:after="240"/>
        <w:rPr>
          <w:rFonts w:eastAsia="宋体"/>
        </w:rPr>
      </w:pPr>
      <w:bookmarkStart w:id="11" w:name="bookmark8"/>
      <w:bookmarkStart w:id="12" w:name="_Toc97485693"/>
      <w:r w:rsidRPr="001F432F">
        <w:rPr>
          <w:rFonts w:eastAsia="宋体"/>
        </w:rPr>
        <w:t>B</w:t>
      </w:r>
      <w:bookmarkEnd w:id="11"/>
      <w:r w:rsidRPr="001F432F">
        <w:rPr>
          <w:rFonts w:eastAsia="宋体"/>
        </w:rPr>
        <w:t>.</w:t>
      </w:r>
      <w:r w:rsidRPr="001F432F">
        <w:rPr>
          <w:rFonts w:eastAsia="宋体"/>
        </w:rPr>
        <w:tab/>
      </w:r>
      <w:r w:rsidR="004826CF">
        <w:rPr>
          <w:rFonts w:eastAsia="宋体"/>
        </w:rPr>
        <w:t>预期用户</w:t>
      </w:r>
      <w:bookmarkEnd w:id="12"/>
    </w:p>
    <w:p w14:paraId="32CE9658" w14:textId="36BF8F48" w:rsidR="00CE6F56" w:rsidRPr="001F432F" w:rsidRDefault="00080DCD" w:rsidP="00CE6F56">
      <w:pPr>
        <w:shd w:val="clear" w:color="auto" w:fill="FFFFFF"/>
        <w:snapToGrid w:val="0"/>
        <w:jc w:val="both"/>
        <w:rPr>
          <w:rFonts w:eastAsia="宋体"/>
          <w:sz w:val="24"/>
          <w:szCs w:val="24"/>
        </w:rPr>
      </w:pPr>
      <w:r w:rsidRPr="001F432F">
        <w:rPr>
          <w:rFonts w:eastAsia="宋体"/>
          <w:color w:val="000000"/>
          <w:sz w:val="24"/>
          <w:szCs w:val="24"/>
        </w:rPr>
        <w:t>确定电子接口的</w:t>
      </w:r>
      <w:r>
        <w:rPr>
          <w:rFonts w:eastAsia="宋体"/>
          <w:color w:val="000000"/>
          <w:sz w:val="24"/>
          <w:szCs w:val="24"/>
        </w:rPr>
        <w:t>预期用户</w:t>
      </w:r>
      <w:r>
        <w:rPr>
          <w:rFonts w:eastAsia="宋体" w:hint="eastAsia"/>
          <w:color w:val="000000"/>
          <w:sz w:val="24"/>
          <w:szCs w:val="24"/>
        </w:rPr>
        <w:t>和</w:t>
      </w:r>
      <w:r w:rsidR="00CE6F56" w:rsidRPr="001F432F">
        <w:rPr>
          <w:rFonts w:eastAsia="宋体"/>
          <w:color w:val="000000"/>
          <w:sz w:val="24"/>
          <w:szCs w:val="24"/>
        </w:rPr>
        <w:t>确定电子接口的用途</w:t>
      </w:r>
      <w:r>
        <w:rPr>
          <w:rFonts w:eastAsia="宋体" w:hint="eastAsia"/>
          <w:color w:val="000000"/>
          <w:sz w:val="24"/>
          <w:szCs w:val="24"/>
        </w:rPr>
        <w:t>同样重要</w:t>
      </w:r>
      <w:r w:rsidR="00FF2D89">
        <w:rPr>
          <w:rFonts w:eastAsia="宋体" w:hint="eastAsia"/>
          <w:color w:val="000000"/>
          <w:sz w:val="24"/>
          <w:szCs w:val="24"/>
        </w:rPr>
        <w:t>和</w:t>
      </w:r>
      <w:r w:rsidR="00CE6F56" w:rsidRPr="001F432F">
        <w:rPr>
          <w:rFonts w:eastAsia="宋体"/>
          <w:color w:val="000000"/>
          <w:sz w:val="24"/>
          <w:szCs w:val="24"/>
        </w:rPr>
        <w:t>。确定</w:t>
      </w:r>
      <w:r w:rsidR="004826CF">
        <w:rPr>
          <w:rFonts w:eastAsia="宋体"/>
          <w:color w:val="000000"/>
          <w:sz w:val="24"/>
          <w:szCs w:val="24"/>
        </w:rPr>
        <w:t>预期用户</w:t>
      </w:r>
      <w:r w:rsidR="00CE6F56" w:rsidRPr="001F432F">
        <w:rPr>
          <w:rFonts w:eastAsia="宋体"/>
          <w:color w:val="000000"/>
          <w:sz w:val="24"/>
          <w:szCs w:val="24"/>
        </w:rPr>
        <w:t>将有助于适当应用风险管理策略，如制定适当的使用说明和设置器械使用限制，包括禁忌症、警告和注意事项。制造商应</w:t>
      </w:r>
      <w:r>
        <w:rPr>
          <w:rFonts w:eastAsia="宋体" w:hint="eastAsia"/>
          <w:color w:val="000000"/>
          <w:sz w:val="24"/>
          <w:szCs w:val="24"/>
        </w:rPr>
        <w:t>识别</w:t>
      </w:r>
      <w:r w:rsidR="00CE6F56" w:rsidRPr="001F432F">
        <w:rPr>
          <w:rFonts w:eastAsia="宋体"/>
          <w:color w:val="000000"/>
          <w:sz w:val="24"/>
          <w:szCs w:val="24"/>
        </w:rPr>
        <w:t>其器械</w:t>
      </w:r>
      <w:r>
        <w:rPr>
          <w:rFonts w:eastAsia="宋体" w:hint="eastAsia"/>
          <w:color w:val="000000"/>
          <w:sz w:val="24"/>
          <w:szCs w:val="24"/>
        </w:rPr>
        <w:t>的</w:t>
      </w:r>
      <w:r w:rsidR="004826CF">
        <w:rPr>
          <w:rFonts w:eastAsia="宋体"/>
          <w:color w:val="000000"/>
          <w:sz w:val="24"/>
          <w:szCs w:val="24"/>
        </w:rPr>
        <w:t>预期用户</w:t>
      </w:r>
      <w:r w:rsidR="00CE6F56" w:rsidRPr="001F432F">
        <w:rPr>
          <w:rFonts w:eastAsia="宋体"/>
          <w:color w:val="000000"/>
          <w:sz w:val="24"/>
          <w:szCs w:val="24"/>
        </w:rPr>
        <w:t>，以及器械预期如何在互操作性系统中</w:t>
      </w:r>
      <w:r>
        <w:rPr>
          <w:rFonts w:eastAsia="宋体" w:hint="eastAsia"/>
          <w:color w:val="000000"/>
          <w:sz w:val="24"/>
          <w:szCs w:val="24"/>
        </w:rPr>
        <w:t>被</w:t>
      </w:r>
      <w:r w:rsidR="00CE6F56" w:rsidRPr="001F432F">
        <w:rPr>
          <w:rFonts w:eastAsia="宋体"/>
          <w:color w:val="000000"/>
          <w:sz w:val="24"/>
          <w:szCs w:val="24"/>
        </w:rPr>
        <w:t>使用。制造商应提供足够的信息，以便</w:t>
      </w:r>
      <w:r w:rsidR="004826CF">
        <w:rPr>
          <w:rFonts w:eastAsia="宋体"/>
          <w:color w:val="000000"/>
          <w:sz w:val="24"/>
          <w:szCs w:val="24"/>
        </w:rPr>
        <w:t>预期用户</w:t>
      </w:r>
      <w:r w:rsidR="00CE6F56" w:rsidRPr="001F432F">
        <w:rPr>
          <w:rFonts w:eastAsia="宋体"/>
          <w:color w:val="000000"/>
          <w:sz w:val="24"/>
          <w:szCs w:val="24"/>
        </w:rPr>
        <w:t>能够安全有效地使用电子接口。不同类型的使用者可能需要不同的信息。例如：</w:t>
      </w:r>
    </w:p>
    <w:p w14:paraId="3A6A8B41" w14:textId="77777777" w:rsidR="00CE6F56" w:rsidRPr="001F432F" w:rsidRDefault="00CE6F56" w:rsidP="00FE4CD1">
      <w:pPr>
        <w:shd w:val="clear" w:color="auto" w:fill="FFFFFF"/>
        <w:snapToGrid w:val="0"/>
        <w:jc w:val="both"/>
        <w:rPr>
          <w:rFonts w:eastAsia="宋体"/>
          <w:sz w:val="24"/>
          <w:szCs w:val="24"/>
        </w:rPr>
      </w:pPr>
    </w:p>
    <w:p w14:paraId="246D1BED" w14:textId="77777777" w:rsidR="00CE6F56" w:rsidRPr="001F432F" w:rsidRDefault="00CE6F56" w:rsidP="00FE4CD1">
      <w:pPr>
        <w:shd w:val="clear" w:color="auto" w:fill="FFFFFF"/>
        <w:snapToGrid w:val="0"/>
        <w:jc w:val="both"/>
        <w:rPr>
          <w:rFonts w:eastAsia="宋体"/>
          <w:sz w:val="24"/>
          <w:szCs w:val="24"/>
        </w:rPr>
      </w:pPr>
    </w:p>
    <w:p w14:paraId="08D50860" w14:textId="77777777" w:rsidR="00CE6F56" w:rsidRPr="001F432F" w:rsidRDefault="00CE6F56" w:rsidP="00FE4CD1">
      <w:pPr>
        <w:shd w:val="clear" w:color="auto" w:fill="FFFFFF"/>
        <w:snapToGrid w:val="0"/>
        <w:jc w:val="both"/>
        <w:rPr>
          <w:rFonts w:eastAsia="宋体"/>
          <w:sz w:val="24"/>
          <w:szCs w:val="24"/>
        </w:rPr>
      </w:pPr>
    </w:p>
    <w:p w14:paraId="6FAF03F8" w14:textId="77777777" w:rsidR="00CE6F56" w:rsidRPr="001F432F" w:rsidRDefault="00CE6F56" w:rsidP="00FE4CD1">
      <w:pPr>
        <w:shd w:val="clear" w:color="auto" w:fill="FFFFFF"/>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28382AAB" w14:textId="0C3825DE"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lastRenderedPageBreak/>
        <w:t>•</w:t>
      </w:r>
      <w:r w:rsidRPr="001F432F">
        <w:rPr>
          <w:rFonts w:eastAsia="宋体"/>
          <w:color w:val="000000"/>
          <w:sz w:val="24"/>
          <w:szCs w:val="24"/>
        </w:rPr>
        <w:tab/>
      </w:r>
      <w:r w:rsidRPr="001F432F">
        <w:rPr>
          <w:rFonts w:eastAsia="宋体"/>
          <w:color w:val="000000"/>
          <w:sz w:val="24"/>
          <w:szCs w:val="24"/>
        </w:rPr>
        <w:t>使用者、操作员和临床医生需要了解与使用环境和</w:t>
      </w:r>
      <w:r w:rsidR="00080DCD">
        <w:rPr>
          <w:rFonts w:eastAsia="宋体" w:hint="eastAsia"/>
          <w:color w:val="000000"/>
          <w:sz w:val="24"/>
          <w:szCs w:val="24"/>
        </w:rPr>
        <w:t>预期</w:t>
      </w:r>
      <w:r w:rsidRPr="001F432F">
        <w:rPr>
          <w:rFonts w:eastAsia="宋体"/>
          <w:color w:val="000000"/>
          <w:sz w:val="24"/>
          <w:szCs w:val="24"/>
        </w:rPr>
        <w:t>临床任务相关的临床</w:t>
      </w:r>
      <w:r w:rsidR="00080DCD">
        <w:rPr>
          <w:rFonts w:eastAsia="宋体" w:hint="eastAsia"/>
          <w:color w:val="000000"/>
          <w:sz w:val="24"/>
          <w:szCs w:val="24"/>
        </w:rPr>
        <w:t>应用</w:t>
      </w:r>
      <w:r w:rsidRPr="001F432F">
        <w:rPr>
          <w:rFonts w:eastAsia="宋体"/>
          <w:color w:val="000000"/>
          <w:sz w:val="24"/>
          <w:szCs w:val="24"/>
        </w:rPr>
        <w:t>和潜在风险；</w:t>
      </w:r>
    </w:p>
    <w:p w14:paraId="0DC9B96A"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器械维护人员和医院临床工程师需要知道应采取什么措施来验证正确的配置和操作。他们需要确保系统按规定发挥功能；</w:t>
      </w:r>
    </w:p>
    <w:p w14:paraId="0EDAE270"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t>IT</w:t>
      </w:r>
      <w:r w:rsidRPr="001F432F">
        <w:rPr>
          <w:rFonts w:eastAsia="宋体"/>
          <w:color w:val="000000"/>
          <w:sz w:val="24"/>
          <w:szCs w:val="24"/>
        </w:rPr>
        <w:t>专业人员需要了解连接到他们维护和运营的网络的器械的性能需求和安全要求；</w:t>
      </w:r>
    </w:p>
    <w:p w14:paraId="7E2DAEBC"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系统集成商，系统设计者和医疗器械设计者负责其系统或器械的安全有效运行，并需要了解他们使用的组件的功能，以便他们能够执行适当的风险管理和确认；和</w:t>
      </w:r>
    </w:p>
    <w:p w14:paraId="39957083" w14:textId="611170EA"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患者可能需要如何在家庭环境中使用其器械的具体说明。</w:t>
      </w:r>
    </w:p>
    <w:p w14:paraId="350A2224" w14:textId="77777777" w:rsidR="00CE6F56" w:rsidRPr="001F432F" w:rsidRDefault="00CE6F56" w:rsidP="00FE4CD1">
      <w:pPr>
        <w:shd w:val="clear" w:color="auto" w:fill="FFFFFF"/>
        <w:snapToGrid w:val="0"/>
        <w:jc w:val="both"/>
        <w:rPr>
          <w:rFonts w:eastAsia="宋体"/>
          <w:color w:val="000000"/>
          <w:sz w:val="24"/>
          <w:szCs w:val="24"/>
        </w:rPr>
      </w:pPr>
    </w:p>
    <w:p w14:paraId="60CC7CAB" w14:textId="5205DE63"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制造商在设计器械（包括电子接口）和开发器械说明时，都应考虑不同的使用者。这些考虑事项可能会影响制造商是</w:t>
      </w:r>
      <w:r w:rsidR="001A1842" w:rsidRPr="001F432F">
        <w:rPr>
          <w:rFonts w:eastAsia="宋体"/>
          <w:color w:val="000000"/>
          <w:sz w:val="24"/>
          <w:szCs w:val="24"/>
        </w:rPr>
        <w:t>限制</w:t>
      </w:r>
      <w:r w:rsidRPr="001F432F">
        <w:rPr>
          <w:rFonts w:eastAsia="宋体"/>
          <w:color w:val="000000"/>
          <w:sz w:val="24"/>
          <w:szCs w:val="24"/>
        </w:rPr>
        <w:t>器械的使用者，还是</w:t>
      </w:r>
      <w:r w:rsidR="001A1842">
        <w:rPr>
          <w:rFonts w:eastAsia="宋体" w:hint="eastAsia"/>
          <w:color w:val="000000"/>
          <w:sz w:val="24"/>
          <w:szCs w:val="24"/>
        </w:rPr>
        <w:t>对</w:t>
      </w:r>
      <w:r w:rsidRPr="001F432F">
        <w:rPr>
          <w:rFonts w:eastAsia="宋体"/>
          <w:color w:val="000000"/>
          <w:sz w:val="24"/>
          <w:szCs w:val="24"/>
        </w:rPr>
        <w:t>器械的使用方式</w:t>
      </w:r>
      <w:r w:rsidR="001A1842">
        <w:rPr>
          <w:rFonts w:eastAsia="宋体" w:hint="eastAsia"/>
          <w:color w:val="000000"/>
          <w:sz w:val="24"/>
          <w:szCs w:val="24"/>
        </w:rPr>
        <w:t>施加</w:t>
      </w:r>
      <w:r w:rsidR="001A1842" w:rsidRPr="001F432F">
        <w:rPr>
          <w:rFonts w:eastAsia="宋体"/>
          <w:color w:val="000000"/>
          <w:sz w:val="24"/>
          <w:szCs w:val="24"/>
        </w:rPr>
        <w:t>限制</w:t>
      </w:r>
      <w:r w:rsidRPr="001F432F">
        <w:rPr>
          <w:rFonts w:eastAsia="宋体"/>
          <w:color w:val="000000"/>
          <w:sz w:val="24"/>
          <w:szCs w:val="24"/>
        </w:rPr>
        <w:t>。为不同的使用者开发不同的说明可能有助于缓解风险。</w:t>
      </w:r>
    </w:p>
    <w:p w14:paraId="1FD791CD" w14:textId="77777777" w:rsidR="00CE6F56" w:rsidRPr="001F432F" w:rsidRDefault="00CE6F56" w:rsidP="00FE4CD1">
      <w:pPr>
        <w:shd w:val="clear" w:color="auto" w:fill="FFFFFF"/>
        <w:snapToGrid w:val="0"/>
        <w:jc w:val="both"/>
        <w:rPr>
          <w:rFonts w:eastAsia="宋体"/>
          <w:sz w:val="24"/>
          <w:szCs w:val="24"/>
        </w:rPr>
      </w:pPr>
    </w:p>
    <w:p w14:paraId="2C012B9B" w14:textId="766852B5"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制造商的风险管理策略应</w:t>
      </w:r>
      <w:r w:rsidR="001A1842">
        <w:rPr>
          <w:rFonts w:eastAsia="宋体" w:hint="eastAsia"/>
          <w:color w:val="000000"/>
          <w:sz w:val="24"/>
          <w:szCs w:val="24"/>
        </w:rPr>
        <w:t>考虑</w:t>
      </w:r>
      <w:r w:rsidRPr="001F432F">
        <w:rPr>
          <w:rFonts w:eastAsia="宋体"/>
          <w:color w:val="000000"/>
          <w:sz w:val="24"/>
          <w:szCs w:val="24"/>
        </w:rPr>
        <w:t>器械的</w:t>
      </w:r>
      <w:r w:rsidR="004826CF">
        <w:rPr>
          <w:rFonts w:eastAsia="宋体"/>
          <w:color w:val="000000"/>
          <w:sz w:val="24"/>
          <w:szCs w:val="24"/>
        </w:rPr>
        <w:t>预期用户</w:t>
      </w:r>
      <w:r w:rsidRPr="001F432F">
        <w:rPr>
          <w:rFonts w:eastAsia="宋体"/>
          <w:color w:val="000000"/>
          <w:sz w:val="24"/>
          <w:szCs w:val="24"/>
        </w:rPr>
        <w:t>、合理可预见的器械误用以及可能导致危险情况的</w:t>
      </w:r>
      <w:r w:rsidR="001A1842" w:rsidRPr="001F432F">
        <w:rPr>
          <w:rFonts w:eastAsia="宋体"/>
          <w:color w:val="000000"/>
          <w:sz w:val="24"/>
          <w:szCs w:val="24"/>
        </w:rPr>
        <w:t>合理可预见的</w:t>
      </w:r>
      <w:r w:rsidRPr="001F432F">
        <w:rPr>
          <w:rFonts w:eastAsia="宋体"/>
          <w:color w:val="000000"/>
          <w:sz w:val="24"/>
          <w:szCs w:val="24"/>
        </w:rPr>
        <w:t>事件</w:t>
      </w:r>
      <w:r w:rsidR="001A1842" w:rsidRPr="001F432F">
        <w:rPr>
          <w:rFonts w:eastAsia="宋体"/>
          <w:color w:val="000000"/>
          <w:sz w:val="24"/>
          <w:szCs w:val="24"/>
        </w:rPr>
        <w:t>组合</w:t>
      </w:r>
      <w:r w:rsidRPr="001F432F">
        <w:rPr>
          <w:rFonts w:eastAsia="宋体"/>
          <w:color w:val="000000"/>
          <w:sz w:val="24"/>
          <w:szCs w:val="24"/>
        </w:rPr>
        <w:t>相关的风险。然而，</w:t>
      </w:r>
      <w:r w:rsidRPr="001F432F">
        <w:rPr>
          <w:rFonts w:eastAsia="宋体"/>
          <w:color w:val="000000"/>
          <w:sz w:val="24"/>
          <w:szCs w:val="24"/>
        </w:rPr>
        <w:t>FDA</w:t>
      </w:r>
      <w:r w:rsidRPr="001F432F">
        <w:rPr>
          <w:rFonts w:eastAsia="宋体"/>
          <w:color w:val="000000"/>
          <w:sz w:val="24"/>
          <w:szCs w:val="24"/>
        </w:rPr>
        <w:t>认识到，制造商不</w:t>
      </w:r>
      <w:r w:rsidR="001A1842">
        <w:rPr>
          <w:rFonts w:eastAsia="宋体" w:hint="eastAsia"/>
          <w:color w:val="000000"/>
          <w:sz w:val="24"/>
          <w:szCs w:val="24"/>
        </w:rPr>
        <w:t>可</w:t>
      </w:r>
      <w:r w:rsidRPr="001F432F">
        <w:rPr>
          <w:rFonts w:eastAsia="宋体"/>
          <w:color w:val="000000"/>
          <w:sz w:val="24"/>
          <w:szCs w:val="24"/>
        </w:rPr>
        <w:t>能对接口目的以外的所有可能用途负责。基于合理可预见的使用和误用相关的风险，制造商可能</w:t>
      </w:r>
      <w:r w:rsidR="00227339">
        <w:rPr>
          <w:rFonts w:eastAsia="宋体" w:hint="eastAsia"/>
          <w:color w:val="000000"/>
          <w:sz w:val="24"/>
          <w:szCs w:val="24"/>
        </w:rPr>
        <w:t>更改</w:t>
      </w:r>
      <w:r w:rsidRPr="001F432F">
        <w:rPr>
          <w:rFonts w:eastAsia="宋体"/>
          <w:color w:val="000000"/>
          <w:sz w:val="24"/>
          <w:szCs w:val="24"/>
        </w:rPr>
        <w:t>器械的设计</w:t>
      </w:r>
      <w:r w:rsidR="00227339">
        <w:rPr>
          <w:rFonts w:eastAsia="宋体" w:hint="eastAsia"/>
          <w:color w:val="000000"/>
          <w:sz w:val="24"/>
          <w:szCs w:val="24"/>
        </w:rPr>
        <w:t>和</w:t>
      </w:r>
      <w:r w:rsidRPr="001F432F">
        <w:rPr>
          <w:rFonts w:eastAsia="宋体"/>
          <w:color w:val="000000"/>
          <w:sz w:val="24"/>
          <w:szCs w:val="24"/>
        </w:rPr>
        <w:t>预期的互操作性场景，或在器械</w:t>
      </w:r>
      <w:r w:rsidR="005E576D">
        <w:rPr>
          <w:rFonts w:eastAsia="宋体"/>
          <w:color w:val="000000"/>
          <w:sz w:val="24"/>
          <w:szCs w:val="24"/>
        </w:rPr>
        <w:t>标记</w:t>
      </w:r>
      <w:r w:rsidRPr="001F432F">
        <w:rPr>
          <w:rFonts w:eastAsia="宋体"/>
          <w:color w:val="000000"/>
          <w:sz w:val="24"/>
          <w:szCs w:val="24"/>
        </w:rPr>
        <w:t>中包含警告</w:t>
      </w:r>
      <w:r w:rsidR="00227339">
        <w:rPr>
          <w:rFonts w:eastAsia="宋体" w:hint="eastAsia"/>
          <w:color w:val="000000"/>
          <w:sz w:val="24"/>
          <w:szCs w:val="24"/>
        </w:rPr>
        <w:t>、</w:t>
      </w:r>
      <w:r w:rsidRPr="001F432F">
        <w:rPr>
          <w:rFonts w:eastAsia="宋体"/>
          <w:color w:val="000000"/>
          <w:sz w:val="24"/>
          <w:szCs w:val="24"/>
        </w:rPr>
        <w:t>注意事项或禁忌症，以将风险降低到可接受水平。</w:t>
      </w:r>
    </w:p>
    <w:p w14:paraId="43F2B3BF" w14:textId="77777777" w:rsidR="00CE6F56" w:rsidRPr="001F432F" w:rsidRDefault="00CE6F56" w:rsidP="00FE4CD1">
      <w:pPr>
        <w:shd w:val="clear" w:color="auto" w:fill="FFFFFF"/>
        <w:snapToGrid w:val="0"/>
        <w:jc w:val="both"/>
        <w:rPr>
          <w:rFonts w:eastAsia="宋体"/>
          <w:sz w:val="21"/>
          <w:szCs w:val="21"/>
        </w:rPr>
      </w:pPr>
    </w:p>
    <w:p w14:paraId="50E68971" w14:textId="77777777" w:rsidR="00CE6F56" w:rsidRPr="001F432F" w:rsidRDefault="00CE6F56" w:rsidP="004826CF">
      <w:pPr>
        <w:pStyle w:val="2"/>
        <w:spacing w:before="240" w:after="240"/>
        <w:rPr>
          <w:rFonts w:eastAsia="宋体"/>
        </w:rPr>
      </w:pPr>
      <w:bookmarkStart w:id="13" w:name="bookmark10"/>
      <w:bookmarkStart w:id="14" w:name="_Toc97485694"/>
      <w:r w:rsidRPr="001F432F">
        <w:rPr>
          <w:rFonts w:eastAsia="宋体"/>
        </w:rPr>
        <w:t>C</w:t>
      </w:r>
      <w:bookmarkEnd w:id="13"/>
      <w:r w:rsidRPr="001F432F">
        <w:rPr>
          <w:rFonts w:eastAsia="宋体"/>
        </w:rPr>
        <w:t>.</w:t>
      </w:r>
      <w:r w:rsidRPr="001F432F">
        <w:rPr>
          <w:rFonts w:eastAsia="宋体"/>
        </w:rPr>
        <w:tab/>
      </w:r>
      <w:r w:rsidRPr="001F432F">
        <w:rPr>
          <w:rFonts w:eastAsia="宋体"/>
        </w:rPr>
        <w:t>风险管理考虑事项</w:t>
      </w:r>
      <w:bookmarkEnd w:id="14"/>
    </w:p>
    <w:p w14:paraId="373392D6" w14:textId="11FE2D8D"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在医疗器械上包括电子接口可能会影响风险管理考虑事项，包括医疗器械</w:t>
      </w:r>
      <w:r w:rsidR="00227339">
        <w:rPr>
          <w:rFonts w:eastAsia="宋体" w:hint="eastAsia"/>
          <w:color w:val="000000"/>
          <w:sz w:val="24"/>
          <w:szCs w:val="24"/>
        </w:rPr>
        <w:t>、</w:t>
      </w:r>
      <w:r w:rsidRPr="001F432F">
        <w:rPr>
          <w:rFonts w:eastAsia="宋体"/>
          <w:color w:val="000000"/>
          <w:sz w:val="24"/>
          <w:szCs w:val="24"/>
        </w:rPr>
        <w:t>网络和其</w:t>
      </w:r>
      <w:r w:rsidR="00227339">
        <w:rPr>
          <w:rFonts w:eastAsia="宋体" w:hint="eastAsia"/>
          <w:color w:val="000000"/>
          <w:sz w:val="24"/>
          <w:szCs w:val="24"/>
        </w:rPr>
        <w:t>对接</w:t>
      </w:r>
      <w:r w:rsidRPr="001F432F">
        <w:rPr>
          <w:rFonts w:eastAsia="宋体"/>
          <w:color w:val="000000"/>
          <w:sz w:val="24"/>
          <w:szCs w:val="24"/>
        </w:rPr>
        <w:t>器械的安全性。应</w:t>
      </w:r>
      <w:r w:rsidR="00227339">
        <w:rPr>
          <w:rFonts w:eastAsia="宋体" w:hint="eastAsia"/>
          <w:color w:val="000000"/>
          <w:sz w:val="24"/>
          <w:szCs w:val="24"/>
        </w:rPr>
        <w:t>对</w:t>
      </w:r>
      <w:r w:rsidRPr="001F432F">
        <w:rPr>
          <w:rFonts w:eastAsia="宋体"/>
          <w:color w:val="000000"/>
          <w:sz w:val="24"/>
          <w:szCs w:val="24"/>
        </w:rPr>
        <w:t>有意和无意访问</w:t>
      </w:r>
      <w:r w:rsidR="00227339" w:rsidRPr="001F432F">
        <w:rPr>
          <w:rFonts w:eastAsia="宋体"/>
          <w:color w:val="000000"/>
          <w:sz w:val="24"/>
          <w:szCs w:val="24"/>
        </w:rPr>
        <w:t>接口医疗器械</w:t>
      </w:r>
      <w:r w:rsidRPr="001F432F">
        <w:rPr>
          <w:rFonts w:eastAsia="宋体"/>
          <w:color w:val="000000"/>
          <w:sz w:val="24"/>
          <w:szCs w:val="24"/>
        </w:rPr>
        <w:t>所造成的风险</w:t>
      </w:r>
      <w:r w:rsidR="00227339">
        <w:rPr>
          <w:rFonts w:eastAsia="宋体" w:hint="eastAsia"/>
          <w:color w:val="000000"/>
          <w:sz w:val="24"/>
          <w:szCs w:val="24"/>
        </w:rPr>
        <w:t>进行分析</w:t>
      </w:r>
      <w:r w:rsidRPr="001F432F">
        <w:rPr>
          <w:rFonts w:eastAsia="宋体"/>
          <w:color w:val="000000"/>
          <w:sz w:val="24"/>
          <w:szCs w:val="24"/>
        </w:rPr>
        <w:t>。</w:t>
      </w:r>
      <w:r w:rsidRPr="001F432F">
        <w:rPr>
          <w:rFonts w:eastAsia="宋体"/>
          <w:color w:val="000000"/>
          <w:sz w:val="24"/>
          <w:szCs w:val="24"/>
        </w:rPr>
        <w:t>FDA</w:t>
      </w:r>
      <w:r w:rsidRPr="001F432F">
        <w:rPr>
          <w:rFonts w:eastAsia="宋体"/>
          <w:color w:val="000000"/>
          <w:sz w:val="24"/>
          <w:szCs w:val="24"/>
        </w:rPr>
        <w:t>认识到，管理互操作性医疗器械包括平衡如何允许预期访问，同时实施安全功能以限制对医疗器械的非预期访问。</w:t>
      </w:r>
      <w:r w:rsidRPr="001F432F">
        <w:rPr>
          <w:rStyle w:val="a9"/>
          <w:rFonts w:eastAsia="宋体"/>
          <w:sz w:val="24"/>
          <w:szCs w:val="24"/>
        </w:rPr>
        <w:footnoteReference w:id="5"/>
      </w:r>
    </w:p>
    <w:p w14:paraId="5094ECF7" w14:textId="77777777" w:rsidR="00CE6F56" w:rsidRPr="001F432F" w:rsidRDefault="00CE6F56" w:rsidP="00FE4CD1">
      <w:pPr>
        <w:shd w:val="clear" w:color="auto" w:fill="FFFFFF"/>
        <w:snapToGrid w:val="0"/>
        <w:jc w:val="both"/>
        <w:rPr>
          <w:rFonts w:eastAsia="宋体"/>
          <w:sz w:val="24"/>
          <w:szCs w:val="24"/>
        </w:rPr>
      </w:pPr>
    </w:p>
    <w:p w14:paraId="7C5395AB" w14:textId="77777777" w:rsidR="00CE6F56" w:rsidRPr="001F432F" w:rsidRDefault="00CE6F56" w:rsidP="00FE4CD1">
      <w:pPr>
        <w:shd w:val="clear" w:color="auto" w:fill="FFFFFF"/>
        <w:snapToGrid w:val="0"/>
        <w:jc w:val="both"/>
        <w:rPr>
          <w:rFonts w:eastAsia="宋体"/>
          <w:sz w:val="24"/>
          <w:szCs w:val="24"/>
        </w:rPr>
      </w:pPr>
    </w:p>
    <w:p w14:paraId="2DA1CE70" w14:textId="77777777" w:rsidR="00CE6F56" w:rsidRPr="001F432F" w:rsidRDefault="00CE6F56" w:rsidP="00FE4CD1">
      <w:pPr>
        <w:shd w:val="clear" w:color="auto" w:fill="FFFFFF"/>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33796858"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lastRenderedPageBreak/>
        <w:t>FDA</w:t>
      </w:r>
      <w:r w:rsidRPr="001F432F">
        <w:rPr>
          <w:rFonts w:eastAsia="宋体"/>
          <w:color w:val="000000"/>
          <w:sz w:val="24"/>
          <w:szCs w:val="24"/>
        </w:rPr>
        <w:t>建议制造商在其风险管理方法中特别关注包含电子接口时引入的潜在危险、安全隐患和安全问题。例如，作为评价和设计流程的一部分，制造商应考虑以下事项：</w:t>
      </w:r>
    </w:p>
    <w:p w14:paraId="53A4C0A6" w14:textId="77777777" w:rsidR="00CE6F56" w:rsidRPr="001F432F" w:rsidRDefault="00CE6F56" w:rsidP="00FE4CD1">
      <w:pPr>
        <w:shd w:val="clear" w:color="auto" w:fill="FFFFFF"/>
        <w:tabs>
          <w:tab w:val="left" w:pos="1440"/>
        </w:tabs>
        <w:snapToGrid w:val="0"/>
        <w:jc w:val="both"/>
        <w:rPr>
          <w:rFonts w:eastAsia="宋体"/>
          <w:color w:val="000000"/>
          <w:sz w:val="24"/>
          <w:szCs w:val="24"/>
        </w:rPr>
      </w:pPr>
    </w:p>
    <w:p w14:paraId="727F817C"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接口的实施和使用是否会降低器械的基本安全或风险控制；</w:t>
      </w:r>
    </w:p>
    <w:p w14:paraId="20976271"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接口的实施和使用是否会降低</w:t>
      </w:r>
      <w:r w:rsidRPr="001F432F">
        <w:rPr>
          <w:rFonts w:eastAsia="宋体"/>
          <w:color w:val="000000"/>
          <w:sz w:val="24"/>
          <w:szCs w:val="24"/>
        </w:rPr>
        <w:t>IEC 60601-1</w:t>
      </w:r>
      <w:r w:rsidRPr="001F432F">
        <w:rPr>
          <w:rFonts w:eastAsia="宋体"/>
          <w:color w:val="000000"/>
          <w:sz w:val="24"/>
          <w:szCs w:val="24"/>
        </w:rPr>
        <w:t>中定义的器械的基本性能；</w:t>
      </w:r>
    </w:p>
    <w:p w14:paraId="6AA84E35"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设计中是否包含适当的安全功能；和</w:t>
      </w:r>
    </w:p>
    <w:p w14:paraId="55CD3A31"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器械是否具有处理已损坏或超出适当参数的数据的能力。</w:t>
      </w:r>
    </w:p>
    <w:p w14:paraId="3D3E5C11" w14:textId="77777777" w:rsidR="00CE6F56" w:rsidRPr="001F432F" w:rsidRDefault="00CE6F56" w:rsidP="00FE4CD1">
      <w:pPr>
        <w:shd w:val="clear" w:color="auto" w:fill="FFFFFF"/>
        <w:snapToGrid w:val="0"/>
        <w:jc w:val="both"/>
        <w:rPr>
          <w:rFonts w:eastAsia="宋体"/>
          <w:color w:val="000000"/>
          <w:sz w:val="24"/>
          <w:szCs w:val="24"/>
        </w:rPr>
      </w:pPr>
    </w:p>
    <w:p w14:paraId="1C5ED218"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请注意，此列表并非旨在全面列出制造商应针对其单个医疗器械解决的问题。制造商应自行评估并解决在风险管理活动中识别出的问题。</w:t>
      </w:r>
    </w:p>
    <w:p w14:paraId="7CAE94FE" w14:textId="77777777" w:rsidR="00CE6F56" w:rsidRPr="001F432F" w:rsidRDefault="00CE6F56" w:rsidP="00FE4CD1">
      <w:pPr>
        <w:shd w:val="clear" w:color="auto" w:fill="FFFFFF"/>
        <w:snapToGrid w:val="0"/>
        <w:jc w:val="both"/>
        <w:rPr>
          <w:rFonts w:eastAsia="宋体"/>
          <w:sz w:val="24"/>
          <w:szCs w:val="24"/>
        </w:rPr>
      </w:pPr>
    </w:p>
    <w:p w14:paraId="5096CFE8"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此外，现有的通信和互操作性标准可用于决定在电子接口的风险分析中应解决哪些问题或隐患。</w:t>
      </w:r>
    </w:p>
    <w:p w14:paraId="44B2C608" w14:textId="77777777" w:rsidR="00CE6F56" w:rsidRPr="001F432F" w:rsidRDefault="00CE6F56" w:rsidP="00FE4CD1">
      <w:pPr>
        <w:shd w:val="clear" w:color="auto" w:fill="FFFFFF"/>
        <w:snapToGrid w:val="0"/>
        <w:jc w:val="both"/>
        <w:rPr>
          <w:rFonts w:eastAsia="宋体"/>
          <w:sz w:val="24"/>
          <w:szCs w:val="24"/>
        </w:rPr>
      </w:pPr>
    </w:p>
    <w:p w14:paraId="1963F714" w14:textId="55582D59"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FDA</w:t>
      </w:r>
      <w:r w:rsidRPr="001F432F">
        <w:rPr>
          <w:rFonts w:eastAsia="宋体"/>
          <w:color w:val="000000"/>
          <w:sz w:val="24"/>
          <w:szCs w:val="24"/>
        </w:rPr>
        <w:t>认为，互操作性系统应在正常和故障条件下保持基本安全和基本性能。制造商设计</w:t>
      </w:r>
      <w:r w:rsidR="00365AA0">
        <w:rPr>
          <w:rFonts w:eastAsia="宋体" w:hint="eastAsia"/>
          <w:color w:val="000000"/>
          <w:sz w:val="24"/>
          <w:szCs w:val="24"/>
        </w:rPr>
        <w:t>的</w:t>
      </w:r>
      <w:r w:rsidRPr="001F432F">
        <w:rPr>
          <w:rFonts w:eastAsia="宋体"/>
          <w:color w:val="000000"/>
          <w:sz w:val="24"/>
          <w:szCs w:val="24"/>
        </w:rPr>
        <w:t>互操作性医疗器械，</w:t>
      </w:r>
      <w:r w:rsidR="00365AA0">
        <w:rPr>
          <w:rFonts w:eastAsia="宋体" w:hint="eastAsia"/>
          <w:color w:val="000000"/>
          <w:sz w:val="24"/>
          <w:szCs w:val="24"/>
        </w:rPr>
        <w:t>，应</w:t>
      </w:r>
      <w:r w:rsidRPr="001F432F">
        <w:rPr>
          <w:rFonts w:eastAsia="宋体"/>
          <w:color w:val="000000"/>
          <w:sz w:val="24"/>
          <w:szCs w:val="24"/>
        </w:rPr>
        <w:t>能够适当缓解与可能的错误场景相关的风险，例如：</w:t>
      </w:r>
      <w:r w:rsidRPr="001F432F">
        <w:rPr>
          <w:rStyle w:val="a9"/>
          <w:rFonts w:eastAsia="宋体"/>
          <w:sz w:val="24"/>
          <w:szCs w:val="24"/>
        </w:rPr>
        <w:t xml:space="preserve"> </w:t>
      </w:r>
      <w:r w:rsidRPr="001F432F">
        <w:rPr>
          <w:rStyle w:val="a9"/>
          <w:rFonts w:eastAsia="宋体"/>
          <w:sz w:val="24"/>
          <w:szCs w:val="24"/>
        </w:rPr>
        <w:footnoteReference w:id="6"/>
      </w:r>
    </w:p>
    <w:p w14:paraId="2B0A6966" w14:textId="77777777" w:rsidR="00CE6F56" w:rsidRPr="001F432F" w:rsidRDefault="00CE6F56" w:rsidP="00FE4CD1">
      <w:pPr>
        <w:shd w:val="clear" w:color="auto" w:fill="FFFFFF"/>
        <w:tabs>
          <w:tab w:val="left" w:pos="1440"/>
        </w:tabs>
        <w:snapToGrid w:val="0"/>
        <w:jc w:val="both"/>
        <w:rPr>
          <w:rFonts w:eastAsia="宋体"/>
          <w:color w:val="000000"/>
          <w:sz w:val="24"/>
          <w:szCs w:val="24"/>
        </w:rPr>
      </w:pPr>
    </w:p>
    <w:p w14:paraId="497A2B32"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直接或间接连接目标器械导致的失效或故障；</w:t>
      </w:r>
    </w:p>
    <w:p w14:paraId="6ED7FF64"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无效命令导致的失效或故障；</w:t>
      </w:r>
    </w:p>
    <w:p w14:paraId="6F6DA48C"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接收和处理错误的数据或命令导致的失效或故障；和</w:t>
      </w:r>
    </w:p>
    <w:p w14:paraId="5C4E8D90" w14:textId="77777777" w:rsidR="00CE6F56" w:rsidRPr="001F432F" w:rsidRDefault="00CE6F56" w:rsidP="001F432F">
      <w:pPr>
        <w:shd w:val="clear" w:color="auto" w:fill="FFFFFF"/>
        <w:snapToGrid w:val="0"/>
        <w:ind w:leftChars="150" w:left="660" w:hangingChars="150" w:hanging="360"/>
        <w:jc w:val="both"/>
        <w:rPr>
          <w:rFonts w:eastAsia="宋体"/>
          <w:color w:val="000000"/>
          <w:sz w:val="24"/>
          <w:szCs w:val="24"/>
        </w:rPr>
      </w:pPr>
    </w:p>
    <w:p w14:paraId="4C99AD25" w14:textId="77777777" w:rsidR="00CE6F56" w:rsidRPr="001F432F" w:rsidRDefault="00CE6F56" w:rsidP="001F432F">
      <w:pPr>
        <w:shd w:val="clear" w:color="auto" w:fill="FFFFFF"/>
        <w:snapToGrid w:val="0"/>
        <w:ind w:leftChars="150" w:left="660" w:hangingChars="150" w:hanging="360"/>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由于不符合通信规范的非功能性要求而导致的失效或故障。对于非功能性要求，</w:t>
      </w:r>
      <w:r w:rsidRPr="001F432F">
        <w:rPr>
          <w:rFonts w:eastAsia="宋体"/>
          <w:color w:val="000000"/>
          <w:sz w:val="24"/>
          <w:szCs w:val="24"/>
        </w:rPr>
        <w:t>FDA</w:t>
      </w:r>
      <w:r w:rsidRPr="001F432F">
        <w:rPr>
          <w:rFonts w:eastAsia="宋体"/>
          <w:color w:val="000000"/>
          <w:sz w:val="24"/>
          <w:szCs w:val="24"/>
        </w:rPr>
        <w:t>参考了</w:t>
      </w:r>
      <w:r w:rsidRPr="001F432F">
        <w:rPr>
          <w:rFonts w:eastAsia="宋体"/>
          <w:color w:val="000000"/>
          <w:sz w:val="24"/>
          <w:szCs w:val="24"/>
        </w:rPr>
        <w:t>ASTM 2761-09</w:t>
      </w:r>
      <w:r w:rsidRPr="001F432F">
        <w:rPr>
          <w:rFonts w:eastAsia="宋体"/>
          <w:color w:val="000000"/>
          <w:sz w:val="24"/>
          <w:szCs w:val="24"/>
        </w:rPr>
        <w:t>（</w:t>
      </w:r>
      <w:r w:rsidRPr="001F432F">
        <w:rPr>
          <w:rFonts w:eastAsia="宋体"/>
          <w:color w:val="000000"/>
          <w:sz w:val="24"/>
          <w:szCs w:val="24"/>
        </w:rPr>
        <w:t>2013</w:t>
      </w:r>
      <w:r w:rsidRPr="001F432F">
        <w:rPr>
          <w:rFonts w:eastAsia="宋体"/>
          <w:color w:val="000000"/>
          <w:sz w:val="24"/>
          <w:szCs w:val="24"/>
        </w:rPr>
        <w:t>）中列出的示例（例如，带宽、延迟、时间同步）。</w:t>
      </w:r>
    </w:p>
    <w:p w14:paraId="3E944A7F" w14:textId="77777777" w:rsidR="00CE6F56" w:rsidRPr="001F432F" w:rsidRDefault="00CE6F56" w:rsidP="00FE4CD1">
      <w:pPr>
        <w:shd w:val="clear" w:color="auto" w:fill="FFFFFF"/>
        <w:snapToGrid w:val="0"/>
        <w:jc w:val="both"/>
        <w:rPr>
          <w:rFonts w:eastAsia="宋体"/>
          <w:color w:val="000000"/>
          <w:sz w:val="24"/>
          <w:szCs w:val="24"/>
        </w:rPr>
      </w:pPr>
    </w:p>
    <w:p w14:paraId="59FAACBF" w14:textId="32D088A6" w:rsidR="00CE6F56" w:rsidRPr="001F432F" w:rsidRDefault="00CE6F56" w:rsidP="00CE6F56">
      <w:pPr>
        <w:shd w:val="clear" w:color="auto" w:fill="FFFFFF"/>
        <w:snapToGrid w:val="0"/>
        <w:jc w:val="both"/>
        <w:rPr>
          <w:rFonts w:eastAsia="宋体"/>
          <w:sz w:val="24"/>
          <w:szCs w:val="24"/>
        </w:rPr>
      </w:pPr>
      <w:r w:rsidRPr="001F432F">
        <w:rPr>
          <w:rFonts w:eastAsia="宋体"/>
          <w:color w:val="000000"/>
          <w:sz w:val="24"/>
          <w:szCs w:val="24"/>
        </w:rPr>
        <w:t>医疗器械制造商应完成对其连接的风险评定，其中应考虑合理可预见的使用和误用。制造商应确保</w:t>
      </w:r>
      <w:r w:rsidR="00365AA0" w:rsidRPr="001F432F">
        <w:rPr>
          <w:rFonts w:eastAsia="宋体"/>
          <w:color w:val="000000"/>
          <w:sz w:val="24"/>
          <w:szCs w:val="24"/>
        </w:rPr>
        <w:t>风险</w:t>
      </w:r>
      <w:r w:rsidR="00365AA0">
        <w:rPr>
          <w:rFonts w:eastAsia="宋体" w:hint="eastAsia"/>
          <w:color w:val="000000"/>
          <w:sz w:val="24"/>
          <w:szCs w:val="24"/>
        </w:rPr>
        <w:t>已</w:t>
      </w:r>
      <w:r w:rsidRPr="001F432F">
        <w:rPr>
          <w:rFonts w:eastAsia="宋体"/>
          <w:color w:val="000000"/>
          <w:sz w:val="24"/>
          <w:szCs w:val="24"/>
        </w:rPr>
        <w:t>降低。对于包含多个医疗器械的复杂系统，识别和管理风险可能相当复杂。若要处理包含多个医疗器械的复杂系统，制造商应使用系统方法并应用本部分中列出的考虑事项。</w:t>
      </w:r>
    </w:p>
    <w:p w14:paraId="00C20796" w14:textId="77777777" w:rsidR="00CE6F56" w:rsidRPr="001F432F" w:rsidRDefault="00CE6F56" w:rsidP="00FE4CD1">
      <w:pPr>
        <w:shd w:val="clear" w:color="auto" w:fill="FFFFFF"/>
        <w:snapToGrid w:val="0"/>
        <w:jc w:val="both"/>
        <w:rPr>
          <w:rFonts w:eastAsia="宋体"/>
          <w:sz w:val="24"/>
          <w:szCs w:val="24"/>
        </w:rPr>
      </w:pPr>
    </w:p>
    <w:p w14:paraId="2EA9C40F" w14:textId="77777777" w:rsidR="00CE6F56" w:rsidRPr="001F432F" w:rsidRDefault="00CE6F56" w:rsidP="00FE4CD1">
      <w:pPr>
        <w:shd w:val="clear" w:color="auto" w:fill="FFFFFF"/>
        <w:snapToGrid w:val="0"/>
        <w:jc w:val="both"/>
        <w:rPr>
          <w:rFonts w:eastAsia="宋体"/>
          <w:sz w:val="24"/>
          <w:szCs w:val="24"/>
        </w:rPr>
      </w:pPr>
    </w:p>
    <w:p w14:paraId="41D340A0" w14:textId="77777777" w:rsidR="00CE6F56" w:rsidRPr="001F432F" w:rsidRDefault="00CE6F56" w:rsidP="00FE4CD1">
      <w:pPr>
        <w:shd w:val="clear" w:color="auto" w:fill="FFFFFF"/>
        <w:snapToGrid w:val="0"/>
        <w:jc w:val="both"/>
        <w:rPr>
          <w:rFonts w:eastAsia="宋体"/>
          <w:sz w:val="24"/>
          <w:szCs w:val="24"/>
        </w:rPr>
      </w:pPr>
    </w:p>
    <w:p w14:paraId="606322E9" w14:textId="77777777" w:rsidR="00CE6F56" w:rsidRPr="001F432F" w:rsidRDefault="00CE6F56" w:rsidP="00FE4CD1">
      <w:pPr>
        <w:shd w:val="clear" w:color="auto" w:fill="FFFFFF"/>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563F32A3" w14:textId="30DF1C0A"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lastRenderedPageBreak/>
        <w:t>作为符合</w:t>
      </w:r>
      <w:r w:rsidRPr="001F432F">
        <w:rPr>
          <w:rFonts w:eastAsia="宋体"/>
          <w:color w:val="000000"/>
          <w:sz w:val="24"/>
          <w:szCs w:val="24"/>
        </w:rPr>
        <w:t>21 CFR</w:t>
      </w:r>
      <w:r w:rsidRPr="001F432F">
        <w:rPr>
          <w:rFonts w:eastAsia="宋体"/>
          <w:color w:val="000000"/>
          <w:sz w:val="24"/>
          <w:szCs w:val="24"/>
        </w:rPr>
        <w:t>第</w:t>
      </w:r>
      <w:r w:rsidRPr="001F432F">
        <w:rPr>
          <w:rFonts w:eastAsia="宋体"/>
          <w:color w:val="000000"/>
          <w:sz w:val="24"/>
          <w:szCs w:val="24"/>
        </w:rPr>
        <w:t>820</w:t>
      </w:r>
      <w:r w:rsidRPr="001F432F">
        <w:rPr>
          <w:rFonts w:eastAsia="宋体"/>
          <w:color w:val="000000"/>
          <w:sz w:val="24"/>
          <w:szCs w:val="24"/>
        </w:rPr>
        <w:t>部分的风险管理过程的一部分，制造商应在医疗器械的整个生命周期中建立、记录和维护一个持续的过程，用于识别危险、估计和评价相关风险、控制这些风险以及监测控制措施的有效性。这一过程应包括风险分析、风险评价、风险控制以及生产和生产后信息的合并。</w:t>
      </w:r>
      <w:r w:rsidRPr="001F432F">
        <w:rPr>
          <w:rFonts w:eastAsia="宋体"/>
          <w:color w:val="000000"/>
          <w:sz w:val="24"/>
          <w:szCs w:val="24"/>
        </w:rPr>
        <w:t>FDA</w:t>
      </w:r>
      <w:r w:rsidRPr="001F432F">
        <w:rPr>
          <w:rFonts w:eastAsia="宋体"/>
          <w:color w:val="000000"/>
          <w:sz w:val="24"/>
          <w:szCs w:val="24"/>
        </w:rPr>
        <w:t>认识到，医疗器械互操作性是利益相关者之间的共同风险，包括医疗保健机构、患者、提供者和医疗器械制造商。制造商应有一个明确的流程，以系统地进行风险评价，并确定风险是可接受还是不可接受。本指南无法描述与医疗器械互操作性相关的所有危险和风险。一个示例是第三方非预期使用接口相关的风险。</w:t>
      </w:r>
      <w:r w:rsidRPr="001F432F">
        <w:rPr>
          <w:rFonts w:eastAsia="宋体"/>
          <w:color w:val="000000"/>
          <w:sz w:val="24"/>
          <w:szCs w:val="24"/>
        </w:rPr>
        <w:t>FDA</w:t>
      </w:r>
      <w:r w:rsidRPr="001F432F">
        <w:rPr>
          <w:rFonts w:eastAsia="宋体"/>
          <w:color w:val="000000"/>
          <w:sz w:val="24"/>
          <w:szCs w:val="24"/>
        </w:rPr>
        <w:t>建议制造商定义并记录在整个器械生命周期中客观评估其医疗器械的可预见使用和合理可预见误用</w:t>
      </w:r>
      <w:r w:rsidR="001E3026">
        <w:rPr>
          <w:rFonts w:eastAsia="宋体" w:hint="eastAsia"/>
          <w:color w:val="000000"/>
          <w:sz w:val="24"/>
          <w:szCs w:val="24"/>
        </w:rPr>
        <w:t>的</w:t>
      </w:r>
      <w:r w:rsidR="001E3026" w:rsidRPr="001F432F">
        <w:rPr>
          <w:rFonts w:eastAsia="宋体"/>
          <w:color w:val="000000"/>
          <w:sz w:val="24"/>
          <w:szCs w:val="24"/>
        </w:rPr>
        <w:t>流程</w:t>
      </w:r>
      <w:r w:rsidRPr="001F432F">
        <w:rPr>
          <w:rFonts w:eastAsia="宋体"/>
          <w:color w:val="000000"/>
          <w:sz w:val="24"/>
          <w:szCs w:val="24"/>
        </w:rPr>
        <w:t>。</w:t>
      </w:r>
    </w:p>
    <w:p w14:paraId="518689EE" w14:textId="77777777" w:rsidR="00CE6F56" w:rsidRPr="001F432F" w:rsidRDefault="00CE6F56" w:rsidP="004826CF">
      <w:pPr>
        <w:pStyle w:val="2"/>
        <w:spacing w:before="240" w:after="240"/>
        <w:rPr>
          <w:rFonts w:eastAsia="宋体"/>
        </w:rPr>
      </w:pPr>
      <w:bookmarkStart w:id="15" w:name="bookmark13"/>
      <w:bookmarkStart w:id="16" w:name="_Toc97485695"/>
      <w:r w:rsidRPr="001F432F">
        <w:rPr>
          <w:rFonts w:eastAsia="宋体"/>
        </w:rPr>
        <w:t>D</w:t>
      </w:r>
      <w:bookmarkEnd w:id="15"/>
      <w:r w:rsidRPr="001F432F">
        <w:rPr>
          <w:rFonts w:eastAsia="宋体"/>
        </w:rPr>
        <w:t>.</w:t>
      </w:r>
      <w:r w:rsidRPr="001F432F">
        <w:rPr>
          <w:rFonts w:eastAsia="宋体"/>
        </w:rPr>
        <w:tab/>
      </w:r>
      <w:r w:rsidRPr="001F432F">
        <w:rPr>
          <w:rFonts w:eastAsia="宋体"/>
        </w:rPr>
        <w:t>验证和确认考虑事项</w:t>
      </w:r>
      <w:bookmarkEnd w:id="16"/>
    </w:p>
    <w:p w14:paraId="31664CD3"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所需要的验证和确认将取决于与器械相关的风险等级、接口的用途、器械在目标系统中的预期用途以及器械的预期用途。</w:t>
      </w:r>
    </w:p>
    <w:p w14:paraId="3C9DFA91" w14:textId="77777777" w:rsidR="00CE6F56" w:rsidRPr="001F432F" w:rsidRDefault="00CE6F56" w:rsidP="00FE4CD1">
      <w:pPr>
        <w:shd w:val="clear" w:color="auto" w:fill="FFFFFF"/>
        <w:snapToGrid w:val="0"/>
        <w:jc w:val="both"/>
        <w:rPr>
          <w:rFonts w:eastAsia="宋体"/>
          <w:sz w:val="24"/>
          <w:szCs w:val="24"/>
        </w:rPr>
      </w:pPr>
    </w:p>
    <w:p w14:paraId="13A26432" w14:textId="7A436E64"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互操作性医疗器械应经过适当级别的测试，以证明电子接口上的交互按预期进行。医疗器械制造商应根据接口的用途测试电子接口，并应确保其符合预期规范。对于要与有限数量的特定器械配合使用的器械，进行</w:t>
      </w:r>
      <w:r w:rsidR="001E3026">
        <w:rPr>
          <w:rFonts w:eastAsia="宋体" w:hint="eastAsia"/>
          <w:color w:val="000000"/>
          <w:sz w:val="24"/>
          <w:szCs w:val="24"/>
        </w:rPr>
        <w:t>相关</w:t>
      </w:r>
      <w:r w:rsidRPr="001F432F">
        <w:rPr>
          <w:rFonts w:eastAsia="宋体"/>
          <w:color w:val="000000"/>
          <w:sz w:val="24"/>
          <w:szCs w:val="24"/>
        </w:rPr>
        <w:t>适当的测试，以证明这些联用特定器械的安全运行。对于要与多个器械配合使用的器械，可能适合针对接口规格和典型器械进行测试以完成验证。如果医疗器械将用作更大的互操作性系统的一部分，制造商应进行测试，以合理地保证医疗器械在按照其说明进行组装、安装和维护时能够继续安全有效地实现其预期用途。</w:t>
      </w:r>
    </w:p>
    <w:p w14:paraId="57EA8BA2" w14:textId="77777777" w:rsidR="00CE6F56" w:rsidRPr="001F432F" w:rsidRDefault="00CE6F56" w:rsidP="00FE4CD1">
      <w:pPr>
        <w:shd w:val="clear" w:color="auto" w:fill="FFFFFF"/>
        <w:snapToGrid w:val="0"/>
        <w:jc w:val="both"/>
        <w:rPr>
          <w:rFonts w:eastAsia="宋体"/>
          <w:sz w:val="24"/>
          <w:szCs w:val="24"/>
        </w:rPr>
      </w:pPr>
    </w:p>
    <w:p w14:paraId="5BFBABE7"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例如，制造商应：</w:t>
      </w:r>
    </w:p>
    <w:p w14:paraId="60FEA5E4" w14:textId="77777777" w:rsidR="00CE6F56" w:rsidRPr="001F432F" w:rsidRDefault="00CE6F56" w:rsidP="00FE4CD1">
      <w:pPr>
        <w:shd w:val="clear" w:color="auto" w:fill="FFFFFF"/>
        <w:snapToGrid w:val="0"/>
        <w:jc w:val="both"/>
        <w:rPr>
          <w:rFonts w:eastAsia="宋体"/>
          <w:sz w:val="24"/>
          <w:szCs w:val="24"/>
        </w:rPr>
      </w:pPr>
    </w:p>
    <w:p w14:paraId="242F0807"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验证并确认当数据损坏时，可以检测到数据并进行适当管理；</w:t>
      </w:r>
    </w:p>
    <w:p w14:paraId="3B53B31C"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执行测试以确保器械在以超出指定参数范围的方式接收数据时继续安全运行。确定如何或是否可以检测到这一点以及这将对系统的其他部分产生什么影响；</w:t>
      </w:r>
    </w:p>
    <w:p w14:paraId="150B065A" w14:textId="77777777" w:rsidR="00CE6F56" w:rsidRPr="001F432F" w:rsidRDefault="00CE6F56" w:rsidP="00FE4CD1">
      <w:pPr>
        <w:shd w:val="clear" w:color="auto" w:fill="FFFFFF"/>
        <w:tabs>
          <w:tab w:val="left" w:pos="1440"/>
        </w:tabs>
        <w:snapToGrid w:val="0"/>
        <w:jc w:val="both"/>
        <w:rPr>
          <w:rFonts w:eastAsia="宋体"/>
          <w:sz w:val="24"/>
          <w:szCs w:val="24"/>
        </w:rPr>
      </w:pPr>
    </w:p>
    <w:p w14:paraId="62FF619E" w14:textId="77777777" w:rsidR="00CE6F56" w:rsidRPr="001F432F" w:rsidRDefault="00CE6F56" w:rsidP="00FE4CD1">
      <w:pPr>
        <w:shd w:val="clear" w:color="auto" w:fill="FFFFFF"/>
        <w:tabs>
          <w:tab w:val="left" w:pos="1440"/>
        </w:tabs>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7A50C9B4"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lastRenderedPageBreak/>
        <w:t>•</w:t>
      </w:r>
      <w:r w:rsidRPr="001F432F">
        <w:rPr>
          <w:rFonts w:eastAsia="宋体"/>
          <w:color w:val="000000"/>
          <w:sz w:val="24"/>
          <w:szCs w:val="24"/>
        </w:rPr>
        <w:tab/>
      </w:r>
      <w:r w:rsidRPr="001F432F">
        <w:rPr>
          <w:rFonts w:eastAsia="宋体"/>
          <w:color w:val="000000"/>
          <w:sz w:val="24"/>
          <w:szCs w:val="24"/>
        </w:rPr>
        <w:t>实施容错设计并验证其性能；</w:t>
      </w:r>
    </w:p>
    <w:p w14:paraId="08570065"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为关键功能建立和指定故障安全状态（例如，传递能量，实时监测）；</w:t>
      </w:r>
    </w:p>
    <w:p w14:paraId="0CB6DBDD"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如果符合共识标准，则验证并确认设计是否符合标准中确定的目的和范围；</w:t>
      </w:r>
    </w:p>
    <w:p w14:paraId="5E1D7776"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验证只允许授权用户（个人、器械和系统）与互操作性医疗器械交换信息；</w:t>
      </w:r>
    </w:p>
    <w:p w14:paraId="2B7CE354"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确认用户界面。确定使用者能够正确地使用界面；</w:t>
      </w:r>
    </w:p>
    <w:p w14:paraId="7129D1D9"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确保合理可预见的相互作用不会导致其他网络化系统的不正确操作；以及</w:t>
      </w:r>
    </w:p>
    <w:p w14:paraId="6C6464D8"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进行模拟器械真实世界使用的测试。</w:t>
      </w:r>
    </w:p>
    <w:p w14:paraId="627DABC7" w14:textId="77777777" w:rsidR="00CE6F56" w:rsidRPr="001F432F" w:rsidRDefault="00CE6F56" w:rsidP="00FE4CD1">
      <w:pPr>
        <w:shd w:val="clear" w:color="auto" w:fill="FFFFFF"/>
        <w:snapToGrid w:val="0"/>
        <w:jc w:val="both"/>
        <w:rPr>
          <w:rFonts w:eastAsia="宋体"/>
          <w:color w:val="000000"/>
          <w:sz w:val="24"/>
          <w:szCs w:val="24"/>
        </w:rPr>
      </w:pPr>
    </w:p>
    <w:p w14:paraId="0A33CE22"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作为互操作性医疗器械规范的一部分，制造商还应考虑开发适当的测试场景，以允许使用者评估医疗器械在并入预期互操作性系统时是否保持了基本的安全性和有效性。</w:t>
      </w:r>
    </w:p>
    <w:p w14:paraId="0077A3DB" w14:textId="77777777" w:rsidR="00CE6F56" w:rsidRPr="001F432F" w:rsidRDefault="00CE6F56" w:rsidP="00FE4CD1">
      <w:pPr>
        <w:shd w:val="clear" w:color="auto" w:fill="FFFFFF"/>
        <w:snapToGrid w:val="0"/>
        <w:jc w:val="both"/>
        <w:rPr>
          <w:rFonts w:eastAsia="宋体"/>
          <w:sz w:val="24"/>
          <w:szCs w:val="24"/>
        </w:rPr>
      </w:pPr>
    </w:p>
    <w:p w14:paraId="08D5B033" w14:textId="07EEEC77" w:rsidR="00CE6F56" w:rsidRPr="001F432F" w:rsidRDefault="00CE6F56" w:rsidP="004826CF">
      <w:pPr>
        <w:pStyle w:val="2"/>
        <w:spacing w:before="240" w:after="240"/>
        <w:rPr>
          <w:rFonts w:eastAsia="宋体"/>
        </w:rPr>
      </w:pPr>
      <w:bookmarkStart w:id="17" w:name="bookmark14"/>
      <w:bookmarkStart w:id="18" w:name="_Toc97485696"/>
      <w:r w:rsidRPr="001F432F">
        <w:rPr>
          <w:rFonts w:eastAsia="宋体"/>
        </w:rPr>
        <w:t>E</w:t>
      </w:r>
      <w:bookmarkEnd w:id="17"/>
      <w:r w:rsidRPr="001F432F">
        <w:rPr>
          <w:rFonts w:eastAsia="宋体"/>
        </w:rPr>
        <w:t>.</w:t>
      </w:r>
      <w:r w:rsidRPr="001F432F">
        <w:rPr>
          <w:rFonts w:eastAsia="宋体"/>
        </w:rPr>
        <w:tab/>
      </w:r>
      <w:r w:rsidR="005E576D">
        <w:rPr>
          <w:rFonts w:eastAsia="宋体"/>
        </w:rPr>
        <w:t>标记</w:t>
      </w:r>
      <w:r w:rsidRPr="001F432F">
        <w:rPr>
          <w:rFonts w:eastAsia="宋体"/>
        </w:rPr>
        <w:t>考虑事项</w:t>
      </w:r>
      <w:bookmarkEnd w:id="18"/>
    </w:p>
    <w:p w14:paraId="08D54B61" w14:textId="5C1D286D"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降低风险和促进安全有效的医疗器械互操作性的一种方法是在</w:t>
      </w:r>
      <w:r w:rsidR="00292998">
        <w:rPr>
          <w:rFonts w:eastAsia="宋体" w:hint="eastAsia"/>
          <w:color w:val="000000"/>
          <w:sz w:val="24"/>
          <w:szCs w:val="24"/>
        </w:rPr>
        <w:t>标记</w:t>
      </w:r>
      <w:r w:rsidRPr="001F432F">
        <w:rPr>
          <w:rFonts w:eastAsia="宋体"/>
          <w:color w:val="000000"/>
          <w:sz w:val="24"/>
          <w:szCs w:val="24"/>
        </w:rPr>
        <w:t>中包括可用于将医疗器械与其他电子器械连接的电子接口的功能和性能要求。</w:t>
      </w:r>
      <w:r w:rsidRPr="001F432F">
        <w:rPr>
          <w:rStyle w:val="a9"/>
          <w:rFonts w:eastAsia="宋体"/>
          <w:sz w:val="24"/>
          <w:szCs w:val="24"/>
        </w:rPr>
        <w:t xml:space="preserve"> </w:t>
      </w:r>
      <w:r w:rsidRPr="001F432F">
        <w:rPr>
          <w:rStyle w:val="a9"/>
          <w:rFonts w:eastAsia="宋体"/>
          <w:sz w:val="24"/>
          <w:szCs w:val="24"/>
        </w:rPr>
        <w:footnoteReference w:id="7"/>
      </w:r>
      <w:r w:rsidRPr="001F432F">
        <w:rPr>
          <w:rFonts w:eastAsia="宋体"/>
          <w:color w:val="000000"/>
          <w:sz w:val="24"/>
          <w:szCs w:val="24"/>
        </w:rPr>
        <w:t xml:space="preserve"> </w:t>
      </w:r>
      <w:r w:rsidR="005E576D">
        <w:rPr>
          <w:rFonts w:eastAsia="宋体"/>
          <w:color w:val="000000"/>
          <w:sz w:val="24"/>
          <w:szCs w:val="24"/>
        </w:rPr>
        <w:t>标记</w:t>
      </w:r>
      <w:r w:rsidRPr="001F432F">
        <w:rPr>
          <w:rFonts w:eastAsia="宋体"/>
          <w:color w:val="000000"/>
          <w:sz w:val="24"/>
          <w:szCs w:val="24"/>
        </w:rPr>
        <w:t>选项可能包括器械包装内的材料、使用说明或制造商网站上发布的特定器械信息。制造商应根据</w:t>
      </w:r>
      <w:r w:rsidR="004826CF">
        <w:rPr>
          <w:rFonts w:eastAsia="宋体"/>
          <w:color w:val="000000"/>
          <w:sz w:val="24"/>
          <w:szCs w:val="24"/>
        </w:rPr>
        <w:t>预期用户</w:t>
      </w:r>
      <w:r w:rsidRPr="001F432F">
        <w:rPr>
          <w:rFonts w:eastAsia="宋体"/>
          <w:color w:val="000000"/>
          <w:sz w:val="24"/>
          <w:szCs w:val="24"/>
        </w:rPr>
        <w:t>和风险分析确定提供信息的适当方式。</w:t>
      </w:r>
    </w:p>
    <w:p w14:paraId="79B985B7" w14:textId="77777777" w:rsidR="00CE6F56" w:rsidRPr="001F432F" w:rsidRDefault="00CE6F56" w:rsidP="00CE6F56">
      <w:pPr>
        <w:shd w:val="clear" w:color="auto" w:fill="FFFFFF"/>
        <w:snapToGrid w:val="0"/>
        <w:jc w:val="both"/>
        <w:rPr>
          <w:rFonts w:eastAsia="宋体"/>
          <w:sz w:val="24"/>
          <w:szCs w:val="24"/>
        </w:rPr>
      </w:pPr>
    </w:p>
    <w:p w14:paraId="5D4BABE3" w14:textId="77777777" w:rsidR="00CE6F56" w:rsidRPr="001F432F" w:rsidRDefault="00CE6F56" w:rsidP="00FE4CD1">
      <w:pPr>
        <w:shd w:val="clear" w:color="auto" w:fill="FFFFFF"/>
        <w:snapToGrid w:val="0"/>
        <w:jc w:val="both"/>
        <w:rPr>
          <w:rFonts w:eastAsia="宋体"/>
          <w:sz w:val="21"/>
          <w:szCs w:val="21"/>
        </w:rPr>
        <w:sectPr w:rsidR="00CE6F56" w:rsidRPr="001F432F" w:rsidSect="00FE4CD1">
          <w:pgSz w:w="11906" w:h="16838"/>
          <w:pgMar w:top="1134" w:right="1417" w:bottom="1134" w:left="1417" w:header="850" w:footer="720" w:gutter="0"/>
          <w:cols w:space="60"/>
          <w:noEndnote/>
          <w:docGrid w:linePitch="272"/>
        </w:sectPr>
      </w:pPr>
    </w:p>
    <w:p w14:paraId="3B0E0300" w14:textId="38A6C921"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lastRenderedPageBreak/>
        <w:t>即使器械不需要进行上市前递交，第</w:t>
      </w:r>
      <w:r w:rsidRPr="001F432F">
        <w:rPr>
          <w:rFonts w:eastAsia="宋体"/>
          <w:color w:val="000000"/>
          <w:sz w:val="24"/>
          <w:szCs w:val="24"/>
        </w:rPr>
        <w:t>VI.D</w:t>
      </w:r>
      <w:r w:rsidRPr="001F432F">
        <w:rPr>
          <w:rFonts w:eastAsia="宋体"/>
          <w:color w:val="000000"/>
          <w:sz w:val="24"/>
          <w:szCs w:val="24"/>
        </w:rPr>
        <w:t>部分中的建议也可能有助于制定清晰的</w:t>
      </w:r>
      <w:r w:rsidR="005E576D">
        <w:rPr>
          <w:rFonts w:eastAsia="宋体"/>
          <w:color w:val="000000"/>
          <w:sz w:val="24"/>
          <w:szCs w:val="24"/>
        </w:rPr>
        <w:t>标记</w:t>
      </w:r>
      <w:r w:rsidRPr="001F432F">
        <w:rPr>
          <w:rFonts w:eastAsia="宋体"/>
          <w:color w:val="000000"/>
          <w:sz w:val="24"/>
          <w:szCs w:val="24"/>
        </w:rPr>
        <w:t>并将风险降至最低。第</w:t>
      </w:r>
      <w:r w:rsidRPr="001F432F">
        <w:rPr>
          <w:rFonts w:eastAsia="宋体"/>
          <w:color w:val="000000"/>
          <w:sz w:val="24"/>
          <w:szCs w:val="24"/>
        </w:rPr>
        <w:t>VI.D</w:t>
      </w:r>
      <w:r w:rsidRPr="001F432F">
        <w:rPr>
          <w:rFonts w:eastAsia="宋体"/>
          <w:color w:val="000000"/>
          <w:sz w:val="24"/>
          <w:szCs w:val="24"/>
        </w:rPr>
        <w:t>部分为上市前</w:t>
      </w:r>
      <w:r w:rsidR="004826CF">
        <w:rPr>
          <w:rFonts w:eastAsia="宋体"/>
          <w:color w:val="000000"/>
          <w:sz w:val="24"/>
          <w:szCs w:val="24"/>
        </w:rPr>
        <w:t>申报资料</w:t>
      </w:r>
      <w:r w:rsidR="005E576D">
        <w:rPr>
          <w:rFonts w:eastAsia="宋体"/>
          <w:color w:val="000000"/>
          <w:sz w:val="24"/>
          <w:szCs w:val="24"/>
        </w:rPr>
        <w:t>标记</w:t>
      </w:r>
      <w:r w:rsidRPr="001F432F">
        <w:rPr>
          <w:rFonts w:eastAsia="宋体"/>
          <w:color w:val="000000"/>
          <w:sz w:val="24"/>
          <w:szCs w:val="24"/>
        </w:rPr>
        <w:t>建议。</w:t>
      </w:r>
    </w:p>
    <w:p w14:paraId="2395E12E" w14:textId="77777777" w:rsidR="00CE6F56" w:rsidRPr="001F432F" w:rsidRDefault="00CE6F56" w:rsidP="004826CF">
      <w:pPr>
        <w:pStyle w:val="2"/>
        <w:spacing w:before="240" w:after="240"/>
        <w:rPr>
          <w:rFonts w:eastAsia="宋体"/>
        </w:rPr>
      </w:pPr>
      <w:bookmarkStart w:id="19" w:name="bookmark16"/>
      <w:bookmarkStart w:id="20" w:name="_Toc97485697"/>
      <w:r w:rsidRPr="001F432F">
        <w:rPr>
          <w:rFonts w:eastAsia="宋体"/>
        </w:rPr>
        <w:t>F</w:t>
      </w:r>
      <w:bookmarkEnd w:id="19"/>
      <w:r w:rsidRPr="001F432F">
        <w:rPr>
          <w:rFonts w:eastAsia="宋体"/>
        </w:rPr>
        <w:t>.</w:t>
      </w:r>
      <w:r w:rsidRPr="001F432F">
        <w:rPr>
          <w:rFonts w:eastAsia="宋体"/>
        </w:rPr>
        <w:tab/>
      </w:r>
      <w:r w:rsidRPr="001F432F">
        <w:rPr>
          <w:rFonts w:eastAsia="宋体"/>
        </w:rPr>
        <w:t>共识标准的使用</w:t>
      </w:r>
      <w:bookmarkEnd w:id="20"/>
    </w:p>
    <w:p w14:paraId="47EC74CE" w14:textId="717ECF7A"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FDA</w:t>
      </w:r>
      <w:r w:rsidRPr="001F432F">
        <w:rPr>
          <w:rFonts w:eastAsia="宋体"/>
          <w:color w:val="000000"/>
          <w:sz w:val="24"/>
          <w:szCs w:val="24"/>
        </w:rPr>
        <w:t>认识到在医疗器械的设计中，特别是在互操作性医疗器械的开发中，依赖已发布的共识标准的优势。因此，</w:t>
      </w:r>
      <w:r w:rsidRPr="001F432F">
        <w:rPr>
          <w:rFonts w:eastAsia="宋体"/>
          <w:color w:val="000000"/>
          <w:sz w:val="24"/>
          <w:szCs w:val="24"/>
        </w:rPr>
        <w:t>FDA</w:t>
      </w:r>
      <w:r w:rsidRPr="001F432F">
        <w:rPr>
          <w:rFonts w:eastAsia="宋体"/>
          <w:color w:val="000000"/>
          <w:sz w:val="24"/>
          <w:szCs w:val="24"/>
        </w:rPr>
        <w:t>认可了许多与互操作性医疗器械的开发和设计相关的共识标准，并鼓励使用这些共识标准。在许多情况下，支持互操作性的标准不仅可供医疗器械制造商使用，还可供许多其他利益相关者使用，如医疗保健提供机构，包括系统集成商、系统设计师和在医疗保健机构中工作的信息技术专业人员。</w:t>
      </w:r>
    </w:p>
    <w:p w14:paraId="5549ED88" w14:textId="77777777" w:rsidR="00CE6F56" w:rsidRPr="001F432F" w:rsidRDefault="00CE6F56" w:rsidP="00FE4CD1">
      <w:pPr>
        <w:shd w:val="clear" w:color="auto" w:fill="FFFFFF"/>
        <w:snapToGrid w:val="0"/>
        <w:jc w:val="both"/>
        <w:rPr>
          <w:rFonts w:eastAsia="宋体"/>
          <w:sz w:val="24"/>
          <w:szCs w:val="24"/>
        </w:rPr>
      </w:pPr>
    </w:p>
    <w:p w14:paraId="102A6D6D" w14:textId="742B4C1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目前支持医疗器械互操作性的许多可用标准都是设计标准。这些标准可能会在上述其他设计考虑事项方面为制造商提供帮助。例如，标准可以指定数据格式、互操作性体系结构设计或与互操作性相关的其他方面。对于医疗器械制造商来说，遵守公认的共识标准</w:t>
      </w:r>
      <w:r w:rsidR="005A5510">
        <w:rPr>
          <w:rFonts w:eastAsia="宋体" w:hint="eastAsia"/>
          <w:color w:val="000000"/>
          <w:sz w:val="24"/>
          <w:szCs w:val="24"/>
        </w:rPr>
        <w:t>是</w:t>
      </w:r>
      <w:r w:rsidR="005A5510" w:rsidRPr="001F432F">
        <w:rPr>
          <w:rFonts w:eastAsia="宋体"/>
          <w:color w:val="000000"/>
          <w:sz w:val="24"/>
          <w:szCs w:val="24"/>
        </w:rPr>
        <w:t>自愿</w:t>
      </w:r>
      <w:r w:rsidR="005A5510">
        <w:rPr>
          <w:rFonts w:eastAsia="宋体" w:hint="eastAsia"/>
          <w:color w:val="000000"/>
          <w:sz w:val="24"/>
          <w:szCs w:val="24"/>
        </w:rPr>
        <w:t>行为</w:t>
      </w:r>
      <w:r w:rsidRPr="001F432F">
        <w:rPr>
          <w:rFonts w:eastAsia="宋体"/>
          <w:color w:val="000000"/>
          <w:sz w:val="24"/>
          <w:szCs w:val="24"/>
        </w:rPr>
        <w:t>。</w:t>
      </w:r>
      <w:r w:rsidRPr="001F432F">
        <w:rPr>
          <w:rFonts w:eastAsia="宋体"/>
          <w:color w:val="000000"/>
          <w:sz w:val="24"/>
          <w:szCs w:val="24"/>
        </w:rPr>
        <w:t>FDA</w:t>
      </w:r>
      <w:r w:rsidRPr="001F432F">
        <w:rPr>
          <w:rFonts w:eastAsia="宋体"/>
          <w:color w:val="000000"/>
          <w:sz w:val="24"/>
          <w:szCs w:val="24"/>
        </w:rPr>
        <w:t>对设计标准的认可并不意味着</w:t>
      </w:r>
      <w:r w:rsidRPr="001F432F">
        <w:rPr>
          <w:rFonts w:eastAsia="宋体"/>
          <w:color w:val="000000"/>
          <w:sz w:val="24"/>
          <w:szCs w:val="24"/>
        </w:rPr>
        <w:t>FDA</w:t>
      </w:r>
      <w:r w:rsidRPr="001F432F">
        <w:rPr>
          <w:rFonts w:eastAsia="宋体"/>
          <w:color w:val="000000"/>
          <w:sz w:val="24"/>
          <w:szCs w:val="24"/>
        </w:rPr>
        <w:t>推荐</w:t>
      </w:r>
      <w:r w:rsidR="005A5510">
        <w:rPr>
          <w:rFonts w:eastAsia="宋体" w:hint="eastAsia"/>
          <w:color w:val="000000"/>
          <w:sz w:val="24"/>
          <w:szCs w:val="24"/>
        </w:rPr>
        <w:t>该</w:t>
      </w:r>
      <w:r w:rsidRPr="001F432F">
        <w:rPr>
          <w:rFonts w:eastAsia="宋体"/>
          <w:color w:val="000000"/>
          <w:sz w:val="24"/>
          <w:szCs w:val="24"/>
        </w:rPr>
        <w:t>设计标准而不是另一种。</w:t>
      </w:r>
      <w:r w:rsidRPr="001F432F">
        <w:rPr>
          <w:rFonts w:eastAsia="宋体"/>
          <w:color w:val="000000"/>
          <w:sz w:val="24"/>
          <w:szCs w:val="24"/>
        </w:rPr>
        <w:t>FDA</w:t>
      </w:r>
      <w:r w:rsidRPr="001F432F">
        <w:rPr>
          <w:rFonts w:eastAsia="宋体"/>
          <w:color w:val="000000"/>
          <w:sz w:val="24"/>
          <w:szCs w:val="24"/>
        </w:rPr>
        <w:t>对支持互操作性的设计标准的认可意味着鼓励制造商、医疗保健机构和其他机构以标准化方式实施互操作性。或者，制造商可以选择将他们自己的设计偏好用于他们的医疗器械的界面（而不是已发布的共识标准）。</w:t>
      </w:r>
      <w:r w:rsidR="005A5510">
        <w:rPr>
          <w:rFonts w:eastAsia="宋体" w:hint="eastAsia"/>
          <w:color w:val="000000"/>
          <w:sz w:val="24"/>
          <w:szCs w:val="24"/>
        </w:rPr>
        <w:t>无论怎样</w:t>
      </w:r>
      <w:r w:rsidRPr="001F432F">
        <w:rPr>
          <w:rFonts w:eastAsia="宋体"/>
          <w:color w:val="000000"/>
          <w:sz w:val="24"/>
          <w:szCs w:val="24"/>
        </w:rPr>
        <w:t>，通过使所有使用者公开获得功能、性能和接口需求，可以最大限度地减少互操作性医疗器械的问题或误用。</w:t>
      </w:r>
    </w:p>
    <w:p w14:paraId="46B49B1B" w14:textId="77777777" w:rsidR="00CE6F56" w:rsidRPr="001F432F" w:rsidRDefault="00CE6F56" w:rsidP="00FE4CD1">
      <w:pPr>
        <w:shd w:val="clear" w:color="auto" w:fill="FFFFFF"/>
        <w:snapToGrid w:val="0"/>
        <w:jc w:val="both"/>
        <w:rPr>
          <w:rFonts w:eastAsia="宋体"/>
          <w:sz w:val="24"/>
          <w:szCs w:val="24"/>
        </w:rPr>
      </w:pPr>
    </w:p>
    <w:p w14:paraId="19AF309B" w14:textId="77777777" w:rsidR="00CE6F56" w:rsidRPr="001F432F" w:rsidRDefault="00CE6F56" w:rsidP="005A5510">
      <w:pPr>
        <w:shd w:val="clear" w:color="auto" w:fill="FFFFFF"/>
        <w:snapToGrid w:val="0"/>
        <w:rPr>
          <w:rFonts w:eastAsia="宋体"/>
          <w:color w:val="0000FF"/>
          <w:sz w:val="24"/>
          <w:szCs w:val="24"/>
          <w:u w:val="single"/>
        </w:rPr>
      </w:pPr>
      <w:r w:rsidRPr="001F432F">
        <w:rPr>
          <w:rFonts w:eastAsia="宋体"/>
          <w:color w:val="000000"/>
          <w:sz w:val="24"/>
          <w:szCs w:val="24"/>
        </w:rPr>
        <w:t>FDA</w:t>
      </w:r>
      <w:r w:rsidRPr="001F432F">
        <w:rPr>
          <w:rFonts w:eastAsia="宋体"/>
          <w:color w:val="000000"/>
          <w:sz w:val="24"/>
          <w:szCs w:val="24"/>
        </w:rPr>
        <w:t>继续评价待认可的支持医疗器械互操作性的标准。此外，</w:t>
      </w:r>
      <w:r w:rsidRPr="001F432F">
        <w:rPr>
          <w:rFonts w:eastAsia="宋体"/>
          <w:color w:val="000000"/>
          <w:sz w:val="24"/>
          <w:szCs w:val="24"/>
        </w:rPr>
        <w:t>FDA</w:t>
      </w:r>
      <w:r w:rsidRPr="001F432F">
        <w:rPr>
          <w:rFonts w:eastAsia="宋体"/>
          <w:color w:val="000000"/>
          <w:sz w:val="24"/>
          <w:szCs w:val="24"/>
        </w:rPr>
        <w:t>欢迎已发布的共识标准的建议以考虑认可情况</w:t>
      </w:r>
      <w:r w:rsidRPr="001F432F">
        <w:rPr>
          <w:rFonts w:eastAsia="宋体"/>
          <w:color w:val="000000"/>
          <w:sz w:val="24"/>
          <w:szCs w:val="24"/>
        </w:rPr>
        <w:t xml:space="preserve">  </w:t>
      </w:r>
      <w:r w:rsidRPr="001F432F">
        <w:rPr>
          <w:rFonts w:eastAsia="宋体"/>
          <w:color w:val="0000FF"/>
          <w:sz w:val="24"/>
          <w:szCs w:val="24"/>
          <w:u w:val="single"/>
        </w:rPr>
        <w:t xml:space="preserve"> </w:t>
      </w:r>
      <w:r w:rsidRPr="001F432F">
        <w:rPr>
          <w:rFonts w:eastAsia="宋体"/>
          <w:color w:val="0000FF"/>
          <w:sz w:val="24"/>
          <w:szCs w:val="24"/>
          <w:u w:val="single"/>
        </w:rPr>
        <w:t>（</w:t>
      </w:r>
      <w:r w:rsidRPr="001F432F">
        <w:rPr>
          <w:rFonts w:eastAsia="宋体"/>
          <w:color w:val="0000FF"/>
          <w:sz w:val="24"/>
          <w:szCs w:val="24"/>
          <w:u w:val="single"/>
        </w:rPr>
        <w:t>http://www.fda.gov/MedicalDevices/DeviceRegulationandGuidance/Standards/ucm123739. htm</w:t>
      </w:r>
      <w:r w:rsidRPr="001F432F">
        <w:rPr>
          <w:rFonts w:eastAsia="宋体"/>
          <w:color w:val="000000" w:themeColor="text1"/>
          <w:sz w:val="24"/>
          <w:szCs w:val="24"/>
        </w:rPr>
        <w:t>）。请参考</w:t>
      </w:r>
      <w:r w:rsidRPr="001F432F">
        <w:rPr>
          <w:rFonts w:eastAsia="宋体"/>
          <w:color w:val="000000" w:themeColor="text1"/>
          <w:sz w:val="24"/>
          <w:szCs w:val="24"/>
        </w:rPr>
        <w:t>FDA</w:t>
      </w:r>
      <w:r w:rsidRPr="001F432F">
        <w:rPr>
          <w:rFonts w:eastAsia="宋体"/>
          <w:color w:val="000000" w:themeColor="text1"/>
          <w:sz w:val="24"/>
          <w:szCs w:val="24"/>
        </w:rPr>
        <w:t>认可的共识标准数据库，了解当前</w:t>
      </w:r>
      <w:r w:rsidRPr="001F432F">
        <w:rPr>
          <w:rFonts w:eastAsia="宋体"/>
          <w:color w:val="000000" w:themeColor="text1"/>
          <w:sz w:val="24"/>
          <w:szCs w:val="24"/>
        </w:rPr>
        <w:t xml:space="preserve"> </w:t>
      </w:r>
      <w:r w:rsidRPr="001F432F">
        <w:rPr>
          <w:rFonts w:eastAsia="宋体"/>
          <w:color w:val="000000"/>
          <w:sz w:val="24"/>
          <w:szCs w:val="24"/>
        </w:rPr>
        <w:t>认可的标准列表（</w:t>
      </w:r>
      <w:r w:rsidRPr="001F432F">
        <w:rPr>
          <w:rFonts w:eastAsia="宋体"/>
          <w:color w:val="0000FF"/>
          <w:sz w:val="24"/>
          <w:szCs w:val="24"/>
          <w:u w:val="single"/>
        </w:rPr>
        <w:t>http://www.accessdata.fda.gov/scripts/cdrh/cfdocs/cfStandards/search.cfm</w:t>
      </w:r>
      <w:r w:rsidRPr="001F432F">
        <w:rPr>
          <w:rFonts w:eastAsia="宋体"/>
          <w:color w:val="0000FF"/>
          <w:sz w:val="24"/>
          <w:szCs w:val="24"/>
          <w:u w:val="single"/>
        </w:rPr>
        <w:t>）。</w:t>
      </w:r>
    </w:p>
    <w:p w14:paraId="70E85CF5" w14:textId="77777777" w:rsidR="00CE6F56" w:rsidRPr="001F432F" w:rsidRDefault="00CE6F56" w:rsidP="00FE4CD1">
      <w:pPr>
        <w:shd w:val="clear" w:color="auto" w:fill="FFFFFF"/>
        <w:snapToGrid w:val="0"/>
        <w:jc w:val="both"/>
        <w:rPr>
          <w:rFonts w:eastAsia="宋体"/>
          <w:sz w:val="24"/>
          <w:szCs w:val="24"/>
        </w:rPr>
      </w:pPr>
    </w:p>
    <w:p w14:paraId="1D431B1E" w14:textId="77777777" w:rsidR="00CE6F56" w:rsidRPr="001F432F" w:rsidRDefault="00CE6F56" w:rsidP="004826CF">
      <w:pPr>
        <w:pStyle w:val="1"/>
        <w:spacing w:before="240" w:after="240"/>
        <w:ind w:left="632" w:hanging="632"/>
        <w:rPr>
          <w:rFonts w:eastAsia="宋体"/>
        </w:rPr>
      </w:pPr>
      <w:bookmarkStart w:id="21" w:name="bookmark17"/>
      <w:bookmarkStart w:id="22" w:name="_Toc97485698"/>
      <w:r w:rsidRPr="001F432F">
        <w:rPr>
          <w:rFonts w:eastAsia="宋体"/>
        </w:rPr>
        <w:t>V</w:t>
      </w:r>
      <w:bookmarkEnd w:id="21"/>
      <w:r w:rsidRPr="001F432F">
        <w:rPr>
          <w:rFonts w:eastAsia="宋体"/>
        </w:rPr>
        <w:t>I.</w:t>
      </w:r>
      <w:r w:rsidRPr="001F432F">
        <w:rPr>
          <w:rFonts w:eastAsia="宋体"/>
        </w:rPr>
        <w:tab/>
      </w:r>
      <w:r w:rsidRPr="001F432F">
        <w:rPr>
          <w:rFonts w:eastAsia="宋体"/>
        </w:rPr>
        <w:t>上市前</w:t>
      </w:r>
      <w:r w:rsidR="004826CF">
        <w:rPr>
          <w:rFonts w:eastAsia="宋体"/>
        </w:rPr>
        <w:t>申报资料</w:t>
      </w:r>
      <w:r w:rsidRPr="001F432F">
        <w:rPr>
          <w:rFonts w:eastAsia="宋体"/>
        </w:rPr>
        <w:t>内容的建议</w:t>
      </w:r>
      <w:bookmarkEnd w:id="22"/>
    </w:p>
    <w:p w14:paraId="327407F8" w14:textId="3E064508" w:rsidR="00CE6F56" w:rsidRPr="001F432F" w:rsidRDefault="00CE6F56" w:rsidP="00CE6F56">
      <w:pPr>
        <w:shd w:val="clear" w:color="auto" w:fill="FFFFFF"/>
        <w:snapToGrid w:val="0"/>
        <w:jc w:val="both"/>
        <w:rPr>
          <w:rFonts w:eastAsia="宋体"/>
          <w:sz w:val="24"/>
          <w:szCs w:val="24"/>
        </w:rPr>
      </w:pPr>
      <w:r w:rsidRPr="001F432F">
        <w:rPr>
          <w:rFonts w:eastAsia="宋体"/>
          <w:color w:val="000000"/>
          <w:sz w:val="24"/>
          <w:szCs w:val="24"/>
        </w:rPr>
        <w:t>并不是所有互操作性医疗器械都需要向</w:t>
      </w:r>
      <w:r w:rsidRPr="001F432F">
        <w:rPr>
          <w:rFonts w:eastAsia="宋体"/>
          <w:color w:val="000000"/>
          <w:sz w:val="24"/>
          <w:szCs w:val="24"/>
        </w:rPr>
        <w:t>FDA</w:t>
      </w:r>
      <w:r w:rsidRPr="001F432F">
        <w:rPr>
          <w:rFonts w:eastAsia="宋体"/>
          <w:color w:val="000000"/>
          <w:sz w:val="24"/>
          <w:szCs w:val="24"/>
        </w:rPr>
        <w:t>提交上市前</w:t>
      </w:r>
      <w:r w:rsidR="004826CF">
        <w:rPr>
          <w:rFonts w:eastAsia="宋体"/>
          <w:color w:val="000000"/>
          <w:sz w:val="24"/>
          <w:szCs w:val="24"/>
        </w:rPr>
        <w:t>申报资料</w:t>
      </w:r>
      <w:r w:rsidRPr="001F432F">
        <w:rPr>
          <w:rFonts w:eastAsia="宋体"/>
          <w:color w:val="000000"/>
          <w:sz w:val="24"/>
          <w:szCs w:val="24"/>
        </w:rPr>
        <w:t>。本部分为需要上市前递交的互操作性医疗器械提供指导。上市前</w:t>
      </w:r>
      <w:r w:rsidR="004826CF">
        <w:rPr>
          <w:rFonts w:eastAsia="宋体"/>
          <w:color w:val="000000"/>
          <w:sz w:val="24"/>
          <w:szCs w:val="24"/>
        </w:rPr>
        <w:t>申报</w:t>
      </w:r>
      <w:r w:rsidRPr="001F432F">
        <w:rPr>
          <w:rFonts w:eastAsia="宋体"/>
          <w:color w:val="000000"/>
          <w:sz w:val="24"/>
          <w:szCs w:val="24"/>
        </w:rPr>
        <w:t>可能只包括</w:t>
      </w:r>
      <w:r w:rsidR="0067688D" w:rsidRPr="001F432F">
        <w:rPr>
          <w:rFonts w:eastAsia="宋体"/>
          <w:color w:val="000000"/>
          <w:sz w:val="24"/>
          <w:szCs w:val="24"/>
        </w:rPr>
        <w:t>互操作性系统</w:t>
      </w:r>
      <w:r w:rsidR="0067688D">
        <w:rPr>
          <w:rFonts w:eastAsia="宋体" w:hint="eastAsia"/>
          <w:color w:val="000000"/>
          <w:sz w:val="24"/>
          <w:szCs w:val="24"/>
        </w:rPr>
        <w:t>中</w:t>
      </w:r>
      <w:r w:rsidRPr="001F432F">
        <w:rPr>
          <w:rFonts w:eastAsia="宋体"/>
          <w:color w:val="000000"/>
          <w:sz w:val="24"/>
          <w:szCs w:val="24"/>
        </w:rPr>
        <w:t>一个器械，或者可能覆盖整个系统。</w:t>
      </w:r>
    </w:p>
    <w:p w14:paraId="2862862B" w14:textId="77777777" w:rsidR="00CE6F56" w:rsidRPr="001F432F" w:rsidRDefault="00CE6F56" w:rsidP="00FE4CD1">
      <w:pPr>
        <w:shd w:val="clear" w:color="auto" w:fill="FFFFFF"/>
        <w:snapToGrid w:val="0"/>
        <w:jc w:val="both"/>
        <w:rPr>
          <w:rFonts w:eastAsia="宋体"/>
          <w:sz w:val="24"/>
          <w:szCs w:val="24"/>
        </w:rPr>
      </w:pPr>
    </w:p>
    <w:p w14:paraId="66C1E7A0" w14:textId="77777777" w:rsidR="00CE6F56" w:rsidRPr="001F432F" w:rsidRDefault="00CE6F56" w:rsidP="00FE4CD1">
      <w:pPr>
        <w:shd w:val="clear" w:color="auto" w:fill="FFFFFF"/>
        <w:snapToGrid w:val="0"/>
        <w:jc w:val="both"/>
        <w:rPr>
          <w:rFonts w:eastAsia="宋体"/>
          <w:sz w:val="24"/>
          <w:szCs w:val="24"/>
        </w:rPr>
      </w:pPr>
    </w:p>
    <w:p w14:paraId="37DFD452" w14:textId="77777777" w:rsidR="00CE6F56" w:rsidRPr="001F432F" w:rsidRDefault="00CE6F56" w:rsidP="00FE4CD1">
      <w:pPr>
        <w:shd w:val="clear" w:color="auto" w:fill="FFFFFF"/>
        <w:snapToGrid w:val="0"/>
        <w:jc w:val="both"/>
        <w:rPr>
          <w:rFonts w:eastAsia="宋体"/>
          <w:sz w:val="21"/>
          <w:szCs w:val="21"/>
        </w:rPr>
        <w:sectPr w:rsidR="00CE6F56" w:rsidRPr="001F432F" w:rsidSect="00FE4CD1">
          <w:pgSz w:w="11906" w:h="16838"/>
          <w:pgMar w:top="1134" w:right="1417" w:bottom="1134" w:left="1417" w:header="850" w:footer="720" w:gutter="0"/>
          <w:cols w:space="60"/>
          <w:noEndnote/>
          <w:docGrid w:linePitch="272"/>
        </w:sectPr>
      </w:pPr>
    </w:p>
    <w:p w14:paraId="20E1168C" w14:textId="50F4FC12"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lastRenderedPageBreak/>
        <w:t>在准备上市前递交时，请考虑适用于该器械的任何其他相关</w:t>
      </w:r>
      <w:r w:rsidRPr="001F432F">
        <w:rPr>
          <w:rFonts w:eastAsia="宋体"/>
          <w:color w:val="000000"/>
          <w:sz w:val="24"/>
          <w:szCs w:val="24"/>
        </w:rPr>
        <w:t>FDA</w:t>
      </w:r>
      <w:r w:rsidRPr="001F432F">
        <w:rPr>
          <w:rFonts w:eastAsia="宋体"/>
          <w:color w:val="000000"/>
          <w:sz w:val="24"/>
          <w:szCs w:val="24"/>
        </w:rPr>
        <w:t>指南或特殊控制措施。对于旨在与其他产品、技术或系统交换和使用信息的医疗器械，</w:t>
      </w:r>
      <w:r w:rsidRPr="001F432F">
        <w:rPr>
          <w:rFonts w:eastAsia="宋体"/>
          <w:color w:val="000000"/>
          <w:sz w:val="24"/>
          <w:szCs w:val="24"/>
        </w:rPr>
        <w:t>FDA</w:t>
      </w:r>
      <w:r w:rsidRPr="001F432F">
        <w:rPr>
          <w:rFonts w:eastAsia="宋体"/>
          <w:color w:val="000000"/>
          <w:sz w:val="24"/>
          <w:szCs w:val="24"/>
        </w:rPr>
        <w:t>建议</w:t>
      </w:r>
      <w:r w:rsidR="00235BDE">
        <w:rPr>
          <w:rFonts w:eastAsia="宋体"/>
          <w:color w:val="000000"/>
          <w:sz w:val="24"/>
          <w:szCs w:val="24"/>
        </w:rPr>
        <w:t>申办方</w:t>
      </w:r>
      <w:r w:rsidRPr="001F432F">
        <w:rPr>
          <w:rFonts w:eastAsia="宋体"/>
          <w:color w:val="000000"/>
          <w:sz w:val="24"/>
          <w:szCs w:val="24"/>
        </w:rPr>
        <w:t>提供与通常用于支持医疗器械其他功能或特征类似的基本信息。具体地说，当考虑电子接口的存在时，我们建议考虑本文件</w:t>
      </w:r>
      <w:r w:rsidRPr="001F432F">
        <w:rPr>
          <w:rFonts w:ascii="宋体" w:eastAsia="宋体" w:hAnsi="宋体"/>
          <w:color w:val="000000"/>
          <w:sz w:val="24"/>
          <w:szCs w:val="24"/>
        </w:rPr>
        <w:t>“</w:t>
      </w:r>
      <w:r w:rsidRPr="001F432F">
        <w:rPr>
          <w:rFonts w:eastAsia="宋体"/>
          <w:color w:val="000000"/>
          <w:sz w:val="24"/>
          <w:szCs w:val="24"/>
        </w:rPr>
        <w:t>互操作性医疗器械的设计考虑事项</w:t>
      </w:r>
      <w:r w:rsidRPr="001F432F">
        <w:rPr>
          <w:rFonts w:ascii="宋体" w:eastAsia="宋体" w:hAnsi="宋体"/>
          <w:color w:val="000000"/>
          <w:sz w:val="24"/>
          <w:szCs w:val="24"/>
        </w:rPr>
        <w:t>”</w:t>
      </w:r>
      <w:r w:rsidRPr="001F432F">
        <w:rPr>
          <w:rFonts w:eastAsia="宋体"/>
          <w:color w:val="000000"/>
          <w:sz w:val="24"/>
          <w:szCs w:val="24"/>
        </w:rPr>
        <w:t>部分中讨论的要素。与任何递交一样，在宣称器械与其他器械、技术或产品交换和使用信息时，递交的信息应足以支持该声明。</w:t>
      </w:r>
    </w:p>
    <w:p w14:paraId="762ABAA5" w14:textId="77777777" w:rsidR="00CE6F56" w:rsidRPr="001F432F" w:rsidRDefault="00CE6F56" w:rsidP="004826CF">
      <w:pPr>
        <w:pStyle w:val="2"/>
        <w:spacing w:before="240" w:after="240"/>
        <w:rPr>
          <w:rFonts w:eastAsia="宋体"/>
        </w:rPr>
      </w:pPr>
      <w:bookmarkStart w:id="23" w:name="bookmark18"/>
      <w:bookmarkStart w:id="24" w:name="_Toc97485699"/>
      <w:r w:rsidRPr="001F432F">
        <w:rPr>
          <w:rFonts w:eastAsia="宋体"/>
        </w:rPr>
        <w:t>A</w:t>
      </w:r>
      <w:bookmarkEnd w:id="23"/>
      <w:r w:rsidRPr="001F432F">
        <w:rPr>
          <w:rFonts w:eastAsia="宋体"/>
        </w:rPr>
        <w:t>.</w:t>
      </w:r>
      <w:r w:rsidRPr="001F432F">
        <w:rPr>
          <w:rFonts w:eastAsia="宋体"/>
        </w:rPr>
        <w:tab/>
      </w:r>
      <w:r w:rsidRPr="001F432F">
        <w:rPr>
          <w:rFonts w:eastAsia="宋体"/>
        </w:rPr>
        <w:t>器械描述</w:t>
      </w:r>
      <w:bookmarkEnd w:id="24"/>
    </w:p>
    <w:p w14:paraId="60473836" w14:textId="5A8A2E96"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作为通常在上市前</w:t>
      </w:r>
      <w:r w:rsidR="004826CF">
        <w:rPr>
          <w:rFonts w:eastAsia="宋体"/>
          <w:color w:val="000000"/>
          <w:sz w:val="24"/>
          <w:szCs w:val="24"/>
        </w:rPr>
        <w:t>申报资料</w:t>
      </w:r>
      <w:r w:rsidRPr="001F432F">
        <w:rPr>
          <w:rFonts w:eastAsia="宋体"/>
          <w:color w:val="000000"/>
          <w:sz w:val="24"/>
          <w:szCs w:val="24"/>
        </w:rPr>
        <w:t>中递交的器械描述的一部分，</w:t>
      </w:r>
      <w:r w:rsidR="00235BDE">
        <w:rPr>
          <w:rFonts w:eastAsia="宋体"/>
          <w:color w:val="000000"/>
          <w:sz w:val="24"/>
          <w:szCs w:val="24"/>
        </w:rPr>
        <w:t>申办方</w:t>
      </w:r>
      <w:r w:rsidRPr="001F432F">
        <w:rPr>
          <w:rFonts w:eastAsia="宋体"/>
          <w:color w:val="000000"/>
          <w:sz w:val="24"/>
          <w:szCs w:val="24"/>
        </w:rPr>
        <w:t>应包括对器械上每个面向外部的电子接口、每个接口的用途以及接口的</w:t>
      </w:r>
      <w:r w:rsidR="004826CF">
        <w:rPr>
          <w:rFonts w:eastAsia="宋体"/>
          <w:color w:val="000000"/>
          <w:sz w:val="24"/>
          <w:szCs w:val="24"/>
        </w:rPr>
        <w:t>预期用户</w:t>
      </w:r>
      <w:r w:rsidRPr="001F432F">
        <w:rPr>
          <w:rFonts w:eastAsia="宋体"/>
          <w:color w:val="000000"/>
          <w:sz w:val="24"/>
          <w:szCs w:val="24"/>
        </w:rPr>
        <w:t>的讨论。</w:t>
      </w:r>
      <w:r w:rsidR="00235BDE">
        <w:rPr>
          <w:rFonts w:eastAsia="宋体"/>
          <w:color w:val="000000"/>
          <w:sz w:val="24"/>
          <w:szCs w:val="24"/>
        </w:rPr>
        <w:t>申办方</w:t>
      </w:r>
      <w:r w:rsidRPr="001F432F">
        <w:rPr>
          <w:rFonts w:eastAsia="宋体"/>
          <w:color w:val="000000"/>
          <w:sz w:val="24"/>
          <w:szCs w:val="24"/>
        </w:rPr>
        <w:t>还应描述每个接口的使用方式和</w:t>
      </w:r>
      <w:r w:rsidRPr="001F432F">
        <w:rPr>
          <w:rFonts w:eastAsia="宋体"/>
          <w:color w:val="000000"/>
          <w:sz w:val="24"/>
          <w:szCs w:val="24"/>
        </w:rPr>
        <w:t>/</w:t>
      </w:r>
      <w:r w:rsidRPr="001F432F">
        <w:rPr>
          <w:rFonts w:eastAsia="宋体"/>
          <w:color w:val="000000"/>
          <w:sz w:val="24"/>
          <w:szCs w:val="24"/>
        </w:rPr>
        <w:t>或接口使用的限制。如果该接口预期仅供制造商使用，则应明确说明这一点。如果该接口预期仅与特定器械配合使用，则应明确指定这些器械。</w:t>
      </w:r>
    </w:p>
    <w:p w14:paraId="27445B97" w14:textId="77777777" w:rsidR="00CE6F56" w:rsidRPr="001F432F" w:rsidRDefault="00CE6F56" w:rsidP="00FE4CD1">
      <w:pPr>
        <w:shd w:val="clear" w:color="auto" w:fill="FFFFFF"/>
        <w:snapToGrid w:val="0"/>
        <w:jc w:val="both"/>
        <w:rPr>
          <w:rFonts w:eastAsia="宋体"/>
          <w:sz w:val="24"/>
          <w:szCs w:val="24"/>
        </w:rPr>
      </w:pPr>
    </w:p>
    <w:p w14:paraId="047A7FE2" w14:textId="2145B74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如果器械旨在与其他医疗器械、产品、技术或系统交换或使用数据，则应包括对交换信息、交换方式以及交换信息对器械或其他受影响器械的影响的描述。根据对医疗器械进行的数据交换和使用的声明，这可能包括以下部分或全部要素：</w:t>
      </w:r>
    </w:p>
    <w:p w14:paraId="6A88B446" w14:textId="77777777" w:rsidR="00CE6F56" w:rsidRPr="001F432F" w:rsidRDefault="00CE6F56" w:rsidP="00FE4CD1">
      <w:pPr>
        <w:shd w:val="clear" w:color="auto" w:fill="FFFFFF"/>
        <w:snapToGrid w:val="0"/>
        <w:jc w:val="both"/>
        <w:rPr>
          <w:rFonts w:eastAsia="宋体"/>
          <w:sz w:val="24"/>
          <w:szCs w:val="24"/>
        </w:rPr>
      </w:pPr>
    </w:p>
    <w:p w14:paraId="1978E3F5" w14:textId="0A94E84E"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解释接口的用途以及器械在互操作性系统中发挥的作用。这可能很简单，</w:t>
      </w:r>
      <w:r w:rsidR="00E60057">
        <w:rPr>
          <w:rFonts w:eastAsia="宋体" w:hint="eastAsia"/>
          <w:color w:val="000000"/>
          <w:sz w:val="24"/>
          <w:szCs w:val="24"/>
        </w:rPr>
        <w:t>如同特定标准中所述，</w:t>
      </w:r>
      <w:r w:rsidRPr="001F432F">
        <w:rPr>
          <w:rFonts w:eastAsia="宋体"/>
          <w:color w:val="000000"/>
          <w:sz w:val="24"/>
          <w:szCs w:val="24"/>
        </w:rPr>
        <w:t>只需声明器械旨在向特定产品、技术或系统体系结构提供器械数据；</w:t>
      </w:r>
    </w:p>
    <w:p w14:paraId="4DCDF184"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指定接口是否旨在传输、接收或交换信息；</w:t>
      </w:r>
    </w:p>
    <w:p w14:paraId="70B721AD"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指定使用的任何标准，包括相关版本编号和日期。</w:t>
      </w:r>
    </w:p>
    <w:p w14:paraId="3C93EA0D"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描述信息及时性和完整性的要求（例如取样率，传输率）；</w:t>
      </w:r>
    </w:p>
    <w:p w14:paraId="1186C679"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描述通信格式、速率和传输方法；</w:t>
      </w:r>
    </w:p>
    <w:p w14:paraId="7A78C9F3"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讨论限制（使用者不应做什么）、禁忌症、注意事项和警告；</w:t>
      </w:r>
    </w:p>
    <w:p w14:paraId="06E85FC0"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描述功能和性能要求；和</w:t>
      </w:r>
    </w:p>
    <w:p w14:paraId="1BADEE97" w14:textId="77777777" w:rsidR="00CE6F56" w:rsidRPr="001F432F" w:rsidRDefault="00CE6F56" w:rsidP="00FE4CD1">
      <w:pPr>
        <w:shd w:val="clear" w:color="auto" w:fill="FFFFFF"/>
        <w:tabs>
          <w:tab w:val="left" w:pos="1440"/>
        </w:tabs>
        <w:snapToGrid w:val="0"/>
        <w:jc w:val="both"/>
        <w:rPr>
          <w:rFonts w:eastAsia="宋体"/>
          <w:sz w:val="24"/>
          <w:szCs w:val="24"/>
        </w:rPr>
      </w:pPr>
    </w:p>
    <w:p w14:paraId="7AA6E647" w14:textId="77777777" w:rsidR="00CE6F56" w:rsidRPr="001F432F" w:rsidRDefault="00CE6F56" w:rsidP="00FE4CD1">
      <w:pPr>
        <w:shd w:val="clear" w:color="auto" w:fill="FFFFFF"/>
        <w:tabs>
          <w:tab w:val="left" w:pos="1440"/>
        </w:tabs>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6FDD204F"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lastRenderedPageBreak/>
        <w:t>•</w:t>
      </w:r>
      <w:r w:rsidRPr="001F432F">
        <w:rPr>
          <w:rFonts w:eastAsia="宋体"/>
          <w:color w:val="000000"/>
          <w:sz w:val="24"/>
          <w:szCs w:val="24"/>
        </w:rPr>
        <w:tab/>
      </w:r>
      <w:r w:rsidRPr="001F432F">
        <w:rPr>
          <w:rFonts w:eastAsia="宋体"/>
          <w:color w:val="000000"/>
          <w:sz w:val="24"/>
          <w:szCs w:val="24"/>
        </w:rPr>
        <w:t>如果器械是可供其他软件、医疗器械或系统使用的软件，请列出应用程序编程接口（</w:t>
      </w:r>
      <w:r w:rsidRPr="001F432F">
        <w:rPr>
          <w:rFonts w:eastAsia="宋体"/>
          <w:color w:val="000000"/>
          <w:sz w:val="24"/>
          <w:szCs w:val="24"/>
        </w:rPr>
        <w:t>API</w:t>
      </w:r>
      <w:r w:rsidRPr="001F432F">
        <w:rPr>
          <w:rFonts w:eastAsia="宋体"/>
          <w:color w:val="000000"/>
          <w:sz w:val="24"/>
          <w:szCs w:val="24"/>
        </w:rPr>
        <w:t>）。</w:t>
      </w:r>
    </w:p>
    <w:p w14:paraId="112D73E8" w14:textId="77777777" w:rsidR="00CE6F56" w:rsidRPr="001F432F" w:rsidRDefault="00CE6F56" w:rsidP="00FE4CD1">
      <w:pPr>
        <w:shd w:val="clear" w:color="auto" w:fill="FFFFFF"/>
        <w:snapToGrid w:val="0"/>
        <w:jc w:val="both"/>
        <w:rPr>
          <w:rFonts w:eastAsia="宋体"/>
          <w:color w:val="000000"/>
          <w:sz w:val="24"/>
          <w:szCs w:val="24"/>
        </w:rPr>
      </w:pPr>
    </w:p>
    <w:p w14:paraId="17C452D7" w14:textId="7777777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请注意，必要的详细级别可能取决于制造商期望使用互操作性医疗器械的预期互操作性场景。</w:t>
      </w:r>
    </w:p>
    <w:p w14:paraId="61AAC77D" w14:textId="77777777" w:rsidR="00CE6F56" w:rsidRPr="001F432F" w:rsidRDefault="00CE6F56" w:rsidP="00FE4CD1">
      <w:pPr>
        <w:shd w:val="clear" w:color="auto" w:fill="FFFFFF"/>
        <w:snapToGrid w:val="0"/>
        <w:jc w:val="both"/>
        <w:rPr>
          <w:rFonts w:eastAsia="宋体"/>
          <w:sz w:val="24"/>
          <w:szCs w:val="24"/>
        </w:rPr>
      </w:pPr>
    </w:p>
    <w:p w14:paraId="6FB3E7E4" w14:textId="77777777" w:rsidR="00CE6F56" w:rsidRPr="001F432F" w:rsidRDefault="00CE6F56" w:rsidP="004826CF">
      <w:pPr>
        <w:pStyle w:val="2"/>
        <w:spacing w:before="240" w:after="240"/>
        <w:rPr>
          <w:rFonts w:eastAsia="宋体"/>
        </w:rPr>
      </w:pPr>
      <w:bookmarkStart w:id="25" w:name="bookmark19"/>
      <w:bookmarkStart w:id="26" w:name="_Toc97485700"/>
      <w:r w:rsidRPr="001F432F">
        <w:rPr>
          <w:rFonts w:eastAsia="宋体"/>
        </w:rPr>
        <w:t>B</w:t>
      </w:r>
      <w:bookmarkEnd w:id="25"/>
      <w:r w:rsidRPr="001F432F">
        <w:rPr>
          <w:rFonts w:eastAsia="宋体"/>
        </w:rPr>
        <w:t>.</w:t>
      </w:r>
      <w:r w:rsidRPr="001F432F">
        <w:rPr>
          <w:rFonts w:eastAsia="宋体"/>
        </w:rPr>
        <w:tab/>
      </w:r>
      <w:r w:rsidRPr="001F432F">
        <w:rPr>
          <w:rFonts w:eastAsia="宋体"/>
        </w:rPr>
        <w:t>风险分析</w:t>
      </w:r>
      <w:bookmarkEnd w:id="26"/>
    </w:p>
    <w:p w14:paraId="63D3FBBB" w14:textId="66B5AA33"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制造商的风险分析应考虑与互操作性、合理可预见的误用以及可能导致危险情况的</w:t>
      </w:r>
      <w:r w:rsidR="00E60057" w:rsidRPr="001F432F">
        <w:rPr>
          <w:rFonts w:eastAsia="宋体"/>
          <w:color w:val="000000"/>
          <w:sz w:val="24"/>
          <w:szCs w:val="24"/>
        </w:rPr>
        <w:t>合理可预见的</w:t>
      </w:r>
      <w:r w:rsidRPr="001F432F">
        <w:rPr>
          <w:rFonts w:eastAsia="宋体"/>
          <w:color w:val="000000"/>
          <w:sz w:val="24"/>
          <w:szCs w:val="24"/>
        </w:rPr>
        <w:t>事件组合相关的风险。基于这些风险，制造商可能希望变更器械的设计、预期的互操作性场景，或者包括器械限制和</w:t>
      </w:r>
      <w:r w:rsidRPr="001F432F">
        <w:rPr>
          <w:rFonts w:eastAsia="宋体"/>
          <w:color w:val="000000"/>
          <w:sz w:val="24"/>
          <w:szCs w:val="24"/>
        </w:rPr>
        <w:t>/</w:t>
      </w:r>
      <w:r w:rsidRPr="001F432F">
        <w:rPr>
          <w:rFonts w:eastAsia="宋体"/>
          <w:color w:val="000000"/>
          <w:sz w:val="24"/>
          <w:szCs w:val="24"/>
        </w:rPr>
        <w:t>或警告，以将风险降低到可接受水平。正如</w:t>
      </w:r>
      <w:r w:rsidRPr="001F432F">
        <w:rPr>
          <w:rFonts w:eastAsia="宋体"/>
          <w:color w:val="000000"/>
          <w:sz w:val="24"/>
          <w:szCs w:val="24"/>
        </w:rPr>
        <w:t>ISO 14971</w:t>
      </w:r>
      <w:r w:rsidRPr="001F432F">
        <w:rPr>
          <w:rFonts w:eastAsia="宋体"/>
          <w:color w:val="000000"/>
          <w:sz w:val="24"/>
          <w:szCs w:val="24"/>
        </w:rPr>
        <w:t>中的讨论内容所示，对于广泛可接受的风险，可能没有必要采取风险控制措施；</w:t>
      </w:r>
      <w:r w:rsidRPr="001F432F">
        <w:rPr>
          <w:rStyle w:val="a9"/>
          <w:rFonts w:eastAsia="宋体"/>
          <w:sz w:val="24"/>
          <w:szCs w:val="24"/>
        </w:rPr>
        <w:t xml:space="preserve"> </w:t>
      </w:r>
      <w:r w:rsidRPr="001F432F">
        <w:rPr>
          <w:rStyle w:val="a9"/>
          <w:rFonts w:eastAsia="宋体"/>
          <w:sz w:val="24"/>
          <w:szCs w:val="24"/>
        </w:rPr>
        <w:footnoteReference w:id="8"/>
      </w:r>
      <w:r w:rsidRPr="001F432F">
        <w:rPr>
          <w:rFonts w:eastAsia="宋体"/>
          <w:color w:val="000000"/>
          <w:sz w:val="24"/>
          <w:szCs w:val="24"/>
        </w:rPr>
        <w:t xml:space="preserve"> </w:t>
      </w:r>
      <w:r w:rsidRPr="001F432F">
        <w:rPr>
          <w:rFonts w:eastAsia="宋体"/>
          <w:color w:val="000000"/>
          <w:sz w:val="24"/>
          <w:szCs w:val="24"/>
        </w:rPr>
        <w:t>这些决策应包含在风险分析证明文件中。</w:t>
      </w:r>
    </w:p>
    <w:p w14:paraId="566D0FF8" w14:textId="77777777" w:rsidR="00CE6F56" w:rsidRPr="001F432F" w:rsidRDefault="00CE6F56" w:rsidP="00FE4CD1">
      <w:pPr>
        <w:shd w:val="clear" w:color="auto" w:fill="FFFFFF"/>
        <w:snapToGrid w:val="0"/>
        <w:jc w:val="both"/>
        <w:rPr>
          <w:rFonts w:eastAsia="宋体"/>
          <w:sz w:val="24"/>
          <w:szCs w:val="24"/>
        </w:rPr>
      </w:pPr>
    </w:p>
    <w:p w14:paraId="310A9189" w14:textId="624F56FE"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FDA</w:t>
      </w:r>
      <w:r w:rsidRPr="001F432F">
        <w:rPr>
          <w:rFonts w:eastAsia="宋体"/>
          <w:color w:val="000000"/>
          <w:sz w:val="24"/>
          <w:szCs w:val="24"/>
        </w:rPr>
        <w:t>强调，当考虑包含多个连接的医疗器械的系统时，可以使用</w:t>
      </w:r>
      <w:r w:rsidR="00DD07DC" w:rsidRPr="001F432F">
        <w:rPr>
          <w:rFonts w:eastAsia="宋体"/>
          <w:color w:val="000000"/>
          <w:sz w:val="24"/>
          <w:szCs w:val="24"/>
        </w:rPr>
        <w:t>相同的过程</w:t>
      </w:r>
      <w:r w:rsidRPr="001F432F">
        <w:rPr>
          <w:rFonts w:eastAsia="宋体"/>
          <w:color w:val="000000"/>
          <w:sz w:val="24"/>
          <w:szCs w:val="24"/>
        </w:rPr>
        <w:t>定义危险情况、风险和缓解措施。在这些情况下，可能还会出现其他危险情况。制造商应具体说明实施哪些缓解措施，以及哪些缓解措施对于安全使用是必要的，但可能需要其他方实施，如负责设置或安装的一方。这些内容应包括在</w:t>
      </w:r>
      <w:r w:rsidR="004826CF">
        <w:rPr>
          <w:rFonts w:eastAsia="宋体"/>
          <w:color w:val="000000"/>
          <w:sz w:val="24"/>
          <w:szCs w:val="24"/>
        </w:rPr>
        <w:t>申报资料</w:t>
      </w:r>
      <w:r w:rsidRPr="001F432F">
        <w:rPr>
          <w:rFonts w:eastAsia="宋体"/>
          <w:color w:val="000000"/>
          <w:sz w:val="24"/>
          <w:szCs w:val="24"/>
        </w:rPr>
        <w:t>的风险分析部分。</w:t>
      </w:r>
    </w:p>
    <w:p w14:paraId="7D7DF295" w14:textId="77777777" w:rsidR="00CE6F56" w:rsidRPr="001F432F" w:rsidRDefault="00CE6F56" w:rsidP="00FE4CD1">
      <w:pPr>
        <w:shd w:val="clear" w:color="auto" w:fill="FFFFFF"/>
        <w:snapToGrid w:val="0"/>
        <w:jc w:val="both"/>
        <w:rPr>
          <w:rFonts w:eastAsia="宋体"/>
          <w:sz w:val="24"/>
          <w:szCs w:val="24"/>
        </w:rPr>
      </w:pPr>
    </w:p>
    <w:p w14:paraId="63D038B6" w14:textId="05838AAD"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对于</w:t>
      </w:r>
      <w:r w:rsidR="0009027A">
        <w:rPr>
          <w:rFonts w:eastAsia="宋体" w:hint="eastAsia"/>
          <w:color w:val="000000"/>
          <w:sz w:val="24"/>
          <w:szCs w:val="24"/>
        </w:rPr>
        <w:t>执行</w:t>
      </w:r>
      <w:r w:rsidRPr="001F432F">
        <w:rPr>
          <w:rFonts w:eastAsia="宋体"/>
          <w:color w:val="000000"/>
          <w:sz w:val="24"/>
          <w:szCs w:val="24"/>
        </w:rPr>
        <w:t>21 CFR 820.30</w:t>
      </w:r>
      <w:r w:rsidRPr="001F432F">
        <w:rPr>
          <w:rFonts w:eastAsia="宋体"/>
          <w:color w:val="000000"/>
          <w:sz w:val="24"/>
          <w:szCs w:val="24"/>
        </w:rPr>
        <w:t>（</w:t>
      </w:r>
      <w:r w:rsidRPr="001F432F">
        <w:rPr>
          <w:rFonts w:eastAsia="宋体"/>
          <w:color w:val="000000"/>
          <w:sz w:val="24"/>
          <w:szCs w:val="24"/>
        </w:rPr>
        <w:t>g</w:t>
      </w:r>
      <w:r w:rsidRPr="001F432F">
        <w:rPr>
          <w:rFonts w:eastAsia="宋体"/>
          <w:color w:val="000000"/>
          <w:sz w:val="24"/>
          <w:szCs w:val="24"/>
        </w:rPr>
        <w:t>）中风险分析的器械，</w:t>
      </w:r>
      <w:r w:rsidRPr="001F432F">
        <w:rPr>
          <w:rFonts w:eastAsia="宋体"/>
          <w:color w:val="000000"/>
          <w:sz w:val="24"/>
          <w:szCs w:val="24"/>
        </w:rPr>
        <w:t>FDA</w:t>
      </w:r>
      <w:r w:rsidRPr="001F432F">
        <w:rPr>
          <w:rFonts w:eastAsia="宋体"/>
          <w:color w:val="000000"/>
          <w:sz w:val="24"/>
          <w:szCs w:val="24"/>
        </w:rPr>
        <w:t>建议对器械上</w:t>
      </w:r>
      <w:r w:rsidR="0009027A" w:rsidRPr="001F432F">
        <w:rPr>
          <w:rFonts w:eastAsia="宋体"/>
          <w:color w:val="000000"/>
          <w:sz w:val="24"/>
          <w:szCs w:val="24"/>
        </w:rPr>
        <w:t>包括</w:t>
      </w:r>
      <w:r w:rsidRPr="001F432F">
        <w:rPr>
          <w:rFonts w:eastAsia="宋体"/>
          <w:color w:val="000000"/>
          <w:sz w:val="24"/>
          <w:szCs w:val="24"/>
        </w:rPr>
        <w:t>的一个或多个接口、预期连接以及该连接可能对器械性能产生的任何影响</w:t>
      </w:r>
      <w:r w:rsidR="0009027A">
        <w:rPr>
          <w:rFonts w:eastAsia="宋体" w:hint="eastAsia"/>
          <w:color w:val="000000"/>
          <w:sz w:val="24"/>
          <w:szCs w:val="24"/>
        </w:rPr>
        <w:t>进行</w:t>
      </w:r>
      <w:r w:rsidRPr="001F432F">
        <w:rPr>
          <w:rFonts w:eastAsia="宋体"/>
          <w:color w:val="000000"/>
          <w:sz w:val="24"/>
          <w:szCs w:val="24"/>
        </w:rPr>
        <w:t>分析。递交的正常风险分析应包括所考虑的危险</w:t>
      </w:r>
      <w:r w:rsidR="0009027A">
        <w:rPr>
          <w:rFonts w:eastAsia="宋体" w:hint="eastAsia"/>
          <w:color w:val="000000"/>
          <w:sz w:val="24"/>
          <w:szCs w:val="24"/>
        </w:rPr>
        <w:t>源</w:t>
      </w:r>
      <w:r w:rsidRPr="001F432F">
        <w:rPr>
          <w:rFonts w:eastAsia="宋体"/>
          <w:color w:val="000000"/>
          <w:sz w:val="24"/>
          <w:szCs w:val="24"/>
        </w:rPr>
        <w:t>、可能的危险情况、每种危险情况可能导致的风险以及如何处理危险和风险。您递交的分析应包括风险分析中的正常要素，并说明：</w:t>
      </w:r>
    </w:p>
    <w:p w14:paraId="461C7E40" w14:textId="77777777" w:rsidR="00CE6F56" w:rsidRPr="001F432F" w:rsidRDefault="00CE6F56" w:rsidP="00FE4CD1">
      <w:pPr>
        <w:shd w:val="clear" w:color="auto" w:fill="FFFFFF"/>
        <w:snapToGrid w:val="0"/>
        <w:jc w:val="both"/>
        <w:rPr>
          <w:rFonts w:eastAsia="宋体"/>
          <w:sz w:val="24"/>
          <w:szCs w:val="24"/>
        </w:rPr>
      </w:pPr>
    </w:p>
    <w:p w14:paraId="4E2438D0"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将不可接受的风险降至可接受水平的风险控制措施；</w:t>
      </w:r>
    </w:p>
    <w:p w14:paraId="5EA45C0D"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容错行为、边界条件和故障安全行为，例如器械如何处理延迟、损坏的数据、以错误格式提供的数据、不同步或时间不匹配的数据，以及与数据接收和传输有关的任何其他问题；</w:t>
      </w:r>
    </w:p>
    <w:p w14:paraId="626C4C6A" w14:textId="1A8C4184"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0009027A">
        <w:rPr>
          <w:rFonts w:eastAsia="宋体" w:hint="eastAsia"/>
          <w:color w:val="000000"/>
          <w:sz w:val="24"/>
          <w:szCs w:val="24"/>
        </w:rPr>
        <w:t>由于</w:t>
      </w:r>
      <w:r w:rsidRPr="001F432F">
        <w:rPr>
          <w:rFonts w:eastAsia="宋体"/>
          <w:color w:val="000000"/>
          <w:sz w:val="24"/>
          <w:szCs w:val="24"/>
        </w:rPr>
        <w:t>电子接口涉及的安全漏洞可能产生的任何风险；</w:t>
      </w:r>
      <w:r w:rsidRPr="001F432F">
        <w:rPr>
          <w:rStyle w:val="a9"/>
          <w:rFonts w:eastAsia="宋体"/>
          <w:sz w:val="24"/>
          <w:szCs w:val="24"/>
        </w:rPr>
        <w:footnoteReference w:id="9"/>
      </w:r>
      <w:r w:rsidRPr="001F432F">
        <w:rPr>
          <w:rFonts w:eastAsia="宋体"/>
          <w:color w:val="000000"/>
          <w:sz w:val="24"/>
          <w:szCs w:val="24"/>
        </w:rPr>
        <w:t xml:space="preserve"> </w:t>
      </w:r>
      <w:r w:rsidRPr="001F432F">
        <w:rPr>
          <w:rFonts w:eastAsia="宋体"/>
          <w:color w:val="000000"/>
          <w:sz w:val="24"/>
          <w:szCs w:val="24"/>
        </w:rPr>
        <w:t>以及</w:t>
      </w:r>
    </w:p>
    <w:p w14:paraId="6FBC7BB6" w14:textId="77777777" w:rsidR="00CE6F56" w:rsidRPr="001F432F" w:rsidRDefault="00CE6F56" w:rsidP="00CE6F56">
      <w:pPr>
        <w:shd w:val="clear" w:color="auto" w:fill="FFFFFF"/>
        <w:snapToGrid w:val="0"/>
        <w:ind w:leftChars="480" w:left="1275" w:hanging="315"/>
        <w:jc w:val="both"/>
        <w:rPr>
          <w:rFonts w:eastAsia="宋体"/>
          <w:sz w:val="24"/>
          <w:szCs w:val="24"/>
        </w:rPr>
      </w:pPr>
    </w:p>
    <w:p w14:paraId="2CE2E2F7" w14:textId="77777777" w:rsidR="00CE6F56" w:rsidRPr="001F432F" w:rsidRDefault="00CE6F56" w:rsidP="00FE4CD1">
      <w:pPr>
        <w:shd w:val="clear" w:color="auto" w:fill="FFFFFF"/>
        <w:tabs>
          <w:tab w:val="left" w:pos="139"/>
        </w:tabs>
        <w:snapToGrid w:val="0"/>
        <w:jc w:val="both"/>
        <w:rPr>
          <w:rFonts w:eastAsia="宋体"/>
          <w:color w:val="000000"/>
          <w:sz w:val="24"/>
          <w:szCs w:val="24"/>
          <w:vertAlign w:val="superscript"/>
        </w:rPr>
      </w:pPr>
    </w:p>
    <w:p w14:paraId="1729DC4C" w14:textId="77777777" w:rsidR="00CE6F56" w:rsidRPr="001F432F" w:rsidRDefault="00CE6F56" w:rsidP="00FE4CD1">
      <w:pPr>
        <w:shd w:val="clear" w:color="auto" w:fill="FFFFFF"/>
        <w:tabs>
          <w:tab w:val="left" w:pos="139"/>
        </w:tabs>
        <w:snapToGrid w:val="0"/>
        <w:jc w:val="both"/>
        <w:rPr>
          <w:rFonts w:eastAsia="宋体"/>
          <w:sz w:val="24"/>
          <w:szCs w:val="24"/>
        </w:rPr>
      </w:pPr>
    </w:p>
    <w:p w14:paraId="3BF51CC9" w14:textId="77777777" w:rsidR="00CE6F56" w:rsidRPr="001F432F" w:rsidRDefault="00CE6F56" w:rsidP="00FE4CD1">
      <w:pPr>
        <w:shd w:val="clear" w:color="auto" w:fill="FFFFFF"/>
        <w:tabs>
          <w:tab w:val="left" w:pos="139"/>
        </w:tabs>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455E284E" w14:textId="2DB8553A"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lastRenderedPageBreak/>
        <w:t>•</w:t>
      </w:r>
      <w:r w:rsidRPr="001F432F">
        <w:rPr>
          <w:rFonts w:eastAsia="宋体"/>
          <w:color w:val="000000"/>
          <w:sz w:val="24"/>
          <w:szCs w:val="24"/>
        </w:rPr>
        <w:tab/>
      </w:r>
      <w:r w:rsidRPr="001F432F">
        <w:rPr>
          <w:rFonts w:eastAsia="宋体"/>
          <w:color w:val="000000"/>
          <w:sz w:val="24"/>
          <w:szCs w:val="24"/>
        </w:rPr>
        <w:t>正常使用和合理可预见的误用所产生的风险。例如，制造商可能希望在</w:t>
      </w:r>
      <w:r w:rsidR="005E576D">
        <w:rPr>
          <w:rFonts w:eastAsia="宋体"/>
          <w:color w:val="000000"/>
          <w:sz w:val="24"/>
          <w:szCs w:val="24"/>
        </w:rPr>
        <w:t>标记</w:t>
      </w:r>
      <w:r w:rsidRPr="001F432F">
        <w:rPr>
          <w:rFonts w:eastAsia="宋体"/>
          <w:color w:val="000000"/>
          <w:sz w:val="24"/>
          <w:szCs w:val="24"/>
        </w:rPr>
        <w:t>中包含可能导致伤害的可预见使用的明确警告。</w:t>
      </w:r>
    </w:p>
    <w:p w14:paraId="483D17A5" w14:textId="77777777" w:rsidR="00CE6F56" w:rsidRPr="001F432F" w:rsidRDefault="00CE6F56" w:rsidP="00FE4CD1">
      <w:pPr>
        <w:shd w:val="clear" w:color="auto" w:fill="FFFFFF"/>
        <w:snapToGrid w:val="0"/>
        <w:jc w:val="both"/>
        <w:rPr>
          <w:rFonts w:eastAsia="宋体"/>
          <w:color w:val="000000"/>
          <w:sz w:val="24"/>
          <w:szCs w:val="24"/>
        </w:rPr>
      </w:pPr>
    </w:p>
    <w:p w14:paraId="6AC0F094"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重要的是要注意，有多种方法（包括保证案例）可用于采集有关风险的信息，以及在设计和实施器械时如何处理风险信息。本文件没有具体说明应使用哪种方法；而是强调了采集此信息的必要性。</w:t>
      </w:r>
    </w:p>
    <w:p w14:paraId="06DA3D3A" w14:textId="77777777" w:rsidR="00CE6F56" w:rsidRPr="001F432F" w:rsidRDefault="00CE6F56" w:rsidP="004826CF">
      <w:pPr>
        <w:pStyle w:val="2"/>
        <w:spacing w:before="240" w:after="240"/>
        <w:rPr>
          <w:rFonts w:eastAsia="宋体"/>
        </w:rPr>
      </w:pPr>
      <w:bookmarkStart w:id="27" w:name="bookmark21"/>
      <w:bookmarkStart w:id="28" w:name="_Toc97485701"/>
      <w:r w:rsidRPr="001F432F">
        <w:rPr>
          <w:rFonts w:eastAsia="宋体"/>
        </w:rPr>
        <w:t>C</w:t>
      </w:r>
      <w:bookmarkEnd w:id="27"/>
      <w:r w:rsidRPr="001F432F">
        <w:rPr>
          <w:rFonts w:eastAsia="宋体"/>
        </w:rPr>
        <w:t>.</w:t>
      </w:r>
      <w:r w:rsidRPr="001F432F">
        <w:rPr>
          <w:rFonts w:eastAsia="宋体"/>
        </w:rPr>
        <w:tab/>
      </w:r>
      <w:r w:rsidRPr="001F432F">
        <w:rPr>
          <w:rFonts w:eastAsia="宋体"/>
        </w:rPr>
        <w:t>验证和确认</w:t>
      </w:r>
      <w:bookmarkEnd w:id="28"/>
    </w:p>
    <w:p w14:paraId="7D6B9D47" w14:textId="13AA4FF7"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作为通常在上市前</w:t>
      </w:r>
      <w:r w:rsidR="004826CF">
        <w:rPr>
          <w:rFonts w:eastAsia="宋体"/>
          <w:color w:val="000000"/>
          <w:sz w:val="24"/>
          <w:szCs w:val="24"/>
        </w:rPr>
        <w:t>申报资料</w:t>
      </w:r>
      <w:r w:rsidRPr="001F432F">
        <w:rPr>
          <w:rFonts w:eastAsia="宋体"/>
          <w:color w:val="000000"/>
          <w:sz w:val="24"/>
          <w:szCs w:val="24"/>
        </w:rPr>
        <w:t>中递交的器械性能测试的一部分，</w:t>
      </w:r>
      <w:r w:rsidR="00235BDE">
        <w:rPr>
          <w:rFonts w:eastAsia="宋体"/>
          <w:color w:val="000000"/>
          <w:sz w:val="24"/>
          <w:szCs w:val="24"/>
        </w:rPr>
        <w:t>申办方</w:t>
      </w:r>
      <w:r w:rsidRPr="001F432F">
        <w:rPr>
          <w:rFonts w:eastAsia="宋体"/>
          <w:color w:val="000000"/>
          <w:sz w:val="24"/>
          <w:szCs w:val="24"/>
        </w:rPr>
        <w:t>应包括器械上电子接口的验证和确认测试结果。确认的性质和范围取决于与器械相关的风险等级、接口的用途、器械在互操作性系统中的预期用途以及器械的预期用途。制造商应考虑设计考虑事项中</w:t>
      </w:r>
      <w:r w:rsidRPr="001F432F">
        <w:rPr>
          <w:rFonts w:eastAsia="宋体"/>
          <w:color w:val="000000"/>
          <w:sz w:val="24"/>
          <w:szCs w:val="24"/>
        </w:rPr>
        <w:t>V.D.</w:t>
      </w:r>
      <w:r w:rsidRPr="001F432F">
        <w:rPr>
          <w:rFonts w:eastAsia="宋体"/>
          <w:color w:val="000000"/>
          <w:sz w:val="24"/>
          <w:szCs w:val="24"/>
        </w:rPr>
        <w:t>部分强调的方面。</w:t>
      </w:r>
    </w:p>
    <w:p w14:paraId="247DAA60" w14:textId="77777777" w:rsidR="00CE6F56" w:rsidRPr="001F432F" w:rsidRDefault="00CE6F56" w:rsidP="00FE4CD1">
      <w:pPr>
        <w:shd w:val="clear" w:color="auto" w:fill="FFFFFF"/>
        <w:snapToGrid w:val="0"/>
        <w:jc w:val="both"/>
        <w:rPr>
          <w:rFonts w:eastAsia="宋体"/>
          <w:sz w:val="24"/>
          <w:szCs w:val="24"/>
        </w:rPr>
      </w:pPr>
    </w:p>
    <w:p w14:paraId="03FDE8D7" w14:textId="7B8D0298"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对于那些预期仅与有限数量的特定器械配合使用的器械，证明使用这些特定器械进行的适当测试的证明文件。对于那些预期与某类器械连接或由任何器械或计算机系统使用的器械，向该类器械的代表或在系统环境中适当测试的证明文件可能更合适。</w:t>
      </w:r>
      <w:r w:rsidR="004826CF">
        <w:rPr>
          <w:rFonts w:eastAsia="宋体"/>
          <w:color w:val="000000"/>
          <w:sz w:val="24"/>
          <w:szCs w:val="24"/>
        </w:rPr>
        <w:t>申报资料</w:t>
      </w:r>
      <w:r w:rsidRPr="001F432F">
        <w:rPr>
          <w:rFonts w:eastAsia="宋体"/>
          <w:color w:val="000000"/>
          <w:sz w:val="24"/>
          <w:szCs w:val="24"/>
        </w:rPr>
        <w:t>中应包括证明以下性能测试的证明文件：</w:t>
      </w:r>
    </w:p>
    <w:p w14:paraId="3EDA29EA" w14:textId="77777777" w:rsidR="00CE6F56" w:rsidRPr="001F432F" w:rsidRDefault="00CE6F56" w:rsidP="00FE4CD1">
      <w:pPr>
        <w:shd w:val="clear" w:color="auto" w:fill="FFFFFF"/>
        <w:snapToGrid w:val="0"/>
        <w:jc w:val="both"/>
        <w:rPr>
          <w:rFonts w:eastAsia="宋体"/>
          <w:sz w:val="24"/>
          <w:szCs w:val="24"/>
        </w:rPr>
      </w:pPr>
    </w:p>
    <w:p w14:paraId="5286DD7C"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验证器械接口是否符合其设计规范；</w:t>
      </w:r>
    </w:p>
    <w:p w14:paraId="1AEBB1F8"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确认器械接口是否按预期发挥作用；</w:t>
      </w:r>
    </w:p>
    <w:p w14:paraId="5F173B5A"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确定和验证应提供给使用者以连接到接口并允许使用者确保已正确进行连接的信息；以及</w:t>
      </w:r>
    </w:p>
    <w:p w14:paraId="194CD7BF"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验证器械在正常条件和合理可能发生的异常条件下使用时是否在规范范围内安全运行（例如，接收规范外的数据，连接到非预期器械或系统，在使用接口时不会锁定系统）。</w:t>
      </w:r>
    </w:p>
    <w:p w14:paraId="33FD6B04" w14:textId="77777777" w:rsidR="00CE6F56" w:rsidRPr="001F432F" w:rsidRDefault="00CE6F56" w:rsidP="00FE4CD1">
      <w:pPr>
        <w:shd w:val="clear" w:color="auto" w:fill="FFFFFF"/>
        <w:snapToGrid w:val="0"/>
        <w:jc w:val="both"/>
        <w:rPr>
          <w:rFonts w:eastAsia="宋体"/>
          <w:color w:val="000000"/>
          <w:sz w:val="24"/>
          <w:szCs w:val="24"/>
        </w:rPr>
      </w:pPr>
    </w:p>
    <w:p w14:paraId="1BFF4DE0" w14:textId="77777777" w:rsidR="00CE6F56" w:rsidRPr="001F432F" w:rsidRDefault="00CE6F56" w:rsidP="00CE6F56">
      <w:pPr>
        <w:shd w:val="clear" w:color="auto" w:fill="FFFFFF"/>
        <w:snapToGrid w:val="0"/>
        <w:jc w:val="both"/>
        <w:rPr>
          <w:rFonts w:eastAsia="宋体"/>
          <w:sz w:val="24"/>
          <w:szCs w:val="24"/>
        </w:rPr>
      </w:pPr>
      <w:r w:rsidRPr="001F432F">
        <w:rPr>
          <w:rFonts w:eastAsia="宋体"/>
          <w:color w:val="000000"/>
          <w:sz w:val="24"/>
          <w:szCs w:val="24"/>
        </w:rPr>
        <w:t>文件化程度可以根据与器械相关的风险等级、接口的用途、器械在互操作性系统中的预期用途以及器械的预期用途而有所不同。</w:t>
      </w:r>
      <w:r w:rsidRPr="001F432F">
        <w:rPr>
          <w:rFonts w:eastAsia="宋体"/>
          <w:color w:val="000000"/>
          <w:sz w:val="24"/>
          <w:szCs w:val="24"/>
        </w:rPr>
        <w:t xml:space="preserve"> </w:t>
      </w:r>
      <w:r w:rsidRPr="001F432F">
        <w:rPr>
          <w:rFonts w:eastAsia="宋体"/>
          <w:color w:val="000000"/>
          <w:sz w:val="24"/>
          <w:szCs w:val="24"/>
        </w:rPr>
        <w:t>对于那些使用标准的界面要素，证明符合该标准可能已足够</w:t>
      </w:r>
      <w:r w:rsidRPr="001F432F">
        <w:rPr>
          <w:rStyle w:val="a9"/>
          <w:rFonts w:eastAsia="宋体"/>
          <w:sz w:val="24"/>
          <w:szCs w:val="24"/>
        </w:rPr>
        <w:footnoteReference w:id="10"/>
      </w:r>
      <w:r w:rsidRPr="001F432F">
        <w:rPr>
          <w:rFonts w:eastAsia="宋体"/>
          <w:color w:val="000000"/>
          <w:sz w:val="24"/>
          <w:szCs w:val="24"/>
        </w:rPr>
        <w:t>。例如，如果接口的用途以及使用该接口的预期场景不会给医疗器械的操作增加重大风险，则测试总结可能已足够。</w:t>
      </w:r>
    </w:p>
    <w:p w14:paraId="2C5B408D" w14:textId="77777777" w:rsidR="00CE6F56" w:rsidRPr="001F432F" w:rsidRDefault="00CE6F56" w:rsidP="00FE4CD1">
      <w:pPr>
        <w:shd w:val="clear" w:color="auto" w:fill="FFFFFF"/>
        <w:snapToGrid w:val="0"/>
        <w:jc w:val="both"/>
        <w:rPr>
          <w:rFonts w:eastAsia="宋体"/>
          <w:sz w:val="24"/>
          <w:szCs w:val="24"/>
        </w:rPr>
      </w:pPr>
    </w:p>
    <w:p w14:paraId="43C82136" w14:textId="77777777" w:rsidR="00CE6F56" w:rsidRPr="001F432F" w:rsidRDefault="00CE6F56" w:rsidP="00FE4CD1">
      <w:pPr>
        <w:shd w:val="clear" w:color="auto" w:fill="FFFFFF"/>
        <w:snapToGrid w:val="0"/>
        <w:jc w:val="both"/>
        <w:rPr>
          <w:rFonts w:eastAsia="宋体"/>
          <w:sz w:val="24"/>
          <w:szCs w:val="24"/>
        </w:rPr>
      </w:pPr>
    </w:p>
    <w:p w14:paraId="6FAEF319" w14:textId="77777777" w:rsidR="00CE6F56" w:rsidRPr="001F432F" w:rsidRDefault="00CE6F56" w:rsidP="00FE4CD1">
      <w:pPr>
        <w:shd w:val="clear" w:color="auto" w:fill="FFFFFF"/>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25B10829" w14:textId="3DC25B8E"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lastRenderedPageBreak/>
        <w:t>以下示例描述了</w:t>
      </w:r>
      <w:r w:rsidR="006A5500" w:rsidRPr="001F432F">
        <w:rPr>
          <w:rFonts w:eastAsia="宋体"/>
          <w:color w:val="000000"/>
          <w:sz w:val="24"/>
          <w:szCs w:val="24"/>
        </w:rPr>
        <w:t>递交给</w:t>
      </w:r>
      <w:r w:rsidR="006A5500" w:rsidRPr="001F432F">
        <w:rPr>
          <w:rFonts w:eastAsia="宋体"/>
          <w:color w:val="000000"/>
          <w:sz w:val="24"/>
          <w:szCs w:val="24"/>
        </w:rPr>
        <w:t>FDA</w:t>
      </w:r>
      <w:r w:rsidR="006A5500">
        <w:rPr>
          <w:rFonts w:eastAsia="宋体" w:hint="eastAsia"/>
          <w:color w:val="000000"/>
          <w:sz w:val="24"/>
          <w:szCs w:val="24"/>
        </w:rPr>
        <w:t>的</w:t>
      </w:r>
      <w:r w:rsidRPr="001F432F">
        <w:rPr>
          <w:rFonts w:eastAsia="宋体"/>
          <w:color w:val="000000"/>
          <w:sz w:val="24"/>
          <w:szCs w:val="24"/>
        </w:rPr>
        <w:t>不同文件化程度；一种情况下应递交完整的测试报告，另一种情况下仅应递交测试总结。</w:t>
      </w:r>
    </w:p>
    <w:p w14:paraId="1392CCF6" w14:textId="77777777" w:rsidR="00CE6F56" w:rsidRPr="001F432F" w:rsidRDefault="00CE6F56" w:rsidP="00FE4CD1">
      <w:pPr>
        <w:shd w:val="clear" w:color="auto" w:fill="FFFFFF"/>
        <w:snapToGrid w:val="0"/>
        <w:jc w:val="both"/>
        <w:rPr>
          <w:rFonts w:eastAsia="宋体"/>
          <w:sz w:val="24"/>
          <w:szCs w:val="24"/>
        </w:rPr>
      </w:pPr>
    </w:p>
    <w:p w14:paraId="01CDB876"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如果输液泵预期从多种器械（例如脉搏血氧仪，呼吸机和电子血压计）接收患者数据并使用这些数据变更输液泵设置，则应在计划的</w:t>
      </w:r>
      <w:r w:rsidR="004826CF">
        <w:rPr>
          <w:rFonts w:eastAsia="宋体"/>
          <w:color w:val="000000"/>
          <w:sz w:val="24"/>
          <w:szCs w:val="24"/>
        </w:rPr>
        <w:t>申报资料</w:t>
      </w:r>
      <w:r w:rsidRPr="001F432F">
        <w:rPr>
          <w:rFonts w:eastAsia="宋体"/>
          <w:color w:val="000000"/>
          <w:sz w:val="24"/>
          <w:szCs w:val="24"/>
        </w:rPr>
        <w:t>中向</w:t>
      </w:r>
      <w:r w:rsidRPr="001F432F">
        <w:rPr>
          <w:rFonts w:eastAsia="宋体"/>
          <w:color w:val="000000"/>
          <w:sz w:val="24"/>
          <w:szCs w:val="24"/>
        </w:rPr>
        <w:t>FDA</w:t>
      </w:r>
      <w:r w:rsidRPr="001F432F">
        <w:rPr>
          <w:rFonts w:eastAsia="宋体"/>
          <w:color w:val="000000"/>
          <w:sz w:val="24"/>
          <w:szCs w:val="24"/>
        </w:rPr>
        <w:t>提供完整的测试报告；和</w:t>
      </w:r>
    </w:p>
    <w:p w14:paraId="4C2A3818" w14:textId="77777777" w:rsidR="00CE6F56" w:rsidRPr="001F432F" w:rsidRDefault="00CE6F56" w:rsidP="00CE6F56">
      <w:pPr>
        <w:shd w:val="clear" w:color="auto" w:fill="FFFFFF"/>
        <w:snapToGrid w:val="0"/>
        <w:ind w:leftChars="480" w:left="1275" w:hanging="315"/>
        <w:jc w:val="both"/>
        <w:rPr>
          <w:rFonts w:eastAsia="宋体"/>
          <w:color w:val="000000"/>
          <w:sz w:val="24"/>
          <w:szCs w:val="24"/>
        </w:rPr>
      </w:pPr>
    </w:p>
    <w:p w14:paraId="0AB6D787"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如果无创电子血压计具有预期允许将历史数据下载到计算机的接口，则在该接口上执行的测试的总结可能已足够。</w:t>
      </w:r>
    </w:p>
    <w:p w14:paraId="23770241" w14:textId="6773B44B" w:rsidR="00CE6F56" w:rsidRPr="001F432F" w:rsidRDefault="00CE6F56" w:rsidP="004826CF">
      <w:pPr>
        <w:pStyle w:val="2"/>
        <w:spacing w:before="240" w:after="240"/>
        <w:rPr>
          <w:rFonts w:eastAsia="宋体"/>
        </w:rPr>
      </w:pPr>
      <w:bookmarkStart w:id="29" w:name="bookmark22"/>
      <w:bookmarkStart w:id="30" w:name="_Toc97485702"/>
      <w:r w:rsidRPr="001F432F">
        <w:rPr>
          <w:rFonts w:eastAsia="宋体"/>
        </w:rPr>
        <w:t>D</w:t>
      </w:r>
      <w:bookmarkEnd w:id="29"/>
      <w:r w:rsidRPr="001F432F">
        <w:rPr>
          <w:rFonts w:eastAsia="宋体"/>
        </w:rPr>
        <w:t>.</w:t>
      </w:r>
      <w:r w:rsidRPr="001F432F">
        <w:rPr>
          <w:rFonts w:eastAsia="宋体"/>
        </w:rPr>
        <w:tab/>
      </w:r>
      <w:bookmarkEnd w:id="30"/>
      <w:r w:rsidR="005E576D">
        <w:rPr>
          <w:rFonts w:eastAsia="宋体"/>
        </w:rPr>
        <w:t>标记</w:t>
      </w:r>
    </w:p>
    <w:p w14:paraId="279E3189" w14:textId="3EFE6D89"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以下建议旨在帮助准备满足</w:t>
      </w:r>
      <w:r w:rsidRPr="001F432F">
        <w:rPr>
          <w:rFonts w:eastAsia="宋体"/>
          <w:color w:val="000000"/>
          <w:sz w:val="24"/>
          <w:szCs w:val="24"/>
        </w:rPr>
        <w:t>21 CFR</w:t>
      </w:r>
      <w:r w:rsidRPr="001F432F">
        <w:rPr>
          <w:rFonts w:eastAsia="宋体"/>
          <w:color w:val="000000"/>
          <w:sz w:val="24"/>
          <w:szCs w:val="24"/>
        </w:rPr>
        <w:t>第</w:t>
      </w:r>
      <w:r w:rsidRPr="001F432F">
        <w:rPr>
          <w:rFonts w:eastAsia="宋体"/>
          <w:color w:val="000000"/>
          <w:sz w:val="24"/>
          <w:szCs w:val="24"/>
        </w:rPr>
        <w:t>801</w:t>
      </w:r>
      <w:r w:rsidRPr="001F432F">
        <w:rPr>
          <w:rFonts w:eastAsia="宋体"/>
          <w:color w:val="000000"/>
          <w:sz w:val="24"/>
          <w:szCs w:val="24"/>
        </w:rPr>
        <w:t>和</w:t>
      </w:r>
      <w:r w:rsidRPr="001F432F">
        <w:rPr>
          <w:rFonts w:eastAsia="宋体"/>
          <w:color w:val="000000"/>
          <w:sz w:val="24"/>
          <w:szCs w:val="24"/>
        </w:rPr>
        <w:t>809</w:t>
      </w:r>
      <w:r w:rsidRPr="001F432F">
        <w:rPr>
          <w:rFonts w:eastAsia="宋体"/>
          <w:color w:val="000000"/>
          <w:sz w:val="24"/>
          <w:szCs w:val="24"/>
        </w:rPr>
        <w:t>部分要求的</w:t>
      </w:r>
      <w:r w:rsidR="005E576D">
        <w:rPr>
          <w:rFonts w:eastAsia="宋体"/>
          <w:color w:val="000000"/>
          <w:sz w:val="24"/>
          <w:szCs w:val="24"/>
        </w:rPr>
        <w:t>标记</w:t>
      </w:r>
      <w:r w:rsidRPr="001F432F">
        <w:rPr>
          <w:rFonts w:eastAsia="宋体"/>
          <w:color w:val="000000"/>
          <w:sz w:val="24"/>
          <w:szCs w:val="24"/>
        </w:rPr>
        <w:t>（视情况而定）。请注意，在将医疗器械引入州际贸易之前，</w:t>
      </w:r>
      <w:r w:rsidR="005E576D">
        <w:rPr>
          <w:rFonts w:eastAsia="宋体"/>
          <w:color w:val="000000"/>
          <w:sz w:val="24"/>
          <w:szCs w:val="24"/>
        </w:rPr>
        <w:t>标记</w:t>
      </w:r>
      <w:r w:rsidRPr="001F432F">
        <w:rPr>
          <w:rFonts w:eastAsia="宋体"/>
          <w:color w:val="000000"/>
          <w:sz w:val="24"/>
          <w:szCs w:val="24"/>
        </w:rPr>
        <w:t>必须符合</w:t>
      </w:r>
      <w:r w:rsidRPr="001F432F">
        <w:rPr>
          <w:rFonts w:eastAsia="宋体"/>
          <w:color w:val="000000"/>
          <w:sz w:val="24"/>
          <w:szCs w:val="24"/>
        </w:rPr>
        <w:t>21 CFR</w:t>
      </w:r>
      <w:r w:rsidRPr="001F432F">
        <w:rPr>
          <w:rFonts w:eastAsia="宋体"/>
          <w:color w:val="000000"/>
          <w:sz w:val="24"/>
          <w:szCs w:val="24"/>
        </w:rPr>
        <w:t>第</w:t>
      </w:r>
      <w:r w:rsidRPr="001F432F">
        <w:rPr>
          <w:rFonts w:eastAsia="宋体"/>
          <w:color w:val="000000"/>
          <w:sz w:val="24"/>
          <w:szCs w:val="24"/>
        </w:rPr>
        <w:t>801</w:t>
      </w:r>
      <w:r w:rsidRPr="001F432F">
        <w:rPr>
          <w:rFonts w:eastAsia="宋体"/>
          <w:color w:val="000000"/>
          <w:sz w:val="24"/>
          <w:szCs w:val="24"/>
        </w:rPr>
        <w:t>和</w:t>
      </w:r>
      <w:r w:rsidRPr="001F432F">
        <w:rPr>
          <w:rFonts w:eastAsia="宋体"/>
          <w:color w:val="000000"/>
          <w:sz w:val="24"/>
          <w:szCs w:val="24"/>
        </w:rPr>
        <w:t>809</w:t>
      </w:r>
      <w:r w:rsidRPr="001F432F">
        <w:rPr>
          <w:rFonts w:eastAsia="宋体"/>
          <w:color w:val="000000"/>
          <w:sz w:val="24"/>
          <w:szCs w:val="24"/>
        </w:rPr>
        <w:t>部分的要求（视情况而定）。</w:t>
      </w:r>
      <w:r w:rsidRPr="001F432F">
        <w:rPr>
          <w:rStyle w:val="a9"/>
          <w:rFonts w:eastAsia="宋体"/>
          <w:sz w:val="24"/>
          <w:szCs w:val="24"/>
        </w:rPr>
        <w:t xml:space="preserve"> </w:t>
      </w:r>
      <w:r w:rsidRPr="001F432F">
        <w:rPr>
          <w:rStyle w:val="a9"/>
          <w:rFonts w:eastAsia="宋体"/>
          <w:sz w:val="24"/>
          <w:szCs w:val="24"/>
        </w:rPr>
        <w:footnoteReference w:id="11"/>
      </w:r>
      <w:r w:rsidRPr="001F432F">
        <w:rPr>
          <w:rFonts w:eastAsia="宋体"/>
          <w:color w:val="000000"/>
          <w:sz w:val="24"/>
          <w:szCs w:val="24"/>
        </w:rPr>
        <w:t xml:space="preserve"> </w:t>
      </w:r>
      <w:r w:rsidRPr="001F432F">
        <w:rPr>
          <w:rFonts w:eastAsia="宋体"/>
          <w:color w:val="000000"/>
          <w:sz w:val="24"/>
          <w:szCs w:val="24"/>
        </w:rPr>
        <w:t>有关开发</w:t>
      </w:r>
      <w:r w:rsidR="005E576D">
        <w:rPr>
          <w:rFonts w:eastAsia="宋体"/>
          <w:color w:val="000000"/>
          <w:sz w:val="24"/>
          <w:szCs w:val="24"/>
        </w:rPr>
        <w:t>标记</w:t>
      </w:r>
      <w:r w:rsidRPr="001F432F">
        <w:rPr>
          <w:rFonts w:eastAsia="宋体"/>
          <w:color w:val="000000"/>
          <w:sz w:val="24"/>
          <w:szCs w:val="24"/>
        </w:rPr>
        <w:t>的额外信息，请查阅</w:t>
      </w:r>
      <w:r w:rsidRPr="001F432F">
        <w:rPr>
          <w:rFonts w:eastAsia="宋体"/>
          <w:color w:val="000000"/>
          <w:sz w:val="24"/>
          <w:szCs w:val="24"/>
          <w:u w:val="single"/>
        </w:rPr>
        <w:t>FDA</w:t>
      </w:r>
      <w:r w:rsidRPr="001F432F">
        <w:rPr>
          <w:rFonts w:eastAsia="宋体"/>
          <w:color w:val="000000"/>
          <w:sz w:val="24"/>
          <w:szCs w:val="24"/>
          <w:u w:val="single"/>
        </w:rPr>
        <w:t>指南</w:t>
      </w:r>
      <w:r w:rsidRPr="001F432F">
        <w:rPr>
          <w:rFonts w:eastAsia="宋体"/>
          <w:color w:val="000000"/>
          <w:sz w:val="24"/>
          <w:szCs w:val="24"/>
        </w:rPr>
        <w:t>：</w:t>
      </w:r>
      <w:r w:rsidR="005E576D">
        <w:rPr>
          <w:rFonts w:eastAsia="宋体"/>
          <w:color w:val="000000"/>
          <w:sz w:val="24"/>
          <w:szCs w:val="24"/>
          <w:u w:val="single"/>
        </w:rPr>
        <w:t>标记</w:t>
      </w:r>
      <w:r w:rsidRPr="001F432F">
        <w:rPr>
          <w:rFonts w:eastAsia="宋体"/>
          <w:color w:val="000000"/>
          <w:sz w:val="24"/>
          <w:szCs w:val="24"/>
          <w:u w:val="single"/>
        </w:rPr>
        <w:t>-</w:t>
      </w:r>
      <w:r w:rsidRPr="001F432F">
        <w:rPr>
          <w:rFonts w:eastAsia="宋体"/>
          <w:color w:val="000000"/>
          <w:sz w:val="24"/>
          <w:szCs w:val="24"/>
          <w:u w:val="single"/>
        </w:rPr>
        <w:t>用于医疗器械的法规要求</w:t>
      </w:r>
    </w:p>
    <w:p w14:paraId="7ADF17E7" w14:textId="77777777" w:rsidR="00CE6F56" w:rsidRPr="001F432F" w:rsidRDefault="00CE6F56" w:rsidP="00FE4CD1">
      <w:pPr>
        <w:shd w:val="clear" w:color="auto" w:fill="FFFFFF"/>
        <w:snapToGrid w:val="0"/>
        <w:jc w:val="both"/>
        <w:rPr>
          <w:rFonts w:eastAsia="宋体"/>
          <w:sz w:val="24"/>
          <w:szCs w:val="24"/>
        </w:rPr>
      </w:pPr>
      <w:r w:rsidRPr="001F432F">
        <w:rPr>
          <w:rFonts w:eastAsia="宋体"/>
          <w:color w:val="000000"/>
          <w:sz w:val="24"/>
          <w:szCs w:val="24"/>
        </w:rPr>
        <w:t>(</w:t>
      </w:r>
      <w:r w:rsidRPr="001F432F">
        <w:rPr>
          <w:rFonts w:eastAsia="宋体"/>
          <w:color w:val="0000FF"/>
          <w:sz w:val="24"/>
          <w:szCs w:val="24"/>
          <w:u w:val="single"/>
        </w:rPr>
        <w:t>http://www.fda.gov/downloads/MedicalDevices/DeviceRegulationandGuidance/GuidanceDocuments/UCM095308.pdf)</w:t>
      </w:r>
    </w:p>
    <w:p w14:paraId="5BA4EF87" w14:textId="77777777" w:rsidR="00CE6F56" w:rsidRPr="001F432F" w:rsidRDefault="00CE6F56" w:rsidP="00CE6F56">
      <w:pPr>
        <w:shd w:val="clear" w:color="auto" w:fill="FFFFFF"/>
        <w:snapToGrid w:val="0"/>
        <w:jc w:val="both"/>
        <w:rPr>
          <w:rFonts w:eastAsia="宋体"/>
          <w:color w:val="000000"/>
          <w:sz w:val="24"/>
          <w:szCs w:val="24"/>
        </w:rPr>
      </w:pPr>
    </w:p>
    <w:p w14:paraId="6185FC8F" w14:textId="2B736AC1" w:rsidR="00CE6F56" w:rsidRPr="001F432F" w:rsidRDefault="005E576D" w:rsidP="00CE6F56">
      <w:pPr>
        <w:shd w:val="clear" w:color="auto" w:fill="FFFFFF"/>
        <w:snapToGrid w:val="0"/>
        <w:jc w:val="both"/>
        <w:rPr>
          <w:rFonts w:eastAsia="宋体"/>
          <w:sz w:val="24"/>
          <w:szCs w:val="24"/>
        </w:rPr>
      </w:pPr>
      <w:r>
        <w:rPr>
          <w:rFonts w:eastAsia="宋体"/>
          <w:color w:val="000000"/>
          <w:sz w:val="24"/>
          <w:szCs w:val="24"/>
        </w:rPr>
        <w:t>标记</w:t>
      </w:r>
      <w:r w:rsidR="00CE6F56" w:rsidRPr="001F432F">
        <w:rPr>
          <w:rFonts w:eastAsia="宋体"/>
          <w:color w:val="000000"/>
          <w:sz w:val="24"/>
          <w:szCs w:val="24"/>
        </w:rPr>
        <w:t>中应包含有关器械电子接口的信息，以便器械能够安全有效地用于其预期用途。此信息应使使用者能够以指定方式连接到器械，并应提供有关如何按照设计方式使用器械连接的正确说明。制造商还应在</w:t>
      </w:r>
      <w:r>
        <w:rPr>
          <w:rFonts w:eastAsia="宋体"/>
          <w:color w:val="000000"/>
          <w:sz w:val="24"/>
          <w:szCs w:val="24"/>
        </w:rPr>
        <w:t>标记</w:t>
      </w:r>
      <w:r w:rsidR="00CE6F56" w:rsidRPr="001F432F">
        <w:rPr>
          <w:rFonts w:eastAsia="宋体"/>
          <w:color w:val="000000"/>
          <w:sz w:val="24"/>
          <w:szCs w:val="24"/>
        </w:rPr>
        <w:t>中包括连接的任何限制，以防止任何误用该器械的行为。注意事项、警告和禁忌症也应包括在器械</w:t>
      </w:r>
      <w:r>
        <w:rPr>
          <w:rFonts w:eastAsia="宋体"/>
          <w:color w:val="000000"/>
          <w:sz w:val="24"/>
          <w:szCs w:val="24"/>
        </w:rPr>
        <w:t>标记</w:t>
      </w:r>
      <w:r w:rsidR="00CE6F56" w:rsidRPr="001F432F">
        <w:rPr>
          <w:rFonts w:eastAsia="宋体"/>
          <w:color w:val="000000"/>
          <w:sz w:val="24"/>
          <w:szCs w:val="24"/>
        </w:rPr>
        <w:t>中。关于使用电子接口的</w:t>
      </w:r>
      <w:r>
        <w:rPr>
          <w:rFonts w:eastAsia="宋体"/>
          <w:color w:val="000000"/>
          <w:sz w:val="24"/>
          <w:szCs w:val="24"/>
        </w:rPr>
        <w:t>标</w:t>
      </w:r>
      <w:r>
        <w:rPr>
          <w:rFonts w:eastAsia="宋体" w:hint="eastAsia"/>
          <w:color w:val="000000"/>
          <w:sz w:val="24"/>
          <w:szCs w:val="24"/>
        </w:rPr>
        <w:t>记</w:t>
      </w:r>
      <w:r w:rsidR="00CE6F56" w:rsidRPr="001F432F">
        <w:rPr>
          <w:rFonts w:eastAsia="宋体"/>
          <w:color w:val="000000"/>
          <w:sz w:val="24"/>
          <w:szCs w:val="24"/>
        </w:rPr>
        <w:t>的确认应考虑人为因素</w:t>
      </w:r>
      <w:r w:rsidR="00CE6F56" w:rsidRPr="001F432F">
        <w:rPr>
          <w:rStyle w:val="a9"/>
          <w:rFonts w:eastAsia="宋体"/>
          <w:sz w:val="24"/>
          <w:szCs w:val="24"/>
        </w:rPr>
        <w:footnoteReference w:id="12"/>
      </w:r>
      <w:r w:rsidR="00CE6F56" w:rsidRPr="001F432F">
        <w:rPr>
          <w:rFonts w:eastAsia="宋体"/>
          <w:color w:val="000000"/>
          <w:sz w:val="24"/>
          <w:szCs w:val="24"/>
        </w:rPr>
        <w:t xml:space="preserve"> </w:t>
      </w:r>
      <w:r w:rsidR="00CE6F56" w:rsidRPr="001F432F">
        <w:rPr>
          <w:rFonts w:eastAsia="宋体"/>
          <w:color w:val="000000"/>
          <w:sz w:val="24"/>
          <w:szCs w:val="24"/>
        </w:rPr>
        <w:t>（视情况而定）。</w:t>
      </w:r>
    </w:p>
    <w:p w14:paraId="6C36F714" w14:textId="77777777" w:rsidR="00CE6F56" w:rsidRPr="001F432F" w:rsidRDefault="00CE6F56" w:rsidP="00FE4CD1">
      <w:pPr>
        <w:shd w:val="clear" w:color="auto" w:fill="FFFFFF"/>
        <w:snapToGrid w:val="0"/>
        <w:jc w:val="both"/>
        <w:rPr>
          <w:rFonts w:eastAsia="宋体"/>
          <w:sz w:val="24"/>
          <w:szCs w:val="24"/>
        </w:rPr>
      </w:pPr>
    </w:p>
    <w:p w14:paraId="13B1A125" w14:textId="77777777" w:rsidR="00CE6F56" w:rsidRPr="001F432F" w:rsidRDefault="00CE6F56" w:rsidP="00FE4CD1">
      <w:pPr>
        <w:shd w:val="clear" w:color="auto" w:fill="FFFFFF"/>
        <w:tabs>
          <w:tab w:val="left" w:pos="182"/>
        </w:tabs>
        <w:snapToGrid w:val="0"/>
        <w:jc w:val="both"/>
        <w:rPr>
          <w:rFonts w:eastAsia="宋体"/>
          <w:color w:val="000000"/>
          <w:sz w:val="24"/>
          <w:szCs w:val="24"/>
          <w:vertAlign w:val="superscript"/>
        </w:rPr>
      </w:pPr>
    </w:p>
    <w:p w14:paraId="207FCB0E" w14:textId="77777777" w:rsidR="00CE6F56" w:rsidRPr="001F432F" w:rsidRDefault="00CE6F56" w:rsidP="00FE4CD1">
      <w:pPr>
        <w:shd w:val="clear" w:color="auto" w:fill="FFFFFF"/>
        <w:tabs>
          <w:tab w:val="left" w:pos="182"/>
        </w:tabs>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619D9DEB" w14:textId="273EE3E5"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lastRenderedPageBreak/>
        <w:t>如果该器械预期仅与几个特定器械交互，则</w:t>
      </w:r>
      <w:r w:rsidR="005E576D">
        <w:rPr>
          <w:rFonts w:eastAsia="宋体"/>
          <w:color w:val="000000"/>
          <w:sz w:val="24"/>
          <w:szCs w:val="24"/>
        </w:rPr>
        <w:t>标记</w:t>
      </w:r>
      <w:r w:rsidRPr="001F432F">
        <w:rPr>
          <w:rFonts w:eastAsia="宋体"/>
          <w:color w:val="000000"/>
          <w:sz w:val="24"/>
          <w:szCs w:val="24"/>
        </w:rPr>
        <w:t>应明确说明该医疗器械预期与列出的特定器械（包括版本）连接，并且不应与其他医疗器械或非医疗器械技术一起使用。如果该接口仅供制造商的技术人员用于软件更新或诊断，则应在</w:t>
      </w:r>
      <w:r w:rsidR="005E576D">
        <w:rPr>
          <w:rFonts w:eastAsia="宋体"/>
          <w:color w:val="000000"/>
          <w:sz w:val="24"/>
          <w:szCs w:val="24"/>
        </w:rPr>
        <w:t>标记</w:t>
      </w:r>
      <w:r w:rsidRPr="001F432F">
        <w:rPr>
          <w:rFonts w:eastAsia="宋体"/>
          <w:color w:val="000000"/>
          <w:sz w:val="24"/>
          <w:szCs w:val="24"/>
        </w:rPr>
        <w:t>中明确说明。在适当的情况下，</w:t>
      </w:r>
      <w:r w:rsidR="005E576D">
        <w:rPr>
          <w:rFonts w:eastAsia="宋体"/>
          <w:color w:val="000000"/>
          <w:sz w:val="24"/>
          <w:szCs w:val="24"/>
        </w:rPr>
        <w:t>标记</w:t>
      </w:r>
      <w:r w:rsidRPr="001F432F">
        <w:rPr>
          <w:rFonts w:eastAsia="宋体"/>
          <w:color w:val="000000"/>
          <w:sz w:val="24"/>
          <w:szCs w:val="24"/>
        </w:rPr>
        <w:t>应包括说明器械上的电子接口不用于连接到其他医疗器械或非医疗器械技术，并且电子接口的使用仅保留给制造商的代表。</w:t>
      </w:r>
    </w:p>
    <w:p w14:paraId="76C0254C" w14:textId="77777777" w:rsidR="00CE6F56" w:rsidRPr="001F432F" w:rsidRDefault="00CE6F56" w:rsidP="00FE4CD1">
      <w:pPr>
        <w:shd w:val="clear" w:color="auto" w:fill="FFFFFF"/>
        <w:snapToGrid w:val="0"/>
        <w:jc w:val="both"/>
        <w:rPr>
          <w:rFonts w:eastAsia="宋体"/>
          <w:sz w:val="24"/>
          <w:szCs w:val="24"/>
        </w:rPr>
      </w:pPr>
    </w:p>
    <w:p w14:paraId="4463C826" w14:textId="32B9937F" w:rsidR="00CE6F56" w:rsidRPr="001F432F" w:rsidRDefault="00CE6F56" w:rsidP="00FE4CD1">
      <w:pPr>
        <w:shd w:val="clear" w:color="auto" w:fill="FFFFFF"/>
        <w:snapToGrid w:val="0"/>
        <w:jc w:val="both"/>
        <w:rPr>
          <w:rFonts w:eastAsia="宋体"/>
          <w:color w:val="000000"/>
          <w:sz w:val="24"/>
          <w:szCs w:val="24"/>
        </w:rPr>
      </w:pPr>
      <w:r w:rsidRPr="001F432F">
        <w:rPr>
          <w:rFonts w:eastAsia="宋体"/>
          <w:color w:val="000000"/>
          <w:sz w:val="24"/>
          <w:szCs w:val="24"/>
        </w:rPr>
        <w:t>FDA</w:t>
      </w:r>
      <w:r w:rsidRPr="001F432F">
        <w:rPr>
          <w:rFonts w:eastAsia="宋体"/>
          <w:color w:val="000000"/>
          <w:sz w:val="24"/>
          <w:szCs w:val="24"/>
        </w:rPr>
        <w:t>建议根据医疗器械接口的用途，在器械</w:t>
      </w:r>
      <w:r w:rsidR="005E576D">
        <w:rPr>
          <w:rFonts w:eastAsia="宋体"/>
          <w:color w:val="000000"/>
          <w:sz w:val="24"/>
          <w:szCs w:val="24"/>
        </w:rPr>
        <w:t>标记</w:t>
      </w:r>
      <w:r w:rsidRPr="001F432F">
        <w:rPr>
          <w:rFonts w:eastAsia="宋体"/>
          <w:color w:val="000000"/>
          <w:sz w:val="24"/>
          <w:szCs w:val="24"/>
        </w:rPr>
        <w:t>中包含以下信息（视情况而定）：</w:t>
      </w:r>
    </w:p>
    <w:p w14:paraId="4302373E" w14:textId="77777777" w:rsidR="00CE6F56" w:rsidRPr="001F432F" w:rsidRDefault="00CE6F56" w:rsidP="00FE4CD1">
      <w:pPr>
        <w:shd w:val="clear" w:color="auto" w:fill="FFFFFF"/>
        <w:snapToGrid w:val="0"/>
        <w:jc w:val="both"/>
        <w:rPr>
          <w:rFonts w:eastAsia="宋体"/>
          <w:sz w:val="24"/>
          <w:szCs w:val="24"/>
        </w:rPr>
      </w:pPr>
    </w:p>
    <w:p w14:paraId="470E0C68"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接口的用途包括与其连接的任何器械、器械类型、接口标准</w:t>
      </w:r>
      <w:r w:rsidRPr="001F432F">
        <w:rPr>
          <w:rFonts w:eastAsia="宋体"/>
          <w:color w:val="000000"/>
          <w:sz w:val="24"/>
          <w:szCs w:val="24"/>
        </w:rPr>
        <w:t>/</w:t>
      </w:r>
      <w:r w:rsidRPr="001F432F">
        <w:rPr>
          <w:rFonts w:eastAsia="宋体"/>
          <w:color w:val="000000"/>
          <w:sz w:val="24"/>
          <w:szCs w:val="24"/>
        </w:rPr>
        <w:t>规范或软件（包括软件版本）；</w:t>
      </w:r>
    </w:p>
    <w:p w14:paraId="00FEC52E"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004826CF">
        <w:rPr>
          <w:rFonts w:eastAsia="宋体"/>
          <w:color w:val="000000"/>
          <w:sz w:val="24"/>
          <w:szCs w:val="24"/>
        </w:rPr>
        <w:t>预期用户</w:t>
      </w:r>
      <w:r w:rsidRPr="001F432F">
        <w:rPr>
          <w:rFonts w:eastAsia="宋体"/>
          <w:color w:val="000000"/>
          <w:sz w:val="24"/>
          <w:szCs w:val="24"/>
        </w:rPr>
        <w:t>；</w:t>
      </w:r>
    </w:p>
    <w:p w14:paraId="48DF2F8E"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连接是否预期控制另一个器械的操作；</w:t>
      </w:r>
    </w:p>
    <w:p w14:paraId="35303D1E"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每个接口的规格（例如生理波形、探头类型、准确度、响应频率、更新速率、数据速率、带宽），以及来自器械的与数据</w:t>
      </w:r>
      <w:r w:rsidRPr="001F432F">
        <w:rPr>
          <w:rFonts w:eastAsia="宋体"/>
          <w:color w:val="000000"/>
          <w:sz w:val="24"/>
          <w:szCs w:val="24"/>
        </w:rPr>
        <w:t>/</w:t>
      </w:r>
      <w:r w:rsidRPr="001F432F">
        <w:rPr>
          <w:rFonts w:eastAsia="宋体"/>
          <w:color w:val="000000"/>
          <w:sz w:val="24"/>
          <w:szCs w:val="24"/>
        </w:rPr>
        <w:t>控制的发送或接收相关的必要性能和功能要求；</w:t>
      </w:r>
    </w:p>
    <w:p w14:paraId="16A587BC" w14:textId="145C37AC"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00800F20">
        <w:rPr>
          <w:rFonts w:eastAsia="宋体" w:hint="eastAsia"/>
          <w:color w:val="000000"/>
          <w:sz w:val="24"/>
          <w:szCs w:val="24"/>
        </w:rPr>
        <w:t>可</w:t>
      </w:r>
      <w:r w:rsidRPr="001F432F">
        <w:rPr>
          <w:rFonts w:eastAsia="宋体"/>
          <w:color w:val="000000"/>
          <w:sz w:val="24"/>
          <w:szCs w:val="24"/>
        </w:rPr>
        <w:t>交换的数据属性列表；</w:t>
      </w:r>
    </w:p>
    <w:p w14:paraId="6754F6FC" w14:textId="30D06E5E"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在验证互操作性声明的接口上执行的测试总结以及为使用者验证安全操作而建议任何活动</w:t>
      </w:r>
      <w:r w:rsidR="00800F20">
        <w:rPr>
          <w:rFonts w:eastAsia="宋体" w:hint="eastAsia"/>
          <w:color w:val="000000"/>
          <w:sz w:val="24"/>
          <w:szCs w:val="24"/>
        </w:rPr>
        <w:t>。</w:t>
      </w:r>
      <w:r w:rsidRPr="001F432F">
        <w:rPr>
          <w:rFonts w:eastAsia="宋体"/>
          <w:color w:val="000000"/>
          <w:sz w:val="24"/>
          <w:szCs w:val="24"/>
        </w:rPr>
        <w:t>在对接口规格进行测试并用代表性器械进行验证的情况下，制造商应指定使用的代表性器械；</w:t>
      </w:r>
    </w:p>
    <w:p w14:paraId="41940A86"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使用的相关标准和收到的认证；</w:t>
      </w:r>
    </w:p>
    <w:p w14:paraId="67647C83"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用于时间同步的任何方法；</w:t>
      </w:r>
    </w:p>
    <w:p w14:paraId="15099285"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对允许使用者理解如何正确使用界面的关键功能（例如，传递能量）的任何容错行为、边界条件测试或故障安全的描述；</w:t>
      </w:r>
    </w:p>
    <w:p w14:paraId="2B46C57E"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任何已知限制（使用者不应做什么）、禁忌症、注意事项和警告；</w:t>
      </w:r>
    </w:p>
    <w:p w14:paraId="5513500F" w14:textId="77777777" w:rsidR="00CE6F56" w:rsidRPr="001F432F" w:rsidRDefault="00CE6F56" w:rsidP="00FE4CD1">
      <w:pPr>
        <w:shd w:val="clear" w:color="auto" w:fill="FFFFFF"/>
        <w:snapToGrid w:val="0"/>
        <w:jc w:val="both"/>
        <w:rPr>
          <w:rFonts w:eastAsia="宋体"/>
          <w:sz w:val="24"/>
          <w:szCs w:val="24"/>
        </w:rPr>
      </w:pPr>
    </w:p>
    <w:p w14:paraId="60F32EC2" w14:textId="77777777" w:rsidR="00CE6F56" w:rsidRPr="001F432F" w:rsidRDefault="00CE6F56" w:rsidP="00FE4CD1">
      <w:pPr>
        <w:shd w:val="clear" w:color="auto" w:fill="FFFFFF"/>
        <w:snapToGrid w:val="0"/>
        <w:jc w:val="both"/>
        <w:rPr>
          <w:rFonts w:eastAsia="宋体"/>
          <w:sz w:val="24"/>
          <w:szCs w:val="24"/>
        </w:rPr>
        <w:sectPr w:rsidR="00CE6F56" w:rsidRPr="001F432F" w:rsidSect="00FE4CD1">
          <w:pgSz w:w="11906" w:h="16838"/>
          <w:pgMar w:top="1134" w:right="1417" w:bottom="1134" w:left="1417" w:header="850" w:footer="720" w:gutter="0"/>
          <w:cols w:space="60"/>
          <w:noEndnote/>
          <w:docGrid w:linePitch="272"/>
        </w:sectPr>
      </w:pPr>
    </w:p>
    <w:p w14:paraId="6C55A41D"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lastRenderedPageBreak/>
        <w:t>•</w:t>
      </w:r>
      <w:r w:rsidRPr="001F432F">
        <w:rPr>
          <w:rFonts w:eastAsia="宋体"/>
          <w:color w:val="000000"/>
          <w:sz w:val="24"/>
          <w:szCs w:val="24"/>
        </w:rPr>
        <w:tab/>
      </w:r>
      <w:r w:rsidRPr="001F432F">
        <w:rPr>
          <w:rFonts w:eastAsia="宋体"/>
          <w:color w:val="000000"/>
          <w:sz w:val="24"/>
          <w:szCs w:val="24"/>
        </w:rPr>
        <w:t>推荐的连接；</w:t>
      </w:r>
    </w:p>
    <w:p w14:paraId="2C85CBFF" w14:textId="77777777" w:rsidR="00CE6F56" w:rsidRPr="001F432F" w:rsidRDefault="00CE6F56" w:rsidP="00CE6F56">
      <w:pPr>
        <w:shd w:val="clear" w:color="auto" w:fill="FFFFFF"/>
        <w:snapToGrid w:val="0"/>
        <w:ind w:leftChars="480" w:left="1275" w:hanging="315"/>
        <w:jc w:val="both"/>
        <w:rPr>
          <w:rFonts w:eastAsia="宋体"/>
          <w:sz w:val="24"/>
          <w:szCs w:val="24"/>
        </w:rPr>
      </w:pPr>
      <w:r w:rsidRPr="001F432F">
        <w:rPr>
          <w:rFonts w:eastAsia="宋体"/>
          <w:color w:val="000000"/>
          <w:sz w:val="24"/>
          <w:szCs w:val="24"/>
        </w:rPr>
        <w:t>•</w:t>
      </w:r>
      <w:r w:rsidRPr="001F432F">
        <w:rPr>
          <w:rFonts w:eastAsia="宋体"/>
          <w:color w:val="000000"/>
          <w:sz w:val="24"/>
          <w:szCs w:val="24"/>
        </w:rPr>
        <w:tab/>
      </w:r>
      <w:r w:rsidRPr="001F432F">
        <w:rPr>
          <w:rFonts w:eastAsia="宋体"/>
          <w:color w:val="000000"/>
          <w:sz w:val="24"/>
          <w:szCs w:val="24"/>
        </w:rPr>
        <w:t>推荐的电子接口设置或配置；以及</w:t>
      </w:r>
    </w:p>
    <w:p w14:paraId="23EFB900" w14:textId="7226228F" w:rsidR="00CE6F56" w:rsidRPr="001F432F" w:rsidRDefault="00CE6F56" w:rsidP="00CE6F56">
      <w:pPr>
        <w:shd w:val="clear" w:color="auto" w:fill="FFFFFF"/>
        <w:snapToGrid w:val="0"/>
        <w:ind w:leftChars="480" w:left="1275" w:hanging="315"/>
        <w:jc w:val="both"/>
        <w:rPr>
          <w:rFonts w:eastAsia="宋体"/>
          <w:color w:val="000000"/>
          <w:sz w:val="24"/>
          <w:szCs w:val="24"/>
        </w:rPr>
      </w:pPr>
      <w:r w:rsidRPr="001F432F">
        <w:rPr>
          <w:rFonts w:eastAsia="宋体"/>
          <w:color w:val="000000"/>
          <w:sz w:val="24"/>
          <w:szCs w:val="24"/>
        </w:rPr>
        <w:t>•</w:t>
      </w:r>
      <w:r w:rsidRPr="001F432F">
        <w:rPr>
          <w:rFonts w:eastAsia="宋体"/>
          <w:color w:val="000000"/>
          <w:sz w:val="24"/>
          <w:szCs w:val="24"/>
        </w:rPr>
        <w:tab/>
      </w:r>
      <w:r w:rsidR="00800F20">
        <w:rPr>
          <w:rFonts w:eastAsia="宋体" w:hint="eastAsia"/>
          <w:color w:val="000000"/>
          <w:sz w:val="24"/>
          <w:szCs w:val="24"/>
        </w:rPr>
        <w:t>提供给</w:t>
      </w:r>
      <w:r w:rsidR="00800F20" w:rsidRPr="001F432F">
        <w:rPr>
          <w:rFonts w:eastAsia="宋体"/>
          <w:color w:val="000000"/>
          <w:sz w:val="24"/>
          <w:szCs w:val="24"/>
        </w:rPr>
        <w:t>特定使用者（如</w:t>
      </w:r>
      <w:r w:rsidR="00800F20" w:rsidRPr="001F432F">
        <w:rPr>
          <w:rFonts w:eastAsia="宋体"/>
          <w:color w:val="000000"/>
          <w:sz w:val="24"/>
          <w:szCs w:val="24"/>
        </w:rPr>
        <w:t>IT</w:t>
      </w:r>
      <w:r w:rsidR="00800F20" w:rsidRPr="001F432F">
        <w:rPr>
          <w:rFonts w:eastAsia="宋体"/>
          <w:color w:val="000000"/>
          <w:sz w:val="24"/>
          <w:szCs w:val="24"/>
        </w:rPr>
        <w:t>人员）</w:t>
      </w:r>
      <w:r w:rsidR="00800F20">
        <w:rPr>
          <w:rFonts w:eastAsia="宋体" w:hint="eastAsia"/>
          <w:color w:val="000000"/>
          <w:sz w:val="24"/>
          <w:szCs w:val="24"/>
        </w:rPr>
        <w:t>的</w:t>
      </w:r>
      <w:r w:rsidRPr="001F432F">
        <w:rPr>
          <w:rFonts w:eastAsia="宋体"/>
          <w:color w:val="000000"/>
          <w:sz w:val="24"/>
          <w:szCs w:val="24"/>
        </w:rPr>
        <w:t>有关如何连接或安装以及断开或卸载器械的说明。</w:t>
      </w:r>
    </w:p>
    <w:p w14:paraId="3E98F3CA" w14:textId="77777777" w:rsidR="00CE6F56" w:rsidRPr="001F432F" w:rsidRDefault="00CE6F56" w:rsidP="00FE4CD1">
      <w:pPr>
        <w:shd w:val="clear" w:color="auto" w:fill="FFFFFF"/>
        <w:tabs>
          <w:tab w:val="left" w:pos="360"/>
        </w:tabs>
        <w:snapToGrid w:val="0"/>
        <w:jc w:val="both"/>
        <w:rPr>
          <w:rFonts w:eastAsia="宋体"/>
          <w:color w:val="000000"/>
          <w:sz w:val="24"/>
          <w:szCs w:val="24"/>
        </w:rPr>
      </w:pPr>
    </w:p>
    <w:p w14:paraId="0CCD6E78" w14:textId="77777777" w:rsidR="00CE6F56" w:rsidRPr="001F432F" w:rsidRDefault="00CE6F56" w:rsidP="00CE6F56">
      <w:pPr>
        <w:pBdr>
          <w:bottom w:val="double" w:sz="4" w:space="1" w:color="auto"/>
        </w:pBdr>
        <w:shd w:val="clear" w:color="auto" w:fill="FFFFFF"/>
        <w:tabs>
          <w:tab w:val="left" w:pos="360"/>
        </w:tabs>
        <w:snapToGrid w:val="0"/>
        <w:jc w:val="both"/>
        <w:rPr>
          <w:rFonts w:eastAsia="宋体"/>
          <w:color w:val="000000"/>
          <w:sz w:val="24"/>
          <w:szCs w:val="24"/>
        </w:rPr>
      </w:pPr>
    </w:p>
    <w:p w14:paraId="40139C27" w14:textId="77777777" w:rsidR="00CE6F56" w:rsidRPr="001F432F" w:rsidRDefault="00CE6F56" w:rsidP="00FE4CD1">
      <w:pPr>
        <w:shd w:val="clear" w:color="auto" w:fill="FFFFFF"/>
        <w:tabs>
          <w:tab w:val="left" w:pos="360"/>
        </w:tabs>
        <w:snapToGrid w:val="0"/>
        <w:jc w:val="both"/>
        <w:rPr>
          <w:rFonts w:eastAsia="宋体"/>
          <w:sz w:val="24"/>
          <w:szCs w:val="24"/>
        </w:rPr>
      </w:pPr>
    </w:p>
    <w:sectPr w:rsidR="00CE6F56" w:rsidRPr="001F432F" w:rsidSect="00FE4CD1">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0795" w14:textId="77777777" w:rsidR="00797844" w:rsidRDefault="00797844" w:rsidP="003E1C97">
      <w:r>
        <w:separator/>
      </w:r>
    </w:p>
  </w:endnote>
  <w:endnote w:type="continuationSeparator" w:id="0">
    <w:p w14:paraId="10B48E48" w14:textId="77777777" w:rsidR="00797844" w:rsidRDefault="00797844" w:rsidP="003E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8C35" w14:textId="0CC4D2F7" w:rsidR="00CE6F56" w:rsidRPr="00CE6F56" w:rsidRDefault="00CC5685" w:rsidP="00CE6F56">
    <w:pPr>
      <w:pStyle w:val="a5"/>
      <w:jc w:val="right"/>
      <w:rPr>
        <w:sz w:val="21"/>
        <w:szCs w:val="21"/>
      </w:rPr>
    </w:pPr>
    <w:r>
      <w:rPr>
        <w:sz w:val="21"/>
        <w:szCs w:val="21"/>
      </w:rPr>
      <w:fldChar w:fldCharType="begin"/>
    </w:r>
    <w:r w:rsidR="00CE6F56">
      <w:rPr>
        <w:sz w:val="21"/>
        <w:szCs w:val="21"/>
      </w:rPr>
      <w:instrText>PAGE   \* MERGEFORMAT</w:instrText>
    </w:r>
    <w:r>
      <w:rPr>
        <w:sz w:val="21"/>
        <w:szCs w:val="21"/>
      </w:rPr>
      <w:fldChar w:fldCharType="separate"/>
    </w:r>
    <w:r w:rsidR="00065907">
      <w:rPr>
        <w:noProof/>
        <w:sz w:val="21"/>
        <w:szCs w:val="21"/>
      </w:rPr>
      <w:t>16</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25496" w14:textId="77777777" w:rsidR="00797844" w:rsidRDefault="00797844" w:rsidP="003E1C97">
      <w:r>
        <w:separator/>
      </w:r>
    </w:p>
  </w:footnote>
  <w:footnote w:type="continuationSeparator" w:id="0">
    <w:p w14:paraId="255A4BDF" w14:textId="77777777" w:rsidR="00797844" w:rsidRDefault="00797844" w:rsidP="003E1C97">
      <w:r>
        <w:continuationSeparator/>
      </w:r>
    </w:p>
  </w:footnote>
  <w:footnote w:id="1">
    <w:p w14:paraId="1590198C" w14:textId="77777777" w:rsidR="00CE6F56" w:rsidRPr="001F432F" w:rsidRDefault="00CE6F56" w:rsidP="00CE6F56">
      <w:pPr>
        <w:pStyle w:val="a7"/>
        <w:rPr>
          <w:rFonts w:eastAsia="宋体"/>
        </w:rPr>
      </w:pPr>
      <w:r w:rsidRPr="001F432F">
        <w:rPr>
          <w:rStyle w:val="a9"/>
          <w:rFonts w:eastAsia="宋体"/>
        </w:rPr>
        <w:footnoteRef/>
      </w:r>
      <w:r w:rsidRPr="001F432F">
        <w:rPr>
          <w:rFonts w:eastAsia="宋体"/>
        </w:rPr>
        <w:t xml:space="preserve"> </w:t>
      </w:r>
      <w:r w:rsidRPr="001F432F">
        <w:rPr>
          <w:rFonts w:eastAsia="宋体"/>
          <w:color w:val="221E1F"/>
        </w:rPr>
        <w:t>见美国电气和电子工程师协会（</w:t>
      </w:r>
      <w:r w:rsidRPr="001F432F">
        <w:rPr>
          <w:rFonts w:eastAsia="宋体"/>
          <w:color w:val="221E1F"/>
        </w:rPr>
        <w:t>IEEE</w:t>
      </w:r>
      <w:r w:rsidRPr="001F432F">
        <w:rPr>
          <w:rFonts w:eastAsia="宋体"/>
          <w:color w:val="221E1F"/>
        </w:rPr>
        <w:t>）标准计算机词典：</w:t>
      </w:r>
      <w:r w:rsidRPr="001F432F">
        <w:rPr>
          <w:rFonts w:eastAsia="宋体"/>
          <w:color w:val="221E1F"/>
        </w:rPr>
        <w:t>IEEE</w:t>
      </w:r>
      <w:r w:rsidRPr="001F432F">
        <w:rPr>
          <w:rFonts w:eastAsia="宋体"/>
          <w:color w:val="221E1F"/>
        </w:rPr>
        <w:t>标准计算机词汇汇编（纽约市，纽约州：</w:t>
      </w:r>
      <w:r w:rsidRPr="001F432F">
        <w:rPr>
          <w:rFonts w:eastAsia="宋体"/>
          <w:color w:val="221E1F"/>
        </w:rPr>
        <w:t>1990</w:t>
      </w:r>
      <w:r w:rsidRPr="001F432F">
        <w:rPr>
          <w:rFonts w:eastAsia="宋体"/>
          <w:color w:val="221E1F"/>
        </w:rPr>
        <w:t>年）。</w:t>
      </w:r>
    </w:p>
  </w:footnote>
  <w:footnote w:id="2">
    <w:p w14:paraId="5430C402" w14:textId="77777777" w:rsidR="00CE6F56" w:rsidRPr="001F432F" w:rsidRDefault="00CE6F56" w:rsidP="00CE6F56">
      <w:pPr>
        <w:pStyle w:val="a7"/>
        <w:rPr>
          <w:rFonts w:eastAsia="宋体"/>
        </w:rPr>
      </w:pPr>
      <w:r w:rsidRPr="001F432F">
        <w:rPr>
          <w:rStyle w:val="a9"/>
          <w:rFonts w:eastAsia="宋体"/>
        </w:rPr>
        <w:footnoteRef/>
      </w:r>
      <w:r w:rsidRPr="001F432F">
        <w:rPr>
          <w:rFonts w:eastAsia="宋体"/>
        </w:rPr>
        <w:t xml:space="preserve"> </w:t>
      </w:r>
      <w:r w:rsidRPr="001F432F">
        <w:rPr>
          <w:rFonts w:eastAsia="宋体"/>
          <w:color w:val="000000"/>
        </w:rPr>
        <w:t>制造商还可以考虑将本指南用于临床试验用器械豁免（</w:t>
      </w:r>
      <w:r w:rsidRPr="001F432F">
        <w:rPr>
          <w:rFonts w:eastAsia="宋体"/>
          <w:color w:val="000000"/>
        </w:rPr>
        <w:t>IDE</w:t>
      </w:r>
      <w:r w:rsidRPr="001F432F">
        <w:rPr>
          <w:rFonts w:eastAsia="宋体"/>
          <w:color w:val="000000"/>
        </w:rPr>
        <w:t>）递交资料、新药临床试验申请（</w:t>
      </w:r>
      <w:r w:rsidRPr="001F432F">
        <w:rPr>
          <w:rFonts w:eastAsia="宋体"/>
          <w:color w:val="000000"/>
        </w:rPr>
        <w:t>IND</w:t>
      </w:r>
      <w:r w:rsidRPr="001F432F">
        <w:rPr>
          <w:rFonts w:eastAsia="宋体"/>
          <w:color w:val="000000"/>
        </w:rPr>
        <w:t>）递交资料和免于上市前审评的器械（视情况而定）。对于</w:t>
      </w:r>
      <w:r w:rsidRPr="001F432F">
        <w:rPr>
          <w:rFonts w:eastAsia="宋体"/>
          <w:color w:val="000000"/>
        </w:rPr>
        <w:t>IDE</w:t>
      </w:r>
      <w:r w:rsidRPr="001F432F">
        <w:rPr>
          <w:rFonts w:eastAsia="宋体"/>
          <w:color w:val="000000"/>
        </w:rPr>
        <w:t>研究的主要目的包括两个或多个器械的交互的研究，申办者可能希望考虑本指导文件中的建议。</w:t>
      </w:r>
    </w:p>
  </w:footnote>
  <w:footnote w:id="3">
    <w:p w14:paraId="6DDC6ABF" w14:textId="77777777" w:rsidR="00CE6F56" w:rsidRPr="001F432F" w:rsidRDefault="00CE6F56" w:rsidP="00CE6F56">
      <w:pPr>
        <w:shd w:val="clear" w:color="auto" w:fill="FFFFFF"/>
        <w:snapToGrid w:val="0"/>
        <w:rPr>
          <w:rFonts w:eastAsia="宋体"/>
          <w:sz w:val="18"/>
          <w:szCs w:val="18"/>
        </w:rPr>
      </w:pPr>
      <w:r w:rsidRPr="001F432F">
        <w:rPr>
          <w:rStyle w:val="a9"/>
          <w:rFonts w:eastAsia="宋体"/>
          <w:sz w:val="18"/>
          <w:szCs w:val="18"/>
        </w:rPr>
        <w:footnoteRef/>
      </w:r>
      <w:r w:rsidRPr="001F432F">
        <w:rPr>
          <w:rFonts w:eastAsia="宋体"/>
          <w:sz w:val="18"/>
          <w:szCs w:val="18"/>
        </w:rPr>
        <w:t xml:space="preserve"> </w:t>
      </w:r>
      <w:r w:rsidRPr="001F432F">
        <w:rPr>
          <w:rFonts w:eastAsia="宋体"/>
          <w:color w:val="000000"/>
          <w:sz w:val="18"/>
          <w:szCs w:val="18"/>
        </w:rPr>
        <w:t>作为参考，其他人将</w:t>
      </w:r>
      <w:r w:rsidRPr="001F432F">
        <w:rPr>
          <w:rFonts w:eastAsia="宋体"/>
          <w:color w:val="000000"/>
          <w:sz w:val="18"/>
          <w:szCs w:val="18"/>
        </w:rPr>
        <w:t>“</w:t>
      </w:r>
      <w:r w:rsidRPr="001F432F">
        <w:rPr>
          <w:rFonts w:eastAsia="宋体"/>
          <w:color w:val="000000"/>
          <w:sz w:val="18"/>
          <w:szCs w:val="18"/>
        </w:rPr>
        <w:t>互操作性级别</w:t>
      </w:r>
      <w:r w:rsidRPr="001F432F">
        <w:rPr>
          <w:rFonts w:eastAsia="宋体"/>
          <w:color w:val="000000"/>
          <w:sz w:val="18"/>
          <w:szCs w:val="18"/>
        </w:rPr>
        <w:t>”</w:t>
      </w:r>
      <w:r w:rsidRPr="001F432F">
        <w:rPr>
          <w:rFonts w:eastAsia="宋体"/>
          <w:color w:val="000000"/>
          <w:sz w:val="18"/>
          <w:szCs w:val="18"/>
        </w:rPr>
        <w:t>的概念描述如下：</w:t>
      </w:r>
    </w:p>
    <w:p w14:paraId="3BF8226A" w14:textId="1D8A2D17" w:rsidR="00CE6F56" w:rsidRPr="001F432F" w:rsidRDefault="00CE6F56" w:rsidP="00CE6F56">
      <w:pPr>
        <w:shd w:val="clear" w:color="auto" w:fill="FFFFFF"/>
        <w:snapToGrid w:val="0"/>
        <w:ind w:left="270" w:hangingChars="150" w:hanging="270"/>
        <w:rPr>
          <w:rFonts w:eastAsia="宋体"/>
          <w:sz w:val="18"/>
          <w:szCs w:val="18"/>
        </w:rPr>
      </w:pPr>
      <w:r w:rsidRPr="001F432F">
        <w:rPr>
          <w:rFonts w:eastAsia="宋体"/>
          <w:color w:val="000000"/>
          <w:sz w:val="18"/>
          <w:szCs w:val="18"/>
        </w:rPr>
        <w:t>•</w:t>
      </w:r>
      <w:r w:rsidRPr="001F432F">
        <w:rPr>
          <w:rFonts w:eastAsia="宋体"/>
          <w:color w:val="000000"/>
          <w:sz w:val="18"/>
          <w:szCs w:val="18"/>
        </w:rPr>
        <w:tab/>
        <w:t>Turnitsa</w:t>
      </w:r>
      <w:r w:rsidRPr="001F432F">
        <w:rPr>
          <w:rFonts w:eastAsia="宋体"/>
          <w:color w:val="000000"/>
          <w:sz w:val="18"/>
          <w:szCs w:val="18"/>
        </w:rPr>
        <w:t>，</w:t>
      </w:r>
      <w:r w:rsidRPr="001F432F">
        <w:rPr>
          <w:rFonts w:eastAsia="宋体"/>
          <w:color w:val="000000"/>
          <w:sz w:val="18"/>
          <w:szCs w:val="18"/>
        </w:rPr>
        <w:t>C.D.</w:t>
      </w:r>
      <w:r w:rsidRPr="001F432F">
        <w:rPr>
          <w:rFonts w:eastAsia="宋体"/>
          <w:color w:val="000000"/>
          <w:sz w:val="18"/>
          <w:szCs w:val="18"/>
        </w:rPr>
        <w:t>（</w:t>
      </w:r>
      <w:r w:rsidRPr="001F432F">
        <w:rPr>
          <w:rFonts w:eastAsia="宋体"/>
          <w:color w:val="000000"/>
          <w:sz w:val="18"/>
          <w:szCs w:val="18"/>
        </w:rPr>
        <w:t>2005</w:t>
      </w:r>
      <w:r w:rsidRPr="001F432F">
        <w:rPr>
          <w:rFonts w:eastAsia="宋体"/>
          <w:color w:val="000000"/>
          <w:sz w:val="18"/>
          <w:szCs w:val="18"/>
        </w:rPr>
        <w:t>年）。</w:t>
      </w:r>
      <w:r w:rsidRPr="001F432F">
        <w:rPr>
          <w:rFonts w:eastAsia="宋体"/>
          <w:color w:val="000000"/>
          <w:sz w:val="18"/>
          <w:szCs w:val="18"/>
        </w:rPr>
        <w:t>“</w:t>
      </w:r>
      <w:r w:rsidRPr="001F432F">
        <w:rPr>
          <w:rFonts w:eastAsia="宋体"/>
          <w:color w:val="000000"/>
          <w:sz w:val="18"/>
          <w:szCs w:val="18"/>
        </w:rPr>
        <w:t>概念互操作性模型的级别</w:t>
      </w:r>
      <w:r w:rsidR="00C11BF9" w:rsidRPr="001F432F">
        <w:rPr>
          <w:rFonts w:eastAsia="宋体"/>
          <w:color w:val="000000"/>
          <w:sz w:val="18"/>
          <w:szCs w:val="18"/>
        </w:rPr>
        <w:t>扩展</w:t>
      </w:r>
      <w:r w:rsidRPr="001F432F">
        <w:rPr>
          <w:rFonts w:eastAsia="宋体"/>
          <w:color w:val="000000"/>
          <w:sz w:val="18"/>
          <w:szCs w:val="18"/>
        </w:rPr>
        <w:t>”</w:t>
      </w:r>
      <w:r w:rsidRPr="001F432F">
        <w:rPr>
          <w:rFonts w:eastAsia="宋体"/>
          <w:color w:val="000000"/>
          <w:sz w:val="18"/>
          <w:szCs w:val="18"/>
        </w:rPr>
        <w:t>。</w:t>
      </w:r>
      <w:r w:rsidRPr="001F432F">
        <w:rPr>
          <w:rFonts w:eastAsia="宋体"/>
          <w:color w:val="000000"/>
          <w:sz w:val="18"/>
          <w:szCs w:val="18"/>
        </w:rPr>
        <w:t>IEEE</w:t>
      </w:r>
      <w:r w:rsidRPr="001F432F">
        <w:rPr>
          <w:rFonts w:eastAsia="宋体"/>
          <w:color w:val="000000"/>
          <w:sz w:val="18"/>
          <w:szCs w:val="18"/>
        </w:rPr>
        <w:t>夏季计算机模拟会议会议录，</w:t>
      </w:r>
      <w:r w:rsidRPr="001F432F">
        <w:rPr>
          <w:rFonts w:eastAsia="宋体"/>
          <w:color w:val="000000"/>
          <w:sz w:val="18"/>
          <w:szCs w:val="18"/>
        </w:rPr>
        <w:t>IEEE CS</w:t>
      </w:r>
      <w:r w:rsidRPr="001F432F">
        <w:rPr>
          <w:rFonts w:eastAsia="宋体"/>
          <w:color w:val="000000"/>
          <w:sz w:val="18"/>
          <w:szCs w:val="18"/>
        </w:rPr>
        <w:t>出版社。</w:t>
      </w:r>
    </w:p>
    <w:p w14:paraId="394D0E41" w14:textId="77777777" w:rsidR="00CE6F56" w:rsidRPr="001F432F" w:rsidRDefault="00CE6F56" w:rsidP="00CE6F56">
      <w:pPr>
        <w:shd w:val="clear" w:color="auto" w:fill="FFFFFF"/>
        <w:snapToGrid w:val="0"/>
        <w:ind w:left="270" w:hangingChars="150" w:hanging="270"/>
        <w:rPr>
          <w:rFonts w:eastAsia="宋体"/>
          <w:sz w:val="18"/>
          <w:szCs w:val="18"/>
        </w:rPr>
      </w:pPr>
      <w:r w:rsidRPr="001F432F">
        <w:rPr>
          <w:rFonts w:eastAsia="宋体"/>
          <w:color w:val="000000"/>
          <w:sz w:val="18"/>
          <w:szCs w:val="18"/>
        </w:rPr>
        <w:t>•</w:t>
      </w:r>
      <w:r w:rsidRPr="001F432F">
        <w:rPr>
          <w:rFonts w:eastAsia="宋体"/>
          <w:color w:val="000000"/>
          <w:sz w:val="18"/>
          <w:szCs w:val="18"/>
        </w:rPr>
        <w:tab/>
      </w:r>
      <w:r w:rsidRPr="001F432F">
        <w:rPr>
          <w:rFonts w:eastAsia="宋体"/>
          <w:color w:val="000000"/>
          <w:sz w:val="18"/>
          <w:szCs w:val="18"/>
        </w:rPr>
        <w:t>美国医疗信息和管理系统协会（</w:t>
      </w:r>
      <w:r w:rsidRPr="001F432F">
        <w:rPr>
          <w:rFonts w:eastAsia="宋体"/>
          <w:color w:val="000000"/>
          <w:sz w:val="18"/>
          <w:szCs w:val="18"/>
        </w:rPr>
        <w:t>HiMMS</w:t>
      </w:r>
      <w:r w:rsidRPr="001F432F">
        <w:rPr>
          <w:rFonts w:eastAsia="宋体"/>
          <w:color w:val="000000"/>
          <w:sz w:val="18"/>
          <w:szCs w:val="18"/>
        </w:rPr>
        <w:t>）医疗信息技术术语、首字母缩略词和组织词典，第</w:t>
      </w:r>
      <w:r w:rsidRPr="001F432F">
        <w:rPr>
          <w:rFonts w:eastAsia="宋体"/>
          <w:color w:val="000000"/>
          <w:sz w:val="18"/>
          <w:szCs w:val="18"/>
        </w:rPr>
        <w:t>2</w:t>
      </w:r>
      <w:r w:rsidRPr="001F432F">
        <w:rPr>
          <w:rFonts w:eastAsia="宋体"/>
          <w:color w:val="000000"/>
          <w:sz w:val="18"/>
          <w:szCs w:val="18"/>
        </w:rPr>
        <w:t>版，</w:t>
      </w:r>
      <w:r w:rsidRPr="001F432F">
        <w:rPr>
          <w:rFonts w:eastAsia="宋体"/>
          <w:color w:val="000000"/>
          <w:sz w:val="18"/>
          <w:szCs w:val="18"/>
        </w:rPr>
        <w:t>2010</w:t>
      </w:r>
      <w:r w:rsidRPr="001F432F">
        <w:rPr>
          <w:rFonts w:eastAsia="宋体"/>
          <w:color w:val="000000"/>
          <w:sz w:val="18"/>
          <w:szCs w:val="18"/>
        </w:rPr>
        <w:t>年，附录</w:t>
      </w:r>
      <w:r w:rsidRPr="001F432F">
        <w:rPr>
          <w:rFonts w:eastAsia="宋体"/>
          <w:color w:val="000000"/>
          <w:sz w:val="18"/>
          <w:szCs w:val="18"/>
        </w:rPr>
        <w:t>B</w:t>
      </w:r>
      <w:r w:rsidRPr="001F432F">
        <w:rPr>
          <w:rFonts w:eastAsia="宋体"/>
          <w:color w:val="000000"/>
          <w:sz w:val="18"/>
          <w:szCs w:val="18"/>
        </w:rPr>
        <w:t>，第</w:t>
      </w:r>
      <w:r w:rsidRPr="001F432F">
        <w:rPr>
          <w:rFonts w:eastAsia="宋体"/>
          <w:color w:val="000000"/>
          <w:sz w:val="18"/>
          <w:szCs w:val="18"/>
        </w:rPr>
        <w:t>190</w:t>
      </w:r>
      <w:r w:rsidRPr="001F432F">
        <w:rPr>
          <w:rFonts w:eastAsia="宋体"/>
          <w:color w:val="000000"/>
          <w:sz w:val="18"/>
          <w:szCs w:val="18"/>
        </w:rPr>
        <w:t>页，原始来源：</w:t>
      </w:r>
      <w:r w:rsidRPr="001F432F">
        <w:rPr>
          <w:rFonts w:eastAsia="宋体"/>
          <w:color w:val="000000"/>
          <w:sz w:val="18"/>
          <w:szCs w:val="18"/>
        </w:rPr>
        <w:t>HIMSS</w:t>
      </w:r>
      <w:r w:rsidRPr="001F432F">
        <w:rPr>
          <w:rFonts w:eastAsia="宋体"/>
          <w:color w:val="000000"/>
          <w:sz w:val="18"/>
          <w:szCs w:val="18"/>
        </w:rPr>
        <w:t>电子健康记录协会。</w:t>
      </w:r>
    </w:p>
    <w:p w14:paraId="5C28B3F8" w14:textId="77777777" w:rsidR="00CE6F56" w:rsidRPr="001F432F" w:rsidRDefault="00CE6F56" w:rsidP="00CE6F56">
      <w:pPr>
        <w:shd w:val="clear" w:color="auto" w:fill="FFFFFF"/>
        <w:snapToGrid w:val="0"/>
        <w:ind w:left="270" w:hangingChars="150" w:hanging="270"/>
        <w:rPr>
          <w:rFonts w:eastAsia="宋体"/>
          <w:sz w:val="18"/>
          <w:szCs w:val="18"/>
        </w:rPr>
      </w:pPr>
      <w:r w:rsidRPr="001F432F">
        <w:rPr>
          <w:rFonts w:eastAsia="宋体"/>
          <w:color w:val="000000"/>
          <w:sz w:val="18"/>
          <w:szCs w:val="18"/>
        </w:rPr>
        <w:t>•</w:t>
      </w:r>
      <w:r w:rsidRPr="001F432F">
        <w:rPr>
          <w:rFonts w:eastAsia="宋体"/>
          <w:color w:val="000000"/>
          <w:sz w:val="18"/>
          <w:szCs w:val="18"/>
        </w:rPr>
        <w:tab/>
        <w:t>M. Robkin</w:t>
      </w:r>
      <w:r w:rsidRPr="001F432F">
        <w:rPr>
          <w:rFonts w:eastAsia="宋体"/>
          <w:color w:val="000000"/>
          <w:sz w:val="18"/>
          <w:szCs w:val="18"/>
        </w:rPr>
        <w:t>，</w:t>
      </w:r>
      <w:r w:rsidRPr="001F432F">
        <w:rPr>
          <w:rFonts w:eastAsia="宋体"/>
          <w:color w:val="000000"/>
          <w:sz w:val="18"/>
          <w:szCs w:val="18"/>
        </w:rPr>
        <w:t>S. Weininger</w:t>
      </w:r>
      <w:r w:rsidRPr="001F432F">
        <w:rPr>
          <w:rFonts w:eastAsia="宋体"/>
          <w:color w:val="000000"/>
          <w:sz w:val="18"/>
          <w:szCs w:val="18"/>
        </w:rPr>
        <w:t>，</w:t>
      </w:r>
      <w:r w:rsidRPr="001F432F">
        <w:rPr>
          <w:rFonts w:eastAsia="宋体"/>
          <w:color w:val="000000"/>
          <w:sz w:val="18"/>
          <w:szCs w:val="18"/>
        </w:rPr>
        <w:t>B. Preciado</w:t>
      </w:r>
      <w:r w:rsidRPr="001F432F">
        <w:rPr>
          <w:rFonts w:eastAsia="宋体"/>
          <w:color w:val="000000"/>
          <w:sz w:val="18"/>
          <w:szCs w:val="18"/>
        </w:rPr>
        <w:t>和</w:t>
      </w:r>
      <w:r w:rsidRPr="001F432F">
        <w:rPr>
          <w:rFonts w:eastAsia="宋体"/>
          <w:color w:val="000000"/>
          <w:sz w:val="18"/>
          <w:szCs w:val="18"/>
        </w:rPr>
        <w:t>J. Goldman</w:t>
      </w:r>
      <w:r w:rsidRPr="001F432F">
        <w:rPr>
          <w:rFonts w:eastAsia="宋体"/>
          <w:color w:val="000000"/>
          <w:sz w:val="18"/>
          <w:szCs w:val="18"/>
        </w:rPr>
        <w:t>，</w:t>
      </w:r>
      <w:r w:rsidRPr="001F432F">
        <w:rPr>
          <w:rFonts w:eastAsia="宋体"/>
          <w:color w:val="000000"/>
          <w:sz w:val="18"/>
          <w:szCs w:val="18"/>
        </w:rPr>
        <w:t>“</w:t>
      </w:r>
      <w:r w:rsidRPr="001F432F">
        <w:rPr>
          <w:rFonts w:eastAsia="宋体"/>
          <w:color w:val="000000"/>
          <w:sz w:val="18"/>
          <w:szCs w:val="18"/>
        </w:rPr>
        <w:t>用于安全医疗器械互操作性的医疗框架的概念互操作性模型的级别</w:t>
      </w:r>
      <w:r w:rsidRPr="001F432F">
        <w:rPr>
          <w:rFonts w:eastAsia="宋体"/>
          <w:color w:val="000000"/>
          <w:sz w:val="18"/>
          <w:szCs w:val="18"/>
        </w:rPr>
        <w:t>”</w:t>
      </w:r>
      <w:r w:rsidRPr="001F432F">
        <w:rPr>
          <w:rFonts w:eastAsia="宋体"/>
          <w:color w:val="000000"/>
          <w:sz w:val="18"/>
          <w:szCs w:val="18"/>
        </w:rPr>
        <w:t>，</w:t>
      </w:r>
      <w:r w:rsidRPr="001F432F">
        <w:rPr>
          <w:rFonts w:eastAsia="宋体"/>
          <w:color w:val="000000"/>
          <w:sz w:val="18"/>
          <w:szCs w:val="18"/>
        </w:rPr>
        <w:t>“</w:t>
      </w:r>
      <w:r w:rsidRPr="001F432F">
        <w:rPr>
          <w:rFonts w:eastAsia="宋体"/>
          <w:color w:val="000000"/>
          <w:sz w:val="18"/>
          <w:szCs w:val="18"/>
        </w:rPr>
        <w:t>产品合规性工程（</w:t>
      </w:r>
      <w:r w:rsidRPr="001F432F">
        <w:rPr>
          <w:rFonts w:eastAsia="宋体"/>
          <w:color w:val="000000"/>
          <w:sz w:val="18"/>
          <w:szCs w:val="18"/>
        </w:rPr>
        <w:t>ISPCE</w:t>
      </w:r>
      <w:r w:rsidRPr="001F432F">
        <w:rPr>
          <w:rFonts w:eastAsia="宋体"/>
          <w:color w:val="000000"/>
          <w:sz w:val="18"/>
          <w:szCs w:val="18"/>
        </w:rPr>
        <w:t>）</w:t>
      </w:r>
      <w:r w:rsidRPr="001F432F">
        <w:rPr>
          <w:rFonts w:eastAsia="宋体"/>
          <w:color w:val="000000"/>
          <w:sz w:val="18"/>
          <w:szCs w:val="18"/>
        </w:rPr>
        <w:t>”</w:t>
      </w:r>
      <w:r w:rsidRPr="001F432F">
        <w:rPr>
          <w:rFonts w:eastAsia="宋体"/>
          <w:color w:val="000000"/>
          <w:sz w:val="18"/>
          <w:szCs w:val="18"/>
        </w:rPr>
        <w:t>，</w:t>
      </w:r>
      <w:r w:rsidRPr="001F432F">
        <w:rPr>
          <w:rFonts w:eastAsia="宋体"/>
          <w:color w:val="000000"/>
          <w:sz w:val="18"/>
          <w:szCs w:val="18"/>
        </w:rPr>
        <w:t>2015</w:t>
      </w:r>
      <w:r w:rsidRPr="001F432F">
        <w:rPr>
          <w:rFonts w:eastAsia="宋体"/>
          <w:color w:val="000000"/>
          <w:sz w:val="18"/>
          <w:szCs w:val="18"/>
        </w:rPr>
        <w:t>年</w:t>
      </w:r>
      <w:r w:rsidRPr="001F432F">
        <w:rPr>
          <w:rFonts w:eastAsia="宋体"/>
          <w:color w:val="000000"/>
          <w:sz w:val="18"/>
          <w:szCs w:val="18"/>
        </w:rPr>
        <w:t>IEEE</w:t>
      </w:r>
      <w:r w:rsidRPr="001F432F">
        <w:rPr>
          <w:rFonts w:eastAsia="宋体"/>
          <w:color w:val="000000"/>
          <w:sz w:val="18"/>
          <w:szCs w:val="18"/>
        </w:rPr>
        <w:t>专题讨论会，芝加哥，伊利诺伊州，</w:t>
      </w:r>
      <w:r w:rsidRPr="001F432F">
        <w:rPr>
          <w:rFonts w:eastAsia="宋体"/>
          <w:color w:val="000000"/>
          <w:sz w:val="18"/>
          <w:szCs w:val="18"/>
        </w:rPr>
        <w:t>2015</w:t>
      </w:r>
      <w:r w:rsidRPr="001F432F">
        <w:rPr>
          <w:rFonts w:eastAsia="宋体"/>
          <w:color w:val="000000"/>
          <w:sz w:val="18"/>
          <w:szCs w:val="18"/>
        </w:rPr>
        <w:t>年，第</w:t>
      </w:r>
      <w:r w:rsidRPr="001F432F">
        <w:rPr>
          <w:rFonts w:eastAsia="宋体"/>
          <w:color w:val="000000"/>
          <w:sz w:val="18"/>
          <w:szCs w:val="18"/>
        </w:rPr>
        <w:t>1-8</w:t>
      </w:r>
      <w:r w:rsidRPr="001F432F">
        <w:rPr>
          <w:rFonts w:eastAsia="宋体"/>
          <w:color w:val="000000"/>
          <w:sz w:val="18"/>
          <w:szCs w:val="18"/>
        </w:rPr>
        <w:t>页。</w:t>
      </w:r>
    </w:p>
  </w:footnote>
  <w:footnote w:id="4">
    <w:p w14:paraId="208D2190" w14:textId="77777777" w:rsidR="00CE6F56" w:rsidRPr="001F432F" w:rsidRDefault="00CE6F56" w:rsidP="00CE6F56">
      <w:pPr>
        <w:pStyle w:val="a7"/>
        <w:rPr>
          <w:rFonts w:ascii="Arial" w:eastAsia="宋体" w:hAnsi="Arial" w:cs="Arial"/>
        </w:rPr>
      </w:pPr>
      <w:r w:rsidRPr="001F432F">
        <w:rPr>
          <w:rStyle w:val="a9"/>
          <w:rFonts w:ascii="Arial" w:eastAsia="宋体" w:hAnsi="Arial" w:cs="Arial"/>
        </w:rPr>
        <w:footnoteRef/>
      </w:r>
      <w:r w:rsidRPr="001F432F">
        <w:rPr>
          <w:rFonts w:ascii="Arial" w:eastAsia="宋体" w:hAnsi="Arial" w:cs="Arial"/>
        </w:rPr>
        <w:t xml:space="preserve"> </w:t>
      </w:r>
      <w:r w:rsidRPr="001F432F">
        <w:rPr>
          <w:rFonts w:ascii="Arial" w:eastAsia="宋体" w:hAnsi="Arial" w:cs="Arial"/>
          <w:color w:val="000000"/>
        </w:rPr>
        <w:t>对于时间同步，应考虑使用（</w:t>
      </w:r>
      <w:r w:rsidRPr="001F432F">
        <w:rPr>
          <w:rFonts w:ascii="Arial" w:eastAsia="宋体" w:hAnsi="Arial" w:cs="Arial"/>
          <w:color w:val="000000"/>
        </w:rPr>
        <w:t>RFC 1305</w:t>
      </w:r>
      <w:r w:rsidRPr="001F432F">
        <w:rPr>
          <w:rFonts w:ascii="Arial" w:eastAsia="宋体" w:hAnsi="Arial" w:cs="Arial"/>
          <w:color w:val="000000"/>
        </w:rPr>
        <w:t>）网络时间方案版本</w:t>
      </w:r>
      <w:r w:rsidRPr="001F432F">
        <w:rPr>
          <w:rFonts w:ascii="Arial" w:eastAsia="宋体" w:hAnsi="Arial" w:cs="Arial"/>
          <w:color w:val="000000"/>
        </w:rPr>
        <w:t>3</w:t>
      </w:r>
      <w:r w:rsidRPr="001F432F">
        <w:rPr>
          <w:rFonts w:ascii="Arial" w:eastAsia="宋体" w:hAnsi="Arial" w:cs="Arial"/>
          <w:color w:val="000000"/>
        </w:rPr>
        <w:t>或（</w:t>
      </w:r>
      <w:r w:rsidRPr="001F432F">
        <w:rPr>
          <w:rFonts w:ascii="Arial" w:eastAsia="宋体" w:hAnsi="Arial" w:cs="Arial"/>
          <w:color w:val="000000"/>
        </w:rPr>
        <w:t>RFC 5905</w:t>
      </w:r>
      <w:r w:rsidRPr="001F432F">
        <w:rPr>
          <w:rFonts w:ascii="Arial" w:eastAsia="宋体" w:hAnsi="Arial" w:cs="Arial"/>
          <w:color w:val="000000"/>
        </w:rPr>
        <w:t>）网络时间方案版本</w:t>
      </w:r>
      <w:r w:rsidRPr="001F432F">
        <w:rPr>
          <w:rFonts w:ascii="Arial" w:eastAsia="宋体" w:hAnsi="Arial" w:cs="Arial"/>
          <w:color w:val="000000"/>
        </w:rPr>
        <w:t>4</w:t>
      </w:r>
      <w:r w:rsidRPr="001F432F">
        <w:rPr>
          <w:rFonts w:ascii="Arial" w:eastAsia="宋体" w:hAnsi="Arial" w:cs="Arial"/>
          <w:color w:val="000000"/>
        </w:rPr>
        <w:t>，或其他适当的方案。</w:t>
      </w:r>
    </w:p>
  </w:footnote>
  <w:footnote w:id="5">
    <w:p w14:paraId="614D5D70" w14:textId="77777777" w:rsidR="00CE6F56" w:rsidRPr="001F432F" w:rsidRDefault="00CE6F56" w:rsidP="00CE6F56">
      <w:pPr>
        <w:pStyle w:val="a7"/>
        <w:rPr>
          <w:rFonts w:eastAsia="宋体"/>
          <w:color w:val="000000"/>
        </w:rPr>
      </w:pPr>
      <w:r w:rsidRPr="001F432F">
        <w:rPr>
          <w:rStyle w:val="a9"/>
          <w:rFonts w:eastAsia="宋体"/>
        </w:rPr>
        <w:footnoteRef/>
      </w:r>
      <w:r w:rsidRPr="001F432F">
        <w:rPr>
          <w:rFonts w:eastAsia="宋体"/>
        </w:rPr>
        <w:t xml:space="preserve"> </w:t>
      </w:r>
      <w:r w:rsidRPr="001F432F">
        <w:rPr>
          <w:rFonts w:eastAsia="宋体"/>
          <w:color w:val="000000"/>
        </w:rPr>
        <w:t>若要了解有关网络安全的更多信息，请参见我们的指南《医疗器械网络安全管理上市前递交资料内容》，网站：</w:t>
      </w:r>
    </w:p>
    <w:p w14:paraId="70068081" w14:textId="77777777" w:rsidR="00CE6F56" w:rsidRPr="001F432F" w:rsidRDefault="00CE6F56" w:rsidP="00CE6F56">
      <w:pPr>
        <w:shd w:val="clear" w:color="auto" w:fill="FFFFFF"/>
        <w:snapToGrid w:val="0"/>
        <w:rPr>
          <w:rFonts w:eastAsia="宋体"/>
          <w:sz w:val="18"/>
          <w:szCs w:val="18"/>
          <w:lang w:val="de-DE"/>
        </w:rPr>
      </w:pPr>
      <w:r w:rsidRPr="001F432F">
        <w:rPr>
          <w:rFonts w:eastAsia="宋体"/>
          <w:color w:val="0000FF"/>
          <w:sz w:val="18"/>
          <w:szCs w:val="18"/>
          <w:u w:val="single"/>
          <w:lang w:val="de-DE"/>
        </w:rPr>
        <w:t>http://www.fda.gov/downloads/MedicalDevices/DeviceRegulationandGuidance/GuidanceDocuments/UCM356 190.pdf</w:t>
      </w:r>
    </w:p>
  </w:footnote>
  <w:footnote w:id="6">
    <w:p w14:paraId="447CC781" w14:textId="77777777" w:rsidR="00CE6F56" w:rsidRPr="001F432F" w:rsidRDefault="00CE6F56" w:rsidP="00CE6F56">
      <w:pPr>
        <w:pStyle w:val="a7"/>
        <w:rPr>
          <w:rFonts w:eastAsia="宋体"/>
        </w:rPr>
      </w:pPr>
      <w:r w:rsidRPr="001F432F">
        <w:rPr>
          <w:rStyle w:val="a9"/>
          <w:rFonts w:eastAsia="宋体"/>
        </w:rPr>
        <w:footnoteRef/>
      </w:r>
      <w:r w:rsidRPr="001F432F">
        <w:rPr>
          <w:rFonts w:eastAsia="宋体"/>
        </w:rPr>
        <w:t xml:space="preserve"> </w:t>
      </w:r>
      <w:r w:rsidRPr="001F432F">
        <w:rPr>
          <w:rFonts w:eastAsia="宋体"/>
          <w:color w:val="000000"/>
        </w:rPr>
        <w:t>见</w:t>
      </w:r>
      <w:r w:rsidRPr="001F432F">
        <w:rPr>
          <w:rFonts w:eastAsia="宋体"/>
          <w:color w:val="000000"/>
        </w:rPr>
        <w:t>ASTM 2761-09</w:t>
      </w:r>
      <w:r w:rsidRPr="001F432F">
        <w:rPr>
          <w:rFonts w:eastAsia="宋体"/>
          <w:color w:val="000000"/>
        </w:rPr>
        <w:t>（</w:t>
      </w:r>
      <w:r w:rsidRPr="001F432F">
        <w:rPr>
          <w:rFonts w:eastAsia="宋体"/>
          <w:color w:val="000000"/>
        </w:rPr>
        <w:t>2013</w:t>
      </w:r>
      <w:r w:rsidRPr="001F432F">
        <w:rPr>
          <w:rFonts w:eastAsia="宋体"/>
          <w:color w:val="000000"/>
        </w:rPr>
        <w:t>），</w:t>
      </w:r>
      <w:r w:rsidRPr="001F432F">
        <w:rPr>
          <w:rFonts w:eastAsia="宋体"/>
          <w:color w:val="000000"/>
        </w:rPr>
        <w:t>“</w:t>
      </w:r>
      <w:r w:rsidRPr="001F432F">
        <w:rPr>
          <w:rFonts w:eastAsia="宋体"/>
          <w:color w:val="000000"/>
        </w:rPr>
        <w:t>医疗器械和医疗系统</w:t>
      </w:r>
      <w:r w:rsidRPr="001F432F">
        <w:rPr>
          <w:rFonts w:eastAsia="宋体"/>
          <w:color w:val="000000"/>
        </w:rPr>
        <w:t>-</w:t>
      </w:r>
      <w:r w:rsidRPr="001F432F">
        <w:rPr>
          <w:rFonts w:eastAsia="宋体"/>
          <w:color w:val="000000"/>
        </w:rPr>
        <w:t>以患者为中心综合医疗环境（</w:t>
      </w:r>
      <w:r w:rsidRPr="001F432F">
        <w:rPr>
          <w:rFonts w:eastAsia="宋体"/>
          <w:color w:val="000000"/>
        </w:rPr>
        <w:t>ICE</w:t>
      </w:r>
      <w:r w:rsidRPr="001F432F">
        <w:rPr>
          <w:rFonts w:eastAsia="宋体"/>
          <w:color w:val="000000"/>
        </w:rPr>
        <w:t>）组成设备的基本安全要求</w:t>
      </w:r>
      <w:r w:rsidRPr="001F432F">
        <w:rPr>
          <w:rFonts w:eastAsia="宋体"/>
          <w:color w:val="000000"/>
        </w:rPr>
        <w:t>-</w:t>
      </w:r>
      <w:r w:rsidRPr="001F432F">
        <w:rPr>
          <w:rFonts w:eastAsia="宋体"/>
          <w:color w:val="000000"/>
        </w:rPr>
        <w:t>第</w:t>
      </w:r>
      <w:r w:rsidRPr="001F432F">
        <w:rPr>
          <w:rFonts w:eastAsia="宋体"/>
          <w:color w:val="000000"/>
        </w:rPr>
        <w:t>1</w:t>
      </w:r>
      <w:r w:rsidRPr="001F432F">
        <w:rPr>
          <w:rFonts w:eastAsia="宋体"/>
          <w:color w:val="000000"/>
        </w:rPr>
        <w:t>部分：一般要求和概念模型</w:t>
      </w:r>
      <w:r w:rsidRPr="001F432F">
        <w:rPr>
          <w:rFonts w:eastAsia="宋体"/>
          <w:color w:val="000000"/>
        </w:rPr>
        <w:t>”</w:t>
      </w:r>
      <w:r w:rsidRPr="001F432F">
        <w:rPr>
          <w:rFonts w:eastAsia="宋体"/>
          <w:color w:val="000000"/>
        </w:rPr>
        <w:t>的第</w:t>
      </w:r>
      <w:r w:rsidRPr="001F432F">
        <w:rPr>
          <w:rFonts w:eastAsia="宋体"/>
          <w:color w:val="000000"/>
        </w:rPr>
        <w:t>5.4</w:t>
      </w:r>
      <w:r w:rsidRPr="001F432F">
        <w:rPr>
          <w:rFonts w:eastAsia="宋体"/>
          <w:color w:val="000000"/>
        </w:rPr>
        <w:t>部分。</w:t>
      </w:r>
    </w:p>
  </w:footnote>
  <w:footnote w:id="7">
    <w:p w14:paraId="01FE7669" w14:textId="77777777" w:rsidR="00CE6F56" w:rsidRPr="001F432F" w:rsidRDefault="00CE6F56" w:rsidP="00CE6F56">
      <w:pPr>
        <w:shd w:val="clear" w:color="auto" w:fill="FFFFFF"/>
        <w:snapToGrid w:val="0"/>
        <w:rPr>
          <w:rFonts w:eastAsia="宋体"/>
          <w:sz w:val="18"/>
          <w:szCs w:val="18"/>
        </w:rPr>
      </w:pPr>
      <w:r w:rsidRPr="001F432F">
        <w:rPr>
          <w:rStyle w:val="a9"/>
          <w:rFonts w:eastAsia="宋体"/>
          <w:sz w:val="18"/>
          <w:szCs w:val="18"/>
        </w:rPr>
        <w:footnoteRef/>
      </w:r>
      <w:r w:rsidRPr="001F432F">
        <w:rPr>
          <w:rFonts w:eastAsia="宋体"/>
          <w:sz w:val="18"/>
          <w:szCs w:val="18"/>
        </w:rPr>
        <w:t xml:space="preserve"> </w:t>
      </w:r>
      <w:r w:rsidRPr="001F432F">
        <w:rPr>
          <w:rFonts w:eastAsia="宋体"/>
          <w:color w:val="000000"/>
          <w:sz w:val="18"/>
          <w:szCs w:val="18"/>
        </w:rPr>
        <w:t>《联邦食品、药品和化妆品法案》第</w:t>
      </w:r>
      <w:r w:rsidRPr="001F432F">
        <w:rPr>
          <w:rFonts w:eastAsia="宋体"/>
          <w:color w:val="000000"/>
          <w:sz w:val="18"/>
          <w:szCs w:val="18"/>
        </w:rPr>
        <w:t>201</w:t>
      </w:r>
      <w:r w:rsidRPr="001F432F">
        <w:rPr>
          <w:rFonts w:eastAsia="宋体"/>
          <w:color w:val="000000"/>
          <w:sz w:val="18"/>
          <w:szCs w:val="18"/>
        </w:rPr>
        <w:t>（</w:t>
      </w:r>
      <w:r w:rsidRPr="001F432F">
        <w:rPr>
          <w:rFonts w:eastAsia="宋体"/>
          <w:color w:val="000000"/>
          <w:sz w:val="18"/>
          <w:szCs w:val="18"/>
        </w:rPr>
        <w:t>k</w:t>
      </w:r>
      <w:r w:rsidRPr="001F432F">
        <w:rPr>
          <w:rFonts w:eastAsia="宋体"/>
          <w:color w:val="000000"/>
          <w:sz w:val="18"/>
          <w:szCs w:val="18"/>
        </w:rPr>
        <w:t>）条将</w:t>
      </w:r>
      <w:r w:rsidRPr="001F432F">
        <w:rPr>
          <w:rFonts w:eastAsia="宋体"/>
          <w:color w:val="000000"/>
          <w:sz w:val="18"/>
          <w:szCs w:val="18"/>
        </w:rPr>
        <w:t>“</w:t>
      </w:r>
      <w:r w:rsidRPr="001F432F">
        <w:rPr>
          <w:rFonts w:eastAsia="宋体"/>
          <w:color w:val="000000"/>
          <w:sz w:val="18"/>
          <w:szCs w:val="18"/>
        </w:rPr>
        <w:t>标签</w:t>
      </w:r>
      <w:r w:rsidRPr="001F432F">
        <w:rPr>
          <w:rFonts w:eastAsia="宋体"/>
          <w:color w:val="000000"/>
          <w:sz w:val="18"/>
          <w:szCs w:val="18"/>
        </w:rPr>
        <w:t>”</w:t>
      </w:r>
      <w:r w:rsidRPr="001F432F">
        <w:rPr>
          <w:rFonts w:eastAsia="宋体"/>
          <w:color w:val="000000"/>
          <w:sz w:val="18"/>
          <w:szCs w:val="18"/>
        </w:rPr>
        <w:t>定义为：</w:t>
      </w:r>
    </w:p>
    <w:p w14:paraId="1A1145C1" w14:textId="77777777" w:rsidR="00CE6F56" w:rsidRPr="001F432F" w:rsidRDefault="00CE6F56" w:rsidP="00CE6F56">
      <w:pPr>
        <w:shd w:val="clear" w:color="auto" w:fill="FFFFFF"/>
        <w:snapToGrid w:val="0"/>
        <w:ind w:leftChars="150" w:left="570" w:hangingChars="150" w:hanging="270"/>
        <w:rPr>
          <w:rFonts w:eastAsia="宋体"/>
          <w:color w:val="000000"/>
          <w:sz w:val="18"/>
          <w:szCs w:val="18"/>
        </w:rPr>
      </w:pPr>
      <w:r w:rsidRPr="001F432F">
        <w:rPr>
          <w:rFonts w:eastAsia="宋体"/>
          <w:color w:val="000000"/>
          <w:sz w:val="18"/>
          <w:szCs w:val="18"/>
        </w:rPr>
        <w:t>•</w:t>
      </w:r>
      <w:r w:rsidRPr="001F432F">
        <w:rPr>
          <w:rFonts w:eastAsia="宋体"/>
          <w:color w:val="000000"/>
          <w:sz w:val="18"/>
          <w:szCs w:val="18"/>
        </w:rPr>
        <w:tab/>
        <w:t>“</w:t>
      </w:r>
      <w:r w:rsidRPr="001F432F">
        <w:rPr>
          <w:rFonts w:eastAsia="宋体"/>
          <w:color w:val="000000"/>
          <w:sz w:val="18"/>
          <w:szCs w:val="18"/>
        </w:rPr>
        <w:t>在任何物品的直接包装上的书写、印刷或图形信息展示</w:t>
      </w:r>
      <w:r w:rsidRPr="001F432F">
        <w:rPr>
          <w:rFonts w:eastAsia="宋体"/>
          <w:color w:val="000000"/>
          <w:sz w:val="18"/>
          <w:szCs w:val="18"/>
        </w:rPr>
        <w:t>……”</w:t>
      </w:r>
    </w:p>
    <w:p w14:paraId="23ADCC04" w14:textId="0D7839A6" w:rsidR="00CE6F56" w:rsidRPr="001F432F" w:rsidRDefault="00CE6F56" w:rsidP="00CE6F56">
      <w:pPr>
        <w:shd w:val="clear" w:color="auto" w:fill="FFFFFF"/>
        <w:tabs>
          <w:tab w:val="left" w:pos="720"/>
        </w:tabs>
        <w:snapToGrid w:val="0"/>
        <w:rPr>
          <w:rFonts w:eastAsia="宋体"/>
          <w:sz w:val="18"/>
          <w:szCs w:val="18"/>
        </w:rPr>
      </w:pPr>
      <w:r w:rsidRPr="001F432F">
        <w:rPr>
          <w:rFonts w:eastAsia="宋体"/>
          <w:color w:val="000000"/>
          <w:sz w:val="18"/>
          <w:szCs w:val="18"/>
        </w:rPr>
        <w:t>“</w:t>
      </w:r>
      <w:r w:rsidRPr="001F432F">
        <w:rPr>
          <w:rFonts w:eastAsia="宋体"/>
          <w:color w:val="000000"/>
          <w:sz w:val="18"/>
          <w:szCs w:val="18"/>
        </w:rPr>
        <w:t>直接包装</w:t>
      </w:r>
      <w:r w:rsidRPr="001F432F">
        <w:rPr>
          <w:rFonts w:eastAsia="宋体"/>
          <w:color w:val="000000"/>
          <w:sz w:val="18"/>
          <w:szCs w:val="18"/>
        </w:rPr>
        <w:t>”</w:t>
      </w:r>
      <w:r w:rsidRPr="001F432F">
        <w:rPr>
          <w:rFonts w:eastAsia="宋体"/>
          <w:color w:val="000000"/>
          <w:sz w:val="18"/>
          <w:szCs w:val="18"/>
        </w:rPr>
        <w:t>不包括包装内衬。出现在直接包装上的任何单词、语句或其他信息也必须出现在</w:t>
      </w:r>
      <w:r w:rsidRPr="001F432F">
        <w:rPr>
          <w:rFonts w:eastAsia="宋体"/>
          <w:color w:val="000000"/>
          <w:sz w:val="18"/>
          <w:szCs w:val="18"/>
        </w:rPr>
        <w:t>“</w:t>
      </w:r>
      <w:r w:rsidRPr="001F432F">
        <w:rPr>
          <w:rFonts w:eastAsia="宋体"/>
          <w:color w:val="000000"/>
          <w:sz w:val="18"/>
          <w:szCs w:val="18"/>
        </w:rPr>
        <w:t>此类物品的外部容器或包装（如果有的话）或零售包装上，或者通过包装的外部容器容易辨认。</w:t>
      </w:r>
      <w:r w:rsidRPr="001F432F">
        <w:rPr>
          <w:rFonts w:eastAsia="宋体"/>
          <w:color w:val="000000"/>
          <w:sz w:val="18"/>
          <w:szCs w:val="18"/>
        </w:rPr>
        <w:t>”</w:t>
      </w:r>
      <w:r w:rsidRPr="001F432F">
        <w:rPr>
          <w:rFonts w:eastAsia="宋体"/>
          <w:color w:val="000000"/>
          <w:sz w:val="18"/>
          <w:szCs w:val="18"/>
        </w:rPr>
        <w:t>第</w:t>
      </w:r>
      <w:r w:rsidRPr="001F432F">
        <w:rPr>
          <w:rFonts w:eastAsia="宋体"/>
          <w:color w:val="000000"/>
          <w:sz w:val="18"/>
          <w:szCs w:val="18"/>
        </w:rPr>
        <w:t>201</w:t>
      </w:r>
      <w:r w:rsidRPr="001F432F">
        <w:rPr>
          <w:rFonts w:eastAsia="宋体"/>
          <w:color w:val="000000"/>
          <w:sz w:val="18"/>
          <w:szCs w:val="18"/>
        </w:rPr>
        <w:t>（</w:t>
      </w:r>
      <w:r w:rsidRPr="001F432F">
        <w:rPr>
          <w:rFonts w:eastAsia="宋体"/>
          <w:color w:val="000000"/>
          <w:sz w:val="18"/>
          <w:szCs w:val="18"/>
        </w:rPr>
        <w:t>m</w:t>
      </w:r>
      <w:r w:rsidRPr="001F432F">
        <w:rPr>
          <w:rFonts w:eastAsia="宋体"/>
          <w:color w:val="000000"/>
          <w:sz w:val="18"/>
          <w:szCs w:val="18"/>
        </w:rPr>
        <w:t>）条将</w:t>
      </w:r>
      <w:r w:rsidRPr="001F432F">
        <w:rPr>
          <w:rFonts w:eastAsia="宋体"/>
          <w:color w:val="000000"/>
          <w:sz w:val="18"/>
          <w:szCs w:val="18"/>
        </w:rPr>
        <w:t>“</w:t>
      </w:r>
      <w:r w:rsidR="005E576D">
        <w:rPr>
          <w:rFonts w:eastAsia="宋体"/>
          <w:color w:val="000000"/>
          <w:sz w:val="18"/>
          <w:szCs w:val="18"/>
        </w:rPr>
        <w:t>标记</w:t>
      </w:r>
      <w:r w:rsidRPr="001F432F">
        <w:rPr>
          <w:rFonts w:eastAsia="宋体"/>
          <w:color w:val="000000"/>
          <w:sz w:val="18"/>
          <w:szCs w:val="18"/>
        </w:rPr>
        <w:t>”</w:t>
      </w:r>
      <w:r w:rsidRPr="001F432F">
        <w:rPr>
          <w:rFonts w:eastAsia="宋体"/>
          <w:color w:val="000000"/>
          <w:sz w:val="18"/>
          <w:szCs w:val="18"/>
        </w:rPr>
        <w:t>定义为：</w:t>
      </w:r>
    </w:p>
    <w:p w14:paraId="5D788A32" w14:textId="77777777" w:rsidR="00CE6F56" w:rsidRPr="001F432F" w:rsidRDefault="00CE6F56" w:rsidP="00CE6F56">
      <w:pPr>
        <w:shd w:val="clear" w:color="auto" w:fill="FFFFFF"/>
        <w:snapToGrid w:val="0"/>
        <w:ind w:leftChars="150" w:left="570" w:hangingChars="150" w:hanging="270"/>
        <w:rPr>
          <w:rFonts w:eastAsia="宋体"/>
          <w:sz w:val="18"/>
          <w:szCs w:val="18"/>
        </w:rPr>
      </w:pPr>
      <w:r w:rsidRPr="001F432F">
        <w:rPr>
          <w:rFonts w:eastAsia="宋体"/>
          <w:color w:val="000000"/>
          <w:sz w:val="18"/>
          <w:szCs w:val="18"/>
        </w:rPr>
        <w:t>•</w:t>
      </w:r>
      <w:r w:rsidRPr="001F432F">
        <w:rPr>
          <w:rFonts w:eastAsia="宋体"/>
          <w:color w:val="000000"/>
          <w:sz w:val="18"/>
          <w:szCs w:val="18"/>
        </w:rPr>
        <w:tab/>
        <w:t>“</w:t>
      </w:r>
      <w:r w:rsidRPr="001F432F">
        <w:rPr>
          <w:rFonts w:eastAsia="宋体"/>
          <w:color w:val="000000"/>
          <w:sz w:val="18"/>
          <w:szCs w:val="18"/>
        </w:rPr>
        <w:t>所有标签和其他书写、印刷或图形信息</w:t>
      </w:r>
    </w:p>
    <w:p w14:paraId="745A8AB6" w14:textId="77777777" w:rsidR="00CE6F56" w:rsidRPr="001F432F" w:rsidRDefault="00CE6F56" w:rsidP="00CE6F56">
      <w:pPr>
        <w:shd w:val="clear" w:color="auto" w:fill="FFFFFF"/>
        <w:tabs>
          <w:tab w:val="left" w:pos="1003"/>
        </w:tabs>
        <w:snapToGrid w:val="0"/>
        <w:ind w:leftChars="307" w:left="614"/>
        <w:rPr>
          <w:rFonts w:eastAsia="宋体"/>
          <w:color w:val="000000"/>
          <w:sz w:val="18"/>
          <w:szCs w:val="18"/>
        </w:rPr>
      </w:pPr>
      <w:r w:rsidRPr="001F432F">
        <w:rPr>
          <w:rFonts w:eastAsia="宋体"/>
          <w:color w:val="000000"/>
          <w:sz w:val="18"/>
          <w:szCs w:val="18"/>
        </w:rPr>
        <w:t>（</w:t>
      </w:r>
      <w:r w:rsidRPr="001F432F">
        <w:rPr>
          <w:rFonts w:eastAsia="宋体"/>
          <w:color w:val="000000"/>
          <w:sz w:val="18"/>
          <w:szCs w:val="18"/>
        </w:rPr>
        <w:t>1</w:t>
      </w:r>
      <w:r w:rsidRPr="001F432F">
        <w:rPr>
          <w:rFonts w:eastAsia="宋体"/>
          <w:color w:val="000000"/>
          <w:sz w:val="18"/>
          <w:szCs w:val="18"/>
        </w:rPr>
        <w:t>）</w:t>
      </w:r>
      <w:r w:rsidRPr="001F432F">
        <w:rPr>
          <w:rFonts w:eastAsia="宋体"/>
          <w:color w:val="000000"/>
          <w:sz w:val="18"/>
          <w:szCs w:val="18"/>
        </w:rPr>
        <w:tab/>
      </w:r>
      <w:r w:rsidRPr="001F432F">
        <w:rPr>
          <w:rFonts w:eastAsia="宋体"/>
          <w:color w:val="000000"/>
          <w:sz w:val="18"/>
          <w:szCs w:val="18"/>
        </w:rPr>
        <w:t>在任何物品或其任何容器或包装上，或</w:t>
      </w:r>
    </w:p>
    <w:p w14:paraId="50884D32" w14:textId="77777777" w:rsidR="00CE6F56" w:rsidRPr="001F432F" w:rsidRDefault="00CE6F56" w:rsidP="00CE6F56">
      <w:pPr>
        <w:shd w:val="clear" w:color="auto" w:fill="FFFFFF"/>
        <w:tabs>
          <w:tab w:val="left" w:pos="1003"/>
        </w:tabs>
        <w:snapToGrid w:val="0"/>
        <w:ind w:leftChars="307" w:left="614"/>
        <w:rPr>
          <w:rFonts w:eastAsia="宋体"/>
          <w:color w:val="000000"/>
          <w:sz w:val="18"/>
          <w:szCs w:val="18"/>
        </w:rPr>
      </w:pPr>
      <w:r w:rsidRPr="001F432F">
        <w:rPr>
          <w:rFonts w:eastAsia="宋体"/>
          <w:color w:val="000000"/>
          <w:sz w:val="18"/>
          <w:szCs w:val="18"/>
        </w:rPr>
        <w:t>（</w:t>
      </w:r>
      <w:r w:rsidRPr="001F432F">
        <w:rPr>
          <w:rFonts w:eastAsia="宋体"/>
          <w:color w:val="000000"/>
          <w:sz w:val="18"/>
          <w:szCs w:val="18"/>
        </w:rPr>
        <w:t>2</w:t>
      </w:r>
      <w:r w:rsidRPr="001F432F">
        <w:rPr>
          <w:rFonts w:eastAsia="宋体"/>
          <w:color w:val="000000"/>
          <w:sz w:val="18"/>
          <w:szCs w:val="18"/>
        </w:rPr>
        <w:t>）</w:t>
      </w:r>
      <w:r w:rsidRPr="001F432F">
        <w:rPr>
          <w:rFonts w:eastAsia="宋体"/>
          <w:color w:val="000000"/>
          <w:sz w:val="18"/>
          <w:szCs w:val="18"/>
        </w:rPr>
        <w:tab/>
      </w:r>
      <w:r w:rsidRPr="001F432F">
        <w:rPr>
          <w:rFonts w:eastAsia="宋体"/>
          <w:color w:val="000000"/>
          <w:sz w:val="18"/>
          <w:szCs w:val="18"/>
        </w:rPr>
        <w:t>在州际贸易中运输或交付待运输后器械留待销售时随时附在此类物品上。</w:t>
      </w:r>
    </w:p>
    <w:p w14:paraId="1806525B" w14:textId="07D99AA4" w:rsidR="00CE6F56" w:rsidRPr="001F432F" w:rsidRDefault="00CE6F56" w:rsidP="00CE6F56">
      <w:pPr>
        <w:shd w:val="clear" w:color="auto" w:fill="FFFFFF"/>
        <w:snapToGrid w:val="0"/>
        <w:rPr>
          <w:rFonts w:eastAsia="宋体"/>
          <w:sz w:val="18"/>
          <w:szCs w:val="18"/>
        </w:rPr>
      </w:pPr>
      <w:r w:rsidRPr="001F432F">
        <w:rPr>
          <w:rFonts w:eastAsia="宋体"/>
          <w:color w:val="000000"/>
          <w:sz w:val="18"/>
          <w:szCs w:val="18"/>
        </w:rPr>
        <w:t>“</w:t>
      </w:r>
      <w:r w:rsidRPr="001F432F">
        <w:rPr>
          <w:rFonts w:eastAsia="宋体"/>
          <w:color w:val="000000"/>
          <w:sz w:val="18"/>
          <w:szCs w:val="18"/>
        </w:rPr>
        <w:t>随附</w:t>
      </w:r>
      <w:r w:rsidRPr="001F432F">
        <w:rPr>
          <w:rFonts w:eastAsia="宋体"/>
          <w:color w:val="000000"/>
          <w:sz w:val="18"/>
          <w:szCs w:val="18"/>
        </w:rPr>
        <w:t>”</w:t>
      </w:r>
      <w:r w:rsidRPr="001F432F">
        <w:rPr>
          <w:rFonts w:eastAsia="宋体"/>
          <w:color w:val="000000"/>
          <w:sz w:val="18"/>
          <w:szCs w:val="18"/>
        </w:rPr>
        <w:t>一词被宽泛地解释为不仅仅指与产品的物理联系。其还延伸到宣传海报、</w:t>
      </w:r>
      <w:r w:rsidR="005E576D">
        <w:rPr>
          <w:rFonts w:eastAsia="宋体"/>
          <w:color w:val="000000"/>
          <w:sz w:val="18"/>
          <w:szCs w:val="18"/>
        </w:rPr>
        <w:t>标记</w:t>
      </w:r>
      <w:r w:rsidRPr="001F432F">
        <w:rPr>
          <w:rFonts w:eastAsia="宋体"/>
          <w:color w:val="000000"/>
          <w:sz w:val="18"/>
          <w:szCs w:val="18"/>
        </w:rPr>
        <w:t>、小型宣传册、宣传单、广告小册子、手册、说明书、说明表、填充物等。</w:t>
      </w:r>
      <w:r w:rsidRPr="001F432F">
        <w:rPr>
          <w:rFonts w:eastAsia="宋体"/>
          <w:color w:val="000000"/>
          <w:sz w:val="18"/>
          <w:szCs w:val="18"/>
        </w:rPr>
        <w:t>'“</w:t>
      </w:r>
      <w:r w:rsidRPr="001F432F">
        <w:rPr>
          <w:rFonts w:eastAsia="宋体"/>
          <w:color w:val="000000"/>
          <w:sz w:val="18"/>
          <w:szCs w:val="18"/>
        </w:rPr>
        <w:t>随附</w:t>
      </w:r>
      <w:r w:rsidRPr="001F432F">
        <w:rPr>
          <w:rFonts w:eastAsia="宋体"/>
          <w:color w:val="000000"/>
          <w:sz w:val="18"/>
          <w:szCs w:val="18"/>
        </w:rPr>
        <w:t>”</w:t>
      </w:r>
      <w:r w:rsidRPr="001F432F">
        <w:rPr>
          <w:rFonts w:eastAsia="宋体"/>
          <w:color w:val="000000"/>
          <w:sz w:val="18"/>
          <w:szCs w:val="18"/>
        </w:rPr>
        <w:t>还包括在州际贸易中运输或交付待运输后随器械一起运送的</w:t>
      </w:r>
      <w:r w:rsidR="005E576D">
        <w:rPr>
          <w:rFonts w:eastAsia="宋体"/>
          <w:color w:val="000000"/>
          <w:sz w:val="18"/>
          <w:szCs w:val="18"/>
        </w:rPr>
        <w:t>标记</w:t>
      </w:r>
      <w:r w:rsidRPr="001F432F">
        <w:rPr>
          <w:rFonts w:eastAsia="宋体"/>
          <w:color w:val="000000"/>
          <w:sz w:val="18"/>
          <w:szCs w:val="18"/>
        </w:rPr>
        <w:t>。</w:t>
      </w:r>
    </w:p>
  </w:footnote>
  <w:footnote w:id="8">
    <w:p w14:paraId="459222B5" w14:textId="77777777" w:rsidR="00CE6F56" w:rsidRPr="001F432F" w:rsidRDefault="00CE6F56" w:rsidP="00CE6F56">
      <w:pPr>
        <w:pStyle w:val="a7"/>
        <w:rPr>
          <w:rFonts w:eastAsia="宋体"/>
        </w:rPr>
      </w:pPr>
      <w:r w:rsidRPr="001F432F">
        <w:rPr>
          <w:rStyle w:val="a9"/>
          <w:rFonts w:eastAsia="宋体"/>
        </w:rPr>
        <w:footnoteRef/>
      </w:r>
      <w:r w:rsidRPr="001F432F">
        <w:rPr>
          <w:rFonts w:eastAsia="宋体"/>
        </w:rPr>
        <w:t xml:space="preserve"> </w:t>
      </w:r>
      <w:r w:rsidRPr="001F432F">
        <w:rPr>
          <w:rFonts w:eastAsia="宋体"/>
          <w:color w:val="000000"/>
        </w:rPr>
        <w:t>ISO 14971:2007</w:t>
      </w:r>
      <w:r w:rsidRPr="001F432F">
        <w:rPr>
          <w:rFonts w:eastAsia="宋体"/>
          <w:color w:val="000000"/>
        </w:rPr>
        <w:t>，</w:t>
      </w:r>
      <w:r w:rsidRPr="001F432F">
        <w:rPr>
          <w:rFonts w:eastAsia="宋体"/>
          <w:color w:val="000000"/>
        </w:rPr>
        <w:t>“</w:t>
      </w:r>
      <w:r w:rsidRPr="001F432F">
        <w:rPr>
          <w:rFonts w:eastAsia="宋体"/>
          <w:color w:val="000000"/>
        </w:rPr>
        <w:t>医疗器械</w:t>
      </w:r>
      <w:r w:rsidRPr="001F432F">
        <w:rPr>
          <w:rFonts w:eastAsia="宋体"/>
          <w:color w:val="000000"/>
        </w:rPr>
        <w:t>-</w:t>
      </w:r>
      <w:r w:rsidRPr="001F432F">
        <w:rPr>
          <w:rFonts w:eastAsia="宋体"/>
          <w:color w:val="000000"/>
        </w:rPr>
        <w:t>风险管理对医疗器械的应用</w:t>
      </w:r>
      <w:r w:rsidRPr="001F432F">
        <w:rPr>
          <w:rFonts w:eastAsia="宋体"/>
          <w:color w:val="000000"/>
        </w:rPr>
        <w:t>”</w:t>
      </w:r>
      <w:r w:rsidRPr="001F432F">
        <w:rPr>
          <w:rFonts w:eastAsia="宋体"/>
          <w:color w:val="000000"/>
        </w:rPr>
        <w:t>。</w:t>
      </w:r>
    </w:p>
  </w:footnote>
  <w:footnote w:id="9">
    <w:p w14:paraId="124A55B2" w14:textId="77777777" w:rsidR="00CE6F56" w:rsidRPr="001F432F" w:rsidRDefault="00CE6F56" w:rsidP="00CE6F56">
      <w:pPr>
        <w:pStyle w:val="a7"/>
        <w:rPr>
          <w:rFonts w:eastAsia="宋体"/>
          <w:color w:val="000000"/>
        </w:rPr>
      </w:pPr>
      <w:r w:rsidRPr="001F432F">
        <w:rPr>
          <w:rStyle w:val="a9"/>
          <w:rFonts w:eastAsia="宋体"/>
        </w:rPr>
        <w:footnoteRef/>
      </w:r>
      <w:r w:rsidRPr="001F432F">
        <w:rPr>
          <w:rFonts w:eastAsia="宋体"/>
        </w:rPr>
        <w:t xml:space="preserve"> </w:t>
      </w:r>
      <w:r w:rsidRPr="001F432F">
        <w:rPr>
          <w:rFonts w:eastAsia="宋体"/>
          <w:color w:val="000000"/>
        </w:rPr>
        <w:t>若要了解有关医疗器械中网络安全的额外信息，请参见我们的指导文件《医疗器械网络安全管理上市前递交资料内容》，网站：</w:t>
      </w:r>
    </w:p>
    <w:p w14:paraId="48C63C45" w14:textId="77777777" w:rsidR="00CE6F56" w:rsidRPr="001F432F" w:rsidRDefault="00CE6F56" w:rsidP="00CE6F56">
      <w:pPr>
        <w:shd w:val="clear" w:color="auto" w:fill="FFFFFF"/>
        <w:snapToGrid w:val="0"/>
        <w:rPr>
          <w:rFonts w:eastAsia="宋体"/>
          <w:sz w:val="18"/>
          <w:szCs w:val="18"/>
        </w:rPr>
      </w:pPr>
      <w:r w:rsidRPr="001F432F">
        <w:rPr>
          <w:rFonts w:eastAsia="宋体"/>
          <w:color w:val="0000FF"/>
          <w:sz w:val="18"/>
          <w:szCs w:val="18"/>
          <w:u w:val="single"/>
        </w:rPr>
        <w:t>http://www.fda.gov/downloads/MedicalDevices/DeviceRegulationandGuidance/GuidanceDocuments/UCM356190.pdf and</w:t>
      </w:r>
    </w:p>
    <w:p w14:paraId="7802FC27" w14:textId="77777777" w:rsidR="00CE6F56" w:rsidRPr="001F432F" w:rsidRDefault="00CE6F56" w:rsidP="00CE6F56">
      <w:pPr>
        <w:shd w:val="clear" w:color="auto" w:fill="FFFFFF"/>
        <w:snapToGrid w:val="0"/>
        <w:rPr>
          <w:rFonts w:eastAsia="宋体"/>
          <w:sz w:val="18"/>
          <w:szCs w:val="18"/>
        </w:rPr>
      </w:pPr>
      <w:r w:rsidRPr="001F432F">
        <w:rPr>
          <w:rFonts w:eastAsia="宋体"/>
          <w:color w:val="000000"/>
          <w:sz w:val="18"/>
          <w:szCs w:val="18"/>
        </w:rPr>
        <w:t>“</w:t>
      </w:r>
      <w:r w:rsidRPr="001F432F">
        <w:rPr>
          <w:rFonts w:eastAsia="宋体"/>
          <w:color w:val="000000"/>
          <w:sz w:val="18"/>
          <w:szCs w:val="18"/>
        </w:rPr>
        <w:t>行业指南</w:t>
      </w:r>
      <w:r w:rsidRPr="001F432F">
        <w:rPr>
          <w:rFonts w:eastAsia="宋体"/>
          <w:color w:val="000000"/>
          <w:sz w:val="18"/>
          <w:szCs w:val="18"/>
        </w:rPr>
        <w:t>-</w:t>
      </w:r>
      <w:r w:rsidRPr="001F432F">
        <w:rPr>
          <w:rFonts w:eastAsia="宋体"/>
          <w:color w:val="000000"/>
          <w:sz w:val="18"/>
          <w:szCs w:val="18"/>
        </w:rPr>
        <w:t>包含现成（</w:t>
      </w:r>
      <w:r w:rsidRPr="001F432F">
        <w:rPr>
          <w:rFonts w:eastAsia="宋体"/>
          <w:color w:val="000000"/>
          <w:sz w:val="18"/>
          <w:szCs w:val="18"/>
        </w:rPr>
        <w:t>OTS</w:t>
      </w:r>
      <w:r w:rsidRPr="001F432F">
        <w:rPr>
          <w:rFonts w:eastAsia="宋体"/>
          <w:color w:val="000000"/>
          <w:sz w:val="18"/>
          <w:szCs w:val="18"/>
        </w:rPr>
        <w:t>）软件的网络化医疗器械的网络安全</w:t>
      </w:r>
      <w:r w:rsidRPr="001F432F">
        <w:rPr>
          <w:rFonts w:eastAsia="宋体"/>
          <w:color w:val="000000"/>
          <w:sz w:val="18"/>
          <w:szCs w:val="18"/>
        </w:rPr>
        <w:t>”</w:t>
      </w:r>
    </w:p>
    <w:p w14:paraId="25906340" w14:textId="77777777" w:rsidR="00CE6F56" w:rsidRPr="001F432F" w:rsidRDefault="00CE6F56" w:rsidP="00CE6F56">
      <w:pPr>
        <w:shd w:val="clear" w:color="auto" w:fill="FFFFFF"/>
        <w:snapToGrid w:val="0"/>
        <w:rPr>
          <w:rFonts w:eastAsia="宋体"/>
          <w:sz w:val="18"/>
          <w:szCs w:val="18"/>
        </w:rPr>
      </w:pPr>
      <w:r w:rsidRPr="001F432F">
        <w:rPr>
          <w:rFonts w:eastAsia="宋体"/>
          <w:color w:val="000000"/>
          <w:sz w:val="18"/>
          <w:szCs w:val="18"/>
        </w:rPr>
        <w:t>可登录以下网站获取：</w:t>
      </w:r>
    </w:p>
    <w:p w14:paraId="2F3C4420" w14:textId="77777777" w:rsidR="00CE6F56" w:rsidRPr="001F432F" w:rsidRDefault="00CE6F56" w:rsidP="00CE6F56">
      <w:pPr>
        <w:shd w:val="clear" w:color="auto" w:fill="FFFFFF"/>
        <w:snapToGrid w:val="0"/>
        <w:rPr>
          <w:rFonts w:eastAsia="宋体"/>
          <w:sz w:val="18"/>
          <w:szCs w:val="18"/>
        </w:rPr>
      </w:pPr>
      <w:r w:rsidRPr="001F432F">
        <w:rPr>
          <w:rFonts w:eastAsia="宋体"/>
          <w:color w:val="0000FF"/>
          <w:sz w:val="18"/>
          <w:szCs w:val="18"/>
          <w:u w:val="single"/>
        </w:rPr>
        <w:t>http://www.fda.gov/medicaldevices/deviceregulationandguidance/guidancedocuments/ucm077812.htm</w:t>
      </w:r>
      <w:r w:rsidRPr="001F432F">
        <w:rPr>
          <w:rFonts w:eastAsia="宋体"/>
          <w:color w:val="000000"/>
          <w:sz w:val="18"/>
          <w:szCs w:val="18"/>
        </w:rPr>
        <w:t>.</w:t>
      </w:r>
    </w:p>
  </w:footnote>
  <w:footnote w:id="10">
    <w:p w14:paraId="360E4A1B" w14:textId="77777777" w:rsidR="00CE6F56" w:rsidRPr="001F432F" w:rsidRDefault="00CE6F56" w:rsidP="00CE6F56">
      <w:pPr>
        <w:pStyle w:val="a7"/>
        <w:rPr>
          <w:rFonts w:eastAsia="宋体"/>
        </w:rPr>
      </w:pPr>
      <w:r w:rsidRPr="001F432F">
        <w:rPr>
          <w:rStyle w:val="a9"/>
          <w:rFonts w:eastAsia="宋体"/>
        </w:rPr>
        <w:footnoteRef/>
      </w:r>
      <w:r w:rsidRPr="001F432F">
        <w:rPr>
          <w:rFonts w:eastAsia="宋体"/>
        </w:rPr>
        <w:t xml:space="preserve"> </w:t>
      </w:r>
      <w:r w:rsidRPr="001F432F">
        <w:rPr>
          <w:rFonts w:eastAsia="宋体"/>
          <w:color w:val="000000"/>
        </w:rPr>
        <w:t>若要确定支持符合标准的适当文件化程度，请参考指导文件，</w:t>
      </w:r>
      <w:r w:rsidRPr="001F432F">
        <w:rPr>
          <w:rFonts w:eastAsia="宋体"/>
          <w:color w:val="000000"/>
        </w:rPr>
        <w:t>“</w:t>
      </w:r>
      <w:r w:rsidRPr="001F432F">
        <w:rPr>
          <w:rFonts w:eastAsia="宋体"/>
          <w:color w:val="0000FF"/>
          <w:u w:val="single"/>
        </w:rPr>
        <w:t>行业及</w:t>
      </w:r>
      <w:r w:rsidRPr="001F432F">
        <w:rPr>
          <w:rFonts w:eastAsia="宋体"/>
          <w:color w:val="0000FF"/>
          <w:u w:val="single"/>
        </w:rPr>
        <w:t>FDA</w:t>
      </w:r>
      <w:r w:rsidRPr="001F432F">
        <w:rPr>
          <w:rFonts w:eastAsia="宋体"/>
          <w:color w:val="0000FF"/>
          <w:u w:val="single"/>
        </w:rPr>
        <w:t>工作人员指南</w:t>
      </w:r>
      <w:r w:rsidRPr="001F432F">
        <w:rPr>
          <w:rFonts w:eastAsia="宋体"/>
          <w:color w:val="0000FF"/>
          <w:u w:val="single"/>
        </w:rPr>
        <w:t>-</w:t>
      </w:r>
      <w:r w:rsidRPr="001F432F">
        <w:rPr>
          <w:rFonts w:eastAsia="宋体"/>
          <w:color w:val="0000FF"/>
          <w:u w:val="single"/>
        </w:rPr>
        <w:t>共识标准的认可和使用</w:t>
      </w:r>
      <w:r w:rsidRPr="001F432F">
        <w:rPr>
          <w:rFonts w:eastAsia="宋体"/>
          <w:color w:val="000000"/>
        </w:rPr>
        <w:t>，</w:t>
      </w:r>
      <w:r w:rsidRPr="001F432F">
        <w:rPr>
          <w:rFonts w:eastAsia="宋体"/>
          <w:color w:val="000000"/>
        </w:rPr>
        <w:t xml:space="preserve">” </w:t>
      </w:r>
      <w:r w:rsidRPr="001F432F">
        <w:rPr>
          <w:rFonts w:eastAsia="宋体"/>
          <w:color w:val="0000FF"/>
          <w:u w:val="single"/>
        </w:rPr>
        <w:t>http://www.fda.gov/medicaldevices/deviceregulationandguidance/guidancedocuments/ucm077274.htm</w:t>
      </w:r>
      <w:r w:rsidRPr="001F432F">
        <w:rPr>
          <w:rFonts w:eastAsia="宋体"/>
          <w:color w:val="000000"/>
        </w:rPr>
        <w:t>。</w:t>
      </w:r>
    </w:p>
  </w:footnote>
  <w:footnote w:id="11">
    <w:p w14:paraId="5D3DB66A" w14:textId="66B6F885" w:rsidR="00CE6F56" w:rsidRPr="001F432F" w:rsidRDefault="00CE6F56" w:rsidP="00CE6F56">
      <w:pPr>
        <w:pStyle w:val="a7"/>
        <w:rPr>
          <w:rFonts w:eastAsia="宋体"/>
        </w:rPr>
      </w:pPr>
      <w:r w:rsidRPr="001F432F">
        <w:rPr>
          <w:rStyle w:val="a9"/>
          <w:rFonts w:eastAsia="宋体"/>
        </w:rPr>
        <w:footnoteRef/>
      </w:r>
      <w:r w:rsidRPr="001F432F">
        <w:rPr>
          <w:rFonts w:eastAsia="宋体"/>
        </w:rPr>
        <w:t xml:space="preserve"> </w:t>
      </w:r>
      <w:r w:rsidRPr="001F432F">
        <w:rPr>
          <w:rFonts w:eastAsia="宋体"/>
          <w:color w:val="000000"/>
        </w:rPr>
        <w:t>具有批准的</w:t>
      </w:r>
      <w:r w:rsidRPr="001F432F">
        <w:rPr>
          <w:rFonts w:eastAsia="宋体"/>
          <w:color w:val="000000"/>
        </w:rPr>
        <w:t>BLA</w:t>
      </w:r>
      <w:r w:rsidRPr="001F432F">
        <w:rPr>
          <w:rFonts w:eastAsia="宋体"/>
          <w:color w:val="000000"/>
        </w:rPr>
        <w:t>的器械也可能受到</w:t>
      </w:r>
      <w:r w:rsidRPr="001F432F">
        <w:rPr>
          <w:rFonts w:eastAsia="宋体"/>
          <w:color w:val="000000"/>
        </w:rPr>
        <w:t>21 CFR</w:t>
      </w:r>
      <w:r w:rsidRPr="001F432F">
        <w:rPr>
          <w:rFonts w:eastAsia="宋体"/>
          <w:color w:val="000000"/>
        </w:rPr>
        <w:t>第</w:t>
      </w:r>
      <w:r w:rsidRPr="001F432F">
        <w:rPr>
          <w:rFonts w:eastAsia="宋体"/>
          <w:color w:val="000000"/>
        </w:rPr>
        <w:t>610</w:t>
      </w:r>
      <w:r w:rsidRPr="001F432F">
        <w:rPr>
          <w:rFonts w:eastAsia="宋体"/>
          <w:color w:val="000000"/>
        </w:rPr>
        <w:t>和</w:t>
      </w:r>
      <w:r w:rsidRPr="001F432F">
        <w:rPr>
          <w:rFonts w:eastAsia="宋体"/>
          <w:color w:val="000000"/>
        </w:rPr>
        <w:t>660</w:t>
      </w:r>
      <w:r w:rsidRPr="001F432F">
        <w:rPr>
          <w:rFonts w:eastAsia="宋体"/>
          <w:color w:val="000000"/>
        </w:rPr>
        <w:t>部分中的某些</w:t>
      </w:r>
      <w:bookmarkStart w:id="31" w:name="_GoBack"/>
      <w:r w:rsidR="005E576D">
        <w:rPr>
          <w:rFonts w:eastAsia="宋体"/>
          <w:color w:val="000000"/>
        </w:rPr>
        <w:t>标记</w:t>
      </w:r>
      <w:bookmarkEnd w:id="31"/>
      <w:r w:rsidRPr="001F432F">
        <w:rPr>
          <w:rFonts w:eastAsia="宋体"/>
          <w:color w:val="000000"/>
        </w:rPr>
        <w:t>要求的约束。</w:t>
      </w:r>
    </w:p>
  </w:footnote>
  <w:footnote w:id="12">
    <w:p w14:paraId="238BDAB9" w14:textId="77777777" w:rsidR="00CE6F56" w:rsidRPr="00CE6F56" w:rsidRDefault="00CE6F56" w:rsidP="00CE6F56">
      <w:pPr>
        <w:shd w:val="clear" w:color="auto" w:fill="FFFFFF"/>
        <w:snapToGrid w:val="0"/>
        <w:rPr>
          <w:rFonts w:eastAsia="宋体"/>
          <w:color w:val="000000" w:themeColor="text1"/>
          <w:sz w:val="18"/>
          <w:szCs w:val="18"/>
        </w:rPr>
      </w:pPr>
      <w:r w:rsidRPr="001F432F">
        <w:rPr>
          <w:rStyle w:val="a9"/>
          <w:rFonts w:eastAsia="宋体"/>
          <w:color w:val="000000" w:themeColor="text1"/>
          <w:sz w:val="18"/>
          <w:szCs w:val="18"/>
        </w:rPr>
        <w:footnoteRef/>
      </w:r>
      <w:r w:rsidRPr="001F432F">
        <w:rPr>
          <w:rFonts w:eastAsia="宋体"/>
          <w:color w:val="000000" w:themeColor="text1"/>
          <w:sz w:val="18"/>
          <w:szCs w:val="18"/>
        </w:rPr>
        <w:t xml:space="preserve"> </w:t>
      </w:r>
      <w:r w:rsidRPr="001F432F">
        <w:rPr>
          <w:rFonts w:eastAsia="宋体"/>
          <w:color w:val="000000" w:themeColor="text1"/>
          <w:sz w:val="18"/>
          <w:szCs w:val="18"/>
        </w:rPr>
        <w:t>有关更多信息，请参考</w:t>
      </w:r>
      <w:r w:rsidRPr="001F432F">
        <w:rPr>
          <w:rFonts w:eastAsia="宋体"/>
          <w:color w:val="000000" w:themeColor="text1"/>
          <w:sz w:val="18"/>
          <w:szCs w:val="18"/>
        </w:rPr>
        <w:t>FDA</w:t>
      </w:r>
      <w:r w:rsidRPr="001F432F">
        <w:rPr>
          <w:rFonts w:eastAsia="宋体"/>
          <w:color w:val="000000" w:themeColor="text1"/>
          <w:sz w:val="18"/>
          <w:szCs w:val="18"/>
        </w:rPr>
        <w:t>指南，</w:t>
      </w:r>
      <w:r w:rsidRPr="00277127">
        <w:rPr>
          <w:rFonts w:ascii="宋体" w:eastAsia="宋体" w:hAnsi="宋体"/>
          <w:color w:val="000000" w:themeColor="text1"/>
          <w:sz w:val="18"/>
          <w:szCs w:val="18"/>
        </w:rPr>
        <w:t>“人为因素和可用性工程对医疗器械的应用”</w:t>
      </w:r>
      <w:r w:rsidRPr="001F432F">
        <w:rPr>
          <w:rFonts w:eastAsia="宋体"/>
          <w:color w:val="000000" w:themeColor="text1"/>
          <w:sz w:val="18"/>
          <w:szCs w:val="18"/>
        </w:rPr>
        <w:t>，网站：</w:t>
      </w:r>
      <w:r w:rsidRPr="001F432F">
        <w:rPr>
          <w:rFonts w:eastAsia="宋体"/>
          <w:color w:val="000000" w:themeColor="text1"/>
          <w:sz w:val="18"/>
          <w:szCs w:val="18"/>
        </w:rPr>
        <w:t xml:space="preserve"> </w:t>
      </w:r>
      <w:r w:rsidRPr="001F432F">
        <w:rPr>
          <w:rFonts w:eastAsia="宋体"/>
          <w:color w:val="000000" w:themeColor="text1"/>
          <w:sz w:val="18"/>
          <w:szCs w:val="18"/>
          <w:u w:val="single"/>
        </w:rPr>
        <w:t>http://www.fda.gov/downloads/MedicalDevices/.../UCM259760.pdf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50B12" w14:textId="7094CD18" w:rsidR="00CE6F56" w:rsidRPr="003E1C97" w:rsidRDefault="00B32A80" w:rsidP="003E1C97">
    <w:pPr>
      <w:shd w:val="clear" w:color="auto" w:fill="FFFFFF"/>
      <w:snapToGrid w:val="0"/>
      <w:jc w:val="center"/>
      <w:rPr>
        <w:rFonts w:eastAsia="宋体"/>
        <w:sz w:val="21"/>
        <w:szCs w:val="21"/>
      </w:rPr>
    </w:pPr>
    <w:r>
      <w:rPr>
        <w:rFonts w:eastAsia="宋体" w:hint="eastAsia"/>
        <w:b/>
        <w:bCs/>
        <w:i/>
        <w:iCs/>
        <w:color w:val="000000"/>
        <w:sz w:val="21"/>
        <w:szCs w:val="21"/>
      </w:rPr>
      <w:t>所含建议</w:t>
    </w:r>
    <w:r>
      <w:rPr>
        <w:rFonts w:eastAsia="宋体"/>
        <w:b/>
        <w:bCs/>
        <w:i/>
        <w:iCs/>
        <w:color w:val="000000"/>
        <w:sz w:val="21"/>
        <w:szCs w:val="21"/>
      </w:rPr>
      <w:t>不具约束力</w:t>
    </w:r>
  </w:p>
  <w:p w14:paraId="0A9692CD" w14:textId="77777777" w:rsidR="00CE6F56" w:rsidRDefault="00CE6F56" w:rsidP="003E1C9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45C3"/>
    <w:multiLevelType w:val="singleLevel"/>
    <w:tmpl w:val="2722A65C"/>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44536282"/>
    <w:multiLevelType w:val="singleLevel"/>
    <w:tmpl w:val="B5227BF6"/>
    <w:lvl w:ilvl="0">
      <w:start w:val="1"/>
      <w:numFmt w:val="decimal"/>
      <w:lvlText w:val="(%1)"/>
      <w:legacy w:legacy="1" w:legacySpace="0" w:legacyIndent="283"/>
      <w:lvlJc w:val="left"/>
      <w:rPr>
        <w:rFonts w:ascii="Times New Roman" w:hAnsi="Times New Roman" w:cs="Times New Roman" w:hint="default"/>
      </w:rPr>
    </w:lvl>
  </w:abstractNum>
  <w:num w:numId="1">
    <w:abstractNumId w:val="0"/>
  </w:num>
  <w:num w:numId="2">
    <w:abstractNumId w:val="0"/>
    <w:lvlOverride w:ilvl="0">
      <w:lvl w:ilvl="0">
        <w:start w:val="4"/>
        <w:numFmt w:val="decimal"/>
        <w:lvlText w:val="%1."/>
        <w:legacy w:legacy="1" w:legacySpace="0" w:legacyIndent="360"/>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CD1"/>
    <w:rsid w:val="00011AEF"/>
    <w:rsid w:val="00065907"/>
    <w:rsid w:val="00071D0C"/>
    <w:rsid w:val="00080DCD"/>
    <w:rsid w:val="0009027A"/>
    <w:rsid w:val="00115AC0"/>
    <w:rsid w:val="001A1842"/>
    <w:rsid w:val="001D7A01"/>
    <w:rsid w:val="001E3026"/>
    <w:rsid w:val="001F1D49"/>
    <w:rsid w:val="001F432F"/>
    <w:rsid w:val="00227339"/>
    <w:rsid w:val="00235BDE"/>
    <w:rsid w:val="00277127"/>
    <w:rsid w:val="00292998"/>
    <w:rsid w:val="002A34BF"/>
    <w:rsid w:val="00342289"/>
    <w:rsid w:val="00365AA0"/>
    <w:rsid w:val="00390EA1"/>
    <w:rsid w:val="003A03B2"/>
    <w:rsid w:val="003B77DB"/>
    <w:rsid w:val="003C7B7C"/>
    <w:rsid w:val="003E1C97"/>
    <w:rsid w:val="003E3184"/>
    <w:rsid w:val="004826CF"/>
    <w:rsid w:val="004A5F27"/>
    <w:rsid w:val="004A6F22"/>
    <w:rsid w:val="00567306"/>
    <w:rsid w:val="005A5510"/>
    <w:rsid w:val="005D7B45"/>
    <w:rsid w:val="005E576D"/>
    <w:rsid w:val="00630112"/>
    <w:rsid w:val="0067688D"/>
    <w:rsid w:val="006A5500"/>
    <w:rsid w:val="006E19D0"/>
    <w:rsid w:val="00700A8D"/>
    <w:rsid w:val="0079774A"/>
    <w:rsid w:val="00797844"/>
    <w:rsid w:val="007B46B6"/>
    <w:rsid w:val="00800F20"/>
    <w:rsid w:val="00A40308"/>
    <w:rsid w:val="00A649DA"/>
    <w:rsid w:val="00A81FB6"/>
    <w:rsid w:val="00AA4636"/>
    <w:rsid w:val="00AB1C1E"/>
    <w:rsid w:val="00B050EC"/>
    <w:rsid w:val="00B23B3D"/>
    <w:rsid w:val="00B32A80"/>
    <w:rsid w:val="00B60225"/>
    <w:rsid w:val="00BE3F06"/>
    <w:rsid w:val="00BF27E7"/>
    <w:rsid w:val="00C11BF9"/>
    <w:rsid w:val="00CC5685"/>
    <w:rsid w:val="00CE6F56"/>
    <w:rsid w:val="00D346C2"/>
    <w:rsid w:val="00D46F9A"/>
    <w:rsid w:val="00DA4F6F"/>
    <w:rsid w:val="00DD0657"/>
    <w:rsid w:val="00DD07DC"/>
    <w:rsid w:val="00E30B1B"/>
    <w:rsid w:val="00E60057"/>
    <w:rsid w:val="00EB6DE3"/>
    <w:rsid w:val="00EC316A"/>
    <w:rsid w:val="00F77677"/>
    <w:rsid w:val="00FE4CD1"/>
    <w:rsid w:val="00FF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69859"/>
  <w15:docId w15:val="{B9B63426-D5BF-4384-843A-A8E9FDA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F9A"/>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CE6F56"/>
    <w:pPr>
      <w:tabs>
        <w:tab w:val="left" w:pos="630"/>
        <w:tab w:val="left" w:pos="1274"/>
      </w:tabs>
      <w:snapToGrid w:val="0"/>
      <w:spacing w:beforeLines="100" w:afterLines="100"/>
      <w:ind w:left="630" w:hangingChars="175" w:hanging="630"/>
      <w:jc w:val="both"/>
      <w:outlineLvl w:val="0"/>
    </w:pPr>
    <w:rPr>
      <w:b/>
      <w:bCs/>
      <w:sz w:val="36"/>
      <w:szCs w:val="36"/>
    </w:rPr>
  </w:style>
  <w:style w:type="paragraph" w:styleId="2">
    <w:name w:val="heading 2"/>
    <w:basedOn w:val="a"/>
    <w:next w:val="a"/>
    <w:link w:val="20"/>
    <w:uiPriority w:val="9"/>
    <w:unhideWhenUsed/>
    <w:qFormat/>
    <w:rsid w:val="00CE6F56"/>
    <w:pPr>
      <w:tabs>
        <w:tab w:val="left" w:pos="1288"/>
      </w:tabs>
      <w:snapToGrid w:val="0"/>
      <w:spacing w:beforeLines="100" w:afterLines="100"/>
      <w:ind w:leftChars="283" w:left="566"/>
      <w:jc w:val="both"/>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C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C97"/>
    <w:rPr>
      <w:rFonts w:ascii="Times New Roman" w:hAnsi="Times New Roman" w:cs="Times New Roman"/>
      <w:kern w:val="0"/>
      <w:sz w:val="18"/>
      <w:szCs w:val="18"/>
    </w:rPr>
  </w:style>
  <w:style w:type="paragraph" w:styleId="a5">
    <w:name w:val="footer"/>
    <w:basedOn w:val="a"/>
    <w:link w:val="a6"/>
    <w:uiPriority w:val="99"/>
    <w:unhideWhenUsed/>
    <w:rsid w:val="003E1C97"/>
    <w:pPr>
      <w:tabs>
        <w:tab w:val="center" w:pos="4153"/>
        <w:tab w:val="right" w:pos="8306"/>
      </w:tabs>
      <w:snapToGrid w:val="0"/>
    </w:pPr>
    <w:rPr>
      <w:sz w:val="18"/>
      <w:szCs w:val="18"/>
    </w:rPr>
  </w:style>
  <w:style w:type="character" w:customStyle="1" w:styleId="a6">
    <w:name w:val="页脚 字符"/>
    <w:basedOn w:val="a0"/>
    <w:link w:val="a5"/>
    <w:uiPriority w:val="99"/>
    <w:rsid w:val="003E1C97"/>
    <w:rPr>
      <w:rFonts w:ascii="Times New Roman" w:hAnsi="Times New Roman" w:cs="Times New Roman"/>
      <w:kern w:val="0"/>
      <w:sz w:val="18"/>
      <w:szCs w:val="18"/>
    </w:rPr>
  </w:style>
  <w:style w:type="paragraph" w:styleId="a7">
    <w:name w:val="footnote text"/>
    <w:basedOn w:val="a"/>
    <w:link w:val="a8"/>
    <w:uiPriority w:val="99"/>
    <w:semiHidden/>
    <w:unhideWhenUsed/>
    <w:rsid w:val="003E1C97"/>
    <w:pPr>
      <w:snapToGrid w:val="0"/>
    </w:pPr>
    <w:rPr>
      <w:sz w:val="18"/>
      <w:szCs w:val="18"/>
    </w:rPr>
  </w:style>
  <w:style w:type="character" w:customStyle="1" w:styleId="a8">
    <w:name w:val="脚注文本 字符"/>
    <w:basedOn w:val="a0"/>
    <w:link w:val="a7"/>
    <w:uiPriority w:val="99"/>
    <w:semiHidden/>
    <w:rsid w:val="003E1C97"/>
    <w:rPr>
      <w:rFonts w:ascii="Times New Roman" w:hAnsi="Times New Roman" w:cs="Times New Roman"/>
      <w:kern w:val="0"/>
      <w:sz w:val="18"/>
      <w:szCs w:val="18"/>
    </w:rPr>
  </w:style>
  <w:style w:type="character" w:styleId="a9">
    <w:name w:val="footnote reference"/>
    <w:basedOn w:val="a0"/>
    <w:uiPriority w:val="99"/>
    <w:semiHidden/>
    <w:unhideWhenUsed/>
    <w:rsid w:val="003E1C97"/>
    <w:rPr>
      <w:vertAlign w:val="superscript"/>
    </w:rPr>
  </w:style>
  <w:style w:type="paragraph" w:customStyle="1" w:styleId="Default">
    <w:name w:val="Default"/>
    <w:rsid w:val="00CE6F56"/>
    <w:pPr>
      <w:widowControl w:val="0"/>
      <w:autoSpaceDE w:val="0"/>
      <w:autoSpaceDN w:val="0"/>
      <w:adjustRightInd w:val="0"/>
    </w:pPr>
    <w:rPr>
      <w:rFonts w:ascii="Times New Roman" w:hAnsi="Times New Roman" w:cs="Times New Roman"/>
      <w:color w:val="000000"/>
      <w:kern w:val="0"/>
      <w:sz w:val="24"/>
      <w:szCs w:val="24"/>
    </w:rPr>
  </w:style>
  <w:style w:type="character" w:styleId="aa">
    <w:name w:val="Hyperlink"/>
    <w:basedOn w:val="a0"/>
    <w:uiPriority w:val="99"/>
    <w:unhideWhenUsed/>
    <w:rsid w:val="00CE6F56"/>
    <w:rPr>
      <w:color w:val="0563C1" w:themeColor="hyperlink"/>
      <w:u w:val="single"/>
    </w:rPr>
  </w:style>
  <w:style w:type="paragraph" w:styleId="11">
    <w:name w:val="toc 1"/>
    <w:basedOn w:val="a"/>
    <w:next w:val="a"/>
    <w:autoRedefine/>
    <w:uiPriority w:val="39"/>
    <w:unhideWhenUsed/>
    <w:rsid w:val="00CE6F56"/>
    <w:pPr>
      <w:tabs>
        <w:tab w:val="left" w:pos="709"/>
        <w:tab w:val="right" w:leader="dot" w:pos="9062"/>
      </w:tabs>
    </w:pPr>
    <w:rPr>
      <w:rFonts w:eastAsia="宋体"/>
      <w:sz w:val="24"/>
    </w:rPr>
  </w:style>
  <w:style w:type="paragraph" w:styleId="21">
    <w:name w:val="toc 2"/>
    <w:basedOn w:val="a"/>
    <w:next w:val="a"/>
    <w:autoRedefine/>
    <w:uiPriority w:val="39"/>
    <w:unhideWhenUsed/>
    <w:rsid w:val="00CE6F56"/>
    <w:pPr>
      <w:tabs>
        <w:tab w:val="left" w:pos="709"/>
        <w:tab w:val="right" w:leader="dot" w:pos="9062"/>
      </w:tabs>
      <w:ind w:leftChars="142" w:left="284"/>
    </w:pPr>
    <w:rPr>
      <w:rFonts w:eastAsia="宋体"/>
      <w:sz w:val="21"/>
    </w:rPr>
  </w:style>
  <w:style w:type="character" w:customStyle="1" w:styleId="10">
    <w:name w:val="标题 1 字符"/>
    <w:basedOn w:val="a0"/>
    <w:link w:val="1"/>
    <w:uiPriority w:val="9"/>
    <w:rsid w:val="00CE6F56"/>
    <w:rPr>
      <w:rFonts w:ascii="Times New Roman" w:hAnsi="Times New Roman" w:cs="Times New Roman"/>
      <w:b/>
      <w:bCs/>
      <w:kern w:val="0"/>
      <w:sz w:val="36"/>
      <w:szCs w:val="36"/>
    </w:rPr>
  </w:style>
  <w:style w:type="character" w:customStyle="1" w:styleId="20">
    <w:name w:val="标题 2 字符"/>
    <w:basedOn w:val="a0"/>
    <w:link w:val="2"/>
    <w:uiPriority w:val="9"/>
    <w:rsid w:val="00CE6F56"/>
    <w:rPr>
      <w:rFonts w:ascii="Times New Roman" w:hAnsi="Times New Roman" w:cs="Times New Roman"/>
      <w:b/>
      <w:bCs/>
      <w:kern w:val="0"/>
      <w:sz w:val="32"/>
      <w:szCs w:val="32"/>
    </w:rPr>
  </w:style>
  <w:style w:type="character" w:customStyle="1" w:styleId="UnresolvedMention1">
    <w:name w:val="Unresolved Mention1"/>
    <w:basedOn w:val="a0"/>
    <w:uiPriority w:val="99"/>
    <w:semiHidden/>
    <w:unhideWhenUsed/>
    <w:rsid w:val="00CE6F56"/>
    <w:rPr>
      <w:color w:val="605E5C"/>
      <w:shd w:val="clear" w:color="auto" w:fill="E1DFDD"/>
    </w:rPr>
  </w:style>
  <w:style w:type="paragraph" w:styleId="ab">
    <w:name w:val="Balloon Text"/>
    <w:basedOn w:val="a"/>
    <w:link w:val="ac"/>
    <w:uiPriority w:val="99"/>
    <w:semiHidden/>
    <w:unhideWhenUsed/>
    <w:rsid w:val="001F432F"/>
    <w:rPr>
      <w:sz w:val="18"/>
      <w:szCs w:val="18"/>
    </w:rPr>
  </w:style>
  <w:style w:type="character" w:customStyle="1" w:styleId="ac">
    <w:name w:val="批注框文本 字符"/>
    <w:basedOn w:val="a0"/>
    <w:link w:val="ab"/>
    <w:uiPriority w:val="99"/>
    <w:semiHidden/>
    <w:rsid w:val="001F432F"/>
    <w:rPr>
      <w:rFonts w:ascii="Times New Roman" w:hAnsi="Times New Roman" w:cs="Times New Roman"/>
      <w:kern w:val="0"/>
      <w:sz w:val="18"/>
      <w:szCs w:val="18"/>
    </w:rPr>
  </w:style>
  <w:style w:type="paragraph" w:styleId="ad">
    <w:name w:val="Revision"/>
    <w:hidden/>
    <w:uiPriority w:val="99"/>
    <w:semiHidden/>
    <w:rsid w:val="00630112"/>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21BF-C604-4B79-B5ED-6D913E76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21</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Design Considerations and Pre-market Submission Recommendations for Interoperable Medical Devices - Guidance for Industry and Food and Drug Administration Staff</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Considerations and Pre-market Submission Recommendations for Interoperable Medical Devices - Guidance for Industry and Food and Drug Administration Staff</dc:title>
  <dc:subject/>
  <dc:creator>CDRH CBER</dc:creator>
  <cp:keywords/>
  <dc:description/>
  <cp:lastModifiedBy>质量部</cp:lastModifiedBy>
  <cp:revision>27</cp:revision>
  <dcterms:created xsi:type="dcterms:W3CDTF">2021-11-14T01:48:00Z</dcterms:created>
  <dcterms:modified xsi:type="dcterms:W3CDTF">2022-10-10T06:37:00Z</dcterms:modified>
</cp:coreProperties>
</file>