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7267E" w14:textId="77777777" w:rsidR="00973B28" w:rsidRDefault="00FC0A32" w:rsidP="0006004F">
      <w:pPr>
        <w:pStyle w:val="Default"/>
        <w:pBdr>
          <w:bottom w:val="single" w:sz="4" w:space="1" w:color="auto"/>
        </w:pBdr>
        <w:snapToGrid w:val="0"/>
        <w:jc w:val="center"/>
        <w:rPr>
          <w:rFonts w:eastAsia="宋体"/>
          <w:sz w:val="56"/>
          <w:szCs w:val="56"/>
        </w:rPr>
      </w:pPr>
      <w:r w:rsidRPr="00F814BC">
        <w:rPr>
          <w:rFonts w:eastAsia="宋体" w:hint="eastAsia"/>
          <w:b/>
          <w:bCs/>
          <w:sz w:val="56"/>
          <w:szCs w:val="56"/>
        </w:rPr>
        <w:t>考虑对</w:t>
      </w:r>
      <w:r w:rsidR="00BE0DEA" w:rsidRPr="00F814BC">
        <w:rPr>
          <w:rFonts w:eastAsia="宋体"/>
          <w:b/>
          <w:bCs/>
          <w:sz w:val="56"/>
          <w:szCs w:val="56"/>
        </w:rPr>
        <w:t>医疗器械上市前</w:t>
      </w:r>
      <w:r w:rsidRPr="00F814BC">
        <w:rPr>
          <w:rFonts w:eastAsia="宋体" w:hint="eastAsia"/>
          <w:b/>
          <w:bCs/>
          <w:sz w:val="56"/>
          <w:szCs w:val="56"/>
        </w:rPr>
        <w:t>批准</w:t>
      </w:r>
      <w:r w:rsidR="00BE0DEA" w:rsidRPr="00F814BC">
        <w:rPr>
          <w:rFonts w:eastAsia="宋体"/>
          <w:b/>
          <w:bCs/>
          <w:sz w:val="56"/>
          <w:szCs w:val="56"/>
        </w:rPr>
        <w:t>、</w:t>
      </w:r>
      <w:r w:rsidR="00A05DF2" w:rsidRPr="00F814BC">
        <w:rPr>
          <w:rFonts w:eastAsia="宋体"/>
          <w:b/>
          <w:bCs/>
          <w:sz w:val="56"/>
          <w:szCs w:val="56"/>
        </w:rPr>
        <w:t>重</w:t>
      </w:r>
      <w:r w:rsidR="00BE0DEA" w:rsidRPr="00F814BC">
        <w:rPr>
          <w:rFonts w:eastAsia="宋体"/>
          <w:b/>
          <w:bCs/>
          <w:sz w:val="56"/>
          <w:szCs w:val="56"/>
        </w:rPr>
        <w:t>新分类和人道主义器械豁免</w:t>
      </w:r>
      <w:r w:rsidR="00E6092F" w:rsidRPr="00F814BC">
        <w:rPr>
          <w:rFonts w:eastAsia="宋体"/>
          <w:b/>
          <w:bCs/>
          <w:sz w:val="56"/>
          <w:szCs w:val="56"/>
        </w:rPr>
        <w:t>获益风险判定</w:t>
      </w:r>
      <w:r w:rsidRPr="00F814BC">
        <w:rPr>
          <w:rFonts w:eastAsia="宋体"/>
          <w:b/>
          <w:bCs/>
          <w:sz w:val="56"/>
          <w:szCs w:val="56"/>
        </w:rPr>
        <w:t>中的不确定因素</w:t>
      </w:r>
    </w:p>
    <w:p w14:paraId="4C9C892A" w14:textId="77777777" w:rsidR="00973B28" w:rsidRDefault="00BE0DEA" w:rsidP="0006004F">
      <w:pPr>
        <w:pStyle w:val="Default"/>
        <w:snapToGrid w:val="0"/>
        <w:jc w:val="center"/>
        <w:rPr>
          <w:rFonts w:eastAsia="宋体"/>
          <w:sz w:val="56"/>
          <w:szCs w:val="56"/>
        </w:rPr>
      </w:pPr>
      <w:r w:rsidRPr="00F814BC">
        <w:rPr>
          <w:rFonts w:eastAsia="宋体"/>
          <w:b/>
          <w:bCs/>
          <w:sz w:val="56"/>
          <w:szCs w:val="56"/>
        </w:rPr>
        <w:t>行业和美国食品药品监督管理局工作人员</w:t>
      </w:r>
      <w:r w:rsidR="00E6092F" w:rsidRPr="00F814BC">
        <w:rPr>
          <w:rFonts w:eastAsia="宋体"/>
          <w:b/>
          <w:bCs/>
          <w:sz w:val="56"/>
          <w:szCs w:val="56"/>
        </w:rPr>
        <w:t>指南</w:t>
      </w:r>
    </w:p>
    <w:p w14:paraId="2C46DE7C" w14:textId="77777777" w:rsidR="00973B28" w:rsidRDefault="00973B28" w:rsidP="0006004F">
      <w:pPr>
        <w:pStyle w:val="Default"/>
        <w:snapToGrid w:val="0"/>
        <w:jc w:val="center"/>
        <w:rPr>
          <w:rFonts w:eastAsia="宋体"/>
          <w:b/>
          <w:bCs/>
          <w:sz w:val="28"/>
          <w:szCs w:val="28"/>
        </w:rPr>
      </w:pPr>
    </w:p>
    <w:p w14:paraId="35D206CD" w14:textId="77777777" w:rsidR="00973B28" w:rsidRDefault="00BE0DEA" w:rsidP="0006004F">
      <w:pPr>
        <w:pStyle w:val="Default"/>
        <w:snapToGrid w:val="0"/>
        <w:jc w:val="center"/>
        <w:rPr>
          <w:rFonts w:eastAsia="宋体"/>
          <w:b/>
          <w:bCs/>
          <w:sz w:val="28"/>
          <w:szCs w:val="28"/>
        </w:rPr>
      </w:pPr>
      <w:r w:rsidRPr="00F814BC">
        <w:rPr>
          <w:rFonts w:eastAsia="宋体"/>
          <w:b/>
          <w:bCs/>
          <w:sz w:val="28"/>
          <w:szCs w:val="28"/>
        </w:rPr>
        <w:t>文件发布日期：</w:t>
      </w:r>
      <w:r w:rsidRPr="00F814BC">
        <w:rPr>
          <w:rFonts w:eastAsia="宋体"/>
          <w:b/>
          <w:bCs/>
          <w:sz w:val="28"/>
          <w:szCs w:val="28"/>
        </w:rPr>
        <w:t>2019</w:t>
      </w:r>
      <w:r w:rsidRPr="00F814BC">
        <w:rPr>
          <w:rFonts w:eastAsia="宋体"/>
          <w:b/>
          <w:bCs/>
          <w:sz w:val="28"/>
          <w:szCs w:val="28"/>
        </w:rPr>
        <w:t>年</w:t>
      </w:r>
      <w:r w:rsidRPr="00F814BC">
        <w:rPr>
          <w:rFonts w:eastAsia="宋体"/>
          <w:b/>
          <w:bCs/>
          <w:sz w:val="28"/>
          <w:szCs w:val="28"/>
        </w:rPr>
        <w:t>8</w:t>
      </w:r>
      <w:r w:rsidRPr="00F814BC">
        <w:rPr>
          <w:rFonts w:eastAsia="宋体"/>
          <w:b/>
          <w:bCs/>
          <w:sz w:val="28"/>
          <w:szCs w:val="28"/>
        </w:rPr>
        <w:t>月</w:t>
      </w:r>
      <w:r w:rsidRPr="00F814BC">
        <w:rPr>
          <w:rFonts w:eastAsia="宋体"/>
          <w:b/>
          <w:bCs/>
          <w:sz w:val="28"/>
          <w:szCs w:val="28"/>
        </w:rPr>
        <w:t>30</w:t>
      </w:r>
      <w:r w:rsidRPr="00F814BC">
        <w:rPr>
          <w:rFonts w:eastAsia="宋体"/>
          <w:b/>
          <w:bCs/>
          <w:sz w:val="28"/>
          <w:szCs w:val="28"/>
        </w:rPr>
        <w:t>日。</w:t>
      </w:r>
    </w:p>
    <w:p w14:paraId="555BB273" w14:textId="77777777" w:rsidR="00973B28" w:rsidRDefault="00973B28" w:rsidP="0006004F">
      <w:pPr>
        <w:pStyle w:val="Default"/>
        <w:snapToGrid w:val="0"/>
        <w:jc w:val="center"/>
        <w:rPr>
          <w:rFonts w:eastAsia="宋体"/>
          <w:sz w:val="28"/>
          <w:szCs w:val="28"/>
        </w:rPr>
      </w:pPr>
    </w:p>
    <w:p w14:paraId="39D9C6A9" w14:textId="77777777" w:rsidR="00BE0DEA" w:rsidRPr="00F814BC" w:rsidRDefault="00BE0DEA" w:rsidP="00640CB4">
      <w:pPr>
        <w:shd w:val="clear" w:color="auto" w:fill="FFFFFF"/>
        <w:snapToGrid w:val="0"/>
        <w:jc w:val="center"/>
        <w:rPr>
          <w:rFonts w:eastAsia="宋体"/>
          <w:b/>
          <w:bCs/>
          <w:sz w:val="28"/>
          <w:szCs w:val="28"/>
        </w:rPr>
      </w:pPr>
      <w:r w:rsidRPr="00F814BC">
        <w:rPr>
          <w:rFonts w:eastAsia="宋体"/>
          <w:b/>
          <w:bCs/>
          <w:sz w:val="28"/>
          <w:szCs w:val="28"/>
        </w:rPr>
        <w:t>2018</w:t>
      </w:r>
      <w:r w:rsidRPr="00F814BC">
        <w:rPr>
          <w:rFonts w:eastAsia="宋体"/>
          <w:b/>
          <w:bCs/>
          <w:sz w:val="28"/>
          <w:szCs w:val="28"/>
        </w:rPr>
        <w:t>年</w:t>
      </w:r>
      <w:r w:rsidRPr="00F814BC">
        <w:rPr>
          <w:rFonts w:eastAsia="宋体"/>
          <w:b/>
          <w:bCs/>
          <w:sz w:val="28"/>
          <w:szCs w:val="28"/>
        </w:rPr>
        <w:t>9</w:t>
      </w:r>
      <w:r w:rsidRPr="00F814BC">
        <w:rPr>
          <w:rFonts w:eastAsia="宋体"/>
          <w:b/>
          <w:bCs/>
          <w:sz w:val="28"/>
          <w:szCs w:val="28"/>
        </w:rPr>
        <w:t>月</w:t>
      </w:r>
      <w:r w:rsidRPr="00F814BC">
        <w:rPr>
          <w:rFonts w:eastAsia="宋体"/>
          <w:b/>
          <w:bCs/>
          <w:sz w:val="28"/>
          <w:szCs w:val="28"/>
        </w:rPr>
        <w:t>6</w:t>
      </w:r>
      <w:r w:rsidRPr="00F814BC">
        <w:rPr>
          <w:rFonts w:eastAsia="宋体"/>
          <w:b/>
          <w:bCs/>
          <w:sz w:val="28"/>
          <w:szCs w:val="28"/>
        </w:rPr>
        <w:t>日发布本文件草案。</w:t>
      </w:r>
    </w:p>
    <w:p w14:paraId="72A715E9" w14:textId="77777777" w:rsidR="00BE0DEA" w:rsidRPr="00F814BC" w:rsidRDefault="00BE0DEA" w:rsidP="00640CB4">
      <w:pPr>
        <w:shd w:val="clear" w:color="auto" w:fill="FFFFFF"/>
        <w:snapToGrid w:val="0"/>
        <w:jc w:val="center"/>
        <w:rPr>
          <w:rFonts w:eastAsia="宋体"/>
          <w:b/>
          <w:bCs/>
          <w:sz w:val="28"/>
          <w:szCs w:val="28"/>
        </w:rPr>
      </w:pPr>
    </w:p>
    <w:p w14:paraId="0F0087A7" w14:textId="77777777" w:rsidR="00961522" w:rsidRPr="00F814BC" w:rsidRDefault="00F75EA4" w:rsidP="00640CB4">
      <w:pPr>
        <w:shd w:val="clear" w:color="auto" w:fill="FFFFFF"/>
        <w:snapToGrid w:val="0"/>
        <w:jc w:val="center"/>
        <w:rPr>
          <w:rFonts w:eastAsia="宋体"/>
          <w:sz w:val="24"/>
          <w:szCs w:val="24"/>
        </w:rPr>
      </w:pPr>
      <w:r w:rsidRPr="00F814BC">
        <w:rPr>
          <w:rFonts w:eastAsia="宋体"/>
          <w:color w:val="000000"/>
          <w:sz w:val="24"/>
          <w:szCs w:val="24"/>
        </w:rPr>
        <w:t>如对</w:t>
      </w:r>
      <w:r w:rsidR="00CB325C" w:rsidRPr="00F814BC">
        <w:rPr>
          <w:rFonts w:eastAsia="宋体"/>
          <w:color w:val="000000"/>
          <w:sz w:val="24"/>
          <w:szCs w:val="24"/>
        </w:rPr>
        <w:t>本文件</w:t>
      </w:r>
      <w:r w:rsidRPr="00F814BC">
        <w:rPr>
          <w:rFonts w:eastAsia="宋体" w:hint="eastAsia"/>
          <w:color w:val="000000"/>
          <w:sz w:val="24"/>
          <w:szCs w:val="24"/>
        </w:rPr>
        <w:t>有任何疑问</w:t>
      </w:r>
      <w:r w:rsidR="00CB325C" w:rsidRPr="00F814BC">
        <w:rPr>
          <w:rFonts w:eastAsia="宋体"/>
          <w:color w:val="000000"/>
          <w:sz w:val="24"/>
          <w:szCs w:val="24"/>
        </w:rPr>
        <w:t>，请</w:t>
      </w:r>
      <w:r w:rsidRPr="00F814BC">
        <w:rPr>
          <w:rFonts w:eastAsia="宋体" w:hint="eastAsia"/>
          <w:color w:val="000000"/>
          <w:sz w:val="24"/>
          <w:szCs w:val="24"/>
        </w:rPr>
        <w:t>致电</w:t>
      </w:r>
      <w:r w:rsidRPr="00F814BC">
        <w:rPr>
          <w:rFonts w:eastAsia="宋体"/>
          <w:color w:val="000000"/>
          <w:sz w:val="24"/>
          <w:szCs w:val="24"/>
        </w:rPr>
        <w:t>301-796-5441</w:t>
      </w:r>
      <w:r w:rsidR="00CB325C" w:rsidRPr="00F814BC">
        <w:rPr>
          <w:rFonts w:eastAsia="宋体"/>
          <w:color w:val="000000"/>
          <w:sz w:val="24"/>
          <w:szCs w:val="24"/>
        </w:rPr>
        <w:t>联系政策办公室。</w:t>
      </w:r>
    </w:p>
    <w:p w14:paraId="2260DCD3" w14:textId="77777777" w:rsidR="00961522" w:rsidRPr="00F814BC" w:rsidRDefault="00961522" w:rsidP="00640CB4">
      <w:pPr>
        <w:snapToGrid w:val="0"/>
        <w:jc w:val="both"/>
        <w:rPr>
          <w:rFonts w:eastAsia="宋体"/>
          <w:sz w:val="24"/>
          <w:szCs w:val="24"/>
        </w:rPr>
      </w:pPr>
    </w:p>
    <w:p w14:paraId="7904453E" w14:textId="77777777" w:rsidR="00BE0DEA" w:rsidRPr="00F814BC" w:rsidRDefault="00BE0DEA" w:rsidP="00640CB4">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4146"/>
        <w:gridCol w:w="5322"/>
      </w:tblGrid>
      <w:tr w:rsidR="00961522" w:rsidRPr="00F814BC" w14:paraId="0096D9F3" w14:textId="77777777" w:rsidTr="00BE0DEA">
        <w:tc>
          <w:tcPr>
            <w:tcW w:w="4272" w:type="dxa"/>
            <w:tcBorders>
              <w:top w:val="nil"/>
              <w:left w:val="nil"/>
              <w:bottom w:val="nil"/>
              <w:right w:val="nil"/>
            </w:tcBorders>
            <w:shd w:val="clear" w:color="auto" w:fill="FFFFFF"/>
            <w:tcMar>
              <w:left w:w="57" w:type="dxa"/>
              <w:right w:w="57" w:type="dxa"/>
            </w:tcMar>
          </w:tcPr>
          <w:p w14:paraId="33E15D60" w14:textId="77777777" w:rsidR="00961522" w:rsidRPr="00F814BC" w:rsidRDefault="00672812" w:rsidP="00640CB4">
            <w:pPr>
              <w:shd w:val="clear" w:color="auto" w:fill="FFFFFF"/>
              <w:snapToGrid w:val="0"/>
              <w:rPr>
                <w:rFonts w:eastAsia="宋体"/>
                <w:sz w:val="24"/>
                <w:szCs w:val="24"/>
              </w:rPr>
            </w:pPr>
            <w:r>
              <w:rPr>
                <w:rFonts w:eastAsia="宋体"/>
                <w:noProof/>
                <w:lang w:bidi="he-IL"/>
              </w:rPr>
              <w:pict w14:anchorId="5A87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81.5pt;height:51pt;visibility:visible">
                  <v:imagedata r:id="rId8" o:title=""/>
                </v:shape>
              </w:pict>
            </w:r>
          </w:p>
        </w:tc>
        <w:tc>
          <w:tcPr>
            <w:tcW w:w="5486" w:type="dxa"/>
            <w:tcBorders>
              <w:top w:val="nil"/>
              <w:left w:val="nil"/>
              <w:bottom w:val="nil"/>
              <w:right w:val="nil"/>
            </w:tcBorders>
            <w:shd w:val="clear" w:color="auto" w:fill="FFFFFF"/>
            <w:tcMar>
              <w:left w:w="57" w:type="dxa"/>
              <w:right w:w="57" w:type="dxa"/>
            </w:tcMar>
          </w:tcPr>
          <w:p w14:paraId="67C7FD78" w14:textId="77777777" w:rsidR="00961522" w:rsidRPr="00F814BC" w:rsidRDefault="00CB325C" w:rsidP="00640CB4">
            <w:pPr>
              <w:shd w:val="clear" w:color="auto" w:fill="FFFFFF"/>
              <w:snapToGrid w:val="0"/>
              <w:jc w:val="right"/>
              <w:rPr>
                <w:rFonts w:eastAsia="宋体"/>
                <w:sz w:val="24"/>
                <w:szCs w:val="24"/>
              </w:rPr>
            </w:pPr>
            <w:r w:rsidRPr="00F814BC">
              <w:rPr>
                <w:rFonts w:eastAsia="宋体"/>
                <w:b/>
                <w:bCs/>
                <w:color w:val="000000"/>
                <w:sz w:val="24"/>
                <w:szCs w:val="24"/>
              </w:rPr>
              <w:t>美国卫生</w:t>
            </w:r>
            <w:r w:rsidR="00F75EA4" w:rsidRPr="00F814BC">
              <w:rPr>
                <w:rFonts w:eastAsia="宋体" w:hint="eastAsia"/>
                <w:b/>
                <w:bCs/>
                <w:color w:val="000000"/>
                <w:sz w:val="24"/>
                <w:szCs w:val="24"/>
              </w:rPr>
              <w:t>与</w:t>
            </w:r>
            <w:r w:rsidRPr="00F814BC">
              <w:rPr>
                <w:rFonts w:eastAsia="宋体"/>
                <w:b/>
                <w:bCs/>
                <w:color w:val="000000"/>
                <w:sz w:val="24"/>
                <w:szCs w:val="24"/>
              </w:rPr>
              <w:t>公众服务部</w:t>
            </w:r>
          </w:p>
          <w:p w14:paraId="7E53DD60" w14:textId="77777777" w:rsidR="00961522" w:rsidRPr="00F814BC" w:rsidRDefault="00CB325C" w:rsidP="00640CB4">
            <w:pPr>
              <w:shd w:val="clear" w:color="auto" w:fill="FFFFFF"/>
              <w:snapToGrid w:val="0"/>
              <w:jc w:val="right"/>
              <w:rPr>
                <w:rFonts w:eastAsia="宋体"/>
                <w:sz w:val="24"/>
                <w:szCs w:val="24"/>
              </w:rPr>
            </w:pPr>
            <w:r w:rsidRPr="00F814BC">
              <w:rPr>
                <w:rFonts w:eastAsia="宋体"/>
                <w:b/>
                <w:bCs/>
                <w:color w:val="000000"/>
                <w:sz w:val="24"/>
                <w:szCs w:val="24"/>
              </w:rPr>
              <w:t>美国食品药品监督管理局</w:t>
            </w:r>
          </w:p>
          <w:p w14:paraId="7260A495" w14:textId="77777777" w:rsidR="00961522" w:rsidRPr="00F814BC" w:rsidRDefault="00CB325C" w:rsidP="00640CB4">
            <w:pPr>
              <w:shd w:val="clear" w:color="auto" w:fill="FFFFFF"/>
              <w:snapToGrid w:val="0"/>
              <w:jc w:val="right"/>
              <w:rPr>
                <w:rFonts w:eastAsia="宋体"/>
                <w:sz w:val="24"/>
                <w:szCs w:val="24"/>
              </w:rPr>
            </w:pPr>
            <w:r w:rsidRPr="00F814BC">
              <w:rPr>
                <w:rFonts w:eastAsia="宋体"/>
                <w:b/>
                <w:bCs/>
                <w:color w:val="000000"/>
                <w:sz w:val="24"/>
                <w:szCs w:val="24"/>
              </w:rPr>
              <w:t>医疗器械</w:t>
            </w:r>
            <w:r w:rsidR="00F75EA4" w:rsidRPr="00F814BC">
              <w:rPr>
                <w:rFonts w:eastAsia="宋体" w:hint="eastAsia"/>
                <w:b/>
                <w:bCs/>
                <w:color w:val="000000"/>
                <w:sz w:val="24"/>
                <w:szCs w:val="24"/>
              </w:rPr>
              <w:t>和</w:t>
            </w:r>
            <w:r w:rsidRPr="00F814BC">
              <w:rPr>
                <w:rFonts w:eastAsia="宋体"/>
                <w:b/>
                <w:bCs/>
                <w:color w:val="000000"/>
                <w:sz w:val="24"/>
                <w:szCs w:val="24"/>
              </w:rPr>
              <w:t>放射健康中心</w:t>
            </w:r>
          </w:p>
        </w:tc>
      </w:tr>
    </w:tbl>
    <w:p w14:paraId="3633EF75" w14:textId="77777777" w:rsidR="00961522" w:rsidRPr="00F814BC" w:rsidRDefault="00961522" w:rsidP="00640CB4">
      <w:pPr>
        <w:snapToGrid w:val="0"/>
        <w:jc w:val="both"/>
        <w:rPr>
          <w:rFonts w:eastAsia="宋体"/>
          <w:sz w:val="21"/>
          <w:szCs w:val="21"/>
        </w:rPr>
      </w:pPr>
    </w:p>
    <w:p w14:paraId="01762D7B" w14:textId="77777777" w:rsidR="00BE0DEA" w:rsidRPr="00F814BC" w:rsidRDefault="00BE0DEA" w:rsidP="00640CB4">
      <w:pPr>
        <w:snapToGrid w:val="0"/>
        <w:jc w:val="both"/>
        <w:rPr>
          <w:rFonts w:eastAsia="宋体"/>
          <w:sz w:val="21"/>
          <w:szCs w:val="21"/>
        </w:rPr>
        <w:sectPr w:rsidR="00BE0DEA" w:rsidRPr="00F814BC" w:rsidSect="0006004F">
          <w:headerReference w:type="default" r:id="rId9"/>
          <w:footerReference w:type="default" r:id="rId10"/>
          <w:type w:val="continuous"/>
          <w:pgSz w:w="11906" w:h="16838" w:code="9"/>
          <w:pgMar w:top="1134" w:right="1134" w:bottom="1134" w:left="1418" w:header="567" w:footer="567" w:gutter="0"/>
          <w:cols w:space="60"/>
          <w:noEndnote/>
          <w:docGrid w:linePitch="272"/>
        </w:sectPr>
      </w:pPr>
    </w:p>
    <w:p w14:paraId="2DBB7BAF" w14:textId="77777777" w:rsidR="00973B28" w:rsidRDefault="00BE0DEA" w:rsidP="0006004F">
      <w:pPr>
        <w:pStyle w:val="Default"/>
        <w:snapToGrid w:val="0"/>
        <w:jc w:val="center"/>
        <w:rPr>
          <w:rFonts w:eastAsia="宋体"/>
          <w:b/>
          <w:bCs/>
          <w:sz w:val="48"/>
          <w:szCs w:val="48"/>
        </w:rPr>
      </w:pPr>
      <w:r w:rsidRPr="00F814BC">
        <w:rPr>
          <w:rFonts w:eastAsia="宋体"/>
          <w:b/>
          <w:bCs/>
          <w:sz w:val="48"/>
          <w:szCs w:val="48"/>
        </w:rPr>
        <w:lastRenderedPageBreak/>
        <w:t>前言</w:t>
      </w:r>
    </w:p>
    <w:p w14:paraId="0C84C4AA" w14:textId="77777777" w:rsidR="00973B28" w:rsidRDefault="00973B28" w:rsidP="0006004F">
      <w:pPr>
        <w:pStyle w:val="Default"/>
        <w:snapToGrid w:val="0"/>
        <w:jc w:val="center"/>
        <w:rPr>
          <w:rFonts w:eastAsia="宋体"/>
          <w:sz w:val="48"/>
          <w:szCs w:val="48"/>
        </w:rPr>
      </w:pPr>
    </w:p>
    <w:p w14:paraId="5C7975CD" w14:textId="77777777" w:rsidR="00BE0DEA" w:rsidRPr="00F814BC" w:rsidRDefault="00BE0DEA" w:rsidP="00640CB4">
      <w:pPr>
        <w:shd w:val="clear" w:color="auto" w:fill="FFFFFF"/>
        <w:snapToGrid w:val="0"/>
        <w:jc w:val="both"/>
        <w:rPr>
          <w:rFonts w:eastAsia="宋体"/>
          <w:b/>
          <w:bCs/>
          <w:sz w:val="36"/>
          <w:szCs w:val="36"/>
        </w:rPr>
      </w:pPr>
      <w:r w:rsidRPr="00F814BC">
        <w:rPr>
          <w:rFonts w:eastAsia="宋体"/>
          <w:b/>
          <w:bCs/>
          <w:sz w:val="36"/>
          <w:szCs w:val="36"/>
        </w:rPr>
        <w:t>公众意见</w:t>
      </w:r>
    </w:p>
    <w:p w14:paraId="3AA918F8" w14:textId="77777777" w:rsidR="00BE0DEA" w:rsidRPr="00F814BC" w:rsidRDefault="00BE0DEA" w:rsidP="00640CB4">
      <w:pPr>
        <w:shd w:val="clear" w:color="auto" w:fill="FFFFFF"/>
        <w:snapToGrid w:val="0"/>
        <w:jc w:val="both"/>
        <w:rPr>
          <w:rFonts w:eastAsia="宋体"/>
          <w:b/>
          <w:bCs/>
          <w:sz w:val="24"/>
          <w:szCs w:val="24"/>
        </w:rPr>
      </w:pPr>
    </w:p>
    <w:p w14:paraId="042FBC03" w14:textId="77777777" w:rsidR="00973B28" w:rsidRDefault="00F75EA4" w:rsidP="0006004F">
      <w:pPr>
        <w:shd w:val="clear" w:color="auto" w:fill="FFFFFF"/>
        <w:snapToGrid w:val="0"/>
        <w:ind w:firstLineChars="200" w:firstLine="480"/>
        <w:jc w:val="both"/>
        <w:rPr>
          <w:rFonts w:eastAsia="宋体"/>
          <w:sz w:val="24"/>
          <w:szCs w:val="24"/>
        </w:rPr>
      </w:pPr>
      <w:r w:rsidRPr="00F814BC">
        <w:rPr>
          <w:rFonts w:eastAsia="宋体" w:hint="eastAsia"/>
          <w:color w:val="000000"/>
          <w:sz w:val="24"/>
          <w:szCs w:val="24"/>
        </w:rPr>
        <w:t>电子版意见和建议可随时提交</w:t>
      </w:r>
      <w:r w:rsidR="00CB325C" w:rsidRPr="00F814BC">
        <w:rPr>
          <w:rFonts w:eastAsia="宋体"/>
          <w:color w:val="000000"/>
          <w:sz w:val="24"/>
          <w:szCs w:val="24"/>
        </w:rPr>
        <w:t>至</w:t>
      </w:r>
      <w:r w:rsidR="00CB325C" w:rsidRPr="00F814BC">
        <w:rPr>
          <w:rFonts w:eastAsia="宋体"/>
          <w:color w:val="0000FF"/>
          <w:sz w:val="24"/>
          <w:szCs w:val="24"/>
          <w:u w:val="single"/>
        </w:rPr>
        <w:t>https://www.regulations.gov</w:t>
      </w:r>
      <w:r w:rsidR="00CB325C" w:rsidRPr="00F814BC">
        <w:rPr>
          <w:rFonts w:eastAsia="宋体"/>
          <w:color w:val="000000"/>
          <w:sz w:val="24"/>
          <w:szCs w:val="24"/>
        </w:rPr>
        <w:t>，供</w:t>
      </w:r>
      <w:r w:rsidRPr="00F814BC">
        <w:rPr>
          <w:rFonts w:eastAsia="宋体" w:hint="eastAsia"/>
          <w:color w:val="000000"/>
          <w:sz w:val="24"/>
          <w:szCs w:val="24"/>
        </w:rPr>
        <w:t>FDA</w:t>
      </w:r>
      <w:r w:rsidRPr="00F814BC">
        <w:rPr>
          <w:rFonts w:eastAsia="宋体" w:hint="eastAsia"/>
          <w:color w:val="000000"/>
          <w:sz w:val="24"/>
          <w:szCs w:val="24"/>
        </w:rPr>
        <w:t>审议</w:t>
      </w:r>
      <w:r w:rsidR="00CB325C" w:rsidRPr="00F814BC">
        <w:rPr>
          <w:rFonts w:eastAsia="宋体"/>
          <w:color w:val="000000"/>
          <w:sz w:val="24"/>
          <w:szCs w:val="24"/>
        </w:rPr>
        <w:t>。</w:t>
      </w:r>
      <w:r w:rsidR="00582B69" w:rsidRPr="00F814BC">
        <w:rPr>
          <w:rFonts w:eastAsia="宋体"/>
          <w:color w:val="000000"/>
          <w:sz w:val="24"/>
          <w:szCs w:val="24"/>
        </w:rPr>
        <w:t>可将</w:t>
      </w:r>
      <w:r w:rsidR="00CB325C" w:rsidRPr="00F814BC">
        <w:rPr>
          <w:rFonts w:eastAsia="宋体"/>
          <w:color w:val="000000"/>
          <w:sz w:val="24"/>
          <w:szCs w:val="24"/>
        </w:rPr>
        <w:t>书面意见</w:t>
      </w:r>
      <w:r w:rsidR="00582B69" w:rsidRPr="00F814BC">
        <w:rPr>
          <w:rFonts w:eastAsia="宋体"/>
          <w:color w:val="000000"/>
          <w:sz w:val="24"/>
          <w:szCs w:val="24"/>
        </w:rPr>
        <w:t>提交</w:t>
      </w:r>
      <w:r w:rsidR="00CB325C" w:rsidRPr="00F814BC">
        <w:rPr>
          <w:rFonts w:eastAsia="宋体"/>
          <w:color w:val="000000"/>
          <w:sz w:val="24"/>
          <w:szCs w:val="24"/>
        </w:rPr>
        <w:t>至</w:t>
      </w:r>
      <w:r w:rsidR="00582B69" w:rsidRPr="00F814BC">
        <w:rPr>
          <w:rFonts w:eastAsia="宋体" w:hint="eastAsia"/>
          <w:color w:val="000000"/>
          <w:sz w:val="24"/>
          <w:szCs w:val="24"/>
        </w:rPr>
        <w:t>：</w:t>
      </w:r>
      <w:r w:rsidR="00CB325C" w:rsidRPr="00F814BC">
        <w:rPr>
          <w:rFonts w:eastAsia="宋体"/>
          <w:color w:val="000000"/>
          <w:sz w:val="24"/>
          <w:szCs w:val="24"/>
        </w:rPr>
        <w:t>美国食品药品监督管理局</w:t>
      </w:r>
      <w:r w:rsidR="00582B69" w:rsidRPr="00F814BC">
        <w:rPr>
          <w:rFonts w:eastAsia="宋体"/>
          <w:color w:val="000000"/>
          <w:sz w:val="24"/>
          <w:szCs w:val="24"/>
        </w:rPr>
        <w:t>备案文件管理</w:t>
      </w:r>
      <w:r w:rsidR="006D38E1" w:rsidRPr="00F814BC">
        <w:rPr>
          <w:rFonts w:eastAsia="宋体" w:hint="eastAsia"/>
          <w:color w:val="000000"/>
          <w:sz w:val="24"/>
          <w:szCs w:val="24"/>
        </w:rPr>
        <w:t>部</w:t>
      </w:r>
      <w:r w:rsidR="00CB325C" w:rsidRPr="00F814BC">
        <w:rPr>
          <w:rFonts w:eastAsia="宋体"/>
          <w:color w:val="000000"/>
          <w:sz w:val="24"/>
          <w:szCs w:val="24"/>
        </w:rPr>
        <w:t>（</w:t>
      </w:r>
      <w:r w:rsidR="00CB325C" w:rsidRPr="00F814BC">
        <w:rPr>
          <w:rFonts w:eastAsia="宋体"/>
          <w:color w:val="000000"/>
          <w:sz w:val="24"/>
          <w:szCs w:val="24"/>
        </w:rPr>
        <w:t xml:space="preserve">5630 Fishers Lane, Room 1061, </w:t>
      </w:r>
      <w:r w:rsidR="00CB325C" w:rsidRPr="00F814BC">
        <w:rPr>
          <w:rFonts w:eastAsia="宋体"/>
          <w:color w:val="000000"/>
          <w:sz w:val="24"/>
          <w:szCs w:val="24"/>
        </w:rPr>
        <w:t>（</w:t>
      </w:r>
      <w:r w:rsidR="00CB325C" w:rsidRPr="00F814BC">
        <w:rPr>
          <w:rFonts w:eastAsia="宋体"/>
          <w:color w:val="000000"/>
          <w:sz w:val="24"/>
          <w:szCs w:val="24"/>
        </w:rPr>
        <w:t>HFA-305</w:t>
      </w:r>
      <w:r w:rsidR="00CB325C" w:rsidRPr="00F814BC">
        <w:rPr>
          <w:rFonts w:eastAsia="宋体"/>
          <w:color w:val="000000"/>
          <w:sz w:val="24"/>
          <w:szCs w:val="24"/>
        </w:rPr>
        <w:t>）</w:t>
      </w:r>
      <w:r w:rsidR="00CB325C" w:rsidRPr="00F814BC">
        <w:rPr>
          <w:rFonts w:eastAsia="宋体"/>
          <w:color w:val="000000"/>
          <w:sz w:val="24"/>
          <w:szCs w:val="24"/>
        </w:rPr>
        <w:t>, Rockville, MD 20852</w:t>
      </w:r>
      <w:r w:rsidR="00CB325C" w:rsidRPr="00F814BC">
        <w:rPr>
          <w:rFonts w:eastAsia="宋体"/>
          <w:color w:val="000000"/>
          <w:sz w:val="24"/>
          <w:szCs w:val="24"/>
        </w:rPr>
        <w:t>）。</w:t>
      </w:r>
      <w:r w:rsidR="00582B69" w:rsidRPr="00F814BC">
        <w:rPr>
          <w:rFonts w:eastAsia="宋体"/>
          <w:color w:val="000000"/>
          <w:sz w:val="24"/>
          <w:szCs w:val="24"/>
        </w:rPr>
        <w:t>所有意见均应注明备案文件编号</w:t>
      </w:r>
      <w:r w:rsidR="00582B69" w:rsidRPr="00F814BC">
        <w:rPr>
          <w:rFonts w:eastAsia="宋体"/>
          <w:color w:val="000000"/>
          <w:sz w:val="24"/>
          <w:szCs w:val="24"/>
        </w:rPr>
        <w:t>FDA-2018-D-3130</w:t>
      </w:r>
      <w:r w:rsidR="00CB325C" w:rsidRPr="00F814BC">
        <w:rPr>
          <w:rFonts w:eastAsia="宋体"/>
          <w:color w:val="000000"/>
          <w:sz w:val="24"/>
          <w:szCs w:val="24"/>
        </w:rPr>
        <w:t>。下次修订或更新</w:t>
      </w:r>
      <w:r w:rsidR="00582B69" w:rsidRPr="00F814BC">
        <w:rPr>
          <w:rFonts w:eastAsia="宋体"/>
          <w:color w:val="000000"/>
          <w:sz w:val="24"/>
          <w:szCs w:val="24"/>
        </w:rPr>
        <w:t>本</w:t>
      </w:r>
      <w:r w:rsidR="00CB325C" w:rsidRPr="00F814BC">
        <w:rPr>
          <w:rFonts w:eastAsia="宋体"/>
          <w:color w:val="000000"/>
          <w:sz w:val="24"/>
          <w:szCs w:val="24"/>
        </w:rPr>
        <w:t>文件前，</w:t>
      </w:r>
      <w:r w:rsidR="00582B69" w:rsidRPr="00F814BC">
        <w:rPr>
          <w:rFonts w:eastAsia="宋体" w:hint="eastAsia"/>
          <w:color w:val="000000"/>
          <w:sz w:val="24"/>
          <w:szCs w:val="24"/>
        </w:rPr>
        <w:t>FDA</w:t>
      </w:r>
      <w:r w:rsidR="00CB325C" w:rsidRPr="00F814BC">
        <w:rPr>
          <w:rFonts w:eastAsia="宋体"/>
          <w:color w:val="000000"/>
          <w:sz w:val="24"/>
          <w:szCs w:val="24"/>
        </w:rPr>
        <w:t>可能不会对意见采取行动。</w:t>
      </w:r>
    </w:p>
    <w:p w14:paraId="364C715E" w14:textId="77777777" w:rsidR="00BE0DEA" w:rsidRPr="00F814BC" w:rsidRDefault="00BE0DEA" w:rsidP="00640CB4">
      <w:pPr>
        <w:shd w:val="clear" w:color="auto" w:fill="FFFFFF"/>
        <w:snapToGrid w:val="0"/>
        <w:jc w:val="both"/>
        <w:rPr>
          <w:rFonts w:eastAsia="宋体"/>
          <w:b/>
          <w:bCs/>
          <w:sz w:val="36"/>
          <w:szCs w:val="36"/>
        </w:rPr>
      </w:pPr>
    </w:p>
    <w:p w14:paraId="2DA5F86B" w14:textId="77777777" w:rsidR="00961522" w:rsidRPr="00F814BC" w:rsidRDefault="005043E9" w:rsidP="00640CB4">
      <w:pPr>
        <w:shd w:val="clear" w:color="auto" w:fill="FFFFFF"/>
        <w:snapToGrid w:val="0"/>
        <w:jc w:val="both"/>
        <w:rPr>
          <w:rFonts w:eastAsia="宋体"/>
          <w:b/>
          <w:bCs/>
          <w:sz w:val="36"/>
          <w:szCs w:val="36"/>
        </w:rPr>
      </w:pPr>
      <w:r>
        <w:rPr>
          <w:rFonts w:eastAsia="宋体" w:hint="eastAsia"/>
          <w:b/>
          <w:bCs/>
          <w:sz w:val="36"/>
          <w:szCs w:val="36"/>
        </w:rPr>
        <w:t>更多</w:t>
      </w:r>
      <w:r w:rsidR="00CB325C" w:rsidRPr="00F814BC">
        <w:rPr>
          <w:rFonts w:eastAsia="宋体"/>
          <w:b/>
          <w:bCs/>
          <w:sz w:val="36"/>
          <w:szCs w:val="36"/>
        </w:rPr>
        <w:t>副本</w:t>
      </w:r>
    </w:p>
    <w:p w14:paraId="5337EF78" w14:textId="77777777" w:rsidR="00BE0DEA" w:rsidRPr="00F814BC" w:rsidRDefault="00BE0DEA" w:rsidP="00640CB4">
      <w:pPr>
        <w:shd w:val="clear" w:color="auto" w:fill="FFFFFF"/>
        <w:snapToGrid w:val="0"/>
        <w:jc w:val="both"/>
        <w:rPr>
          <w:rFonts w:eastAsia="宋体"/>
          <w:b/>
          <w:bCs/>
          <w:sz w:val="36"/>
          <w:szCs w:val="36"/>
        </w:rPr>
      </w:pPr>
    </w:p>
    <w:p w14:paraId="23EABD31" w14:textId="77777777" w:rsidR="00973B28" w:rsidRDefault="00DA0023" w:rsidP="0006004F">
      <w:pPr>
        <w:shd w:val="clear" w:color="auto" w:fill="FFFFFF"/>
        <w:snapToGrid w:val="0"/>
        <w:ind w:firstLineChars="200" w:firstLine="480"/>
        <w:jc w:val="both"/>
        <w:rPr>
          <w:rFonts w:eastAsia="宋体"/>
          <w:sz w:val="24"/>
          <w:szCs w:val="24"/>
        </w:rPr>
      </w:pPr>
      <w:r w:rsidRPr="00F814BC">
        <w:rPr>
          <w:rFonts w:eastAsia="宋体" w:hint="eastAsia"/>
          <w:color w:val="000000"/>
          <w:sz w:val="24"/>
          <w:szCs w:val="24"/>
        </w:rPr>
        <w:t>更多副本可通过互联网获取</w:t>
      </w:r>
      <w:r w:rsidR="00CB325C" w:rsidRPr="00F814BC">
        <w:rPr>
          <w:rFonts w:eastAsia="宋体"/>
          <w:color w:val="000000"/>
          <w:sz w:val="24"/>
          <w:szCs w:val="24"/>
        </w:rPr>
        <w:t>。</w:t>
      </w:r>
      <w:r w:rsidRPr="00F814BC">
        <w:rPr>
          <w:rFonts w:eastAsia="宋体"/>
          <w:sz w:val="24"/>
          <w:szCs w:val="24"/>
        </w:rPr>
        <w:t>您</w:t>
      </w:r>
      <w:r w:rsidR="00881EA3" w:rsidRPr="0006004F">
        <w:rPr>
          <w:rFonts w:hint="eastAsia"/>
          <w:sz w:val="24"/>
        </w:rPr>
        <w:t>也</w:t>
      </w:r>
      <w:r w:rsidRPr="00F814BC">
        <w:rPr>
          <w:rFonts w:eastAsia="宋体"/>
          <w:sz w:val="24"/>
          <w:szCs w:val="24"/>
        </w:rPr>
        <w:t>可以通过</w:t>
      </w:r>
      <w:r w:rsidR="00881EA3" w:rsidRPr="0006004F">
        <w:rPr>
          <w:rFonts w:hint="eastAsia"/>
          <w:sz w:val="24"/>
        </w:rPr>
        <w:t>电子邮件</w:t>
      </w:r>
      <w:r w:rsidRPr="00F814BC">
        <w:rPr>
          <w:rFonts w:eastAsia="宋体"/>
          <w:sz w:val="24"/>
          <w:szCs w:val="24"/>
        </w:rPr>
        <w:t>发送</w:t>
      </w:r>
      <w:r w:rsidR="00881EA3" w:rsidRPr="0006004F">
        <w:rPr>
          <w:rFonts w:hint="eastAsia"/>
          <w:sz w:val="24"/>
        </w:rPr>
        <w:t>请求至</w:t>
      </w:r>
      <w:r w:rsidR="00881EA3" w:rsidRPr="0006004F">
        <w:rPr>
          <w:color w:val="0000FF"/>
          <w:sz w:val="23"/>
          <w:u w:val="single"/>
        </w:rPr>
        <w:t>CDRH-Guidance@fda.hhs.gov</w:t>
      </w:r>
      <w:r w:rsidRPr="00F814BC">
        <w:rPr>
          <w:rFonts w:eastAsia="宋体"/>
          <w:sz w:val="24"/>
          <w:szCs w:val="24"/>
        </w:rPr>
        <w:t>获取本</w:t>
      </w:r>
      <w:r w:rsidR="00881EA3" w:rsidRPr="0006004F">
        <w:rPr>
          <w:rFonts w:hint="eastAsia"/>
          <w:sz w:val="24"/>
        </w:rPr>
        <w:t>指南副本</w:t>
      </w:r>
      <w:r w:rsidR="00CB325C" w:rsidRPr="00F814BC">
        <w:rPr>
          <w:rFonts w:eastAsia="宋体"/>
          <w:color w:val="000000"/>
          <w:sz w:val="24"/>
          <w:szCs w:val="24"/>
        </w:rPr>
        <w:t>。请在申请中提供文件编号</w:t>
      </w:r>
      <w:r w:rsidR="00CB325C" w:rsidRPr="00F814BC">
        <w:rPr>
          <w:rFonts w:eastAsia="宋体"/>
          <w:color w:val="000000"/>
          <w:sz w:val="24"/>
          <w:szCs w:val="24"/>
        </w:rPr>
        <w:t>17039</w:t>
      </w:r>
      <w:r w:rsidR="00CB325C" w:rsidRPr="00F814BC">
        <w:rPr>
          <w:rFonts w:eastAsia="宋体"/>
          <w:color w:val="000000"/>
          <w:sz w:val="24"/>
          <w:szCs w:val="24"/>
        </w:rPr>
        <w:t>和完整的指南标题。</w:t>
      </w:r>
    </w:p>
    <w:p w14:paraId="7F68B82B" w14:textId="77777777" w:rsidR="00961522" w:rsidRPr="00F814BC" w:rsidRDefault="00961522" w:rsidP="00640CB4">
      <w:pPr>
        <w:shd w:val="clear" w:color="auto" w:fill="FFFFFF"/>
        <w:snapToGrid w:val="0"/>
        <w:jc w:val="both"/>
        <w:rPr>
          <w:rFonts w:eastAsia="宋体"/>
          <w:sz w:val="21"/>
          <w:szCs w:val="21"/>
        </w:rPr>
      </w:pPr>
    </w:p>
    <w:p w14:paraId="6F6E52BD" w14:textId="77777777" w:rsidR="00BE0DEA" w:rsidRPr="00F814BC" w:rsidRDefault="00BE0DEA" w:rsidP="00640CB4">
      <w:pPr>
        <w:shd w:val="clear" w:color="auto" w:fill="FFFFFF"/>
        <w:snapToGrid w:val="0"/>
        <w:jc w:val="both"/>
        <w:rPr>
          <w:rFonts w:eastAsia="宋体"/>
          <w:sz w:val="21"/>
          <w:szCs w:val="21"/>
        </w:rPr>
        <w:sectPr w:rsidR="00BE0DEA" w:rsidRPr="00F814BC" w:rsidSect="0006004F">
          <w:pgSz w:w="11906" w:h="16838" w:code="9"/>
          <w:pgMar w:top="1134" w:right="1134" w:bottom="1134" w:left="1418" w:header="567" w:footer="567" w:gutter="0"/>
          <w:cols w:space="60"/>
          <w:noEndnote/>
          <w:docGrid w:linePitch="272"/>
        </w:sectPr>
      </w:pPr>
      <w:bookmarkStart w:id="0" w:name="_GoBack"/>
      <w:bookmarkEnd w:id="0"/>
    </w:p>
    <w:p w14:paraId="76690615" w14:textId="77777777" w:rsidR="00BE0DEA" w:rsidRPr="00F814BC" w:rsidRDefault="00BE0DEA" w:rsidP="00640CB4">
      <w:pPr>
        <w:snapToGrid w:val="0"/>
        <w:jc w:val="center"/>
        <w:rPr>
          <w:rFonts w:eastAsia="宋体"/>
          <w:b/>
          <w:bCs/>
          <w:sz w:val="36"/>
          <w:szCs w:val="36"/>
        </w:rPr>
      </w:pPr>
      <w:r w:rsidRPr="00F814BC">
        <w:rPr>
          <w:rFonts w:eastAsia="宋体"/>
          <w:b/>
          <w:bCs/>
          <w:sz w:val="36"/>
          <w:szCs w:val="36"/>
        </w:rPr>
        <w:lastRenderedPageBreak/>
        <w:t>目录</w:t>
      </w:r>
    </w:p>
    <w:p w14:paraId="361B4359" w14:textId="77777777" w:rsidR="00BE0DEA" w:rsidRPr="00F814BC" w:rsidRDefault="00BE0DEA" w:rsidP="00640CB4">
      <w:pPr>
        <w:snapToGrid w:val="0"/>
        <w:jc w:val="both"/>
        <w:rPr>
          <w:rFonts w:eastAsia="宋体"/>
          <w:sz w:val="21"/>
          <w:szCs w:val="21"/>
        </w:rPr>
      </w:pPr>
    </w:p>
    <w:p w14:paraId="4EF38094" w14:textId="77777777" w:rsidR="002F54F1" w:rsidRPr="00F814BC" w:rsidRDefault="00881EA3">
      <w:pPr>
        <w:pStyle w:val="11"/>
        <w:rPr>
          <w:rFonts w:ascii="Calibri" w:hAnsi="Calibri" w:cs="Arial"/>
          <w:noProof/>
          <w:kern w:val="2"/>
          <w:szCs w:val="24"/>
          <w:lang w:bidi="he-IL"/>
        </w:rPr>
      </w:pPr>
      <w:r w:rsidRPr="0006004F">
        <w:rPr>
          <w:b/>
        </w:rPr>
        <w:fldChar w:fldCharType="begin"/>
      </w:r>
      <w:r w:rsidR="00BE0DEA" w:rsidRPr="00F814BC">
        <w:rPr>
          <w:szCs w:val="24"/>
        </w:rPr>
        <w:instrText xml:space="preserve"> TOC \o "1-3" \h \z \u </w:instrText>
      </w:r>
      <w:r w:rsidRPr="0006004F">
        <w:rPr>
          <w:b/>
        </w:rPr>
        <w:fldChar w:fldCharType="separate"/>
      </w:r>
      <w:hyperlink w:anchor="_Toc98747995" w:history="1">
        <w:r w:rsidR="002F54F1" w:rsidRPr="00F814BC">
          <w:rPr>
            <w:rStyle w:val="aa"/>
            <w:noProof/>
            <w:szCs w:val="24"/>
          </w:rPr>
          <w:t>I.</w:t>
        </w:r>
        <w:r w:rsidR="002F54F1" w:rsidRPr="00F814BC">
          <w:rPr>
            <w:rFonts w:ascii="Calibri" w:hAnsi="Calibri" w:cs="Arial"/>
            <w:noProof/>
            <w:kern w:val="2"/>
            <w:szCs w:val="24"/>
            <w:lang w:bidi="he-IL"/>
          </w:rPr>
          <w:tab/>
        </w:r>
        <w:r w:rsidR="005043E9">
          <w:rPr>
            <w:rStyle w:val="aa"/>
            <w:rFonts w:hint="eastAsia"/>
            <w:noProof/>
            <w:szCs w:val="24"/>
          </w:rPr>
          <w:t>前</w:t>
        </w:r>
        <w:r w:rsidR="002F54F1" w:rsidRPr="00F814BC">
          <w:rPr>
            <w:rStyle w:val="aa"/>
            <w:rFonts w:hint="eastAsia"/>
            <w:noProof/>
            <w:szCs w:val="24"/>
          </w:rPr>
          <w:t>言</w:t>
        </w:r>
        <w:r w:rsidR="002F54F1" w:rsidRPr="00F814BC">
          <w:rPr>
            <w:noProof/>
            <w:webHidden/>
            <w:szCs w:val="24"/>
          </w:rPr>
          <w:tab/>
        </w:r>
        <w:r w:rsidRPr="00F814BC">
          <w:rPr>
            <w:noProof/>
            <w:webHidden/>
            <w:szCs w:val="24"/>
          </w:rPr>
          <w:fldChar w:fldCharType="begin"/>
        </w:r>
        <w:r w:rsidR="002F54F1" w:rsidRPr="00F814BC">
          <w:rPr>
            <w:noProof/>
            <w:webHidden/>
            <w:szCs w:val="24"/>
          </w:rPr>
          <w:instrText xml:space="preserve"> PAGEREF _Toc98747995 \h </w:instrText>
        </w:r>
        <w:r w:rsidRPr="00F814BC">
          <w:rPr>
            <w:noProof/>
            <w:webHidden/>
            <w:szCs w:val="24"/>
          </w:rPr>
        </w:r>
        <w:r w:rsidRPr="00F814BC">
          <w:rPr>
            <w:noProof/>
            <w:webHidden/>
            <w:szCs w:val="24"/>
          </w:rPr>
          <w:fldChar w:fldCharType="separate"/>
        </w:r>
        <w:r w:rsidR="00F814BC">
          <w:rPr>
            <w:noProof/>
            <w:webHidden/>
            <w:szCs w:val="24"/>
          </w:rPr>
          <w:t>4</w:t>
        </w:r>
        <w:r w:rsidRPr="00F814BC">
          <w:rPr>
            <w:noProof/>
            <w:webHidden/>
            <w:szCs w:val="24"/>
          </w:rPr>
          <w:fldChar w:fldCharType="end"/>
        </w:r>
      </w:hyperlink>
    </w:p>
    <w:p w14:paraId="6E988009" w14:textId="77777777" w:rsidR="002F54F1" w:rsidRPr="00F814BC" w:rsidRDefault="00881EA3">
      <w:pPr>
        <w:pStyle w:val="11"/>
        <w:rPr>
          <w:rFonts w:ascii="Calibri" w:hAnsi="Calibri" w:cs="Arial"/>
          <w:noProof/>
          <w:kern w:val="2"/>
          <w:szCs w:val="24"/>
          <w:lang w:bidi="he-IL"/>
        </w:rPr>
      </w:pPr>
      <w:hyperlink w:anchor="_Toc98747996" w:history="1">
        <w:r w:rsidR="002F54F1" w:rsidRPr="00F814BC">
          <w:rPr>
            <w:rStyle w:val="aa"/>
            <w:noProof/>
            <w:szCs w:val="24"/>
          </w:rPr>
          <w:t>II.</w:t>
        </w:r>
        <w:r w:rsidR="002F54F1" w:rsidRPr="00F814BC">
          <w:rPr>
            <w:rFonts w:ascii="Calibri" w:hAnsi="Calibri" w:cs="Arial"/>
            <w:noProof/>
            <w:kern w:val="2"/>
            <w:szCs w:val="24"/>
            <w:lang w:bidi="he-IL"/>
          </w:rPr>
          <w:tab/>
        </w:r>
        <w:r w:rsidR="002F54F1" w:rsidRPr="00F814BC">
          <w:rPr>
            <w:rStyle w:val="aa"/>
            <w:rFonts w:hint="eastAsia"/>
            <w:noProof/>
            <w:szCs w:val="24"/>
          </w:rPr>
          <w:t>背景</w:t>
        </w:r>
        <w:r w:rsidR="002F54F1" w:rsidRPr="00F814BC">
          <w:rPr>
            <w:noProof/>
            <w:webHidden/>
            <w:szCs w:val="24"/>
          </w:rPr>
          <w:tab/>
        </w:r>
        <w:r w:rsidRPr="00F814BC">
          <w:rPr>
            <w:noProof/>
            <w:webHidden/>
            <w:szCs w:val="24"/>
          </w:rPr>
          <w:fldChar w:fldCharType="begin"/>
        </w:r>
        <w:r w:rsidR="002F54F1" w:rsidRPr="00F814BC">
          <w:rPr>
            <w:noProof/>
            <w:webHidden/>
            <w:szCs w:val="24"/>
          </w:rPr>
          <w:instrText xml:space="preserve"> PAGEREF _Toc98747996 \h </w:instrText>
        </w:r>
        <w:r w:rsidRPr="00F814BC">
          <w:rPr>
            <w:noProof/>
            <w:webHidden/>
            <w:szCs w:val="24"/>
          </w:rPr>
        </w:r>
        <w:r w:rsidRPr="00F814BC">
          <w:rPr>
            <w:noProof/>
            <w:webHidden/>
            <w:szCs w:val="24"/>
          </w:rPr>
          <w:fldChar w:fldCharType="separate"/>
        </w:r>
        <w:r w:rsidR="00F814BC">
          <w:rPr>
            <w:noProof/>
            <w:webHidden/>
            <w:szCs w:val="24"/>
          </w:rPr>
          <w:t>5</w:t>
        </w:r>
        <w:r w:rsidRPr="00F814BC">
          <w:rPr>
            <w:noProof/>
            <w:webHidden/>
            <w:szCs w:val="24"/>
          </w:rPr>
          <w:fldChar w:fldCharType="end"/>
        </w:r>
      </w:hyperlink>
    </w:p>
    <w:p w14:paraId="6B74C40A" w14:textId="77777777" w:rsidR="002F54F1" w:rsidRPr="00F814BC" w:rsidRDefault="00881EA3">
      <w:pPr>
        <w:pStyle w:val="11"/>
        <w:rPr>
          <w:rFonts w:ascii="Calibri" w:hAnsi="Calibri" w:cs="Arial"/>
          <w:noProof/>
          <w:kern w:val="2"/>
          <w:szCs w:val="24"/>
          <w:lang w:bidi="he-IL"/>
        </w:rPr>
      </w:pPr>
      <w:hyperlink w:anchor="_Toc98747997" w:history="1">
        <w:r w:rsidR="002F54F1" w:rsidRPr="00F814BC">
          <w:rPr>
            <w:rStyle w:val="aa"/>
            <w:noProof/>
            <w:szCs w:val="24"/>
          </w:rPr>
          <w:t>III.</w:t>
        </w:r>
        <w:r w:rsidR="002F54F1" w:rsidRPr="00F814BC">
          <w:rPr>
            <w:rFonts w:ascii="Calibri" w:hAnsi="Calibri" w:cs="Arial"/>
            <w:noProof/>
            <w:kern w:val="2"/>
            <w:szCs w:val="24"/>
            <w:lang w:bidi="he-IL"/>
          </w:rPr>
          <w:tab/>
        </w:r>
        <w:r w:rsidR="002F54F1" w:rsidRPr="00F814BC">
          <w:rPr>
            <w:rStyle w:val="aa"/>
            <w:rFonts w:hint="eastAsia"/>
            <w:noProof/>
            <w:szCs w:val="24"/>
          </w:rPr>
          <w:t>范围</w:t>
        </w:r>
        <w:r w:rsidR="002F54F1" w:rsidRPr="00F814BC">
          <w:rPr>
            <w:noProof/>
            <w:webHidden/>
            <w:szCs w:val="24"/>
          </w:rPr>
          <w:tab/>
        </w:r>
        <w:r w:rsidRPr="00F814BC">
          <w:rPr>
            <w:noProof/>
            <w:webHidden/>
            <w:szCs w:val="24"/>
          </w:rPr>
          <w:fldChar w:fldCharType="begin"/>
        </w:r>
        <w:r w:rsidR="002F54F1" w:rsidRPr="00F814BC">
          <w:rPr>
            <w:noProof/>
            <w:webHidden/>
            <w:szCs w:val="24"/>
          </w:rPr>
          <w:instrText xml:space="preserve"> PAGEREF _Toc98747997 \h </w:instrText>
        </w:r>
        <w:r w:rsidRPr="00F814BC">
          <w:rPr>
            <w:noProof/>
            <w:webHidden/>
            <w:szCs w:val="24"/>
          </w:rPr>
        </w:r>
        <w:r w:rsidRPr="00F814BC">
          <w:rPr>
            <w:noProof/>
            <w:webHidden/>
            <w:szCs w:val="24"/>
          </w:rPr>
          <w:fldChar w:fldCharType="separate"/>
        </w:r>
        <w:r w:rsidR="00F814BC">
          <w:rPr>
            <w:noProof/>
            <w:webHidden/>
            <w:szCs w:val="24"/>
          </w:rPr>
          <w:t>9</w:t>
        </w:r>
        <w:r w:rsidRPr="00F814BC">
          <w:rPr>
            <w:noProof/>
            <w:webHidden/>
            <w:szCs w:val="24"/>
          </w:rPr>
          <w:fldChar w:fldCharType="end"/>
        </w:r>
      </w:hyperlink>
    </w:p>
    <w:p w14:paraId="7991ADB0" w14:textId="77777777" w:rsidR="002F54F1" w:rsidRPr="00F814BC" w:rsidRDefault="00881EA3">
      <w:pPr>
        <w:pStyle w:val="11"/>
        <w:rPr>
          <w:rFonts w:ascii="Calibri" w:hAnsi="Calibri" w:cs="Arial"/>
          <w:noProof/>
          <w:kern w:val="2"/>
          <w:szCs w:val="24"/>
          <w:lang w:bidi="he-IL"/>
        </w:rPr>
      </w:pPr>
      <w:hyperlink w:anchor="_Toc98747998" w:history="1">
        <w:r w:rsidR="002F54F1" w:rsidRPr="00F814BC">
          <w:rPr>
            <w:rStyle w:val="aa"/>
            <w:noProof/>
            <w:szCs w:val="24"/>
          </w:rPr>
          <w:t>IV.</w:t>
        </w:r>
        <w:r w:rsidR="002F54F1" w:rsidRPr="00F814BC">
          <w:rPr>
            <w:rFonts w:ascii="Calibri" w:hAnsi="Calibri" w:cs="Arial"/>
            <w:noProof/>
            <w:kern w:val="2"/>
            <w:szCs w:val="24"/>
            <w:lang w:bidi="he-IL"/>
          </w:rPr>
          <w:tab/>
        </w:r>
        <w:r w:rsidR="002F54F1" w:rsidRPr="00F814BC">
          <w:rPr>
            <w:rStyle w:val="aa"/>
            <w:rFonts w:hint="eastAsia"/>
            <w:noProof/>
            <w:szCs w:val="24"/>
          </w:rPr>
          <w:t>在进行获益风险判定时考虑不确定性，以支持某些上市前的决定</w:t>
        </w:r>
        <w:r w:rsidR="002F54F1" w:rsidRPr="00F814BC">
          <w:rPr>
            <w:noProof/>
            <w:webHidden/>
            <w:szCs w:val="24"/>
          </w:rPr>
          <w:tab/>
        </w:r>
        <w:r w:rsidRPr="00F814BC">
          <w:rPr>
            <w:noProof/>
            <w:webHidden/>
            <w:szCs w:val="24"/>
          </w:rPr>
          <w:fldChar w:fldCharType="begin"/>
        </w:r>
        <w:r w:rsidR="002F54F1" w:rsidRPr="00F814BC">
          <w:rPr>
            <w:noProof/>
            <w:webHidden/>
            <w:szCs w:val="24"/>
          </w:rPr>
          <w:instrText xml:space="preserve"> PAGEREF _Toc98747998 \h </w:instrText>
        </w:r>
        <w:r w:rsidRPr="00F814BC">
          <w:rPr>
            <w:noProof/>
            <w:webHidden/>
            <w:szCs w:val="24"/>
          </w:rPr>
        </w:r>
        <w:r w:rsidRPr="00F814BC">
          <w:rPr>
            <w:noProof/>
            <w:webHidden/>
            <w:szCs w:val="24"/>
          </w:rPr>
          <w:fldChar w:fldCharType="separate"/>
        </w:r>
        <w:r w:rsidR="00F814BC">
          <w:rPr>
            <w:noProof/>
            <w:webHidden/>
            <w:szCs w:val="24"/>
          </w:rPr>
          <w:t>10</w:t>
        </w:r>
        <w:r w:rsidRPr="00F814BC">
          <w:rPr>
            <w:noProof/>
            <w:webHidden/>
            <w:szCs w:val="24"/>
          </w:rPr>
          <w:fldChar w:fldCharType="end"/>
        </w:r>
      </w:hyperlink>
    </w:p>
    <w:p w14:paraId="64C13517" w14:textId="77777777" w:rsidR="002F54F1" w:rsidRPr="00F814BC" w:rsidRDefault="00881EA3">
      <w:pPr>
        <w:pStyle w:val="11"/>
        <w:rPr>
          <w:rFonts w:ascii="Calibri" w:hAnsi="Calibri" w:cs="Arial"/>
          <w:noProof/>
          <w:kern w:val="2"/>
          <w:szCs w:val="24"/>
          <w:lang w:bidi="he-IL"/>
        </w:rPr>
      </w:pPr>
      <w:hyperlink w:anchor="_Toc98747999" w:history="1">
        <w:r w:rsidR="002F54F1" w:rsidRPr="00F814BC">
          <w:rPr>
            <w:rStyle w:val="aa"/>
            <w:noProof/>
            <w:szCs w:val="24"/>
          </w:rPr>
          <w:t>V.</w:t>
        </w:r>
        <w:r w:rsidR="002F54F1" w:rsidRPr="00F814BC">
          <w:rPr>
            <w:rFonts w:ascii="Calibri" w:hAnsi="Calibri" w:cs="Arial"/>
            <w:noProof/>
            <w:kern w:val="2"/>
            <w:szCs w:val="24"/>
            <w:lang w:bidi="he-IL"/>
          </w:rPr>
          <w:tab/>
        </w:r>
        <w:r w:rsidR="002F54F1" w:rsidRPr="00F814BC">
          <w:rPr>
            <w:rStyle w:val="aa"/>
            <w:rFonts w:hint="eastAsia"/>
            <w:noProof/>
            <w:szCs w:val="24"/>
          </w:rPr>
          <w:t>申请：突破性器械和适用于小规模人群的器械，须经</w:t>
        </w:r>
        <w:r w:rsidR="002F54F1" w:rsidRPr="00F814BC">
          <w:rPr>
            <w:rStyle w:val="aa"/>
            <w:noProof/>
            <w:szCs w:val="24"/>
          </w:rPr>
          <w:t>PMA</w:t>
        </w:r>
        <w:r w:rsidR="002F54F1" w:rsidRPr="00F814BC">
          <w:rPr>
            <w:rStyle w:val="aa"/>
            <w:rFonts w:hint="eastAsia"/>
            <w:noProof/>
            <w:szCs w:val="24"/>
          </w:rPr>
          <w:t>批准</w:t>
        </w:r>
        <w:r w:rsidR="002F54F1" w:rsidRPr="00F814BC">
          <w:rPr>
            <w:noProof/>
            <w:webHidden/>
            <w:szCs w:val="24"/>
          </w:rPr>
          <w:tab/>
        </w:r>
        <w:r w:rsidRPr="00F814BC">
          <w:rPr>
            <w:noProof/>
            <w:webHidden/>
            <w:szCs w:val="24"/>
          </w:rPr>
          <w:fldChar w:fldCharType="begin"/>
        </w:r>
        <w:r w:rsidR="002F54F1" w:rsidRPr="00F814BC">
          <w:rPr>
            <w:noProof/>
            <w:webHidden/>
            <w:szCs w:val="24"/>
          </w:rPr>
          <w:instrText xml:space="preserve"> PAGEREF _Toc98747999 \h </w:instrText>
        </w:r>
        <w:r w:rsidRPr="00F814BC">
          <w:rPr>
            <w:noProof/>
            <w:webHidden/>
            <w:szCs w:val="24"/>
          </w:rPr>
        </w:r>
        <w:r w:rsidRPr="00F814BC">
          <w:rPr>
            <w:noProof/>
            <w:webHidden/>
            <w:szCs w:val="24"/>
          </w:rPr>
          <w:fldChar w:fldCharType="separate"/>
        </w:r>
        <w:r w:rsidR="00F814BC">
          <w:rPr>
            <w:noProof/>
            <w:webHidden/>
            <w:szCs w:val="24"/>
          </w:rPr>
          <w:t>12</w:t>
        </w:r>
        <w:r w:rsidRPr="00F814BC">
          <w:rPr>
            <w:noProof/>
            <w:webHidden/>
            <w:szCs w:val="24"/>
          </w:rPr>
          <w:fldChar w:fldCharType="end"/>
        </w:r>
      </w:hyperlink>
    </w:p>
    <w:p w14:paraId="631EB2CF" w14:textId="77777777" w:rsidR="002F54F1" w:rsidRPr="00F814BC" w:rsidRDefault="00881EA3" w:rsidP="002F54F1">
      <w:pPr>
        <w:pStyle w:val="21"/>
        <w:rPr>
          <w:rFonts w:ascii="Calibri" w:hAnsi="Calibri" w:cs="Arial"/>
          <w:noProof/>
          <w:kern w:val="2"/>
          <w:sz w:val="24"/>
          <w:szCs w:val="24"/>
          <w:lang w:bidi="he-IL"/>
        </w:rPr>
      </w:pPr>
      <w:hyperlink w:anchor="_Toc98748000" w:history="1">
        <w:r w:rsidR="002F54F1" w:rsidRPr="00F814BC">
          <w:rPr>
            <w:rStyle w:val="aa"/>
            <w:noProof/>
            <w:sz w:val="24"/>
            <w:szCs w:val="24"/>
          </w:rPr>
          <w:t>A.</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受</w:t>
        </w:r>
        <w:r w:rsidR="002F54F1" w:rsidRPr="00F814BC">
          <w:rPr>
            <w:rStyle w:val="aa"/>
            <w:noProof/>
            <w:sz w:val="24"/>
            <w:szCs w:val="24"/>
          </w:rPr>
          <w:t>PMA</w:t>
        </w:r>
        <w:r w:rsidR="002F54F1" w:rsidRPr="00F814BC">
          <w:rPr>
            <w:rStyle w:val="aa"/>
            <w:rFonts w:hint="eastAsia"/>
            <w:noProof/>
            <w:sz w:val="24"/>
            <w:szCs w:val="24"/>
          </w:rPr>
          <w:t>限制的突破性器械</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_Toc98748000 \h </w:instrText>
        </w:r>
        <w:r w:rsidRPr="00F814BC">
          <w:rPr>
            <w:noProof/>
            <w:webHidden/>
            <w:sz w:val="24"/>
            <w:szCs w:val="24"/>
          </w:rPr>
        </w:r>
        <w:r w:rsidRPr="00F814BC">
          <w:rPr>
            <w:noProof/>
            <w:webHidden/>
            <w:sz w:val="24"/>
            <w:szCs w:val="24"/>
          </w:rPr>
          <w:fldChar w:fldCharType="separate"/>
        </w:r>
        <w:r w:rsidR="00F814BC">
          <w:rPr>
            <w:noProof/>
            <w:webHidden/>
            <w:sz w:val="24"/>
            <w:szCs w:val="24"/>
          </w:rPr>
          <w:t>12</w:t>
        </w:r>
        <w:r w:rsidRPr="00F814BC">
          <w:rPr>
            <w:noProof/>
            <w:webHidden/>
            <w:sz w:val="24"/>
            <w:szCs w:val="24"/>
          </w:rPr>
          <w:fldChar w:fldCharType="end"/>
        </w:r>
      </w:hyperlink>
    </w:p>
    <w:p w14:paraId="2BBE87EA" w14:textId="77777777" w:rsidR="002F54F1" w:rsidRPr="00F814BC" w:rsidRDefault="00881EA3" w:rsidP="002F54F1">
      <w:pPr>
        <w:pStyle w:val="31"/>
        <w:tabs>
          <w:tab w:val="left" w:pos="1680"/>
        </w:tabs>
        <w:rPr>
          <w:rFonts w:ascii="Calibri" w:hAnsi="Calibri" w:cs="Arial"/>
          <w:noProof/>
          <w:kern w:val="2"/>
          <w:sz w:val="24"/>
          <w:szCs w:val="24"/>
          <w:lang w:bidi="he-IL"/>
        </w:rPr>
      </w:pPr>
      <w:hyperlink w:anchor="_Toc98748001" w:history="1">
        <w:r w:rsidR="002F54F1" w:rsidRPr="00F814BC">
          <w:rPr>
            <w:rStyle w:val="aa"/>
            <w:rFonts w:hint="eastAsia"/>
            <w:noProof/>
            <w:sz w:val="24"/>
            <w:szCs w:val="24"/>
          </w:rPr>
          <w:t>（</w:t>
        </w:r>
        <w:r w:rsidR="002F54F1" w:rsidRPr="00F814BC">
          <w:rPr>
            <w:rStyle w:val="aa"/>
            <w:noProof/>
            <w:sz w:val="24"/>
            <w:szCs w:val="24"/>
          </w:rPr>
          <w:t>1</w:t>
        </w:r>
        <w:r w:rsidR="002F54F1" w:rsidRPr="00F814BC">
          <w:rPr>
            <w:rStyle w:val="aa"/>
            <w:rFonts w:hint="eastAsia"/>
            <w:noProof/>
            <w:sz w:val="24"/>
            <w:szCs w:val="24"/>
          </w:rPr>
          <w:t>）</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及时收集上市后的数据</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_Toc98748001 \h </w:instrText>
        </w:r>
        <w:r w:rsidRPr="00F814BC">
          <w:rPr>
            <w:noProof/>
            <w:webHidden/>
            <w:sz w:val="24"/>
            <w:szCs w:val="24"/>
          </w:rPr>
        </w:r>
        <w:r w:rsidRPr="00F814BC">
          <w:rPr>
            <w:noProof/>
            <w:webHidden/>
            <w:sz w:val="24"/>
            <w:szCs w:val="24"/>
          </w:rPr>
          <w:fldChar w:fldCharType="separate"/>
        </w:r>
        <w:r w:rsidR="00F814BC">
          <w:rPr>
            <w:noProof/>
            <w:webHidden/>
            <w:sz w:val="24"/>
            <w:szCs w:val="24"/>
          </w:rPr>
          <w:t>14</w:t>
        </w:r>
        <w:r w:rsidRPr="00F814BC">
          <w:rPr>
            <w:noProof/>
            <w:webHidden/>
            <w:sz w:val="24"/>
            <w:szCs w:val="24"/>
          </w:rPr>
          <w:fldChar w:fldCharType="end"/>
        </w:r>
      </w:hyperlink>
    </w:p>
    <w:p w14:paraId="4770F83F" w14:textId="77777777" w:rsidR="002F54F1" w:rsidRPr="00F814BC" w:rsidRDefault="00881EA3" w:rsidP="002F54F1">
      <w:pPr>
        <w:pStyle w:val="31"/>
        <w:tabs>
          <w:tab w:val="left" w:pos="1680"/>
        </w:tabs>
        <w:rPr>
          <w:rFonts w:ascii="Calibri" w:hAnsi="Calibri" w:cs="Arial"/>
          <w:noProof/>
          <w:kern w:val="2"/>
          <w:sz w:val="24"/>
          <w:szCs w:val="24"/>
          <w:lang w:bidi="he-IL"/>
        </w:rPr>
      </w:pPr>
      <w:hyperlink w:anchor="_Toc98748002" w:history="1">
        <w:r w:rsidR="002F54F1" w:rsidRPr="00F814BC">
          <w:rPr>
            <w:rStyle w:val="aa"/>
            <w:rFonts w:hint="eastAsia"/>
            <w:noProof/>
            <w:sz w:val="24"/>
            <w:szCs w:val="24"/>
          </w:rPr>
          <w:t>（</w:t>
        </w:r>
        <w:r w:rsidR="002F54F1" w:rsidRPr="00F814BC">
          <w:rPr>
            <w:rStyle w:val="aa"/>
            <w:noProof/>
            <w:sz w:val="24"/>
            <w:szCs w:val="24"/>
          </w:rPr>
          <w:t>2</w:t>
        </w:r>
        <w:r w:rsidR="002F54F1" w:rsidRPr="00F814BC">
          <w:rPr>
            <w:rStyle w:val="aa"/>
            <w:rFonts w:hint="eastAsia"/>
            <w:noProof/>
            <w:sz w:val="24"/>
            <w:szCs w:val="24"/>
          </w:rPr>
          <w:t>）</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透明度</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_Toc98748002 \h </w:instrText>
        </w:r>
        <w:r w:rsidRPr="00F814BC">
          <w:rPr>
            <w:noProof/>
            <w:webHidden/>
            <w:sz w:val="24"/>
            <w:szCs w:val="24"/>
          </w:rPr>
        </w:r>
        <w:r w:rsidRPr="00F814BC">
          <w:rPr>
            <w:noProof/>
            <w:webHidden/>
            <w:sz w:val="24"/>
            <w:szCs w:val="24"/>
          </w:rPr>
          <w:fldChar w:fldCharType="separate"/>
        </w:r>
        <w:r w:rsidR="00F814BC">
          <w:rPr>
            <w:noProof/>
            <w:webHidden/>
            <w:sz w:val="24"/>
            <w:szCs w:val="24"/>
          </w:rPr>
          <w:t>15</w:t>
        </w:r>
        <w:r w:rsidRPr="00F814BC">
          <w:rPr>
            <w:noProof/>
            <w:webHidden/>
            <w:sz w:val="24"/>
            <w:szCs w:val="24"/>
          </w:rPr>
          <w:fldChar w:fldCharType="end"/>
        </w:r>
      </w:hyperlink>
    </w:p>
    <w:p w14:paraId="53F0535D" w14:textId="77777777" w:rsidR="002F54F1" w:rsidRPr="00F814BC" w:rsidRDefault="00881EA3" w:rsidP="002F54F1">
      <w:pPr>
        <w:pStyle w:val="31"/>
        <w:tabs>
          <w:tab w:val="left" w:pos="1680"/>
        </w:tabs>
        <w:rPr>
          <w:rFonts w:ascii="Calibri" w:hAnsi="Calibri" w:cs="Arial"/>
          <w:noProof/>
          <w:kern w:val="2"/>
          <w:sz w:val="24"/>
          <w:szCs w:val="24"/>
          <w:lang w:bidi="he-IL"/>
        </w:rPr>
      </w:pPr>
      <w:hyperlink w:anchor="_Toc98748003" w:history="1">
        <w:r w:rsidR="002F54F1" w:rsidRPr="00F814BC">
          <w:rPr>
            <w:rStyle w:val="aa"/>
            <w:rFonts w:hint="eastAsia"/>
            <w:noProof/>
            <w:sz w:val="24"/>
            <w:szCs w:val="24"/>
          </w:rPr>
          <w:t>（</w:t>
        </w:r>
        <w:r w:rsidR="002F54F1" w:rsidRPr="00F814BC">
          <w:rPr>
            <w:rStyle w:val="aa"/>
            <w:noProof/>
            <w:sz w:val="24"/>
            <w:szCs w:val="24"/>
          </w:rPr>
          <w:t>3</w:t>
        </w:r>
        <w:r w:rsidR="002F54F1" w:rsidRPr="00F814BC">
          <w:rPr>
            <w:rStyle w:val="aa"/>
            <w:rFonts w:hint="eastAsia"/>
            <w:noProof/>
            <w:sz w:val="24"/>
            <w:szCs w:val="24"/>
          </w:rPr>
          <w:t>）</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责任制</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_Toc98748003 \h </w:instrText>
        </w:r>
        <w:r w:rsidRPr="00F814BC">
          <w:rPr>
            <w:noProof/>
            <w:webHidden/>
            <w:sz w:val="24"/>
            <w:szCs w:val="24"/>
          </w:rPr>
        </w:r>
        <w:r w:rsidRPr="00F814BC">
          <w:rPr>
            <w:noProof/>
            <w:webHidden/>
            <w:sz w:val="24"/>
            <w:szCs w:val="24"/>
          </w:rPr>
          <w:fldChar w:fldCharType="separate"/>
        </w:r>
        <w:r w:rsidR="00F814BC">
          <w:rPr>
            <w:noProof/>
            <w:webHidden/>
            <w:sz w:val="24"/>
            <w:szCs w:val="24"/>
          </w:rPr>
          <w:t>15</w:t>
        </w:r>
        <w:r w:rsidRPr="00F814BC">
          <w:rPr>
            <w:noProof/>
            <w:webHidden/>
            <w:sz w:val="24"/>
            <w:szCs w:val="24"/>
          </w:rPr>
          <w:fldChar w:fldCharType="end"/>
        </w:r>
      </w:hyperlink>
    </w:p>
    <w:p w14:paraId="45BB05C1" w14:textId="77777777" w:rsidR="002F54F1" w:rsidRPr="00F814BC" w:rsidRDefault="00881EA3" w:rsidP="002F54F1">
      <w:pPr>
        <w:pStyle w:val="21"/>
        <w:rPr>
          <w:rFonts w:ascii="Calibri" w:hAnsi="Calibri" w:cs="Arial"/>
          <w:noProof/>
          <w:kern w:val="2"/>
          <w:sz w:val="24"/>
          <w:szCs w:val="24"/>
          <w:lang w:bidi="he-IL"/>
        </w:rPr>
      </w:pPr>
      <w:hyperlink w:anchor="_Toc98748004" w:history="1">
        <w:r w:rsidR="002F54F1" w:rsidRPr="00F814BC">
          <w:rPr>
            <w:rStyle w:val="aa"/>
            <w:noProof/>
            <w:sz w:val="24"/>
            <w:szCs w:val="24"/>
          </w:rPr>
          <w:t>B.</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适用于小规模患者人群的器械须接受上市前批准</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_Toc98748004 \h </w:instrText>
        </w:r>
        <w:r w:rsidRPr="00F814BC">
          <w:rPr>
            <w:noProof/>
            <w:webHidden/>
            <w:sz w:val="24"/>
            <w:szCs w:val="24"/>
          </w:rPr>
        </w:r>
        <w:r w:rsidRPr="00F814BC">
          <w:rPr>
            <w:noProof/>
            <w:webHidden/>
            <w:sz w:val="24"/>
            <w:szCs w:val="24"/>
          </w:rPr>
          <w:fldChar w:fldCharType="separate"/>
        </w:r>
        <w:r w:rsidR="00F814BC">
          <w:rPr>
            <w:noProof/>
            <w:webHidden/>
            <w:sz w:val="24"/>
            <w:szCs w:val="24"/>
          </w:rPr>
          <w:t>16</w:t>
        </w:r>
        <w:r w:rsidRPr="00F814BC">
          <w:rPr>
            <w:noProof/>
            <w:webHidden/>
            <w:sz w:val="24"/>
            <w:szCs w:val="24"/>
          </w:rPr>
          <w:fldChar w:fldCharType="end"/>
        </w:r>
      </w:hyperlink>
    </w:p>
    <w:p w14:paraId="32D89754" w14:textId="77777777" w:rsidR="002F54F1" w:rsidRPr="00F814BC" w:rsidRDefault="00881EA3" w:rsidP="002F54F1">
      <w:pPr>
        <w:pStyle w:val="21"/>
        <w:rPr>
          <w:rFonts w:ascii="Calibri" w:hAnsi="Calibri" w:cs="Arial"/>
          <w:noProof/>
          <w:kern w:val="2"/>
          <w:sz w:val="24"/>
          <w:szCs w:val="24"/>
          <w:lang w:bidi="he-IL"/>
        </w:rPr>
      </w:pPr>
      <w:hyperlink w:anchor="_Toc98748005" w:history="1">
        <w:r w:rsidR="002F54F1" w:rsidRPr="00F814BC">
          <w:rPr>
            <w:rStyle w:val="aa"/>
            <w:noProof/>
            <w:sz w:val="24"/>
            <w:szCs w:val="24"/>
          </w:rPr>
          <w:t>C.</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实例</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_Toc98748005 \h </w:instrText>
        </w:r>
        <w:r w:rsidRPr="00F814BC">
          <w:rPr>
            <w:noProof/>
            <w:webHidden/>
            <w:sz w:val="24"/>
            <w:szCs w:val="24"/>
          </w:rPr>
        </w:r>
        <w:r w:rsidRPr="00F814BC">
          <w:rPr>
            <w:noProof/>
            <w:webHidden/>
            <w:sz w:val="24"/>
            <w:szCs w:val="24"/>
          </w:rPr>
          <w:fldChar w:fldCharType="separate"/>
        </w:r>
        <w:r w:rsidR="00F814BC">
          <w:rPr>
            <w:noProof/>
            <w:webHidden/>
            <w:sz w:val="24"/>
            <w:szCs w:val="24"/>
          </w:rPr>
          <w:t>16</w:t>
        </w:r>
        <w:r w:rsidRPr="00F814BC">
          <w:rPr>
            <w:noProof/>
            <w:webHidden/>
            <w:sz w:val="24"/>
            <w:szCs w:val="24"/>
          </w:rPr>
          <w:fldChar w:fldCharType="end"/>
        </w:r>
      </w:hyperlink>
    </w:p>
    <w:p w14:paraId="3A323FAB" w14:textId="77777777" w:rsidR="002F54F1" w:rsidRPr="00F814BC" w:rsidRDefault="00881EA3" w:rsidP="002F54F1">
      <w:pPr>
        <w:pStyle w:val="31"/>
        <w:tabs>
          <w:tab w:val="left" w:pos="1680"/>
        </w:tabs>
        <w:rPr>
          <w:rFonts w:ascii="Calibri" w:hAnsi="Calibri" w:cs="Arial"/>
          <w:noProof/>
          <w:kern w:val="2"/>
          <w:sz w:val="24"/>
          <w:szCs w:val="24"/>
          <w:lang w:bidi="he-IL"/>
        </w:rPr>
      </w:pPr>
      <w:hyperlink w:anchor="_Toc98748006" w:history="1">
        <w:r w:rsidR="002F54F1" w:rsidRPr="00F814BC">
          <w:rPr>
            <w:rStyle w:val="aa"/>
            <w:rFonts w:hint="eastAsia"/>
            <w:noProof/>
            <w:sz w:val="24"/>
            <w:szCs w:val="24"/>
          </w:rPr>
          <w:t>（</w:t>
        </w:r>
        <w:r w:rsidR="002F54F1" w:rsidRPr="00F814BC">
          <w:rPr>
            <w:rStyle w:val="aa"/>
            <w:noProof/>
            <w:sz w:val="24"/>
            <w:szCs w:val="24"/>
          </w:rPr>
          <w:t>1</w:t>
        </w:r>
        <w:r w:rsidR="002F54F1" w:rsidRPr="00F814BC">
          <w:rPr>
            <w:rStyle w:val="aa"/>
            <w:rFonts w:hint="eastAsia"/>
            <w:noProof/>
            <w:sz w:val="24"/>
            <w:szCs w:val="24"/>
          </w:rPr>
          <w:t>）</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突破性器械</w:t>
        </w:r>
        <w:r w:rsidR="002F54F1" w:rsidRPr="00F814BC">
          <w:rPr>
            <w:rStyle w:val="aa"/>
            <w:noProof/>
            <w:sz w:val="24"/>
            <w:szCs w:val="24"/>
          </w:rPr>
          <w:t xml:space="preserve"> - PMA</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_Toc98748006 \h </w:instrText>
        </w:r>
        <w:r w:rsidRPr="00F814BC">
          <w:rPr>
            <w:noProof/>
            <w:webHidden/>
            <w:sz w:val="24"/>
            <w:szCs w:val="24"/>
          </w:rPr>
        </w:r>
        <w:r w:rsidRPr="00F814BC">
          <w:rPr>
            <w:noProof/>
            <w:webHidden/>
            <w:sz w:val="24"/>
            <w:szCs w:val="24"/>
          </w:rPr>
          <w:fldChar w:fldCharType="separate"/>
        </w:r>
        <w:r w:rsidR="00F814BC">
          <w:rPr>
            <w:noProof/>
            <w:webHidden/>
            <w:sz w:val="24"/>
            <w:szCs w:val="24"/>
          </w:rPr>
          <w:t>17</w:t>
        </w:r>
        <w:r w:rsidRPr="00F814BC">
          <w:rPr>
            <w:noProof/>
            <w:webHidden/>
            <w:sz w:val="24"/>
            <w:szCs w:val="24"/>
          </w:rPr>
          <w:fldChar w:fldCharType="end"/>
        </w:r>
      </w:hyperlink>
    </w:p>
    <w:p w14:paraId="34C147E8" w14:textId="77777777" w:rsidR="002F54F1" w:rsidRPr="00F814BC" w:rsidRDefault="00881EA3" w:rsidP="002F54F1">
      <w:pPr>
        <w:pStyle w:val="31"/>
        <w:tabs>
          <w:tab w:val="left" w:pos="1680"/>
        </w:tabs>
        <w:rPr>
          <w:rFonts w:ascii="Calibri" w:hAnsi="Calibri" w:cs="Arial"/>
          <w:noProof/>
          <w:kern w:val="2"/>
          <w:sz w:val="24"/>
          <w:szCs w:val="24"/>
          <w:lang w:bidi="he-IL"/>
        </w:rPr>
      </w:pPr>
      <w:hyperlink w:anchor="_Toc98748007" w:history="1">
        <w:r w:rsidR="002F54F1" w:rsidRPr="00F814BC">
          <w:rPr>
            <w:rStyle w:val="aa"/>
            <w:rFonts w:hint="eastAsia"/>
            <w:noProof/>
            <w:sz w:val="24"/>
            <w:szCs w:val="24"/>
          </w:rPr>
          <w:t>（</w:t>
        </w:r>
        <w:r w:rsidR="002F54F1" w:rsidRPr="00F814BC">
          <w:rPr>
            <w:rStyle w:val="aa"/>
            <w:noProof/>
            <w:sz w:val="24"/>
            <w:szCs w:val="24"/>
          </w:rPr>
          <w:t>2</w:t>
        </w:r>
        <w:r w:rsidR="002F54F1" w:rsidRPr="00F814BC">
          <w:rPr>
            <w:rStyle w:val="aa"/>
            <w:rFonts w:hint="eastAsia"/>
            <w:noProof/>
            <w:sz w:val="24"/>
            <w:szCs w:val="24"/>
          </w:rPr>
          <w:t>）</w:t>
        </w:r>
        <w:r w:rsidR="002F54F1" w:rsidRPr="00F814BC">
          <w:rPr>
            <w:rFonts w:ascii="Calibri" w:hAnsi="Calibri" w:cs="Arial"/>
            <w:noProof/>
            <w:kern w:val="2"/>
            <w:sz w:val="24"/>
            <w:szCs w:val="24"/>
            <w:lang w:bidi="he-IL"/>
          </w:rPr>
          <w:tab/>
        </w:r>
        <w:r w:rsidR="002F54F1" w:rsidRPr="00F814BC">
          <w:rPr>
            <w:rStyle w:val="aa"/>
            <w:rFonts w:hint="eastAsia"/>
            <w:noProof/>
            <w:sz w:val="24"/>
            <w:szCs w:val="24"/>
          </w:rPr>
          <w:t>用于小规模患者人群的器械</w:t>
        </w:r>
        <w:r w:rsidR="002F54F1" w:rsidRPr="00F814BC">
          <w:rPr>
            <w:rStyle w:val="aa"/>
            <w:noProof/>
            <w:sz w:val="24"/>
            <w:szCs w:val="24"/>
          </w:rPr>
          <w:t>-PMA</w:t>
        </w:r>
        <w:r w:rsidR="002F54F1" w:rsidRPr="00F814BC">
          <w:rPr>
            <w:noProof/>
            <w:webHidden/>
            <w:sz w:val="24"/>
            <w:szCs w:val="24"/>
          </w:rPr>
          <w:tab/>
        </w:r>
        <w:r w:rsidRPr="00F814BC">
          <w:rPr>
            <w:noProof/>
            <w:webHidden/>
            <w:sz w:val="24"/>
            <w:szCs w:val="24"/>
          </w:rPr>
          <w:fldChar w:fldCharType="begin"/>
        </w:r>
        <w:r w:rsidR="002F54F1" w:rsidRPr="00F814BC">
          <w:rPr>
            <w:noProof/>
            <w:webHidden/>
            <w:sz w:val="24"/>
            <w:szCs w:val="24"/>
          </w:rPr>
          <w:instrText xml:space="preserve"> PAGEREF _Toc98748007 \h </w:instrText>
        </w:r>
        <w:r w:rsidRPr="00F814BC">
          <w:rPr>
            <w:noProof/>
            <w:webHidden/>
            <w:sz w:val="24"/>
            <w:szCs w:val="24"/>
          </w:rPr>
        </w:r>
        <w:r w:rsidRPr="00F814BC">
          <w:rPr>
            <w:noProof/>
            <w:webHidden/>
            <w:sz w:val="24"/>
            <w:szCs w:val="24"/>
          </w:rPr>
          <w:fldChar w:fldCharType="separate"/>
        </w:r>
        <w:r w:rsidR="00F814BC">
          <w:rPr>
            <w:noProof/>
            <w:webHidden/>
            <w:sz w:val="24"/>
            <w:szCs w:val="24"/>
          </w:rPr>
          <w:t>20</w:t>
        </w:r>
        <w:r w:rsidRPr="00F814BC">
          <w:rPr>
            <w:noProof/>
            <w:webHidden/>
            <w:sz w:val="24"/>
            <w:szCs w:val="24"/>
          </w:rPr>
          <w:fldChar w:fldCharType="end"/>
        </w:r>
      </w:hyperlink>
    </w:p>
    <w:p w14:paraId="75F05F60" w14:textId="77777777" w:rsidR="00961522" w:rsidRPr="00F814BC" w:rsidRDefault="00881EA3" w:rsidP="00640CB4">
      <w:pPr>
        <w:shd w:val="clear" w:color="auto" w:fill="FFFFFF"/>
        <w:snapToGrid w:val="0"/>
        <w:jc w:val="both"/>
        <w:rPr>
          <w:rFonts w:eastAsia="宋体"/>
          <w:sz w:val="21"/>
          <w:szCs w:val="21"/>
        </w:rPr>
      </w:pPr>
      <w:r w:rsidRPr="0006004F">
        <w:rPr>
          <w:sz w:val="24"/>
        </w:rPr>
        <w:fldChar w:fldCharType="end"/>
      </w:r>
    </w:p>
    <w:p w14:paraId="2187ECC0" w14:textId="77777777" w:rsidR="00BE0DEA" w:rsidRPr="00F814BC" w:rsidRDefault="00BE0DEA" w:rsidP="00640CB4">
      <w:pPr>
        <w:shd w:val="clear" w:color="auto" w:fill="FFFFFF"/>
        <w:snapToGrid w:val="0"/>
        <w:jc w:val="both"/>
        <w:rPr>
          <w:rFonts w:eastAsia="宋体"/>
          <w:sz w:val="21"/>
          <w:szCs w:val="21"/>
        </w:rPr>
        <w:sectPr w:rsidR="00BE0DEA" w:rsidRPr="00F814BC" w:rsidSect="0006004F">
          <w:pgSz w:w="11906" w:h="16838" w:code="9"/>
          <w:pgMar w:top="1134" w:right="1134" w:bottom="1134" w:left="1418" w:header="567" w:footer="567" w:gutter="0"/>
          <w:cols w:space="60"/>
          <w:noEndnote/>
          <w:docGrid w:linePitch="272"/>
        </w:sectPr>
      </w:pPr>
    </w:p>
    <w:p w14:paraId="7692336D" w14:textId="77777777" w:rsidR="00973B28" w:rsidRDefault="00FC0A32" w:rsidP="0006004F">
      <w:pPr>
        <w:pStyle w:val="Default"/>
        <w:pBdr>
          <w:bottom w:val="single" w:sz="4" w:space="1" w:color="auto"/>
        </w:pBdr>
        <w:snapToGrid w:val="0"/>
        <w:jc w:val="center"/>
        <w:rPr>
          <w:rFonts w:eastAsia="宋体"/>
          <w:sz w:val="56"/>
          <w:szCs w:val="56"/>
        </w:rPr>
      </w:pPr>
      <w:r w:rsidRPr="00F814BC">
        <w:rPr>
          <w:rFonts w:eastAsia="宋体" w:hint="eastAsia"/>
          <w:b/>
          <w:bCs/>
          <w:sz w:val="56"/>
          <w:szCs w:val="56"/>
        </w:rPr>
        <w:lastRenderedPageBreak/>
        <w:t>考虑对</w:t>
      </w:r>
      <w:r w:rsidR="00BE0DEA" w:rsidRPr="00F814BC">
        <w:rPr>
          <w:rFonts w:eastAsia="宋体"/>
          <w:b/>
          <w:bCs/>
          <w:sz w:val="56"/>
          <w:szCs w:val="56"/>
        </w:rPr>
        <w:t>医疗器械上市前</w:t>
      </w:r>
      <w:r w:rsidRPr="00F814BC">
        <w:rPr>
          <w:rFonts w:eastAsia="宋体" w:hint="eastAsia"/>
          <w:b/>
          <w:bCs/>
          <w:sz w:val="56"/>
          <w:szCs w:val="56"/>
        </w:rPr>
        <w:t>批准</w:t>
      </w:r>
      <w:r w:rsidR="00BE0DEA" w:rsidRPr="00F814BC">
        <w:rPr>
          <w:rFonts w:eastAsia="宋体"/>
          <w:b/>
          <w:bCs/>
          <w:sz w:val="56"/>
          <w:szCs w:val="56"/>
        </w:rPr>
        <w:t>、</w:t>
      </w:r>
      <w:r w:rsidR="00A05DF2" w:rsidRPr="00F814BC">
        <w:rPr>
          <w:rFonts w:eastAsia="宋体"/>
          <w:b/>
          <w:bCs/>
          <w:sz w:val="56"/>
          <w:szCs w:val="56"/>
        </w:rPr>
        <w:t>重</w:t>
      </w:r>
      <w:r w:rsidR="00BE0DEA" w:rsidRPr="00F814BC">
        <w:rPr>
          <w:rFonts w:eastAsia="宋体" w:hint="eastAsia"/>
          <w:b/>
          <w:bCs/>
          <w:sz w:val="56"/>
          <w:szCs w:val="56"/>
        </w:rPr>
        <w:t>新</w:t>
      </w:r>
      <w:r w:rsidR="00BE0DEA" w:rsidRPr="00F814BC">
        <w:rPr>
          <w:rFonts w:eastAsia="宋体"/>
          <w:b/>
          <w:bCs/>
          <w:sz w:val="56"/>
          <w:szCs w:val="56"/>
        </w:rPr>
        <w:t>分类和人道主义器械豁免进行</w:t>
      </w:r>
      <w:r w:rsidR="00E6092F" w:rsidRPr="00F814BC">
        <w:rPr>
          <w:rFonts w:eastAsia="宋体"/>
          <w:b/>
          <w:bCs/>
          <w:sz w:val="56"/>
          <w:szCs w:val="56"/>
        </w:rPr>
        <w:t>获益风险</w:t>
      </w:r>
      <w:r w:rsidR="00E6092F" w:rsidRPr="00F814BC">
        <w:rPr>
          <w:rFonts w:eastAsia="宋体" w:hint="eastAsia"/>
          <w:b/>
          <w:bCs/>
          <w:sz w:val="56"/>
          <w:szCs w:val="56"/>
        </w:rPr>
        <w:t>判定</w:t>
      </w:r>
      <w:r w:rsidRPr="00F814BC">
        <w:rPr>
          <w:rFonts w:eastAsia="宋体" w:hint="eastAsia"/>
          <w:b/>
          <w:bCs/>
          <w:sz w:val="56"/>
          <w:szCs w:val="56"/>
        </w:rPr>
        <w:t>中的不确定因素</w:t>
      </w:r>
    </w:p>
    <w:p w14:paraId="61CBC6D8" w14:textId="77777777" w:rsidR="00973B28" w:rsidRDefault="00BE0DEA" w:rsidP="0006004F">
      <w:pPr>
        <w:pStyle w:val="Default"/>
        <w:snapToGrid w:val="0"/>
        <w:jc w:val="center"/>
        <w:rPr>
          <w:rFonts w:eastAsia="宋体"/>
          <w:sz w:val="56"/>
          <w:szCs w:val="56"/>
        </w:rPr>
      </w:pPr>
      <w:r w:rsidRPr="00F814BC">
        <w:rPr>
          <w:rFonts w:eastAsia="宋体"/>
          <w:b/>
          <w:bCs/>
          <w:sz w:val="56"/>
          <w:szCs w:val="56"/>
        </w:rPr>
        <w:t>行业和美国食品药品监督管理局工作人员</w:t>
      </w:r>
      <w:r w:rsidR="00E6092F" w:rsidRPr="00F814BC">
        <w:rPr>
          <w:rFonts w:eastAsia="宋体"/>
          <w:b/>
          <w:bCs/>
          <w:sz w:val="56"/>
          <w:szCs w:val="56"/>
        </w:rPr>
        <w:t>指南</w:t>
      </w:r>
    </w:p>
    <w:p w14:paraId="61983C2F" w14:textId="77777777" w:rsidR="00BE0DEA" w:rsidRPr="00F814BC" w:rsidRDefault="00BE0DEA" w:rsidP="00640CB4">
      <w:pPr>
        <w:shd w:val="clear" w:color="auto" w:fill="FFFFFF"/>
        <w:snapToGrid w:val="0"/>
        <w:jc w:val="both"/>
        <w:rPr>
          <w:rFonts w:eastAsia="宋体"/>
          <w:b/>
          <w:bCs/>
          <w:i/>
          <w:iCs/>
          <w:color w:val="000000"/>
          <w:sz w:val="21"/>
          <w:szCs w:val="21"/>
        </w:rPr>
      </w:pPr>
    </w:p>
    <w:p w14:paraId="2849D09C" w14:textId="77777777" w:rsidR="00961522" w:rsidRPr="00932C0C" w:rsidRDefault="00932C0C" w:rsidP="00640CB4">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r w:rsidRPr="0006004F">
        <w:rPr>
          <w:rFonts w:eastAsia="宋体" w:hAnsi="宋体" w:hint="eastAsia"/>
          <w:b/>
          <w:i/>
          <w:sz w:val="24"/>
        </w:rPr>
        <w:t>本指南代表美国食品药品监督管理局（</w:t>
      </w:r>
      <w:r w:rsidRPr="0006004F">
        <w:rPr>
          <w:rFonts w:eastAsia="宋体"/>
          <w:b/>
          <w:i/>
          <w:sz w:val="24"/>
        </w:rPr>
        <w:t>FDA</w:t>
      </w:r>
      <w:r w:rsidRPr="0006004F">
        <w:rPr>
          <w:rFonts w:eastAsia="宋体" w:hAnsi="宋体" w:hint="eastAsia"/>
          <w:b/>
          <w:i/>
          <w:sz w:val="24"/>
        </w:rPr>
        <w:t>）对该主题的当前看法。本文件不赋予任何人任何权利，对</w:t>
      </w:r>
      <w:r w:rsidRPr="0006004F">
        <w:rPr>
          <w:rFonts w:eastAsia="宋体"/>
          <w:b/>
          <w:i/>
          <w:sz w:val="24"/>
        </w:rPr>
        <w:t>FDA</w:t>
      </w:r>
      <w:r w:rsidRPr="0006004F">
        <w:rPr>
          <w:rFonts w:eastAsia="宋体" w:hAnsi="宋体" w:hint="eastAsia"/>
          <w:b/>
          <w:i/>
          <w:sz w:val="24"/>
        </w:rPr>
        <w:t>或公众不具有约束力。如果替代方法满足</w:t>
      </w:r>
      <w:commentRangeStart w:id="1"/>
      <w:r w:rsidRPr="0006004F">
        <w:rPr>
          <w:rFonts w:eastAsia="宋体" w:hAnsi="宋体" w:hint="eastAsia"/>
          <w:b/>
          <w:i/>
          <w:sz w:val="24"/>
        </w:rPr>
        <w:t>适用的情形和法规</w:t>
      </w:r>
      <w:commentRangeEnd w:id="1"/>
      <w:r w:rsidRPr="0006004F">
        <w:rPr>
          <w:rStyle w:val="ad"/>
          <w:rFonts w:eastAsia="宋体"/>
        </w:rPr>
        <w:commentReference w:id="1"/>
      </w:r>
      <w:r w:rsidRPr="0006004F">
        <w:rPr>
          <w:rFonts w:eastAsia="宋体" w:hAnsi="宋体" w:hint="eastAsia"/>
          <w:b/>
          <w:i/>
          <w:sz w:val="24"/>
        </w:rPr>
        <w:t>的要求，则贵司可使用替代方法。如需讨论替代方法，请联系标题页所列负责本指南的</w:t>
      </w:r>
      <w:r w:rsidRPr="0006004F">
        <w:rPr>
          <w:rFonts w:eastAsia="宋体"/>
          <w:b/>
          <w:i/>
          <w:sz w:val="24"/>
        </w:rPr>
        <w:t>FDA</w:t>
      </w:r>
      <w:r w:rsidRPr="0006004F">
        <w:rPr>
          <w:rFonts w:eastAsia="宋体" w:hAnsi="宋体" w:hint="eastAsia"/>
          <w:b/>
          <w:i/>
          <w:sz w:val="24"/>
        </w:rPr>
        <w:t>工作人员或办公室。</w:t>
      </w:r>
    </w:p>
    <w:p w14:paraId="32D4BBFA" w14:textId="77777777" w:rsidR="00961522" w:rsidRPr="00F814BC" w:rsidRDefault="00CB325C" w:rsidP="00640CB4">
      <w:pPr>
        <w:pStyle w:val="1"/>
        <w:spacing w:before="240" w:after="120"/>
        <w:rPr>
          <w:rFonts w:eastAsia="宋体"/>
        </w:rPr>
      </w:pPr>
      <w:bookmarkStart w:id="2" w:name="bookmark0"/>
      <w:bookmarkStart w:id="3" w:name="_Toc98747995"/>
      <w:bookmarkStart w:id="4" w:name="_Toc97482643"/>
      <w:r w:rsidRPr="00F814BC">
        <w:rPr>
          <w:rFonts w:eastAsia="宋体"/>
        </w:rPr>
        <w:t>I</w:t>
      </w:r>
      <w:bookmarkEnd w:id="2"/>
      <w:r w:rsidRPr="00F814BC">
        <w:rPr>
          <w:rFonts w:eastAsia="宋体"/>
        </w:rPr>
        <w:t>.</w:t>
      </w:r>
      <w:r w:rsidRPr="00F814BC">
        <w:rPr>
          <w:rFonts w:eastAsia="宋体"/>
        </w:rPr>
        <w:tab/>
      </w:r>
      <w:r w:rsidR="005043E9">
        <w:rPr>
          <w:rFonts w:eastAsia="宋体" w:hint="eastAsia"/>
        </w:rPr>
        <w:t>前</w:t>
      </w:r>
      <w:r w:rsidRPr="00F814BC">
        <w:rPr>
          <w:rFonts w:eastAsia="宋体"/>
        </w:rPr>
        <w:t>言</w:t>
      </w:r>
      <w:bookmarkEnd w:id="3"/>
      <w:bookmarkEnd w:id="4"/>
    </w:p>
    <w:p w14:paraId="263C2E5A"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本指</w:t>
      </w:r>
      <w:r w:rsidR="00FA4845" w:rsidRPr="00F814BC">
        <w:rPr>
          <w:rFonts w:eastAsia="宋体" w:hint="eastAsia"/>
          <w:color w:val="000000"/>
          <w:sz w:val="24"/>
          <w:szCs w:val="24"/>
        </w:rPr>
        <w:t>南</w:t>
      </w:r>
      <w:r w:rsidRPr="00F814BC">
        <w:rPr>
          <w:rFonts w:eastAsia="宋体"/>
          <w:color w:val="000000"/>
          <w:sz w:val="24"/>
          <w:szCs w:val="24"/>
        </w:rPr>
        <w:t>文件描述了</w:t>
      </w:r>
      <w:r w:rsidR="00FA4845" w:rsidRPr="00F814BC">
        <w:rPr>
          <w:rFonts w:eastAsia="宋体"/>
          <w:color w:val="000000"/>
          <w:sz w:val="24"/>
          <w:szCs w:val="24"/>
        </w:rPr>
        <w:t>美国</w:t>
      </w:r>
      <w:r w:rsidRPr="00F814BC">
        <w:rPr>
          <w:rFonts w:eastAsia="宋体"/>
          <w:color w:val="000000"/>
          <w:sz w:val="24"/>
          <w:szCs w:val="24"/>
        </w:rPr>
        <w:t>食品药品监督管理局（</w:t>
      </w:r>
      <w:r w:rsidRPr="00F814BC">
        <w:rPr>
          <w:rFonts w:eastAsia="宋体"/>
          <w:color w:val="000000"/>
          <w:sz w:val="24"/>
          <w:szCs w:val="24"/>
        </w:rPr>
        <w:t>FDA</w:t>
      </w:r>
      <w:r w:rsidRPr="00F814BC">
        <w:rPr>
          <w:rFonts w:eastAsia="宋体"/>
          <w:color w:val="000000"/>
          <w:sz w:val="24"/>
          <w:szCs w:val="24"/>
        </w:rPr>
        <w:t>）目前在进行获益风险</w:t>
      </w:r>
      <w:r w:rsidR="00FA4845" w:rsidRPr="00F814BC">
        <w:rPr>
          <w:rFonts w:eastAsia="宋体" w:hint="eastAsia"/>
          <w:color w:val="000000"/>
          <w:sz w:val="24"/>
          <w:szCs w:val="24"/>
        </w:rPr>
        <w:t>判定</w:t>
      </w:r>
      <w:r w:rsidRPr="00F814BC">
        <w:rPr>
          <w:rFonts w:eastAsia="宋体"/>
          <w:color w:val="000000"/>
          <w:sz w:val="24"/>
          <w:szCs w:val="24"/>
        </w:rPr>
        <w:t>时考虑不确定性的方法，以支持</w:t>
      </w:r>
      <w:r w:rsidRPr="00F814BC">
        <w:rPr>
          <w:rFonts w:eastAsia="宋体"/>
          <w:color w:val="000000"/>
          <w:sz w:val="24"/>
          <w:szCs w:val="24"/>
        </w:rPr>
        <w:t>FDA</w:t>
      </w:r>
      <w:r w:rsidRPr="00F814BC">
        <w:rPr>
          <w:rFonts w:eastAsia="宋体"/>
          <w:color w:val="000000"/>
          <w:sz w:val="24"/>
          <w:szCs w:val="24"/>
        </w:rPr>
        <w:t>对医疗器械上市前批准申请（</w:t>
      </w:r>
      <w:r w:rsidRPr="00F814BC">
        <w:rPr>
          <w:rFonts w:eastAsia="宋体"/>
          <w:color w:val="000000"/>
          <w:sz w:val="24"/>
          <w:szCs w:val="24"/>
        </w:rPr>
        <w:t>PMA</w:t>
      </w:r>
      <w:r w:rsidRPr="00F814BC">
        <w:rPr>
          <w:rFonts w:eastAsia="宋体"/>
          <w:color w:val="000000"/>
          <w:sz w:val="24"/>
          <w:szCs w:val="24"/>
        </w:rPr>
        <w:t>）、新申请和人道主义器械豁免（</w:t>
      </w:r>
      <w:r w:rsidRPr="00F814BC">
        <w:rPr>
          <w:rFonts w:eastAsia="宋体"/>
          <w:color w:val="000000"/>
          <w:sz w:val="24"/>
          <w:szCs w:val="24"/>
        </w:rPr>
        <w:t>HDE</w:t>
      </w:r>
      <w:r w:rsidRPr="00F814BC">
        <w:rPr>
          <w:rFonts w:eastAsia="宋体"/>
          <w:color w:val="000000"/>
          <w:sz w:val="24"/>
          <w:szCs w:val="24"/>
        </w:rPr>
        <w:t>）申请的上市前决定。</w:t>
      </w:r>
      <w:r w:rsidRPr="00F814BC">
        <w:rPr>
          <w:rStyle w:val="a9"/>
          <w:rFonts w:eastAsia="宋体"/>
          <w:color w:val="000000"/>
          <w:sz w:val="24"/>
          <w:szCs w:val="24"/>
        </w:rPr>
        <w:footnoteReference w:id="2"/>
      </w:r>
      <w:r w:rsidRPr="00F814BC">
        <w:rPr>
          <w:rFonts w:eastAsia="宋体"/>
          <w:color w:val="000000"/>
          <w:sz w:val="24"/>
          <w:szCs w:val="24"/>
        </w:rPr>
        <w:t>FDA</w:t>
      </w:r>
      <w:r w:rsidRPr="00F814BC">
        <w:rPr>
          <w:rFonts w:eastAsia="宋体"/>
          <w:color w:val="000000"/>
          <w:sz w:val="24"/>
          <w:szCs w:val="24"/>
        </w:rPr>
        <w:t>认为本指南中描述的方法促进了公众健康，帮助患者及时获得符合适用的安全和有效性法定标准的新医疗器械，例如，根据全部有效的科学证据，器械使用的可能</w:t>
      </w:r>
      <w:r w:rsidR="003E4BE0" w:rsidRPr="00F814BC">
        <w:rPr>
          <w:rFonts w:eastAsia="宋体" w:hint="eastAsia"/>
          <w:color w:val="000000"/>
          <w:sz w:val="24"/>
          <w:szCs w:val="24"/>
        </w:rPr>
        <w:t>益处</w:t>
      </w:r>
      <w:r w:rsidRPr="00F814BC">
        <w:rPr>
          <w:rFonts w:eastAsia="宋体"/>
          <w:color w:val="000000"/>
          <w:sz w:val="24"/>
          <w:szCs w:val="24"/>
        </w:rPr>
        <w:t>超过可能的风险，并且器械将在</w:t>
      </w:r>
      <w:r w:rsidR="00FC04B6" w:rsidRPr="00F814BC">
        <w:rPr>
          <w:rFonts w:eastAsia="宋体"/>
          <w:color w:val="000000"/>
          <w:sz w:val="24"/>
          <w:szCs w:val="24"/>
        </w:rPr>
        <w:t>很大一部分</w:t>
      </w:r>
      <w:r w:rsidRPr="00F814BC">
        <w:rPr>
          <w:rFonts w:eastAsia="宋体"/>
          <w:color w:val="000000"/>
          <w:sz w:val="24"/>
          <w:szCs w:val="24"/>
        </w:rPr>
        <w:t>目标人群中提供临床上的重要结果。</w:t>
      </w:r>
    </w:p>
    <w:p w14:paraId="6DCB05F0" w14:textId="77777777" w:rsidR="00973B28" w:rsidRDefault="00973B28" w:rsidP="0006004F">
      <w:pPr>
        <w:shd w:val="clear" w:color="auto" w:fill="FFFFFF"/>
        <w:snapToGrid w:val="0"/>
        <w:ind w:firstLineChars="200" w:firstLine="480"/>
        <w:jc w:val="both"/>
        <w:rPr>
          <w:rFonts w:eastAsia="宋体"/>
          <w:sz w:val="24"/>
          <w:szCs w:val="24"/>
        </w:rPr>
      </w:pPr>
    </w:p>
    <w:p w14:paraId="20AFC0D3" w14:textId="77777777" w:rsidR="00973B28" w:rsidRPr="00932C0C" w:rsidRDefault="00932C0C" w:rsidP="0006004F">
      <w:pPr>
        <w:shd w:val="clear" w:color="auto" w:fill="FFFFFF"/>
        <w:snapToGrid w:val="0"/>
        <w:ind w:firstLineChars="200" w:firstLine="480"/>
        <w:jc w:val="both"/>
        <w:rPr>
          <w:rFonts w:eastAsia="宋体"/>
          <w:sz w:val="24"/>
          <w:szCs w:val="24"/>
        </w:rPr>
      </w:pPr>
      <w:r w:rsidRPr="0006004F">
        <w:rPr>
          <w:rFonts w:eastAsia="宋体"/>
          <w:sz w:val="24"/>
          <w:szCs w:val="24"/>
        </w:rPr>
        <w:t>FDA</w:t>
      </w:r>
      <w:r w:rsidRPr="0006004F">
        <w:rPr>
          <w:rFonts w:eastAsia="宋体" w:hAnsi="宋体" w:hint="eastAsia"/>
          <w:sz w:val="24"/>
          <w:szCs w:val="24"/>
        </w:rPr>
        <w:t>指南文件，包括本指南，并未规定具有法律强制力的责任。相反，指南描述了</w:t>
      </w:r>
      <w:r w:rsidRPr="0006004F">
        <w:rPr>
          <w:rFonts w:eastAsia="宋体"/>
          <w:sz w:val="24"/>
          <w:szCs w:val="24"/>
        </w:rPr>
        <w:t>FDA</w:t>
      </w:r>
      <w:r w:rsidRPr="0006004F">
        <w:rPr>
          <w:rFonts w:eastAsia="宋体" w:hAnsi="宋体" w:hint="eastAsia"/>
          <w:sz w:val="24"/>
          <w:szCs w:val="24"/>
        </w:rPr>
        <w:t>对该主题的当前看法，除非引用了具体监管或法定要求，否则应仅视为建议。</w:t>
      </w:r>
      <w:r w:rsidRPr="0006004F">
        <w:rPr>
          <w:rFonts w:eastAsia="宋体"/>
          <w:sz w:val="24"/>
          <w:szCs w:val="24"/>
        </w:rPr>
        <w:t>FDA</w:t>
      </w:r>
      <w:r w:rsidRPr="0006004F">
        <w:rPr>
          <w:rFonts w:eastAsia="宋体" w:hAnsi="宋体" w:hint="eastAsia"/>
          <w:sz w:val="24"/>
          <w:szCs w:val="24"/>
        </w:rPr>
        <w:t>指南中使用的</w:t>
      </w:r>
      <w:r w:rsidRPr="0006004F">
        <w:rPr>
          <w:rFonts w:eastAsia="宋体"/>
          <w:sz w:val="24"/>
          <w:szCs w:val="24"/>
        </w:rPr>
        <w:t>“</w:t>
      </w:r>
      <w:r w:rsidRPr="0006004F">
        <w:rPr>
          <w:rFonts w:eastAsia="宋体" w:hAnsi="宋体" w:hint="eastAsia"/>
          <w:sz w:val="24"/>
          <w:szCs w:val="24"/>
        </w:rPr>
        <w:t>应该（</w:t>
      </w:r>
      <w:r w:rsidRPr="0006004F">
        <w:rPr>
          <w:rFonts w:eastAsia="宋体"/>
          <w:sz w:val="24"/>
          <w:szCs w:val="24"/>
        </w:rPr>
        <w:t>should</w:t>
      </w:r>
      <w:r w:rsidRPr="0006004F">
        <w:rPr>
          <w:rFonts w:eastAsia="宋体" w:hAnsi="宋体" w:hint="eastAsia"/>
          <w:sz w:val="24"/>
          <w:szCs w:val="24"/>
        </w:rPr>
        <w:t>）</w:t>
      </w:r>
      <w:r w:rsidRPr="0006004F">
        <w:rPr>
          <w:rFonts w:eastAsia="宋体"/>
          <w:sz w:val="24"/>
          <w:szCs w:val="24"/>
        </w:rPr>
        <w:t>”</w:t>
      </w:r>
      <w:r w:rsidRPr="0006004F">
        <w:rPr>
          <w:rFonts w:eastAsia="宋体" w:hAnsi="宋体" w:hint="eastAsia"/>
          <w:sz w:val="24"/>
          <w:szCs w:val="24"/>
        </w:rPr>
        <w:t>一词指建议或推荐进行某一事项，并非强制要求。</w:t>
      </w:r>
    </w:p>
    <w:p w14:paraId="11852337" w14:textId="77777777" w:rsidR="00961522" w:rsidRPr="00F814BC" w:rsidRDefault="00961522" w:rsidP="00640CB4">
      <w:pPr>
        <w:shd w:val="clear" w:color="auto" w:fill="FFFFFF"/>
        <w:snapToGrid w:val="0"/>
        <w:jc w:val="both"/>
        <w:rPr>
          <w:rFonts w:eastAsia="宋体"/>
          <w:sz w:val="24"/>
          <w:szCs w:val="24"/>
        </w:rPr>
      </w:pPr>
    </w:p>
    <w:p w14:paraId="3BA4B02D" w14:textId="77777777" w:rsidR="00961522" w:rsidRPr="00F814BC" w:rsidRDefault="00961522" w:rsidP="00640CB4">
      <w:pPr>
        <w:shd w:val="clear" w:color="auto" w:fill="FFFFFF"/>
        <w:snapToGrid w:val="0"/>
        <w:jc w:val="both"/>
        <w:rPr>
          <w:rFonts w:eastAsia="宋体"/>
          <w:sz w:val="21"/>
          <w:szCs w:val="21"/>
        </w:rPr>
        <w:sectPr w:rsidR="00961522" w:rsidRPr="00F814BC" w:rsidSect="0006004F">
          <w:pgSz w:w="11906" w:h="16838" w:code="9"/>
          <w:pgMar w:top="1134" w:right="1134" w:bottom="1134" w:left="1418" w:header="567" w:footer="567" w:gutter="0"/>
          <w:cols w:space="60"/>
          <w:noEndnote/>
          <w:docGrid w:linePitch="272"/>
        </w:sectPr>
      </w:pPr>
    </w:p>
    <w:p w14:paraId="380774DB" w14:textId="77777777" w:rsidR="00961522" w:rsidRPr="00F814BC" w:rsidRDefault="00CB325C" w:rsidP="00640CB4">
      <w:pPr>
        <w:pStyle w:val="1"/>
        <w:spacing w:before="240" w:after="120"/>
        <w:rPr>
          <w:rFonts w:eastAsia="宋体"/>
        </w:rPr>
      </w:pPr>
      <w:bookmarkStart w:id="5" w:name="bookmark2"/>
      <w:bookmarkStart w:id="6" w:name="_Toc98747996"/>
      <w:bookmarkStart w:id="7" w:name="_Toc97482644"/>
      <w:r w:rsidRPr="00F814BC">
        <w:rPr>
          <w:rFonts w:eastAsia="宋体"/>
        </w:rPr>
        <w:lastRenderedPageBreak/>
        <w:t>I</w:t>
      </w:r>
      <w:bookmarkEnd w:id="5"/>
      <w:r w:rsidRPr="00F814BC">
        <w:rPr>
          <w:rFonts w:eastAsia="宋体"/>
        </w:rPr>
        <w:t>I.</w:t>
      </w:r>
      <w:r w:rsidRPr="00F814BC">
        <w:rPr>
          <w:rFonts w:eastAsia="宋体"/>
        </w:rPr>
        <w:tab/>
      </w:r>
      <w:r w:rsidRPr="00F814BC">
        <w:rPr>
          <w:rFonts w:eastAsia="宋体"/>
        </w:rPr>
        <w:t>背景</w:t>
      </w:r>
      <w:bookmarkEnd w:id="6"/>
      <w:bookmarkEnd w:id="7"/>
    </w:p>
    <w:p w14:paraId="111ACC7B"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1976</w:t>
      </w:r>
      <w:r w:rsidRPr="00F814BC">
        <w:rPr>
          <w:rFonts w:eastAsia="宋体"/>
          <w:color w:val="000000"/>
          <w:sz w:val="24"/>
          <w:szCs w:val="24"/>
        </w:rPr>
        <w:t>年《联邦食品、药品和化妆品法案》（《</w:t>
      </w:r>
      <w:r w:rsidRPr="00F814BC">
        <w:rPr>
          <w:rFonts w:eastAsia="宋体"/>
          <w:color w:val="000000"/>
          <w:sz w:val="24"/>
          <w:szCs w:val="24"/>
        </w:rPr>
        <w:t>FD&amp;C</w:t>
      </w:r>
      <w:r w:rsidRPr="00F814BC">
        <w:rPr>
          <w:rFonts w:eastAsia="宋体"/>
          <w:color w:val="000000"/>
          <w:sz w:val="24"/>
          <w:szCs w:val="24"/>
        </w:rPr>
        <w:t>法案》）的医疗器械修正案（公法</w:t>
      </w:r>
      <w:r w:rsidRPr="00F814BC">
        <w:rPr>
          <w:rFonts w:eastAsia="宋体"/>
          <w:color w:val="000000"/>
          <w:sz w:val="24"/>
          <w:szCs w:val="24"/>
        </w:rPr>
        <w:t>94-295</w:t>
      </w:r>
      <w:r w:rsidRPr="00F814BC">
        <w:rPr>
          <w:rFonts w:eastAsia="宋体"/>
          <w:color w:val="000000"/>
          <w:sz w:val="24"/>
          <w:szCs w:val="24"/>
        </w:rPr>
        <w:t>）为医疗器械的监管建立了一个基于风险的框架。该法根据器械不能按预期运行时对患者造成的风险，建立了一个三级风险分类系统。在这一</w:t>
      </w:r>
      <w:r w:rsidR="008D6093" w:rsidRPr="00F814BC">
        <w:rPr>
          <w:rFonts w:eastAsia="宋体" w:hint="eastAsia"/>
          <w:color w:val="000000"/>
          <w:sz w:val="24"/>
          <w:szCs w:val="24"/>
        </w:rPr>
        <w:t>系统</w:t>
      </w:r>
      <w:r w:rsidRPr="00F814BC">
        <w:rPr>
          <w:rFonts w:eastAsia="宋体"/>
          <w:color w:val="000000"/>
          <w:sz w:val="24"/>
          <w:szCs w:val="24"/>
        </w:rPr>
        <w:t>下，对患者构成更大风险的器械要受到更多的监管控制和要求。具体而言，一般控制措施足以为</w:t>
      </w:r>
      <w:r w:rsidRPr="00F814BC">
        <w:rPr>
          <w:rFonts w:eastAsia="宋体"/>
          <w:color w:val="000000"/>
          <w:sz w:val="24"/>
          <w:szCs w:val="24"/>
        </w:rPr>
        <w:t>I</w:t>
      </w:r>
      <w:r w:rsidRPr="00F814BC">
        <w:rPr>
          <w:rFonts w:eastAsia="宋体"/>
          <w:color w:val="000000"/>
          <w:sz w:val="24"/>
          <w:szCs w:val="24"/>
        </w:rPr>
        <w:t>类器械的安全和有效性提供合理保证，</w:t>
      </w:r>
      <w:r w:rsidRPr="00F814BC">
        <w:rPr>
          <w:rStyle w:val="a9"/>
          <w:rFonts w:eastAsia="宋体"/>
          <w:color w:val="000000"/>
          <w:sz w:val="24"/>
          <w:szCs w:val="24"/>
        </w:rPr>
        <w:t xml:space="preserve"> </w:t>
      </w:r>
      <w:r w:rsidRPr="00F814BC">
        <w:rPr>
          <w:rStyle w:val="a9"/>
          <w:rFonts w:eastAsia="宋体"/>
          <w:color w:val="000000"/>
          <w:sz w:val="24"/>
          <w:szCs w:val="24"/>
        </w:rPr>
        <w:footnoteReference w:id="3"/>
      </w:r>
      <w:r w:rsidRPr="00F814BC">
        <w:rPr>
          <w:rFonts w:eastAsia="宋体"/>
          <w:color w:val="000000"/>
          <w:sz w:val="24"/>
          <w:szCs w:val="24"/>
        </w:rPr>
        <w:t>而特殊控制措施则用于</w:t>
      </w:r>
      <w:r w:rsidRPr="00F814BC">
        <w:rPr>
          <w:rFonts w:eastAsia="宋体"/>
          <w:color w:val="000000"/>
          <w:sz w:val="24"/>
          <w:szCs w:val="24"/>
        </w:rPr>
        <w:t>II</w:t>
      </w:r>
      <w:r w:rsidRPr="00F814BC">
        <w:rPr>
          <w:rFonts w:eastAsia="宋体"/>
          <w:color w:val="000000"/>
          <w:sz w:val="24"/>
          <w:szCs w:val="24"/>
        </w:rPr>
        <w:t>类器械，仅靠一般控制措施不足以为器械安全和有效性提供合理保证。</w:t>
      </w:r>
      <w:r w:rsidRPr="00F814BC">
        <w:rPr>
          <w:rStyle w:val="a9"/>
          <w:rFonts w:eastAsia="宋体"/>
          <w:color w:val="000000"/>
          <w:sz w:val="24"/>
          <w:szCs w:val="24"/>
        </w:rPr>
        <w:t xml:space="preserve"> </w:t>
      </w:r>
      <w:r w:rsidRPr="00F814BC">
        <w:rPr>
          <w:rStyle w:val="a9"/>
          <w:rFonts w:eastAsia="宋体"/>
          <w:color w:val="000000"/>
          <w:sz w:val="24"/>
          <w:szCs w:val="24"/>
        </w:rPr>
        <w:footnoteReference w:id="4"/>
      </w:r>
      <w:r w:rsidRPr="00F814BC">
        <w:rPr>
          <w:rFonts w:eastAsia="宋体"/>
          <w:color w:val="000000"/>
          <w:sz w:val="24"/>
          <w:szCs w:val="24"/>
        </w:rPr>
        <w:t>FDA</w:t>
      </w:r>
      <w:r w:rsidRPr="00F814BC">
        <w:rPr>
          <w:rFonts w:eastAsia="宋体"/>
          <w:color w:val="000000"/>
          <w:sz w:val="24"/>
          <w:szCs w:val="24"/>
        </w:rPr>
        <w:t>将打算用于支持或维持人类生命，或用于对防止损害人类健康具有重要意义，或可能带来潜在的不合理的疾病或伤害风险，以及没有足够的信息来确定一般控制和特殊控制足以为器械的安全和有效性提供合理保证的器械归入第三类。</w:t>
      </w:r>
      <w:r w:rsidRPr="00F814BC">
        <w:rPr>
          <w:rStyle w:val="a9"/>
          <w:rFonts w:eastAsia="宋体"/>
          <w:color w:val="000000"/>
          <w:sz w:val="24"/>
          <w:szCs w:val="24"/>
        </w:rPr>
        <w:t xml:space="preserve"> </w:t>
      </w:r>
      <w:r w:rsidRPr="00F814BC">
        <w:rPr>
          <w:rStyle w:val="a9"/>
          <w:rFonts w:eastAsia="宋体"/>
          <w:color w:val="000000"/>
          <w:sz w:val="24"/>
          <w:szCs w:val="24"/>
        </w:rPr>
        <w:footnoteReference w:id="5"/>
      </w:r>
      <w:r w:rsidRPr="00F814BC">
        <w:rPr>
          <w:rFonts w:eastAsia="宋体"/>
          <w:color w:val="000000"/>
          <w:sz w:val="24"/>
          <w:szCs w:val="24"/>
        </w:rPr>
        <w:t xml:space="preserve"> </w:t>
      </w:r>
      <w:r w:rsidRPr="00F814BC">
        <w:rPr>
          <w:rFonts w:eastAsia="宋体"/>
          <w:color w:val="000000"/>
          <w:sz w:val="24"/>
          <w:szCs w:val="24"/>
        </w:rPr>
        <w:t>这类风险最高的器械须经上市前批准，以证明其安全性和有效性的合理保证。</w:t>
      </w:r>
      <w:r w:rsidRPr="00F814BC">
        <w:rPr>
          <w:rStyle w:val="a9"/>
          <w:rFonts w:eastAsia="宋体"/>
          <w:color w:val="000000"/>
          <w:sz w:val="24"/>
          <w:szCs w:val="24"/>
        </w:rPr>
        <w:footnoteReference w:id="6"/>
      </w:r>
      <w:r w:rsidRPr="00F814BC">
        <w:rPr>
          <w:rFonts w:eastAsia="宋体"/>
          <w:color w:val="000000"/>
          <w:sz w:val="24"/>
          <w:szCs w:val="24"/>
        </w:rPr>
        <w:t>即使对于这类风险最高的器械，</w:t>
      </w:r>
      <w:r w:rsidRPr="00F814BC">
        <w:rPr>
          <w:rFonts w:eastAsia="宋体"/>
          <w:color w:val="000000"/>
          <w:sz w:val="24"/>
          <w:szCs w:val="24"/>
        </w:rPr>
        <w:t>FDA</w:t>
      </w:r>
      <w:r w:rsidRPr="00F814BC">
        <w:rPr>
          <w:rFonts w:eastAsia="宋体"/>
          <w:color w:val="000000"/>
          <w:sz w:val="24"/>
          <w:szCs w:val="24"/>
        </w:rPr>
        <w:t>要求的上市前批准的证据长期以来一直是灵活的，并为器械量身定做。因此，支持这一</w:t>
      </w:r>
      <w:r w:rsidR="008D6093" w:rsidRPr="00F814BC">
        <w:rPr>
          <w:rFonts w:eastAsia="宋体" w:hint="eastAsia"/>
          <w:color w:val="000000"/>
          <w:sz w:val="24"/>
          <w:szCs w:val="24"/>
        </w:rPr>
        <w:t>判定</w:t>
      </w:r>
      <w:r w:rsidRPr="00F814BC">
        <w:rPr>
          <w:rFonts w:eastAsia="宋体"/>
          <w:color w:val="000000"/>
          <w:sz w:val="24"/>
          <w:szCs w:val="24"/>
        </w:rPr>
        <w:t>的证据很可能因器械的特点、使用条件、警告和其他限制的存在和充分性等因素而不同。</w:t>
      </w:r>
      <w:r w:rsidRPr="00F814BC">
        <w:rPr>
          <w:rStyle w:val="a9"/>
          <w:rFonts w:eastAsia="宋体"/>
          <w:color w:val="000000"/>
          <w:sz w:val="24"/>
          <w:szCs w:val="24"/>
        </w:rPr>
        <w:footnoteReference w:id="7"/>
      </w:r>
      <w:r w:rsidRPr="00F814BC">
        <w:rPr>
          <w:rFonts w:eastAsia="宋体"/>
          <w:color w:val="000000"/>
          <w:sz w:val="24"/>
          <w:szCs w:val="24"/>
        </w:rPr>
        <w:t>此外，在确定器械的安全性和有效性时，</w:t>
      </w:r>
      <w:r w:rsidRPr="00F814BC">
        <w:rPr>
          <w:rFonts w:eastAsia="宋体"/>
          <w:color w:val="000000"/>
          <w:sz w:val="24"/>
          <w:szCs w:val="24"/>
        </w:rPr>
        <w:t>FDA</w:t>
      </w:r>
      <w:r w:rsidRPr="00F814BC">
        <w:rPr>
          <w:rFonts w:eastAsia="宋体"/>
          <w:color w:val="000000"/>
          <w:sz w:val="24"/>
          <w:szCs w:val="24"/>
        </w:rPr>
        <w:t>考虑的相关因素包括：使用人群、使用条件、对健康的可能益处与任何可能的伤害或疾病的权衡，以及器械的可靠性。</w:t>
      </w:r>
      <w:r w:rsidRPr="00F814BC">
        <w:rPr>
          <w:rStyle w:val="a9"/>
          <w:rFonts w:eastAsia="宋体"/>
          <w:color w:val="000000"/>
          <w:sz w:val="24"/>
          <w:szCs w:val="24"/>
        </w:rPr>
        <w:t xml:space="preserve"> </w:t>
      </w:r>
      <w:r w:rsidRPr="00F814BC">
        <w:rPr>
          <w:rStyle w:val="a9"/>
          <w:rFonts w:eastAsia="宋体"/>
          <w:color w:val="000000"/>
          <w:sz w:val="24"/>
          <w:szCs w:val="24"/>
        </w:rPr>
        <w:footnoteReference w:id="8"/>
      </w:r>
      <w:r w:rsidRPr="00F814BC">
        <w:rPr>
          <w:rFonts w:eastAsia="宋体"/>
          <w:color w:val="000000"/>
          <w:sz w:val="24"/>
          <w:szCs w:val="24"/>
        </w:rPr>
        <w:t>与药品和生物制品相比，器械所需的临床证据量通常有更大的灵活性，因为它们受制于不同的法定标准。此外，与药品和生物制品相比，器械的作用机制和失效模式通常更可预测，也更容易理解。此外，器械的设计过程往往是一个反复的过程，主要基于合理设计和非临床测试，而不是临床研究。</w:t>
      </w:r>
    </w:p>
    <w:p w14:paraId="4C2332C5" w14:textId="77777777" w:rsidR="00973B28" w:rsidRDefault="00973B28" w:rsidP="0006004F">
      <w:pPr>
        <w:shd w:val="clear" w:color="auto" w:fill="FFFFFF"/>
        <w:snapToGrid w:val="0"/>
        <w:ind w:firstLineChars="200" w:firstLine="480"/>
        <w:jc w:val="both"/>
        <w:rPr>
          <w:rFonts w:eastAsia="宋体"/>
          <w:sz w:val="24"/>
          <w:szCs w:val="24"/>
        </w:rPr>
      </w:pPr>
    </w:p>
    <w:p w14:paraId="7D5F9038" w14:textId="77777777" w:rsidR="00ED13DD" w:rsidRPr="00F814BC" w:rsidRDefault="00ED13DD" w:rsidP="00640CB4">
      <w:pPr>
        <w:shd w:val="clear" w:color="auto" w:fill="FFFFFF"/>
        <w:snapToGrid w:val="0"/>
        <w:ind w:firstLineChars="200" w:firstLine="480"/>
        <w:jc w:val="both"/>
        <w:rPr>
          <w:rFonts w:eastAsia="宋体"/>
          <w:color w:val="000000"/>
          <w:sz w:val="24"/>
          <w:szCs w:val="24"/>
        </w:rPr>
        <w:sectPr w:rsidR="00ED13DD" w:rsidRPr="00F814BC" w:rsidSect="00640CB4">
          <w:pgSz w:w="11906" w:h="16838" w:code="9"/>
          <w:pgMar w:top="1134" w:right="1134" w:bottom="1134" w:left="1418" w:header="567" w:footer="567" w:gutter="0"/>
          <w:cols w:space="60"/>
          <w:noEndnote/>
          <w:docGrid w:linePitch="272"/>
        </w:sectPr>
      </w:pPr>
    </w:p>
    <w:p w14:paraId="562CC0AF"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lastRenderedPageBreak/>
        <w:t>自</w:t>
      </w:r>
      <w:r w:rsidRPr="00F814BC">
        <w:rPr>
          <w:rFonts w:eastAsia="宋体"/>
          <w:color w:val="000000"/>
          <w:sz w:val="24"/>
          <w:szCs w:val="24"/>
        </w:rPr>
        <w:t>1976</w:t>
      </w:r>
      <w:r w:rsidRPr="00F814BC">
        <w:rPr>
          <w:rFonts w:eastAsia="宋体"/>
          <w:color w:val="000000"/>
          <w:sz w:val="24"/>
          <w:szCs w:val="24"/>
        </w:rPr>
        <w:t>年以来，国会一再扩大</w:t>
      </w:r>
      <w:r w:rsidRPr="00F814BC">
        <w:rPr>
          <w:rFonts w:eastAsia="宋体"/>
          <w:color w:val="000000"/>
          <w:sz w:val="24"/>
          <w:szCs w:val="24"/>
        </w:rPr>
        <w:t>FDA</w:t>
      </w:r>
      <w:r w:rsidRPr="00F814BC">
        <w:rPr>
          <w:rFonts w:eastAsia="宋体"/>
          <w:color w:val="000000"/>
          <w:sz w:val="24"/>
          <w:szCs w:val="24"/>
        </w:rPr>
        <w:t>的任务，扩大其使命，使其重点更加以患者为中心，并使其应用的监管模式更加灵活。例如，在</w:t>
      </w:r>
      <w:r w:rsidRPr="00F814BC">
        <w:rPr>
          <w:rFonts w:eastAsia="宋体"/>
          <w:color w:val="000000"/>
          <w:sz w:val="24"/>
          <w:szCs w:val="24"/>
        </w:rPr>
        <w:t>1997</w:t>
      </w:r>
      <w:r w:rsidRPr="00F814BC">
        <w:rPr>
          <w:rFonts w:eastAsia="宋体"/>
          <w:color w:val="000000"/>
          <w:sz w:val="24"/>
          <w:szCs w:val="24"/>
        </w:rPr>
        <w:t>年的《食品和药品管理现代化法</w:t>
      </w:r>
      <w:r w:rsidR="009E2E61" w:rsidRPr="00F814BC">
        <w:rPr>
          <w:rFonts w:eastAsia="宋体" w:hint="eastAsia"/>
          <w:color w:val="000000"/>
          <w:sz w:val="24"/>
          <w:szCs w:val="24"/>
        </w:rPr>
        <w:t>案</w:t>
      </w:r>
      <w:r w:rsidRPr="00F814BC">
        <w:rPr>
          <w:rFonts w:eastAsia="宋体"/>
          <w:color w:val="000000"/>
          <w:sz w:val="24"/>
          <w:szCs w:val="24"/>
        </w:rPr>
        <w:t>》（</w:t>
      </w:r>
      <w:r w:rsidRPr="00F814BC">
        <w:rPr>
          <w:rFonts w:eastAsia="宋体"/>
          <w:color w:val="000000"/>
          <w:sz w:val="24"/>
          <w:szCs w:val="24"/>
        </w:rPr>
        <w:t>FDAMA</w:t>
      </w:r>
      <w:r w:rsidRPr="00F814BC">
        <w:rPr>
          <w:rFonts w:eastAsia="宋体"/>
          <w:color w:val="000000"/>
          <w:sz w:val="24"/>
          <w:szCs w:val="24"/>
        </w:rPr>
        <w:t>）（公法</w:t>
      </w:r>
      <w:r w:rsidRPr="00F814BC">
        <w:rPr>
          <w:rFonts w:eastAsia="宋体"/>
          <w:color w:val="000000"/>
          <w:sz w:val="24"/>
          <w:szCs w:val="24"/>
        </w:rPr>
        <w:t>105-115</w:t>
      </w:r>
      <w:r w:rsidRPr="00F814BC">
        <w:rPr>
          <w:rFonts w:eastAsia="宋体"/>
          <w:color w:val="000000"/>
          <w:sz w:val="24"/>
          <w:szCs w:val="24"/>
        </w:rPr>
        <w:t>）中，国</w:t>
      </w:r>
      <w:r w:rsidR="00881EA3" w:rsidRPr="0006004F">
        <w:rPr>
          <w:rFonts w:ascii="宋体" w:hAnsi="宋体" w:hint="eastAsia"/>
          <w:color w:val="000000"/>
          <w:sz w:val="24"/>
        </w:rPr>
        <w:t>会将</w:t>
      </w:r>
      <w:r w:rsidRPr="00F814BC">
        <w:rPr>
          <w:rFonts w:eastAsia="宋体"/>
          <w:color w:val="000000"/>
          <w:sz w:val="24"/>
          <w:szCs w:val="24"/>
        </w:rPr>
        <w:t>FDA</w:t>
      </w:r>
      <w:r w:rsidR="00881EA3" w:rsidRPr="0006004F">
        <w:rPr>
          <w:rFonts w:ascii="宋体" w:hAnsi="宋体" w:hint="eastAsia"/>
          <w:color w:val="000000"/>
          <w:sz w:val="24"/>
        </w:rPr>
        <w:t>的使命从</w:t>
      </w:r>
      <w:r w:rsidRPr="00F814BC">
        <w:rPr>
          <w:rFonts w:ascii="宋体" w:eastAsia="宋体" w:hAnsi="宋体"/>
          <w:color w:val="000000"/>
          <w:sz w:val="24"/>
          <w:szCs w:val="24"/>
        </w:rPr>
        <w:t>“</w:t>
      </w:r>
      <w:r w:rsidR="00881EA3" w:rsidRPr="0006004F">
        <w:rPr>
          <w:rFonts w:ascii="宋体" w:hAnsi="宋体" w:hint="eastAsia"/>
          <w:color w:val="000000"/>
          <w:sz w:val="24"/>
        </w:rPr>
        <w:t>保护公众健康</w:t>
      </w:r>
      <w:r w:rsidR="00C566CE" w:rsidRPr="00F814BC">
        <w:rPr>
          <w:rFonts w:ascii="宋体" w:eastAsia="宋体" w:hAnsi="宋体"/>
          <w:color w:val="000000"/>
          <w:sz w:val="24"/>
          <w:szCs w:val="24"/>
        </w:rPr>
        <w:t>”</w:t>
      </w:r>
      <w:r w:rsidR="00881EA3" w:rsidRPr="0006004F">
        <w:rPr>
          <w:rFonts w:ascii="宋体" w:hAnsi="宋体" w:hint="eastAsia"/>
          <w:color w:val="000000"/>
          <w:sz w:val="24"/>
        </w:rPr>
        <w:t>扩大到包括</w:t>
      </w:r>
      <w:r w:rsidRPr="00F814BC">
        <w:rPr>
          <w:rFonts w:ascii="宋体" w:eastAsia="宋体" w:hAnsi="宋体"/>
          <w:color w:val="000000"/>
          <w:sz w:val="24"/>
          <w:szCs w:val="24"/>
        </w:rPr>
        <w:t>“</w:t>
      </w:r>
      <w:r w:rsidR="00881EA3" w:rsidRPr="0006004F">
        <w:rPr>
          <w:rFonts w:ascii="宋体" w:hAnsi="宋体" w:hint="eastAsia"/>
          <w:color w:val="000000"/>
          <w:sz w:val="24"/>
        </w:rPr>
        <w:t>促进公众健康</w:t>
      </w:r>
      <w:r w:rsidRPr="00F814BC">
        <w:rPr>
          <w:rFonts w:ascii="宋体" w:eastAsia="宋体" w:hAnsi="宋体"/>
          <w:color w:val="000000"/>
          <w:sz w:val="24"/>
          <w:szCs w:val="24"/>
        </w:rPr>
        <w:t>”</w:t>
      </w:r>
      <w:r w:rsidRPr="00F814BC">
        <w:rPr>
          <w:rStyle w:val="a9"/>
          <w:rFonts w:eastAsia="宋体"/>
          <w:color w:val="000000"/>
          <w:sz w:val="24"/>
          <w:szCs w:val="24"/>
        </w:rPr>
        <w:footnoteReference w:id="9"/>
      </w:r>
      <w:r w:rsidR="009E2E61" w:rsidRPr="00F814BC">
        <w:rPr>
          <w:rFonts w:ascii="宋体" w:eastAsia="宋体" w:hAnsi="宋体"/>
          <w:color w:val="000000"/>
          <w:sz w:val="24"/>
          <w:szCs w:val="24"/>
        </w:rPr>
        <w:t>FDA</w:t>
      </w:r>
      <w:r w:rsidR="00881EA3" w:rsidRPr="0006004F">
        <w:rPr>
          <w:rFonts w:ascii="宋体" w:hAnsi="宋体" w:hint="eastAsia"/>
          <w:color w:val="000000"/>
          <w:sz w:val="24"/>
        </w:rPr>
        <w:t>对后者的解释是包括促进</w:t>
      </w:r>
      <w:r w:rsidRPr="00F814BC">
        <w:rPr>
          <w:rFonts w:eastAsia="宋体"/>
          <w:color w:val="000000"/>
          <w:sz w:val="24"/>
          <w:szCs w:val="24"/>
        </w:rPr>
        <w:t>医疗器械创新和促进患者及时获得高质量、安全和有效的医疗器械。在同一立法中，国会颁布了被称为医疗</w:t>
      </w:r>
      <w:r w:rsidR="00881EA3" w:rsidRPr="0006004F">
        <w:rPr>
          <w:rFonts w:ascii="宋体" w:hAnsi="宋体" w:hint="eastAsia"/>
          <w:color w:val="000000"/>
          <w:sz w:val="24"/>
        </w:rPr>
        <w:t>器械</w:t>
      </w:r>
      <w:r w:rsidRPr="00F814BC">
        <w:rPr>
          <w:rFonts w:ascii="宋体" w:eastAsia="宋体" w:hAnsi="宋体"/>
          <w:color w:val="000000"/>
          <w:sz w:val="24"/>
          <w:szCs w:val="24"/>
        </w:rPr>
        <w:t>“</w:t>
      </w:r>
      <w:r w:rsidR="00881EA3" w:rsidRPr="0006004F">
        <w:rPr>
          <w:rFonts w:ascii="宋体" w:hAnsi="宋体" w:hint="eastAsia"/>
          <w:color w:val="000000"/>
          <w:sz w:val="24"/>
        </w:rPr>
        <w:t>最小负担</w:t>
      </w:r>
      <w:r w:rsidR="00C566CE" w:rsidRPr="00F814BC">
        <w:rPr>
          <w:rFonts w:ascii="宋体" w:eastAsia="宋体" w:hAnsi="宋体" w:hint="eastAsia"/>
          <w:color w:val="000000"/>
          <w:sz w:val="24"/>
          <w:szCs w:val="24"/>
        </w:rPr>
        <w:t>”</w:t>
      </w:r>
      <w:r w:rsidR="00881EA3" w:rsidRPr="0006004F">
        <w:rPr>
          <w:rFonts w:ascii="宋体" w:hAnsi="宋体" w:hint="eastAsia"/>
          <w:color w:val="000000"/>
          <w:sz w:val="24"/>
        </w:rPr>
        <w:t>的</w:t>
      </w:r>
      <w:r w:rsidRPr="00F814BC">
        <w:rPr>
          <w:rFonts w:eastAsia="宋体"/>
          <w:color w:val="000000"/>
          <w:sz w:val="24"/>
          <w:szCs w:val="24"/>
        </w:rPr>
        <w:t>规定，以确保</w:t>
      </w:r>
      <w:r w:rsidRPr="00F814BC">
        <w:rPr>
          <w:rFonts w:eastAsia="宋体"/>
          <w:color w:val="000000"/>
          <w:sz w:val="24"/>
          <w:szCs w:val="24"/>
        </w:rPr>
        <w:t>FDA</w:t>
      </w:r>
      <w:r w:rsidRPr="00F814BC">
        <w:rPr>
          <w:rFonts w:eastAsia="宋体"/>
          <w:color w:val="000000"/>
          <w:sz w:val="24"/>
          <w:szCs w:val="24"/>
        </w:rPr>
        <w:t>只要求提供对</w:t>
      </w:r>
      <w:r w:rsidRPr="00F814BC">
        <w:rPr>
          <w:rFonts w:eastAsia="宋体"/>
          <w:color w:val="000000"/>
          <w:sz w:val="24"/>
          <w:szCs w:val="24"/>
        </w:rPr>
        <w:t>510</w:t>
      </w:r>
      <w:r w:rsidR="0057162B" w:rsidRPr="00F814BC">
        <w:rPr>
          <w:rFonts w:eastAsia="宋体"/>
          <w:color w:val="000000"/>
          <w:sz w:val="24"/>
          <w:szCs w:val="24"/>
        </w:rPr>
        <w:t>（</w:t>
      </w:r>
      <w:r w:rsidRPr="00F814BC">
        <w:rPr>
          <w:rFonts w:eastAsia="宋体"/>
          <w:color w:val="000000"/>
          <w:sz w:val="24"/>
          <w:szCs w:val="24"/>
        </w:rPr>
        <w:t>k</w:t>
      </w:r>
      <w:r w:rsidR="0057162B" w:rsidRPr="00F814BC">
        <w:rPr>
          <w:rFonts w:eastAsia="宋体"/>
          <w:color w:val="000000"/>
          <w:sz w:val="24"/>
          <w:szCs w:val="24"/>
        </w:rPr>
        <w:t>）</w:t>
      </w:r>
      <w:r w:rsidRPr="00F814BC">
        <w:rPr>
          <w:rFonts w:eastAsia="宋体"/>
          <w:color w:val="000000"/>
          <w:sz w:val="24"/>
          <w:szCs w:val="24"/>
        </w:rPr>
        <w:t>s</w:t>
      </w:r>
      <w:r w:rsidRPr="00F814BC">
        <w:rPr>
          <w:rStyle w:val="a9"/>
          <w:rFonts w:eastAsia="宋体"/>
          <w:color w:val="000000"/>
          <w:sz w:val="24"/>
          <w:szCs w:val="24"/>
        </w:rPr>
        <w:footnoteReference w:id="10"/>
      </w:r>
      <w:r w:rsidRPr="00F814BC">
        <w:rPr>
          <w:rFonts w:eastAsia="宋体"/>
          <w:color w:val="000000"/>
          <w:sz w:val="24"/>
          <w:szCs w:val="24"/>
        </w:rPr>
        <w:t>进行实质等效</w:t>
      </w:r>
      <w:r w:rsidR="009E2E61" w:rsidRPr="00F814BC">
        <w:rPr>
          <w:rFonts w:eastAsia="宋体"/>
          <w:color w:val="000000"/>
          <w:sz w:val="24"/>
          <w:szCs w:val="24"/>
        </w:rPr>
        <w:t>性</w:t>
      </w:r>
      <w:r w:rsidR="009E2E61" w:rsidRPr="00F814BC">
        <w:rPr>
          <w:rFonts w:eastAsia="宋体" w:hint="eastAsia"/>
          <w:color w:val="000000"/>
          <w:sz w:val="24"/>
          <w:szCs w:val="24"/>
        </w:rPr>
        <w:t>判定</w:t>
      </w:r>
      <w:r w:rsidRPr="00F814BC">
        <w:rPr>
          <w:rFonts w:eastAsia="宋体"/>
          <w:color w:val="000000"/>
          <w:sz w:val="24"/>
          <w:szCs w:val="24"/>
        </w:rPr>
        <w:t>所需的信息，并为</w:t>
      </w:r>
      <w:r w:rsidR="00C57AC1" w:rsidRPr="00F814BC">
        <w:rPr>
          <w:rFonts w:eastAsia="宋体"/>
          <w:color w:val="000000"/>
          <w:sz w:val="24"/>
          <w:szCs w:val="24"/>
        </w:rPr>
        <w:t>PMA</w:t>
      </w:r>
      <w:r w:rsidRPr="00F814BC">
        <w:rPr>
          <w:rFonts w:eastAsia="宋体"/>
          <w:color w:val="000000"/>
          <w:sz w:val="24"/>
          <w:szCs w:val="24"/>
        </w:rPr>
        <w:t>确定器械的有效性</w:t>
      </w:r>
      <w:r w:rsidRPr="00F814BC">
        <w:rPr>
          <w:rStyle w:val="a9"/>
          <w:rFonts w:eastAsia="宋体"/>
          <w:color w:val="000000"/>
          <w:sz w:val="24"/>
          <w:szCs w:val="24"/>
        </w:rPr>
        <w:t xml:space="preserve"> </w:t>
      </w:r>
      <w:r w:rsidRPr="00F814BC">
        <w:rPr>
          <w:rStyle w:val="a9"/>
          <w:rFonts w:eastAsia="宋体"/>
          <w:color w:val="000000"/>
          <w:sz w:val="24"/>
          <w:szCs w:val="24"/>
        </w:rPr>
        <w:footnoteReference w:id="11"/>
      </w:r>
      <w:r w:rsidRPr="00F814BC">
        <w:rPr>
          <w:rFonts w:eastAsia="宋体"/>
          <w:color w:val="000000"/>
          <w:sz w:val="24"/>
          <w:szCs w:val="24"/>
        </w:rPr>
        <w:t>此外，对于</w:t>
      </w:r>
      <w:r w:rsidRPr="00F814BC">
        <w:rPr>
          <w:rFonts w:eastAsia="宋体"/>
          <w:color w:val="000000"/>
          <w:sz w:val="24"/>
          <w:szCs w:val="24"/>
        </w:rPr>
        <w:t>PMA</w:t>
      </w:r>
      <w:r w:rsidRPr="00F814BC">
        <w:rPr>
          <w:rFonts w:eastAsia="宋体"/>
          <w:color w:val="000000"/>
          <w:sz w:val="24"/>
          <w:szCs w:val="24"/>
        </w:rPr>
        <w:t>，</w:t>
      </w:r>
      <w:r w:rsidRPr="00F814BC">
        <w:rPr>
          <w:rFonts w:eastAsia="宋体"/>
          <w:color w:val="000000"/>
          <w:sz w:val="24"/>
          <w:szCs w:val="24"/>
        </w:rPr>
        <w:t>FDA</w:t>
      </w:r>
      <w:r w:rsidRPr="00F814BC">
        <w:rPr>
          <w:rFonts w:eastAsia="宋体"/>
          <w:color w:val="000000"/>
          <w:sz w:val="24"/>
          <w:szCs w:val="24"/>
        </w:rPr>
        <w:t>必须与申请人协商，考虑采用负担最小的适当手段来评</w:t>
      </w:r>
      <w:r w:rsidR="009E2E61" w:rsidRPr="00F814BC">
        <w:rPr>
          <w:rFonts w:eastAsia="宋体" w:hint="eastAsia"/>
          <w:color w:val="000000"/>
          <w:sz w:val="24"/>
          <w:szCs w:val="24"/>
        </w:rPr>
        <w:t>价</w:t>
      </w:r>
      <w:r w:rsidRPr="00F814BC">
        <w:rPr>
          <w:rFonts w:eastAsia="宋体"/>
          <w:color w:val="000000"/>
          <w:sz w:val="24"/>
          <w:szCs w:val="24"/>
        </w:rPr>
        <w:t>器械的有效性。</w:t>
      </w:r>
      <w:r w:rsidRPr="00F814BC">
        <w:rPr>
          <w:rStyle w:val="a9"/>
          <w:rFonts w:eastAsia="宋体"/>
          <w:color w:val="000000"/>
          <w:sz w:val="24"/>
          <w:szCs w:val="24"/>
        </w:rPr>
        <w:t xml:space="preserve"> </w:t>
      </w:r>
      <w:r w:rsidRPr="00F814BC">
        <w:rPr>
          <w:rStyle w:val="a9"/>
          <w:rFonts w:eastAsia="宋体"/>
          <w:color w:val="000000"/>
          <w:sz w:val="24"/>
          <w:szCs w:val="24"/>
        </w:rPr>
        <w:footnoteReference w:id="12"/>
      </w:r>
      <w:r w:rsidRPr="00F814BC">
        <w:rPr>
          <w:rFonts w:eastAsia="宋体"/>
          <w:color w:val="000000"/>
          <w:sz w:val="24"/>
          <w:szCs w:val="24"/>
        </w:rPr>
        <w:t xml:space="preserve"> </w:t>
      </w:r>
      <w:r w:rsidRPr="00F814BC">
        <w:rPr>
          <w:rFonts w:eastAsia="宋体"/>
          <w:color w:val="000000"/>
          <w:sz w:val="24"/>
          <w:szCs w:val="24"/>
        </w:rPr>
        <w:t>最初的最小负担条款还包括这样的要求：</w:t>
      </w:r>
      <w:r w:rsidRPr="00F814BC">
        <w:rPr>
          <w:rFonts w:eastAsia="宋体"/>
          <w:color w:val="000000"/>
          <w:sz w:val="24"/>
          <w:szCs w:val="24"/>
        </w:rPr>
        <w:t>FDA</w:t>
      </w:r>
      <w:r w:rsidRPr="00F814BC">
        <w:rPr>
          <w:rFonts w:eastAsia="宋体"/>
          <w:color w:val="000000"/>
          <w:sz w:val="24"/>
          <w:szCs w:val="24"/>
        </w:rPr>
        <w:t>应考虑是否可以通过依靠</w:t>
      </w:r>
      <w:r w:rsidR="008E38AD" w:rsidRPr="00F814BC">
        <w:rPr>
          <w:rFonts w:eastAsia="宋体"/>
          <w:color w:val="000000"/>
          <w:sz w:val="24"/>
          <w:szCs w:val="24"/>
        </w:rPr>
        <w:t>上市后</w:t>
      </w:r>
      <w:r w:rsidRPr="00F814BC">
        <w:rPr>
          <w:rFonts w:eastAsia="宋体"/>
          <w:color w:val="000000"/>
          <w:sz w:val="24"/>
          <w:szCs w:val="24"/>
        </w:rPr>
        <w:t>的控制来减少批准</w:t>
      </w:r>
      <w:r w:rsidRPr="00F814BC">
        <w:rPr>
          <w:rFonts w:eastAsia="宋体"/>
          <w:color w:val="000000"/>
          <w:sz w:val="24"/>
          <w:szCs w:val="24"/>
        </w:rPr>
        <w:t>PMA</w:t>
      </w:r>
      <w:r w:rsidRPr="00F814BC">
        <w:rPr>
          <w:rFonts w:eastAsia="宋体"/>
          <w:color w:val="000000"/>
          <w:sz w:val="24"/>
          <w:szCs w:val="24"/>
        </w:rPr>
        <w:t>在有效性方面所需的数据范围。</w:t>
      </w:r>
      <w:r w:rsidRPr="00F814BC">
        <w:rPr>
          <w:rStyle w:val="a9"/>
          <w:rFonts w:eastAsia="宋体"/>
          <w:color w:val="000000"/>
          <w:sz w:val="24"/>
          <w:szCs w:val="24"/>
        </w:rPr>
        <w:footnoteReference w:id="13"/>
      </w:r>
    </w:p>
    <w:p w14:paraId="0DE8DBA9" w14:textId="77777777" w:rsidR="00961522" w:rsidRPr="00F814BC" w:rsidRDefault="00961522" w:rsidP="00640CB4">
      <w:pPr>
        <w:shd w:val="clear" w:color="auto" w:fill="FFFFFF"/>
        <w:tabs>
          <w:tab w:val="left" w:pos="115"/>
        </w:tabs>
        <w:snapToGrid w:val="0"/>
        <w:jc w:val="both"/>
        <w:rPr>
          <w:rFonts w:eastAsia="宋体"/>
          <w:color w:val="000000"/>
          <w:sz w:val="24"/>
          <w:szCs w:val="24"/>
          <w:vertAlign w:val="superscript"/>
        </w:rPr>
      </w:pPr>
    </w:p>
    <w:p w14:paraId="393F8CF4" w14:textId="77777777" w:rsidR="00ED13DD" w:rsidRPr="00F814BC" w:rsidRDefault="00CB325C" w:rsidP="00846E47">
      <w:pPr>
        <w:shd w:val="clear" w:color="auto" w:fill="FFFFFF"/>
        <w:snapToGrid w:val="0"/>
        <w:ind w:firstLineChars="200" w:firstLine="480"/>
        <w:jc w:val="both"/>
        <w:rPr>
          <w:rStyle w:val="a9"/>
          <w:rFonts w:eastAsia="宋体"/>
          <w:color w:val="000000"/>
          <w:sz w:val="24"/>
          <w:szCs w:val="24"/>
        </w:rPr>
        <w:sectPr w:rsidR="00ED13DD" w:rsidRPr="00F814BC" w:rsidSect="00640CB4">
          <w:pgSz w:w="11906" w:h="16838" w:code="9"/>
          <w:pgMar w:top="1134" w:right="1134" w:bottom="1134" w:left="1418" w:header="567" w:footer="567" w:gutter="0"/>
          <w:cols w:space="60"/>
          <w:noEndnote/>
          <w:docGrid w:linePitch="272"/>
        </w:sectPr>
      </w:pPr>
      <w:r w:rsidRPr="00F814BC">
        <w:rPr>
          <w:rFonts w:eastAsia="宋体"/>
          <w:color w:val="000000"/>
          <w:sz w:val="24"/>
          <w:szCs w:val="24"/>
        </w:rPr>
        <w:t>国会通过《食品和药品管理安全和创新法》（</w:t>
      </w:r>
      <w:r w:rsidRPr="00F814BC">
        <w:rPr>
          <w:rFonts w:eastAsia="宋体"/>
          <w:color w:val="000000"/>
          <w:sz w:val="24"/>
          <w:szCs w:val="24"/>
        </w:rPr>
        <w:t>FDASIA</w:t>
      </w:r>
      <w:r w:rsidRPr="00F814BC">
        <w:rPr>
          <w:rFonts w:eastAsia="宋体"/>
          <w:color w:val="000000"/>
          <w:sz w:val="24"/>
          <w:szCs w:val="24"/>
        </w:rPr>
        <w:t>）（《公法》</w:t>
      </w:r>
      <w:r w:rsidRPr="00F814BC">
        <w:rPr>
          <w:rFonts w:eastAsia="宋体"/>
          <w:color w:val="000000"/>
          <w:sz w:val="24"/>
          <w:szCs w:val="24"/>
        </w:rPr>
        <w:t>112-144</w:t>
      </w:r>
      <w:r w:rsidRPr="00F814BC">
        <w:rPr>
          <w:rFonts w:eastAsia="宋体"/>
          <w:color w:val="000000"/>
          <w:sz w:val="24"/>
          <w:szCs w:val="24"/>
        </w:rPr>
        <w:t>）和《</w:t>
      </w:r>
      <w:r w:rsidRPr="00F814BC">
        <w:rPr>
          <w:rFonts w:eastAsia="宋体"/>
          <w:color w:val="000000"/>
          <w:sz w:val="24"/>
          <w:szCs w:val="24"/>
        </w:rPr>
        <w:t>21</w:t>
      </w:r>
      <w:r w:rsidRPr="00F814BC">
        <w:rPr>
          <w:rFonts w:eastAsia="宋体"/>
          <w:color w:val="000000"/>
          <w:sz w:val="24"/>
          <w:szCs w:val="24"/>
        </w:rPr>
        <w:t>世纪治愈法案》（《治愈法</w:t>
      </w:r>
      <w:r w:rsidR="00883433" w:rsidRPr="00F814BC">
        <w:rPr>
          <w:rFonts w:eastAsia="宋体"/>
          <w:color w:val="000000"/>
          <w:sz w:val="24"/>
          <w:szCs w:val="24"/>
        </w:rPr>
        <w:t>案</w:t>
      </w:r>
      <w:r w:rsidRPr="00F814BC">
        <w:rPr>
          <w:rFonts w:eastAsia="宋体"/>
          <w:color w:val="000000"/>
          <w:sz w:val="24"/>
          <w:szCs w:val="24"/>
        </w:rPr>
        <w:t>》）（《公法》</w:t>
      </w:r>
      <w:r w:rsidRPr="00F814BC">
        <w:rPr>
          <w:rFonts w:eastAsia="宋体"/>
          <w:color w:val="000000"/>
          <w:sz w:val="24"/>
          <w:szCs w:val="24"/>
        </w:rPr>
        <w:t>114-255</w:t>
      </w:r>
      <w:r w:rsidRPr="00F814BC">
        <w:rPr>
          <w:rFonts w:eastAsia="宋体"/>
          <w:color w:val="000000"/>
          <w:sz w:val="24"/>
          <w:szCs w:val="24"/>
        </w:rPr>
        <w:t>）扩大了《</w:t>
      </w:r>
      <w:r w:rsidRPr="00F814BC">
        <w:rPr>
          <w:rFonts w:eastAsia="宋体"/>
          <w:color w:val="000000"/>
          <w:sz w:val="24"/>
          <w:szCs w:val="24"/>
        </w:rPr>
        <w:t>FD&amp;C</w:t>
      </w:r>
      <w:r w:rsidRPr="00F814BC">
        <w:rPr>
          <w:rFonts w:eastAsia="宋体"/>
          <w:color w:val="000000"/>
          <w:sz w:val="24"/>
          <w:szCs w:val="24"/>
        </w:rPr>
        <w:t>法案》中最</w:t>
      </w:r>
      <w:r w:rsidR="00883433" w:rsidRPr="00F814BC">
        <w:rPr>
          <w:rFonts w:eastAsia="宋体" w:hint="eastAsia"/>
          <w:color w:val="000000"/>
          <w:sz w:val="24"/>
          <w:szCs w:val="24"/>
        </w:rPr>
        <w:t>小负担</w:t>
      </w:r>
      <w:r w:rsidRPr="00F814BC">
        <w:rPr>
          <w:rFonts w:eastAsia="宋体"/>
          <w:color w:val="000000"/>
          <w:sz w:val="24"/>
          <w:szCs w:val="24"/>
        </w:rPr>
        <w:t>条款。</w:t>
      </w:r>
      <w:r w:rsidRPr="00F814BC">
        <w:rPr>
          <w:rStyle w:val="a9"/>
          <w:rFonts w:eastAsia="宋体"/>
          <w:color w:val="000000"/>
          <w:sz w:val="24"/>
          <w:szCs w:val="24"/>
        </w:rPr>
        <w:footnoteReference w:id="14"/>
      </w:r>
      <w:r w:rsidRPr="00F814BC">
        <w:rPr>
          <w:rFonts w:eastAsia="宋体"/>
          <w:color w:val="000000"/>
          <w:sz w:val="24"/>
          <w:szCs w:val="24"/>
        </w:rPr>
        <w:t>例如，由</w:t>
      </w:r>
      <w:r w:rsidR="00883433" w:rsidRPr="00F814BC">
        <w:rPr>
          <w:rFonts w:eastAsia="宋体" w:hint="eastAsia"/>
          <w:color w:val="000000"/>
          <w:sz w:val="24"/>
          <w:szCs w:val="24"/>
        </w:rPr>
        <w:t>《</w:t>
      </w:r>
      <w:r w:rsidR="00883433" w:rsidRPr="00F814BC">
        <w:rPr>
          <w:rFonts w:eastAsia="宋体"/>
          <w:color w:val="000000"/>
          <w:sz w:val="24"/>
          <w:szCs w:val="24"/>
        </w:rPr>
        <w:t>治愈法案</w:t>
      </w:r>
      <w:r w:rsidR="00883433" w:rsidRPr="00F814BC">
        <w:rPr>
          <w:rFonts w:eastAsia="宋体" w:hint="eastAsia"/>
          <w:color w:val="000000"/>
          <w:sz w:val="24"/>
          <w:szCs w:val="24"/>
        </w:rPr>
        <w:t>》</w:t>
      </w:r>
      <w:r w:rsidRPr="00F814BC">
        <w:rPr>
          <w:rFonts w:eastAsia="宋体"/>
          <w:color w:val="000000"/>
          <w:sz w:val="24"/>
          <w:szCs w:val="24"/>
        </w:rPr>
        <w:t>增加的《</w:t>
      </w:r>
      <w:r w:rsidRPr="00F814BC">
        <w:rPr>
          <w:rFonts w:eastAsia="宋体"/>
          <w:color w:val="000000"/>
          <w:sz w:val="24"/>
          <w:szCs w:val="24"/>
        </w:rPr>
        <w:t>FD&amp;C</w:t>
      </w:r>
      <w:r w:rsidRPr="00F814BC">
        <w:rPr>
          <w:rFonts w:eastAsia="宋体"/>
          <w:color w:val="000000"/>
          <w:sz w:val="24"/>
          <w:szCs w:val="24"/>
        </w:rPr>
        <w:t>法案》第</w:t>
      </w:r>
      <w:r w:rsidRPr="00F814BC">
        <w:rPr>
          <w:rFonts w:eastAsia="宋体"/>
          <w:color w:val="000000"/>
          <w:sz w:val="24"/>
          <w:szCs w:val="24"/>
        </w:rPr>
        <w:t>515</w:t>
      </w:r>
      <w:r w:rsidR="0057162B" w:rsidRPr="00F814BC">
        <w:rPr>
          <w:rFonts w:eastAsia="宋体"/>
          <w:color w:val="000000"/>
          <w:sz w:val="24"/>
          <w:szCs w:val="24"/>
        </w:rPr>
        <w:t>（</w:t>
      </w:r>
      <w:r w:rsidRPr="00F814BC">
        <w:rPr>
          <w:rFonts w:eastAsia="宋体"/>
          <w:color w:val="000000"/>
          <w:sz w:val="24"/>
          <w:szCs w:val="24"/>
        </w:rPr>
        <w:t>c</w:t>
      </w:r>
      <w:r w:rsidR="0057162B" w:rsidRPr="00F814BC">
        <w:rPr>
          <w:rFonts w:eastAsia="宋体"/>
          <w:color w:val="000000"/>
          <w:sz w:val="24"/>
          <w:szCs w:val="24"/>
        </w:rPr>
        <w:t>）（</w:t>
      </w:r>
      <w:r w:rsidRPr="00F814BC">
        <w:rPr>
          <w:rFonts w:eastAsia="宋体"/>
          <w:color w:val="000000"/>
          <w:sz w:val="24"/>
          <w:szCs w:val="24"/>
        </w:rPr>
        <w:t>5</w:t>
      </w:r>
      <w:r w:rsidR="0057162B" w:rsidRPr="00F814BC">
        <w:rPr>
          <w:rFonts w:eastAsia="宋体"/>
          <w:color w:val="000000"/>
          <w:sz w:val="24"/>
          <w:szCs w:val="24"/>
        </w:rPr>
        <w:t>）（</w:t>
      </w:r>
      <w:r w:rsidRPr="00F814BC">
        <w:rPr>
          <w:rFonts w:eastAsia="宋体"/>
          <w:color w:val="000000"/>
          <w:sz w:val="24"/>
          <w:szCs w:val="24"/>
        </w:rPr>
        <w:t>C</w:t>
      </w:r>
      <w:r w:rsidR="0057162B" w:rsidRPr="00F814BC">
        <w:rPr>
          <w:rFonts w:eastAsia="宋体"/>
          <w:color w:val="000000"/>
          <w:sz w:val="24"/>
          <w:szCs w:val="24"/>
        </w:rPr>
        <w:t>）</w:t>
      </w:r>
      <w:r w:rsidRPr="00F814BC">
        <w:rPr>
          <w:rFonts w:eastAsia="宋体"/>
          <w:color w:val="000000"/>
          <w:sz w:val="24"/>
          <w:szCs w:val="24"/>
        </w:rPr>
        <w:t>条（</w:t>
      </w:r>
      <w:r w:rsidRPr="00F814BC">
        <w:rPr>
          <w:rFonts w:eastAsia="宋体"/>
          <w:color w:val="000000"/>
          <w:sz w:val="24"/>
          <w:szCs w:val="24"/>
        </w:rPr>
        <w:t>21 U.S.C. § 360e</w:t>
      </w:r>
      <w:r w:rsidR="0057162B" w:rsidRPr="00F814BC">
        <w:rPr>
          <w:rFonts w:eastAsia="宋体"/>
          <w:color w:val="000000"/>
          <w:sz w:val="24"/>
          <w:szCs w:val="24"/>
        </w:rPr>
        <w:t>（</w:t>
      </w:r>
      <w:r w:rsidRPr="00F814BC">
        <w:rPr>
          <w:rFonts w:eastAsia="宋体"/>
          <w:color w:val="000000"/>
          <w:sz w:val="24"/>
          <w:szCs w:val="24"/>
        </w:rPr>
        <w:t>c</w:t>
      </w:r>
      <w:r w:rsidR="0057162B" w:rsidRPr="00F814BC">
        <w:rPr>
          <w:rFonts w:eastAsia="宋体"/>
          <w:color w:val="000000"/>
          <w:sz w:val="24"/>
          <w:szCs w:val="24"/>
        </w:rPr>
        <w:t>）（</w:t>
      </w:r>
      <w:r w:rsidRPr="00F814BC">
        <w:rPr>
          <w:rFonts w:eastAsia="宋体"/>
          <w:color w:val="000000"/>
          <w:sz w:val="24"/>
          <w:szCs w:val="24"/>
        </w:rPr>
        <w:t>5</w:t>
      </w:r>
      <w:r w:rsidR="0057162B" w:rsidRPr="00F814BC">
        <w:rPr>
          <w:rFonts w:eastAsia="宋体"/>
          <w:color w:val="000000"/>
          <w:sz w:val="24"/>
          <w:szCs w:val="24"/>
        </w:rPr>
        <w:t>）（</w:t>
      </w:r>
      <w:r w:rsidRPr="00F814BC">
        <w:rPr>
          <w:rFonts w:eastAsia="宋体"/>
          <w:color w:val="000000"/>
          <w:sz w:val="24"/>
          <w:szCs w:val="24"/>
        </w:rPr>
        <w:t>C</w:t>
      </w:r>
      <w:r w:rsidR="0057162B" w:rsidRPr="00F814BC">
        <w:rPr>
          <w:rFonts w:eastAsia="宋体"/>
          <w:color w:val="000000"/>
          <w:sz w:val="24"/>
          <w:szCs w:val="24"/>
        </w:rPr>
        <w:t>）</w:t>
      </w:r>
      <w:r w:rsidRPr="00F814BC">
        <w:rPr>
          <w:rFonts w:eastAsia="宋体"/>
          <w:color w:val="000000"/>
          <w:sz w:val="24"/>
          <w:szCs w:val="24"/>
        </w:rPr>
        <w:t>）要求</w:t>
      </w:r>
      <w:r w:rsidRPr="00F814BC">
        <w:rPr>
          <w:rFonts w:eastAsia="宋体"/>
          <w:color w:val="000000"/>
          <w:sz w:val="24"/>
          <w:szCs w:val="24"/>
        </w:rPr>
        <w:t>FDA</w:t>
      </w:r>
      <w:r w:rsidRPr="00F814BC">
        <w:rPr>
          <w:rFonts w:ascii="宋体" w:eastAsia="宋体" w:hAnsi="宋体"/>
          <w:color w:val="000000"/>
          <w:sz w:val="24"/>
          <w:szCs w:val="24"/>
        </w:rPr>
        <w:t>“</w:t>
      </w:r>
      <w:r w:rsidR="00881EA3" w:rsidRPr="0006004F">
        <w:rPr>
          <w:rFonts w:ascii="宋体" w:hAnsi="宋体" w:hint="eastAsia"/>
          <w:color w:val="000000"/>
          <w:sz w:val="24"/>
        </w:rPr>
        <w:t>考虑上市后信息的作用，以确定证明器械安全和有效性的合理保证的最小负担手段</w:t>
      </w:r>
      <w:r w:rsidRPr="00F814BC">
        <w:rPr>
          <w:rFonts w:ascii="宋体" w:eastAsia="宋体" w:hAnsi="宋体"/>
          <w:color w:val="000000"/>
          <w:sz w:val="24"/>
          <w:szCs w:val="24"/>
        </w:rPr>
        <w:t>”</w:t>
      </w:r>
      <w:r w:rsidRPr="00F814BC">
        <w:rPr>
          <w:rFonts w:eastAsia="宋体"/>
          <w:color w:val="000000"/>
          <w:sz w:val="24"/>
          <w:szCs w:val="24"/>
        </w:rPr>
        <w:t>，用于</w:t>
      </w:r>
      <w:r w:rsidRPr="00F814BC">
        <w:rPr>
          <w:rFonts w:eastAsia="宋体"/>
          <w:color w:val="000000"/>
          <w:sz w:val="24"/>
          <w:szCs w:val="24"/>
        </w:rPr>
        <w:t>PMA</w:t>
      </w:r>
      <w:r w:rsidRPr="00F814BC">
        <w:rPr>
          <w:rFonts w:eastAsia="宋体"/>
          <w:color w:val="000000"/>
          <w:sz w:val="24"/>
          <w:szCs w:val="24"/>
        </w:rPr>
        <w:t>。但最</w:t>
      </w:r>
      <w:r w:rsidR="003E4BE0" w:rsidRPr="00F814BC">
        <w:rPr>
          <w:rFonts w:eastAsia="宋体" w:hint="eastAsia"/>
          <w:color w:val="000000"/>
          <w:sz w:val="24"/>
          <w:szCs w:val="24"/>
        </w:rPr>
        <w:t>小负担条款</w:t>
      </w:r>
      <w:r w:rsidRPr="00F814BC">
        <w:rPr>
          <w:rFonts w:eastAsia="宋体"/>
          <w:color w:val="000000"/>
          <w:sz w:val="24"/>
          <w:szCs w:val="24"/>
        </w:rPr>
        <w:t>并没有改变适用于营销授权的监管标准。</w:t>
      </w:r>
      <w:r w:rsidRPr="00F814BC">
        <w:rPr>
          <w:rStyle w:val="a9"/>
          <w:rFonts w:eastAsia="宋体"/>
          <w:color w:val="000000"/>
          <w:sz w:val="24"/>
          <w:szCs w:val="24"/>
        </w:rPr>
        <w:footnoteReference w:id="15"/>
      </w:r>
      <w:r w:rsidRPr="00F814BC">
        <w:rPr>
          <w:rFonts w:eastAsia="宋体"/>
          <w:color w:val="000000"/>
          <w:sz w:val="24"/>
          <w:szCs w:val="24"/>
        </w:rPr>
        <w:t>FDA</w:t>
      </w:r>
      <w:r w:rsidRPr="00F814BC">
        <w:rPr>
          <w:rFonts w:eastAsia="宋体"/>
          <w:color w:val="000000"/>
          <w:sz w:val="24"/>
          <w:szCs w:val="24"/>
        </w:rPr>
        <w:t>在《指南》中描述了在整个医疗器械总产品生命周期中一致应用最小负担原则的指导原则和方法</w:t>
      </w:r>
      <w:r w:rsidRPr="00F814BC">
        <w:rPr>
          <w:rFonts w:eastAsia="宋体"/>
          <w:color w:val="0000FF"/>
          <w:sz w:val="24"/>
          <w:szCs w:val="24"/>
          <w:u w:val="single"/>
        </w:rPr>
        <w:t>最小负担条款：概念和原则</w:t>
      </w:r>
      <w:r w:rsidRPr="00F814BC">
        <w:rPr>
          <w:rFonts w:eastAsia="宋体"/>
          <w:color w:val="000000"/>
          <w:sz w:val="24"/>
          <w:szCs w:val="24"/>
        </w:rPr>
        <w:t>。</w:t>
      </w:r>
      <w:r w:rsidRPr="00F814BC">
        <w:rPr>
          <w:rStyle w:val="a9"/>
          <w:rFonts w:eastAsia="宋体"/>
          <w:color w:val="000000"/>
          <w:sz w:val="24"/>
          <w:szCs w:val="24"/>
        </w:rPr>
        <w:footnoteReference w:id="16"/>
      </w:r>
    </w:p>
    <w:p w14:paraId="560F4D13" w14:textId="77777777" w:rsidR="00973B28" w:rsidRPr="0006004F" w:rsidRDefault="00CB325C" w:rsidP="0006004F">
      <w:pPr>
        <w:shd w:val="clear" w:color="auto" w:fill="FFFFFF"/>
        <w:snapToGrid w:val="0"/>
        <w:ind w:firstLineChars="200" w:firstLine="480"/>
        <w:jc w:val="both"/>
        <w:rPr>
          <w:color w:val="000000"/>
          <w:sz w:val="24"/>
        </w:rPr>
      </w:pPr>
      <w:r w:rsidRPr="00F814BC">
        <w:rPr>
          <w:rFonts w:eastAsia="宋体"/>
          <w:color w:val="000000"/>
          <w:sz w:val="24"/>
          <w:szCs w:val="24"/>
        </w:rPr>
        <w:lastRenderedPageBreak/>
        <w:t>当一个器械符合适用的标准，包括其</w:t>
      </w:r>
      <w:r w:rsidR="001D108F">
        <w:rPr>
          <w:rFonts w:eastAsia="宋体"/>
          <w:color w:val="000000"/>
          <w:sz w:val="24"/>
          <w:szCs w:val="24"/>
        </w:rPr>
        <w:t>获益</w:t>
      </w:r>
      <w:r w:rsidRPr="00F814BC">
        <w:rPr>
          <w:rFonts w:eastAsia="宋体"/>
          <w:color w:val="000000"/>
          <w:sz w:val="24"/>
          <w:szCs w:val="24"/>
        </w:rPr>
        <w:t>大于风险时，</w:t>
      </w:r>
      <w:r w:rsidR="003E4BE0" w:rsidRPr="00F814BC">
        <w:rPr>
          <w:rFonts w:eastAsia="宋体" w:hint="eastAsia"/>
          <w:color w:val="000000"/>
          <w:sz w:val="24"/>
          <w:szCs w:val="24"/>
        </w:rPr>
        <w:t>FDA</w:t>
      </w:r>
      <w:r w:rsidRPr="00F814BC">
        <w:rPr>
          <w:rFonts w:eastAsia="宋体"/>
          <w:color w:val="000000"/>
          <w:sz w:val="24"/>
          <w:szCs w:val="24"/>
        </w:rPr>
        <w:t>通常会对其进行销售授权。例如，《</w:t>
      </w:r>
      <w:r w:rsidRPr="00F814BC">
        <w:rPr>
          <w:rFonts w:eastAsia="宋体"/>
          <w:color w:val="000000"/>
          <w:sz w:val="24"/>
          <w:szCs w:val="24"/>
        </w:rPr>
        <w:t>FD&amp;C</w:t>
      </w:r>
      <w:r w:rsidRPr="00F814BC">
        <w:rPr>
          <w:rFonts w:eastAsia="宋体"/>
          <w:color w:val="000000"/>
          <w:sz w:val="24"/>
          <w:szCs w:val="24"/>
        </w:rPr>
        <w:t>法案》第</w:t>
      </w:r>
      <w:r w:rsidRPr="00F814BC">
        <w:rPr>
          <w:rFonts w:eastAsia="宋体"/>
          <w:color w:val="000000"/>
          <w:sz w:val="24"/>
          <w:szCs w:val="24"/>
        </w:rPr>
        <w:t>513</w:t>
      </w:r>
      <w:r w:rsidR="0057162B" w:rsidRPr="00F814BC">
        <w:rPr>
          <w:rFonts w:eastAsia="宋体"/>
          <w:color w:val="000000"/>
          <w:sz w:val="24"/>
          <w:szCs w:val="24"/>
        </w:rPr>
        <w:t>（</w:t>
      </w:r>
      <w:r w:rsidRPr="00F814BC">
        <w:rPr>
          <w:rFonts w:eastAsia="宋体"/>
          <w:color w:val="000000"/>
          <w:sz w:val="24"/>
          <w:szCs w:val="24"/>
        </w:rPr>
        <w:t>a</w:t>
      </w:r>
      <w:r w:rsidR="0057162B" w:rsidRPr="00F814BC">
        <w:rPr>
          <w:rFonts w:eastAsia="宋体"/>
          <w:color w:val="000000"/>
          <w:sz w:val="24"/>
          <w:szCs w:val="24"/>
        </w:rPr>
        <w:t>）（</w:t>
      </w:r>
      <w:r w:rsidRPr="00F814BC">
        <w:rPr>
          <w:rFonts w:eastAsia="宋体"/>
          <w:color w:val="000000"/>
          <w:sz w:val="24"/>
          <w:szCs w:val="24"/>
        </w:rPr>
        <w:t>2</w:t>
      </w:r>
      <w:r w:rsidR="0057162B" w:rsidRPr="00F814BC">
        <w:rPr>
          <w:rFonts w:eastAsia="宋体"/>
          <w:color w:val="000000"/>
          <w:sz w:val="24"/>
          <w:szCs w:val="24"/>
        </w:rPr>
        <w:t>）</w:t>
      </w:r>
      <w:r w:rsidRPr="00F814BC">
        <w:rPr>
          <w:rFonts w:eastAsia="宋体"/>
          <w:color w:val="000000"/>
          <w:sz w:val="24"/>
          <w:szCs w:val="24"/>
        </w:rPr>
        <w:t>条</w:t>
      </w:r>
      <w:r w:rsidR="0057162B" w:rsidRPr="00F814BC">
        <w:rPr>
          <w:rFonts w:eastAsia="宋体"/>
          <w:color w:val="000000"/>
          <w:sz w:val="24"/>
          <w:szCs w:val="24"/>
        </w:rPr>
        <w:t>（</w:t>
      </w:r>
      <w:r w:rsidRPr="00F814BC">
        <w:rPr>
          <w:rFonts w:eastAsia="宋体"/>
          <w:color w:val="000000"/>
          <w:sz w:val="24"/>
          <w:szCs w:val="24"/>
        </w:rPr>
        <w:t>21 U.S.C. § 360c</w:t>
      </w:r>
      <w:r w:rsidR="0057162B" w:rsidRPr="00F814BC">
        <w:rPr>
          <w:rFonts w:eastAsia="宋体"/>
          <w:color w:val="000000"/>
          <w:sz w:val="24"/>
          <w:szCs w:val="24"/>
        </w:rPr>
        <w:t>（</w:t>
      </w:r>
      <w:r w:rsidRPr="00F814BC">
        <w:rPr>
          <w:rFonts w:eastAsia="宋体"/>
          <w:color w:val="000000"/>
          <w:sz w:val="24"/>
          <w:szCs w:val="24"/>
        </w:rPr>
        <w:t>a</w:t>
      </w:r>
      <w:r w:rsidR="0057162B" w:rsidRPr="00F814BC">
        <w:rPr>
          <w:rFonts w:eastAsia="宋体"/>
          <w:color w:val="000000"/>
          <w:sz w:val="24"/>
          <w:szCs w:val="24"/>
        </w:rPr>
        <w:t>）（</w:t>
      </w:r>
      <w:r w:rsidRPr="00F814BC">
        <w:rPr>
          <w:rFonts w:eastAsia="宋体"/>
          <w:color w:val="000000"/>
          <w:sz w:val="24"/>
          <w:szCs w:val="24"/>
        </w:rPr>
        <w:t>2</w:t>
      </w:r>
      <w:r w:rsidR="0057162B" w:rsidRPr="00F814BC">
        <w:rPr>
          <w:rFonts w:eastAsia="宋体"/>
          <w:color w:val="000000"/>
          <w:sz w:val="24"/>
          <w:szCs w:val="24"/>
        </w:rPr>
        <w:t>））</w:t>
      </w:r>
      <w:r w:rsidRPr="00F814BC">
        <w:rPr>
          <w:rFonts w:eastAsia="宋体"/>
          <w:color w:val="000000"/>
          <w:sz w:val="24"/>
          <w:szCs w:val="24"/>
        </w:rPr>
        <w:t>规定，</w:t>
      </w:r>
      <w:r w:rsidRPr="00F814BC">
        <w:rPr>
          <w:rFonts w:eastAsia="宋体"/>
          <w:color w:val="000000"/>
          <w:sz w:val="24"/>
          <w:szCs w:val="24"/>
        </w:rPr>
        <w:t>PMA</w:t>
      </w:r>
      <w:r w:rsidRPr="00F814BC">
        <w:rPr>
          <w:rFonts w:eastAsia="宋体"/>
          <w:color w:val="000000"/>
          <w:sz w:val="24"/>
          <w:szCs w:val="24"/>
        </w:rPr>
        <w:t>下的器械的安全性和有效性将部分通</w:t>
      </w:r>
      <w:r w:rsidR="00881EA3" w:rsidRPr="0006004F">
        <w:rPr>
          <w:rFonts w:ascii="宋体" w:hAnsi="宋体" w:hint="eastAsia"/>
          <w:color w:val="000000"/>
          <w:sz w:val="24"/>
        </w:rPr>
        <w:t>过</w:t>
      </w:r>
      <w:r w:rsidRPr="00F814BC">
        <w:rPr>
          <w:rFonts w:ascii="宋体" w:eastAsia="宋体" w:hAnsi="宋体"/>
          <w:color w:val="000000"/>
          <w:sz w:val="24"/>
          <w:szCs w:val="24"/>
        </w:rPr>
        <w:t>“</w:t>
      </w:r>
      <w:r w:rsidR="00881EA3" w:rsidRPr="0006004F">
        <w:rPr>
          <w:rFonts w:ascii="宋体" w:hAnsi="宋体" w:hint="eastAsia"/>
          <w:color w:val="000000"/>
          <w:sz w:val="24"/>
        </w:rPr>
        <w:t>权衡使用该器械对健康的任何可能</w:t>
      </w:r>
      <w:r w:rsidR="001D108F">
        <w:rPr>
          <w:rFonts w:ascii="宋体" w:hAnsi="宋体" w:hint="eastAsia"/>
          <w:color w:val="000000"/>
          <w:sz w:val="24"/>
        </w:rPr>
        <w:t>获益</w:t>
      </w:r>
      <w:r w:rsidR="00881EA3" w:rsidRPr="0006004F">
        <w:rPr>
          <w:rFonts w:ascii="宋体" w:hAnsi="宋体" w:hint="eastAsia"/>
          <w:color w:val="000000"/>
          <w:sz w:val="24"/>
        </w:rPr>
        <w:t>与使用该器械可能带来的伤害或疾病风险</w:t>
      </w:r>
      <w:r w:rsidR="00C566CE" w:rsidRPr="00F814BC">
        <w:rPr>
          <w:rFonts w:ascii="宋体" w:eastAsia="宋体" w:hAnsi="宋体" w:hint="eastAsia"/>
          <w:color w:val="000000"/>
          <w:sz w:val="24"/>
          <w:szCs w:val="24"/>
        </w:rPr>
        <w:t>”</w:t>
      </w:r>
      <w:r w:rsidR="00881EA3" w:rsidRPr="0006004F">
        <w:rPr>
          <w:rFonts w:ascii="宋体" w:hAnsi="宋体" w:hint="eastAsia"/>
          <w:color w:val="000000"/>
          <w:sz w:val="24"/>
        </w:rPr>
        <w:t>来确</w:t>
      </w:r>
      <w:r w:rsidRPr="00F814BC">
        <w:rPr>
          <w:rFonts w:eastAsia="宋体"/>
          <w:color w:val="000000"/>
          <w:sz w:val="24"/>
          <w:szCs w:val="24"/>
        </w:rPr>
        <w:t>定。</w:t>
      </w:r>
      <w:r w:rsidRPr="00F814BC">
        <w:rPr>
          <w:rStyle w:val="a9"/>
          <w:rFonts w:eastAsia="宋体"/>
          <w:color w:val="000000"/>
          <w:sz w:val="24"/>
          <w:szCs w:val="24"/>
        </w:rPr>
        <w:footnoteReference w:id="17"/>
      </w:r>
      <w:r w:rsidRPr="00F814BC">
        <w:rPr>
          <w:rFonts w:eastAsia="宋体"/>
          <w:color w:val="000000"/>
          <w:sz w:val="24"/>
          <w:szCs w:val="24"/>
        </w:rPr>
        <w:t>在各种情况下，包括在</w:t>
      </w:r>
      <w:r w:rsidRPr="00F814BC">
        <w:rPr>
          <w:rFonts w:eastAsia="宋体"/>
          <w:color w:val="000000"/>
          <w:sz w:val="24"/>
          <w:szCs w:val="24"/>
        </w:rPr>
        <w:t>PMA</w:t>
      </w:r>
      <w:r w:rsidRPr="00F814BC">
        <w:rPr>
          <w:rFonts w:eastAsia="宋体"/>
          <w:color w:val="000000"/>
          <w:sz w:val="24"/>
          <w:szCs w:val="24"/>
        </w:rPr>
        <w:t>批准、</w:t>
      </w:r>
      <w:r w:rsidR="00A05DF2" w:rsidRPr="00F814BC">
        <w:rPr>
          <w:rFonts w:eastAsia="宋体"/>
          <w:color w:val="000000"/>
          <w:sz w:val="24"/>
          <w:szCs w:val="24"/>
        </w:rPr>
        <w:t>重</w:t>
      </w:r>
      <w:r w:rsidRPr="00F814BC">
        <w:rPr>
          <w:rFonts w:eastAsia="宋体"/>
          <w:color w:val="000000"/>
          <w:sz w:val="24"/>
          <w:szCs w:val="24"/>
        </w:rPr>
        <w:t>新分类、</w:t>
      </w:r>
      <w:r w:rsidRPr="00F814BC">
        <w:rPr>
          <w:rFonts w:eastAsia="宋体"/>
          <w:color w:val="000000"/>
          <w:sz w:val="24"/>
          <w:szCs w:val="24"/>
        </w:rPr>
        <w:t>510</w:t>
      </w:r>
      <w:r w:rsidR="0057162B" w:rsidRPr="00F814BC">
        <w:rPr>
          <w:rFonts w:eastAsia="宋体"/>
          <w:color w:val="000000"/>
          <w:sz w:val="24"/>
          <w:szCs w:val="24"/>
        </w:rPr>
        <w:t>（</w:t>
      </w:r>
      <w:r w:rsidRPr="00F814BC">
        <w:rPr>
          <w:rFonts w:eastAsia="宋体"/>
          <w:color w:val="000000"/>
          <w:sz w:val="24"/>
          <w:szCs w:val="24"/>
        </w:rPr>
        <w:t>k</w:t>
      </w:r>
      <w:r w:rsidR="0057162B" w:rsidRPr="00F814BC">
        <w:rPr>
          <w:rFonts w:eastAsia="宋体"/>
          <w:color w:val="000000"/>
          <w:sz w:val="24"/>
          <w:szCs w:val="24"/>
        </w:rPr>
        <w:t>）</w:t>
      </w:r>
      <w:r w:rsidRPr="00F814BC">
        <w:rPr>
          <w:rFonts w:eastAsia="宋体"/>
          <w:color w:val="000000"/>
          <w:sz w:val="24"/>
          <w:szCs w:val="24"/>
        </w:rPr>
        <w:t>许可、</w:t>
      </w:r>
      <w:r w:rsidRPr="00F814BC">
        <w:rPr>
          <w:rFonts w:eastAsia="宋体"/>
          <w:color w:val="000000"/>
          <w:sz w:val="24"/>
          <w:szCs w:val="24"/>
        </w:rPr>
        <w:t>HDE</w:t>
      </w:r>
      <w:r w:rsidRPr="00F814BC">
        <w:rPr>
          <w:rFonts w:eastAsia="宋体"/>
          <w:color w:val="000000"/>
          <w:sz w:val="24"/>
          <w:szCs w:val="24"/>
        </w:rPr>
        <w:t>批准和</w:t>
      </w:r>
      <w:r w:rsidRPr="00F814BC">
        <w:rPr>
          <w:rFonts w:eastAsia="宋体"/>
          <w:color w:val="000000"/>
          <w:sz w:val="24"/>
          <w:szCs w:val="24"/>
        </w:rPr>
        <w:t>IDE</w:t>
      </w:r>
      <w:r w:rsidRPr="00F814BC">
        <w:rPr>
          <w:rFonts w:eastAsia="宋体"/>
          <w:color w:val="000000"/>
          <w:sz w:val="24"/>
          <w:szCs w:val="24"/>
        </w:rPr>
        <w:t>批准中，我们在进行获益风险确定时考虑的一个因素，这是器械评估的一部分。例如，</w:t>
      </w:r>
      <w:r w:rsidRPr="00F814BC">
        <w:rPr>
          <w:rFonts w:eastAsia="宋体"/>
          <w:color w:val="000000"/>
          <w:sz w:val="24"/>
          <w:szCs w:val="24"/>
        </w:rPr>
        <w:t>FDA</w:t>
      </w:r>
      <w:r w:rsidRPr="00F814BC">
        <w:rPr>
          <w:rFonts w:eastAsia="宋体"/>
          <w:color w:val="000000"/>
          <w:sz w:val="24"/>
          <w:szCs w:val="24"/>
        </w:rPr>
        <w:t>关于</w:t>
      </w:r>
      <w:r w:rsidR="00DD50B0" w:rsidRPr="00F814BC">
        <w:rPr>
          <w:rFonts w:eastAsia="宋体" w:hint="eastAsia"/>
          <w:color w:val="0000FF"/>
          <w:sz w:val="24"/>
          <w:szCs w:val="24"/>
          <w:u w:val="single"/>
        </w:rPr>
        <w:t>对</w:t>
      </w:r>
      <w:r w:rsidRPr="00F814BC">
        <w:rPr>
          <w:rFonts w:eastAsia="宋体"/>
          <w:color w:val="0000FF"/>
          <w:sz w:val="24"/>
          <w:szCs w:val="24"/>
          <w:u w:val="single"/>
        </w:rPr>
        <w:t>医疗器械上市前</w:t>
      </w:r>
      <w:r w:rsidR="00CC2233" w:rsidRPr="00F814BC">
        <w:rPr>
          <w:rFonts w:eastAsia="宋体"/>
          <w:color w:val="0000FF"/>
          <w:sz w:val="24"/>
          <w:szCs w:val="24"/>
          <w:u w:val="single"/>
        </w:rPr>
        <w:t>批准</w:t>
      </w:r>
      <w:r w:rsidRPr="00F814BC">
        <w:rPr>
          <w:rFonts w:eastAsia="宋体"/>
          <w:color w:val="0000FF"/>
          <w:sz w:val="24"/>
          <w:szCs w:val="24"/>
          <w:u w:val="single"/>
        </w:rPr>
        <w:t>和</w:t>
      </w:r>
      <w:r w:rsidR="00BC5FE1" w:rsidRPr="00F814BC">
        <w:rPr>
          <w:rFonts w:eastAsia="宋体"/>
          <w:i/>
          <w:color w:val="0000FF"/>
          <w:sz w:val="24"/>
          <w:szCs w:val="24"/>
          <w:u w:val="single"/>
        </w:rPr>
        <w:t>重</w:t>
      </w:r>
      <w:r w:rsidRPr="00F814BC">
        <w:rPr>
          <w:rFonts w:eastAsia="宋体"/>
          <w:i/>
          <w:iCs/>
          <w:color w:val="0000FF"/>
          <w:sz w:val="24"/>
          <w:szCs w:val="24"/>
          <w:u w:val="single"/>
        </w:rPr>
        <w:t>新</w:t>
      </w:r>
      <w:r w:rsidRPr="00F814BC">
        <w:rPr>
          <w:rFonts w:eastAsia="宋体"/>
          <w:color w:val="0000FF"/>
          <w:sz w:val="24"/>
          <w:szCs w:val="24"/>
          <w:u w:val="single"/>
        </w:rPr>
        <w:t>分类</w:t>
      </w:r>
      <w:r w:rsidR="00E6092F" w:rsidRPr="00F814BC">
        <w:rPr>
          <w:rFonts w:eastAsia="宋体"/>
          <w:color w:val="0000FF"/>
          <w:sz w:val="24"/>
          <w:szCs w:val="24"/>
          <w:u w:val="single"/>
        </w:rPr>
        <w:t>获益风险判定</w:t>
      </w:r>
      <w:r w:rsidRPr="00F814BC">
        <w:rPr>
          <w:rFonts w:eastAsia="宋体"/>
          <w:color w:val="0000FF"/>
          <w:sz w:val="24"/>
          <w:szCs w:val="24"/>
          <w:u w:val="single"/>
        </w:rPr>
        <w:t>时需要考虑的因素</w:t>
      </w:r>
      <w:r w:rsidRPr="00F814BC">
        <w:rPr>
          <w:rFonts w:eastAsia="宋体"/>
          <w:color w:val="000000"/>
          <w:sz w:val="24"/>
          <w:szCs w:val="24"/>
        </w:rPr>
        <w:t>（</w:t>
      </w:r>
      <w:r w:rsidR="00846E47" w:rsidRPr="00F814BC">
        <w:rPr>
          <w:rFonts w:eastAsia="宋体" w:hint="eastAsia"/>
          <w:color w:val="000000"/>
          <w:sz w:val="24"/>
          <w:szCs w:val="24"/>
        </w:rPr>
        <w:t>“</w:t>
      </w:r>
      <w:r w:rsidRPr="00F814BC">
        <w:rPr>
          <w:rFonts w:eastAsia="宋体"/>
          <w:color w:val="000000"/>
          <w:sz w:val="24"/>
          <w:szCs w:val="24"/>
        </w:rPr>
        <w:t>PMA</w:t>
      </w:r>
      <w:r w:rsidRPr="00F814BC">
        <w:rPr>
          <w:rFonts w:eastAsia="宋体"/>
          <w:color w:val="000000"/>
          <w:sz w:val="24"/>
          <w:szCs w:val="24"/>
        </w:rPr>
        <w:t>和</w:t>
      </w:r>
      <w:r w:rsidR="00BC5FE1" w:rsidRPr="00F814BC">
        <w:rPr>
          <w:rFonts w:eastAsia="宋体" w:hint="eastAsia"/>
          <w:color w:val="000000"/>
          <w:sz w:val="24"/>
          <w:szCs w:val="24"/>
        </w:rPr>
        <w:t>重新分类</w:t>
      </w:r>
      <w:r w:rsidRPr="00F814BC">
        <w:rPr>
          <w:rFonts w:eastAsia="宋体"/>
          <w:color w:val="000000"/>
          <w:sz w:val="24"/>
          <w:szCs w:val="24"/>
        </w:rPr>
        <w:t>获益风险指南</w:t>
      </w:r>
      <w:r w:rsidR="00881EA3" w:rsidRPr="0006004F">
        <w:rPr>
          <w:rFonts w:hint="eastAsia"/>
          <w:color w:val="000000"/>
          <w:sz w:val="24"/>
        </w:rPr>
        <w:t>”</w:t>
      </w:r>
      <w:r w:rsidRPr="00F814BC">
        <w:rPr>
          <w:rFonts w:eastAsia="宋体"/>
          <w:color w:val="000000"/>
          <w:sz w:val="24"/>
          <w:szCs w:val="24"/>
        </w:rPr>
        <w:t>）</w:t>
      </w:r>
      <w:r w:rsidRPr="00F814BC">
        <w:rPr>
          <w:rStyle w:val="a9"/>
          <w:rFonts w:eastAsia="宋体"/>
          <w:color w:val="000000"/>
          <w:sz w:val="24"/>
          <w:szCs w:val="24"/>
        </w:rPr>
        <w:footnoteReference w:id="18"/>
      </w:r>
      <w:r w:rsidRPr="00F814BC">
        <w:rPr>
          <w:rFonts w:eastAsia="宋体"/>
          <w:color w:val="000000"/>
          <w:sz w:val="24"/>
          <w:szCs w:val="24"/>
        </w:rPr>
        <w:t>的最终指南包括在做出此类</w:t>
      </w:r>
      <w:r w:rsidR="007E71E8" w:rsidRPr="00F814BC">
        <w:rPr>
          <w:rFonts w:eastAsia="宋体" w:hint="eastAsia"/>
          <w:color w:val="000000"/>
          <w:sz w:val="24"/>
          <w:szCs w:val="24"/>
        </w:rPr>
        <w:t>判定</w:t>
      </w:r>
      <w:r w:rsidRPr="00F814BC">
        <w:rPr>
          <w:rFonts w:eastAsia="宋体"/>
          <w:color w:val="000000"/>
          <w:sz w:val="24"/>
          <w:szCs w:val="24"/>
        </w:rPr>
        <w:t>的过程中考虑患者的偏好和不确定性，并为这些提交的材料提供了一个获益风险决策框架。为了更好地阐明</w:t>
      </w:r>
      <w:r w:rsidRPr="00F814BC">
        <w:rPr>
          <w:rFonts w:eastAsia="宋体"/>
          <w:color w:val="000000"/>
          <w:sz w:val="24"/>
          <w:szCs w:val="24"/>
        </w:rPr>
        <w:t>FDA</w:t>
      </w:r>
      <w:r w:rsidRPr="00F814BC">
        <w:rPr>
          <w:rFonts w:eastAsia="宋体"/>
          <w:color w:val="000000"/>
          <w:sz w:val="24"/>
          <w:szCs w:val="24"/>
        </w:rPr>
        <w:t>在整个产品生命周期的其他各种情况下的决策政策，包括关于其他类型的器械</w:t>
      </w:r>
      <w:r w:rsidR="007E71E8" w:rsidRPr="00F814BC">
        <w:rPr>
          <w:rFonts w:eastAsia="宋体" w:hint="eastAsia"/>
          <w:color w:val="000000"/>
          <w:sz w:val="24"/>
          <w:szCs w:val="24"/>
        </w:rPr>
        <w:t>申请</w:t>
      </w:r>
      <w:r w:rsidRPr="00F814BC">
        <w:rPr>
          <w:rFonts w:eastAsia="宋体"/>
          <w:color w:val="000000"/>
          <w:sz w:val="24"/>
          <w:szCs w:val="24"/>
        </w:rPr>
        <w:t>，</w:t>
      </w:r>
      <w:r w:rsidRPr="00F814BC">
        <w:rPr>
          <w:rFonts w:eastAsia="宋体"/>
          <w:color w:val="000000"/>
          <w:sz w:val="24"/>
          <w:szCs w:val="24"/>
        </w:rPr>
        <w:t>FDA</w:t>
      </w:r>
      <w:r w:rsidRPr="00F814BC">
        <w:rPr>
          <w:rFonts w:eastAsia="宋体"/>
          <w:color w:val="000000"/>
          <w:sz w:val="24"/>
          <w:szCs w:val="24"/>
        </w:rPr>
        <w:t>已经发布了一些指南，展示了灵活的、以患者为中心的、</w:t>
      </w:r>
      <w:r w:rsidR="007E71E8" w:rsidRPr="00F814BC">
        <w:rPr>
          <w:rFonts w:eastAsia="宋体" w:hint="eastAsia"/>
          <w:color w:val="000000"/>
          <w:sz w:val="24"/>
          <w:szCs w:val="24"/>
        </w:rPr>
        <w:t>获益</w:t>
      </w:r>
      <w:r w:rsidRPr="00F814BC">
        <w:rPr>
          <w:rFonts w:eastAsia="宋体"/>
          <w:color w:val="000000"/>
          <w:sz w:val="24"/>
          <w:szCs w:val="24"/>
        </w:rPr>
        <w:t>风险的方法，包括考虑患者的偏好和不确定性。</w:t>
      </w:r>
      <w:r w:rsidRPr="00F814BC">
        <w:rPr>
          <w:rStyle w:val="a9"/>
          <w:rFonts w:eastAsia="宋体"/>
          <w:color w:val="000000"/>
          <w:sz w:val="24"/>
          <w:szCs w:val="24"/>
        </w:rPr>
        <w:footnoteReference w:id="19"/>
      </w:r>
      <w:r w:rsidRPr="00F814BC">
        <w:rPr>
          <w:rFonts w:eastAsia="宋体"/>
          <w:color w:val="000000"/>
          <w:sz w:val="24"/>
          <w:szCs w:val="24"/>
        </w:rPr>
        <w:t>这些指南，包括本不确定性指南，相互补充：例如，</w:t>
      </w:r>
      <w:r w:rsidRPr="00F814BC">
        <w:rPr>
          <w:rFonts w:eastAsia="宋体"/>
          <w:color w:val="000000"/>
          <w:sz w:val="24"/>
          <w:szCs w:val="24"/>
        </w:rPr>
        <w:t>PMA</w:t>
      </w:r>
      <w:r w:rsidRPr="00F814BC">
        <w:rPr>
          <w:rFonts w:eastAsia="宋体"/>
          <w:color w:val="000000"/>
          <w:sz w:val="24"/>
          <w:szCs w:val="24"/>
        </w:rPr>
        <w:t>和</w:t>
      </w:r>
      <w:r w:rsidR="00752D2E" w:rsidRPr="00F814BC">
        <w:rPr>
          <w:rFonts w:eastAsia="宋体" w:hint="eastAsia"/>
          <w:color w:val="000000"/>
          <w:sz w:val="24"/>
          <w:szCs w:val="24"/>
        </w:rPr>
        <w:t>重新分类</w:t>
      </w:r>
      <w:r w:rsidRPr="00F814BC">
        <w:rPr>
          <w:rFonts w:eastAsia="宋体"/>
          <w:color w:val="000000"/>
          <w:sz w:val="24"/>
          <w:szCs w:val="24"/>
        </w:rPr>
        <w:t>获益风险指南将不确定性列为获益风险决策的一个因素，而本指南进一步阐明了我们如何确定一个器械的适当不确定性程度。</w:t>
      </w:r>
      <w:r w:rsidRPr="00F814BC">
        <w:rPr>
          <w:rFonts w:eastAsia="宋体"/>
          <w:color w:val="000000"/>
          <w:sz w:val="24"/>
          <w:szCs w:val="24"/>
        </w:rPr>
        <w:t>FDA</w:t>
      </w:r>
      <w:r w:rsidRPr="00F814BC">
        <w:rPr>
          <w:rFonts w:eastAsia="宋体"/>
          <w:color w:val="000000"/>
          <w:sz w:val="24"/>
          <w:szCs w:val="24"/>
        </w:rPr>
        <w:t>的方法是根据器械的类型和预期用途以及我们正在作出的决定类型而制定的。例如，作为一般事项，高风险和创新的中度风险器械通常需要临床证据来证明安全和有效性的合理保证，包括器械的</w:t>
      </w:r>
      <w:r w:rsidR="00D90AED" w:rsidRPr="00F814BC">
        <w:rPr>
          <w:rFonts w:eastAsia="宋体" w:hint="eastAsia"/>
          <w:color w:val="000000"/>
          <w:sz w:val="24"/>
          <w:szCs w:val="24"/>
        </w:rPr>
        <w:t>获益</w:t>
      </w:r>
      <w:r w:rsidRPr="00F814BC">
        <w:rPr>
          <w:rFonts w:eastAsia="宋体"/>
          <w:color w:val="000000"/>
          <w:sz w:val="24"/>
          <w:szCs w:val="24"/>
        </w:rPr>
        <w:t>超过其风险。</w:t>
      </w:r>
      <w:r w:rsidRPr="00F814BC">
        <w:rPr>
          <w:rStyle w:val="a9"/>
          <w:rFonts w:eastAsia="宋体"/>
          <w:color w:val="000000"/>
          <w:sz w:val="24"/>
          <w:szCs w:val="24"/>
        </w:rPr>
        <w:t xml:space="preserve"> </w:t>
      </w:r>
      <w:r w:rsidRPr="00F814BC">
        <w:rPr>
          <w:rStyle w:val="a9"/>
          <w:rFonts w:eastAsia="宋体"/>
          <w:color w:val="000000"/>
          <w:sz w:val="24"/>
          <w:szCs w:val="24"/>
        </w:rPr>
        <w:footnoteReference w:id="20"/>
      </w:r>
      <w:r w:rsidRPr="00F814BC">
        <w:rPr>
          <w:rFonts w:eastAsia="宋体"/>
          <w:color w:val="000000"/>
          <w:sz w:val="24"/>
          <w:szCs w:val="24"/>
        </w:rPr>
        <w:t>但非临床性能数据，如工作台研究、动物研究</w:t>
      </w:r>
      <w:r w:rsidRPr="00F814BC">
        <w:rPr>
          <w:rStyle w:val="a9"/>
          <w:rFonts w:eastAsia="宋体"/>
          <w:color w:val="000000"/>
          <w:sz w:val="24"/>
          <w:szCs w:val="24"/>
        </w:rPr>
        <w:t xml:space="preserve"> </w:t>
      </w:r>
      <w:r w:rsidRPr="00F814BC">
        <w:rPr>
          <w:rStyle w:val="a9"/>
          <w:rFonts w:eastAsia="宋体"/>
          <w:color w:val="000000"/>
          <w:sz w:val="24"/>
          <w:szCs w:val="24"/>
        </w:rPr>
        <w:footnoteReference w:id="21"/>
      </w:r>
      <w:r w:rsidRPr="00F814BC">
        <w:rPr>
          <w:rFonts w:eastAsia="宋体"/>
          <w:color w:val="000000"/>
          <w:sz w:val="24"/>
          <w:szCs w:val="24"/>
        </w:rPr>
        <w:t>和</w:t>
      </w:r>
      <w:r w:rsidRPr="00F814BC">
        <w:rPr>
          <w:rFonts w:eastAsia="宋体"/>
          <w:color w:val="000000"/>
          <w:sz w:val="24"/>
          <w:szCs w:val="24"/>
        </w:rPr>
        <w:t>/</w:t>
      </w:r>
      <w:r w:rsidRPr="00F814BC">
        <w:rPr>
          <w:rFonts w:eastAsia="宋体"/>
          <w:color w:val="000000"/>
          <w:sz w:val="24"/>
          <w:szCs w:val="24"/>
        </w:rPr>
        <w:t>或计算模型研究，也可以提供关于器械安全和有效性的重要信息（包括其工作原理，以及潜在的故障或失灵模式）。这些信息可以为临床试验设计和上市前临床证据的产生程度以及可能需要的上市后数据的程度提供参考。</w:t>
      </w:r>
    </w:p>
    <w:p w14:paraId="240CA2FA" w14:textId="77777777" w:rsidR="00973B28" w:rsidRDefault="00973B28" w:rsidP="0006004F">
      <w:pPr>
        <w:shd w:val="clear" w:color="auto" w:fill="FFFFFF"/>
        <w:snapToGrid w:val="0"/>
        <w:ind w:firstLineChars="200" w:firstLine="480"/>
        <w:jc w:val="both"/>
        <w:rPr>
          <w:rFonts w:eastAsia="宋体"/>
          <w:sz w:val="24"/>
          <w:szCs w:val="24"/>
        </w:rPr>
      </w:pPr>
    </w:p>
    <w:p w14:paraId="13D518D4" w14:textId="77777777" w:rsidR="00ED13DD" w:rsidRPr="00F814BC" w:rsidRDefault="00ED13DD" w:rsidP="00640CB4">
      <w:pPr>
        <w:shd w:val="clear" w:color="auto" w:fill="FFFFFF"/>
        <w:snapToGrid w:val="0"/>
        <w:jc w:val="both"/>
        <w:rPr>
          <w:rFonts w:eastAsia="宋体"/>
          <w:sz w:val="24"/>
          <w:szCs w:val="24"/>
        </w:rPr>
        <w:sectPr w:rsidR="00ED13DD" w:rsidRPr="00F814BC" w:rsidSect="00640CB4">
          <w:pgSz w:w="11906" w:h="16838" w:code="9"/>
          <w:pgMar w:top="1134" w:right="1134" w:bottom="1134" w:left="1418" w:header="567" w:footer="567" w:gutter="0"/>
          <w:cols w:space="60"/>
          <w:noEndnote/>
          <w:docGrid w:linePitch="272"/>
        </w:sectPr>
      </w:pPr>
    </w:p>
    <w:p w14:paraId="712645D8" w14:textId="77777777" w:rsidR="00973B28" w:rsidRDefault="00C566CE"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lastRenderedPageBreak/>
        <w:t>在</w:t>
      </w:r>
      <w:r w:rsidRPr="00F814BC">
        <w:rPr>
          <w:rFonts w:eastAsia="宋体"/>
          <w:color w:val="000000"/>
          <w:sz w:val="24"/>
          <w:szCs w:val="24"/>
        </w:rPr>
        <w:t>1990</w:t>
      </w:r>
      <w:r w:rsidRPr="00F814BC">
        <w:rPr>
          <w:rFonts w:eastAsia="宋体"/>
          <w:color w:val="000000"/>
          <w:sz w:val="24"/>
          <w:szCs w:val="24"/>
        </w:rPr>
        <w:t>年《安全医疗器械法》（公法</w:t>
      </w:r>
      <w:r w:rsidRPr="00F814BC">
        <w:rPr>
          <w:rFonts w:eastAsia="宋体"/>
          <w:color w:val="000000"/>
          <w:sz w:val="24"/>
          <w:szCs w:val="24"/>
        </w:rPr>
        <w:t>101-629</w:t>
      </w:r>
      <w:r w:rsidRPr="00F814BC">
        <w:rPr>
          <w:rFonts w:eastAsia="宋体"/>
          <w:color w:val="000000"/>
          <w:sz w:val="24"/>
          <w:szCs w:val="24"/>
        </w:rPr>
        <w:t>）首次颁布的《</w:t>
      </w:r>
      <w:r w:rsidRPr="00F814BC">
        <w:rPr>
          <w:rFonts w:eastAsia="宋体"/>
          <w:color w:val="000000"/>
          <w:sz w:val="24"/>
          <w:szCs w:val="24"/>
        </w:rPr>
        <w:t>FD&amp;C</w:t>
      </w:r>
      <w:r w:rsidRPr="00F814BC">
        <w:rPr>
          <w:rFonts w:eastAsia="宋体"/>
          <w:color w:val="000000"/>
          <w:sz w:val="24"/>
          <w:szCs w:val="24"/>
        </w:rPr>
        <w:t>法案》第</w:t>
      </w:r>
      <w:r w:rsidRPr="00F814BC">
        <w:rPr>
          <w:rFonts w:eastAsia="宋体"/>
          <w:color w:val="000000"/>
          <w:sz w:val="24"/>
          <w:szCs w:val="24"/>
        </w:rPr>
        <w:t>520</w:t>
      </w:r>
      <w:r w:rsidR="0057162B" w:rsidRPr="00F814BC">
        <w:rPr>
          <w:rFonts w:eastAsia="宋体"/>
          <w:color w:val="000000"/>
          <w:sz w:val="24"/>
          <w:szCs w:val="24"/>
        </w:rPr>
        <w:t>（</w:t>
      </w:r>
      <w:r w:rsidRPr="00F814BC">
        <w:rPr>
          <w:rFonts w:eastAsia="宋体"/>
          <w:color w:val="000000"/>
          <w:sz w:val="24"/>
          <w:szCs w:val="24"/>
        </w:rPr>
        <w:t>m</w:t>
      </w:r>
      <w:r w:rsidR="0057162B" w:rsidRPr="00F814BC">
        <w:rPr>
          <w:rFonts w:eastAsia="宋体"/>
          <w:color w:val="000000"/>
          <w:sz w:val="24"/>
          <w:szCs w:val="24"/>
        </w:rPr>
        <w:t>）</w:t>
      </w:r>
      <w:r w:rsidRPr="00F814BC">
        <w:rPr>
          <w:rFonts w:eastAsia="宋体"/>
          <w:color w:val="000000"/>
          <w:sz w:val="24"/>
          <w:szCs w:val="24"/>
        </w:rPr>
        <w:t>条（</w:t>
      </w:r>
      <w:r w:rsidRPr="00F814BC">
        <w:rPr>
          <w:rFonts w:eastAsia="宋体"/>
          <w:color w:val="000000"/>
          <w:sz w:val="24"/>
          <w:szCs w:val="24"/>
        </w:rPr>
        <w:t>21 U.S.C. § 360j</w:t>
      </w:r>
      <w:r w:rsidR="0057162B" w:rsidRPr="00F814BC">
        <w:rPr>
          <w:rFonts w:eastAsia="宋体"/>
          <w:color w:val="000000"/>
          <w:sz w:val="24"/>
          <w:szCs w:val="24"/>
        </w:rPr>
        <w:t>（</w:t>
      </w:r>
      <w:r w:rsidRPr="00F814BC">
        <w:rPr>
          <w:rFonts w:eastAsia="宋体"/>
          <w:color w:val="000000"/>
          <w:sz w:val="24"/>
          <w:szCs w:val="24"/>
        </w:rPr>
        <w:t>m</w:t>
      </w:r>
      <w:r w:rsidR="0057162B" w:rsidRPr="00F814BC">
        <w:rPr>
          <w:rFonts w:eastAsia="宋体"/>
          <w:color w:val="000000"/>
          <w:sz w:val="24"/>
          <w:szCs w:val="24"/>
        </w:rPr>
        <w:t>）</w:t>
      </w:r>
      <w:r w:rsidRPr="00F814BC">
        <w:rPr>
          <w:rFonts w:eastAsia="宋体"/>
          <w:color w:val="000000"/>
          <w:sz w:val="24"/>
          <w:szCs w:val="24"/>
        </w:rPr>
        <w:t>）的</w:t>
      </w:r>
      <w:r w:rsidRPr="00F814BC">
        <w:rPr>
          <w:rFonts w:eastAsia="宋体"/>
          <w:color w:val="000000"/>
          <w:sz w:val="24"/>
          <w:szCs w:val="24"/>
        </w:rPr>
        <w:t>HDE</w:t>
      </w:r>
      <w:r w:rsidRPr="00F814BC">
        <w:rPr>
          <w:rFonts w:eastAsia="宋体"/>
          <w:color w:val="000000"/>
          <w:sz w:val="24"/>
          <w:szCs w:val="24"/>
        </w:rPr>
        <w:t>条款中，</w:t>
      </w:r>
      <w:r w:rsidRPr="00F814BC">
        <w:rPr>
          <w:rStyle w:val="a9"/>
          <w:rFonts w:eastAsia="宋体"/>
          <w:color w:val="000000"/>
          <w:sz w:val="24"/>
          <w:szCs w:val="24"/>
        </w:rPr>
        <w:footnoteReference w:id="22"/>
      </w:r>
      <w:r w:rsidRPr="00F814BC">
        <w:rPr>
          <w:rFonts w:eastAsia="宋体"/>
          <w:color w:val="000000"/>
          <w:sz w:val="24"/>
          <w:szCs w:val="24"/>
        </w:rPr>
        <w:t>与</w:t>
      </w:r>
      <w:r w:rsidR="00C57AC1" w:rsidRPr="00F814BC">
        <w:rPr>
          <w:rFonts w:eastAsia="宋体"/>
          <w:color w:val="000000"/>
          <w:sz w:val="24"/>
          <w:szCs w:val="24"/>
        </w:rPr>
        <w:t>PMA</w:t>
      </w:r>
      <w:r w:rsidRPr="00F814BC">
        <w:rPr>
          <w:rFonts w:eastAsia="宋体"/>
          <w:color w:val="000000"/>
          <w:sz w:val="24"/>
          <w:szCs w:val="24"/>
        </w:rPr>
        <w:t>相比，国会纳入了更大的不确定性。在《</w:t>
      </w:r>
      <w:r w:rsidRPr="00F814BC">
        <w:rPr>
          <w:rFonts w:eastAsia="宋体"/>
          <w:color w:val="000000"/>
          <w:sz w:val="24"/>
          <w:szCs w:val="24"/>
        </w:rPr>
        <w:t>FD&amp;C</w:t>
      </w:r>
      <w:r w:rsidRPr="00F814BC">
        <w:rPr>
          <w:rFonts w:eastAsia="宋体"/>
          <w:color w:val="000000"/>
          <w:sz w:val="24"/>
          <w:szCs w:val="24"/>
        </w:rPr>
        <w:t>法案》第</w:t>
      </w:r>
      <w:r w:rsidRPr="00F814BC">
        <w:rPr>
          <w:rFonts w:eastAsia="宋体"/>
          <w:color w:val="000000"/>
          <w:sz w:val="24"/>
          <w:szCs w:val="24"/>
        </w:rPr>
        <w:t>520</w:t>
      </w:r>
      <w:r w:rsidR="0057162B" w:rsidRPr="00F814BC">
        <w:rPr>
          <w:rFonts w:eastAsia="宋体"/>
          <w:color w:val="000000"/>
          <w:sz w:val="24"/>
          <w:szCs w:val="24"/>
        </w:rPr>
        <w:t>（</w:t>
      </w:r>
      <w:r w:rsidRPr="00F814BC">
        <w:rPr>
          <w:rFonts w:eastAsia="宋体"/>
          <w:color w:val="000000"/>
          <w:sz w:val="24"/>
          <w:szCs w:val="24"/>
        </w:rPr>
        <w:t>m</w:t>
      </w:r>
      <w:r w:rsidR="0057162B" w:rsidRPr="00F814BC">
        <w:rPr>
          <w:rFonts w:eastAsia="宋体"/>
          <w:color w:val="000000"/>
          <w:sz w:val="24"/>
          <w:szCs w:val="24"/>
        </w:rPr>
        <w:t>）</w:t>
      </w:r>
      <w:r w:rsidRPr="00F814BC">
        <w:rPr>
          <w:rFonts w:eastAsia="宋体"/>
          <w:color w:val="000000"/>
          <w:sz w:val="24"/>
          <w:szCs w:val="24"/>
        </w:rPr>
        <w:t>条的</w:t>
      </w:r>
      <w:r w:rsidRPr="00F814BC">
        <w:rPr>
          <w:rFonts w:eastAsia="宋体"/>
          <w:color w:val="000000"/>
          <w:sz w:val="24"/>
          <w:szCs w:val="24"/>
        </w:rPr>
        <w:t>HDE</w:t>
      </w:r>
      <w:r w:rsidRPr="00F814BC">
        <w:rPr>
          <w:rFonts w:eastAsia="宋体"/>
          <w:color w:val="000000"/>
          <w:sz w:val="24"/>
          <w:szCs w:val="24"/>
        </w:rPr>
        <w:t>条款中，国会规定</w:t>
      </w:r>
      <w:r w:rsidRPr="00F814BC">
        <w:rPr>
          <w:rFonts w:eastAsia="宋体"/>
          <w:color w:val="000000"/>
          <w:sz w:val="24"/>
          <w:szCs w:val="24"/>
        </w:rPr>
        <w:t>FDA</w:t>
      </w:r>
      <w:r w:rsidRPr="00F814BC">
        <w:rPr>
          <w:rFonts w:eastAsia="宋体"/>
          <w:color w:val="000000"/>
          <w:sz w:val="24"/>
          <w:szCs w:val="24"/>
        </w:rPr>
        <w:t>可以对符合某些标准的器械给予豁免，以证明其合理的有效性保证。</w:t>
      </w:r>
      <w:r w:rsidRPr="00F814BC">
        <w:rPr>
          <w:rStyle w:val="a9"/>
          <w:rFonts w:eastAsia="宋体"/>
          <w:color w:val="000000"/>
          <w:sz w:val="24"/>
          <w:szCs w:val="24"/>
        </w:rPr>
        <w:footnoteReference w:id="23"/>
      </w:r>
      <w:r w:rsidRPr="00F814BC">
        <w:rPr>
          <w:rFonts w:eastAsia="宋体"/>
          <w:color w:val="000000"/>
          <w:sz w:val="24"/>
          <w:szCs w:val="24"/>
        </w:rPr>
        <w:t>因此，与</w:t>
      </w:r>
      <w:r w:rsidRPr="00F814BC">
        <w:rPr>
          <w:rFonts w:eastAsia="宋体"/>
          <w:color w:val="000000"/>
          <w:sz w:val="24"/>
          <w:szCs w:val="24"/>
        </w:rPr>
        <w:t>PMA</w:t>
      </w:r>
      <w:r w:rsidRPr="00F814BC">
        <w:rPr>
          <w:rFonts w:eastAsia="宋体"/>
          <w:color w:val="000000"/>
          <w:sz w:val="24"/>
          <w:szCs w:val="24"/>
        </w:rPr>
        <w:t>或新申请相比，两者都需要证明安全和有效性的合理保证，</w:t>
      </w:r>
      <w:r w:rsidRPr="00F814BC">
        <w:rPr>
          <w:rStyle w:val="a9"/>
          <w:rFonts w:eastAsia="宋体"/>
          <w:color w:val="000000"/>
          <w:sz w:val="24"/>
          <w:szCs w:val="24"/>
        </w:rPr>
        <w:t xml:space="preserve"> </w:t>
      </w:r>
      <w:r w:rsidRPr="00F814BC">
        <w:rPr>
          <w:rStyle w:val="a9"/>
          <w:rFonts w:eastAsia="宋体"/>
          <w:color w:val="000000"/>
          <w:sz w:val="24"/>
          <w:szCs w:val="24"/>
        </w:rPr>
        <w:footnoteReference w:id="24"/>
      </w:r>
      <w:r w:rsidRPr="00F814BC">
        <w:rPr>
          <w:rFonts w:eastAsia="宋体"/>
          <w:color w:val="000000"/>
          <w:sz w:val="24"/>
          <w:szCs w:val="24"/>
        </w:rPr>
        <w:t>根据</w:t>
      </w:r>
      <w:r w:rsidRPr="00F814BC">
        <w:rPr>
          <w:rFonts w:eastAsia="宋体"/>
          <w:color w:val="000000"/>
          <w:sz w:val="24"/>
          <w:szCs w:val="24"/>
        </w:rPr>
        <w:t>HDE</w:t>
      </w:r>
      <w:r w:rsidRPr="00F814BC">
        <w:rPr>
          <w:rFonts w:eastAsia="宋体"/>
          <w:color w:val="000000"/>
          <w:sz w:val="24"/>
          <w:szCs w:val="24"/>
        </w:rPr>
        <w:t>申请中提交的证据，通常可能存在更大的获益风险概况的不确定性。这种对人道主义用途器械的豁免隐含地承认，在患者人群非常小的情况下，要产生足够的临床证据来证明合理的有效性保证</w:t>
      </w:r>
      <w:r w:rsidR="009C2D0E">
        <w:rPr>
          <w:rFonts w:eastAsia="宋体" w:hint="eastAsia"/>
          <w:color w:val="000000"/>
          <w:sz w:val="24"/>
          <w:szCs w:val="24"/>
        </w:rPr>
        <w:t>并不容易</w:t>
      </w:r>
      <w:r w:rsidRPr="00F814BC">
        <w:rPr>
          <w:rFonts w:eastAsia="宋体"/>
          <w:color w:val="000000"/>
          <w:sz w:val="24"/>
          <w:szCs w:val="24"/>
        </w:rPr>
        <w:t>。</w:t>
      </w:r>
    </w:p>
    <w:p w14:paraId="64525E96" w14:textId="77777777" w:rsidR="00C566CE" w:rsidRPr="00F814BC" w:rsidRDefault="00C566CE" w:rsidP="00640CB4">
      <w:pPr>
        <w:shd w:val="clear" w:color="auto" w:fill="FFFFFF"/>
        <w:snapToGrid w:val="0"/>
        <w:jc w:val="both"/>
        <w:rPr>
          <w:rFonts w:eastAsia="宋体"/>
          <w:sz w:val="24"/>
          <w:szCs w:val="24"/>
        </w:rPr>
      </w:pPr>
    </w:p>
    <w:p w14:paraId="470388B8" w14:textId="77777777" w:rsidR="00973B28" w:rsidRDefault="00C566CE"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此外，国会还要求应用特定的控制措施，包括利润限制和机构审查委员会的批准，然后才能在设施中使用根据</w:t>
      </w:r>
      <w:r w:rsidRPr="00F814BC">
        <w:rPr>
          <w:rFonts w:eastAsia="宋体"/>
          <w:color w:val="000000"/>
          <w:sz w:val="24"/>
          <w:szCs w:val="24"/>
        </w:rPr>
        <w:t>HDE</w:t>
      </w:r>
      <w:r w:rsidRPr="00F814BC">
        <w:rPr>
          <w:rFonts w:eastAsia="宋体"/>
          <w:color w:val="000000"/>
          <w:sz w:val="24"/>
          <w:szCs w:val="24"/>
        </w:rPr>
        <w:t>批准的器械来治疗或诊断患者。但这些控制措施中的一些可能已削弱医疗器械</w:t>
      </w:r>
      <w:r w:rsidR="005D7A68">
        <w:rPr>
          <w:rFonts w:eastAsia="宋体"/>
          <w:color w:val="000000"/>
          <w:sz w:val="24"/>
          <w:szCs w:val="24"/>
        </w:rPr>
        <w:t>申办方</w:t>
      </w:r>
      <w:r w:rsidRPr="00F814BC">
        <w:rPr>
          <w:rFonts w:eastAsia="宋体"/>
          <w:color w:val="000000"/>
          <w:sz w:val="24"/>
          <w:szCs w:val="24"/>
        </w:rPr>
        <w:t>对利用</w:t>
      </w:r>
      <w:r w:rsidRPr="00F814BC">
        <w:rPr>
          <w:rFonts w:eastAsia="宋体"/>
          <w:color w:val="000000"/>
          <w:sz w:val="24"/>
          <w:szCs w:val="24"/>
        </w:rPr>
        <w:t>HDE</w:t>
      </w:r>
      <w:r w:rsidRPr="00F814BC">
        <w:rPr>
          <w:rFonts w:eastAsia="宋体"/>
          <w:color w:val="000000"/>
          <w:sz w:val="24"/>
          <w:szCs w:val="24"/>
        </w:rPr>
        <w:t>途径的兴趣，而且国会缩减了一些限制。</w:t>
      </w:r>
      <w:r w:rsidRPr="00F814BC">
        <w:rPr>
          <w:rStyle w:val="a9"/>
          <w:rFonts w:eastAsia="宋体"/>
          <w:color w:val="000000"/>
          <w:sz w:val="24"/>
          <w:szCs w:val="24"/>
        </w:rPr>
        <w:t xml:space="preserve"> </w:t>
      </w:r>
      <w:r w:rsidRPr="00F814BC">
        <w:rPr>
          <w:rStyle w:val="a9"/>
          <w:rFonts w:eastAsia="宋体"/>
          <w:color w:val="000000"/>
          <w:sz w:val="24"/>
          <w:szCs w:val="24"/>
        </w:rPr>
        <w:footnoteReference w:id="25"/>
      </w:r>
    </w:p>
    <w:p w14:paraId="6DA0C7B8" w14:textId="77777777" w:rsidR="00973B28" w:rsidRDefault="00973B28" w:rsidP="0006004F">
      <w:pPr>
        <w:shd w:val="clear" w:color="auto" w:fill="FFFFFF"/>
        <w:snapToGrid w:val="0"/>
        <w:ind w:firstLineChars="200" w:firstLine="480"/>
        <w:jc w:val="both"/>
        <w:rPr>
          <w:rFonts w:eastAsia="宋体"/>
          <w:sz w:val="24"/>
          <w:szCs w:val="24"/>
        </w:rPr>
      </w:pPr>
    </w:p>
    <w:p w14:paraId="4C1AC59E" w14:textId="77777777" w:rsidR="00973B28" w:rsidRDefault="00C566CE"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2015</w:t>
      </w:r>
      <w:r w:rsidRPr="00F814BC">
        <w:rPr>
          <w:rFonts w:eastAsia="宋体"/>
          <w:color w:val="000000"/>
          <w:sz w:val="24"/>
          <w:szCs w:val="24"/>
        </w:rPr>
        <w:t>年，在进行了四年多的试点后，</w:t>
      </w:r>
      <w:r w:rsidRPr="00F814BC">
        <w:rPr>
          <w:rFonts w:eastAsia="宋体"/>
          <w:color w:val="000000"/>
          <w:sz w:val="24"/>
          <w:szCs w:val="24"/>
        </w:rPr>
        <w:t>FDA</w:t>
      </w:r>
      <w:r w:rsidRPr="00F814BC">
        <w:rPr>
          <w:rFonts w:eastAsia="宋体"/>
          <w:color w:val="000000"/>
          <w:sz w:val="24"/>
          <w:szCs w:val="24"/>
        </w:rPr>
        <w:t>建立了快速获取途径（</w:t>
      </w:r>
      <w:r w:rsidRPr="00F814BC">
        <w:rPr>
          <w:rFonts w:eastAsia="宋体"/>
          <w:color w:val="000000"/>
          <w:sz w:val="24"/>
          <w:szCs w:val="24"/>
        </w:rPr>
        <w:t>EAP</w:t>
      </w:r>
      <w:r w:rsidRPr="00F814BC">
        <w:rPr>
          <w:rFonts w:eastAsia="宋体"/>
          <w:color w:val="000000"/>
          <w:sz w:val="24"/>
          <w:szCs w:val="24"/>
        </w:rPr>
        <w:t>）计划，作为一项自愿计划，适用于某些医疗器械（例如，代表突破性技术的器械，与现有合法上市的技术相比具有临床意义的优势），以解决在治疗或诊断危及生命或不可逆转的衰弱疾病或病症方面未满足的需求。</w:t>
      </w:r>
      <w:r w:rsidRPr="00F814BC">
        <w:rPr>
          <w:rStyle w:val="a9"/>
          <w:rFonts w:eastAsia="宋体"/>
          <w:color w:val="000000"/>
          <w:sz w:val="24"/>
          <w:szCs w:val="24"/>
        </w:rPr>
        <w:t xml:space="preserve"> </w:t>
      </w:r>
      <w:r w:rsidRPr="00F814BC">
        <w:rPr>
          <w:rStyle w:val="a9"/>
          <w:rFonts w:eastAsia="宋体"/>
          <w:color w:val="000000"/>
          <w:sz w:val="24"/>
          <w:szCs w:val="24"/>
        </w:rPr>
        <w:footnoteReference w:id="26"/>
      </w:r>
      <w:r w:rsidRPr="00F814BC">
        <w:rPr>
          <w:rFonts w:eastAsia="宋体"/>
          <w:color w:val="000000"/>
          <w:sz w:val="24"/>
          <w:szCs w:val="24"/>
        </w:rPr>
        <w:t>根据该</w:t>
      </w:r>
      <w:r w:rsidRPr="00F814BC">
        <w:rPr>
          <w:rFonts w:eastAsia="宋体"/>
          <w:color w:val="000000"/>
          <w:sz w:val="24"/>
          <w:szCs w:val="24"/>
        </w:rPr>
        <w:t>EAP</w:t>
      </w:r>
      <w:r w:rsidRPr="00F814BC">
        <w:rPr>
          <w:rFonts w:eastAsia="宋体"/>
          <w:color w:val="000000"/>
          <w:sz w:val="24"/>
          <w:szCs w:val="24"/>
        </w:rPr>
        <w:t>计划，受</w:t>
      </w:r>
      <w:r w:rsidRPr="00F814BC">
        <w:rPr>
          <w:rFonts w:eastAsia="宋体"/>
          <w:color w:val="000000"/>
          <w:sz w:val="24"/>
          <w:szCs w:val="24"/>
        </w:rPr>
        <w:t>PMA</w:t>
      </w:r>
      <w:r w:rsidRPr="00F814BC">
        <w:rPr>
          <w:rFonts w:eastAsia="宋体"/>
          <w:color w:val="000000"/>
          <w:sz w:val="24"/>
          <w:szCs w:val="24"/>
        </w:rPr>
        <w:t>限制的合格器械可以在产品效益和风险方面有更大的不确定性的情况下获得批准，但除其他要求外，数据仍然支持安全和有效性的合理保证，包括该器械对有未满足医疗需求的患者人群的可能效益超过其风险。对于接受</w:t>
      </w:r>
      <w:r w:rsidRPr="00F814BC">
        <w:rPr>
          <w:rFonts w:eastAsia="宋体"/>
          <w:color w:val="000000"/>
          <w:sz w:val="24"/>
          <w:szCs w:val="24"/>
        </w:rPr>
        <w:t>PMA</w:t>
      </w:r>
      <w:r w:rsidRPr="00F814BC">
        <w:rPr>
          <w:rFonts w:eastAsia="宋体"/>
          <w:color w:val="000000"/>
          <w:sz w:val="24"/>
          <w:szCs w:val="24"/>
        </w:rPr>
        <w:t>的器械，</w:t>
      </w:r>
      <w:r w:rsidR="00932C0C">
        <w:rPr>
          <w:rFonts w:eastAsia="宋体"/>
          <w:color w:val="000000"/>
          <w:sz w:val="24"/>
          <w:szCs w:val="24"/>
        </w:rPr>
        <w:t>FDA</w:t>
      </w:r>
      <w:r w:rsidRPr="00F814BC">
        <w:rPr>
          <w:rFonts w:eastAsia="宋体"/>
          <w:color w:val="000000"/>
          <w:sz w:val="24"/>
          <w:szCs w:val="24"/>
        </w:rPr>
        <w:t>有权在必要时施加</w:t>
      </w:r>
      <w:r w:rsidR="008E38AD" w:rsidRPr="00F814BC">
        <w:rPr>
          <w:rFonts w:eastAsia="宋体"/>
          <w:color w:val="000000"/>
          <w:sz w:val="24"/>
          <w:szCs w:val="24"/>
        </w:rPr>
        <w:t>上市后</w:t>
      </w:r>
      <w:r w:rsidRPr="00F814BC">
        <w:rPr>
          <w:rFonts w:eastAsia="宋体"/>
          <w:color w:val="000000"/>
          <w:sz w:val="24"/>
          <w:szCs w:val="24"/>
        </w:rPr>
        <w:t>的要求，包括批准后的研究和</w:t>
      </w:r>
      <w:r w:rsidR="008E38AD" w:rsidRPr="00F814BC">
        <w:rPr>
          <w:rFonts w:eastAsia="宋体"/>
          <w:color w:val="000000"/>
          <w:sz w:val="24"/>
          <w:szCs w:val="24"/>
        </w:rPr>
        <w:t>上市后</w:t>
      </w:r>
      <w:r w:rsidRPr="00F814BC">
        <w:rPr>
          <w:rFonts w:eastAsia="宋体"/>
          <w:color w:val="000000"/>
          <w:sz w:val="24"/>
          <w:szCs w:val="24"/>
        </w:rPr>
        <w:t>的监督，作为批准的条件，这可以用来解决这种更大的不确定性。</w:t>
      </w:r>
      <w:r w:rsidRPr="00F814BC">
        <w:rPr>
          <w:rStyle w:val="a9"/>
          <w:rFonts w:eastAsia="宋体"/>
          <w:color w:val="000000"/>
          <w:sz w:val="24"/>
          <w:szCs w:val="24"/>
        </w:rPr>
        <w:footnoteReference w:id="27"/>
      </w:r>
      <w:r w:rsidRPr="00F814BC">
        <w:rPr>
          <w:rFonts w:eastAsia="宋体"/>
          <w:color w:val="000000"/>
          <w:sz w:val="24"/>
          <w:szCs w:val="24"/>
        </w:rPr>
        <w:t>在《</w:t>
      </w:r>
      <w:r w:rsidRPr="00F814BC">
        <w:rPr>
          <w:rFonts w:eastAsia="宋体"/>
          <w:color w:val="000000"/>
          <w:sz w:val="24"/>
          <w:szCs w:val="24"/>
        </w:rPr>
        <w:t>FD&amp;C</w:t>
      </w:r>
      <w:r w:rsidRPr="00F814BC">
        <w:rPr>
          <w:rFonts w:eastAsia="宋体"/>
          <w:color w:val="000000"/>
          <w:sz w:val="24"/>
          <w:szCs w:val="24"/>
        </w:rPr>
        <w:t>法案》的突破性器械条款中，经《治愈法案》增加和《</w:t>
      </w:r>
      <w:r w:rsidRPr="00F814BC">
        <w:rPr>
          <w:rFonts w:eastAsia="宋体"/>
          <w:color w:val="000000"/>
          <w:sz w:val="24"/>
          <w:szCs w:val="24"/>
        </w:rPr>
        <w:t>2017</w:t>
      </w:r>
      <w:r w:rsidRPr="00F814BC">
        <w:rPr>
          <w:rFonts w:eastAsia="宋体"/>
          <w:color w:val="000000"/>
          <w:sz w:val="24"/>
          <w:szCs w:val="24"/>
        </w:rPr>
        <w:t>年</w:t>
      </w:r>
      <w:r w:rsidRPr="00F814BC">
        <w:rPr>
          <w:rFonts w:eastAsia="宋体"/>
          <w:color w:val="000000"/>
          <w:sz w:val="24"/>
          <w:szCs w:val="24"/>
        </w:rPr>
        <w:t>FDA</w:t>
      </w:r>
      <w:r w:rsidRPr="00F814BC">
        <w:rPr>
          <w:rFonts w:eastAsia="宋体"/>
          <w:color w:val="000000"/>
          <w:sz w:val="24"/>
          <w:szCs w:val="24"/>
        </w:rPr>
        <w:t>再授权法案》（</w:t>
      </w:r>
      <w:r w:rsidRPr="00F814BC">
        <w:rPr>
          <w:rFonts w:eastAsia="宋体"/>
          <w:color w:val="000000"/>
          <w:sz w:val="24"/>
          <w:szCs w:val="24"/>
        </w:rPr>
        <w:t>FDARA</w:t>
      </w:r>
      <w:r w:rsidRPr="00F814BC">
        <w:rPr>
          <w:rFonts w:eastAsia="宋体"/>
          <w:color w:val="000000"/>
          <w:sz w:val="24"/>
          <w:szCs w:val="24"/>
        </w:rPr>
        <w:t>）修正，国会将这一计划编入法典并扩大到包括</w:t>
      </w:r>
      <w:r w:rsidRPr="00F814BC">
        <w:rPr>
          <w:rFonts w:eastAsia="宋体"/>
          <w:color w:val="000000"/>
          <w:sz w:val="24"/>
          <w:szCs w:val="24"/>
        </w:rPr>
        <w:t>510</w:t>
      </w:r>
      <w:r w:rsidRPr="00F814BC">
        <w:rPr>
          <w:rFonts w:eastAsia="宋体"/>
          <w:color w:val="000000"/>
          <w:sz w:val="24"/>
          <w:szCs w:val="24"/>
        </w:rPr>
        <w:t>（</w:t>
      </w:r>
      <w:r w:rsidRPr="00F814BC">
        <w:rPr>
          <w:rFonts w:eastAsia="宋体"/>
          <w:color w:val="000000"/>
          <w:sz w:val="24"/>
          <w:szCs w:val="24"/>
        </w:rPr>
        <w:t>k</w:t>
      </w:r>
      <w:r w:rsidRPr="00F814BC">
        <w:rPr>
          <w:rFonts w:eastAsia="宋体"/>
          <w:color w:val="000000"/>
          <w:sz w:val="24"/>
          <w:szCs w:val="24"/>
        </w:rPr>
        <w:t>）器械。</w:t>
      </w:r>
      <w:r w:rsidRPr="00F814BC">
        <w:rPr>
          <w:rStyle w:val="a9"/>
          <w:rFonts w:eastAsia="宋体"/>
          <w:color w:val="000000"/>
          <w:sz w:val="24"/>
          <w:szCs w:val="24"/>
        </w:rPr>
        <w:footnoteReference w:id="28"/>
      </w:r>
      <w:r w:rsidRPr="00F814BC">
        <w:rPr>
          <w:rFonts w:eastAsia="宋体"/>
          <w:color w:val="000000"/>
          <w:sz w:val="24"/>
          <w:szCs w:val="24"/>
        </w:rPr>
        <w:t>与最小负担条款类似，突破性器械条款明确指出，它们不改变实质等同、上市前批准或批准</w:t>
      </w:r>
      <w:r w:rsidR="00415A6A" w:rsidRPr="00F814BC">
        <w:rPr>
          <w:rFonts w:eastAsia="宋体" w:hint="eastAsia"/>
          <w:color w:val="000000"/>
          <w:sz w:val="24"/>
          <w:szCs w:val="24"/>
        </w:rPr>
        <w:t>重新分类</w:t>
      </w:r>
      <w:r w:rsidRPr="00F814BC">
        <w:rPr>
          <w:rFonts w:eastAsia="宋体"/>
          <w:color w:val="000000"/>
          <w:sz w:val="24"/>
          <w:szCs w:val="24"/>
        </w:rPr>
        <w:t>申请的标准。</w:t>
      </w:r>
      <w:r w:rsidRPr="00F814BC">
        <w:rPr>
          <w:rStyle w:val="a9"/>
          <w:rFonts w:eastAsia="宋体"/>
          <w:color w:val="000000"/>
          <w:sz w:val="24"/>
          <w:szCs w:val="24"/>
        </w:rPr>
        <w:footnoteReference w:id="29"/>
      </w:r>
    </w:p>
    <w:p w14:paraId="3A1C2E44" w14:textId="77777777" w:rsidR="00C566CE" w:rsidRPr="00F814BC" w:rsidRDefault="00C566CE" w:rsidP="00640CB4">
      <w:pPr>
        <w:shd w:val="clear" w:color="auto" w:fill="FFFFFF"/>
        <w:snapToGrid w:val="0"/>
        <w:jc w:val="both"/>
        <w:rPr>
          <w:rFonts w:eastAsia="宋体"/>
          <w:sz w:val="24"/>
          <w:szCs w:val="24"/>
        </w:rPr>
      </w:pPr>
    </w:p>
    <w:p w14:paraId="6627C7CF" w14:textId="77777777" w:rsidR="00C566CE" w:rsidRPr="00F814BC" w:rsidRDefault="00C566CE" w:rsidP="00640CB4">
      <w:pPr>
        <w:shd w:val="clear" w:color="auto" w:fill="FFFFFF"/>
        <w:snapToGrid w:val="0"/>
        <w:jc w:val="both"/>
        <w:rPr>
          <w:rFonts w:eastAsia="宋体"/>
          <w:sz w:val="24"/>
          <w:szCs w:val="24"/>
        </w:rPr>
      </w:pPr>
    </w:p>
    <w:p w14:paraId="1F2939A0" w14:textId="77777777" w:rsidR="00C566CE" w:rsidRPr="00F814BC" w:rsidRDefault="00C566CE" w:rsidP="00640CB4">
      <w:pPr>
        <w:shd w:val="clear" w:color="auto" w:fill="FFFFFF"/>
        <w:snapToGrid w:val="0"/>
        <w:jc w:val="both"/>
        <w:rPr>
          <w:rFonts w:eastAsia="宋体"/>
          <w:sz w:val="24"/>
          <w:szCs w:val="24"/>
        </w:rPr>
        <w:sectPr w:rsidR="00C566CE" w:rsidRPr="00F814BC" w:rsidSect="0006004F">
          <w:pgSz w:w="11906" w:h="16838" w:code="9"/>
          <w:pgMar w:top="1134" w:right="1134" w:bottom="1134" w:left="1418" w:header="567" w:footer="567" w:gutter="0"/>
          <w:cols w:space="60"/>
          <w:noEndnote/>
          <w:docGrid w:linePitch="272"/>
        </w:sectPr>
      </w:pPr>
    </w:p>
    <w:p w14:paraId="0B947869" w14:textId="77777777" w:rsidR="00973B28" w:rsidRDefault="00973B28" w:rsidP="0006004F">
      <w:pPr>
        <w:widowControl/>
        <w:autoSpaceDE/>
        <w:autoSpaceDN/>
        <w:adjustRightInd/>
        <w:snapToGrid w:val="0"/>
        <w:rPr>
          <w:rFonts w:eastAsia="宋体"/>
          <w:color w:val="000000"/>
          <w:sz w:val="24"/>
          <w:szCs w:val="24"/>
        </w:rPr>
      </w:pPr>
    </w:p>
    <w:p w14:paraId="59DBF9FB"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FDA</w:t>
      </w:r>
      <w:r w:rsidRPr="00F814BC">
        <w:rPr>
          <w:rFonts w:eastAsia="宋体"/>
          <w:color w:val="000000"/>
          <w:sz w:val="24"/>
          <w:szCs w:val="24"/>
        </w:rPr>
        <w:t>考虑有关器械的可能</w:t>
      </w:r>
      <w:r w:rsidR="00D90AED" w:rsidRPr="00F814BC">
        <w:rPr>
          <w:rFonts w:eastAsia="宋体"/>
          <w:color w:val="000000"/>
          <w:sz w:val="24"/>
          <w:szCs w:val="24"/>
        </w:rPr>
        <w:t>获益</w:t>
      </w:r>
      <w:r w:rsidRPr="00F814BC">
        <w:rPr>
          <w:rFonts w:eastAsia="宋体"/>
          <w:color w:val="000000"/>
          <w:sz w:val="24"/>
          <w:szCs w:val="24"/>
        </w:rPr>
        <w:t>和可能风险程度的全部证据，包括</w:t>
      </w:r>
      <w:r w:rsidR="00E81A96" w:rsidRPr="00F814BC">
        <w:rPr>
          <w:rFonts w:eastAsia="宋体" w:hint="eastAsia"/>
          <w:color w:val="000000"/>
          <w:sz w:val="24"/>
          <w:szCs w:val="24"/>
        </w:rPr>
        <w:t>获益</w:t>
      </w:r>
      <w:r w:rsidRPr="00F814BC">
        <w:rPr>
          <w:rFonts w:eastAsia="宋体"/>
          <w:color w:val="000000"/>
          <w:sz w:val="24"/>
          <w:szCs w:val="24"/>
        </w:rPr>
        <w:t>风险信息的不确定性程度。</w:t>
      </w:r>
      <w:r w:rsidRPr="00F814BC">
        <w:rPr>
          <w:rFonts w:eastAsia="宋体"/>
          <w:color w:val="000000"/>
          <w:sz w:val="24"/>
          <w:szCs w:val="24"/>
        </w:rPr>
        <w:t>FDA</w:t>
      </w:r>
      <w:r w:rsidRPr="00F814BC">
        <w:rPr>
          <w:rFonts w:eastAsia="宋体"/>
          <w:color w:val="000000"/>
          <w:sz w:val="24"/>
          <w:szCs w:val="24"/>
        </w:rPr>
        <w:t>还考虑风险缓解措施和收集上市后数据的适当性，以解决获益风险信息的不确定性。</w:t>
      </w:r>
      <w:r w:rsidRPr="00F814BC">
        <w:rPr>
          <w:rFonts w:eastAsia="宋体"/>
          <w:color w:val="000000"/>
          <w:sz w:val="24"/>
          <w:szCs w:val="24"/>
        </w:rPr>
        <w:t>FDA</w:t>
      </w:r>
      <w:r w:rsidRPr="00F814BC">
        <w:rPr>
          <w:rFonts w:eastAsia="宋体"/>
          <w:color w:val="000000"/>
          <w:sz w:val="24"/>
          <w:szCs w:val="24"/>
        </w:rPr>
        <w:t>的决定是在一个更广泛的医疗保健系统的背景下运作的，在这个系统中，医疗保健的提供存在固有的不确定性，包括对特定医疗产品或程序的一般</w:t>
      </w:r>
      <w:r w:rsidR="00E81A96" w:rsidRPr="00F814BC">
        <w:rPr>
          <w:rFonts w:eastAsia="宋体" w:hint="eastAsia"/>
          <w:color w:val="000000"/>
          <w:sz w:val="24"/>
          <w:szCs w:val="24"/>
        </w:rPr>
        <w:t>获益</w:t>
      </w:r>
      <w:r w:rsidRPr="00F814BC">
        <w:rPr>
          <w:rFonts w:eastAsia="宋体"/>
          <w:color w:val="000000"/>
          <w:sz w:val="24"/>
          <w:szCs w:val="24"/>
        </w:rPr>
        <w:t>风险概况如何转化为个别患者的健康结果的不确定性，区域和地方医疗实践的差异，以及不断发展的护理标准。</w:t>
      </w:r>
    </w:p>
    <w:p w14:paraId="671207F8" w14:textId="77777777" w:rsidR="00973B28" w:rsidRDefault="00973B28" w:rsidP="0006004F">
      <w:pPr>
        <w:shd w:val="clear" w:color="auto" w:fill="FFFFFF"/>
        <w:snapToGrid w:val="0"/>
        <w:ind w:firstLineChars="200" w:firstLine="480"/>
        <w:jc w:val="both"/>
        <w:rPr>
          <w:rFonts w:eastAsia="宋体"/>
          <w:sz w:val="24"/>
          <w:szCs w:val="24"/>
        </w:rPr>
      </w:pPr>
    </w:p>
    <w:p w14:paraId="39C8A39D"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本指南认识到，鉴于提供医疗服务所涉及的固有不确定性，为了履行</w:t>
      </w:r>
      <w:r w:rsidRPr="00F814BC">
        <w:rPr>
          <w:rFonts w:eastAsia="宋体"/>
          <w:color w:val="000000"/>
          <w:sz w:val="24"/>
          <w:szCs w:val="24"/>
        </w:rPr>
        <w:t>FDA</w:t>
      </w:r>
      <w:r w:rsidRPr="00F814BC">
        <w:rPr>
          <w:rFonts w:eastAsia="宋体"/>
          <w:color w:val="000000"/>
          <w:sz w:val="24"/>
          <w:szCs w:val="24"/>
        </w:rPr>
        <w:t>促进公众健康的使命，必须承认并适当处理支持</w:t>
      </w:r>
      <w:r w:rsidRPr="00F814BC">
        <w:rPr>
          <w:rFonts w:eastAsia="宋体"/>
          <w:color w:val="000000"/>
          <w:sz w:val="24"/>
          <w:szCs w:val="24"/>
        </w:rPr>
        <w:t>FDA</w:t>
      </w:r>
      <w:r w:rsidRPr="00F814BC">
        <w:rPr>
          <w:rFonts w:eastAsia="宋体"/>
          <w:color w:val="000000"/>
          <w:sz w:val="24"/>
          <w:szCs w:val="24"/>
        </w:rPr>
        <w:t>某些上市前决定的获益风险</w:t>
      </w:r>
      <w:r w:rsidR="00184B42" w:rsidRPr="00F814BC">
        <w:rPr>
          <w:rFonts w:eastAsia="宋体" w:hint="eastAsia"/>
          <w:color w:val="000000"/>
          <w:sz w:val="24"/>
          <w:szCs w:val="24"/>
        </w:rPr>
        <w:t>判定</w:t>
      </w:r>
      <w:r w:rsidRPr="00F814BC">
        <w:rPr>
          <w:rFonts w:eastAsia="宋体"/>
          <w:color w:val="000000"/>
          <w:sz w:val="24"/>
          <w:szCs w:val="24"/>
        </w:rPr>
        <w:t>的不确定性，其依据是以下概述的因素和具体背景。这包括考虑适用的患者人群是否愿意接受器械的</w:t>
      </w:r>
      <w:r w:rsidR="00D90AED" w:rsidRPr="00F814BC">
        <w:rPr>
          <w:rFonts w:eastAsia="宋体"/>
          <w:color w:val="000000"/>
          <w:sz w:val="24"/>
          <w:szCs w:val="24"/>
        </w:rPr>
        <w:t>获益</w:t>
      </w:r>
      <w:r w:rsidRPr="00F814BC">
        <w:rPr>
          <w:rFonts w:eastAsia="宋体"/>
          <w:color w:val="000000"/>
          <w:sz w:val="24"/>
          <w:szCs w:val="24"/>
        </w:rPr>
        <w:t>和风险的更多不确定性，特别是在没有可接受的替代方案时。此外，作为学习型卫生保健系统的一部分，在整个上市前和上市后环境中持续、有力地产生证据（该系统本身在产生临床证据方面具有固有的不确定性，例如，由于与预期的患者人群和临床试验时间相比，样品量有限），对于不断完善我们对医疗器械的使用和性能以及相应的患者结果的理解非常重要。在更广泛的医疗保健系统内的这种理解可以为</w:t>
      </w:r>
      <w:r w:rsidRPr="00F814BC">
        <w:rPr>
          <w:rFonts w:eastAsia="宋体"/>
          <w:color w:val="000000"/>
          <w:sz w:val="24"/>
          <w:szCs w:val="24"/>
        </w:rPr>
        <w:t>FDA</w:t>
      </w:r>
      <w:r w:rsidRPr="00F814BC">
        <w:rPr>
          <w:rFonts w:eastAsia="宋体"/>
          <w:color w:val="000000"/>
          <w:sz w:val="24"/>
          <w:szCs w:val="24"/>
        </w:rPr>
        <w:t>关于医疗器械的监管决策提供信息。</w:t>
      </w:r>
    </w:p>
    <w:p w14:paraId="613994CD" w14:textId="77777777" w:rsidR="00961522" w:rsidRPr="00F814BC" w:rsidRDefault="00CB325C" w:rsidP="00640CB4">
      <w:pPr>
        <w:pStyle w:val="1"/>
        <w:spacing w:before="240" w:after="120"/>
        <w:rPr>
          <w:rFonts w:eastAsia="宋体"/>
        </w:rPr>
      </w:pPr>
      <w:bookmarkStart w:id="9" w:name="bookmark23"/>
      <w:bookmarkStart w:id="10" w:name="_Toc98747997"/>
      <w:bookmarkStart w:id="11" w:name="_Toc97482645"/>
      <w:r w:rsidRPr="00F814BC">
        <w:rPr>
          <w:rFonts w:eastAsia="宋体"/>
        </w:rPr>
        <w:t>I</w:t>
      </w:r>
      <w:bookmarkEnd w:id="9"/>
      <w:r w:rsidRPr="00F814BC">
        <w:rPr>
          <w:rFonts w:eastAsia="宋体"/>
        </w:rPr>
        <w:t>II.</w:t>
      </w:r>
      <w:r w:rsidRPr="00F814BC">
        <w:rPr>
          <w:rFonts w:eastAsia="宋体"/>
        </w:rPr>
        <w:tab/>
      </w:r>
      <w:r w:rsidRPr="00F814BC">
        <w:rPr>
          <w:rFonts w:eastAsia="宋体"/>
        </w:rPr>
        <w:t>范围</w:t>
      </w:r>
      <w:bookmarkEnd w:id="10"/>
      <w:bookmarkEnd w:id="11"/>
    </w:p>
    <w:p w14:paraId="790E6359" w14:textId="77777777" w:rsidR="00BE0DEA" w:rsidRPr="00F814BC" w:rsidRDefault="00BE0DEA" w:rsidP="00640CB4">
      <w:pPr>
        <w:shd w:val="clear" w:color="auto" w:fill="FFFFFF"/>
        <w:tabs>
          <w:tab w:val="left" w:pos="182"/>
        </w:tabs>
        <w:snapToGrid w:val="0"/>
        <w:jc w:val="both"/>
        <w:rPr>
          <w:rFonts w:eastAsia="宋体"/>
          <w:color w:val="000000"/>
          <w:sz w:val="21"/>
          <w:szCs w:val="21"/>
          <w:vertAlign w:val="superscript"/>
        </w:rPr>
      </w:pPr>
    </w:p>
    <w:p w14:paraId="3806363C" w14:textId="77777777" w:rsidR="00961522" w:rsidRPr="00F814BC" w:rsidRDefault="00CB325C" w:rsidP="00640CB4">
      <w:pPr>
        <w:shd w:val="clear" w:color="auto" w:fill="FFFFFF"/>
        <w:tabs>
          <w:tab w:val="left" w:pos="182"/>
        </w:tabs>
        <w:snapToGrid w:val="0"/>
        <w:jc w:val="both"/>
        <w:rPr>
          <w:rFonts w:eastAsia="宋体"/>
          <w:sz w:val="21"/>
          <w:szCs w:val="21"/>
        </w:rPr>
        <w:sectPr w:rsidR="00961522" w:rsidRPr="00F814BC" w:rsidSect="0006004F">
          <w:pgSz w:w="11906" w:h="16838" w:code="9"/>
          <w:pgMar w:top="1134" w:right="1134" w:bottom="1134" w:left="1418" w:header="567" w:footer="567" w:gutter="0"/>
          <w:cols w:space="60"/>
          <w:noEndnote/>
          <w:docGrid w:linePitch="272"/>
        </w:sectPr>
      </w:pPr>
      <w:r w:rsidRPr="00F814BC">
        <w:rPr>
          <w:rFonts w:eastAsia="宋体"/>
        </w:rPr>
        <w:tab/>
      </w:r>
    </w:p>
    <w:p w14:paraId="615B5AA9"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lastRenderedPageBreak/>
        <w:t>FDA</w:t>
      </w:r>
      <w:r w:rsidRPr="00F814BC">
        <w:rPr>
          <w:rFonts w:eastAsia="宋体"/>
          <w:color w:val="000000"/>
          <w:sz w:val="24"/>
          <w:szCs w:val="24"/>
        </w:rPr>
        <w:t>发布了几份</w:t>
      </w:r>
      <w:r w:rsidR="00456D3C" w:rsidRPr="00F814BC">
        <w:rPr>
          <w:rFonts w:eastAsia="宋体" w:hint="eastAsia"/>
          <w:color w:val="000000"/>
          <w:sz w:val="24"/>
          <w:szCs w:val="24"/>
        </w:rPr>
        <w:t>指南</w:t>
      </w:r>
      <w:r w:rsidRPr="00F814BC">
        <w:rPr>
          <w:rFonts w:eastAsia="宋体"/>
          <w:color w:val="000000"/>
          <w:sz w:val="24"/>
          <w:szCs w:val="24"/>
        </w:rPr>
        <w:t>文件，说明在各种监管情况下，包括医疗器械的具体应用类型，在</w:t>
      </w:r>
      <w:r w:rsidR="00456D3C" w:rsidRPr="00F814BC">
        <w:rPr>
          <w:rFonts w:eastAsia="宋体" w:hint="eastAsia"/>
          <w:color w:val="000000"/>
          <w:sz w:val="24"/>
          <w:szCs w:val="24"/>
        </w:rPr>
        <w:t>获益</w:t>
      </w:r>
      <w:r w:rsidRPr="00F814BC">
        <w:rPr>
          <w:rFonts w:eastAsia="宋体"/>
          <w:color w:val="000000"/>
          <w:sz w:val="24"/>
          <w:szCs w:val="24"/>
        </w:rPr>
        <w:t>风险</w:t>
      </w:r>
      <w:r w:rsidR="00184B42" w:rsidRPr="00F814BC">
        <w:rPr>
          <w:rFonts w:eastAsia="宋体" w:hint="eastAsia"/>
          <w:color w:val="000000"/>
          <w:sz w:val="24"/>
          <w:szCs w:val="24"/>
        </w:rPr>
        <w:t>判定</w:t>
      </w:r>
      <w:r w:rsidRPr="00F814BC">
        <w:rPr>
          <w:rFonts w:eastAsia="宋体"/>
          <w:color w:val="000000"/>
          <w:sz w:val="24"/>
          <w:szCs w:val="24"/>
        </w:rPr>
        <w:t>方面需要考虑的因素。</w:t>
      </w:r>
      <w:r w:rsidRPr="00F814BC">
        <w:rPr>
          <w:rStyle w:val="a9"/>
          <w:rFonts w:eastAsia="宋体"/>
          <w:color w:val="000000"/>
          <w:sz w:val="24"/>
          <w:szCs w:val="24"/>
        </w:rPr>
        <w:t xml:space="preserve"> </w:t>
      </w:r>
      <w:r w:rsidRPr="00F814BC">
        <w:rPr>
          <w:rStyle w:val="a9"/>
          <w:rFonts w:eastAsia="宋体"/>
          <w:color w:val="000000"/>
          <w:sz w:val="24"/>
          <w:szCs w:val="24"/>
        </w:rPr>
        <w:footnoteReference w:id="30"/>
      </w:r>
      <w:r w:rsidRPr="00F814BC">
        <w:rPr>
          <w:rFonts w:eastAsia="宋体"/>
          <w:color w:val="000000"/>
          <w:sz w:val="24"/>
          <w:szCs w:val="24"/>
        </w:rPr>
        <w:t>本指南中的原则适用于</w:t>
      </w:r>
      <w:r w:rsidRPr="00F814BC">
        <w:rPr>
          <w:rFonts w:eastAsia="宋体"/>
          <w:color w:val="000000"/>
          <w:sz w:val="24"/>
          <w:szCs w:val="24"/>
        </w:rPr>
        <w:t>FDA</w:t>
      </w:r>
      <w:r w:rsidRPr="00F814BC">
        <w:rPr>
          <w:rFonts w:eastAsia="宋体"/>
          <w:color w:val="000000"/>
          <w:sz w:val="24"/>
          <w:szCs w:val="24"/>
        </w:rPr>
        <w:t>对</w:t>
      </w:r>
      <w:r w:rsidR="00C57AC1" w:rsidRPr="00F814BC">
        <w:rPr>
          <w:rFonts w:eastAsia="宋体"/>
          <w:color w:val="000000"/>
          <w:sz w:val="24"/>
          <w:szCs w:val="24"/>
        </w:rPr>
        <w:t>PMA</w:t>
      </w:r>
      <w:r w:rsidRPr="00F814BC">
        <w:rPr>
          <w:rFonts w:eastAsia="宋体"/>
          <w:color w:val="000000"/>
          <w:sz w:val="24"/>
          <w:szCs w:val="24"/>
        </w:rPr>
        <w:t>、</w:t>
      </w:r>
      <w:r w:rsidR="001432E6" w:rsidRPr="00F814BC">
        <w:rPr>
          <w:rFonts w:eastAsia="宋体" w:hint="eastAsia"/>
          <w:color w:val="000000"/>
          <w:sz w:val="24"/>
          <w:szCs w:val="24"/>
        </w:rPr>
        <w:t>重新分类</w:t>
      </w:r>
      <w:r w:rsidRPr="00F814BC">
        <w:rPr>
          <w:rFonts w:eastAsia="宋体"/>
          <w:color w:val="000000"/>
          <w:sz w:val="24"/>
          <w:szCs w:val="24"/>
        </w:rPr>
        <w:t>申请和</w:t>
      </w:r>
      <w:r w:rsidRPr="00F814BC">
        <w:rPr>
          <w:rFonts w:eastAsia="宋体"/>
          <w:color w:val="000000"/>
          <w:sz w:val="24"/>
          <w:szCs w:val="24"/>
        </w:rPr>
        <w:t>HDE</w:t>
      </w:r>
      <w:r w:rsidRPr="00F814BC">
        <w:rPr>
          <w:rFonts w:eastAsia="宋体"/>
          <w:color w:val="000000"/>
          <w:sz w:val="24"/>
          <w:szCs w:val="24"/>
        </w:rPr>
        <w:t>申请的获益风险</w:t>
      </w:r>
      <w:r w:rsidR="00184B42" w:rsidRPr="00F814BC">
        <w:rPr>
          <w:rFonts w:eastAsia="宋体" w:hint="eastAsia"/>
          <w:color w:val="000000"/>
          <w:sz w:val="24"/>
          <w:szCs w:val="24"/>
        </w:rPr>
        <w:t>判定</w:t>
      </w:r>
      <w:r w:rsidRPr="00F814BC">
        <w:rPr>
          <w:rFonts w:eastAsia="宋体"/>
          <w:color w:val="000000"/>
          <w:sz w:val="24"/>
          <w:szCs w:val="24"/>
        </w:rPr>
        <w:t>的不确定性的考虑。</w:t>
      </w:r>
      <w:r w:rsidRPr="00F814BC">
        <w:rPr>
          <w:rStyle w:val="a9"/>
          <w:rFonts w:eastAsia="宋体"/>
          <w:color w:val="000000"/>
          <w:sz w:val="24"/>
          <w:szCs w:val="24"/>
        </w:rPr>
        <w:t xml:space="preserve"> </w:t>
      </w:r>
      <w:r w:rsidRPr="00F814BC">
        <w:rPr>
          <w:rStyle w:val="a9"/>
          <w:rFonts w:eastAsia="宋体"/>
          <w:color w:val="000000"/>
          <w:sz w:val="24"/>
          <w:szCs w:val="24"/>
        </w:rPr>
        <w:footnoteReference w:id="31"/>
      </w:r>
      <w:r w:rsidRPr="00F814BC">
        <w:rPr>
          <w:rFonts w:eastAsia="宋体"/>
          <w:color w:val="000000"/>
          <w:sz w:val="24"/>
          <w:szCs w:val="24"/>
        </w:rPr>
        <w:t>本指南通过描述</w:t>
      </w:r>
      <w:r w:rsidRPr="00F814BC">
        <w:rPr>
          <w:rFonts w:eastAsia="宋体"/>
          <w:color w:val="000000"/>
          <w:sz w:val="24"/>
          <w:szCs w:val="24"/>
        </w:rPr>
        <w:t>FDA</w:t>
      </w:r>
      <w:r w:rsidRPr="00F814BC">
        <w:rPr>
          <w:rFonts w:eastAsia="宋体"/>
          <w:color w:val="000000"/>
          <w:sz w:val="24"/>
          <w:szCs w:val="24"/>
        </w:rPr>
        <w:t>在审查这些类型的上市前提交材料时，在评估器械的</w:t>
      </w:r>
      <w:r w:rsidR="001D108F">
        <w:rPr>
          <w:rFonts w:eastAsia="宋体"/>
          <w:color w:val="000000"/>
          <w:sz w:val="24"/>
          <w:szCs w:val="24"/>
        </w:rPr>
        <w:t>获益</w:t>
      </w:r>
      <w:r w:rsidRPr="00F814BC">
        <w:rPr>
          <w:rFonts w:eastAsia="宋体"/>
          <w:color w:val="000000"/>
          <w:sz w:val="24"/>
          <w:szCs w:val="24"/>
        </w:rPr>
        <w:t>和风险的适当不确定性方面考虑的几个因素，提高了上市前审查过程的透明度和一致性。此外，本指南根据目前的实践提供了说明性的例子，说明如何在临床证据的背景下应用考虑不确定性的原则，以及在</w:t>
      </w:r>
      <w:r w:rsidRPr="00F814BC">
        <w:rPr>
          <w:rFonts w:eastAsia="宋体"/>
          <w:color w:val="000000"/>
          <w:sz w:val="24"/>
          <w:szCs w:val="24"/>
        </w:rPr>
        <w:t>PMA</w:t>
      </w:r>
      <w:r w:rsidRPr="00F814BC">
        <w:rPr>
          <w:rFonts w:eastAsia="宋体"/>
          <w:color w:val="000000"/>
          <w:sz w:val="24"/>
          <w:szCs w:val="24"/>
        </w:rPr>
        <w:t>的背景下何时适合更大的不确定性，如突破性器械的</w:t>
      </w:r>
      <w:r w:rsidRPr="00F814BC">
        <w:rPr>
          <w:rFonts w:eastAsia="宋体"/>
          <w:color w:val="000000"/>
          <w:sz w:val="24"/>
          <w:szCs w:val="24"/>
        </w:rPr>
        <w:t>PMA</w:t>
      </w:r>
      <w:r w:rsidRPr="00F814BC">
        <w:rPr>
          <w:rFonts w:eastAsia="宋体"/>
          <w:color w:val="000000"/>
          <w:sz w:val="24"/>
          <w:szCs w:val="24"/>
        </w:rPr>
        <w:t>和针对小规模患者人群的器械的</w:t>
      </w:r>
      <w:r w:rsidR="00C57AC1" w:rsidRPr="00F814BC">
        <w:rPr>
          <w:rFonts w:eastAsia="宋体"/>
          <w:color w:val="000000"/>
          <w:sz w:val="24"/>
          <w:szCs w:val="24"/>
        </w:rPr>
        <w:t>PMA</w:t>
      </w:r>
      <w:r w:rsidRPr="00F814BC">
        <w:rPr>
          <w:rFonts w:eastAsia="宋体"/>
          <w:color w:val="000000"/>
          <w:sz w:val="24"/>
          <w:szCs w:val="24"/>
        </w:rPr>
        <w:t>。但这些例子并不意味着</w:t>
      </w:r>
      <w:r w:rsidRPr="00F814BC">
        <w:rPr>
          <w:rFonts w:eastAsia="宋体"/>
          <w:color w:val="000000"/>
          <w:sz w:val="24"/>
          <w:szCs w:val="24"/>
        </w:rPr>
        <w:t>FDA</w:t>
      </w:r>
      <w:r w:rsidRPr="00F814BC">
        <w:rPr>
          <w:rFonts w:eastAsia="宋体"/>
          <w:color w:val="000000"/>
          <w:sz w:val="24"/>
          <w:szCs w:val="24"/>
        </w:rPr>
        <w:t>对上市前获益风险</w:t>
      </w:r>
      <w:r w:rsidR="00184B42" w:rsidRPr="00F814BC">
        <w:rPr>
          <w:rFonts w:eastAsia="宋体" w:hint="eastAsia"/>
          <w:color w:val="000000"/>
          <w:sz w:val="24"/>
          <w:szCs w:val="24"/>
        </w:rPr>
        <w:t>判定</w:t>
      </w:r>
      <w:r w:rsidRPr="00F814BC">
        <w:rPr>
          <w:rFonts w:eastAsia="宋体"/>
          <w:color w:val="000000"/>
          <w:sz w:val="24"/>
          <w:szCs w:val="24"/>
        </w:rPr>
        <w:t>中的不确定性的考虑仅限于这些情况。</w:t>
      </w:r>
    </w:p>
    <w:p w14:paraId="08B1EE73" w14:textId="77777777" w:rsidR="00973B28" w:rsidRDefault="00973B28" w:rsidP="0006004F">
      <w:pPr>
        <w:shd w:val="clear" w:color="auto" w:fill="FFFFFF"/>
        <w:snapToGrid w:val="0"/>
        <w:ind w:firstLineChars="200" w:firstLine="480"/>
        <w:jc w:val="both"/>
        <w:rPr>
          <w:rFonts w:eastAsia="宋体"/>
          <w:sz w:val="24"/>
          <w:szCs w:val="24"/>
        </w:rPr>
      </w:pPr>
    </w:p>
    <w:p w14:paraId="2D155838"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指南中的政策进一步推动了</w:t>
      </w:r>
      <w:r w:rsidRPr="00F814BC">
        <w:rPr>
          <w:rFonts w:eastAsia="宋体"/>
          <w:color w:val="000000"/>
          <w:sz w:val="24"/>
          <w:szCs w:val="24"/>
        </w:rPr>
        <w:t>FDA</w:t>
      </w:r>
      <w:r w:rsidRPr="00F814BC">
        <w:rPr>
          <w:rFonts w:eastAsia="宋体"/>
          <w:color w:val="000000"/>
          <w:sz w:val="24"/>
          <w:szCs w:val="24"/>
        </w:rPr>
        <w:t>的使命，即通过促进医疗器械创新和促进患者及时获得高质量、安全和有效的医疗器械来促进公众健康。此外，本指南中描述的基于获益风险的框架旨在确保更高的透明度、可预测性、一致性和效率，并采用最少负担的原则。</w:t>
      </w:r>
    </w:p>
    <w:p w14:paraId="26E616CA" w14:textId="77777777" w:rsidR="00961522" w:rsidRPr="00F814BC" w:rsidRDefault="00CB325C" w:rsidP="00640CB4">
      <w:pPr>
        <w:pStyle w:val="1"/>
        <w:spacing w:before="240" w:after="120"/>
        <w:rPr>
          <w:rFonts w:eastAsia="宋体"/>
        </w:rPr>
      </w:pPr>
      <w:bookmarkStart w:id="14" w:name="bookmark26"/>
      <w:bookmarkStart w:id="15" w:name="_Toc98747998"/>
      <w:bookmarkStart w:id="16" w:name="_Toc97482646"/>
      <w:r w:rsidRPr="00F814BC">
        <w:rPr>
          <w:rFonts w:eastAsia="宋体"/>
        </w:rPr>
        <w:t>I</w:t>
      </w:r>
      <w:bookmarkEnd w:id="14"/>
      <w:r w:rsidRPr="00F814BC">
        <w:rPr>
          <w:rFonts w:eastAsia="宋体"/>
        </w:rPr>
        <w:t>V.</w:t>
      </w:r>
      <w:r w:rsidRPr="00F814BC">
        <w:rPr>
          <w:rFonts w:eastAsia="宋体"/>
        </w:rPr>
        <w:tab/>
      </w:r>
      <w:r w:rsidRPr="00F814BC">
        <w:rPr>
          <w:rFonts w:eastAsia="宋体"/>
        </w:rPr>
        <w:t>在进行</w:t>
      </w:r>
      <w:r w:rsidR="00E6092F" w:rsidRPr="00F814BC">
        <w:rPr>
          <w:rFonts w:eastAsia="宋体"/>
        </w:rPr>
        <w:t>获益风险判定</w:t>
      </w:r>
      <w:r w:rsidRPr="00F814BC">
        <w:rPr>
          <w:rFonts w:eastAsia="宋体"/>
        </w:rPr>
        <w:t>时考虑不确定性，以支持某些上市前的决定</w:t>
      </w:r>
      <w:bookmarkEnd w:id="15"/>
      <w:bookmarkEnd w:id="16"/>
    </w:p>
    <w:p w14:paraId="640510EF"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一般来说，在器械的上市前决策中，围绕</w:t>
      </w:r>
      <w:r w:rsidR="00D90AED" w:rsidRPr="00F814BC">
        <w:rPr>
          <w:rFonts w:eastAsia="宋体" w:hint="eastAsia"/>
          <w:color w:val="000000"/>
          <w:sz w:val="24"/>
          <w:szCs w:val="24"/>
        </w:rPr>
        <w:t>获益</w:t>
      </w:r>
      <w:r w:rsidRPr="00F814BC">
        <w:rPr>
          <w:rFonts w:eastAsia="宋体"/>
          <w:color w:val="000000"/>
          <w:sz w:val="24"/>
          <w:szCs w:val="24"/>
        </w:rPr>
        <w:t>和风险存在一些不确定性。围绕着器械的类型、大小、持续时间、频率和其他方面对患者的</w:t>
      </w:r>
      <w:r w:rsidR="00D90AED" w:rsidRPr="00F814BC">
        <w:rPr>
          <w:rFonts w:eastAsia="宋体" w:hint="eastAsia"/>
          <w:color w:val="000000"/>
          <w:sz w:val="24"/>
          <w:szCs w:val="24"/>
        </w:rPr>
        <w:t>获益</w:t>
      </w:r>
      <w:r w:rsidRPr="00F814BC">
        <w:rPr>
          <w:rFonts w:eastAsia="宋体"/>
          <w:color w:val="000000"/>
          <w:sz w:val="24"/>
          <w:szCs w:val="24"/>
        </w:rPr>
        <w:t>和风险，可能存在不确定性。医疗器械的法定标准，包括某些营销授权，反映了这一现实，要求器械在安全和有效性方面有</w:t>
      </w:r>
      <w:r w:rsidRPr="00F814BC">
        <w:rPr>
          <w:rFonts w:ascii="宋体" w:eastAsia="宋体" w:hAnsi="宋体"/>
          <w:color w:val="000000"/>
          <w:sz w:val="24"/>
          <w:szCs w:val="24"/>
        </w:rPr>
        <w:t>“</w:t>
      </w:r>
      <w:r w:rsidR="00881EA3" w:rsidRPr="0006004F">
        <w:rPr>
          <w:rFonts w:ascii="宋体" w:hAnsi="宋体" w:hint="eastAsia"/>
          <w:color w:val="000000"/>
          <w:sz w:val="24"/>
        </w:rPr>
        <w:t>合理</w:t>
      </w:r>
      <w:r w:rsidR="00C566CE" w:rsidRPr="00F814BC">
        <w:rPr>
          <w:rFonts w:ascii="宋体" w:eastAsia="宋体" w:hAnsi="宋体" w:hint="eastAsia"/>
          <w:color w:val="000000"/>
          <w:sz w:val="24"/>
          <w:szCs w:val="24"/>
        </w:rPr>
        <w:t>”</w:t>
      </w:r>
      <w:r w:rsidRPr="00F814BC">
        <w:rPr>
          <w:rFonts w:eastAsia="宋体"/>
          <w:color w:val="000000"/>
          <w:sz w:val="24"/>
          <w:szCs w:val="24"/>
        </w:rPr>
        <w:t>的保证，而不是绝对保证。</w:t>
      </w:r>
      <w:r w:rsidRPr="00F814BC">
        <w:rPr>
          <w:rStyle w:val="a9"/>
          <w:rFonts w:eastAsia="宋体"/>
          <w:color w:val="000000"/>
          <w:sz w:val="24"/>
          <w:szCs w:val="24"/>
        </w:rPr>
        <w:footnoteReference w:id="32"/>
      </w:r>
    </w:p>
    <w:p w14:paraId="31677A97" w14:textId="77777777" w:rsidR="00973B28" w:rsidRDefault="00973B28" w:rsidP="0006004F">
      <w:pPr>
        <w:shd w:val="clear" w:color="auto" w:fill="FFFFFF"/>
        <w:snapToGrid w:val="0"/>
        <w:ind w:firstLineChars="200" w:firstLine="480"/>
        <w:jc w:val="both"/>
        <w:rPr>
          <w:rFonts w:eastAsia="宋体"/>
          <w:sz w:val="24"/>
          <w:szCs w:val="24"/>
        </w:rPr>
      </w:pPr>
    </w:p>
    <w:p w14:paraId="69D6BD8F"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一个器械的</w:t>
      </w:r>
      <w:r w:rsidR="00D90AED" w:rsidRPr="00F814BC">
        <w:rPr>
          <w:rFonts w:eastAsia="宋体" w:hint="eastAsia"/>
          <w:color w:val="000000"/>
          <w:sz w:val="24"/>
          <w:szCs w:val="24"/>
        </w:rPr>
        <w:t>获益</w:t>
      </w:r>
      <w:r w:rsidRPr="00F814BC">
        <w:rPr>
          <w:rFonts w:eastAsia="宋体"/>
          <w:color w:val="000000"/>
          <w:sz w:val="24"/>
          <w:szCs w:val="24"/>
        </w:rPr>
        <w:t>和风险的适当不确定性程度取决于上市前决定的类型和背景。因此，支持器械上市前决定的获益风险</w:t>
      </w:r>
      <w:r w:rsidR="00184B42" w:rsidRPr="00F814BC">
        <w:rPr>
          <w:rFonts w:eastAsia="宋体" w:hint="eastAsia"/>
          <w:color w:val="000000"/>
          <w:sz w:val="24"/>
          <w:szCs w:val="24"/>
        </w:rPr>
        <w:t>判定</w:t>
      </w:r>
      <w:r w:rsidRPr="00F814BC">
        <w:rPr>
          <w:rFonts w:eastAsia="宋体"/>
          <w:color w:val="000000"/>
          <w:sz w:val="24"/>
          <w:szCs w:val="24"/>
        </w:rPr>
        <w:t>的适当不确定性将取决于情况，包括关于器械的全部信息。在考虑获益风险</w:t>
      </w:r>
      <w:r w:rsidR="00184B42" w:rsidRPr="00F814BC">
        <w:rPr>
          <w:rFonts w:eastAsia="宋体" w:hint="eastAsia"/>
          <w:color w:val="000000"/>
          <w:sz w:val="24"/>
          <w:szCs w:val="24"/>
        </w:rPr>
        <w:t>判定</w:t>
      </w:r>
      <w:r w:rsidRPr="00F814BC">
        <w:rPr>
          <w:rFonts w:eastAsia="宋体"/>
          <w:color w:val="000000"/>
          <w:sz w:val="24"/>
          <w:szCs w:val="24"/>
        </w:rPr>
        <w:t>的不确定性时，</w:t>
      </w:r>
      <w:r w:rsidRPr="00F814BC">
        <w:rPr>
          <w:rFonts w:eastAsia="宋体"/>
          <w:color w:val="000000"/>
          <w:sz w:val="24"/>
          <w:szCs w:val="24"/>
        </w:rPr>
        <w:t>FDA</w:t>
      </w:r>
      <w:r w:rsidRPr="00F814BC">
        <w:rPr>
          <w:rFonts w:eastAsia="宋体"/>
          <w:color w:val="000000"/>
          <w:sz w:val="24"/>
          <w:szCs w:val="24"/>
        </w:rPr>
        <w:t>根据情况考虑了几个因素，包括：</w:t>
      </w:r>
    </w:p>
    <w:p w14:paraId="6E32F475" w14:textId="77777777" w:rsidR="00973B28" w:rsidRDefault="00973B28" w:rsidP="0006004F">
      <w:pPr>
        <w:shd w:val="clear" w:color="auto" w:fill="FFFFFF"/>
        <w:tabs>
          <w:tab w:val="left" w:pos="182"/>
        </w:tabs>
        <w:snapToGrid w:val="0"/>
        <w:ind w:firstLineChars="200" w:firstLine="480"/>
        <w:jc w:val="both"/>
        <w:rPr>
          <w:rFonts w:eastAsia="宋体"/>
          <w:color w:val="000000"/>
          <w:sz w:val="24"/>
          <w:szCs w:val="24"/>
          <w:vertAlign w:val="superscript"/>
        </w:rPr>
      </w:pPr>
    </w:p>
    <w:p w14:paraId="33D920B8" w14:textId="77777777" w:rsidR="00BE0DEA" w:rsidRPr="00F814BC" w:rsidRDefault="00BE0DEA">
      <w:pPr>
        <w:shd w:val="clear" w:color="auto" w:fill="FFFFFF"/>
        <w:tabs>
          <w:tab w:val="left" w:pos="182"/>
        </w:tabs>
        <w:snapToGrid w:val="0"/>
        <w:ind w:firstLineChars="200" w:firstLine="420"/>
        <w:jc w:val="both"/>
        <w:rPr>
          <w:rFonts w:eastAsia="宋体"/>
          <w:sz w:val="21"/>
          <w:szCs w:val="21"/>
        </w:rPr>
        <w:sectPr w:rsidR="00BE0DEA" w:rsidRPr="00F814BC" w:rsidSect="0006004F">
          <w:pgSz w:w="11906" w:h="16838" w:code="9"/>
          <w:pgMar w:top="1134" w:right="1134" w:bottom="1134" w:left="1418" w:header="567" w:footer="567" w:gutter="0"/>
          <w:cols w:space="60"/>
          <w:noEndnote/>
          <w:docGrid w:linePitch="272"/>
        </w:sectPr>
      </w:pPr>
    </w:p>
    <w:p w14:paraId="2BC90232" w14:textId="77777777" w:rsidR="00961522" w:rsidRPr="00F814BC" w:rsidRDefault="00BE0DEA" w:rsidP="00847FF8">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lastRenderedPageBreak/>
        <w:t>•</w:t>
      </w:r>
      <w:r w:rsidRPr="00F814BC">
        <w:rPr>
          <w:rFonts w:eastAsia="宋体"/>
          <w:color w:val="000000"/>
          <w:sz w:val="24"/>
          <w:szCs w:val="24"/>
        </w:rPr>
        <w:tab/>
      </w:r>
      <w:r w:rsidRPr="00F814BC">
        <w:rPr>
          <w:rFonts w:eastAsia="宋体"/>
          <w:color w:val="000000"/>
          <w:sz w:val="24"/>
          <w:szCs w:val="24"/>
        </w:rPr>
        <w:t>器械可能带来的</w:t>
      </w:r>
      <w:r w:rsidR="003C451D" w:rsidRPr="00F814BC">
        <w:rPr>
          <w:rFonts w:eastAsia="宋体" w:hint="eastAsia"/>
          <w:color w:val="000000"/>
          <w:sz w:val="24"/>
          <w:szCs w:val="24"/>
        </w:rPr>
        <w:t>获益</w:t>
      </w:r>
      <w:r w:rsidRPr="00F814BC">
        <w:rPr>
          <w:rFonts w:eastAsia="宋体"/>
          <w:color w:val="000000"/>
          <w:sz w:val="24"/>
          <w:szCs w:val="24"/>
        </w:rPr>
        <w:t>的程度，考虑到这些</w:t>
      </w:r>
      <w:r w:rsidR="003C451D" w:rsidRPr="00F814BC">
        <w:rPr>
          <w:rFonts w:eastAsia="宋体" w:hint="eastAsia"/>
          <w:color w:val="000000"/>
          <w:sz w:val="24"/>
          <w:szCs w:val="24"/>
        </w:rPr>
        <w:t>获益</w:t>
      </w:r>
      <w:r w:rsidRPr="00F814BC">
        <w:rPr>
          <w:rFonts w:eastAsia="宋体"/>
          <w:color w:val="000000"/>
          <w:sz w:val="24"/>
          <w:szCs w:val="24"/>
        </w:rPr>
        <w:t>的类型、大小、概率、持续时间和频率</w:t>
      </w:r>
      <w:r w:rsidR="00847FF8" w:rsidRPr="00F814BC">
        <w:rPr>
          <w:rFonts w:eastAsia="宋体" w:hint="eastAsia"/>
          <w:color w:val="000000"/>
          <w:sz w:val="24"/>
          <w:szCs w:val="24"/>
        </w:rPr>
        <w:t>，</w:t>
      </w:r>
      <w:r w:rsidRPr="00F814BC">
        <w:rPr>
          <w:rStyle w:val="a9"/>
          <w:rFonts w:eastAsia="宋体"/>
          <w:color w:val="000000"/>
          <w:sz w:val="24"/>
          <w:szCs w:val="24"/>
        </w:rPr>
        <w:footnoteReference w:id="33"/>
      </w:r>
      <w:r w:rsidRPr="00F814BC">
        <w:rPr>
          <w:rFonts w:eastAsia="宋体"/>
          <w:color w:val="000000"/>
          <w:sz w:val="24"/>
          <w:szCs w:val="24"/>
        </w:rPr>
        <w:t>包括可能带来的</w:t>
      </w:r>
      <w:r w:rsidR="003C451D" w:rsidRPr="00F814BC">
        <w:rPr>
          <w:rFonts w:eastAsia="宋体" w:hint="eastAsia"/>
          <w:color w:val="000000"/>
          <w:sz w:val="24"/>
          <w:szCs w:val="24"/>
        </w:rPr>
        <w:t>获益</w:t>
      </w:r>
      <w:r w:rsidRPr="00F814BC">
        <w:rPr>
          <w:rFonts w:eastAsia="宋体"/>
          <w:color w:val="000000"/>
          <w:sz w:val="24"/>
          <w:szCs w:val="24"/>
        </w:rPr>
        <w:t>是否大于已批准或</w:t>
      </w:r>
      <w:r w:rsidR="006B7E77" w:rsidRPr="00F814BC">
        <w:rPr>
          <w:rFonts w:eastAsia="宋体" w:hint="eastAsia"/>
          <w:color w:val="000000"/>
          <w:sz w:val="24"/>
          <w:szCs w:val="24"/>
        </w:rPr>
        <w:t>许可</w:t>
      </w:r>
      <w:r w:rsidRPr="00F814BC">
        <w:rPr>
          <w:rFonts w:eastAsia="宋体"/>
          <w:color w:val="000000"/>
          <w:sz w:val="24"/>
          <w:szCs w:val="24"/>
        </w:rPr>
        <w:t>的替代治疗或诊断方法或护理标准的</w:t>
      </w:r>
      <w:r w:rsidR="003C451D" w:rsidRPr="00F814BC">
        <w:rPr>
          <w:rFonts w:eastAsia="宋体" w:hint="eastAsia"/>
          <w:color w:val="000000"/>
          <w:sz w:val="24"/>
          <w:szCs w:val="24"/>
        </w:rPr>
        <w:t>获益</w:t>
      </w:r>
      <w:r w:rsidRPr="00F814BC">
        <w:rPr>
          <w:rFonts w:eastAsia="宋体"/>
          <w:color w:val="000000"/>
          <w:sz w:val="24"/>
          <w:szCs w:val="24"/>
        </w:rPr>
        <w:t>。</w:t>
      </w:r>
    </w:p>
    <w:p w14:paraId="5965F95A"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381BCC96" w14:textId="77777777" w:rsidR="00961522" w:rsidRPr="00F814BC" w:rsidRDefault="00BE0DEA" w:rsidP="00847FF8">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器械的可能风险程度，考虑到这些风险的严重性、类型、数量、比率、概率和持续时间，</w:t>
      </w:r>
      <w:r w:rsidRPr="00F814BC">
        <w:rPr>
          <w:rStyle w:val="a9"/>
          <w:rFonts w:eastAsia="宋体"/>
          <w:color w:val="000000"/>
          <w:sz w:val="24"/>
          <w:szCs w:val="24"/>
        </w:rPr>
        <w:footnoteReference w:id="34"/>
      </w:r>
      <w:r w:rsidRPr="00F814BC">
        <w:rPr>
          <w:rFonts w:eastAsia="宋体"/>
          <w:color w:val="000000"/>
          <w:sz w:val="24"/>
          <w:szCs w:val="24"/>
        </w:rPr>
        <w:t>包括可能的风险是否低于</w:t>
      </w:r>
      <w:r w:rsidR="006B7E77" w:rsidRPr="00F814BC">
        <w:rPr>
          <w:rFonts w:eastAsia="宋体" w:hint="eastAsia"/>
          <w:color w:val="000000"/>
          <w:sz w:val="24"/>
          <w:szCs w:val="24"/>
        </w:rPr>
        <w:t>已</w:t>
      </w:r>
      <w:r w:rsidRPr="00F814BC">
        <w:rPr>
          <w:rFonts w:eastAsia="宋体"/>
          <w:color w:val="000000"/>
          <w:sz w:val="24"/>
          <w:szCs w:val="24"/>
        </w:rPr>
        <w:t>批准或</w:t>
      </w:r>
      <w:r w:rsidR="006B7E77" w:rsidRPr="00F814BC">
        <w:rPr>
          <w:rFonts w:eastAsia="宋体" w:hint="eastAsia"/>
          <w:color w:val="000000"/>
          <w:sz w:val="24"/>
          <w:szCs w:val="24"/>
        </w:rPr>
        <w:t>许可</w:t>
      </w:r>
      <w:r w:rsidRPr="00F814BC">
        <w:rPr>
          <w:rFonts w:eastAsia="宋体"/>
          <w:color w:val="000000"/>
          <w:sz w:val="24"/>
          <w:szCs w:val="24"/>
        </w:rPr>
        <w:t>的替代治疗或诊断方法或护理标准的风险。</w:t>
      </w:r>
    </w:p>
    <w:p w14:paraId="1D8456A2"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78FC4AE8" w14:textId="77777777" w:rsidR="00961522"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已批准或</w:t>
      </w:r>
      <w:r w:rsidR="006B7E77" w:rsidRPr="00F814BC">
        <w:rPr>
          <w:rFonts w:eastAsia="宋体" w:hint="eastAsia"/>
          <w:color w:val="000000"/>
          <w:sz w:val="24"/>
          <w:szCs w:val="24"/>
        </w:rPr>
        <w:t>许可</w:t>
      </w:r>
      <w:r w:rsidRPr="00F814BC">
        <w:rPr>
          <w:rFonts w:eastAsia="宋体"/>
          <w:color w:val="000000"/>
          <w:sz w:val="24"/>
          <w:szCs w:val="24"/>
        </w:rPr>
        <w:t>的替代治疗或诊断方法或护理标准的效益风险情况的不确定性程度（例如，支持替代治疗或诊断方法的证据强度）。</w:t>
      </w:r>
    </w:p>
    <w:p w14:paraId="01D2A01E"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08555FDD" w14:textId="77777777" w:rsidR="00961522" w:rsidRPr="00F814BC" w:rsidRDefault="00BE0DEA" w:rsidP="00847FF8">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患者对器械的可能收益和风险的适当不确定性的看法，如果有的话；</w:t>
      </w:r>
      <w:r w:rsidRPr="00F814BC">
        <w:rPr>
          <w:rStyle w:val="a9"/>
          <w:rFonts w:eastAsia="宋体"/>
          <w:color w:val="000000"/>
          <w:sz w:val="24"/>
          <w:szCs w:val="24"/>
        </w:rPr>
        <w:footnoteReference w:id="35"/>
      </w:r>
    </w:p>
    <w:p w14:paraId="4E4B6745"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3DC5A590" w14:textId="77777777" w:rsidR="00961522"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公共卫生需求的程度（例如，疾病的严重性；如果有的话，其他可用的治疗方法或诊断方法的获益风险状况，包括目前的护理标准；目标人群中获益风险状况良好的部分）；</w:t>
      </w:r>
    </w:p>
    <w:p w14:paraId="626D5842"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17DFB8BE" w14:textId="77777777" w:rsidR="00961522"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基于适当的考虑在上市前产生广泛的临床证据的可行性，例如，考虑到疾病或病症的流行情况；</w:t>
      </w:r>
    </w:p>
    <w:p w14:paraId="7CBEFF8D"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465EBCB5" w14:textId="77777777" w:rsidR="00961522"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减少或解决器械上市后</w:t>
      </w:r>
      <w:r w:rsidR="00F34D4C" w:rsidRPr="00F814BC">
        <w:rPr>
          <w:rFonts w:eastAsia="宋体" w:hint="eastAsia"/>
          <w:color w:val="000000"/>
          <w:sz w:val="24"/>
          <w:szCs w:val="24"/>
        </w:rPr>
        <w:t>获益</w:t>
      </w:r>
      <w:r w:rsidRPr="00F814BC">
        <w:rPr>
          <w:rFonts w:eastAsia="宋体"/>
          <w:color w:val="000000"/>
          <w:sz w:val="24"/>
          <w:szCs w:val="24"/>
        </w:rPr>
        <w:t>风险状况的剩余不确定性的能力（例如，考虑</w:t>
      </w:r>
      <w:r w:rsidRPr="00F814BC">
        <w:rPr>
          <w:rFonts w:eastAsia="宋体"/>
          <w:color w:val="000000"/>
          <w:sz w:val="24"/>
          <w:szCs w:val="24"/>
        </w:rPr>
        <w:t>FDA</w:t>
      </w:r>
      <w:r w:rsidRPr="00F814BC">
        <w:rPr>
          <w:rFonts w:eastAsia="宋体"/>
          <w:color w:val="000000"/>
          <w:sz w:val="24"/>
          <w:szCs w:val="24"/>
        </w:rPr>
        <w:t>要求上市后数据收集的权力以及在合理的时间范围内完成必要的上市后数据收集的可能性）；</w:t>
      </w:r>
    </w:p>
    <w:p w14:paraId="3B7A4897"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5D3FA4B7" w14:textId="77777777" w:rsidR="00961522"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缓解措施的可能有效性，如标签和其他工具，以帮助提供器械安全和有效性的合理保证，如适用；</w:t>
      </w:r>
    </w:p>
    <w:p w14:paraId="6D9EF4D7" w14:textId="77777777" w:rsidR="00BE0DEA" w:rsidRPr="00F814BC" w:rsidRDefault="00BE0DEA" w:rsidP="00640CB4">
      <w:pPr>
        <w:shd w:val="clear" w:color="auto" w:fill="FFFFFF"/>
        <w:snapToGrid w:val="0"/>
        <w:ind w:leftChars="150" w:left="660" w:hangingChars="150" w:hanging="360"/>
        <w:jc w:val="both"/>
        <w:rPr>
          <w:rFonts w:eastAsia="宋体"/>
          <w:color w:val="000000"/>
          <w:sz w:val="24"/>
          <w:szCs w:val="24"/>
        </w:rPr>
      </w:pPr>
    </w:p>
    <w:p w14:paraId="0623DFAF" w14:textId="77777777" w:rsidR="00BE0DEA"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t>•</w:t>
      </w:r>
      <w:r w:rsidRPr="00F814BC">
        <w:rPr>
          <w:rFonts w:eastAsia="宋体"/>
          <w:color w:val="000000"/>
          <w:sz w:val="24"/>
          <w:szCs w:val="24"/>
        </w:rPr>
        <w:tab/>
      </w:r>
      <w:r w:rsidRPr="00F814BC">
        <w:rPr>
          <w:rFonts w:eastAsia="宋体"/>
          <w:color w:val="000000"/>
          <w:sz w:val="24"/>
          <w:szCs w:val="24"/>
        </w:rPr>
        <w:t>所做决定的类型（例如，根据在</w:t>
      </w:r>
      <w:r w:rsidRPr="00F814BC">
        <w:rPr>
          <w:rFonts w:eastAsia="宋体"/>
          <w:color w:val="000000"/>
          <w:sz w:val="24"/>
          <w:szCs w:val="24"/>
        </w:rPr>
        <w:t>HDE</w:t>
      </w:r>
      <w:r w:rsidRPr="00F814BC">
        <w:rPr>
          <w:rFonts w:eastAsia="宋体"/>
          <w:color w:val="000000"/>
          <w:sz w:val="24"/>
          <w:szCs w:val="24"/>
        </w:rPr>
        <w:t>申请中提交的证据，与</w:t>
      </w:r>
      <w:r w:rsidRPr="00F814BC">
        <w:rPr>
          <w:rFonts w:eastAsia="宋体"/>
          <w:color w:val="000000"/>
          <w:sz w:val="24"/>
          <w:szCs w:val="24"/>
        </w:rPr>
        <w:t>PMA</w:t>
      </w:r>
      <w:r w:rsidRPr="00F814BC">
        <w:rPr>
          <w:rFonts w:eastAsia="宋体"/>
          <w:color w:val="000000"/>
          <w:sz w:val="24"/>
          <w:szCs w:val="24"/>
        </w:rPr>
        <w:t>相比，通常可能有更多围绕器械的</w:t>
      </w:r>
      <w:r w:rsidR="00D56755" w:rsidRPr="00F814BC">
        <w:rPr>
          <w:rFonts w:eastAsia="宋体" w:hint="eastAsia"/>
          <w:color w:val="000000"/>
          <w:sz w:val="24"/>
          <w:szCs w:val="24"/>
        </w:rPr>
        <w:t>获益</w:t>
      </w:r>
      <w:r w:rsidRPr="00F814BC">
        <w:rPr>
          <w:rFonts w:eastAsia="宋体"/>
          <w:color w:val="000000"/>
          <w:sz w:val="24"/>
          <w:szCs w:val="24"/>
        </w:rPr>
        <w:t>风险</w:t>
      </w:r>
      <w:r w:rsidR="00D56755" w:rsidRPr="00F814BC">
        <w:rPr>
          <w:rFonts w:eastAsia="宋体" w:hint="eastAsia"/>
          <w:color w:val="000000"/>
          <w:sz w:val="24"/>
          <w:szCs w:val="24"/>
        </w:rPr>
        <w:t>状况</w:t>
      </w:r>
      <w:r w:rsidRPr="00F814BC">
        <w:rPr>
          <w:rFonts w:eastAsia="宋体"/>
          <w:color w:val="000000"/>
          <w:sz w:val="24"/>
          <w:szCs w:val="24"/>
        </w:rPr>
        <w:t>的不确定性，因为批准的标准是不同的）；和</w:t>
      </w:r>
    </w:p>
    <w:p w14:paraId="2948EE8E" w14:textId="77777777" w:rsidR="00961522" w:rsidRPr="00F814BC" w:rsidRDefault="00961522" w:rsidP="00640CB4">
      <w:pPr>
        <w:shd w:val="clear" w:color="auto" w:fill="FFFFFF"/>
        <w:snapToGrid w:val="0"/>
        <w:ind w:leftChars="150" w:left="615" w:hangingChars="150" w:hanging="315"/>
        <w:jc w:val="both"/>
        <w:rPr>
          <w:rFonts w:eastAsia="宋体"/>
          <w:sz w:val="21"/>
          <w:szCs w:val="21"/>
        </w:rPr>
      </w:pPr>
    </w:p>
    <w:p w14:paraId="6DF476FB" w14:textId="77777777" w:rsidR="00961522" w:rsidRPr="00F814BC" w:rsidRDefault="00961522" w:rsidP="00640CB4">
      <w:pPr>
        <w:shd w:val="clear" w:color="auto" w:fill="FFFFFF"/>
        <w:tabs>
          <w:tab w:val="left" w:pos="182"/>
        </w:tabs>
        <w:snapToGrid w:val="0"/>
        <w:jc w:val="both"/>
        <w:rPr>
          <w:rFonts w:eastAsia="宋体"/>
          <w:color w:val="000000"/>
          <w:sz w:val="21"/>
          <w:szCs w:val="21"/>
          <w:vertAlign w:val="superscript"/>
        </w:rPr>
      </w:pPr>
    </w:p>
    <w:p w14:paraId="56855A44" w14:textId="77777777" w:rsidR="00BE0DEA" w:rsidRPr="00F814BC" w:rsidRDefault="00BE0DEA" w:rsidP="00640CB4">
      <w:pPr>
        <w:shd w:val="clear" w:color="auto" w:fill="FFFFFF"/>
        <w:tabs>
          <w:tab w:val="left" w:pos="182"/>
        </w:tabs>
        <w:snapToGrid w:val="0"/>
        <w:jc w:val="both"/>
        <w:rPr>
          <w:rFonts w:eastAsia="宋体"/>
          <w:sz w:val="21"/>
          <w:szCs w:val="21"/>
        </w:rPr>
        <w:sectPr w:rsidR="00BE0DEA" w:rsidRPr="00F814BC" w:rsidSect="0006004F">
          <w:pgSz w:w="11906" w:h="16838" w:code="9"/>
          <w:pgMar w:top="1134" w:right="1134" w:bottom="1134" w:left="1418" w:header="567" w:footer="567" w:gutter="0"/>
          <w:cols w:space="60"/>
          <w:noEndnote/>
          <w:docGrid w:linePitch="272"/>
        </w:sectPr>
      </w:pPr>
    </w:p>
    <w:p w14:paraId="54E4CFDF" w14:textId="77777777" w:rsidR="00961522" w:rsidRPr="00F814BC" w:rsidRDefault="00BE0DEA" w:rsidP="00640CB4">
      <w:pPr>
        <w:shd w:val="clear" w:color="auto" w:fill="FFFFFF"/>
        <w:snapToGrid w:val="0"/>
        <w:ind w:leftChars="150" w:left="660" w:hangingChars="150" w:hanging="360"/>
        <w:jc w:val="both"/>
        <w:rPr>
          <w:rFonts w:eastAsia="宋体"/>
          <w:sz w:val="24"/>
          <w:szCs w:val="24"/>
        </w:rPr>
      </w:pPr>
      <w:r w:rsidRPr="00F814BC">
        <w:rPr>
          <w:rFonts w:eastAsia="宋体"/>
          <w:color w:val="000000"/>
          <w:sz w:val="24"/>
          <w:szCs w:val="24"/>
        </w:rPr>
        <w:lastRenderedPageBreak/>
        <w:t>•</w:t>
      </w:r>
      <w:r w:rsidRPr="00F814BC">
        <w:rPr>
          <w:rFonts w:eastAsia="宋体"/>
          <w:color w:val="000000"/>
          <w:sz w:val="24"/>
          <w:szCs w:val="24"/>
        </w:rPr>
        <w:tab/>
      </w:r>
      <w:r w:rsidRPr="00F814BC">
        <w:rPr>
          <w:rFonts w:eastAsia="宋体"/>
          <w:color w:val="000000"/>
          <w:sz w:val="24"/>
          <w:szCs w:val="24"/>
        </w:rPr>
        <w:t>患者较早获得该器械的可能</w:t>
      </w:r>
      <w:r w:rsidR="003C451D" w:rsidRPr="00F814BC">
        <w:rPr>
          <w:rFonts w:eastAsia="宋体" w:hint="eastAsia"/>
          <w:color w:val="000000"/>
          <w:sz w:val="24"/>
          <w:szCs w:val="24"/>
        </w:rPr>
        <w:t>获益</w:t>
      </w:r>
      <w:r w:rsidRPr="00F814BC">
        <w:rPr>
          <w:rFonts w:eastAsia="宋体"/>
          <w:color w:val="000000"/>
          <w:sz w:val="24"/>
          <w:szCs w:val="24"/>
        </w:rPr>
        <w:t>。</w:t>
      </w:r>
    </w:p>
    <w:p w14:paraId="690790CD" w14:textId="77777777" w:rsidR="00BE0DEA" w:rsidRPr="00F814BC" w:rsidRDefault="00BE0DEA" w:rsidP="00640CB4">
      <w:pPr>
        <w:shd w:val="clear" w:color="auto" w:fill="FFFFFF"/>
        <w:snapToGrid w:val="0"/>
        <w:jc w:val="both"/>
        <w:rPr>
          <w:rFonts w:eastAsia="宋体"/>
          <w:color w:val="000000"/>
          <w:sz w:val="24"/>
          <w:szCs w:val="24"/>
        </w:rPr>
      </w:pPr>
    </w:p>
    <w:p w14:paraId="624AECCD"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FDA</w:t>
      </w:r>
      <w:r w:rsidRPr="00F814BC">
        <w:rPr>
          <w:rFonts w:eastAsia="宋体"/>
          <w:color w:val="000000"/>
          <w:sz w:val="24"/>
          <w:szCs w:val="24"/>
        </w:rPr>
        <w:t>对这些因素的考虑是务实的，取决于背景（在有关器械的非临床和</w:t>
      </w:r>
      <w:r w:rsidRPr="00F814BC">
        <w:rPr>
          <w:rFonts w:eastAsia="宋体"/>
          <w:color w:val="000000"/>
          <w:sz w:val="24"/>
          <w:szCs w:val="24"/>
        </w:rPr>
        <w:t>/</w:t>
      </w:r>
      <w:r w:rsidRPr="00F814BC">
        <w:rPr>
          <w:rFonts w:eastAsia="宋体"/>
          <w:color w:val="000000"/>
          <w:sz w:val="24"/>
          <w:szCs w:val="24"/>
        </w:rPr>
        <w:t>或临床信息的背景下考虑，例如，有关器械的作用机制和故障模式的信息），并符合</w:t>
      </w:r>
      <w:r w:rsidRPr="00F814BC">
        <w:rPr>
          <w:rFonts w:eastAsia="宋体"/>
          <w:color w:val="000000"/>
          <w:sz w:val="24"/>
          <w:szCs w:val="24"/>
        </w:rPr>
        <w:t>FDA</w:t>
      </w:r>
      <w:r w:rsidRPr="00F814BC">
        <w:rPr>
          <w:rFonts w:eastAsia="宋体"/>
          <w:color w:val="000000"/>
          <w:sz w:val="24"/>
          <w:szCs w:val="24"/>
        </w:rPr>
        <w:t>的法定和监管当局和要求。</w:t>
      </w:r>
    </w:p>
    <w:p w14:paraId="6F6B56A0" w14:textId="77777777" w:rsidR="00973B28" w:rsidRDefault="00973B28" w:rsidP="0006004F">
      <w:pPr>
        <w:shd w:val="clear" w:color="auto" w:fill="FFFFFF"/>
        <w:snapToGrid w:val="0"/>
        <w:ind w:firstLineChars="200" w:firstLine="480"/>
        <w:jc w:val="both"/>
        <w:rPr>
          <w:rFonts w:eastAsia="宋体"/>
          <w:sz w:val="24"/>
          <w:szCs w:val="24"/>
        </w:rPr>
      </w:pPr>
    </w:p>
    <w:p w14:paraId="03E73662"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在考虑</w:t>
      </w:r>
      <w:r w:rsidR="006E50F6" w:rsidRPr="00F814BC">
        <w:rPr>
          <w:rFonts w:eastAsia="宋体" w:hint="eastAsia"/>
          <w:color w:val="000000"/>
          <w:sz w:val="24"/>
          <w:szCs w:val="24"/>
        </w:rPr>
        <w:t>重新分类</w:t>
      </w:r>
      <w:r w:rsidRPr="00F814BC">
        <w:rPr>
          <w:rFonts w:eastAsia="宋体"/>
          <w:color w:val="000000"/>
          <w:sz w:val="24"/>
          <w:szCs w:val="24"/>
        </w:rPr>
        <w:t>申请时，</w:t>
      </w:r>
      <w:r w:rsidRPr="00F814BC">
        <w:rPr>
          <w:rFonts w:eastAsia="宋体"/>
          <w:color w:val="000000"/>
          <w:sz w:val="24"/>
          <w:szCs w:val="24"/>
        </w:rPr>
        <w:t>FDA</w:t>
      </w:r>
      <w:r w:rsidRPr="00F814BC">
        <w:rPr>
          <w:rFonts w:eastAsia="宋体"/>
          <w:color w:val="000000"/>
          <w:sz w:val="24"/>
          <w:szCs w:val="24"/>
        </w:rPr>
        <w:t>希望与该器械相关的风险将有助于其对不确定性和整体</w:t>
      </w:r>
      <w:r w:rsidR="00944B78" w:rsidRPr="00F814BC">
        <w:rPr>
          <w:rFonts w:eastAsia="宋体" w:hint="eastAsia"/>
          <w:color w:val="000000"/>
          <w:sz w:val="24"/>
          <w:szCs w:val="24"/>
        </w:rPr>
        <w:t>获益</w:t>
      </w:r>
      <w:r w:rsidRPr="00F814BC">
        <w:rPr>
          <w:rFonts w:eastAsia="宋体"/>
          <w:color w:val="000000"/>
          <w:sz w:val="24"/>
          <w:szCs w:val="24"/>
        </w:rPr>
        <w:t>风险状况的分析，并认识到</w:t>
      </w:r>
      <w:r w:rsidRPr="00F814BC">
        <w:rPr>
          <w:rFonts w:eastAsia="宋体"/>
          <w:color w:val="000000"/>
          <w:sz w:val="24"/>
          <w:szCs w:val="24"/>
        </w:rPr>
        <w:t>FDA</w:t>
      </w:r>
      <w:r w:rsidRPr="00F814BC">
        <w:rPr>
          <w:rFonts w:eastAsia="宋体"/>
          <w:color w:val="000000"/>
          <w:sz w:val="24"/>
          <w:szCs w:val="24"/>
        </w:rPr>
        <w:t>可能会因为一些因素而接受更大的不确定性，如该器械是否呈现最小的风险或实施特殊控制是否可以减轻风险。</w:t>
      </w:r>
    </w:p>
    <w:p w14:paraId="581E03A0" w14:textId="77777777" w:rsidR="00973B28" w:rsidRDefault="00973B28" w:rsidP="0006004F">
      <w:pPr>
        <w:shd w:val="clear" w:color="auto" w:fill="FFFFFF"/>
        <w:snapToGrid w:val="0"/>
        <w:ind w:firstLineChars="200" w:firstLine="480"/>
        <w:jc w:val="both"/>
        <w:rPr>
          <w:rFonts w:eastAsia="宋体"/>
          <w:sz w:val="24"/>
          <w:szCs w:val="24"/>
        </w:rPr>
      </w:pPr>
    </w:p>
    <w:p w14:paraId="127DE98B"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在某些情况下，解决或减少上市后的不确定性程度可能是没有必要的。例如，</w:t>
      </w:r>
      <w:r w:rsidRPr="00F814BC">
        <w:rPr>
          <w:rFonts w:eastAsia="宋体"/>
          <w:color w:val="000000"/>
          <w:sz w:val="24"/>
          <w:szCs w:val="24"/>
        </w:rPr>
        <w:t>HDE</w:t>
      </w:r>
      <w:r w:rsidRPr="00F814BC">
        <w:rPr>
          <w:rFonts w:eastAsia="宋体"/>
          <w:color w:val="000000"/>
          <w:sz w:val="24"/>
          <w:szCs w:val="24"/>
        </w:rPr>
        <w:t>途径在上市前接受更大的不确定性，因为《</w:t>
      </w:r>
      <w:r w:rsidRPr="00F814BC">
        <w:rPr>
          <w:rFonts w:eastAsia="宋体"/>
          <w:color w:val="000000"/>
          <w:sz w:val="24"/>
          <w:szCs w:val="24"/>
        </w:rPr>
        <w:t>FD&amp;C</w:t>
      </w:r>
      <w:r w:rsidRPr="00F814BC">
        <w:rPr>
          <w:rFonts w:eastAsia="宋体"/>
          <w:color w:val="000000"/>
          <w:sz w:val="24"/>
          <w:szCs w:val="24"/>
        </w:rPr>
        <w:t>法案》不要求证明合理的有效性保证；此外，《</w:t>
      </w:r>
      <w:r w:rsidRPr="00F814BC">
        <w:rPr>
          <w:rFonts w:eastAsia="宋体"/>
          <w:color w:val="000000"/>
          <w:sz w:val="24"/>
          <w:szCs w:val="24"/>
        </w:rPr>
        <w:t>FD&amp;C</w:t>
      </w:r>
      <w:r w:rsidRPr="00F814BC">
        <w:rPr>
          <w:rFonts w:eastAsia="宋体"/>
          <w:color w:val="000000"/>
          <w:sz w:val="24"/>
          <w:szCs w:val="24"/>
        </w:rPr>
        <w:t>法案》也不要求收集器械上市后的有效性数据。</w:t>
      </w:r>
      <w:r w:rsidRPr="00F814BC">
        <w:rPr>
          <w:rStyle w:val="a9"/>
          <w:rFonts w:eastAsia="宋体"/>
          <w:color w:val="000000"/>
          <w:sz w:val="24"/>
          <w:szCs w:val="24"/>
        </w:rPr>
        <w:footnoteReference w:id="36"/>
      </w:r>
      <w:r w:rsidRPr="00F814BC">
        <w:rPr>
          <w:rFonts w:eastAsia="宋体"/>
          <w:color w:val="000000"/>
          <w:sz w:val="24"/>
          <w:szCs w:val="24"/>
        </w:rPr>
        <w:t>其他情况可能包括但不限于：不确定性程度小，对患者的风险很小，或上市后数据收集不可行，以及其他上市后控制措施有助于解决与上市前授权有关的获益风险问题的不确定性的情况。在任何情况下，都必须满足《</w:t>
      </w:r>
      <w:r w:rsidRPr="00F814BC">
        <w:rPr>
          <w:rFonts w:eastAsia="宋体"/>
          <w:color w:val="000000"/>
          <w:sz w:val="24"/>
          <w:szCs w:val="24"/>
        </w:rPr>
        <w:t>FD&amp;C</w:t>
      </w:r>
      <w:r w:rsidRPr="00F814BC">
        <w:rPr>
          <w:rFonts w:eastAsia="宋体"/>
          <w:color w:val="000000"/>
          <w:sz w:val="24"/>
          <w:szCs w:val="24"/>
        </w:rPr>
        <w:t>法案》和</w:t>
      </w:r>
      <w:r w:rsidRPr="00F814BC">
        <w:rPr>
          <w:rFonts w:eastAsia="宋体"/>
          <w:color w:val="000000"/>
          <w:sz w:val="24"/>
          <w:szCs w:val="24"/>
        </w:rPr>
        <w:t>FDA</w:t>
      </w:r>
      <w:r w:rsidRPr="00F814BC">
        <w:rPr>
          <w:rFonts w:eastAsia="宋体"/>
          <w:color w:val="000000"/>
          <w:sz w:val="24"/>
          <w:szCs w:val="24"/>
        </w:rPr>
        <w:t>法规规定的适用的销售授权标准。</w:t>
      </w:r>
    </w:p>
    <w:p w14:paraId="037539DD" w14:textId="77777777" w:rsidR="00961522" w:rsidRPr="00F814BC" w:rsidRDefault="00CB325C" w:rsidP="00640CB4">
      <w:pPr>
        <w:pStyle w:val="1"/>
        <w:spacing w:before="240" w:after="120"/>
        <w:rPr>
          <w:rFonts w:eastAsia="宋体"/>
        </w:rPr>
      </w:pPr>
      <w:bookmarkStart w:id="17" w:name="bookmark32"/>
      <w:bookmarkStart w:id="18" w:name="_Toc98747999"/>
      <w:bookmarkStart w:id="19" w:name="_Toc97482647"/>
      <w:r w:rsidRPr="00F814BC">
        <w:rPr>
          <w:rFonts w:eastAsia="宋体"/>
        </w:rPr>
        <w:t>V</w:t>
      </w:r>
      <w:bookmarkEnd w:id="17"/>
      <w:r w:rsidRPr="00F814BC">
        <w:rPr>
          <w:rFonts w:eastAsia="宋体"/>
        </w:rPr>
        <w:t>.</w:t>
      </w:r>
      <w:r w:rsidRPr="00F814BC">
        <w:rPr>
          <w:rFonts w:eastAsia="宋体"/>
        </w:rPr>
        <w:tab/>
      </w:r>
      <w:r w:rsidRPr="00F814BC">
        <w:rPr>
          <w:rFonts w:eastAsia="宋体"/>
        </w:rPr>
        <w:t>申请：突破性器械和适用于小规模人群的器械，须经</w:t>
      </w:r>
      <w:r w:rsidRPr="00F814BC">
        <w:rPr>
          <w:rFonts w:eastAsia="宋体"/>
        </w:rPr>
        <w:t>PMA</w:t>
      </w:r>
      <w:r w:rsidRPr="00F814BC">
        <w:rPr>
          <w:rFonts w:eastAsia="宋体"/>
        </w:rPr>
        <w:t>批准</w:t>
      </w:r>
      <w:bookmarkEnd w:id="18"/>
      <w:bookmarkEnd w:id="19"/>
    </w:p>
    <w:p w14:paraId="433987E3"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如上所述，在</w:t>
      </w:r>
      <w:r w:rsidRPr="00F814BC">
        <w:rPr>
          <w:rFonts w:eastAsia="宋体"/>
          <w:color w:val="000000"/>
          <w:sz w:val="24"/>
          <w:szCs w:val="24"/>
        </w:rPr>
        <w:t>PMA</w:t>
      </w:r>
      <w:r w:rsidRPr="00F814BC">
        <w:rPr>
          <w:rFonts w:eastAsia="宋体"/>
          <w:color w:val="000000"/>
          <w:sz w:val="24"/>
          <w:szCs w:val="24"/>
        </w:rPr>
        <w:t>背景下，有两种情况可能适合更大的不确定性，一是受</w:t>
      </w:r>
      <w:r w:rsidRPr="00F814BC">
        <w:rPr>
          <w:rFonts w:eastAsia="宋体"/>
          <w:color w:val="000000"/>
          <w:sz w:val="24"/>
          <w:szCs w:val="24"/>
        </w:rPr>
        <w:t>PMA</w:t>
      </w:r>
      <w:r w:rsidRPr="00F814BC">
        <w:rPr>
          <w:rFonts w:eastAsia="宋体"/>
          <w:color w:val="000000"/>
          <w:sz w:val="24"/>
          <w:szCs w:val="24"/>
        </w:rPr>
        <w:t>要求的突破性器械，二是受</w:t>
      </w:r>
      <w:r w:rsidRPr="00F814BC">
        <w:rPr>
          <w:rFonts w:eastAsia="宋体"/>
          <w:color w:val="000000"/>
          <w:sz w:val="24"/>
          <w:szCs w:val="24"/>
        </w:rPr>
        <w:t>PMA</w:t>
      </w:r>
      <w:r w:rsidRPr="00F814BC">
        <w:rPr>
          <w:rFonts w:eastAsia="宋体"/>
          <w:color w:val="000000"/>
          <w:sz w:val="24"/>
          <w:szCs w:val="24"/>
        </w:rPr>
        <w:t>要求的用于小规模患者的器械。在本节中，指南更详细地描述了</w:t>
      </w:r>
      <w:r w:rsidRPr="00F814BC">
        <w:rPr>
          <w:rFonts w:eastAsia="宋体"/>
          <w:color w:val="000000"/>
          <w:sz w:val="24"/>
          <w:szCs w:val="24"/>
        </w:rPr>
        <w:t>FDA</w:t>
      </w:r>
      <w:r w:rsidRPr="00F814BC">
        <w:rPr>
          <w:rFonts w:eastAsia="宋体"/>
          <w:color w:val="000000"/>
          <w:sz w:val="24"/>
          <w:szCs w:val="24"/>
        </w:rPr>
        <w:t>打算如何将本指南中的政策应用于这两种情况，然后举例说明指南中的概念如何反映在上市前的研究设计和上市后的数据收集中，提供了简单的说明。在任何情况下，关于这种器械是否符合合理保证其预期用途的安全和有效性的法定标准的决定，将基于有效的科学证据的整体，包括临床研究和非临床测试。</w:t>
      </w:r>
      <w:r w:rsidRPr="00F814BC">
        <w:rPr>
          <w:rStyle w:val="a9"/>
          <w:rFonts w:eastAsia="宋体"/>
          <w:color w:val="000000"/>
          <w:sz w:val="24"/>
          <w:szCs w:val="24"/>
        </w:rPr>
        <w:footnoteReference w:id="37"/>
      </w:r>
    </w:p>
    <w:p w14:paraId="111ED693" w14:textId="77777777" w:rsidR="00961522" w:rsidRPr="00F814BC" w:rsidRDefault="00CB325C" w:rsidP="00640CB4">
      <w:pPr>
        <w:pStyle w:val="2"/>
        <w:spacing w:before="240" w:after="120"/>
        <w:ind w:left="630"/>
        <w:rPr>
          <w:rFonts w:eastAsia="宋体"/>
        </w:rPr>
      </w:pPr>
      <w:bookmarkStart w:id="20" w:name="bookmark33"/>
      <w:bookmarkStart w:id="21" w:name="_Toc98748000"/>
      <w:bookmarkStart w:id="22" w:name="_Toc97482648"/>
      <w:r w:rsidRPr="00F814BC">
        <w:rPr>
          <w:rFonts w:eastAsia="宋体"/>
        </w:rPr>
        <w:t>A</w:t>
      </w:r>
      <w:bookmarkEnd w:id="20"/>
      <w:r w:rsidRPr="00F814BC">
        <w:rPr>
          <w:rFonts w:eastAsia="宋体"/>
        </w:rPr>
        <w:t>.</w:t>
      </w:r>
      <w:r w:rsidRPr="00F814BC">
        <w:rPr>
          <w:rFonts w:eastAsia="宋体"/>
        </w:rPr>
        <w:tab/>
      </w:r>
      <w:r w:rsidRPr="00F814BC">
        <w:rPr>
          <w:rFonts w:eastAsia="宋体"/>
        </w:rPr>
        <w:t>受</w:t>
      </w:r>
      <w:r w:rsidRPr="00F814BC">
        <w:rPr>
          <w:rFonts w:eastAsia="宋体"/>
        </w:rPr>
        <w:t>PMA</w:t>
      </w:r>
      <w:r w:rsidRPr="00F814BC">
        <w:rPr>
          <w:rFonts w:eastAsia="宋体"/>
        </w:rPr>
        <w:t>限制的突破性器械</w:t>
      </w:r>
      <w:bookmarkEnd w:id="21"/>
      <w:bookmarkEnd w:id="22"/>
    </w:p>
    <w:p w14:paraId="671A8756"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对于许多受</w:t>
      </w:r>
      <w:r w:rsidRPr="00F814BC">
        <w:rPr>
          <w:rFonts w:eastAsia="宋体"/>
          <w:color w:val="000000"/>
          <w:sz w:val="24"/>
          <w:szCs w:val="24"/>
        </w:rPr>
        <w:t>PMA</w:t>
      </w:r>
      <w:r w:rsidRPr="00F814BC">
        <w:rPr>
          <w:rFonts w:eastAsia="宋体"/>
          <w:color w:val="000000"/>
          <w:sz w:val="24"/>
          <w:szCs w:val="24"/>
        </w:rPr>
        <w:t>限制的突破性器械</w:t>
      </w:r>
      <w:r w:rsidRPr="00F814BC">
        <w:rPr>
          <w:rStyle w:val="a9"/>
          <w:rFonts w:eastAsia="宋体"/>
          <w:color w:val="000000"/>
          <w:sz w:val="24"/>
          <w:szCs w:val="24"/>
        </w:rPr>
        <w:footnoteReference w:id="38"/>
      </w:r>
      <w:r w:rsidRPr="00F814BC">
        <w:rPr>
          <w:rFonts w:eastAsia="宋体"/>
          <w:color w:val="000000"/>
          <w:sz w:val="24"/>
          <w:szCs w:val="24"/>
        </w:rPr>
        <w:t>，在确定符合法定的批准标准时，包括器械的可能获益超过其可能的风险，</w:t>
      </w:r>
      <w:r w:rsidRPr="00F814BC">
        <w:rPr>
          <w:rFonts w:eastAsia="宋体"/>
          <w:color w:val="000000"/>
          <w:sz w:val="24"/>
          <w:szCs w:val="24"/>
        </w:rPr>
        <w:t>FDA</w:t>
      </w:r>
      <w:r w:rsidRPr="00F814BC">
        <w:rPr>
          <w:rFonts w:eastAsia="宋体"/>
          <w:color w:val="000000"/>
          <w:sz w:val="24"/>
          <w:szCs w:val="24"/>
        </w:rPr>
        <w:t>可以在适当的时候接受器械的可能获益和风险的更大不确定性，因为更早的患者获得可能的公共健康利益。此外，在符合上市前批准的法定标准的情况下，在上市后而不是在上市前收集额外的数据，以解决器械的可能效益和风险的更大不确定性，可能是合适的（</w:t>
      </w:r>
      <w:r w:rsidR="002F54F1" w:rsidRPr="00F814BC">
        <w:rPr>
          <w:rFonts w:ascii="宋体" w:eastAsia="宋体" w:hAnsi="宋体"/>
          <w:color w:val="000000"/>
          <w:sz w:val="24"/>
          <w:szCs w:val="24"/>
        </w:rPr>
        <w:t>“</w:t>
      </w:r>
      <w:r w:rsidR="00881EA3" w:rsidRPr="0006004F">
        <w:rPr>
          <w:rFonts w:ascii="宋体" w:hAnsi="宋体" w:hint="eastAsia"/>
          <w:color w:val="000000"/>
          <w:sz w:val="24"/>
        </w:rPr>
        <w:t>上市前</w:t>
      </w:r>
      <w:r w:rsidR="00881EA3" w:rsidRPr="0006004F">
        <w:rPr>
          <w:rFonts w:ascii="宋体" w:hAnsi="宋体"/>
          <w:color w:val="000000"/>
          <w:sz w:val="24"/>
        </w:rPr>
        <w:t>-</w:t>
      </w:r>
      <w:r w:rsidR="00881EA3" w:rsidRPr="0006004F">
        <w:rPr>
          <w:rFonts w:ascii="宋体" w:hAnsi="宋体" w:hint="eastAsia"/>
          <w:color w:val="000000"/>
          <w:sz w:val="24"/>
        </w:rPr>
        <w:t>上市后数据转移</w:t>
      </w:r>
      <w:r w:rsidR="00C566CE" w:rsidRPr="00F814BC">
        <w:rPr>
          <w:rFonts w:ascii="宋体" w:eastAsia="宋体" w:hAnsi="宋体" w:hint="eastAsia"/>
          <w:color w:val="000000"/>
          <w:sz w:val="24"/>
          <w:szCs w:val="24"/>
        </w:rPr>
        <w:t>”</w:t>
      </w:r>
      <w:r w:rsidRPr="00F814BC">
        <w:rPr>
          <w:rFonts w:eastAsia="宋体"/>
          <w:color w:val="000000"/>
          <w:sz w:val="24"/>
          <w:szCs w:val="24"/>
        </w:rPr>
        <w:t>）。这可能部分取决于可能的公共卫生</w:t>
      </w:r>
      <w:r w:rsidR="003C451D" w:rsidRPr="00F814BC">
        <w:rPr>
          <w:rFonts w:eastAsia="宋体" w:hint="eastAsia"/>
          <w:color w:val="000000"/>
          <w:sz w:val="24"/>
          <w:szCs w:val="24"/>
        </w:rPr>
        <w:t>获益</w:t>
      </w:r>
      <w:r w:rsidRPr="00F814BC">
        <w:rPr>
          <w:rFonts w:eastAsia="宋体"/>
          <w:color w:val="000000"/>
          <w:sz w:val="24"/>
          <w:szCs w:val="24"/>
        </w:rPr>
        <w:t>的大小（例如，如果可能的</w:t>
      </w:r>
      <w:r w:rsidR="003C451D" w:rsidRPr="00F814BC">
        <w:rPr>
          <w:rFonts w:eastAsia="宋体" w:hint="eastAsia"/>
          <w:color w:val="000000"/>
          <w:sz w:val="24"/>
          <w:szCs w:val="24"/>
        </w:rPr>
        <w:t>获益</w:t>
      </w:r>
      <w:r w:rsidR="00DE1CF6" w:rsidRPr="00F814BC">
        <w:rPr>
          <w:rFonts w:eastAsia="宋体"/>
          <w:color w:val="000000"/>
          <w:sz w:val="24"/>
          <w:szCs w:val="24"/>
        </w:rPr>
        <w:t>的</w:t>
      </w:r>
      <w:r w:rsidR="00DE1CF6" w:rsidRPr="00F814BC">
        <w:rPr>
          <w:rFonts w:eastAsia="宋体" w:hint="eastAsia"/>
          <w:color w:val="000000"/>
          <w:sz w:val="24"/>
          <w:szCs w:val="24"/>
        </w:rPr>
        <w:t>规模</w:t>
      </w:r>
      <w:r w:rsidRPr="00F814BC">
        <w:rPr>
          <w:rFonts w:eastAsia="宋体"/>
          <w:color w:val="000000"/>
          <w:sz w:val="24"/>
          <w:szCs w:val="24"/>
        </w:rPr>
        <w:t>很高，则更大的数据转移可能是合适的），以及在上市后能够并将及时收集数据的可能性（例如，如果上市后的数据收集不可能及时或根本不可能发生，则大量的数据转移可能是不合适的）。</w:t>
      </w:r>
      <w:r w:rsidRPr="00F814BC">
        <w:rPr>
          <w:rStyle w:val="a9"/>
          <w:rFonts w:eastAsia="宋体"/>
          <w:color w:val="000000"/>
          <w:sz w:val="24"/>
          <w:szCs w:val="24"/>
        </w:rPr>
        <w:t xml:space="preserve"> </w:t>
      </w:r>
      <w:r w:rsidRPr="00F814BC">
        <w:rPr>
          <w:rStyle w:val="a9"/>
          <w:rFonts w:eastAsia="宋体"/>
          <w:color w:val="000000"/>
          <w:sz w:val="24"/>
          <w:szCs w:val="24"/>
        </w:rPr>
        <w:footnoteReference w:id="39"/>
      </w:r>
      <w:r w:rsidRPr="00F814BC">
        <w:rPr>
          <w:rFonts w:eastAsia="宋体"/>
          <w:color w:val="000000"/>
          <w:sz w:val="24"/>
          <w:szCs w:val="24"/>
        </w:rPr>
        <w:t>例如，一般来说，评估已批准的</w:t>
      </w:r>
      <w:r w:rsidR="00932C0C">
        <w:rPr>
          <w:rFonts w:eastAsia="宋体"/>
          <w:color w:val="000000"/>
          <w:sz w:val="24"/>
          <w:szCs w:val="24"/>
        </w:rPr>
        <w:t>适应证</w:t>
      </w:r>
      <w:r w:rsidRPr="00F814BC">
        <w:rPr>
          <w:rFonts w:eastAsia="宋体"/>
          <w:color w:val="000000"/>
          <w:sz w:val="24"/>
          <w:szCs w:val="24"/>
        </w:rPr>
        <w:t>的器械上市后研究中的患者注册已被证明具有挑战性，因为患者不需要参加临床研究来获得技术。但如果很有可能及时收集完整的上市后数据，如果在这种情况下，</w:t>
      </w:r>
      <w:r w:rsidRPr="00F814BC">
        <w:rPr>
          <w:rFonts w:eastAsia="宋体"/>
          <w:color w:val="000000"/>
          <w:sz w:val="24"/>
          <w:szCs w:val="24"/>
        </w:rPr>
        <w:t>FDA</w:t>
      </w:r>
      <w:r w:rsidRPr="00F814BC">
        <w:rPr>
          <w:rFonts w:eastAsia="宋体"/>
          <w:color w:val="000000"/>
          <w:sz w:val="24"/>
          <w:szCs w:val="24"/>
        </w:rPr>
        <w:t>可以接受其上市前获益风险</w:t>
      </w:r>
      <w:r w:rsidR="006A452A" w:rsidRPr="00F814BC">
        <w:rPr>
          <w:rFonts w:eastAsia="宋体" w:hint="eastAsia"/>
          <w:color w:val="000000"/>
          <w:sz w:val="24"/>
          <w:szCs w:val="24"/>
        </w:rPr>
        <w:t>判定</w:t>
      </w:r>
      <w:r w:rsidRPr="00F814BC">
        <w:rPr>
          <w:rFonts w:eastAsia="宋体"/>
          <w:color w:val="000000"/>
          <w:sz w:val="24"/>
          <w:szCs w:val="24"/>
        </w:rPr>
        <w:t>方面的更大不确定性。对于接受</w:t>
      </w:r>
      <w:r w:rsidRPr="00F814BC">
        <w:rPr>
          <w:rFonts w:eastAsia="宋体"/>
          <w:color w:val="000000"/>
          <w:sz w:val="24"/>
          <w:szCs w:val="24"/>
        </w:rPr>
        <w:t>PMA</w:t>
      </w:r>
      <w:r w:rsidRPr="00F814BC">
        <w:rPr>
          <w:rFonts w:eastAsia="宋体"/>
          <w:color w:val="000000"/>
          <w:sz w:val="24"/>
          <w:szCs w:val="24"/>
        </w:rPr>
        <w:t>的突破性器械，</w:t>
      </w:r>
      <w:r w:rsidRPr="00F814BC">
        <w:rPr>
          <w:rFonts w:eastAsia="宋体"/>
          <w:color w:val="000000"/>
          <w:sz w:val="24"/>
          <w:szCs w:val="24"/>
        </w:rPr>
        <w:t>FDA</w:t>
      </w:r>
      <w:r w:rsidRPr="00F814BC">
        <w:rPr>
          <w:rFonts w:eastAsia="宋体"/>
          <w:color w:val="000000"/>
          <w:sz w:val="24"/>
          <w:szCs w:val="24"/>
        </w:rPr>
        <w:t>也可以决定利用下面描述的一个或多个上市后控制措施。</w:t>
      </w:r>
    </w:p>
    <w:p w14:paraId="7FC6E872" w14:textId="77777777" w:rsidR="00973B28" w:rsidRDefault="00973B28" w:rsidP="0006004F">
      <w:pPr>
        <w:shd w:val="clear" w:color="auto" w:fill="FFFFFF"/>
        <w:tabs>
          <w:tab w:val="left" w:pos="182"/>
        </w:tabs>
        <w:snapToGrid w:val="0"/>
        <w:ind w:firstLineChars="200" w:firstLine="480"/>
        <w:jc w:val="both"/>
        <w:rPr>
          <w:rFonts w:eastAsia="宋体"/>
          <w:color w:val="000000"/>
          <w:sz w:val="24"/>
          <w:szCs w:val="24"/>
          <w:vertAlign w:val="superscript"/>
        </w:rPr>
      </w:pPr>
    </w:p>
    <w:p w14:paraId="0CD0676F" w14:textId="77777777" w:rsidR="00BE0DEA" w:rsidRPr="00F814BC" w:rsidRDefault="00BE0DEA">
      <w:pPr>
        <w:shd w:val="clear" w:color="auto" w:fill="FFFFFF"/>
        <w:tabs>
          <w:tab w:val="left" w:pos="182"/>
        </w:tabs>
        <w:snapToGrid w:val="0"/>
        <w:ind w:firstLineChars="200" w:firstLine="480"/>
        <w:jc w:val="both"/>
        <w:rPr>
          <w:rFonts w:eastAsia="宋体"/>
          <w:sz w:val="24"/>
          <w:szCs w:val="24"/>
        </w:rPr>
        <w:sectPr w:rsidR="00BE0DEA" w:rsidRPr="00F814BC" w:rsidSect="0006004F">
          <w:pgSz w:w="11906" w:h="16838" w:code="9"/>
          <w:pgMar w:top="1134" w:right="1134" w:bottom="1134" w:left="1418" w:header="567" w:footer="567" w:gutter="0"/>
          <w:cols w:space="60"/>
          <w:noEndnote/>
          <w:docGrid w:linePitch="272"/>
        </w:sectPr>
      </w:pPr>
    </w:p>
    <w:p w14:paraId="321CD748"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lastRenderedPageBreak/>
        <w:t>FDA</w:t>
      </w:r>
      <w:r w:rsidRPr="00F814BC">
        <w:rPr>
          <w:rFonts w:eastAsia="宋体"/>
          <w:color w:val="000000"/>
          <w:sz w:val="24"/>
          <w:szCs w:val="24"/>
        </w:rPr>
        <w:t>与</w:t>
      </w:r>
      <w:r w:rsidR="005D7A68">
        <w:rPr>
          <w:rFonts w:eastAsia="宋体"/>
          <w:color w:val="000000"/>
          <w:sz w:val="24"/>
          <w:szCs w:val="24"/>
        </w:rPr>
        <w:t>申办方</w:t>
      </w:r>
      <w:r w:rsidRPr="00F814BC">
        <w:rPr>
          <w:rFonts w:eastAsia="宋体"/>
          <w:color w:val="000000"/>
          <w:sz w:val="24"/>
          <w:szCs w:val="24"/>
        </w:rPr>
        <w:t>合作，打算根据具体情况和第</w:t>
      </w:r>
      <w:r w:rsidR="0026244F" w:rsidRPr="00F814BC">
        <w:rPr>
          <w:rFonts w:eastAsia="宋体" w:hint="eastAsia"/>
          <w:color w:val="000000"/>
          <w:sz w:val="24"/>
          <w:szCs w:val="24"/>
        </w:rPr>
        <w:t>IV</w:t>
      </w:r>
      <w:r w:rsidRPr="00F814BC">
        <w:rPr>
          <w:rFonts w:eastAsia="宋体"/>
          <w:color w:val="000000"/>
          <w:sz w:val="24"/>
          <w:szCs w:val="24"/>
        </w:rPr>
        <w:t>节中概述的因素，确定适当的不确定性和适当的上市后控制。例如，如果</w:t>
      </w:r>
      <w:r w:rsidRPr="00F814BC">
        <w:rPr>
          <w:rFonts w:eastAsia="宋体"/>
          <w:color w:val="000000"/>
          <w:sz w:val="24"/>
          <w:szCs w:val="24"/>
        </w:rPr>
        <w:t>FDA</w:t>
      </w:r>
      <w:r w:rsidRPr="00F814BC">
        <w:rPr>
          <w:rFonts w:eastAsia="宋体"/>
          <w:color w:val="000000"/>
          <w:sz w:val="24"/>
          <w:szCs w:val="24"/>
        </w:rPr>
        <w:t>确定较大的不确定性是适当的，但某些上市后控制是必要的，</w:t>
      </w:r>
      <w:r w:rsidR="005D7A68">
        <w:rPr>
          <w:rFonts w:eastAsia="宋体"/>
          <w:color w:val="000000"/>
          <w:sz w:val="24"/>
          <w:szCs w:val="24"/>
        </w:rPr>
        <w:t>申办方</w:t>
      </w:r>
      <w:r w:rsidRPr="00F814BC">
        <w:rPr>
          <w:rFonts w:eastAsia="宋体"/>
          <w:color w:val="000000"/>
          <w:sz w:val="24"/>
          <w:szCs w:val="24"/>
        </w:rPr>
        <w:t>可以采取这种方法，或在上市前提供额外的数据，这将减少不确定性，可能导致较少的上市后控制。</w:t>
      </w:r>
      <w:r w:rsidRPr="00F814BC">
        <w:rPr>
          <w:rFonts w:eastAsia="宋体"/>
          <w:color w:val="000000"/>
          <w:sz w:val="24"/>
          <w:szCs w:val="24"/>
        </w:rPr>
        <w:t>FDA</w:t>
      </w:r>
      <w:r w:rsidRPr="00F814BC">
        <w:rPr>
          <w:rFonts w:eastAsia="宋体"/>
          <w:color w:val="000000"/>
          <w:sz w:val="24"/>
          <w:szCs w:val="24"/>
        </w:rPr>
        <w:t>认识到</w:t>
      </w:r>
      <w:r w:rsidR="005D7A68">
        <w:rPr>
          <w:rFonts w:eastAsia="宋体"/>
          <w:color w:val="000000"/>
          <w:sz w:val="24"/>
          <w:szCs w:val="24"/>
        </w:rPr>
        <w:t>申办方</w:t>
      </w:r>
      <w:r w:rsidRPr="00F814BC">
        <w:rPr>
          <w:rFonts w:eastAsia="宋体"/>
          <w:color w:val="000000"/>
          <w:sz w:val="24"/>
          <w:szCs w:val="24"/>
        </w:rPr>
        <w:t>可能有不同的方式来证明安全和有效性的合理保证，并鼓励</w:t>
      </w:r>
      <w:r w:rsidR="005D7A68">
        <w:rPr>
          <w:rFonts w:eastAsia="宋体"/>
          <w:color w:val="000000"/>
          <w:sz w:val="24"/>
          <w:szCs w:val="24"/>
        </w:rPr>
        <w:t>申办方</w:t>
      </w:r>
      <w:r w:rsidRPr="00F814BC">
        <w:rPr>
          <w:rFonts w:eastAsia="宋体"/>
          <w:color w:val="000000"/>
          <w:sz w:val="24"/>
          <w:szCs w:val="24"/>
        </w:rPr>
        <w:t>尽早与</w:t>
      </w:r>
      <w:r w:rsidRPr="00F814BC">
        <w:rPr>
          <w:rFonts w:eastAsia="宋体"/>
          <w:color w:val="000000"/>
          <w:sz w:val="24"/>
          <w:szCs w:val="24"/>
        </w:rPr>
        <w:t>FDA</w:t>
      </w:r>
      <w:r w:rsidRPr="00F814BC">
        <w:rPr>
          <w:rFonts w:eastAsia="宋体"/>
          <w:color w:val="000000"/>
          <w:sz w:val="24"/>
          <w:szCs w:val="24"/>
        </w:rPr>
        <w:t>联系，讨论潜在的开发计划。</w:t>
      </w:r>
    </w:p>
    <w:p w14:paraId="177BA359" w14:textId="77777777" w:rsidR="00973B28" w:rsidRDefault="00973B28" w:rsidP="0006004F">
      <w:pPr>
        <w:shd w:val="clear" w:color="auto" w:fill="FFFFFF"/>
        <w:snapToGrid w:val="0"/>
        <w:ind w:firstLineChars="200" w:firstLine="480"/>
        <w:jc w:val="both"/>
        <w:rPr>
          <w:rFonts w:eastAsia="宋体"/>
          <w:sz w:val="24"/>
          <w:szCs w:val="24"/>
        </w:rPr>
      </w:pPr>
    </w:p>
    <w:p w14:paraId="7D365E07"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突破性器械，就其性质而言，通常有可能解决严重病症中未得到满足的需求，而且患者通常可能更愿意接受此类产品在</w:t>
      </w:r>
      <w:r w:rsidR="00416DC6" w:rsidRPr="00F814BC">
        <w:rPr>
          <w:rFonts w:eastAsia="宋体" w:hint="eastAsia"/>
          <w:color w:val="000000"/>
          <w:sz w:val="24"/>
          <w:szCs w:val="24"/>
        </w:rPr>
        <w:t>获益</w:t>
      </w:r>
      <w:r w:rsidRPr="00F814BC">
        <w:rPr>
          <w:rFonts w:eastAsia="宋体"/>
          <w:color w:val="000000"/>
          <w:sz w:val="24"/>
          <w:szCs w:val="24"/>
        </w:rPr>
        <w:t>和风险方面的更大不确定性。</w:t>
      </w:r>
      <w:r w:rsidRPr="00F814BC">
        <w:rPr>
          <w:rStyle w:val="a9"/>
          <w:rFonts w:eastAsia="宋体"/>
          <w:color w:val="000000"/>
          <w:sz w:val="24"/>
          <w:szCs w:val="24"/>
        </w:rPr>
        <w:t xml:space="preserve"> </w:t>
      </w:r>
      <w:r w:rsidRPr="00F814BC">
        <w:rPr>
          <w:rStyle w:val="a9"/>
          <w:rFonts w:eastAsia="宋体"/>
          <w:color w:val="000000"/>
          <w:sz w:val="24"/>
          <w:szCs w:val="24"/>
        </w:rPr>
        <w:footnoteReference w:id="40"/>
      </w:r>
      <w:r w:rsidRPr="00F814BC">
        <w:rPr>
          <w:rFonts w:eastAsia="宋体"/>
          <w:color w:val="000000"/>
          <w:sz w:val="24"/>
          <w:szCs w:val="24"/>
        </w:rPr>
        <w:t>此外，对于受</w:t>
      </w:r>
      <w:r w:rsidR="00C57AC1" w:rsidRPr="00F814BC">
        <w:rPr>
          <w:rFonts w:eastAsia="宋体"/>
          <w:color w:val="000000"/>
          <w:sz w:val="24"/>
          <w:szCs w:val="24"/>
        </w:rPr>
        <w:t>PMA</w:t>
      </w:r>
      <w:r w:rsidRPr="00F814BC">
        <w:rPr>
          <w:rFonts w:eastAsia="宋体"/>
          <w:color w:val="000000"/>
          <w:sz w:val="24"/>
          <w:szCs w:val="24"/>
        </w:rPr>
        <w:t>约束的器械，</w:t>
      </w:r>
      <w:r w:rsidRPr="00F814BC">
        <w:rPr>
          <w:rFonts w:eastAsia="宋体"/>
          <w:color w:val="000000"/>
          <w:sz w:val="24"/>
          <w:szCs w:val="24"/>
        </w:rPr>
        <w:t>FDA</w:t>
      </w:r>
      <w:r w:rsidRPr="00F814BC">
        <w:rPr>
          <w:rFonts w:eastAsia="宋体"/>
          <w:color w:val="000000"/>
          <w:sz w:val="24"/>
          <w:szCs w:val="24"/>
        </w:rPr>
        <w:t>有权建立</w:t>
      </w:r>
      <w:r w:rsidR="008E38AD" w:rsidRPr="00F814BC">
        <w:rPr>
          <w:rFonts w:eastAsia="宋体"/>
          <w:color w:val="000000"/>
          <w:sz w:val="24"/>
          <w:szCs w:val="24"/>
        </w:rPr>
        <w:t>上市后</w:t>
      </w:r>
      <w:r w:rsidRPr="00F814BC">
        <w:rPr>
          <w:rFonts w:eastAsia="宋体"/>
          <w:color w:val="000000"/>
          <w:sz w:val="24"/>
          <w:szCs w:val="24"/>
        </w:rPr>
        <w:t>控制，包括</w:t>
      </w:r>
      <w:r w:rsidR="008E38AD" w:rsidRPr="00F814BC">
        <w:rPr>
          <w:rFonts w:eastAsia="宋体"/>
          <w:color w:val="000000"/>
          <w:sz w:val="24"/>
          <w:szCs w:val="24"/>
        </w:rPr>
        <w:t>上市后</w:t>
      </w:r>
      <w:r w:rsidRPr="00F814BC">
        <w:rPr>
          <w:rFonts w:eastAsia="宋体"/>
          <w:color w:val="000000"/>
          <w:sz w:val="24"/>
          <w:szCs w:val="24"/>
        </w:rPr>
        <w:t>数据收集。</w:t>
      </w:r>
      <w:r w:rsidRPr="00F814BC">
        <w:rPr>
          <w:rStyle w:val="a9"/>
          <w:rFonts w:eastAsia="宋体"/>
          <w:color w:val="000000"/>
          <w:sz w:val="24"/>
          <w:szCs w:val="24"/>
        </w:rPr>
        <w:t xml:space="preserve"> </w:t>
      </w:r>
      <w:r w:rsidRPr="00F814BC">
        <w:rPr>
          <w:rStyle w:val="a9"/>
          <w:rFonts w:eastAsia="宋体"/>
          <w:color w:val="000000"/>
          <w:sz w:val="24"/>
          <w:szCs w:val="24"/>
        </w:rPr>
        <w:footnoteReference w:id="41"/>
      </w:r>
      <w:r w:rsidRPr="00F814BC">
        <w:rPr>
          <w:rFonts w:eastAsia="宋体"/>
          <w:color w:val="000000"/>
          <w:sz w:val="24"/>
          <w:szCs w:val="24"/>
        </w:rPr>
        <w:t>因此，对于突破性器械的</w:t>
      </w:r>
      <w:r w:rsidR="00C57AC1" w:rsidRPr="00F814BC">
        <w:rPr>
          <w:rFonts w:eastAsia="宋体"/>
          <w:color w:val="000000"/>
          <w:sz w:val="24"/>
          <w:szCs w:val="24"/>
        </w:rPr>
        <w:t>PMA</w:t>
      </w:r>
      <w:r w:rsidRPr="00F814BC">
        <w:rPr>
          <w:rFonts w:eastAsia="宋体"/>
          <w:color w:val="000000"/>
          <w:sz w:val="24"/>
          <w:szCs w:val="24"/>
        </w:rPr>
        <w:t>，</w:t>
      </w:r>
      <w:r w:rsidRPr="00F814BC">
        <w:rPr>
          <w:rFonts w:eastAsia="宋体"/>
          <w:color w:val="000000"/>
          <w:sz w:val="24"/>
          <w:szCs w:val="24"/>
        </w:rPr>
        <w:t>FDA</w:t>
      </w:r>
      <w:r w:rsidRPr="00F814BC">
        <w:rPr>
          <w:rFonts w:eastAsia="宋体"/>
          <w:color w:val="000000"/>
          <w:sz w:val="24"/>
          <w:szCs w:val="24"/>
        </w:rPr>
        <w:t>可以在适当的时候接受更大的不确定性。在任何情况下，一个特定器械的适当不确定性将取决于具体情况。此外，下文所述的上市后控制措施可适用于接受</w:t>
      </w:r>
      <w:r w:rsidRPr="00F814BC">
        <w:rPr>
          <w:rFonts w:eastAsia="宋体"/>
          <w:color w:val="000000"/>
          <w:sz w:val="24"/>
          <w:szCs w:val="24"/>
        </w:rPr>
        <w:t>PMA</w:t>
      </w:r>
      <w:r w:rsidRPr="00F814BC">
        <w:rPr>
          <w:rFonts w:eastAsia="宋体"/>
          <w:color w:val="000000"/>
          <w:sz w:val="24"/>
          <w:szCs w:val="24"/>
        </w:rPr>
        <w:t>的非突破性器械，具体取决于情况。</w:t>
      </w:r>
    </w:p>
    <w:p w14:paraId="29C22470" w14:textId="77777777" w:rsidR="00961522" w:rsidRPr="00F814BC" w:rsidRDefault="00961522" w:rsidP="00640CB4">
      <w:pPr>
        <w:shd w:val="clear" w:color="auto" w:fill="FFFFFF"/>
        <w:snapToGrid w:val="0"/>
        <w:jc w:val="both"/>
        <w:rPr>
          <w:rFonts w:eastAsia="宋体"/>
          <w:color w:val="000000"/>
          <w:sz w:val="24"/>
          <w:szCs w:val="24"/>
          <w:vertAlign w:val="superscript"/>
        </w:rPr>
      </w:pPr>
    </w:p>
    <w:p w14:paraId="17FC93C3" w14:textId="77777777" w:rsidR="00BE0DEA" w:rsidRPr="00F814BC" w:rsidRDefault="00BE0DEA" w:rsidP="00640CB4">
      <w:pPr>
        <w:shd w:val="clear" w:color="auto" w:fill="FFFFFF"/>
        <w:snapToGrid w:val="0"/>
        <w:jc w:val="both"/>
        <w:rPr>
          <w:rFonts w:eastAsia="宋体"/>
          <w:sz w:val="24"/>
          <w:szCs w:val="24"/>
        </w:rPr>
        <w:sectPr w:rsidR="00BE0DEA" w:rsidRPr="00F814BC" w:rsidSect="0006004F">
          <w:pgSz w:w="11906" w:h="16838" w:code="9"/>
          <w:pgMar w:top="1134" w:right="1134" w:bottom="1134" w:left="1418" w:header="567" w:footer="567" w:gutter="0"/>
          <w:cols w:space="60"/>
          <w:noEndnote/>
          <w:docGrid w:linePitch="272"/>
        </w:sectPr>
      </w:pPr>
    </w:p>
    <w:p w14:paraId="4FBD66B9" w14:textId="77777777" w:rsidR="00961522" w:rsidRPr="00F814BC" w:rsidRDefault="0057162B" w:rsidP="00640CB4">
      <w:pPr>
        <w:pStyle w:val="3"/>
        <w:spacing w:before="120" w:after="120"/>
        <w:ind w:left="1276"/>
      </w:pPr>
      <w:bookmarkStart w:id="23" w:name="_Toc98748001"/>
      <w:bookmarkStart w:id="24" w:name="_Toc97482649"/>
      <w:r w:rsidRPr="00F814BC">
        <w:lastRenderedPageBreak/>
        <w:t>（</w:t>
      </w:r>
      <w:r w:rsidR="00CB325C" w:rsidRPr="00F814BC">
        <w:t>1</w:t>
      </w:r>
      <w:r w:rsidRPr="00F814BC">
        <w:t>）</w:t>
      </w:r>
      <w:r w:rsidR="00CB325C" w:rsidRPr="00F814BC">
        <w:tab/>
      </w:r>
      <w:r w:rsidR="00CB325C" w:rsidRPr="00F814BC">
        <w:t>及时收集</w:t>
      </w:r>
      <w:r w:rsidR="008E38AD" w:rsidRPr="00F814BC">
        <w:t>上市后</w:t>
      </w:r>
      <w:r w:rsidR="00CB325C" w:rsidRPr="00F814BC">
        <w:t>的数据</w:t>
      </w:r>
      <w:bookmarkEnd w:id="23"/>
      <w:bookmarkEnd w:id="24"/>
    </w:p>
    <w:p w14:paraId="301A9A9B" w14:textId="77777777" w:rsidR="00973B28" w:rsidRDefault="00CB325C" w:rsidP="0006004F">
      <w:pPr>
        <w:shd w:val="clear" w:color="auto" w:fill="FFFFFF"/>
        <w:snapToGrid w:val="0"/>
        <w:ind w:firstLineChars="200" w:firstLine="480"/>
        <w:jc w:val="both"/>
        <w:rPr>
          <w:rFonts w:eastAsia="宋体"/>
          <w:color w:val="000000"/>
          <w:sz w:val="24"/>
          <w:szCs w:val="24"/>
        </w:rPr>
      </w:pPr>
      <w:bookmarkStart w:id="25" w:name="bookmark38"/>
      <w:bookmarkEnd w:id="25"/>
      <w:r w:rsidRPr="00F814BC">
        <w:rPr>
          <w:rFonts w:eastAsia="宋体"/>
          <w:color w:val="000000"/>
          <w:sz w:val="24"/>
          <w:szCs w:val="24"/>
        </w:rPr>
        <w:t>在上市后环境中收集的数据是可靠的、高质量的和及时的，这一点至关重要。因此，当</w:t>
      </w:r>
      <w:r w:rsidRPr="00F814BC">
        <w:rPr>
          <w:rFonts w:eastAsia="宋体"/>
          <w:color w:val="000000"/>
          <w:sz w:val="24"/>
          <w:szCs w:val="24"/>
        </w:rPr>
        <w:t>FDA</w:t>
      </w:r>
      <w:r w:rsidRPr="00F814BC">
        <w:rPr>
          <w:rFonts w:eastAsia="宋体"/>
          <w:color w:val="000000"/>
          <w:sz w:val="24"/>
          <w:szCs w:val="24"/>
        </w:rPr>
        <w:t>认为</w:t>
      </w:r>
      <w:r w:rsidR="008E38AD" w:rsidRPr="00F814BC">
        <w:rPr>
          <w:rFonts w:eastAsia="宋体"/>
          <w:color w:val="000000"/>
          <w:sz w:val="24"/>
          <w:szCs w:val="24"/>
        </w:rPr>
        <w:t>上市后</w:t>
      </w:r>
      <w:r w:rsidRPr="00F814BC">
        <w:rPr>
          <w:rFonts w:eastAsia="宋体"/>
          <w:color w:val="000000"/>
          <w:sz w:val="24"/>
          <w:szCs w:val="24"/>
        </w:rPr>
        <w:t>的数据收集是适当的，如市场前</w:t>
      </w:r>
      <w:r w:rsidRPr="00F814BC">
        <w:rPr>
          <w:rFonts w:eastAsia="宋体"/>
          <w:color w:val="000000"/>
          <w:sz w:val="24"/>
          <w:szCs w:val="24"/>
        </w:rPr>
        <w:t>-</w:t>
      </w:r>
      <w:r w:rsidR="008E38AD" w:rsidRPr="00F814BC">
        <w:rPr>
          <w:rFonts w:eastAsia="宋体"/>
          <w:color w:val="000000"/>
          <w:sz w:val="24"/>
          <w:szCs w:val="24"/>
        </w:rPr>
        <w:t>上市后</w:t>
      </w:r>
      <w:r w:rsidRPr="00F814BC">
        <w:rPr>
          <w:rFonts w:eastAsia="宋体"/>
          <w:color w:val="000000"/>
          <w:sz w:val="24"/>
          <w:szCs w:val="24"/>
        </w:rPr>
        <w:t>数据转移的一部分，</w:t>
      </w:r>
      <w:r w:rsidRPr="00F814BC">
        <w:rPr>
          <w:rFonts w:eastAsia="宋体"/>
          <w:color w:val="000000"/>
          <w:sz w:val="24"/>
          <w:szCs w:val="24"/>
        </w:rPr>
        <w:t>FDA</w:t>
      </w:r>
      <w:r w:rsidRPr="00F814BC">
        <w:rPr>
          <w:rFonts w:eastAsia="宋体"/>
          <w:color w:val="000000"/>
          <w:sz w:val="24"/>
          <w:szCs w:val="24"/>
        </w:rPr>
        <w:t>打算将及时提交</w:t>
      </w:r>
      <w:r w:rsidR="008E38AD" w:rsidRPr="00F814BC">
        <w:rPr>
          <w:rFonts w:eastAsia="宋体"/>
          <w:color w:val="000000"/>
          <w:sz w:val="24"/>
          <w:szCs w:val="24"/>
        </w:rPr>
        <w:t>上市后</w:t>
      </w:r>
      <w:r w:rsidRPr="00F814BC">
        <w:rPr>
          <w:rFonts w:eastAsia="宋体"/>
          <w:color w:val="000000"/>
          <w:sz w:val="24"/>
          <w:szCs w:val="24"/>
        </w:rPr>
        <w:t>研究的数据作为批准条件。</w:t>
      </w:r>
      <w:r w:rsidRPr="00F814BC">
        <w:rPr>
          <w:rFonts w:eastAsia="宋体"/>
          <w:color w:val="000000"/>
          <w:sz w:val="24"/>
          <w:szCs w:val="24"/>
        </w:rPr>
        <w:t>FDA</w:t>
      </w:r>
      <w:r w:rsidRPr="00F814BC">
        <w:rPr>
          <w:rFonts w:eastAsia="宋体"/>
          <w:color w:val="000000"/>
          <w:sz w:val="24"/>
          <w:szCs w:val="24"/>
        </w:rPr>
        <w:t>已经要求将</w:t>
      </w:r>
      <w:r w:rsidR="008E38AD" w:rsidRPr="00F814BC">
        <w:rPr>
          <w:rFonts w:eastAsia="宋体"/>
          <w:color w:val="000000"/>
          <w:sz w:val="24"/>
          <w:szCs w:val="24"/>
        </w:rPr>
        <w:t>上市后</w:t>
      </w:r>
      <w:r w:rsidRPr="00F814BC">
        <w:rPr>
          <w:rFonts w:eastAsia="宋体"/>
          <w:color w:val="000000"/>
          <w:sz w:val="24"/>
          <w:szCs w:val="24"/>
        </w:rPr>
        <w:t>研究作为批准的条件，以提供关于许多已批准的医疗器械的安全和有效性的持续合理保证的信息。这些上市后的研究都列在</w:t>
      </w:r>
      <w:r w:rsidR="00340FE3" w:rsidRPr="00F814BC">
        <w:rPr>
          <w:rFonts w:eastAsia="宋体" w:hint="eastAsia"/>
          <w:color w:val="000000"/>
          <w:sz w:val="24"/>
          <w:szCs w:val="24"/>
        </w:rPr>
        <w:t>FDA</w:t>
      </w:r>
      <w:r w:rsidRPr="00F814BC">
        <w:rPr>
          <w:rFonts w:eastAsia="宋体"/>
          <w:color w:val="000000"/>
          <w:sz w:val="24"/>
          <w:szCs w:val="24"/>
        </w:rPr>
        <w:t>的网站上。</w:t>
      </w:r>
      <w:r w:rsidRPr="00F814BC">
        <w:rPr>
          <w:rStyle w:val="a9"/>
          <w:rFonts w:eastAsia="宋体"/>
          <w:color w:val="000000"/>
          <w:sz w:val="24"/>
          <w:szCs w:val="24"/>
        </w:rPr>
        <w:t xml:space="preserve"> </w:t>
      </w:r>
      <w:r w:rsidRPr="00F814BC">
        <w:rPr>
          <w:rStyle w:val="a9"/>
          <w:rFonts w:eastAsia="宋体"/>
          <w:color w:val="000000"/>
          <w:sz w:val="24"/>
          <w:szCs w:val="24"/>
        </w:rPr>
        <w:footnoteReference w:id="42"/>
      </w:r>
      <w:r w:rsidRPr="00F814BC">
        <w:rPr>
          <w:rFonts w:eastAsia="宋体"/>
          <w:color w:val="000000"/>
          <w:sz w:val="24"/>
          <w:szCs w:val="24"/>
        </w:rPr>
        <w:t>如果批准的条件，包括收集上市后的数据，没有得到满足，</w:t>
      </w:r>
      <w:r w:rsidRPr="00F814BC">
        <w:rPr>
          <w:rFonts w:eastAsia="宋体"/>
          <w:color w:val="000000"/>
          <w:sz w:val="24"/>
          <w:szCs w:val="24"/>
        </w:rPr>
        <w:t>FDA</w:t>
      </w:r>
      <w:r w:rsidRPr="00F814BC">
        <w:rPr>
          <w:rFonts w:eastAsia="宋体"/>
          <w:color w:val="000000"/>
          <w:sz w:val="24"/>
          <w:szCs w:val="24"/>
        </w:rPr>
        <w:t>有权撤回对</w:t>
      </w:r>
      <w:r w:rsidRPr="00F814BC">
        <w:rPr>
          <w:rFonts w:eastAsia="宋体"/>
          <w:color w:val="000000"/>
          <w:sz w:val="24"/>
          <w:szCs w:val="24"/>
        </w:rPr>
        <w:t>PMA</w:t>
      </w:r>
      <w:r w:rsidRPr="00F814BC">
        <w:rPr>
          <w:rFonts w:eastAsia="宋体"/>
          <w:color w:val="000000"/>
          <w:sz w:val="24"/>
          <w:szCs w:val="24"/>
        </w:rPr>
        <w:t>的批准。</w:t>
      </w:r>
      <w:r w:rsidRPr="00F814BC">
        <w:rPr>
          <w:rStyle w:val="a9"/>
          <w:rFonts w:eastAsia="宋体"/>
          <w:color w:val="000000"/>
          <w:sz w:val="24"/>
          <w:szCs w:val="24"/>
        </w:rPr>
        <w:t xml:space="preserve"> </w:t>
      </w:r>
      <w:r w:rsidRPr="00F814BC">
        <w:rPr>
          <w:rStyle w:val="a9"/>
          <w:rFonts w:eastAsia="宋体"/>
          <w:color w:val="000000"/>
          <w:sz w:val="24"/>
          <w:szCs w:val="24"/>
        </w:rPr>
        <w:footnoteReference w:id="43"/>
      </w:r>
      <w:r w:rsidRPr="00F814BC">
        <w:rPr>
          <w:rFonts w:eastAsia="宋体"/>
          <w:color w:val="000000"/>
          <w:sz w:val="24"/>
          <w:szCs w:val="24"/>
        </w:rPr>
        <w:t>FDA</w:t>
      </w:r>
      <w:r w:rsidRPr="00F814BC">
        <w:rPr>
          <w:rFonts w:eastAsia="宋体"/>
          <w:color w:val="000000"/>
          <w:sz w:val="24"/>
          <w:szCs w:val="24"/>
        </w:rPr>
        <w:t>打算与</w:t>
      </w:r>
      <w:r w:rsidR="005D7A68">
        <w:rPr>
          <w:rFonts w:eastAsia="宋体"/>
          <w:color w:val="000000"/>
          <w:sz w:val="24"/>
          <w:szCs w:val="24"/>
        </w:rPr>
        <w:t>申办方</w:t>
      </w:r>
      <w:r w:rsidRPr="00F814BC">
        <w:rPr>
          <w:rFonts w:eastAsia="宋体"/>
          <w:color w:val="000000"/>
          <w:sz w:val="24"/>
          <w:szCs w:val="24"/>
        </w:rPr>
        <w:t>合作，就适当的上市后数据收集达成协议。</w:t>
      </w:r>
    </w:p>
    <w:p w14:paraId="07A9E628" w14:textId="77777777" w:rsidR="00973B28" w:rsidRDefault="00973B28" w:rsidP="0006004F">
      <w:pPr>
        <w:shd w:val="clear" w:color="auto" w:fill="FFFFFF"/>
        <w:snapToGrid w:val="0"/>
        <w:ind w:firstLineChars="200" w:firstLine="480"/>
        <w:jc w:val="both"/>
        <w:rPr>
          <w:rFonts w:eastAsia="宋体"/>
          <w:sz w:val="24"/>
          <w:szCs w:val="24"/>
        </w:rPr>
      </w:pPr>
    </w:p>
    <w:p w14:paraId="1BEF48B4"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但在及时和适当的</w:t>
      </w:r>
      <w:r w:rsidR="008E38AD" w:rsidRPr="00F814BC">
        <w:rPr>
          <w:rFonts w:eastAsia="宋体"/>
          <w:color w:val="000000"/>
          <w:sz w:val="24"/>
          <w:szCs w:val="24"/>
        </w:rPr>
        <w:t>上市后</w:t>
      </w:r>
      <w:r w:rsidRPr="00F814BC">
        <w:rPr>
          <w:rFonts w:eastAsia="宋体"/>
          <w:color w:val="000000"/>
          <w:sz w:val="24"/>
          <w:szCs w:val="24"/>
        </w:rPr>
        <w:t>数据收集方面的挑战，阻碍了</w:t>
      </w:r>
      <w:r w:rsidRPr="00F814BC">
        <w:rPr>
          <w:rFonts w:eastAsia="宋体"/>
          <w:color w:val="000000"/>
          <w:sz w:val="24"/>
          <w:szCs w:val="24"/>
        </w:rPr>
        <w:t>FDA</w:t>
      </w:r>
      <w:r w:rsidRPr="00F814BC">
        <w:rPr>
          <w:rFonts w:eastAsia="宋体"/>
          <w:color w:val="000000"/>
          <w:sz w:val="24"/>
          <w:szCs w:val="24"/>
        </w:rPr>
        <w:t>和</w:t>
      </w:r>
      <w:r w:rsidR="005D7A68">
        <w:rPr>
          <w:rFonts w:eastAsia="宋体"/>
          <w:color w:val="000000"/>
          <w:sz w:val="24"/>
          <w:szCs w:val="24"/>
        </w:rPr>
        <w:t>申办方</w:t>
      </w:r>
      <w:r w:rsidRPr="00F814BC">
        <w:rPr>
          <w:rFonts w:eastAsia="宋体"/>
          <w:color w:val="000000"/>
          <w:sz w:val="24"/>
          <w:szCs w:val="24"/>
        </w:rPr>
        <w:t>在某些情况下依靠</w:t>
      </w:r>
      <w:r w:rsidR="008E38AD" w:rsidRPr="00F814BC">
        <w:rPr>
          <w:rFonts w:eastAsia="宋体"/>
          <w:color w:val="000000"/>
          <w:sz w:val="24"/>
          <w:szCs w:val="24"/>
        </w:rPr>
        <w:t>上市后</w:t>
      </w:r>
      <w:r w:rsidRPr="00F814BC">
        <w:rPr>
          <w:rFonts w:eastAsia="宋体"/>
          <w:color w:val="000000"/>
          <w:sz w:val="24"/>
          <w:szCs w:val="24"/>
        </w:rPr>
        <w:t>数据收集的能力。例如，如前所述，当患者无需参加临床研究就能获得该器械时，他们参加上市后研究的动力可能会降低。如果有一个完善的上市后数据收集机制，如注册表，</w:t>
      </w:r>
      <w:r w:rsidRPr="00F814BC">
        <w:rPr>
          <w:rFonts w:eastAsia="宋体"/>
          <w:color w:val="000000"/>
          <w:sz w:val="24"/>
          <w:szCs w:val="24"/>
        </w:rPr>
        <w:t>FDA</w:t>
      </w:r>
      <w:r w:rsidRPr="00F814BC">
        <w:rPr>
          <w:rFonts w:eastAsia="宋体"/>
          <w:color w:val="000000"/>
          <w:sz w:val="24"/>
          <w:szCs w:val="24"/>
        </w:rPr>
        <w:t>和</w:t>
      </w:r>
      <w:r w:rsidR="005D7A68">
        <w:rPr>
          <w:rFonts w:eastAsia="宋体"/>
          <w:color w:val="000000"/>
          <w:sz w:val="24"/>
          <w:szCs w:val="24"/>
        </w:rPr>
        <w:t>申办方</w:t>
      </w:r>
      <w:r w:rsidRPr="00F814BC">
        <w:rPr>
          <w:rFonts w:eastAsia="宋体"/>
          <w:color w:val="000000"/>
          <w:sz w:val="24"/>
          <w:szCs w:val="24"/>
        </w:rPr>
        <w:t>对必要的上市后数据将按计划产生更有信心。在这种情况下，在适当的时候，</w:t>
      </w:r>
      <w:r w:rsidR="00340FE3" w:rsidRPr="00F814BC">
        <w:rPr>
          <w:rFonts w:eastAsia="宋体" w:hint="eastAsia"/>
          <w:color w:val="000000"/>
          <w:sz w:val="24"/>
          <w:szCs w:val="24"/>
        </w:rPr>
        <w:t>FDA</w:t>
      </w:r>
      <w:r w:rsidRPr="00F814BC">
        <w:rPr>
          <w:rFonts w:eastAsia="宋体"/>
          <w:color w:val="000000"/>
          <w:sz w:val="24"/>
          <w:szCs w:val="24"/>
        </w:rPr>
        <w:t>将考虑更多地依靠</w:t>
      </w:r>
      <w:r w:rsidR="008E38AD" w:rsidRPr="00F814BC">
        <w:rPr>
          <w:rFonts w:eastAsia="宋体"/>
          <w:color w:val="000000"/>
          <w:sz w:val="24"/>
          <w:szCs w:val="24"/>
        </w:rPr>
        <w:t>上市后</w:t>
      </w:r>
      <w:r w:rsidRPr="00F814BC">
        <w:rPr>
          <w:rFonts w:eastAsia="宋体"/>
          <w:color w:val="000000"/>
          <w:sz w:val="24"/>
          <w:szCs w:val="24"/>
        </w:rPr>
        <w:t>的数据收集。</w:t>
      </w:r>
      <w:r w:rsidRPr="00F814BC">
        <w:rPr>
          <w:rFonts w:eastAsia="宋体"/>
          <w:color w:val="000000"/>
          <w:sz w:val="24"/>
          <w:szCs w:val="24"/>
        </w:rPr>
        <w:t>FDA</w:t>
      </w:r>
      <w:r w:rsidRPr="00F814BC">
        <w:rPr>
          <w:rFonts w:eastAsia="宋体"/>
          <w:color w:val="000000"/>
          <w:sz w:val="24"/>
          <w:szCs w:val="24"/>
        </w:rPr>
        <w:t>鼓励有兴趣的</w:t>
      </w:r>
      <w:r w:rsidR="005D7A68">
        <w:rPr>
          <w:rFonts w:eastAsia="宋体"/>
          <w:color w:val="000000"/>
          <w:sz w:val="24"/>
          <w:szCs w:val="24"/>
        </w:rPr>
        <w:t>申办方</w:t>
      </w:r>
      <w:r w:rsidRPr="00F814BC">
        <w:rPr>
          <w:rFonts w:eastAsia="宋体"/>
          <w:color w:val="000000"/>
          <w:sz w:val="24"/>
          <w:szCs w:val="24"/>
        </w:rPr>
        <w:t>探索</w:t>
      </w:r>
      <w:r w:rsidR="00881EA3" w:rsidRPr="0006004F">
        <w:rPr>
          <w:rFonts w:ascii="宋体" w:hAnsi="宋体" w:hint="eastAsia"/>
          <w:color w:val="000000"/>
          <w:sz w:val="24"/>
        </w:rPr>
        <w:t>使用</w:t>
      </w:r>
      <w:r w:rsidRPr="00F814BC">
        <w:rPr>
          <w:rFonts w:ascii="宋体" w:eastAsia="宋体" w:hAnsi="宋体"/>
          <w:color w:val="000000"/>
          <w:sz w:val="24"/>
          <w:szCs w:val="24"/>
        </w:rPr>
        <w:t>“</w:t>
      </w:r>
      <w:r w:rsidR="00881EA3" w:rsidRPr="0006004F">
        <w:rPr>
          <w:rFonts w:ascii="宋体" w:hAnsi="宋体" w:hint="eastAsia"/>
          <w:color w:val="000000"/>
          <w:sz w:val="24"/>
        </w:rPr>
        <w:t>真实世界数据</w:t>
      </w:r>
      <w:r w:rsidRPr="00F814BC">
        <w:rPr>
          <w:rFonts w:ascii="宋体" w:eastAsia="宋体" w:hAnsi="宋体"/>
          <w:color w:val="000000"/>
          <w:sz w:val="24"/>
          <w:szCs w:val="24"/>
        </w:rPr>
        <w:t>”</w:t>
      </w:r>
      <w:r w:rsidRPr="00F814BC">
        <w:rPr>
          <w:rStyle w:val="a9"/>
          <w:rFonts w:eastAsia="宋体"/>
          <w:color w:val="000000"/>
          <w:sz w:val="24"/>
          <w:szCs w:val="24"/>
        </w:rPr>
        <w:footnoteReference w:id="44"/>
      </w:r>
      <w:r w:rsidRPr="00F814BC">
        <w:rPr>
          <w:rFonts w:eastAsia="宋体"/>
          <w:color w:val="000000"/>
          <w:sz w:val="24"/>
          <w:szCs w:val="24"/>
        </w:rPr>
        <w:t>来源，以便对产生及时的上市后数据更有信心，同时也确保</w:t>
      </w:r>
      <w:r w:rsidR="005D7A68">
        <w:rPr>
          <w:rFonts w:eastAsia="宋体"/>
          <w:color w:val="000000"/>
          <w:sz w:val="24"/>
          <w:szCs w:val="24"/>
        </w:rPr>
        <w:t>申办方</w:t>
      </w:r>
      <w:r w:rsidRPr="00F814BC">
        <w:rPr>
          <w:rFonts w:eastAsia="宋体"/>
          <w:color w:val="000000"/>
          <w:sz w:val="24"/>
          <w:szCs w:val="24"/>
        </w:rPr>
        <w:t>计划使用的来源足够可靠和相关。</w:t>
      </w:r>
    </w:p>
    <w:p w14:paraId="45C4CF66" w14:textId="77777777" w:rsidR="00973B28" w:rsidRDefault="00973B28" w:rsidP="0006004F">
      <w:pPr>
        <w:shd w:val="clear" w:color="auto" w:fill="FFFFFF"/>
        <w:snapToGrid w:val="0"/>
        <w:ind w:firstLineChars="200" w:firstLine="480"/>
        <w:jc w:val="both"/>
        <w:rPr>
          <w:rFonts w:eastAsia="宋体"/>
          <w:sz w:val="24"/>
          <w:szCs w:val="24"/>
        </w:rPr>
      </w:pPr>
    </w:p>
    <w:p w14:paraId="2A5543C3"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对于突破性器械，</w:t>
      </w:r>
      <w:r w:rsidRPr="00F814BC">
        <w:rPr>
          <w:rFonts w:eastAsia="宋体"/>
          <w:color w:val="000000"/>
          <w:sz w:val="24"/>
          <w:szCs w:val="24"/>
        </w:rPr>
        <w:t>FDA</w:t>
      </w:r>
      <w:r w:rsidRPr="00F814BC">
        <w:rPr>
          <w:rFonts w:eastAsia="宋体"/>
          <w:color w:val="000000"/>
          <w:sz w:val="24"/>
          <w:szCs w:val="24"/>
        </w:rPr>
        <w:t>可以要求在特定的、适当的时间范围内收集</w:t>
      </w:r>
      <w:r w:rsidR="008E38AD" w:rsidRPr="00F814BC">
        <w:rPr>
          <w:rFonts w:eastAsia="宋体"/>
          <w:color w:val="000000"/>
          <w:sz w:val="24"/>
          <w:szCs w:val="24"/>
        </w:rPr>
        <w:t>上市后</w:t>
      </w:r>
      <w:r w:rsidRPr="00F814BC">
        <w:rPr>
          <w:rFonts w:eastAsia="宋体"/>
          <w:color w:val="000000"/>
          <w:sz w:val="24"/>
          <w:szCs w:val="24"/>
        </w:rPr>
        <w:t>的数据，作为批准的条件。及时收集</w:t>
      </w:r>
      <w:r w:rsidR="008E38AD" w:rsidRPr="00F814BC">
        <w:rPr>
          <w:rFonts w:eastAsia="宋体"/>
          <w:color w:val="000000"/>
          <w:sz w:val="24"/>
          <w:szCs w:val="24"/>
        </w:rPr>
        <w:t>上市后</w:t>
      </w:r>
      <w:r w:rsidRPr="00F814BC">
        <w:rPr>
          <w:rFonts w:eastAsia="宋体"/>
          <w:color w:val="000000"/>
          <w:sz w:val="24"/>
          <w:szCs w:val="24"/>
        </w:rPr>
        <w:t>的数据并提交给</w:t>
      </w:r>
      <w:r w:rsidRPr="00F814BC">
        <w:rPr>
          <w:rFonts w:eastAsia="宋体"/>
          <w:color w:val="000000"/>
          <w:sz w:val="24"/>
          <w:szCs w:val="24"/>
        </w:rPr>
        <w:t>FDA</w:t>
      </w:r>
      <w:r w:rsidRPr="00F814BC">
        <w:rPr>
          <w:rFonts w:eastAsia="宋体"/>
          <w:color w:val="000000"/>
          <w:sz w:val="24"/>
          <w:szCs w:val="24"/>
        </w:rPr>
        <w:t>，对于为患者提供器械仍然合理安全和有效的保证至关重要。因此，</w:t>
      </w:r>
      <w:r w:rsidR="00B82077" w:rsidRPr="00F814BC">
        <w:rPr>
          <w:rFonts w:eastAsia="宋体" w:hint="eastAsia"/>
          <w:color w:val="000000"/>
          <w:sz w:val="24"/>
          <w:szCs w:val="24"/>
        </w:rPr>
        <w:t>FDA</w:t>
      </w:r>
      <w:r w:rsidRPr="00F814BC">
        <w:rPr>
          <w:rFonts w:eastAsia="宋体"/>
          <w:color w:val="000000"/>
          <w:sz w:val="24"/>
          <w:szCs w:val="24"/>
        </w:rPr>
        <w:t>打算执行关于收集上市后数据的具体时限，该时限被列为《</w:t>
      </w:r>
      <w:r w:rsidRPr="00F814BC">
        <w:rPr>
          <w:rFonts w:eastAsia="宋体"/>
          <w:color w:val="000000"/>
          <w:sz w:val="24"/>
          <w:szCs w:val="24"/>
        </w:rPr>
        <w:t>FD&amp;C</w:t>
      </w:r>
      <w:r w:rsidRPr="00F814BC">
        <w:rPr>
          <w:rFonts w:eastAsia="宋体"/>
          <w:color w:val="000000"/>
          <w:sz w:val="24"/>
          <w:szCs w:val="24"/>
        </w:rPr>
        <w:t>法案》第</w:t>
      </w:r>
      <w:r w:rsidRPr="00F814BC">
        <w:rPr>
          <w:rFonts w:eastAsia="宋体"/>
          <w:color w:val="000000"/>
          <w:sz w:val="24"/>
          <w:szCs w:val="24"/>
        </w:rPr>
        <w:t>515</w:t>
      </w:r>
      <w:r w:rsidR="0057162B" w:rsidRPr="00F814BC">
        <w:rPr>
          <w:rFonts w:eastAsia="宋体"/>
          <w:color w:val="000000"/>
          <w:sz w:val="24"/>
          <w:szCs w:val="24"/>
        </w:rPr>
        <w:t>（</w:t>
      </w:r>
      <w:r w:rsidRPr="00F814BC">
        <w:rPr>
          <w:rFonts w:eastAsia="宋体"/>
          <w:color w:val="000000"/>
          <w:sz w:val="24"/>
          <w:szCs w:val="24"/>
        </w:rPr>
        <w:t>d</w:t>
      </w:r>
      <w:r w:rsidR="0057162B" w:rsidRPr="00F814BC">
        <w:rPr>
          <w:rFonts w:eastAsia="宋体"/>
          <w:color w:val="000000"/>
          <w:sz w:val="24"/>
          <w:szCs w:val="24"/>
        </w:rPr>
        <w:t>）（</w:t>
      </w:r>
      <w:r w:rsidRPr="00F814BC">
        <w:rPr>
          <w:rFonts w:eastAsia="宋体"/>
          <w:color w:val="000000"/>
          <w:sz w:val="24"/>
          <w:szCs w:val="24"/>
        </w:rPr>
        <w:t>1</w:t>
      </w:r>
      <w:r w:rsidR="0057162B" w:rsidRPr="00F814BC">
        <w:rPr>
          <w:rFonts w:eastAsia="宋体"/>
          <w:color w:val="000000"/>
          <w:sz w:val="24"/>
          <w:szCs w:val="24"/>
        </w:rPr>
        <w:t>）（</w:t>
      </w:r>
      <w:r w:rsidRPr="00F814BC">
        <w:rPr>
          <w:rFonts w:eastAsia="宋体"/>
          <w:color w:val="000000"/>
          <w:sz w:val="24"/>
          <w:szCs w:val="24"/>
        </w:rPr>
        <w:t>B</w:t>
      </w:r>
      <w:r w:rsidR="0057162B" w:rsidRPr="00F814BC">
        <w:rPr>
          <w:rFonts w:eastAsia="宋体"/>
          <w:color w:val="000000"/>
          <w:sz w:val="24"/>
          <w:szCs w:val="24"/>
        </w:rPr>
        <w:t>）（</w:t>
      </w:r>
      <w:r w:rsidRPr="00F814BC">
        <w:rPr>
          <w:rFonts w:eastAsia="宋体"/>
          <w:color w:val="000000"/>
          <w:sz w:val="24"/>
          <w:szCs w:val="24"/>
        </w:rPr>
        <w:t>ii</w:t>
      </w:r>
      <w:r w:rsidR="0057162B" w:rsidRPr="00F814BC">
        <w:rPr>
          <w:rFonts w:eastAsia="宋体"/>
          <w:color w:val="000000"/>
          <w:sz w:val="24"/>
          <w:szCs w:val="24"/>
        </w:rPr>
        <w:t>）</w:t>
      </w:r>
      <w:r w:rsidRPr="00F814BC">
        <w:rPr>
          <w:rFonts w:eastAsia="宋体"/>
          <w:color w:val="000000"/>
          <w:sz w:val="24"/>
          <w:szCs w:val="24"/>
        </w:rPr>
        <w:t>条规定的批准条件</w:t>
      </w:r>
      <w:r w:rsidR="0057162B" w:rsidRPr="00F814BC">
        <w:rPr>
          <w:rFonts w:eastAsia="宋体"/>
          <w:color w:val="000000"/>
          <w:sz w:val="24"/>
          <w:szCs w:val="24"/>
        </w:rPr>
        <w:t>（</w:t>
      </w:r>
      <w:r w:rsidRPr="00F814BC">
        <w:rPr>
          <w:rFonts w:eastAsia="宋体"/>
          <w:color w:val="000000"/>
          <w:sz w:val="24"/>
          <w:szCs w:val="24"/>
        </w:rPr>
        <w:t>21 U.S.C. § 360e</w:t>
      </w:r>
      <w:r w:rsidR="0057162B" w:rsidRPr="00F814BC">
        <w:rPr>
          <w:rFonts w:eastAsia="宋体"/>
          <w:color w:val="000000"/>
          <w:sz w:val="24"/>
          <w:szCs w:val="24"/>
        </w:rPr>
        <w:t>（</w:t>
      </w:r>
      <w:r w:rsidRPr="00F814BC">
        <w:rPr>
          <w:rFonts w:eastAsia="宋体"/>
          <w:color w:val="000000"/>
          <w:sz w:val="24"/>
          <w:szCs w:val="24"/>
        </w:rPr>
        <w:t>d</w:t>
      </w:r>
      <w:r w:rsidR="0057162B" w:rsidRPr="00F814BC">
        <w:rPr>
          <w:rFonts w:eastAsia="宋体"/>
          <w:color w:val="000000"/>
          <w:sz w:val="24"/>
          <w:szCs w:val="24"/>
        </w:rPr>
        <w:t>）（</w:t>
      </w:r>
      <w:r w:rsidRPr="00F814BC">
        <w:rPr>
          <w:rFonts w:eastAsia="宋体"/>
          <w:color w:val="000000"/>
          <w:sz w:val="24"/>
          <w:szCs w:val="24"/>
        </w:rPr>
        <w:t>1</w:t>
      </w:r>
      <w:r w:rsidR="0057162B" w:rsidRPr="00F814BC">
        <w:rPr>
          <w:rFonts w:eastAsia="宋体"/>
          <w:color w:val="000000"/>
          <w:sz w:val="24"/>
          <w:szCs w:val="24"/>
        </w:rPr>
        <w:t>）（</w:t>
      </w:r>
      <w:r w:rsidRPr="00F814BC">
        <w:rPr>
          <w:rFonts w:eastAsia="宋体"/>
          <w:color w:val="000000"/>
          <w:sz w:val="24"/>
          <w:szCs w:val="24"/>
        </w:rPr>
        <w:t>B</w:t>
      </w:r>
      <w:r w:rsidR="0057162B" w:rsidRPr="00F814BC">
        <w:rPr>
          <w:rFonts w:eastAsia="宋体"/>
          <w:color w:val="000000"/>
          <w:sz w:val="24"/>
          <w:szCs w:val="24"/>
        </w:rPr>
        <w:t>）（</w:t>
      </w:r>
      <w:r w:rsidRPr="00F814BC">
        <w:rPr>
          <w:rFonts w:eastAsia="宋体"/>
          <w:color w:val="000000"/>
          <w:sz w:val="24"/>
          <w:szCs w:val="24"/>
        </w:rPr>
        <w:t>ii</w:t>
      </w:r>
      <w:r w:rsidR="0057162B" w:rsidRPr="00F814BC">
        <w:rPr>
          <w:rFonts w:eastAsia="宋体"/>
          <w:color w:val="000000"/>
          <w:sz w:val="24"/>
          <w:szCs w:val="24"/>
        </w:rPr>
        <w:t>））</w:t>
      </w:r>
      <w:r w:rsidRPr="00F814BC">
        <w:rPr>
          <w:rFonts w:eastAsia="宋体"/>
          <w:color w:val="000000"/>
          <w:sz w:val="24"/>
          <w:szCs w:val="24"/>
        </w:rPr>
        <w:t>。《</w:t>
      </w:r>
      <w:r w:rsidRPr="00F814BC">
        <w:rPr>
          <w:rFonts w:eastAsia="宋体"/>
          <w:color w:val="000000"/>
          <w:sz w:val="24"/>
          <w:szCs w:val="24"/>
        </w:rPr>
        <w:t>FD&amp;C</w:t>
      </w:r>
      <w:r w:rsidRPr="00F814BC">
        <w:rPr>
          <w:rFonts w:eastAsia="宋体"/>
          <w:color w:val="000000"/>
          <w:sz w:val="24"/>
          <w:szCs w:val="24"/>
        </w:rPr>
        <w:t>法案》第</w:t>
      </w:r>
      <w:r w:rsidRPr="00F814BC">
        <w:rPr>
          <w:rFonts w:eastAsia="宋体"/>
          <w:color w:val="000000"/>
          <w:sz w:val="24"/>
          <w:szCs w:val="24"/>
        </w:rPr>
        <w:t>515B</w:t>
      </w:r>
      <w:r w:rsidR="0057162B" w:rsidRPr="00F814BC">
        <w:rPr>
          <w:rFonts w:eastAsia="宋体"/>
          <w:color w:val="000000"/>
          <w:sz w:val="24"/>
          <w:szCs w:val="24"/>
        </w:rPr>
        <w:t>（</w:t>
      </w:r>
      <w:r w:rsidRPr="00F814BC">
        <w:rPr>
          <w:rFonts w:eastAsia="宋体"/>
          <w:color w:val="000000"/>
          <w:sz w:val="24"/>
          <w:szCs w:val="24"/>
        </w:rPr>
        <w:t>e</w:t>
      </w:r>
      <w:r w:rsidR="0057162B" w:rsidRPr="00F814BC">
        <w:rPr>
          <w:rFonts w:eastAsia="宋体"/>
          <w:color w:val="000000"/>
          <w:sz w:val="24"/>
          <w:szCs w:val="24"/>
        </w:rPr>
        <w:t>）（</w:t>
      </w:r>
      <w:r w:rsidRPr="00F814BC">
        <w:rPr>
          <w:rFonts w:eastAsia="宋体"/>
          <w:color w:val="000000"/>
          <w:sz w:val="24"/>
          <w:szCs w:val="24"/>
        </w:rPr>
        <w:t>2</w:t>
      </w:r>
      <w:r w:rsidR="0057162B" w:rsidRPr="00F814BC">
        <w:rPr>
          <w:rFonts w:eastAsia="宋体"/>
          <w:color w:val="000000"/>
          <w:sz w:val="24"/>
          <w:szCs w:val="24"/>
        </w:rPr>
        <w:t>）（</w:t>
      </w:r>
      <w:r w:rsidRPr="00F814BC">
        <w:rPr>
          <w:rFonts w:eastAsia="宋体"/>
          <w:color w:val="000000"/>
          <w:sz w:val="24"/>
          <w:szCs w:val="24"/>
        </w:rPr>
        <w:t>C</w:t>
      </w:r>
      <w:r w:rsidR="0057162B" w:rsidRPr="00F814BC">
        <w:rPr>
          <w:rFonts w:eastAsia="宋体"/>
          <w:color w:val="000000"/>
          <w:sz w:val="24"/>
          <w:szCs w:val="24"/>
        </w:rPr>
        <w:t>）</w:t>
      </w:r>
      <w:r w:rsidRPr="00F814BC">
        <w:rPr>
          <w:rFonts w:eastAsia="宋体"/>
          <w:color w:val="000000"/>
          <w:sz w:val="24"/>
          <w:szCs w:val="24"/>
        </w:rPr>
        <w:t>条（</w:t>
      </w:r>
      <w:r w:rsidRPr="00F814BC">
        <w:rPr>
          <w:rFonts w:eastAsia="宋体"/>
          <w:color w:val="000000"/>
          <w:sz w:val="24"/>
          <w:szCs w:val="24"/>
        </w:rPr>
        <w:t>21 U.S.C. § 360e-3</w:t>
      </w:r>
      <w:r w:rsidR="0057162B" w:rsidRPr="00F814BC">
        <w:rPr>
          <w:rFonts w:eastAsia="宋体"/>
          <w:color w:val="000000"/>
          <w:sz w:val="24"/>
          <w:szCs w:val="24"/>
        </w:rPr>
        <w:t>（</w:t>
      </w:r>
      <w:r w:rsidRPr="00F814BC">
        <w:rPr>
          <w:rFonts w:eastAsia="宋体"/>
          <w:color w:val="000000"/>
          <w:sz w:val="24"/>
          <w:szCs w:val="24"/>
        </w:rPr>
        <w:t>e</w:t>
      </w:r>
      <w:r w:rsidR="0057162B" w:rsidRPr="00F814BC">
        <w:rPr>
          <w:rFonts w:eastAsia="宋体"/>
          <w:color w:val="000000"/>
          <w:sz w:val="24"/>
          <w:szCs w:val="24"/>
        </w:rPr>
        <w:t>）（</w:t>
      </w:r>
      <w:r w:rsidRPr="00F814BC">
        <w:rPr>
          <w:rFonts w:eastAsia="宋体"/>
          <w:color w:val="000000"/>
          <w:sz w:val="24"/>
          <w:szCs w:val="24"/>
        </w:rPr>
        <w:t>2</w:t>
      </w:r>
      <w:r w:rsidR="0057162B" w:rsidRPr="00F814BC">
        <w:rPr>
          <w:rFonts w:eastAsia="宋体"/>
          <w:color w:val="000000"/>
          <w:sz w:val="24"/>
          <w:szCs w:val="24"/>
        </w:rPr>
        <w:t>）（</w:t>
      </w:r>
      <w:r w:rsidRPr="00F814BC">
        <w:rPr>
          <w:rFonts w:eastAsia="宋体"/>
          <w:color w:val="000000"/>
          <w:sz w:val="24"/>
          <w:szCs w:val="24"/>
        </w:rPr>
        <w:t>C</w:t>
      </w:r>
      <w:r w:rsidR="0057162B" w:rsidRPr="00F814BC">
        <w:rPr>
          <w:rFonts w:eastAsia="宋体"/>
          <w:color w:val="000000"/>
          <w:sz w:val="24"/>
          <w:szCs w:val="24"/>
        </w:rPr>
        <w:t>）</w:t>
      </w:r>
      <w:r w:rsidRPr="00F814BC">
        <w:rPr>
          <w:rFonts w:eastAsia="宋体"/>
          <w:color w:val="000000"/>
          <w:sz w:val="24"/>
          <w:szCs w:val="24"/>
        </w:rPr>
        <w:t>）授权在科学上合适的情况下，利用</w:t>
      </w:r>
      <w:r w:rsidRPr="00F814BC">
        <w:rPr>
          <w:rFonts w:ascii="宋体" w:eastAsia="宋体" w:hAnsi="宋体"/>
          <w:color w:val="000000"/>
          <w:sz w:val="24"/>
          <w:szCs w:val="24"/>
        </w:rPr>
        <w:t>“</w:t>
      </w:r>
      <w:r w:rsidR="00881EA3" w:rsidRPr="0006004F">
        <w:rPr>
          <w:rFonts w:ascii="宋体" w:hAnsi="宋体" w:hint="eastAsia"/>
          <w:color w:val="000000"/>
          <w:sz w:val="24"/>
        </w:rPr>
        <w:t>及时</w:t>
      </w:r>
      <w:r w:rsidR="00C566CE" w:rsidRPr="00F814BC">
        <w:rPr>
          <w:rFonts w:ascii="宋体" w:eastAsia="宋体" w:hAnsi="宋体" w:hint="eastAsia"/>
          <w:color w:val="000000"/>
          <w:sz w:val="24"/>
          <w:szCs w:val="24"/>
        </w:rPr>
        <w:t>”</w:t>
      </w:r>
      <w:r w:rsidRPr="00F814BC">
        <w:rPr>
          <w:rFonts w:eastAsia="宋体"/>
          <w:color w:val="000000"/>
          <w:sz w:val="24"/>
          <w:szCs w:val="24"/>
        </w:rPr>
        <w:t>收集</w:t>
      </w:r>
      <w:r w:rsidR="008E38AD" w:rsidRPr="00F814BC">
        <w:rPr>
          <w:rFonts w:eastAsia="宋体"/>
          <w:color w:val="000000"/>
          <w:sz w:val="24"/>
          <w:szCs w:val="24"/>
        </w:rPr>
        <w:t>上市后</w:t>
      </w:r>
      <w:r w:rsidRPr="00F814BC">
        <w:rPr>
          <w:rFonts w:eastAsia="宋体"/>
          <w:color w:val="000000"/>
          <w:sz w:val="24"/>
          <w:szCs w:val="24"/>
        </w:rPr>
        <w:t>数据，以促进突破性器械的快速和有效开发和审查。</w:t>
      </w:r>
      <w:r w:rsidR="00B82077" w:rsidRPr="00F814BC">
        <w:rPr>
          <w:rFonts w:eastAsia="宋体" w:hint="eastAsia"/>
          <w:color w:val="000000"/>
          <w:sz w:val="24"/>
          <w:szCs w:val="24"/>
        </w:rPr>
        <w:t>FDA</w:t>
      </w:r>
      <w:r w:rsidRPr="00F814BC">
        <w:rPr>
          <w:rFonts w:eastAsia="宋体"/>
          <w:color w:val="000000"/>
          <w:sz w:val="24"/>
          <w:szCs w:val="24"/>
        </w:rPr>
        <w:t>打算与</w:t>
      </w:r>
      <w:r w:rsidR="005D7A68">
        <w:rPr>
          <w:rFonts w:eastAsia="宋体"/>
          <w:color w:val="000000"/>
          <w:sz w:val="24"/>
          <w:szCs w:val="24"/>
        </w:rPr>
        <w:t>申办方</w:t>
      </w:r>
      <w:r w:rsidRPr="00F814BC">
        <w:rPr>
          <w:rFonts w:eastAsia="宋体"/>
          <w:color w:val="000000"/>
          <w:sz w:val="24"/>
          <w:szCs w:val="24"/>
        </w:rPr>
        <w:t>合作，在</w:t>
      </w:r>
      <w:r w:rsidR="008E38AD" w:rsidRPr="00F814BC">
        <w:rPr>
          <w:rFonts w:eastAsia="宋体"/>
          <w:color w:val="000000"/>
          <w:sz w:val="24"/>
          <w:szCs w:val="24"/>
        </w:rPr>
        <w:t>上市后</w:t>
      </w:r>
      <w:r w:rsidRPr="00F814BC">
        <w:rPr>
          <w:rFonts w:eastAsia="宋体"/>
          <w:color w:val="000000"/>
          <w:sz w:val="24"/>
          <w:szCs w:val="24"/>
        </w:rPr>
        <w:t>数据收集被认为是适当和负担最小的方法的情况下，为特定器械确定一个合理的时间框架，以便获得市场授权。</w:t>
      </w:r>
    </w:p>
    <w:p w14:paraId="2415632A" w14:textId="77777777" w:rsidR="00961522" w:rsidRPr="00F814BC" w:rsidRDefault="00961522" w:rsidP="00640CB4">
      <w:pPr>
        <w:shd w:val="clear" w:color="auto" w:fill="FFFFFF"/>
        <w:tabs>
          <w:tab w:val="left" w:pos="182"/>
        </w:tabs>
        <w:snapToGrid w:val="0"/>
        <w:jc w:val="both"/>
        <w:rPr>
          <w:rFonts w:eastAsia="宋体"/>
          <w:color w:val="000000"/>
          <w:sz w:val="24"/>
          <w:szCs w:val="24"/>
          <w:vertAlign w:val="superscript"/>
        </w:rPr>
      </w:pPr>
    </w:p>
    <w:p w14:paraId="6389F522" w14:textId="77777777" w:rsidR="00BE0DEA" w:rsidRPr="00F814BC" w:rsidRDefault="00BE0DEA" w:rsidP="00640CB4">
      <w:pPr>
        <w:shd w:val="clear" w:color="auto" w:fill="FFFFFF"/>
        <w:tabs>
          <w:tab w:val="left" w:pos="182"/>
        </w:tabs>
        <w:snapToGrid w:val="0"/>
        <w:jc w:val="both"/>
        <w:rPr>
          <w:rFonts w:eastAsia="宋体"/>
          <w:sz w:val="24"/>
          <w:szCs w:val="24"/>
        </w:rPr>
        <w:sectPr w:rsidR="00BE0DEA" w:rsidRPr="00F814BC" w:rsidSect="0006004F">
          <w:pgSz w:w="11906" w:h="16838" w:code="9"/>
          <w:pgMar w:top="1134" w:right="1134" w:bottom="1134" w:left="1418" w:header="567" w:footer="567" w:gutter="0"/>
          <w:cols w:space="60"/>
          <w:noEndnote/>
          <w:docGrid w:linePitch="272"/>
        </w:sectPr>
      </w:pPr>
    </w:p>
    <w:p w14:paraId="3E8E0001" w14:textId="77777777" w:rsidR="00961522" w:rsidRPr="00F814BC" w:rsidRDefault="0057162B" w:rsidP="00640CB4">
      <w:pPr>
        <w:pStyle w:val="3"/>
        <w:spacing w:before="120" w:after="120"/>
        <w:ind w:left="1276"/>
      </w:pPr>
      <w:bookmarkStart w:id="26" w:name="_Toc98748002"/>
      <w:bookmarkStart w:id="27" w:name="_Toc97482650"/>
      <w:r w:rsidRPr="00F814BC">
        <w:lastRenderedPageBreak/>
        <w:t>（</w:t>
      </w:r>
      <w:r w:rsidR="00CB325C" w:rsidRPr="00F814BC">
        <w:t>2</w:t>
      </w:r>
      <w:r w:rsidRPr="00F814BC">
        <w:t>）</w:t>
      </w:r>
      <w:r w:rsidR="00CB325C" w:rsidRPr="00F814BC">
        <w:tab/>
      </w:r>
      <w:r w:rsidR="00CB325C" w:rsidRPr="00F814BC">
        <w:t>透明度</w:t>
      </w:r>
      <w:bookmarkEnd w:id="26"/>
      <w:bookmarkEnd w:id="27"/>
    </w:p>
    <w:p w14:paraId="68A2FA5B" w14:textId="77777777" w:rsidR="00973B28" w:rsidRDefault="00CB325C" w:rsidP="0006004F">
      <w:pPr>
        <w:shd w:val="clear" w:color="auto" w:fill="FFFFFF"/>
        <w:snapToGrid w:val="0"/>
        <w:ind w:firstLineChars="200" w:firstLine="480"/>
        <w:jc w:val="both"/>
        <w:rPr>
          <w:rFonts w:eastAsia="宋体"/>
          <w:color w:val="000000"/>
          <w:sz w:val="24"/>
          <w:szCs w:val="24"/>
        </w:rPr>
      </w:pPr>
      <w:bookmarkStart w:id="28" w:name="bookmark41"/>
      <w:bookmarkEnd w:id="28"/>
      <w:r w:rsidRPr="00F814BC">
        <w:rPr>
          <w:rFonts w:eastAsia="宋体"/>
          <w:color w:val="000000"/>
          <w:sz w:val="24"/>
          <w:szCs w:val="24"/>
        </w:rPr>
        <w:t>除了将及时完成和提交器械的上市后证据作为批准条件外，</w:t>
      </w:r>
      <w:r w:rsidRPr="00F814BC">
        <w:rPr>
          <w:rFonts w:eastAsia="宋体"/>
          <w:color w:val="000000"/>
          <w:sz w:val="24"/>
          <w:szCs w:val="24"/>
        </w:rPr>
        <w:t>FDA</w:t>
      </w:r>
      <w:r w:rsidRPr="00F814BC">
        <w:rPr>
          <w:rFonts w:eastAsia="宋体"/>
          <w:color w:val="000000"/>
          <w:sz w:val="24"/>
          <w:szCs w:val="24"/>
        </w:rPr>
        <w:t>还可以酌情将器械标签包括某些信息作为批准条件。</w:t>
      </w:r>
      <w:r w:rsidRPr="00F814BC">
        <w:rPr>
          <w:rStyle w:val="a9"/>
          <w:rFonts w:eastAsia="宋体"/>
          <w:color w:val="000000"/>
          <w:sz w:val="24"/>
          <w:szCs w:val="24"/>
        </w:rPr>
        <w:t xml:space="preserve"> </w:t>
      </w:r>
      <w:r w:rsidRPr="00F814BC">
        <w:rPr>
          <w:rStyle w:val="a9"/>
          <w:rFonts w:eastAsia="宋体"/>
          <w:color w:val="000000"/>
          <w:sz w:val="24"/>
          <w:szCs w:val="24"/>
        </w:rPr>
        <w:footnoteReference w:id="45"/>
      </w:r>
      <w:r w:rsidRPr="00F814BC">
        <w:rPr>
          <w:rFonts w:eastAsia="宋体"/>
          <w:color w:val="000000"/>
          <w:sz w:val="24"/>
          <w:szCs w:val="24"/>
        </w:rPr>
        <w:t>如果</w:t>
      </w:r>
      <w:r w:rsidR="008E38AD" w:rsidRPr="00F814BC">
        <w:rPr>
          <w:rFonts w:eastAsia="宋体"/>
          <w:color w:val="000000"/>
          <w:sz w:val="24"/>
          <w:szCs w:val="24"/>
        </w:rPr>
        <w:t>上市后</w:t>
      </w:r>
      <w:r w:rsidRPr="00F814BC">
        <w:rPr>
          <w:rFonts w:eastAsia="宋体"/>
          <w:color w:val="000000"/>
          <w:sz w:val="24"/>
          <w:szCs w:val="24"/>
        </w:rPr>
        <w:t>的数据收集被要求作为批准的条件，以解决器械可能的</w:t>
      </w:r>
      <w:r w:rsidR="006A4E7A" w:rsidRPr="00F814BC">
        <w:rPr>
          <w:rFonts w:eastAsia="宋体" w:hint="eastAsia"/>
          <w:color w:val="000000"/>
          <w:sz w:val="24"/>
          <w:szCs w:val="24"/>
        </w:rPr>
        <w:t>获益</w:t>
      </w:r>
      <w:r w:rsidRPr="00F814BC">
        <w:rPr>
          <w:rFonts w:eastAsia="宋体"/>
          <w:color w:val="000000"/>
          <w:sz w:val="24"/>
          <w:szCs w:val="24"/>
        </w:rPr>
        <w:t>和风险的更大的不确定性，</w:t>
      </w:r>
      <w:r w:rsidRPr="00F814BC">
        <w:rPr>
          <w:rFonts w:eastAsia="宋体"/>
          <w:color w:val="000000"/>
          <w:sz w:val="24"/>
          <w:szCs w:val="24"/>
        </w:rPr>
        <w:t>FDA</w:t>
      </w:r>
      <w:r w:rsidRPr="00F814BC">
        <w:rPr>
          <w:rFonts w:eastAsia="宋体"/>
          <w:color w:val="000000"/>
          <w:sz w:val="24"/>
          <w:szCs w:val="24"/>
        </w:rPr>
        <w:t>打算考虑将器械标签描述</w:t>
      </w:r>
      <w:r w:rsidR="008E38AD" w:rsidRPr="00F814BC">
        <w:rPr>
          <w:rFonts w:eastAsia="宋体"/>
          <w:color w:val="000000"/>
          <w:sz w:val="24"/>
          <w:szCs w:val="24"/>
        </w:rPr>
        <w:t>上市后</w:t>
      </w:r>
      <w:r w:rsidRPr="00F814BC">
        <w:rPr>
          <w:rFonts w:eastAsia="宋体"/>
          <w:color w:val="000000"/>
          <w:sz w:val="24"/>
          <w:szCs w:val="24"/>
        </w:rPr>
        <w:t>的数据收集及其目的作为批准的条件是否合适（例如，是否对医疗保健提供者有帮助）。</w:t>
      </w:r>
    </w:p>
    <w:p w14:paraId="4F6B66A6" w14:textId="77777777" w:rsidR="00973B28" w:rsidRDefault="00973B28" w:rsidP="0006004F">
      <w:pPr>
        <w:shd w:val="clear" w:color="auto" w:fill="FFFFFF"/>
        <w:snapToGrid w:val="0"/>
        <w:ind w:firstLineChars="200" w:firstLine="480"/>
        <w:jc w:val="both"/>
        <w:rPr>
          <w:rFonts w:eastAsia="宋体"/>
          <w:sz w:val="24"/>
          <w:szCs w:val="24"/>
        </w:rPr>
      </w:pPr>
    </w:p>
    <w:p w14:paraId="664DD63A" w14:textId="77777777" w:rsidR="00973B28" w:rsidRDefault="00CB325C" w:rsidP="0006004F">
      <w:pPr>
        <w:shd w:val="clear" w:color="auto" w:fill="FFFFFF"/>
        <w:snapToGrid w:val="0"/>
        <w:ind w:firstLineChars="200" w:firstLine="480"/>
        <w:jc w:val="both"/>
        <w:rPr>
          <w:rFonts w:eastAsia="宋体"/>
          <w:sz w:val="24"/>
          <w:szCs w:val="24"/>
        </w:rPr>
      </w:pPr>
      <w:bookmarkStart w:id="29" w:name="bookmark42"/>
      <w:bookmarkEnd w:id="29"/>
      <w:r w:rsidRPr="00F814BC">
        <w:rPr>
          <w:rFonts w:eastAsia="宋体"/>
          <w:color w:val="000000"/>
          <w:sz w:val="24"/>
          <w:szCs w:val="24"/>
        </w:rPr>
        <w:t>在适用的情况下，</w:t>
      </w:r>
      <w:r w:rsidRPr="00F814BC">
        <w:rPr>
          <w:rFonts w:eastAsia="宋体"/>
          <w:color w:val="000000"/>
          <w:sz w:val="24"/>
          <w:szCs w:val="24"/>
        </w:rPr>
        <w:t>FDA</w:t>
      </w:r>
      <w:r w:rsidRPr="00F814BC">
        <w:rPr>
          <w:rFonts w:eastAsia="宋体"/>
          <w:color w:val="000000"/>
          <w:sz w:val="24"/>
          <w:szCs w:val="24"/>
        </w:rPr>
        <w:t>还打算在安全和有效性数据总结（</w:t>
      </w:r>
      <w:r w:rsidRPr="00F814BC">
        <w:rPr>
          <w:rFonts w:eastAsia="宋体"/>
          <w:color w:val="000000"/>
          <w:sz w:val="24"/>
          <w:szCs w:val="24"/>
        </w:rPr>
        <w:t>SSED</w:t>
      </w:r>
      <w:r w:rsidRPr="00F814BC">
        <w:rPr>
          <w:rFonts w:eastAsia="宋体"/>
          <w:color w:val="000000"/>
          <w:sz w:val="24"/>
          <w:szCs w:val="24"/>
        </w:rPr>
        <w:t>）中包括这些信息，并在我们的网站上标明作为器械批准条件的</w:t>
      </w:r>
      <w:r w:rsidR="008E38AD" w:rsidRPr="00F814BC">
        <w:rPr>
          <w:rFonts w:eastAsia="宋体"/>
          <w:color w:val="000000"/>
          <w:sz w:val="24"/>
          <w:szCs w:val="24"/>
        </w:rPr>
        <w:t>上市后</w:t>
      </w:r>
      <w:r w:rsidRPr="00F814BC">
        <w:rPr>
          <w:rFonts w:eastAsia="宋体"/>
          <w:color w:val="000000"/>
          <w:sz w:val="24"/>
          <w:szCs w:val="24"/>
        </w:rPr>
        <w:t>研究。</w:t>
      </w:r>
      <w:r w:rsidRPr="00F814BC">
        <w:rPr>
          <w:rStyle w:val="a9"/>
          <w:rFonts w:eastAsia="宋体"/>
          <w:color w:val="000000"/>
          <w:sz w:val="24"/>
          <w:szCs w:val="24"/>
        </w:rPr>
        <w:footnoteReference w:id="46"/>
      </w:r>
      <w:r w:rsidRPr="00F814BC">
        <w:rPr>
          <w:rFonts w:eastAsia="宋体"/>
          <w:color w:val="000000"/>
          <w:sz w:val="24"/>
          <w:szCs w:val="24"/>
        </w:rPr>
        <w:t>鼓励</w:t>
      </w:r>
      <w:r w:rsidR="005D7A68">
        <w:rPr>
          <w:rFonts w:eastAsia="宋体"/>
          <w:color w:val="000000"/>
          <w:sz w:val="24"/>
          <w:szCs w:val="24"/>
        </w:rPr>
        <w:t>申办方</w:t>
      </w:r>
      <w:r w:rsidRPr="00F814BC">
        <w:rPr>
          <w:rFonts w:eastAsia="宋体"/>
          <w:color w:val="000000"/>
          <w:sz w:val="24"/>
          <w:szCs w:val="24"/>
        </w:rPr>
        <w:t>与</w:t>
      </w:r>
      <w:r w:rsidRPr="00F814BC">
        <w:rPr>
          <w:rFonts w:eastAsia="宋体"/>
          <w:color w:val="000000"/>
          <w:sz w:val="24"/>
          <w:szCs w:val="24"/>
        </w:rPr>
        <w:t>FDA</w:t>
      </w:r>
      <w:r w:rsidRPr="00F814BC">
        <w:rPr>
          <w:rFonts w:eastAsia="宋体"/>
          <w:color w:val="000000"/>
          <w:sz w:val="24"/>
          <w:szCs w:val="24"/>
        </w:rPr>
        <w:t>合作，准确描述</w:t>
      </w:r>
      <w:r w:rsidR="008E38AD" w:rsidRPr="00F814BC">
        <w:rPr>
          <w:rFonts w:eastAsia="宋体"/>
          <w:color w:val="000000"/>
          <w:sz w:val="24"/>
          <w:szCs w:val="24"/>
        </w:rPr>
        <w:t>上市后</w:t>
      </w:r>
      <w:r w:rsidRPr="00F814BC">
        <w:rPr>
          <w:rFonts w:eastAsia="宋体"/>
          <w:color w:val="000000"/>
          <w:sz w:val="24"/>
          <w:szCs w:val="24"/>
        </w:rPr>
        <w:t>数据收集及其目的。当额外的上市后数据被提供，并且</w:t>
      </w:r>
      <w:r w:rsidRPr="00F814BC">
        <w:rPr>
          <w:rFonts w:eastAsia="宋体"/>
          <w:color w:val="000000"/>
          <w:sz w:val="24"/>
          <w:szCs w:val="24"/>
        </w:rPr>
        <w:t>FDA</w:t>
      </w:r>
      <w:r w:rsidRPr="00F814BC">
        <w:rPr>
          <w:rFonts w:eastAsia="宋体"/>
          <w:color w:val="000000"/>
          <w:sz w:val="24"/>
          <w:szCs w:val="24"/>
        </w:rPr>
        <w:t>确定这些数据是足够的，并且继续支持器械的安全和有效性的合理保证，如果适用的话，</w:t>
      </w:r>
      <w:r w:rsidRPr="00F814BC">
        <w:rPr>
          <w:rFonts w:eastAsia="宋体"/>
          <w:color w:val="000000"/>
          <w:sz w:val="24"/>
          <w:szCs w:val="24"/>
        </w:rPr>
        <w:t>FDA</w:t>
      </w:r>
      <w:r w:rsidRPr="00F814BC">
        <w:rPr>
          <w:rFonts w:eastAsia="宋体"/>
          <w:color w:val="000000"/>
          <w:sz w:val="24"/>
          <w:szCs w:val="24"/>
        </w:rPr>
        <w:t>打算对</w:t>
      </w:r>
      <w:r w:rsidRPr="00F814BC">
        <w:rPr>
          <w:rFonts w:eastAsia="宋体"/>
          <w:color w:val="000000"/>
          <w:sz w:val="24"/>
          <w:szCs w:val="24"/>
        </w:rPr>
        <w:t>SSED</w:t>
      </w:r>
      <w:r w:rsidRPr="00F814BC">
        <w:rPr>
          <w:rFonts w:eastAsia="宋体"/>
          <w:color w:val="000000"/>
          <w:sz w:val="24"/>
          <w:szCs w:val="24"/>
        </w:rPr>
        <w:t>进行适当的修改，并通知</w:t>
      </w:r>
      <w:r w:rsidR="005D7A68">
        <w:rPr>
          <w:rFonts w:eastAsia="宋体"/>
          <w:color w:val="000000"/>
          <w:sz w:val="24"/>
          <w:szCs w:val="24"/>
        </w:rPr>
        <w:t>申办方</w:t>
      </w:r>
      <w:r w:rsidRPr="00F814BC">
        <w:rPr>
          <w:rFonts w:eastAsia="宋体"/>
          <w:color w:val="000000"/>
          <w:sz w:val="24"/>
          <w:szCs w:val="24"/>
        </w:rPr>
        <w:t>，</w:t>
      </w:r>
      <w:r w:rsidR="005D7A68">
        <w:rPr>
          <w:rFonts w:eastAsia="宋体"/>
          <w:color w:val="000000"/>
          <w:sz w:val="24"/>
          <w:szCs w:val="24"/>
        </w:rPr>
        <w:t>申办方</w:t>
      </w:r>
      <w:r w:rsidRPr="00F814BC">
        <w:rPr>
          <w:rFonts w:eastAsia="宋体"/>
          <w:color w:val="000000"/>
          <w:sz w:val="24"/>
          <w:szCs w:val="24"/>
        </w:rPr>
        <w:t>可以对器械的标签进行适当的修改以反映新的信息。本指南不改变现有的监管机制，以实现这种变化。</w:t>
      </w:r>
    </w:p>
    <w:p w14:paraId="53206CCD" w14:textId="77777777" w:rsidR="00961522" w:rsidRPr="00F814BC" w:rsidRDefault="0057162B" w:rsidP="00640CB4">
      <w:pPr>
        <w:pStyle w:val="3"/>
        <w:spacing w:before="120" w:after="120"/>
        <w:ind w:left="1276"/>
      </w:pPr>
      <w:bookmarkStart w:id="30" w:name="_Toc98748003"/>
      <w:bookmarkStart w:id="31" w:name="_Toc97482651"/>
      <w:r w:rsidRPr="00F814BC">
        <w:t>（</w:t>
      </w:r>
      <w:r w:rsidR="00CB325C" w:rsidRPr="00F814BC">
        <w:t>3</w:t>
      </w:r>
      <w:r w:rsidRPr="00F814BC">
        <w:t>）</w:t>
      </w:r>
      <w:r w:rsidR="00CB325C" w:rsidRPr="00F814BC">
        <w:tab/>
      </w:r>
      <w:r w:rsidR="00CB325C" w:rsidRPr="00F814BC">
        <w:t>责任制</w:t>
      </w:r>
      <w:bookmarkEnd w:id="30"/>
      <w:bookmarkEnd w:id="31"/>
    </w:p>
    <w:p w14:paraId="1DFAC65F"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当</w:t>
      </w:r>
      <w:r w:rsidR="005D7A68">
        <w:rPr>
          <w:rFonts w:eastAsia="宋体"/>
          <w:color w:val="000000"/>
          <w:sz w:val="24"/>
          <w:szCs w:val="24"/>
        </w:rPr>
        <w:t>申办方</w:t>
      </w:r>
      <w:r w:rsidRPr="00F814BC">
        <w:rPr>
          <w:rFonts w:eastAsia="宋体"/>
          <w:color w:val="000000"/>
          <w:sz w:val="24"/>
          <w:szCs w:val="24"/>
        </w:rPr>
        <w:t>提交上市后的数据作为批准的条件，而</w:t>
      </w:r>
      <w:r w:rsidRPr="00F814BC">
        <w:rPr>
          <w:rFonts w:eastAsia="宋体"/>
          <w:color w:val="000000"/>
          <w:sz w:val="24"/>
          <w:szCs w:val="24"/>
        </w:rPr>
        <w:t>FDA</w:t>
      </w:r>
      <w:r w:rsidRPr="00F814BC">
        <w:rPr>
          <w:rFonts w:eastAsia="宋体"/>
          <w:color w:val="000000"/>
          <w:sz w:val="24"/>
          <w:szCs w:val="24"/>
        </w:rPr>
        <w:t>对这些数据是否继续支持器械的安全和有效性的合理保证有疑问时，</w:t>
      </w:r>
      <w:r w:rsidR="006A4E7A" w:rsidRPr="00F814BC">
        <w:rPr>
          <w:rFonts w:eastAsia="宋体" w:hint="eastAsia"/>
          <w:color w:val="000000"/>
          <w:sz w:val="24"/>
          <w:szCs w:val="24"/>
        </w:rPr>
        <w:t>FDA</w:t>
      </w:r>
      <w:r w:rsidRPr="00F814BC">
        <w:rPr>
          <w:rFonts w:eastAsia="宋体"/>
          <w:color w:val="000000"/>
          <w:sz w:val="24"/>
          <w:szCs w:val="24"/>
        </w:rPr>
        <w:t>一般希望举行咨询委员会会议。</w:t>
      </w:r>
    </w:p>
    <w:p w14:paraId="3898F272" w14:textId="77777777" w:rsidR="00973B28" w:rsidRDefault="00973B28" w:rsidP="0006004F">
      <w:pPr>
        <w:shd w:val="clear" w:color="auto" w:fill="FFFFFF"/>
        <w:snapToGrid w:val="0"/>
        <w:ind w:firstLineChars="200" w:firstLine="480"/>
        <w:jc w:val="both"/>
        <w:rPr>
          <w:rFonts w:eastAsia="宋体"/>
          <w:sz w:val="24"/>
          <w:szCs w:val="24"/>
        </w:rPr>
      </w:pPr>
    </w:p>
    <w:p w14:paraId="5E99C146"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一般来说，</w:t>
      </w:r>
      <w:r w:rsidRPr="00F814BC">
        <w:rPr>
          <w:rFonts w:eastAsia="宋体"/>
          <w:color w:val="000000"/>
          <w:sz w:val="24"/>
          <w:szCs w:val="24"/>
        </w:rPr>
        <w:t>FDA</w:t>
      </w:r>
      <w:r w:rsidRPr="00F814BC">
        <w:rPr>
          <w:rFonts w:eastAsia="宋体"/>
          <w:color w:val="000000"/>
          <w:sz w:val="24"/>
          <w:szCs w:val="24"/>
        </w:rPr>
        <w:t>打算提前安排会议</w:t>
      </w:r>
      <w:r w:rsidRPr="00F814BC">
        <w:rPr>
          <w:rFonts w:eastAsia="宋体"/>
          <w:color w:val="000000"/>
          <w:sz w:val="24"/>
          <w:szCs w:val="24"/>
        </w:rPr>
        <w:t>-</w:t>
      </w:r>
      <w:r w:rsidRPr="00F814BC">
        <w:rPr>
          <w:rFonts w:eastAsia="宋体"/>
          <w:color w:val="000000"/>
          <w:sz w:val="24"/>
          <w:szCs w:val="24"/>
        </w:rPr>
        <w:t>在根据批准条件提交上市后证据的时间框架之后不久，如果没有必要，再取消会议。当</w:t>
      </w:r>
      <w:r w:rsidR="00932C0C">
        <w:rPr>
          <w:rFonts w:eastAsia="宋体"/>
          <w:color w:val="000000"/>
          <w:sz w:val="24"/>
          <w:szCs w:val="24"/>
        </w:rPr>
        <w:t>FDA</w:t>
      </w:r>
      <w:r w:rsidRPr="00F814BC">
        <w:rPr>
          <w:rFonts w:eastAsia="宋体"/>
          <w:color w:val="000000"/>
          <w:sz w:val="24"/>
          <w:szCs w:val="24"/>
        </w:rPr>
        <w:t>召开咨询委员会会议时，我们打算考虑咨询委员会的建议，以确定数据是否继续支持对该器械的安全性和有效性的合理保证，并确定下一步措施，其中可能包括发布撤销令，或者，如果数据证明并经</w:t>
      </w:r>
      <w:r w:rsidRPr="00F814BC">
        <w:rPr>
          <w:rFonts w:eastAsia="宋体"/>
          <w:color w:val="000000"/>
          <w:sz w:val="24"/>
          <w:szCs w:val="24"/>
        </w:rPr>
        <w:t>PMA</w:t>
      </w:r>
      <w:r w:rsidRPr="00F814BC">
        <w:rPr>
          <w:rFonts w:eastAsia="宋体"/>
          <w:color w:val="000000"/>
          <w:sz w:val="24"/>
          <w:szCs w:val="24"/>
        </w:rPr>
        <w:t>持有人同意，对该器械的销售和分销进行某些限制，或缩小该器械的使用</w:t>
      </w:r>
      <w:r w:rsidR="00932C0C">
        <w:rPr>
          <w:rFonts w:eastAsia="宋体"/>
          <w:color w:val="000000"/>
          <w:sz w:val="24"/>
          <w:szCs w:val="24"/>
        </w:rPr>
        <w:t>适应证</w:t>
      </w:r>
      <w:r w:rsidRPr="00F814BC">
        <w:rPr>
          <w:rFonts w:eastAsia="宋体"/>
          <w:color w:val="000000"/>
          <w:sz w:val="24"/>
          <w:szCs w:val="24"/>
        </w:rPr>
        <w:t>。</w:t>
      </w:r>
    </w:p>
    <w:p w14:paraId="4B988DAB" w14:textId="77777777" w:rsidR="00973B28" w:rsidRDefault="00973B28" w:rsidP="0006004F">
      <w:pPr>
        <w:shd w:val="clear" w:color="auto" w:fill="FFFFFF"/>
        <w:snapToGrid w:val="0"/>
        <w:ind w:firstLineChars="200" w:firstLine="480"/>
        <w:jc w:val="both"/>
        <w:rPr>
          <w:rFonts w:eastAsia="宋体"/>
          <w:sz w:val="24"/>
          <w:szCs w:val="24"/>
        </w:rPr>
      </w:pPr>
    </w:p>
    <w:p w14:paraId="367FC0E6"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如果</w:t>
      </w:r>
      <w:r w:rsidR="005D7A68">
        <w:rPr>
          <w:rFonts w:eastAsia="宋体"/>
          <w:color w:val="000000"/>
          <w:sz w:val="24"/>
          <w:szCs w:val="24"/>
        </w:rPr>
        <w:t>申办方</w:t>
      </w:r>
      <w:r w:rsidRPr="00F814BC">
        <w:rPr>
          <w:rFonts w:eastAsia="宋体"/>
          <w:color w:val="000000"/>
          <w:sz w:val="24"/>
          <w:szCs w:val="24"/>
        </w:rPr>
        <w:t>没有在规定的时间内产生和提交必要的上市后数据，</w:t>
      </w:r>
      <w:r w:rsidRPr="00F814BC">
        <w:rPr>
          <w:rFonts w:eastAsia="宋体"/>
          <w:color w:val="000000"/>
          <w:sz w:val="24"/>
          <w:szCs w:val="24"/>
        </w:rPr>
        <w:t>FDA</w:t>
      </w:r>
      <w:r w:rsidRPr="00F814BC">
        <w:rPr>
          <w:rFonts w:eastAsia="宋体"/>
          <w:color w:val="000000"/>
          <w:sz w:val="24"/>
          <w:szCs w:val="24"/>
        </w:rPr>
        <w:t>还打算采取适当的行政或执法行动。</w:t>
      </w:r>
      <w:r w:rsidRPr="00F814BC">
        <w:rPr>
          <w:rStyle w:val="a9"/>
          <w:rFonts w:eastAsia="宋体"/>
          <w:color w:val="000000"/>
          <w:sz w:val="24"/>
          <w:szCs w:val="24"/>
        </w:rPr>
        <w:footnoteReference w:id="47"/>
      </w:r>
    </w:p>
    <w:p w14:paraId="5E1800FC" w14:textId="77777777" w:rsidR="00961522" w:rsidRPr="00F814BC" w:rsidRDefault="00961522" w:rsidP="00640CB4">
      <w:pPr>
        <w:shd w:val="clear" w:color="auto" w:fill="FFFFFF"/>
        <w:tabs>
          <w:tab w:val="left" w:pos="182"/>
        </w:tabs>
        <w:snapToGrid w:val="0"/>
        <w:jc w:val="both"/>
        <w:rPr>
          <w:rFonts w:eastAsia="宋体"/>
          <w:color w:val="000000"/>
          <w:sz w:val="24"/>
          <w:szCs w:val="24"/>
          <w:vertAlign w:val="superscript"/>
        </w:rPr>
      </w:pPr>
    </w:p>
    <w:p w14:paraId="59EA9DAF" w14:textId="77777777" w:rsidR="00BE0DEA" w:rsidRPr="00F814BC" w:rsidRDefault="00BE0DEA" w:rsidP="00640CB4">
      <w:pPr>
        <w:shd w:val="clear" w:color="auto" w:fill="FFFFFF"/>
        <w:tabs>
          <w:tab w:val="left" w:pos="182"/>
        </w:tabs>
        <w:snapToGrid w:val="0"/>
        <w:jc w:val="both"/>
        <w:rPr>
          <w:rFonts w:eastAsia="宋体"/>
          <w:sz w:val="21"/>
          <w:szCs w:val="21"/>
        </w:rPr>
        <w:sectPr w:rsidR="00BE0DEA" w:rsidRPr="00F814BC" w:rsidSect="0006004F">
          <w:pgSz w:w="11906" w:h="16838" w:code="9"/>
          <w:pgMar w:top="1134" w:right="1134" w:bottom="1134" w:left="1418" w:header="567" w:footer="567" w:gutter="0"/>
          <w:cols w:space="60"/>
          <w:noEndnote/>
          <w:docGrid w:linePitch="272"/>
        </w:sectPr>
      </w:pPr>
    </w:p>
    <w:p w14:paraId="18B0301F" w14:textId="77777777" w:rsidR="00961522" w:rsidRPr="00F814BC" w:rsidRDefault="00CB325C" w:rsidP="00640CB4">
      <w:pPr>
        <w:pStyle w:val="2"/>
        <w:spacing w:before="240" w:after="120"/>
        <w:ind w:left="630"/>
        <w:rPr>
          <w:rFonts w:eastAsia="宋体"/>
        </w:rPr>
      </w:pPr>
      <w:bookmarkStart w:id="32" w:name="bookmark45"/>
      <w:bookmarkStart w:id="33" w:name="_Toc98748004"/>
      <w:bookmarkStart w:id="34" w:name="_Toc97482652"/>
      <w:r w:rsidRPr="00F814BC">
        <w:rPr>
          <w:rFonts w:eastAsia="宋体"/>
        </w:rPr>
        <w:lastRenderedPageBreak/>
        <w:t>B</w:t>
      </w:r>
      <w:bookmarkEnd w:id="32"/>
      <w:r w:rsidRPr="00F814BC">
        <w:rPr>
          <w:rFonts w:eastAsia="宋体"/>
        </w:rPr>
        <w:t>.</w:t>
      </w:r>
      <w:r w:rsidRPr="00F814BC">
        <w:rPr>
          <w:rFonts w:eastAsia="宋体"/>
        </w:rPr>
        <w:tab/>
      </w:r>
      <w:r w:rsidRPr="00F814BC">
        <w:rPr>
          <w:rFonts w:eastAsia="宋体"/>
        </w:rPr>
        <w:t>适用于小规模患者人群的器械须接受上市前批准</w:t>
      </w:r>
      <w:bookmarkEnd w:id="33"/>
      <w:bookmarkEnd w:id="34"/>
    </w:p>
    <w:p w14:paraId="3A32DE2B"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FDA</w:t>
      </w:r>
      <w:r w:rsidRPr="00F814BC">
        <w:rPr>
          <w:rFonts w:eastAsia="宋体"/>
          <w:color w:val="000000"/>
          <w:sz w:val="24"/>
          <w:szCs w:val="24"/>
        </w:rPr>
        <w:t>认为，上述方法可适用于一些旨在治疗或诊断少数患者人群的器械，特别是在以下情况下：（</w:t>
      </w:r>
      <w:r w:rsidRPr="00F814BC">
        <w:rPr>
          <w:rFonts w:eastAsia="宋体"/>
          <w:color w:val="000000"/>
          <w:sz w:val="24"/>
          <w:szCs w:val="24"/>
        </w:rPr>
        <w:t>1</w:t>
      </w:r>
      <w:r w:rsidRPr="00F814BC">
        <w:rPr>
          <w:rFonts w:eastAsia="宋体"/>
          <w:color w:val="000000"/>
          <w:sz w:val="24"/>
          <w:szCs w:val="24"/>
        </w:rPr>
        <w:t>）由于疾病或病症的罕见性，在上市前产生广泛的临床证据通常是不可行的或</w:t>
      </w:r>
      <w:r w:rsidR="00A26F6F" w:rsidRPr="00F814BC">
        <w:rPr>
          <w:rFonts w:eastAsia="宋体"/>
          <w:color w:val="000000"/>
          <w:sz w:val="24"/>
          <w:szCs w:val="24"/>
        </w:rPr>
        <w:t>需要</w:t>
      </w:r>
      <w:r w:rsidR="00A26F6F" w:rsidRPr="00F814BC">
        <w:rPr>
          <w:rFonts w:eastAsia="宋体" w:hint="eastAsia"/>
          <w:color w:val="000000"/>
          <w:sz w:val="24"/>
          <w:szCs w:val="24"/>
        </w:rPr>
        <w:t>大量</w:t>
      </w:r>
      <w:r w:rsidRPr="00F814BC">
        <w:rPr>
          <w:rFonts w:eastAsia="宋体"/>
          <w:color w:val="000000"/>
          <w:sz w:val="24"/>
          <w:szCs w:val="24"/>
        </w:rPr>
        <w:t>的资源或时间；以及（</w:t>
      </w:r>
      <w:r w:rsidRPr="00F814BC">
        <w:rPr>
          <w:rFonts w:eastAsia="宋体"/>
          <w:color w:val="000000"/>
          <w:sz w:val="24"/>
          <w:szCs w:val="24"/>
        </w:rPr>
        <w:t>2</w:t>
      </w:r>
      <w:r w:rsidRPr="00F814BC">
        <w:rPr>
          <w:rFonts w:eastAsia="宋体"/>
          <w:color w:val="000000"/>
          <w:sz w:val="24"/>
          <w:szCs w:val="24"/>
        </w:rPr>
        <w:t>）器械所解决的医疗需求尚未得到满足，例如，对于该患者人群没有可用的治疗方法或诊断方法。当器械不符合突破性器械计划（例如，不治疗或诊断危及生命或不可逆转的衰弱疾病或</w:t>
      </w:r>
      <w:r w:rsidR="00A26F6F" w:rsidRPr="00F814BC">
        <w:rPr>
          <w:rFonts w:eastAsia="宋体" w:hint="eastAsia"/>
          <w:color w:val="000000"/>
          <w:sz w:val="24"/>
          <w:szCs w:val="24"/>
        </w:rPr>
        <w:t>病症</w:t>
      </w:r>
      <w:r w:rsidRPr="00F814BC">
        <w:rPr>
          <w:rFonts w:eastAsia="宋体"/>
          <w:color w:val="000000"/>
          <w:sz w:val="24"/>
          <w:szCs w:val="24"/>
        </w:rPr>
        <w:t>）或</w:t>
      </w:r>
      <w:r w:rsidRPr="00F814BC">
        <w:rPr>
          <w:rFonts w:eastAsia="宋体"/>
          <w:color w:val="000000"/>
          <w:sz w:val="24"/>
          <w:szCs w:val="24"/>
        </w:rPr>
        <w:t>HDE</w:t>
      </w:r>
      <w:r w:rsidRPr="00F814BC">
        <w:rPr>
          <w:rFonts w:eastAsia="宋体"/>
          <w:color w:val="000000"/>
          <w:sz w:val="24"/>
          <w:szCs w:val="24"/>
        </w:rPr>
        <w:t>途径（例如，每年有超过</w:t>
      </w:r>
      <w:r w:rsidRPr="00F814BC">
        <w:rPr>
          <w:rFonts w:eastAsia="宋体"/>
          <w:color w:val="000000"/>
          <w:sz w:val="24"/>
          <w:szCs w:val="24"/>
        </w:rPr>
        <w:t>8000</w:t>
      </w:r>
      <w:r w:rsidRPr="00F814BC">
        <w:rPr>
          <w:rFonts w:eastAsia="宋体"/>
          <w:color w:val="000000"/>
          <w:sz w:val="24"/>
          <w:szCs w:val="24"/>
        </w:rPr>
        <w:t>人受到影响）时，可以采用这种方法。这将为符合条件的器械的</w:t>
      </w:r>
      <w:r w:rsidR="005D7A68">
        <w:rPr>
          <w:rFonts w:eastAsia="宋体"/>
          <w:color w:val="000000"/>
          <w:sz w:val="24"/>
          <w:szCs w:val="24"/>
        </w:rPr>
        <w:t>申办方</w:t>
      </w:r>
      <w:r w:rsidRPr="00F814BC">
        <w:rPr>
          <w:rFonts w:eastAsia="宋体"/>
          <w:color w:val="000000"/>
          <w:sz w:val="24"/>
          <w:szCs w:val="24"/>
        </w:rPr>
        <w:t>提供选择，在更大的不确定性可能适合的情况下，他们如何满足安全和有效性的合理保证标准（例如，较小的上市前数据收集与较大的上市后数据收集和其他上市后控制，较大的上市前数据收集与较小的上市后数据收集，没有或较少的其他上市后控制，或者甚至较大的上市前数据收集与没有或很少的上市后数据收集和其他上市后控制）。虽然</w:t>
      </w:r>
      <w:r w:rsidRPr="00F814BC">
        <w:rPr>
          <w:rFonts w:ascii="宋体" w:eastAsia="宋体" w:hAnsi="宋体"/>
          <w:color w:val="000000"/>
          <w:sz w:val="24"/>
          <w:szCs w:val="24"/>
        </w:rPr>
        <w:t>“小</w:t>
      </w:r>
      <w:r w:rsidR="00A26F6F" w:rsidRPr="00F814BC">
        <w:rPr>
          <w:rFonts w:ascii="宋体" w:eastAsia="宋体" w:hAnsi="宋体"/>
          <w:color w:val="000000"/>
          <w:sz w:val="24"/>
          <w:szCs w:val="24"/>
        </w:rPr>
        <w:t>规模</w:t>
      </w:r>
      <w:r w:rsidRPr="00F814BC">
        <w:rPr>
          <w:rFonts w:ascii="宋体" w:eastAsia="宋体" w:hAnsi="宋体"/>
          <w:color w:val="000000"/>
          <w:sz w:val="24"/>
          <w:szCs w:val="24"/>
        </w:rPr>
        <w:t>患者人群”</w:t>
      </w:r>
      <w:r w:rsidR="00B453B2">
        <w:rPr>
          <w:rFonts w:ascii="宋体" w:eastAsia="宋体" w:hAnsi="宋体" w:hint="eastAsia"/>
          <w:color w:val="000000"/>
          <w:sz w:val="24"/>
          <w:szCs w:val="24"/>
        </w:rPr>
        <w:t>尚无具体患者数量定义</w:t>
      </w:r>
      <w:r w:rsidRPr="00F814BC">
        <w:rPr>
          <w:rFonts w:eastAsia="宋体"/>
          <w:color w:val="000000"/>
          <w:sz w:val="24"/>
          <w:szCs w:val="24"/>
        </w:rPr>
        <w:t>，但这种方法可用于患有罕见疾病或病症的患者，或更广泛人群中具有临床意义的子集的患者。这种方法将逐案应用，考虑到第</w:t>
      </w:r>
      <w:r w:rsidR="0026244F" w:rsidRPr="00F814BC">
        <w:rPr>
          <w:rFonts w:eastAsia="宋体" w:hint="eastAsia"/>
          <w:color w:val="000000"/>
          <w:sz w:val="24"/>
          <w:szCs w:val="24"/>
        </w:rPr>
        <w:t>IV</w:t>
      </w:r>
      <w:r w:rsidRPr="00F814BC">
        <w:rPr>
          <w:rFonts w:eastAsia="宋体"/>
          <w:color w:val="000000"/>
          <w:sz w:val="24"/>
          <w:szCs w:val="24"/>
        </w:rPr>
        <w:t>节所述的因素和有关器械的非临床和</w:t>
      </w:r>
      <w:r w:rsidRPr="00F814BC">
        <w:rPr>
          <w:rFonts w:eastAsia="宋体"/>
          <w:color w:val="000000"/>
          <w:sz w:val="24"/>
          <w:szCs w:val="24"/>
        </w:rPr>
        <w:t>/</w:t>
      </w:r>
      <w:r w:rsidRPr="00F814BC">
        <w:rPr>
          <w:rFonts w:eastAsia="宋体"/>
          <w:color w:val="000000"/>
          <w:sz w:val="24"/>
          <w:szCs w:val="24"/>
        </w:rPr>
        <w:t>或临床信息。</w:t>
      </w:r>
      <w:r w:rsidR="005D7A68">
        <w:rPr>
          <w:rFonts w:eastAsia="宋体"/>
          <w:color w:val="000000"/>
          <w:sz w:val="24"/>
          <w:szCs w:val="24"/>
        </w:rPr>
        <w:t>申办方</w:t>
      </w:r>
      <w:r w:rsidRPr="00F814BC">
        <w:rPr>
          <w:rFonts w:eastAsia="宋体"/>
          <w:color w:val="000000"/>
          <w:sz w:val="24"/>
          <w:szCs w:val="24"/>
        </w:rPr>
        <w:t>可以提交一份</w:t>
      </w:r>
      <w:r w:rsidRPr="00F814BC">
        <w:rPr>
          <w:rFonts w:eastAsia="宋体"/>
          <w:color w:val="000000"/>
          <w:sz w:val="24"/>
          <w:szCs w:val="24"/>
        </w:rPr>
        <w:t>Q-submission</w:t>
      </w:r>
      <w:r w:rsidRPr="00F814BC">
        <w:rPr>
          <w:rFonts w:eastAsia="宋体"/>
          <w:color w:val="000000"/>
          <w:sz w:val="24"/>
          <w:szCs w:val="24"/>
        </w:rPr>
        <w:t>，与相应的审查小组讨论。</w:t>
      </w:r>
      <w:r w:rsidRPr="00F814BC">
        <w:rPr>
          <w:rStyle w:val="a9"/>
          <w:rFonts w:eastAsia="宋体"/>
          <w:color w:val="000000"/>
          <w:sz w:val="24"/>
          <w:szCs w:val="24"/>
        </w:rPr>
        <w:t xml:space="preserve"> </w:t>
      </w:r>
      <w:r w:rsidRPr="00F814BC">
        <w:rPr>
          <w:rStyle w:val="a9"/>
          <w:rFonts w:eastAsia="宋体"/>
          <w:color w:val="000000"/>
          <w:sz w:val="24"/>
          <w:szCs w:val="24"/>
        </w:rPr>
        <w:footnoteReference w:id="48"/>
      </w:r>
    </w:p>
    <w:p w14:paraId="4C81E758" w14:textId="77777777" w:rsidR="00961522" w:rsidRPr="00F814BC" w:rsidRDefault="00CB325C" w:rsidP="00640CB4">
      <w:pPr>
        <w:pStyle w:val="2"/>
        <w:spacing w:before="240" w:after="120"/>
        <w:ind w:left="630"/>
        <w:rPr>
          <w:rFonts w:eastAsia="宋体"/>
        </w:rPr>
      </w:pPr>
      <w:bookmarkStart w:id="35" w:name="bookmark46"/>
      <w:bookmarkStart w:id="36" w:name="_Toc98748005"/>
      <w:bookmarkStart w:id="37" w:name="_Toc97482653"/>
      <w:r w:rsidRPr="00F814BC">
        <w:rPr>
          <w:rFonts w:eastAsia="宋体"/>
        </w:rPr>
        <w:t>C</w:t>
      </w:r>
      <w:bookmarkEnd w:id="35"/>
      <w:r w:rsidRPr="00F814BC">
        <w:rPr>
          <w:rFonts w:eastAsia="宋体"/>
        </w:rPr>
        <w:t>.</w:t>
      </w:r>
      <w:r w:rsidRPr="00F814BC">
        <w:rPr>
          <w:rFonts w:eastAsia="宋体"/>
        </w:rPr>
        <w:tab/>
      </w:r>
      <w:r w:rsidRPr="00F814BC">
        <w:rPr>
          <w:rFonts w:eastAsia="宋体"/>
        </w:rPr>
        <w:t>实例</w:t>
      </w:r>
      <w:bookmarkEnd w:id="36"/>
      <w:bookmarkEnd w:id="37"/>
    </w:p>
    <w:p w14:paraId="2E94FF00"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以下假设的例子只是为了说明在不同的不确定情况下对临床试验规模可能产生的影响，同时考虑到第</w:t>
      </w:r>
      <w:r w:rsidR="0026244F" w:rsidRPr="00F814BC">
        <w:rPr>
          <w:rFonts w:eastAsia="宋体" w:hint="eastAsia"/>
          <w:color w:val="000000"/>
          <w:sz w:val="24"/>
          <w:szCs w:val="24"/>
        </w:rPr>
        <w:t>IV</w:t>
      </w:r>
      <w:r w:rsidRPr="00F814BC">
        <w:rPr>
          <w:rFonts w:eastAsia="宋体"/>
          <w:color w:val="000000"/>
          <w:sz w:val="24"/>
          <w:szCs w:val="24"/>
        </w:rPr>
        <w:t>节中描述的因素以及器械的相关非临床和</w:t>
      </w:r>
      <w:r w:rsidRPr="00F814BC">
        <w:rPr>
          <w:rFonts w:eastAsia="宋体"/>
          <w:color w:val="000000"/>
          <w:sz w:val="24"/>
          <w:szCs w:val="24"/>
        </w:rPr>
        <w:t>/</w:t>
      </w:r>
      <w:r w:rsidRPr="00F814BC">
        <w:rPr>
          <w:rFonts w:eastAsia="宋体"/>
          <w:color w:val="000000"/>
          <w:sz w:val="24"/>
          <w:szCs w:val="24"/>
        </w:rPr>
        <w:t>或临床信息。</w:t>
      </w:r>
      <w:r w:rsidR="00A05DF2" w:rsidRPr="00F814BC">
        <w:rPr>
          <w:rFonts w:eastAsia="宋体" w:hint="eastAsia"/>
          <w:color w:val="000000"/>
          <w:sz w:val="24"/>
          <w:szCs w:val="24"/>
        </w:rPr>
        <w:t>然而，</w:t>
      </w:r>
      <w:r w:rsidRPr="00F814BC">
        <w:rPr>
          <w:rFonts w:eastAsia="宋体"/>
          <w:color w:val="000000"/>
          <w:sz w:val="24"/>
          <w:szCs w:val="24"/>
        </w:rPr>
        <w:t>使用特定的事实模式或临床试验设计参数的特定值（如</w:t>
      </w:r>
      <w:r w:rsidRPr="00F814BC">
        <w:rPr>
          <w:rFonts w:eastAsia="宋体"/>
          <w:color w:val="000000"/>
          <w:sz w:val="24"/>
          <w:szCs w:val="24"/>
        </w:rPr>
        <w:t>p</w:t>
      </w:r>
      <w:r w:rsidRPr="00F814BC">
        <w:rPr>
          <w:rFonts w:eastAsia="宋体"/>
          <w:color w:val="000000"/>
          <w:sz w:val="24"/>
          <w:szCs w:val="24"/>
        </w:rPr>
        <w:t>值临界值、</w:t>
      </w:r>
      <w:r w:rsidR="002636D6">
        <w:rPr>
          <w:rFonts w:eastAsia="宋体"/>
          <w:color w:val="000000"/>
          <w:sz w:val="24"/>
          <w:szCs w:val="24"/>
        </w:rPr>
        <w:t>单侧</w:t>
      </w:r>
      <w:r w:rsidRPr="00F814BC">
        <w:rPr>
          <w:rFonts w:eastAsia="宋体"/>
          <w:color w:val="000000"/>
          <w:sz w:val="24"/>
          <w:szCs w:val="24"/>
        </w:rPr>
        <w:t>显著性水平、</w:t>
      </w:r>
      <w:r w:rsidR="00E6092F" w:rsidRPr="00F814BC">
        <w:rPr>
          <w:rFonts w:eastAsia="宋体"/>
          <w:color w:val="000000"/>
          <w:sz w:val="24"/>
          <w:szCs w:val="24"/>
        </w:rPr>
        <w:t>置信水平</w:t>
      </w:r>
      <w:r w:rsidRPr="00F814BC">
        <w:rPr>
          <w:rFonts w:eastAsia="宋体"/>
          <w:color w:val="000000"/>
          <w:sz w:val="24"/>
          <w:szCs w:val="24"/>
        </w:rPr>
        <w:t>、可信</w:t>
      </w:r>
      <w:r w:rsidR="00511B1F" w:rsidRPr="00F814BC">
        <w:rPr>
          <w:rFonts w:eastAsia="宋体"/>
          <w:color w:val="000000"/>
          <w:sz w:val="24"/>
          <w:szCs w:val="24"/>
        </w:rPr>
        <w:t>或置信</w:t>
      </w:r>
      <w:r w:rsidRPr="00F814BC">
        <w:rPr>
          <w:rFonts w:eastAsia="宋体"/>
          <w:color w:val="000000"/>
          <w:sz w:val="24"/>
          <w:szCs w:val="24"/>
        </w:rPr>
        <w:t>区间或后验概率）并不意味着</w:t>
      </w:r>
      <w:r w:rsidRPr="00F814BC">
        <w:rPr>
          <w:rFonts w:eastAsia="宋体"/>
          <w:color w:val="000000"/>
          <w:sz w:val="24"/>
          <w:szCs w:val="24"/>
        </w:rPr>
        <w:t>FDA</w:t>
      </w:r>
      <w:r w:rsidRPr="00F814BC">
        <w:rPr>
          <w:rFonts w:eastAsia="宋体"/>
          <w:color w:val="000000"/>
          <w:sz w:val="24"/>
          <w:szCs w:val="24"/>
        </w:rPr>
        <w:t>的政策或</w:t>
      </w:r>
      <w:r w:rsidRPr="00F814BC">
        <w:rPr>
          <w:rFonts w:eastAsia="宋体"/>
          <w:color w:val="000000"/>
          <w:sz w:val="24"/>
          <w:szCs w:val="24"/>
        </w:rPr>
        <w:t>FDA</w:t>
      </w:r>
      <w:r w:rsidRPr="00F814BC">
        <w:rPr>
          <w:rFonts w:eastAsia="宋体"/>
          <w:color w:val="000000"/>
          <w:sz w:val="24"/>
          <w:szCs w:val="24"/>
        </w:rPr>
        <w:t>的决定，即在特定情况下这种事实模式或这种统计决策阈值的应用是可以接受的，而且不应孤立地用于通知临床试验的规模及其统计分析计划。此外，统计学</w:t>
      </w:r>
      <w:r w:rsidR="00D665E7">
        <w:rPr>
          <w:rFonts w:eastAsia="宋体" w:hint="eastAsia"/>
          <w:color w:val="000000"/>
          <w:sz w:val="24"/>
          <w:szCs w:val="24"/>
        </w:rPr>
        <w:t>指标</w:t>
      </w:r>
      <w:r w:rsidRPr="00F814BC">
        <w:rPr>
          <w:rFonts w:eastAsia="宋体"/>
          <w:color w:val="000000"/>
          <w:sz w:val="24"/>
          <w:szCs w:val="24"/>
        </w:rPr>
        <w:t>，如</w:t>
      </w:r>
      <w:r w:rsidRPr="00F814BC">
        <w:rPr>
          <w:rFonts w:eastAsia="宋体"/>
          <w:color w:val="000000"/>
          <w:sz w:val="24"/>
          <w:szCs w:val="24"/>
        </w:rPr>
        <w:t>P</w:t>
      </w:r>
      <w:r w:rsidRPr="00F814BC">
        <w:rPr>
          <w:rFonts w:eastAsia="宋体"/>
          <w:color w:val="000000"/>
          <w:sz w:val="24"/>
          <w:szCs w:val="24"/>
        </w:rPr>
        <w:t>值，并不是独立于环境的</w:t>
      </w:r>
      <w:r w:rsidR="006B2D6E">
        <w:rPr>
          <w:rFonts w:eastAsia="宋体" w:hint="eastAsia"/>
          <w:color w:val="000000"/>
          <w:sz w:val="24"/>
          <w:szCs w:val="24"/>
        </w:rPr>
        <w:t>指标</w:t>
      </w:r>
      <w:r w:rsidRPr="00F814BC">
        <w:rPr>
          <w:rFonts w:eastAsia="宋体"/>
          <w:color w:val="000000"/>
          <w:sz w:val="24"/>
          <w:szCs w:val="24"/>
        </w:rPr>
        <w:t>，以衡量某一特定器械的临床重大</w:t>
      </w:r>
      <w:r w:rsidR="007502ED" w:rsidRPr="00F814BC">
        <w:rPr>
          <w:rFonts w:eastAsia="宋体" w:hint="eastAsia"/>
          <w:color w:val="000000"/>
          <w:sz w:val="24"/>
          <w:szCs w:val="24"/>
        </w:rPr>
        <w:t>获益</w:t>
      </w:r>
      <w:r w:rsidRPr="00F814BC">
        <w:rPr>
          <w:rFonts w:eastAsia="宋体"/>
          <w:color w:val="000000"/>
          <w:sz w:val="24"/>
          <w:szCs w:val="24"/>
        </w:rPr>
        <w:t>和风险的不确定性程度。虽然下面的例子说明了不确定性如何反映在临床研究的</w:t>
      </w:r>
      <w:r w:rsidR="00E6092F" w:rsidRPr="00F814BC">
        <w:rPr>
          <w:rFonts w:eastAsia="宋体"/>
          <w:color w:val="000000"/>
          <w:sz w:val="24"/>
          <w:szCs w:val="24"/>
        </w:rPr>
        <w:t>置信水平</w:t>
      </w:r>
      <w:r w:rsidRPr="00F814BC">
        <w:rPr>
          <w:rFonts w:eastAsia="宋体"/>
          <w:color w:val="000000"/>
          <w:sz w:val="24"/>
          <w:szCs w:val="24"/>
        </w:rPr>
        <w:t>或单方显著性水平上，但我们注意到，在适当的时候，不确定性可以根据情况以其他方式反映出来，例如使用</w:t>
      </w:r>
      <w:r w:rsidR="007502ED" w:rsidRPr="00F814BC">
        <w:rPr>
          <w:rFonts w:eastAsia="宋体" w:hint="eastAsia"/>
          <w:color w:val="000000"/>
          <w:sz w:val="24"/>
          <w:szCs w:val="24"/>
        </w:rPr>
        <w:t>替代</w:t>
      </w:r>
      <w:r w:rsidRPr="00F814BC">
        <w:rPr>
          <w:rFonts w:eastAsia="宋体"/>
          <w:color w:val="000000"/>
          <w:sz w:val="24"/>
          <w:szCs w:val="24"/>
        </w:rPr>
        <w:t>终点。</w:t>
      </w:r>
    </w:p>
    <w:p w14:paraId="25076949" w14:textId="77777777" w:rsidR="00BE0DEA" w:rsidRPr="00F814BC" w:rsidRDefault="00BE0DEA" w:rsidP="00640CB4">
      <w:pPr>
        <w:shd w:val="clear" w:color="auto" w:fill="FFFFFF"/>
        <w:snapToGrid w:val="0"/>
        <w:jc w:val="both"/>
        <w:rPr>
          <w:rFonts w:eastAsia="宋体"/>
          <w:sz w:val="24"/>
          <w:szCs w:val="24"/>
        </w:rPr>
      </w:pPr>
    </w:p>
    <w:p w14:paraId="285ED788"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最后，如上所述，决定一个器械是否提供合理的安全和有效性保证的依据是全部有效的科学证据，包括临床研究和非临床测试。在特定情况下，</w:t>
      </w:r>
      <w:r w:rsidR="0026244F" w:rsidRPr="00F814BC">
        <w:rPr>
          <w:rFonts w:eastAsia="宋体" w:hint="eastAsia"/>
          <w:color w:val="000000"/>
          <w:sz w:val="24"/>
          <w:szCs w:val="24"/>
        </w:rPr>
        <w:t>获益</w:t>
      </w:r>
      <w:r w:rsidRPr="00F814BC">
        <w:rPr>
          <w:rFonts w:eastAsia="宋体"/>
          <w:color w:val="000000"/>
          <w:sz w:val="24"/>
          <w:szCs w:val="24"/>
        </w:rPr>
        <w:t>和风险的不确定性的适当程度将取决于对第</w:t>
      </w:r>
      <w:bookmarkStart w:id="38" w:name="bookmark48"/>
      <w:r w:rsidRPr="00F814BC">
        <w:rPr>
          <w:rFonts w:eastAsia="宋体"/>
          <w:color w:val="000000"/>
          <w:sz w:val="24"/>
          <w:szCs w:val="24"/>
        </w:rPr>
        <w:t>I</w:t>
      </w:r>
      <w:bookmarkEnd w:id="38"/>
      <w:r w:rsidRPr="00F814BC">
        <w:rPr>
          <w:rFonts w:eastAsia="宋体"/>
          <w:color w:val="000000"/>
          <w:sz w:val="24"/>
          <w:szCs w:val="24"/>
        </w:rPr>
        <w:t>V</w:t>
      </w:r>
      <w:r w:rsidRPr="00F814BC">
        <w:rPr>
          <w:rFonts w:eastAsia="宋体"/>
          <w:color w:val="000000"/>
          <w:sz w:val="24"/>
          <w:szCs w:val="24"/>
        </w:rPr>
        <w:t>节中规定的因素（例如，有争议的疾病或</w:t>
      </w:r>
      <w:r w:rsidR="0026244F" w:rsidRPr="00F814BC">
        <w:rPr>
          <w:rFonts w:eastAsia="宋体" w:hint="eastAsia"/>
          <w:color w:val="000000"/>
          <w:sz w:val="24"/>
          <w:szCs w:val="24"/>
        </w:rPr>
        <w:t>病症</w:t>
      </w:r>
      <w:r w:rsidRPr="00F814BC">
        <w:rPr>
          <w:rFonts w:eastAsia="宋体"/>
          <w:color w:val="000000"/>
          <w:sz w:val="24"/>
          <w:szCs w:val="24"/>
        </w:rPr>
        <w:t>，替代产品的</w:t>
      </w:r>
      <w:r w:rsidR="003B6DE3">
        <w:rPr>
          <w:rFonts w:eastAsia="宋体"/>
          <w:color w:val="000000"/>
          <w:sz w:val="24"/>
          <w:szCs w:val="24"/>
        </w:rPr>
        <w:t>可及性</w:t>
      </w:r>
      <w:r w:rsidRPr="00F814BC">
        <w:rPr>
          <w:rFonts w:eastAsia="宋体"/>
          <w:color w:val="000000"/>
          <w:sz w:val="24"/>
          <w:szCs w:val="24"/>
        </w:rPr>
        <w:t>，以及风险缓解措施）和有关该器械的其他相关信息的考虑。我们预计，下面的例子中所讨论的很大程度的不确定性只有在罕见的情况下才合适，而且在任何情况下，</w:t>
      </w:r>
      <w:r w:rsidR="005D7A68">
        <w:rPr>
          <w:rFonts w:eastAsia="宋体"/>
          <w:color w:val="000000"/>
          <w:sz w:val="24"/>
          <w:szCs w:val="24"/>
        </w:rPr>
        <w:t>申办方</w:t>
      </w:r>
      <w:r w:rsidR="00B465C2">
        <w:rPr>
          <w:rFonts w:eastAsia="宋体" w:hint="eastAsia"/>
          <w:color w:val="000000"/>
          <w:sz w:val="24"/>
          <w:szCs w:val="24"/>
        </w:rPr>
        <w:t>都</w:t>
      </w:r>
      <w:r w:rsidRPr="00F814BC">
        <w:rPr>
          <w:rFonts w:eastAsia="宋体"/>
          <w:color w:val="000000"/>
          <w:sz w:val="24"/>
          <w:szCs w:val="24"/>
        </w:rPr>
        <w:t>必须证明，除其他事项外，有效科学证据的整体性为该器械的安全性和有效性提供了合理保证。</w:t>
      </w:r>
      <w:r w:rsidRPr="00F814BC">
        <w:rPr>
          <w:rStyle w:val="a9"/>
          <w:rFonts w:eastAsia="宋体"/>
          <w:color w:val="000000"/>
          <w:sz w:val="24"/>
          <w:szCs w:val="24"/>
        </w:rPr>
        <w:footnoteReference w:id="49"/>
      </w:r>
    </w:p>
    <w:p w14:paraId="597F5738" w14:textId="77777777" w:rsidR="00961522" w:rsidRPr="00F814BC" w:rsidRDefault="00961522" w:rsidP="00640CB4">
      <w:pPr>
        <w:shd w:val="clear" w:color="auto" w:fill="FFFFFF"/>
        <w:snapToGrid w:val="0"/>
        <w:jc w:val="both"/>
        <w:rPr>
          <w:rFonts w:eastAsia="宋体"/>
          <w:sz w:val="24"/>
          <w:szCs w:val="24"/>
        </w:rPr>
      </w:pPr>
    </w:p>
    <w:p w14:paraId="0541DEE2" w14:textId="77777777" w:rsidR="00961522" w:rsidRPr="00F814BC" w:rsidRDefault="00961522" w:rsidP="00640CB4">
      <w:pPr>
        <w:shd w:val="clear" w:color="auto" w:fill="FFFFFF"/>
        <w:snapToGrid w:val="0"/>
        <w:jc w:val="both"/>
        <w:rPr>
          <w:rFonts w:eastAsia="宋体"/>
          <w:sz w:val="24"/>
          <w:szCs w:val="24"/>
        </w:rPr>
      </w:pPr>
    </w:p>
    <w:p w14:paraId="4B1027EB" w14:textId="77777777" w:rsidR="00961522" w:rsidRPr="00F814BC" w:rsidRDefault="00961522" w:rsidP="00640CB4">
      <w:pPr>
        <w:shd w:val="clear" w:color="auto" w:fill="FFFFFF"/>
        <w:snapToGrid w:val="0"/>
        <w:jc w:val="both"/>
        <w:rPr>
          <w:rFonts w:eastAsia="宋体"/>
          <w:sz w:val="24"/>
          <w:szCs w:val="24"/>
        </w:rPr>
        <w:sectPr w:rsidR="00961522" w:rsidRPr="00F814BC" w:rsidSect="0006004F">
          <w:pgSz w:w="11906" w:h="16838" w:code="9"/>
          <w:pgMar w:top="1134" w:right="1134" w:bottom="1134" w:left="1418" w:header="567" w:footer="567" w:gutter="0"/>
          <w:cols w:space="60"/>
          <w:noEndnote/>
          <w:docGrid w:linePitch="272"/>
        </w:sectPr>
      </w:pPr>
    </w:p>
    <w:p w14:paraId="45D83577" w14:textId="77777777" w:rsidR="00961522" w:rsidRPr="00F814BC" w:rsidRDefault="0057162B" w:rsidP="00640CB4">
      <w:pPr>
        <w:pStyle w:val="3"/>
        <w:spacing w:before="120" w:after="120"/>
        <w:ind w:left="1276"/>
      </w:pPr>
      <w:bookmarkStart w:id="39" w:name="_Toc98748006"/>
      <w:bookmarkStart w:id="40" w:name="_Toc97482654"/>
      <w:r w:rsidRPr="00F814BC">
        <w:lastRenderedPageBreak/>
        <w:t>（</w:t>
      </w:r>
      <w:r w:rsidR="00CB325C" w:rsidRPr="00F814BC">
        <w:t>1</w:t>
      </w:r>
      <w:r w:rsidRPr="00F814BC">
        <w:t>）</w:t>
      </w:r>
      <w:r w:rsidR="00CB325C" w:rsidRPr="00F814BC">
        <w:tab/>
      </w:r>
      <w:r w:rsidR="00CB325C" w:rsidRPr="00F814BC">
        <w:t>突破性器械</w:t>
      </w:r>
      <w:r w:rsidR="00CB325C" w:rsidRPr="00F814BC">
        <w:t xml:space="preserve"> - PMA</w:t>
      </w:r>
      <w:bookmarkEnd w:id="39"/>
      <w:bookmarkEnd w:id="40"/>
    </w:p>
    <w:p w14:paraId="128800EE" w14:textId="77777777" w:rsidR="00961522" w:rsidRPr="00F814BC" w:rsidRDefault="00CB325C" w:rsidP="00640CB4">
      <w:pPr>
        <w:pStyle w:val="4"/>
        <w:spacing w:before="120" w:after="120"/>
        <w:rPr>
          <w:sz w:val="24"/>
          <w:szCs w:val="24"/>
        </w:rPr>
      </w:pPr>
      <w:r w:rsidRPr="00F814BC">
        <w:rPr>
          <w:sz w:val="24"/>
          <w:szCs w:val="24"/>
        </w:rPr>
        <w:t>a.</w:t>
      </w:r>
      <w:r w:rsidRPr="00F814BC">
        <w:rPr>
          <w:sz w:val="24"/>
          <w:szCs w:val="24"/>
        </w:rPr>
        <w:tab/>
      </w:r>
      <w:r w:rsidRPr="00F814BC">
        <w:rPr>
          <w:sz w:val="24"/>
          <w:szCs w:val="24"/>
        </w:rPr>
        <w:t>突破性治疗器械</w:t>
      </w:r>
    </w:p>
    <w:p w14:paraId="0698771E"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考虑一种旨在治疗目前</w:t>
      </w:r>
      <w:r w:rsidR="0026244F" w:rsidRPr="00F814BC">
        <w:rPr>
          <w:rFonts w:eastAsia="宋体"/>
          <w:color w:val="000000"/>
          <w:sz w:val="24"/>
          <w:szCs w:val="24"/>
        </w:rPr>
        <w:t>难治性病症</w:t>
      </w:r>
      <w:r w:rsidRPr="00F814BC">
        <w:rPr>
          <w:rFonts w:eastAsia="宋体"/>
          <w:color w:val="000000"/>
          <w:sz w:val="24"/>
          <w:szCs w:val="24"/>
        </w:rPr>
        <w:t>的突破性器械。假设</w:t>
      </w:r>
      <w:r w:rsidRPr="00F814BC">
        <w:rPr>
          <w:rFonts w:eastAsia="宋体"/>
          <w:color w:val="000000"/>
          <w:sz w:val="24"/>
          <w:szCs w:val="24"/>
        </w:rPr>
        <w:t>FDA</w:t>
      </w:r>
      <w:r w:rsidRPr="00F814BC">
        <w:rPr>
          <w:rFonts w:eastAsia="宋体"/>
          <w:color w:val="000000"/>
          <w:sz w:val="24"/>
          <w:szCs w:val="24"/>
        </w:rPr>
        <w:t>考虑了该器械对该</w:t>
      </w:r>
      <w:r w:rsidR="00932C0C">
        <w:rPr>
          <w:rFonts w:eastAsia="宋体"/>
          <w:color w:val="000000"/>
          <w:sz w:val="24"/>
          <w:szCs w:val="24"/>
        </w:rPr>
        <w:t>适应证</w:t>
      </w:r>
      <w:r w:rsidRPr="00F814BC">
        <w:rPr>
          <w:rFonts w:eastAsia="宋体"/>
          <w:color w:val="000000"/>
          <w:sz w:val="24"/>
          <w:szCs w:val="24"/>
        </w:rPr>
        <w:t>的</w:t>
      </w:r>
      <w:r w:rsidR="0026244F" w:rsidRPr="00F814BC">
        <w:rPr>
          <w:rFonts w:eastAsia="宋体" w:hint="eastAsia"/>
          <w:color w:val="000000"/>
          <w:sz w:val="24"/>
          <w:szCs w:val="24"/>
        </w:rPr>
        <w:t>获益</w:t>
      </w:r>
      <w:r w:rsidRPr="00F814BC">
        <w:rPr>
          <w:rFonts w:eastAsia="宋体"/>
          <w:color w:val="000000"/>
          <w:sz w:val="24"/>
          <w:szCs w:val="24"/>
        </w:rPr>
        <w:t>风险因素以及相关的非临床和</w:t>
      </w:r>
      <w:r w:rsidRPr="00F814BC">
        <w:rPr>
          <w:rFonts w:eastAsia="宋体"/>
          <w:color w:val="000000"/>
          <w:sz w:val="24"/>
          <w:szCs w:val="24"/>
        </w:rPr>
        <w:t>/</w:t>
      </w:r>
      <w:r w:rsidRPr="00F814BC">
        <w:rPr>
          <w:rFonts w:eastAsia="宋体"/>
          <w:color w:val="000000"/>
          <w:sz w:val="24"/>
          <w:szCs w:val="24"/>
        </w:rPr>
        <w:t>或临床信息，并确定</w:t>
      </w:r>
      <w:r w:rsidRPr="00F814BC">
        <w:rPr>
          <w:rFonts w:eastAsia="宋体"/>
          <w:color w:val="000000"/>
          <w:sz w:val="24"/>
          <w:szCs w:val="24"/>
        </w:rPr>
        <w:t>70%</w:t>
      </w:r>
      <w:r w:rsidRPr="00F814BC">
        <w:rPr>
          <w:rFonts w:eastAsia="宋体"/>
          <w:color w:val="000000"/>
          <w:sz w:val="24"/>
          <w:szCs w:val="24"/>
        </w:rPr>
        <w:t>的治疗患者获得治疗成功的绩效目标是可以接受的。假设本案例的申报上市前临床研究是一项单臂研究。如果成功率估计的</w:t>
      </w:r>
      <w:r w:rsidR="00E6092F" w:rsidRPr="00F814BC">
        <w:rPr>
          <w:rFonts w:eastAsia="宋体"/>
          <w:color w:val="000000"/>
          <w:sz w:val="24"/>
          <w:szCs w:val="24"/>
        </w:rPr>
        <w:t>置信水平</w:t>
      </w:r>
      <w:r w:rsidRPr="00F814BC">
        <w:rPr>
          <w:rFonts w:eastAsia="宋体"/>
          <w:color w:val="000000"/>
          <w:sz w:val="24"/>
          <w:szCs w:val="24"/>
        </w:rPr>
        <w:t>下限大于</w:t>
      </w:r>
      <w:r w:rsidRPr="00F814BC">
        <w:rPr>
          <w:rFonts w:eastAsia="宋体"/>
          <w:color w:val="000000"/>
          <w:sz w:val="24"/>
          <w:szCs w:val="24"/>
        </w:rPr>
        <w:t>70%</w:t>
      </w:r>
      <w:r w:rsidRPr="00F814BC">
        <w:rPr>
          <w:rFonts w:eastAsia="宋体"/>
          <w:color w:val="000000"/>
          <w:sz w:val="24"/>
          <w:szCs w:val="24"/>
        </w:rPr>
        <w:t>，则达到终点。以下三个案例说明，在实施适当的上市后控制（包括上市后数据收集）的情况下，上市前临床研究的样品量可能存在差异，其中</w:t>
      </w:r>
      <w:r w:rsidRPr="00F814BC">
        <w:rPr>
          <w:rFonts w:ascii="宋体" w:eastAsia="宋体" w:hAnsi="宋体"/>
          <w:color w:val="000000"/>
          <w:sz w:val="24"/>
          <w:szCs w:val="24"/>
        </w:rPr>
        <w:t>“</w:t>
      </w:r>
      <w:r w:rsidR="002B79B1" w:rsidRPr="00F814BC">
        <w:rPr>
          <w:rFonts w:ascii="宋体" w:eastAsia="宋体" w:hAnsi="宋体"/>
          <w:color w:val="000000"/>
          <w:sz w:val="24"/>
          <w:szCs w:val="24"/>
        </w:rPr>
        <w:t>传统</w:t>
      </w:r>
      <w:r w:rsidR="00C566CE" w:rsidRPr="00F814BC">
        <w:rPr>
          <w:rFonts w:ascii="宋体" w:eastAsia="宋体" w:hAnsi="宋体"/>
          <w:color w:val="000000"/>
          <w:sz w:val="24"/>
          <w:szCs w:val="24"/>
        </w:rPr>
        <w:t>”</w:t>
      </w:r>
      <w:r w:rsidRPr="00F814BC">
        <w:rPr>
          <w:rFonts w:eastAsia="宋体"/>
          <w:color w:val="000000"/>
          <w:sz w:val="24"/>
          <w:szCs w:val="24"/>
        </w:rPr>
        <w:t>的、适度的、高度的不确定性</w:t>
      </w:r>
      <w:r w:rsidRPr="00F814BC">
        <w:rPr>
          <w:rFonts w:eastAsia="宋体"/>
          <w:color w:val="000000"/>
          <w:sz w:val="24"/>
          <w:szCs w:val="24"/>
        </w:rPr>
        <w:t>-</w:t>
      </w:r>
      <w:r w:rsidRPr="00F814BC">
        <w:rPr>
          <w:rFonts w:eastAsia="宋体"/>
          <w:color w:val="000000"/>
          <w:sz w:val="24"/>
          <w:szCs w:val="24"/>
        </w:rPr>
        <w:t>这反映在研究的</w:t>
      </w:r>
      <w:r w:rsidR="002636D6">
        <w:rPr>
          <w:rFonts w:eastAsia="宋体"/>
          <w:color w:val="000000"/>
          <w:sz w:val="24"/>
          <w:szCs w:val="24"/>
        </w:rPr>
        <w:t>单侧</w:t>
      </w:r>
      <w:r w:rsidRPr="00F814BC">
        <w:rPr>
          <w:rFonts w:eastAsia="宋体"/>
          <w:color w:val="000000"/>
          <w:sz w:val="24"/>
          <w:szCs w:val="24"/>
        </w:rPr>
        <w:t>显著性水平上</w:t>
      </w:r>
      <w:r w:rsidRPr="00F814BC">
        <w:rPr>
          <w:rFonts w:eastAsia="宋体"/>
          <w:color w:val="000000"/>
          <w:sz w:val="24"/>
          <w:szCs w:val="24"/>
        </w:rPr>
        <w:t>-</w:t>
      </w:r>
      <w:r w:rsidRPr="00F814BC">
        <w:rPr>
          <w:rFonts w:eastAsia="宋体"/>
          <w:color w:val="000000"/>
          <w:sz w:val="24"/>
          <w:szCs w:val="24"/>
        </w:rPr>
        <w:t>在这种情况下是合适的。</w:t>
      </w:r>
    </w:p>
    <w:p w14:paraId="221E6668" w14:textId="77777777" w:rsidR="00973B28" w:rsidRDefault="00973B28" w:rsidP="0006004F">
      <w:pPr>
        <w:shd w:val="clear" w:color="auto" w:fill="FFFFFF"/>
        <w:snapToGrid w:val="0"/>
        <w:ind w:firstLineChars="200" w:firstLine="480"/>
        <w:jc w:val="both"/>
        <w:rPr>
          <w:rFonts w:eastAsia="宋体"/>
          <w:i/>
          <w:iCs/>
          <w:color w:val="000000"/>
          <w:sz w:val="24"/>
          <w:szCs w:val="24"/>
        </w:rPr>
      </w:pPr>
    </w:p>
    <w:p w14:paraId="034B7994" w14:textId="77777777" w:rsidR="00961522" w:rsidRPr="00F814BC" w:rsidRDefault="00CB325C" w:rsidP="00847FF8">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1</w:t>
      </w:r>
      <w:r w:rsidRPr="00F814BC">
        <w:rPr>
          <w:rFonts w:eastAsia="宋体"/>
          <w:i/>
          <w:iCs/>
          <w:color w:val="000000"/>
          <w:sz w:val="24"/>
          <w:szCs w:val="24"/>
        </w:rPr>
        <w:t>：传统的不确定性</w:t>
      </w:r>
    </w:p>
    <w:p w14:paraId="0183D56C" w14:textId="77777777" w:rsidR="00973B28" w:rsidRDefault="00973B28" w:rsidP="0006004F">
      <w:pPr>
        <w:shd w:val="clear" w:color="auto" w:fill="FFFFFF"/>
        <w:snapToGrid w:val="0"/>
        <w:ind w:firstLineChars="200" w:firstLine="480"/>
        <w:jc w:val="both"/>
        <w:rPr>
          <w:rFonts w:eastAsia="宋体"/>
          <w:sz w:val="24"/>
          <w:szCs w:val="24"/>
        </w:rPr>
      </w:pPr>
    </w:p>
    <w:p w14:paraId="399F3B9F" w14:textId="77777777" w:rsidR="00973B28" w:rsidRDefault="00CB325C" w:rsidP="0006004F">
      <w:pPr>
        <w:shd w:val="clear" w:color="auto" w:fill="FFFFFF"/>
        <w:snapToGrid w:val="0"/>
        <w:ind w:firstLineChars="200" w:firstLine="480"/>
        <w:jc w:val="both"/>
        <w:rPr>
          <w:rFonts w:eastAsia="宋体"/>
          <w:color w:val="000000"/>
          <w:sz w:val="24"/>
          <w:szCs w:val="24"/>
        </w:rPr>
      </w:pPr>
      <w:r w:rsidRPr="00F814BC">
        <w:rPr>
          <w:rFonts w:eastAsia="宋体"/>
          <w:color w:val="000000"/>
          <w:sz w:val="24"/>
          <w:szCs w:val="24"/>
        </w:rPr>
        <w:t>在这种情况下，根据第</w:t>
      </w:r>
      <w:r w:rsidR="0022628C" w:rsidRPr="00F814BC">
        <w:rPr>
          <w:rFonts w:eastAsia="宋体" w:hint="eastAsia"/>
          <w:color w:val="000000"/>
          <w:sz w:val="24"/>
          <w:szCs w:val="24"/>
        </w:rPr>
        <w:t>IV</w:t>
      </w:r>
      <w:r w:rsidR="0022628C" w:rsidRPr="00F814BC">
        <w:rPr>
          <w:rFonts w:eastAsia="宋体" w:hint="eastAsia"/>
          <w:color w:val="000000"/>
          <w:sz w:val="24"/>
          <w:szCs w:val="24"/>
        </w:rPr>
        <w:t>节</w:t>
      </w:r>
      <w:r w:rsidRPr="00F814BC">
        <w:rPr>
          <w:rFonts w:eastAsia="宋体"/>
          <w:color w:val="000000"/>
          <w:sz w:val="24"/>
          <w:szCs w:val="24"/>
        </w:rPr>
        <w:t>的考虑和其他相关信息，</w:t>
      </w:r>
      <w:r w:rsidRPr="00F814BC">
        <w:rPr>
          <w:rFonts w:eastAsia="宋体"/>
          <w:color w:val="000000"/>
          <w:sz w:val="24"/>
          <w:szCs w:val="24"/>
        </w:rPr>
        <w:t>FDA</w:t>
      </w:r>
      <w:r w:rsidRPr="00F814BC">
        <w:rPr>
          <w:rFonts w:eastAsia="宋体"/>
          <w:color w:val="000000"/>
          <w:sz w:val="24"/>
          <w:szCs w:val="24"/>
        </w:rPr>
        <w:t>确定</w:t>
      </w:r>
      <w:r w:rsidR="002636D6">
        <w:rPr>
          <w:rFonts w:eastAsia="宋体"/>
          <w:color w:val="000000"/>
          <w:sz w:val="24"/>
          <w:szCs w:val="24"/>
        </w:rPr>
        <w:t>单侧</w:t>
      </w:r>
      <w:r w:rsidRPr="00F814BC">
        <w:rPr>
          <w:rFonts w:eastAsia="宋体"/>
          <w:color w:val="000000"/>
          <w:sz w:val="24"/>
          <w:szCs w:val="24"/>
        </w:rPr>
        <w:t>显著性水平应该是</w:t>
      </w:r>
      <w:r w:rsidRPr="00F814BC">
        <w:rPr>
          <w:rFonts w:eastAsia="宋体"/>
          <w:color w:val="000000"/>
          <w:sz w:val="24"/>
          <w:szCs w:val="24"/>
        </w:rPr>
        <w:t>2.5%</w:t>
      </w:r>
      <w:r w:rsidRPr="00F814BC">
        <w:rPr>
          <w:rFonts w:eastAsia="宋体"/>
          <w:color w:val="000000"/>
          <w:sz w:val="24"/>
          <w:szCs w:val="24"/>
        </w:rPr>
        <w:t>。如果观察到的成功率是</w:t>
      </w:r>
      <w:r w:rsidRPr="00F814BC">
        <w:rPr>
          <w:rFonts w:eastAsia="宋体"/>
          <w:color w:val="000000"/>
          <w:sz w:val="24"/>
          <w:szCs w:val="24"/>
        </w:rPr>
        <w:t>74%</w:t>
      </w:r>
      <w:r w:rsidRPr="00F814BC">
        <w:rPr>
          <w:rFonts w:eastAsia="宋体"/>
          <w:color w:val="000000"/>
          <w:sz w:val="24"/>
          <w:szCs w:val="24"/>
        </w:rPr>
        <w:t>，我们期望一项有</w:t>
      </w:r>
      <w:r w:rsidRPr="00F814BC">
        <w:rPr>
          <w:rFonts w:eastAsia="宋体"/>
          <w:b/>
          <w:bCs/>
          <w:color w:val="000000"/>
          <w:sz w:val="24"/>
          <w:szCs w:val="24"/>
        </w:rPr>
        <w:t>535</w:t>
      </w:r>
      <w:r w:rsidRPr="00F814BC">
        <w:rPr>
          <w:rFonts w:eastAsia="宋体"/>
          <w:b/>
          <w:bCs/>
          <w:color w:val="000000"/>
          <w:sz w:val="24"/>
          <w:szCs w:val="24"/>
        </w:rPr>
        <w:t>名</w:t>
      </w:r>
      <w:r w:rsidRPr="00F814BC">
        <w:rPr>
          <w:rFonts w:eastAsia="宋体"/>
          <w:color w:val="000000"/>
          <w:sz w:val="24"/>
          <w:szCs w:val="24"/>
        </w:rPr>
        <w:t>患者样品量的研究有</w:t>
      </w:r>
      <w:r w:rsidRPr="00F814BC">
        <w:rPr>
          <w:rFonts w:eastAsia="宋体"/>
          <w:color w:val="000000"/>
          <w:sz w:val="24"/>
          <w:szCs w:val="24"/>
        </w:rPr>
        <w:t>97.5%</w:t>
      </w:r>
      <w:r w:rsidRPr="00F814BC">
        <w:rPr>
          <w:rFonts w:eastAsia="宋体"/>
          <w:color w:val="000000"/>
          <w:sz w:val="24"/>
          <w:szCs w:val="24"/>
        </w:rPr>
        <w:t>的把握认为成功患者的比例在</w:t>
      </w:r>
      <w:r w:rsidRPr="00F814BC">
        <w:rPr>
          <w:rFonts w:eastAsia="宋体"/>
          <w:color w:val="000000"/>
          <w:sz w:val="24"/>
          <w:szCs w:val="24"/>
        </w:rPr>
        <w:t>70%</w:t>
      </w:r>
      <w:r w:rsidRPr="00F814BC">
        <w:rPr>
          <w:rFonts w:eastAsia="宋体"/>
          <w:color w:val="000000"/>
          <w:sz w:val="24"/>
          <w:szCs w:val="24"/>
          <w:vertAlign w:val="superscript"/>
        </w:rPr>
        <w:t>†</w:t>
      </w:r>
      <w:r w:rsidRPr="00F814BC">
        <w:rPr>
          <w:rFonts w:eastAsia="宋体"/>
          <w:color w:val="000000"/>
          <w:sz w:val="24"/>
          <w:szCs w:val="24"/>
        </w:rPr>
        <w:t>以上。</w:t>
      </w:r>
    </w:p>
    <w:p w14:paraId="2CBF13C1" w14:textId="77777777" w:rsidR="00973B28" w:rsidRDefault="00973B28" w:rsidP="0006004F">
      <w:pPr>
        <w:shd w:val="clear" w:color="auto" w:fill="FFFFFF"/>
        <w:snapToGrid w:val="0"/>
        <w:ind w:firstLineChars="200" w:firstLine="480"/>
        <w:jc w:val="both"/>
        <w:rPr>
          <w:rFonts w:eastAsia="宋体"/>
          <w:sz w:val="24"/>
          <w:szCs w:val="24"/>
        </w:rPr>
      </w:pPr>
    </w:p>
    <w:p w14:paraId="3965A769" w14:textId="77777777" w:rsidR="00961522" w:rsidRPr="00F814BC" w:rsidRDefault="00CB325C" w:rsidP="00847FF8">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2</w:t>
      </w:r>
      <w:r w:rsidRPr="00F814BC">
        <w:rPr>
          <w:rFonts w:eastAsia="宋体"/>
          <w:i/>
          <w:iCs/>
          <w:color w:val="000000"/>
          <w:sz w:val="24"/>
          <w:szCs w:val="24"/>
        </w:rPr>
        <w:t>：适度的不确定性，适度的</w:t>
      </w:r>
      <w:r w:rsidR="008E38AD" w:rsidRPr="00F814BC">
        <w:rPr>
          <w:rFonts w:eastAsia="宋体"/>
          <w:i/>
          <w:iCs/>
          <w:color w:val="000000"/>
          <w:sz w:val="24"/>
          <w:szCs w:val="24"/>
        </w:rPr>
        <w:t>上市后</w:t>
      </w:r>
      <w:r w:rsidRPr="00F814BC">
        <w:rPr>
          <w:rFonts w:eastAsia="宋体"/>
          <w:i/>
          <w:iCs/>
          <w:color w:val="000000"/>
          <w:sz w:val="24"/>
          <w:szCs w:val="24"/>
        </w:rPr>
        <w:t>数据收集</w:t>
      </w:r>
    </w:p>
    <w:p w14:paraId="0BD427E3" w14:textId="77777777" w:rsidR="00973B28" w:rsidRDefault="00973B28" w:rsidP="0006004F">
      <w:pPr>
        <w:shd w:val="clear" w:color="auto" w:fill="FFFFFF"/>
        <w:snapToGrid w:val="0"/>
        <w:ind w:firstLineChars="200" w:firstLine="480"/>
        <w:jc w:val="both"/>
        <w:rPr>
          <w:rFonts w:eastAsia="宋体"/>
          <w:sz w:val="24"/>
          <w:szCs w:val="24"/>
        </w:rPr>
      </w:pPr>
    </w:p>
    <w:p w14:paraId="650AE08A"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基于相关考虑，包括</w:t>
      </w:r>
      <w:r w:rsidR="008E38AD" w:rsidRPr="00F814BC">
        <w:rPr>
          <w:rFonts w:eastAsia="宋体"/>
          <w:color w:val="000000"/>
          <w:sz w:val="24"/>
          <w:szCs w:val="24"/>
        </w:rPr>
        <w:t>上市后</w:t>
      </w:r>
      <w:r w:rsidRPr="00F814BC">
        <w:rPr>
          <w:rFonts w:eastAsia="宋体"/>
          <w:color w:val="000000"/>
          <w:sz w:val="24"/>
          <w:szCs w:val="24"/>
        </w:rPr>
        <w:t>数据收集的可行性，</w:t>
      </w:r>
      <w:r w:rsidRPr="00F814BC">
        <w:rPr>
          <w:rFonts w:eastAsia="宋体"/>
          <w:color w:val="000000"/>
          <w:sz w:val="24"/>
          <w:szCs w:val="24"/>
        </w:rPr>
        <w:t>FDA</w:t>
      </w:r>
      <w:r w:rsidRPr="00F814BC">
        <w:rPr>
          <w:rFonts w:eastAsia="宋体"/>
          <w:color w:val="000000"/>
          <w:sz w:val="24"/>
          <w:szCs w:val="24"/>
        </w:rPr>
        <w:t>反而认为适度的不确定性是合适的，只要根据这种不确定性进行适度的</w:t>
      </w:r>
      <w:r w:rsidR="008E38AD" w:rsidRPr="00F814BC">
        <w:rPr>
          <w:rFonts w:eastAsia="宋体"/>
          <w:color w:val="000000"/>
          <w:sz w:val="24"/>
          <w:szCs w:val="24"/>
        </w:rPr>
        <w:t>上市后</w:t>
      </w:r>
      <w:r w:rsidRPr="00F814BC">
        <w:rPr>
          <w:rFonts w:eastAsia="宋体"/>
          <w:color w:val="000000"/>
          <w:sz w:val="24"/>
          <w:szCs w:val="24"/>
        </w:rPr>
        <w:t>数据收集。对于这种情况，假设基本事实是这样的：</w:t>
      </w:r>
      <w:r w:rsidR="002636D6">
        <w:rPr>
          <w:rFonts w:eastAsia="宋体"/>
          <w:color w:val="000000"/>
          <w:sz w:val="24"/>
          <w:szCs w:val="24"/>
        </w:rPr>
        <w:t>单侧</w:t>
      </w:r>
      <w:r w:rsidRPr="00F814BC">
        <w:rPr>
          <w:rFonts w:eastAsia="宋体"/>
          <w:color w:val="000000"/>
          <w:sz w:val="24"/>
          <w:szCs w:val="24"/>
        </w:rPr>
        <w:t>显著性水平可能是</w:t>
      </w:r>
      <w:r w:rsidRPr="00F814BC">
        <w:rPr>
          <w:rFonts w:eastAsia="宋体"/>
          <w:color w:val="000000"/>
          <w:sz w:val="24"/>
          <w:szCs w:val="24"/>
        </w:rPr>
        <w:t>5%</w:t>
      </w:r>
      <w:r w:rsidRPr="00F814BC">
        <w:rPr>
          <w:rFonts w:eastAsia="宋体"/>
          <w:color w:val="000000"/>
          <w:sz w:val="24"/>
          <w:szCs w:val="24"/>
        </w:rPr>
        <w:t>。如果观察到的成功率同样为</w:t>
      </w:r>
      <w:r w:rsidRPr="00F814BC">
        <w:rPr>
          <w:rFonts w:eastAsia="宋体"/>
          <w:color w:val="000000"/>
          <w:sz w:val="24"/>
          <w:szCs w:val="24"/>
        </w:rPr>
        <w:t>74%</w:t>
      </w:r>
      <w:r w:rsidRPr="00F814BC">
        <w:rPr>
          <w:rFonts w:eastAsia="宋体"/>
          <w:color w:val="000000"/>
          <w:sz w:val="24"/>
          <w:szCs w:val="24"/>
        </w:rPr>
        <w:t>，那么</w:t>
      </w:r>
      <w:r w:rsidR="005D7A68">
        <w:rPr>
          <w:rFonts w:eastAsia="宋体"/>
          <w:color w:val="000000"/>
          <w:sz w:val="24"/>
          <w:szCs w:val="24"/>
        </w:rPr>
        <w:t>申办方</w:t>
      </w:r>
      <w:r w:rsidRPr="00F814BC">
        <w:rPr>
          <w:rFonts w:eastAsia="宋体"/>
          <w:color w:val="000000"/>
          <w:sz w:val="24"/>
          <w:szCs w:val="24"/>
        </w:rPr>
        <w:t>只需要</w:t>
      </w:r>
      <w:r w:rsidRPr="00F814BC">
        <w:rPr>
          <w:rFonts w:eastAsia="宋体"/>
          <w:b/>
          <w:bCs/>
          <w:color w:val="000000"/>
          <w:sz w:val="24"/>
          <w:szCs w:val="24"/>
        </w:rPr>
        <w:t>385</w:t>
      </w:r>
      <w:r w:rsidRPr="00F814BC">
        <w:rPr>
          <w:rFonts w:eastAsia="宋体"/>
          <w:b/>
          <w:bCs/>
          <w:color w:val="000000"/>
          <w:sz w:val="24"/>
          <w:szCs w:val="24"/>
        </w:rPr>
        <w:t>名</w:t>
      </w:r>
      <w:r w:rsidRPr="00F814BC">
        <w:rPr>
          <w:rFonts w:eastAsia="宋体"/>
          <w:color w:val="000000"/>
          <w:sz w:val="24"/>
          <w:szCs w:val="24"/>
        </w:rPr>
        <w:t>患者的样品量，就可以有</w:t>
      </w:r>
      <w:r w:rsidRPr="00F814BC">
        <w:rPr>
          <w:rFonts w:eastAsia="宋体"/>
          <w:color w:val="000000"/>
          <w:sz w:val="24"/>
          <w:szCs w:val="24"/>
        </w:rPr>
        <w:t>95%</w:t>
      </w:r>
      <w:r w:rsidRPr="00F814BC">
        <w:rPr>
          <w:rFonts w:eastAsia="宋体"/>
          <w:color w:val="000000"/>
          <w:sz w:val="24"/>
          <w:szCs w:val="24"/>
        </w:rPr>
        <w:t>的把握认为成功率高于</w:t>
      </w:r>
      <w:r w:rsidRPr="00F814BC">
        <w:rPr>
          <w:rFonts w:eastAsia="宋体"/>
          <w:color w:val="000000"/>
          <w:sz w:val="24"/>
          <w:szCs w:val="24"/>
        </w:rPr>
        <w:t>70%</w:t>
      </w:r>
      <w:r w:rsidRPr="00F814BC">
        <w:rPr>
          <w:rFonts w:eastAsia="宋体"/>
          <w:color w:val="000000"/>
          <w:sz w:val="24"/>
          <w:szCs w:val="24"/>
          <w:vertAlign w:val="superscript"/>
        </w:rPr>
        <w:t>†</w:t>
      </w:r>
      <w:r w:rsidRPr="00F814BC">
        <w:rPr>
          <w:rFonts w:eastAsia="宋体"/>
          <w:color w:val="000000"/>
          <w:sz w:val="24"/>
          <w:szCs w:val="24"/>
        </w:rPr>
        <w:t>。如果</w:t>
      </w:r>
      <w:r w:rsidR="005D7A68">
        <w:rPr>
          <w:rFonts w:eastAsia="宋体"/>
          <w:color w:val="000000"/>
          <w:sz w:val="24"/>
          <w:szCs w:val="24"/>
        </w:rPr>
        <w:t>申办方</w:t>
      </w:r>
      <w:r w:rsidRPr="00F814BC">
        <w:rPr>
          <w:rFonts w:eastAsia="宋体"/>
          <w:color w:val="000000"/>
          <w:sz w:val="24"/>
          <w:szCs w:val="24"/>
        </w:rPr>
        <w:t>选择进行这项研究，并且上市前证据符合性能目标，</w:t>
      </w:r>
      <w:r w:rsidRPr="00F814BC">
        <w:rPr>
          <w:rFonts w:eastAsia="宋体"/>
          <w:color w:val="000000"/>
          <w:sz w:val="24"/>
          <w:szCs w:val="24"/>
        </w:rPr>
        <w:t>FDA</w:t>
      </w:r>
      <w:r w:rsidRPr="00F814BC">
        <w:rPr>
          <w:rFonts w:eastAsia="宋体"/>
          <w:color w:val="000000"/>
          <w:sz w:val="24"/>
          <w:szCs w:val="24"/>
        </w:rPr>
        <w:t>将要求进行适度的上市后研究，作为批准的条件，并在我们的网站上标明上市后研究。</w:t>
      </w:r>
    </w:p>
    <w:p w14:paraId="6D550D5C" w14:textId="77777777" w:rsidR="00545773" w:rsidRPr="00F814BC" w:rsidRDefault="00545773" w:rsidP="00640CB4">
      <w:pPr>
        <w:shd w:val="clear" w:color="auto" w:fill="FFFFFF"/>
        <w:snapToGrid w:val="0"/>
        <w:jc w:val="both"/>
        <w:rPr>
          <w:rFonts w:eastAsia="宋体"/>
          <w:i/>
          <w:iCs/>
          <w:color w:val="000000"/>
          <w:sz w:val="24"/>
          <w:szCs w:val="24"/>
        </w:rPr>
      </w:pPr>
    </w:p>
    <w:p w14:paraId="72EE6C98" w14:textId="77777777" w:rsidR="00961522" w:rsidRPr="00F814BC" w:rsidRDefault="00CB325C" w:rsidP="00640CB4">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3</w:t>
      </w:r>
      <w:r w:rsidRPr="00F814BC">
        <w:rPr>
          <w:rFonts w:eastAsia="宋体"/>
          <w:i/>
          <w:iCs/>
          <w:color w:val="000000"/>
          <w:sz w:val="24"/>
          <w:szCs w:val="24"/>
        </w:rPr>
        <w:t>：</w:t>
      </w:r>
      <w:r w:rsidR="00BE1CB6" w:rsidRPr="00F814BC">
        <w:rPr>
          <w:rFonts w:eastAsia="宋体"/>
          <w:i/>
          <w:iCs/>
          <w:color w:val="000000"/>
          <w:sz w:val="24"/>
          <w:szCs w:val="24"/>
        </w:rPr>
        <w:t>高度不确定性</w:t>
      </w:r>
      <w:r w:rsidRPr="00F814BC">
        <w:rPr>
          <w:rFonts w:eastAsia="宋体"/>
          <w:i/>
          <w:iCs/>
          <w:color w:val="000000"/>
          <w:sz w:val="24"/>
          <w:szCs w:val="24"/>
        </w:rPr>
        <w:t>，大量的</w:t>
      </w:r>
      <w:r w:rsidR="008E38AD" w:rsidRPr="00F814BC">
        <w:rPr>
          <w:rFonts w:eastAsia="宋体"/>
          <w:i/>
          <w:iCs/>
          <w:color w:val="000000"/>
          <w:sz w:val="24"/>
          <w:szCs w:val="24"/>
        </w:rPr>
        <w:t>上市后</w:t>
      </w:r>
      <w:r w:rsidRPr="00F814BC">
        <w:rPr>
          <w:rFonts w:eastAsia="宋体"/>
          <w:i/>
          <w:iCs/>
          <w:color w:val="000000"/>
          <w:sz w:val="24"/>
          <w:szCs w:val="24"/>
        </w:rPr>
        <w:t>数据收集</w:t>
      </w:r>
    </w:p>
    <w:p w14:paraId="3FC8EBE5" w14:textId="77777777" w:rsidR="00545773" w:rsidRPr="00F814BC" w:rsidRDefault="00545773" w:rsidP="00640CB4">
      <w:pPr>
        <w:shd w:val="clear" w:color="auto" w:fill="FFFFFF"/>
        <w:snapToGrid w:val="0"/>
        <w:jc w:val="both"/>
        <w:rPr>
          <w:rFonts w:eastAsia="宋体"/>
          <w:sz w:val="24"/>
          <w:szCs w:val="24"/>
        </w:rPr>
      </w:pPr>
    </w:p>
    <w:p w14:paraId="1A0E8098"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假设</w:t>
      </w:r>
      <w:r w:rsidRPr="00F814BC">
        <w:rPr>
          <w:rFonts w:eastAsia="宋体"/>
          <w:color w:val="000000"/>
          <w:sz w:val="24"/>
          <w:szCs w:val="24"/>
        </w:rPr>
        <w:t>FDA</w:t>
      </w:r>
      <w:r w:rsidRPr="00F814BC">
        <w:rPr>
          <w:rFonts w:eastAsia="宋体"/>
          <w:color w:val="000000"/>
          <w:sz w:val="24"/>
          <w:szCs w:val="24"/>
        </w:rPr>
        <w:t>反而认为，基于相关的考虑，包括</w:t>
      </w:r>
      <w:r w:rsidR="005D7A68">
        <w:rPr>
          <w:rFonts w:eastAsia="宋体"/>
          <w:color w:val="000000"/>
          <w:sz w:val="24"/>
          <w:szCs w:val="24"/>
        </w:rPr>
        <w:t>申办方</w:t>
      </w:r>
      <w:r w:rsidRPr="00F814BC">
        <w:rPr>
          <w:rFonts w:eastAsia="宋体"/>
          <w:color w:val="000000"/>
          <w:sz w:val="24"/>
          <w:szCs w:val="24"/>
        </w:rPr>
        <w:t>有可靠和适当的机制（如注册表、电子健康记录）来完成及时的上市后数据收集，在这种情况下，更高的不确定性是合理的，只要根据这种不确定性进行更大量的上市后数据收集。为了说明这可能会影响市场前的数据收集，假设基本事实是这样的，</w:t>
      </w:r>
      <w:r w:rsidR="002636D6">
        <w:rPr>
          <w:rFonts w:eastAsia="宋体"/>
          <w:color w:val="000000"/>
          <w:sz w:val="24"/>
          <w:szCs w:val="24"/>
        </w:rPr>
        <w:t>单侧</w:t>
      </w:r>
      <w:r w:rsidRPr="00F814BC">
        <w:rPr>
          <w:rFonts w:eastAsia="宋体"/>
          <w:color w:val="000000"/>
          <w:sz w:val="24"/>
          <w:szCs w:val="24"/>
        </w:rPr>
        <w:t>显著性水平可能是</w:t>
      </w:r>
      <w:r w:rsidRPr="00F814BC">
        <w:rPr>
          <w:rFonts w:eastAsia="宋体"/>
          <w:color w:val="000000"/>
          <w:sz w:val="24"/>
          <w:szCs w:val="24"/>
        </w:rPr>
        <w:t>20%</w:t>
      </w:r>
      <w:r w:rsidRPr="00F814BC">
        <w:rPr>
          <w:rFonts w:eastAsia="宋体"/>
          <w:color w:val="000000"/>
          <w:sz w:val="24"/>
          <w:szCs w:val="24"/>
        </w:rPr>
        <w:t>。如果观察到的成功率同样为</w:t>
      </w:r>
      <w:r w:rsidRPr="00F814BC">
        <w:rPr>
          <w:rFonts w:eastAsia="宋体"/>
          <w:color w:val="000000"/>
          <w:sz w:val="24"/>
          <w:szCs w:val="24"/>
        </w:rPr>
        <w:t>74%</w:t>
      </w:r>
      <w:r w:rsidRPr="00F814BC">
        <w:rPr>
          <w:rFonts w:eastAsia="宋体"/>
          <w:color w:val="000000"/>
          <w:sz w:val="24"/>
          <w:szCs w:val="24"/>
        </w:rPr>
        <w:t>，那么</w:t>
      </w:r>
      <w:r w:rsidR="005D7A68">
        <w:rPr>
          <w:rFonts w:eastAsia="宋体"/>
          <w:color w:val="000000"/>
          <w:sz w:val="24"/>
          <w:szCs w:val="24"/>
        </w:rPr>
        <w:t>申办方</w:t>
      </w:r>
      <w:r w:rsidRPr="00F814BC">
        <w:rPr>
          <w:rFonts w:eastAsia="宋体"/>
          <w:color w:val="000000"/>
          <w:sz w:val="24"/>
          <w:szCs w:val="24"/>
        </w:rPr>
        <w:t>只需要</w:t>
      </w:r>
      <w:r w:rsidRPr="00F814BC">
        <w:rPr>
          <w:rFonts w:eastAsia="宋体"/>
          <w:b/>
          <w:bCs/>
          <w:color w:val="000000"/>
          <w:sz w:val="24"/>
          <w:szCs w:val="24"/>
        </w:rPr>
        <w:t>125</w:t>
      </w:r>
      <w:r w:rsidRPr="00F814BC">
        <w:rPr>
          <w:rFonts w:eastAsia="宋体"/>
          <w:b/>
          <w:bCs/>
          <w:color w:val="000000"/>
          <w:sz w:val="24"/>
          <w:szCs w:val="24"/>
        </w:rPr>
        <w:t>名</w:t>
      </w:r>
      <w:r w:rsidRPr="00F814BC">
        <w:rPr>
          <w:rFonts w:eastAsia="宋体"/>
          <w:color w:val="000000"/>
          <w:sz w:val="24"/>
          <w:szCs w:val="24"/>
        </w:rPr>
        <w:t>患者的样品量，就可以有</w:t>
      </w:r>
      <w:r w:rsidRPr="00F814BC">
        <w:rPr>
          <w:rFonts w:eastAsia="宋体"/>
          <w:color w:val="000000"/>
          <w:sz w:val="24"/>
          <w:szCs w:val="24"/>
        </w:rPr>
        <w:t>80%</w:t>
      </w:r>
      <w:r w:rsidRPr="00F814BC">
        <w:rPr>
          <w:rFonts w:eastAsia="宋体"/>
          <w:color w:val="000000"/>
          <w:sz w:val="24"/>
          <w:szCs w:val="24"/>
        </w:rPr>
        <w:t>的把握认为成功率大于</w:t>
      </w:r>
      <w:r w:rsidRPr="00F814BC">
        <w:rPr>
          <w:rFonts w:eastAsia="宋体"/>
          <w:color w:val="000000"/>
          <w:sz w:val="24"/>
          <w:szCs w:val="24"/>
        </w:rPr>
        <w:t>70%</w:t>
      </w:r>
      <w:r w:rsidRPr="00F814BC">
        <w:rPr>
          <w:rFonts w:eastAsia="宋体"/>
          <w:color w:val="000000"/>
          <w:sz w:val="24"/>
          <w:szCs w:val="24"/>
          <w:vertAlign w:val="superscript"/>
        </w:rPr>
        <w:t>†</w:t>
      </w:r>
      <w:r w:rsidRPr="00F814BC">
        <w:rPr>
          <w:rFonts w:eastAsia="宋体"/>
          <w:color w:val="000000"/>
          <w:sz w:val="24"/>
          <w:szCs w:val="24"/>
        </w:rPr>
        <w:t>。如果</w:t>
      </w:r>
      <w:r w:rsidR="005D7A68">
        <w:rPr>
          <w:rFonts w:eastAsia="宋体"/>
          <w:color w:val="000000"/>
          <w:sz w:val="24"/>
          <w:szCs w:val="24"/>
        </w:rPr>
        <w:t>申办方</w:t>
      </w:r>
      <w:r w:rsidRPr="00F814BC">
        <w:rPr>
          <w:rFonts w:eastAsia="宋体"/>
          <w:color w:val="000000"/>
          <w:sz w:val="24"/>
          <w:szCs w:val="24"/>
        </w:rPr>
        <w:t>选择进行这项研究，并且上市前的证据符合性能目标，</w:t>
      </w:r>
      <w:r w:rsidRPr="00F814BC">
        <w:rPr>
          <w:rFonts w:eastAsia="宋体"/>
          <w:color w:val="000000"/>
          <w:sz w:val="24"/>
          <w:szCs w:val="24"/>
        </w:rPr>
        <w:t>FDA</w:t>
      </w:r>
      <w:r w:rsidRPr="00F814BC">
        <w:rPr>
          <w:rFonts w:eastAsia="宋体"/>
          <w:color w:val="000000"/>
          <w:sz w:val="24"/>
          <w:szCs w:val="24"/>
        </w:rPr>
        <w:t>将要求大力收集上市后的数据，作为批准的条件，使用登记册或其他适当的手段来帮助确保完成上市后的承诺。如果适当的话，</w:t>
      </w:r>
      <w:r w:rsidRPr="00F814BC">
        <w:rPr>
          <w:rFonts w:eastAsia="宋体"/>
          <w:color w:val="000000"/>
          <w:sz w:val="24"/>
          <w:szCs w:val="24"/>
        </w:rPr>
        <w:t>FDA</w:t>
      </w:r>
      <w:r w:rsidRPr="00F814BC">
        <w:rPr>
          <w:rFonts w:eastAsia="宋体"/>
          <w:color w:val="000000"/>
          <w:sz w:val="24"/>
          <w:szCs w:val="24"/>
        </w:rPr>
        <w:t>还将要求，作为批准的条件，器械标签应描述</w:t>
      </w:r>
      <w:r w:rsidR="008E38AD" w:rsidRPr="00F814BC">
        <w:rPr>
          <w:rFonts w:eastAsia="宋体"/>
          <w:color w:val="000000"/>
          <w:sz w:val="24"/>
          <w:szCs w:val="24"/>
        </w:rPr>
        <w:t>上市后</w:t>
      </w:r>
      <w:r w:rsidRPr="00F814BC">
        <w:rPr>
          <w:rFonts w:eastAsia="宋体"/>
          <w:color w:val="000000"/>
          <w:sz w:val="24"/>
          <w:szCs w:val="24"/>
        </w:rPr>
        <w:t>数据收集及其目的。同时，在适当的情况下，</w:t>
      </w:r>
      <w:r w:rsidRPr="00F814BC">
        <w:rPr>
          <w:rFonts w:eastAsia="宋体"/>
          <w:color w:val="000000"/>
          <w:sz w:val="24"/>
          <w:szCs w:val="24"/>
        </w:rPr>
        <w:t>FDA</w:t>
      </w:r>
      <w:r w:rsidRPr="00F814BC">
        <w:rPr>
          <w:rFonts w:eastAsia="宋体"/>
          <w:color w:val="000000"/>
          <w:sz w:val="24"/>
          <w:szCs w:val="24"/>
        </w:rPr>
        <w:t>将把这些信息纳入</w:t>
      </w:r>
      <w:r w:rsidRPr="00F814BC">
        <w:rPr>
          <w:rFonts w:eastAsia="宋体"/>
          <w:color w:val="000000"/>
          <w:sz w:val="24"/>
          <w:szCs w:val="24"/>
        </w:rPr>
        <w:t>SSED</w:t>
      </w:r>
      <w:r w:rsidRPr="00F814BC">
        <w:rPr>
          <w:rFonts w:eastAsia="宋体"/>
          <w:color w:val="000000"/>
          <w:sz w:val="24"/>
          <w:szCs w:val="24"/>
        </w:rPr>
        <w:t>，并在我们的网站上标明作为批准器械的条件的上市后研究。</w:t>
      </w:r>
    </w:p>
    <w:p w14:paraId="3967F6E0" w14:textId="77777777" w:rsidR="00961522" w:rsidRPr="00F814BC" w:rsidRDefault="00961522" w:rsidP="00640CB4">
      <w:pPr>
        <w:shd w:val="clear" w:color="auto" w:fill="FFFFFF"/>
        <w:snapToGrid w:val="0"/>
        <w:jc w:val="both"/>
        <w:rPr>
          <w:rFonts w:eastAsia="宋体"/>
          <w:sz w:val="24"/>
          <w:szCs w:val="24"/>
        </w:rPr>
      </w:pPr>
    </w:p>
    <w:p w14:paraId="6476B6EE" w14:textId="77777777" w:rsidR="00961522" w:rsidRPr="00F814BC" w:rsidRDefault="00961522" w:rsidP="00640CB4">
      <w:pPr>
        <w:shd w:val="clear" w:color="auto" w:fill="FFFFFF"/>
        <w:snapToGrid w:val="0"/>
        <w:jc w:val="both"/>
        <w:rPr>
          <w:rFonts w:eastAsia="宋体"/>
          <w:color w:val="000000"/>
          <w:sz w:val="24"/>
          <w:szCs w:val="24"/>
          <w:vertAlign w:val="superscript"/>
        </w:rPr>
      </w:pPr>
    </w:p>
    <w:p w14:paraId="3954B435" w14:textId="77777777" w:rsidR="00545773" w:rsidRPr="00F814BC" w:rsidRDefault="00545773" w:rsidP="00640CB4">
      <w:pPr>
        <w:shd w:val="clear" w:color="auto" w:fill="FFFFFF"/>
        <w:snapToGrid w:val="0"/>
        <w:jc w:val="both"/>
        <w:rPr>
          <w:rFonts w:eastAsia="宋体"/>
          <w:sz w:val="24"/>
          <w:szCs w:val="24"/>
        </w:rPr>
      </w:pPr>
    </w:p>
    <w:p w14:paraId="019236BD" w14:textId="77777777" w:rsidR="00961522" w:rsidRPr="00F814BC" w:rsidRDefault="00961522" w:rsidP="00640CB4">
      <w:pPr>
        <w:shd w:val="clear" w:color="auto" w:fill="FFFFFF"/>
        <w:snapToGrid w:val="0"/>
        <w:jc w:val="both"/>
        <w:rPr>
          <w:rFonts w:eastAsia="宋体"/>
          <w:sz w:val="24"/>
          <w:szCs w:val="24"/>
        </w:rPr>
        <w:sectPr w:rsidR="00961522" w:rsidRPr="00F814BC" w:rsidSect="0006004F">
          <w:pgSz w:w="11906" w:h="16838" w:code="9"/>
          <w:pgMar w:top="1134" w:right="1134" w:bottom="1134" w:left="1418" w:header="567" w:footer="567" w:gutter="0"/>
          <w:cols w:space="60"/>
          <w:noEndnote/>
          <w:docGrid w:linePitch="272"/>
        </w:sectPr>
      </w:pPr>
    </w:p>
    <w:p w14:paraId="614AB033" w14:textId="77777777" w:rsidR="00961522" w:rsidRPr="00F814BC" w:rsidRDefault="00CB325C" w:rsidP="00640CB4">
      <w:pPr>
        <w:shd w:val="clear" w:color="auto" w:fill="FFFFFF"/>
        <w:snapToGrid w:val="0"/>
        <w:ind w:leftChars="336" w:left="672"/>
        <w:jc w:val="both"/>
        <w:rPr>
          <w:rFonts w:eastAsia="宋体"/>
          <w:sz w:val="21"/>
          <w:szCs w:val="21"/>
        </w:rPr>
      </w:pPr>
      <w:r w:rsidRPr="00F814BC">
        <w:rPr>
          <w:rFonts w:eastAsia="宋体"/>
          <w:i/>
          <w:iCs/>
          <w:color w:val="000000"/>
          <w:sz w:val="21"/>
          <w:szCs w:val="21"/>
        </w:rPr>
        <w:lastRenderedPageBreak/>
        <w:t>总结：单侧显著性水平和上市前研究的样品量差异</w:t>
      </w:r>
    </w:p>
    <w:tbl>
      <w:tblPr>
        <w:tblW w:w="4250" w:type="pct"/>
        <w:jc w:val="center"/>
        <w:tblLayout w:type="fixed"/>
        <w:tblCellMar>
          <w:left w:w="40" w:type="dxa"/>
          <w:right w:w="40" w:type="dxa"/>
        </w:tblCellMar>
        <w:tblLook w:val="0000" w:firstRow="0" w:lastRow="0" w:firstColumn="0" w:lastColumn="0" w:noHBand="0" w:noVBand="0"/>
      </w:tblPr>
      <w:tblGrid>
        <w:gridCol w:w="2181"/>
        <w:gridCol w:w="1630"/>
        <w:gridCol w:w="943"/>
        <w:gridCol w:w="3294"/>
      </w:tblGrid>
      <w:tr w:rsidR="00961522" w:rsidRPr="00F814BC" w14:paraId="33B5A05E" w14:textId="77777777" w:rsidTr="00545773">
        <w:trPr>
          <w:jc w:val="center"/>
        </w:trPr>
        <w:tc>
          <w:tcPr>
            <w:tcW w:w="21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566F92"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情</w:t>
            </w:r>
            <w:r w:rsidR="009E2BF0" w:rsidRPr="00F814BC">
              <w:rPr>
                <w:rFonts w:eastAsia="宋体" w:hint="eastAsia"/>
                <w:color w:val="000000"/>
                <w:sz w:val="21"/>
                <w:szCs w:val="21"/>
              </w:rPr>
              <w:t>况</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02E737"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单侧显著性水平</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6D0525" w14:textId="77777777" w:rsidR="00961522" w:rsidRPr="00F814BC" w:rsidRDefault="009E2BF0" w:rsidP="00640CB4">
            <w:pPr>
              <w:shd w:val="clear" w:color="auto" w:fill="FFFFFF"/>
              <w:snapToGrid w:val="0"/>
              <w:rPr>
                <w:rFonts w:eastAsia="宋体"/>
                <w:sz w:val="21"/>
                <w:szCs w:val="21"/>
              </w:rPr>
            </w:pPr>
            <w:r w:rsidRPr="00F814BC">
              <w:rPr>
                <w:rFonts w:eastAsia="宋体" w:hint="eastAsia"/>
                <w:color w:val="000000"/>
                <w:sz w:val="21"/>
                <w:szCs w:val="21"/>
              </w:rPr>
              <w:t>样品量</w:t>
            </w:r>
            <w:r w:rsidR="00CB325C" w:rsidRPr="00F814BC">
              <w:rPr>
                <w:rFonts w:eastAsia="宋体"/>
                <w:color w:val="000000"/>
                <w:sz w:val="21"/>
                <w:szCs w:val="21"/>
              </w:rPr>
              <w:t>†</w:t>
            </w:r>
          </w:p>
        </w:tc>
        <w:tc>
          <w:tcPr>
            <w:tcW w:w="32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6B1FF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考虑到更大的不确定性，</w:t>
            </w:r>
            <w:r w:rsidR="008E38AD" w:rsidRPr="00F814BC">
              <w:rPr>
                <w:rFonts w:eastAsia="宋体"/>
                <w:color w:val="000000"/>
                <w:sz w:val="21"/>
                <w:szCs w:val="21"/>
              </w:rPr>
              <w:t>上市后</w:t>
            </w:r>
            <w:r w:rsidRPr="00F814BC">
              <w:rPr>
                <w:rFonts w:eastAsia="宋体"/>
                <w:color w:val="000000"/>
                <w:sz w:val="21"/>
                <w:szCs w:val="21"/>
              </w:rPr>
              <w:t>的数据收集和其他措施</w:t>
            </w:r>
          </w:p>
        </w:tc>
      </w:tr>
      <w:tr w:rsidR="00961522" w:rsidRPr="00F814BC" w14:paraId="4EA6273F" w14:textId="77777777" w:rsidTr="0006004F">
        <w:trPr>
          <w:jc w:val="center"/>
        </w:trPr>
        <w:tc>
          <w:tcPr>
            <w:tcW w:w="21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D60FFC"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1</w:t>
            </w:r>
            <w:r w:rsidRPr="00F814BC">
              <w:rPr>
                <w:rFonts w:eastAsia="宋体"/>
                <w:color w:val="000000"/>
                <w:sz w:val="21"/>
                <w:szCs w:val="21"/>
              </w:rPr>
              <w:t>：传统的不确定性</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302E96"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2.5%</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77E38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535</w:t>
            </w:r>
          </w:p>
        </w:tc>
        <w:tc>
          <w:tcPr>
            <w:tcW w:w="32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60338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不适用</w:t>
            </w:r>
          </w:p>
        </w:tc>
      </w:tr>
      <w:tr w:rsidR="00961522" w:rsidRPr="00F814BC" w14:paraId="698519EA" w14:textId="77777777" w:rsidTr="0006004F">
        <w:trPr>
          <w:jc w:val="center"/>
        </w:trPr>
        <w:tc>
          <w:tcPr>
            <w:tcW w:w="21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3C8E3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2</w:t>
            </w:r>
            <w:r w:rsidRPr="00F814BC">
              <w:rPr>
                <w:rFonts w:eastAsia="宋体"/>
                <w:color w:val="000000"/>
                <w:sz w:val="21"/>
                <w:szCs w:val="21"/>
              </w:rPr>
              <w:t>：适度的不确定性，适度的</w:t>
            </w:r>
            <w:r w:rsidR="008E38AD" w:rsidRPr="00F814BC">
              <w:rPr>
                <w:rFonts w:eastAsia="宋体"/>
                <w:color w:val="000000"/>
                <w:sz w:val="21"/>
                <w:szCs w:val="21"/>
              </w:rPr>
              <w:t>上市后</w:t>
            </w:r>
            <w:r w:rsidRPr="00F814BC">
              <w:rPr>
                <w:rFonts w:eastAsia="宋体"/>
                <w:color w:val="000000"/>
                <w:sz w:val="21"/>
                <w:szCs w:val="21"/>
              </w:rPr>
              <w:t>数据收集</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2927F4"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5%</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AEE9029"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385</w:t>
            </w:r>
          </w:p>
        </w:tc>
        <w:tc>
          <w:tcPr>
            <w:tcW w:w="32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1D4A8A"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作为批准的条件，适度的</w:t>
            </w:r>
            <w:r w:rsidR="008E38AD" w:rsidRPr="00F814BC">
              <w:rPr>
                <w:rFonts w:eastAsia="宋体"/>
                <w:color w:val="000000"/>
                <w:sz w:val="21"/>
                <w:szCs w:val="21"/>
              </w:rPr>
              <w:t>上市后</w:t>
            </w:r>
            <w:r w:rsidRPr="00F814BC">
              <w:rPr>
                <w:rFonts w:eastAsia="宋体"/>
                <w:color w:val="000000"/>
                <w:sz w:val="21"/>
                <w:szCs w:val="21"/>
              </w:rPr>
              <w:t>数据收集</w:t>
            </w:r>
          </w:p>
          <w:p w14:paraId="27C15B36" w14:textId="77777777" w:rsidR="00545773" w:rsidRPr="00F814BC" w:rsidRDefault="00545773" w:rsidP="00640CB4">
            <w:pPr>
              <w:shd w:val="clear" w:color="auto" w:fill="FFFFFF"/>
              <w:snapToGrid w:val="0"/>
              <w:rPr>
                <w:rFonts w:eastAsia="宋体"/>
                <w:sz w:val="21"/>
                <w:szCs w:val="21"/>
              </w:rPr>
            </w:pPr>
          </w:p>
          <w:p w14:paraId="3FD5009B"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在</w:t>
            </w:r>
            <w:r w:rsidRPr="00F814BC">
              <w:rPr>
                <w:rFonts w:eastAsia="宋体"/>
                <w:color w:val="000000"/>
                <w:sz w:val="21"/>
                <w:szCs w:val="21"/>
              </w:rPr>
              <w:t>FDA</w:t>
            </w:r>
            <w:r w:rsidRPr="00F814BC">
              <w:rPr>
                <w:rFonts w:eastAsia="宋体"/>
                <w:color w:val="000000"/>
                <w:sz w:val="21"/>
                <w:szCs w:val="21"/>
              </w:rPr>
              <w:t>的网站上标明</w:t>
            </w:r>
            <w:r w:rsidR="008E38AD" w:rsidRPr="00F814BC">
              <w:rPr>
                <w:rFonts w:eastAsia="宋体"/>
                <w:color w:val="000000"/>
                <w:sz w:val="21"/>
                <w:szCs w:val="21"/>
              </w:rPr>
              <w:t>上市后</w:t>
            </w:r>
            <w:r w:rsidRPr="00F814BC">
              <w:rPr>
                <w:rFonts w:eastAsia="宋体"/>
                <w:color w:val="000000"/>
                <w:sz w:val="21"/>
                <w:szCs w:val="21"/>
              </w:rPr>
              <w:t>的数据收集</w:t>
            </w:r>
          </w:p>
        </w:tc>
      </w:tr>
      <w:tr w:rsidR="00961522" w:rsidRPr="00F814BC" w14:paraId="67FB3D43" w14:textId="77777777" w:rsidTr="00545773">
        <w:trPr>
          <w:jc w:val="center"/>
        </w:trPr>
        <w:tc>
          <w:tcPr>
            <w:tcW w:w="21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401D8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3</w:t>
            </w:r>
            <w:r w:rsidRPr="00F814BC">
              <w:rPr>
                <w:rFonts w:eastAsia="宋体"/>
                <w:color w:val="000000"/>
                <w:sz w:val="21"/>
                <w:szCs w:val="21"/>
              </w:rPr>
              <w:t>：</w:t>
            </w:r>
            <w:r w:rsidR="00BE1CB6" w:rsidRPr="00F814BC">
              <w:rPr>
                <w:rFonts w:eastAsia="宋体"/>
                <w:color w:val="000000"/>
                <w:sz w:val="21"/>
                <w:szCs w:val="21"/>
              </w:rPr>
              <w:t>高度不确定性</w:t>
            </w:r>
            <w:r w:rsidRPr="00F814BC">
              <w:rPr>
                <w:rFonts w:eastAsia="宋体"/>
                <w:color w:val="000000"/>
                <w:sz w:val="21"/>
                <w:szCs w:val="21"/>
              </w:rPr>
              <w:t>，大量的</w:t>
            </w:r>
            <w:r w:rsidR="008E38AD" w:rsidRPr="00F814BC">
              <w:rPr>
                <w:rFonts w:eastAsia="宋体"/>
                <w:color w:val="000000"/>
                <w:sz w:val="21"/>
                <w:szCs w:val="21"/>
              </w:rPr>
              <w:t>上市后</w:t>
            </w:r>
            <w:r w:rsidRPr="00F814BC">
              <w:rPr>
                <w:rFonts w:eastAsia="宋体"/>
                <w:color w:val="000000"/>
                <w:sz w:val="21"/>
                <w:szCs w:val="21"/>
              </w:rPr>
              <w:t>数据收集</w:t>
            </w:r>
          </w:p>
        </w:tc>
        <w:tc>
          <w:tcPr>
            <w:tcW w:w="161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B9464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20%</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CA6FF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125</w:t>
            </w:r>
          </w:p>
        </w:tc>
        <w:tc>
          <w:tcPr>
            <w:tcW w:w="326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735D322"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使用注册表（或其他适当的机制）</w:t>
            </w:r>
            <w:r w:rsidR="009E2BF0" w:rsidRPr="00F814BC">
              <w:rPr>
                <w:rFonts w:eastAsia="宋体"/>
                <w:color w:val="000000"/>
                <w:sz w:val="21"/>
                <w:szCs w:val="21"/>
              </w:rPr>
              <w:t>大力收集</w:t>
            </w:r>
            <w:r w:rsidRPr="00F814BC">
              <w:rPr>
                <w:rFonts w:eastAsia="宋体"/>
                <w:color w:val="000000"/>
                <w:sz w:val="21"/>
                <w:szCs w:val="21"/>
              </w:rPr>
              <w:t>上市后数据，作为批准的条件之一</w:t>
            </w:r>
          </w:p>
          <w:p w14:paraId="66F1A3FA" w14:textId="77777777" w:rsidR="00545773" w:rsidRPr="00F814BC" w:rsidRDefault="00545773" w:rsidP="00640CB4">
            <w:pPr>
              <w:shd w:val="clear" w:color="auto" w:fill="FFFFFF"/>
              <w:snapToGrid w:val="0"/>
              <w:rPr>
                <w:rFonts w:eastAsia="宋体"/>
                <w:sz w:val="21"/>
                <w:szCs w:val="21"/>
              </w:rPr>
            </w:pPr>
          </w:p>
          <w:p w14:paraId="5F2CABEC"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如果适当的话，在标签中纳入有关上市后数据收集及其目的的信息，作为批准的条件和</w:t>
            </w:r>
            <w:r w:rsidRPr="00F814BC">
              <w:rPr>
                <w:rFonts w:eastAsia="宋体"/>
                <w:color w:val="000000"/>
                <w:sz w:val="21"/>
                <w:szCs w:val="21"/>
              </w:rPr>
              <w:t>SSED</w:t>
            </w:r>
            <w:r w:rsidRPr="00F814BC">
              <w:rPr>
                <w:rFonts w:eastAsia="宋体"/>
                <w:color w:val="000000"/>
                <w:sz w:val="21"/>
                <w:szCs w:val="21"/>
              </w:rPr>
              <w:t>的内容。</w:t>
            </w:r>
          </w:p>
          <w:p w14:paraId="4FCC7179" w14:textId="77777777" w:rsidR="00545773" w:rsidRPr="00F814BC" w:rsidRDefault="00545773" w:rsidP="00640CB4">
            <w:pPr>
              <w:shd w:val="clear" w:color="auto" w:fill="FFFFFF"/>
              <w:snapToGrid w:val="0"/>
              <w:rPr>
                <w:rFonts w:eastAsia="宋体"/>
                <w:sz w:val="21"/>
                <w:szCs w:val="21"/>
              </w:rPr>
            </w:pPr>
          </w:p>
          <w:p w14:paraId="712A08A5"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在</w:t>
            </w:r>
            <w:r w:rsidRPr="00F814BC">
              <w:rPr>
                <w:rFonts w:eastAsia="宋体"/>
                <w:color w:val="000000"/>
                <w:sz w:val="21"/>
                <w:szCs w:val="21"/>
              </w:rPr>
              <w:t>FDA</w:t>
            </w:r>
            <w:r w:rsidRPr="00F814BC">
              <w:rPr>
                <w:rFonts w:eastAsia="宋体"/>
                <w:color w:val="000000"/>
                <w:sz w:val="21"/>
                <w:szCs w:val="21"/>
              </w:rPr>
              <w:t>的网站上标明</w:t>
            </w:r>
            <w:r w:rsidR="008E38AD" w:rsidRPr="00F814BC">
              <w:rPr>
                <w:rFonts w:eastAsia="宋体"/>
                <w:color w:val="000000"/>
                <w:sz w:val="21"/>
                <w:szCs w:val="21"/>
              </w:rPr>
              <w:t>上市后</w:t>
            </w:r>
            <w:r w:rsidRPr="00F814BC">
              <w:rPr>
                <w:rFonts w:eastAsia="宋体"/>
                <w:color w:val="000000"/>
                <w:sz w:val="21"/>
                <w:szCs w:val="21"/>
              </w:rPr>
              <w:t>的数据收集</w:t>
            </w:r>
          </w:p>
          <w:p w14:paraId="749A8C09" w14:textId="77777777" w:rsidR="00545773" w:rsidRPr="00F814BC" w:rsidRDefault="00545773" w:rsidP="00640CB4">
            <w:pPr>
              <w:shd w:val="clear" w:color="auto" w:fill="FFFFFF"/>
              <w:snapToGrid w:val="0"/>
              <w:rPr>
                <w:rFonts w:eastAsia="宋体"/>
                <w:sz w:val="21"/>
                <w:szCs w:val="21"/>
              </w:rPr>
            </w:pPr>
          </w:p>
        </w:tc>
      </w:tr>
    </w:tbl>
    <w:p w14:paraId="2C6A2741" w14:textId="77777777" w:rsidR="00961522" w:rsidRPr="00F814BC" w:rsidRDefault="00CB325C" w:rsidP="00640CB4">
      <w:pPr>
        <w:shd w:val="clear" w:color="auto" w:fill="FFFFFF"/>
        <w:snapToGrid w:val="0"/>
        <w:ind w:leftChars="336" w:left="672" w:rightChars="336" w:right="672"/>
        <w:jc w:val="both"/>
        <w:rPr>
          <w:rFonts w:eastAsia="宋体"/>
          <w:sz w:val="21"/>
          <w:szCs w:val="21"/>
        </w:rPr>
      </w:pPr>
      <w:r w:rsidRPr="00F814BC">
        <w:rPr>
          <w:rFonts w:eastAsia="宋体"/>
          <w:color w:val="000000"/>
          <w:sz w:val="21"/>
          <w:szCs w:val="21"/>
          <w:vertAlign w:val="superscript"/>
        </w:rPr>
        <w:t>†</w:t>
      </w:r>
      <w:r w:rsidRPr="00F814BC">
        <w:rPr>
          <w:rFonts w:eastAsia="宋体"/>
          <w:color w:val="000000"/>
          <w:sz w:val="21"/>
          <w:szCs w:val="21"/>
        </w:rPr>
        <w:t>基于</w:t>
      </w:r>
      <w:r w:rsidRPr="00F814BC">
        <w:rPr>
          <w:rFonts w:eastAsia="宋体"/>
          <w:color w:val="000000"/>
          <w:sz w:val="21"/>
          <w:szCs w:val="21"/>
        </w:rPr>
        <w:t>Clopper-Pearson</w:t>
      </w:r>
      <w:r w:rsidRPr="00F814BC">
        <w:rPr>
          <w:rFonts w:eastAsia="宋体"/>
          <w:color w:val="000000"/>
          <w:sz w:val="21"/>
          <w:szCs w:val="21"/>
        </w:rPr>
        <w:t>二项式置信区间。仅供说明，这些计算没有考虑到统计能力。</w:t>
      </w:r>
    </w:p>
    <w:p w14:paraId="7F70C260" w14:textId="77777777" w:rsidR="00961522" w:rsidRPr="00F814BC" w:rsidRDefault="00961522" w:rsidP="00640CB4">
      <w:pPr>
        <w:shd w:val="clear" w:color="auto" w:fill="FFFFFF"/>
        <w:snapToGrid w:val="0"/>
        <w:jc w:val="both"/>
        <w:rPr>
          <w:rFonts w:eastAsia="宋体"/>
          <w:sz w:val="21"/>
          <w:szCs w:val="21"/>
        </w:rPr>
      </w:pPr>
    </w:p>
    <w:p w14:paraId="23DDCDF2" w14:textId="77777777" w:rsidR="00545773" w:rsidRPr="00F814BC" w:rsidRDefault="00545773" w:rsidP="00640CB4">
      <w:pPr>
        <w:shd w:val="clear" w:color="auto" w:fill="FFFFFF"/>
        <w:snapToGrid w:val="0"/>
        <w:jc w:val="both"/>
        <w:rPr>
          <w:rFonts w:eastAsia="宋体"/>
          <w:sz w:val="21"/>
          <w:szCs w:val="21"/>
        </w:rPr>
        <w:sectPr w:rsidR="00545773" w:rsidRPr="00F814BC" w:rsidSect="0006004F">
          <w:pgSz w:w="11906" w:h="16838" w:code="9"/>
          <w:pgMar w:top="1134" w:right="1134" w:bottom="1134" w:left="1418" w:header="567" w:footer="567" w:gutter="0"/>
          <w:cols w:space="60"/>
          <w:noEndnote/>
          <w:docGrid w:linePitch="272"/>
        </w:sectPr>
      </w:pPr>
    </w:p>
    <w:p w14:paraId="0F327424" w14:textId="77777777" w:rsidR="00961522" w:rsidRPr="00F814BC" w:rsidRDefault="00CB325C" w:rsidP="00640CB4">
      <w:pPr>
        <w:pStyle w:val="4"/>
        <w:spacing w:before="120" w:after="120"/>
        <w:rPr>
          <w:sz w:val="24"/>
          <w:szCs w:val="24"/>
        </w:rPr>
      </w:pPr>
      <w:r w:rsidRPr="00F814BC">
        <w:rPr>
          <w:sz w:val="24"/>
          <w:szCs w:val="24"/>
        </w:rPr>
        <w:lastRenderedPageBreak/>
        <w:t>b.</w:t>
      </w:r>
      <w:r w:rsidRPr="00F814BC">
        <w:rPr>
          <w:sz w:val="24"/>
          <w:szCs w:val="24"/>
        </w:rPr>
        <w:tab/>
      </w:r>
      <w:r w:rsidRPr="00F814BC">
        <w:rPr>
          <w:sz w:val="24"/>
          <w:szCs w:val="24"/>
        </w:rPr>
        <w:t>突破性的</w:t>
      </w:r>
      <w:r w:rsidRPr="00F814BC">
        <w:rPr>
          <w:sz w:val="24"/>
          <w:szCs w:val="24"/>
        </w:rPr>
        <w:t>IVD</w:t>
      </w:r>
      <w:r w:rsidRPr="00F814BC">
        <w:rPr>
          <w:sz w:val="24"/>
          <w:szCs w:val="24"/>
        </w:rPr>
        <w:t>器械</w:t>
      </w:r>
    </w:p>
    <w:p w14:paraId="1D9E3789"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考虑一种突破性器械，它是一种体外诊断（</w:t>
      </w:r>
      <w:r w:rsidRPr="00F814BC">
        <w:rPr>
          <w:rFonts w:eastAsia="宋体"/>
          <w:color w:val="000000"/>
          <w:sz w:val="24"/>
          <w:szCs w:val="24"/>
        </w:rPr>
        <w:t>IVD</w:t>
      </w:r>
      <w:r w:rsidRPr="00F814BC">
        <w:rPr>
          <w:rFonts w:eastAsia="宋体"/>
          <w:color w:val="000000"/>
          <w:sz w:val="24"/>
          <w:szCs w:val="24"/>
        </w:rPr>
        <w:t>）实验室</w:t>
      </w:r>
      <w:r w:rsidR="009E2BF0" w:rsidRPr="00F814BC">
        <w:rPr>
          <w:rFonts w:eastAsia="宋体" w:hint="eastAsia"/>
          <w:color w:val="000000"/>
          <w:sz w:val="24"/>
          <w:szCs w:val="24"/>
        </w:rPr>
        <w:t>试验</w:t>
      </w:r>
      <w:r w:rsidRPr="00F814BC">
        <w:rPr>
          <w:rFonts w:eastAsia="宋体"/>
          <w:color w:val="000000"/>
          <w:sz w:val="24"/>
          <w:szCs w:val="24"/>
        </w:rPr>
        <w:t>，在中央实验室用患者标本进行，需要通过侵入性程序来诊断目标疾病。该</w:t>
      </w:r>
      <w:r w:rsidR="009E2BF0" w:rsidRPr="00F814BC">
        <w:rPr>
          <w:rFonts w:eastAsia="宋体" w:hint="eastAsia"/>
          <w:color w:val="000000"/>
          <w:sz w:val="24"/>
          <w:szCs w:val="24"/>
        </w:rPr>
        <w:t>试验</w:t>
      </w:r>
      <w:r w:rsidRPr="00F814BC">
        <w:rPr>
          <w:rFonts w:eastAsia="宋体"/>
          <w:color w:val="000000"/>
          <w:sz w:val="24"/>
          <w:szCs w:val="24"/>
        </w:rPr>
        <w:t>有两个输出（阳性、阴性），二元定性测试的临床表现由一对临床敏感性和特异性、一对阳性和阴性似然比以及一对目标条件在目标人群中的特定流行率的阳性和阴性预测值来描述。假设</w:t>
      </w:r>
      <w:r w:rsidRPr="00F814BC">
        <w:rPr>
          <w:rFonts w:eastAsia="宋体"/>
          <w:color w:val="000000"/>
          <w:sz w:val="24"/>
          <w:szCs w:val="24"/>
        </w:rPr>
        <w:t>FDA</w:t>
      </w:r>
      <w:r w:rsidRPr="00F814BC">
        <w:rPr>
          <w:rFonts w:eastAsia="宋体"/>
          <w:color w:val="000000"/>
          <w:sz w:val="24"/>
          <w:szCs w:val="24"/>
        </w:rPr>
        <w:t>考虑了</w:t>
      </w:r>
      <w:r w:rsidRPr="00F814BC">
        <w:rPr>
          <w:rFonts w:eastAsia="宋体"/>
          <w:color w:val="000000"/>
          <w:sz w:val="24"/>
          <w:szCs w:val="24"/>
        </w:rPr>
        <w:t>IVD</w:t>
      </w:r>
      <w:r w:rsidRPr="00F814BC">
        <w:rPr>
          <w:rFonts w:eastAsia="宋体"/>
          <w:color w:val="000000"/>
          <w:sz w:val="24"/>
          <w:szCs w:val="24"/>
        </w:rPr>
        <w:t>测试的</w:t>
      </w:r>
      <w:r w:rsidR="0026386D" w:rsidRPr="00F814BC">
        <w:rPr>
          <w:rFonts w:eastAsia="宋体" w:hint="eastAsia"/>
          <w:color w:val="000000"/>
          <w:sz w:val="24"/>
          <w:szCs w:val="24"/>
        </w:rPr>
        <w:t>获益</w:t>
      </w:r>
      <w:r w:rsidRPr="00F814BC">
        <w:rPr>
          <w:rFonts w:eastAsia="宋体"/>
          <w:color w:val="000000"/>
          <w:sz w:val="24"/>
          <w:szCs w:val="24"/>
        </w:rPr>
        <w:t>风险因素以及相关的非临床和</w:t>
      </w:r>
      <w:r w:rsidRPr="00F814BC">
        <w:rPr>
          <w:rFonts w:eastAsia="宋体"/>
          <w:color w:val="000000"/>
          <w:sz w:val="24"/>
          <w:szCs w:val="24"/>
        </w:rPr>
        <w:t>/</w:t>
      </w:r>
      <w:r w:rsidRPr="00F814BC">
        <w:rPr>
          <w:rFonts w:eastAsia="宋体"/>
          <w:color w:val="000000"/>
          <w:sz w:val="24"/>
          <w:szCs w:val="24"/>
        </w:rPr>
        <w:t>或临床信息，并确定临床敏感性应</w:t>
      </w:r>
      <w:r w:rsidRPr="00F814BC">
        <w:rPr>
          <w:rFonts w:eastAsia="宋体"/>
          <w:color w:val="000000"/>
          <w:sz w:val="24"/>
          <w:szCs w:val="24"/>
        </w:rPr>
        <w:t>≥95%</w:t>
      </w:r>
      <w:r w:rsidRPr="00F814BC">
        <w:rPr>
          <w:rFonts w:eastAsia="宋体"/>
          <w:color w:val="000000"/>
          <w:sz w:val="24"/>
          <w:szCs w:val="24"/>
        </w:rPr>
        <w:t>，临床特异性应</w:t>
      </w:r>
      <w:r w:rsidRPr="00F814BC">
        <w:rPr>
          <w:rFonts w:eastAsia="宋体"/>
          <w:color w:val="000000"/>
          <w:sz w:val="24"/>
          <w:szCs w:val="24"/>
        </w:rPr>
        <w:t>≥97%</w:t>
      </w:r>
      <w:r w:rsidRPr="00F814BC">
        <w:rPr>
          <w:rFonts w:eastAsia="宋体"/>
          <w:color w:val="000000"/>
          <w:sz w:val="24"/>
          <w:szCs w:val="24"/>
        </w:rPr>
        <w:t>。以下两个案例说明，在实施适当的上市后控制（包括上市后数据收集）的情况下，上市前临床研究的样品量可能存在差异，其</w:t>
      </w:r>
      <w:r w:rsidR="00881EA3" w:rsidRPr="0006004F">
        <w:rPr>
          <w:rFonts w:ascii="宋体" w:hAnsi="宋体" w:hint="eastAsia"/>
          <w:color w:val="000000"/>
          <w:sz w:val="24"/>
        </w:rPr>
        <w:t>中</w:t>
      </w:r>
      <w:r w:rsidRPr="00F814BC">
        <w:rPr>
          <w:rFonts w:ascii="宋体" w:eastAsia="宋体" w:hAnsi="宋体"/>
          <w:color w:val="000000"/>
          <w:sz w:val="24"/>
          <w:szCs w:val="24"/>
        </w:rPr>
        <w:t>“</w:t>
      </w:r>
      <w:r w:rsidR="002B79B1" w:rsidRPr="00F814BC">
        <w:rPr>
          <w:rFonts w:ascii="宋体" w:eastAsia="宋体" w:hAnsi="宋体" w:hint="eastAsia"/>
          <w:color w:val="000000"/>
          <w:sz w:val="24"/>
          <w:szCs w:val="24"/>
        </w:rPr>
        <w:t>传统”</w:t>
      </w:r>
      <w:r w:rsidRPr="00F814BC">
        <w:rPr>
          <w:rFonts w:eastAsia="宋体"/>
          <w:color w:val="000000"/>
          <w:sz w:val="24"/>
          <w:szCs w:val="24"/>
        </w:rPr>
        <w:t>的不确定性和更大的不确定性</w:t>
      </w:r>
      <w:r w:rsidRPr="00F814BC">
        <w:rPr>
          <w:rFonts w:eastAsia="宋体"/>
          <w:color w:val="000000"/>
          <w:sz w:val="24"/>
          <w:szCs w:val="24"/>
        </w:rPr>
        <w:t>-</w:t>
      </w:r>
      <w:r w:rsidRPr="00F814BC">
        <w:rPr>
          <w:rFonts w:eastAsia="宋体"/>
          <w:color w:val="000000"/>
          <w:sz w:val="24"/>
          <w:szCs w:val="24"/>
        </w:rPr>
        <w:t>即反映在研究的灵敏度和特异性对的</w:t>
      </w:r>
      <w:r w:rsidR="00E6092F" w:rsidRPr="00F814BC">
        <w:rPr>
          <w:rFonts w:eastAsia="宋体"/>
          <w:color w:val="000000"/>
          <w:sz w:val="24"/>
          <w:szCs w:val="24"/>
        </w:rPr>
        <w:t>置信水平</w:t>
      </w:r>
      <w:r w:rsidRPr="00F814BC">
        <w:rPr>
          <w:rFonts w:eastAsia="宋体"/>
          <w:color w:val="000000"/>
          <w:sz w:val="24"/>
          <w:szCs w:val="24"/>
        </w:rPr>
        <w:t>上</w:t>
      </w:r>
      <w:r w:rsidRPr="00F814BC">
        <w:rPr>
          <w:rFonts w:eastAsia="宋体"/>
          <w:color w:val="000000"/>
          <w:sz w:val="24"/>
          <w:szCs w:val="24"/>
        </w:rPr>
        <w:t>-</w:t>
      </w:r>
      <w:r w:rsidRPr="00F814BC">
        <w:rPr>
          <w:rFonts w:eastAsia="宋体"/>
          <w:color w:val="000000"/>
          <w:sz w:val="24"/>
          <w:szCs w:val="24"/>
        </w:rPr>
        <w:t>是适当的。</w:t>
      </w:r>
    </w:p>
    <w:p w14:paraId="59C54DEC" w14:textId="77777777" w:rsidR="00545773" w:rsidRPr="00F814BC" w:rsidRDefault="00545773" w:rsidP="00640CB4">
      <w:pPr>
        <w:shd w:val="clear" w:color="auto" w:fill="FFFFFF"/>
        <w:snapToGrid w:val="0"/>
        <w:jc w:val="both"/>
        <w:rPr>
          <w:rFonts w:eastAsia="宋体"/>
          <w:i/>
          <w:iCs/>
          <w:color w:val="000000"/>
          <w:sz w:val="24"/>
          <w:szCs w:val="24"/>
        </w:rPr>
      </w:pPr>
    </w:p>
    <w:p w14:paraId="014B37B2" w14:textId="77777777" w:rsidR="00961522" w:rsidRPr="00F814BC" w:rsidRDefault="00CB325C" w:rsidP="00640CB4">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1</w:t>
      </w:r>
      <w:r w:rsidRPr="00F814BC">
        <w:rPr>
          <w:rFonts w:eastAsia="宋体"/>
          <w:i/>
          <w:iCs/>
          <w:color w:val="000000"/>
          <w:sz w:val="24"/>
          <w:szCs w:val="24"/>
        </w:rPr>
        <w:t>：传统的不确定性</w:t>
      </w:r>
    </w:p>
    <w:p w14:paraId="3DA45CCA" w14:textId="77777777" w:rsidR="00545773" w:rsidRPr="00F814BC" w:rsidRDefault="00545773" w:rsidP="00640CB4">
      <w:pPr>
        <w:shd w:val="clear" w:color="auto" w:fill="FFFFFF"/>
        <w:snapToGrid w:val="0"/>
        <w:jc w:val="both"/>
        <w:rPr>
          <w:rFonts w:eastAsia="宋体"/>
          <w:sz w:val="24"/>
          <w:szCs w:val="24"/>
        </w:rPr>
      </w:pPr>
    </w:p>
    <w:p w14:paraId="658882E7"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在这种情况下，根据第</w:t>
      </w:r>
      <w:r w:rsidR="002B79B1" w:rsidRPr="00F814BC">
        <w:rPr>
          <w:rFonts w:eastAsia="宋体" w:hint="eastAsia"/>
          <w:color w:val="000000"/>
          <w:sz w:val="24"/>
          <w:szCs w:val="24"/>
        </w:rPr>
        <w:t>IV</w:t>
      </w:r>
      <w:r w:rsidR="002B79B1" w:rsidRPr="00F814BC">
        <w:rPr>
          <w:rFonts w:eastAsia="宋体" w:hint="eastAsia"/>
          <w:color w:val="000000"/>
          <w:sz w:val="24"/>
          <w:szCs w:val="24"/>
        </w:rPr>
        <w:t>节</w:t>
      </w:r>
      <w:r w:rsidRPr="00F814BC">
        <w:rPr>
          <w:rFonts w:eastAsia="宋体"/>
          <w:color w:val="000000"/>
          <w:sz w:val="24"/>
          <w:szCs w:val="24"/>
        </w:rPr>
        <w:t>的考虑和其他相关信息，</w:t>
      </w:r>
      <w:r w:rsidRPr="00F814BC">
        <w:rPr>
          <w:rFonts w:eastAsia="宋体"/>
          <w:color w:val="000000"/>
          <w:sz w:val="24"/>
          <w:szCs w:val="24"/>
        </w:rPr>
        <w:t>FDA</w:t>
      </w:r>
      <w:r w:rsidRPr="00F814BC">
        <w:rPr>
          <w:rFonts w:eastAsia="宋体"/>
          <w:color w:val="000000"/>
          <w:sz w:val="24"/>
          <w:szCs w:val="24"/>
        </w:rPr>
        <w:t>确定</w:t>
      </w:r>
      <w:r w:rsidRPr="00F814BC">
        <w:rPr>
          <w:rFonts w:eastAsia="宋体"/>
          <w:color w:val="000000"/>
          <w:sz w:val="24"/>
          <w:szCs w:val="24"/>
        </w:rPr>
        <w:t>IVD</w:t>
      </w:r>
      <w:r w:rsidRPr="00F814BC">
        <w:rPr>
          <w:rFonts w:eastAsia="宋体"/>
          <w:color w:val="000000"/>
          <w:sz w:val="24"/>
          <w:szCs w:val="24"/>
        </w:rPr>
        <w:t>测试的临床表现的置信区间应为</w:t>
      </w:r>
      <w:r w:rsidRPr="00F814BC">
        <w:rPr>
          <w:rFonts w:eastAsia="宋体"/>
          <w:color w:val="000000"/>
          <w:sz w:val="24"/>
          <w:szCs w:val="24"/>
        </w:rPr>
        <w:t>95%</w:t>
      </w:r>
      <w:r w:rsidRPr="00F814BC">
        <w:rPr>
          <w:rFonts w:eastAsia="宋体"/>
          <w:color w:val="000000"/>
          <w:sz w:val="24"/>
          <w:szCs w:val="24"/>
        </w:rPr>
        <w:t>，其中临床敏感性的</w:t>
      </w:r>
      <w:r w:rsidR="002636D6">
        <w:rPr>
          <w:rFonts w:eastAsia="宋体"/>
          <w:color w:val="000000"/>
          <w:sz w:val="24"/>
          <w:szCs w:val="24"/>
        </w:rPr>
        <w:t>单侧</w:t>
      </w:r>
      <w:r w:rsidRPr="00F814BC">
        <w:rPr>
          <w:rFonts w:eastAsia="宋体"/>
          <w:color w:val="000000"/>
          <w:sz w:val="24"/>
          <w:szCs w:val="24"/>
        </w:rPr>
        <w:t>97.5%</w:t>
      </w:r>
      <w:r w:rsidRPr="00F814BC">
        <w:rPr>
          <w:rFonts w:eastAsia="宋体"/>
          <w:color w:val="000000"/>
          <w:sz w:val="24"/>
          <w:szCs w:val="24"/>
        </w:rPr>
        <w:t>置信区间的下限为</w:t>
      </w:r>
      <w:r w:rsidRPr="00F814BC">
        <w:rPr>
          <w:rFonts w:eastAsia="宋体"/>
          <w:color w:val="000000"/>
          <w:sz w:val="24"/>
          <w:szCs w:val="24"/>
        </w:rPr>
        <w:t>≥89%</w:t>
      </w:r>
      <w:r w:rsidRPr="00F814BC">
        <w:rPr>
          <w:rFonts w:eastAsia="宋体"/>
          <w:color w:val="000000"/>
          <w:sz w:val="24"/>
          <w:szCs w:val="24"/>
        </w:rPr>
        <w:t>，临床特异性的</w:t>
      </w:r>
      <w:r w:rsidR="002636D6">
        <w:rPr>
          <w:rFonts w:eastAsia="宋体"/>
          <w:color w:val="000000"/>
          <w:sz w:val="24"/>
          <w:szCs w:val="24"/>
        </w:rPr>
        <w:t>单侧</w:t>
      </w:r>
      <w:r w:rsidRPr="00F814BC">
        <w:rPr>
          <w:rFonts w:eastAsia="宋体"/>
          <w:color w:val="000000"/>
          <w:sz w:val="24"/>
          <w:szCs w:val="24"/>
        </w:rPr>
        <w:t>97.5%</w:t>
      </w:r>
      <w:r w:rsidRPr="00F814BC">
        <w:rPr>
          <w:rFonts w:eastAsia="宋体"/>
          <w:color w:val="000000"/>
          <w:sz w:val="24"/>
          <w:szCs w:val="24"/>
        </w:rPr>
        <w:t>置信区间的下限为</w:t>
      </w:r>
      <w:r w:rsidRPr="00F814BC">
        <w:rPr>
          <w:rFonts w:eastAsia="宋体"/>
          <w:color w:val="000000"/>
          <w:sz w:val="24"/>
          <w:szCs w:val="24"/>
        </w:rPr>
        <w:t>≥95%</w:t>
      </w:r>
      <w:r w:rsidRPr="00F814BC">
        <w:rPr>
          <w:rFonts w:eastAsia="宋体"/>
          <w:color w:val="000000"/>
          <w:sz w:val="24"/>
          <w:szCs w:val="24"/>
        </w:rPr>
        <w:t>。如上所述，如果对临床敏感性的估计是</w:t>
      </w:r>
      <w:r w:rsidRPr="00F814BC">
        <w:rPr>
          <w:rFonts w:eastAsia="宋体"/>
          <w:color w:val="000000"/>
          <w:sz w:val="24"/>
          <w:szCs w:val="24"/>
        </w:rPr>
        <w:t>95%</w:t>
      </w:r>
      <w:r w:rsidRPr="00F814BC">
        <w:rPr>
          <w:rFonts w:eastAsia="宋体"/>
          <w:color w:val="000000"/>
          <w:sz w:val="24"/>
          <w:szCs w:val="24"/>
        </w:rPr>
        <w:t>，那么一项临床研究预计将包括</w:t>
      </w:r>
      <w:r w:rsidRPr="00F814BC">
        <w:rPr>
          <w:rFonts w:eastAsia="宋体"/>
          <w:color w:val="000000"/>
          <w:sz w:val="24"/>
          <w:szCs w:val="24"/>
        </w:rPr>
        <w:t>120</w:t>
      </w:r>
      <w:r w:rsidRPr="00F814BC">
        <w:rPr>
          <w:rFonts w:eastAsia="宋体"/>
          <w:color w:val="000000"/>
          <w:sz w:val="24"/>
          <w:szCs w:val="24"/>
        </w:rPr>
        <w:t>名患有目标病症的受试者来估计临床敏感性，因为（</w:t>
      </w:r>
      <w:r w:rsidRPr="00F814BC">
        <w:rPr>
          <w:rFonts w:eastAsia="宋体"/>
          <w:color w:val="000000"/>
          <w:sz w:val="24"/>
          <w:szCs w:val="24"/>
        </w:rPr>
        <w:t>114/120</w:t>
      </w:r>
      <w:r w:rsidRPr="00F814BC">
        <w:rPr>
          <w:rFonts w:eastAsia="宋体"/>
          <w:color w:val="000000"/>
          <w:sz w:val="24"/>
          <w:szCs w:val="24"/>
        </w:rPr>
        <w:t>）的双侧</w:t>
      </w:r>
      <w:r w:rsidRPr="00F814BC">
        <w:rPr>
          <w:rFonts w:eastAsia="宋体"/>
          <w:color w:val="000000"/>
          <w:sz w:val="24"/>
          <w:szCs w:val="24"/>
        </w:rPr>
        <w:t>95%</w:t>
      </w:r>
      <w:r w:rsidRPr="00F814BC">
        <w:rPr>
          <w:rFonts w:eastAsia="宋体"/>
          <w:color w:val="000000"/>
          <w:sz w:val="24"/>
          <w:szCs w:val="24"/>
        </w:rPr>
        <w:t>置信区间是（</w:t>
      </w:r>
      <w:r w:rsidRPr="00F814BC">
        <w:rPr>
          <w:rFonts w:eastAsia="宋体"/>
          <w:color w:val="000000"/>
          <w:sz w:val="24"/>
          <w:szCs w:val="24"/>
        </w:rPr>
        <w:t>89.5%</w:t>
      </w:r>
      <w:r w:rsidRPr="00F814BC">
        <w:rPr>
          <w:rFonts w:eastAsia="宋体"/>
          <w:color w:val="000000"/>
          <w:sz w:val="24"/>
          <w:szCs w:val="24"/>
        </w:rPr>
        <w:t>；</w:t>
      </w:r>
      <w:r w:rsidRPr="00F814BC">
        <w:rPr>
          <w:rFonts w:eastAsia="宋体"/>
          <w:color w:val="000000"/>
          <w:sz w:val="24"/>
          <w:szCs w:val="24"/>
        </w:rPr>
        <w:t>97.7%</w:t>
      </w:r>
      <w:r w:rsidRPr="00F814BC">
        <w:rPr>
          <w:rFonts w:eastAsia="宋体"/>
          <w:color w:val="000000"/>
          <w:sz w:val="24"/>
          <w:szCs w:val="24"/>
        </w:rPr>
        <w:t>）。如果目标条件在</w:t>
      </w:r>
      <w:r w:rsidR="009C1BA5" w:rsidRPr="00F814BC">
        <w:rPr>
          <w:rFonts w:eastAsia="宋体" w:hint="eastAsia"/>
          <w:color w:val="000000"/>
          <w:sz w:val="24"/>
          <w:szCs w:val="24"/>
        </w:rPr>
        <w:t>适用人群</w:t>
      </w:r>
      <w:r w:rsidRPr="00F814BC">
        <w:rPr>
          <w:rFonts w:eastAsia="宋体"/>
          <w:color w:val="000000"/>
          <w:sz w:val="24"/>
          <w:szCs w:val="24"/>
        </w:rPr>
        <w:t>中的流行率为</w:t>
      </w:r>
      <w:r w:rsidRPr="00F814BC">
        <w:rPr>
          <w:rFonts w:eastAsia="宋体"/>
          <w:color w:val="000000"/>
          <w:sz w:val="24"/>
          <w:szCs w:val="24"/>
        </w:rPr>
        <w:t>20%</w:t>
      </w:r>
      <w:r w:rsidRPr="00F814BC">
        <w:rPr>
          <w:rFonts w:eastAsia="宋体"/>
          <w:color w:val="000000"/>
          <w:sz w:val="24"/>
          <w:szCs w:val="24"/>
        </w:rPr>
        <w:t>，则上市前研究将需要</w:t>
      </w:r>
      <w:r w:rsidRPr="00F814BC">
        <w:rPr>
          <w:rFonts w:eastAsia="宋体"/>
          <w:color w:val="000000"/>
          <w:sz w:val="24"/>
          <w:szCs w:val="24"/>
        </w:rPr>
        <w:t>600</w:t>
      </w:r>
      <w:r w:rsidRPr="00F814BC">
        <w:rPr>
          <w:rFonts w:eastAsia="宋体"/>
          <w:color w:val="000000"/>
          <w:sz w:val="24"/>
          <w:szCs w:val="24"/>
        </w:rPr>
        <w:t>名受试者（</w:t>
      </w:r>
      <w:r w:rsidRPr="00F814BC">
        <w:rPr>
          <w:rFonts w:eastAsia="宋体"/>
          <w:color w:val="000000"/>
          <w:sz w:val="24"/>
          <w:szCs w:val="24"/>
        </w:rPr>
        <w:t>120</w:t>
      </w:r>
      <w:r w:rsidRPr="00F814BC">
        <w:rPr>
          <w:rFonts w:eastAsia="宋体"/>
          <w:color w:val="000000"/>
          <w:sz w:val="24"/>
          <w:szCs w:val="24"/>
        </w:rPr>
        <w:t>名有目标条件的受试者和</w:t>
      </w:r>
      <w:r w:rsidRPr="00F814BC">
        <w:rPr>
          <w:rFonts w:eastAsia="宋体"/>
          <w:color w:val="000000"/>
          <w:sz w:val="24"/>
          <w:szCs w:val="24"/>
        </w:rPr>
        <w:t>480</w:t>
      </w:r>
      <w:r w:rsidRPr="00F814BC">
        <w:rPr>
          <w:rFonts w:eastAsia="宋体"/>
          <w:color w:val="000000"/>
          <w:sz w:val="24"/>
          <w:szCs w:val="24"/>
        </w:rPr>
        <w:t>名没有目标条件的受试者）。这个研究规模对于估计临床特异性也是可以接受的，因为（</w:t>
      </w:r>
      <w:r w:rsidRPr="00F814BC">
        <w:rPr>
          <w:rFonts w:eastAsia="宋体"/>
          <w:color w:val="000000"/>
          <w:sz w:val="24"/>
          <w:szCs w:val="24"/>
        </w:rPr>
        <w:t>466/480</w:t>
      </w:r>
      <w:r w:rsidRPr="00F814BC">
        <w:rPr>
          <w:rFonts w:eastAsia="宋体"/>
          <w:color w:val="000000"/>
          <w:sz w:val="24"/>
          <w:szCs w:val="24"/>
        </w:rPr>
        <w:t>）的双侧</w:t>
      </w:r>
      <w:r w:rsidRPr="00F814BC">
        <w:rPr>
          <w:rFonts w:eastAsia="宋体"/>
          <w:color w:val="000000"/>
          <w:sz w:val="24"/>
          <w:szCs w:val="24"/>
        </w:rPr>
        <w:t>95%</w:t>
      </w:r>
      <w:r w:rsidRPr="00F814BC">
        <w:rPr>
          <w:rFonts w:eastAsia="宋体"/>
          <w:color w:val="000000"/>
          <w:sz w:val="24"/>
          <w:szCs w:val="24"/>
        </w:rPr>
        <w:t>置信区间是（</w:t>
      </w:r>
      <w:r w:rsidRPr="00F814BC">
        <w:rPr>
          <w:rFonts w:eastAsia="宋体"/>
          <w:color w:val="000000"/>
          <w:sz w:val="24"/>
          <w:szCs w:val="24"/>
        </w:rPr>
        <w:t>95.1%</w:t>
      </w:r>
      <w:r w:rsidRPr="00F814BC">
        <w:rPr>
          <w:rFonts w:eastAsia="宋体"/>
          <w:color w:val="000000"/>
          <w:sz w:val="24"/>
          <w:szCs w:val="24"/>
        </w:rPr>
        <w:t>；</w:t>
      </w:r>
      <w:r w:rsidRPr="00F814BC">
        <w:rPr>
          <w:rFonts w:eastAsia="宋体"/>
          <w:color w:val="000000"/>
          <w:sz w:val="24"/>
          <w:szCs w:val="24"/>
        </w:rPr>
        <w:t>98.3%</w:t>
      </w:r>
      <w:r w:rsidRPr="00F814BC">
        <w:rPr>
          <w:rFonts w:eastAsia="宋体"/>
          <w:color w:val="000000"/>
          <w:sz w:val="24"/>
          <w:szCs w:val="24"/>
        </w:rPr>
        <w:t>）。</w:t>
      </w:r>
      <w:r w:rsidRPr="00F814BC">
        <w:rPr>
          <w:rStyle w:val="a9"/>
          <w:rFonts w:eastAsia="宋体"/>
          <w:color w:val="000000"/>
          <w:sz w:val="24"/>
          <w:szCs w:val="24"/>
        </w:rPr>
        <w:footnoteReference w:id="50"/>
      </w:r>
      <w:r w:rsidRPr="00F814BC">
        <w:rPr>
          <w:rFonts w:eastAsia="宋体"/>
          <w:color w:val="000000"/>
          <w:sz w:val="24"/>
          <w:szCs w:val="24"/>
        </w:rPr>
        <w:t>所以，</w:t>
      </w:r>
      <w:r w:rsidRPr="00F814BC">
        <w:rPr>
          <w:rFonts w:eastAsia="宋体"/>
          <w:color w:val="000000"/>
          <w:sz w:val="24"/>
          <w:szCs w:val="24"/>
        </w:rPr>
        <w:t>600</w:t>
      </w:r>
      <w:r w:rsidRPr="00F814BC">
        <w:rPr>
          <w:rFonts w:eastAsia="宋体"/>
          <w:color w:val="000000"/>
          <w:sz w:val="24"/>
          <w:szCs w:val="24"/>
        </w:rPr>
        <w:t>名受试者的上市前研究提供了关于</w:t>
      </w:r>
      <w:r w:rsidRPr="00F814BC">
        <w:rPr>
          <w:rFonts w:eastAsia="宋体"/>
          <w:color w:val="000000"/>
          <w:sz w:val="24"/>
          <w:szCs w:val="24"/>
        </w:rPr>
        <w:t>IVD</w:t>
      </w:r>
      <w:r w:rsidRPr="00F814BC">
        <w:rPr>
          <w:rFonts w:eastAsia="宋体"/>
          <w:color w:val="000000"/>
          <w:sz w:val="24"/>
          <w:szCs w:val="24"/>
        </w:rPr>
        <w:t>测试的临床表现的信息，证明临床敏感性为</w:t>
      </w:r>
      <w:r w:rsidRPr="00F814BC">
        <w:rPr>
          <w:rFonts w:eastAsia="宋体"/>
          <w:color w:val="000000"/>
          <w:sz w:val="24"/>
          <w:szCs w:val="24"/>
        </w:rPr>
        <w:t>95%</w:t>
      </w:r>
      <w:r w:rsidRPr="00F814BC">
        <w:rPr>
          <w:rFonts w:eastAsia="宋体"/>
          <w:color w:val="000000"/>
          <w:sz w:val="24"/>
          <w:szCs w:val="24"/>
        </w:rPr>
        <w:t>且不低于</w:t>
      </w:r>
      <w:r w:rsidRPr="00F814BC">
        <w:rPr>
          <w:rFonts w:eastAsia="宋体"/>
          <w:color w:val="000000"/>
          <w:sz w:val="24"/>
          <w:szCs w:val="24"/>
        </w:rPr>
        <w:t>89%</w:t>
      </w:r>
      <w:r w:rsidRPr="00F814BC">
        <w:rPr>
          <w:rFonts w:eastAsia="宋体"/>
          <w:color w:val="000000"/>
          <w:sz w:val="24"/>
          <w:szCs w:val="24"/>
        </w:rPr>
        <w:t>（</w:t>
      </w:r>
      <w:r w:rsidR="00E6092F" w:rsidRPr="00F814BC">
        <w:rPr>
          <w:rFonts w:eastAsia="宋体"/>
          <w:color w:val="000000"/>
          <w:sz w:val="24"/>
          <w:szCs w:val="24"/>
        </w:rPr>
        <w:t>置信水平</w:t>
      </w:r>
      <w:r w:rsidRPr="00F814BC">
        <w:rPr>
          <w:rFonts w:eastAsia="宋体"/>
          <w:color w:val="000000"/>
          <w:sz w:val="24"/>
          <w:szCs w:val="24"/>
        </w:rPr>
        <w:t>为</w:t>
      </w:r>
      <w:r w:rsidRPr="00F814BC">
        <w:rPr>
          <w:rFonts w:eastAsia="宋体"/>
          <w:color w:val="000000"/>
          <w:sz w:val="24"/>
          <w:szCs w:val="24"/>
        </w:rPr>
        <w:t>97.5%</w:t>
      </w:r>
      <w:r w:rsidRPr="00F814BC">
        <w:rPr>
          <w:rFonts w:eastAsia="宋体"/>
          <w:color w:val="000000"/>
          <w:sz w:val="24"/>
          <w:szCs w:val="24"/>
        </w:rPr>
        <w:t>）；临床特异性为</w:t>
      </w:r>
      <w:r w:rsidRPr="00F814BC">
        <w:rPr>
          <w:rFonts w:eastAsia="宋体"/>
          <w:color w:val="000000"/>
          <w:sz w:val="24"/>
          <w:szCs w:val="24"/>
        </w:rPr>
        <w:t>97%</w:t>
      </w:r>
      <w:r w:rsidRPr="00F814BC">
        <w:rPr>
          <w:rFonts w:eastAsia="宋体"/>
          <w:color w:val="000000"/>
          <w:sz w:val="24"/>
          <w:szCs w:val="24"/>
        </w:rPr>
        <w:t>且不低于</w:t>
      </w:r>
      <w:r w:rsidRPr="00F814BC">
        <w:rPr>
          <w:rFonts w:eastAsia="宋体"/>
          <w:color w:val="000000"/>
          <w:sz w:val="24"/>
          <w:szCs w:val="24"/>
        </w:rPr>
        <w:t>95%</w:t>
      </w:r>
      <w:r w:rsidRPr="00F814BC">
        <w:rPr>
          <w:rFonts w:eastAsia="宋体"/>
          <w:color w:val="000000"/>
          <w:sz w:val="24"/>
          <w:szCs w:val="24"/>
        </w:rPr>
        <w:t>（</w:t>
      </w:r>
      <w:r w:rsidR="00E6092F" w:rsidRPr="00F814BC">
        <w:rPr>
          <w:rFonts w:eastAsia="宋体"/>
          <w:color w:val="000000"/>
          <w:sz w:val="24"/>
          <w:szCs w:val="24"/>
        </w:rPr>
        <w:t>置信水平</w:t>
      </w:r>
      <w:r w:rsidRPr="00F814BC">
        <w:rPr>
          <w:rFonts w:eastAsia="宋体"/>
          <w:color w:val="000000"/>
          <w:sz w:val="24"/>
          <w:szCs w:val="24"/>
        </w:rPr>
        <w:t>为</w:t>
      </w:r>
      <w:r w:rsidRPr="00F814BC">
        <w:rPr>
          <w:rFonts w:eastAsia="宋体"/>
          <w:color w:val="000000"/>
          <w:sz w:val="24"/>
          <w:szCs w:val="24"/>
        </w:rPr>
        <w:t>97.5%</w:t>
      </w:r>
      <w:r w:rsidRPr="00F814BC">
        <w:rPr>
          <w:rFonts w:eastAsia="宋体"/>
          <w:color w:val="000000"/>
          <w:sz w:val="24"/>
          <w:szCs w:val="24"/>
        </w:rPr>
        <w:t>），对临床敏感性和特异性的总体</w:t>
      </w:r>
      <w:r w:rsidR="00E6092F" w:rsidRPr="00F814BC">
        <w:rPr>
          <w:rFonts w:eastAsia="宋体"/>
          <w:color w:val="000000"/>
          <w:sz w:val="24"/>
          <w:szCs w:val="24"/>
        </w:rPr>
        <w:t>置信水平</w:t>
      </w:r>
      <w:r w:rsidRPr="00F814BC">
        <w:rPr>
          <w:rFonts w:eastAsia="宋体"/>
          <w:color w:val="000000"/>
          <w:sz w:val="24"/>
          <w:szCs w:val="24"/>
        </w:rPr>
        <w:t>为</w:t>
      </w:r>
      <w:r w:rsidRPr="00F814BC">
        <w:rPr>
          <w:rFonts w:eastAsia="宋体"/>
          <w:color w:val="000000"/>
          <w:sz w:val="24"/>
          <w:szCs w:val="24"/>
        </w:rPr>
        <w:t>95%</w:t>
      </w:r>
      <w:r w:rsidRPr="00F814BC">
        <w:rPr>
          <w:rFonts w:eastAsia="宋体"/>
          <w:color w:val="000000"/>
          <w:sz w:val="24"/>
          <w:szCs w:val="24"/>
        </w:rPr>
        <w:t>（</w:t>
      </w:r>
      <w:r w:rsidR="003F296C" w:rsidRPr="00F814BC">
        <w:rPr>
          <w:rFonts w:eastAsia="宋体"/>
          <w:color w:val="000000"/>
          <w:sz w:val="24"/>
          <w:szCs w:val="24"/>
        </w:rPr>
        <w:t>=0.975·0.975</w:t>
      </w:r>
      <w:r w:rsidRPr="00F814BC">
        <w:rPr>
          <w:rFonts w:eastAsia="宋体"/>
          <w:color w:val="000000"/>
          <w:sz w:val="24"/>
          <w:szCs w:val="24"/>
        </w:rPr>
        <w:t>）。</w:t>
      </w:r>
    </w:p>
    <w:p w14:paraId="4112D533" w14:textId="77777777" w:rsidR="00545773" w:rsidRPr="00F814BC" w:rsidRDefault="00545773" w:rsidP="00640CB4">
      <w:pPr>
        <w:shd w:val="clear" w:color="auto" w:fill="FFFFFF"/>
        <w:snapToGrid w:val="0"/>
        <w:jc w:val="both"/>
        <w:rPr>
          <w:rFonts w:eastAsia="宋体"/>
          <w:i/>
          <w:iCs/>
          <w:color w:val="000000"/>
          <w:sz w:val="24"/>
          <w:szCs w:val="24"/>
        </w:rPr>
      </w:pPr>
    </w:p>
    <w:p w14:paraId="0A89D3FB" w14:textId="77777777" w:rsidR="00961522" w:rsidRPr="00F814BC" w:rsidRDefault="00CB325C" w:rsidP="00640CB4">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2</w:t>
      </w:r>
      <w:r w:rsidRPr="00F814BC">
        <w:rPr>
          <w:rFonts w:eastAsia="宋体"/>
          <w:i/>
          <w:iCs/>
          <w:color w:val="000000"/>
          <w:sz w:val="24"/>
          <w:szCs w:val="24"/>
        </w:rPr>
        <w:t>：突破性</w:t>
      </w:r>
      <w:r w:rsidRPr="00F814BC">
        <w:rPr>
          <w:rFonts w:eastAsia="宋体"/>
          <w:i/>
          <w:iCs/>
          <w:color w:val="000000"/>
          <w:sz w:val="24"/>
          <w:szCs w:val="24"/>
        </w:rPr>
        <w:t>IVD</w:t>
      </w:r>
      <w:r w:rsidRPr="00F814BC">
        <w:rPr>
          <w:rFonts w:eastAsia="宋体"/>
          <w:i/>
          <w:iCs/>
          <w:color w:val="000000"/>
          <w:sz w:val="24"/>
          <w:szCs w:val="24"/>
        </w:rPr>
        <w:t>器械的不确定性更大，</w:t>
      </w:r>
      <w:r w:rsidR="004D1C55" w:rsidRPr="00F814BC">
        <w:rPr>
          <w:rFonts w:eastAsia="宋体"/>
          <w:i/>
          <w:iCs/>
          <w:color w:val="000000"/>
          <w:sz w:val="24"/>
          <w:szCs w:val="24"/>
        </w:rPr>
        <w:t>适度的上市后数据收集</w:t>
      </w:r>
    </w:p>
    <w:p w14:paraId="6495FE7A" w14:textId="77777777" w:rsidR="00545773" w:rsidRPr="00F814BC" w:rsidRDefault="00545773" w:rsidP="00640CB4">
      <w:pPr>
        <w:shd w:val="clear" w:color="auto" w:fill="FFFFFF"/>
        <w:snapToGrid w:val="0"/>
        <w:jc w:val="both"/>
        <w:rPr>
          <w:rFonts w:eastAsia="宋体"/>
          <w:sz w:val="24"/>
          <w:szCs w:val="24"/>
        </w:rPr>
      </w:pPr>
    </w:p>
    <w:p w14:paraId="6950744C"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如果基于第</w:t>
      </w:r>
      <w:r w:rsidR="004D1C55" w:rsidRPr="00F814BC">
        <w:rPr>
          <w:rFonts w:eastAsia="宋体" w:hint="eastAsia"/>
          <w:color w:val="000000"/>
          <w:sz w:val="24"/>
          <w:szCs w:val="24"/>
        </w:rPr>
        <w:t>IV</w:t>
      </w:r>
      <w:r w:rsidR="004D1C55" w:rsidRPr="00F814BC">
        <w:rPr>
          <w:rFonts w:eastAsia="宋体" w:hint="eastAsia"/>
          <w:color w:val="000000"/>
          <w:sz w:val="24"/>
          <w:szCs w:val="24"/>
        </w:rPr>
        <w:t>节</w:t>
      </w:r>
      <w:r w:rsidRPr="00F814BC">
        <w:rPr>
          <w:rFonts w:eastAsia="宋体"/>
          <w:color w:val="000000"/>
          <w:sz w:val="24"/>
          <w:szCs w:val="24"/>
        </w:rPr>
        <w:t>的考虑和其他相关信息（例如，新的</w:t>
      </w:r>
      <w:r w:rsidRPr="00F814BC">
        <w:rPr>
          <w:rFonts w:eastAsia="宋体"/>
          <w:color w:val="000000"/>
          <w:sz w:val="24"/>
          <w:szCs w:val="24"/>
        </w:rPr>
        <w:t>IVD</w:t>
      </w:r>
      <w:r w:rsidRPr="00F814BC">
        <w:rPr>
          <w:rFonts w:eastAsia="宋体"/>
          <w:color w:val="000000"/>
          <w:sz w:val="24"/>
          <w:szCs w:val="24"/>
        </w:rPr>
        <w:t>实验室测试与现有的已批准或</w:t>
      </w:r>
      <w:r w:rsidR="003F296C" w:rsidRPr="00F814BC">
        <w:rPr>
          <w:rFonts w:eastAsia="宋体" w:hint="eastAsia"/>
          <w:color w:val="000000"/>
          <w:sz w:val="24"/>
          <w:szCs w:val="24"/>
        </w:rPr>
        <w:t>许可</w:t>
      </w:r>
      <w:r w:rsidRPr="00F814BC">
        <w:rPr>
          <w:rFonts w:eastAsia="宋体"/>
          <w:color w:val="000000"/>
          <w:sz w:val="24"/>
          <w:szCs w:val="24"/>
        </w:rPr>
        <w:t>的替代品相比具有明显的优势，例如，新的</w:t>
      </w:r>
      <w:r w:rsidRPr="00F814BC">
        <w:rPr>
          <w:rFonts w:eastAsia="宋体"/>
          <w:color w:val="000000"/>
          <w:sz w:val="24"/>
          <w:szCs w:val="24"/>
        </w:rPr>
        <w:t>IVD</w:t>
      </w:r>
      <w:r w:rsidR="003F296C" w:rsidRPr="00F814BC">
        <w:rPr>
          <w:rFonts w:eastAsia="宋体" w:hint="eastAsia"/>
          <w:color w:val="000000"/>
          <w:sz w:val="24"/>
          <w:szCs w:val="24"/>
        </w:rPr>
        <w:t>试验</w:t>
      </w:r>
      <w:r w:rsidRPr="00F814BC">
        <w:rPr>
          <w:rFonts w:eastAsia="宋体"/>
          <w:color w:val="000000"/>
          <w:sz w:val="24"/>
          <w:szCs w:val="24"/>
        </w:rPr>
        <w:t>结果可以在对时间敏感的治疗中明显更快获得，新</w:t>
      </w:r>
      <w:r w:rsidR="003F296C" w:rsidRPr="00F814BC">
        <w:rPr>
          <w:rFonts w:eastAsia="宋体" w:hint="eastAsia"/>
          <w:color w:val="000000"/>
          <w:sz w:val="24"/>
          <w:szCs w:val="24"/>
        </w:rPr>
        <w:t>试验</w:t>
      </w:r>
      <w:r w:rsidRPr="00F814BC">
        <w:rPr>
          <w:rFonts w:eastAsia="宋体"/>
          <w:color w:val="000000"/>
          <w:sz w:val="24"/>
          <w:szCs w:val="24"/>
        </w:rPr>
        <w:t>使用的患者标本不需要任何侵入性程序），</w:t>
      </w:r>
      <w:r w:rsidRPr="00F814BC">
        <w:rPr>
          <w:rFonts w:eastAsia="宋体"/>
          <w:color w:val="000000"/>
          <w:sz w:val="24"/>
          <w:szCs w:val="24"/>
        </w:rPr>
        <w:t>FDA</w:t>
      </w:r>
      <w:r w:rsidRPr="00F814BC">
        <w:rPr>
          <w:rFonts w:eastAsia="宋体"/>
          <w:color w:val="000000"/>
          <w:sz w:val="24"/>
          <w:szCs w:val="24"/>
        </w:rPr>
        <w:t>反而认为更大的不确定性是合适的，只要根据该不确定性进行适度的上市后数据收集。对于这个案例，假设基本事实是这样的：适当的整体</w:t>
      </w:r>
      <w:r w:rsidR="00E6092F" w:rsidRPr="00F814BC">
        <w:rPr>
          <w:rFonts w:eastAsia="宋体"/>
          <w:color w:val="000000"/>
          <w:sz w:val="24"/>
          <w:szCs w:val="24"/>
        </w:rPr>
        <w:t>置信水平</w:t>
      </w:r>
      <w:r w:rsidRPr="00F814BC">
        <w:rPr>
          <w:rFonts w:eastAsia="宋体"/>
          <w:color w:val="000000"/>
          <w:sz w:val="24"/>
          <w:szCs w:val="24"/>
        </w:rPr>
        <w:t>可以是</w:t>
      </w:r>
      <w:r w:rsidRPr="00F814BC">
        <w:rPr>
          <w:rFonts w:eastAsia="宋体"/>
          <w:color w:val="000000"/>
          <w:sz w:val="24"/>
          <w:szCs w:val="24"/>
        </w:rPr>
        <w:t>90%</w:t>
      </w:r>
      <w:r w:rsidRPr="00F814BC">
        <w:rPr>
          <w:rFonts w:eastAsia="宋体"/>
          <w:color w:val="000000"/>
          <w:sz w:val="24"/>
          <w:szCs w:val="24"/>
        </w:rPr>
        <w:t>（临床敏感性和特异性的下限的</w:t>
      </w:r>
      <w:r w:rsidR="00E6092F" w:rsidRPr="00F814BC">
        <w:rPr>
          <w:rFonts w:eastAsia="宋体"/>
          <w:color w:val="000000"/>
          <w:sz w:val="24"/>
          <w:szCs w:val="24"/>
        </w:rPr>
        <w:t>置信水平</w:t>
      </w:r>
      <w:r w:rsidRPr="00F814BC">
        <w:rPr>
          <w:rFonts w:eastAsia="宋体"/>
          <w:color w:val="000000"/>
          <w:sz w:val="24"/>
          <w:szCs w:val="24"/>
        </w:rPr>
        <w:t>是</w:t>
      </w:r>
      <w:r w:rsidRPr="00F814BC">
        <w:rPr>
          <w:rFonts w:eastAsia="宋体"/>
          <w:color w:val="000000"/>
          <w:sz w:val="24"/>
          <w:szCs w:val="24"/>
        </w:rPr>
        <w:t>95%</w:t>
      </w:r>
      <w:r w:rsidRPr="00F814BC">
        <w:rPr>
          <w:rFonts w:eastAsia="宋体"/>
          <w:color w:val="000000"/>
          <w:sz w:val="24"/>
          <w:szCs w:val="24"/>
        </w:rPr>
        <w:t>）。如果临床敏感性的估计值为</w:t>
      </w:r>
      <w:r w:rsidRPr="00F814BC">
        <w:rPr>
          <w:rFonts w:eastAsia="宋体"/>
          <w:color w:val="000000"/>
          <w:sz w:val="24"/>
          <w:szCs w:val="24"/>
        </w:rPr>
        <w:t>95.0%</w:t>
      </w:r>
      <w:r w:rsidRPr="00F814BC">
        <w:rPr>
          <w:rFonts w:eastAsia="宋体"/>
          <w:color w:val="000000"/>
          <w:sz w:val="24"/>
          <w:szCs w:val="24"/>
        </w:rPr>
        <w:t>，预计上市前研究将包括</w:t>
      </w:r>
      <w:r w:rsidRPr="00F814BC">
        <w:rPr>
          <w:rFonts w:eastAsia="宋体"/>
          <w:color w:val="000000"/>
          <w:sz w:val="24"/>
          <w:szCs w:val="24"/>
        </w:rPr>
        <w:t>80</w:t>
      </w:r>
      <w:r w:rsidRPr="00F814BC">
        <w:rPr>
          <w:rFonts w:eastAsia="宋体"/>
          <w:color w:val="000000"/>
          <w:sz w:val="24"/>
          <w:szCs w:val="24"/>
        </w:rPr>
        <w:t>名患有目标病症的受试者来估计临床敏感性，因为（</w:t>
      </w:r>
      <w:r w:rsidRPr="00F814BC">
        <w:rPr>
          <w:rFonts w:eastAsia="宋体"/>
          <w:color w:val="000000"/>
          <w:sz w:val="24"/>
          <w:szCs w:val="24"/>
        </w:rPr>
        <w:t>76/80</w:t>
      </w:r>
      <w:r w:rsidRPr="00F814BC">
        <w:rPr>
          <w:rFonts w:eastAsia="宋体"/>
          <w:color w:val="000000"/>
          <w:sz w:val="24"/>
          <w:szCs w:val="24"/>
        </w:rPr>
        <w:t>）的双侧</w:t>
      </w:r>
      <w:r w:rsidRPr="00F814BC">
        <w:rPr>
          <w:rFonts w:eastAsia="宋体"/>
          <w:color w:val="000000"/>
          <w:sz w:val="24"/>
          <w:szCs w:val="24"/>
        </w:rPr>
        <w:t>90%</w:t>
      </w:r>
      <w:r w:rsidRPr="00F814BC">
        <w:rPr>
          <w:rFonts w:eastAsia="宋体"/>
          <w:color w:val="000000"/>
          <w:sz w:val="24"/>
          <w:szCs w:val="24"/>
        </w:rPr>
        <w:t>置信区间将是（</w:t>
      </w:r>
      <w:r w:rsidRPr="00F814BC">
        <w:rPr>
          <w:rFonts w:eastAsia="宋体"/>
          <w:color w:val="000000"/>
          <w:sz w:val="24"/>
          <w:szCs w:val="24"/>
        </w:rPr>
        <w:t>89.3%</w:t>
      </w:r>
      <w:r w:rsidRPr="00F814BC">
        <w:rPr>
          <w:rFonts w:eastAsia="宋体"/>
          <w:color w:val="000000"/>
          <w:sz w:val="24"/>
          <w:szCs w:val="24"/>
        </w:rPr>
        <w:t>；</w:t>
      </w:r>
      <w:r w:rsidRPr="00F814BC">
        <w:rPr>
          <w:rFonts w:eastAsia="宋体"/>
          <w:color w:val="000000"/>
          <w:sz w:val="24"/>
          <w:szCs w:val="24"/>
        </w:rPr>
        <w:t>97.7%</w:t>
      </w:r>
      <w:r w:rsidRPr="00F814BC">
        <w:rPr>
          <w:rFonts w:eastAsia="宋体"/>
          <w:color w:val="000000"/>
          <w:sz w:val="24"/>
          <w:szCs w:val="24"/>
        </w:rPr>
        <w:t>）。对于一个患病率为</w:t>
      </w:r>
      <w:r w:rsidRPr="00F814BC">
        <w:rPr>
          <w:rFonts w:eastAsia="宋体"/>
          <w:color w:val="000000"/>
          <w:sz w:val="24"/>
          <w:szCs w:val="24"/>
        </w:rPr>
        <w:t>20%</w:t>
      </w:r>
      <w:r w:rsidRPr="00F814BC">
        <w:rPr>
          <w:rFonts w:eastAsia="宋体"/>
          <w:color w:val="000000"/>
          <w:sz w:val="24"/>
          <w:szCs w:val="24"/>
        </w:rPr>
        <w:t>的条件，上市前研究只需要包括</w:t>
      </w:r>
      <w:r w:rsidRPr="00F814BC">
        <w:rPr>
          <w:rFonts w:eastAsia="宋体"/>
          <w:color w:val="000000"/>
          <w:sz w:val="24"/>
          <w:szCs w:val="24"/>
        </w:rPr>
        <w:t>400</w:t>
      </w:r>
      <w:r w:rsidRPr="00F814BC">
        <w:rPr>
          <w:rFonts w:eastAsia="宋体"/>
          <w:color w:val="000000"/>
          <w:sz w:val="24"/>
          <w:szCs w:val="24"/>
        </w:rPr>
        <w:t>名受试者（</w:t>
      </w:r>
      <w:r w:rsidRPr="00F814BC">
        <w:rPr>
          <w:rFonts w:eastAsia="宋体"/>
          <w:color w:val="000000"/>
          <w:sz w:val="24"/>
          <w:szCs w:val="24"/>
        </w:rPr>
        <w:t>80</w:t>
      </w:r>
      <w:r w:rsidRPr="00F814BC">
        <w:rPr>
          <w:rFonts w:eastAsia="宋体"/>
          <w:color w:val="000000"/>
          <w:sz w:val="24"/>
          <w:szCs w:val="24"/>
        </w:rPr>
        <w:t>名有目标条件的受试者和</w:t>
      </w:r>
      <w:r w:rsidRPr="00F814BC">
        <w:rPr>
          <w:rFonts w:eastAsia="宋体"/>
          <w:color w:val="000000"/>
          <w:sz w:val="24"/>
          <w:szCs w:val="24"/>
        </w:rPr>
        <w:t>320</w:t>
      </w:r>
      <w:r w:rsidRPr="00F814BC">
        <w:rPr>
          <w:rFonts w:eastAsia="宋体"/>
          <w:color w:val="000000"/>
          <w:sz w:val="24"/>
          <w:szCs w:val="24"/>
        </w:rPr>
        <w:t>名没有目标条件的受试者）。如果临床特异性为</w:t>
      </w:r>
      <w:r w:rsidRPr="00F814BC">
        <w:rPr>
          <w:rFonts w:eastAsia="宋体"/>
          <w:color w:val="000000"/>
          <w:sz w:val="24"/>
          <w:szCs w:val="24"/>
        </w:rPr>
        <w:t>97%</w:t>
      </w:r>
      <w:r w:rsidRPr="00F814BC">
        <w:rPr>
          <w:rFonts w:eastAsia="宋体"/>
          <w:color w:val="000000"/>
          <w:sz w:val="24"/>
          <w:szCs w:val="24"/>
        </w:rPr>
        <w:t>，那么（</w:t>
      </w:r>
      <w:r w:rsidRPr="00F814BC">
        <w:rPr>
          <w:rFonts w:eastAsia="宋体"/>
          <w:color w:val="000000"/>
          <w:sz w:val="24"/>
          <w:szCs w:val="24"/>
        </w:rPr>
        <w:t>311/320</w:t>
      </w:r>
      <w:r w:rsidRPr="00F814BC">
        <w:rPr>
          <w:rFonts w:eastAsia="宋体"/>
          <w:color w:val="000000"/>
          <w:sz w:val="24"/>
          <w:szCs w:val="24"/>
        </w:rPr>
        <w:t>）的双侧置信区间将是（</w:t>
      </w:r>
      <w:r w:rsidRPr="00F814BC">
        <w:rPr>
          <w:rFonts w:eastAsia="宋体"/>
          <w:color w:val="000000"/>
          <w:sz w:val="24"/>
          <w:szCs w:val="24"/>
        </w:rPr>
        <w:t>95.2%</w:t>
      </w:r>
      <w:r w:rsidRPr="00F814BC">
        <w:rPr>
          <w:rFonts w:eastAsia="宋体"/>
          <w:color w:val="000000"/>
          <w:sz w:val="24"/>
          <w:szCs w:val="24"/>
        </w:rPr>
        <w:t>；</w:t>
      </w:r>
      <w:r w:rsidRPr="00F814BC">
        <w:rPr>
          <w:rFonts w:eastAsia="宋体"/>
          <w:color w:val="000000"/>
          <w:sz w:val="24"/>
          <w:szCs w:val="24"/>
        </w:rPr>
        <w:t>98.4%</w:t>
      </w:r>
      <w:r w:rsidRPr="00F814BC">
        <w:rPr>
          <w:rFonts w:eastAsia="宋体"/>
          <w:color w:val="000000"/>
          <w:sz w:val="24"/>
          <w:szCs w:val="24"/>
        </w:rPr>
        <w:t>）。因此，一项有</w:t>
      </w:r>
      <w:r w:rsidRPr="00F814BC">
        <w:rPr>
          <w:rFonts w:eastAsia="宋体"/>
          <w:color w:val="000000"/>
          <w:sz w:val="24"/>
          <w:szCs w:val="24"/>
        </w:rPr>
        <w:t>400</w:t>
      </w:r>
      <w:r w:rsidRPr="00F814BC">
        <w:rPr>
          <w:rFonts w:eastAsia="宋体"/>
          <w:color w:val="000000"/>
          <w:sz w:val="24"/>
          <w:szCs w:val="24"/>
        </w:rPr>
        <w:t>名受试者的研究将提供有关</w:t>
      </w:r>
      <w:r w:rsidRPr="00F814BC">
        <w:rPr>
          <w:rFonts w:eastAsia="宋体"/>
          <w:color w:val="000000"/>
          <w:sz w:val="24"/>
          <w:szCs w:val="24"/>
        </w:rPr>
        <w:t>IVD</w:t>
      </w:r>
      <w:r w:rsidRPr="00F814BC">
        <w:rPr>
          <w:rFonts w:eastAsia="宋体"/>
          <w:color w:val="000000"/>
          <w:sz w:val="24"/>
          <w:szCs w:val="24"/>
        </w:rPr>
        <w:t>检测的临床表现的信息，其临床敏感性为</w:t>
      </w:r>
      <w:r w:rsidRPr="00F814BC">
        <w:rPr>
          <w:rFonts w:eastAsia="宋体"/>
          <w:color w:val="000000"/>
          <w:sz w:val="24"/>
          <w:szCs w:val="24"/>
        </w:rPr>
        <w:t>95%</w:t>
      </w:r>
      <w:r w:rsidRPr="00F814BC">
        <w:rPr>
          <w:rFonts w:eastAsia="宋体"/>
          <w:color w:val="000000"/>
          <w:sz w:val="24"/>
          <w:szCs w:val="24"/>
        </w:rPr>
        <w:t>且不低于</w:t>
      </w:r>
      <w:r w:rsidRPr="00F814BC">
        <w:rPr>
          <w:rFonts w:eastAsia="宋体"/>
          <w:color w:val="000000"/>
          <w:sz w:val="24"/>
          <w:szCs w:val="24"/>
        </w:rPr>
        <w:t>89%</w:t>
      </w:r>
      <w:r w:rsidRPr="00F814BC">
        <w:rPr>
          <w:rFonts w:eastAsia="宋体"/>
          <w:color w:val="000000"/>
          <w:sz w:val="24"/>
          <w:szCs w:val="24"/>
        </w:rPr>
        <w:t>（</w:t>
      </w:r>
      <w:r w:rsidR="00E6092F" w:rsidRPr="00F814BC">
        <w:rPr>
          <w:rFonts w:eastAsia="宋体"/>
          <w:color w:val="000000"/>
          <w:sz w:val="24"/>
          <w:szCs w:val="24"/>
        </w:rPr>
        <w:t>置信水平</w:t>
      </w:r>
      <w:r w:rsidRPr="00F814BC">
        <w:rPr>
          <w:rFonts w:eastAsia="宋体"/>
          <w:color w:val="000000"/>
          <w:sz w:val="24"/>
          <w:szCs w:val="24"/>
        </w:rPr>
        <w:t>为</w:t>
      </w:r>
      <w:r w:rsidRPr="00F814BC">
        <w:rPr>
          <w:rFonts w:eastAsia="宋体"/>
          <w:color w:val="000000"/>
          <w:sz w:val="24"/>
          <w:szCs w:val="24"/>
        </w:rPr>
        <w:t>95%</w:t>
      </w:r>
      <w:r w:rsidRPr="00F814BC">
        <w:rPr>
          <w:rFonts w:eastAsia="宋体"/>
          <w:color w:val="000000"/>
          <w:sz w:val="24"/>
          <w:szCs w:val="24"/>
        </w:rPr>
        <w:t>）；临床特异性为</w:t>
      </w:r>
      <w:r w:rsidRPr="00F814BC">
        <w:rPr>
          <w:rFonts w:eastAsia="宋体"/>
          <w:color w:val="000000"/>
          <w:sz w:val="24"/>
          <w:szCs w:val="24"/>
        </w:rPr>
        <w:t>97%</w:t>
      </w:r>
      <w:r w:rsidRPr="00F814BC">
        <w:rPr>
          <w:rFonts w:eastAsia="宋体"/>
          <w:color w:val="000000"/>
          <w:sz w:val="24"/>
          <w:szCs w:val="24"/>
        </w:rPr>
        <w:t>且不低于</w:t>
      </w:r>
      <w:r w:rsidRPr="00F814BC">
        <w:rPr>
          <w:rFonts w:eastAsia="宋体"/>
          <w:color w:val="000000"/>
          <w:sz w:val="24"/>
          <w:szCs w:val="24"/>
        </w:rPr>
        <w:t>95%</w:t>
      </w:r>
      <w:r w:rsidRPr="00F814BC">
        <w:rPr>
          <w:rFonts w:eastAsia="宋体"/>
          <w:color w:val="000000"/>
          <w:sz w:val="24"/>
          <w:szCs w:val="24"/>
        </w:rPr>
        <w:t>（</w:t>
      </w:r>
      <w:r w:rsidR="00E6092F" w:rsidRPr="00F814BC">
        <w:rPr>
          <w:rFonts w:eastAsia="宋体"/>
          <w:color w:val="000000"/>
          <w:sz w:val="24"/>
          <w:szCs w:val="24"/>
        </w:rPr>
        <w:t>置信水平</w:t>
      </w:r>
      <w:r w:rsidRPr="00F814BC">
        <w:rPr>
          <w:rFonts w:eastAsia="宋体"/>
          <w:color w:val="000000"/>
          <w:sz w:val="24"/>
          <w:szCs w:val="24"/>
        </w:rPr>
        <w:t>为</w:t>
      </w:r>
      <w:r w:rsidRPr="00F814BC">
        <w:rPr>
          <w:rFonts w:eastAsia="宋体"/>
          <w:color w:val="000000"/>
          <w:sz w:val="24"/>
          <w:szCs w:val="24"/>
        </w:rPr>
        <w:t>95%</w:t>
      </w:r>
      <w:r w:rsidRPr="00F814BC">
        <w:rPr>
          <w:rFonts w:eastAsia="宋体"/>
          <w:color w:val="000000"/>
          <w:sz w:val="24"/>
          <w:szCs w:val="24"/>
        </w:rPr>
        <w:t>），对临床敏感性和特异性的总体</w:t>
      </w:r>
      <w:r w:rsidR="00E6092F" w:rsidRPr="00F814BC">
        <w:rPr>
          <w:rFonts w:eastAsia="宋体"/>
          <w:color w:val="000000"/>
          <w:sz w:val="24"/>
          <w:szCs w:val="24"/>
        </w:rPr>
        <w:t>置信水平</w:t>
      </w:r>
      <w:r w:rsidRPr="00F814BC">
        <w:rPr>
          <w:rFonts w:eastAsia="宋体"/>
          <w:color w:val="000000"/>
          <w:sz w:val="24"/>
          <w:szCs w:val="24"/>
        </w:rPr>
        <w:t>为</w:t>
      </w:r>
      <w:r w:rsidRPr="00F814BC">
        <w:rPr>
          <w:rFonts w:eastAsia="宋体"/>
          <w:color w:val="000000"/>
          <w:sz w:val="24"/>
          <w:szCs w:val="24"/>
        </w:rPr>
        <w:t>90%</w:t>
      </w:r>
      <w:r w:rsidRPr="00F814BC">
        <w:rPr>
          <w:rFonts w:eastAsia="宋体"/>
          <w:color w:val="000000"/>
          <w:sz w:val="24"/>
          <w:szCs w:val="24"/>
        </w:rPr>
        <w:t>（</w:t>
      </w:r>
      <w:r w:rsidR="00B4674F" w:rsidRPr="00F814BC">
        <w:rPr>
          <w:rFonts w:eastAsia="宋体"/>
          <w:color w:val="000000"/>
          <w:sz w:val="24"/>
          <w:szCs w:val="24"/>
        </w:rPr>
        <w:t>=0.95·0.95</w:t>
      </w:r>
      <w:r w:rsidRPr="00F814BC">
        <w:rPr>
          <w:rFonts w:eastAsia="宋体"/>
          <w:color w:val="000000"/>
          <w:sz w:val="24"/>
          <w:szCs w:val="24"/>
        </w:rPr>
        <w:t>）。</w:t>
      </w:r>
    </w:p>
    <w:p w14:paraId="4E8A699D" w14:textId="77777777" w:rsidR="00961522" w:rsidRPr="00F814BC" w:rsidRDefault="00961522" w:rsidP="00640CB4">
      <w:pPr>
        <w:shd w:val="clear" w:color="auto" w:fill="FFFFFF"/>
        <w:snapToGrid w:val="0"/>
        <w:jc w:val="both"/>
        <w:rPr>
          <w:rFonts w:eastAsia="宋体"/>
          <w:sz w:val="24"/>
          <w:szCs w:val="24"/>
        </w:rPr>
      </w:pPr>
    </w:p>
    <w:p w14:paraId="2F029C5B" w14:textId="77777777" w:rsidR="00961522" w:rsidRPr="00F814BC" w:rsidRDefault="00961522" w:rsidP="00640CB4">
      <w:pPr>
        <w:shd w:val="clear" w:color="auto" w:fill="FFFFFF"/>
        <w:snapToGrid w:val="0"/>
        <w:jc w:val="both"/>
        <w:rPr>
          <w:rFonts w:eastAsia="宋体"/>
          <w:sz w:val="24"/>
          <w:szCs w:val="24"/>
        </w:rPr>
      </w:pPr>
    </w:p>
    <w:p w14:paraId="12350D41" w14:textId="77777777" w:rsidR="00961522" w:rsidRPr="00F814BC" w:rsidRDefault="00961522" w:rsidP="00640CB4">
      <w:pPr>
        <w:shd w:val="clear" w:color="auto" w:fill="FFFFFF"/>
        <w:snapToGrid w:val="0"/>
        <w:jc w:val="both"/>
        <w:rPr>
          <w:rFonts w:eastAsia="宋体"/>
          <w:sz w:val="24"/>
          <w:szCs w:val="24"/>
        </w:rPr>
        <w:sectPr w:rsidR="00961522" w:rsidRPr="00F814BC" w:rsidSect="0006004F">
          <w:pgSz w:w="11906" w:h="16838" w:code="9"/>
          <w:pgMar w:top="1134" w:right="1134" w:bottom="1134" w:left="1418" w:header="567" w:footer="567" w:gutter="0"/>
          <w:cols w:space="60"/>
          <w:noEndnote/>
          <w:docGrid w:linePitch="272"/>
        </w:sectPr>
      </w:pPr>
    </w:p>
    <w:p w14:paraId="184A20F3" w14:textId="77777777" w:rsidR="00961522" w:rsidRPr="00F814BC" w:rsidRDefault="00CB325C" w:rsidP="00640CB4">
      <w:pPr>
        <w:shd w:val="clear" w:color="auto" w:fill="FFFFFF"/>
        <w:snapToGrid w:val="0"/>
        <w:jc w:val="center"/>
        <w:rPr>
          <w:rFonts w:eastAsia="宋体"/>
          <w:sz w:val="21"/>
          <w:szCs w:val="21"/>
        </w:rPr>
      </w:pPr>
      <w:r w:rsidRPr="00F814BC">
        <w:rPr>
          <w:rFonts w:eastAsia="宋体"/>
          <w:i/>
          <w:iCs/>
          <w:color w:val="000000"/>
          <w:sz w:val="21"/>
          <w:szCs w:val="21"/>
        </w:rPr>
        <w:lastRenderedPageBreak/>
        <w:t>总结：上市前研究的</w:t>
      </w:r>
      <w:r w:rsidR="00E6092F" w:rsidRPr="00F814BC">
        <w:rPr>
          <w:rFonts w:eastAsia="宋体"/>
          <w:i/>
          <w:iCs/>
          <w:color w:val="000000"/>
          <w:sz w:val="21"/>
          <w:szCs w:val="21"/>
        </w:rPr>
        <w:t>置信水平</w:t>
      </w:r>
      <w:r w:rsidRPr="00F814BC">
        <w:rPr>
          <w:rFonts w:eastAsia="宋体"/>
          <w:i/>
          <w:iCs/>
          <w:color w:val="000000"/>
          <w:sz w:val="21"/>
          <w:szCs w:val="21"/>
        </w:rPr>
        <w:t>和样品量的差异</w:t>
      </w:r>
    </w:p>
    <w:tbl>
      <w:tblPr>
        <w:tblW w:w="4500" w:type="pct"/>
        <w:jc w:val="center"/>
        <w:tblLayout w:type="fixed"/>
        <w:tblCellMar>
          <w:left w:w="40" w:type="dxa"/>
          <w:right w:w="40" w:type="dxa"/>
        </w:tblCellMar>
        <w:tblLook w:val="0000" w:firstRow="0" w:lastRow="0" w:firstColumn="0" w:lastColumn="0" w:noHBand="0" w:noVBand="0"/>
      </w:tblPr>
      <w:tblGrid>
        <w:gridCol w:w="1516"/>
        <w:gridCol w:w="1503"/>
        <w:gridCol w:w="1387"/>
        <w:gridCol w:w="1791"/>
        <w:gridCol w:w="2324"/>
      </w:tblGrid>
      <w:tr w:rsidR="00961522" w:rsidRPr="00F814BC" w14:paraId="48E8DB9D" w14:textId="77777777" w:rsidTr="00545773">
        <w:trPr>
          <w:jc w:val="center"/>
        </w:trPr>
        <w:tc>
          <w:tcPr>
            <w:tcW w:w="15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EDED5CD"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情</w:t>
            </w:r>
            <w:r w:rsidR="003F06E2" w:rsidRPr="00F814BC">
              <w:rPr>
                <w:rFonts w:eastAsia="宋体" w:hint="eastAsia"/>
                <w:color w:val="000000"/>
                <w:sz w:val="21"/>
                <w:szCs w:val="21"/>
              </w:rPr>
              <w:t>况</w:t>
            </w:r>
          </w:p>
        </w:tc>
        <w:tc>
          <w:tcPr>
            <w:tcW w:w="15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BD1D4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敏感性和特异性的</w:t>
            </w:r>
            <w:r w:rsidR="00E6092F" w:rsidRPr="00F814BC">
              <w:rPr>
                <w:rFonts w:eastAsia="宋体"/>
                <w:color w:val="000000"/>
                <w:sz w:val="21"/>
                <w:szCs w:val="21"/>
              </w:rPr>
              <w:t>置信水平</w:t>
            </w:r>
          </w:p>
        </w:tc>
        <w:tc>
          <w:tcPr>
            <w:tcW w:w="143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18CD62"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存在目标条件的受试者人数</w:t>
            </w:r>
          </w:p>
        </w:tc>
        <w:tc>
          <w:tcPr>
            <w:tcW w:w="18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8C2968"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患病率的研究规模</w:t>
            </w:r>
            <w:r w:rsidRPr="00F814BC">
              <w:rPr>
                <w:rFonts w:eastAsia="宋体"/>
                <w:color w:val="000000"/>
                <w:sz w:val="21"/>
                <w:szCs w:val="21"/>
              </w:rPr>
              <w:t>=20%</w:t>
            </w:r>
            <w:r w:rsidRPr="00F814BC">
              <w:rPr>
                <w:rFonts w:eastAsia="宋体"/>
                <w:color w:val="000000"/>
                <w:sz w:val="21"/>
                <w:szCs w:val="21"/>
              </w:rPr>
              <w:t>。</w:t>
            </w:r>
          </w:p>
        </w:tc>
        <w:tc>
          <w:tcPr>
            <w:tcW w:w="24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1D378D"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考虑到更大的不确定性，</w:t>
            </w:r>
            <w:r w:rsidR="008E38AD" w:rsidRPr="00F814BC">
              <w:rPr>
                <w:rFonts w:eastAsia="宋体"/>
                <w:color w:val="000000"/>
                <w:sz w:val="21"/>
                <w:szCs w:val="21"/>
              </w:rPr>
              <w:t>上市后</w:t>
            </w:r>
            <w:r w:rsidRPr="00F814BC">
              <w:rPr>
                <w:rFonts w:eastAsia="宋体"/>
                <w:color w:val="000000"/>
                <w:sz w:val="21"/>
                <w:szCs w:val="21"/>
              </w:rPr>
              <w:t>的数据收集</w:t>
            </w:r>
          </w:p>
        </w:tc>
      </w:tr>
      <w:tr w:rsidR="00961522" w:rsidRPr="00F814BC" w14:paraId="71331948" w14:textId="77777777" w:rsidTr="0006004F">
        <w:trPr>
          <w:jc w:val="center"/>
        </w:trPr>
        <w:tc>
          <w:tcPr>
            <w:tcW w:w="15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3DE323"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1</w:t>
            </w:r>
            <w:r w:rsidRPr="00F814BC">
              <w:rPr>
                <w:rFonts w:eastAsia="宋体"/>
                <w:color w:val="000000"/>
                <w:sz w:val="21"/>
                <w:szCs w:val="21"/>
              </w:rPr>
              <w:t>：传统的不确定性</w:t>
            </w:r>
          </w:p>
        </w:tc>
        <w:tc>
          <w:tcPr>
            <w:tcW w:w="15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3F8C08"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95%</w:t>
            </w:r>
          </w:p>
        </w:tc>
        <w:tc>
          <w:tcPr>
            <w:tcW w:w="143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EBF256"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120</w:t>
            </w:r>
          </w:p>
        </w:tc>
        <w:tc>
          <w:tcPr>
            <w:tcW w:w="18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BCA882"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600</w:t>
            </w:r>
          </w:p>
        </w:tc>
        <w:tc>
          <w:tcPr>
            <w:tcW w:w="24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993FD7"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不适用</w:t>
            </w:r>
          </w:p>
        </w:tc>
      </w:tr>
      <w:tr w:rsidR="00961522" w:rsidRPr="00F814BC" w14:paraId="36F91CDF" w14:textId="77777777" w:rsidTr="0006004F">
        <w:trPr>
          <w:jc w:val="center"/>
        </w:trPr>
        <w:tc>
          <w:tcPr>
            <w:tcW w:w="15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5DDADD"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2</w:t>
            </w:r>
            <w:r w:rsidRPr="00F814BC">
              <w:rPr>
                <w:rFonts w:eastAsia="宋体"/>
                <w:color w:val="000000"/>
                <w:sz w:val="21"/>
                <w:szCs w:val="21"/>
              </w:rPr>
              <w:t>：更大的不确定性，适度的</w:t>
            </w:r>
            <w:r w:rsidR="008E38AD" w:rsidRPr="00F814BC">
              <w:rPr>
                <w:rFonts w:eastAsia="宋体"/>
                <w:color w:val="000000"/>
                <w:sz w:val="21"/>
                <w:szCs w:val="21"/>
              </w:rPr>
              <w:t>上市后</w:t>
            </w:r>
            <w:r w:rsidRPr="00F814BC">
              <w:rPr>
                <w:rFonts w:eastAsia="宋体"/>
                <w:color w:val="000000"/>
                <w:sz w:val="21"/>
                <w:szCs w:val="21"/>
              </w:rPr>
              <w:t>数据收集</w:t>
            </w:r>
          </w:p>
        </w:tc>
        <w:tc>
          <w:tcPr>
            <w:tcW w:w="15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A225EE"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90%</w:t>
            </w:r>
          </w:p>
        </w:tc>
        <w:tc>
          <w:tcPr>
            <w:tcW w:w="143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95E68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80</w:t>
            </w:r>
          </w:p>
        </w:tc>
        <w:tc>
          <w:tcPr>
            <w:tcW w:w="184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BA161F"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400</w:t>
            </w:r>
          </w:p>
        </w:tc>
        <w:tc>
          <w:tcPr>
            <w:tcW w:w="24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EF82DF"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作为批准的条件，适度的</w:t>
            </w:r>
            <w:r w:rsidR="008E38AD" w:rsidRPr="00F814BC">
              <w:rPr>
                <w:rFonts w:eastAsia="宋体"/>
                <w:color w:val="000000"/>
                <w:sz w:val="21"/>
                <w:szCs w:val="21"/>
              </w:rPr>
              <w:t>上市后</w:t>
            </w:r>
            <w:r w:rsidRPr="00F814BC">
              <w:rPr>
                <w:rFonts w:eastAsia="宋体"/>
                <w:color w:val="000000"/>
                <w:sz w:val="21"/>
                <w:szCs w:val="21"/>
              </w:rPr>
              <w:t>数据收集</w:t>
            </w:r>
          </w:p>
          <w:p w14:paraId="6F7C7628" w14:textId="77777777" w:rsidR="00545773" w:rsidRPr="00F814BC" w:rsidRDefault="00545773" w:rsidP="00640CB4">
            <w:pPr>
              <w:shd w:val="clear" w:color="auto" w:fill="FFFFFF"/>
              <w:snapToGrid w:val="0"/>
              <w:rPr>
                <w:rFonts w:eastAsia="宋体"/>
                <w:sz w:val="21"/>
                <w:szCs w:val="21"/>
              </w:rPr>
            </w:pPr>
          </w:p>
          <w:p w14:paraId="14CDD1DF"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在</w:t>
            </w:r>
            <w:r w:rsidRPr="00F814BC">
              <w:rPr>
                <w:rFonts w:eastAsia="宋体"/>
                <w:color w:val="000000"/>
                <w:sz w:val="21"/>
                <w:szCs w:val="21"/>
              </w:rPr>
              <w:t>FDA</w:t>
            </w:r>
            <w:r w:rsidRPr="00F814BC">
              <w:rPr>
                <w:rFonts w:eastAsia="宋体"/>
                <w:color w:val="000000"/>
                <w:sz w:val="21"/>
                <w:szCs w:val="21"/>
              </w:rPr>
              <w:t>的网站上标明</w:t>
            </w:r>
            <w:r w:rsidR="008E38AD" w:rsidRPr="00F814BC">
              <w:rPr>
                <w:rFonts w:eastAsia="宋体"/>
                <w:color w:val="000000"/>
                <w:sz w:val="21"/>
                <w:szCs w:val="21"/>
              </w:rPr>
              <w:t>上市后</w:t>
            </w:r>
            <w:r w:rsidRPr="00F814BC">
              <w:rPr>
                <w:rFonts w:eastAsia="宋体"/>
                <w:color w:val="000000"/>
                <w:sz w:val="21"/>
                <w:szCs w:val="21"/>
              </w:rPr>
              <w:t>的数据收集</w:t>
            </w:r>
          </w:p>
        </w:tc>
      </w:tr>
    </w:tbl>
    <w:p w14:paraId="0DD56E15" w14:textId="77777777" w:rsidR="00545773" w:rsidRPr="00F814BC" w:rsidRDefault="00545773" w:rsidP="00640CB4">
      <w:pPr>
        <w:shd w:val="clear" w:color="auto" w:fill="FFFFFF"/>
        <w:snapToGrid w:val="0"/>
        <w:jc w:val="both"/>
        <w:rPr>
          <w:rFonts w:eastAsia="宋体"/>
          <w:b/>
          <w:bCs/>
          <w:color w:val="000000"/>
          <w:sz w:val="21"/>
          <w:szCs w:val="21"/>
        </w:rPr>
      </w:pPr>
    </w:p>
    <w:p w14:paraId="4FECD1A7" w14:textId="77777777" w:rsidR="00961522" w:rsidRPr="00F814BC" w:rsidRDefault="0057162B" w:rsidP="00640CB4">
      <w:pPr>
        <w:pStyle w:val="3"/>
        <w:spacing w:before="120" w:after="120"/>
        <w:ind w:left="1276"/>
      </w:pPr>
      <w:bookmarkStart w:id="41" w:name="_Toc98748007"/>
      <w:bookmarkStart w:id="42" w:name="_Toc97482655"/>
      <w:r w:rsidRPr="00F814BC">
        <w:t>（</w:t>
      </w:r>
      <w:r w:rsidR="00CB325C" w:rsidRPr="00F814BC">
        <w:t>2</w:t>
      </w:r>
      <w:r w:rsidRPr="00F814BC">
        <w:t>）</w:t>
      </w:r>
      <w:r w:rsidR="00CB325C" w:rsidRPr="00F814BC">
        <w:tab/>
      </w:r>
      <w:r w:rsidR="00CB325C" w:rsidRPr="00F814BC">
        <w:t>用于</w:t>
      </w:r>
      <w:r w:rsidR="00E6092F" w:rsidRPr="00F814BC">
        <w:t>小规模患者人群</w:t>
      </w:r>
      <w:r w:rsidR="00CB325C" w:rsidRPr="00F814BC">
        <w:t>的器械</w:t>
      </w:r>
      <w:r w:rsidR="00CB325C" w:rsidRPr="00F814BC">
        <w:t>-PMA</w:t>
      </w:r>
      <w:bookmarkEnd w:id="41"/>
      <w:bookmarkEnd w:id="42"/>
    </w:p>
    <w:p w14:paraId="4B33CC15" w14:textId="77777777" w:rsidR="00973B28" w:rsidRDefault="00CB325C" w:rsidP="0006004F">
      <w:pPr>
        <w:shd w:val="clear" w:color="auto" w:fill="FFFFFF"/>
        <w:snapToGrid w:val="0"/>
        <w:ind w:firstLineChars="200" w:firstLine="480"/>
        <w:jc w:val="both"/>
        <w:rPr>
          <w:rFonts w:eastAsia="宋体"/>
          <w:color w:val="000000"/>
          <w:sz w:val="24"/>
          <w:szCs w:val="24"/>
        </w:rPr>
      </w:pPr>
      <w:bookmarkStart w:id="43" w:name="bookmark51"/>
      <w:bookmarkEnd w:id="43"/>
      <w:r w:rsidRPr="00F814BC">
        <w:rPr>
          <w:rFonts w:eastAsia="宋体"/>
          <w:color w:val="000000"/>
          <w:sz w:val="24"/>
          <w:szCs w:val="24"/>
        </w:rPr>
        <w:t>考虑到一种旨在治疗每年有</w:t>
      </w:r>
      <w:r w:rsidRPr="00F814BC">
        <w:rPr>
          <w:rFonts w:eastAsia="宋体"/>
          <w:color w:val="000000"/>
          <w:sz w:val="24"/>
          <w:szCs w:val="24"/>
        </w:rPr>
        <w:t>10,000</w:t>
      </w:r>
      <w:r w:rsidRPr="00F814BC">
        <w:rPr>
          <w:rFonts w:eastAsia="宋体"/>
          <w:color w:val="000000"/>
          <w:sz w:val="24"/>
          <w:szCs w:val="24"/>
        </w:rPr>
        <w:t>个新病例的疾病的器械。这种疾病相对罕见，但患者人群并不小，不足以使该器械获得</w:t>
      </w:r>
      <w:r w:rsidRPr="00F814BC">
        <w:rPr>
          <w:rFonts w:eastAsia="宋体"/>
          <w:color w:val="000000"/>
          <w:sz w:val="24"/>
          <w:szCs w:val="24"/>
        </w:rPr>
        <w:t>HDE</w:t>
      </w:r>
      <w:r w:rsidRPr="00F814BC">
        <w:rPr>
          <w:rFonts w:eastAsia="宋体"/>
          <w:color w:val="000000"/>
          <w:sz w:val="24"/>
          <w:szCs w:val="24"/>
        </w:rPr>
        <w:t>的资格。该器械没有资格被指定为突破性器械，因为该疾病没有威胁到生命或不可逆转的衰弱。</w:t>
      </w:r>
      <w:r w:rsidR="003F06E2" w:rsidRPr="00F814BC">
        <w:rPr>
          <w:rFonts w:eastAsia="宋体" w:hint="eastAsia"/>
          <w:color w:val="000000"/>
          <w:sz w:val="24"/>
          <w:szCs w:val="24"/>
        </w:rPr>
        <w:t>然而，</w:t>
      </w:r>
      <w:r w:rsidRPr="00F814BC">
        <w:rPr>
          <w:rFonts w:eastAsia="宋体"/>
          <w:color w:val="000000"/>
          <w:sz w:val="24"/>
          <w:szCs w:val="24"/>
        </w:rPr>
        <w:t>所指出的疾病是严重的，而且没有可供选择的治疗方法。考虑到现有治疗方案的缺乏、器械对患者人群的潜在获益、疾病的罕见性等因素，以及相关的非临床和</w:t>
      </w:r>
      <w:r w:rsidRPr="00F814BC">
        <w:rPr>
          <w:rFonts w:eastAsia="宋体"/>
          <w:color w:val="000000"/>
          <w:sz w:val="24"/>
          <w:szCs w:val="24"/>
        </w:rPr>
        <w:t>/</w:t>
      </w:r>
      <w:r w:rsidRPr="00F814BC">
        <w:rPr>
          <w:rFonts w:eastAsia="宋体"/>
          <w:color w:val="000000"/>
          <w:sz w:val="24"/>
          <w:szCs w:val="24"/>
        </w:rPr>
        <w:t>或临床信息，如下文案例</w:t>
      </w:r>
      <w:r w:rsidRPr="00F814BC">
        <w:rPr>
          <w:rFonts w:eastAsia="宋体"/>
          <w:color w:val="000000"/>
          <w:sz w:val="24"/>
          <w:szCs w:val="24"/>
        </w:rPr>
        <w:t>2</w:t>
      </w:r>
      <w:r w:rsidRPr="00F814BC">
        <w:rPr>
          <w:rFonts w:eastAsia="宋体"/>
          <w:color w:val="000000"/>
          <w:sz w:val="24"/>
          <w:szCs w:val="24"/>
        </w:rPr>
        <w:t>和案例</w:t>
      </w:r>
      <w:r w:rsidRPr="00F814BC">
        <w:rPr>
          <w:rFonts w:eastAsia="宋体"/>
          <w:color w:val="000000"/>
          <w:sz w:val="24"/>
          <w:szCs w:val="24"/>
        </w:rPr>
        <w:t>3</w:t>
      </w:r>
      <w:r w:rsidRPr="00F814BC">
        <w:rPr>
          <w:rFonts w:eastAsia="宋体"/>
          <w:color w:val="000000"/>
          <w:sz w:val="24"/>
          <w:szCs w:val="24"/>
        </w:rPr>
        <w:t>所讨论的那样，更大范围的不确定性可能是合适的，只要根据这种不确定性进行适当的上市后数据收集，以及其他适当的上市后控制。</w:t>
      </w:r>
    </w:p>
    <w:p w14:paraId="1D29285C" w14:textId="77777777" w:rsidR="00973B28" w:rsidRDefault="00973B28" w:rsidP="0006004F">
      <w:pPr>
        <w:shd w:val="clear" w:color="auto" w:fill="FFFFFF"/>
        <w:snapToGrid w:val="0"/>
        <w:ind w:firstLineChars="200" w:firstLine="480"/>
        <w:jc w:val="both"/>
        <w:rPr>
          <w:rFonts w:eastAsia="宋体"/>
          <w:sz w:val="24"/>
          <w:szCs w:val="24"/>
        </w:rPr>
      </w:pPr>
    </w:p>
    <w:p w14:paraId="4EFE0605"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假设</w:t>
      </w:r>
      <w:r w:rsidRPr="00F814BC">
        <w:rPr>
          <w:rFonts w:eastAsia="宋体"/>
          <w:color w:val="000000"/>
          <w:sz w:val="24"/>
          <w:szCs w:val="24"/>
        </w:rPr>
        <w:t>FDA</w:t>
      </w:r>
      <w:r w:rsidRPr="00F814BC">
        <w:rPr>
          <w:rFonts w:eastAsia="宋体"/>
          <w:color w:val="000000"/>
          <w:sz w:val="24"/>
          <w:szCs w:val="24"/>
        </w:rPr>
        <w:t>考虑了该器械对该</w:t>
      </w:r>
      <w:r w:rsidR="00932C0C">
        <w:rPr>
          <w:rFonts w:eastAsia="宋体"/>
          <w:color w:val="000000"/>
          <w:sz w:val="24"/>
          <w:szCs w:val="24"/>
        </w:rPr>
        <w:t>适应证</w:t>
      </w:r>
      <w:r w:rsidRPr="00F814BC">
        <w:rPr>
          <w:rFonts w:eastAsia="宋体"/>
          <w:color w:val="000000"/>
          <w:sz w:val="24"/>
          <w:szCs w:val="24"/>
        </w:rPr>
        <w:t>的</w:t>
      </w:r>
      <w:r w:rsidR="003F06E2" w:rsidRPr="00F814BC">
        <w:rPr>
          <w:rFonts w:eastAsia="宋体" w:hint="eastAsia"/>
          <w:color w:val="000000"/>
          <w:sz w:val="24"/>
          <w:szCs w:val="24"/>
        </w:rPr>
        <w:t>获益</w:t>
      </w:r>
      <w:r w:rsidRPr="00F814BC">
        <w:rPr>
          <w:rFonts w:eastAsia="宋体"/>
          <w:color w:val="000000"/>
          <w:sz w:val="24"/>
          <w:szCs w:val="24"/>
        </w:rPr>
        <w:t>风险因素以及相关的非临床和</w:t>
      </w:r>
      <w:r w:rsidRPr="00F814BC">
        <w:rPr>
          <w:rFonts w:eastAsia="宋体"/>
          <w:color w:val="000000"/>
          <w:sz w:val="24"/>
          <w:szCs w:val="24"/>
        </w:rPr>
        <w:t>/</w:t>
      </w:r>
      <w:r w:rsidRPr="00F814BC">
        <w:rPr>
          <w:rFonts w:eastAsia="宋体"/>
          <w:color w:val="000000"/>
          <w:sz w:val="24"/>
          <w:szCs w:val="24"/>
        </w:rPr>
        <w:t>或临床信息，并确定</w:t>
      </w:r>
      <w:r w:rsidRPr="00F814BC">
        <w:rPr>
          <w:rFonts w:eastAsia="宋体"/>
          <w:color w:val="000000"/>
          <w:sz w:val="24"/>
          <w:szCs w:val="24"/>
        </w:rPr>
        <w:t>60%</w:t>
      </w:r>
      <w:r w:rsidRPr="00F814BC">
        <w:rPr>
          <w:rFonts w:eastAsia="宋体"/>
          <w:color w:val="000000"/>
          <w:sz w:val="24"/>
          <w:szCs w:val="24"/>
        </w:rPr>
        <w:t>的治疗患者获得治疗成功的绩效目标是可以接受的。假设本案例的申报上市前临床研究是一项单臂研究。如果成功率估计的</w:t>
      </w:r>
      <w:r w:rsidR="00E6092F" w:rsidRPr="00F814BC">
        <w:rPr>
          <w:rFonts w:eastAsia="宋体"/>
          <w:color w:val="000000"/>
          <w:sz w:val="24"/>
          <w:szCs w:val="24"/>
        </w:rPr>
        <w:t>置信水平</w:t>
      </w:r>
      <w:r w:rsidRPr="00F814BC">
        <w:rPr>
          <w:rFonts w:eastAsia="宋体"/>
          <w:color w:val="000000"/>
          <w:sz w:val="24"/>
          <w:szCs w:val="24"/>
        </w:rPr>
        <w:t>下限大于</w:t>
      </w:r>
      <w:r w:rsidRPr="00F814BC">
        <w:rPr>
          <w:rFonts w:eastAsia="宋体"/>
          <w:color w:val="000000"/>
          <w:sz w:val="24"/>
          <w:szCs w:val="24"/>
        </w:rPr>
        <w:t>60%</w:t>
      </w:r>
      <w:r w:rsidRPr="00F814BC">
        <w:rPr>
          <w:rFonts w:eastAsia="宋体"/>
          <w:color w:val="000000"/>
          <w:sz w:val="24"/>
          <w:szCs w:val="24"/>
        </w:rPr>
        <w:t>，则达到终点。以下三个案例说明，在实施适当的上市后控制（包括上市后数据收集）的情况下，上市前临床研究的样品量可能存在差异，其</w:t>
      </w:r>
      <w:r w:rsidR="00881EA3" w:rsidRPr="0006004F">
        <w:rPr>
          <w:rFonts w:ascii="宋体" w:hAnsi="宋体" w:hint="eastAsia"/>
          <w:color w:val="000000"/>
          <w:sz w:val="24"/>
        </w:rPr>
        <w:t>中</w:t>
      </w:r>
      <w:r w:rsidRPr="00F814BC">
        <w:rPr>
          <w:rFonts w:ascii="宋体" w:eastAsia="宋体" w:hAnsi="宋体"/>
          <w:color w:val="000000"/>
          <w:sz w:val="24"/>
          <w:szCs w:val="24"/>
        </w:rPr>
        <w:t>“</w:t>
      </w:r>
      <w:r w:rsidR="003F06E2" w:rsidRPr="00F814BC">
        <w:rPr>
          <w:rFonts w:ascii="宋体" w:eastAsia="宋体" w:hAnsi="宋体" w:hint="eastAsia"/>
          <w:color w:val="000000"/>
          <w:sz w:val="24"/>
          <w:szCs w:val="24"/>
        </w:rPr>
        <w:t>传统”</w:t>
      </w:r>
      <w:r w:rsidRPr="00F814BC">
        <w:rPr>
          <w:rFonts w:eastAsia="宋体"/>
          <w:color w:val="000000"/>
          <w:sz w:val="24"/>
          <w:szCs w:val="24"/>
        </w:rPr>
        <w:t>的、适度的、高度的不确定性</w:t>
      </w:r>
      <w:r w:rsidRPr="00F814BC">
        <w:rPr>
          <w:rFonts w:eastAsia="宋体"/>
          <w:color w:val="000000"/>
          <w:sz w:val="24"/>
          <w:szCs w:val="24"/>
        </w:rPr>
        <w:t>-</w:t>
      </w:r>
      <w:r w:rsidRPr="00F814BC">
        <w:rPr>
          <w:rFonts w:eastAsia="宋体"/>
          <w:color w:val="000000"/>
          <w:sz w:val="24"/>
          <w:szCs w:val="24"/>
        </w:rPr>
        <w:t>这反映在研究的</w:t>
      </w:r>
      <w:r w:rsidR="002636D6">
        <w:rPr>
          <w:rFonts w:eastAsia="宋体"/>
          <w:color w:val="000000"/>
          <w:sz w:val="24"/>
          <w:szCs w:val="24"/>
        </w:rPr>
        <w:t>单侧</w:t>
      </w:r>
      <w:r w:rsidRPr="00F814BC">
        <w:rPr>
          <w:rFonts w:eastAsia="宋体"/>
          <w:color w:val="000000"/>
          <w:sz w:val="24"/>
          <w:szCs w:val="24"/>
        </w:rPr>
        <w:t>显著性水平上</w:t>
      </w:r>
      <w:r w:rsidRPr="00F814BC">
        <w:rPr>
          <w:rFonts w:eastAsia="宋体"/>
          <w:color w:val="000000"/>
          <w:sz w:val="24"/>
          <w:szCs w:val="24"/>
        </w:rPr>
        <w:t>-</w:t>
      </w:r>
      <w:r w:rsidRPr="00F814BC">
        <w:rPr>
          <w:rFonts w:eastAsia="宋体"/>
          <w:color w:val="000000"/>
          <w:sz w:val="24"/>
          <w:szCs w:val="24"/>
        </w:rPr>
        <w:t>在这种情况下是合适的。</w:t>
      </w:r>
    </w:p>
    <w:p w14:paraId="0239DB4A" w14:textId="77777777" w:rsidR="00961522" w:rsidRPr="00F814BC" w:rsidRDefault="00961522" w:rsidP="00640CB4">
      <w:pPr>
        <w:shd w:val="clear" w:color="auto" w:fill="FFFFFF"/>
        <w:snapToGrid w:val="0"/>
        <w:jc w:val="both"/>
        <w:rPr>
          <w:rFonts w:eastAsia="宋体"/>
          <w:sz w:val="24"/>
          <w:szCs w:val="24"/>
        </w:rPr>
      </w:pPr>
    </w:p>
    <w:p w14:paraId="009E67D3" w14:textId="77777777" w:rsidR="00961522" w:rsidRPr="00F814BC" w:rsidRDefault="00961522" w:rsidP="00640CB4">
      <w:pPr>
        <w:shd w:val="clear" w:color="auto" w:fill="FFFFFF"/>
        <w:snapToGrid w:val="0"/>
        <w:jc w:val="both"/>
        <w:rPr>
          <w:rFonts w:eastAsia="宋体"/>
          <w:sz w:val="24"/>
          <w:szCs w:val="24"/>
        </w:rPr>
      </w:pPr>
    </w:p>
    <w:p w14:paraId="5801B723" w14:textId="77777777" w:rsidR="00545773" w:rsidRPr="00F814BC" w:rsidRDefault="00545773" w:rsidP="00640CB4">
      <w:pPr>
        <w:shd w:val="clear" w:color="auto" w:fill="FFFFFF"/>
        <w:snapToGrid w:val="0"/>
        <w:jc w:val="both"/>
        <w:rPr>
          <w:rFonts w:eastAsia="宋体"/>
          <w:sz w:val="24"/>
          <w:szCs w:val="24"/>
        </w:rPr>
        <w:sectPr w:rsidR="00545773" w:rsidRPr="00F814BC" w:rsidSect="0006004F">
          <w:pgSz w:w="11906" w:h="16838" w:code="9"/>
          <w:pgMar w:top="1134" w:right="1134" w:bottom="1134" w:left="1418" w:header="567" w:footer="567" w:gutter="0"/>
          <w:cols w:space="60"/>
          <w:noEndnote/>
          <w:docGrid w:linePitch="272"/>
        </w:sectPr>
      </w:pPr>
    </w:p>
    <w:p w14:paraId="54DB8E01" w14:textId="77777777" w:rsidR="00961522" w:rsidRPr="00F814BC" w:rsidRDefault="00CB325C" w:rsidP="00640CB4">
      <w:pPr>
        <w:shd w:val="clear" w:color="auto" w:fill="FFFFFF"/>
        <w:snapToGrid w:val="0"/>
        <w:jc w:val="both"/>
        <w:rPr>
          <w:rFonts w:eastAsia="宋体"/>
          <w:i/>
          <w:iCs/>
          <w:color w:val="000000"/>
          <w:sz w:val="24"/>
          <w:szCs w:val="24"/>
        </w:rPr>
      </w:pPr>
      <w:r w:rsidRPr="00F814BC">
        <w:rPr>
          <w:rFonts w:eastAsia="宋体"/>
          <w:i/>
          <w:iCs/>
          <w:color w:val="000000"/>
          <w:sz w:val="24"/>
          <w:szCs w:val="24"/>
        </w:rPr>
        <w:lastRenderedPageBreak/>
        <w:t>案例</w:t>
      </w:r>
      <w:r w:rsidRPr="00F814BC">
        <w:rPr>
          <w:rFonts w:eastAsia="宋体"/>
          <w:i/>
          <w:iCs/>
          <w:color w:val="000000"/>
          <w:sz w:val="24"/>
          <w:szCs w:val="24"/>
        </w:rPr>
        <w:t>1</w:t>
      </w:r>
      <w:r w:rsidRPr="00F814BC">
        <w:rPr>
          <w:rFonts w:eastAsia="宋体"/>
          <w:i/>
          <w:iCs/>
          <w:color w:val="000000"/>
          <w:sz w:val="24"/>
          <w:szCs w:val="24"/>
        </w:rPr>
        <w:t>：传统的不确定性</w:t>
      </w:r>
    </w:p>
    <w:p w14:paraId="05E3905D" w14:textId="77777777" w:rsidR="00973B28" w:rsidRDefault="00973B28" w:rsidP="0006004F">
      <w:pPr>
        <w:shd w:val="clear" w:color="auto" w:fill="FFFFFF"/>
        <w:snapToGrid w:val="0"/>
        <w:ind w:firstLineChars="200" w:firstLine="480"/>
        <w:jc w:val="both"/>
        <w:rPr>
          <w:rFonts w:eastAsia="宋体"/>
          <w:sz w:val="24"/>
          <w:szCs w:val="24"/>
        </w:rPr>
      </w:pPr>
    </w:p>
    <w:p w14:paraId="0625E4A7"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在这种情况下，根据第</w:t>
      </w:r>
      <w:r w:rsidR="00A04B07" w:rsidRPr="00F814BC">
        <w:rPr>
          <w:rFonts w:eastAsia="宋体" w:hint="eastAsia"/>
          <w:color w:val="000000"/>
          <w:sz w:val="24"/>
          <w:szCs w:val="24"/>
        </w:rPr>
        <w:t>IV</w:t>
      </w:r>
      <w:r w:rsidR="00A04B07" w:rsidRPr="00F814BC">
        <w:rPr>
          <w:rFonts w:eastAsia="宋体" w:hint="eastAsia"/>
          <w:color w:val="000000"/>
          <w:sz w:val="24"/>
          <w:szCs w:val="24"/>
        </w:rPr>
        <w:t>节</w:t>
      </w:r>
      <w:r w:rsidRPr="00F814BC">
        <w:rPr>
          <w:rFonts w:eastAsia="宋体"/>
          <w:color w:val="000000"/>
          <w:sz w:val="24"/>
          <w:szCs w:val="24"/>
        </w:rPr>
        <w:t>的考虑和其他相关信息，</w:t>
      </w:r>
      <w:r w:rsidRPr="00F814BC">
        <w:rPr>
          <w:rFonts w:eastAsia="宋体"/>
          <w:color w:val="000000"/>
          <w:sz w:val="24"/>
          <w:szCs w:val="24"/>
        </w:rPr>
        <w:t>FDA</w:t>
      </w:r>
      <w:r w:rsidRPr="00F814BC">
        <w:rPr>
          <w:rFonts w:eastAsia="宋体"/>
          <w:color w:val="000000"/>
          <w:sz w:val="24"/>
          <w:szCs w:val="24"/>
        </w:rPr>
        <w:t>确定</w:t>
      </w:r>
      <w:r w:rsidR="002636D6">
        <w:rPr>
          <w:rFonts w:eastAsia="宋体"/>
          <w:color w:val="000000"/>
          <w:sz w:val="24"/>
          <w:szCs w:val="24"/>
        </w:rPr>
        <w:t>单侧</w:t>
      </w:r>
      <w:r w:rsidRPr="00F814BC">
        <w:rPr>
          <w:rFonts w:eastAsia="宋体"/>
          <w:color w:val="000000"/>
          <w:sz w:val="24"/>
          <w:szCs w:val="24"/>
        </w:rPr>
        <w:t>显著性水平应该是</w:t>
      </w:r>
      <w:r w:rsidRPr="00F814BC">
        <w:rPr>
          <w:rFonts w:eastAsia="宋体"/>
          <w:color w:val="000000"/>
          <w:sz w:val="24"/>
          <w:szCs w:val="24"/>
        </w:rPr>
        <w:t>2.5%</w:t>
      </w:r>
      <w:r w:rsidRPr="00F814BC">
        <w:rPr>
          <w:rFonts w:eastAsia="宋体"/>
          <w:color w:val="000000"/>
          <w:sz w:val="24"/>
          <w:szCs w:val="24"/>
        </w:rPr>
        <w:t>。如果观察到的成功率是</w:t>
      </w:r>
      <w:r w:rsidRPr="00F814BC">
        <w:rPr>
          <w:rFonts w:eastAsia="宋体"/>
          <w:color w:val="000000"/>
          <w:sz w:val="24"/>
          <w:szCs w:val="24"/>
        </w:rPr>
        <w:t>66%</w:t>
      </w:r>
      <w:r w:rsidRPr="00F814BC">
        <w:rPr>
          <w:rFonts w:eastAsia="宋体"/>
          <w:color w:val="000000"/>
          <w:sz w:val="24"/>
          <w:szCs w:val="24"/>
        </w:rPr>
        <w:t>，那么</w:t>
      </w:r>
      <w:r w:rsidR="005D7A68">
        <w:rPr>
          <w:rFonts w:eastAsia="宋体"/>
          <w:color w:val="000000"/>
          <w:sz w:val="24"/>
          <w:szCs w:val="24"/>
        </w:rPr>
        <w:t>申办方</w:t>
      </w:r>
      <w:r w:rsidRPr="00F814BC">
        <w:rPr>
          <w:rFonts w:eastAsia="宋体"/>
          <w:color w:val="000000"/>
          <w:sz w:val="24"/>
          <w:szCs w:val="24"/>
        </w:rPr>
        <w:t>需要</w:t>
      </w:r>
      <w:r w:rsidRPr="00F814BC">
        <w:rPr>
          <w:rFonts w:eastAsia="宋体"/>
          <w:b/>
          <w:bCs/>
          <w:color w:val="000000"/>
          <w:sz w:val="24"/>
          <w:szCs w:val="24"/>
        </w:rPr>
        <w:t>274</w:t>
      </w:r>
      <w:r w:rsidRPr="00F814BC">
        <w:rPr>
          <w:rFonts w:eastAsia="宋体"/>
          <w:b/>
          <w:bCs/>
          <w:color w:val="000000"/>
          <w:sz w:val="24"/>
          <w:szCs w:val="24"/>
        </w:rPr>
        <w:t>名</w:t>
      </w:r>
      <w:r w:rsidRPr="00F814BC">
        <w:rPr>
          <w:rFonts w:eastAsia="宋体"/>
          <w:color w:val="000000"/>
          <w:sz w:val="24"/>
          <w:szCs w:val="24"/>
        </w:rPr>
        <w:t>患者的样品量，才能有</w:t>
      </w:r>
      <w:r w:rsidRPr="00F814BC">
        <w:rPr>
          <w:rFonts w:eastAsia="宋体"/>
          <w:color w:val="000000"/>
          <w:sz w:val="24"/>
          <w:szCs w:val="24"/>
        </w:rPr>
        <w:t>97.5%</w:t>
      </w:r>
      <w:r w:rsidRPr="00F814BC">
        <w:rPr>
          <w:rFonts w:eastAsia="宋体"/>
          <w:color w:val="000000"/>
          <w:sz w:val="24"/>
          <w:szCs w:val="24"/>
        </w:rPr>
        <w:t>的把握认为成功患者的比例大于</w:t>
      </w:r>
      <w:r w:rsidRPr="00F814BC">
        <w:rPr>
          <w:rFonts w:eastAsia="宋体"/>
          <w:color w:val="000000"/>
          <w:sz w:val="24"/>
          <w:szCs w:val="24"/>
        </w:rPr>
        <w:t>60%</w:t>
      </w:r>
      <w:r w:rsidRPr="00F814BC">
        <w:rPr>
          <w:rFonts w:eastAsia="宋体"/>
          <w:color w:val="000000"/>
          <w:sz w:val="24"/>
          <w:szCs w:val="24"/>
          <w:vertAlign w:val="superscript"/>
        </w:rPr>
        <w:t>†</w:t>
      </w:r>
      <w:r w:rsidRPr="00F814BC">
        <w:rPr>
          <w:rFonts w:eastAsia="宋体"/>
          <w:color w:val="000000"/>
          <w:sz w:val="24"/>
          <w:szCs w:val="24"/>
        </w:rPr>
        <w:t>。</w:t>
      </w:r>
    </w:p>
    <w:p w14:paraId="76C19C3A" w14:textId="77777777" w:rsidR="00973B28" w:rsidRDefault="00973B28" w:rsidP="0006004F">
      <w:pPr>
        <w:shd w:val="clear" w:color="auto" w:fill="FFFFFF"/>
        <w:snapToGrid w:val="0"/>
        <w:ind w:firstLineChars="200" w:firstLine="480"/>
        <w:jc w:val="both"/>
        <w:rPr>
          <w:rFonts w:eastAsia="宋体"/>
          <w:i/>
          <w:iCs/>
          <w:color w:val="000000"/>
          <w:sz w:val="24"/>
          <w:szCs w:val="24"/>
        </w:rPr>
      </w:pPr>
    </w:p>
    <w:p w14:paraId="7C935ACC" w14:textId="77777777" w:rsidR="00961522" w:rsidRPr="00F814BC" w:rsidRDefault="00CB325C" w:rsidP="00846E47">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2</w:t>
      </w:r>
      <w:r w:rsidRPr="00F814BC">
        <w:rPr>
          <w:rFonts w:eastAsia="宋体"/>
          <w:i/>
          <w:iCs/>
          <w:color w:val="000000"/>
          <w:sz w:val="24"/>
          <w:szCs w:val="24"/>
        </w:rPr>
        <w:t>：适度的不确定性，适度的</w:t>
      </w:r>
      <w:r w:rsidR="008E38AD" w:rsidRPr="00F814BC">
        <w:rPr>
          <w:rFonts w:eastAsia="宋体"/>
          <w:i/>
          <w:iCs/>
          <w:color w:val="000000"/>
          <w:sz w:val="24"/>
          <w:szCs w:val="24"/>
        </w:rPr>
        <w:t>上市后</w:t>
      </w:r>
      <w:r w:rsidRPr="00F814BC">
        <w:rPr>
          <w:rFonts w:eastAsia="宋体"/>
          <w:i/>
          <w:iCs/>
          <w:color w:val="000000"/>
          <w:sz w:val="24"/>
          <w:szCs w:val="24"/>
        </w:rPr>
        <w:t>数据收集</w:t>
      </w:r>
    </w:p>
    <w:p w14:paraId="3C0F3C85" w14:textId="77777777" w:rsidR="00973B28" w:rsidRDefault="00973B28" w:rsidP="0006004F">
      <w:pPr>
        <w:shd w:val="clear" w:color="auto" w:fill="FFFFFF"/>
        <w:snapToGrid w:val="0"/>
        <w:ind w:firstLineChars="200" w:firstLine="480"/>
        <w:jc w:val="both"/>
        <w:rPr>
          <w:rFonts w:eastAsia="宋体"/>
          <w:sz w:val="24"/>
          <w:szCs w:val="24"/>
        </w:rPr>
      </w:pPr>
    </w:p>
    <w:p w14:paraId="2F919043"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基于相关的考虑（例如，除其他事项外，患者招募将具有挑战性，传统的上市前研究似乎不可行），</w:t>
      </w:r>
      <w:r w:rsidRPr="00F814BC">
        <w:rPr>
          <w:rFonts w:eastAsia="宋体"/>
          <w:color w:val="000000"/>
          <w:sz w:val="24"/>
          <w:szCs w:val="24"/>
        </w:rPr>
        <w:t>FDA</w:t>
      </w:r>
      <w:r w:rsidRPr="00F814BC">
        <w:rPr>
          <w:rFonts w:eastAsia="宋体"/>
          <w:color w:val="000000"/>
          <w:sz w:val="24"/>
          <w:szCs w:val="24"/>
        </w:rPr>
        <w:t>反而确定适度的不确定性是适当的，只要根据这种不确定性进行适度的上市后数据收集。对于这种情况，假设基本事实是这样的：</w:t>
      </w:r>
      <w:r w:rsidR="002636D6">
        <w:rPr>
          <w:rFonts w:eastAsia="宋体"/>
          <w:color w:val="000000"/>
          <w:sz w:val="24"/>
          <w:szCs w:val="24"/>
        </w:rPr>
        <w:t>单侧</w:t>
      </w:r>
      <w:r w:rsidRPr="00F814BC">
        <w:rPr>
          <w:rFonts w:eastAsia="宋体"/>
          <w:color w:val="000000"/>
          <w:sz w:val="24"/>
          <w:szCs w:val="24"/>
        </w:rPr>
        <w:t>显著性水平可能是</w:t>
      </w:r>
      <w:r w:rsidRPr="00F814BC">
        <w:rPr>
          <w:rFonts w:eastAsia="宋体"/>
          <w:color w:val="000000"/>
          <w:sz w:val="24"/>
          <w:szCs w:val="24"/>
        </w:rPr>
        <w:t>10%</w:t>
      </w:r>
      <w:r w:rsidRPr="00F814BC">
        <w:rPr>
          <w:rFonts w:eastAsia="宋体"/>
          <w:color w:val="000000"/>
          <w:sz w:val="24"/>
          <w:szCs w:val="24"/>
        </w:rPr>
        <w:t>。如果观察到的成功率同样为</w:t>
      </w:r>
      <w:r w:rsidRPr="00F814BC">
        <w:rPr>
          <w:rFonts w:eastAsia="宋体"/>
          <w:color w:val="000000"/>
          <w:sz w:val="24"/>
          <w:szCs w:val="24"/>
        </w:rPr>
        <w:t>66%</w:t>
      </w:r>
      <w:r w:rsidRPr="00F814BC">
        <w:rPr>
          <w:rFonts w:eastAsia="宋体"/>
          <w:color w:val="000000"/>
          <w:sz w:val="24"/>
          <w:szCs w:val="24"/>
        </w:rPr>
        <w:t>，那么</w:t>
      </w:r>
      <w:r w:rsidR="005D7A68">
        <w:rPr>
          <w:rFonts w:eastAsia="宋体"/>
          <w:color w:val="000000"/>
          <w:sz w:val="24"/>
          <w:szCs w:val="24"/>
        </w:rPr>
        <w:t>申办方</w:t>
      </w:r>
      <w:r w:rsidRPr="00F814BC">
        <w:rPr>
          <w:rFonts w:eastAsia="宋体"/>
          <w:color w:val="000000"/>
          <w:sz w:val="24"/>
          <w:szCs w:val="24"/>
        </w:rPr>
        <w:t>只需要</w:t>
      </w:r>
      <w:r w:rsidRPr="00F814BC">
        <w:rPr>
          <w:rFonts w:eastAsia="宋体"/>
          <w:b/>
          <w:bCs/>
          <w:color w:val="000000"/>
          <w:sz w:val="24"/>
          <w:szCs w:val="24"/>
        </w:rPr>
        <w:t>128</w:t>
      </w:r>
      <w:r w:rsidRPr="00F814BC">
        <w:rPr>
          <w:rFonts w:eastAsia="宋体"/>
          <w:b/>
          <w:bCs/>
          <w:color w:val="000000"/>
          <w:sz w:val="24"/>
          <w:szCs w:val="24"/>
        </w:rPr>
        <w:t>名</w:t>
      </w:r>
      <w:r w:rsidRPr="00F814BC">
        <w:rPr>
          <w:rFonts w:eastAsia="宋体"/>
          <w:color w:val="000000"/>
          <w:sz w:val="24"/>
          <w:szCs w:val="24"/>
        </w:rPr>
        <w:t>患者的样品量，就可以有</w:t>
      </w:r>
      <w:r w:rsidRPr="00F814BC">
        <w:rPr>
          <w:rFonts w:eastAsia="宋体"/>
          <w:color w:val="000000"/>
          <w:sz w:val="24"/>
          <w:szCs w:val="24"/>
        </w:rPr>
        <w:t>90%</w:t>
      </w:r>
      <w:r w:rsidRPr="00F814BC">
        <w:rPr>
          <w:rFonts w:eastAsia="宋体"/>
          <w:color w:val="000000"/>
          <w:sz w:val="24"/>
          <w:szCs w:val="24"/>
        </w:rPr>
        <w:t>的把握认为成功率高于</w:t>
      </w:r>
      <w:r w:rsidRPr="00F814BC">
        <w:rPr>
          <w:rFonts w:eastAsia="宋体"/>
          <w:color w:val="000000"/>
          <w:sz w:val="24"/>
          <w:szCs w:val="24"/>
        </w:rPr>
        <w:t>60%</w:t>
      </w:r>
      <w:r w:rsidRPr="00F814BC">
        <w:rPr>
          <w:rFonts w:eastAsia="宋体"/>
          <w:color w:val="000000"/>
          <w:sz w:val="24"/>
          <w:szCs w:val="24"/>
          <w:vertAlign w:val="superscript"/>
        </w:rPr>
        <w:t>†</w:t>
      </w:r>
      <w:r w:rsidRPr="00F814BC">
        <w:rPr>
          <w:rFonts w:eastAsia="宋体"/>
          <w:color w:val="000000"/>
          <w:sz w:val="24"/>
          <w:szCs w:val="24"/>
        </w:rPr>
        <w:t>。如果</w:t>
      </w:r>
      <w:r w:rsidR="005D7A68">
        <w:rPr>
          <w:rFonts w:eastAsia="宋体"/>
          <w:color w:val="000000"/>
          <w:sz w:val="24"/>
          <w:szCs w:val="24"/>
        </w:rPr>
        <w:t>申办方</w:t>
      </w:r>
      <w:r w:rsidRPr="00F814BC">
        <w:rPr>
          <w:rFonts w:eastAsia="宋体"/>
          <w:color w:val="000000"/>
          <w:sz w:val="24"/>
          <w:szCs w:val="24"/>
        </w:rPr>
        <w:t>选择进行这项研究，并且上市前证据符合性能目标，</w:t>
      </w:r>
      <w:r w:rsidRPr="00F814BC">
        <w:rPr>
          <w:rFonts w:eastAsia="宋体"/>
          <w:color w:val="000000"/>
          <w:sz w:val="24"/>
          <w:szCs w:val="24"/>
        </w:rPr>
        <w:t>FDA</w:t>
      </w:r>
      <w:r w:rsidRPr="00F814BC">
        <w:rPr>
          <w:rFonts w:eastAsia="宋体"/>
          <w:color w:val="000000"/>
          <w:sz w:val="24"/>
          <w:szCs w:val="24"/>
        </w:rPr>
        <w:t>将要求进行相对</w:t>
      </w:r>
      <w:r w:rsidR="00A04B07" w:rsidRPr="00F814BC">
        <w:rPr>
          <w:rFonts w:eastAsia="宋体" w:hint="eastAsia"/>
          <w:color w:val="000000"/>
          <w:sz w:val="24"/>
          <w:szCs w:val="24"/>
        </w:rPr>
        <w:t>适度</w:t>
      </w:r>
      <w:r w:rsidRPr="00F814BC">
        <w:rPr>
          <w:rFonts w:eastAsia="宋体"/>
          <w:color w:val="000000"/>
          <w:sz w:val="24"/>
          <w:szCs w:val="24"/>
        </w:rPr>
        <w:t>的上市后研究，作为批准的条件，并在我们的网站上标明上市后研究。</w:t>
      </w:r>
    </w:p>
    <w:p w14:paraId="7E581AED" w14:textId="77777777" w:rsidR="00973B28" w:rsidRDefault="00973B28" w:rsidP="0006004F">
      <w:pPr>
        <w:shd w:val="clear" w:color="auto" w:fill="FFFFFF"/>
        <w:snapToGrid w:val="0"/>
        <w:ind w:firstLineChars="200" w:firstLine="480"/>
        <w:jc w:val="both"/>
        <w:rPr>
          <w:rFonts w:eastAsia="宋体"/>
          <w:i/>
          <w:iCs/>
          <w:color w:val="000000"/>
          <w:sz w:val="24"/>
          <w:szCs w:val="24"/>
        </w:rPr>
      </w:pPr>
    </w:p>
    <w:p w14:paraId="150DE5F8" w14:textId="77777777" w:rsidR="00961522" w:rsidRPr="00F814BC" w:rsidRDefault="00CB325C" w:rsidP="00640CB4">
      <w:pPr>
        <w:shd w:val="clear" w:color="auto" w:fill="FFFFFF"/>
        <w:snapToGrid w:val="0"/>
        <w:jc w:val="both"/>
        <w:rPr>
          <w:rFonts w:eastAsia="宋体"/>
          <w:i/>
          <w:iCs/>
          <w:color w:val="000000"/>
          <w:sz w:val="24"/>
          <w:szCs w:val="24"/>
        </w:rPr>
      </w:pPr>
      <w:r w:rsidRPr="00F814BC">
        <w:rPr>
          <w:rFonts w:eastAsia="宋体"/>
          <w:i/>
          <w:iCs/>
          <w:color w:val="000000"/>
          <w:sz w:val="24"/>
          <w:szCs w:val="24"/>
        </w:rPr>
        <w:t>案例</w:t>
      </w:r>
      <w:r w:rsidRPr="00F814BC">
        <w:rPr>
          <w:rFonts w:eastAsia="宋体"/>
          <w:i/>
          <w:iCs/>
          <w:color w:val="000000"/>
          <w:sz w:val="24"/>
          <w:szCs w:val="24"/>
        </w:rPr>
        <w:t>3</w:t>
      </w:r>
      <w:r w:rsidRPr="00F814BC">
        <w:rPr>
          <w:rFonts w:eastAsia="宋体"/>
          <w:i/>
          <w:iCs/>
          <w:color w:val="000000"/>
          <w:sz w:val="24"/>
          <w:szCs w:val="24"/>
        </w:rPr>
        <w:t>：</w:t>
      </w:r>
      <w:r w:rsidR="00BE1CB6" w:rsidRPr="00F814BC">
        <w:rPr>
          <w:rFonts w:eastAsia="宋体"/>
          <w:i/>
          <w:iCs/>
          <w:color w:val="000000"/>
          <w:sz w:val="24"/>
          <w:szCs w:val="24"/>
        </w:rPr>
        <w:t>高度不确定性</w:t>
      </w:r>
      <w:r w:rsidRPr="00F814BC">
        <w:rPr>
          <w:rFonts w:eastAsia="宋体"/>
          <w:i/>
          <w:iCs/>
          <w:color w:val="000000"/>
          <w:sz w:val="24"/>
          <w:szCs w:val="24"/>
        </w:rPr>
        <w:t>，大量的</w:t>
      </w:r>
      <w:r w:rsidR="008E38AD" w:rsidRPr="00F814BC">
        <w:rPr>
          <w:rFonts w:eastAsia="宋体"/>
          <w:i/>
          <w:iCs/>
          <w:color w:val="000000"/>
          <w:sz w:val="24"/>
          <w:szCs w:val="24"/>
        </w:rPr>
        <w:t>上市后</w:t>
      </w:r>
      <w:r w:rsidRPr="00F814BC">
        <w:rPr>
          <w:rFonts w:eastAsia="宋体"/>
          <w:i/>
          <w:iCs/>
          <w:color w:val="000000"/>
          <w:sz w:val="24"/>
          <w:szCs w:val="24"/>
        </w:rPr>
        <w:t>数据收集</w:t>
      </w:r>
    </w:p>
    <w:p w14:paraId="513C15E9" w14:textId="77777777" w:rsidR="00545773" w:rsidRPr="00F814BC" w:rsidRDefault="00545773" w:rsidP="00640CB4">
      <w:pPr>
        <w:shd w:val="clear" w:color="auto" w:fill="FFFFFF"/>
        <w:snapToGrid w:val="0"/>
        <w:jc w:val="both"/>
        <w:rPr>
          <w:rFonts w:eastAsia="宋体"/>
          <w:sz w:val="24"/>
          <w:szCs w:val="24"/>
        </w:rPr>
      </w:pPr>
    </w:p>
    <w:p w14:paraId="09217C0A" w14:textId="77777777" w:rsidR="00973B28" w:rsidRDefault="00CB325C" w:rsidP="0006004F">
      <w:pPr>
        <w:shd w:val="clear" w:color="auto" w:fill="FFFFFF"/>
        <w:snapToGrid w:val="0"/>
        <w:ind w:firstLineChars="200" w:firstLine="480"/>
        <w:jc w:val="both"/>
        <w:rPr>
          <w:rFonts w:eastAsia="宋体"/>
          <w:sz w:val="24"/>
          <w:szCs w:val="24"/>
        </w:rPr>
      </w:pPr>
      <w:r w:rsidRPr="00F814BC">
        <w:rPr>
          <w:rFonts w:eastAsia="宋体"/>
          <w:color w:val="000000"/>
          <w:sz w:val="24"/>
          <w:szCs w:val="24"/>
        </w:rPr>
        <w:t>假设</w:t>
      </w:r>
      <w:r w:rsidRPr="00F814BC">
        <w:rPr>
          <w:rFonts w:eastAsia="宋体"/>
          <w:color w:val="000000"/>
          <w:sz w:val="24"/>
          <w:szCs w:val="24"/>
        </w:rPr>
        <w:t>FDA</w:t>
      </w:r>
      <w:r w:rsidRPr="00F814BC">
        <w:rPr>
          <w:rFonts w:eastAsia="宋体"/>
          <w:color w:val="000000"/>
          <w:sz w:val="24"/>
          <w:szCs w:val="24"/>
        </w:rPr>
        <w:t>反而认为，基于相关的考虑，包括</w:t>
      </w:r>
      <w:r w:rsidR="005D7A68">
        <w:rPr>
          <w:rFonts w:eastAsia="宋体"/>
          <w:color w:val="000000"/>
          <w:sz w:val="24"/>
          <w:szCs w:val="24"/>
        </w:rPr>
        <w:t>申办方</w:t>
      </w:r>
      <w:r w:rsidRPr="00F814BC">
        <w:rPr>
          <w:rFonts w:eastAsia="宋体"/>
          <w:color w:val="000000"/>
          <w:sz w:val="24"/>
          <w:szCs w:val="24"/>
        </w:rPr>
        <w:t>有可靠和适当的机制（如注册表、电子健康记录）来完成及时的上市后数据收集，在这种情况下，更高的不确定性是合适的，只要根据这种不确定性进行更大量的上市后数据收集。为了说明这可能对上市前的临床研究产生的影响，假设基本事实是这样的：</w:t>
      </w:r>
      <w:r w:rsidR="002636D6">
        <w:rPr>
          <w:rFonts w:eastAsia="宋体"/>
          <w:color w:val="000000"/>
          <w:sz w:val="24"/>
          <w:szCs w:val="24"/>
        </w:rPr>
        <w:t>单侧</w:t>
      </w:r>
      <w:r w:rsidRPr="00F814BC">
        <w:rPr>
          <w:rFonts w:eastAsia="宋体"/>
          <w:color w:val="000000"/>
          <w:sz w:val="24"/>
          <w:szCs w:val="24"/>
        </w:rPr>
        <w:t>显著性水平可能是</w:t>
      </w:r>
      <w:r w:rsidRPr="00F814BC">
        <w:rPr>
          <w:rFonts w:eastAsia="宋体"/>
          <w:color w:val="000000"/>
          <w:sz w:val="24"/>
          <w:szCs w:val="24"/>
        </w:rPr>
        <w:t>20%</w:t>
      </w:r>
      <w:r w:rsidRPr="00F814BC">
        <w:rPr>
          <w:rFonts w:eastAsia="宋体"/>
          <w:color w:val="000000"/>
          <w:sz w:val="24"/>
          <w:szCs w:val="24"/>
        </w:rPr>
        <w:t>。如果观察到的成功率同样为</w:t>
      </w:r>
      <w:r w:rsidRPr="00F814BC">
        <w:rPr>
          <w:rFonts w:eastAsia="宋体"/>
          <w:color w:val="000000"/>
          <w:sz w:val="24"/>
          <w:szCs w:val="24"/>
        </w:rPr>
        <w:t>66%</w:t>
      </w:r>
      <w:r w:rsidRPr="00F814BC">
        <w:rPr>
          <w:rFonts w:eastAsia="宋体"/>
          <w:color w:val="000000"/>
          <w:sz w:val="24"/>
          <w:szCs w:val="24"/>
        </w:rPr>
        <w:t>，那么</w:t>
      </w:r>
      <w:r w:rsidR="005D7A68">
        <w:rPr>
          <w:rFonts w:eastAsia="宋体"/>
          <w:color w:val="000000"/>
          <w:sz w:val="24"/>
          <w:szCs w:val="24"/>
        </w:rPr>
        <w:t>申办方</w:t>
      </w:r>
      <w:r w:rsidRPr="00F814BC">
        <w:rPr>
          <w:rFonts w:eastAsia="宋体"/>
          <w:color w:val="000000"/>
          <w:sz w:val="24"/>
          <w:szCs w:val="24"/>
        </w:rPr>
        <w:t>只需要</w:t>
      </w:r>
      <w:r w:rsidRPr="00F814BC">
        <w:rPr>
          <w:rFonts w:eastAsia="宋体"/>
          <w:b/>
          <w:bCs/>
          <w:color w:val="000000"/>
          <w:sz w:val="24"/>
          <w:szCs w:val="24"/>
        </w:rPr>
        <w:t>65</w:t>
      </w:r>
      <w:r w:rsidRPr="00F814BC">
        <w:rPr>
          <w:rFonts w:eastAsia="宋体"/>
          <w:b/>
          <w:bCs/>
          <w:color w:val="000000"/>
          <w:sz w:val="24"/>
          <w:szCs w:val="24"/>
        </w:rPr>
        <w:t>名</w:t>
      </w:r>
      <w:r w:rsidRPr="00F814BC">
        <w:rPr>
          <w:rFonts w:eastAsia="宋体"/>
          <w:color w:val="000000"/>
          <w:sz w:val="24"/>
          <w:szCs w:val="24"/>
        </w:rPr>
        <w:t>患者的样品量，就可以有</w:t>
      </w:r>
      <w:r w:rsidRPr="00F814BC">
        <w:rPr>
          <w:rFonts w:eastAsia="宋体"/>
          <w:color w:val="000000"/>
          <w:sz w:val="24"/>
          <w:szCs w:val="24"/>
        </w:rPr>
        <w:t>80%</w:t>
      </w:r>
      <w:r w:rsidRPr="00F814BC">
        <w:rPr>
          <w:rFonts w:eastAsia="宋体"/>
          <w:color w:val="000000"/>
          <w:sz w:val="24"/>
          <w:szCs w:val="24"/>
        </w:rPr>
        <w:t>的把握认为成功率高于</w:t>
      </w:r>
      <w:r w:rsidRPr="00F814BC">
        <w:rPr>
          <w:rFonts w:eastAsia="宋体"/>
          <w:color w:val="000000"/>
          <w:sz w:val="24"/>
          <w:szCs w:val="24"/>
        </w:rPr>
        <w:t>60%</w:t>
      </w:r>
      <w:r w:rsidRPr="00F814BC">
        <w:rPr>
          <w:rFonts w:eastAsia="宋体"/>
          <w:color w:val="000000"/>
          <w:sz w:val="24"/>
          <w:szCs w:val="24"/>
          <w:vertAlign w:val="superscript"/>
        </w:rPr>
        <w:t>†</w:t>
      </w:r>
      <w:r w:rsidRPr="00F814BC">
        <w:rPr>
          <w:rFonts w:eastAsia="宋体"/>
          <w:color w:val="000000"/>
          <w:sz w:val="24"/>
          <w:szCs w:val="24"/>
        </w:rPr>
        <w:t>。如果</w:t>
      </w:r>
      <w:r w:rsidR="005D7A68">
        <w:rPr>
          <w:rFonts w:eastAsia="宋体"/>
          <w:color w:val="000000"/>
          <w:sz w:val="24"/>
          <w:szCs w:val="24"/>
        </w:rPr>
        <w:t>申办方</w:t>
      </w:r>
      <w:r w:rsidRPr="00F814BC">
        <w:rPr>
          <w:rFonts w:eastAsia="宋体"/>
          <w:color w:val="000000"/>
          <w:sz w:val="24"/>
          <w:szCs w:val="24"/>
        </w:rPr>
        <w:t>选择进行这项研究，并且上市前的证据符合性能目标，</w:t>
      </w:r>
      <w:r w:rsidRPr="00F814BC">
        <w:rPr>
          <w:rFonts w:eastAsia="宋体"/>
          <w:color w:val="000000"/>
          <w:sz w:val="24"/>
          <w:szCs w:val="24"/>
        </w:rPr>
        <w:t>FDA</w:t>
      </w:r>
      <w:r w:rsidRPr="00F814BC">
        <w:rPr>
          <w:rFonts w:eastAsia="宋体"/>
          <w:color w:val="000000"/>
          <w:sz w:val="24"/>
          <w:szCs w:val="24"/>
        </w:rPr>
        <w:t>将要求，作为批准的条件，使用注册表或其他适当的手段，进行相对有力的上市后数据收集，以帮助确保完成上市后的承诺。如果适当的话，</w:t>
      </w:r>
      <w:r w:rsidRPr="00F814BC">
        <w:rPr>
          <w:rFonts w:eastAsia="宋体"/>
          <w:color w:val="000000"/>
          <w:sz w:val="24"/>
          <w:szCs w:val="24"/>
        </w:rPr>
        <w:t>FDA</w:t>
      </w:r>
      <w:r w:rsidRPr="00F814BC">
        <w:rPr>
          <w:rFonts w:eastAsia="宋体"/>
          <w:color w:val="000000"/>
          <w:sz w:val="24"/>
          <w:szCs w:val="24"/>
        </w:rPr>
        <w:t>还将要求，作为批准的条件，器械标签应描述</w:t>
      </w:r>
      <w:r w:rsidR="008E38AD" w:rsidRPr="00F814BC">
        <w:rPr>
          <w:rFonts w:eastAsia="宋体"/>
          <w:color w:val="000000"/>
          <w:sz w:val="24"/>
          <w:szCs w:val="24"/>
        </w:rPr>
        <w:t>上市后</w:t>
      </w:r>
      <w:r w:rsidRPr="00F814BC">
        <w:rPr>
          <w:rFonts w:eastAsia="宋体"/>
          <w:color w:val="000000"/>
          <w:sz w:val="24"/>
          <w:szCs w:val="24"/>
        </w:rPr>
        <w:t>数据收集及其目的。同时，在适当的情况下，</w:t>
      </w:r>
      <w:r w:rsidRPr="00F814BC">
        <w:rPr>
          <w:rFonts w:eastAsia="宋体"/>
          <w:color w:val="000000"/>
          <w:sz w:val="24"/>
          <w:szCs w:val="24"/>
        </w:rPr>
        <w:t>FDA</w:t>
      </w:r>
      <w:r w:rsidRPr="00F814BC">
        <w:rPr>
          <w:rFonts w:eastAsia="宋体"/>
          <w:color w:val="000000"/>
          <w:sz w:val="24"/>
          <w:szCs w:val="24"/>
        </w:rPr>
        <w:t>将把这些信息纳入</w:t>
      </w:r>
      <w:r w:rsidRPr="00F814BC">
        <w:rPr>
          <w:rFonts w:eastAsia="宋体"/>
          <w:color w:val="000000"/>
          <w:sz w:val="24"/>
          <w:szCs w:val="24"/>
        </w:rPr>
        <w:t>SSED</w:t>
      </w:r>
      <w:r w:rsidRPr="00F814BC">
        <w:rPr>
          <w:rFonts w:eastAsia="宋体"/>
          <w:color w:val="000000"/>
          <w:sz w:val="24"/>
          <w:szCs w:val="24"/>
        </w:rPr>
        <w:t>，并在我们的网站上标明作为批准器械的条件的上市后研究。</w:t>
      </w:r>
    </w:p>
    <w:p w14:paraId="64A050CA" w14:textId="77777777" w:rsidR="00961522" w:rsidRPr="00F814BC" w:rsidRDefault="00961522" w:rsidP="00640CB4">
      <w:pPr>
        <w:shd w:val="clear" w:color="auto" w:fill="FFFFFF"/>
        <w:snapToGrid w:val="0"/>
        <w:jc w:val="both"/>
        <w:rPr>
          <w:rFonts w:eastAsia="宋体"/>
          <w:sz w:val="24"/>
          <w:szCs w:val="24"/>
        </w:rPr>
      </w:pPr>
    </w:p>
    <w:p w14:paraId="75484852" w14:textId="77777777" w:rsidR="00545773" w:rsidRPr="00F814BC" w:rsidRDefault="00545773" w:rsidP="00640CB4">
      <w:pPr>
        <w:shd w:val="clear" w:color="auto" w:fill="FFFFFF"/>
        <w:snapToGrid w:val="0"/>
        <w:jc w:val="both"/>
        <w:rPr>
          <w:rFonts w:eastAsia="宋体"/>
          <w:sz w:val="24"/>
          <w:szCs w:val="24"/>
        </w:rPr>
        <w:sectPr w:rsidR="00545773" w:rsidRPr="00F814BC" w:rsidSect="0006004F">
          <w:pgSz w:w="11906" w:h="16838" w:code="9"/>
          <w:pgMar w:top="1134" w:right="1134" w:bottom="1134" w:left="1418" w:header="567" w:footer="567" w:gutter="0"/>
          <w:cols w:space="60"/>
          <w:noEndnote/>
          <w:docGrid w:linePitch="272"/>
        </w:sectPr>
      </w:pPr>
    </w:p>
    <w:p w14:paraId="710B640D" w14:textId="77777777" w:rsidR="00961522" w:rsidRPr="00F814BC" w:rsidRDefault="00CB325C" w:rsidP="00640CB4">
      <w:pPr>
        <w:shd w:val="clear" w:color="auto" w:fill="FFFFFF"/>
        <w:snapToGrid w:val="0"/>
        <w:jc w:val="center"/>
        <w:rPr>
          <w:rFonts w:eastAsia="宋体"/>
          <w:sz w:val="21"/>
          <w:szCs w:val="21"/>
        </w:rPr>
      </w:pPr>
      <w:r w:rsidRPr="00F814BC">
        <w:rPr>
          <w:rFonts w:eastAsia="宋体"/>
          <w:i/>
          <w:iCs/>
          <w:color w:val="000000"/>
          <w:sz w:val="21"/>
          <w:szCs w:val="21"/>
        </w:rPr>
        <w:lastRenderedPageBreak/>
        <w:t>总结：单侧显著性水平和上市前研究的样品量差异</w:t>
      </w:r>
    </w:p>
    <w:tbl>
      <w:tblPr>
        <w:tblW w:w="4500" w:type="pct"/>
        <w:jc w:val="center"/>
        <w:tblLayout w:type="fixed"/>
        <w:tblCellMar>
          <w:left w:w="40" w:type="dxa"/>
          <w:right w:w="40" w:type="dxa"/>
        </w:tblCellMar>
        <w:tblLook w:val="0000" w:firstRow="0" w:lastRow="0" w:firstColumn="0" w:lastColumn="0" w:noHBand="0" w:noVBand="0"/>
      </w:tblPr>
      <w:tblGrid>
        <w:gridCol w:w="2326"/>
        <w:gridCol w:w="2118"/>
        <w:gridCol w:w="1436"/>
        <w:gridCol w:w="2641"/>
      </w:tblGrid>
      <w:tr w:rsidR="00961522" w:rsidRPr="00F814BC" w14:paraId="54EF9020" w14:textId="77777777" w:rsidTr="00545773">
        <w:trPr>
          <w:jc w:val="center"/>
        </w:trPr>
        <w:tc>
          <w:tcPr>
            <w:tcW w:w="2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0A4713"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情</w:t>
            </w:r>
            <w:r w:rsidR="00A04B07" w:rsidRPr="00F814BC">
              <w:rPr>
                <w:rFonts w:eastAsia="宋体" w:hint="eastAsia"/>
                <w:color w:val="000000"/>
                <w:sz w:val="21"/>
                <w:szCs w:val="21"/>
              </w:rPr>
              <w:t>况</w:t>
            </w:r>
          </w:p>
        </w:tc>
        <w:tc>
          <w:tcPr>
            <w:tcW w:w="21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E55839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单侧显著性水平</w:t>
            </w:r>
          </w:p>
        </w:tc>
        <w:tc>
          <w:tcPr>
            <w:tcW w:w="1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A5E99B" w14:textId="77777777" w:rsidR="00961522" w:rsidRPr="00F814BC" w:rsidRDefault="008E38AD" w:rsidP="00640CB4">
            <w:pPr>
              <w:shd w:val="clear" w:color="auto" w:fill="FFFFFF"/>
              <w:snapToGrid w:val="0"/>
              <w:rPr>
                <w:rFonts w:eastAsia="宋体"/>
                <w:sz w:val="21"/>
                <w:szCs w:val="21"/>
              </w:rPr>
            </w:pPr>
            <w:r w:rsidRPr="00F814BC">
              <w:rPr>
                <w:rFonts w:eastAsia="宋体"/>
                <w:color w:val="000000"/>
                <w:sz w:val="21"/>
                <w:szCs w:val="21"/>
              </w:rPr>
              <w:t>样品量</w:t>
            </w:r>
            <w:r w:rsidR="00CB325C" w:rsidRPr="00F814BC">
              <w:rPr>
                <w:rFonts w:eastAsia="宋体"/>
                <w:color w:val="000000"/>
                <w:sz w:val="21"/>
                <w:szCs w:val="21"/>
                <w:vertAlign w:val="superscript"/>
              </w:rPr>
              <w:t>†</w:t>
            </w:r>
          </w:p>
        </w:tc>
        <w:tc>
          <w:tcPr>
            <w:tcW w:w="27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FFD087"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考虑到更大的不确定性，</w:t>
            </w:r>
            <w:r w:rsidR="008E38AD" w:rsidRPr="00F814BC">
              <w:rPr>
                <w:rFonts w:eastAsia="宋体"/>
                <w:color w:val="000000"/>
                <w:sz w:val="21"/>
                <w:szCs w:val="21"/>
              </w:rPr>
              <w:t>上市后</w:t>
            </w:r>
            <w:r w:rsidRPr="00F814BC">
              <w:rPr>
                <w:rFonts w:eastAsia="宋体"/>
                <w:color w:val="000000"/>
                <w:sz w:val="21"/>
                <w:szCs w:val="21"/>
              </w:rPr>
              <w:t>的数据收集和其他措施</w:t>
            </w:r>
          </w:p>
        </w:tc>
      </w:tr>
      <w:tr w:rsidR="00961522" w:rsidRPr="00F814BC" w14:paraId="19432D26" w14:textId="77777777" w:rsidTr="0006004F">
        <w:trPr>
          <w:jc w:val="center"/>
        </w:trPr>
        <w:tc>
          <w:tcPr>
            <w:tcW w:w="2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79079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1</w:t>
            </w:r>
            <w:r w:rsidRPr="00F814BC">
              <w:rPr>
                <w:rFonts w:eastAsia="宋体"/>
                <w:color w:val="000000"/>
                <w:sz w:val="21"/>
                <w:szCs w:val="21"/>
              </w:rPr>
              <w:t>：传统的不确定性</w:t>
            </w:r>
          </w:p>
        </w:tc>
        <w:tc>
          <w:tcPr>
            <w:tcW w:w="21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25489C"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2.5%</w:t>
            </w:r>
          </w:p>
        </w:tc>
        <w:tc>
          <w:tcPr>
            <w:tcW w:w="1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5F3BD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274</w:t>
            </w:r>
          </w:p>
        </w:tc>
        <w:tc>
          <w:tcPr>
            <w:tcW w:w="27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87CFFE"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不适用</w:t>
            </w:r>
          </w:p>
        </w:tc>
      </w:tr>
      <w:tr w:rsidR="00961522" w:rsidRPr="00F814BC" w14:paraId="101CD17D" w14:textId="77777777" w:rsidTr="0006004F">
        <w:trPr>
          <w:jc w:val="center"/>
        </w:trPr>
        <w:tc>
          <w:tcPr>
            <w:tcW w:w="2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27D79B"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2</w:t>
            </w:r>
            <w:r w:rsidRPr="00F814BC">
              <w:rPr>
                <w:rFonts w:eastAsia="宋体"/>
                <w:color w:val="000000"/>
                <w:sz w:val="21"/>
                <w:szCs w:val="21"/>
              </w:rPr>
              <w:t>：适度的不确定性，适度的</w:t>
            </w:r>
            <w:r w:rsidR="008E38AD" w:rsidRPr="00F814BC">
              <w:rPr>
                <w:rFonts w:eastAsia="宋体"/>
                <w:color w:val="000000"/>
                <w:sz w:val="21"/>
                <w:szCs w:val="21"/>
              </w:rPr>
              <w:t>上市后</w:t>
            </w:r>
            <w:r w:rsidRPr="00F814BC">
              <w:rPr>
                <w:rFonts w:eastAsia="宋体"/>
                <w:color w:val="000000"/>
                <w:sz w:val="21"/>
                <w:szCs w:val="21"/>
              </w:rPr>
              <w:t>数据收集</w:t>
            </w:r>
          </w:p>
        </w:tc>
        <w:tc>
          <w:tcPr>
            <w:tcW w:w="21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87361E"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10%</w:t>
            </w:r>
          </w:p>
        </w:tc>
        <w:tc>
          <w:tcPr>
            <w:tcW w:w="1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33EA73"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128</w:t>
            </w:r>
          </w:p>
        </w:tc>
        <w:tc>
          <w:tcPr>
            <w:tcW w:w="27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8B6178B"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作为批准的条件，适度的</w:t>
            </w:r>
            <w:r w:rsidR="008E38AD" w:rsidRPr="00F814BC">
              <w:rPr>
                <w:rFonts w:eastAsia="宋体"/>
                <w:color w:val="000000"/>
                <w:sz w:val="21"/>
                <w:szCs w:val="21"/>
              </w:rPr>
              <w:t>上市后</w:t>
            </w:r>
            <w:r w:rsidRPr="00F814BC">
              <w:rPr>
                <w:rFonts w:eastAsia="宋体"/>
                <w:color w:val="000000"/>
                <w:sz w:val="21"/>
                <w:szCs w:val="21"/>
              </w:rPr>
              <w:t>数据收集</w:t>
            </w:r>
          </w:p>
          <w:p w14:paraId="3CB1FA33" w14:textId="77777777" w:rsidR="00545773" w:rsidRPr="00F814BC" w:rsidRDefault="00545773" w:rsidP="00640CB4">
            <w:pPr>
              <w:shd w:val="clear" w:color="auto" w:fill="FFFFFF"/>
              <w:snapToGrid w:val="0"/>
              <w:rPr>
                <w:rFonts w:eastAsia="宋体"/>
                <w:sz w:val="21"/>
                <w:szCs w:val="21"/>
              </w:rPr>
            </w:pPr>
          </w:p>
          <w:p w14:paraId="12D8540A"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在</w:t>
            </w:r>
            <w:r w:rsidRPr="00F814BC">
              <w:rPr>
                <w:rFonts w:eastAsia="宋体"/>
                <w:color w:val="000000"/>
                <w:sz w:val="21"/>
                <w:szCs w:val="21"/>
              </w:rPr>
              <w:t>FDA</w:t>
            </w:r>
            <w:r w:rsidRPr="00F814BC">
              <w:rPr>
                <w:rFonts w:eastAsia="宋体"/>
                <w:color w:val="000000"/>
                <w:sz w:val="21"/>
                <w:szCs w:val="21"/>
              </w:rPr>
              <w:t>的网站上标明</w:t>
            </w:r>
            <w:r w:rsidR="008E38AD" w:rsidRPr="00F814BC">
              <w:rPr>
                <w:rFonts w:eastAsia="宋体"/>
                <w:color w:val="000000"/>
                <w:sz w:val="21"/>
                <w:szCs w:val="21"/>
              </w:rPr>
              <w:t>上市后</w:t>
            </w:r>
            <w:r w:rsidRPr="00F814BC">
              <w:rPr>
                <w:rFonts w:eastAsia="宋体"/>
                <w:color w:val="000000"/>
                <w:sz w:val="21"/>
                <w:szCs w:val="21"/>
              </w:rPr>
              <w:t>的数据收集</w:t>
            </w:r>
          </w:p>
        </w:tc>
      </w:tr>
      <w:tr w:rsidR="00961522" w:rsidRPr="00F814BC" w14:paraId="448FEE95" w14:textId="77777777" w:rsidTr="00545773">
        <w:trPr>
          <w:jc w:val="center"/>
        </w:trPr>
        <w:tc>
          <w:tcPr>
            <w:tcW w:w="24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9D5152"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案例</w:t>
            </w:r>
            <w:r w:rsidRPr="00F814BC">
              <w:rPr>
                <w:rFonts w:eastAsia="宋体"/>
                <w:color w:val="000000"/>
                <w:sz w:val="21"/>
                <w:szCs w:val="21"/>
              </w:rPr>
              <w:t>3</w:t>
            </w:r>
            <w:r w:rsidRPr="00F814BC">
              <w:rPr>
                <w:rFonts w:eastAsia="宋体"/>
                <w:color w:val="000000"/>
                <w:sz w:val="21"/>
                <w:szCs w:val="21"/>
              </w:rPr>
              <w:t>：</w:t>
            </w:r>
            <w:r w:rsidR="00BE1CB6" w:rsidRPr="00F814BC">
              <w:rPr>
                <w:rFonts w:eastAsia="宋体"/>
                <w:color w:val="000000"/>
                <w:sz w:val="21"/>
                <w:szCs w:val="21"/>
              </w:rPr>
              <w:t>高度不确定性</w:t>
            </w:r>
            <w:r w:rsidRPr="00F814BC">
              <w:rPr>
                <w:rFonts w:eastAsia="宋体"/>
                <w:color w:val="000000"/>
                <w:sz w:val="21"/>
                <w:szCs w:val="21"/>
              </w:rPr>
              <w:t>，大量的</w:t>
            </w:r>
            <w:r w:rsidR="008E38AD" w:rsidRPr="00F814BC">
              <w:rPr>
                <w:rFonts w:eastAsia="宋体"/>
                <w:color w:val="000000"/>
                <w:sz w:val="21"/>
                <w:szCs w:val="21"/>
              </w:rPr>
              <w:t>上市后</w:t>
            </w:r>
            <w:r w:rsidRPr="00F814BC">
              <w:rPr>
                <w:rFonts w:eastAsia="宋体"/>
                <w:color w:val="000000"/>
                <w:sz w:val="21"/>
                <w:szCs w:val="21"/>
              </w:rPr>
              <w:t>数据收集</w:t>
            </w:r>
          </w:p>
        </w:tc>
        <w:tc>
          <w:tcPr>
            <w:tcW w:w="218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45975E"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20%</w:t>
            </w:r>
          </w:p>
        </w:tc>
        <w:tc>
          <w:tcPr>
            <w:tcW w:w="148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CCF685"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65</w:t>
            </w:r>
          </w:p>
        </w:tc>
        <w:tc>
          <w:tcPr>
            <w:tcW w:w="273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41A3273"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使用注册表（或其他适当的机制）进行强有力的上市后数据收集，作为批准条件</w:t>
            </w:r>
          </w:p>
          <w:p w14:paraId="7C0E08FE" w14:textId="77777777" w:rsidR="00545773" w:rsidRPr="00F814BC" w:rsidRDefault="00545773" w:rsidP="00640CB4">
            <w:pPr>
              <w:shd w:val="clear" w:color="auto" w:fill="FFFFFF"/>
              <w:snapToGrid w:val="0"/>
              <w:rPr>
                <w:rFonts w:eastAsia="宋体"/>
                <w:sz w:val="21"/>
                <w:szCs w:val="21"/>
              </w:rPr>
            </w:pPr>
          </w:p>
          <w:p w14:paraId="417BE059" w14:textId="77777777" w:rsidR="00961522" w:rsidRPr="00F814BC" w:rsidRDefault="00CB325C" w:rsidP="00640CB4">
            <w:pPr>
              <w:shd w:val="clear" w:color="auto" w:fill="FFFFFF"/>
              <w:snapToGrid w:val="0"/>
              <w:rPr>
                <w:rFonts w:eastAsia="宋体"/>
                <w:color w:val="000000"/>
                <w:sz w:val="21"/>
                <w:szCs w:val="21"/>
              </w:rPr>
            </w:pPr>
            <w:r w:rsidRPr="00F814BC">
              <w:rPr>
                <w:rFonts w:eastAsia="宋体"/>
                <w:color w:val="000000"/>
                <w:sz w:val="21"/>
                <w:szCs w:val="21"/>
              </w:rPr>
              <w:t>如果适当的话，在标签中纳入有关上市后数据收集及其目的的信息，作为批准的条件和</w:t>
            </w:r>
            <w:r w:rsidRPr="00F814BC">
              <w:rPr>
                <w:rFonts w:eastAsia="宋体"/>
                <w:color w:val="000000"/>
                <w:sz w:val="21"/>
                <w:szCs w:val="21"/>
              </w:rPr>
              <w:t>SSED</w:t>
            </w:r>
            <w:r w:rsidRPr="00F814BC">
              <w:rPr>
                <w:rFonts w:eastAsia="宋体"/>
                <w:color w:val="000000"/>
                <w:sz w:val="21"/>
                <w:szCs w:val="21"/>
              </w:rPr>
              <w:t>的内容。</w:t>
            </w:r>
          </w:p>
          <w:p w14:paraId="485A9BB6" w14:textId="77777777" w:rsidR="00545773" w:rsidRPr="00F814BC" w:rsidRDefault="00545773" w:rsidP="00640CB4">
            <w:pPr>
              <w:shd w:val="clear" w:color="auto" w:fill="FFFFFF"/>
              <w:snapToGrid w:val="0"/>
              <w:rPr>
                <w:rFonts w:eastAsia="宋体"/>
                <w:sz w:val="21"/>
                <w:szCs w:val="21"/>
              </w:rPr>
            </w:pPr>
          </w:p>
          <w:p w14:paraId="571465BD" w14:textId="77777777" w:rsidR="00961522" w:rsidRPr="00F814BC" w:rsidRDefault="00CB325C" w:rsidP="00640CB4">
            <w:pPr>
              <w:shd w:val="clear" w:color="auto" w:fill="FFFFFF"/>
              <w:snapToGrid w:val="0"/>
              <w:rPr>
                <w:rFonts w:eastAsia="宋体"/>
                <w:sz w:val="21"/>
                <w:szCs w:val="21"/>
              </w:rPr>
            </w:pPr>
            <w:r w:rsidRPr="00F814BC">
              <w:rPr>
                <w:rFonts w:eastAsia="宋体"/>
                <w:color w:val="000000"/>
                <w:sz w:val="21"/>
                <w:szCs w:val="21"/>
              </w:rPr>
              <w:t>在</w:t>
            </w:r>
            <w:r w:rsidRPr="00F814BC">
              <w:rPr>
                <w:rFonts w:eastAsia="宋体"/>
                <w:color w:val="000000"/>
                <w:sz w:val="21"/>
                <w:szCs w:val="21"/>
              </w:rPr>
              <w:t>FDA</w:t>
            </w:r>
            <w:r w:rsidRPr="00F814BC">
              <w:rPr>
                <w:rFonts w:eastAsia="宋体"/>
                <w:color w:val="000000"/>
                <w:sz w:val="21"/>
                <w:szCs w:val="21"/>
              </w:rPr>
              <w:t>的网站上标明</w:t>
            </w:r>
            <w:r w:rsidR="008E38AD" w:rsidRPr="00F814BC">
              <w:rPr>
                <w:rFonts w:eastAsia="宋体"/>
                <w:color w:val="000000"/>
                <w:sz w:val="21"/>
                <w:szCs w:val="21"/>
              </w:rPr>
              <w:t>上市后</w:t>
            </w:r>
            <w:r w:rsidRPr="00F814BC">
              <w:rPr>
                <w:rFonts w:eastAsia="宋体"/>
                <w:color w:val="000000"/>
                <w:sz w:val="21"/>
                <w:szCs w:val="21"/>
              </w:rPr>
              <w:t>的数据收集</w:t>
            </w:r>
          </w:p>
        </w:tc>
      </w:tr>
    </w:tbl>
    <w:p w14:paraId="60C0ABAF" w14:textId="77777777" w:rsidR="00CB325C" w:rsidRPr="00F814BC" w:rsidRDefault="00CB325C" w:rsidP="00640CB4">
      <w:pPr>
        <w:shd w:val="clear" w:color="auto" w:fill="FFFFFF"/>
        <w:snapToGrid w:val="0"/>
        <w:ind w:leftChars="354" w:left="708" w:rightChars="354" w:right="708"/>
        <w:jc w:val="both"/>
        <w:rPr>
          <w:rFonts w:eastAsia="宋体"/>
          <w:sz w:val="21"/>
          <w:szCs w:val="21"/>
        </w:rPr>
      </w:pPr>
      <w:r w:rsidRPr="00F814BC">
        <w:rPr>
          <w:rFonts w:eastAsia="宋体"/>
          <w:color w:val="000000"/>
          <w:sz w:val="21"/>
          <w:szCs w:val="21"/>
          <w:vertAlign w:val="superscript"/>
        </w:rPr>
        <w:t>†</w:t>
      </w:r>
      <w:r w:rsidRPr="00F814BC">
        <w:rPr>
          <w:rFonts w:eastAsia="宋体"/>
          <w:color w:val="000000"/>
          <w:sz w:val="21"/>
          <w:szCs w:val="21"/>
        </w:rPr>
        <w:t>基于</w:t>
      </w:r>
      <w:r w:rsidRPr="00F814BC">
        <w:rPr>
          <w:rFonts w:eastAsia="宋体"/>
          <w:color w:val="000000"/>
          <w:sz w:val="21"/>
          <w:szCs w:val="21"/>
        </w:rPr>
        <w:t>Clopper-Pearson</w:t>
      </w:r>
      <w:r w:rsidRPr="00F814BC">
        <w:rPr>
          <w:rFonts w:eastAsia="宋体"/>
          <w:color w:val="000000"/>
          <w:sz w:val="21"/>
          <w:szCs w:val="21"/>
        </w:rPr>
        <w:t>二项式置信区间。仅供说明，这些计算没有考虑到统计能力。</w:t>
      </w:r>
    </w:p>
    <w:sectPr w:rsidR="00CB325C" w:rsidRPr="00F814BC" w:rsidSect="0006004F">
      <w:pgSz w:w="11906" w:h="16838" w:code="9"/>
      <w:pgMar w:top="1134" w:right="1134" w:bottom="1134" w:left="1418" w:header="567" w:footer="567" w:gutter="0"/>
      <w:cols w:space="6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小 倩" w:date="2022-08-08T16:17:00Z" w:initials="小">
    <w:p w14:paraId="7CC156CE" w14:textId="77777777" w:rsidR="00932C0C" w:rsidRDefault="00932C0C" w:rsidP="00932C0C">
      <w:pPr>
        <w:pStyle w:val="ae"/>
      </w:pPr>
      <w:r>
        <w:rPr>
          <w:rStyle w:val="ad"/>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C156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D1A46" w14:textId="77777777" w:rsidR="00672812" w:rsidRDefault="00672812" w:rsidP="00BE0DEA">
      <w:r>
        <w:separator/>
      </w:r>
    </w:p>
  </w:endnote>
  <w:endnote w:type="continuationSeparator" w:id="0">
    <w:p w14:paraId="2E59B78A" w14:textId="77777777" w:rsidR="00672812" w:rsidRDefault="00672812" w:rsidP="00BE0DEA">
      <w:r>
        <w:continuationSeparator/>
      </w:r>
    </w:p>
  </w:endnote>
  <w:endnote w:type="continuationNotice" w:id="1">
    <w:p w14:paraId="1982E14E" w14:textId="77777777" w:rsidR="00672812" w:rsidRDefault="00672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B634" w14:textId="6671F4F6" w:rsidR="00846E47" w:rsidRPr="00BE0DEA" w:rsidRDefault="00881EA3" w:rsidP="00BE0DEA">
    <w:pPr>
      <w:pStyle w:val="a5"/>
      <w:jc w:val="right"/>
      <w:rPr>
        <w:sz w:val="21"/>
        <w:szCs w:val="21"/>
      </w:rPr>
    </w:pPr>
    <w:r>
      <w:rPr>
        <w:sz w:val="21"/>
        <w:szCs w:val="21"/>
      </w:rPr>
      <w:fldChar w:fldCharType="begin"/>
    </w:r>
    <w:r w:rsidR="00846E47">
      <w:rPr>
        <w:sz w:val="21"/>
        <w:szCs w:val="21"/>
      </w:rPr>
      <w:instrText>PAGE   \* MERGEFORMAT</w:instrText>
    </w:r>
    <w:r>
      <w:rPr>
        <w:sz w:val="21"/>
        <w:szCs w:val="21"/>
      </w:rPr>
      <w:fldChar w:fldCharType="separate"/>
    </w:r>
    <w:r w:rsidR="0006004F">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708A7" w14:textId="77777777" w:rsidR="00672812" w:rsidRDefault="00672812" w:rsidP="00BE0DEA">
      <w:r>
        <w:separator/>
      </w:r>
    </w:p>
  </w:footnote>
  <w:footnote w:type="continuationSeparator" w:id="0">
    <w:p w14:paraId="02C62ADF" w14:textId="77777777" w:rsidR="00672812" w:rsidRDefault="00672812" w:rsidP="00BE0DEA">
      <w:r>
        <w:continuationSeparator/>
      </w:r>
    </w:p>
  </w:footnote>
  <w:footnote w:type="continuationNotice" w:id="1">
    <w:p w14:paraId="245D880B" w14:textId="77777777" w:rsidR="00672812" w:rsidRDefault="00672812"/>
  </w:footnote>
  <w:footnote w:id="2">
    <w:p w14:paraId="13B124DC"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FDA</w:t>
      </w:r>
      <w:r w:rsidRPr="002F54F1">
        <w:rPr>
          <w:rFonts w:eastAsia="宋体"/>
          <w:color w:val="000000"/>
        </w:rPr>
        <w:t>还发布了几份</w:t>
      </w:r>
      <w:r w:rsidRPr="002F54F1">
        <w:rPr>
          <w:rFonts w:eastAsia="宋体" w:hint="eastAsia"/>
          <w:color w:val="000000"/>
        </w:rPr>
        <w:t>指南</w:t>
      </w:r>
      <w:r w:rsidRPr="002F54F1">
        <w:rPr>
          <w:rFonts w:eastAsia="宋体"/>
          <w:color w:val="000000"/>
        </w:rPr>
        <w:t>文件，讨论了各种情况下的获益风险</w:t>
      </w:r>
      <w:r w:rsidRPr="002F54F1">
        <w:rPr>
          <w:rFonts w:eastAsia="宋体" w:hint="eastAsia"/>
          <w:color w:val="000000"/>
        </w:rPr>
        <w:t>判定</w:t>
      </w:r>
      <w:r w:rsidRPr="002F54F1">
        <w:rPr>
          <w:rFonts w:eastAsia="宋体"/>
          <w:color w:val="000000"/>
        </w:rPr>
        <w:t>（见下文注释</w:t>
      </w:r>
      <w:r w:rsidRPr="002F54F1">
        <w:rPr>
          <w:rFonts w:eastAsia="宋体"/>
          <w:color w:val="000000"/>
        </w:rPr>
        <w:t>17</w:t>
      </w:r>
      <w:r w:rsidRPr="002F54F1">
        <w:rPr>
          <w:rFonts w:eastAsia="宋体"/>
          <w:color w:val="000000"/>
        </w:rPr>
        <w:t>），包括</w:t>
      </w:r>
      <w:r w:rsidRPr="002F54F1">
        <w:rPr>
          <w:rFonts w:eastAsia="宋体"/>
          <w:color w:val="000000"/>
        </w:rPr>
        <w:t>510</w:t>
      </w:r>
      <w:r w:rsidRPr="002F54F1">
        <w:rPr>
          <w:rFonts w:eastAsia="宋体"/>
          <w:color w:val="000000"/>
        </w:rPr>
        <w:t>（</w:t>
      </w:r>
      <w:r w:rsidRPr="002F54F1">
        <w:rPr>
          <w:rFonts w:eastAsia="宋体"/>
          <w:color w:val="000000"/>
        </w:rPr>
        <w:t>k</w:t>
      </w:r>
      <w:r w:rsidRPr="002F54F1">
        <w:rPr>
          <w:rFonts w:eastAsia="宋体"/>
          <w:color w:val="000000"/>
        </w:rPr>
        <w:t>）通知和临床试验用器械豁免（</w:t>
      </w:r>
      <w:r w:rsidRPr="002F54F1">
        <w:rPr>
          <w:rFonts w:eastAsia="宋体"/>
          <w:color w:val="000000"/>
        </w:rPr>
        <w:t>IDE</w:t>
      </w:r>
      <w:r w:rsidRPr="002F54F1">
        <w:rPr>
          <w:rFonts w:eastAsia="宋体"/>
          <w:color w:val="000000"/>
        </w:rPr>
        <w:t>）</w:t>
      </w:r>
      <w:r w:rsidRPr="002F54F1">
        <w:rPr>
          <w:rFonts w:eastAsia="宋体" w:hint="eastAsia"/>
          <w:color w:val="000000"/>
        </w:rPr>
        <w:t>申请</w:t>
      </w:r>
      <w:r w:rsidRPr="002F54F1">
        <w:rPr>
          <w:rFonts w:eastAsia="宋体"/>
          <w:color w:val="000000"/>
        </w:rPr>
        <w:t>，本</w:t>
      </w:r>
      <w:r w:rsidRPr="002F54F1">
        <w:rPr>
          <w:rFonts w:eastAsia="宋体" w:hint="eastAsia"/>
          <w:color w:val="000000"/>
        </w:rPr>
        <w:t>指南文件</w:t>
      </w:r>
      <w:r w:rsidRPr="002F54F1">
        <w:rPr>
          <w:rFonts w:eastAsia="宋体"/>
          <w:color w:val="000000"/>
        </w:rPr>
        <w:t>不涉及这些内容。</w:t>
      </w:r>
    </w:p>
  </w:footnote>
  <w:footnote w:id="3">
    <w:p w14:paraId="0DDFCA7E"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A</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A</w:t>
      </w:r>
      <w:r w:rsidRPr="002F54F1">
        <w:rPr>
          <w:rFonts w:eastAsia="宋体"/>
          <w:color w:val="000000"/>
        </w:rPr>
        <w:t>））。</w:t>
      </w:r>
    </w:p>
  </w:footnote>
  <w:footnote w:id="4">
    <w:p w14:paraId="5D67EA96"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B</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B</w:t>
      </w:r>
      <w:r w:rsidRPr="002F54F1">
        <w:rPr>
          <w:rFonts w:eastAsia="宋体"/>
          <w:color w:val="000000"/>
        </w:rPr>
        <w:t>））。通过</w:t>
      </w:r>
      <w:r w:rsidRPr="002F54F1">
        <w:rPr>
          <w:rFonts w:eastAsia="宋体"/>
          <w:color w:val="000000"/>
        </w:rPr>
        <w:t>1990</w:t>
      </w:r>
      <w:r w:rsidRPr="002F54F1">
        <w:rPr>
          <w:rFonts w:eastAsia="宋体"/>
          <w:color w:val="000000"/>
        </w:rPr>
        <w:t>年的《安全医疗器械法》（公法</w:t>
      </w:r>
      <w:r w:rsidRPr="002F54F1">
        <w:rPr>
          <w:rFonts w:eastAsia="宋体"/>
          <w:color w:val="000000"/>
        </w:rPr>
        <w:t>101-629</w:t>
      </w:r>
      <w:r w:rsidRPr="002F54F1">
        <w:rPr>
          <w:rFonts w:eastAsia="宋体"/>
          <w:color w:val="000000"/>
        </w:rPr>
        <w:t>），在《</w:t>
      </w:r>
      <w:r w:rsidRPr="002F54F1">
        <w:rPr>
          <w:rFonts w:eastAsia="宋体"/>
          <w:color w:val="000000"/>
        </w:rPr>
        <w:t>FD&amp;C</w:t>
      </w:r>
      <w:r w:rsidRPr="002F54F1">
        <w:rPr>
          <w:rFonts w:eastAsia="宋体"/>
          <w:color w:val="000000"/>
        </w:rPr>
        <w:t>法案》中增加了特别控制措施。</w:t>
      </w:r>
    </w:p>
  </w:footnote>
  <w:footnote w:id="5">
    <w:p w14:paraId="769F59C6"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C</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C</w:t>
      </w:r>
      <w:r w:rsidRPr="002F54F1">
        <w:rPr>
          <w:rFonts w:eastAsia="宋体"/>
          <w:color w:val="000000"/>
        </w:rPr>
        <w:t>））。</w:t>
      </w:r>
    </w:p>
  </w:footnote>
  <w:footnote w:id="6">
    <w:p w14:paraId="5A44069A"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见，例如，</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C</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C</w:t>
      </w:r>
      <w:r w:rsidRPr="002F54F1">
        <w:rPr>
          <w:rFonts w:eastAsia="宋体"/>
          <w:color w:val="000000"/>
        </w:rPr>
        <w:t>））。</w:t>
      </w:r>
    </w:p>
  </w:footnote>
  <w:footnote w:id="7">
    <w:p w14:paraId="7EBE1D94"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21 CFR 860.7</w:t>
      </w:r>
      <w:r w:rsidRPr="002F54F1">
        <w:rPr>
          <w:rFonts w:eastAsia="宋体"/>
          <w:color w:val="000000"/>
        </w:rPr>
        <w:t>。</w:t>
      </w:r>
    </w:p>
  </w:footnote>
  <w:footnote w:id="8">
    <w:p w14:paraId="5E81BC96"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21 CFR 860.7</w:t>
      </w:r>
      <w:r w:rsidRPr="002F54F1">
        <w:rPr>
          <w:rFonts w:eastAsia="宋体"/>
          <w:color w:val="000000"/>
        </w:rPr>
        <w:t>（</w:t>
      </w:r>
      <w:r w:rsidRPr="002F54F1">
        <w:rPr>
          <w:rFonts w:eastAsia="宋体"/>
          <w:color w:val="000000"/>
        </w:rPr>
        <w:t>b</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hint="eastAsia"/>
        </w:rPr>
        <w:t>。</w:t>
      </w:r>
    </w:p>
  </w:footnote>
  <w:footnote w:id="9">
    <w:p w14:paraId="322CB038"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具体而言，</w:t>
      </w:r>
      <w:r w:rsidRPr="002F54F1">
        <w:rPr>
          <w:rFonts w:eastAsia="宋体"/>
          <w:color w:val="000000"/>
        </w:rPr>
        <w:t>FDA</w:t>
      </w:r>
      <w:r w:rsidRPr="002F54F1">
        <w:rPr>
          <w:rFonts w:eastAsia="宋体"/>
          <w:color w:val="000000"/>
        </w:rPr>
        <w:t>的使命包括</w:t>
      </w:r>
      <w:r w:rsidR="002F54F1" w:rsidRPr="002F54F1">
        <w:rPr>
          <w:rFonts w:eastAsia="宋体" w:hint="eastAsia"/>
          <w:color w:val="000000"/>
        </w:rPr>
        <w:t>“</w:t>
      </w:r>
      <w:r w:rsidRPr="002F54F1">
        <w:rPr>
          <w:rFonts w:eastAsia="宋体"/>
          <w:color w:val="000000"/>
        </w:rPr>
        <w:t>通过确保合理保证供人类使用的器械的</w:t>
      </w:r>
      <w:r w:rsidR="00881EA3" w:rsidRPr="0006004F">
        <w:rPr>
          <w:rFonts w:ascii="宋体" w:hAnsi="宋体" w:hint="eastAsia"/>
          <w:color w:val="000000"/>
        </w:rPr>
        <w:t>安全性和有效性来保护公众健康</w:t>
      </w:r>
      <w:r w:rsidR="00881EA3" w:rsidRPr="0006004F">
        <w:rPr>
          <w:rFonts w:ascii="宋体" w:hAnsi="宋体"/>
          <w:color w:val="000000"/>
        </w:rPr>
        <w:t>”</w:t>
      </w:r>
      <w:r w:rsidR="00881EA3" w:rsidRPr="0006004F">
        <w:rPr>
          <w:rFonts w:ascii="宋体" w:hAnsi="宋体" w:hint="eastAsia"/>
          <w:color w:val="000000"/>
        </w:rPr>
        <w:t>，以及</w:t>
      </w:r>
      <w:r w:rsidR="00881EA3" w:rsidRPr="0006004F">
        <w:rPr>
          <w:rFonts w:ascii="宋体" w:hAnsi="宋体"/>
          <w:color w:val="000000"/>
        </w:rPr>
        <w:t>“</w:t>
      </w:r>
      <w:r w:rsidR="00881EA3" w:rsidRPr="0006004F">
        <w:rPr>
          <w:rFonts w:ascii="宋体" w:hAnsi="宋体" w:hint="eastAsia"/>
          <w:color w:val="000000"/>
        </w:rPr>
        <w:t>通过及时有效地审查临床研究并对受监管产品的销售及时采取适当行动来促进公众健康。</w:t>
      </w:r>
      <w:r w:rsidR="00881EA3" w:rsidRPr="0006004F">
        <w:rPr>
          <w:rFonts w:ascii="宋体" w:hAnsi="宋体"/>
          <w:color w:val="000000"/>
        </w:rPr>
        <w:t>”</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1003</w:t>
      </w:r>
      <w:r w:rsidRPr="002F54F1">
        <w:rPr>
          <w:rFonts w:eastAsia="宋体"/>
          <w:color w:val="000000"/>
        </w:rPr>
        <w:t>条（</w:t>
      </w:r>
      <w:r w:rsidRPr="002F54F1">
        <w:rPr>
          <w:rFonts w:eastAsia="宋体"/>
          <w:color w:val="000000"/>
        </w:rPr>
        <w:t>21 U.S.C. § 393</w:t>
      </w:r>
      <w:r w:rsidRPr="002F54F1">
        <w:rPr>
          <w:rFonts w:eastAsia="宋体"/>
          <w:color w:val="000000"/>
        </w:rPr>
        <w:t>）。</w:t>
      </w:r>
    </w:p>
  </w:footnote>
  <w:footnote w:id="10">
    <w:p w14:paraId="77711321"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i</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D</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i</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D</w:t>
      </w:r>
      <w:r w:rsidRPr="002F54F1">
        <w:rPr>
          <w:rFonts w:eastAsia="宋体"/>
          <w:color w:val="000000"/>
        </w:rPr>
        <w:t>））。</w:t>
      </w:r>
    </w:p>
  </w:footnote>
  <w:footnote w:id="11">
    <w:p w14:paraId="47F7E16F"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w:t>
      </w:r>
      <w:r w:rsidRPr="002F54F1">
        <w:rPr>
          <w:rFonts w:eastAsia="宋体"/>
          <w:color w:val="000000"/>
        </w:rPr>
        <w:t>））。</w:t>
      </w:r>
    </w:p>
  </w:footnote>
  <w:footnote w:id="12">
    <w:p w14:paraId="0B903053"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i/>
          <w:iCs/>
          <w:color w:val="000000"/>
        </w:rPr>
        <w:t>同上。</w:t>
      </w:r>
    </w:p>
  </w:footnote>
  <w:footnote w:id="13">
    <w:p w14:paraId="359AA131"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C</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C</w:t>
      </w:r>
      <w:r w:rsidRPr="002F54F1">
        <w:rPr>
          <w:rFonts w:eastAsia="宋体"/>
          <w:color w:val="000000"/>
        </w:rPr>
        <w:t>））。</w:t>
      </w:r>
    </w:p>
  </w:footnote>
  <w:footnote w:id="14">
    <w:p w14:paraId="0826A1C2"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i/>
          <w:iCs/>
          <w:color w:val="000000"/>
        </w:rPr>
        <w:t>参见</w:t>
      </w:r>
      <w:r w:rsidRPr="002F54F1">
        <w:rPr>
          <w:rFonts w:eastAsia="宋体"/>
          <w:color w:val="000000"/>
        </w:rPr>
        <w:t>《</w:t>
      </w:r>
      <w:r w:rsidRPr="002F54F1">
        <w:rPr>
          <w:rFonts w:eastAsia="宋体"/>
          <w:color w:val="000000"/>
        </w:rPr>
        <w:t>FD&amp;C</w:t>
      </w:r>
      <w:r w:rsidRPr="002F54F1">
        <w:rPr>
          <w:rFonts w:eastAsia="宋体"/>
          <w:color w:val="000000"/>
        </w:rPr>
        <w:t>法案》中额外的最小负担条款，第</w:t>
      </w:r>
      <w:r w:rsidRPr="002F54F1">
        <w:rPr>
          <w:rFonts w:eastAsia="宋体"/>
          <w:color w:val="000000"/>
        </w:rPr>
        <w:t>513</w:t>
      </w:r>
      <w:r w:rsidRPr="002F54F1">
        <w:rPr>
          <w:rFonts w:eastAsia="宋体"/>
          <w:color w:val="000000"/>
        </w:rPr>
        <w:t>（</w:t>
      </w:r>
      <w:r w:rsidRPr="002F54F1">
        <w:rPr>
          <w:rFonts w:eastAsia="宋体"/>
          <w:color w:val="000000"/>
        </w:rPr>
        <w:t>i</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w:t>
      </w:r>
      <w:r w:rsidRPr="002F54F1">
        <w:rPr>
          <w:rFonts w:eastAsia="宋体"/>
          <w:color w:val="000000"/>
        </w:rPr>
        <w:t>）</w:t>
      </w:r>
      <w:r w:rsidRPr="002F54F1">
        <w:rPr>
          <w:rFonts w:eastAsia="宋体"/>
          <w:color w:val="000000"/>
        </w:rPr>
        <w:t>-</w:t>
      </w:r>
      <w:r w:rsidRPr="002F54F1">
        <w:rPr>
          <w:rFonts w:eastAsia="宋体"/>
          <w:color w:val="000000"/>
        </w:rPr>
        <w:t>（</w:t>
      </w:r>
      <w:r w:rsidRPr="002F54F1">
        <w:rPr>
          <w:rFonts w:eastAsia="宋体"/>
          <w:color w:val="000000"/>
        </w:rPr>
        <w:t>iii</w:t>
      </w:r>
      <w:r w:rsidRPr="002F54F1">
        <w:rPr>
          <w:rFonts w:eastAsia="宋体"/>
          <w:color w:val="000000"/>
        </w:rPr>
        <w:t>），</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iii</w:t>
      </w:r>
      <w:r w:rsidRPr="002F54F1">
        <w:rPr>
          <w:rFonts w:eastAsia="宋体"/>
          <w:color w:val="000000"/>
        </w:rPr>
        <w:t>）</w:t>
      </w:r>
      <w:r w:rsidRPr="002F54F1">
        <w:rPr>
          <w:rFonts w:eastAsia="宋体"/>
          <w:color w:val="000000"/>
        </w:rPr>
        <w:t>-</w:t>
      </w:r>
      <w:r w:rsidRPr="002F54F1">
        <w:rPr>
          <w:rFonts w:eastAsia="宋体"/>
          <w:color w:val="000000"/>
        </w:rPr>
        <w:t>（</w:t>
      </w:r>
      <w:r w:rsidRPr="002F54F1">
        <w:rPr>
          <w:rFonts w:eastAsia="宋体"/>
          <w:color w:val="000000"/>
        </w:rPr>
        <w:t>iv</w:t>
      </w:r>
      <w:r w:rsidRPr="002F54F1">
        <w:rPr>
          <w:rFonts w:eastAsia="宋体"/>
          <w:color w:val="000000"/>
        </w:rPr>
        <w:t>），和</w:t>
      </w:r>
      <w:r w:rsidRPr="002F54F1">
        <w:rPr>
          <w:rFonts w:eastAsia="宋体"/>
          <w:color w:val="000000"/>
        </w:rPr>
        <w:t>515</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21 U</w:t>
      </w:r>
      <w:r w:rsidRPr="002F54F1">
        <w:rPr>
          <w:rFonts w:eastAsia="宋体"/>
          <w:color w:val="000000"/>
        </w:rPr>
        <w:t>．</w:t>
      </w:r>
      <w:r w:rsidRPr="002F54F1">
        <w:rPr>
          <w:rFonts w:eastAsia="宋体"/>
          <w:color w:val="000000"/>
        </w:rPr>
        <w:t>S.C. §§ 360c</w:t>
      </w:r>
      <w:r w:rsidRPr="002F54F1">
        <w:rPr>
          <w:rFonts w:eastAsia="宋体"/>
          <w:color w:val="000000"/>
        </w:rPr>
        <w:t>（</w:t>
      </w:r>
      <w:r w:rsidRPr="002F54F1">
        <w:rPr>
          <w:rFonts w:eastAsia="宋体"/>
          <w:color w:val="000000"/>
        </w:rPr>
        <w:t>i</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w:t>
      </w:r>
      <w:r w:rsidRPr="002F54F1">
        <w:rPr>
          <w:rFonts w:eastAsia="宋体"/>
          <w:color w:val="000000"/>
        </w:rPr>
        <w:t>）</w:t>
      </w:r>
      <w:r w:rsidRPr="002F54F1">
        <w:rPr>
          <w:rFonts w:eastAsia="宋体"/>
          <w:color w:val="000000"/>
        </w:rPr>
        <w:t>-</w:t>
      </w:r>
      <w:r w:rsidRPr="002F54F1">
        <w:rPr>
          <w:rFonts w:eastAsia="宋体"/>
          <w:color w:val="000000"/>
        </w:rPr>
        <w:t>（</w:t>
      </w:r>
      <w:r w:rsidRPr="002F54F1">
        <w:rPr>
          <w:rFonts w:eastAsia="宋体"/>
          <w:color w:val="000000"/>
        </w:rPr>
        <w:t>iii</w:t>
      </w:r>
      <w:r w:rsidRPr="002F54F1">
        <w:rPr>
          <w:rFonts w:eastAsia="宋体"/>
          <w:color w:val="000000"/>
        </w:rPr>
        <w:t>）</w:t>
      </w:r>
      <w:r w:rsidRPr="002F54F1">
        <w:rPr>
          <w:rFonts w:eastAsia="宋体" w:hint="eastAsia"/>
          <w:color w:val="000000"/>
        </w:rPr>
        <w:t>，</w:t>
      </w:r>
      <w:r w:rsidRPr="002F54F1">
        <w:rPr>
          <w:rFonts w:eastAsia="宋体"/>
          <w:color w:val="000000"/>
        </w:rPr>
        <w:t>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iii</w:t>
      </w:r>
      <w:r w:rsidRPr="002F54F1">
        <w:rPr>
          <w:rFonts w:eastAsia="宋体"/>
          <w:color w:val="000000"/>
        </w:rPr>
        <w:t>）</w:t>
      </w:r>
      <w:r w:rsidRPr="002F54F1">
        <w:rPr>
          <w:rFonts w:eastAsia="宋体"/>
          <w:color w:val="000000"/>
        </w:rPr>
        <w:t>-</w:t>
      </w:r>
      <w:r w:rsidRPr="002F54F1">
        <w:rPr>
          <w:rFonts w:eastAsia="宋体"/>
          <w:color w:val="000000"/>
        </w:rPr>
        <w:t>（</w:t>
      </w:r>
      <w:r w:rsidRPr="002F54F1">
        <w:rPr>
          <w:rFonts w:eastAsia="宋体"/>
          <w:color w:val="000000"/>
        </w:rPr>
        <w:t>iv</w:t>
      </w:r>
      <w:r w:rsidRPr="002F54F1">
        <w:rPr>
          <w:rFonts w:eastAsia="宋体"/>
          <w:color w:val="000000"/>
        </w:rPr>
        <w:t>）</w:t>
      </w:r>
      <w:r w:rsidRPr="002F54F1">
        <w:rPr>
          <w:rFonts w:eastAsia="宋体" w:hint="eastAsia"/>
          <w:color w:val="000000"/>
        </w:rPr>
        <w:t>，</w:t>
      </w:r>
      <w:r w:rsidRPr="002F54F1">
        <w:rPr>
          <w:rFonts w:eastAsia="宋体"/>
          <w:color w:val="000000"/>
        </w:rPr>
        <w:t>和</w:t>
      </w:r>
      <w:r w:rsidRPr="002F54F1">
        <w:rPr>
          <w:rFonts w:eastAsia="宋体"/>
          <w:color w:val="000000"/>
        </w:rPr>
        <w:t>360e</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w:t>
      </w:r>
      <w:r w:rsidRPr="002F54F1">
        <w:rPr>
          <w:rFonts w:eastAsia="宋体"/>
          <w:color w:val="000000"/>
        </w:rPr>
        <w:t>（</w:t>
      </w:r>
      <w:r w:rsidRPr="002F54F1">
        <w:rPr>
          <w:rFonts w:eastAsia="宋体"/>
          <w:color w:val="000000"/>
        </w:rPr>
        <w:t>D</w:t>
      </w:r>
      <w:r w:rsidRPr="002F54F1">
        <w:rPr>
          <w:rFonts w:eastAsia="宋体"/>
          <w:color w:val="000000"/>
        </w:rPr>
        <w:t>））。</w:t>
      </w:r>
    </w:p>
  </w:footnote>
  <w:footnote w:id="15">
    <w:p w14:paraId="4D18317E"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iv</w:t>
      </w:r>
      <w:r w:rsidRPr="002F54F1">
        <w:rPr>
          <w:rFonts w:eastAsia="宋体"/>
          <w:color w:val="000000"/>
        </w:rPr>
        <w:t>）</w:t>
      </w:r>
      <w:r w:rsidRPr="002F54F1">
        <w:rPr>
          <w:rFonts w:eastAsia="宋体" w:hint="eastAsia"/>
          <w:color w:val="000000"/>
        </w:rPr>
        <w:t>，</w:t>
      </w:r>
      <w:r w:rsidRPr="002F54F1">
        <w:rPr>
          <w:rFonts w:eastAsia="宋体"/>
          <w:color w:val="000000"/>
        </w:rPr>
        <w:t>13</w:t>
      </w:r>
      <w:r w:rsidRPr="002F54F1">
        <w:rPr>
          <w:rFonts w:eastAsia="宋体"/>
          <w:color w:val="000000"/>
        </w:rPr>
        <w:t>（</w:t>
      </w:r>
      <w:r w:rsidRPr="002F54F1">
        <w:rPr>
          <w:rFonts w:eastAsia="宋体"/>
          <w:color w:val="000000"/>
        </w:rPr>
        <w:t>i</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iii</w:t>
      </w:r>
      <w:r w:rsidRPr="002F54F1">
        <w:rPr>
          <w:rFonts w:eastAsia="宋体"/>
          <w:color w:val="000000"/>
        </w:rPr>
        <w:t>）</w:t>
      </w:r>
      <w:r w:rsidRPr="002F54F1">
        <w:rPr>
          <w:rFonts w:eastAsia="宋体" w:hint="eastAsia"/>
          <w:color w:val="000000"/>
        </w:rPr>
        <w:t>，</w:t>
      </w:r>
      <w:r w:rsidRPr="002F54F1">
        <w:rPr>
          <w:rFonts w:eastAsia="宋体"/>
          <w:color w:val="000000"/>
        </w:rPr>
        <w:t>和</w:t>
      </w:r>
      <w:r w:rsidRPr="002F54F1">
        <w:rPr>
          <w:rFonts w:eastAsia="宋体"/>
          <w:color w:val="000000"/>
        </w:rPr>
        <w:t>515</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w:t>
      </w:r>
      <w:r w:rsidRPr="002F54F1">
        <w:rPr>
          <w:rFonts w:eastAsia="宋体"/>
          <w:color w:val="000000"/>
        </w:rPr>
        <w:t>）（</w:t>
      </w:r>
      <w:r w:rsidRPr="002F54F1">
        <w:rPr>
          <w:rFonts w:eastAsia="宋体"/>
          <w:color w:val="000000"/>
        </w:rPr>
        <w:t>D</w:t>
      </w:r>
      <w:r w:rsidRPr="002F54F1">
        <w:rPr>
          <w:rFonts w:eastAsia="宋体"/>
          <w:color w:val="000000"/>
        </w:rPr>
        <w:t>））第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iv</w:t>
      </w:r>
      <w:r w:rsidRPr="002F54F1">
        <w:rPr>
          <w:rFonts w:eastAsia="宋体"/>
          <w:color w:val="000000"/>
        </w:rPr>
        <w:t>）</w:t>
      </w:r>
      <w:r w:rsidRPr="002F54F1">
        <w:rPr>
          <w:rFonts w:eastAsia="宋体" w:hint="eastAsia"/>
          <w:color w:val="000000"/>
        </w:rPr>
        <w:t>，</w:t>
      </w:r>
      <w:r w:rsidRPr="002F54F1">
        <w:rPr>
          <w:rFonts w:eastAsia="宋体"/>
          <w:color w:val="000000"/>
        </w:rPr>
        <w:t>360c</w:t>
      </w:r>
      <w:r w:rsidRPr="002F54F1">
        <w:rPr>
          <w:rFonts w:eastAsia="宋体"/>
          <w:color w:val="000000"/>
        </w:rPr>
        <w:t>（</w:t>
      </w:r>
      <w:r w:rsidRPr="002F54F1">
        <w:rPr>
          <w:rFonts w:eastAsia="宋体"/>
          <w:color w:val="000000"/>
        </w:rPr>
        <w:t>i</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iii</w:t>
      </w:r>
      <w:r w:rsidRPr="002F54F1">
        <w:rPr>
          <w:rFonts w:eastAsia="宋体"/>
          <w:color w:val="000000"/>
        </w:rPr>
        <w:t>）</w:t>
      </w:r>
      <w:r w:rsidRPr="002F54F1">
        <w:rPr>
          <w:rFonts w:eastAsia="宋体" w:hint="eastAsia"/>
          <w:color w:val="000000"/>
        </w:rPr>
        <w:t>，</w:t>
      </w:r>
      <w:r w:rsidRPr="002F54F1">
        <w:rPr>
          <w:rFonts w:eastAsia="宋体"/>
          <w:color w:val="000000"/>
        </w:rPr>
        <w:t>以及</w:t>
      </w:r>
      <w:r w:rsidRPr="002F54F1">
        <w:rPr>
          <w:rFonts w:eastAsia="宋体"/>
          <w:color w:val="000000"/>
        </w:rPr>
        <w:t>360e</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w:t>
      </w:r>
      <w:r w:rsidRPr="002F54F1">
        <w:rPr>
          <w:rFonts w:eastAsia="宋体"/>
          <w:color w:val="000000"/>
        </w:rPr>
        <w:t>）（</w:t>
      </w:r>
      <w:r w:rsidRPr="002F54F1">
        <w:rPr>
          <w:rFonts w:eastAsia="宋体"/>
          <w:color w:val="000000"/>
        </w:rPr>
        <w:t>D</w:t>
      </w:r>
      <w:r w:rsidRPr="002F54F1">
        <w:rPr>
          <w:rFonts w:eastAsia="宋体"/>
          <w:color w:val="000000"/>
        </w:rPr>
        <w:t>）条）。</w:t>
      </w:r>
    </w:p>
  </w:footnote>
  <w:footnote w:id="16">
    <w:p w14:paraId="342F9A72"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rPr>
        <w:t>可</w:t>
      </w:r>
      <w:r w:rsidRPr="002F54F1">
        <w:rPr>
          <w:rFonts w:eastAsia="宋体"/>
          <w:color w:val="000000"/>
        </w:rPr>
        <w:t>访问</w:t>
      </w:r>
      <w:r w:rsidRPr="002F54F1">
        <w:rPr>
          <w:rFonts w:eastAsia="宋体"/>
          <w:color w:val="0000FF"/>
          <w:u w:val="single"/>
        </w:rPr>
        <w:t>https://www.fda.gov/regulatory-information/search-fda-guidance-documents/least-burdensome-provisions-concept-and-principles</w:t>
      </w:r>
      <w:r w:rsidRPr="002F54F1">
        <w:rPr>
          <w:rFonts w:eastAsia="宋体"/>
          <w:color w:val="000000"/>
        </w:rPr>
        <w:t>.</w:t>
      </w:r>
    </w:p>
  </w:footnote>
  <w:footnote w:id="17">
    <w:p w14:paraId="2144E1EE" w14:textId="77777777" w:rsidR="00846E47" w:rsidRPr="002F54F1" w:rsidRDefault="00846E47" w:rsidP="002F54F1">
      <w:pPr>
        <w:shd w:val="clear" w:color="auto" w:fill="FFFFFF"/>
        <w:tabs>
          <w:tab w:val="left" w:pos="182"/>
        </w:tabs>
        <w:snapToGrid w:val="0"/>
        <w:jc w:val="both"/>
        <w:rPr>
          <w:rFonts w:eastAsia="宋体"/>
          <w:sz w:val="18"/>
          <w:szCs w:val="18"/>
        </w:rPr>
      </w:pPr>
      <w:r w:rsidRPr="002F54F1">
        <w:rPr>
          <w:rStyle w:val="a9"/>
          <w:rFonts w:eastAsia="宋体"/>
          <w:sz w:val="18"/>
          <w:szCs w:val="18"/>
        </w:rPr>
        <w:footnoteRef/>
      </w:r>
      <w:r w:rsidRPr="002F54F1">
        <w:rPr>
          <w:rFonts w:eastAsia="宋体"/>
          <w:sz w:val="18"/>
          <w:szCs w:val="18"/>
        </w:rPr>
        <w:t xml:space="preserve"> </w:t>
      </w:r>
      <w:r w:rsidRPr="002F54F1">
        <w:rPr>
          <w:rFonts w:eastAsia="宋体"/>
          <w:color w:val="000000"/>
          <w:sz w:val="18"/>
          <w:szCs w:val="18"/>
        </w:rPr>
        <w:t>此外，</w:t>
      </w:r>
      <w:r w:rsidRPr="002F54F1">
        <w:rPr>
          <w:rFonts w:eastAsia="宋体"/>
          <w:color w:val="000000"/>
          <w:sz w:val="18"/>
          <w:szCs w:val="18"/>
        </w:rPr>
        <w:t>FDA</w:t>
      </w:r>
      <w:r w:rsidRPr="002F54F1">
        <w:rPr>
          <w:rFonts w:eastAsia="宋体"/>
          <w:color w:val="000000"/>
          <w:sz w:val="18"/>
          <w:szCs w:val="18"/>
        </w:rPr>
        <w:t>在</w:t>
      </w:r>
      <w:r w:rsidRPr="002F54F1">
        <w:rPr>
          <w:rFonts w:eastAsia="宋体"/>
          <w:color w:val="000000"/>
          <w:sz w:val="18"/>
          <w:szCs w:val="18"/>
        </w:rPr>
        <w:t>21 CFR 860.7</w:t>
      </w:r>
      <w:r w:rsidRPr="002F54F1">
        <w:rPr>
          <w:rFonts w:eastAsia="宋体"/>
          <w:color w:val="000000"/>
          <w:sz w:val="18"/>
          <w:szCs w:val="18"/>
        </w:rPr>
        <w:t>（</w:t>
      </w:r>
      <w:r w:rsidRPr="002F54F1">
        <w:rPr>
          <w:rFonts w:eastAsia="宋体"/>
          <w:color w:val="000000"/>
          <w:sz w:val="18"/>
          <w:szCs w:val="18"/>
        </w:rPr>
        <w:t>d</w:t>
      </w:r>
      <w:r w:rsidRPr="002F54F1">
        <w:rPr>
          <w:rFonts w:eastAsia="宋体"/>
          <w:color w:val="000000"/>
          <w:sz w:val="18"/>
          <w:szCs w:val="18"/>
        </w:rPr>
        <w:t>）（</w:t>
      </w:r>
      <w:r w:rsidRPr="002F54F1">
        <w:rPr>
          <w:rFonts w:eastAsia="宋体"/>
          <w:color w:val="000000"/>
          <w:sz w:val="18"/>
          <w:szCs w:val="18"/>
        </w:rPr>
        <w:t>1</w:t>
      </w:r>
      <w:r w:rsidRPr="002F54F1">
        <w:rPr>
          <w:rFonts w:eastAsia="宋体"/>
          <w:color w:val="000000"/>
          <w:sz w:val="18"/>
          <w:szCs w:val="18"/>
        </w:rPr>
        <w:t>）中规定，</w:t>
      </w:r>
      <w:r w:rsidR="002F54F1" w:rsidRPr="002F54F1">
        <w:rPr>
          <w:rFonts w:eastAsia="宋体" w:hint="eastAsia"/>
          <w:color w:val="000000"/>
          <w:sz w:val="18"/>
          <w:szCs w:val="18"/>
        </w:rPr>
        <w:t>“</w:t>
      </w:r>
      <w:r w:rsidRPr="002F54F1">
        <w:rPr>
          <w:rFonts w:eastAsia="宋体"/>
          <w:color w:val="000000"/>
          <w:sz w:val="18"/>
          <w:szCs w:val="18"/>
        </w:rPr>
        <w:t>当根据有效的科学证据，可以确定在预定用途和使用条件下使用该器械可能带来的健康益处，并伴有适当的指示和警告，防止不安全使用，超过任何可能的风险时，就可以合理保证器械的安全。</w:t>
      </w:r>
      <w:r w:rsidR="002F54F1" w:rsidRPr="002F54F1">
        <w:rPr>
          <w:rFonts w:eastAsia="宋体" w:hint="eastAsia"/>
          <w:color w:val="000000"/>
          <w:sz w:val="18"/>
          <w:szCs w:val="18"/>
        </w:rPr>
        <w:t>”</w:t>
      </w:r>
      <w:r w:rsidRPr="002F54F1">
        <w:rPr>
          <w:rFonts w:eastAsia="宋体"/>
          <w:color w:val="000000"/>
          <w:sz w:val="18"/>
          <w:szCs w:val="18"/>
        </w:rPr>
        <w:t>关于器械有效性的进一步信息，请参见《</w:t>
      </w:r>
      <w:r w:rsidRPr="002F54F1">
        <w:rPr>
          <w:rFonts w:eastAsia="宋体"/>
          <w:color w:val="000000"/>
          <w:sz w:val="18"/>
          <w:szCs w:val="18"/>
        </w:rPr>
        <w:t>FD&amp;C</w:t>
      </w:r>
      <w:r w:rsidRPr="002F54F1">
        <w:rPr>
          <w:rFonts w:eastAsia="宋体"/>
          <w:color w:val="000000"/>
          <w:sz w:val="18"/>
          <w:szCs w:val="18"/>
        </w:rPr>
        <w:t>法案》第</w:t>
      </w:r>
      <w:r w:rsidRPr="002F54F1">
        <w:rPr>
          <w:rFonts w:eastAsia="宋体"/>
          <w:color w:val="000000"/>
          <w:sz w:val="18"/>
          <w:szCs w:val="18"/>
        </w:rPr>
        <w:t>513</w:t>
      </w:r>
      <w:r w:rsidRPr="002F54F1">
        <w:rPr>
          <w:rFonts w:eastAsia="宋体"/>
          <w:color w:val="000000"/>
          <w:sz w:val="18"/>
          <w:szCs w:val="18"/>
        </w:rPr>
        <w:t>（</w:t>
      </w:r>
      <w:r w:rsidRPr="002F54F1">
        <w:rPr>
          <w:rFonts w:eastAsia="宋体"/>
          <w:color w:val="000000"/>
          <w:sz w:val="18"/>
          <w:szCs w:val="18"/>
        </w:rPr>
        <w:t>a</w:t>
      </w:r>
      <w:r w:rsidRPr="002F54F1">
        <w:rPr>
          <w:rFonts w:eastAsia="宋体"/>
          <w:color w:val="000000"/>
          <w:sz w:val="18"/>
          <w:szCs w:val="18"/>
        </w:rPr>
        <w:t>）（</w:t>
      </w:r>
      <w:r w:rsidRPr="002F54F1">
        <w:rPr>
          <w:rFonts w:eastAsia="宋体"/>
          <w:color w:val="000000"/>
          <w:sz w:val="18"/>
          <w:szCs w:val="18"/>
        </w:rPr>
        <w:t>3</w:t>
      </w:r>
      <w:r w:rsidRPr="002F54F1">
        <w:rPr>
          <w:rFonts w:eastAsia="宋体"/>
          <w:color w:val="000000"/>
          <w:sz w:val="18"/>
          <w:szCs w:val="18"/>
        </w:rPr>
        <w:t>）条（</w:t>
      </w:r>
      <w:r w:rsidRPr="002F54F1">
        <w:rPr>
          <w:rFonts w:eastAsia="宋体"/>
          <w:color w:val="000000"/>
          <w:sz w:val="18"/>
          <w:szCs w:val="18"/>
        </w:rPr>
        <w:t>21 U.S.C. § 360c</w:t>
      </w:r>
      <w:r w:rsidRPr="002F54F1">
        <w:rPr>
          <w:rFonts w:eastAsia="宋体"/>
          <w:color w:val="000000"/>
          <w:sz w:val="18"/>
          <w:szCs w:val="18"/>
        </w:rPr>
        <w:t>（</w:t>
      </w:r>
      <w:r w:rsidRPr="002F54F1">
        <w:rPr>
          <w:rFonts w:eastAsia="宋体"/>
          <w:color w:val="000000"/>
          <w:sz w:val="18"/>
          <w:szCs w:val="18"/>
        </w:rPr>
        <w:t>a</w:t>
      </w:r>
      <w:r w:rsidRPr="002F54F1">
        <w:rPr>
          <w:rFonts w:eastAsia="宋体"/>
          <w:color w:val="000000"/>
          <w:sz w:val="18"/>
          <w:szCs w:val="18"/>
        </w:rPr>
        <w:t>）（</w:t>
      </w:r>
      <w:r w:rsidRPr="002F54F1">
        <w:rPr>
          <w:rFonts w:eastAsia="宋体"/>
          <w:color w:val="000000"/>
          <w:sz w:val="18"/>
          <w:szCs w:val="18"/>
        </w:rPr>
        <w:t>3</w:t>
      </w:r>
      <w:r w:rsidRPr="002F54F1">
        <w:rPr>
          <w:rFonts w:eastAsia="宋体"/>
          <w:color w:val="000000"/>
          <w:sz w:val="18"/>
          <w:szCs w:val="18"/>
        </w:rPr>
        <w:t>））（</w:t>
      </w:r>
      <w:r w:rsidRPr="002F54F1">
        <w:rPr>
          <w:rFonts w:eastAsia="宋体" w:hint="eastAsia"/>
          <w:color w:val="000000"/>
          <w:sz w:val="18"/>
          <w:szCs w:val="18"/>
        </w:rPr>
        <w:t>指出</w:t>
      </w:r>
      <w:r w:rsidRPr="002F54F1">
        <w:rPr>
          <w:rFonts w:eastAsia="宋体"/>
          <w:color w:val="000000"/>
          <w:sz w:val="18"/>
          <w:szCs w:val="18"/>
        </w:rPr>
        <w:t>有效性的确定应基于良好控制的调查或其他有效的科学证据，</w:t>
      </w:r>
      <w:r w:rsidR="002F54F1" w:rsidRPr="002F54F1">
        <w:rPr>
          <w:rFonts w:eastAsia="宋体" w:hint="eastAsia"/>
          <w:color w:val="000000"/>
          <w:sz w:val="18"/>
          <w:szCs w:val="18"/>
        </w:rPr>
        <w:t>“</w:t>
      </w:r>
      <w:r w:rsidRPr="002F54F1">
        <w:rPr>
          <w:rFonts w:eastAsia="宋体"/>
          <w:color w:val="000000"/>
          <w:sz w:val="18"/>
          <w:szCs w:val="18"/>
        </w:rPr>
        <w:t>合格的专家可以公平和负责任地得出结论，该器械在该器械标签规定、</w:t>
      </w:r>
      <w:r w:rsidRPr="002F54F1">
        <w:rPr>
          <w:rFonts w:eastAsia="宋体" w:hint="eastAsia"/>
          <w:color w:val="000000"/>
          <w:sz w:val="18"/>
          <w:szCs w:val="18"/>
        </w:rPr>
        <w:t>推荐</w:t>
      </w:r>
      <w:r w:rsidRPr="002F54F1">
        <w:rPr>
          <w:rFonts w:eastAsia="宋体"/>
          <w:color w:val="000000"/>
          <w:sz w:val="18"/>
          <w:szCs w:val="18"/>
        </w:rPr>
        <w:t>或建议的使用条件下会产生其声称或代表的效果</w:t>
      </w:r>
      <w:r w:rsidR="002F54F1" w:rsidRPr="002F54F1">
        <w:rPr>
          <w:rFonts w:eastAsia="宋体" w:hint="eastAsia"/>
          <w:color w:val="000000"/>
          <w:sz w:val="18"/>
          <w:szCs w:val="18"/>
        </w:rPr>
        <w:t>”</w:t>
      </w:r>
      <w:r w:rsidRPr="002F54F1">
        <w:rPr>
          <w:rFonts w:eastAsia="宋体"/>
          <w:color w:val="000000"/>
          <w:sz w:val="18"/>
          <w:szCs w:val="18"/>
        </w:rPr>
        <w:t>）和</w:t>
      </w:r>
      <w:r w:rsidRPr="002F54F1">
        <w:rPr>
          <w:rFonts w:eastAsia="宋体"/>
          <w:color w:val="000000"/>
          <w:sz w:val="18"/>
          <w:szCs w:val="18"/>
        </w:rPr>
        <w:t>21 CFR 860</w:t>
      </w:r>
      <w:r w:rsidRPr="002F54F1">
        <w:rPr>
          <w:rFonts w:eastAsia="宋体" w:hint="eastAsia"/>
          <w:color w:val="000000"/>
          <w:sz w:val="18"/>
          <w:szCs w:val="18"/>
        </w:rPr>
        <w:t>.</w:t>
      </w:r>
      <w:r w:rsidRPr="002F54F1">
        <w:rPr>
          <w:rFonts w:eastAsia="宋体"/>
          <w:color w:val="000000"/>
          <w:sz w:val="18"/>
          <w:szCs w:val="18"/>
        </w:rPr>
        <w:t>7</w:t>
      </w:r>
      <w:r w:rsidRPr="002F54F1">
        <w:rPr>
          <w:rFonts w:eastAsia="宋体"/>
          <w:color w:val="000000"/>
          <w:sz w:val="18"/>
          <w:szCs w:val="18"/>
        </w:rPr>
        <w:t>（</w:t>
      </w:r>
      <w:r w:rsidRPr="002F54F1">
        <w:rPr>
          <w:rFonts w:eastAsia="宋体"/>
          <w:color w:val="000000"/>
          <w:sz w:val="18"/>
          <w:szCs w:val="18"/>
        </w:rPr>
        <w:t>e</w:t>
      </w:r>
      <w:r w:rsidRPr="002F54F1">
        <w:rPr>
          <w:rFonts w:eastAsia="宋体"/>
          <w:color w:val="000000"/>
          <w:sz w:val="18"/>
          <w:szCs w:val="18"/>
        </w:rPr>
        <w:t>）（</w:t>
      </w:r>
      <w:r w:rsidRPr="002F54F1">
        <w:rPr>
          <w:rFonts w:eastAsia="宋体"/>
          <w:color w:val="000000"/>
          <w:sz w:val="18"/>
          <w:szCs w:val="18"/>
        </w:rPr>
        <w:t>1</w:t>
      </w:r>
      <w:r w:rsidRPr="002F54F1">
        <w:rPr>
          <w:rFonts w:eastAsia="宋体"/>
          <w:color w:val="000000"/>
          <w:sz w:val="18"/>
          <w:szCs w:val="18"/>
        </w:rPr>
        <w:t>）（指出</w:t>
      </w:r>
      <w:r w:rsidR="0058043D">
        <w:rPr>
          <w:rFonts w:eastAsia="宋体" w:hint="eastAsia"/>
          <w:color w:val="000000"/>
          <w:sz w:val="18"/>
          <w:szCs w:val="18"/>
        </w:rPr>
        <w:t>“</w:t>
      </w:r>
      <w:r w:rsidRPr="002F54F1">
        <w:rPr>
          <w:rFonts w:eastAsia="宋体"/>
          <w:color w:val="000000"/>
          <w:sz w:val="18"/>
          <w:szCs w:val="18"/>
        </w:rPr>
        <w:t>当根据有效的科学证据可以确定，在很大一部分目标人群中，按照预期的用途和使用条件使用该器械，并配以适当的使用说明和针对不安全使用的警告，将提供有临床意义的结果</w:t>
      </w:r>
      <w:r w:rsidR="002F54F1" w:rsidRPr="0058043D">
        <w:rPr>
          <w:rFonts w:eastAsia="宋体" w:hint="eastAsia"/>
          <w:color w:val="000000"/>
          <w:sz w:val="18"/>
          <w:szCs w:val="18"/>
        </w:rPr>
        <w:t>”</w:t>
      </w:r>
      <w:r w:rsidRPr="002F54F1">
        <w:rPr>
          <w:rFonts w:eastAsia="宋体"/>
          <w:color w:val="000000"/>
          <w:sz w:val="18"/>
          <w:szCs w:val="18"/>
        </w:rPr>
        <w:t>，就可以合理地保证该器械的有效性。）</w:t>
      </w:r>
    </w:p>
  </w:footnote>
  <w:footnote w:id="18">
    <w:p w14:paraId="6A9C2B1E" w14:textId="77777777" w:rsidR="00846E47" w:rsidRPr="002F54F1" w:rsidRDefault="00846E47" w:rsidP="002F54F1">
      <w:pPr>
        <w:shd w:val="clear" w:color="auto" w:fill="FFFFFF"/>
        <w:tabs>
          <w:tab w:val="left" w:pos="182"/>
        </w:tabs>
        <w:snapToGrid w:val="0"/>
        <w:jc w:val="both"/>
        <w:rPr>
          <w:rFonts w:eastAsia="宋体"/>
          <w:sz w:val="18"/>
          <w:szCs w:val="18"/>
        </w:rPr>
      </w:pPr>
      <w:r w:rsidRPr="002F54F1">
        <w:rPr>
          <w:rStyle w:val="a9"/>
          <w:rFonts w:eastAsia="宋体"/>
          <w:sz w:val="18"/>
          <w:szCs w:val="18"/>
        </w:rPr>
        <w:footnoteRef/>
      </w:r>
      <w:r w:rsidRPr="002F54F1">
        <w:rPr>
          <w:rFonts w:eastAsia="宋体"/>
          <w:sz w:val="18"/>
          <w:szCs w:val="18"/>
        </w:rPr>
        <w:t xml:space="preserve"> </w:t>
      </w:r>
      <w:r w:rsidRPr="002F54F1">
        <w:rPr>
          <w:rFonts w:eastAsia="宋体"/>
          <w:color w:val="000000"/>
          <w:sz w:val="18"/>
          <w:szCs w:val="18"/>
        </w:rPr>
        <w:t>访问</w:t>
      </w:r>
      <w:r w:rsidRPr="002F54F1">
        <w:rPr>
          <w:rFonts w:eastAsia="宋体" w:hint="eastAsia"/>
          <w:color w:val="000000"/>
          <w:sz w:val="18"/>
          <w:szCs w:val="18"/>
        </w:rPr>
        <w:br/>
      </w:r>
      <w:r w:rsidRPr="002F54F1">
        <w:rPr>
          <w:rFonts w:eastAsia="宋体"/>
          <w:color w:val="0000FF"/>
          <w:sz w:val="18"/>
          <w:szCs w:val="18"/>
          <w:u w:val="single"/>
        </w:rPr>
        <w:t>https://www.fda.gov/regulatory-information/search-fda-guidance-documents/factors-consider-when-making-benefit-risk-determinations-medical-device-premarket-approval-and-de</w:t>
      </w:r>
      <w:r w:rsidRPr="002F54F1">
        <w:rPr>
          <w:rFonts w:eastAsia="宋体"/>
          <w:color w:val="000000"/>
          <w:sz w:val="18"/>
          <w:szCs w:val="18"/>
        </w:rPr>
        <w:t>.</w:t>
      </w:r>
    </w:p>
  </w:footnote>
  <w:footnote w:id="19">
    <w:p w14:paraId="042F1EEE" w14:textId="77777777" w:rsidR="00846E47" w:rsidRPr="002F54F1" w:rsidRDefault="00846E47" w:rsidP="002F54F1">
      <w:pPr>
        <w:pStyle w:val="a7"/>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见，例如：</w:t>
      </w:r>
      <w:r w:rsidRPr="002F54F1">
        <w:rPr>
          <w:rFonts w:eastAsia="宋体"/>
          <w:color w:val="000000"/>
        </w:rPr>
        <w:t>在对医疗器械调查性器械豁免进行获益风险判断时应考虑的因素（可访问</w:t>
      </w:r>
      <w:r w:rsidRPr="002F54F1">
        <w:rPr>
          <w:rFonts w:eastAsia="宋体"/>
          <w:color w:val="0000FF"/>
          <w:u w:val="single"/>
        </w:rPr>
        <w:t>https://www.fda.gov/regulatory-information/search-fda-guidance-documents/factors-consider-when-making-benefit-risk-determinations-medical-device-investigational-device</w:t>
      </w:r>
      <w:r w:rsidRPr="002F54F1">
        <w:rPr>
          <w:rFonts w:eastAsia="宋体"/>
          <w:color w:val="000000"/>
        </w:rPr>
        <w:t>）；在确定具有不同技术特征的上市前通知</w:t>
      </w:r>
      <w:r w:rsidRPr="002F54F1">
        <w:rPr>
          <w:rFonts w:eastAsia="宋体"/>
          <w:color w:val="000000"/>
        </w:rPr>
        <w:t>/[510</w:t>
      </w:r>
      <w:r w:rsidRPr="002F54F1">
        <w:rPr>
          <w:rFonts w:eastAsia="宋体"/>
          <w:color w:val="000000"/>
        </w:rPr>
        <w:t>（</w:t>
      </w:r>
      <w:r w:rsidRPr="002F54F1">
        <w:rPr>
          <w:rFonts w:eastAsia="宋体"/>
          <w:color w:val="000000"/>
        </w:rPr>
        <w:t>k</w:t>
      </w:r>
      <w:r w:rsidRPr="002F54F1">
        <w:rPr>
          <w:rFonts w:eastAsia="宋体"/>
          <w:color w:val="000000"/>
        </w:rPr>
        <w:t>）</w:t>
      </w:r>
      <w:r w:rsidRPr="002F54F1">
        <w:rPr>
          <w:rFonts w:eastAsia="宋体"/>
          <w:color w:val="000000"/>
        </w:rPr>
        <w:t>]</w:t>
      </w:r>
      <w:r w:rsidRPr="002F54F1">
        <w:rPr>
          <w:rFonts w:eastAsia="宋体"/>
          <w:color w:val="000000"/>
        </w:rPr>
        <w:t>中的实质等</w:t>
      </w:r>
      <w:r w:rsidRPr="002F54F1">
        <w:rPr>
          <w:rFonts w:eastAsia="宋体" w:hint="eastAsia"/>
          <w:color w:val="000000"/>
        </w:rPr>
        <w:t>效</w:t>
      </w:r>
      <w:r w:rsidRPr="002F54F1">
        <w:rPr>
          <w:rFonts w:eastAsia="宋体"/>
          <w:color w:val="000000"/>
        </w:rPr>
        <w:t>性时应考虑的获益风险因素（可访问</w:t>
      </w:r>
      <w:r w:rsidRPr="002F54F1">
        <w:rPr>
          <w:rFonts w:eastAsia="宋体"/>
          <w:color w:val="0000FF"/>
          <w:u w:val="single"/>
        </w:rPr>
        <w:t>https://www.fda.gov/regulatory-information/search-fda-guidance-documents/benefit-risk-factors-consider-when-determining-substantial-equivalence-premarket-notifications-510k</w:t>
      </w:r>
      <w:r w:rsidRPr="002F54F1">
        <w:rPr>
          <w:rFonts w:eastAsia="宋体"/>
          <w:color w:val="000000"/>
        </w:rPr>
        <w:t>）；早期可行性医疗器械临床研究的临床试验用器械豁免（</w:t>
      </w:r>
      <w:r w:rsidRPr="002F54F1">
        <w:rPr>
          <w:rFonts w:eastAsia="宋体"/>
          <w:color w:val="000000"/>
        </w:rPr>
        <w:t>IDE</w:t>
      </w:r>
      <w:r w:rsidRPr="002F54F1">
        <w:rPr>
          <w:rFonts w:eastAsia="宋体"/>
          <w:color w:val="000000"/>
        </w:rPr>
        <w:t>），包括某些首次进入人体（</w:t>
      </w:r>
      <w:r w:rsidRPr="002F54F1">
        <w:rPr>
          <w:rFonts w:eastAsia="宋体"/>
          <w:color w:val="000000"/>
        </w:rPr>
        <w:t>FIH</w:t>
      </w:r>
      <w:r w:rsidRPr="002F54F1">
        <w:rPr>
          <w:rFonts w:eastAsia="宋体"/>
          <w:color w:val="000000"/>
        </w:rPr>
        <w:t>）研究（可访问</w:t>
      </w:r>
      <w:r w:rsidRPr="002F54F1">
        <w:rPr>
          <w:rFonts w:eastAsia="宋体"/>
          <w:color w:val="0000FF"/>
          <w:u w:val="single"/>
        </w:rPr>
        <w:t>https://www.fda</w:t>
      </w:r>
      <w:r w:rsidRPr="002F54F1">
        <w:rPr>
          <w:rFonts w:eastAsia="宋体"/>
          <w:color w:val="0000FF"/>
          <w:u w:val="single"/>
        </w:rPr>
        <w:t>。</w:t>
      </w:r>
      <w:r w:rsidRPr="002F54F1">
        <w:rPr>
          <w:rFonts w:eastAsia="宋体"/>
          <w:color w:val="0000FF"/>
          <w:u w:val="single"/>
        </w:rPr>
        <w:t>gov/regulatory-information/search-fda-guidance-documents/investigational-device-exemptions-ides-early-feasibility-medical-device-clinical-studies-including</w:t>
      </w:r>
      <w:r w:rsidRPr="002F54F1">
        <w:rPr>
          <w:rFonts w:eastAsia="宋体"/>
          <w:color w:val="000000"/>
          <w:u w:val="single"/>
        </w:rPr>
        <w:t>）</w:t>
      </w:r>
      <w:r w:rsidRPr="002F54F1">
        <w:rPr>
          <w:rFonts w:eastAsia="宋体"/>
          <w:color w:val="000000"/>
        </w:rPr>
        <w:t>；在医疗器械产品供应、合规和执行决定中考虑获益风险的因素（可访问</w:t>
      </w:r>
      <w:r w:rsidRPr="002F54F1">
        <w:rPr>
          <w:rFonts w:eastAsia="宋体"/>
          <w:color w:val="0000FF"/>
          <w:u w:val="single"/>
        </w:rPr>
        <w:t>https://www.fda.gov/regulatory-information/search-fda-guidance-documents/factors-consider-regarding-benefit-risk-medical-device-product-availability-compliance-and</w:t>
      </w:r>
      <w:r w:rsidRPr="002F54F1">
        <w:rPr>
          <w:rFonts w:eastAsia="宋体"/>
          <w:color w:val="000000"/>
          <w:u w:val="single"/>
        </w:rPr>
        <w:t>）</w:t>
      </w:r>
      <w:r w:rsidRPr="002F54F1">
        <w:rPr>
          <w:rFonts w:eastAsia="宋体"/>
          <w:color w:val="000000"/>
        </w:rPr>
        <w:t>；医疗器械开发工具的鉴定（可访问</w:t>
      </w:r>
      <w:r w:rsidRPr="002F54F1">
        <w:rPr>
          <w:rFonts w:eastAsia="宋体"/>
          <w:color w:val="0000FF"/>
          <w:u w:val="single"/>
        </w:rPr>
        <w:t>https://www.fda.gov/regulatory-information/search-fda-guidance-documents/qualification-medical-device-development-tools</w:t>
      </w:r>
      <w:r w:rsidRPr="002F54F1">
        <w:rPr>
          <w:rFonts w:eastAsia="宋体"/>
          <w:color w:val="000000"/>
        </w:rPr>
        <w:t>）；以及患者偏好信息</w:t>
      </w:r>
      <w:r w:rsidRPr="002F54F1">
        <w:rPr>
          <w:rFonts w:eastAsia="宋体"/>
          <w:color w:val="000000"/>
        </w:rPr>
        <w:t>-</w:t>
      </w:r>
      <w:r w:rsidRPr="002F54F1">
        <w:rPr>
          <w:rFonts w:eastAsia="宋体"/>
          <w:color w:val="000000"/>
        </w:rPr>
        <w:t>自愿</w:t>
      </w:r>
      <w:r w:rsidRPr="002F54F1">
        <w:rPr>
          <w:rFonts w:eastAsia="宋体" w:hint="eastAsia"/>
          <w:color w:val="000000"/>
        </w:rPr>
        <w:t>申请</w:t>
      </w:r>
      <w:r w:rsidRPr="002F54F1">
        <w:rPr>
          <w:rFonts w:eastAsia="宋体"/>
          <w:color w:val="000000"/>
        </w:rPr>
        <w:t>，在上市前批准申请、人道主义器械豁免申请和</w:t>
      </w:r>
      <w:r w:rsidRPr="002F54F1">
        <w:rPr>
          <w:rFonts w:eastAsia="宋体"/>
          <w:i/>
          <w:color w:val="000000"/>
        </w:rPr>
        <w:t>重</w:t>
      </w:r>
      <w:r w:rsidRPr="002F54F1">
        <w:rPr>
          <w:rFonts w:eastAsia="宋体"/>
          <w:i/>
          <w:iCs/>
          <w:color w:val="000000"/>
        </w:rPr>
        <w:t>新分类申请</w:t>
      </w:r>
      <w:r w:rsidRPr="002F54F1">
        <w:rPr>
          <w:rFonts w:eastAsia="宋体"/>
          <w:color w:val="000000"/>
        </w:rPr>
        <w:t>中审查，并纳入决定总结和器械标签（可访问</w:t>
      </w:r>
      <w:r w:rsidRPr="002F54F1">
        <w:rPr>
          <w:rFonts w:eastAsia="宋体"/>
          <w:color w:val="0000FF"/>
          <w:u w:val="single"/>
        </w:rPr>
        <w:t>https://www.fda.gov/regulatory-information/search-fda-guidance-documents/patient-preference-information-voluntary-submission-review-premarket-approval-applications</w:t>
      </w:r>
      <w:r w:rsidRPr="002F54F1">
        <w:rPr>
          <w:rFonts w:eastAsia="宋体"/>
          <w:color w:val="000000"/>
        </w:rPr>
        <w:t>）。</w:t>
      </w:r>
      <w:r w:rsidRPr="002F54F1">
        <w:rPr>
          <w:rFonts w:eastAsia="宋体"/>
          <w:color w:val="000000"/>
        </w:rPr>
        <w:t xml:space="preserve"> </w:t>
      </w:r>
    </w:p>
  </w:footnote>
  <w:footnote w:id="20">
    <w:p w14:paraId="1EC23BB2"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大多数低风险器械在上市前免于接受</w:t>
      </w:r>
      <w:r w:rsidRPr="002F54F1">
        <w:rPr>
          <w:rFonts w:eastAsia="宋体"/>
          <w:color w:val="000000"/>
        </w:rPr>
        <w:t>FDA</w:t>
      </w:r>
      <w:r w:rsidRPr="002F54F1">
        <w:rPr>
          <w:rFonts w:eastAsia="宋体"/>
          <w:color w:val="000000"/>
        </w:rPr>
        <w:t>审查，尽管制造商仍需遵守某些要求。许多中度风险器械的制造商可以通过证明他们的器械与合法上市的</w:t>
      </w:r>
      <w:r w:rsidRPr="002F54F1">
        <w:rPr>
          <w:rFonts w:ascii="宋体" w:eastAsia="宋体" w:hAnsi="宋体"/>
          <w:color w:val="000000"/>
        </w:rPr>
        <w:t>“实质等</w:t>
      </w:r>
      <w:r w:rsidRPr="002F54F1">
        <w:rPr>
          <w:rFonts w:ascii="宋体" w:eastAsia="宋体" w:hAnsi="宋体" w:hint="eastAsia"/>
          <w:color w:val="000000"/>
        </w:rPr>
        <w:t>效</w:t>
      </w:r>
      <w:r w:rsidRPr="002F54F1">
        <w:rPr>
          <w:rFonts w:ascii="宋体" w:eastAsia="宋体" w:hAnsi="宋体"/>
          <w:color w:val="000000"/>
        </w:rPr>
        <w:t>”</w:t>
      </w:r>
      <w:r w:rsidRPr="002F54F1">
        <w:rPr>
          <w:rFonts w:eastAsia="宋体"/>
          <w:color w:val="000000"/>
        </w:rPr>
        <w:t>器械（例如，已经被</w:t>
      </w:r>
      <w:r w:rsidRPr="002F54F1">
        <w:rPr>
          <w:rFonts w:eastAsia="宋体"/>
          <w:color w:val="000000"/>
        </w:rPr>
        <w:t>FDA</w:t>
      </w:r>
      <w:r w:rsidRPr="002F54F1">
        <w:rPr>
          <w:rFonts w:eastAsia="宋体"/>
          <w:color w:val="000000"/>
        </w:rPr>
        <w:t>批准的器械）基本等同而获得上市许可，这通常可以通过非临床测试实现。</w:t>
      </w:r>
    </w:p>
  </w:footnote>
  <w:footnote w:id="21">
    <w:p w14:paraId="1C78EE16" w14:textId="77777777" w:rsidR="00846E47" w:rsidRPr="002F54F1" w:rsidRDefault="00846E47" w:rsidP="002F54F1">
      <w:pPr>
        <w:shd w:val="clear" w:color="auto" w:fill="FFFFFF"/>
        <w:tabs>
          <w:tab w:val="left" w:pos="182"/>
        </w:tabs>
        <w:snapToGrid w:val="0"/>
        <w:jc w:val="both"/>
        <w:rPr>
          <w:rFonts w:eastAsia="宋体"/>
          <w:sz w:val="18"/>
          <w:szCs w:val="18"/>
        </w:rPr>
      </w:pPr>
      <w:r w:rsidRPr="002F54F1">
        <w:rPr>
          <w:rStyle w:val="a9"/>
          <w:rFonts w:eastAsia="宋体"/>
          <w:sz w:val="18"/>
          <w:szCs w:val="18"/>
        </w:rPr>
        <w:footnoteRef/>
      </w:r>
      <w:r w:rsidRPr="002F54F1">
        <w:rPr>
          <w:rFonts w:eastAsia="宋体"/>
          <w:sz w:val="18"/>
          <w:szCs w:val="18"/>
        </w:rPr>
        <w:t xml:space="preserve"> </w:t>
      </w:r>
      <w:r w:rsidRPr="002F54F1">
        <w:rPr>
          <w:rFonts w:eastAsia="宋体"/>
          <w:color w:val="000000"/>
          <w:sz w:val="18"/>
          <w:szCs w:val="18"/>
        </w:rPr>
        <w:t>FDA</w:t>
      </w:r>
      <w:r w:rsidRPr="002F54F1">
        <w:rPr>
          <w:rFonts w:eastAsia="宋体"/>
          <w:color w:val="000000"/>
          <w:sz w:val="18"/>
          <w:szCs w:val="18"/>
        </w:rPr>
        <w:t>支</w:t>
      </w:r>
      <w:r w:rsidR="00881EA3" w:rsidRPr="0006004F">
        <w:rPr>
          <w:rFonts w:ascii="宋体" w:hAnsi="宋体" w:hint="eastAsia"/>
          <w:color w:val="000000"/>
          <w:sz w:val="18"/>
        </w:rPr>
        <w:t>持</w:t>
      </w:r>
      <w:r w:rsidR="00881EA3" w:rsidRPr="0006004F">
        <w:rPr>
          <w:rFonts w:ascii="宋体" w:hAnsi="宋体"/>
          <w:color w:val="000000"/>
          <w:sz w:val="18"/>
        </w:rPr>
        <w:t>“</w:t>
      </w:r>
      <w:r w:rsidRPr="002F54F1">
        <w:rPr>
          <w:rFonts w:eastAsia="宋体"/>
          <w:color w:val="000000"/>
          <w:sz w:val="18"/>
          <w:szCs w:val="18"/>
        </w:rPr>
        <w:t>3R</w:t>
      </w:r>
      <w:r w:rsidR="00881EA3" w:rsidRPr="0006004F">
        <w:rPr>
          <w:rFonts w:ascii="宋体" w:hAnsi="宋体"/>
          <w:color w:val="000000"/>
          <w:sz w:val="18"/>
        </w:rPr>
        <w:t>”</w:t>
      </w:r>
      <w:r w:rsidR="00881EA3" w:rsidRPr="0006004F">
        <w:rPr>
          <w:rFonts w:ascii="宋体" w:hAnsi="宋体" w:hint="eastAsia"/>
          <w:color w:val="000000"/>
          <w:sz w:val="18"/>
        </w:rPr>
        <w:t>原</w:t>
      </w:r>
      <w:r w:rsidRPr="002F54F1">
        <w:rPr>
          <w:rFonts w:eastAsia="宋体"/>
          <w:color w:val="000000"/>
          <w:sz w:val="18"/>
          <w:szCs w:val="18"/>
        </w:rPr>
        <w:t>则，以在可行时减少、改善并替代使用动物进行试验。如果</w:t>
      </w:r>
      <w:r w:rsidR="005D7A68">
        <w:rPr>
          <w:rFonts w:eastAsia="宋体"/>
          <w:color w:val="000000"/>
          <w:sz w:val="18"/>
          <w:szCs w:val="18"/>
        </w:rPr>
        <w:t>申办方</w:t>
      </w:r>
      <w:r w:rsidRPr="002F54F1">
        <w:rPr>
          <w:rFonts w:eastAsia="宋体"/>
          <w:color w:val="000000"/>
          <w:sz w:val="18"/>
          <w:szCs w:val="18"/>
        </w:rPr>
        <w:t>希望使用他们认为合适、充分、经过</w:t>
      </w:r>
      <w:r w:rsidRPr="002F54F1">
        <w:rPr>
          <w:rFonts w:eastAsia="宋体" w:hint="eastAsia"/>
          <w:color w:val="000000"/>
          <w:sz w:val="18"/>
          <w:szCs w:val="18"/>
        </w:rPr>
        <w:t>确认</w:t>
      </w:r>
      <w:r w:rsidRPr="002F54F1">
        <w:rPr>
          <w:rFonts w:eastAsia="宋体"/>
          <w:color w:val="000000"/>
          <w:sz w:val="18"/>
          <w:szCs w:val="18"/>
        </w:rPr>
        <w:t>和可行的非动物试验方法，我们鼓励他们与我们协商。我局将考虑是否可评估这种替代方法与动物试验方法的实质等效性。</w:t>
      </w:r>
    </w:p>
  </w:footnote>
  <w:footnote w:id="22">
    <w:p w14:paraId="66529456"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《安全医疗器械法》于</w:t>
      </w:r>
      <w:r w:rsidRPr="002F54F1">
        <w:rPr>
          <w:rFonts w:eastAsia="宋体"/>
          <w:color w:val="000000"/>
        </w:rPr>
        <w:t>1990</w:t>
      </w:r>
      <w:r w:rsidRPr="002F54F1">
        <w:rPr>
          <w:rFonts w:eastAsia="宋体"/>
          <w:color w:val="000000"/>
        </w:rPr>
        <w:t>年</w:t>
      </w:r>
      <w:r w:rsidRPr="002F54F1">
        <w:rPr>
          <w:rFonts w:eastAsia="宋体"/>
          <w:color w:val="000000"/>
        </w:rPr>
        <w:t>11</w:t>
      </w:r>
      <w:r w:rsidRPr="002F54F1">
        <w:rPr>
          <w:rFonts w:eastAsia="宋体"/>
          <w:color w:val="000000"/>
        </w:rPr>
        <w:t>月</w:t>
      </w:r>
      <w:r w:rsidRPr="002F54F1">
        <w:rPr>
          <w:rFonts w:eastAsia="宋体"/>
          <w:color w:val="000000"/>
        </w:rPr>
        <w:t>28</w:t>
      </w:r>
      <w:r w:rsidRPr="002F54F1">
        <w:rPr>
          <w:rFonts w:eastAsia="宋体"/>
          <w:color w:val="000000"/>
        </w:rPr>
        <w:t>日颁布，第</w:t>
      </w:r>
      <w:r w:rsidRPr="002F54F1">
        <w:rPr>
          <w:rFonts w:eastAsia="宋体"/>
          <w:color w:val="000000"/>
        </w:rPr>
        <w:t>520</w:t>
      </w:r>
      <w:r w:rsidRPr="002F54F1">
        <w:rPr>
          <w:rFonts w:eastAsia="宋体"/>
          <w:color w:val="000000"/>
        </w:rPr>
        <w:t>（</w:t>
      </w:r>
      <w:r w:rsidRPr="002F54F1">
        <w:rPr>
          <w:rFonts w:eastAsia="宋体"/>
          <w:color w:val="000000"/>
        </w:rPr>
        <w:t>m</w:t>
      </w:r>
      <w:r w:rsidRPr="002F54F1">
        <w:rPr>
          <w:rFonts w:eastAsia="宋体"/>
          <w:color w:val="000000"/>
        </w:rPr>
        <w:t>）条由</w:t>
      </w:r>
      <w:r w:rsidRPr="002F54F1">
        <w:rPr>
          <w:rFonts w:eastAsia="宋体"/>
          <w:color w:val="000000"/>
        </w:rPr>
        <w:t>FDAMA</w:t>
      </w:r>
      <w:r w:rsidRPr="002F54F1">
        <w:rPr>
          <w:rFonts w:eastAsia="宋体"/>
          <w:color w:val="000000"/>
        </w:rPr>
        <w:t>（公法</w:t>
      </w:r>
      <w:r w:rsidRPr="002F54F1">
        <w:rPr>
          <w:rFonts w:eastAsia="宋体"/>
          <w:color w:val="000000"/>
        </w:rPr>
        <w:t>105-115</w:t>
      </w:r>
      <w:r w:rsidRPr="002F54F1">
        <w:rPr>
          <w:rFonts w:eastAsia="宋体"/>
          <w:color w:val="000000"/>
        </w:rPr>
        <w:t>）、</w:t>
      </w:r>
      <w:r w:rsidRPr="002F54F1">
        <w:rPr>
          <w:rFonts w:eastAsia="宋体"/>
          <w:color w:val="000000"/>
        </w:rPr>
        <w:t>2007</w:t>
      </w:r>
      <w:r w:rsidRPr="002F54F1">
        <w:rPr>
          <w:rFonts w:eastAsia="宋体"/>
          <w:color w:val="000000"/>
        </w:rPr>
        <w:t>年</w:t>
      </w:r>
      <w:r w:rsidRPr="002F54F1">
        <w:rPr>
          <w:rFonts w:eastAsia="宋体" w:hint="eastAsia"/>
          <w:color w:val="000000"/>
        </w:rPr>
        <w:t>《</w:t>
      </w:r>
      <w:r w:rsidRPr="002F54F1">
        <w:rPr>
          <w:rFonts w:eastAsia="宋体"/>
          <w:color w:val="000000"/>
        </w:rPr>
        <w:t>食品和药品管理修正法</w:t>
      </w:r>
      <w:r w:rsidRPr="002F54F1">
        <w:rPr>
          <w:rFonts w:eastAsia="宋体" w:hint="eastAsia"/>
          <w:color w:val="000000"/>
        </w:rPr>
        <w:t>》</w:t>
      </w:r>
      <w:r w:rsidRPr="002F54F1">
        <w:rPr>
          <w:rFonts w:eastAsia="宋体"/>
          <w:color w:val="000000"/>
        </w:rPr>
        <w:t>（</w:t>
      </w:r>
      <w:r w:rsidRPr="002F54F1">
        <w:rPr>
          <w:rFonts w:eastAsia="宋体"/>
          <w:color w:val="000000"/>
        </w:rPr>
        <w:t>FDAAA</w:t>
      </w:r>
      <w:r w:rsidRPr="002F54F1">
        <w:rPr>
          <w:rFonts w:eastAsia="宋体"/>
          <w:color w:val="000000"/>
        </w:rPr>
        <w:t>）（公法</w:t>
      </w:r>
      <w:r w:rsidRPr="002F54F1">
        <w:rPr>
          <w:rFonts w:eastAsia="宋体"/>
          <w:color w:val="000000"/>
        </w:rPr>
        <w:t>110-85</w:t>
      </w:r>
      <w:r w:rsidRPr="002F54F1">
        <w:rPr>
          <w:rFonts w:eastAsia="宋体"/>
          <w:color w:val="000000"/>
        </w:rPr>
        <w:t>）、</w:t>
      </w:r>
      <w:r w:rsidRPr="002F54F1">
        <w:rPr>
          <w:rFonts w:eastAsia="宋体"/>
          <w:color w:val="000000"/>
        </w:rPr>
        <w:t>FDASIA</w:t>
      </w:r>
      <w:r w:rsidRPr="002F54F1">
        <w:rPr>
          <w:rFonts w:eastAsia="宋体"/>
          <w:color w:val="000000"/>
        </w:rPr>
        <w:t>（公法</w:t>
      </w:r>
      <w:r w:rsidRPr="002F54F1">
        <w:rPr>
          <w:rFonts w:eastAsia="宋体"/>
          <w:color w:val="000000"/>
        </w:rPr>
        <w:t>112-144</w:t>
      </w:r>
      <w:r w:rsidRPr="002F54F1">
        <w:rPr>
          <w:rFonts w:eastAsia="宋体"/>
          <w:color w:val="000000"/>
        </w:rPr>
        <w:t>）、治愈法（公法</w:t>
      </w:r>
      <w:r w:rsidRPr="002F54F1">
        <w:rPr>
          <w:rFonts w:eastAsia="宋体"/>
          <w:color w:val="000000"/>
        </w:rPr>
        <w:t>114-255</w:t>
      </w:r>
      <w:r w:rsidRPr="002F54F1">
        <w:rPr>
          <w:rFonts w:eastAsia="宋体"/>
          <w:color w:val="000000"/>
        </w:rPr>
        <w:t>）和</w:t>
      </w:r>
      <w:r w:rsidRPr="002F54F1">
        <w:rPr>
          <w:rFonts w:eastAsia="宋体"/>
          <w:color w:val="000000"/>
        </w:rPr>
        <w:t>2017</w:t>
      </w:r>
      <w:r w:rsidRPr="002F54F1">
        <w:rPr>
          <w:rFonts w:eastAsia="宋体"/>
          <w:color w:val="000000"/>
        </w:rPr>
        <w:t>年</w:t>
      </w:r>
      <w:r w:rsidRPr="002F54F1">
        <w:rPr>
          <w:rFonts w:eastAsia="宋体" w:hint="eastAsia"/>
          <w:color w:val="000000"/>
        </w:rPr>
        <w:t>《</w:t>
      </w:r>
      <w:r w:rsidRPr="002F54F1">
        <w:rPr>
          <w:rFonts w:eastAsia="宋体"/>
          <w:color w:val="000000"/>
        </w:rPr>
        <w:t>FDA</w:t>
      </w:r>
      <w:r w:rsidRPr="002F54F1">
        <w:rPr>
          <w:rFonts w:eastAsia="宋体"/>
          <w:color w:val="000000"/>
        </w:rPr>
        <w:t>再授权法</w:t>
      </w:r>
      <w:r w:rsidRPr="002F54F1">
        <w:rPr>
          <w:rFonts w:eastAsia="宋体" w:hint="eastAsia"/>
          <w:color w:val="000000"/>
        </w:rPr>
        <w:t>》</w:t>
      </w:r>
      <w:r w:rsidRPr="002F54F1">
        <w:rPr>
          <w:rFonts w:eastAsia="宋体"/>
          <w:color w:val="000000"/>
        </w:rPr>
        <w:t>（</w:t>
      </w:r>
      <w:r w:rsidRPr="002F54F1">
        <w:rPr>
          <w:rFonts w:eastAsia="宋体"/>
          <w:color w:val="000000"/>
        </w:rPr>
        <w:t>FDARA</w:t>
      </w:r>
      <w:r w:rsidRPr="002F54F1">
        <w:rPr>
          <w:rFonts w:eastAsia="宋体"/>
          <w:color w:val="000000"/>
        </w:rPr>
        <w:t>）（公法</w:t>
      </w:r>
      <w:r w:rsidRPr="002F54F1">
        <w:rPr>
          <w:rFonts w:eastAsia="宋体"/>
          <w:color w:val="000000"/>
        </w:rPr>
        <w:t>115-52</w:t>
      </w:r>
      <w:r w:rsidRPr="002F54F1">
        <w:rPr>
          <w:rFonts w:eastAsia="宋体"/>
          <w:color w:val="000000"/>
        </w:rPr>
        <w:t>）进一步修正。</w:t>
      </w:r>
    </w:p>
  </w:footnote>
  <w:footnote w:id="23">
    <w:p w14:paraId="091198FD" w14:textId="77777777" w:rsidR="00973B28" w:rsidRDefault="00846E47" w:rsidP="0006004F">
      <w:pPr>
        <w:pStyle w:val="a7"/>
        <w:jc w:val="both"/>
        <w:rPr>
          <w:rFonts w:eastAsia="宋体"/>
        </w:rPr>
      </w:pPr>
      <w:r w:rsidRPr="002F54F1">
        <w:rPr>
          <w:rStyle w:val="a9"/>
          <w:rFonts w:eastAsia="宋体"/>
        </w:rPr>
        <w:footnoteRef/>
      </w:r>
      <w:r w:rsidRPr="002F54F1">
        <w:rPr>
          <w:rFonts w:eastAsia="宋体" w:hint="eastAsia"/>
          <w:color w:val="000000"/>
        </w:rPr>
        <w:t xml:space="preserve"> </w:t>
      </w:r>
      <w:r w:rsidRPr="002F54F1">
        <w:rPr>
          <w:rFonts w:eastAsia="宋体"/>
          <w:color w:val="000000"/>
        </w:rPr>
        <w:t>HDE</w:t>
      </w:r>
      <w:r w:rsidRPr="002F54F1">
        <w:rPr>
          <w:rFonts w:eastAsia="宋体"/>
          <w:color w:val="000000"/>
        </w:rPr>
        <w:t>条款规定，为了批准</w:t>
      </w:r>
      <w:r w:rsidRPr="002F54F1">
        <w:rPr>
          <w:rFonts w:eastAsia="宋体"/>
          <w:color w:val="000000"/>
        </w:rPr>
        <w:t>HDE</w:t>
      </w:r>
      <w:r w:rsidRPr="002F54F1">
        <w:rPr>
          <w:rFonts w:eastAsia="宋体"/>
          <w:color w:val="000000"/>
        </w:rPr>
        <w:t>，</w:t>
      </w:r>
      <w:r w:rsidRPr="002F54F1">
        <w:rPr>
          <w:rFonts w:eastAsia="宋体"/>
          <w:color w:val="000000"/>
        </w:rPr>
        <w:t>FDA</w:t>
      </w:r>
      <w:r w:rsidRPr="002F54F1">
        <w:rPr>
          <w:rFonts w:eastAsia="宋体"/>
          <w:color w:val="000000"/>
        </w:rPr>
        <w:t>必须发现，除其他事项外，</w:t>
      </w:r>
      <w:r w:rsidR="002F54F1">
        <w:rPr>
          <w:rFonts w:eastAsia="宋体" w:hint="eastAsia"/>
          <w:color w:val="000000"/>
        </w:rPr>
        <w:t>“</w:t>
      </w:r>
      <w:r w:rsidRPr="002F54F1">
        <w:rPr>
          <w:rFonts w:eastAsia="宋体"/>
          <w:color w:val="000000"/>
        </w:rPr>
        <w:t>该器械不会使患者面临不合理或重大的疾病或伤害风险，并且考虑到目前可用的器械或替代治疗形式的可能风险和益处，使用该器械对健康的可能益处超过了使用该器械带来的伤害或疾病风险。</w:t>
      </w:r>
      <w:r w:rsidR="002F54F1">
        <w:rPr>
          <w:rFonts w:eastAsia="宋体" w:hint="eastAsia"/>
          <w:color w:val="000000"/>
        </w:rPr>
        <w:t>”</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520</w:t>
      </w:r>
      <w:r w:rsidRPr="002F54F1">
        <w:rPr>
          <w:rFonts w:eastAsia="宋体"/>
          <w:color w:val="000000"/>
        </w:rPr>
        <w:t>（</w:t>
      </w:r>
      <w:r w:rsidRPr="002F54F1">
        <w:rPr>
          <w:rFonts w:eastAsia="宋体"/>
          <w:color w:val="000000"/>
        </w:rPr>
        <w:t>m</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）条（</w:t>
      </w:r>
      <w:r w:rsidRPr="002F54F1">
        <w:rPr>
          <w:rFonts w:eastAsia="宋体"/>
          <w:color w:val="000000"/>
        </w:rPr>
        <w:t>21 U.S.C. § 360j</w:t>
      </w:r>
      <w:r w:rsidRPr="002F54F1">
        <w:rPr>
          <w:rFonts w:eastAsia="宋体"/>
          <w:color w:val="000000"/>
        </w:rPr>
        <w:t>（</w:t>
      </w:r>
      <w:r w:rsidRPr="002F54F1">
        <w:rPr>
          <w:rFonts w:eastAsia="宋体"/>
          <w:color w:val="000000"/>
        </w:rPr>
        <w:t>m</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w:t>
      </w:r>
    </w:p>
  </w:footnote>
  <w:footnote w:id="24">
    <w:p w14:paraId="0326CB0D"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批准</w:t>
      </w:r>
      <w:r w:rsidRPr="002F54F1">
        <w:rPr>
          <w:rFonts w:eastAsia="宋体"/>
          <w:color w:val="000000"/>
        </w:rPr>
        <w:t>PMA</w:t>
      </w:r>
      <w:r w:rsidRPr="002F54F1">
        <w:rPr>
          <w:rFonts w:eastAsia="宋体"/>
          <w:color w:val="000000"/>
        </w:rPr>
        <w:t>的法定标准包括证明该器械的安全和有效的合理保证。参见《</w:t>
      </w:r>
      <w:r w:rsidRPr="002F54F1">
        <w:rPr>
          <w:rFonts w:eastAsia="宋体"/>
          <w:color w:val="000000"/>
        </w:rPr>
        <w:t>FD&amp;C</w:t>
      </w:r>
      <w:r w:rsidRPr="002F54F1">
        <w:rPr>
          <w:rFonts w:eastAsia="宋体"/>
          <w:color w:val="000000"/>
        </w:rPr>
        <w:t>法案》第</w:t>
      </w:r>
      <w:r w:rsidRPr="002F54F1">
        <w:rPr>
          <w:rFonts w:eastAsia="宋体"/>
          <w:color w:val="000000"/>
        </w:rPr>
        <w:t>515</w:t>
      </w:r>
      <w:r w:rsidRPr="002F54F1">
        <w:rPr>
          <w:rFonts w:eastAsia="宋体"/>
          <w:color w:val="000000"/>
        </w:rPr>
        <w:t>（</w:t>
      </w:r>
      <w:r w:rsidRPr="002F54F1">
        <w:rPr>
          <w:rFonts w:eastAsia="宋体"/>
          <w:color w:val="000000"/>
        </w:rPr>
        <w:t>d</w:t>
      </w:r>
      <w:r w:rsidRPr="002F54F1">
        <w:rPr>
          <w:rFonts w:eastAsia="宋体"/>
          <w:color w:val="000000"/>
        </w:rPr>
        <w:t>）条（</w:t>
      </w:r>
      <w:r w:rsidRPr="002F54F1">
        <w:rPr>
          <w:rFonts w:eastAsia="宋体"/>
          <w:color w:val="000000"/>
        </w:rPr>
        <w:t>21 U.S.C. § 360e</w:t>
      </w:r>
      <w:r w:rsidRPr="002F54F1">
        <w:rPr>
          <w:rFonts w:eastAsia="宋体"/>
          <w:color w:val="000000"/>
        </w:rPr>
        <w:t>（</w:t>
      </w:r>
      <w:r w:rsidRPr="002F54F1">
        <w:rPr>
          <w:rFonts w:eastAsia="宋体"/>
          <w:color w:val="000000"/>
        </w:rPr>
        <w:t>d</w:t>
      </w:r>
      <w:r w:rsidRPr="002F54F1">
        <w:rPr>
          <w:rFonts w:eastAsia="宋体"/>
          <w:color w:val="000000"/>
        </w:rPr>
        <w:t>））。重新分类程序适用于那些本来需要接受</w:t>
      </w:r>
      <w:r w:rsidRPr="002F54F1">
        <w:rPr>
          <w:rFonts w:eastAsia="宋体"/>
          <w:color w:val="000000"/>
        </w:rPr>
        <w:t>PMA</w:t>
      </w:r>
      <w:r w:rsidRPr="002F54F1">
        <w:rPr>
          <w:rFonts w:eastAsia="宋体"/>
          <w:color w:val="000000"/>
        </w:rPr>
        <w:t>，但一般控制或一般和特殊控制能够合理保证安全和有效性的器械。</w:t>
      </w:r>
      <w:r w:rsidRPr="0058043D">
        <w:rPr>
          <w:rFonts w:eastAsia="宋体" w:hint="eastAsia"/>
          <w:i/>
          <w:color w:val="000000"/>
        </w:rPr>
        <w:t>参见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f</w:t>
      </w:r>
      <w:r w:rsidRPr="002F54F1">
        <w:rPr>
          <w:rFonts w:eastAsia="宋体"/>
          <w:color w:val="000000"/>
        </w:rPr>
        <w:t>）（</w:t>
      </w:r>
      <w:r w:rsidRPr="002F54F1">
        <w:rPr>
          <w:rFonts w:eastAsia="宋体"/>
          <w:color w:val="000000"/>
        </w:rPr>
        <w:t>2</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f</w:t>
      </w:r>
      <w:r w:rsidRPr="002F54F1">
        <w:rPr>
          <w:rFonts w:eastAsia="宋体"/>
          <w:color w:val="000000"/>
        </w:rPr>
        <w:t>）（</w:t>
      </w:r>
      <w:r w:rsidRPr="002F54F1">
        <w:rPr>
          <w:rFonts w:eastAsia="宋体"/>
          <w:color w:val="000000"/>
        </w:rPr>
        <w:t>2</w:t>
      </w:r>
      <w:r w:rsidRPr="002F54F1">
        <w:rPr>
          <w:rFonts w:eastAsia="宋体"/>
          <w:color w:val="000000"/>
        </w:rPr>
        <w:t>））。</w:t>
      </w:r>
    </w:p>
  </w:footnote>
  <w:footnote w:id="25">
    <w:p w14:paraId="02485A7D"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1990</w:t>
      </w:r>
      <w:r w:rsidRPr="002F54F1">
        <w:rPr>
          <w:rFonts w:eastAsia="宋体"/>
          <w:color w:val="000000"/>
        </w:rPr>
        <w:t>年《安全医疗器械法》（《公法》</w:t>
      </w:r>
      <w:r w:rsidRPr="002F54F1">
        <w:rPr>
          <w:rFonts w:eastAsia="宋体"/>
          <w:color w:val="000000"/>
        </w:rPr>
        <w:t>101-629</w:t>
      </w:r>
      <w:r w:rsidRPr="002F54F1">
        <w:rPr>
          <w:rFonts w:eastAsia="宋体"/>
          <w:color w:val="000000"/>
        </w:rPr>
        <w:t>）第</w:t>
      </w:r>
      <w:r w:rsidRPr="002F54F1">
        <w:rPr>
          <w:rFonts w:eastAsia="宋体"/>
          <w:color w:val="000000"/>
        </w:rPr>
        <w:t>14</w:t>
      </w:r>
      <w:r w:rsidRPr="002F54F1">
        <w:rPr>
          <w:rFonts w:eastAsia="宋体"/>
          <w:color w:val="000000"/>
        </w:rPr>
        <w:t>条，该条增加了《</w:t>
      </w:r>
      <w:r w:rsidRPr="002F54F1">
        <w:rPr>
          <w:rFonts w:eastAsia="宋体"/>
          <w:color w:val="000000"/>
        </w:rPr>
        <w:t>FD&amp;C</w:t>
      </w:r>
      <w:r w:rsidRPr="002F54F1">
        <w:rPr>
          <w:rFonts w:eastAsia="宋体"/>
          <w:color w:val="000000"/>
        </w:rPr>
        <w:t>法案》（</w:t>
      </w:r>
      <w:r w:rsidRPr="002F54F1">
        <w:rPr>
          <w:rFonts w:eastAsia="宋体"/>
          <w:color w:val="000000"/>
        </w:rPr>
        <w:t>21 U.S.C.</w:t>
      </w:r>
      <w:r w:rsidRPr="002F54F1">
        <w:rPr>
          <w:rFonts w:eastAsia="宋体"/>
        </w:rPr>
        <w:t xml:space="preserve"> § 360j</w:t>
      </w:r>
      <w:r w:rsidRPr="002F54F1">
        <w:rPr>
          <w:rFonts w:eastAsia="宋体"/>
        </w:rPr>
        <w:t>（</w:t>
      </w:r>
      <w:r w:rsidRPr="002F54F1">
        <w:rPr>
          <w:rFonts w:eastAsia="宋体"/>
        </w:rPr>
        <w:t>m</w:t>
      </w:r>
      <w:r w:rsidRPr="002F54F1">
        <w:rPr>
          <w:rFonts w:eastAsia="宋体"/>
        </w:rPr>
        <w:t>）</w:t>
      </w:r>
      <w:r w:rsidRPr="002F54F1">
        <w:rPr>
          <w:rFonts w:eastAsia="宋体"/>
          <w:color w:val="000000"/>
        </w:rPr>
        <w:t>）第</w:t>
      </w:r>
      <w:r w:rsidRPr="002F54F1">
        <w:rPr>
          <w:rFonts w:eastAsia="宋体"/>
          <w:color w:val="000000"/>
        </w:rPr>
        <w:t>520</w:t>
      </w:r>
      <w:r w:rsidRPr="002F54F1">
        <w:rPr>
          <w:rFonts w:eastAsia="宋体"/>
          <w:color w:val="000000"/>
        </w:rPr>
        <w:t>（</w:t>
      </w:r>
      <w:r w:rsidRPr="002F54F1">
        <w:rPr>
          <w:rFonts w:eastAsia="宋体"/>
          <w:color w:val="000000"/>
        </w:rPr>
        <w:t>m</w:t>
      </w:r>
      <w:r w:rsidRPr="002F54F1">
        <w:rPr>
          <w:rFonts w:eastAsia="宋体"/>
          <w:color w:val="000000"/>
        </w:rPr>
        <w:t>）条，以及</w:t>
      </w:r>
      <w:r w:rsidRPr="002F54F1">
        <w:rPr>
          <w:rFonts w:eastAsia="宋体"/>
          <w:color w:val="000000"/>
        </w:rPr>
        <w:t>FDAAA</w:t>
      </w:r>
      <w:r w:rsidRPr="002F54F1">
        <w:rPr>
          <w:rFonts w:eastAsia="宋体"/>
          <w:color w:val="000000"/>
        </w:rPr>
        <w:t>（《公法》</w:t>
      </w:r>
      <w:r w:rsidRPr="002F54F1">
        <w:rPr>
          <w:rFonts w:eastAsia="宋体"/>
          <w:color w:val="000000"/>
        </w:rPr>
        <w:t>110-85</w:t>
      </w:r>
      <w:r w:rsidRPr="002F54F1">
        <w:rPr>
          <w:rFonts w:eastAsia="宋体"/>
          <w:color w:val="000000"/>
        </w:rPr>
        <w:t>）第</w:t>
      </w:r>
      <w:r w:rsidRPr="002F54F1">
        <w:rPr>
          <w:rFonts w:eastAsia="宋体"/>
          <w:color w:val="000000"/>
        </w:rPr>
        <w:t>303</w:t>
      </w:r>
      <w:r w:rsidRPr="002F54F1">
        <w:rPr>
          <w:rFonts w:eastAsia="宋体"/>
          <w:color w:val="000000"/>
        </w:rPr>
        <w:t>条，</w:t>
      </w:r>
      <w:r w:rsidRPr="002F54F1">
        <w:rPr>
          <w:rFonts w:eastAsia="宋体"/>
          <w:color w:val="000000"/>
        </w:rPr>
        <w:t>FDASIA</w:t>
      </w:r>
      <w:r w:rsidRPr="002F54F1">
        <w:rPr>
          <w:rFonts w:eastAsia="宋体"/>
          <w:color w:val="000000"/>
        </w:rPr>
        <w:t>（《公法》</w:t>
      </w:r>
      <w:r w:rsidRPr="002F54F1">
        <w:rPr>
          <w:rFonts w:eastAsia="宋体"/>
          <w:color w:val="000000"/>
        </w:rPr>
        <w:t>112-144</w:t>
      </w:r>
      <w:r w:rsidRPr="002F54F1">
        <w:rPr>
          <w:rFonts w:eastAsia="宋体"/>
          <w:color w:val="000000"/>
        </w:rPr>
        <w:t>）第</w:t>
      </w:r>
      <w:r w:rsidRPr="002F54F1">
        <w:rPr>
          <w:rFonts w:eastAsia="宋体"/>
          <w:color w:val="000000"/>
        </w:rPr>
        <w:t>613</w:t>
      </w:r>
      <w:r w:rsidRPr="002F54F1">
        <w:rPr>
          <w:rFonts w:eastAsia="宋体"/>
          <w:color w:val="000000"/>
        </w:rPr>
        <w:t>条，</w:t>
      </w:r>
      <w:r w:rsidRPr="002F54F1">
        <w:rPr>
          <w:rFonts w:eastAsia="宋体" w:hint="eastAsia"/>
          <w:color w:val="000000"/>
        </w:rPr>
        <w:t>《治愈法案》</w:t>
      </w:r>
      <w:r w:rsidRPr="002F54F1">
        <w:rPr>
          <w:rFonts w:eastAsia="宋体"/>
          <w:color w:val="000000"/>
        </w:rPr>
        <w:t>（《公法》</w:t>
      </w:r>
      <w:r w:rsidRPr="002F54F1">
        <w:rPr>
          <w:rFonts w:eastAsia="宋体"/>
          <w:color w:val="000000"/>
        </w:rPr>
        <w:t>114-255</w:t>
      </w:r>
      <w:r w:rsidRPr="002F54F1">
        <w:rPr>
          <w:rFonts w:eastAsia="宋体"/>
          <w:color w:val="000000"/>
        </w:rPr>
        <w:t>）第</w:t>
      </w:r>
      <w:r w:rsidRPr="002F54F1">
        <w:rPr>
          <w:rFonts w:eastAsia="宋体"/>
          <w:color w:val="000000"/>
        </w:rPr>
        <w:t>3052</w:t>
      </w:r>
      <w:r w:rsidRPr="002F54F1">
        <w:rPr>
          <w:rFonts w:eastAsia="宋体"/>
          <w:color w:val="000000"/>
        </w:rPr>
        <w:t>条，和</w:t>
      </w:r>
      <w:r w:rsidRPr="002F54F1">
        <w:rPr>
          <w:rFonts w:eastAsia="宋体"/>
          <w:color w:val="000000"/>
        </w:rPr>
        <w:t>FDARA</w:t>
      </w:r>
      <w:r w:rsidRPr="002F54F1">
        <w:rPr>
          <w:rFonts w:eastAsia="宋体"/>
          <w:color w:val="000000"/>
        </w:rPr>
        <w:t>（《公法》</w:t>
      </w:r>
      <w:r w:rsidRPr="002F54F1">
        <w:rPr>
          <w:rFonts w:eastAsia="宋体"/>
          <w:color w:val="000000"/>
        </w:rPr>
        <w:t>115-52</w:t>
      </w:r>
      <w:r w:rsidRPr="002F54F1">
        <w:rPr>
          <w:rFonts w:eastAsia="宋体"/>
          <w:color w:val="000000"/>
        </w:rPr>
        <w:t>）第</w:t>
      </w:r>
      <w:r w:rsidRPr="002F54F1">
        <w:rPr>
          <w:rFonts w:eastAsia="宋体"/>
          <w:color w:val="000000"/>
        </w:rPr>
        <w:t>502</w:t>
      </w:r>
      <w:r w:rsidRPr="002F54F1">
        <w:rPr>
          <w:rFonts w:eastAsia="宋体"/>
          <w:color w:val="000000"/>
        </w:rPr>
        <w:t>条，它们进一步修正了《</w:t>
      </w:r>
      <w:r w:rsidRPr="002F54F1">
        <w:rPr>
          <w:rFonts w:eastAsia="宋体"/>
          <w:color w:val="000000"/>
        </w:rPr>
        <w:t>FD&amp;C</w:t>
      </w:r>
      <w:r w:rsidRPr="002F54F1">
        <w:rPr>
          <w:rFonts w:eastAsia="宋体"/>
          <w:color w:val="000000"/>
        </w:rPr>
        <w:t>法案》第</w:t>
      </w:r>
      <w:r w:rsidRPr="002F54F1">
        <w:rPr>
          <w:rFonts w:eastAsia="宋体"/>
          <w:color w:val="000000"/>
        </w:rPr>
        <w:t>520</w:t>
      </w:r>
      <w:r w:rsidRPr="002F54F1">
        <w:rPr>
          <w:rFonts w:eastAsia="宋体"/>
          <w:color w:val="000000"/>
        </w:rPr>
        <w:t>（</w:t>
      </w:r>
      <w:r w:rsidRPr="002F54F1">
        <w:rPr>
          <w:rFonts w:eastAsia="宋体"/>
          <w:color w:val="000000"/>
        </w:rPr>
        <w:t>m</w:t>
      </w:r>
      <w:r w:rsidRPr="002F54F1">
        <w:rPr>
          <w:rFonts w:eastAsia="宋体"/>
          <w:color w:val="000000"/>
        </w:rPr>
        <w:t>）条。</w:t>
      </w:r>
    </w:p>
  </w:footnote>
  <w:footnote w:id="26">
    <w:p w14:paraId="2CC419B2"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FDA</w:t>
      </w:r>
      <w:r w:rsidRPr="002F54F1">
        <w:rPr>
          <w:rFonts w:eastAsia="宋体"/>
          <w:color w:val="000000"/>
        </w:rPr>
        <w:t>根据《</w:t>
      </w:r>
      <w:r w:rsidRPr="002F54F1">
        <w:rPr>
          <w:rFonts w:eastAsia="宋体"/>
          <w:color w:val="000000"/>
        </w:rPr>
        <w:t>FD&amp;C</w:t>
      </w:r>
      <w:r w:rsidRPr="002F54F1">
        <w:rPr>
          <w:rFonts w:eastAsia="宋体"/>
          <w:color w:val="000000"/>
        </w:rPr>
        <w:t>法案》第</w:t>
      </w:r>
      <w:r w:rsidRPr="002F54F1">
        <w:rPr>
          <w:rFonts w:eastAsia="宋体"/>
          <w:color w:val="000000"/>
        </w:rPr>
        <w:t>515B</w:t>
      </w:r>
      <w:r w:rsidRPr="002F54F1">
        <w:rPr>
          <w:rFonts w:eastAsia="宋体"/>
          <w:color w:val="000000"/>
        </w:rPr>
        <w:t>条（</w:t>
      </w:r>
      <w:r w:rsidRPr="002F54F1">
        <w:rPr>
          <w:rFonts w:eastAsia="宋体"/>
          <w:color w:val="000000"/>
        </w:rPr>
        <w:t>21 U.S.C. § 360e-3</w:t>
      </w:r>
      <w:r w:rsidRPr="002F54F1">
        <w:rPr>
          <w:rFonts w:eastAsia="宋体"/>
          <w:color w:val="000000"/>
        </w:rPr>
        <w:t>）制定的突破性器械计划，由《治愈法案》增加并由</w:t>
      </w:r>
      <w:r w:rsidRPr="002F54F1">
        <w:rPr>
          <w:rFonts w:eastAsia="宋体"/>
          <w:color w:val="000000"/>
        </w:rPr>
        <w:t>FDARA</w:t>
      </w:r>
      <w:r w:rsidRPr="002F54F1">
        <w:rPr>
          <w:rFonts w:eastAsia="宋体"/>
          <w:color w:val="000000"/>
        </w:rPr>
        <w:t>修订，取代了快速通道计划。</w:t>
      </w:r>
    </w:p>
  </w:footnote>
  <w:footnote w:id="27">
    <w:p w14:paraId="7A1A998C"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515</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515</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B</w:t>
      </w:r>
      <w:r w:rsidRPr="002F54F1">
        <w:rPr>
          <w:rFonts w:eastAsia="宋体"/>
          <w:color w:val="000000"/>
        </w:rPr>
        <w:t>）（</w:t>
      </w:r>
      <w:r w:rsidRPr="002F54F1">
        <w:rPr>
          <w:rFonts w:eastAsia="宋体"/>
          <w:color w:val="000000"/>
        </w:rPr>
        <w:t>ii</w:t>
      </w:r>
      <w:r w:rsidRPr="002F54F1">
        <w:rPr>
          <w:rFonts w:eastAsia="宋体"/>
          <w:color w:val="000000"/>
        </w:rPr>
        <w:t>）和</w:t>
      </w:r>
      <w:r w:rsidRPr="002F54F1">
        <w:rPr>
          <w:rFonts w:eastAsia="宋体"/>
          <w:color w:val="000000"/>
        </w:rPr>
        <w:t>515B</w:t>
      </w:r>
      <w:r w:rsidRPr="002F54F1">
        <w:rPr>
          <w:rFonts w:eastAsia="宋体"/>
          <w:color w:val="000000"/>
        </w:rPr>
        <w:t>（</w:t>
      </w:r>
      <w:r w:rsidRPr="002F54F1">
        <w:rPr>
          <w:rFonts w:eastAsia="宋体"/>
          <w:color w:val="000000"/>
        </w:rPr>
        <w:t>e</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）条（</w:t>
      </w:r>
      <w:r w:rsidRPr="002F54F1">
        <w:rPr>
          <w:rFonts w:eastAsia="宋体"/>
          <w:color w:val="000000"/>
        </w:rPr>
        <w:t>21U.S.C. §§ 360c</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3</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hint="eastAsia"/>
          <w:color w:val="000000"/>
        </w:rPr>
        <w:t>，</w:t>
      </w:r>
      <w:r w:rsidRPr="002F54F1">
        <w:rPr>
          <w:rFonts w:eastAsia="宋体"/>
          <w:color w:val="000000"/>
        </w:rPr>
        <w:t>360e</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5</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hint="eastAsia"/>
          <w:color w:val="000000"/>
        </w:rPr>
        <w:t>，</w:t>
      </w:r>
      <w:r w:rsidRPr="002F54F1">
        <w:rPr>
          <w:rFonts w:eastAsia="宋体"/>
          <w:color w:val="000000"/>
        </w:rPr>
        <w:t>360e</w:t>
      </w:r>
      <w:r w:rsidRPr="002F54F1">
        <w:rPr>
          <w:rFonts w:eastAsia="宋体"/>
          <w:color w:val="000000"/>
        </w:rPr>
        <w:t>（</w:t>
      </w:r>
      <w:r w:rsidRPr="002F54F1">
        <w:rPr>
          <w:rFonts w:eastAsia="宋体"/>
          <w:color w:val="000000"/>
        </w:rPr>
        <w:t>d</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B</w:t>
      </w:r>
      <w:r w:rsidRPr="002F54F1">
        <w:rPr>
          <w:rFonts w:eastAsia="宋体"/>
          <w:color w:val="000000"/>
        </w:rPr>
        <w:t>）（</w:t>
      </w:r>
      <w:r w:rsidRPr="002F54F1">
        <w:rPr>
          <w:rFonts w:eastAsia="宋体"/>
          <w:color w:val="000000"/>
        </w:rPr>
        <w:t>ii</w:t>
      </w:r>
      <w:r w:rsidRPr="002F54F1">
        <w:rPr>
          <w:rFonts w:eastAsia="宋体"/>
          <w:color w:val="000000"/>
        </w:rPr>
        <w:t>）</w:t>
      </w:r>
      <w:r w:rsidRPr="002F54F1">
        <w:rPr>
          <w:rFonts w:eastAsia="宋体" w:hint="eastAsia"/>
          <w:color w:val="000000"/>
        </w:rPr>
        <w:t>，和</w:t>
      </w:r>
      <w:r w:rsidRPr="002F54F1">
        <w:rPr>
          <w:rFonts w:eastAsia="宋体"/>
          <w:color w:val="000000"/>
        </w:rPr>
        <w:t xml:space="preserve"> 360e-3</w:t>
      </w:r>
      <w:r w:rsidRPr="002F54F1">
        <w:rPr>
          <w:rFonts w:eastAsia="宋体"/>
          <w:color w:val="000000"/>
        </w:rPr>
        <w:t>（</w:t>
      </w:r>
      <w:r w:rsidRPr="002F54F1">
        <w:rPr>
          <w:rFonts w:eastAsia="宋体"/>
          <w:color w:val="000000"/>
        </w:rPr>
        <w:t>e</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w:t>
      </w:r>
      <w:r w:rsidRPr="002F54F1">
        <w:rPr>
          <w:rFonts w:eastAsia="宋体"/>
          <w:color w:val="000000"/>
        </w:rPr>
        <w:t>; 21 CFR 814.82.</w:t>
      </w:r>
      <w:r w:rsidRPr="002F54F1">
        <w:rPr>
          <w:rFonts w:eastAsia="宋体"/>
        </w:rPr>
        <w:t xml:space="preserve"> </w:t>
      </w:r>
    </w:p>
  </w:footnote>
  <w:footnote w:id="28">
    <w:p w14:paraId="69818AE4" w14:textId="77777777" w:rsidR="00846E47" w:rsidRPr="002F54F1" w:rsidRDefault="00846E47" w:rsidP="002F54F1">
      <w:pPr>
        <w:shd w:val="clear" w:color="auto" w:fill="FFFFFF"/>
        <w:tabs>
          <w:tab w:val="left" w:pos="182"/>
        </w:tabs>
        <w:snapToGrid w:val="0"/>
        <w:jc w:val="both"/>
        <w:rPr>
          <w:rFonts w:eastAsia="宋体"/>
          <w:sz w:val="18"/>
          <w:szCs w:val="18"/>
          <w:lang w:val="de-DE"/>
        </w:rPr>
      </w:pPr>
      <w:r w:rsidRPr="002F54F1">
        <w:rPr>
          <w:rStyle w:val="a9"/>
          <w:rFonts w:eastAsia="宋体"/>
          <w:sz w:val="18"/>
          <w:szCs w:val="18"/>
        </w:rPr>
        <w:footnoteRef/>
      </w:r>
      <w:r w:rsidRPr="002F54F1">
        <w:rPr>
          <w:rFonts w:eastAsia="宋体"/>
          <w:sz w:val="18"/>
          <w:szCs w:val="18"/>
        </w:rPr>
        <w:t xml:space="preserve"> </w:t>
      </w:r>
      <w:r w:rsidRPr="0058043D">
        <w:rPr>
          <w:rFonts w:eastAsia="宋体" w:hint="eastAsia"/>
          <w:i/>
          <w:sz w:val="18"/>
          <w:szCs w:val="18"/>
        </w:rPr>
        <w:t>参</w:t>
      </w:r>
      <w:r w:rsidRPr="002F54F1">
        <w:rPr>
          <w:rFonts w:eastAsia="宋体"/>
          <w:i/>
          <w:iCs/>
          <w:color w:val="000000"/>
          <w:sz w:val="18"/>
          <w:szCs w:val="18"/>
        </w:rPr>
        <w:t>见《</w:t>
      </w:r>
      <w:r w:rsidRPr="002F54F1">
        <w:rPr>
          <w:rFonts w:eastAsia="宋体"/>
          <w:i/>
          <w:iCs/>
          <w:color w:val="000000"/>
          <w:sz w:val="18"/>
          <w:szCs w:val="18"/>
        </w:rPr>
        <w:t>FD&amp;C</w:t>
      </w:r>
      <w:r w:rsidRPr="002F54F1">
        <w:rPr>
          <w:rFonts w:eastAsia="宋体"/>
          <w:i/>
          <w:iCs/>
          <w:color w:val="000000"/>
          <w:sz w:val="18"/>
          <w:szCs w:val="18"/>
        </w:rPr>
        <w:t>法案》</w:t>
      </w:r>
      <w:r w:rsidRPr="002F54F1">
        <w:rPr>
          <w:rFonts w:eastAsia="宋体"/>
          <w:color w:val="000000"/>
          <w:sz w:val="18"/>
          <w:szCs w:val="18"/>
        </w:rPr>
        <w:t>第</w:t>
      </w:r>
      <w:r w:rsidRPr="002F54F1">
        <w:rPr>
          <w:rFonts w:eastAsia="宋体"/>
          <w:color w:val="000000"/>
          <w:sz w:val="18"/>
          <w:szCs w:val="18"/>
        </w:rPr>
        <w:t>515B</w:t>
      </w:r>
      <w:r w:rsidRPr="002F54F1">
        <w:rPr>
          <w:rFonts w:eastAsia="宋体"/>
          <w:color w:val="000000"/>
          <w:sz w:val="18"/>
          <w:szCs w:val="18"/>
        </w:rPr>
        <w:t>条（</w:t>
      </w:r>
      <w:r w:rsidRPr="002F54F1">
        <w:rPr>
          <w:rFonts w:eastAsia="宋体"/>
          <w:color w:val="000000"/>
          <w:sz w:val="18"/>
          <w:szCs w:val="18"/>
        </w:rPr>
        <w:t>21 U.S.C. § 360e-3</w:t>
      </w:r>
      <w:r w:rsidRPr="002F54F1">
        <w:rPr>
          <w:rFonts w:eastAsia="宋体"/>
          <w:color w:val="000000"/>
          <w:sz w:val="18"/>
          <w:szCs w:val="18"/>
        </w:rPr>
        <w:t>），由</w:t>
      </w:r>
      <w:r w:rsidRPr="002F54F1">
        <w:rPr>
          <w:rFonts w:eastAsia="宋体" w:hint="eastAsia"/>
          <w:color w:val="000000"/>
          <w:sz w:val="18"/>
          <w:szCs w:val="18"/>
        </w:rPr>
        <w:t>《</w:t>
      </w:r>
      <w:r w:rsidRPr="002F54F1">
        <w:rPr>
          <w:rFonts w:eastAsia="宋体"/>
          <w:color w:val="000000"/>
          <w:sz w:val="18"/>
          <w:szCs w:val="18"/>
        </w:rPr>
        <w:t>治愈法案</w:t>
      </w:r>
      <w:r w:rsidRPr="002F54F1">
        <w:rPr>
          <w:rFonts w:eastAsia="宋体" w:hint="eastAsia"/>
          <w:color w:val="000000"/>
          <w:sz w:val="18"/>
          <w:szCs w:val="18"/>
        </w:rPr>
        <w:t>》</w:t>
      </w:r>
      <w:r w:rsidRPr="002F54F1">
        <w:rPr>
          <w:rFonts w:eastAsia="宋体"/>
          <w:color w:val="000000"/>
          <w:sz w:val="18"/>
          <w:szCs w:val="18"/>
        </w:rPr>
        <w:t>（公法</w:t>
      </w:r>
      <w:r w:rsidRPr="002F54F1">
        <w:rPr>
          <w:rFonts w:eastAsia="宋体"/>
          <w:color w:val="000000"/>
          <w:sz w:val="18"/>
          <w:szCs w:val="18"/>
        </w:rPr>
        <w:t>114-255</w:t>
      </w:r>
      <w:r w:rsidRPr="002F54F1">
        <w:rPr>
          <w:rFonts w:eastAsia="宋体"/>
          <w:color w:val="000000"/>
          <w:sz w:val="18"/>
          <w:szCs w:val="18"/>
        </w:rPr>
        <w:t>）第</w:t>
      </w:r>
      <w:r w:rsidRPr="002F54F1">
        <w:rPr>
          <w:rFonts w:eastAsia="宋体"/>
          <w:color w:val="000000"/>
          <w:sz w:val="18"/>
          <w:szCs w:val="18"/>
        </w:rPr>
        <w:t>3051</w:t>
      </w:r>
      <w:r w:rsidRPr="002F54F1">
        <w:rPr>
          <w:rFonts w:eastAsia="宋体"/>
          <w:color w:val="000000"/>
          <w:sz w:val="18"/>
          <w:szCs w:val="18"/>
        </w:rPr>
        <w:t>条制定，并由《</w:t>
      </w:r>
      <w:r w:rsidRPr="002F54F1">
        <w:rPr>
          <w:rFonts w:eastAsia="宋体"/>
          <w:color w:val="000000"/>
          <w:sz w:val="18"/>
          <w:szCs w:val="18"/>
        </w:rPr>
        <w:t>FDARA</w:t>
      </w:r>
      <w:r w:rsidRPr="002F54F1">
        <w:rPr>
          <w:rFonts w:eastAsia="宋体"/>
          <w:color w:val="000000"/>
          <w:sz w:val="18"/>
          <w:szCs w:val="18"/>
        </w:rPr>
        <w:t>》（公法</w:t>
      </w:r>
      <w:r w:rsidRPr="002F54F1">
        <w:rPr>
          <w:rFonts w:eastAsia="宋体"/>
          <w:color w:val="000000"/>
          <w:sz w:val="18"/>
          <w:szCs w:val="18"/>
        </w:rPr>
        <w:t>115-52</w:t>
      </w:r>
      <w:r w:rsidRPr="002F54F1">
        <w:rPr>
          <w:rFonts w:eastAsia="宋体"/>
          <w:color w:val="000000"/>
          <w:sz w:val="18"/>
          <w:szCs w:val="18"/>
        </w:rPr>
        <w:t>）第</w:t>
      </w:r>
      <w:r w:rsidRPr="002F54F1">
        <w:rPr>
          <w:rFonts w:eastAsia="宋体"/>
          <w:color w:val="000000"/>
          <w:sz w:val="18"/>
          <w:szCs w:val="18"/>
        </w:rPr>
        <w:t>901</w:t>
      </w:r>
      <w:r w:rsidRPr="002F54F1">
        <w:rPr>
          <w:rFonts w:eastAsia="宋体"/>
          <w:color w:val="000000"/>
          <w:sz w:val="18"/>
          <w:szCs w:val="18"/>
        </w:rPr>
        <w:t>条修正。</w:t>
      </w:r>
      <w:r w:rsidRPr="002F54F1">
        <w:rPr>
          <w:rFonts w:eastAsia="宋体"/>
          <w:i/>
          <w:iCs/>
          <w:color w:val="000000"/>
          <w:sz w:val="18"/>
          <w:szCs w:val="18"/>
        </w:rPr>
        <w:t>另请参见《</w:t>
      </w:r>
      <w:r w:rsidRPr="002F54F1">
        <w:rPr>
          <w:rFonts w:eastAsia="宋体"/>
          <w:color w:val="000000"/>
          <w:sz w:val="18"/>
          <w:szCs w:val="18"/>
        </w:rPr>
        <w:t>突破性器械计划》</w:t>
      </w:r>
      <w:r w:rsidRPr="002F54F1">
        <w:rPr>
          <w:rFonts w:eastAsia="宋体"/>
          <w:color w:val="000000"/>
          <w:sz w:val="18"/>
          <w:szCs w:val="18"/>
          <w:lang w:val="de-DE"/>
        </w:rPr>
        <w:t>（</w:t>
      </w:r>
      <w:r w:rsidRPr="002F54F1">
        <w:rPr>
          <w:rFonts w:eastAsia="宋体"/>
          <w:color w:val="000000"/>
          <w:sz w:val="18"/>
          <w:szCs w:val="18"/>
        </w:rPr>
        <w:t>可访问</w:t>
      </w:r>
    </w:p>
    <w:p w14:paraId="29BA308F" w14:textId="77777777" w:rsidR="00973B28" w:rsidRDefault="00846E47" w:rsidP="0006004F">
      <w:pPr>
        <w:pStyle w:val="a7"/>
        <w:jc w:val="both"/>
        <w:rPr>
          <w:rFonts w:eastAsia="宋体"/>
          <w:lang w:val="de-DE"/>
        </w:rPr>
      </w:pPr>
      <w:bookmarkStart w:id="8" w:name="bookmark25"/>
      <w:r w:rsidRPr="002F54F1">
        <w:rPr>
          <w:rFonts w:eastAsia="宋体"/>
          <w:color w:val="0000FF"/>
          <w:u w:val="single"/>
          <w:lang w:val="de-DE"/>
        </w:rPr>
        <w:t>h</w:t>
      </w:r>
      <w:bookmarkEnd w:id="8"/>
      <w:r w:rsidRPr="002F54F1">
        <w:rPr>
          <w:rFonts w:eastAsia="宋体"/>
          <w:color w:val="0000FF"/>
          <w:u w:val="single"/>
          <w:lang w:val="de-DE"/>
        </w:rPr>
        <w:t>ttps://www.fda.gov/downloads/MedicalDevices/DeviceRegulationandGuidance/GuidanceDocuments/UCM581664 .pdf</w:t>
      </w:r>
      <w:r w:rsidRPr="002F54F1">
        <w:rPr>
          <w:rFonts w:eastAsia="宋体"/>
          <w:color w:val="000000"/>
          <w:lang w:val="de-DE"/>
        </w:rPr>
        <w:t>）</w:t>
      </w:r>
      <w:r w:rsidRPr="002F54F1">
        <w:rPr>
          <w:rFonts w:eastAsia="宋体"/>
          <w:color w:val="000000"/>
        </w:rPr>
        <w:t>。</w:t>
      </w:r>
    </w:p>
  </w:footnote>
  <w:footnote w:id="29">
    <w:p w14:paraId="66E5AEB8" w14:textId="77777777" w:rsidR="00846E47" w:rsidRPr="0006004F" w:rsidRDefault="00846E47" w:rsidP="002F54F1">
      <w:pPr>
        <w:shd w:val="clear" w:color="auto" w:fill="FFFFFF"/>
        <w:tabs>
          <w:tab w:val="left" w:pos="182"/>
        </w:tabs>
        <w:snapToGrid w:val="0"/>
        <w:jc w:val="both"/>
        <w:rPr>
          <w:sz w:val="18"/>
          <w:lang w:val="de-DE"/>
        </w:rPr>
      </w:pPr>
      <w:r w:rsidRPr="002F54F1">
        <w:rPr>
          <w:rStyle w:val="a9"/>
          <w:rFonts w:eastAsia="宋体"/>
          <w:sz w:val="18"/>
          <w:szCs w:val="18"/>
        </w:rPr>
        <w:footnoteRef/>
      </w:r>
      <w:r w:rsidR="00881EA3" w:rsidRPr="0006004F">
        <w:rPr>
          <w:sz w:val="18"/>
          <w:lang w:val="de-DE"/>
        </w:rPr>
        <w:t xml:space="preserve"> </w:t>
      </w:r>
      <w:r w:rsidRPr="0058043D">
        <w:rPr>
          <w:rFonts w:eastAsia="宋体" w:hint="eastAsia"/>
          <w:i/>
          <w:sz w:val="18"/>
          <w:szCs w:val="18"/>
          <w:lang w:val="de-DE"/>
        </w:rPr>
        <w:t>参</w:t>
      </w:r>
      <w:r w:rsidRPr="002F54F1">
        <w:rPr>
          <w:rFonts w:eastAsia="宋体"/>
          <w:i/>
          <w:iCs/>
          <w:color w:val="000000"/>
          <w:sz w:val="18"/>
          <w:szCs w:val="18"/>
        </w:rPr>
        <w:t>见</w:t>
      </w:r>
      <w:r w:rsidRPr="002F54F1">
        <w:rPr>
          <w:rFonts w:eastAsia="宋体"/>
          <w:color w:val="000000"/>
          <w:sz w:val="18"/>
          <w:szCs w:val="18"/>
        </w:rPr>
        <w:t>《</w:t>
      </w:r>
      <w:r w:rsidR="00881EA3" w:rsidRPr="0006004F">
        <w:rPr>
          <w:color w:val="000000"/>
          <w:sz w:val="18"/>
          <w:lang w:val="de-DE"/>
        </w:rPr>
        <w:t>FD&amp;C</w:t>
      </w:r>
      <w:r w:rsidRPr="002F54F1">
        <w:rPr>
          <w:rFonts w:eastAsia="宋体"/>
          <w:color w:val="000000"/>
          <w:sz w:val="18"/>
          <w:szCs w:val="18"/>
        </w:rPr>
        <w:t>法案》第</w:t>
      </w:r>
      <w:r w:rsidR="00881EA3" w:rsidRPr="0006004F">
        <w:rPr>
          <w:color w:val="000000"/>
          <w:sz w:val="18"/>
          <w:lang w:val="de-DE"/>
        </w:rPr>
        <w:t>515B</w:t>
      </w:r>
      <w:r w:rsidRPr="0058043D">
        <w:rPr>
          <w:rFonts w:eastAsia="宋体" w:hint="eastAsia"/>
          <w:color w:val="000000"/>
          <w:sz w:val="18"/>
          <w:szCs w:val="18"/>
          <w:lang w:val="de-DE"/>
        </w:rPr>
        <w:t>（</w:t>
      </w:r>
      <w:r w:rsidR="00881EA3" w:rsidRPr="0006004F">
        <w:rPr>
          <w:color w:val="000000"/>
          <w:sz w:val="18"/>
          <w:lang w:val="de-DE"/>
        </w:rPr>
        <w:t>g</w:t>
      </w:r>
      <w:r w:rsidRPr="0058043D">
        <w:rPr>
          <w:rFonts w:eastAsia="宋体" w:hint="eastAsia"/>
          <w:color w:val="000000"/>
          <w:sz w:val="18"/>
          <w:szCs w:val="18"/>
          <w:lang w:val="de-DE"/>
        </w:rPr>
        <w:t>）</w:t>
      </w:r>
      <w:r w:rsidRPr="002F54F1">
        <w:rPr>
          <w:rFonts w:eastAsia="宋体"/>
          <w:color w:val="000000"/>
          <w:sz w:val="18"/>
          <w:szCs w:val="18"/>
        </w:rPr>
        <w:t>条</w:t>
      </w:r>
      <w:r w:rsidR="00881EA3" w:rsidRPr="0006004F">
        <w:rPr>
          <w:rFonts w:hint="eastAsia"/>
          <w:color w:val="000000"/>
          <w:sz w:val="18"/>
          <w:lang w:val="de-DE"/>
        </w:rPr>
        <w:t>（</w:t>
      </w:r>
      <w:r w:rsidR="00881EA3" w:rsidRPr="0006004F">
        <w:rPr>
          <w:color w:val="000000"/>
          <w:sz w:val="18"/>
          <w:lang w:val="de-DE"/>
        </w:rPr>
        <w:t>21 U.S.C. § 360e-3</w:t>
      </w:r>
      <w:r w:rsidRPr="0058043D">
        <w:rPr>
          <w:rFonts w:eastAsia="宋体" w:hint="eastAsia"/>
          <w:color w:val="000000"/>
          <w:sz w:val="18"/>
          <w:szCs w:val="18"/>
          <w:lang w:val="de-DE"/>
        </w:rPr>
        <w:t>（</w:t>
      </w:r>
      <w:r w:rsidR="00881EA3" w:rsidRPr="0006004F">
        <w:rPr>
          <w:color w:val="000000"/>
          <w:sz w:val="18"/>
          <w:lang w:val="de-DE"/>
        </w:rPr>
        <w:t>g</w:t>
      </w:r>
      <w:r w:rsidRPr="0058043D">
        <w:rPr>
          <w:rFonts w:eastAsia="宋体" w:hint="eastAsia"/>
          <w:color w:val="000000"/>
          <w:sz w:val="18"/>
          <w:szCs w:val="18"/>
          <w:lang w:val="de-DE"/>
        </w:rPr>
        <w:t>））</w:t>
      </w:r>
      <w:r w:rsidRPr="002F54F1">
        <w:rPr>
          <w:rFonts w:eastAsia="宋体"/>
          <w:color w:val="000000"/>
          <w:sz w:val="18"/>
          <w:szCs w:val="18"/>
        </w:rPr>
        <w:t>。</w:t>
      </w:r>
    </w:p>
  </w:footnote>
  <w:footnote w:id="30">
    <w:p w14:paraId="146CC1B5" w14:textId="77777777" w:rsidR="00846E47" w:rsidRPr="002F54F1" w:rsidRDefault="00846E47" w:rsidP="002F54F1">
      <w:pPr>
        <w:shd w:val="clear" w:color="auto" w:fill="FFFFFF"/>
        <w:tabs>
          <w:tab w:val="left" w:pos="182"/>
        </w:tabs>
        <w:snapToGrid w:val="0"/>
        <w:jc w:val="both"/>
        <w:rPr>
          <w:rFonts w:eastAsia="宋体"/>
          <w:sz w:val="18"/>
          <w:szCs w:val="18"/>
        </w:rPr>
      </w:pPr>
      <w:r w:rsidRPr="002F54F1">
        <w:rPr>
          <w:rStyle w:val="a9"/>
          <w:rFonts w:eastAsia="宋体"/>
          <w:sz w:val="18"/>
          <w:szCs w:val="18"/>
        </w:rPr>
        <w:footnoteRef/>
      </w:r>
      <w:r w:rsidRPr="002F54F1">
        <w:rPr>
          <w:rFonts w:eastAsia="宋体"/>
          <w:sz w:val="18"/>
          <w:szCs w:val="18"/>
        </w:rPr>
        <w:t xml:space="preserve"> </w:t>
      </w:r>
      <w:r w:rsidRPr="0058043D">
        <w:rPr>
          <w:rFonts w:eastAsia="宋体" w:hint="eastAsia"/>
          <w:i/>
          <w:sz w:val="18"/>
          <w:szCs w:val="18"/>
        </w:rPr>
        <w:t>参</w:t>
      </w:r>
      <w:r w:rsidRPr="002F54F1">
        <w:rPr>
          <w:rFonts w:eastAsia="宋体"/>
          <w:i/>
          <w:iCs/>
          <w:color w:val="000000"/>
          <w:sz w:val="18"/>
          <w:szCs w:val="18"/>
        </w:rPr>
        <w:t>见，例如</w:t>
      </w:r>
      <w:r w:rsidRPr="002F54F1">
        <w:rPr>
          <w:rFonts w:eastAsia="宋体"/>
          <w:color w:val="000000"/>
          <w:sz w:val="18"/>
          <w:szCs w:val="18"/>
        </w:rPr>
        <w:t>，为医疗器械临床试验用器械豁免做出获益风险</w:t>
      </w:r>
      <w:r w:rsidRPr="002F54F1">
        <w:rPr>
          <w:rFonts w:eastAsia="宋体" w:hint="eastAsia"/>
          <w:color w:val="000000"/>
          <w:sz w:val="18"/>
          <w:szCs w:val="18"/>
        </w:rPr>
        <w:t>判定</w:t>
      </w:r>
      <w:r w:rsidRPr="002F54F1">
        <w:rPr>
          <w:rFonts w:eastAsia="宋体"/>
          <w:color w:val="000000"/>
          <w:sz w:val="18"/>
          <w:szCs w:val="18"/>
        </w:rPr>
        <w:t>时需要考虑的因素（可访问</w:t>
      </w:r>
    </w:p>
    <w:p w14:paraId="2B4FEFB5" w14:textId="77777777" w:rsidR="00846E47" w:rsidRPr="002F54F1" w:rsidRDefault="00846E47" w:rsidP="002F54F1">
      <w:pPr>
        <w:shd w:val="clear" w:color="auto" w:fill="FFFFFF"/>
        <w:snapToGrid w:val="0"/>
        <w:jc w:val="both"/>
        <w:rPr>
          <w:rFonts w:eastAsia="宋体"/>
          <w:sz w:val="18"/>
          <w:szCs w:val="18"/>
        </w:rPr>
      </w:pPr>
      <w:bookmarkStart w:id="12" w:name="bookmark28"/>
      <w:r w:rsidRPr="002F54F1">
        <w:rPr>
          <w:rFonts w:eastAsia="宋体"/>
          <w:color w:val="0000FF"/>
          <w:sz w:val="18"/>
          <w:szCs w:val="18"/>
          <w:u w:val="single"/>
        </w:rPr>
        <w:t>h</w:t>
      </w:r>
      <w:bookmarkEnd w:id="12"/>
      <w:r w:rsidRPr="002F54F1">
        <w:rPr>
          <w:rFonts w:eastAsia="宋体"/>
          <w:color w:val="0000FF"/>
          <w:sz w:val="18"/>
          <w:szCs w:val="18"/>
          <w:u w:val="single"/>
        </w:rPr>
        <w:t>ttps://www.fda.gov/downloads/MedicalDevices/DeviceRegulationandGuidance/GuidanceDocuments/ucm451440.p df</w:t>
      </w:r>
      <w:r w:rsidRPr="002F54F1">
        <w:rPr>
          <w:rFonts w:eastAsia="宋体"/>
          <w:color w:val="000000"/>
          <w:sz w:val="18"/>
          <w:szCs w:val="18"/>
        </w:rPr>
        <w:t>）；以及</w:t>
      </w:r>
      <w:r w:rsidRPr="002F54F1">
        <w:rPr>
          <w:rFonts w:eastAsia="宋体"/>
          <w:color w:val="0000FF"/>
          <w:sz w:val="18"/>
          <w:szCs w:val="18"/>
          <w:u w:val="single"/>
        </w:rPr>
        <w:t>PMA</w:t>
      </w:r>
      <w:r w:rsidRPr="002F54F1">
        <w:rPr>
          <w:rFonts w:eastAsia="宋体"/>
          <w:color w:val="0000FF"/>
          <w:sz w:val="18"/>
          <w:szCs w:val="18"/>
          <w:u w:val="single"/>
        </w:rPr>
        <w:t>和</w:t>
      </w:r>
      <w:r w:rsidRPr="002F54F1">
        <w:rPr>
          <w:rFonts w:eastAsia="宋体" w:hint="eastAsia"/>
          <w:color w:val="0000FF"/>
          <w:sz w:val="18"/>
          <w:szCs w:val="18"/>
          <w:u w:val="single"/>
        </w:rPr>
        <w:t>重新分类</w:t>
      </w:r>
      <w:r w:rsidRPr="002F54F1">
        <w:rPr>
          <w:rFonts w:eastAsia="宋体"/>
          <w:color w:val="0000FF"/>
          <w:sz w:val="18"/>
          <w:szCs w:val="18"/>
          <w:u w:val="single"/>
        </w:rPr>
        <w:t>获益风险</w:t>
      </w:r>
      <w:r w:rsidRPr="002F54F1">
        <w:rPr>
          <w:rFonts w:eastAsia="宋体"/>
          <w:color w:val="000000"/>
          <w:sz w:val="18"/>
          <w:szCs w:val="18"/>
        </w:rPr>
        <w:t>指南。</w:t>
      </w:r>
    </w:p>
  </w:footnote>
  <w:footnote w:id="31">
    <w:p w14:paraId="34ABBA03" w14:textId="77777777" w:rsidR="00846E47" w:rsidRPr="002F54F1" w:rsidRDefault="00846E47" w:rsidP="002F54F1">
      <w:pPr>
        <w:shd w:val="clear" w:color="auto" w:fill="FFFFFF"/>
        <w:tabs>
          <w:tab w:val="left" w:pos="182"/>
        </w:tabs>
        <w:snapToGrid w:val="0"/>
        <w:jc w:val="both"/>
        <w:rPr>
          <w:rFonts w:eastAsia="宋体"/>
          <w:sz w:val="18"/>
          <w:szCs w:val="18"/>
        </w:rPr>
      </w:pPr>
      <w:r w:rsidRPr="002F54F1">
        <w:rPr>
          <w:rStyle w:val="a9"/>
          <w:rFonts w:eastAsia="宋体"/>
          <w:sz w:val="18"/>
          <w:szCs w:val="18"/>
        </w:rPr>
        <w:footnoteRef/>
      </w:r>
      <w:r w:rsidRPr="002F54F1">
        <w:rPr>
          <w:rFonts w:eastAsia="宋体"/>
          <w:sz w:val="18"/>
          <w:szCs w:val="18"/>
        </w:rPr>
        <w:t xml:space="preserve"> </w:t>
      </w:r>
      <w:r w:rsidRPr="002F54F1">
        <w:rPr>
          <w:rFonts w:eastAsia="宋体"/>
          <w:color w:val="000000"/>
          <w:sz w:val="18"/>
          <w:szCs w:val="18"/>
        </w:rPr>
        <w:t>FDA</w:t>
      </w:r>
      <w:r w:rsidRPr="002F54F1">
        <w:rPr>
          <w:rFonts w:eastAsia="宋体"/>
          <w:color w:val="000000"/>
          <w:sz w:val="18"/>
          <w:szCs w:val="18"/>
        </w:rPr>
        <w:t>希望在一组有限的</w:t>
      </w:r>
      <w:r w:rsidRPr="002F54F1">
        <w:rPr>
          <w:rFonts w:eastAsia="宋体"/>
          <w:color w:val="000000"/>
          <w:sz w:val="18"/>
          <w:szCs w:val="18"/>
        </w:rPr>
        <w:t>510</w:t>
      </w:r>
      <w:r w:rsidRPr="002F54F1">
        <w:rPr>
          <w:rFonts w:eastAsia="宋体"/>
          <w:color w:val="000000"/>
          <w:sz w:val="18"/>
          <w:szCs w:val="18"/>
        </w:rPr>
        <w:t>（</w:t>
      </w:r>
      <w:r w:rsidRPr="002F54F1">
        <w:rPr>
          <w:rFonts w:eastAsia="宋体"/>
          <w:color w:val="000000"/>
          <w:sz w:val="18"/>
          <w:szCs w:val="18"/>
        </w:rPr>
        <w:t>k</w:t>
      </w:r>
      <w:r w:rsidRPr="002F54F1">
        <w:rPr>
          <w:rFonts w:eastAsia="宋体"/>
          <w:color w:val="000000"/>
          <w:sz w:val="18"/>
          <w:szCs w:val="18"/>
        </w:rPr>
        <w:t>）许可决定中应用获益风险</w:t>
      </w:r>
      <w:r w:rsidRPr="002F54F1">
        <w:rPr>
          <w:rFonts w:eastAsia="宋体" w:hint="eastAsia"/>
          <w:color w:val="000000"/>
          <w:sz w:val="18"/>
          <w:szCs w:val="18"/>
        </w:rPr>
        <w:t>判定</w:t>
      </w:r>
      <w:r w:rsidRPr="002F54F1">
        <w:rPr>
          <w:rFonts w:eastAsia="宋体"/>
          <w:color w:val="000000"/>
          <w:sz w:val="18"/>
          <w:szCs w:val="18"/>
        </w:rPr>
        <w:t>。</w:t>
      </w:r>
      <w:r w:rsidRPr="0058043D">
        <w:rPr>
          <w:rFonts w:eastAsia="宋体" w:hint="eastAsia"/>
          <w:i/>
          <w:color w:val="000000"/>
          <w:sz w:val="18"/>
          <w:szCs w:val="18"/>
        </w:rPr>
        <w:t>参</w:t>
      </w:r>
      <w:r w:rsidRPr="002F54F1">
        <w:rPr>
          <w:rFonts w:eastAsia="宋体"/>
          <w:i/>
          <w:iCs/>
          <w:color w:val="000000"/>
          <w:sz w:val="18"/>
          <w:szCs w:val="18"/>
        </w:rPr>
        <w:t>见</w:t>
      </w:r>
      <w:r w:rsidRPr="002F54F1">
        <w:rPr>
          <w:rFonts w:eastAsia="宋体"/>
          <w:color w:val="000000"/>
          <w:sz w:val="18"/>
          <w:szCs w:val="18"/>
        </w:rPr>
        <w:t>在确定具有不同技术特征的上市前通知</w:t>
      </w:r>
      <w:r w:rsidRPr="002F54F1">
        <w:rPr>
          <w:rFonts w:eastAsia="宋体"/>
          <w:color w:val="000000"/>
          <w:sz w:val="18"/>
          <w:szCs w:val="18"/>
        </w:rPr>
        <w:t>[510</w:t>
      </w:r>
      <w:r w:rsidRPr="002F54F1">
        <w:rPr>
          <w:rFonts w:eastAsia="宋体"/>
          <w:color w:val="000000"/>
          <w:sz w:val="18"/>
          <w:szCs w:val="18"/>
        </w:rPr>
        <w:t>（</w:t>
      </w:r>
      <w:r w:rsidRPr="002F54F1">
        <w:rPr>
          <w:rFonts w:eastAsia="宋体"/>
          <w:color w:val="000000"/>
          <w:sz w:val="18"/>
          <w:szCs w:val="18"/>
        </w:rPr>
        <w:t>k</w:t>
      </w:r>
      <w:r w:rsidRPr="002F54F1">
        <w:rPr>
          <w:rFonts w:eastAsia="宋体"/>
          <w:color w:val="000000"/>
          <w:sz w:val="18"/>
          <w:szCs w:val="18"/>
        </w:rPr>
        <w:t>）</w:t>
      </w:r>
      <w:r w:rsidRPr="002F54F1">
        <w:rPr>
          <w:rFonts w:eastAsia="宋体"/>
          <w:color w:val="000000"/>
          <w:sz w:val="18"/>
          <w:szCs w:val="18"/>
        </w:rPr>
        <w:t>]</w:t>
      </w:r>
      <w:r w:rsidRPr="002F54F1">
        <w:rPr>
          <w:rFonts w:eastAsia="宋体"/>
          <w:color w:val="000000"/>
          <w:sz w:val="18"/>
          <w:szCs w:val="18"/>
        </w:rPr>
        <w:t>中的实质等效性时应考虑的获益风险因素（可访问</w:t>
      </w:r>
    </w:p>
    <w:p w14:paraId="3B0BD4F7" w14:textId="77777777" w:rsidR="00846E47" w:rsidRPr="002F54F1" w:rsidRDefault="00846E47" w:rsidP="002F54F1">
      <w:pPr>
        <w:shd w:val="clear" w:color="auto" w:fill="FFFFFF"/>
        <w:snapToGrid w:val="0"/>
        <w:jc w:val="both"/>
        <w:rPr>
          <w:rFonts w:eastAsia="宋体"/>
          <w:sz w:val="18"/>
          <w:szCs w:val="18"/>
          <w:lang w:val="de-DE"/>
        </w:rPr>
      </w:pPr>
      <w:bookmarkStart w:id="13" w:name="bookmark29"/>
      <w:r w:rsidRPr="002F54F1">
        <w:rPr>
          <w:rFonts w:eastAsia="宋体"/>
          <w:color w:val="0000FF"/>
          <w:sz w:val="18"/>
          <w:szCs w:val="18"/>
          <w:u w:val="single"/>
          <w:lang w:val="de-DE"/>
        </w:rPr>
        <w:t>h</w:t>
      </w:r>
      <w:bookmarkEnd w:id="13"/>
      <w:r w:rsidRPr="002F54F1">
        <w:rPr>
          <w:rFonts w:eastAsia="宋体"/>
          <w:color w:val="0000FF"/>
          <w:sz w:val="18"/>
          <w:szCs w:val="18"/>
          <w:u w:val="single"/>
          <w:lang w:val="de-DE"/>
        </w:rPr>
        <w:t>ttps://www.fda.gov/downloads/MedicalDevices/DeviceRegulationandGuidance/GuidanceDocuments/UCM404773 .pdf</w:t>
      </w:r>
      <w:r w:rsidRPr="002F54F1">
        <w:rPr>
          <w:rFonts w:eastAsia="宋体"/>
          <w:color w:val="000000"/>
          <w:sz w:val="18"/>
          <w:szCs w:val="18"/>
          <w:lang w:val="de-DE"/>
        </w:rPr>
        <w:t>）</w:t>
      </w:r>
      <w:r w:rsidRPr="002F54F1">
        <w:rPr>
          <w:rFonts w:eastAsia="宋体"/>
          <w:color w:val="000000"/>
          <w:sz w:val="18"/>
          <w:szCs w:val="18"/>
        </w:rPr>
        <w:t>。</w:t>
      </w:r>
      <w:r w:rsidRPr="002F54F1">
        <w:rPr>
          <w:rFonts w:eastAsia="宋体"/>
          <w:color w:val="000000"/>
          <w:sz w:val="18"/>
          <w:szCs w:val="18"/>
          <w:lang w:val="de-DE"/>
        </w:rPr>
        <w:t xml:space="preserve"> </w:t>
      </w:r>
    </w:p>
  </w:footnote>
  <w:footnote w:id="32">
    <w:p w14:paraId="4FF5D355" w14:textId="77777777" w:rsidR="00973B28" w:rsidRDefault="00846E47" w:rsidP="0006004F">
      <w:pPr>
        <w:pStyle w:val="a7"/>
        <w:jc w:val="both"/>
        <w:rPr>
          <w:rFonts w:eastAsia="宋体"/>
        </w:rPr>
      </w:pPr>
      <w:r w:rsidRPr="002F54F1">
        <w:rPr>
          <w:rStyle w:val="a9"/>
          <w:rFonts w:eastAsia="宋体"/>
        </w:rPr>
        <w:footnoteRef/>
      </w:r>
      <w:r w:rsidR="00881EA3" w:rsidRPr="0006004F">
        <w:rPr>
          <w:rFonts w:hint="eastAsia"/>
          <w:color w:val="000000"/>
          <w:lang w:val="de-DE"/>
        </w:rPr>
        <w:t>“</w:t>
      </w:r>
      <w:r w:rsidRPr="002F54F1">
        <w:rPr>
          <w:rFonts w:eastAsia="宋体"/>
          <w:color w:val="000000"/>
        </w:rPr>
        <w:t>合理的安全和有效性保证</w:t>
      </w:r>
      <w:r w:rsidRPr="002F54F1">
        <w:rPr>
          <w:rFonts w:eastAsia="宋体" w:hint="eastAsia"/>
          <w:color w:val="000000"/>
          <w:lang w:val="de-DE"/>
        </w:rPr>
        <w:t>”</w:t>
      </w:r>
      <w:r w:rsidRPr="002F54F1">
        <w:rPr>
          <w:rFonts w:eastAsia="宋体"/>
          <w:color w:val="000000"/>
        </w:rPr>
        <w:t>的标准可以在《</w:t>
      </w:r>
      <w:r w:rsidR="00881EA3" w:rsidRPr="0006004F">
        <w:rPr>
          <w:color w:val="000000"/>
          <w:lang w:val="de-DE"/>
        </w:rPr>
        <w:t>FD&amp;C</w:t>
      </w:r>
      <w:r w:rsidRPr="002F54F1">
        <w:rPr>
          <w:rFonts w:eastAsia="宋体"/>
          <w:color w:val="000000"/>
        </w:rPr>
        <w:t>法案》第</w:t>
      </w:r>
      <w:r w:rsidR="00881EA3" w:rsidRPr="0006004F">
        <w:rPr>
          <w:color w:val="000000"/>
          <w:lang w:val="de-DE"/>
        </w:rPr>
        <w:t>513</w:t>
      </w:r>
      <w:r w:rsidRPr="002F54F1">
        <w:rPr>
          <w:rFonts w:eastAsia="宋体"/>
          <w:color w:val="000000"/>
        </w:rPr>
        <w:t>条</w:t>
      </w:r>
      <w:r w:rsidR="00881EA3" w:rsidRPr="0006004F">
        <w:rPr>
          <w:rFonts w:hint="eastAsia"/>
          <w:color w:val="000000"/>
          <w:lang w:val="de-DE"/>
        </w:rPr>
        <w:t>（</w:t>
      </w:r>
      <w:r w:rsidR="00881EA3" w:rsidRPr="0006004F">
        <w:rPr>
          <w:color w:val="000000"/>
          <w:lang w:val="de-DE"/>
        </w:rPr>
        <w:t>21 U.S.C. § 360c</w:t>
      </w:r>
      <w:r w:rsidR="00881EA3" w:rsidRPr="0006004F">
        <w:rPr>
          <w:rFonts w:hint="eastAsia"/>
          <w:color w:val="000000"/>
          <w:lang w:val="de-DE"/>
        </w:rPr>
        <w:t>）</w:t>
      </w:r>
      <w:r w:rsidRPr="002F54F1">
        <w:rPr>
          <w:rFonts w:eastAsia="宋体"/>
          <w:color w:val="000000"/>
        </w:rPr>
        <w:t>和</w:t>
      </w:r>
      <w:r w:rsidR="00881EA3" w:rsidRPr="0006004F">
        <w:rPr>
          <w:color w:val="000000"/>
          <w:lang w:val="de-DE"/>
        </w:rPr>
        <w:t>21 CFR 860.7</w:t>
      </w:r>
      <w:r w:rsidRPr="002F54F1">
        <w:rPr>
          <w:rFonts w:eastAsia="宋体"/>
          <w:color w:val="000000"/>
        </w:rPr>
        <w:t>中找到。我们注意到《</w:t>
      </w:r>
      <w:r w:rsidRPr="002F54F1">
        <w:rPr>
          <w:rFonts w:eastAsia="宋体"/>
          <w:color w:val="000000"/>
        </w:rPr>
        <w:t>FD&amp;C</w:t>
      </w:r>
      <w:r w:rsidRPr="002F54F1">
        <w:rPr>
          <w:rFonts w:eastAsia="宋体"/>
          <w:color w:val="000000"/>
        </w:rPr>
        <w:t>法案》第</w:t>
      </w:r>
      <w:r w:rsidRPr="002F54F1">
        <w:rPr>
          <w:rFonts w:eastAsia="宋体"/>
          <w:color w:val="000000"/>
        </w:rPr>
        <w:t>520</w:t>
      </w:r>
      <w:r w:rsidRPr="002F54F1">
        <w:rPr>
          <w:rFonts w:eastAsia="宋体"/>
          <w:color w:val="000000"/>
        </w:rPr>
        <w:t>（</w:t>
      </w:r>
      <w:r w:rsidRPr="002F54F1">
        <w:rPr>
          <w:rFonts w:eastAsia="宋体"/>
          <w:color w:val="000000"/>
        </w:rPr>
        <w:t>m</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）条中的</w:t>
      </w:r>
      <w:r w:rsidRPr="002F54F1">
        <w:rPr>
          <w:rFonts w:eastAsia="宋体"/>
          <w:color w:val="000000"/>
        </w:rPr>
        <w:t>HDE</w:t>
      </w:r>
      <w:r w:rsidRPr="002F54F1">
        <w:rPr>
          <w:rFonts w:eastAsia="宋体"/>
          <w:color w:val="000000"/>
        </w:rPr>
        <w:t>标准（</w:t>
      </w:r>
      <w:r w:rsidRPr="002F54F1">
        <w:rPr>
          <w:rFonts w:eastAsia="宋体"/>
          <w:color w:val="000000"/>
        </w:rPr>
        <w:t>21 U.S.C. § 360j</w:t>
      </w:r>
      <w:r w:rsidRPr="002F54F1">
        <w:rPr>
          <w:rFonts w:eastAsia="宋体"/>
          <w:color w:val="000000"/>
        </w:rPr>
        <w:t>（</w:t>
      </w:r>
      <w:r w:rsidRPr="002F54F1">
        <w:rPr>
          <w:rFonts w:eastAsia="宋体"/>
          <w:color w:val="000000"/>
        </w:rPr>
        <w:t>m</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））有所不同，但它也使用了接受不确定性的语言。</w:t>
      </w:r>
    </w:p>
  </w:footnote>
  <w:footnote w:id="33">
    <w:p w14:paraId="24B94849"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关于效益的类型、规模、概率和持续时间的进一步讨论，</w:t>
      </w:r>
      <w:r w:rsidRPr="0058043D">
        <w:rPr>
          <w:rFonts w:eastAsia="宋体" w:hint="eastAsia"/>
          <w:i/>
          <w:color w:val="000000"/>
        </w:rPr>
        <w:t>参见</w:t>
      </w:r>
      <w:r w:rsidRPr="002F54F1">
        <w:rPr>
          <w:rFonts w:eastAsia="宋体"/>
          <w:color w:val="0000FF"/>
          <w:u w:val="single"/>
        </w:rPr>
        <w:t>PMA</w:t>
      </w:r>
      <w:r w:rsidRPr="002F54F1">
        <w:rPr>
          <w:rFonts w:eastAsia="宋体"/>
          <w:color w:val="0000FF"/>
          <w:u w:val="single"/>
        </w:rPr>
        <w:t>和</w:t>
      </w:r>
      <w:r w:rsidRPr="002F54F1">
        <w:rPr>
          <w:rFonts w:eastAsia="宋体" w:hint="eastAsia"/>
          <w:color w:val="0000FF"/>
          <w:u w:val="single"/>
        </w:rPr>
        <w:t>重新分类</w:t>
      </w:r>
      <w:r w:rsidRPr="002F54F1">
        <w:rPr>
          <w:rFonts w:eastAsia="宋体"/>
          <w:color w:val="0000FF"/>
          <w:u w:val="single"/>
        </w:rPr>
        <w:t>获益风险</w:t>
      </w:r>
      <w:r w:rsidRPr="002F54F1">
        <w:rPr>
          <w:rFonts w:eastAsia="宋体"/>
          <w:color w:val="000000"/>
        </w:rPr>
        <w:t>指南</w:t>
      </w:r>
      <w:r w:rsidRPr="002F54F1">
        <w:rPr>
          <w:rFonts w:eastAsia="宋体"/>
        </w:rPr>
        <w:t>。</w:t>
      </w:r>
    </w:p>
  </w:footnote>
  <w:footnote w:id="34">
    <w:p w14:paraId="7316DB47" w14:textId="77777777" w:rsidR="00973B28" w:rsidRDefault="00846E47" w:rsidP="0006004F">
      <w:pPr>
        <w:pStyle w:val="a7"/>
        <w:jc w:val="both"/>
        <w:rPr>
          <w:rFonts w:eastAsia="宋体"/>
        </w:rPr>
      </w:pPr>
      <w:r w:rsidRPr="002F54F1">
        <w:rPr>
          <w:rStyle w:val="a9"/>
          <w:rFonts w:eastAsia="宋体"/>
        </w:rPr>
        <w:footnoteRef/>
      </w:r>
      <w:r w:rsidRPr="002F54F1">
        <w:rPr>
          <w:rFonts w:eastAsia="宋体"/>
          <w:color w:val="000000"/>
        </w:rPr>
        <w:t>关于风险的严重性、类型、数量、比率、概率和持续时间的进一步讨论，见</w:t>
      </w:r>
      <w:r w:rsidRPr="002F54F1">
        <w:rPr>
          <w:rFonts w:eastAsia="宋体"/>
          <w:color w:val="0000FF"/>
          <w:u w:val="single"/>
        </w:rPr>
        <w:t>PMA</w:t>
      </w:r>
      <w:r w:rsidRPr="002F54F1">
        <w:rPr>
          <w:rFonts w:eastAsia="宋体"/>
          <w:color w:val="0000FF"/>
          <w:u w:val="single"/>
        </w:rPr>
        <w:t>和</w:t>
      </w:r>
      <w:r w:rsidRPr="002F54F1">
        <w:rPr>
          <w:rFonts w:eastAsia="宋体" w:hint="eastAsia"/>
          <w:color w:val="0000FF"/>
          <w:u w:val="single"/>
        </w:rPr>
        <w:t>重新分类</w:t>
      </w:r>
      <w:r w:rsidRPr="002F54F1">
        <w:rPr>
          <w:rFonts w:eastAsia="宋体"/>
          <w:color w:val="0000FF"/>
          <w:u w:val="single"/>
        </w:rPr>
        <w:t>获益风险</w:t>
      </w:r>
      <w:r w:rsidRPr="002F54F1">
        <w:rPr>
          <w:rFonts w:eastAsia="宋体"/>
          <w:color w:val="000000"/>
        </w:rPr>
        <w:t>指南。</w:t>
      </w:r>
    </w:p>
  </w:footnote>
  <w:footnote w:id="35">
    <w:p w14:paraId="4EE72CED" w14:textId="77777777" w:rsidR="00973B28" w:rsidRDefault="00846E47" w:rsidP="0006004F">
      <w:pPr>
        <w:pStyle w:val="a7"/>
        <w:jc w:val="both"/>
        <w:rPr>
          <w:rFonts w:eastAsia="宋体"/>
        </w:rPr>
      </w:pPr>
      <w:r w:rsidRPr="002F54F1">
        <w:rPr>
          <w:rStyle w:val="a9"/>
          <w:rFonts w:eastAsia="宋体"/>
        </w:rPr>
        <w:footnoteRef/>
      </w:r>
      <w:r w:rsidRPr="002F54F1">
        <w:rPr>
          <w:rFonts w:eastAsia="宋体"/>
          <w:i/>
          <w:iCs/>
          <w:color w:val="000000"/>
        </w:rPr>
        <w:t>参见</w:t>
      </w:r>
      <w:r w:rsidRPr="002F54F1">
        <w:rPr>
          <w:rFonts w:eastAsia="宋体"/>
          <w:color w:val="000000"/>
        </w:rPr>
        <w:t>患者偏好信息</w:t>
      </w:r>
      <w:r w:rsidRPr="002F54F1">
        <w:rPr>
          <w:rFonts w:eastAsia="宋体"/>
          <w:color w:val="000000"/>
        </w:rPr>
        <w:t>-</w:t>
      </w:r>
      <w:r w:rsidRPr="002F54F1">
        <w:rPr>
          <w:rFonts w:eastAsia="宋体"/>
          <w:color w:val="000000"/>
        </w:rPr>
        <w:t>自愿</w:t>
      </w:r>
      <w:r w:rsidRPr="002F54F1">
        <w:rPr>
          <w:rFonts w:eastAsia="宋体" w:hint="eastAsia"/>
          <w:color w:val="000000"/>
        </w:rPr>
        <w:t>申请</w:t>
      </w:r>
      <w:r w:rsidRPr="002F54F1">
        <w:rPr>
          <w:rFonts w:eastAsia="宋体"/>
          <w:color w:val="000000"/>
        </w:rPr>
        <w:t>，在上市前批准申请、人道主义器械豁免申请和</w:t>
      </w:r>
      <w:r w:rsidRPr="002F54F1">
        <w:rPr>
          <w:rFonts w:eastAsia="宋体" w:hint="eastAsia"/>
          <w:color w:val="000000"/>
        </w:rPr>
        <w:t>重新分类申请</w:t>
      </w:r>
      <w:r w:rsidRPr="002F54F1">
        <w:rPr>
          <w:rFonts w:eastAsia="宋体"/>
          <w:color w:val="000000"/>
        </w:rPr>
        <w:t>中进行审查，并纳入决定总结和器械标签（可访问</w:t>
      </w:r>
      <w:r w:rsidRPr="002F54F1">
        <w:rPr>
          <w:rFonts w:eastAsia="宋体"/>
          <w:color w:val="0000FF"/>
          <w:u w:val="single"/>
        </w:rPr>
        <w:t>https://www.fda.gov/regulatory-information/search-fda-guidance-documents/patient-preference-information-voluntary-submission-review-premarket-approval-applications</w:t>
      </w:r>
      <w:r w:rsidRPr="002F54F1">
        <w:rPr>
          <w:rFonts w:eastAsia="宋体"/>
        </w:rPr>
        <w:t>）。</w:t>
      </w:r>
    </w:p>
  </w:footnote>
  <w:footnote w:id="36">
    <w:p w14:paraId="15B35CF0" w14:textId="77777777" w:rsidR="00973B28" w:rsidRDefault="00846E47" w:rsidP="0006004F">
      <w:pPr>
        <w:pStyle w:val="a7"/>
        <w:jc w:val="both"/>
        <w:rPr>
          <w:rFonts w:eastAsia="宋体"/>
        </w:rPr>
      </w:pPr>
      <w:r w:rsidRPr="002F54F1">
        <w:rPr>
          <w:rStyle w:val="a9"/>
          <w:rFonts w:eastAsia="宋体"/>
        </w:rPr>
        <w:footnoteRef/>
      </w:r>
      <w:r w:rsidRPr="002F54F1">
        <w:rPr>
          <w:rFonts w:eastAsia="宋体" w:hint="eastAsia"/>
          <w:i/>
          <w:iCs/>
          <w:color w:val="000000"/>
        </w:rPr>
        <w:t xml:space="preserve"> </w:t>
      </w:r>
      <w:r w:rsidRPr="002F54F1">
        <w:rPr>
          <w:rFonts w:eastAsia="宋体"/>
          <w:i/>
          <w:iCs/>
          <w:color w:val="000000"/>
        </w:rPr>
        <w:t>参见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520</w:t>
      </w:r>
      <w:r w:rsidRPr="002F54F1">
        <w:rPr>
          <w:rFonts w:eastAsia="宋体"/>
          <w:color w:val="000000"/>
        </w:rPr>
        <w:t>（</w:t>
      </w:r>
      <w:r w:rsidRPr="002F54F1">
        <w:rPr>
          <w:rFonts w:eastAsia="宋体"/>
          <w:color w:val="000000"/>
        </w:rPr>
        <w:t>m</w:t>
      </w:r>
      <w:r w:rsidRPr="002F54F1">
        <w:rPr>
          <w:rFonts w:eastAsia="宋体"/>
          <w:color w:val="000000"/>
        </w:rPr>
        <w:t>）条（</w:t>
      </w:r>
      <w:r w:rsidRPr="002F54F1">
        <w:rPr>
          <w:rFonts w:eastAsia="宋体"/>
          <w:color w:val="000000"/>
        </w:rPr>
        <w:t>21 U.S.C. § 360j</w:t>
      </w:r>
      <w:r w:rsidRPr="002F54F1">
        <w:rPr>
          <w:rFonts w:eastAsia="宋体"/>
          <w:color w:val="000000"/>
        </w:rPr>
        <w:t>（</w:t>
      </w:r>
      <w:r w:rsidRPr="002F54F1">
        <w:rPr>
          <w:rFonts w:eastAsia="宋体"/>
          <w:color w:val="000000"/>
        </w:rPr>
        <w:t>m</w:t>
      </w:r>
      <w:r w:rsidRPr="002F54F1">
        <w:rPr>
          <w:rFonts w:eastAsia="宋体"/>
          <w:color w:val="000000"/>
        </w:rPr>
        <w:t>））。请注意，通过</w:t>
      </w:r>
      <w:r w:rsidRPr="002F54F1">
        <w:rPr>
          <w:rFonts w:eastAsia="宋体"/>
          <w:color w:val="000000"/>
        </w:rPr>
        <w:t>HDE</w:t>
      </w:r>
      <w:r w:rsidRPr="002F54F1">
        <w:rPr>
          <w:rFonts w:eastAsia="宋体"/>
          <w:color w:val="000000"/>
        </w:rPr>
        <w:t>途径批准的器械要受到某些利润和使用限制。参</w:t>
      </w:r>
      <w:r w:rsidRPr="002F54F1">
        <w:rPr>
          <w:rFonts w:eastAsia="宋体"/>
          <w:i/>
          <w:iCs/>
          <w:color w:val="000000"/>
        </w:rPr>
        <w:t>见</w:t>
      </w:r>
      <w:r w:rsidRPr="002F54F1">
        <w:rPr>
          <w:rFonts w:eastAsia="宋体"/>
          <w:i/>
          <w:iCs/>
          <w:color w:val="000000"/>
        </w:rPr>
        <w:t>id</w:t>
      </w:r>
      <w:r w:rsidRPr="002F54F1">
        <w:rPr>
          <w:rFonts w:eastAsia="宋体"/>
          <w:i/>
          <w:iCs/>
          <w:color w:val="000000"/>
        </w:rPr>
        <w:t>。</w:t>
      </w:r>
    </w:p>
  </w:footnote>
  <w:footnote w:id="37">
    <w:p w14:paraId="1D0118B0"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）和</w:t>
      </w:r>
      <w:r w:rsidRPr="002F54F1">
        <w:rPr>
          <w:rFonts w:eastAsia="宋体"/>
          <w:color w:val="000000"/>
        </w:rPr>
        <w:t>515</w:t>
      </w:r>
      <w:r w:rsidRPr="002F54F1">
        <w:rPr>
          <w:rFonts w:eastAsia="宋体"/>
          <w:color w:val="000000"/>
        </w:rPr>
        <w:t>（</w:t>
      </w:r>
      <w:r w:rsidRPr="002F54F1">
        <w:rPr>
          <w:rFonts w:eastAsia="宋体"/>
          <w:color w:val="000000"/>
        </w:rPr>
        <w:t>d</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）和</w:t>
      </w:r>
      <w:r w:rsidRPr="002F54F1">
        <w:rPr>
          <w:rFonts w:eastAsia="宋体"/>
          <w:color w:val="000000"/>
        </w:rPr>
        <w:t>360e</w:t>
      </w:r>
      <w:r w:rsidRPr="002F54F1">
        <w:rPr>
          <w:rFonts w:eastAsia="宋体"/>
          <w:color w:val="000000"/>
        </w:rPr>
        <w:t>（</w:t>
      </w:r>
      <w:r w:rsidRPr="002F54F1">
        <w:rPr>
          <w:rFonts w:eastAsia="宋体"/>
          <w:color w:val="000000"/>
        </w:rPr>
        <w:t>d</w:t>
      </w:r>
      <w:r w:rsidRPr="002F54F1">
        <w:rPr>
          <w:rFonts w:eastAsia="宋体"/>
          <w:color w:val="000000"/>
        </w:rPr>
        <w:t>））和</w:t>
      </w:r>
      <w:r w:rsidRPr="002F54F1">
        <w:rPr>
          <w:rFonts w:eastAsia="宋体"/>
          <w:color w:val="000000"/>
        </w:rPr>
        <w:t>21 CFR 860.7</w:t>
      </w:r>
      <w:r w:rsidRPr="002F54F1">
        <w:rPr>
          <w:rFonts w:eastAsia="宋体"/>
          <w:color w:val="000000"/>
        </w:rPr>
        <w:t>。</w:t>
      </w:r>
    </w:p>
  </w:footnote>
  <w:footnote w:id="38">
    <w:p w14:paraId="4E1CE5F0"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突破性器械的标准在《</w:t>
      </w:r>
      <w:r w:rsidRPr="002F54F1">
        <w:rPr>
          <w:rFonts w:eastAsia="宋体"/>
          <w:color w:val="000000"/>
        </w:rPr>
        <w:t>FD&amp;C</w:t>
      </w:r>
      <w:r w:rsidRPr="002F54F1">
        <w:rPr>
          <w:rFonts w:eastAsia="宋体"/>
          <w:color w:val="000000"/>
        </w:rPr>
        <w:t>法案》（</w:t>
      </w:r>
      <w:r w:rsidRPr="002F54F1">
        <w:rPr>
          <w:rFonts w:eastAsia="宋体"/>
          <w:color w:val="000000"/>
        </w:rPr>
        <w:t>21 U.S.C. § 360e-3</w:t>
      </w:r>
      <w:r w:rsidRPr="002F54F1">
        <w:rPr>
          <w:rFonts w:eastAsia="宋体"/>
          <w:color w:val="000000"/>
        </w:rPr>
        <w:t>（</w:t>
      </w:r>
      <w:r w:rsidRPr="002F54F1">
        <w:rPr>
          <w:rFonts w:eastAsia="宋体"/>
          <w:color w:val="000000"/>
        </w:rPr>
        <w:t>b</w:t>
      </w:r>
      <w:r w:rsidRPr="002F54F1">
        <w:rPr>
          <w:rFonts w:eastAsia="宋体"/>
          <w:color w:val="000000"/>
        </w:rPr>
        <w:t>））的</w:t>
      </w:r>
      <w:r w:rsidRPr="002F54F1">
        <w:rPr>
          <w:rFonts w:eastAsia="宋体"/>
          <w:color w:val="000000"/>
        </w:rPr>
        <w:t>515B</w:t>
      </w:r>
      <w:r w:rsidRPr="002F54F1">
        <w:rPr>
          <w:rFonts w:eastAsia="宋体"/>
          <w:color w:val="000000"/>
        </w:rPr>
        <w:t>（</w:t>
      </w:r>
      <w:r w:rsidRPr="002F54F1">
        <w:rPr>
          <w:rFonts w:eastAsia="宋体"/>
          <w:color w:val="000000"/>
        </w:rPr>
        <w:t>b</w:t>
      </w:r>
      <w:r w:rsidRPr="002F54F1">
        <w:rPr>
          <w:rFonts w:eastAsia="宋体"/>
          <w:color w:val="000000"/>
        </w:rPr>
        <w:t>）中规定。</w:t>
      </w:r>
    </w:p>
  </w:footnote>
  <w:footnote w:id="39">
    <w:p w14:paraId="45AE0566"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515B</w:t>
      </w:r>
      <w:r w:rsidRPr="002F54F1">
        <w:rPr>
          <w:rFonts w:eastAsia="宋体"/>
          <w:color w:val="000000"/>
        </w:rPr>
        <w:t>（</w:t>
      </w:r>
      <w:r w:rsidRPr="002F54F1">
        <w:rPr>
          <w:rFonts w:eastAsia="宋体"/>
          <w:color w:val="000000"/>
        </w:rPr>
        <w:t>e</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）条（</w:t>
      </w:r>
      <w:r w:rsidRPr="002F54F1">
        <w:rPr>
          <w:rFonts w:eastAsia="宋体"/>
          <w:color w:val="000000"/>
        </w:rPr>
        <w:t>21 U.S.C. § 360e-3</w:t>
      </w:r>
      <w:r w:rsidRPr="002F54F1">
        <w:rPr>
          <w:rFonts w:eastAsia="宋体"/>
          <w:color w:val="000000"/>
        </w:rPr>
        <w:t>（</w:t>
      </w:r>
      <w:r w:rsidRPr="002F54F1">
        <w:rPr>
          <w:rFonts w:eastAsia="宋体"/>
          <w:color w:val="000000"/>
        </w:rPr>
        <w:t>e</w:t>
      </w:r>
      <w:r w:rsidRPr="002F54F1">
        <w:rPr>
          <w:rFonts w:eastAsia="宋体"/>
          <w:color w:val="000000"/>
        </w:rPr>
        <w:t>）（</w:t>
      </w:r>
      <w:r w:rsidRPr="002F54F1">
        <w:rPr>
          <w:rFonts w:eastAsia="宋体"/>
          <w:color w:val="000000"/>
        </w:rPr>
        <w:t>2</w:t>
      </w:r>
      <w:r w:rsidRPr="002F54F1">
        <w:rPr>
          <w:rFonts w:eastAsia="宋体"/>
          <w:color w:val="000000"/>
        </w:rPr>
        <w:t>）（</w:t>
      </w:r>
      <w:r w:rsidRPr="002F54F1">
        <w:rPr>
          <w:rFonts w:eastAsia="宋体"/>
          <w:color w:val="000000"/>
        </w:rPr>
        <w:t>C</w:t>
      </w:r>
      <w:r w:rsidRPr="002F54F1">
        <w:rPr>
          <w:rFonts w:eastAsia="宋体"/>
          <w:color w:val="000000"/>
        </w:rPr>
        <w:t>））。</w:t>
      </w:r>
    </w:p>
  </w:footnote>
  <w:footnote w:id="40">
    <w:p w14:paraId="4011F265" w14:textId="77777777" w:rsidR="00846E47" w:rsidRPr="002F54F1" w:rsidRDefault="00846E47" w:rsidP="002F54F1">
      <w:pPr>
        <w:pStyle w:val="a7"/>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《突破性器械计划》（可访问</w:t>
      </w:r>
      <w:r w:rsidRPr="002F54F1">
        <w:rPr>
          <w:rFonts w:eastAsia="宋体"/>
          <w:color w:val="0000FF"/>
          <w:u w:val="single"/>
        </w:rPr>
        <w:t>https://www.fda.gov/regulatory-information/search-fda-guidance-documents/breakthrough-devices-program</w:t>
      </w:r>
      <w:r w:rsidRPr="002F54F1">
        <w:rPr>
          <w:rFonts w:eastAsia="宋体"/>
          <w:color w:val="000000"/>
        </w:rPr>
        <w:t>）。</w:t>
      </w:r>
    </w:p>
  </w:footnote>
  <w:footnote w:id="41">
    <w:p w14:paraId="0B8CEC74" w14:textId="77777777" w:rsidR="00846E47" w:rsidRPr="002F54F1" w:rsidRDefault="00846E47" w:rsidP="002F54F1">
      <w:pPr>
        <w:shd w:val="clear" w:color="auto" w:fill="FFFFFF"/>
        <w:tabs>
          <w:tab w:val="left" w:pos="182"/>
        </w:tabs>
        <w:snapToGrid w:val="0"/>
        <w:jc w:val="both"/>
        <w:rPr>
          <w:rFonts w:eastAsia="宋体"/>
          <w:sz w:val="18"/>
          <w:szCs w:val="18"/>
        </w:rPr>
      </w:pPr>
      <w:r w:rsidRPr="002F54F1">
        <w:rPr>
          <w:rStyle w:val="a9"/>
          <w:rFonts w:eastAsia="宋体"/>
          <w:sz w:val="18"/>
          <w:szCs w:val="18"/>
        </w:rPr>
        <w:footnoteRef/>
      </w:r>
      <w:r w:rsidRPr="002F54F1">
        <w:rPr>
          <w:rFonts w:eastAsia="宋体"/>
          <w:sz w:val="18"/>
          <w:szCs w:val="18"/>
        </w:rPr>
        <w:t xml:space="preserve"> </w:t>
      </w:r>
      <w:r w:rsidRPr="0058043D">
        <w:rPr>
          <w:rFonts w:eastAsia="宋体" w:hint="eastAsia"/>
          <w:i/>
          <w:sz w:val="18"/>
          <w:szCs w:val="18"/>
        </w:rPr>
        <w:t>参</w:t>
      </w:r>
      <w:r w:rsidRPr="002F54F1">
        <w:rPr>
          <w:rFonts w:eastAsia="宋体"/>
          <w:i/>
          <w:iCs/>
          <w:color w:val="000000"/>
          <w:sz w:val="18"/>
          <w:szCs w:val="18"/>
        </w:rPr>
        <w:t>见</w:t>
      </w:r>
      <w:r w:rsidRPr="002F54F1">
        <w:rPr>
          <w:rFonts w:eastAsia="宋体"/>
          <w:color w:val="000000"/>
          <w:sz w:val="18"/>
          <w:szCs w:val="18"/>
        </w:rPr>
        <w:t>《</w:t>
      </w:r>
      <w:r w:rsidRPr="002F54F1">
        <w:rPr>
          <w:rFonts w:eastAsia="宋体"/>
          <w:color w:val="000000"/>
          <w:sz w:val="18"/>
          <w:szCs w:val="18"/>
        </w:rPr>
        <w:t>FD&amp;C</w:t>
      </w:r>
      <w:r w:rsidRPr="002F54F1">
        <w:rPr>
          <w:rFonts w:eastAsia="宋体"/>
          <w:color w:val="000000"/>
          <w:sz w:val="18"/>
          <w:szCs w:val="18"/>
        </w:rPr>
        <w:t>法案》第</w:t>
      </w:r>
      <w:r w:rsidRPr="002F54F1">
        <w:rPr>
          <w:rFonts w:eastAsia="宋体"/>
          <w:color w:val="000000"/>
          <w:sz w:val="18"/>
          <w:szCs w:val="18"/>
        </w:rPr>
        <w:t>513</w:t>
      </w:r>
      <w:r w:rsidRPr="002F54F1">
        <w:rPr>
          <w:rFonts w:eastAsia="宋体"/>
          <w:color w:val="000000"/>
          <w:sz w:val="18"/>
          <w:szCs w:val="18"/>
        </w:rPr>
        <w:t>（</w:t>
      </w:r>
      <w:r w:rsidRPr="002F54F1">
        <w:rPr>
          <w:rFonts w:eastAsia="宋体"/>
          <w:color w:val="000000"/>
          <w:sz w:val="18"/>
          <w:szCs w:val="18"/>
        </w:rPr>
        <w:t>a</w:t>
      </w:r>
      <w:r w:rsidRPr="002F54F1">
        <w:rPr>
          <w:rFonts w:eastAsia="宋体"/>
          <w:color w:val="000000"/>
          <w:sz w:val="18"/>
          <w:szCs w:val="18"/>
        </w:rPr>
        <w:t>）（</w:t>
      </w:r>
      <w:r w:rsidRPr="002F54F1">
        <w:rPr>
          <w:rFonts w:eastAsia="宋体"/>
          <w:color w:val="000000"/>
          <w:sz w:val="18"/>
          <w:szCs w:val="18"/>
        </w:rPr>
        <w:t>3</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color w:val="000000"/>
          <w:sz w:val="18"/>
          <w:szCs w:val="18"/>
        </w:rPr>
        <w:t>515</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color w:val="000000"/>
          <w:sz w:val="18"/>
          <w:szCs w:val="18"/>
        </w:rPr>
        <w:t>5</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color w:val="000000"/>
          <w:sz w:val="18"/>
          <w:szCs w:val="18"/>
        </w:rPr>
        <w:t>515</w:t>
      </w:r>
      <w:r w:rsidRPr="002F54F1">
        <w:rPr>
          <w:rFonts w:eastAsia="宋体"/>
          <w:color w:val="000000"/>
          <w:sz w:val="18"/>
          <w:szCs w:val="18"/>
        </w:rPr>
        <w:t>（</w:t>
      </w:r>
      <w:r w:rsidRPr="002F54F1">
        <w:rPr>
          <w:rFonts w:eastAsia="宋体"/>
          <w:color w:val="000000"/>
          <w:sz w:val="18"/>
          <w:szCs w:val="18"/>
        </w:rPr>
        <w:t>d</w:t>
      </w:r>
      <w:r w:rsidRPr="002F54F1">
        <w:rPr>
          <w:rFonts w:eastAsia="宋体"/>
          <w:color w:val="000000"/>
          <w:sz w:val="18"/>
          <w:szCs w:val="18"/>
        </w:rPr>
        <w:t>）（</w:t>
      </w:r>
      <w:r w:rsidRPr="002F54F1">
        <w:rPr>
          <w:rFonts w:eastAsia="宋体"/>
          <w:color w:val="000000"/>
          <w:sz w:val="18"/>
          <w:szCs w:val="18"/>
        </w:rPr>
        <w:t>1</w:t>
      </w:r>
      <w:r w:rsidRPr="002F54F1">
        <w:rPr>
          <w:rFonts w:eastAsia="宋体"/>
          <w:color w:val="000000"/>
          <w:sz w:val="18"/>
          <w:szCs w:val="18"/>
        </w:rPr>
        <w:t>）（</w:t>
      </w:r>
      <w:r w:rsidRPr="002F54F1">
        <w:rPr>
          <w:rFonts w:eastAsia="宋体"/>
          <w:color w:val="000000"/>
          <w:sz w:val="18"/>
          <w:szCs w:val="18"/>
        </w:rPr>
        <w:t>B</w:t>
      </w:r>
      <w:r w:rsidRPr="002F54F1">
        <w:rPr>
          <w:rFonts w:eastAsia="宋体"/>
          <w:color w:val="000000"/>
          <w:sz w:val="18"/>
          <w:szCs w:val="18"/>
        </w:rPr>
        <w:t>）（</w:t>
      </w:r>
      <w:r w:rsidRPr="002F54F1">
        <w:rPr>
          <w:rFonts w:eastAsia="宋体"/>
          <w:color w:val="000000"/>
          <w:sz w:val="18"/>
          <w:szCs w:val="18"/>
        </w:rPr>
        <w:t>ii</w:t>
      </w:r>
      <w:r w:rsidRPr="002F54F1">
        <w:rPr>
          <w:rFonts w:eastAsia="宋体"/>
          <w:color w:val="000000"/>
          <w:sz w:val="18"/>
          <w:szCs w:val="18"/>
        </w:rPr>
        <w:t>）和</w:t>
      </w:r>
      <w:r w:rsidRPr="002F54F1">
        <w:rPr>
          <w:rFonts w:eastAsia="宋体"/>
          <w:color w:val="000000"/>
          <w:sz w:val="18"/>
          <w:szCs w:val="18"/>
        </w:rPr>
        <w:t>515B</w:t>
      </w:r>
      <w:r w:rsidRPr="002F54F1">
        <w:rPr>
          <w:rFonts w:eastAsia="宋体"/>
          <w:color w:val="000000"/>
          <w:sz w:val="18"/>
          <w:szCs w:val="18"/>
        </w:rPr>
        <w:t>（</w:t>
      </w:r>
      <w:r w:rsidRPr="002F54F1">
        <w:rPr>
          <w:rFonts w:eastAsia="宋体"/>
          <w:color w:val="000000"/>
          <w:sz w:val="18"/>
          <w:szCs w:val="18"/>
        </w:rPr>
        <w:t>e</w:t>
      </w:r>
      <w:r w:rsidRPr="002F54F1">
        <w:rPr>
          <w:rFonts w:eastAsia="宋体"/>
          <w:color w:val="000000"/>
          <w:sz w:val="18"/>
          <w:szCs w:val="18"/>
        </w:rPr>
        <w:t>）（</w:t>
      </w:r>
      <w:r w:rsidRPr="002F54F1">
        <w:rPr>
          <w:rFonts w:eastAsia="宋体"/>
          <w:color w:val="000000"/>
          <w:sz w:val="18"/>
          <w:szCs w:val="18"/>
        </w:rPr>
        <w:t>2</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）条（</w:t>
      </w:r>
      <w:r w:rsidRPr="002F54F1">
        <w:rPr>
          <w:rFonts w:eastAsia="宋体"/>
          <w:color w:val="000000"/>
          <w:sz w:val="18"/>
          <w:szCs w:val="18"/>
        </w:rPr>
        <w:t>21 U</w:t>
      </w:r>
      <w:r w:rsidRPr="002F54F1">
        <w:rPr>
          <w:rFonts w:eastAsia="宋体"/>
          <w:color w:val="000000"/>
          <w:sz w:val="18"/>
          <w:szCs w:val="18"/>
        </w:rPr>
        <w:t>．</w:t>
      </w:r>
      <w:r w:rsidRPr="002F54F1">
        <w:rPr>
          <w:rFonts w:eastAsia="宋体"/>
          <w:color w:val="000000"/>
          <w:sz w:val="18"/>
          <w:szCs w:val="18"/>
        </w:rPr>
        <w:t>S.C. §§ 360c</w:t>
      </w:r>
      <w:r w:rsidRPr="002F54F1">
        <w:rPr>
          <w:rFonts w:eastAsia="宋体"/>
          <w:color w:val="000000"/>
          <w:sz w:val="18"/>
          <w:szCs w:val="18"/>
        </w:rPr>
        <w:t>（</w:t>
      </w:r>
      <w:r w:rsidRPr="002F54F1">
        <w:rPr>
          <w:rFonts w:eastAsia="宋体"/>
          <w:color w:val="000000"/>
          <w:sz w:val="18"/>
          <w:szCs w:val="18"/>
        </w:rPr>
        <w:t>a</w:t>
      </w:r>
      <w:r w:rsidRPr="002F54F1">
        <w:rPr>
          <w:rFonts w:eastAsia="宋体"/>
          <w:color w:val="000000"/>
          <w:sz w:val="18"/>
          <w:szCs w:val="18"/>
        </w:rPr>
        <w:t>）（</w:t>
      </w:r>
      <w:r w:rsidRPr="002F54F1">
        <w:rPr>
          <w:rFonts w:eastAsia="宋体"/>
          <w:color w:val="000000"/>
          <w:sz w:val="18"/>
          <w:szCs w:val="18"/>
        </w:rPr>
        <w:t>3</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hint="eastAsia"/>
          <w:color w:val="000000"/>
          <w:sz w:val="18"/>
          <w:szCs w:val="18"/>
        </w:rPr>
        <w:t>，</w:t>
      </w:r>
      <w:r w:rsidRPr="002F54F1">
        <w:rPr>
          <w:rFonts w:eastAsia="宋体"/>
          <w:color w:val="000000"/>
          <w:sz w:val="18"/>
          <w:szCs w:val="18"/>
        </w:rPr>
        <w:t>360e</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color w:val="000000"/>
          <w:sz w:val="18"/>
          <w:szCs w:val="18"/>
        </w:rPr>
        <w:t>5</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hint="eastAsia"/>
          <w:color w:val="000000"/>
          <w:sz w:val="18"/>
          <w:szCs w:val="18"/>
        </w:rPr>
        <w:t>，</w:t>
      </w:r>
      <w:r w:rsidRPr="002F54F1">
        <w:rPr>
          <w:rFonts w:eastAsia="宋体"/>
          <w:color w:val="000000"/>
          <w:sz w:val="18"/>
          <w:szCs w:val="18"/>
        </w:rPr>
        <w:t>360e</w:t>
      </w:r>
      <w:r w:rsidRPr="002F54F1">
        <w:rPr>
          <w:rFonts w:eastAsia="宋体"/>
          <w:color w:val="000000"/>
          <w:sz w:val="18"/>
          <w:szCs w:val="18"/>
        </w:rPr>
        <w:t>（</w:t>
      </w:r>
      <w:r w:rsidRPr="002F54F1">
        <w:rPr>
          <w:rFonts w:eastAsia="宋体"/>
          <w:color w:val="000000"/>
          <w:sz w:val="18"/>
          <w:szCs w:val="18"/>
        </w:rPr>
        <w:t>d</w:t>
      </w:r>
      <w:r w:rsidRPr="002F54F1">
        <w:rPr>
          <w:rFonts w:eastAsia="宋体"/>
          <w:color w:val="000000"/>
          <w:sz w:val="18"/>
          <w:szCs w:val="18"/>
        </w:rPr>
        <w:t>）（</w:t>
      </w:r>
      <w:r w:rsidRPr="002F54F1">
        <w:rPr>
          <w:rFonts w:eastAsia="宋体"/>
          <w:color w:val="000000"/>
          <w:sz w:val="18"/>
          <w:szCs w:val="18"/>
        </w:rPr>
        <w:t>1</w:t>
      </w:r>
      <w:r w:rsidRPr="002F54F1">
        <w:rPr>
          <w:rFonts w:eastAsia="宋体"/>
          <w:color w:val="000000"/>
          <w:sz w:val="18"/>
          <w:szCs w:val="18"/>
        </w:rPr>
        <w:t>）（</w:t>
      </w:r>
      <w:r w:rsidRPr="002F54F1">
        <w:rPr>
          <w:rFonts w:eastAsia="宋体"/>
          <w:color w:val="000000"/>
          <w:sz w:val="18"/>
          <w:szCs w:val="18"/>
        </w:rPr>
        <w:t>B</w:t>
      </w:r>
      <w:r w:rsidRPr="002F54F1">
        <w:rPr>
          <w:rFonts w:eastAsia="宋体"/>
          <w:color w:val="000000"/>
          <w:sz w:val="18"/>
          <w:szCs w:val="18"/>
        </w:rPr>
        <w:t>）（</w:t>
      </w:r>
      <w:r w:rsidRPr="002F54F1">
        <w:rPr>
          <w:rFonts w:eastAsia="宋体"/>
          <w:color w:val="000000"/>
          <w:sz w:val="18"/>
          <w:szCs w:val="18"/>
        </w:rPr>
        <w:t>ii</w:t>
      </w:r>
      <w:r w:rsidRPr="002F54F1">
        <w:rPr>
          <w:rFonts w:eastAsia="宋体"/>
          <w:color w:val="000000"/>
          <w:sz w:val="18"/>
          <w:szCs w:val="18"/>
        </w:rPr>
        <w:t>）</w:t>
      </w:r>
      <w:r w:rsidRPr="002F54F1">
        <w:rPr>
          <w:rFonts w:eastAsia="宋体" w:hint="eastAsia"/>
          <w:color w:val="000000"/>
          <w:sz w:val="18"/>
          <w:szCs w:val="18"/>
        </w:rPr>
        <w:t>，</w:t>
      </w:r>
      <w:r w:rsidRPr="002F54F1">
        <w:rPr>
          <w:rFonts w:eastAsia="宋体"/>
          <w:color w:val="000000"/>
          <w:sz w:val="18"/>
          <w:szCs w:val="18"/>
        </w:rPr>
        <w:t>和</w:t>
      </w:r>
      <w:r w:rsidRPr="002F54F1">
        <w:rPr>
          <w:rFonts w:eastAsia="宋体"/>
          <w:color w:val="000000"/>
          <w:sz w:val="18"/>
          <w:szCs w:val="18"/>
        </w:rPr>
        <w:t xml:space="preserve"> 360e-3</w:t>
      </w:r>
      <w:r w:rsidRPr="002F54F1">
        <w:rPr>
          <w:rFonts w:eastAsia="宋体"/>
          <w:color w:val="000000"/>
          <w:sz w:val="18"/>
          <w:szCs w:val="18"/>
        </w:rPr>
        <w:t>（</w:t>
      </w:r>
      <w:r w:rsidRPr="002F54F1">
        <w:rPr>
          <w:rFonts w:eastAsia="宋体"/>
          <w:color w:val="000000"/>
          <w:sz w:val="18"/>
          <w:szCs w:val="18"/>
        </w:rPr>
        <w:t>e</w:t>
      </w:r>
      <w:r w:rsidRPr="002F54F1">
        <w:rPr>
          <w:rFonts w:eastAsia="宋体"/>
          <w:color w:val="000000"/>
          <w:sz w:val="18"/>
          <w:szCs w:val="18"/>
        </w:rPr>
        <w:t>）（</w:t>
      </w:r>
      <w:r w:rsidRPr="002F54F1">
        <w:rPr>
          <w:rFonts w:eastAsia="宋体"/>
          <w:color w:val="000000"/>
          <w:sz w:val="18"/>
          <w:szCs w:val="18"/>
        </w:rPr>
        <w:t>2</w:t>
      </w:r>
      <w:r w:rsidRPr="002F54F1">
        <w:rPr>
          <w:rFonts w:eastAsia="宋体"/>
          <w:color w:val="000000"/>
          <w:sz w:val="18"/>
          <w:szCs w:val="18"/>
        </w:rPr>
        <w:t>）（</w:t>
      </w:r>
      <w:r w:rsidRPr="002F54F1">
        <w:rPr>
          <w:rFonts w:eastAsia="宋体"/>
          <w:color w:val="000000"/>
          <w:sz w:val="18"/>
          <w:szCs w:val="18"/>
        </w:rPr>
        <w:t>C</w:t>
      </w:r>
      <w:r w:rsidRPr="002F54F1">
        <w:rPr>
          <w:rFonts w:eastAsia="宋体"/>
          <w:color w:val="000000"/>
          <w:sz w:val="18"/>
          <w:szCs w:val="18"/>
        </w:rPr>
        <w:t>）</w:t>
      </w:r>
      <w:r w:rsidRPr="002F54F1">
        <w:rPr>
          <w:rFonts w:eastAsia="宋体"/>
          <w:color w:val="000000"/>
          <w:sz w:val="18"/>
          <w:szCs w:val="18"/>
        </w:rPr>
        <w:t>; 21 CFR 814.82</w:t>
      </w:r>
      <w:r w:rsidRPr="002F54F1">
        <w:rPr>
          <w:rFonts w:eastAsia="宋体"/>
          <w:color w:val="000000"/>
          <w:sz w:val="18"/>
          <w:szCs w:val="18"/>
        </w:rPr>
        <w:t>。还要注意的是，如果</w:t>
      </w:r>
      <w:r w:rsidRPr="002F54F1">
        <w:rPr>
          <w:rFonts w:eastAsia="宋体"/>
          <w:color w:val="000000"/>
          <w:sz w:val="18"/>
          <w:szCs w:val="18"/>
        </w:rPr>
        <w:t>FDA</w:t>
      </w:r>
      <w:r w:rsidRPr="002F54F1">
        <w:rPr>
          <w:rFonts w:eastAsia="宋体"/>
          <w:color w:val="000000"/>
          <w:sz w:val="18"/>
          <w:szCs w:val="18"/>
        </w:rPr>
        <w:t>发现第二类或第三类器械打算植入一年以上，或者是在使用者设施外使用的维持生命或支持生命的器械，如果该器械失败，将有理由相信会产生严重的不良健康后果，或者预计将在儿科人群中大量使用，</w:t>
      </w:r>
      <w:r w:rsidRPr="002F54F1">
        <w:rPr>
          <w:rFonts w:eastAsia="宋体"/>
          <w:color w:val="000000"/>
          <w:sz w:val="18"/>
          <w:szCs w:val="18"/>
        </w:rPr>
        <w:t>FDA</w:t>
      </w:r>
      <w:r w:rsidRPr="002F54F1">
        <w:rPr>
          <w:rFonts w:eastAsia="宋体"/>
          <w:color w:val="000000"/>
          <w:sz w:val="18"/>
          <w:szCs w:val="18"/>
        </w:rPr>
        <w:t>可以根据《</w:t>
      </w:r>
      <w:r w:rsidRPr="002F54F1">
        <w:rPr>
          <w:rFonts w:eastAsia="宋体"/>
          <w:color w:val="000000"/>
          <w:sz w:val="18"/>
          <w:szCs w:val="18"/>
        </w:rPr>
        <w:t>FD&amp;C</w:t>
      </w:r>
      <w:r w:rsidRPr="002F54F1">
        <w:rPr>
          <w:rFonts w:eastAsia="宋体"/>
          <w:color w:val="000000"/>
          <w:sz w:val="18"/>
          <w:szCs w:val="18"/>
        </w:rPr>
        <w:t>法案》第</w:t>
      </w:r>
      <w:r w:rsidRPr="002F54F1">
        <w:rPr>
          <w:rFonts w:eastAsia="宋体"/>
          <w:color w:val="000000"/>
          <w:sz w:val="18"/>
          <w:szCs w:val="18"/>
        </w:rPr>
        <w:t>522</w:t>
      </w:r>
      <w:r w:rsidRPr="002F54F1">
        <w:rPr>
          <w:rFonts w:eastAsia="宋体"/>
          <w:color w:val="000000"/>
          <w:sz w:val="18"/>
          <w:szCs w:val="18"/>
        </w:rPr>
        <w:t>条（</w:t>
      </w:r>
      <w:r w:rsidRPr="002F54F1">
        <w:rPr>
          <w:rFonts w:eastAsia="宋体"/>
          <w:color w:val="000000"/>
          <w:sz w:val="18"/>
          <w:szCs w:val="18"/>
        </w:rPr>
        <w:t>21 U.S.C. § 360l</w:t>
      </w:r>
      <w:r w:rsidRPr="002F54F1">
        <w:rPr>
          <w:rFonts w:eastAsia="宋体"/>
          <w:color w:val="000000"/>
          <w:sz w:val="18"/>
          <w:szCs w:val="18"/>
        </w:rPr>
        <w:t>）下令要求进行市场后监督。</w:t>
      </w:r>
      <w:r w:rsidRPr="002F54F1">
        <w:rPr>
          <w:rFonts w:eastAsia="宋体"/>
          <w:i/>
          <w:iCs/>
          <w:color w:val="000000"/>
          <w:sz w:val="18"/>
          <w:szCs w:val="18"/>
        </w:rPr>
        <w:t>另请参见</w:t>
      </w:r>
      <w:r w:rsidRPr="002F54F1">
        <w:rPr>
          <w:rFonts w:eastAsia="宋体"/>
          <w:color w:val="000000"/>
          <w:sz w:val="18"/>
          <w:szCs w:val="18"/>
        </w:rPr>
        <w:t>《联邦食品、药品和化妆品法案》第</w:t>
      </w:r>
      <w:r w:rsidRPr="002F54F1">
        <w:rPr>
          <w:rFonts w:eastAsia="宋体"/>
          <w:color w:val="000000"/>
          <w:sz w:val="18"/>
          <w:szCs w:val="18"/>
        </w:rPr>
        <w:t>522</w:t>
      </w:r>
      <w:r w:rsidRPr="002F54F1">
        <w:rPr>
          <w:rFonts w:eastAsia="宋体"/>
          <w:color w:val="000000"/>
          <w:sz w:val="18"/>
          <w:szCs w:val="18"/>
        </w:rPr>
        <w:t>条规定的市场后监督（可访问</w:t>
      </w:r>
      <w:r w:rsidRPr="002F54F1">
        <w:rPr>
          <w:rFonts w:eastAsia="宋体" w:hint="eastAsia"/>
          <w:color w:val="000000"/>
          <w:sz w:val="18"/>
          <w:szCs w:val="18"/>
        </w:rPr>
        <w:br/>
      </w:r>
      <w:r w:rsidRPr="002F54F1">
        <w:rPr>
          <w:rFonts w:eastAsia="宋体"/>
          <w:color w:val="0000FF"/>
          <w:sz w:val="18"/>
          <w:szCs w:val="18"/>
          <w:u w:val="single"/>
        </w:rPr>
        <w:t>https://www.fda.gov/regulatory-information/search-fda-guidance-documents/postmarket-surveillance-under-section-522-federal-food-drug-and-cosmetic-act</w:t>
      </w:r>
      <w:r w:rsidRPr="002F54F1">
        <w:rPr>
          <w:rFonts w:eastAsia="宋体"/>
          <w:color w:val="000000"/>
          <w:sz w:val="18"/>
          <w:szCs w:val="18"/>
        </w:rPr>
        <w:t>）。</w:t>
      </w:r>
      <w:r w:rsidRPr="002F54F1">
        <w:rPr>
          <w:rFonts w:eastAsia="宋体"/>
          <w:color w:val="000000"/>
          <w:sz w:val="18"/>
          <w:szCs w:val="18"/>
        </w:rPr>
        <w:t xml:space="preserve"> </w:t>
      </w:r>
    </w:p>
  </w:footnote>
  <w:footnote w:id="42">
    <w:p w14:paraId="3857D6DD"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访问</w:t>
      </w:r>
      <w:r w:rsidRPr="002F54F1">
        <w:rPr>
          <w:rFonts w:eastAsia="宋体"/>
          <w:color w:val="0000FF"/>
          <w:u w:val="single"/>
        </w:rPr>
        <w:t>https://www.accessdata.fda.gov/scripts/cdrh/cfdocs/cfpma/pma_pas.cfm</w:t>
      </w:r>
      <w:r w:rsidRPr="002F54F1">
        <w:rPr>
          <w:rFonts w:eastAsia="宋体"/>
          <w:color w:val="000000"/>
        </w:rPr>
        <w:t>.</w:t>
      </w:r>
    </w:p>
  </w:footnote>
  <w:footnote w:id="43">
    <w:p w14:paraId="1CDAA305"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21 CFR 814.46</w:t>
      </w:r>
      <w:r w:rsidRPr="002F54F1">
        <w:rPr>
          <w:rFonts w:eastAsia="宋体"/>
          <w:color w:val="000000"/>
        </w:rPr>
        <w:t>（</w:t>
      </w:r>
      <w:r w:rsidRPr="002F54F1">
        <w:rPr>
          <w:rFonts w:eastAsia="宋体"/>
          <w:color w:val="000000"/>
        </w:rPr>
        <w:t>a</w:t>
      </w:r>
      <w:r w:rsidRPr="002F54F1">
        <w:rPr>
          <w:rFonts w:eastAsia="宋体"/>
          <w:color w:val="000000"/>
        </w:rPr>
        <w:t>）。此外，不遵守</w:t>
      </w:r>
      <w:r w:rsidRPr="002F54F1">
        <w:rPr>
          <w:rFonts w:eastAsia="宋体"/>
          <w:color w:val="000000"/>
        </w:rPr>
        <w:t>21 CFR 814.82</w:t>
      </w:r>
      <w:r w:rsidRPr="002F54F1">
        <w:rPr>
          <w:rFonts w:eastAsia="宋体"/>
          <w:color w:val="000000"/>
        </w:rPr>
        <w:t>（</w:t>
      </w:r>
      <w:r w:rsidRPr="002F54F1">
        <w:rPr>
          <w:rFonts w:eastAsia="宋体"/>
          <w:color w:val="000000"/>
        </w:rPr>
        <w:t>a</w:t>
      </w:r>
      <w:r w:rsidRPr="002F54F1">
        <w:rPr>
          <w:rFonts w:eastAsia="宋体"/>
          <w:color w:val="000000"/>
        </w:rPr>
        <w:t>）（</w:t>
      </w:r>
      <w:r w:rsidRPr="002F54F1">
        <w:rPr>
          <w:rFonts w:eastAsia="宋体"/>
          <w:color w:val="000000"/>
        </w:rPr>
        <w:t>2</w:t>
      </w:r>
      <w:r w:rsidRPr="002F54F1">
        <w:rPr>
          <w:rFonts w:eastAsia="宋体"/>
          <w:color w:val="000000"/>
        </w:rPr>
        <w:t>）的批准后要求，可能会导致该器械在《</w:t>
      </w:r>
      <w:r w:rsidRPr="002F54F1">
        <w:rPr>
          <w:rFonts w:eastAsia="宋体"/>
          <w:color w:val="000000"/>
        </w:rPr>
        <w:t>FD&amp;C</w:t>
      </w:r>
      <w:r w:rsidRPr="002F54F1">
        <w:rPr>
          <w:rFonts w:eastAsia="宋体"/>
          <w:color w:val="000000"/>
        </w:rPr>
        <w:t>法案》第</w:t>
      </w:r>
      <w:r w:rsidRPr="002F54F1">
        <w:rPr>
          <w:rFonts w:eastAsia="宋体"/>
          <w:color w:val="000000"/>
        </w:rPr>
        <w:t>502</w:t>
      </w:r>
      <w:r w:rsidRPr="002F54F1">
        <w:rPr>
          <w:rFonts w:eastAsia="宋体"/>
          <w:color w:val="000000"/>
        </w:rPr>
        <w:t>（</w:t>
      </w:r>
      <w:r w:rsidRPr="002F54F1">
        <w:rPr>
          <w:rFonts w:eastAsia="宋体"/>
          <w:color w:val="000000"/>
        </w:rPr>
        <w:t>t</w:t>
      </w:r>
      <w:r w:rsidRPr="002F54F1">
        <w:rPr>
          <w:rFonts w:eastAsia="宋体"/>
          <w:color w:val="000000"/>
        </w:rPr>
        <w:t>）（</w:t>
      </w:r>
      <w:r w:rsidRPr="002F54F1">
        <w:rPr>
          <w:rFonts w:eastAsia="宋体"/>
          <w:color w:val="000000"/>
        </w:rPr>
        <w:t>2</w:t>
      </w:r>
      <w:r w:rsidRPr="002F54F1">
        <w:rPr>
          <w:rFonts w:eastAsia="宋体"/>
          <w:color w:val="000000"/>
        </w:rPr>
        <w:t>）条（</w:t>
      </w:r>
      <w:r w:rsidRPr="002F54F1">
        <w:rPr>
          <w:rFonts w:eastAsia="宋体"/>
          <w:color w:val="000000"/>
        </w:rPr>
        <w:t>21 U.S.C. §352</w:t>
      </w:r>
      <w:r w:rsidRPr="002F54F1">
        <w:rPr>
          <w:rFonts w:eastAsia="宋体"/>
          <w:color w:val="000000"/>
        </w:rPr>
        <w:t>（</w:t>
      </w:r>
      <w:r w:rsidRPr="002F54F1">
        <w:rPr>
          <w:rFonts w:eastAsia="宋体"/>
          <w:color w:val="000000"/>
        </w:rPr>
        <w:t>t</w:t>
      </w:r>
      <w:r w:rsidRPr="002F54F1">
        <w:rPr>
          <w:rFonts w:eastAsia="宋体"/>
          <w:color w:val="000000"/>
        </w:rPr>
        <w:t>）（</w:t>
      </w:r>
      <w:r w:rsidRPr="002F54F1">
        <w:rPr>
          <w:rFonts w:eastAsia="宋体"/>
          <w:color w:val="000000"/>
        </w:rPr>
        <w:t>2</w:t>
      </w:r>
      <w:r w:rsidRPr="002F54F1">
        <w:rPr>
          <w:rFonts w:eastAsia="宋体"/>
          <w:color w:val="000000"/>
        </w:rPr>
        <w:t>））中被误标，并构成《</w:t>
      </w:r>
      <w:r w:rsidRPr="002F54F1">
        <w:rPr>
          <w:rFonts w:eastAsia="宋体"/>
          <w:color w:val="000000"/>
        </w:rPr>
        <w:t>FD&amp;C</w:t>
      </w:r>
      <w:r w:rsidRPr="002F54F1">
        <w:rPr>
          <w:rFonts w:eastAsia="宋体"/>
          <w:color w:val="000000"/>
        </w:rPr>
        <w:t>法案》第</w:t>
      </w:r>
      <w:r w:rsidRPr="002F54F1">
        <w:rPr>
          <w:rFonts w:eastAsia="宋体"/>
          <w:color w:val="000000"/>
        </w:rPr>
        <w:t>301</w:t>
      </w:r>
      <w:r w:rsidRPr="002F54F1">
        <w:rPr>
          <w:rFonts w:eastAsia="宋体"/>
          <w:color w:val="000000"/>
        </w:rPr>
        <w:t>（</w:t>
      </w:r>
      <w:r w:rsidRPr="002F54F1">
        <w:rPr>
          <w:rFonts w:eastAsia="宋体"/>
          <w:color w:val="000000"/>
        </w:rPr>
        <w:t>q</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B</w:t>
      </w:r>
      <w:r w:rsidRPr="002F54F1">
        <w:rPr>
          <w:rFonts w:eastAsia="宋体"/>
          <w:color w:val="000000"/>
        </w:rPr>
        <w:t>）条（</w:t>
      </w:r>
      <w:r w:rsidRPr="002F54F1">
        <w:rPr>
          <w:rFonts w:eastAsia="宋体"/>
          <w:color w:val="000000"/>
        </w:rPr>
        <w:t>21 U.S.C. §331</w:t>
      </w:r>
      <w:r w:rsidRPr="002F54F1">
        <w:rPr>
          <w:rFonts w:eastAsia="宋体"/>
          <w:color w:val="000000"/>
        </w:rPr>
        <w:t>（</w:t>
      </w:r>
      <w:r w:rsidRPr="002F54F1">
        <w:rPr>
          <w:rFonts w:eastAsia="宋体"/>
          <w:color w:val="000000"/>
        </w:rPr>
        <w:t>q</w:t>
      </w:r>
      <w:r w:rsidRPr="002F54F1">
        <w:rPr>
          <w:rFonts w:eastAsia="宋体"/>
          <w:color w:val="000000"/>
        </w:rPr>
        <w:t>）（</w:t>
      </w:r>
      <w:r w:rsidRPr="002F54F1">
        <w:rPr>
          <w:rFonts w:eastAsia="宋体"/>
          <w:color w:val="000000"/>
        </w:rPr>
        <w:t>1</w:t>
      </w:r>
      <w:r w:rsidRPr="002F54F1">
        <w:rPr>
          <w:rFonts w:eastAsia="宋体"/>
          <w:color w:val="000000"/>
        </w:rPr>
        <w:t>）（</w:t>
      </w:r>
      <w:r w:rsidRPr="002F54F1">
        <w:rPr>
          <w:rFonts w:eastAsia="宋体"/>
          <w:color w:val="000000"/>
        </w:rPr>
        <w:t>B</w:t>
      </w:r>
      <w:r w:rsidRPr="002F54F1">
        <w:rPr>
          <w:rFonts w:eastAsia="宋体"/>
          <w:color w:val="000000"/>
        </w:rPr>
        <w:t>））的禁止行为，其可能会导致扣押、禁止或其他执法行动。</w:t>
      </w:r>
    </w:p>
  </w:footnote>
  <w:footnote w:id="44">
    <w:p w14:paraId="0AACBC47"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FDA</w:t>
      </w:r>
      <w:r w:rsidRPr="002F54F1">
        <w:rPr>
          <w:rFonts w:eastAsia="宋体"/>
          <w:color w:val="000000"/>
        </w:rPr>
        <w:t>对真实世界数据（</w:t>
      </w:r>
      <w:r w:rsidRPr="002F54F1">
        <w:rPr>
          <w:rFonts w:eastAsia="宋体"/>
          <w:color w:val="000000"/>
        </w:rPr>
        <w:t>RWD</w:t>
      </w:r>
      <w:r w:rsidRPr="002F54F1">
        <w:rPr>
          <w:rFonts w:eastAsia="宋体"/>
          <w:color w:val="000000"/>
        </w:rPr>
        <w:t>）的定义是：与患者健康状况和</w:t>
      </w:r>
      <w:r w:rsidRPr="002F54F1">
        <w:rPr>
          <w:rFonts w:eastAsia="宋体"/>
          <w:color w:val="000000"/>
        </w:rPr>
        <w:t>/</w:t>
      </w:r>
      <w:r w:rsidRPr="002F54F1">
        <w:rPr>
          <w:rFonts w:eastAsia="宋体"/>
          <w:color w:val="000000"/>
        </w:rPr>
        <w:t>或从各种来源例行收集的医疗保健服务有关的数据。</w:t>
      </w:r>
      <w:r w:rsidRPr="002F54F1">
        <w:rPr>
          <w:rFonts w:eastAsia="宋体"/>
          <w:color w:val="000000"/>
        </w:rPr>
        <w:t>RWD</w:t>
      </w:r>
      <w:r w:rsidRPr="002F54F1">
        <w:rPr>
          <w:rFonts w:eastAsia="宋体"/>
          <w:color w:val="000000"/>
        </w:rPr>
        <w:t>来源包括登记处。</w:t>
      </w:r>
      <w:r w:rsidRPr="0058043D">
        <w:rPr>
          <w:rFonts w:eastAsia="宋体" w:hint="eastAsia"/>
          <w:i/>
          <w:color w:val="000000"/>
        </w:rPr>
        <w:t>参</w:t>
      </w:r>
      <w:r w:rsidRPr="002F54F1">
        <w:rPr>
          <w:rFonts w:eastAsia="宋体"/>
          <w:i/>
          <w:iCs/>
          <w:color w:val="000000"/>
        </w:rPr>
        <w:t>见</w:t>
      </w:r>
      <w:r w:rsidRPr="002F54F1">
        <w:rPr>
          <w:rFonts w:eastAsia="宋体"/>
          <w:color w:val="000000"/>
        </w:rPr>
        <w:t>《使用真实世界证据支持医疗器械的监管决策》（可访问</w:t>
      </w:r>
      <w:r w:rsidRPr="002F54F1">
        <w:rPr>
          <w:rFonts w:eastAsia="宋体"/>
          <w:color w:val="0000FF"/>
          <w:u w:val="single"/>
        </w:rPr>
        <w:t>https://www.fda.gov/regulatory-information/search-fda-guidance-documents/use-real-world-evidence-support-regulatory-decision-making-medical- devices</w:t>
      </w:r>
      <w:r w:rsidRPr="002F54F1">
        <w:rPr>
          <w:rFonts w:eastAsia="宋体"/>
          <w:color w:val="000000"/>
        </w:rPr>
        <w:t>）。</w:t>
      </w:r>
    </w:p>
  </w:footnote>
  <w:footnote w:id="45">
    <w:p w14:paraId="1FBFB1E2"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21 CFR 814.82</w:t>
      </w:r>
      <w:r w:rsidRPr="002F54F1">
        <w:rPr>
          <w:rFonts w:eastAsia="宋体"/>
          <w:color w:val="000000"/>
        </w:rPr>
        <w:t>。</w:t>
      </w:r>
    </w:p>
  </w:footnote>
  <w:footnote w:id="46">
    <w:p w14:paraId="1817E686"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FDA</w:t>
      </w:r>
      <w:r w:rsidRPr="002F54F1">
        <w:rPr>
          <w:rFonts w:eastAsia="宋体"/>
          <w:color w:val="000000"/>
        </w:rPr>
        <w:t>保留了一份批准后研究的清单，这些研究是自</w:t>
      </w:r>
      <w:r w:rsidRPr="002F54F1">
        <w:rPr>
          <w:rFonts w:eastAsia="宋体"/>
          <w:color w:val="000000"/>
        </w:rPr>
        <w:t>2005</w:t>
      </w:r>
      <w:r w:rsidRPr="002F54F1">
        <w:rPr>
          <w:rFonts w:eastAsia="宋体"/>
          <w:color w:val="000000"/>
        </w:rPr>
        <w:t>年以来作为批准</w:t>
      </w:r>
      <w:r w:rsidRPr="002F54F1">
        <w:rPr>
          <w:rFonts w:eastAsia="宋体"/>
          <w:color w:val="000000"/>
        </w:rPr>
        <w:t>PMA</w:t>
      </w:r>
      <w:r w:rsidRPr="002F54F1">
        <w:rPr>
          <w:rFonts w:eastAsia="宋体"/>
          <w:color w:val="000000"/>
        </w:rPr>
        <w:t>、产品开发协议或</w:t>
      </w:r>
      <w:r w:rsidRPr="002F54F1">
        <w:rPr>
          <w:rFonts w:eastAsia="宋体"/>
          <w:color w:val="000000"/>
        </w:rPr>
        <w:t>HDE</w:t>
      </w:r>
      <w:r w:rsidRPr="002F54F1">
        <w:rPr>
          <w:rFonts w:eastAsia="宋体"/>
          <w:color w:val="000000"/>
        </w:rPr>
        <w:t>的条件所要求的。</w:t>
      </w:r>
      <w:r w:rsidRPr="0058043D">
        <w:rPr>
          <w:rFonts w:eastAsia="宋体" w:hint="eastAsia"/>
          <w:i/>
          <w:color w:val="000000"/>
        </w:rPr>
        <w:t>参见</w:t>
      </w:r>
      <w:r w:rsidRPr="002F54F1">
        <w:rPr>
          <w:rFonts w:eastAsia="宋体"/>
          <w:color w:val="0000FF"/>
          <w:u w:val="single"/>
        </w:rPr>
        <w:t>https://www.accessdata.fda.gov/scripts/cdrh/cfdocs/cfpma/pma_pas.cfm</w:t>
      </w:r>
      <w:r w:rsidRPr="002F54F1">
        <w:rPr>
          <w:rFonts w:eastAsia="宋体"/>
          <w:color w:val="000000"/>
        </w:rPr>
        <w:t>。</w:t>
      </w:r>
    </w:p>
  </w:footnote>
  <w:footnote w:id="47">
    <w:p w14:paraId="67F357BA" w14:textId="77777777" w:rsidR="00973B28" w:rsidRDefault="00846E47" w:rsidP="0006004F">
      <w:pPr>
        <w:pStyle w:val="a7"/>
        <w:jc w:val="both"/>
        <w:rPr>
          <w:rFonts w:eastAsia="宋体"/>
        </w:rPr>
      </w:pPr>
      <w:r w:rsidRPr="002F54F1">
        <w:rPr>
          <w:rStyle w:val="a9"/>
          <w:rFonts w:eastAsia="宋体"/>
        </w:rPr>
        <w:footnoteRef/>
      </w:r>
      <w:r w:rsidRPr="002F54F1">
        <w:rPr>
          <w:rFonts w:eastAsia="宋体"/>
          <w:color w:val="000000"/>
        </w:rPr>
        <w:t>关于在这种情况下的行政和执法行动的进一步讨论，参见《平衡上市前和上市后的器械数据收集》（可访问</w:t>
      </w:r>
      <w:r w:rsidRPr="002F54F1">
        <w:rPr>
          <w:rFonts w:eastAsia="宋体"/>
          <w:color w:val="0000FF"/>
          <w:u w:val="single"/>
        </w:rPr>
        <w:t>https://www.fda.gov/downloads/medicaldevices/deviceregulationandguidance/guidancedocuments/ucm393994.pdf</w:t>
      </w:r>
      <w:r w:rsidRPr="002F54F1">
        <w:rPr>
          <w:rFonts w:eastAsia="宋体"/>
          <w:color w:val="000000"/>
        </w:rPr>
        <w:t>）。</w:t>
      </w:r>
    </w:p>
  </w:footnote>
  <w:footnote w:id="48">
    <w:p w14:paraId="7D796B7C" w14:textId="77777777" w:rsidR="00973B28" w:rsidRDefault="00846E47" w:rsidP="0006004F">
      <w:pPr>
        <w:pStyle w:val="a7"/>
        <w:jc w:val="both"/>
        <w:rPr>
          <w:rFonts w:eastAsia="宋体"/>
        </w:rPr>
      </w:pPr>
      <w:r w:rsidRPr="002F54F1">
        <w:rPr>
          <w:rStyle w:val="a9"/>
          <w:rFonts w:eastAsia="宋体"/>
        </w:rPr>
        <w:footnoteRef/>
      </w:r>
      <w:r w:rsidR="00881EA3" w:rsidRPr="0006004F">
        <w:rPr>
          <w:i/>
        </w:rPr>
        <w:t xml:space="preserve"> </w:t>
      </w:r>
      <w:r w:rsidRPr="0058043D">
        <w:rPr>
          <w:rFonts w:eastAsia="宋体" w:hint="eastAsia"/>
          <w:i/>
        </w:rPr>
        <w:t>参</w:t>
      </w:r>
      <w:r w:rsidRPr="002F54F1">
        <w:rPr>
          <w:rFonts w:eastAsia="宋体"/>
          <w:i/>
          <w:iCs/>
          <w:color w:val="000000"/>
        </w:rPr>
        <w:t>见</w:t>
      </w:r>
      <w:r w:rsidRPr="002F54F1">
        <w:rPr>
          <w:rFonts w:eastAsia="宋体"/>
          <w:color w:val="000000"/>
        </w:rPr>
        <w:t>要求反馈和医疗器械提交的会议：</w:t>
      </w:r>
      <w:r w:rsidRPr="002F54F1">
        <w:rPr>
          <w:rFonts w:eastAsia="宋体"/>
          <w:color w:val="000000"/>
        </w:rPr>
        <w:t>Q-Submission</w:t>
      </w:r>
      <w:r w:rsidRPr="002F54F1">
        <w:rPr>
          <w:rFonts w:eastAsia="宋体"/>
          <w:color w:val="000000"/>
        </w:rPr>
        <w:t>方案（可访问</w:t>
      </w:r>
      <w:r w:rsidRPr="002F54F1">
        <w:rPr>
          <w:rFonts w:eastAsia="宋体"/>
          <w:color w:val="0000FF"/>
          <w:u w:val="single"/>
        </w:rPr>
        <w:t>https://www.fda.gov/regulatory-information/search-fda-guidance-documents/requests-feedback-and-meetings-medical-device-submissions-q-submission-program</w:t>
      </w:r>
      <w:r w:rsidRPr="002F54F1">
        <w:rPr>
          <w:rFonts w:eastAsia="宋体"/>
          <w:color w:val="000000"/>
        </w:rPr>
        <w:t>）。</w:t>
      </w:r>
    </w:p>
  </w:footnote>
  <w:footnote w:id="49">
    <w:p w14:paraId="361D69FC"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58043D">
        <w:rPr>
          <w:rFonts w:eastAsia="宋体" w:hint="eastAsia"/>
          <w:i/>
        </w:rPr>
        <w:t>参</w:t>
      </w:r>
      <w:r w:rsidRPr="002F54F1">
        <w:rPr>
          <w:rFonts w:eastAsia="宋体"/>
          <w:i/>
          <w:iCs/>
          <w:color w:val="000000"/>
        </w:rPr>
        <w:t>见</w:t>
      </w:r>
      <w:r w:rsidRPr="002F54F1">
        <w:rPr>
          <w:rFonts w:eastAsia="宋体"/>
          <w:color w:val="000000"/>
        </w:rPr>
        <w:t>《</w:t>
      </w:r>
      <w:r w:rsidRPr="002F54F1">
        <w:rPr>
          <w:rFonts w:eastAsia="宋体"/>
          <w:color w:val="000000"/>
        </w:rPr>
        <w:t>FD&amp;C</w:t>
      </w:r>
      <w:r w:rsidRPr="002F54F1">
        <w:rPr>
          <w:rFonts w:eastAsia="宋体"/>
          <w:color w:val="000000"/>
        </w:rPr>
        <w:t>法案》第</w:t>
      </w:r>
      <w:r w:rsidRPr="002F54F1">
        <w:rPr>
          <w:rFonts w:eastAsia="宋体"/>
          <w:color w:val="000000"/>
        </w:rPr>
        <w:t>513</w:t>
      </w:r>
      <w:r w:rsidRPr="002F54F1">
        <w:rPr>
          <w:rFonts w:eastAsia="宋体"/>
          <w:color w:val="000000"/>
        </w:rPr>
        <w:t>（</w:t>
      </w:r>
      <w:r w:rsidRPr="002F54F1">
        <w:rPr>
          <w:rFonts w:eastAsia="宋体"/>
          <w:color w:val="000000"/>
        </w:rPr>
        <w:t>a</w:t>
      </w:r>
      <w:r w:rsidRPr="002F54F1">
        <w:rPr>
          <w:rFonts w:eastAsia="宋体"/>
          <w:color w:val="000000"/>
        </w:rPr>
        <w:t>）和</w:t>
      </w:r>
      <w:r w:rsidRPr="002F54F1">
        <w:rPr>
          <w:rFonts w:eastAsia="宋体"/>
          <w:color w:val="000000"/>
        </w:rPr>
        <w:t>515</w:t>
      </w:r>
      <w:r w:rsidRPr="002F54F1">
        <w:rPr>
          <w:rFonts w:eastAsia="宋体"/>
          <w:color w:val="000000"/>
        </w:rPr>
        <w:t>（</w:t>
      </w:r>
      <w:r w:rsidRPr="002F54F1">
        <w:rPr>
          <w:rFonts w:eastAsia="宋体"/>
          <w:color w:val="000000"/>
        </w:rPr>
        <w:t>d</w:t>
      </w:r>
      <w:r w:rsidRPr="002F54F1">
        <w:rPr>
          <w:rFonts w:eastAsia="宋体"/>
          <w:color w:val="000000"/>
        </w:rPr>
        <w:t>）条（</w:t>
      </w:r>
      <w:r w:rsidRPr="002F54F1">
        <w:rPr>
          <w:rFonts w:eastAsia="宋体"/>
          <w:color w:val="000000"/>
        </w:rPr>
        <w:t>21 U.S.C. §§ 360c</w:t>
      </w:r>
      <w:r w:rsidRPr="002F54F1">
        <w:rPr>
          <w:rFonts w:eastAsia="宋体"/>
          <w:color w:val="000000"/>
        </w:rPr>
        <w:t>（</w:t>
      </w:r>
      <w:r w:rsidRPr="002F54F1">
        <w:rPr>
          <w:rFonts w:eastAsia="宋体"/>
          <w:color w:val="000000"/>
        </w:rPr>
        <w:t>a</w:t>
      </w:r>
      <w:r w:rsidRPr="002F54F1">
        <w:rPr>
          <w:rFonts w:eastAsia="宋体"/>
          <w:color w:val="000000"/>
        </w:rPr>
        <w:t>）和</w:t>
      </w:r>
      <w:r w:rsidRPr="002F54F1">
        <w:rPr>
          <w:rFonts w:eastAsia="宋体"/>
          <w:color w:val="000000"/>
        </w:rPr>
        <w:t>360e</w:t>
      </w:r>
      <w:r w:rsidRPr="002F54F1">
        <w:rPr>
          <w:rFonts w:eastAsia="宋体"/>
          <w:color w:val="000000"/>
        </w:rPr>
        <w:t>（</w:t>
      </w:r>
      <w:r w:rsidRPr="002F54F1">
        <w:rPr>
          <w:rFonts w:eastAsia="宋体"/>
          <w:color w:val="000000"/>
        </w:rPr>
        <w:t>d</w:t>
      </w:r>
      <w:r w:rsidRPr="002F54F1">
        <w:rPr>
          <w:rFonts w:eastAsia="宋体"/>
          <w:color w:val="000000"/>
        </w:rPr>
        <w:t>））和</w:t>
      </w:r>
      <w:r w:rsidRPr="002F54F1">
        <w:rPr>
          <w:rFonts w:eastAsia="宋体"/>
          <w:color w:val="000000"/>
        </w:rPr>
        <w:t>21 CFR 860.7</w:t>
      </w:r>
      <w:r w:rsidRPr="002F54F1">
        <w:rPr>
          <w:rFonts w:eastAsia="宋体"/>
          <w:color w:val="000000"/>
        </w:rPr>
        <w:t>。</w:t>
      </w:r>
    </w:p>
  </w:footnote>
  <w:footnote w:id="50">
    <w:p w14:paraId="2177BECB" w14:textId="77777777" w:rsidR="00973B28" w:rsidRDefault="00846E47" w:rsidP="0006004F">
      <w:pPr>
        <w:pStyle w:val="a7"/>
        <w:jc w:val="both"/>
        <w:rPr>
          <w:rFonts w:eastAsia="宋体"/>
        </w:rPr>
      </w:pPr>
      <w:r w:rsidRPr="002F54F1">
        <w:rPr>
          <w:rStyle w:val="a9"/>
          <w:rFonts w:eastAsia="宋体"/>
        </w:rPr>
        <w:footnoteRef/>
      </w:r>
      <w:r w:rsidRPr="002F54F1">
        <w:rPr>
          <w:rFonts w:eastAsia="宋体"/>
        </w:rPr>
        <w:t xml:space="preserve"> </w:t>
      </w:r>
      <w:r w:rsidRPr="002F54F1">
        <w:rPr>
          <w:rFonts w:eastAsia="宋体"/>
          <w:color w:val="000000"/>
        </w:rPr>
        <w:t>基于分数法的二项式置信区间。分数法的优势在于它具有更好的统计学特性（见参考文献</w:t>
      </w:r>
      <w:r w:rsidRPr="002F54F1">
        <w:rPr>
          <w:rFonts w:eastAsia="宋体"/>
          <w:color w:val="000000"/>
        </w:rPr>
        <w:t>Altman D.A., Machin D., Bryant T.N., Gardner M.J. Statistics with Confidence</w:t>
      </w:r>
      <w:r w:rsidRPr="002F54F1">
        <w:rPr>
          <w:rFonts w:eastAsia="宋体"/>
          <w:color w:val="000000"/>
        </w:rPr>
        <w:t>。</w:t>
      </w:r>
      <w:r w:rsidRPr="002F54F1">
        <w:rPr>
          <w:rFonts w:eastAsia="宋体"/>
          <w:color w:val="000000"/>
        </w:rPr>
        <w:t>2</w:t>
      </w:r>
      <w:r w:rsidRPr="002F54F1">
        <w:rPr>
          <w:rFonts w:eastAsia="宋体"/>
          <w:color w:val="000000"/>
          <w:vertAlign w:val="superscript"/>
        </w:rPr>
        <w:t>nd</w:t>
      </w:r>
      <w:r w:rsidRPr="002F54F1">
        <w:rPr>
          <w:rFonts w:eastAsia="宋体"/>
          <w:color w:val="000000"/>
        </w:rPr>
        <w:t>ed.</w:t>
      </w:r>
      <w:r w:rsidRPr="002F54F1">
        <w:rPr>
          <w:rFonts w:eastAsia="宋体"/>
          <w:color w:val="000000"/>
        </w:rPr>
        <w:t>英国医学杂志，</w:t>
      </w:r>
      <w:r w:rsidRPr="002F54F1">
        <w:rPr>
          <w:rFonts w:eastAsia="宋体"/>
          <w:color w:val="000000"/>
        </w:rPr>
        <w:t>2000</w:t>
      </w:r>
      <w:r w:rsidRPr="002F54F1">
        <w:rPr>
          <w:rFonts w:eastAsia="宋体"/>
          <w:color w:val="000000"/>
        </w:rPr>
        <w:t>年和</w:t>
      </w:r>
      <w:r w:rsidRPr="002F54F1">
        <w:rPr>
          <w:rFonts w:eastAsia="宋体"/>
          <w:color w:val="000000"/>
        </w:rPr>
        <w:t>CLSI EP12-A2</w:t>
      </w:r>
      <w:r w:rsidRPr="002F54F1">
        <w:rPr>
          <w:rFonts w:eastAsia="宋体"/>
          <w:color w:val="000000"/>
        </w:rPr>
        <w:t>文件）。比起</w:t>
      </w:r>
      <w:r w:rsidRPr="002F54F1">
        <w:rPr>
          <w:rFonts w:eastAsia="宋体"/>
          <w:color w:val="000000"/>
        </w:rPr>
        <w:t>Clopper-Pearson</w:t>
      </w:r>
      <w:r w:rsidRPr="002F54F1">
        <w:rPr>
          <w:rFonts w:eastAsia="宋体"/>
          <w:color w:val="000000"/>
        </w:rPr>
        <w:t>置信区间，</w:t>
      </w:r>
      <w:r w:rsidRPr="002F54F1">
        <w:rPr>
          <w:rFonts w:eastAsia="宋体" w:hint="eastAsia"/>
          <w:color w:val="000000"/>
        </w:rPr>
        <w:t>分数</w:t>
      </w:r>
      <w:r w:rsidRPr="002F54F1">
        <w:rPr>
          <w:rFonts w:eastAsia="宋体"/>
          <w:color w:val="000000"/>
        </w:rPr>
        <w:t>置信界线往往产生更窄的置信区间。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E33B" w14:textId="77777777" w:rsidR="00846E47" w:rsidRPr="0006004F" w:rsidRDefault="00846E47" w:rsidP="00BE0DEA">
    <w:pPr>
      <w:pStyle w:val="a3"/>
      <w:pBdr>
        <w:bottom w:val="none" w:sz="0" w:space="0" w:color="auto"/>
      </w:pBdr>
      <w:rPr>
        <w:rFonts w:ascii="宋体" w:hAnsi="宋体"/>
      </w:rPr>
    </w:pPr>
    <w:r w:rsidRPr="002F54F1">
      <w:rPr>
        <w:rFonts w:ascii="宋体" w:eastAsia="宋体" w:hAnsi="宋体" w:hint="eastAsia"/>
        <w:b/>
        <w:bCs/>
        <w:i/>
        <w:iCs/>
        <w:sz w:val="21"/>
        <w:szCs w:val="21"/>
      </w:rPr>
      <w:t>所含建议</w:t>
    </w:r>
    <w:r w:rsidR="00881EA3" w:rsidRPr="0006004F">
      <w:rPr>
        <w:rFonts w:ascii="宋体" w:hAnsi="宋体" w:hint="eastAsia"/>
        <w:b/>
        <w:i/>
        <w:sz w:val="21"/>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oNotTrackMove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1834"/>
    <w:rsid w:val="000123A8"/>
    <w:rsid w:val="00022387"/>
    <w:rsid w:val="00051834"/>
    <w:rsid w:val="000561C2"/>
    <w:rsid w:val="0006004F"/>
    <w:rsid w:val="000A69A7"/>
    <w:rsid w:val="000B5F17"/>
    <w:rsid w:val="000B684C"/>
    <w:rsid w:val="000C540C"/>
    <w:rsid w:val="000D015F"/>
    <w:rsid w:val="000E3D53"/>
    <w:rsid w:val="001025B2"/>
    <w:rsid w:val="001432E6"/>
    <w:rsid w:val="001574F5"/>
    <w:rsid w:val="00184B42"/>
    <w:rsid w:val="001A2903"/>
    <w:rsid w:val="001D108F"/>
    <w:rsid w:val="001E4902"/>
    <w:rsid w:val="0022628C"/>
    <w:rsid w:val="00245317"/>
    <w:rsid w:val="0026244F"/>
    <w:rsid w:val="002636D6"/>
    <w:rsid w:val="0026386D"/>
    <w:rsid w:val="00285C08"/>
    <w:rsid w:val="002B6869"/>
    <w:rsid w:val="002B79B1"/>
    <w:rsid w:val="002F54F1"/>
    <w:rsid w:val="00301950"/>
    <w:rsid w:val="00303C70"/>
    <w:rsid w:val="00340FE3"/>
    <w:rsid w:val="00357598"/>
    <w:rsid w:val="003B6DE3"/>
    <w:rsid w:val="003C451D"/>
    <w:rsid w:val="003E4BE0"/>
    <w:rsid w:val="003E723C"/>
    <w:rsid w:val="003F06E2"/>
    <w:rsid w:val="003F296C"/>
    <w:rsid w:val="00415A6A"/>
    <w:rsid w:val="00416DC6"/>
    <w:rsid w:val="00425731"/>
    <w:rsid w:val="00456D3C"/>
    <w:rsid w:val="004D1C55"/>
    <w:rsid w:val="005043E9"/>
    <w:rsid w:val="00511B1F"/>
    <w:rsid w:val="00545773"/>
    <w:rsid w:val="0057162B"/>
    <w:rsid w:val="0058043D"/>
    <w:rsid w:val="00582B69"/>
    <w:rsid w:val="005B15D9"/>
    <w:rsid w:val="005C2678"/>
    <w:rsid w:val="005D7A68"/>
    <w:rsid w:val="005E440B"/>
    <w:rsid w:val="00640CB4"/>
    <w:rsid w:val="00672812"/>
    <w:rsid w:val="0068326F"/>
    <w:rsid w:val="006A452A"/>
    <w:rsid w:val="006A4E7A"/>
    <w:rsid w:val="006B2D6E"/>
    <w:rsid w:val="006B7E77"/>
    <w:rsid w:val="006D38E1"/>
    <w:rsid w:val="006E50F6"/>
    <w:rsid w:val="006F79B7"/>
    <w:rsid w:val="0073085F"/>
    <w:rsid w:val="007502ED"/>
    <w:rsid w:val="00752D2E"/>
    <w:rsid w:val="007E71E8"/>
    <w:rsid w:val="00846E47"/>
    <w:rsid w:val="00847FF8"/>
    <w:rsid w:val="00881EA3"/>
    <w:rsid w:val="00883433"/>
    <w:rsid w:val="008D6093"/>
    <w:rsid w:val="008E38AD"/>
    <w:rsid w:val="00932C0C"/>
    <w:rsid w:val="00944B78"/>
    <w:rsid w:val="00954148"/>
    <w:rsid w:val="00961522"/>
    <w:rsid w:val="00973B28"/>
    <w:rsid w:val="009C1BA5"/>
    <w:rsid w:val="009C2D0E"/>
    <w:rsid w:val="009E2BF0"/>
    <w:rsid w:val="009E2E61"/>
    <w:rsid w:val="009E692D"/>
    <w:rsid w:val="00A04B07"/>
    <w:rsid w:val="00A05DF2"/>
    <w:rsid w:val="00A07B4C"/>
    <w:rsid w:val="00A26F6F"/>
    <w:rsid w:val="00A80854"/>
    <w:rsid w:val="00A93A85"/>
    <w:rsid w:val="00AA6F13"/>
    <w:rsid w:val="00AE52C8"/>
    <w:rsid w:val="00B453B2"/>
    <w:rsid w:val="00B465C2"/>
    <w:rsid w:val="00B4674F"/>
    <w:rsid w:val="00B82077"/>
    <w:rsid w:val="00B84B83"/>
    <w:rsid w:val="00BC5FE1"/>
    <w:rsid w:val="00BD2FB2"/>
    <w:rsid w:val="00BE0DEA"/>
    <w:rsid w:val="00BE1CB6"/>
    <w:rsid w:val="00C566CE"/>
    <w:rsid w:val="00C57AC1"/>
    <w:rsid w:val="00C93412"/>
    <w:rsid w:val="00CA4E63"/>
    <w:rsid w:val="00CB325C"/>
    <w:rsid w:val="00CC2233"/>
    <w:rsid w:val="00CD60D1"/>
    <w:rsid w:val="00CE4E2A"/>
    <w:rsid w:val="00D56755"/>
    <w:rsid w:val="00D619F6"/>
    <w:rsid w:val="00D665E7"/>
    <w:rsid w:val="00D74B27"/>
    <w:rsid w:val="00D90AED"/>
    <w:rsid w:val="00DA0023"/>
    <w:rsid w:val="00DA0548"/>
    <w:rsid w:val="00DC2FC3"/>
    <w:rsid w:val="00DD50B0"/>
    <w:rsid w:val="00DE1CF6"/>
    <w:rsid w:val="00E6092F"/>
    <w:rsid w:val="00E81A96"/>
    <w:rsid w:val="00ED13DD"/>
    <w:rsid w:val="00F1354B"/>
    <w:rsid w:val="00F34D4C"/>
    <w:rsid w:val="00F75EA4"/>
    <w:rsid w:val="00F7685C"/>
    <w:rsid w:val="00F814BC"/>
    <w:rsid w:val="00F84AB1"/>
    <w:rsid w:val="00FA4845"/>
    <w:rsid w:val="00FC04B6"/>
    <w:rsid w:val="00FC0A32"/>
    <w:rsid w:val="00FD7719"/>
    <w:rsid w:val="00FE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01C28B"/>
  <w15:docId w15:val="{F25B0B24-6759-4E3B-AB9F-AFF8C9B8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5B2"/>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
    <w:qFormat/>
    <w:rsid w:val="00BE0DEA"/>
    <w:pPr>
      <w:tabs>
        <w:tab w:val="left" w:pos="630"/>
        <w:tab w:val="left" w:pos="1274"/>
      </w:tabs>
      <w:snapToGrid w:val="0"/>
      <w:spacing w:beforeLines="100" w:afterLines="50"/>
      <w:jc w:val="both"/>
      <w:outlineLvl w:val="0"/>
    </w:pPr>
    <w:rPr>
      <w:b/>
      <w:bCs/>
      <w:sz w:val="36"/>
      <w:szCs w:val="36"/>
    </w:rPr>
  </w:style>
  <w:style w:type="paragraph" w:styleId="2">
    <w:name w:val="heading 2"/>
    <w:basedOn w:val="a"/>
    <w:next w:val="a"/>
    <w:link w:val="20"/>
    <w:uiPriority w:val="9"/>
    <w:unhideWhenUsed/>
    <w:qFormat/>
    <w:rsid w:val="00BE0DEA"/>
    <w:pPr>
      <w:tabs>
        <w:tab w:val="left" w:pos="1276"/>
      </w:tabs>
      <w:snapToGrid w:val="0"/>
      <w:spacing w:beforeLines="100" w:afterLines="50"/>
      <w:ind w:leftChars="315" w:left="315"/>
      <w:jc w:val="both"/>
      <w:outlineLvl w:val="1"/>
    </w:pPr>
    <w:rPr>
      <w:b/>
      <w:bCs/>
      <w:sz w:val="32"/>
      <w:szCs w:val="32"/>
    </w:rPr>
  </w:style>
  <w:style w:type="paragraph" w:styleId="3">
    <w:name w:val="heading 3"/>
    <w:basedOn w:val="a"/>
    <w:next w:val="a"/>
    <w:link w:val="30"/>
    <w:uiPriority w:val="9"/>
    <w:unhideWhenUsed/>
    <w:qFormat/>
    <w:rsid w:val="00BE0DEA"/>
    <w:pPr>
      <w:tabs>
        <w:tab w:val="left" w:pos="1843"/>
      </w:tabs>
      <w:snapToGrid w:val="0"/>
      <w:spacing w:beforeLines="50" w:afterLines="50"/>
      <w:ind w:leftChars="638" w:left="638"/>
      <w:jc w:val="both"/>
      <w:outlineLvl w:val="2"/>
    </w:pPr>
    <w:rPr>
      <w:rFonts w:eastAsia="宋体"/>
      <w:b/>
      <w:bCs/>
      <w:color w:val="000000"/>
      <w:sz w:val="28"/>
      <w:szCs w:val="28"/>
    </w:rPr>
  </w:style>
  <w:style w:type="paragraph" w:styleId="4">
    <w:name w:val="heading 4"/>
    <w:basedOn w:val="a"/>
    <w:next w:val="a"/>
    <w:link w:val="40"/>
    <w:uiPriority w:val="9"/>
    <w:unhideWhenUsed/>
    <w:qFormat/>
    <w:rsid w:val="00545773"/>
    <w:pPr>
      <w:shd w:val="clear" w:color="auto" w:fill="FFFFFF"/>
      <w:tabs>
        <w:tab w:val="left" w:pos="2268"/>
      </w:tabs>
      <w:snapToGrid w:val="0"/>
      <w:spacing w:beforeLines="50" w:afterLines="50"/>
      <w:ind w:leftChars="921" w:left="1842"/>
      <w:jc w:val="both"/>
      <w:outlineLvl w:val="3"/>
    </w:pPr>
    <w:rPr>
      <w:rFonts w:eastAsia="宋体"/>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DE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BE0DEA"/>
    <w:rPr>
      <w:rFonts w:ascii="Times New Roman" w:hAnsi="Times New Roman" w:cs="Times New Roman"/>
      <w:kern w:val="0"/>
      <w:sz w:val="18"/>
      <w:szCs w:val="18"/>
    </w:rPr>
  </w:style>
  <w:style w:type="paragraph" w:styleId="a5">
    <w:name w:val="footer"/>
    <w:basedOn w:val="a"/>
    <w:link w:val="a6"/>
    <w:uiPriority w:val="99"/>
    <w:unhideWhenUsed/>
    <w:rsid w:val="00BE0DEA"/>
    <w:pPr>
      <w:tabs>
        <w:tab w:val="center" w:pos="4153"/>
        <w:tab w:val="right" w:pos="8306"/>
      </w:tabs>
      <w:snapToGrid w:val="0"/>
    </w:pPr>
    <w:rPr>
      <w:sz w:val="18"/>
      <w:szCs w:val="18"/>
    </w:rPr>
  </w:style>
  <w:style w:type="character" w:customStyle="1" w:styleId="a6">
    <w:name w:val="页脚 字符"/>
    <w:link w:val="a5"/>
    <w:uiPriority w:val="99"/>
    <w:rsid w:val="00BE0DEA"/>
    <w:rPr>
      <w:rFonts w:ascii="Times New Roman" w:hAnsi="Times New Roman" w:cs="Times New Roman"/>
      <w:kern w:val="0"/>
      <w:sz w:val="18"/>
      <w:szCs w:val="18"/>
    </w:rPr>
  </w:style>
  <w:style w:type="paragraph" w:customStyle="1" w:styleId="Default">
    <w:name w:val="Default"/>
    <w:rsid w:val="00BE0DEA"/>
    <w:pPr>
      <w:widowControl w:val="0"/>
      <w:autoSpaceDE w:val="0"/>
      <w:autoSpaceDN w:val="0"/>
      <w:adjustRightInd w:val="0"/>
    </w:pPr>
    <w:rPr>
      <w:rFonts w:ascii="Times New Roman" w:hAnsi="Times New Roman" w:cs="Times New Roman"/>
      <w:color w:val="000000"/>
      <w:sz w:val="24"/>
      <w:szCs w:val="24"/>
    </w:rPr>
  </w:style>
  <w:style w:type="paragraph" w:styleId="a7">
    <w:name w:val="footnote text"/>
    <w:basedOn w:val="a"/>
    <w:link w:val="a8"/>
    <w:uiPriority w:val="99"/>
    <w:semiHidden/>
    <w:unhideWhenUsed/>
    <w:rsid w:val="00BE0DEA"/>
    <w:pPr>
      <w:snapToGrid w:val="0"/>
    </w:pPr>
    <w:rPr>
      <w:sz w:val="18"/>
      <w:szCs w:val="18"/>
    </w:rPr>
  </w:style>
  <w:style w:type="character" w:customStyle="1" w:styleId="a8">
    <w:name w:val="脚注文本 字符"/>
    <w:link w:val="a7"/>
    <w:uiPriority w:val="99"/>
    <w:semiHidden/>
    <w:rsid w:val="00BE0DEA"/>
    <w:rPr>
      <w:rFonts w:ascii="Times New Roman" w:hAnsi="Times New Roman" w:cs="Times New Roman"/>
      <w:kern w:val="0"/>
      <w:sz w:val="18"/>
      <w:szCs w:val="18"/>
    </w:rPr>
  </w:style>
  <w:style w:type="character" w:styleId="a9">
    <w:name w:val="footnote reference"/>
    <w:uiPriority w:val="99"/>
    <w:semiHidden/>
    <w:unhideWhenUsed/>
    <w:rsid w:val="00BE0DEA"/>
    <w:rPr>
      <w:vertAlign w:val="superscript"/>
    </w:rPr>
  </w:style>
  <w:style w:type="character" w:styleId="aa">
    <w:name w:val="Hyperlink"/>
    <w:uiPriority w:val="99"/>
    <w:unhideWhenUsed/>
    <w:rsid w:val="000C540C"/>
    <w:rPr>
      <w:color w:val="0563C1"/>
      <w:u w:val="single"/>
    </w:rPr>
  </w:style>
  <w:style w:type="paragraph" w:styleId="11">
    <w:name w:val="toc 1"/>
    <w:basedOn w:val="a"/>
    <w:next w:val="a"/>
    <w:autoRedefine/>
    <w:uiPriority w:val="39"/>
    <w:unhideWhenUsed/>
    <w:rsid w:val="00545773"/>
    <w:pPr>
      <w:tabs>
        <w:tab w:val="left" w:pos="426"/>
        <w:tab w:val="right" w:leader="dot" w:pos="9062"/>
      </w:tabs>
    </w:pPr>
    <w:rPr>
      <w:rFonts w:eastAsia="宋体"/>
      <w:sz w:val="24"/>
    </w:rPr>
  </w:style>
  <w:style w:type="paragraph" w:styleId="21">
    <w:name w:val="toc 2"/>
    <w:basedOn w:val="a"/>
    <w:next w:val="a"/>
    <w:autoRedefine/>
    <w:uiPriority w:val="39"/>
    <w:unhideWhenUsed/>
    <w:rsid w:val="00BE0DEA"/>
    <w:pPr>
      <w:tabs>
        <w:tab w:val="left" w:pos="709"/>
        <w:tab w:val="right" w:leader="dot" w:pos="9062"/>
      </w:tabs>
      <w:ind w:leftChars="142" w:left="284"/>
    </w:pPr>
    <w:rPr>
      <w:rFonts w:eastAsia="宋体"/>
      <w:sz w:val="21"/>
    </w:rPr>
  </w:style>
  <w:style w:type="paragraph" w:styleId="31">
    <w:name w:val="toc 3"/>
    <w:basedOn w:val="a"/>
    <w:next w:val="a"/>
    <w:autoRedefine/>
    <w:uiPriority w:val="39"/>
    <w:unhideWhenUsed/>
    <w:rsid w:val="00BE0DEA"/>
    <w:pPr>
      <w:tabs>
        <w:tab w:val="left" w:pos="1134"/>
        <w:tab w:val="right" w:leader="dot" w:pos="9062"/>
      </w:tabs>
      <w:ind w:leftChars="354" w:left="708"/>
    </w:pPr>
    <w:rPr>
      <w:rFonts w:eastAsia="宋体"/>
      <w:sz w:val="21"/>
    </w:rPr>
  </w:style>
  <w:style w:type="character" w:customStyle="1" w:styleId="10">
    <w:name w:val="标题 1 字符"/>
    <w:link w:val="1"/>
    <w:uiPriority w:val="9"/>
    <w:rsid w:val="00BE0DEA"/>
    <w:rPr>
      <w:rFonts w:ascii="Times New Roman" w:hAnsi="Times New Roman" w:cs="Times New Roman"/>
      <w:b/>
      <w:bCs/>
      <w:kern w:val="0"/>
      <w:sz w:val="36"/>
      <w:szCs w:val="36"/>
    </w:rPr>
  </w:style>
  <w:style w:type="character" w:customStyle="1" w:styleId="20">
    <w:name w:val="标题 2 字符"/>
    <w:link w:val="2"/>
    <w:uiPriority w:val="9"/>
    <w:rsid w:val="00BE0DEA"/>
    <w:rPr>
      <w:rFonts w:ascii="Times New Roman" w:hAnsi="Times New Roman" w:cs="Times New Roman"/>
      <w:b/>
      <w:bCs/>
      <w:kern w:val="0"/>
      <w:sz w:val="32"/>
      <w:szCs w:val="32"/>
    </w:rPr>
  </w:style>
  <w:style w:type="character" w:customStyle="1" w:styleId="30">
    <w:name w:val="标题 3 字符"/>
    <w:link w:val="3"/>
    <w:uiPriority w:val="9"/>
    <w:rsid w:val="00BE0DEA"/>
    <w:rPr>
      <w:rFonts w:ascii="Times New Roman" w:eastAsia="宋体" w:hAnsi="Times New Roman" w:cs="Times New Roman"/>
      <w:b/>
      <w:bCs/>
      <w:color w:val="000000"/>
      <w:kern w:val="0"/>
      <w:sz w:val="28"/>
      <w:szCs w:val="28"/>
    </w:rPr>
  </w:style>
  <w:style w:type="character" w:customStyle="1" w:styleId="40">
    <w:name w:val="标题 4 字符"/>
    <w:link w:val="4"/>
    <w:uiPriority w:val="9"/>
    <w:rsid w:val="00545773"/>
    <w:rPr>
      <w:rFonts w:ascii="Times New Roman" w:eastAsia="宋体" w:hAnsi="Times New Roman" w:cs="Times New Roman"/>
      <w:b/>
      <w:bCs/>
      <w:color w:val="000000"/>
      <w:kern w:val="0"/>
      <w:szCs w:val="21"/>
      <w:shd w:val="clear" w:color="auto" w:fill="FFFFFF"/>
    </w:rPr>
  </w:style>
  <w:style w:type="paragraph" w:styleId="ab">
    <w:name w:val="Balloon Text"/>
    <w:basedOn w:val="a"/>
    <w:link w:val="ac"/>
    <w:uiPriority w:val="99"/>
    <w:semiHidden/>
    <w:unhideWhenUsed/>
    <w:rsid w:val="00C566CE"/>
    <w:rPr>
      <w:sz w:val="18"/>
      <w:szCs w:val="18"/>
    </w:rPr>
  </w:style>
  <w:style w:type="character" w:customStyle="1" w:styleId="ac">
    <w:name w:val="批注框文本 字符"/>
    <w:link w:val="ab"/>
    <w:uiPriority w:val="99"/>
    <w:semiHidden/>
    <w:rsid w:val="00C566CE"/>
    <w:rPr>
      <w:rFonts w:ascii="Times New Roman" w:hAnsi="Times New Roman" w:cs="Times New Roman"/>
      <w:kern w:val="0"/>
      <w:sz w:val="18"/>
      <w:szCs w:val="18"/>
    </w:rPr>
  </w:style>
  <w:style w:type="character" w:styleId="ad">
    <w:name w:val="annotation reference"/>
    <w:uiPriority w:val="99"/>
    <w:semiHidden/>
    <w:unhideWhenUsed/>
    <w:rsid w:val="002F54F1"/>
    <w:rPr>
      <w:sz w:val="21"/>
      <w:szCs w:val="21"/>
    </w:rPr>
  </w:style>
  <w:style w:type="paragraph" w:styleId="ae">
    <w:name w:val="annotation text"/>
    <w:basedOn w:val="a"/>
    <w:link w:val="af"/>
    <w:uiPriority w:val="99"/>
    <w:semiHidden/>
    <w:unhideWhenUsed/>
    <w:rsid w:val="002F54F1"/>
  </w:style>
  <w:style w:type="character" w:customStyle="1" w:styleId="af">
    <w:name w:val="批注文字 字符"/>
    <w:link w:val="ae"/>
    <w:uiPriority w:val="99"/>
    <w:semiHidden/>
    <w:rsid w:val="002F54F1"/>
    <w:rPr>
      <w:rFonts w:ascii="Times New Roman" w:hAnsi="Times New Roman" w:cs="Times New Roman"/>
      <w:lang w:bidi="ar-SA"/>
    </w:rPr>
  </w:style>
  <w:style w:type="paragraph" w:styleId="af0">
    <w:name w:val="annotation subject"/>
    <w:basedOn w:val="ae"/>
    <w:next w:val="ae"/>
    <w:link w:val="af1"/>
    <w:uiPriority w:val="99"/>
    <w:semiHidden/>
    <w:unhideWhenUsed/>
    <w:rsid w:val="002F54F1"/>
    <w:rPr>
      <w:b/>
      <w:bCs/>
    </w:rPr>
  </w:style>
  <w:style w:type="character" w:customStyle="1" w:styleId="af1">
    <w:name w:val="批注主题 字符"/>
    <w:link w:val="af0"/>
    <w:uiPriority w:val="99"/>
    <w:semiHidden/>
    <w:rsid w:val="002F54F1"/>
    <w:rPr>
      <w:rFonts w:ascii="Times New Roman" w:hAnsi="Times New Roman" w:cs="Times New Roman"/>
      <w:b/>
      <w:bCs/>
      <w:lang w:bidi="ar-SA"/>
    </w:rPr>
  </w:style>
  <w:style w:type="paragraph" w:styleId="af2">
    <w:name w:val="Revision"/>
    <w:hidden/>
    <w:uiPriority w:val="99"/>
    <w:semiHidden/>
    <w:rsid w:val="002F54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31AA-8BEB-4790-9099-19C49AEE2C30}">
  <ds:schemaRefs>
    <ds:schemaRef ds:uri="http://schemas.openxmlformats.org/officeDocument/2006/bibliography"/>
  </ds:schemaRefs>
</ds:datastoreItem>
</file>

<file path=customXml/itemProps2.xml><?xml version="1.0" encoding="utf-8"?>
<ds:datastoreItem xmlns:ds="http://schemas.openxmlformats.org/officeDocument/2006/customXml" ds:itemID="{F41632B3-3DD6-4FCB-A505-DB9389D1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2338</Words>
  <Characters>13329</Characters>
  <Application>Microsoft Office Word</Application>
  <DocSecurity>0</DocSecurity>
  <Lines>111</Lines>
  <Paragraphs>31</Paragraphs>
  <ScaleCrop>false</ScaleCrop>
  <Company>china</Company>
  <LinksUpToDate>false</LinksUpToDate>
  <CharactersWithSpaces>15636</CharactersWithSpaces>
  <SharedDoc>false</SharedDoc>
  <HLinks>
    <vt:vector size="78" baseType="variant">
      <vt:variant>
        <vt:i4>1835062</vt:i4>
      </vt:variant>
      <vt:variant>
        <vt:i4>74</vt:i4>
      </vt:variant>
      <vt:variant>
        <vt:i4>0</vt:i4>
      </vt:variant>
      <vt:variant>
        <vt:i4>5</vt:i4>
      </vt:variant>
      <vt:variant>
        <vt:lpwstr/>
      </vt:variant>
      <vt:variant>
        <vt:lpwstr>_Toc98748007</vt:lpwstr>
      </vt:variant>
      <vt:variant>
        <vt:i4>1900598</vt:i4>
      </vt:variant>
      <vt:variant>
        <vt:i4>68</vt:i4>
      </vt:variant>
      <vt:variant>
        <vt:i4>0</vt:i4>
      </vt:variant>
      <vt:variant>
        <vt:i4>5</vt:i4>
      </vt:variant>
      <vt:variant>
        <vt:lpwstr/>
      </vt:variant>
      <vt:variant>
        <vt:lpwstr>_Toc98748006</vt:lpwstr>
      </vt:variant>
      <vt:variant>
        <vt:i4>1966134</vt:i4>
      </vt:variant>
      <vt:variant>
        <vt:i4>62</vt:i4>
      </vt:variant>
      <vt:variant>
        <vt:i4>0</vt:i4>
      </vt:variant>
      <vt:variant>
        <vt:i4>5</vt:i4>
      </vt:variant>
      <vt:variant>
        <vt:lpwstr/>
      </vt:variant>
      <vt:variant>
        <vt:lpwstr>_Toc98748005</vt:lpwstr>
      </vt:variant>
      <vt:variant>
        <vt:i4>2031670</vt:i4>
      </vt:variant>
      <vt:variant>
        <vt:i4>56</vt:i4>
      </vt:variant>
      <vt:variant>
        <vt:i4>0</vt:i4>
      </vt:variant>
      <vt:variant>
        <vt:i4>5</vt:i4>
      </vt:variant>
      <vt:variant>
        <vt:lpwstr/>
      </vt:variant>
      <vt:variant>
        <vt:lpwstr>_Toc98748004</vt:lpwstr>
      </vt:variant>
      <vt:variant>
        <vt:i4>1572918</vt:i4>
      </vt:variant>
      <vt:variant>
        <vt:i4>50</vt:i4>
      </vt:variant>
      <vt:variant>
        <vt:i4>0</vt:i4>
      </vt:variant>
      <vt:variant>
        <vt:i4>5</vt:i4>
      </vt:variant>
      <vt:variant>
        <vt:lpwstr/>
      </vt:variant>
      <vt:variant>
        <vt:lpwstr>_Toc98748003</vt:lpwstr>
      </vt:variant>
      <vt:variant>
        <vt:i4>1638454</vt:i4>
      </vt:variant>
      <vt:variant>
        <vt:i4>44</vt:i4>
      </vt:variant>
      <vt:variant>
        <vt:i4>0</vt:i4>
      </vt:variant>
      <vt:variant>
        <vt:i4>5</vt:i4>
      </vt:variant>
      <vt:variant>
        <vt:lpwstr/>
      </vt:variant>
      <vt:variant>
        <vt:lpwstr>_Toc98748002</vt:lpwstr>
      </vt:variant>
      <vt:variant>
        <vt:i4>1703990</vt:i4>
      </vt:variant>
      <vt:variant>
        <vt:i4>38</vt:i4>
      </vt:variant>
      <vt:variant>
        <vt:i4>0</vt:i4>
      </vt:variant>
      <vt:variant>
        <vt:i4>5</vt:i4>
      </vt:variant>
      <vt:variant>
        <vt:lpwstr/>
      </vt:variant>
      <vt:variant>
        <vt:lpwstr>_Toc98748001</vt:lpwstr>
      </vt:variant>
      <vt:variant>
        <vt:i4>1769526</vt:i4>
      </vt:variant>
      <vt:variant>
        <vt:i4>32</vt:i4>
      </vt:variant>
      <vt:variant>
        <vt:i4>0</vt:i4>
      </vt:variant>
      <vt:variant>
        <vt:i4>5</vt:i4>
      </vt:variant>
      <vt:variant>
        <vt:lpwstr/>
      </vt:variant>
      <vt:variant>
        <vt:lpwstr>_Toc98748000</vt:lpwstr>
      </vt:variant>
      <vt:variant>
        <vt:i4>1769520</vt:i4>
      </vt:variant>
      <vt:variant>
        <vt:i4>26</vt:i4>
      </vt:variant>
      <vt:variant>
        <vt:i4>0</vt:i4>
      </vt:variant>
      <vt:variant>
        <vt:i4>5</vt:i4>
      </vt:variant>
      <vt:variant>
        <vt:lpwstr/>
      </vt:variant>
      <vt:variant>
        <vt:lpwstr>_Toc98747999</vt:lpwstr>
      </vt:variant>
      <vt:variant>
        <vt:i4>1703984</vt:i4>
      </vt:variant>
      <vt:variant>
        <vt:i4>20</vt:i4>
      </vt:variant>
      <vt:variant>
        <vt:i4>0</vt:i4>
      </vt:variant>
      <vt:variant>
        <vt:i4>5</vt:i4>
      </vt:variant>
      <vt:variant>
        <vt:lpwstr/>
      </vt:variant>
      <vt:variant>
        <vt:lpwstr>_Toc98747998</vt:lpwstr>
      </vt:variant>
      <vt:variant>
        <vt:i4>1376304</vt:i4>
      </vt:variant>
      <vt:variant>
        <vt:i4>14</vt:i4>
      </vt:variant>
      <vt:variant>
        <vt:i4>0</vt:i4>
      </vt:variant>
      <vt:variant>
        <vt:i4>5</vt:i4>
      </vt:variant>
      <vt:variant>
        <vt:lpwstr/>
      </vt:variant>
      <vt:variant>
        <vt:lpwstr>_Toc98747997</vt:lpwstr>
      </vt:variant>
      <vt:variant>
        <vt:i4>1310768</vt:i4>
      </vt:variant>
      <vt:variant>
        <vt:i4>8</vt:i4>
      </vt:variant>
      <vt:variant>
        <vt:i4>0</vt:i4>
      </vt:variant>
      <vt:variant>
        <vt:i4>5</vt:i4>
      </vt:variant>
      <vt:variant>
        <vt:lpwstr/>
      </vt:variant>
      <vt:variant>
        <vt:lpwstr>_Toc98747996</vt:lpwstr>
      </vt:variant>
      <vt:variant>
        <vt:i4>1507376</vt:i4>
      </vt:variant>
      <vt:variant>
        <vt:i4>2</vt:i4>
      </vt:variant>
      <vt:variant>
        <vt:i4>0</vt:i4>
      </vt:variant>
      <vt:variant>
        <vt:i4>5</vt:i4>
      </vt:variant>
      <vt:variant>
        <vt:lpwstr/>
      </vt:variant>
      <vt:variant>
        <vt:lpwstr>_Toc98747995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 of Uncertainty in Making Benefit-Risk Determinations in Medical Device Premarket Approvals, De Novo Classifications, and Humanitarian Device Exemptions - Guidance for Industry and Food and Drug Administration Staff</dc:title>
  <dc:creator>CDRH</dc:creator>
  <cp:lastModifiedBy>黄亚兰</cp:lastModifiedBy>
  <cp:revision>14</cp:revision>
  <dcterms:created xsi:type="dcterms:W3CDTF">2022-03-21T00:35:00Z</dcterms:created>
  <dcterms:modified xsi:type="dcterms:W3CDTF">2022-10-10T03:11:00Z</dcterms:modified>
</cp:coreProperties>
</file>