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B5DE5" w14:textId="77777777" w:rsidR="00CE5FB1" w:rsidRDefault="00721E55" w:rsidP="0011487A">
      <w:pPr>
        <w:pStyle w:val="b1"/>
        <w:spacing w:before="120" w:afterLines="50" w:after="120"/>
        <w:rPr>
          <w:lang w:eastAsia="zh-CN"/>
        </w:rPr>
      </w:pPr>
      <w:bookmarkStart w:id="0" w:name="bookmark0"/>
      <w:r w:rsidRPr="00250E1C">
        <w:rPr>
          <w:lang w:eastAsia="zh-CN"/>
        </w:rPr>
        <w:t>前列腺组织消融器械的临床研究</w:t>
      </w:r>
      <w:bookmarkEnd w:id="0"/>
    </w:p>
    <w:p w14:paraId="7F4DC4E6" w14:textId="77777777" w:rsidR="00CE5FB1" w:rsidRDefault="00721E55" w:rsidP="0011487A">
      <w:pPr>
        <w:pStyle w:val="b2"/>
        <w:spacing w:before="120" w:afterLines="50" w:after="120"/>
        <w:rPr>
          <w:lang w:eastAsia="zh-CN"/>
        </w:rPr>
      </w:pPr>
      <w:bookmarkStart w:id="1" w:name="bookmark1"/>
      <w:r w:rsidRPr="00250E1C">
        <w:rPr>
          <w:lang w:eastAsia="zh-CN"/>
        </w:rPr>
        <w:t>行业和美国食品药品监督管理局</w:t>
      </w:r>
      <w:r w:rsidR="00522A8E" w:rsidRPr="00250E1C">
        <w:rPr>
          <w:rFonts w:hint="eastAsia"/>
          <w:lang w:eastAsia="zh-CN"/>
        </w:rPr>
        <w:br/>
      </w:r>
      <w:r w:rsidRPr="00250E1C">
        <w:rPr>
          <w:lang w:eastAsia="zh-CN"/>
        </w:rPr>
        <w:t>工作人员指南</w:t>
      </w:r>
      <w:bookmarkEnd w:id="1"/>
    </w:p>
    <w:p w14:paraId="658799EC" w14:textId="77777777" w:rsidR="00CE5FB1" w:rsidRPr="0011487A" w:rsidRDefault="00CE5FB1" w:rsidP="0011487A">
      <w:pPr>
        <w:snapToGrid w:val="0"/>
        <w:spacing w:beforeLines="50" w:before="120" w:afterLines="50" w:after="120"/>
        <w:jc w:val="center"/>
        <w:rPr>
          <w:b/>
          <w:sz w:val="24"/>
          <w:lang w:eastAsia="zh-CN"/>
        </w:rPr>
      </w:pPr>
    </w:p>
    <w:p w14:paraId="1E28E201" w14:textId="77777777" w:rsidR="00CE5FB1" w:rsidRDefault="00721E55" w:rsidP="0011487A">
      <w:pPr>
        <w:snapToGrid w:val="0"/>
        <w:spacing w:beforeLines="50" w:before="120" w:afterLines="50" w:after="120"/>
        <w:jc w:val="center"/>
        <w:rPr>
          <w:b/>
          <w:bCs/>
          <w:sz w:val="28"/>
          <w:szCs w:val="28"/>
          <w:lang w:eastAsia="zh-CN"/>
        </w:rPr>
      </w:pPr>
      <w:r w:rsidRPr="00250E1C">
        <w:rPr>
          <w:b/>
          <w:bCs/>
          <w:sz w:val="28"/>
          <w:szCs w:val="28"/>
          <w:lang w:eastAsia="zh-CN"/>
        </w:rPr>
        <w:t>文件发布</w:t>
      </w:r>
      <w:r w:rsidR="00B62CDE" w:rsidRPr="00250E1C">
        <w:rPr>
          <w:rFonts w:hint="eastAsia"/>
          <w:b/>
          <w:bCs/>
          <w:sz w:val="28"/>
          <w:szCs w:val="28"/>
          <w:lang w:eastAsia="zh-CN"/>
        </w:rPr>
        <w:t>日期：</w:t>
      </w:r>
      <w:r w:rsidRPr="00250E1C">
        <w:rPr>
          <w:b/>
          <w:bCs/>
          <w:sz w:val="28"/>
          <w:szCs w:val="28"/>
          <w:lang w:eastAsia="zh-CN"/>
        </w:rPr>
        <w:t>2020</w:t>
      </w:r>
      <w:r w:rsidRPr="00250E1C">
        <w:rPr>
          <w:b/>
          <w:bCs/>
          <w:sz w:val="28"/>
          <w:szCs w:val="28"/>
          <w:lang w:eastAsia="zh-CN"/>
        </w:rPr>
        <w:t>年</w:t>
      </w:r>
      <w:r w:rsidRPr="00250E1C">
        <w:rPr>
          <w:b/>
          <w:bCs/>
          <w:sz w:val="28"/>
          <w:szCs w:val="28"/>
          <w:lang w:eastAsia="zh-CN"/>
        </w:rPr>
        <w:t>7</w:t>
      </w:r>
      <w:r w:rsidRPr="00250E1C">
        <w:rPr>
          <w:b/>
          <w:bCs/>
          <w:sz w:val="28"/>
          <w:szCs w:val="28"/>
          <w:lang w:eastAsia="zh-CN"/>
        </w:rPr>
        <w:t>月</w:t>
      </w:r>
      <w:r w:rsidRPr="00250E1C">
        <w:rPr>
          <w:b/>
          <w:bCs/>
          <w:sz w:val="28"/>
          <w:szCs w:val="28"/>
          <w:lang w:eastAsia="zh-CN"/>
        </w:rPr>
        <w:t>15</w:t>
      </w:r>
      <w:r w:rsidRPr="00250E1C">
        <w:rPr>
          <w:b/>
          <w:bCs/>
          <w:sz w:val="28"/>
          <w:szCs w:val="28"/>
          <w:lang w:eastAsia="zh-CN"/>
        </w:rPr>
        <w:t>日</w:t>
      </w:r>
    </w:p>
    <w:p w14:paraId="21731017" w14:textId="77777777" w:rsidR="00CE5FB1" w:rsidRPr="0011487A" w:rsidRDefault="00CE5FB1" w:rsidP="0011487A">
      <w:pPr>
        <w:snapToGrid w:val="0"/>
        <w:spacing w:beforeLines="50" w:before="120" w:afterLines="50" w:after="120"/>
        <w:jc w:val="center"/>
        <w:rPr>
          <w:sz w:val="24"/>
          <w:lang w:eastAsia="zh-CN"/>
        </w:rPr>
      </w:pPr>
    </w:p>
    <w:p w14:paraId="563D0005" w14:textId="77777777" w:rsidR="00CE5FB1" w:rsidRDefault="00C11B2E" w:rsidP="0011487A">
      <w:pPr>
        <w:snapToGrid w:val="0"/>
        <w:spacing w:beforeLines="50" w:before="120" w:afterLines="50" w:after="120"/>
        <w:jc w:val="center"/>
        <w:rPr>
          <w:sz w:val="28"/>
          <w:szCs w:val="28"/>
          <w:lang w:eastAsia="zh-CN"/>
        </w:rPr>
      </w:pPr>
      <w:r w:rsidRPr="00250E1C">
        <w:rPr>
          <w:rFonts w:hint="eastAsia"/>
          <w:b/>
          <w:bCs/>
          <w:sz w:val="28"/>
          <w:szCs w:val="28"/>
          <w:lang w:eastAsia="zh-CN"/>
        </w:rPr>
        <w:t>本文件</w:t>
      </w:r>
      <w:r w:rsidRPr="00250E1C">
        <w:rPr>
          <w:b/>
          <w:bCs/>
          <w:sz w:val="28"/>
          <w:szCs w:val="28"/>
          <w:lang w:eastAsia="zh-CN"/>
        </w:rPr>
        <w:t>草案发布日期</w:t>
      </w:r>
      <w:r w:rsidRPr="00250E1C">
        <w:rPr>
          <w:rFonts w:hint="eastAsia"/>
          <w:b/>
          <w:bCs/>
          <w:sz w:val="28"/>
          <w:szCs w:val="28"/>
          <w:lang w:eastAsia="zh-CN"/>
        </w:rPr>
        <w:t>：</w:t>
      </w:r>
      <w:r w:rsidRPr="00250E1C">
        <w:rPr>
          <w:rFonts w:hint="eastAsia"/>
          <w:b/>
          <w:bCs/>
          <w:sz w:val="28"/>
          <w:szCs w:val="28"/>
          <w:lang w:eastAsia="zh-CN"/>
        </w:rPr>
        <w:t>2019</w:t>
      </w:r>
      <w:r w:rsidRPr="00250E1C">
        <w:rPr>
          <w:rFonts w:hint="eastAsia"/>
          <w:b/>
          <w:bCs/>
          <w:sz w:val="28"/>
          <w:szCs w:val="28"/>
          <w:lang w:eastAsia="zh-CN"/>
        </w:rPr>
        <w:t>年</w:t>
      </w:r>
      <w:r w:rsidRPr="00250E1C">
        <w:rPr>
          <w:rFonts w:hint="eastAsia"/>
          <w:b/>
          <w:bCs/>
          <w:sz w:val="28"/>
          <w:szCs w:val="28"/>
          <w:lang w:eastAsia="zh-CN"/>
        </w:rPr>
        <w:t>6</w:t>
      </w:r>
      <w:r w:rsidRPr="00250E1C">
        <w:rPr>
          <w:rFonts w:hint="eastAsia"/>
          <w:b/>
          <w:bCs/>
          <w:sz w:val="28"/>
          <w:szCs w:val="28"/>
          <w:lang w:eastAsia="zh-CN"/>
        </w:rPr>
        <w:t>月</w:t>
      </w:r>
      <w:r w:rsidRPr="00250E1C">
        <w:rPr>
          <w:rFonts w:hint="eastAsia"/>
          <w:b/>
          <w:bCs/>
          <w:sz w:val="28"/>
          <w:szCs w:val="28"/>
          <w:lang w:eastAsia="zh-CN"/>
        </w:rPr>
        <w:t>29</w:t>
      </w:r>
      <w:r w:rsidRPr="00250E1C">
        <w:rPr>
          <w:rFonts w:hint="eastAsia"/>
          <w:b/>
          <w:bCs/>
          <w:sz w:val="28"/>
          <w:szCs w:val="28"/>
          <w:lang w:eastAsia="zh-CN"/>
        </w:rPr>
        <w:t>日</w:t>
      </w:r>
    </w:p>
    <w:p w14:paraId="7D36AC76" w14:textId="77777777" w:rsidR="00CE5FB1" w:rsidRPr="0011487A" w:rsidRDefault="00CE5FB1" w:rsidP="0011487A">
      <w:pPr>
        <w:snapToGrid w:val="0"/>
        <w:spacing w:beforeLines="50" w:before="120" w:afterLines="50" w:after="120"/>
        <w:jc w:val="both"/>
        <w:rPr>
          <w:sz w:val="24"/>
          <w:lang w:eastAsia="zh-CN"/>
        </w:rPr>
      </w:pPr>
    </w:p>
    <w:p w14:paraId="3583133E" w14:textId="77777777" w:rsidR="00ED26D4" w:rsidRPr="00250E1C" w:rsidRDefault="00C11B2E" w:rsidP="000856AF">
      <w:pPr>
        <w:snapToGrid w:val="0"/>
        <w:spacing w:beforeLines="50" w:before="120" w:afterLines="50" w:after="120"/>
        <w:ind w:firstLineChars="200" w:firstLine="480"/>
        <w:jc w:val="both"/>
        <w:rPr>
          <w:sz w:val="24"/>
          <w:lang w:eastAsia="zh-CN"/>
        </w:rPr>
      </w:pPr>
      <w:r w:rsidRPr="00250E1C">
        <w:rPr>
          <w:rFonts w:hint="eastAsia"/>
          <w:sz w:val="24"/>
          <w:szCs w:val="24"/>
          <w:lang w:eastAsia="zh-CN"/>
        </w:rPr>
        <w:t>如对</w:t>
      </w:r>
      <w:r w:rsidRPr="00250E1C">
        <w:rPr>
          <w:sz w:val="24"/>
          <w:szCs w:val="24"/>
          <w:lang w:eastAsia="zh-CN"/>
        </w:rPr>
        <w:t>本文件有任何疑问</w:t>
      </w:r>
      <w:r w:rsidRPr="00250E1C">
        <w:rPr>
          <w:rFonts w:hint="eastAsia"/>
          <w:sz w:val="24"/>
          <w:szCs w:val="24"/>
          <w:lang w:eastAsia="zh-CN"/>
        </w:rPr>
        <w:t>，</w:t>
      </w:r>
      <w:r w:rsidRPr="00250E1C">
        <w:rPr>
          <w:sz w:val="24"/>
          <w:szCs w:val="24"/>
          <w:lang w:eastAsia="zh-CN"/>
        </w:rPr>
        <w:t>请致电</w:t>
      </w:r>
      <w:r w:rsidR="007E600D" w:rsidRPr="00250E1C">
        <w:rPr>
          <w:sz w:val="24"/>
          <w:szCs w:val="24"/>
          <w:lang w:eastAsia="zh-CN"/>
        </w:rPr>
        <w:t>（</w:t>
      </w:r>
      <w:r w:rsidRPr="00250E1C">
        <w:rPr>
          <w:sz w:val="24"/>
          <w:szCs w:val="24"/>
          <w:lang w:eastAsia="zh-CN"/>
        </w:rPr>
        <w:t>301</w:t>
      </w:r>
      <w:r w:rsidR="007E600D" w:rsidRPr="00250E1C">
        <w:rPr>
          <w:sz w:val="24"/>
          <w:szCs w:val="24"/>
          <w:lang w:eastAsia="zh-CN"/>
        </w:rPr>
        <w:t>）</w:t>
      </w:r>
      <w:r w:rsidRPr="00250E1C">
        <w:rPr>
          <w:sz w:val="24"/>
          <w:szCs w:val="24"/>
          <w:lang w:eastAsia="zh-CN"/>
        </w:rPr>
        <w:t>-796-7030</w:t>
      </w:r>
      <w:r w:rsidRPr="00250E1C">
        <w:rPr>
          <w:sz w:val="24"/>
          <w:szCs w:val="24"/>
          <w:lang w:eastAsia="zh-CN"/>
        </w:rPr>
        <w:t>联系</w:t>
      </w:r>
      <w:r w:rsidR="00C611AD" w:rsidRPr="00250E1C">
        <w:rPr>
          <w:sz w:val="24"/>
          <w:szCs w:val="24"/>
          <w:lang w:eastAsia="zh-CN"/>
        </w:rPr>
        <w:t>OHT3</w:t>
      </w:r>
      <w:r w:rsidR="00C611AD" w:rsidRPr="00250E1C">
        <w:rPr>
          <w:rFonts w:hint="eastAsia"/>
          <w:sz w:val="24"/>
          <w:szCs w:val="24"/>
          <w:lang w:eastAsia="zh-CN"/>
        </w:rPr>
        <w:t>：</w:t>
      </w:r>
      <w:r w:rsidR="008E2664" w:rsidRPr="00250E1C">
        <w:rPr>
          <w:rFonts w:hint="eastAsia"/>
          <w:sz w:val="24"/>
          <w:szCs w:val="24"/>
          <w:lang w:eastAsia="zh-CN"/>
        </w:rPr>
        <w:t>胃肠、</w:t>
      </w:r>
      <w:r w:rsidR="008E2664" w:rsidRPr="00250E1C">
        <w:rPr>
          <w:sz w:val="24"/>
          <w:szCs w:val="24"/>
          <w:lang w:eastAsia="zh-CN"/>
        </w:rPr>
        <w:t>妇科</w:t>
      </w:r>
      <w:r w:rsidR="008E2664" w:rsidRPr="00250E1C">
        <w:rPr>
          <w:rFonts w:hint="eastAsia"/>
          <w:sz w:val="24"/>
          <w:szCs w:val="24"/>
          <w:lang w:eastAsia="zh-CN"/>
        </w:rPr>
        <w:t>、</w:t>
      </w:r>
      <w:r w:rsidR="008E2664" w:rsidRPr="00250E1C">
        <w:rPr>
          <w:sz w:val="24"/>
          <w:szCs w:val="24"/>
          <w:lang w:eastAsia="zh-CN"/>
        </w:rPr>
        <w:t>综合医院和泌尿系统器械办公室</w:t>
      </w:r>
      <w:r w:rsidR="00721E55" w:rsidRPr="00250E1C">
        <w:rPr>
          <w:sz w:val="24"/>
          <w:szCs w:val="24"/>
          <w:lang w:eastAsia="zh-CN"/>
        </w:rPr>
        <w:t>/DHT3B</w:t>
      </w:r>
      <w:r w:rsidR="007E600D" w:rsidRPr="00250E1C">
        <w:rPr>
          <w:rFonts w:hint="eastAsia"/>
          <w:sz w:val="24"/>
          <w:szCs w:val="24"/>
          <w:lang w:eastAsia="zh-CN"/>
        </w:rPr>
        <w:t>：</w:t>
      </w:r>
      <w:r w:rsidR="008E2664" w:rsidRPr="00250E1C">
        <w:rPr>
          <w:rFonts w:hint="eastAsia"/>
          <w:sz w:val="24"/>
          <w:szCs w:val="24"/>
          <w:lang w:eastAsia="zh-CN"/>
        </w:rPr>
        <w:t>生殖、</w:t>
      </w:r>
      <w:r w:rsidR="008E2664" w:rsidRPr="00250E1C">
        <w:rPr>
          <w:sz w:val="24"/>
          <w:szCs w:val="24"/>
          <w:lang w:eastAsia="zh-CN"/>
        </w:rPr>
        <w:t>妇科和泌尿外科器械部</w:t>
      </w:r>
      <w:r w:rsidR="007E600D" w:rsidRPr="00250E1C">
        <w:rPr>
          <w:rFonts w:hint="eastAsia"/>
          <w:sz w:val="24"/>
          <w:szCs w:val="24"/>
          <w:lang w:eastAsia="zh-CN"/>
        </w:rPr>
        <w:t>。</w:t>
      </w:r>
    </w:p>
    <w:p w14:paraId="00860C6A" w14:textId="77777777" w:rsidR="00CE5FB1" w:rsidRPr="0011487A" w:rsidRDefault="00CE5FB1" w:rsidP="0011487A">
      <w:pPr>
        <w:snapToGrid w:val="0"/>
        <w:spacing w:beforeLines="50" w:before="120" w:afterLines="50" w:after="120"/>
        <w:jc w:val="both"/>
        <w:rPr>
          <w:sz w:val="24"/>
          <w:lang w:eastAsia="zh-CN"/>
        </w:rPr>
      </w:pPr>
    </w:p>
    <w:p w14:paraId="3196FEA6" w14:textId="77777777" w:rsidR="00CE5FB1" w:rsidRPr="0011487A" w:rsidRDefault="00CE5FB1" w:rsidP="0011487A">
      <w:pPr>
        <w:snapToGrid w:val="0"/>
        <w:spacing w:beforeLines="50" w:before="120" w:afterLines="50" w:after="120"/>
        <w:jc w:val="both"/>
        <w:rPr>
          <w:sz w:val="24"/>
          <w:lang w:eastAsia="zh-CN"/>
        </w:rPr>
      </w:pPr>
    </w:p>
    <w:p w14:paraId="08B3EC5E" w14:textId="77777777" w:rsidR="00CE5FB1" w:rsidRPr="0011487A" w:rsidRDefault="00CE5FB1" w:rsidP="0011487A">
      <w:pPr>
        <w:snapToGrid w:val="0"/>
        <w:spacing w:beforeLines="50" w:before="120" w:afterLines="50" w:after="120"/>
        <w:jc w:val="both"/>
        <w:rPr>
          <w:sz w:val="24"/>
          <w:lang w:eastAsia="zh-CN"/>
        </w:rPr>
      </w:pPr>
    </w:p>
    <w:tbl>
      <w:tblPr>
        <w:tblOverlap w:val="never"/>
        <w:tblW w:w="0" w:type="auto"/>
        <w:tblCellMar>
          <w:left w:w="57" w:type="dxa"/>
          <w:right w:w="57" w:type="dxa"/>
        </w:tblCellMar>
        <w:tblLook w:val="0000" w:firstRow="0" w:lastRow="0" w:firstColumn="0" w:lastColumn="0" w:noHBand="0" w:noVBand="0"/>
      </w:tblPr>
      <w:tblGrid>
        <w:gridCol w:w="4308"/>
        <w:gridCol w:w="5105"/>
      </w:tblGrid>
      <w:tr w:rsidR="0011487A" w:rsidRPr="00250E1C" w14:paraId="0FA705F0" w14:textId="77777777" w:rsidTr="009D4335">
        <w:trPr>
          <w:trHeight w:val="1414"/>
        </w:trPr>
        <w:tc>
          <w:tcPr>
            <w:tcW w:w="4308" w:type="dxa"/>
            <w:shd w:val="clear" w:color="auto" w:fill="FFFFFF"/>
            <w:vAlign w:val="center"/>
          </w:tcPr>
          <w:p w14:paraId="797F8AC1" w14:textId="77777777" w:rsidR="0011487A" w:rsidRPr="0011487A" w:rsidRDefault="0011487A" w:rsidP="0011487A">
            <w:pPr>
              <w:snapToGrid w:val="0"/>
              <w:spacing w:beforeLines="50" w:before="120" w:afterLines="50" w:after="120"/>
              <w:jc w:val="both"/>
              <w:rPr>
                <w:b/>
                <w:sz w:val="24"/>
              </w:rPr>
            </w:pPr>
            <w:r>
              <w:rPr>
                <w:noProof/>
                <w:lang w:eastAsia="zh-CN" w:bidi="ar-SA"/>
              </w:rPr>
              <w:pict w14:anchorId="4652F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9" type="#_x0000_t75" style="width:198pt;height:56.25pt;visibility:visible">
                  <v:imagedata r:id="rId8" o:title=""/>
                </v:shape>
              </w:pict>
            </w:r>
          </w:p>
        </w:tc>
        <w:tc>
          <w:tcPr>
            <w:tcW w:w="5105" w:type="dxa"/>
            <w:shd w:val="clear" w:color="auto" w:fill="FFFFFF"/>
          </w:tcPr>
          <w:p w14:paraId="2CFB03F1" w14:textId="77777777" w:rsidR="0011487A" w:rsidRPr="0011487A" w:rsidRDefault="0011487A" w:rsidP="0011487A">
            <w:pPr>
              <w:snapToGrid w:val="0"/>
              <w:spacing w:beforeLines="50" w:before="120" w:afterLines="50" w:after="120"/>
              <w:jc w:val="right"/>
              <w:rPr>
                <w:sz w:val="24"/>
                <w:lang w:eastAsia="zh-CN"/>
              </w:rPr>
            </w:pPr>
            <w:r w:rsidRPr="0011487A">
              <w:rPr>
                <w:rFonts w:hint="eastAsia"/>
                <w:b/>
                <w:sz w:val="24"/>
                <w:lang w:eastAsia="zh-CN"/>
              </w:rPr>
              <w:t>美国卫生</w:t>
            </w:r>
            <w:r w:rsidRPr="00250E1C">
              <w:rPr>
                <w:rFonts w:hint="eastAsia"/>
                <w:b/>
                <w:bCs/>
                <w:sz w:val="24"/>
                <w:lang w:eastAsia="zh-CN"/>
              </w:rPr>
              <w:t>与</w:t>
            </w:r>
            <w:r w:rsidRPr="0011487A">
              <w:rPr>
                <w:rFonts w:hint="eastAsia"/>
                <w:b/>
                <w:sz w:val="24"/>
                <w:lang w:eastAsia="zh-CN"/>
              </w:rPr>
              <w:t>公众服务部</w:t>
            </w:r>
          </w:p>
          <w:p w14:paraId="34D2ED1F" w14:textId="77777777" w:rsidR="0011487A" w:rsidRPr="0011487A" w:rsidRDefault="0011487A" w:rsidP="0011487A">
            <w:pPr>
              <w:snapToGrid w:val="0"/>
              <w:spacing w:beforeLines="50" w:before="120" w:afterLines="50" w:after="120"/>
              <w:jc w:val="right"/>
              <w:rPr>
                <w:sz w:val="24"/>
                <w:lang w:eastAsia="zh-CN"/>
              </w:rPr>
            </w:pPr>
            <w:r w:rsidRPr="0011487A">
              <w:rPr>
                <w:rFonts w:hint="eastAsia"/>
                <w:b/>
                <w:sz w:val="24"/>
                <w:lang w:eastAsia="zh-CN"/>
              </w:rPr>
              <w:t>美国食品药品监督管理局</w:t>
            </w:r>
          </w:p>
          <w:p w14:paraId="1ADF9D6C" w14:textId="77777777" w:rsidR="0011487A" w:rsidRPr="0011487A" w:rsidRDefault="0011487A" w:rsidP="0011487A">
            <w:pPr>
              <w:snapToGrid w:val="0"/>
              <w:spacing w:beforeLines="50" w:before="120" w:afterLines="50" w:after="120"/>
              <w:jc w:val="right"/>
              <w:rPr>
                <w:sz w:val="24"/>
                <w:lang w:eastAsia="zh-CN"/>
              </w:rPr>
            </w:pPr>
            <w:r w:rsidRPr="0011487A">
              <w:rPr>
                <w:rFonts w:hint="eastAsia"/>
                <w:b/>
                <w:sz w:val="24"/>
                <w:lang w:eastAsia="zh-CN"/>
              </w:rPr>
              <w:t>医疗器械和放射健康中心</w:t>
            </w:r>
          </w:p>
        </w:tc>
      </w:tr>
    </w:tbl>
    <w:p w14:paraId="159B8987" w14:textId="77777777" w:rsidR="00CE5FB1" w:rsidRPr="0011487A" w:rsidRDefault="00CE5FB1" w:rsidP="0011487A">
      <w:pPr>
        <w:snapToGrid w:val="0"/>
        <w:spacing w:beforeLines="50" w:before="120" w:afterLines="50" w:after="120"/>
        <w:jc w:val="both"/>
        <w:rPr>
          <w:sz w:val="24"/>
          <w:lang w:eastAsia="zh-CN"/>
        </w:rPr>
      </w:pPr>
    </w:p>
    <w:p w14:paraId="0AF7C282" w14:textId="77777777" w:rsidR="00CE5FB1" w:rsidRPr="0011487A" w:rsidRDefault="00862B46" w:rsidP="0011487A">
      <w:pPr>
        <w:snapToGrid w:val="0"/>
        <w:spacing w:beforeLines="50" w:before="120" w:afterLines="50" w:after="120"/>
        <w:jc w:val="both"/>
        <w:rPr>
          <w:sz w:val="24"/>
          <w:lang w:eastAsia="zh-CN"/>
        </w:rPr>
      </w:pPr>
      <w:r w:rsidRPr="0011487A">
        <w:rPr>
          <w:sz w:val="24"/>
          <w:lang w:eastAsia="zh-CN"/>
        </w:rPr>
        <w:br w:type="page"/>
      </w:r>
    </w:p>
    <w:p w14:paraId="5DEDAD1F" w14:textId="77777777" w:rsidR="00CE5FB1" w:rsidRDefault="00721E55" w:rsidP="0011487A">
      <w:pPr>
        <w:snapToGrid w:val="0"/>
        <w:spacing w:beforeLines="50" w:before="120" w:afterLines="50" w:after="120"/>
        <w:jc w:val="center"/>
        <w:rPr>
          <w:b/>
          <w:bCs/>
          <w:sz w:val="44"/>
          <w:szCs w:val="44"/>
          <w:lang w:eastAsia="zh-CN"/>
        </w:rPr>
      </w:pPr>
      <w:r w:rsidRPr="00250E1C">
        <w:rPr>
          <w:b/>
          <w:bCs/>
          <w:sz w:val="44"/>
          <w:szCs w:val="44"/>
          <w:lang w:eastAsia="zh-CN"/>
        </w:rPr>
        <w:t>前言</w:t>
      </w:r>
    </w:p>
    <w:p w14:paraId="02176B70" w14:textId="77777777" w:rsidR="00CE5FB1" w:rsidRPr="0011487A" w:rsidRDefault="00CE5FB1" w:rsidP="0011487A">
      <w:pPr>
        <w:snapToGrid w:val="0"/>
        <w:spacing w:beforeLines="50" w:before="120" w:afterLines="50" w:after="120"/>
        <w:jc w:val="center"/>
        <w:rPr>
          <w:sz w:val="24"/>
        </w:rPr>
      </w:pPr>
    </w:p>
    <w:p w14:paraId="57814DC0" w14:textId="77777777" w:rsidR="00CE5FB1" w:rsidRDefault="00721E55" w:rsidP="0011487A">
      <w:pPr>
        <w:snapToGrid w:val="0"/>
        <w:spacing w:beforeLines="50" w:before="120" w:afterLines="50" w:after="120"/>
        <w:jc w:val="both"/>
        <w:rPr>
          <w:sz w:val="28"/>
          <w:szCs w:val="28"/>
        </w:rPr>
      </w:pPr>
      <w:bookmarkStart w:id="2" w:name="bookmark2"/>
      <w:r w:rsidRPr="00250E1C">
        <w:rPr>
          <w:b/>
          <w:bCs/>
          <w:sz w:val="28"/>
          <w:szCs w:val="28"/>
          <w:lang w:eastAsia="zh-CN"/>
        </w:rPr>
        <w:t>公众意见</w:t>
      </w:r>
      <w:bookmarkStart w:id="3" w:name="_GoBack"/>
      <w:bookmarkEnd w:id="2"/>
      <w:bookmarkEnd w:id="3"/>
    </w:p>
    <w:p w14:paraId="1690A316" w14:textId="77777777" w:rsidR="00CE5FB1" w:rsidRDefault="00BD2206" w:rsidP="0011487A">
      <w:pPr>
        <w:snapToGrid w:val="0"/>
        <w:spacing w:beforeLines="50" w:before="120" w:afterLines="50" w:after="120"/>
        <w:ind w:firstLineChars="200" w:firstLine="480"/>
        <w:jc w:val="both"/>
        <w:rPr>
          <w:sz w:val="24"/>
          <w:szCs w:val="24"/>
          <w:lang w:eastAsia="zh-CN"/>
        </w:rPr>
      </w:pPr>
      <w:r w:rsidRPr="00250E1C">
        <w:rPr>
          <w:rFonts w:hint="eastAsia"/>
          <w:sz w:val="24"/>
          <w:szCs w:val="24"/>
          <w:lang w:eastAsia="zh-CN"/>
        </w:rPr>
        <w:t>电子版意见和建议可随时提交至</w:t>
      </w:r>
      <w:hyperlink r:id="rId9" w:history="1">
        <w:r w:rsidR="00721E55" w:rsidRPr="00250E1C">
          <w:rPr>
            <w:rStyle w:val="a3"/>
            <w:sz w:val="24"/>
          </w:rPr>
          <w:t>https://www.regulations.gov</w:t>
        </w:r>
      </w:hyperlink>
      <w:r w:rsidR="00862B46" w:rsidRPr="0011487A">
        <w:rPr>
          <w:rFonts w:hint="eastAsia"/>
          <w:color w:val="auto"/>
          <w:sz w:val="24"/>
        </w:rPr>
        <w:t>，</w:t>
      </w:r>
      <w:r w:rsidRPr="00250E1C">
        <w:rPr>
          <w:sz w:val="24"/>
          <w:szCs w:val="24"/>
          <w:lang w:eastAsia="zh-CN"/>
        </w:rPr>
        <w:t>供</w:t>
      </w:r>
      <w:r w:rsidRPr="00250E1C">
        <w:rPr>
          <w:rFonts w:hint="eastAsia"/>
          <w:sz w:val="24"/>
          <w:szCs w:val="24"/>
          <w:lang w:eastAsia="zh-CN" w:bidi="ar-SA"/>
        </w:rPr>
        <w:t>FDA</w:t>
      </w:r>
      <w:r w:rsidRPr="00250E1C">
        <w:rPr>
          <w:rFonts w:hint="eastAsia"/>
          <w:sz w:val="24"/>
          <w:szCs w:val="24"/>
          <w:lang w:eastAsia="zh-CN" w:bidi="ar-SA"/>
        </w:rPr>
        <w:t>审议</w:t>
      </w:r>
      <w:r w:rsidR="00721E55" w:rsidRPr="00250E1C">
        <w:rPr>
          <w:sz w:val="24"/>
          <w:szCs w:val="24"/>
          <w:lang w:eastAsia="zh-CN"/>
        </w:rPr>
        <w:t>。</w:t>
      </w:r>
      <w:r w:rsidRPr="00250E1C">
        <w:rPr>
          <w:rFonts w:hint="eastAsia"/>
          <w:sz w:val="24"/>
          <w:szCs w:val="24"/>
          <w:lang w:eastAsia="zh-CN"/>
        </w:rPr>
        <w:t>可将书面意见提交至：</w:t>
      </w:r>
      <w:r w:rsidRPr="00250E1C">
        <w:rPr>
          <w:sz w:val="24"/>
          <w:szCs w:val="24"/>
          <w:lang w:eastAsia="zh-CN"/>
        </w:rPr>
        <w:t>美国食品药品监督管理局</w:t>
      </w:r>
      <w:r w:rsidR="00721E55" w:rsidRPr="00250E1C">
        <w:rPr>
          <w:sz w:val="24"/>
          <w:szCs w:val="24"/>
          <w:lang w:eastAsia="zh-CN"/>
        </w:rPr>
        <w:t>（</w:t>
      </w:r>
      <w:r w:rsidR="00721E55" w:rsidRPr="00250E1C">
        <w:rPr>
          <w:sz w:val="24"/>
          <w:szCs w:val="24"/>
          <w:lang w:eastAsia="zh-CN"/>
        </w:rPr>
        <w:t xml:space="preserve">5630 Fishers Lane, Room 1061, </w:t>
      </w:r>
      <w:r w:rsidR="0017371A">
        <w:rPr>
          <w:rFonts w:hint="eastAsia"/>
          <w:sz w:val="24"/>
          <w:szCs w:val="24"/>
          <w:lang w:eastAsia="zh-CN"/>
        </w:rPr>
        <w:t>(</w:t>
      </w:r>
      <w:r w:rsidR="00721E55" w:rsidRPr="00250E1C">
        <w:rPr>
          <w:sz w:val="24"/>
          <w:szCs w:val="24"/>
          <w:lang w:eastAsia="zh-CN"/>
        </w:rPr>
        <w:t>HFA-305</w:t>
      </w:r>
      <w:r w:rsidR="0017371A">
        <w:rPr>
          <w:rFonts w:hint="eastAsia"/>
          <w:sz w:val="24"/>
          <w:szCs w:val="24"/>
          <w:lang w:eastAsia="zh-CN"/>
        </w:rPr>
        <w:t>)</w:t>
      </w:r>
      <w:r w:rsidR="00721E55" w:rsidRPr="00250E1C">
        <w:rPr>
          <w:sz w:val="24"/>
          <w:szCs w:val="24"/>
          <w:lang w:eastAsia="zh-CN"/>
        </w:rPr>
        <w:t>, Rockville, MD 20852</w:t>
      </w:r>
      <w:r w:rsidR="00721E55" w:rsidRPr="00250E1C">
        <w:rPr>
          <w:sz w:val="24"/>
          <w:szCs w:val="24"/>
          <w:lang w:eastAsia="zh-CN"/>
        </w:rPr>
        <w:t>）。</w:t>
      </w:r>
      <w:r w:rsidRPr="00250E1C">
        <w:rPr>
          <w:sz w:val="24"/>
          <w:szCs w:val="24"/>
          <w:lang w:eastAsia="zh-CN"/>
        </w:rPr>
        <w:t>所有意见均应</w:t>
      </w:r>
      <w:r w:rsidRPr="00250E1C">
        <w:rPr>
          <w:rFonts w:hint="eastAsia"/>
          <w:sz w:val="24"/>
          <w:szCs w:val="24"/>
          <w:lang w:eastAsia="zh-CN"/>
        </w:rPr>
        <w:t>注明备案</w:t>
      </w:r>
      <w:r w:rsidRPr="00250E1C">
        <w:rPr>
          <w:sz w:val="24"/>
          <w:szCs w:val="24"/>
          <w:lang w:eastAsia="zh-CN"/>
        </w:rPr>
        <w:t>文件编号</w:t>
      </w:r>
      <w:r w:rsidR="00721E55" w:rsidRPr="00250E1C">
        <w:rPr>
          <w:sz w:val="24"/>
          <w:szCs w:val="24"/>
          <w:lang w:eastAsia="zh-CN"/>
        </w:rPr>
        <w:t>FDA-2019-D-2223</w:t>
      </w:r>
      <w:r w:rsidR="00721E55" w:rsidRPr="00250E1C">
        <w:rPr>
          <w:sz w:val="24"/>
          <w:szCs w:val="24"/>
          <w:lang w:eastAsia="zh-CN"/>
        </w:rPr>
        <w:t>。</w:t>
      </w:r>
      <w:r w:rsidR="009E4277">
        <w:rPr>
          <w:sz w:val="24"/>
          <w:szCs w:val="24"/>
          <w:lang w:eastAsia="zh-CN"/>
        </w:rPr>
        <w:t>在</w:t>
      </w:r>
      <w:r w:rsidR="00721E55" w:rsidRPr="00250E1C">
        <w:rPr>
          <w:sz w:val="24"/>
          <w:szCs w:val="24"/>
          <w:lang w:eastAsia="zh-CN"/>
        </w:rPr>
        <w:t>下次修订或更新</w:t>
      </w:r>
      <w:r w:rsidRPr="00250E1C">
        <w:rPr>
          <w:sz w:val="24"/>
          <w:szCs w:val="24"/>
          <w:lang w:eastAsia="zh-CN"/>
        </w:rPr>
        <w:t>本</w:t>
      </w:r>
      <w:r w:rsidR="00721E55" w:rsidRPr="00250E1C">
        <w:rPr>
          <w:sz w:val="24"/>
          <w:szCs w:val="24"/>
          <w:lang w:eastAsia="zh-CN"/>
        </w:rPr>
        <w:t>文件</w:t>
      </w:r>
      <w:r w:rsidR="002D44E8">
        <w:rPr>
          <w:rFonts w:hint="eastAsia"/>
          <w:sz w:val="24"/>
          <w:szCs w:val="24"/>
          <w:lang w:eastAsia="zh-CN"/>
        </w:rPr>
        <w:t>以</w:t>
      </w:r>
      <w:r w:rsidR="00721E55" w:rsidRPr="00250E1C">
        <w:rPr>
          <w:sz w:val="24"/>
          <w:szCs w:val="24"/>
          <w:lang w:eastAsia="zh-CN"/>
        </w:rPr>
        <w:t>前，</w:t>
      </w:r>
      <w:r w:rsidRPr="00250E1C">
        <w:rPr>
          <w:sz w:val="24"/>
          <w:szCs w:val="24"/>
          <w:lang w:eastAsia="zh-CN"/>
        </w:rPr>
        <w:t>FDA</w:t>
      </w:r>
      <w:r w:rsidRPr="00250E1C">
        <w:rPr>
          <w:sz w:val="24"/>
          <w:szCs w:val="24"/>
          <w:lang w:eastAsia="zh-CN"/>
        </w:rPr>
        <w:t>可能不会对意见采取</w:t>
      </w:r>
      <w:r w:rsidR="002E2262">
        <w:rPr>
          <w:rFonts w:hint="eastAsia"/>
          <w:sz w:val="24"/>
          <w:szCs w:val="24"/>
          <w:lang w:eastAsia="zh-CN"/>
        </w:rPr>
        <w:t>措施</w:t>
      </w:r>
      <w:r w:rsidRPr="00250E1C">
        <w:rPr>
          <w:sz w:val="24"/>
          <w:szCs w:val="24"/>
          <w:lang w:eastAsia="zh-CN"/>
        </w:rPr>
        <w:t>。</w:t>
      </w:r>
    </w:p>
    <w:p w14:paraId="45CD2F6D" w14:textId="77777777" w:rsidR="00CE5FB1" w:rsidRDefault="00CE5FB1" w:rsidP="0011487A">
      <w:pPr>
        <w:snapToGrid w:val="0"/>
        <w:spacing w:beforeLines="50" w:before="120" w:afterLines="50" w:after="120"/>
        <w:jc w:val="both"/>
        <w:rPr>
          <w:sz w:val="24"/>
          <w:szCs w:val="24"/>
          <w:lang w:eastAsia="zh-CN"/>
        </w:rPr>
      </w:pPr>
    </w:p>
    <w:p w14:paraId="6BA1376B" w14:textId="77777777" w:rsidR="00CE5FB1" w:rsidRDefault="00BD2206" w:rsidP="0011487A">
      <w:pPr>
        <w:snapToGrid w:val="0"/>
        <w:spacing w:beforeLines="50" w:before="120" w:afterLines="50" w:after="120"/>
        <w:jc w:val="both"/>
        <w:rPr>
          <w:b/>
          <w:bCs/>
          <w:sz w:val="28"/>
          <w:szCs w:val="28"/>
          <w:lang w:eastAsia="zh-CN"/>
        </w:rPr>
      </w:pPr>
      <w:bookmarkStart w:id="4" w:name="bookmark3"/>
      <w:r w:rsidRPr="00250E1C">
        <w:rPr>
          <w:rFonts w:hint="eastAsia"/>
          <w:b/>
          <w:bCs/>
          <w:sz w:val="28"/>
          <w:szCs w:val="28"/>
          <w:lang w:eastAsia="zh-CN"/>
        </w:rPr>
        <w:t>更多</w:t>
      </w:r>
      <w:r w:rsidR="00721E55" w:rsidRPr="00250E1C">
        <w:rPr>
          <w:b/>
          <w:bCs/>
          <w:sz w:val="28"/>
          <w:szCs w:val="28"/>
          <w:lang w:eastAsia="zh-CN"/>
        </w:rPr>
        <w:t>副本</w:t>
      </w:r>
      <w:bookmarkEnd w:id="4"/>
    </w:p>
    <w:p w14:paraId="22D8075F" w14:textId="77777777" w:rsidR="00CE5FB1" w:rsidRDefault="00BD2206" w:rsidP="0011487A">
      <w:pPr>
        <w:snapToGrid w:val="0"/>
        <w:spacing w:beforeLines="50" w:before="120" w:afterLines="50" w:after="120"/>
        <w:ind w:firstLineChars="200" w:firstLine="480"/>
        <w:jc w:val="both"/>
        <w:rPr>
          <w:sz w:val="24"/>
          <w:szCs w:val="24"/>
          <w:lang w:eastAsia="zh-CN"/>
        </w:rPr>
      </w:pPr>
      <w:r w:rsidRPr="00250E1C">
        <w:rPr>
          <w:rFonts w:hint="eastAsia"/>
          <w:sz w:val="24"/>
          <w:szCs w:val="24"/>
          <w:lang w:eastAsia="zh-CN"/>
        </w:rPr>
        <w:t>更多副本可通过互联网</w:t>
      </w:r>
      <w:r w:rsidRPr="00250E1C">
        <w:rPr>
          <w:sz w:val="24"/>
          <w:szCs w:val="24"/>
          <w:lang w:eastAsia="zh-CN"/>
        </w:rPr>
        <w:t>获取</w:t>
      </w:r>
      <w:r w:rsidR="00721E55" w:rsidRPr="00250E1C">
        <w:rPr>
          <w:sz w:val="24"/>
          <w:szCs w:val="24"/>
          <w:lang w:eastAsia="zh-CN"/>
        </w:rPr>
        <w:t>。</w:t>
      </w:r>
      <w:r w:rsidRPr="00250E1C">
        <w:rPr>
          <w:rFonts w:hint="eastAsia"/>
          <w:sz w:val="24"/>
          <w:szCs w:val="24"/>
          <w:lang w:eastAsia="zh-CN"/>
        </w:rPr>
        <w:t>您也可以通过电子邮件发送请求至</w:t>
      </w:r>
      <w:hyperlink r:id="rId10" w:history="1">
        <w:r w:rsidR="00862B46" w:rsidRPr="0011487A">
          <w:rPr>
            <w:rStyle w:val="a3"/>
            <w:sz w:val="24"/>
            <w:lang w:eastAsia="zh-CN"/>
          </w:rPr>
          <w:t>CDRH-</w:t>
        </w:r>
      </w:hyperlink>
      <w:hyperlink r:id="rId11" w:history="1">
        <w:r w:rsidR="00721E55" w:rsidRPr="00250E1C">
          <w:rPr>
            <w:rStyle w:val="a3"/>
            <w:sz w:val="24"/>
            <w:szCs w:val="24"/>
            <w:lang w:eastAsia="zh-CN"/>
          </w:rPr>
          <w:t xml:space="preserve"> Guidance@fda.hhs.gov</w:t>
        </w:r>
      </w:hyperlink>
      <w:hyperlink r:id="rId12" w:history="1">
        <w:r w:rsidR="00862B46" w:rsidRPr="0011487A">
          <w:rPr>
            <w:rStyle w:val="a3"/>
            <w:sz w:val="24"/>
            <w:lang w:eastAsia="zh-CN"/>
          </w:rPr>
          <w:t xml:space="preserve"> </w:t>
        </w:r>
      </w:hyperlink>
      <w:r w:rsidRPr="00250E1C">
        <w:rPr>
          <w:rFonts w:hint="eastAsia"/>
          <w:sz w:val="24"/>
          <w:szCs w:val="24"/>
          <w:lang w:eastAsia="zh-CN"/>
        </w:rPr>
        <w:t>获取本指南的副本</w:t>
      </w:r>
      <w:r w:rsidR="00721E55" w:rsidRPr="00250E1C">
        <w:rPr>
          <w:sz w:val="24"/>
          <w:szCs w:val="24"/>
          <w:lang w:eastAsia="zh-CN"/>
        </w:rPr>
        <w:t>。请在申请中提供文件编号</w:t>
      </w:r>
      <w:r w:rsidR="00721E55" w:rsidRPr="00250E1C">
        <w:rPr>
          <w:sz w:val="24"/>
          <w:szCs w:val="24"/>
          <w:lang w:eastAsia="zh-CN"/>
        </w:rPr>
        <w:t>16011</w:t>
      </w:r>
      <w:r w:rsidR="00721E55" w:rsidRPr="00250E1C">
        <w:rPr>
          <w:sz w:val="24"/>
          <w:szCs w:val="24"/>
          <w:lang w:eastAsia="zh-CN"/>
        </w:rPr>
        <w:t>和完整的指南标题。</w:t>
      </w:r>
    </w:p>
    <w:p w14:paraId="549F98F5" w14:textId="77777777" w:rsidR="00CE5FB1" w:rsidRPr="0011487A" w:rsidRDefault="00CE5FB1" w:rsidP="0011487A">
      <w:pPr>
        <w:snapToGrid w:val="0"/>
        <w:spacing w:beforeLines="50" w:before="120" w:afterLines="50" w:after="120"/>
        <w:jc w:val="both"/>
        <w:rPr>
          <w:sz w:val="24"/>
          <w:lang w:eastAsia="zh-CN"/>
        </w:rPr>
      </w:pPr>
    </w:p>
    <w:p w14:paraId="09BBD9DB" w14:textId="77777777" w:rsidR="00CE5FB1" w:rsidRPr="0011487A" w:rsidRDefault="00CE5FB1">
      <w:pPr>
        <w:snapToGrid w:val="0"/>
        <w:spacing w:beforeLines="50" w:before="120" w:afterLines="50" w:after="120"/>
        <w:jc w:val="both"/>
        <w:rPr>
          <w:sz w:val="24"/>
          <w:lang w:eastAsia="zh-CN"/>
        </w:rPr>
        <w:sectPr w:rsidR="00CE5FB1" w:rsidRPr="0011487A" w:rsidSect="0011487A">
          <w:headerReference w:type="default" r:id="rId13"/>
          <w:type w:val="continuous"/>
          <w:pgSz w:w="11907" w:h="16840" w:code="9"/>
          <w:pgMar w:top="1134" w:right="1134" w:bottom="1134" w:left="1418" w:header="567" w:footer="567" w:gutter="0"/>
          <w:cols w:space="720"/>
          <w:noEndnote/>
          <w:docGrid w:linePitch="360"/>
        </w:sectPr>
      </w:pPr>
    </w:p>
    <w:p w14:paraId="06A15ACA" w14:textId="77777777" w:rsidR="00CE5FB1" w:rsidRDefault="00721E55" w:rsidP="0011487A">
      <w:pPr>
        <w:pStyle w:val="b1"/>
        <w:spacing w:before="120" w:afterLines="50" w:after="120"/>
        <w:rPr>
          <w:lang w:eastAsia="zh-CN"/>
        </w:rPr>
      </w:pPr>
      <w:bookmarkStart w:id="5" w:name="bookmark4"/>
      <w:r w:rsidRPr="00250E1C">
        <w:rPr>
          <w:lang w:eastAsia="zh-CN"/>
        </w:rPr>
        <w:lastRenderedPageBreak/>
        <w:t>前列腺组织消融器械的临床研究</w:t>
      </w:r>
      <w:bookmarkEnd w:id="5"/>
    </w:p>
    <w:p w14:paraId="77249BA5" w14:textId="77777777" w:rsidR="00CE5FB1" w:rsidRDefault="00721E55" w:rsidP="0011487A">
      <w:pPr>
        <w:pStyle w:val="b2"/>
        <w:spacing w:before="120" w:afterLines="50" w:after="120"/>
        <w:rPr>
          <w:lang w:eastAsia="zh-CN"/>
        </w:rPr>
      </w:pPr>
      <w:bookmarkStart w:id="6" w:name="bookmark5"/>
      <w:r w:rsidRPr="00250E1C">
        <w:rPr>
          <w:lang w:eastAsia="zh-CN"/>
        </w:rPr>
        <w:t>行业和美国食品药品监督管理局</w:t>
      </w:r>
      <w:r w:rsidR="00F320BE" w:rsidRPr="00250E1C">
        <w:rPr>
          <w:rFonts w:hint="eastAsia"/>
          <w:lang w:eastAsia="zh-CN"/>
        </w:rPr>
        <w:br/>
      </w:r>
      <w:r w:rsidRPr="00250E1C">
        <w:rPr>
          <w:lang w:eastAsia="zh-CN"/>
        </w:rPr>
        <w:t>工作人员指南</w:t>
      </w:r>
      <w:bookmarkEnd w:id="6"/>
    </w:p>
    <w:p w14:paraId="527405D9" w14:textId="77777777" w:rsidR="00CE5FB1" w:rsidRPr="0011487A" w:rsidRDefault="00CE5FB1" w:rsidP="0011487A">
      <w:pPr>
        <w:pStyle w:val="m1"/>
        <w:spacing w:beforeLines="50" w:before="120" w:afterLines="50" w:after="120"/>
        <w:rPr>
          <w:sz w:val="24"/>
        </w:rPr>
      </w:pPr>
      <w:bookmarkStart w:id="7" w:name="bookmark6"/>
    </w:p>
    <w:tbl>
      <w:tblPr>
        <w:tblW w:w="5000" w:type="pct"/>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571"/>
      </w:tblGrid>
      <w:tr w:rsidR="00DF5E0E" w:rsidRPr="00250E1C" w14:paraId="5533B89B" w14:textId="77777777" w:rsidTr="0011487A">
        <w:trPr>
          <w:trHeight w:val="1468"/>
        </w:trPr>
        <w:tc>
          <w:tcPr>
            <w:tcW w:w="5000" w:type="pct"/>
            <w:shd w:val="clear" w:color="auto" w:fill="auto"/>
            <w:vAlign w:val="center"/>
          </w:tcPr>
          <w:p w14:paraId="481127E1" w14:textId="77777777" w:rsidR="00CE5FB1" w:rsidRPr="0011487A" w:rsidRDefault="000856AF" w:rsidP="0011487A">
            <w:pPr>
              <w:snapToGrid w:val="0"/>
              <w:spacing w:beforeLines="50" w:before="120" w:afterLines="50" w:after="120"/>
              <w:jc w:val="both"/>
              <w:rPr>
                <w:b/>
                <w:i/>
                <w:sz w:val="24"/>
                <w:lang w:eastAsia="zh-CN"/>
              </w:rPr>
            </w:pPr>
            <w:r w:rsidRPr="00174588">
              <w:rPr>
                <w:b/>
                <w:i/>
                <w:sz w:val="24"/>
                <w:lang w:eastAsia="zh-CN"/>
              </w:rPr>
              <w:t>本指南代表美国食品药品监督管理局（</w:t>
            </w:r>
            <w:r w:rsidRPr="00174588">
              <w:rPr>
                <w:b/>
                <w:i/>
                <w:sz w:val="24"/>
                <w:lang w:eastAsia="zh-CN"/>
              </w:rPr>
              <w:t>FDA</w:t>
            </w:r>
            <w:r w:rsidRPr="00174588">
              <w:rPr>
                <w:b/>
                <w:i/>
                <w:sz w:val="24"/>
                <w:lang w:eastAsia="zh-CN"/>
              </w:rPr>
              <w:t>）对该主题的当前看法。本文件不赋予任何人任何权利，对</w:t>
            </w:r>
            <w:r w:rsidRPr="00174588">
              <w:rPr>
                <w:b/>
                <w:i/>
                <w:sz w:val="24"/>
                <w:lang w:eastAsia="zh-CN"/>
              </w:rPr>
              <w:t>FDA</w:t>
            </w:r>
            <w:r w:rsidRPr="00174588">
              <w:rPr>
                <w:b/>
                <w:i/>
                <w:sz w:val="24"/>
                <w:lang w:eastAsia="zh-CN"/>
              </w:rPr>
              <w:t>或公众不具有约束力。如果替代方法满足</w:t>
            </w:r>
            <w:commentRangeStart w:id="8"/>
            <w:r w:rsidRPr="00174588">
              <w:rPr>
                <w:b/>
                <w:i/>
                <w:sz w:val="24"/>
                <w:lang w:eastAsia="zh-CN"/>
              </w:rPr>
              <w:t>适用</w:t>
            </w:r>
            <w:r>
              <w:rPr>
                <w:rFonts w:hint="eastAsia"/>
                <w:b/>
                <w:i/>
                <w:sz w:val="24"/>
                <w:lang w:eastAsia="zh-CN"/>
              </w:rPr>
              <w:t>的情形和</w:t>
            </w:r>
            <w:r w:rsidRPr="00174588">
              <w:rPr>
                <w:b/>
                <w:i/>
                <w:sz w:val="24"/>
                <w:lang w:eastAsia="zh-CN"/>
              </w:rPr>
              <w:t>法规</w:t>
            </w:r>
            <w:commentRangeEnd w:id="8"/>
            <w:r>
              <w:rPr>
                <w:rStyle w:val="af"/>
              </w:rPr>
              <w:commentReference w:id="8"/>
            </w:r>
            <w:r w:rsidRPr="00174588">
              <w:rPr>
                <w:b/>
                <w:i/>
                <w:sz w:val="24"/>
                <w:lang w:eastAsia="zh-CN"/>
              </w:rPr>
              <w:t>的要求，则贵司可使用替代方法。如需讨论替代方法，请联系标题页所列负责本指南的</w:t>
            </w:r>
            <w:r w:rsidRPr="00174588">
              <w:rPr>
                <w:b/>
                <w:i/>
                <w:sz w:val="24"/>
                <w:lang w:eastAsia="zh-CN"/>
              </w:rPr>
              <w:t>FDA</w:t>
            </w:r>
            <w:r w:rsidRPr="00174588">
              <w:rPr>
                <w:b/>
                <w:i/>
                <w:sz w:val="24"/>
                <w:lang w:eastAsia="zh-CN"/>
              </w:rPr>
              <w:t>工作人员或办公室。</w:t>
            </w:r>
          </w:p>
        </w:tc>
      </w:tr>
    </w:tbl>
    <w:p w14:paraId="3C3DF24B" w14:textId="77777777" w:rsidR="00CE5FB1" w:rsidRPr="0011487A" w:rsidRDefault="00CE5FB1" w:rsidP="0011487A">
      <w:pPr>
        <w:pStyle w:val="m1"/>
        <w:spacing w:beforeLines="50" w:before="120" w:afterLines="50" w:after="120"/>
        <w:rPr>
          <w:sz w:val="24"/>
        </w:rPr>
      </w:pPr>
    </w:p>
    <w:p w14:paraId="2F84F4E0" w14:textId="77777777" w:rsidR="00CE5FB1" w:rsidRDefault="00721E55" w:rsidP="0011487A">
      <w:pPr>
        <w:pStyle w:val="m1"/>
        <w:spacing w:beforeLines="50" w:before="120" w:afterLines="50" w:after="120"/>
      </w:pPr>
      <w:r w:rsidRPr="00250E1C">
        <w:t>I.</w:t>
      </w:r>
      <w:r w:rsidRPr="00250E1C">
        <w:tab/>
      </w:r>
      <w:r w:rsidRPr="00250E1C">
        <w:t>引言</w:t>
      </w:r>
      <w:bookmarkEnd w:id="7"/>
    </w:p>
    <w:p w14:paraId="1AB2EFBF"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本指南</w:t>
      </w:r>
      <w:r w:rsidR="00EF6F0B" w:rsidRPr="00250E1C">
        <w:rPr>
          <w:sz w:val="24"/>
          <w:szCs w:val="24"/>
          <w:lang w:eastAsia="zh-CN"/>
        </w:rPr>
        <w:t>文件</w:t>
      </w:r>
      <w:r w:rsidRPr="00250E1C">
        <w:rPr>
          <w:sz w:val="24"/>
          <w:szCs w:val="24"/>
          <w:lang w:eastAsia="zh-CN"/>
        </w:rPr>
        <w:t>提出以下建议：（</w:t>
      </w:r>
      <w:r w:rsidRPr="00250E1C">
        <w:rPr>
          <w:sz w:val="24"/>
          <w:szCs w:val="24"/>
          <w:lang w:eastAsia="zh-CN"/>
        </w:rPr>
        <w:t>1</w:t>
      </w:r>
      <w:r w:rsidRPr="00250E1C">
        <w:rPr>
          <w:sz w:val="24"/>
          <w:szCs w:val="24"/>
          <w:lang w:eastAsia="zh-CN"/>
        </w:rPr>
        <w:t>）符合</w:t>
      </w:r>
      <w:r w:rsidRPr="00250E1C">
        <w:rPr>
          <w:sz w:val="24"/>
          <w:szCs w:val="24"/>
          <w:lang w:eastAsia="zh-CN"/>
        </w:rPr>
        <w:t>21 CFR 876.4340</w:t>
      </w:r>
      <w:r w:rsidR="007E600D" w:rsidRPr="00250E1C">
        <w:rPr>
          <w:sz w:val="24"/>
          <w:szCs w:val="24"/>
          <w:lang w:eastAsia="zh-CN"/>
        </w:rPr>
        <w:t>（</w:t>
      </w:r>
      <w:r w:rsidRPr="00250E1C">
        <w:rPr>
          <w:sz w:val="24"/>
          <w:szCs w:val="24"/>
          <w:lang w:eastAsia="zh-CN"/>
        </w:rPr>
        <w:t>b</w:t>
      </w:r>
      <w:r w:rsidR="007E600D" w:rsidRPr="00250E1C">
        <w:rPr>
          <w:sz w:val="24"/>
          <w:szCs w:val="24"/>
          <w:lang w:eastAsia="zh-CN"/>
        </w:rPr>
        <w:t>）（</w:t>
      </w:r>
      <w:r w:rsidRPr="00250E1C">
        <w:rPr>
          <w:sz w:val="24"/>
          <w:szCs w:val="24"/>
          <w:lang w:eastAsia="zh-CN"/>
        </w:rPr>
        <w:t>8</w:t>
      </w:r>
      <w:r w:rsidR="007E600D" w:rsidRPr="00250E1C">
        <w:rPr>
          <w:sz w:val="24"/>
          <w:szCs w:val="24"/>
          <w:lang w:eastAsia="zh-CN"/>
        </w:rPr>
        <w:t>）</w:t>
      </w:r>
      <w:r w:rsidRPr="00250E1C">
        <w:rPr>
          <w:sz w:val="24"/>
          <w:szCs w:val="24"/>
          <w:lang w:eastAsia="zh-CN"/>
        </w:rPr>
        <w:t>中用于前列腺组织消融的高强度超声系统上市前通知（</w:t>
      </w:r>
      <w:r w:rsidRPr="00250E1C">
        <w:rPr>
          <w:sz w:val="24"/>
          <w:szCs w:val="24"/>
          <w:lang w:eastAsia="zh-CN"/>
        </w:rPr>
        <w:t>510</w:t>
      </w:r>
      <w:r w:rsidRPr="00250E1C">
        <w:rPr>
          <w:sz w:val="24"/>
          <w:szCs w:val="24"/>
          <w:lang w:eastAsia="zh-CN"/>
        </w:rPr>
        <w:t>（</w:t>
      </w:r>
      <w:r w:rsidRPr="00250E1C">
        <w:rPr>
          <w:sz w:val="24"/>
          <w:szCs w:val="24"/>
          <w:lang w:eastAsia="zh-CN"/>
        </w:rPr>
        <w:t>k</w:t>
      </w:r>
      <w:r w:rsidRPr="00250E1C">
        <w:rPr>
          <w:sz w:val="24"/>
          <w:szCs w:val="24"/>
          <w:lang w:eastAsia="zh-CN"/>
        </w:rPr>
        <w:t>））的临床试验特殊</w:t>
      </w:r>
      <w:r w:rsidR="00FF0B5A" w:rsidRPr="00250E1C">
        <w:rPr>
          <w:rFonts w:hint="eastAsia"/>
          <w:sz w:val="24"/>
          <w:szCs w:val="24"/>
          <w:lang w:eastAsia="zh-CN"/>
        </w:rPr>
        <w:t>控制规定</w:t>
      </w:r>
      <w:r w:rsidRPr="00250E1C">
        <w:rPr>
          <w:sz w:val="24"/>
          <w:szCs w:val="24"/>
          <w:lang w:eastAsia="zh-CN"/>
        </w:rPr>
        <w:t>；（</w:t>
      </w:r>
      <w:r w:rsidRPr="00250E1C">
        <w:rPr>
          <w:sz w:val="24"/>
          <w:szCs w:val="24"/>
          <w:lang w:eastAsia="zh-CN"/>
        </w:rPr>
        <w:t>2</w:t>
      </w:r>
      <w:r w:rsidRPr="00250E1C">
        <w:rPr>
          <w:sz w:val="24"/>
          <w:szCs w:val="24"/>
          <w:lang w:eastAsia="zh-CN"/>
        </w:rPr>
        <w:t>）收集临床数据以支持新的前列腺组织消融器械的上市</w:t>
      </w:r>
      <w:r w:rsidR="00FF0B5A" w:rsidRPr="00250E1C">
        <w:rPr>
          <w:rFonts w:hint="eastAsia"/>
          <w:sz w:val="24"/>
          <w:szCs w:val="24"/>
          <w:lang w:eastAsia="zh-CN"/>
        </w:rPr>
        <w:t>申请</w:t>
      </w:r>
      <w:r w:rsidRPr="00250E1C">
        <w:rPr>
          <w:sz w:val="24"/>
          <w:szCs w:val="24"/>
          <w:lang w:eastAsia="zh-CN"/>
        </w:rPr>
        <w:t>。用于前列腺组织消融的高强度超声系统可向前列腺输送高强度治疗</w:t>
      </w:r>
      <w:r w:rsidR="00303371" w:rsidRPr="00250E1C">
        <w:rPr>
          <w:sz w:val="24"/>
          <w:szCs w:val="24"/>
          <w:lang w:eastAsia="zh-CN"/>
        </w:rPr>
        <w:t>性</w:t>
      </w:r>
      <w:r w:rsidRPr="00250E1C">
        <w:rPr>
          <w:sz w:val="24"/>
          <w:szCs w:val="24"/>
          <w:lang w:eastAsia="zh-CN"/>
        </w:rPr>
        <w:t>超声</w:t>
      </w:r>
      <w:r w:rsidR="00303371" w:rsidRPr="00250E1C">
        <w:rPr>
          <w:sz w:val="24"/>
          <w:szCs w:val="24"/>
          <w:lang w:eastAsia="zh-CN"/>
        </w:rPr>
        <w:t>能量</w:t>
      </w:r>
      <w:r w:rsidRPr="00250E1C">
        <w:rPr>
          <w:sz w:val="24"/>
          <w:szCs w:val="24"/>
          <w:lang w:eastAsia="zh-CN"/>
        </w:rPr>
        <w:t>，以对</w:t>
      </w:r>
      <w:r w:rsidR="003D7C65" w:rsidRPr="00250E1C">
        <w:rPr>
          <w:rFonts w:hint="eastAsia"/>
          <w:sz w:val="24"/>
          <w:szCs w:val="24"/>
          <w:lang w:eastAsia="zh-CN"/>
        </w:rPr>
        <w:t>组织</w:t>
      </w:r>
      <w:r w:rsidR="00303371" w:rsidRPr="00250E1C">
        <w:rPr>
          <w:rFonts w:hint="eastAsia"/>
          <w:sz w:val="24"/>
          <w:szCs w:val="24"/>
          <w:lang w:eastAsia="zh-CN"/>
        </w:rPr>
        <w:t>靶</w:t>
      </w:r>
      <w:r w:rsidRPr="00250E1C">
        <w:rPr>
          <w:sz w:val="24"/>
          <w:szCs w:val="24"/>
          <w:lang w:eastAsia="zh-CN"/>
        </w:rPr>
        <w:t>体积进行热消融。其他前列腺消融器械使用不同</w:t>
      </w:r>
      <w:r w:rsidR="00303371" w:rsidRPr="00250E1C">
        <w:rPr>
          <w:rFonts w:hint="eastAsia"/>
          <w:sz w:val="24"/>
          <w:szCs w:val="24"/>
          <w:lang w:eastAsia="zh-CN"/>
        </w:rPr>
        <w:t>来源</w:t>
      </w:r>
      <w:r w:rsidR="00303371" w:rsidRPr="00250E1C">
        <w:rPr>
          <w:sz w:val="24"/>
          <w:szCs w:val="24"/>
          <w:lang w:eastAsia="zh-CN"/>
        </w:rPr>
        <w:t>的能量</w:t>
      </w:r>
      <w:r w:rsidR="00C05554" w:rsidRPr="00250E1C">
        <w:rPr>
          <w:rFonts w:hint="eastAsia"/>
          <w:sz w:val="24"/>
          <w:szCs w:val="24"/>
          <w:lang w:eastAsia="zh-CN"/>
        </w:rPr>
        <w:t>也能</w:t>
      </w:r>
      <w:r w:rsidR="00C05554" w:rsidRPr="00250E1C">
        <w:rPr>
          <w:sz w:val="24"/>
          <w:szCs w:val="24"/>
          <w:lang w:eastAsia="zh-CN"/>
        </w:rPr>
        <w:t>使靶</w:t>
      </w:r>
      <w:r w:rsidRPr="00250E1C">
        <w:rPr>
          <w:sz w:val="24"/>
          <w:szCs w:val="24"/>
          <w:lang w:eastAsia="zh-CN"/>
        </w:rPr>
        <w:t>组织体积</w:t>
      </w:r>
      <w:r w:rsidR="00C05554" w:rsidRPr="00250E1C">
        <w:rPr>
          <w:sz w:val="24"/>
          <w:szCs w:val="24"/>
          <w:lang w:eastAsia="zh-CN"/>
        </w:rPr>
        <w:t>的消融</w:t>
      </w:r>
      <w:r w:rsidRPr="00250E1C">
        <w:rPr>
          <w:sz w:val="24"/>
          <w:szCs w:val="24"/>
          <w:lang w:eastAsia="zh-CN"/>
        </w:rPr>
        <w:t>达到相同的临床效果。无论用于消融的能量类型如何，这些器械都可获得消融前列腺组织一般</w:t>
      </w:r>
      <w:r w:rsidR="000856AF">
        <w:rPr>
          <w:sz w:val="24"/>
          <w:szCs w:val="24"/>
          <w:lang w:eastAsia="zh-CN"/>
        </w:rPr>
        <w:t>适应证</w:t>
      </w:r>
      <w:r w:rsidRPr="00250E1C">
        <w:rPr>
          <w:sz w:val="24"/>
          <w:szCs w:val="24"/>
          <w:lang w:eastAsia="zh-CN"/>
        </w:rPr>
        <w:t>的上市许可。本指南未明确治疗特定疾病（例如前列腺癌或良性前列腺增生）的预期用途。</w:t>
      </w:r>
    </w:p>
    <w:p w14:paraId="5DA438F8" w14:textId="77777777" w:rsidR="000856AF" w:rsidRPr="00F33127" w:rsidRDefault="000856AF" w:rsidP="0011487A">
      <w:pPr>
        <w:spacing w:beforeLines="50" w:before="120" w:afterLines="50" w:after="120"/>
        <w:ind w:firstLineChars="200" w:firstLine="480"/>
        <w:rPr>
          <w:sz w:val="24"/>
          <w:szCs w:val="24"/>
          <w:lang w:eastAsia="zh-CN"/>
        </w:rPr>
      </w:pPr>
      <w:r w:rsidRPr="00F33127">
        <w:rPr>
          <w:sz w:val="24"/>
          <w:szCs w:val="24"/>
          <w:lang w:eastAsia="zh-CN"/>
        </w:rPr>
        <w:t>FDA</w:t>
      </w:r>
      <w:r w:rsidRPr="00F33127">
        <w:rPr>
          <w:sz w:val="24"/>
          <w:szCs w:val="24"/>
          <w:lang w:eastAsia="zh-CN"/>
        </w:rPr>
        <w:t>指南文件，包括本指南，并未规定具有法律强制力的责任。相反，指南描述了</w:t>
      </w:r>
      <w:r w:rsidRPr="00F33127">
        <w:rPr>
          <w:sz w:val="24"/>
          <w:szCs w:val="24"/>
          <w:lang w:eastAsia="zh-CN"/>
        </w:rPr>
        <w:t>FDA</w:t>
      </w:r>
      <w:r w:rsidRPr="00F33127">
        <w:rPr>
          <w:sz w:val="24"/>
          <w:szCs w:val="24"/>
          <w:lang w:eastAsia="zh-CN"/>
        </w:rPr>
        <w:t>对该主题的当前看法，除非引用了具体监管或法定要求，否则应仅视为建议。</w:t>
      </w:r>
      <w:r w:rsidRPr="00F33127">
        <w:rPr>
          <w:sz w:val="24"/>
          <w:szCs w:val="24"/>
          <w:lang w:eastAsia="zh-CN"/>
        </w:rPr>
        <w:t>FDA</w:t>
      </w:r>
      <w:r w:rsidRPr="00F33127">
        <w:rPr>
          <w:sz w:val="24"/>
          <w:szCs w:val="24"/>
          <w:lang w:eastAsia="zh-CN"/>
        </w:rPr>
        <w:t>指南中使用的</w:t>
      </w:r>
      <w:r w:rsidRPr="00F33127">
        <w:rPr>
          <w:sz w:val="24"/>
          <w:szCs w:val="24"/>
          <w:lang w:eastAsia="zh-CN"/>
        </w:rPr>
        <w:t>“</w:t>
      </w:r>
      <w:r w:rsidRPr="00F33127">
        <w:rPr>
          <w:sz w:val="24"/>
          <w:szCs w:val="24"/>
          <w:lang w:eastAsia="zh-CN"/>
        </w:rPr>
        <w:t>应该（</w:t>
      </w:r>
      <w:r w:rsidRPr="00F33127">
        <w:rPr>
          <w:sz w:val="24"/>
          <w:szCs w:val="24"/>
          <w:lang w:eastAsia="zh-CN"/>
        </w:rPr>
        <w:t>should</w:t>
      </w:r>
      <w:r w:rsidRPr="00F33127">
        <w:rPr>
          <w:sz w:val="24"/>
          <w:szCs w:val="24"/>
          <w:lang w:eastAsia="zh-CN"/>
        </w:rPr>
        <w:t>）</w:t>
      </w:r>
      <w:r w:rsidRPr="00F33127">
        <w:rPr>
          <w:sz w:val="24"/>
          <w:szCs w:val="24"/>
          <w:lang w:eastAsia="zh-CN"/>
        </w:rPr>
        <w:t>”</w:t>
      </w:r>
      <w:r w:rsidRPr="00F33127">
        <w:rPr>
          <w:sz w:val="24"/>
          <w:szCs w:val="24"/>
          <w:lang w:eastAsia="zh-CN"/>
        </w:rPr>
        <w:t>一词指建议或推荐进行某一事项，并非强制要求。</w:t>
      </w:r>
    </w:p>
    <w:p w14:paraId="002A5FFC" w14:textId="77777777" w:rsidR="00CE5FB1" w:rsidRDefault="00CE5FB1" w:rsidP="0011487A">
      <w:pPr>
        <w:snapToGrid w:val="0"/>
        <w:spacing w:beforeLines="50" w:before="120" w:afterLines="50" w:after="120"/>
        <w:ind w:firstLineChars="200" w:firstLine="480"/>
        <w:jc w:val="both"/>
        <w:rPr>
          <w:sz w:val="24"/>
          <w:szCs w:val="24"/>
          <w:lang w:eastAsia="zh-CN"/>
        </w:rPr>
      </w:pPr>
    </w:p>
    <w:p w14:paraId="74B0EA82" w14:textId="77777777" w:rsidR="00CE5FB1" w:rsidRDefault="00CE5FB1" w:rsidP="0011487A">
      <w:pPr>
        <w:snapToGrid w:val="0"/>
        <w:spacing w:beforeLines="50" w:before="120" w:afterLines="50" w:after="120"/>
        <w:jc w:val="both"/>
        <w:rPr>
          <w:sz w:val="24"/>
          <w:szCs w:val="24"/>
          <w:lang w:eastAsia="zh-CN"/>
        </w:rPr>
      </w:pPr>
    </w:p>
    <w:p w14:paraId="422184A0" w14:textId="77777777" w:rsidR="00CE5FB1" w:rsidRDefault="00721E55" w:rsidP="0011487A">
      <w:pPr>
        <w:pStyle w:val="m1"/>
        <w:spacing w:beforeLines="50" w:before="120" w:afterLines="50" w:after="120"/>
      </w:pPr>
      <w:bookmarkStart w:id="9" w:name="bookmark7"/>
      <w:r w:rsidRPr="00250E1C">
        <w:t>II.</w:t>
      </w:r>
      <w:r w:rsidRPr="00250E1C">
        <w:tab/>
      </w:r>
      <w:r w:rsidRPr="00250E1C">
        <w:t>背景</w:t>
      </w:r>
      <w:bookmarkEnd w:id="9"/>
    </w:p>
    <w:p w14:paraId="1AE9B8AE"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2015</w:t>
      </w:r>
      <w:r w:rsidRPr="00250E1C">
        <w:rPr>
          <w:sz w:val="24"/>
          <w:szCs w:val="24"/>
          <w:lang w:eastAsia="zh-CN"/>
        </w:rPr>
        <w:t>年，</w:t>
      </w:r>
      <w:r w:rsidR="007E600D" w:rsidRPr="00250E1C">
        <w:rPr>
          <w:rFonts w:hint="eastAsia"/>
          <w:sz w:val="24"/>
          <w:szCs w:val="24"/>
          <w:lang w:eastAsia="zh-CN"/>
        </w:rPr>
        <w:t>FDA</w:t>
      </w:r>
      <w:r w:rsidRPr="00250E1C">
        <w:rPr>
          <w:sz w:val="24"/>
          <w:szCs w:val="24"/>
          <w:lang w:eastAsia="zh-CN"/>
        </w:rPr>
        <w:t>批准了用于前列腺组织消融的高强度超声系统的新分类</w:t>
      </w:r>
      <w:r w:rsidR="006B31A9" w:rsidRPr="00250E1C">
        <w:rPr>
          <w:rFonts w:hint="eastAsia"/>
          <w:sz w:val="24"/>
          <w:szCs w:val="24"/>
          <w:lang w:eastAsia="zh-CN"/>
        </w:rPr>
        <w:t>请求</w:t>
      </w:r>
      <w:r w:rsidRPr="00250E1C">
        <w:rPr>
          <w:sz w:val="24"/>
          <w:szCs w:val="24"/>
          <w:lang w:eastAsia="zh-CN"/>
        </w:rPr>
        <w:t>。</w:t>
      </w:r>
      <w:r w:rsidR="00245E1A">
        <w:rPr>
          <w:rStyle w:val="ae"/>
          <w:sz w:val="24"/>
          <w:szCs w:val="24"/>
          <w:lang w:eastAsia="zh-CN"/>
        </w:rPr>
        <w:footnoteReference w:id="2"/>
      </w:r>
      <w:r w:rsidR="004D3C0E">
        <w:rPr>
          <w:rFonts w:hint="eastAsia"/>
          <w:sz w:val="24"/>
          <w:szCs w:val="24"/>
          <w:lang w:eastAsia="zh-CN"/>
        </w:rPr>
        <w:t xml:space="preserve"> </w:t>
      </w:r>
      <w:r w:rsidRPr="00250E1C">
        <w:rPr>
          <w:sz w:val="24"/>
          <w:szCs w:val="24"/>
          <w:lang w:eastAsia="zh-CN"/>
        </w:rPr>
        <w:t>21 CFR 876.4340</w:t>
      </w:r>
      <w:r w:rsidR="00001ED4">
        <w:rPr>
          <w:sz w:val="24"/>
          <w:szCs w:val="24"/>
          <w:lang w:eastAsia="zh-CN"/>
        </w:rPr>
        <w:t xml:space="preserve"> (</w:t>
      </w:r>
      <w:r w:rsidRPr="00250E1C">
        <w:rPr>
          <w:sz w:val="24"/>
          <w:szCs w:val="24"/>
          <w:lang w:eastAsia="zh-CN"/>
        </w:rPr>
        <w:t>b</w:t>
      </w:r>
      <w:r w:rsidR="00001ED4">
        <w:rPr>
          <w:sz w:val="24"/>
          <w:szCs w:val="24"/>
          <w:lang w:eastAsia="zh-CN"/>
        </w:rPr>
        <w:t>)(</w:t>
      </w:r>
      <w:r w:rsidRPr="00250E1C">
        <w:rPr>
          <w:sz w:val="24"/>
          <w:szCs w:val="24"/>
          <w:lang w:eastAsia="zh-CN"/>
        </w:rPr>
        <w:t>8</w:t>
      </w:r>
      <w:r w:rsidR="00001ED4">
        <w:rPr>
          <w:sz w:val="24"/>
          <w:szCs w:val="24"/>
          <w:lang w:eastAsia="zh-CN"/>
        </w:rPr>
        <w:t>)</w:t>
      </w:r>
      <w:r w:rsidR="003A52AB" w:rsidRPr="00250E1C">
        <w:rPr>
          <w:rFonts w:hint="eastAsia"/>
          <w:sz w:val="24"/>
          <w:szCs w:val="24"/>
          <w:lang w:eastAsia="zh-CN"/>
        </w:rPr>
        <w:t>规定</w:t>
      </w:r>
      <w:r w:rsidRPr="00250E1C">
        <w:rPr>
          <w:sz w:val="24"/>
          <w:szCs w:val="24"/>
          <w:lang w:eastAsia="zh-CN"/>
        </w:rPr>
        <w:t>的特殊</w:t>
      </w:r>
      <w:r w:rsidR="006B31A9" w:rsidRPr="00250E1C">
        <w:rPr>
          <w:rFonts w:hint="eastAsia"/>
          <w:sz w:val="24"/>
          <w:szCs w:val="24"/>
          <w:lang w:eastAsia="zh-CN"/>
        </w:rPr>
        <w:t>控制</w:t>
      </w:r>
      <w:r w:rsidRPr="00250E1C">
        <w:rPr>
          <w:sz w:val="24"/>
          <w:szCs w:val="24"/>
          <w:lang w:eastAsia="zh-CN"/>
        </w:rPr>
        <w:t>包括临床试验要求，以记录不良事件</w:t>
      </w:r>
      <w:r w:rsidRPr="00250E1C">
        <w:rPr>
          <w:rFonts w:hint="eastAsia"/>
          <w:sz w:val="24"/>
          <w:szCs w:val="24"/>
          <w:lang w:eastAsia="zh-CN"/>
        </w:rPr>
        <w:t>特征</w:t>
      </w:r>
      <w:r w:rsidRPr="00250E1C">
        <w:rPr>
          <w:sz w:val="24"/>
          <w:szCs w:val="24"/>
          <w:lang w:eastAsia="zh-CN"/>
        </w:rPr>
        <w:t>，提供前列腺消融的证据，并证明器械在预期使用条件下的性能符合预期。本指导文件旨在对</w:t>
      </w:r>
      <w:r w:rsidR="00EB268D" w:rsidRPr="00250E1C">
        <w:rPr>
          <w:sz w:val="24"/>
          <w:szCs w:val="24"/>
          <w:lang w:eastAsia="zh-CN"/>
        </w:rPr>
        <w:t>探寻</w:t>
      </w:r>
      <w:r w:rsidRPr="00250E1C">
        <w:rPr>
          <w:sz w:val="24"/>
          <w:szCs w:val="24"/>
          <w:lang w:eastAsia="zh-CN"/>
        </w:rPr>
        <w:t>前列腺组织消融的一般</w:t>
      </w:r>
      <w:r w:rsidR="000856AF">
        <w:rPr>
          <w:sz w:val="24"/>
          <w:szCs w:val="24"/>
          <w:lang w:eastAsia="zh-CN"/>
        </w:rPr>
        <w:t>适应证</w:t>
      </w:r>
      <w:r w:rsidRPr="00250E1C">
        <w:rPr>
          <w:sz w:val="24"/>
          <w:szCs w:val="24"/>
          <w:lang w:eastAsia="zh-CN"/>
        </w:rPr>
        <w:t>（即不用于治疗任何特定前列腺疾病）（无论是通过高强度超声确保符合临床试验的特殊</w:t>
      </w:r>
      <w:r w:rsidR="003A52AB" w:rsidRPr="00250E1C">
        <w:rPr>
          <w:rFonts w:hint="eastAsia"/>
          <w:sz w:val="24"/>
          <w:szCs w:val="24"/>
          <w:lang w:eastAsia="zh-CN"/>
        </w:rPr>
        <w:t>控制</w:t>
      </w:r>
      <w:r w:rsidRPr="00250E1C">
        <w:rPr>
          <w:sz w:val="24"/>
          <w:szCs w:val="24"/>
          <w:lang w:eastAsia="zh-CN"/>
        </w:rPr>
        <w:t>还是替代技术）的</w:t>
      </w:r>
      <w:r w:rsidR="003A52AB" w:rsidRPr="00250E1C">
        <w:rPr>
          <w:rFonts w:hint="eastAsia"/>
          <w:sz w:val="24"/>
          <w:szCs w:val="24"/>
          <w:lang w:eastAsia="zh-CN"/>
        </w:rPr>
        <w:t>申请者</w:t>
      </w:r>
      <w:r w:rsidRPr="00250E1C">
        <w:rPr>
          <w:sz w:val="24"/>
          <w:szCs w:val="24"/>
          <w:lang w:eastAsia="zh-CN"/>
        </w:rPr>
        <w:t>提出临床试验建议。</w:t>
      </w:r>
    </w:p>
    <w:p w14:paraId="135EBACA" w14:textId="77777777" w:rsidR="00CE5FB1" w:rsidRPr="0011487A" w:rsidRDefault="00862B46" w:rsidP="0011487A">
      <w:pPr>
        <w:tabs>
          <w:tab w:val="left" w:pos="115"/>
        </w:tabs>
        <w:snapToGrid w:val="0"/>
        <w:spacing w:beforeLines="50" w:before="120" w:afterLines="50" w:after="120"/>
        <w:jc w:val="both"/>
        <w:rPr>
          <w:sz w:val="24"/>
          <w:lang w:eastAsia="zh-CN"/>
        </w:rPr>
      </w:pPr>
      <w:r w:rsidRPr="0011487A">
        <w:rPr>
          <w:sz w:val="24"/>
          <w:lang w:eastAsia="zh-CN"/>
        </w:rPr>
        <w:br w:type="page"/>
      </w:r>
    </w:p>
    <w:p w14:paraId="3430871D"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在临床研究</w:t>
      </w:r>
      <w:r w:rsidR="00EB268D" w:rsidRPr="00250E1C">
        <w:rPr>
          <w:rFonts w:hint="eastAsia"/>
          <w:sz w:val="24"/>
          <w:szCs w:val="24"/>
          <w:lang w:eastAsia="zh-CN"/>
        </w:rPr>
        <w:t>开始前</w:t>
      </w:r>
      <w:r w:rsidRPr="00250E1C">
        <w:rPr>
          <w:sz w:val="24"/>
          <w:szCs w:val="24"/>
          <w:lang w:eastAsia="zh-CN"/>
        </w:rPr>
        <w:t>，</w:t>
      </w:r>
      <w:r w:rsidR="00EB268D" w:rsidRPr="00250E1C">
        <w:rPr>
          <w:rFonts w:hint="eastAsia"/>
          <w:sz w:val="24"/>
          <w:szCs w:val="24"/>
          <w:lang w:eastAsia="zh-CN"/>
        </w:rPr>
        <w:t>FDA</w:t>
      </w:r>
      <w:r w:rsidR="00EB268D" w:rsidRPr="00250E1C">
        <w:rPr>
          <w:sz w:val="24"/>
          <w:szCs w:val="24"/>
          <w:lang w:eastAsia="zh-CN"/>
        </w:rPr>
        <w:t>鼓励制造商提交预</w:t>
      </w:r>
      <w:r w:rsidR="00EB268D" w:rsidRPr="00250E1C">
        <w:rPr>
          <w:rFonts w:hint="eastAsia"/>
          <w:sz w:val="24"/>
          <w:szCs w:val="24"/>
          <w:lang w:eastAsia="zh-CN"/>
        </w:rPr>
        <w:t>申请</w:t>
      </w:r>
      <w:r w:rsidR="00EB268D" w:rsidRPr="00250E1C">
        <w:rPr>
          <w:sz w:val="24"/>
          <w:szCs w:val="24"/>
          <w:lang w:eastAsia="zh-CN"/>
        </w:rPr>
        <w:t>文件</w:t>
      </w:r>
      <w:r w:rsidRPr="00250E1C">
        <w:rPr>
          <w:sz w:val="24"/>
          <w:szCs w:val="24"/>
          <w:lang w:eastAsia="zh-CN"/>
        </w:rPr>
        <w:t>，以获得有关前列腺组织消融器械的临床研究的</w:t>
      </w:r>
      <w:r w:rsidR="00EB268D" w:rsidRPr="00250E1C">
        <w:rPr>
          <w:rFonts w:hint="eastAsia"/>
          <w:sz w:val="24"/>
          <w:szCs w:val="24"/>
          <w:lang w:eastAsia="zh-CN"/>
        </w:rPr>
        <w:t>具体</w:t>
      </w:r>
      <w:r w:rsidRPr="00250E1C">
        <w:rPr>
          <w:sz w:val="24"/>
          <w:szCs w:val="24"/>
          <w:lang w:eastAsia="zh-CN"/>
        </w:rPr>
        <w:t>反馈。</w:t>
      </w:r>
      <w:r w:rsidR="00EB268D" w:rsidRPr="00250E1C">
        <w:rPr>
          <w:rFonts w:hint="eastAsia"/>
          <w:sz w:val="24"/>
          <w:szCs w:val="24"/>
          <w:lang w:eastAsia="zh-CN"/>
        </w:rPr>
        <w:t>预申请</w:t>
      </w:r>
      <w:r w:rsidR="00EB268D" w:rsidRPr="00250E1C">
        <w:rPr>
          <w:sz w:val="24"/>
          <w:szCs w:val="24"/>
          <w:lang w:eastAsia="zh-CN"/>
        </w:rPr>
        <w:t>具体细节</w:t>
      </w:r>
      <w:r w:rsidRPr="00250E1C">
        <w:rPr>
          <w:sz w:val="24"/>
          <w:szCs w:val="24"/>
          <w:lang w:eastAsia="zh-CN"/>
        </w:rPr>
        <w:t>，请参</w:t>
      </w:r>
      <w:r w:rsidR="00284FB7" w:rsidRPr="00250E1C">
        <w:rPr>
          <w:rFonts w:hint="eastAsia"/>
          <w:sz w:val="24"/>
          <w:szCs w:val="24"/>
          <w:lang w:eastAsia="zh-CN"/>
        </w:rPr>
        <w:t>见</w:t>
      </w:r>
      <w:r w:rsidRPr="00250E1C">
        <w:rPr>
          <w:sz w:val="24"/>
          <w:szCs w:val="24"/>
          <w:lang w:eastAsia="zh-CN"/>
        </w:rPr>
        <w:t>指南</w:t>
      </w:r>
      <w:r w:rsidR="006C0FFD" w:rsidRPr="00250E1C">
        <w:rPr>
          <w:rFonts w:hint="eastAsia"/>
          <w:sz w:val="24"/>
          <w:szCs w:val="24"/>
          <w:lang w:eastAsia="zh-CN"/>
        </w:rPr>
        <w:t>《</w:t>
      </w:r>
      <w:hyperlink r:id="rId16" w:history="1">
        <w:r w:rsidR="00862B46" w:rsidRPr="0011487A">
          <w:rPr>
            <w:rStyle w:val="a3"/>
            <w:rFonts w:hint="eastAsia"/>
            <w:sz w:val="24"/>
            <w:lang w:eastAsia="zh-CN"/>
          </w:rPr>
          <w:t>医疗器械提交反馈和会议申请</w:t>
        </w:r>
      </w:hyperlink>
      <w:hyperlink r:id="rId17" w:history="1">
        <w:r w:rsidR="00862B46" w:rsidRPr="0011487A">
          <w:rPr>
            <w:rStyle w:val="a3"/>
            <w:rFonts w:hint="eastAsia"/>
            <w:sz w:val="24"/>
            <w:lang w:eastAsia="zh-CN"/>
          </w:rPr>
          <w:t>：</w:t>
        </w:r>
        <w:r w:rsidR="00862B46" w:rsidRPr="0011487A">
          <w:rPr>
            <w:rStyle w:val="a3"/>
            <w:sz w:val="24"/>
            <w:lang w:eastAsia="zh-CN"/>
          </w:rPr>
          <w:t>Q</w:t>
        </w:r>
        <w:r w:rsidR="00862B46" w:rsidRPr="0011487A">
          <w:rPr>
            <w:rStyle w:val="a3"/>
            <w:rFonts w:hint="eastAsia"/>
            <w:sz w:val="24"/>
            <w:lang w:eastAsia="zh-CN"/>
          </w:rPr>
          <w:t>提交计划</w:t>
        </w:r>
      </w:hyperlink>
      <w:r w:rsidR="006C0FFD" w:rsidRPr="00250E1C">
        <w:rPr>
          <w:rFonts w:hint="eastAsia"/>
          <w:sz w:val="24"/>
          <w:szCs w:val="24"/>
          <w:lang w:eastAsia="zh-CN"/>
        </w:rPr>
        <w:t>》。</w:t>
      </w:r>
      <w:r w:rsidR="00245E1A">
        <w:rPr>
          <w:rStyle w:val="ae"/>
          <w:sz w:val="24"/>
          <w:szCs w:val="24"/>
          <w:lang w:eastAsia="zh-CN"/>
        </w:rPr>
        <w:footnoteReference w:id="3"/>
      </w:r>
    </w:p>
    <w:p w14:paraId="44BC320F" w14:textId="77777777" w:rsidR="00CE5FB1" w:rsidRDefault="00CE5FB1" w:rsidP="0011487A">
      <w:pPr>
        <w:tabs>
          <w:tab w:val="left" w:pos="625"/>
        </w:tabs>
        <w:snapToGrid w:val="0"/>
        <w:spacing w:beforeLines="50" w:before="120" w:afterLines="50" w:after="120"/>
        <w:jc w:val="both"/>
        <w:rPr>
          <w:b/>
          <w:bCs/>
          <w:sz w:val="24"/>
          <w:szCs w:val="24"/>
          <w:lang w:eastAsia="zh-CN"/>
        </w:rPr>
      </w:pPr>
      <w:bookmarkStart w:id="10" w:name="bookmark9"/>
    </w:p>
    <w:p w14:paraId="02D95114" w14:textId="77777777" w:rsidR="00CE5FB1" w:rsidRDefault="00721E55" w:rsidP="0011487A">
      <w:pPr>
        <w:pStyle w:val="m1"/>
        <w:spacing w:beforeLines="50" w:before="120" w:afterLines="50" w:after="120"/>
      </w:pPr>
      <w:r w:rsidRPr="00250E1C">
        <w:t>III.</w:t>
      </w:r>
      <w:r w:rsidRPr="00250E1C">
        <w:tab/>
      </w:r>
      <w:r w:rsidRPr="00250E1C">
        <w:t>范围</w:t>
      </w:r>
      <w:bookmarkEnd w:id="10"/>
    </w:p>
    <w:p w14:paraId="660827C2"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本指导文件的范围仅限于</w:t>
      </w:r>
      <w:r w:rsidR="00670AAB" w:rsidRPr="00250E1C">
        <w:rPr>
          <w:sz w:val="24"/>
          <w:szCs w:val="24"/>
          <w:lang w:eastAsia="zh-CN"/>
        </w:rPr>
        <w:t>支持前列腺组织消融系统（包括</w:t>
      </w:r>
      <w:r w:rsidR="00670AAB" w:rsidRPr="00250E1C">
        <w:rPr>
          <w:rFonts w:hint="eastAsia"/>
          <w:sz w:val="24"/>
          <w:szCs w:val="24"/>
          <w:lang w:eastAsia="zh-CN"/>
        </w:rPr>
        <w:t>受</w:t>
      </w:r>
      <w:r w:rsidR="00670AAB" w:rsidRPr="00250E1C">
        <w:rPr>
          <w:sz w:val="24"/>
          <w:szCs w:val="24"/>
          <w:lang w:eastAsia="zh-CN"/>
        </w:rPr>
        <w:t>产品代码</w:t>
      </w:r>
      <w:r w:rsidR="00670AAB" w:rsidRPr="00250E1C">
        <w:rPr>
          <w:sz w:val="24"/>
          <w:szCs w:val="24"/>
          <w:lang w:eastAsia="zh-CN"/>
        </w:rPr>
        <w:t>PLP</w:t>
      </w:r>
      <w:r w:rsidR="00670AAB" w:rsidRPr="00250E1C">
        <w:rPr>
          <w:sz w:val="24"/>
          <w:szCs w:val="24"/>
          <w:lang w:eastAsia="zh-CN"/>
        </w:rPr>
        <w:t>监管的器械）的一般</w:t>
      </w:r>
      <w:r w:rsidR="000856AF">
        <w:rPr>
          <w:sz w:val="24"/>
          <w:szCs w:val="24"/>
          <w:lang w:eastAsia="zh-CN"/>
        </w:rPr>
        <w:t>适应证</w:t>
      </w:r>
      <w:r w:rsidR="00670AAB" w:rsidRPr="00250E1C">
        <w:rPr>
          <w:sz w:val="24"/>
          <w:szCs w:val="24"/>
          <w:lang w:eastAsia="zh-CN"/>
        </w:rPr>
        <w:t>的上市许可的</w:t>
      </w:r>
      <w:r w:rsidR="004D3C0E">
        <w:rPr>
          <w:sz w:val="24"/>
          <w:szCs w:val="24"/>
          <w:lang w:eastAsia="zh-CN"/>
        </w:rPr>
        <w:t>临床研究</w:t>
      </w:r>
      <w:r w:rsidRPr="00250E1C">
        <w:rPr>
          <w:sz w:val="24"/>
          <w:szCs w:val="24"/>
          <w:lang w:eastAsia="zh-CN"/>
        </w:rPr>
        <w:t>。本指南未明确预期用于治疗特定前列腺疾病（例如前列腺癌或良性前列腺增生）的器械的临床研究。此外，本文件未明确前列腺组织消融系统的非临床试验、培训或标签的建议或其他要求。</w:t>
      </w:r>
    </w:p>
    <w:p w14:paraId="61EA1FDC" w14:textId="77777777" w:rsidR="00CE5FB1" w:rsidRDefault="00CE5FB1" w:rsidP="0011487A">
      <w:pPr>
        <w:tabs>
          <w:tab w:val="left" w:pos="616"/>
        </w:tabs>
        <w:snapToGrid w:val="0"/>
        <w:spacing w:beforeLines="50" w:before="120" w:afterLines="50" w:after="120"/>
        <w:jc w:val="both"/>
        <w:rPr>
          <w:b/>
          <w:bCs/>
          <w:sz w:val="24"/>
          <w:szCs w:val="24"/>
          <w:lang w:eastAsia="zh-CN"/>
        </w:rPr>
      </w:pPr>
      <w:bookmarkStart w:id="11" w:name="bookmark10"/>
    </w:p>
    <w:p w14:paraId="6DD5185B" w14:textId="77777777" w:rsidR="00CE5FB1" w:rsidRDefault="00721E55" w:rsidP="0011487A">
      <w:pPr>
        <w:pStyle w:val="m1"/>
        <w:spacing w:beforeLines="50" w:before="120" w:afterLines="50" w:after="120"/>
      </w:pPr>
      <w:r w:rsidRPr="00250E1C">
        <w:t>IV.</w:t>
      </w:r>
      <w:r w:rsidRPr="00250E1C">
        <w:tab/>
      </w:r>
      <w:r w:rsidRPr="00250E1C">
        <w:t>临床研究建议</w:t>
      </w:r>
      <w:bookmarkEnd w:id="11"/>
    </w:p>
    <w:p w14:paraId="2314484E"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我们建议您</w:t>
      </w:r>
      <w:r w:rsidR="00670AAB" w:rsidRPr="00250E1C">
        <w:rPr>
          <w:sz w:val="24"/>
          <w:szCs w:val="24"/>
          <w:lang w:eastAsia="zh-CN"/>
        </w:rPr>
        <w:t>根据以下两点进行临床研究</w:t>
      </w:r>
      <w:r w:rsidR="00670AAB" w:rsidRPr="00250E1C">
        <w:rPr>
          <w:rFonts w:hint="eastAsia"/>
          <w:sz w:val="24"/>
          <w:szCs w:val="24"/>
          <w:lang w:eastAsia="zh-CN"/>
        </w:rPr>
        <w:t>：</w:t>
      </w:r>
      <w:r w:rsidRPr="00250E1C">
        <w:rPr>
          <w:sz w:val="24"/>
          <w:szCs w:val="24"/>
          <w:lang w:eastAsia="zh-CN"/>
        </w:rPr>
        <w:t>（</w:t>
      </w:r>
      <w:r w:rsidRPr="00250E1C">
        <w:rPr>
          <w:sz w:val="24"/>
          <w:szCs w:val="24"/>
          <w:lang w:eastAsia="zh-CN"/>
        </w:rPr>
        <w:t>1</w:t>
      </w:r>
      <w:r w:rsidRPr="00250E1C">
        <w:rPr>
          <w:sz w:val="24"/>
          <w:szCs w:val="24"/>
          <w:lang w:eastAsia="zh-CN"/>
        </w:rPr>
        <w:t>）</w:t>
      </w:r>
      <w:r w:rsidR="00212DF0" w:rsidRPr="00250E1C">
        <w:rPr>
          <w:rFonts w:hint="eastAsia"/>
          <w:sz w:val="24"/>
          <w:szCs w:val="24"/>
          <w:lang w:eastAsia="zh-CN"/>
        </w:rPr>
        <w:t>符合</w:t>
      </w:r>
      <w:r w:rsidRPr="00250E1C">
        <w:rPr>
          <w:sz w:val="24"/>
          <w:szCs w:val="24"/>
          <w:lang w:eastAsia="zh-CN"/>
        </w:rPr>
        <w:t>21 CFR 876.4340</w:t>
      </w:r>
      <w:r w:rsidR="0075527D">
        <w:rPr>
          <w:sz w:val="24"/>
          <w:szCs w:val="24"/>
          <w:lang w:eastAsia="zh-CN"/>
        </w:rPr>
        <w:t xml:space="preserve"> (</w:t>
      </w:r>
      <w:r w:rsidRPr="00250E1C">
        <w:rPr>
          <w:sz w:val="24"/>
          <w:szCs w:val="24"/>
          <w:lang w:eastAsia="zh-CN"/>
        </w:rPr>
        <w:t>b</w:t>
      </w:r>
      <w:r w:rsidR="0075527D">
        <w:rPr>
          <w:sz w:val="24"/>
          <w:szCs w:val="24"/>
          <w:lang w:eastAsia="zh-CN"/>
        </w:rPr>
        <w:t>)(</w:t>
      </w:r>
      <w:r w:rsidRPr="00250E1C">
        <w:rPr>
          <w:sz w:val="24"/>
          <w:szCs w:val="24"/>
          <w:lang w:eastAsia="zh-CN"/>
        </w:rPr>
        <w:t>8</w:t>
      </w:r>
      <w:r w:rsidR="0075527D">
        <w:rPr>
          <w:sz w:val="24"/>
          <w:szCs w:val="24"/>
          <w:lang w:eastAsia="zh-CN"/>
        </w:rPr>
        <w:t>)</w:t>
      </w:r>
      <w:r w:rsidRPr="00250E1C">
        <w:rPr>
          <w:rFonts w:hint="eastAsia"/>
          <w:sz w:val="24"/>
          <w:szCs w:val="24"/>
          <w:lang w:eastAsia="zh-CN"/>
        </w:rPr>
        <w:t>对</w:t>
      </w:r>
      <w:r w:rsidRPr="00250E1C">
        <w:rPr>
          <w:sz w:val="24"/>
          <w:szCs w:val="24"/>
          <w:lang w:eastAsia="zh-CN"/>
        </w:rPr>
        <w:t>新前列腺组织消融高强度超声系统和按照</w:t>
      </w:r>
      <w:r w:rsidRPr="00250E1C">
        <w:rPr>
          <w:sz w:val="24"/>
          <w:szCs w:val="24"/>
          <w:lang w:eastAsia="zh-CN"/>
        </w:rPr>
        <w:t>510</w:t>
      </w:r>
      <w:r w:rsidRPr="00250E1C">
        <w:rPr>
          <w:sz w:val="24"/>
          <w:szCs w:val="24"/>
          <w:lang w:eastAsia="zh-CN"/>
        </w:rPr>
        <w:t>（</w:t>
      </w:r>
      <w:r w:rsidRPr="00250E1C">
        <w:rPr>
          <w:sz w:val="24"/>
          <w:szCs w:val="24"/>
          <w:lang w:eastAsia="zh-CN"/>
        </w:rPr>
        <w:t>k</w:t>
      </w:r>
      <w:r w:rsidRPr="00250E1C">
        <w:rPr>
          <w:sz w:val="24"/>
          <w:szCs w:val="24"/>
          <w:lang w:eastAsia="zh-CN"/>
        </w:rPr>
        <w:t>）批准的版本更改消融能量输出特征的系统</w:t>
      </w:r>
      <w:r w:rsidR="00212DF0" w:rsidRPr="00250E1C">
        <w:rPr>
          <w:sz w:val="24"/>
          <w:szCs w:val="24"/>
          <w:lang w:eastAsia="zh-CN"/>
        </w:rPr>
        <w:t>规定的临床试验特殊</w:t>
      </w:r>
      <w:r w:rsidR="00212DF0" w:rsidRPr="00250E1C">
        <w:rPr>
          <w:rFonts w:hint="eastAsia"/>
          <w:sz w:val="24"/>
          <w:szCs w:val="24"/>
          <w:lang w:eastAsia="zh-CN"/>
        </w:rPr>
        <w:t>控制</w:t>
      </w:r>
      <w:r w:rsidRPr="00250E1C">
        <w:rPr>
          <w:sz w:val="24"/>
          <w:szCs w:val="24"/>
          <w:lang w:eastAsia="zh-CN"/>
        </w:rPr>
        <w:t>，或者（</w:t>
      </w:r>
      <w:r w:rsidRPr="00250E1C">
        <w:rPr>
          <w:sz w:val="24"/>
          <w:szCs w:val="24"/>
          <w:lang w:eastAsia="zh-CN"/>
        </w:rPr>
        <w:t>2</w:t>
      </w:r>
      <w:r w:rsidRPr="00250E1C">
        <w:rPr>
          <w:sz w:val="24"/>
          <w:szCs w:val="24"/>
          <w:lang w:eastAsia="zh-CN"/>
        </w:rPr>
        <w:t>）支持</w:t>
      </w:r>
      <w:r w:rsidRPr="00250E1C">
        <w:rPr>
          <w:sz w:val="24"/>
          <w:szCs w:val="24"/>
          <w:lang w:eastAsia="zh-CN"/>
        </w:rPr>
        <w:t>21 CFR 876.4340</w:t>
      </w:r>
      <w:r w:rsidRPr="00250E1C">
        <w:rPr>
          <w:sz w:val="24"/>
          <w:szCs w:val="24"/>
          <w:lang w:eastAsia="zh-CN"/>
        </w:rPr>
        <w:t>范围外的前列腺组织消融器械</w:t>
      </w:r>
      <w:r w:rsidR="006C0FFD" w:rsidRPr="00250E1C">
        <w:rPr>
          <w:sz w:val="24"/>
          <w:szCs w:val="24"/>
          <w:lang w:eastAsia="zh-CN"/>
        </w:rPr>
        <w:t>上市申请</w:t>
      </w:r>
      <w:r w:rsidRPr="00250E1C">
        <w:rPr>
          <w:sz w:val="24"/>
          <w:szCs w:val="24"/>
          <w:lang w:eastAsia="zh-CN"/>
        </w:rPr>
        <w:t>。</w:t>
      </w:r>
    </w:p>
    <w:p w14:paraId="5C26ABE1" w14:textId="77777777" w:rsidR="00CE5FB1" w:rsidRDefault="00284FB7" w:rsidP="0011487A">
      <w:pPr>
        <w:snapToGrid w:val="0"/>
        <w:spacing w:beforeLines="50" w:before="120" w:afterLines="50" w:after="120"/>
        <w:ind w:firstLineChars="200" w:firstLine="480"/>
        <w:jc w:val="both"/>
        <w:rPr>
          <w:sz w:val="24"/>
          <w:szCs w:val="24"/>
          <w:lang w:eastAsia="zh-CN"/>
        </w:rPr>
      </w:pPr>
      <w:r w:rsidRPr="00250E1C">
        <w:rPr>
          <w:rFonts w:hint="eastAsia"/>
          <w:sz w:val="24"/>
          <w:szCs w:val="24"/>
          <w:lang w:eastAsia="zh-CN"/>
        </w:rPr>
        <w:t>一般来说</w:t>
      </w:r>
      <w:r w:rsidR="00721E55" w:rsidRPr="00250E1C">
        <w:rPr>
          <w:sz w:val="24"/>
          <w:szCs w:val="24"/>
          <w:lang w:eastAsia="zh-CN"/>
        </w:rPr>
        <w:t>，我们认为本指导文件中</w:t>
      </w:r>
      <w:r w:rsidR="00212DF0" w:rsidRPr="00250E1C">
        <w:rPr>
          <w:rFonts w:hint="eastAsia"/>
          <w:sz w:val="24"/>
          <w:szCs w:val="24"/>
          <w:lang w:eastAsia="zh-CN"/>
        </w:rPr>
        <w:t>提及</w:t>
      </w:r>
      <w:r w:rsidR="00212DF0" w:rsidRPr="00250E1C">
        <w:rPr>
          <w:sz w:val="24"/>
          <w:szCs w:val="24"/>
          <w:lang w:eastAsia="zh-CN"/>
        </w:rPr>
        <w:t>的</w:t>
      </w:r>
      <w:r w:rsidR="00721E55" w:rsidRPr="00250E1C">
        <w:rPr>
          <w:sz w:val="24"/>
          <w:szCs w:val="24"/>
          <w:lang w:eastAsia="zh-CN"/>
        </w:rPr>
        <w:t>前列腺组织消融器械</w:t>
      </w:r>
      <w:r w:rsidR="00212DF0" w:rsidRPr="00250E1C">
        <w:rPr>
          <w:rFonts w:hint="eastAsia"/>
          <w:sz w:val="24"/>
          <w:szCs w:val="24"/>
          <w:lang w:eastAsia="zh-CN"/>
        </w:rPr>
        <w:t>属于</w:t>
      </w:r>
      <w:r w:rsidR="00721E55" w:rsidRPr="00250E1C">
        <w:rPr>
          <w:sz w:val="24"/>
          <w:szCs w:val="24"/>
          <w:lang w:eastAsia="zh-CN"/>
        </w:rPr>
        <w:t>重大风险器械，</w:t>
      </w:r>
      <w:r w:rsidRPr="00250E1C">
        <w:rPr>
          <w:rFonts w:hint="eastAsia"/>
          <w:sz w:val="24"/>
          <w:szCs w:val="24"/>
          <w:lang w:eastAsia="zh-CN"/>
        </w:rPr>
        <w:t>须符合</w:t>
      </w:r>
      <w:r w:rsidR="00721E55" w:rsidRPr="00250E1C">
        <w:rPr>
          <w:sz w:val="24"/>
          <w:szCs w:val="24"/>
          <w:lang w:eastAsia="zh-CN"/>
        </w:rPr>
        <w:t>试验用器械豁免（</w:t>
      </w:r>
      <w:r w:rsidR="00721E55" w:rsidRPr="00250E1C">
        <w:rPr>
          <w:sz w:val="24"/>
          <w:szCs w:val="24"/>
          <w:lang w:eastAsia="zh-CN"/>
        </w:rPr>
        <w:t>IDE</w:t>
      </w:r>
      <w:r w:rsidR="00721E55" w:rsidRPr="00250E1C">
        <w:rPr>
          <w:sz w:val="24"/>
          <w:szCs w:val="24"/>
          <w:lang w:eastAsia="zh-CN"/>
        </w:rPr>
        <w:t>）法规</w:t>
      </w:r>
      <w:r w:rsidR="00721E55" w:rsidRPr="00250E1C">
        <w:rPr>
          <w:sz w:val="24"/>
          <w:szCs w:val="24"/>
          <w:lang w:eastAsia="zh-CN"/>
        </w:rPr>
        <w:t>21 CFR 812</w:t>
      </w:r>
      <w:r w:rsidR="00721E55" w:rsidRPr="00250E1C">
        <w:rPr>
          <w:sz w:val="24"/>
          <w:szCs w:val="24"/>
          <w:lang w:eastAsia="zh-CN"/>
        </w:rPr>
        <w:t>中有关在美国（</w:t>
      </w:r>
      <w:r w:rsidR="00721E55" w:rsidRPr="00250E1C">
        <w:rPr>
          <w:sz w:val="24"/>
          <w:szCs w:val="24"/>
          <w:lang w:eastAsia="zh-CN"/>
        </w:rPr>
        <w:t>US</w:t>
      </w:r>
      <w:r w:rsidR="00721E55" w:rsidRPr="00250E1C">
        <w:rPr>
          <w:sz w:val="24"/>
          <w:szCs w:val="24"/>
          <w:lang w:eastAsia="zh-CN"/>
        </w:rPr>
        <w:t>）开展的研究的所有要求。参见</w:t>
      </w:r>
      <w:r w:rsidR="00721E55" w:rsidRPr="00250E1C">
        <w:rPr>
          <w:sz w:val="24"/>
          <w:szCs w:val="24"/>
          <w:lang w:eastAsia="zh-CN"/>
        </w:rPr>
        <w:t>FDA</w:t>
      </w:r>
      <w:r w:rsidR="00721E55" w:rsidRPr="00250E1C">
        <w:rPr>
          <w:sz w:val="24"/>
          <w:szCs w:val="24"/>
          <w:lang w:eastAsia="zh-CN"/>
        </w:rPr>
        <w:t>指南</w:t>
      </w:r>
      <w:r w:rsidRPr="00250E1C">
        <w:rPr>
          <w:rFonts w:hint="eastAsia"/>
          <w:sz w:val="24"/>
          <w:szCs w:val="24"/>
          <w:lang w:eastAsia="zh-CN"/>
        </w:rPr>
        <w:t>《</w:t>
      </w:r>
      <w:hyperlink r:id="rId18" w:history="1">
        <w:r w:rsidR="00862B46" w:rsidRPr="0011487A">
          <w:rPr>
            <w:rStyle w:val="a3"/>
            <w:rFonts w:hint="eastAsia"/>
            <w:sz w:val="24"/>
            <w:u w:val="none"/>
            <w:lang w:eastAsia="zh-CN"/>
          </w:rPr>
          <w:t>具有重大和非重大风险的医疗器械的研究</w:t>
        </w:r>
      </w:hyperlink>
      <w:r w:rsidRPr="00250E1C">
        <w:rPr>
          <w:rFonts w:hint="eastAsia"/>
          <w:sz w:val="24"/>
          <w:szCs w:val="24"/>
          <w:lang w:eastAsia="zh-CN"/>
        </w:rPr>
        <w:t>》</w:t>
      </w:r>
      <w:r w:rsidR="00721E55" w:rsidRPr="00250E1C">
        <w:rPr>
          <w:sz w:val="24"/>
          <w:szCs w:val="24"/>
          <w:lang w:eastAsia="zh-CN"/>
        </w:rPr>
        <w:t>。</w:t>
      </w:r>
      <w:r w:rsidR="00245E1A">
        <w:rPr>
          <w:rStyle w:val="ae"/>
          <w:sz w:val="24"/>
          <w:szCs w:val="24"/>
          <w:lang w:eastAsia="zh-CN"/>
        </w:rPr>
        <w:footnoteReference w:id="4"/>
      </w:r>
      <w:r w:rsidR="00721E55" w:rsidRPr="00250E1C">
        <w:rPr>
          <w:sz w:val="24"/>
          <w:szCs w:val="24"/>
          <w:lang w:eastAsia="zh-CN"/>
        </w:rPr>
        <w:t>除</w:t>
      </w:r>
      <w:r w:rsidR="00721E55" w:rsidRPr="00250E1C">
        <w:rPr>
          <w:sz w:val="24"/>
          <w:szCs w:val="24"/>
          <w:lang w:eastAsia="zh-CN"/>
        </w:rPr>
        <w:t>21 CFR 812</w:t>
      </w:r>
      <w:r w:rsidR="00721E55" w:rsidRPr="00250E1C">
        <w:rPr>
          <w:sz w:val="24"/>
          <w:szCs w:val="24"/>
          <w:lang w:eastAsia="zh-CN"/>
        </w:rPr>
        <w:t>的要求以外，申办者在美国对器械进行的这类试验必须符合管理机构审查委员会（</w:t>
      </w:r>
      <w:r w:rsidR="00721E55" w:rsidRPr="00250E1C">
        <w:rPr>
          <w:sz w:val="24"/>
          <w:szCs w:val="24"/>
          <w:lang w:eastAsia="zh-CN"/>
        </w:rPr>
        <w:t>21 CFR 56</w:t>
      </w:r>
      <w:r w:rsidR="00721E55" w:rsidRPr="00250E1C">
        <w:rPr>
          <w:sz w:val="24"/>
          <w:szCs w:val="24"/>
          <w:lang w:eastAsia="zh-CN"/>
        </w:rPr>
        <w:t>）和知情同意书（</w:t>
      </w:r>
      <w:r w:rsidR="00721E55" w:rsidRPr="00250E1C">
        <w:rPr>
          <w:sz w:val="24"/>
          <w:szCs w:val="24"/>
          <w:lang w:eastAsia="zh-CN"/>
        </w:rPr>
        <w:t>21 CFR 50</w:t>
      </w:r>
      <w:r w:rsidR="00721E55" w:rsidRPr="00250E1C">
        <w:rPr>
          <w:sz w:val="24"/>
          <w:szCs w:val="24"/>
          <w:lang w:eastAsia="zh-CN"/>
        </w:rPr>
        <w:t>）的法规条例。</w:t>
      </w:r>
    </w:p>
    <w:p w14:paraId="529CC4E2" w14:textId="77777777" w:rsidR="00CE5FB1" w:rsidRPr="0011487A" w:rsidRDefault="00CE5FB1" w:rsidP="0011487A">
      <w:pPr>
        <w:snapToGrid w:val="0"/>
        <w:spacing w:beforeLines="50" w:before="120" w:afterLines="50" w:after="120"/>
        <w:jc w:val="both"/>
        <w:rPr>
          <w:sz w:val="24"/>
          <w:lang w:eastAsia="zh-CN"/>
        </w:rPr>
      </w:pPr>
      <w:bookmarkStart w:id="12" w:name="bookmark11"/>
    </w:p>
    <w:bookmarkEnd w:id="12"/>
    <w:p w14:paraId="6339EC63" w14:textId="77777777" w:rsidR="00CE5FB1" w:rsidRPr="0011487A" w:rsidRDefault="00862B46" w:rsidP="0011487A">
      <w:pPr>
        <w:tabs>
          <w:tab w:val="left" w:pos="115"/>
        </w:tabs>
        <w:snapToGrid w:val="0"/>
        <w:spacing w:beforeLines="50" w:before="120" w:afterLines="50" w:after="120"/>
        <w:jc w:val="both"/>
        <w:rPr>
          <w:sz w:val="24"/>
          <w:lang w:eastAsia="zh-CN"/>
        </w:rPr>
      </w:pPr>
      <w:r w:rsidRPr="0011487A">
        <w:rPr>
          <w:sz w:val="24"/>
          <w:lang w:eastAsia="zh-CN"/>
        </w:rPr>
        <w:br w:type="page"/>
      </w:r>
    </w:p>
    <w:p w14:paraId="402E8D72"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当向</w:t>
      </w:r>
      <w:r w:rsidRPr="00250E1C">
        <w:rPr>
          <w:sz w:val="24"/>
          <w:szCs w:val="24"/>
          <w:lang w:eastAsia="zh-CN"/>
        </w:rPr>
        <w:t>FDA</w:t>
      </w:r>
      <w:r w:rsidRPr="00250E1C">
        <w:rPr>
          <w:sz w:val="24"/>
          <w:szCs w:val="24"/>
          <w:lang w:eastAsia="zh-CN"/>
        </w:rPr>
        <w:t>提交在美国以外国家和地区对前列腺组织消融器械进行的临床研究的数据时，</w:t>
      </w:r>
      <w:r w:rsidRPr="00250E1C">
        <w:rPr>
          <w:sz w:val="24"/>
          <w:szCs w:val="24"/>
          <w:lang w:eastAsia="zh-CN"/>
        </w:rPr>
        <w:t>21 CFR 812.28</w:t>
      </w:r>
      <w:r w:rsidRPr="00250E1C">
        <w:rPr>
          <w:sz w:val="24"/>
          <w:szCs w:val="24"/>
          <w:lang w:eastAsia="zh-CN"/>
        </w:rPr>
        <w:t>的要求可能适用。</w:t>
      </w:r>
      <w:r w:rsidR="00245E1A">
        <w:rPr>
          <w:rStyle w:val="ae"/>
          <w:sz w:val="24"/>
          <w:szCs w:val="24"/>
          <w:lang w:eastAsia="zh-CN"/>
        </w:rPr>
        <w:footnoteReference w:id="5"/>
      </w:r>
      <w:r w:rsidR="00245E1A">
        <w:rPr>
          <w:rFonts w:hint="eastAsia"/>
          <w:sz w:val="24"/>
          <w:szCs w:val="24"/>
          <w:lang w:eastAsia="zh-CN"/>
        </w:rPr>
        <w:t xml:space="preserve"> </w:t>
      </w:r>
      <w:r w:rsidRPr="00250E1C">
        <w:rPr>
          <w:sz w:val="24"/>
          <w:szCs w:val="24"/>
          <w:lang w:eastAsia="zh-CN"/>
        </w:rPr>
        <w:t>21 CFR 812.28</w:t>
      </w:r>
      <w:r w:rsidRPr="00250E1C">
        <w:rPr>
          <w:sz w:val="24"/>
          <w:szCs w:val="24"/>
          <w:lang w:eastAsia="zh-CN"/>
        </w:rPr>
        <w:t>列出了在提交上市前</w:t>
      </w:r>
      <w:r w:rsidR="008F27F5" w:rsidRPr="00250E1C">
        <w:rPr>
          <w:rFonts w:hint="eastAsia"/>
          <w:sz w:val="24"/>
          <w:szCs w:val="24"/>
          <w:lang w:eastAsia="zh-CN"/>
        </w:rPr>
        <w:t>申请</w:t>
      </w:r>
      <w:r w:rsidRPr="00250E1C">
        <w:rPr>
          <w:sz w:val="24"/>
          <w:szCs w:val="24"/>
          <w:lang w:eastAsia="zh-CN"/>
        </w:rPr>
        <w:t>时，</w:t>
      </w:r>
      <w:r w:rsidRPr="00250E1C">
        <w:rPr>
          <w:sz w:val="24"/>
          <w:szCs w:val="24"/>
          <w:lang w:eastAsia="zh-CN"/>
        </w:rPr>
        <w:t>FDA</w:t>
      </w:r>
      <w:r w:rsidRPr="00250E1C">
        <w:rPr>
          <w:sz w:val="24"/>
          <w:szCs w:val="24"/>
          <w:lang w:eastAsia="zh-CN"/>
        </w:rPr>
        <w:t>验收在美国以外国家和地区开展的研究的临床数据的条件。更多信息请</w:t>
      </w:r>
      <w:r w:rsidR="00284FB7" w:rsidRPr="00250E1C">
        <w:rPr>
          <w:rFonts w:hint="eastAsia"/>
          <w:sz w:val="24"/>
          <w:szCs w:val="24"/>
          <w:lang w:eastAsia="zh-CN"/>
        </w:rPr>
        <w:t>参见</w:t>
      </w:r>
      <w:r w:rsidRPr="00250E1C">
        <w:rPr>
          <w:sz w:val="24"/>
          <w:szCs w:val="24"/>
          <w:lang w:eastAsia="zh-CN"/>
        </w:rPr>
        <w:t>FDA</w:t>
      </w:r>
      <w:r w:rsidRPr="00250E1C">
        <w:rPr>
          <w:sz w:val="24"/>
          <w:szCs w:val="24"/>
          <w:lang w:eastAsia="zh-CN"/>
        </w:rPr>
        <w:t>指南</w:t>
      </w:r>
      <w:r w:rsidR="00284FB7" w:rsidRPr="00250E1C">
        <w:rPr>
          <w:rFonts w:hint="eastAsia"/>
          <w:sz w:val="24"/>
          <w:szCs w:val="24"/>
          <w:lang w:eastAsia="zh-CN"/>
        </w:rPr>
        <w:t>《</w:t>
      </w:r>
      <w:hyperlink r:id="rId19" w:history="1">
        <w:r w:rsidR="00862B46" w:rsidRPr="0011487A">
          <w:rPr>
            <w:rStyle w:val="a3"/>
            <w:rFonts w:hint="eastAsia"/>
            <w:sz w:val="24"/>
            <w:lang w:eastAsia="zh-CN"/>
          </w:rPr>
          <w:t>支持医疗器械申请和提交的临床数据的验收</w:t>
        </w:r>
      </w:hyperlink>
      <w:hyperlink r:id="rId20" w:history="1">
        <w:r w:rsidR="00862B46" w:rsidRPr="0011487A">
          <w:rPr>
            <w:rStyle w:val="a3"/>
            <w:rFonts w:hint="eastAsia"/>
            <w:sz w:val="24"/>
            <w:lang w:eastAsia="zh-CN"/>
          </w:rPr>
          <w:t>：常见问题</w:t>
        </w:r>
      </w:hyperlink>
      <w:r w:rsidR="00284FB7" w:rsidRPr="00350B76">
        <w:rPr>
          <w:rFonts w:hint="eastAsia"/>
          <w:color w:val="auto"/>
          <w:sz w:val="24"/>
          <w:szCs w:val="24"/>
          <w:lang w:eastAsia="zh-CN"/>
        </w:rPr>
        <w:t>》。</w:t>
      </w:r>
      <w:r w:rsidR="00245E1A" w:rsidRPr="00350B76">
        <w:rPr>
          <w:rStyle w:val="ae"/>
          <w:color w:val="auto"/>
          <w:sz w:val="24"/>
          <w:szCs w:val="24"/>
          <w:lang w:eastAsia="zh-CN"/>
        </w:rPr>
        <w:footnoteReference w:id="6"/>
      </w:r>
    </w:p>
    <w:p w14:paraId="54F53571"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在某些情况下，</w:t>
      </w:r>
      <w:r w:rsidRPr="00E05DD1">
        <w:rPr>
          <w:rFonts w:ascii="宋体" w:hAnsi="宋体"/>
          <w:sz w:val="24"/>
          <w:szCs w:val="24"/>
          <w:lang w:eastAsia="zh-CN"/>
        </w:rPr>
        <w:t>“</w:t>
      </w:r>
      <w:r w:rsidRPr="00250E1C">
        <w:rPr>
          <w:sz w:val="24"/>
          <w:szCs w:val="24"/>
          <w:lang w:eastAsia="zh-CN"/>
        </w:rPr>
        <w:t>真实世界数据</w:t>
      </w:r>
      <w:r w:rsidRPr="00E05DD1">
        <w:rPr>
          <w:rFonts w:ascii="宋体" w:hAnsi="宋体"/>
          <w:sz w:val="24"/>
          <w:szCs w:val="24"/>
          <w:lang w:eastAsia="zh-CN"/>
        </w:rPr>
        <w:t>”</w:t>
      </w:r>
      <w:r w:rsidRPr="00250E1C">
        <w:rPr>
          <w:sz w:val="24"/>
          <w:szCs w:val="24"/>
          <w:lang w:eastAsia="zh-CN"/>
        </w:rPr>
        <w:t>（</w:t>
      </w:r>
      <w:r w:rsidRPr="00250E1C">
        <w:rPr>
          <w:sz w:val="24"/>
          <w:szCs w:val="24"/>
          <w:lang w:eastAsia="zh-CN"/>
        </w:rPr>
        <w:t>RWD</w:t>
      </w:r>
      <w:r w:rsidRPr="00250E1C">
        <w:rPr>
          <w:sz w:val="24"/>
          <w:szCs w:val="24"/>
          <w:lang w:eastAsia="zh-CN"/>
        </w:rPr>
        <w:t>）可用于支持已获</w:t>
      </w:r>
      <w:r w:rsidRPr="00250E1C">
        <w:rPr>
          <w:sz w:val="24"/>
          <w:szCs w:val="24"/>
          <w:lang w:eastAsia="zh-CN"/>
        </w:rPr>
        <w:t>510</w:t>
      </w:r>
      <w:r w:rsidRPr="00250E1C">
        <w:rPr>
          <w:sz w:val="24"/>
          <w:szCs w:val="24"/>
          <w:lang w:eastAsia="zh-CN"/>
        </w:rPr>
        <w:t>（</w:t>
      </w:r>
      <w:r w:rsidRPr="00250E1C">
        <w:rPr>
          <w:sz w:val="24"/>
          <w:szCs w:val="24"/>
          <w:lang w:eastAsia="zh-CN"/>
        </w:rPr>
        <w:t>k</w:t>
      </w:r>
      <w:r w:rsidRPr="00250E1C">
        <w:rPr>
          <w:sz w:val="24"/>
          <w:szCs w:val="24"/>
          <w:lang w:eastAsia="zh-CN"/>
        </w:rPr>
        <w:t>）</w:t>
      </w:r>
      <w:r w:rsidR="008F27F5" w:rsidRPr="00250E1C">
        <w:rPr>
          <w:rFonts w:hint="eastAsia"/>
          <w:sz w:val="24"/>
          <w:szCs w:val="24"/>
          <w:lang w:eastAsia="zh-CN"/>
        </w:rPr>
        <w:t>批准</w:t>
      </w:r>
      <w:r w:rsidRPr="00250E1C">
        <w:rPr>
          <w:sz w:val="24"/>
          <w:szCs w:val="24"/>
          <w:lang w:eastAsia="zh-CN"/>
        </w:rPr>
        <w:t>的器械的消融能量输出特征的变化。</w:t>
      </w:r>
      <w:r w:rsidR="008F27F5" w:rsidRPr="00250E1C">
        <w:rPr>
          <w:sz w:val="24"/>
          <w:szCs w:val="24"/>
          <w:lang w:eastAsia="zh-CN"/>
        </w:rPr>
        <w:t>根据具体情况确定</w:t>
      </w:r>
      <w:r w:rsidRPr="00250E1C">
        <w:rPr>
          <w:sz w:val="24"/>
          <w:szCs w:val="24"/>
          <w:lang w:eastAsia="zh-CN"/>
        </w:rPr>
        <w:t>合法上市的器械收集</w:t>
      </w:r>
      <w:r w:rsidRPr="00250E1C">
        <w:rPr>
          <w:sz w:val="24"/>
          <w:szCs w:val="24"/>
          <w:lang w:eastAsia="zh-CN"/>
        </w:rPr>
        <w:t>RWD</w:t>
      </w:r>
      <w:r w:rsidRPr="00250E1C">
        <w:rPr>
          <w:sz w:val="24"/>
          <w:szCs w:val="24"/>
          <w:lang w:eastAsia="zh-CN"/>
        </w:rPr>
        <w:t>是否需要</w:t>
      </w:r>
      <w:r w:rsidRPr="00250E1C">
        <w:rPr>
          <w:sz w:val="24"/>
          <w:szCs w:val="24"/>
          <w:lang w:eastAsia="zh-CN"/>
        </w:rPr>
        <w:t>IDE</w:t>
      </w:r>
      <w:r w:rsidRPr="00250E1C">
        <w:rPr>
          <w:sz w:val="24"/>
          <w:szCs w:val="24"/>
          <w:lang w:eastAsia="zh-CN"/>
        </w:rPr>
        <w:t>。具体来说，</w:t>
      </w:r>
      <w:r w:rsidR="003B2B49" w:rsidRPr="00250E1C">
        <w:rPr>
          <w:rFonts w:hint="eastAsia"/>
          <w:sz w:val="24"/>
          <w:szCs w:val="24"/>
          <w:lang w:eastAsia="zh-CN"/>
        </w:rPr>
        <w:t>在</w:t>
      </w:r>
      <w:r w:rsidR="003B2B49" w:rsidRPr="00250E1C">
        <w:rPr>
          <w:sz w:val="24"/>
          <w:szCs w:val="24"/>
          <w:lang w:eastAsia="zh-CN"/>
        </w:rPr>
        <w:t>正常医疗实践中使用经批准的器械则</w:t>
      </w:r>
      <w:r w:rsidRPr="00250E1C">
        <w:rPr>
          <w:sz w:val="24"/>
          <w:szCs w:val="24"/>
          <w:lang w:eastAsia="zh-CN"/>
        </w:rPr>
        <w:t>可能</w:t>
      </w:r>
      <w:r w:rsidR="003B2B49" w:rsidRPr="00250E1C">
        <w:rPr>
          <w:rFonts w:hint="eastAsia"/>
          <w:sz w:val="24"/>
          <w:szCs w:val="24"/>
          <w:lang w:eastAsia="zh-CN"/>
        </w:rPr>
        <w:t>无需</w:t>
      </w:r>
      <w:r w:rsidRPr="00250E1C">
        <w:rPr>
          <w:sz w:val="24"/>
          <w:szCs w:val="24"/>
          <w:lang w:eastAsia="zh-CN"/>
        </w:rPr>
        <w:t>IDE</w:t>
      </w:r>
      <w:r w:rsidRPr="00250E1C">
        <w:rPr>
          <w:sz w:val="24"/>
          <w:szCs w:val="24"/>
          <w:lang w:eastAsia="zh-CN"/>
        </w:rPr>
        <w:t>。对于有关</w:t>
      </w:r>
      <w:r w:rsidR="003B2B49" w:rsidRPr="00250E1C">
        <w:rPr>
          <w:rFonts w:hint="eastAsia"/>
          <w:sz w:val="24"/>
          <w:szCs w:val="24"/>
          <w:lang w:eastAsia="zh-CN"/>
        </w:rPr>
        <w:t>本</w:t>
      </w:r>
      <w:r w:rsidRPr="00250E1C">
        <w:rPr>
          <w:sz w:val="24"/>
          <w:szCs w:val="24"/>
          <w:lang w:eastAsia="zh-CN"/>
        </w:rPr>
        <w:t>主题的</w:t>
      </w:r>
      <w:r w:rsidR="003B2B49" w:rsidRPr="00250E1C">
        <w:rPr>
          <w:rFonts w:hint="eastAsia"/>
          <w:sz w:val="24"/>
          <w:szCs w:val="24"/>
          <w:lang w:eastAsia="zh-CN"/>
        </w:rPr>
        <w:t>更多</w:t>
      </w:r>
      <w:r w:rsidRPr="00250E1C">
        <w:rPr>
          <w:sz w:val="24"/>
          <w:szCs w:val="24"/>
          <w:lang w:eastAsia="zh-CN"/>
        </w:rPr>
        <w:t>信息，请参</w:t>
      </w:r>
      <w:r w:rsidR="003B2B49" w:rsidRPr="00250E1C">
        <w:rPr>
          <w:rFonts w:hint="eastAsia"/>
          <w:sz w:val="24"/>
          <w:szCs w:val="24"/>
          <w:lang w:eastAsia="zh-CN"/>
        </w:rPr>
        <w:t>见</w:t>
      </w:r>
      <w:r w:rsidRPr="00250E1C">
        <w:rPr>
          <w:sz w:val="24"/>
          <w:szCs w:val="24"/>
          <w:lang w:eastAsia="zh-CN"/>
        </w:rPr>
        <w:t>FDA</w:t>
      </w:r>
      <w:r w:rsidRPr="00250E1C">
        <w:rPr>
          <w:sz w:val="24"/>
          <w:szCs w:val="24"/>
          <w:lang w:eastAsia="zh-CN"/>
        </w:rPr>
        <w:t>指南</w:t>
      </w:r>
      <w:r w:rsidR="003B2B49" w:rsidRPr="00250E1C">
        <w:rPr>
          <w:rFonts w:hint="eastAsia"/>
          <w:sz w:val="24"/>
          <w:szCs w:val="24"/>
          <w:lang w:eastAsia="zh-CN"/>
        </w:rPr>
        <w:t>《</w:t>
      </w:r>
      <w:hyperlink r:id="rId21" w:history="1">
        <w:r w:rsidR="00862B46" w:rsidRPr="0011487A">
          <w:rPr>
            <w:rStyle w:val="a3"/>
            <w:rFonts w:hint="eastAsia"/>
            <w:sz w:val="24"/>
            <w:lang w:eastAsia="zh-CN"/>
          </w:rPr>
          <w:t>使用真实世界证据</w:t>
        </w:r>
      </w:hyperlink>
      <w:hyperlink r:id="rId22" w:history="1">
        <w:r w:rsidR="00862B46" w:rsidRPr="0011487A">
          <w:rPr>
            <w:rStyle w:val="a3"/>
            <w:rFonts w:hint="eastAsia"/>
            <w:sz w:val="24"/>
            <w:lang w:eastAsia="zh-CN"/>
          </w:rPr>
          <w:t>支持医疗器械的监管决策</w:t>
        </w:r>
      </w:hyperlink>
      <w:r w:rsidR="003B2B49" w:rsidRPr="00250E1C">
        <w:rPr>
          <w:rFonts w:hint="eastAsia"/>
          <w:sz w:val="24"/>
          <w:szCs w:val="24"/>
          <w:lang w:eastAsia="zh-CN"/>
        </w:rPr>
        <w:t>》。</w:t>
      </w:r>
      <w:r w:rsidR="00245E1A">
        <w:rPr>
          <w:rStyle w:val="ae"/>
          <w:sz w:val="24"/>
          <w:szCs w:val="24"/>
          <w:lang w:eastAsia="zh-CN"/>
        </w:rPr>
        <w:footnoteReference w:id="7"/>
      </w:r>
    </w:p>
    <w:p w14:paraId="5E100086"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完整的试验报告中</w:t>
      </w:r>
      <w:r w:rsidR="003B2B49" w:rsidRPr="00250E1C">
        <w:rPr>
          <w:sz w:val="24"/>
          <w:szCs w:val="24"/>
          <w:lang w:eastAsia="zh-CN"/>
        </w:rPr>
        <w:t>应</w:t>
      </w:r>
      <w:r w:rsidRPr="00250E1C">
        <w:rPr>
          <w:sz w:val="24"/>
          <w:szCs w:val="24"/>
          <w:lang w:eastAsia="zh-CN"/>
        </w:rPr>
        <w:t>提供</w:t>
      </w:r>
      <w:r w:rsidR="003B2B49" w:rsidRPr="00250E1C">
        <w:rPr>
          <w:sz w:val="24"/>
          <w:szCs w:val="24"/>
          <w:lang w:eastAsia="zh-CN"/>
        </w:rPr>
        <w:t>包含以下要素的</w:t>
      </w:r>
      <w:r w:rsidRPr="00250E1C">
        <w:rPr>
          <w:sz w:val="24"/>
          <w:szCs w:val="24"/>
          <w:lang w:eastAsia="zh-CN"/>
        </w:rPr>
        <w:t>临床研究结果</w:t>
      </w:r>
      <w:r w:rsidR="003B2B49" w:rsidRPr="00250E1C">
        <w:rPr>
          <w:rFonts w:hint="eastAsia"/>
          <w:sz w:val="24"/>
          <w:szCs w:val="24"/>
          <w:lang w:eastAsia="zh-CN"/>
        </w:rPr>
        <w:t>：</w:t>
      </w:r>
    </w:p>
    <w:p w14:paraId="26F0F1AB"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执行摘要</w:t>
      </w:r>
      <w:r w:rsidRPr="00250E1C">
        <w:rPr>
          <w:sz w:val="24"/>
          <w:lang w:eastAsia="zh-CN"/>
        </w:rPr>
        <w:t>/</w:t>
      </w:r>
      <w:r w:rsidRPr="00250E1C">
        <w:rPr>
          <w:sz w:val="24"/>
          <w:lang w:eastAsia="zh-CN"/>
        </w:rPr>
        <w:t>概述；</w:t>
      </w:r>
    </w:p>
    <w:p w14:paraId="0473F08F"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临床试验机构</w:t>
      </w:r>
      <w:r w:rsidRPr="00250E1C">
        <w:rPr>
          <w:sz w:val="24"/>
          <w:lang w:eastAsia="zh-CN"/>
        </w:rPr>
        <w:t>/</w:t>
      </w:r>
      <w:r w:rsidRPr="00250E1C">
        <w:rPr>
          <w:sz w:val="24"/>
          <w:lang w:eastAsia="zh-CN"/>
        </w:rPr>
        <w:t>研究者识别；</w:t>
      </w:r>
    </w:p>
    <w:p w14:paraId="6EE063B4"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患者人口统计学和基线特征；</w:t>
      </w:r>
    </w:p>
    <w:p w14:paraId="315DF4B7"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治疗数据；</w:t>
      </w:r>
    </w:p>
    <w:p w14:paraId="7C81E1ED"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方案偏离；</w:t>
      </w:r>
    </w:p>
    <w:p w14:paraId="1DC52BF3"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安全性和有效性终点（分析和原始行数据格式）；</w:t>
      </w:r>
    </w:p>
    <w:p w14:paraId="3033BDA7"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结论；和</w:t>
      </w:r>
    </w:p>
    <w:p w14:paraId="4BFF883C"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研究方案。</w:t>
      </w:r>
    </w:p>
    <w:p w14:paraId="251A3419"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前列腺组织消融器械的具体临床研究建议总结如下。临床研究建议反映</w:t>
      </w:r>
      <w:r w:rsidRPr="00250E1C">
        <w:rPr>
          <w:sz w:val="24"/>
          <w:szCs w:val="24"/>
          <w:lang w:eastAsia="zh-CN"/>
        </w:rPr>
        <w:t>CDRH</w:t>
      </w:r>
      <w:r w:rsidRPr="00250E1C">
        <w:rPr>
          <w:sz w:val="24"/>
          <w:szCs w:val="24"/>
          <w:lang w:eastAsia="zh-CN"/>
        </w:rPr>
        <w:t>目前对前列腺组织消融器械的研究设计的看法。然而，根据最简原则，</w:t>
      </w:r>
      <w:r w:rsidR="00245E1A">
        <w:rPr>
          <w:rStyle w:val="ae"/>
          <w:sz w:val="24"/>
          <w:szCs w:val="24"/>
          <w:lang w:eastAsia="zh-CN"/>
        </w:rPr>
        <w:footnoteReference w:id="8"/>
      </w:r>
      <w:r w:rsidRPr="00250E1C">
        <w:rPr>
          <w:sz w:val="24"/>
          <w:szCs w:val="24"/>
          <w:lang w:eastAsia="zh-CN"/>
        </w:rPr>
        <w:t>我们承认，对于任何监管决定，在获益和风险方面存在一定程度的不确定性。重要的是</w:t>
      </w:r>
      <w:r w:rsidR="00B90E88" w:rsidRPr="00250E1C">
        <w:rPr>
          <w:sz w:val="24"/>
          <w:szCs w:val="24"/>
          <w:lang w:eastAsia="zh-CN"/>
        </w:rPr>
        <w:t>要</w:t>
      </w:r>
      <w:r w:rsidRPr="00250E1C">
        <w:rPr>
          <w:sz w:val="24"/>
          <w:szCs w:val="24"/>
          <w:lang w:eastAsia="zh-CN"/>
        </w:rPr>
        <w:t>承认并适当缓解获益</w:t>
      </w:r>
      <w:r w:rsidRPr="00250E1C">
        <w:rPr>
          <w:sz w:val="24"/>
          <w:szCs w:val="24"/>
          <w:lang w:eastAsia="zh-CN"/>
        </w:rPr>
        <w:t>-</w:t>
      </w:r>
      <w:r w:rsidRPr="00250E1C">
        <w:rPr>
          <w:sz w:val="24"/>
          <w:szCs w:val="24"/>
          <w:lang w:eastAsia="zh-CN"/>
        </w:rPr>
        <w:t>风险确定的不确定性，从而支持</w:t>
      </w:r>
      <w:r w:rsidRPr="00250E1C">
        <w:rPr>
          <w:sz w:val="24"/>
          <w:szCs w:val="24"/>
          <w:lang w:eastAsia="zh-CN"/>
        </w:rPr>
        <w:t>FDA</w:t>
      </w:r>
      <w:r w:rsidRPr="00250E1C">
        <w:rPr>
          <w:sz w:val="24"/>
          <w:szCs w:val="24"/>
          <w:lang w:eastAsia="zh-CN"/>
        </w:rPr>
        <w:t>的上市前决定。</w:t>
      </w:r>
      <w:r w:rsidR="00245E1A">
        <w:rPr>
          <w:rStyle w:val="ae"/>
          <w:sz w:val="24"/>
          <w:szCs w:val="24"/>
          <w:lang w:eastAsia="zh-CN"/>
        </w:rPr>
        <w:footnoteReference w:id="9"/>
      </w:r>
      <w:r w:rsidRPr="00250E1C">
        <w:rPr>
          <w:sz w:val="24"/>
          <w:szCs w:val="24"/>
          <w:lang w:eastAsia="zh-CN"/>
        </w:rPr>
        <w:t>同样，在某些情况下，为了支持上市前决定，获益</w:t>
      </w:r>
      <w:r w:rsidRPr="00250E1C">
        <w:rPr>
          <w:sz w:val="24"/>
          <w:szCs w:val="24"/>
          <w:lang w:eastAsia="zh-CN"/>
        </w:rPr>
        <w:t>-</w:t>
      </w:r>
      <w:r w:rsidRPr="00250E1C">
        <w:rPr>
          <w:sz w:val="24"/>
          <w:szCs w:val="24"/>
          <w:lang w:eastAsia="zh-CN"/>
        </w:rPr>
        <w:t>风险确定中可接受的不确定性水平较为灵活，并根据器械的类型和预期用途以及我们正在做的决定类型量身定制。因此，当申</w:t>
      </w:r>
      <w:r w:rsidR="00B90E88" w:rsidRPr="00250E1C">
        <w:rPr>
          <w:rFonts w:hint="eastAsia"/>
          <w:sz w:val="24"/>
          <w:szCs w:val="24"/>
          <w:lang w:eastAsia="zh-CN"/>
        </w:rPr>
        <w:t>请</w:t>
      </w:r>
      <w:r w:rsidRPr="00250E1C">
        <w:rPr>
          <w:sz w:val="24"/>
          <w:szCs w:val="24"/>
          <w:lang w:eastAsia="zh-CN"/>
        </w:rPr>
        <w:t>的替代方法具有充分的科学依据支持时，</w:t>
      </w:r>
      <w:r w:rsidRPr="00250E1C">
        <w:rPr>
          <w:sz w:val="24"/>
          <w:szCs w:val="24"/>
          <w:lang w:eastAsia="zh-CN"/>
        </w:rPr>
        <w:lastRenderedPageBreak/>
        <w:t>FDA</w:t>
      </w:r>
      <w:r w:rsidRPr="00250E1C">
        <w:rPr>
          <w:sz w:val="24"/>
          <w:szCs w:val="24"/>
          <w:lang w:eastAsia="zh-CN"/>
        </w:rPr>
        <w:t>将考虑研究设计的替代方法。</w:t>
      </w:r>
    </w:p>
    <w:p w14:paraId="794D75CD" w14:textId="77777777" w:rsidR="007A1EFF" w:rsidRPr="00250E1C" w:rsidRDefault="00721E55" w:rsidP="000856AF">
      <w:pPr>
        <w:tabs>
          <w:tab w:val="left" w:pos="115"/>
        </w:tabs>
        <w:snapToGrid w:val="0"/>
        <w:spacing w:beforeLines="50" w:before="120" w:afterLines="50" w:after="120"/>
        <w:jc w:val="both"/>
        <w:rPr>
          <w:sz w:val="24"/>
          <w:lang w:eastAsia="zh-CN"/>
        </w:rPr>
      </w:pPr>
      <w:r w:rsidRPr="00250E1C">
        <w:rPr>
          <w:sz w:val="24"/>
          <w:lang w:eastAsia="zh-CN"/>
        </w:rPr>
        <w:br w:type="page"/>
      </w:r>
    </w:p>
    <w:p w14:paraId="2BAD27B2" w14:textId="77777777" w:rsidR="00CE5FB1" w:rsidRDefault="00721E55" w:rsidP="0011487A">
      <w:pPr>
        <w:pStyle w:val="m2"/>
        <w:spacing w:before="120" w:after="120"/>
      </w:pPr>
      <w:bookmarkStart w:id="14" w:name="bookmark18"/>
      <w:r w:rsidRPr="00250E1C">
        <w:t>A.</w:t>
      </w:r>
      <w:r w:rsidRPr="00250E1C">
        <w:tab/>
      </w:r>
      <w:r w:rsidRPr="00250E1C">
        <w:t>目的</w:t>
      </w:r>
      <w:r w:rsidRPr="00250E1C">
        <w:t>/</w:t>
      </w:r>
      <w:r w:rsidRPr="00250E1C">
        <w:t>目标</w:t>
      </w:r>
      <w:bookmarkEnd w:id="14"/>
    </w:p>
    <w:p w14:paraId="2CD892A2"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临床研究旨在证明器械预期用途的安全性和有效性</w:t>
      </w:r>
      <w:r w:rsidRPr="00250E1C">
        <w:rPr>
          <w:sz w:val="24"/>
          <w:szCs w:val="24"/>
          <w:lang w:eastAsia="zh-CN"/>
        </w:rPr>
        <w:t xml:space="preserve"> -</w:t>
      </w:r>
      <w:r w:rsidR="00211DF6">
        <w:rPr>
          <w:sz w:val="24"/>
          <w:szCs w:val="24"/>
          <w:lang w:eastAsia="zh-CN"/>
        </w:rPr>
        <w:t xml:space="preserve"> </w:t>
      </w:r>
      <w:r w:rsidRPr="00250E1C">
        <w:rPr>
          <w:sz w:val="24"/>
          <w:szCs w:val="24"/>
          <w:lang w:eastAsia="zh-CN"/>
        </w:rPr>
        <w:t>消融前列腺组织的</w:t>
      </w:r>
      <w:r w:rsidR="003D7C65" w:rsidRPr="00250E1C">
        <w:rPr>
          <w:sz w:val="24"/>
          <w:szCs w:val="24"/>
          <w:lang w:eastAsia="zh-CN"/>
        </w:rPr>
        <w:t>普通</w:t>
      </w:r>
      <w:r w:rsidRPr="00250E1C">
        <w:rPr>
          <w:sz w:val="24"/>
          <w:szCs w:val="24"/>
          <w:lang w:eastAsia="zh-CN"/>
        </w:rPr>
        <w:t>手术工具。</w:t>
      </w:r>
      <w:r w:rsidRPr="00250E1C">
        <w:rPr>
          <w:sz w:val="24"/>
          <w:szCs w:val="24"/>
          <w:lang w:eastAsia="zh-CN"/>
        </w:rPr>
        <w:t>FDA</w:t>
      </w:r>
      <w:r w:rsidRPr="00250E1C">
        <w:rPr>
          <w:sz w:val="24"/>
          <w:szCs w:val="24"/>
          <w:lang w:eastAsia="zh-CN"/>
        </w:rPr>
        <w:t>指出，该临床研究的终点应通过确定该器械是否会消融或损伤靶体积外的组织（如不良事件描述中所示）来解决安全性问题，并通过确定该器械是否会消融目标体积内的组织来解决有效性问题。</w:t>
      </w:r>
    </w:p>
    <w:p w14:paraId="0B7E28D2" w14:textId="77777777" w:rsidR="00CE5FB1" w:rsidRDefault="00CE5FB1" w:rsidP="0011487A">
      <w:pPr>
        <w:snapToGrid w:val="0"/>
        <w:spacing w:beforeLines="50" w:before="120" w:afterLines="50" w:after="120"/>
        <w:jc w:val="both"/>
        <w:rPr>
          <w:sz w:val="24"/>
          <w:szCs w:val="24"/>
          <w:lang w:eastAsia="zh-CN"/>
        </w:rPr>
      </w:pPr>
    </w:p>
    <w:p w14:paraId="01F0BD36" w14:textId="77777777" w:rsidR="00CE5FB1" w:rsidRDefault="00721E55" w:rsidP="0011487A">
      <w:pPr>
        <w:pStyle w:val="m2"/>
        <w:spacing w:before="120" w:after="120"/>
      </w:pPr>
      <w:bookmarkStart w:id="15" w:name="bookmark20"/>
      <w:bookmarkStart w:id="16" w:name="bookmark19"/>
      <w:r w:rsidRPr="00250E1C">
        <w:t>B.</w:t>
      </w:r>
      <w:r w:rsidRPr="00250E1C">
        <w:tab/>
      </w:r>
      <w:r w:rsidRPr="00250E1C">
        <w:t>研究设计和样本量</w:t>
      </w:r>
      <w:bookmarkEnd w:id="15"/>
      <w:bookmarkEnd w:id="16"/>
    </w:p>
    <w:p w14:paraId="0B976795"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FDA</w:t>
      </w:r>
      <w:r w:rsidRPr="00250E1C">
        <w:rPr>
          <w:sz w:val="24"/>
          <w:szCs w:val="24"/>
          <w:lang w:eastAsia="zh-CN"/>
        </w:rPr>
        <w:t>建议支持上市</w:t>
      </w:r>
      <w:r w:rsidR="00C91027" w:rsidRPr="00250E1C">
        <w:rPr>
          <w:rFonts w:hint="eastAsia"/>
          <w:sz w:val="24"/>
          <w:szCs w:val="24"/>
          <w:lang w:eastAsia="zh-CN"/>
        </w:rPr>
        <w:t>申请</w:t>
      </w:r>
      <w:r w:rsidRPr="00250E1C">
        <w:rPr>
          <w:sz w:val="24"/>
          <w:szCs w:val="24"/>
          <w:lang w:eastAsia="zh-CN"/>
        </w:rPr>
        <w:t>的临床证据包括内部或外部对照试验。尽管内部对照试验</w:t>
      </w:r>
      <w:r w:rsidR="00C91027" w:rsidRPr="00250E1C">
        <w:rPr>
          <w:rFonts w:hint="eastAsia"/>
          <w:sz w:val="24"/>
          <w:szCs w:val="24"/>
          <w:lang w:eastAsia="zh-CN"/>
        </w:rPr>
        <w:t>的一个优点为可从同一患者人群以</w:t>
      </w:r>
      <w:r w:rsidRPr="00250E1C">
        <w:rPr>
          <w:sz w:val="24"/>
          <w:szCs w:val="24"/>
          <w:lang w:eastAsia="zh-CN"/>
        </w:rPr>
        <w:t>相同</w:t>
      </w:r>
      <w:r w:rsidR="00C91027" w:rsidRPr="00250E1C">
        <w:rPr>
          <w:sz w:val="24"/>
          <w:szCs w:val="24"/>
          <w:lang w:eastAsia="zh-CN"/>
        </w:rPr>
        <w:t>的</w:t>
      </w:r>
      <w:r w:rsidRPr="00250E1C">
        <w:rPr>
          <w:sz w:val="24"/>
          <w:szCs w:val="24"/>
          <w:lang w:eastAsia="zh-CN"/>
        </w:rPr>
        <w:t>方式</w:t>
      </w:r>
      <w:r w:rsidR="00C91027" w:rsidRPr="00250E1C">
        <w:rPr>
          <w:sz w:val="24"/>
          <w:szCs w:val="24"/>
          <w:lang w:eastAsia="zh-CN"/>
        </w:rPr>
        <w:t>收集</w:t>
      </w:r>
      <w:r w:rsidR="006B7F24">
        <w:rPr>
          <w:rFonts w:hint="eastAsia"/>
          <w:sz w:val="24"/>
          <w:szCs w:val="24"/>
          <w:lang w:eastAsia="zh-CN"/>
        </w:rPr>
        <w:t>申请器械</w:t>
      </w:r>
      <w:r w:rsidRPr="00250E1C">
        <w:rPr>
          <w:sz w:val="24"/>
          <w:szCs w:val="24"/>
          <w:lang w:eastAsia="zh-CN"/>
        </w:rPr>
        <w:t>和对照器械的可靠数据的集合，</w:t>
      </w:r>
      <w:r w:rsidR="00D1477F" w:rsidRPr="00250E1C">
        <w:rPr>
          <w:sz w:val="24"/>
          <w:szCs w:val="24"/>
          <w:lang w:eastAsia="zh-CN"/>
        </w:rPr>
        <w:t>但</w:t>
      </w:r>
      <w:r w:rsidRPr="00250E1C">
        <w:rPr>
          <w:sz w:val="24"/>
          <w:szCs w:val="24"/>
          <w:lang w:eastAsia="zh-CN"/>
        </w:rPr>
        <w:t>外部对照试验的</w:t>
      </w:r>
      <w:r w:rsidR="00D1477F" w:rsidRPr="00250E1C">
        <w:rPr>
          <w:rFonts w:hint="eastAsia"/>
          <w:sz w:val="24"/>
          <w:szCs w:val="24"/>
          <w:lang w:eastAsia="zh-CN"/>
        </w:rPr>
        <w:t>优点</w:t>
      </w:r>
      <w:r w:rsidR="00D1477F" w:rsidRPr="00250E1C">
        <w:rPr>
          <w:sz w:val="24"/>
          <w:szCs w:val="24"/>
          <w:lang w:eastAsia="zh-CN"/>
        </w:rPr>
        <w:t>为与现有前列腺组织消融器械的临床结果相比</w:t>
      </w:r>
      <w:r w:rsidR="00D1477F" w:rsidRPr="00250E1C">
        <w:rPr>
          <w:rFonts w:hint="eastAsia"/>
          <w:sz w:val="24"/>
          <w:szCs w:val="24"/>
          <w:lang w:eastAsia="zh-CN"/>
        </w:rPr>
        <w:t>，</w:t>
      </w:r>
      <w:r w:rsidR="00D1477F" w:rsidRPr="00250E1C">
        <w:rPr>
          <w:sz w:val="24"/>
          <w:szCs w:val="24"/>
          <w:lang w:eastAsia="zh-CN"/>
        </w:rPr>
        <w:t>仅对一个患者队列（研究组）进行随访能减轻登记负担</w:t>
      </w:r>
      <w:r w:rsidR="00D1477F" w:rsidRPr="00250E1C">
        <w:rPr>
          <w:rFonts w:hint="eastAsia"/>
          <w:sz w:val="24"/>
          <w:szCs w:val="24"/>
          <w:lang w:eastAsia="zh-CN"/>
        </w:rPr>
        <w:t>。</w:t>
      </w:r>
    </w:p>
    <w:p w14:paraId="4A6D83FD"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为充分估计不良事件特征并达到具有临床意义的精密度，包括罕见的器械或手术相关并发症的发生率，</w:t>
      </w:r>
      <w:r w:rsidRPr="00250E1C">
        <w:rPr>
          <w:sz w:val="24"/>
          <w:szCs w:val="24"/>
          <w:lang w:eastAsia="zh-CN"/>
        </w:rPr>
        <w:t>FDA</w:t>
      </w:r>
      <w:r w:rsidRPr="00250E1C">
        <w:rPr>
          <w:sz w:val="24"/>
          <w:szCs w:val="24"/>
          <w:lang w:eastAsia="zh-CN"/>
        </w:rPr>
        <w:t>建议数据集包含至少</w:t>
      </w:r>
      <w:r w:rsidRPr="00250E1C">
        <w:rPr>
          <w:sz w:val="24"/>
          <w:szCs w:val="24"/>
          <w:lang w:eastAsia="zh-CN"/>
        </w:rPr>
        <w:t>100</w:t>
      </w:r>
      <w:r w:rsidRPr="00250E1C">
        <w:rPr>
          <w:sz w:val="24"/>
          <w:szCs w:val="24"/>
          <w:lang w:eastAsia="zh-CN"/>
        </w:rPr>
        <w:t>例使用</w:t>
      </w:r>
      <w:r w:rsidR="006B7F24">
        <w:rPr>
          <w:rFonts w:hint="eastAsia"/>
          <w:sz w:val="24"/>
          <w:szCs w:val="24"/>
          <w:lang w:eastAsia="zh-CN"/>
        </w:rPr>
        <w:t>申请</w:t>
      </w:r>
      <w:r w:rsidRPr="00250E1C">
        <w:rPr>
          <w:sz w:val="24"/>
          <w:szCs w:val="24"/>
          <w:lang w:eastAsia="zh-CN"/>
        </w:rPr>
        <w:t>器械进行治疗并按照第</w:t>
      </w:r>
      <w:hyperlink w:anchor="bookmark21" w:tooltip="当前文件">
        <w:r w:rsidRPr="00250E1C">
          <w:rPr>
            <w:sz w:val="24"/>
            <w:szCs w:val="24"/>
            <w:lang w:eastAsia="zh-CN"/>
          </w:rPr>
          <w:t>IV.C</w:t>
        </w:r>
        <w:r w:rsidRPr="00250E1C">
          <w:rPr>
            <w:sz w:val="24"/>
            <w:szCs w:val="24"/>
            <w:lang w:eastAsia="zh-CN"/>
          </w:rPr>
          <w:t>、</w:t>
        </w:r>
      </w:hyperlink>
      <w:hyperlink w:anchor="bookmark27" w:tooltip="当前文件">
        <w:r w:rsidRPr="00250E1C">
          <w:rPr>
            <w:sz w:val="24"/>
            <w:szCs w:val="24"/>
            <w:lang w:eastAsia="zh-CN"/>
          </w:rPr>
          <w:t>G</w:t>
        </w:r>
        <w:r w:rsidRPr="00250E1C">
          <w:rPr>
            <w:sz w:val="24"/>
            <w:szCs w:val="24"/>
            <w:lang w:eastAsia="zh-CN"/>
          </w:rPr>
          <w:t>和</w:t>
        </w:r>
      </w:hyperlink>
      <w:hyperlink w:anchor="bookmark29" w:tooltip="当前文件">
        <w:r w:rsidRPr="00250E1C">
          <w:rPr>
            <w:sz w:val="24"/>
            <w:szCs w:val="24"/>
            <w:lang w:eastAsia="zh-CN"/>
          </w:rPr>
          <w:t>H</w:t>
        </w:r>
        <w:r w:rsidRPr="00250E1C">
          <w:rPr>
            <w:sz w:val="24"/>
            <w:szCs w:val="24"/>
            <w:lang w:eastAsia="zh-CN"/>
          </w:rPr>
          <w:t>节进行临床随访的患者</w:t>
        </w:r>
      </w:hyperlink>
      <w:r w:rsidRPr="00250E1C">
        <w:rPr>
          <w:sz w:val="24"/>
          <w:szCs w:val="24"/>
          <w:lang w:eastAsia="zh-CN"/>
        </w:rPr>
        <w:t>。</w:t>
      </w:r>
    </w:p>
    <w:p w14:paraId="666D6EF8"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应对至少</w:t>
      </w:r>
      <w:r w:rsidRPr="00250E1C">
        <w:rPr>
          <w:sz w:val="24"/>
          <w:szCs w:val="24"/>
          <w:lang w:eastAsia="zh-CN"/>
        </w:rPr>
        <w:t>100</w:t>
      </w:r>
      <w:r w:rsidRPr="00250E1C">
        <w:rPr>
          <w:sz w:val="24"/>
          <w:szCs w:val="24"/>
          <w:lang w:eastAsia="zh-CN"/>
        </w:rPr>
        <w:t>例接受安全性随访的患者组成的同一个患者人群的消融有效性的间接指标（例如前列腺活检、前列腺特异性抗原（</w:t>
      </w:r>
      <w:r w:rsidRPr="00250E1C">
        <w:rPr>
          <w:sz w:val="24"/>
          <w:szCs w:val="24"/>
          <w:lang w:eastAsia="zh-CN"/>
        </w:rPr>
        <w:t>PSA</w:t>
      </w:r>
      <w:r w:rsidRPr="00250E1C">
        <w:rPr>
          <w:sz w:val="24"/>
          <w:szCs w:val="24"/>
          <w:lang w:eastAsia="zh-CN"/>
        </w:rPr>
        <w:t>）水平和前列腺体积）进行分析。或者，如果通过收集自单独的研究队列的</w:t>
      </w:r>
      <w:r w:rsidRPr="00E05DD1">
        <w:rPr>
          <w:rFonts w:ascii="宋体" w:hAnsi="宋体"/>
          <w:sz w:val="24"/>
          <w:szCs w:val="24"/>
          <w:lang w:eastAsia="zh-CN"/>
        </w:rPr>
        <w:t>“</w:t>
      </w:r>
      <w:r w:rsidRPr="00250E1C">
        <w:rPr>
          <w:sz w:val="24"/>
          <w:szCs w:val="24"/>
          <w:lang w:eastAsia="zh-CN"/>
        </w:rPr>
        <w:t>治疗和切除</w:t>
      </w:r>
      <w:r w:rsidRPr="00E05DD1">
        <w:rPr>
          <w:rFonts w:ascii="宋体" w:hAnsi="宋体"/>
          <w:sz w:val="24"/>
          <w:szCs w:val="24"/>
          <w:lang w:eastAsia="zh-CN"/>
        </w:rPr>
        <w:t>”</w:t>
      </w:r>
      <w:r w:rsidRPr="00250E1C">
        <w:rPr>
          <w:sz w:val="24"/>
          <w:szCs w:val="24"/>
          <w:lang w:eastAsia="zh-CN"/>
        </w:rPr>
        <w:t>数据（即</w:t>
      </w:r>
      <w:r w:rsidR="00963EE3" w:rsidRPr="00250E1C">
        <w:rPr>
          <w:rFonts w:hint="eastAsia"/>
          <w:sz w:val="24"/>
          <w:szCs w:val="24"/>
          <w:lang w:eastAsia="zh-CN"/>
        </w:rPr>
        <w:t>，</w:t>
      </w:r>
      <w:r w:rsidR="00963EE3" w:rsidRPr="00250E1C">
        <w:rPr>
          <w:sz w:val="24"/>
          <w:szCs w:val="24"/>
          <w:lang w:eastAsia="zh-CN"/>
        </w:rPr>
        <w:t>从计划根治性前列腺切除术前接受前列腺组织消融的患者获得的</w:t>
      </w:r>
      <w:r w:rsidRPr="00250E1C">
        <w:rPr>
          <w:sz w:val="24"/>
          <w:szCs w:val="24"/>
          <w:lang w:eastAsia="zh-CN"/>
        </w:rPr>
        <w:t>消融范围和位置的包埋组织病理学分析）支持消融有效性，</w:t>
      </w:r>
      <w:r w:rsidR="00963EE3" w:rsidRPr="00250E1C">
        <w:rPr>
          <w:sz w:val="24"/>
          <w:szCs w:val="24"/>
          <w:lang w:eastAsia="zh-CN"/>
        </w:rPr>
        <w:t>则</w:t>
      </w:r>
      <w:r w:rsidRPr="00250E1C">
        <w:rPr>
          <w:sz w:val="24"/>
          <w:szCs w:val="24"/>
          <w:lang w:eastAsia="zh-CN"/>
        </w:rPr>
        <w:t>该有效性人群的样本量应得到科学的证明。尽管根据设计，包含单独的安全性和</w:t>
      </w:r>
      <w:r w:rsidRPr="00E05DD1">
        <w:rPr>
          <w:rFonts w:ascii="宋体" w:hAnsi="宋体"/>
          <w:sz w:val="24"/>
          <w:szCs w:val="24"/>
          <w:lang w:eastAsia="zh-CN"/>
        </w:rPr>
        <w:t>“</w:t>
      </w:r>
      <w:r w:rsidRPr="00250E1C">
        <w:rPr>
          <w:sz w:val="24"/>
          <w:szCs w:val="24"/>
          <w:lang w:eastAsia="zh-CN"/>
        </w:rPr>
        <w:t>治疗和切除</w:t>
      </w:r>
      <w:r w:rsidRPr="00E05DD1">
        <w:rPr>
          <w:rFonts w:ascii="宋体" w:hAnsi="宋体"/>
          <w:sz w:val="24"/>
          <w:szCs w:val="24"/>
          <w:lang w:eastAsia="zh-CN"/>
        </w:rPr>
        <w:t>”</w:t>
      </w:r>
      <w:r w:rsidRPr="00250E1C">
        <w:rPr>
          <w:sz w:val="24"/>
          <w:szCs w:val="24"/>
          <w:lang w:eastAsia="zh-CN"/>
        </w:rPr>
        <w:t>队列的研究将入组总数超过在相同队列中评价消融有效性的安全性和间接指标的研究中的受试者，但是前一种方法的</w:t>
      </w:r>
      <w:r w:rsidR="00933AD6" w:rsidRPr="00250E1C">
        <w:rPr>
          <w:rFonts w:hint="eastAsia"/>
          <w:sz w:val="24"/>
          <w:szCs w:val="24"/>
          <w:lang w:eastAsia="zh-CN"/>
        </w:rPr>
        <w:t>优点</w:t>
      </w:r>
      <w:r w:rsidRPr="00250E1C">
        <w:rPr>
          <w:sz w:val="24"/>
          <w:szCs w:val="24"/>
          <w:lang w:eastAsia="zh-CN"/>
        </w:rPr>
        <w:t>是避免</w:t>
      </w:r>
      <w:r w:rsidR="0055132D">
        <w:rPr>
          <w:sz w:val="24"/>
          <w:szCs w:val="24"/>
          <w:lang w:eastAsia="zh-CN"/>
        </w:rPr>
        <w:t>了</w:t>
      </w:r>
      <w:r w:rsidRPr="00250E1C">
        <w:rPr>
          <w:sz w:val="24"/>
          <w:szCs w:val="24"/>
          <w:lang w:eastAsia="zh-CN"/>
        </w:rPr>
        <w:t>收集消融后活检数据、</w:t>
      </w:r>
      <w:r w:rsidRPr="00250E1C">
        <w:rPr>
          <w:sz w:val="24"/>
          <w:szCs w:val="24"/>
          <w:lang w:eastAsia="zh-CN"/>
        </w:rPr>
        <w:t>PSA</w:t>
      </w:r>
      <w:r w:rsidRPr="00250E1C">
        <w:rPr>
          <w:sz w:val="24"/>
          <w:szCs w:val="24"/>
          <w:lang w:eastAsia="zh-CN"/>
        </w:rPr>
        <w:t>水平和成像带来的负担。</w:t>
      </w:r>
    </w:p>
    <w:p w14:paraId="0F470A7F" w14:textId="77777777" w:rsidR="00CE5FB1" w:rsidRPr="0011487A" w:rsidRDefault="00CE5FB1" w:rsidP="0011487A">
      <w:pPr>
        <w:snapToGrid w:val="0"/>
        <w:spacing w:beforeLines="50" w:before="120" w:afterLines="50" w:after="120"/>
        <w:jc w:val="both"/>
        <w:rPr>
          <w:sz w:val="24"/>
          <w:lang w:eastAsia="zh-CN"/>
        </w:rPr>
      </w:pPr>
    </w:p>
    <w:p w14:paraId="336A5AEB" w14:textId="77777777" w:rsidR="00CE5FB1" w:rsidRPr="0011487A" w:rsidRDefault="00862B46" w:rsidP="0011487A">
      <w:pPr>
        <w:tabs>
          <w:tab w:val="left" w:pos="115"/>
        </w:tabs>
        <w:snapToGrid w:val="0"/>
        <w:spacing w:beforeLines="50" w:before="120" w:afterLines="50" w:after="120"/>
        <w:jc w:val="both"/>
        <w:rPr>
          <w:sz w:val="24"/>
          <w:lang w:eastAsia="zh-CN"/>
        </w:rPr>
      </w:pPr>
      <w:r w:rsidRPr="0011487A">
        <w:rPr>
          <w:sz w:val="24"/>
          <w:lang w:eastAsia="zh-CN"/>
        </w:rPr>
        <w:br w:type="page"/>
      </w:r>
    </w:p>
    <w:p w14:paraId="122EA65E" w14:textId="77777777" w:rsidR="00CE5FB1" w:rsidRPr="0011487A" w:rsidRDefault="00CE5FB1" w:rsidP="0011487A">
      <w:pPr>
        <w:snapToGrid w:val="0"/>
        <w:spacing w:beforeLines="50" w:before="120" w:afterLines="50" w:after="120"/>
        <w:jc w:val="both"/>
        <w:rPr>
          <w:sz w:val="24"/>
          <w:lang w:eastAsia="zh-CN"/>
        </w:rPr>
      </w:pPr>
    </w:p>
    <w:p w14:paraId="22B11215" w14:textId="77777777" w:rsidR="00CE5FB1" w:rsidRDefault="00721E55" w:rsidP="0011487A">
      <w:pPr>
        <w:pStyle w:val="m2"/>
        <w:spacing w:before="120" w:after="120"/>
      </w:pPr>
      <w:bookmarkStart w:id="17" w:name="bookmark22"/>
      <w:bookmarkStart w:id="18" w:name="bookmark21"/>
      <w:r w:rsidRPr="00250E1C">
        <w:t>C.</w:t>
      </w:r>
      <w:r w:rsidRPr="00250E1C">
        <w:tab/>
      </w:r>
      <w:r w:rsidRPr="00250E1C">
        <w:t>研究持续时间和随访计划</w:t>
      </w:r>
      <w:bookmarkEnd w:id="17"/>
      <w:bookmarkEnd w:id="18"/>
    </w:p>
    <w:p w14:paraId="7E0F705D"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FDA</w:t>
      </w:r>
      <w:r w:rsidRPr="00250E1C">
        <w:rPr>
          <w:sz w:val="24"/>
          <w:szCs w:val="24"/>
          <w:lang w:eastAsia="zh-CN"/>
        </w:rPr>
        <w:t>建议，为支持上市申</w:t>
      </w:r>
      <w:r w:rsidR="00933AD6" w:rsidRPr="00250E1C">
        <w:rPr>
          <w:rFonts w:hint="eastAsia"/>
          <w:sz w:val="24"/>
          <w:szCs w:val="24"/>
          <w:lang w:eastAsia="zh-CN"/>
        </w:rPr>
        <w:t>请</w:t>
      </w:r>
      <w:r w:rsidRPr="00250E1C">
        <w:rPr>
          <w:sz w:val="24"/>
          <w:szCs w:val="24"/>
          <w:lang w:eastAsia="zh-CN"/>
        </w:rPr>
        <w:t>，研究的最短计划研究随访时间为</w:t>
      </w:r>
      <w:r w:rsidRPr="00250E1C">
        <w:rPr>
          <w:sz w:val="24"/>
          <w:szCs w:val="24"/>
          <w:lang w:eastAsia="zh-CN"/>
        </w:rPr>
        <w:t>1</w:t>
      </w:r>
      <w:r w:rsidRPr="00250E1C">
        <w:rPr>
          <w:sz w:val="24"/>
          <w:szCs w:val="24"/>
          <w:lang w:eastAsia="zh-CN"/>
        </w:rPr>
        <w:t>年。</w:t>
      </w:r>
      <w:r w:rsidR="005B4D91">
        <w:rPr>
          <w:sz w:val="24"/>
          <w:szCs w:val="24"/>
          <w:lang w:eastAsia="zh-CN"/>
        </w:rPr>
        <w:t>推荐的</w:t>
      </w:r>
      <w:r w:rsidRPr="00250E1C">
        <w:rPr>
          <w:sz w:val="24"/>
          <w:szCs w:val="24"/>
          <w:lang w:eastAsia="zh-CN"/>
        </w:rPr>
        <w:t>最短随访时间</w:t>
      </w:r>
      <w:r w:rsidR="006D576E" w:rsidRPr="00250E1C">
        <w:rPr>
          <w:rFonts w:hint="eastAsia"/>
          <w:sz w:val="24"/>
          <w:szCs w:val="24"/>
          <w:lang w:eastAsia="zh-CN"/>
        </w:rPr>
        <w:t>根据</w:t>
      </w:r>
      <w:r w:rsidRPr="00250E1C">
        <w:rPr>
          <w:sz w:val="24"/>
          <w:szCs w:val="24"/>
          <w:lang w:eastAsia="zh-CN"/>
        </w:rPr>
        <w:t>已知可能的不良事件（例如尿道狭窄、肛瘘和耻骨骨髓炎）的</w:t>
      </w:r>
      <w:r w:rsidR="005B4D91">
        <w:rPr>
          <w:sz w:val="24"/>
          <w:szCs w:val="24"/>
          <w:lang w:eastAsia="zh-CN"/>
        </w:rPr>
        <w:t>延迟</w:t>
      </w:r>
      <w:r w:rsidRPr="00250E1C">
        <w:rPr>
          <w:sz w:val="24"/>
          <w:szCs w:val="24"/>
          <w:lang w:eastAsia="zh-CN"/>
        </w:rPr>
        <w:t>发病或表现以及其他预期并发症（例如勃起功能障碍、尿失禁）的潜在消退时间</w:t>
      </w:r>
      <w:r w:rsidR="006D576E" w:rsidRPr="00250E1C">
        <w:rPr>
          <w:sz w:val="24"/>
          <w:szCs w:val="24"/>
          <w:lang w:eastAsia="zh-CN"/>
        </w:rPr>
        <w:t>确立</w:t>
      </w:r>
      <w:r w:rsidRPr="00250E1C">
        <w:rPr>
          <w:sz w:val="24"/>
          <w:szCs w:val="24"/>
          <w:lang w:eastAsia="zh-CN"/>
        </w:rPr>
        <w:t>。方案应</w:t>
      </w:r>
      <w:r w:rsidR="006D576E" w:rsidRPr="00250E1C">
        <w:rPr>
          <w:rFonts w:hint="eastAsia"/>
          <w:sz w:val="24"/>
          <w:szCs w:val="24"/>
          <w:lang w:eastAsia="zh-CN"/>
        </w:rPr>
        <w:t>预先</w:t>
      </w:r>
      <w:r w:rsidRPr="00250E1C">
        <w:rPr>
          <w:sz w:val="24"/>
          <w:szCs w:val="24"/>
          <w:lang w:eastAsia="zh-CN"/>
        </w:rPr>
        <w:t>规定定期收集不良事件信息，并</w:t>
      </w:r>
      <w:r w:rsidR="006D576E" w:rsidRPr="00250E1C">
        <w:rPr>
          <w:sz w:val="24"/>
          <w:szCs w:val="24"/>
          <w:lang w:eastAsia="zh-CN"/>
        </w:rPr>
        <w:t>对</w:t>
      </w:r>
      <w:r w:rsidRPr="00250E1C">
        <w:rPr>
          <w:sz w:val="24"/>
          <w:szCs w:val="24"/>
          <w:lang w:eastAsia="zh-CN"/>
        </w:rPr>
        <w:t>已知可能</w:t>
      </w:r>
      <w:r w:rsidR="006D576E" w:rsidRPr="00250E1C">
        <w:rPr>
          <w:rFonts w:hint="eastAsia"/>
          <w:sz w:val="24"/>
          <w:szCs w:val="24"/>
          <w:lang w:eastAsia="zh-CN"/>
        </w:rPr>
        <w:t>与</w:t>
      </w:r>
      <w:r w:rsidRPr="00250E1C">
        <w:rPr>
          <w:sz w:val="24"/>
          <w:szCs w:val="24"/>
          <w:lang w:eastAsia="zh-CN"/>
        </w:rPr>
        <w:t>器械和手术相关</w:t>
      </w:r>
      <w:r w:rsidR="006D576E" w:rsidRPr="00250E1C">
        <w:rPr>
          <w:sz w:val="24"/>
          <w:szCs w:val="24"/>
          <w:lang w:eastAsia="zh-CN"/>
        </w:rPr>
        <w:t>的</w:t>
      </w:r>
      <w:r w:rsidRPr="00250E1C">
        <w:rPr>
          <w:sz w:val="24"/>
          <w:szCs w:val="24"/>
          <w:lang w:eastAsia="zh-CN"/>
        </w:rPr>
        <w:t>不良事件</w:t>
      </w:r>
      <w:r w:rsidR="006D576E" w:rsidRPr="00250E1C">
        <w:rPr>
          <w:sz w:val="24"/>
          <w:szCs w:val="24"/>
          <w:lang w:eastAsia="zh-CN"/>
        </w:rPr>
        <w:t>进行具体评估</w:t>
      </w:r>
      <w:r w:rsidRPr="00250E1C">
        <w:rPr>
          <w:sz w:val="24"/>
          <w:szCs w:val="24"/>
          <w:lang w:eastAsia="zh-CN"/>
        </w:rPr>
        <w:t>。</w:t>
      </w:r>
    </w:p>
    <w:p w14:paraId="31569D97" w14:textId="77777777" w:rsidR="00CE5FB1" w:rsidRDefault="00EA04FD" w:rsidP="0011487A">
      <w:pPr>
        <w:snapToGrid w:val="0"/>
        <w:spacing w:beforeLines="50" w:before="120" w:afterLines="50" w:after="120"/>
        <w:ind w:firstLineChars="200" w:firstLine="480"/>
        <w:jc w:val="both"/>
        <w:rPr>
          <w:sz w:val="24"/>
          <w:szCs w:val="24"/>
          <w:lang w:eastAsia="zh-CN"/>
        </w:rPr>
      </w:pPr>
      <w:r>
        <w:rPr>
          <w:sz w:val="24"/>
          <w:szCs w:val="24"/>
          <w:lang w:eastAsia="zh-CN"/>
        </w:rPr>
        <w:t>对于</w:t>
      </w:r>
      <w:r w:rsidR="00721E55" w:rsidRPr="00250E1C">
        <w:rPr>
          <w:sz w:val="24"/>
          <w:szCs w:val="24"/>
          <w:lang w:eastAsia="zh-CN"/>
        </w:rPr>
        <w:t>收集</w:t>
      </w:r>
      <w:r>
        <w:rPr>
          <w:sz w:val="24"/>
          <w:szCs w:val="24"/>
          <w:lang w:eastAsia="zh-CN"/>
        </w:rPr>
        <w:t>的</w:t>
      </w:r>
      <w:r w:rsidR="00721E55" w:rsidRPr="00250E1C">
        <w:rPr>
          <w:sz w:val="24"/>
          <w:szCs w:val="24"/>
          <w:lang w:eastAsia="zh-CN"/>
        </w:rPr>
        <w:t>特定终点指标</w:t>
      </w:r>
      <w:r>
        <w:rPr>
          <w:rFonts w:hint="eastAsia"/>
          <w:sz w:val="24"/>
          <w:szCs w:val="24"/>
          <w:lang w:eastAsia="zh-CN"/>
        </w:rPr>
        <w:t>，应该</w:t>
      </w:r>
      <w:r>
        <w:rPr>
          <w:sz w:val="24"/>
          <w:szCs w:val="24"/>
          <w:lang w:eastAsia="zh-CN"/>
        </w:rPr>
        <w:t>在</w:t>
      </w:r>
      <w:r w:rsidR="00721E55" w:rsidRPr="00250E1C">
        <w:rPr>
          <w:sz w:val="24"/>
          <w:szCs w:val="24"/>
          <w:lang w:eastAsia="zh-CN"/>
        </w:rPr>
        <w:t>经过科学论证的时间范围内收集消融后的有效性指标。例如，前列腺活检、</w:t>
      </w:r>
      <w:r w:rsidR="00721E55" w:rsidRPr="00250E1C">
        <w:rPr>
          <w:sz w:val="24"/>
          <w:szCs w:val="24"/>
          <w:lang w:eastAsia="zh-CN"/>
        </w:rPr>
        <w:t>PSA</w:t>
      </w:r>
      <w:r w:rsidR="00721E55" w:rsidRPr="00250E1C">
        <w:rPr>
          <w:sz w:val="24"/>
          <w:szCs w:val="24"/>
          <w:lang w:eastAsia="zh-CN"/>
        </w:rPr>
        <w:t>水平和前列腺体积应在消融后</w:t>
      </w:r>
      <w:r w:rsidR="00721E55" w:rsidRPr="00250E1C">
        <w:rPr>
          <w:sz w:val="24"/>
          <w:szCs w:val="24"/>
          <w:lang w:eastAsia="zh-CN"/>
        </w:rPr>
        <w:t>1</w:t>
      </w:r>
      <w:r w:rsidR="00721E55" w:rsidRPr="00250E1C">
        <w:rPr>
          <w:sz w:val="24"/>
          <w:szCs w:val="24"/>
          <w:lang w:eastAsia="zh-CN"/>
        </w:rPr>
        <w:t>年进行评估，</w:t>
      </w:r>
      <w:r w:rsidR="00721E55" w:rsidRPr="00E05DD1">
        <w:rPr>
          <w:rFonts w:ascii="宋体" w:hAnsi="宋体"/>
          <w:sz w:val="24"/>
          <w:szCs w:val="24"/>
          <w:lang w:eastAsia="zh-CN"/>
        </w:rPr>
        <w:t>“</w:t>
      </w:r>
      <w:r w:rsidR="00721E55" w:rsidRPr="00250E1C">
        <w:rPr>
          <w:sz w:val="24"/>
          <w:szCs w:val="24"/>
          <w:lang w:eastAsia="zh-CN"/>
        </w:rPr>
        <w:t>治疗和切除</w:t>
      </w:r>
      <w:r w:rsidR="00721E55" w:rsidRPr="00E05DD1">
        <w:rPr>
          <w:rFonts w:ascii="宋体" w:hAnsi="宋体"/>
          <w:sz w:val="24"/>
          <w:szCs w:val="24"/>
          <w:lang w:eastAsia="zh-CN"/>
        </w:rPr>
        <w:t>”</w:t>
      </w:r>
      <w:r w:rsidR="00721E55" w:rsidRPr="00250E1C">
        <w:rPr>
          <w:sz w:val="24"/>
          <w:szCs w:val="24"/>
          <w:lang w:eastAsia="zh-CN"/>
        </w:rPr>
        <w:t>数据可以在消融后</w:t>
      </w:r>
      <w:r w:rsidR="00721E55" w:rsidRPr="00250E1C">
        <w:rPr>
          <w:sz w:val="24"/>
          <w:szCs w:val="24"/>
          <w:lang w:eastAsia="zh-CN"/>
        </w:rPr>
        <w:t>1</w:t>
      </w:r>
      <w:r w:rsidR="00721E55" w:rsidRPr="00250E1C">
        <w:rPr>
          <w:sz w:val="24"/>
          <w:szCs w:val="24"/>
          <w:lang w:eastAsia="zh-CN"/>
        </w:rPr>
        <w:t>个月内收集和分析，所有终点的研究持续时间和随访时间都应进行临床论证，研究期间的评估时间应保持一致。</w:t>
      </w:r>
    </w:p>
    <w:p w14:paraId="62E882CB" w14:textId="77777777" w:rsidR="00CE5FB1" w:rsidRDefault="00CE5FB1" w:rsidP="0011487A">
      <w:pPr>
        <w:tabs>
          <w:tab w:val="left" w:pos="1223"/>
        </w:tabs>
        <w:snapToGrid w:val="0"/>
        <w:spacing w:beforeLines="50" w:before="120" w:afterLines="50" w:after="120"/>
        <w:jc w:val="both"/>
        <w:rPr>
          <w:b/>
          <w:bCs/>
          <w:sz w:val="24"/>
          <w:szCs w:val="24"/>
          <w:lang w:eastAsia="zh-CN"/>
        </w:rPr>
      </w:pPr>
      <w:bookmarkStart w:id="19" w:name="bookmark23"/>
    </w:p>
    <w:p w14:paraId="0CEE96E4" w14:textId="77777777" w:rsidR="00CE5FB1" w:rsidRDefault="00721E55" w:rsidP="0011487A">
      <w:pPr>
        <w:pStyle w:val="m2"/>
        <w:spacing w:before="120" w:after="120"/>
      </w:pPr>
      <w:r w:rsidRPr="00250E1C">
        <w:t>D.</w:t>
      </w:r>
      <w:r w:rsidRPr="00250E1C">
        <w:tab/>
      </w:r>
      <w:r w:rsidRPr="00250E1C">
        <w:t>入选</w:t>
      </w:r>
      <w:r w:rsidRPr="00250E1C">
        <w:t>/</w:t>
      </w:r>
      <w:r w:rsidRPr="00250E1C">
        <w:t>排除标准</w:t>
      </w:r>
      <w:bookmarkEnd w:id="19"/>
    </w:p>
    <w:p w14:paraId="381F66F2" w14:textId="77777777" w:rsidR="00CE5FB1" w:rsidRDefault="004922A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本</w:t>
      </w:r>
      <w:r w:rsidR="00721E55" w:rsidRPr="00250E1C">
        <w:rPr>
          <w:sz w:val="24"/>
          <w:szCs w:val="24"/>
          <w:lang w:eastAsia="zh-CN"/>
        </w:rPr>
        <w:t>研究应</w:t>
      </w:r>
      <w:r w:rsidRPr="00250E1C">
        <w:rPr>
          <w:rFonts w:hint="eastAsia"/>
          <w:sz w:val="24"/>
          <w:szCs w:val="24"/>
          <w:lang w:eastAsia="zh-CN"/>
        </w:rPr>
        <w:t>招收</w:t>
      </w:r>
      <w:r w:rsidR="00721E55" w:rsidRPr="00250E1C">
        <w:rPr>
          <w:sz w:val="24"/>
          <w:szCs w:val="24"/>
          <w:lang w:eastAsia="zh-CN"/>
        </w:rPr>
        <w:t>在临床上需进行前列腺组织消融的男性。为尽量减少</w:t>
      </w:r>
      <w:r w:rsidR="00F801A9">
        <w:rPr>
          <w:sz w:val="24"/>
          <w:szCs w:val="24"/>
          <w:lang w:eastAsia="zh-CN"/>
        </w:rPr>
        <w:t>在</w:t>
      </w:r>
      <w:r w:rsidR="00721E55" w:rsidRPr="00250E1C">
        <w:rPr>
          <w:sz w:val="24"/>
          <w:szCs w:val="24"/>
          <w:lang w:eastAsia="zh-CN"/>
        </w:rPr>
        <w:t>临床数据审查中</w:t>
      </w:r>
      <w:r w:rsidR="00F801A9">
        <w:rPr>
          <w:rFonts w:hint="eastAsia"/>
          <w:sz w:val="24"/>
          <w:szCs w:val="24"/>
          <w:lang w:eastAsia="zh-CN"/>
        </w:rPr>
        <w:t>发生</w:t>
      </w:r>
      <w:r w:rsidR="00721E55" w:rsidRPr="00250E1C">
        <w:rPr>
          <w:sz w:val="24"/>
          <w:szCs w:val="24"/>
          <w:lang w:eastAsia="zh-CN"/>
        </w:rPr>
        <w:t>混淆，患者和治疗特征</w:t>
      </w:r>
      <w:r w:rsidRPr="00250E1C">
        <w:rPr>
          <w:rFonts w:hint="eastAsia"/>
          <w:sz w:val="24"/>
          <w:szCs w:val="24"/>
          <w:lang w:eastAsia="zh-CN"/>
        </w:rPr>
        <w:t>应</w:t>
      </w:r>
      <w:r w:rsidRPr="00250E1C">
        <w:rPr>
          <w:sz w:val="24"/>
          <w:szCs w:val="24"/>
          <w:lang w:eastAsia="zh-CN"/>
        </w:rPr>
        <w:t>在以下方面保持一致</w:t>
      </w:r>
      <w:r w:rsidR="00082FD1">
        <w:rPr>
          <w:rFonts w:hint="eastAsia"/>
          <w:sz w:val="24"/>
          <w:szCs w:val="24"/>
          <w:lang w:eastAsia="zh-CN"/>
        </w:rPr>
        <w:t>：</w:t>
      </w:r>
    </w:p>
    <w:p w14:paraId="27BD1BA5"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前列腺消融的潜在临床疾病（即良性与恶性疾病）；</w:t>
      </w:r>
    </w:p>
    <w:p w14:paraId="1CDA5898"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消融术前的前列腺治疗史（例如</w:t>
      </w:r>
      <w:r w:rsidRPr="00E05DD1">
        <w:rPr>
          <w:rFonts w:ascii="宋体" w:hAnsi="宋体"/>
          <w:sz w:val="24"/>
          <w:lang w:eastAsia="zh-CN"/>
        </w:rPr>
        <w:t>“</w:t>
      </w:r>
      <w:r w:rsidRPr="00250E1C">
        <w:rPr>
          <w:sz w:val="24"/>
          <w:lang w:eastAsia="zh-CN"/>
        </w:rPr>
        <w:t>初治</w:t>
      </w:r>
      <w:r w:rsidRPr="00E05DD1">
        <w:rPr>
          <w:rFonts w:ascii="宋体" w:hAnsi="宋体"/>
          <w:sz w:val="24"/>
          <w:lang w:eastAsia="zh-CN"/>
        </w:rPr>
        <w:t>”</w:t>
      </w:r>
      <w:r w:rsidRPr="00250E1C">
        <w:rPr>
          <w:sz w:val="24"/>
          <w:lang w:eastAsia="zh-CN"/>
        </w:rPr>
        <w:t>、体外放射治疗后、近距离放射治疗后和冷冻疗法后）；</w:t>
      </w:r>
    </w:p>
    <w:p w14:paraId="7F8575EA"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开具的消融范围（例如全腺体消融、半消融、局部消融）；</w:t>
      </w:r>
    </w:p>
    <w:p w14:paraId="3E0982C6"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消融器械的特定技术特征的解剖局限（例如排除前列腺体积高于特定尺寸的受试者）；和</w:t>
      </w:r>
    </w:p>
    <w:p w14:paraId="0DEACE02"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一般临床安全性注意事项（例如排除患有未受控出血障碍或活动性尿路感染的受试者）。</w:t>
      </w:r>
    </w:p>
    <w:p w14:paraId="03EDE1AC" w14:textId="77777777" w:rsidR="00CE5FB1" w:rsidRDefault="00CE5FB1" w:rsidP="0011487A">
      <w:pPr>
        <w:pStyle w:val="m2"/>
        <w:spacing w:before="120" w:after="120"/>
      </w:pPr>
      <w:bookmarkStart w:id="20" w:name="bookmark24"/>
    </w:p>
    <w:p w14:paraId="57F726C6" w14:textId="77777777" w:rsidR="00CE5FB1" w:rsidRDefault="00721E55" w:rsidP="0011487A">
      <w:pPr>
        <w:pStyle w:val="m2"/>
        <w:spacing w:before="120" w:after="120"/>
      </w:pPr>
      <w:r w:rsidRPr="00250E1C">
        <w:t>E.</w:t>
      </w:r>
      <w:r w:rsidRPr="00250E1C">
        <w:tab/>
      </w:r>
      <w:r w:rsidRPr="00250E1C">
        <w:t>患者人口统计学</w:t>
      </w:r>
      <w:bookmarkEnd w:id="20"/>
    </w:p>
    <w:p w14:paraId="3F9768F9"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应使用描述性统计报告患者人口统计学信息。有关报告该人口统计学信息的详细信息，请参</w:t>
      </w:r>
      <w:r w:rsidR="00674D8B" w:rsidRPr="00250E1C">
        <w:rPr>
          <w:rFonts w:hint="eastAsia"/>
          <w:sz w:val="24"/>
          <w:szCs w:val="24"/>
          <w:lang w:eastAsia="zh-CN"/>
        </w:rPr>
        <w:t>见</w:t>
      </w:r>
      <w:r w:rsidRPr="00250E1C">
        <w:rPr>
          <w:sz w:val="24"/>
          <w:szCs w:val="24"/>
          <w:lang w:eastAsia="zh-CN"/>
        </w:rPr>
        <w:t>FDA</w:t>
      </w:r>
      <w:r w:rsidRPr="00250E1C">
        <w:rPr>
          <w:sz w:val="24"/>
          <w:szCs w:val="24"/>
          <w:lang w:eastAsia="zh-CN"/>
        </w:rPr>
        <w:t>指南</w:t>
      </w:r>
      <w:r w:rsidR="00674D8B" w:rsidRPr="00250E1C">
        <w:rPr>
          <w:rFonts w:hint="eastAsia"/>
          <w:sz w:val="24"/>
          <w:szCs w:val="24"/>
          <w:lang w:eastAsia="zh-CN"/>
        </w:rPr>
        <w:t>《</w:t>
      </w:r>
      <w:hyperlink r:id="rId23" w:history="1">
        <w:r w:rsidR="00862B46" w:rsidRPr="0011487A">
          <w:rPr>
            <w:rStyle w:val="a3"/>
            <w:rFonts w:hint="eastAsia"/>
            <w:sz w:val="24"/>
            <w:lang w:eastAsia="zh-CN"/>
          </w:rPr>
          <w:t>医疗器械临床研究中年龄、人种和种族特定数据的评价和报告</w:t>
        </w:r>
      </w:hyperlink>
      <w:r w:rsidR="00674D8B" w:rsidRPr="00250E1C">
        <w:rPr>
          <w:rFonts w:hint="eastAsia"/>
          <w:sz w:val="24"/>
          <w:szCs w:val="24"/>
          <w:u w:val="single"/>
          <w:lang w:eastAsia="zh-CN"/>
        </w:rPr>
        <w:t>》</w:t>
      </w:r>
      <w:r w:rsidR="00FD6878">
        <w:rPr>
          <w:rStyle w:val="ae"/>
          <w:sz w:val="24"/>
          <w:szCs w:val="24"/>
          <w:u w:val="single"/>
          <w:lang w:eastAsia="zh-CN"/>
        </w:rPr>
        <w:footnoteReference w:id="10"/>
      </w:r>
      <w:r w:rsidRPr="00250E1C">
        <w:rPr>
          <w:sz w:val="24"/>
          <w:szCs w:val="24"/>
          <w:lang w:eastAsia="zh-CN"/>
        </w:rPr>
        <w:t>。该信息应包括但不限于以下信息：</w:t>
      </w:r>
    </w:p>
    <w:p w14:paraId="2EA2F9A4" w14:textId="77777777" w:rsidR="00CE5FB1" w:rsidRDefault="00CE5FB1" w:rsidP="0011487A">
      <w:pPr>
        <w:snapToGrid w:val="0"/>
        <w:spacing w:beforeLines="50" w:before="120" w:afterLines="50" w:after="120"/>
        <w:jc w:val="both"/>
        <w:rPr>
          <w:sz w:val="24"/>
          <w:szCs w:val="24"/>
          <w:lang w:eastAsia="zh-CN"/>
        </w:rPr>
      </w:pPr>
    </w:p>
    <w:p w14:paraId="3D4FD29C" w14:textId="77777777" w:rsidR="007A1EFF" w:rsidRPr="00250E1C" w:rsidRDefault="00721E55" w:rsidP="000856AF">
      <w:pPr>
        <w:tabs>
          <w:tab w:val="left" w:pos="115"/>
        </w:tabs>
        <w:snapToGrid w:val="0"/>
        <w:spacing w:beforeLines="50" w:before="120" w:afterLines="50" w:after="120"/>
        <w:jc w:val="both"/>
        <w:rPr>
          <w:sz w:val="24"/>
          <w:szCs w:val="18"/>
          <w:lang w:eastAsia="zh-CN"/>
        </w:rPr>
      </w:pPr>
      <w:r w:rsidRPr="00250E1C">
        <w:rPr>
          <w:sz w:val="24"/>
          <w:szCs w:val="18"/>
          <w:lang w:eastAsia="zh-CN"/>
        </w:rPr>
        <w:br w:type="page"/>
      </w:r>
    </w:p>
    <w:p w14:paraId="3A4F6FD5"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患者年龄和人种</w:t>
      </w:r>
      <w:r w:rsidRPr="00250E1C">
        <w:rPr>
          <w:sz w:val="24"/>
          <w:lang w:eastAsia="zh-CN"/>
        </w:rPr>
        <w:t>/</w:t>
      </w:r>
      <w:r w:rsidRPr="00250E1C">
        <w:rPr>
          <w:sz w:val="24"/>
          <w:lang w:eastAsia="zh-CN"/>
        </w:rPr>
        <w:t>种族；</w:t>
      </w:r>
    </w:p>
    <w:p w14:paraId="14820AF5" w14:textId="77777777" w:rsidR="00CE5FB1" w:rsidRDefault="00674D8B"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rFonts w:hint="eastAsia"/>
          <w:sz w:val="24"/>
          <w:lang w:eastAsia="zh-CN"/>
        </w:rPr>
        <w:t>体质</w:t>
      </w:r>
      <w:r w:rsidR="00721E55" w:rsidRPr="00250E1C">
        <w:rPr>
          <w:sz w:val="24"/>
          <w:lang w:eastAsia="zh-CN"/>
        </w:rPr>
        <w:t>指数（</w:t>
      </w:r>
      <w:r w:rsidR="00721E55" w:rsidRPr="00250E1C">
        <w:rPr>
          <w:sz w:val="24"/>
          <w:lang w:eastAsia="zh-CN"/>
        </w:rPr>
        <w:t>BMI</w:t>
      </w:r>
      <w:r w:rsidR="00721E55" w:rsidRPr="00250E1C">
        <w:rPr>
          <w:sz w:val="24"/>
          <w:lang w:eastAsia="zh-CN"/>
        </w:rPr>
        <w:t>）；</w:t>
      </w:r>
    </w:p>
    <w:p w14:paraId="5BEB24E8"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前列腺体积；</w:t>
      </w:r>
    </w:p>
    <w:p w14:paraId="66F3B231"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前列腺疾病特征（适用于入组人群），例如：</w:t>
      </w:r>
    </w:p>
    <w:p w14:paraId="2E0800CE" w14:textId="77777777" w:rsidR="00CE5FB1" w:rsidRDefault="00721E55" w:rsidP="0011487A">
      <w:pPr>
        <w:pStyle w:val="x"/>
        <w:numPr>
          <w:ilvl w:val="0"/>
          <w:numId w:val="1"/>
        </w:numPr>
        <w:tabs>
          <w:tab w:val="clear" w:pos="709"/>
        </w:tabs>
        <w:spacing w:before="120" w:afterLines="50" w:after="120"/>
        <w:ind w:leftChars="0" w:left="1131" w:firstLineChars="0" w:hanging="425"/>
      </w:pPr>
      <w:r w:rsidRPr="00250E1C">
        <w:rPr>
          <w:sz w:val="24"/>
          <w:lang w:eastAsia="zh-CN"/>
        </w:rPr>
        <w:t>PSA</w:t>
      </w:r>
      <w:r w:rsidRPr="00250E1C">
        <w:rPr>
          <w:sz w:val="24"/>
          <w:lang w:eastAsia="zh-CN"/>
        </w:rPr>
        <w:t>水平；</w:t>
      </w:r>
    </w:p>
    <w:p w14:paraId="0413B41C" w14:textId="77777777" w:rsidR="00CE5FB1" w:rsidRDefault="00721E55" w:rsidP="0011487A">
      <w:pPr>
        <w:pStyle w:val="x"/>
        <w:numPr>
          <w:ilvl w:val="0"/>
          <w:numId w:val="1"/>
        </w:numPr>
        <w:tabs>
          <w:tab w:val="clear" w:pos="709"/>
        </w:tabs>
        <w:spacing w:before="120" w:afterLines="50" w:after="120"/>
        <w:ind w:leftChars="0" w:left="1131" w:firstLineChars="0" w:hanging="425"/>
      </w:pPr>
      <w:r w:rsidRPr="00250E1C">
        <w:rPr>
          <w:sz w:val="24"/>
          <w:lang w:eastAsia="zh-CN"/>
        </w:rPr>
        <w:t>临床癌症</w:t>
      </w:r>
      <w:r w:rsidR="001C4B2E" w:rsidRPr="00250E1C">
        <w:rPr>
          <w:rFonts w:hint="eastAsia"/>
          <w:sz w:val="24"/>
          <w:lang w:eastAsia="zh-CN"/>
        </w:rPr>
        <w:t>阶段</w:t>
      </w:r>
      <w:r w:rsidRPr="00250E1C">
        <w:rPr>
          <w:sz w:val="24"/>
          <w:lang w:eastAsia="zh-CN"/>
        </w:rPr>
        <w:t>；</w:t>
      </w:r>
    </w:p>
    <w:p w14:paraId="02F13E6A" w14:textId="77777777" w:rsidR="00CE5FB1" w:rsidRDefault="00721E55" w:rsidP="0011487A">
      <w:pPr>
        <w:pStyle w:val="x"/>
        <w:numPr>
          <w:ilvl w:val="0"/>
          <w:numId w:val="1"/>
        </w:numPr>
        <w:tabs>
          <w:tab w:val="clear" w:pos="709"/>
        </w:tabs>
        <w:spacing w:before="120" w:afterLines="50" w:after="120"/>
        <w:ind w:leftChars="0" w:left="1131" w:firstLineChars="0" w:hanging="425"/>
      </w:pPr>
      <w:r w:rsidRPr="00250E1C">
        <w:rPr>
          <w:sz w:val="24"/>
          <w:lang w:eastAsia="zh-CN"/>
        </w:rPr>
        <w:t>Gleason</w:t>
      </w:r>
      <w:r w:rsidRPr="00250E1C">
        <w:rPr>
          <w:sz w:val="24"/>
          <w:lang w:eastAsia="zh-CN"/>
        </w:rPr>
        <w:t>评分和总分；和</w:t>
      </w:r>
    </w:p>
    <w:p w14:paraId="7BF40A5F" w14:textId="77777777" w:rsidR="00CE5FB1" w:rsidRDefault="00721E55" w:rsidP="0011487A">
      <w:pPr>
        <w:pStyle w:val="x"/>
        <w:numPr>
          <w:ilvl w:val="0"/>
          <w:numId w:val="1"/>
        </w:numPr>
        <w:tabs>
          <w:tab w:val="clear" w:pos="709"/>
        </w:tabs>
        <w:spacing w:before="120" w:afterLines="50" w:after="120"/>
        <w:ind w:leftChars="0" w:left="1131" w:firstLineChars="0" w:hanging="425"/>
        <w:rPr>
          <w:lang w:eastAsia="zh-CN"/>
        </w:rPr>
      </w:pPr>
      <w:r w:rsidRPr="00250E1C">
        <w:rPr>
          <w:sz w:val="24"/>
          <w:lang w:eastAsia="zh-CN"/>
        </w:rPr>
        <w:t>既往治疗（包括外科手术、放疗和激素治疗）。</w:t>
      </w:r>
    </w:p>
    <w:p w14:paraId="5C3EE29C"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影像学结果（例如多参数</w:t>
      </w:r>
      <w:r w:rsidRPr="00250E1C">
        <w:rPr>
          <w:sz w:val="24"/>
          <w:lang w:eastAsia="zh-CN"/>
        </w:rPr>
        <w:t>MRI</w:t>
      </w:r>
      <w:r w:rsidRPr="00250E1C">
        <w:rPr>
          <w:sz w:val="24"/>
          <w:lang w:eastAsia="zh-CN"/>
        </w:rPr>
        <w:t>上的可疑区域）；和</w:t>
      </w:r>
    </w:p>
    <w:p w14:paraId="7388746D"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相关病史和体格检查详细信息（包括基线勃起功能和控尿状态）。</w:t>
      </w:r>
    </w:p>
    <w:p w14:paraId="54E7802B" w14:textId="77777777" w:rsidR="00CE5FB1" w:rsidRDefault="00CE5FB1" w:rsidP="0011487A">
      <w:pPr>
        <w:tabs>
          <w:tab w:val="left" w:pos="1214"/>
        </w:tabs>
        <w:snapToGrid w:val="0"/>
        <w:spacing w:beforeLines="50" w:before="120" w:afterLines="50" w:after="120"/>
        <w:jc w:val="both"/>
        <w:rPr>
          <w:b/>
          <w:bCs/>
          <w:sz w:val="24"/>
          <w:szCs w:val="24"/>
          <w:lang w:eastAsia="zh-CN"/>
        </w:rPr>
      </w:pPr>
      <w:bookmarkStart w:id="21" w:name="bookmark26"/>
    </w:p>
    <w:p w14:paraId="502CD427" w14:textId="77777777" w:rsidR="007A1EFF" w:rsidRPr="00250E1C" w:rsidRDefault="00721E55" w:rsidP="000856AF">
      <w:pPr>
        <w:pStyle w:val="m2"/>
        <w:spacing w:before="120" w:after="120"/>
      </w:pPr>
      <w:r w:rsidRPr="00250E1C">
        <w:t>F.</w:t>
      </w:r>
      <w:r w:rsidRPr="00250E1C">
        <w:tab/>
      </w:r>
      <w:r w:rsidRPr="00250E1C">
        <w:t>治疗参数</w:t>
      </w:r>
      <w:r w:rsidRPr="00250E1C">
        <w:t>/</w:t>
      </w:r>
      <w:r w:rsidRPr="00250E1C">
        <w:t>方案（包括术后方案）</w:t>
      </w:r>
      <w:bookmarkEnd w:id="21"/>
    </w:p>
    <w:p w14:paraId="62D3B089"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临床研究方案应预先规定，完整的试验报告应描述以下治疗参数和相关信息：</w:t>
      </w:r>
    </w:p>
    <w:p w14:paraId="6E2865D6"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消融范围（例如全腺体消融、半消融、局部消融）；</w:t>
      </w:r>
    </w:p>
    <w:p w14:paraId="1ED7BC6E" w14:textId="77777777" w:rsidR="00CE5FB1" w:rsidRDefault="001C4B2E"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rFonts w:hint="eastAsia"/>
          <w:sz w:val="24"/>
          <w:lang w:eastAsia="zh-CN"/>
        </w:rPr>
        <w:t>靶向</w:t>
      </w:r>
      <w:r w:rsidRPr="00250E1C">
        <w:rPr>
          <w:sz w:val="24"/>
          <w:lang w:eastAsia="zh-CN"/>
        </w:rPr>
        <w:t>消融的</w:t>
      </w:r>
      <w:r w:rsidR="00721E55" w:rsidRPr="00250E1C">
        <w:rPr>
          <w:sz w:val="24"/>
          <w:lang w:eastAsia="zh-CN"/>
        </w:rPr>
        <w:t>前列腺组织体积；</w:t>
      </w:r>
    </w:p>
    <w:p w14:paraId="55647AD6"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同期干预（例如经尿道前列腺切除术、膀胱颈切除术）。</w:t>
      </w:r>
    </w:p>
    <w:p w14:paraId="0AC94A66"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消融时间和参数；</w:t>
      </w:r>
    </w:p>
    <w:p w14:paraId="6737D8AF"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故障或中断；</w:t>
      </w:r>
    </w:p>
    <w:p w14:paraId="6480A32A"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使用麻醉或镇静；</w:t>
      </w:r>
    </w:p>
    <w:p w14:paraId="36006A2F"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住院；和</w:t>
      </w:r>
    </w:p>
    <w:p w14:paraId="48F66471"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导管插入术。</w:t>
      </w:r>
    </w:p>
    <w:p w14:paraId="2F7814F3" w14:textId="77777777" w:rsidR="00CE5FB1" w:rsidRDefault="00CE5FB1" w:rsidP="0011487A">
      <w:pPr>
        <w:tabs>
          <w:tab w:val="left" w:pos="1262"/>
        </w:tabs>
        <w:snapToGrid w:val="0"/>
        <w:spacing w:beforeLines="50" w:before="120" w:afterLines="50" w:after="120"/>
        <w:jc w:val="both"/>
        <w:rPr>
          <w:b/>
          <w:bCs/>
          <w:sz w:val="24"/>
          <w:szCs w:val="24"/>
          <w:lang w:eastAsia="zh-CN"/>
        </w:rPr>
      </w:pPr>
      <w:bookmarkStart w:id="22" w:name="bookmark27"/>
      <w:bookmarkStart w:id="23" w:name="bookmark28"/>
    </w:p>
    <w:p w14:paraId="2CC87636" w14:textId="77777777" w:rsidR="007A1EFF" w:rsidRPr="00250E1C" w:rsidRDefault="00721E55" w:rsidP="000856AF">
      <w:pPr>
        <w:pStyle w:val="m2"/>
        <w:spacing w:before="120" w:after="120"/>
      </w:pPr>
      <w:r w:rsidRPr="00250E1C">
        <w:t>G.</w:t>
      </w:r>
      <w:r w:rsidRPr="00250E1C">
        <w:tab/>
      </w:r>
      <w:r w:rsidRPr="00250E1C">
        <w:t>安全性终点和数据分析</w:t>
      </w:r>
      <w:bookmarkEnd w:id="22"/>
      <w:bookmarkEnd w:id="23"/>
    </w:p>
    <w:p w14:paraId="216BB77B"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为支持前列腺组织消融的一般</w:t>
      </w:r>
      <w:r w:rsidR="000856AF">
        <w:rPr>
          <w:sz w:val="24"/>
          <w:szCs w:val="24"/>
          <w:lang w:eastAsia="zh-CN"/>
        </w:rPr>
        <w:t>适应证</w:t>
      </w:r>
      <w:r w:rsidRPr="00250E1C">
        <w:rPr>
          <w:sz w:val="24"/>
          <w:szCs w:val="24"/>
          <w:lang w:eastAsia="zh-CN"/>
        </w:rPr>
        <w:t>（即不用于治疗任何特定前列腺疾病），临床研究应通过证明器械不会消融或损伤</w:t>
      </w:r>
      <w:r w:rsidR="001C4B2E" w:rsidRPr="00250E1C">
        <w:rPr>
          <w:rFonts w:hint="eastAsia"/>
          <w:sz w:val="24"/>
          <w:szCs w:val="24"/>
          <w:lang w:eastAsia="zh-CN"/>
        </w:rPr>
        <w:t>靶</w:t>
      </w:r>
      <w:r w:rsidRPr="00250E1C">
        <w:rPr>
          <w:sz w:val="24"/>
          <w:szCs w:val="24"/>
          <w:lang w:eastAsia="zh-CN"/>
        </w:rPr>
        <w:t>体积之外的组织来</w:t>
      </w:r>
      <w:r w:rsidR="001C4B2E" w:rsidRPr="00250E1C">
        <w:rPr>
          <w:rFonts w:hint="eastAsia"/>
          <w:sz w:val="24"/>
          <w:szCs w:val="24"/>
          <w:lang w:eastAsia="zh-CN"/>
        </w:rPr>
        <w:t>证明其</w:t>
      </w:r>
      <w:r w:rsidRPr="00250E1C">
        <w:rPr>
          <w:sz w:val="24"/>
          <w:szCs w:val="24"/>
          <w:lang w:eastAsia="zh-CN"/>
        </w:rPr>
        <w:t>安全性。安全性终点应包括</w:t>
      </w:r>
      <w:r w:rsidR="001C4B2E" w:rsidRPr="00250E1C">
        <w:rPr>
          <w:rFonts w:hint="eastAsia"/>
          <w:sz w:val="24"/>
          <w:szCs w:val="24"/>
          <w:lang w:eastAsia="zh-CN"/>
        </w:rPr>
        <w:t>预先</w:t>
      </w:r>
      <w:r w:rsidRPr="00250E1C">
        <w:rPr>
          <w:sz w:val="24"/>
          <w:szCs w:val="24"/>
          <w:lang w:eastAsia="zh-CN"/>
        </w:rPr>
        <w:t>收集</w:t>
      </w:r>
      <w:r w:rsidR="001C4B2E" w:rsidRPr="00250E1C">
        <w:rPr>
          <w:sz w:val="24"/>
          <w:szCs w:val="24"/>
          <w:lang w:eastAsia="zh-CN"/>
        </w:rPr>
        <w:t>侧重于可能表明周围非靶组织受损的关键安全性问题的</w:t>
      </w:r>
      <w:r w:rsidRPr="00250E1C">
        <w:rPr>
          <w:sz w:val="24"/>
          <w:szCs w:val="24"/>
          <w:lang w:eastAsia="zh-CN"/>
        </w:rPr>
        <w:t>不良事件</w:t>
      </w:r>
      <w:r w:rsidR="00E36458">
        <w:rPr>
          <w:rFonts w:hint="eastAsia"/>
          <w:sz w:val="24"/>
          <w:szCs w:val="24"/>
          <w:lang w:eastAsia="zh-CN"/>
        </w:rPr>
        <w:t>。</w:t>
      </w:r>
      <w:r w:rsidRPr="00250E1C">
        <w:rPr>
          <w:sz w:val="24"/>
          <w:szCs w:val="24"/>
          <w:lang w:eastAsia="zh-CN"/>
        </w:rPr>
        <w:t>这些关键的安全性问题包括但不限于勃起功能障碍、尿失禁、排尿症状或功能障碍、尿道狭窄、肛瘘和耻骨骨髓炎。</w:t>
      </w:r>
    </w:p>
    <w:p w14:paraId="3C6AB690"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为确保可靠收集安全性信息，不良事件应：</w:t>
      </w:r>
    </w:p>
    <w:p w14:paraId="64EA73B9" w14:textId="77777777" w:rsidR="00CE5FB1" w:rsidRDefault="001C4B2E"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rFonts w:hint="eastAsia"/>
          <w:sz w:val="24"/>
          <w:lang w:eastAsia="zh-CN"/>
        </w:rPr>
        <w:t>预先</w:t>
      </w:r>
      <w:r w:rsidR="00721E55" w:rsidRPr="00250E1C">
        <w:rPr>
          <w:sz w:val="24"/>
          <w:lang w:eastAsia="zh-CN"/>
        </w:rPr>
        <w:t>收集而不考虑器械相关性；</w:t>
      </w:r>
    </w:p>
    <w:p w14:paraId="11667001"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规定使用预定的标准化标准（例如报告勃起功能障碍时）；</w:t>
      </w:r>
    </w:p>
    <w:p w14:paraId="21E38A24" w14:textId="77777777" w:rsidR="00CE5FB1" w:rsidRPr="0011487A" w:rsidRDefault="00862B46" w:rsidP="0011487A">
      <w:pPr>
        <w:tabs>
          <w:tab w:val="left" w:pos="753"/>
        </w:tabs>
        <w:snapToGrid w:val="0"/>
        <w:spacing w:beforeLines="50" w:before="120" w:afterLines="50" w:after="120"/>
        <w:jc w:val="both"/>
        <w:rPr>
          <w:sz w:val="24"/>
          <w:lang w:eastAsia="zh-CN"/>
        </w:rPr>
      </w:pPr>
      <w:r w:rsidRPr="0011487A">
        <w:rPr>
          <w:sz w:val="24"/>
          <w:lang w:eastAsia="zh-CN"/>
        </w:rPr>
        <w:br w:type="page"/>
      </w:r>
    </w:p>
    <w:p w14:paraId="31374E43"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根据标准不良事件分级系统对严重度进行分级（例如不良事件通用术语标准</w:t>
      </w:r>
      <w:r w:rsidR="00FD6878">
        <w:rPr>
          <w:rStyle w:val="ae"/>
          <w:sz w:val="24"/>
          <w:lang w:eastAsia="zh-CN"/>
        </w:rPr>
        <w:footnoteReference w:id="11"/>
      </w:r>
      <w:r w:rsidRPr="00250E1C">
        <w:rPr>
          <w:sz w:val="24"/>
          <w:lang w:eastAsia="zh-CN"/>
        </w:rPr>
        <w:t>）；</w:t>
      </w:r>
    </w:p>
    <w:p w14:paraId="31C2293F"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根据是否符合确定的严重不良事件定义进行分类；</w:t>
      </w:r>
      <w:r w:rsidR="00FD6878">
        <w:rPr>
          <w:rStyle w:val="ae"/>
          <w:sz w:val="24"/>
          <w:lang w:eastAsia="zh-CN"/>
        </w:rPr>
        <w:footnoteReference w:id="12"/>
      </w:r>
    </w:p>
    <w:p w14:paraId="00B5259D"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评估消退状态；和</w:t>
      </w:r>
    </w:p>
    <w:p w14:paraId="4070B5B4"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由独立临床事件委员会进行裁定。</w:t>
      </w:r>
      <w:r w:rsidR="00FD6878">
        <w:rPr>
          <w:rStyle w:val="ae"/>
          <w:sz w:val="24"/>
          <w:lang w:eastAsia="zh-CN"/>
        </w:rPr>
        <w:footnoteReference w:id="13"/>
      </w:r>
    </w:p>
    <w:p w14:paraId="3EF780AD" w14:textId="77777777" w:rsidR="00CE5FB1" w:rsidRDefault="00CE5FB1" w:rsidP="0011487A">
      <w:pPr>
        <w:tabs>
          <w:tab w:val="left" w:pos="1220"/>
        </w:tabs>
        <w:snapToGrid w:val="0"/>
        <w:spacing w:beforeLines="50" w:before="120" w:afterLines="50" w:after="120"/>
        <w:jc w:val="both"/>
        <w:rPr>
          <w:b/>
          <w:bCs/>
          <w:sz w:val="24"/>
          <w:szCs w:val="24"/>
          <w:lang w:eastAsia="zh-CN"/>
        </w:rPr>
      </w:pPr>
      <w:bookmarkStart w:id="24" w:name="bookmark29"/>
      <w:bookmarkStart w:id="25" w:name="bookmark30"/>
    </w:p>
    <w:p w14:paraId="38103A53" w14:textId="77777777" w:rsidR="007A1EFF" w:rsidRPr="00250E1C" w:rsidRDefault="00721E55" w:rsidP="000856AF">
      <w:pPr>
        <w:pStyle w:val="m2"/>
        <w:spacing w:before="120" w:after="120"/>
      </w:pPr>
      <w:r w:rsidRPr="00250E1C">
        <w:t>H.</w:t>
      </w:r>
      <w:r w:rsidRPr="00250E1C">
        <w:tab/>
      </w:r>
      <w:r w:rsidRPr="00250E1C">
        <w:t>有效性终点和数据分析</w:t>
      </w:r>
      <w:bookmarkEnd w:id="24"/>
      <w:bookmarkEnd w:id="25"/>
    </w:p>
    <w:p w14:paraId="619A54F2"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为支持前列腺组织消融的一般</w:t>
      </w:r>
      <w:r w:rsidR="000856AF">
        <w:rPr>
          <w:sz w:val="24"/>
          <w:szCs w:val="24"/>
          <w:lang w:eastAsia="zh-CN"/>
        </w:rPr>
        <w:t>适应证</w:t>
      </w:r>
      <w:r w:rsidRPr="00250E1C">
        <w:rPr>
          <w:sz w:val="24"/>
          <w:szCs w:val="24"/>
          <w:lang w:eastAsia="zh-CN"/>
        </w:rPr>
        <w:t>（即不用于治疗任何特定前列腺疾病），临床研究应通过证明器械消融</w:t>
      </w:r>
      <w:r w:rsidR="00A35414" w:rsidRPr="00250E1C">
        <w:rPr>
          <w:rFonts w:hint="eastAsia"/>
          <w:sz w:val="24"/>
          <w:szCs w:val="24"/>
          <w:lang w:eastAsia="zh-CN"/>
        </w:rPr>
        <w:t>靶</w:t>
      </w:r>
      <w:r w:rsidRPr="00250E1C">
        <w:rPr>
          <w:sz w:val="24"/>
          <w:szCs w:val="24"/>
          <w:lang w:eastAsia="zh-CN"/>
        </w:rPr>
        <w:t>体积内的组织来</w:t>
      </w:r>
      <w:r w:rsidR="00A35414" w:rsidRPr="00250E1C">
        <w:rPr>
          <w:rFonts w:hint="eastAsia"/>
          <w:sz w:val="24"/>
          <w:szCs w:val="24"/>
          <w:lang w:eastAsia="zh-CN"/>
        </w:rPr>
        <w:t>证明</w:t>
      </w:r>
      <w:r w:rsidR="00A35414" w:rsidRPr="00250E1C">
        <w:rPr>
          <w:sz w:val="24"/>
          <w:szCs w:val="24"/>
          <w:lang w:eastAsia="zh-CN"/>
        </w:rPr>
        <w:t>其</w:t>
      </w:r>
      <w:r w:rsidRPr="00250E1C">
        <w:rPr>
          <w:sz w:val="24"/>
          <w:szCs w:val="24"/>
          <w:lang w:eastAsia="zh-CN"/>
        </w:rPr>
        <w:t>有效性。有效性终点可以直接测量消融范围（例如</w:t>
      </w:r>
      <w:r w:rsidRPr="00E05DD1">
        <w:rPr>
          <w:rFonts w:ascii="宋体" w:hAnsi="宋体"/>
          <w:sz w:val="24"/>
          <w:szCs w:val="24"/>
          <w:lang w:eastAsia="zh-CN"/>
        </w:rPr>
        <w:t>“</w:t>
      </w:r>
      <w:r w:rsidRPr="00250E1C">
        <w:rPr>
          <w:sz w:val="24"/>
          <w:szCs w:val="24"/>
          <w:lang w:eastAsia="zh-CN"/>
        </w:rPr>
        <w:t>治疗和切除</w:t>
      </w:r>
      <w:r w:rsidRPr="00E05DD1">
        <w:rPr>
          <w:rFonts w:ascii="宋体" w:hAnsi="宋体"/>
          <w:sz w:val="24"/>
          <w:szCs w:val="24"/>
          <w:lang w:eastAsia="zh-CN"/>
        </w:rPr>
        <w:t>”</w:t>
      </w:r>
      <w:r w:rsidRPr="00250E1C">
        <w:rPr>
          <w:sz w:val="24"/>
          <w:szCs w:val="24"/>
          <w:lang w:eastAsia="zh-CN"/>
        </w:rPr>
        <w:t>研究队列的组织病理学数据），或者使用前列腺组织消融的以下替代指标的复合指标进行间接测量：</w:t>
      </w:r>
    </w:p>
    <w:p w14:paraId="78B9BD19"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前列腺组织活检的组织学结果，包括整个腺体的</w:t>
      </w:r>
      <w:r w:rsidRPr="00250E1C">
        <w:rPr>
          <w:sz w:val="24"/>
          <w:lang w:eastAsia="zh-CN"/>
        </w:rPr>
        <w:t>12</w:t>
      </w:r>
      <w:r w:rsidRPr="00250E1C">
        <w:rPr>
          <w:sz w:val="24"/>
          <w:lang w:eastAsia="zh-CN"/>
        </w:rPr>
        <w:t>组织芯系统性经直肠活检，侧重于对</w:t>
      </w:r>
      <w:r w:rsidR="00A35414" w:rsidRPr="00250E1C">
        <w:rPr>
          <w:rFonts w:hint="eastAsia"/>
          <w:sz w:val="24"/>
          <w:lang w:eastAsia="zh-CN"/>
        </w:rPr>
        <w:t>靶向</w:t>
      </w:r>
      <w:r w:rsidRPr="00250E1C">
        <w:rPr>
          <w:sz w:val="24"/>
          <w:lang w:eastAsia="zh-CN"/>
        </w:rPr>
        <w:t>消融区进行采样（使用图像引导定位来指导活检）；</w:t>
      </w:r>
    </w:p>
    <w:p w14:paraId="08986B96"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前列腺体积或非灌注体积的超声或</w:t>
      </w:r>
      <w:r w:rsidRPr="00250E1C">
        <w:rPr>
          <w:sz w:val="24"/>
          <w:lang w:eastAsia="zh-CN"/>
        </w:rPr>
        <w:t>MRI</w:t>
      </w:r>
      <w:r w:rsidRPr="00250E1C">
        <w:rPr>
          <w:sz w:val="24"/>
          <w:lang w:eastAsia="zh-CN"/>
        </w:rPr>
        <w:t>随访；和</w:t>
      </w:r>
    </w:p>
    <w:p w14:paraId="5A640493"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lang w:eastAsia="zh-CN"/>
        </w:rPr>
        <w:t>PSA</w:t>
      </w:r>
      <w:r w:rsidRPr="00250E1C">
        <w:rPr>
          <w:sz w:val="24"/>
          <w:lang w:eastAsia="zh-CN"/>
        </w:rPr>
        <w:t>水平。</w:t>
      </w:r>
    </w:p>
    <w:p w14:paraId="4A106640"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FDA</w:t>
      </w:r>
      <w:r w:rsidRPr="00250E1C">
        <w:rPr>
          <w:sz w:val="24"/>
          <w:szCs w:val="24"/>
          <w:lang w:eastAsia="zh-CN"/>
        </w:rPr>
        <w:t>认为，有效性终点（即单个</w:t>
      </w:r>
      <w:r w:rsidRPr="00E05DD1">
        <w:rPr>
          <w:rFonts w:ascii="宋体" w:hAnsi="宋体"/>
          <w:sz w:val="24"/>
          <w:szCs w:val="24"/>
          <w:lang w:eastAsia="zh-CN"/>
        </w:rPr>
        <w:t>“</w:t>
      </w:r>
      <w:r w:rsidRPr="00250E1C">
        <w:rPr>
          <w:sz w:val="24"/>
          <w:szCs w:val="24"/>
          <w:lang w:eastAsia="zh-CN"/>
        </w:rPr>
        <w:t>治疗和切除</w:t>
      </w:r>
      <w:r w:rsidRPr="00E05DD1">
        <w:rPr>
          <w:rFonts w:ascii="宋体" w:hAnsi="宋体"/>
          <w:sz w:val="24"/>
          <w:szCs w:val="24"/>
          <w:lang w:eastAsia="zh-CN"/>
        </w:rPr>
        <w:t>”</w:t>
      </w:r>
      <w:r w:rsidRPr="00250E1C">
        <w:rPr>
          <w:sz w:val="24"/>
          <w:szCs w:val="24"/>
          <w:lang w:eastAsia="zh-CN"/>
        </w:rPr>
        <w:t>组织病理学终点或前列腺活检的组织学结果的三部分复合终点、影像学显示的前列腺体积和</w:t>
      </w:r>
      <w:r w:rsidRPr="00250E1C">
        <w:rPr>
          <w:sz w:val="24"/>
          <w:szCs w:val="24"/>
          <w:lang w:eastAsia="zh-CN"/>
        </w:rPr>
        <w:t>PSA</w:t>
      </w:r>
      <w:r w:rsidRPr="00250E1C">
        <w:rPr>
          <w:sz w:val="24"/>
          <w:szCs w:val="24"/>
          <w:lang w:eastAsia="zh-CN"/>
        </w:rPr>
        <w:t>水平）同样有效。无论使用</w:t>
      </w:r>
      <w:r w:rsidR="00A35414" w:rsidRPr="00250E1C">
        <w:rPr>
          <w:sz w:val="24"/>
          <w:szCs w:val="24"/>
          <w:lang w:eastAsia="zh-CN"/>
        </w:rPr>
        <w:t>哪个</w:t>
      </w:r>
      <w:r w:rsidRPr="00250E1C">
        <w:rPr>
          <w:sz w:val="24"/>
          <w:szCs w:val="24"/>
          <w:lang w:eastAsia="zh-CN"/>
        </w:rPr>
        <w:t>终点，数据应共同提供组织的预期消融范围的证据，以支持上市许可。</w:t>
      </w:r>
    </w:p>
    <w:p w14:paraId="722F7FD6"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FDA</w:t>
      </w:r>
      <w:r w:rsidRPr="00250E1C">
        <w:rPr>
          <w:sz w:val="24"/>
          <w:szCs w:val="24"/>
          <w:lang w:eastAsia="zh-CN"/>
        </w:rPr>
        <w:t>建议</w:t>
      </w:r>
      <w:r w:rsidR="00A35414" w:rsidRPr="00250E1C">
        <w:rPr>
          <w:sz w:val="24"/>
          <w:szCs w:val="24"/>
          <w:lang w:eastAsia="zh-CN"/>
        </w:rPr>
        <w:t>如下</w:t>
      </w:r>
      <w:r w:rsidRPr="00250E1C">
        <w:rPr>
          <w:sz w:val="24"/>
          <w:szCs w:val="24"/>
          <w:lang w:eastAsia="zh-CN"/>
        </w:rPr>
        <w:t>报告研究的适用有效性终点：</w:t>
      </w:r>
    </w:p>
    <w:p w14:paraId="234825BC"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u w:val="single"/>
          <w:lang w:eastAsia="zh-CN"/>
        </w:rPr>
        <w:t>活检结果</w:t>
      </w:r>
      <w:r w:rsidRPr="00250E1C">
        <w:rPr>
          <w:sz w:val="24"/>
          <w:lang w:eastAsia="zh-CN"/>
        </w:rPr>
        <w:t>：报告消融后活检</w:t>
      </w:r>
      <w:r w:rsidR="00A35414" w:rsidRPr="00250E1C">
        <w:rPr>
          <w:sz w:val="24"/>
          <w:lang w:eastAsia="zh-CN"/>
        </w:rPr>
        <w:t>为</w:t>
      </w:r>
      <w:r w:rsidRPr="00250E1C">
        <w:rPr>
          <w:sz w:val="24"/>
          <w:lang w:eastAsia="zh-CN"/>
        </w:rPr>
        <w:t>阴性的患者百分比。对于该终点，阴性活检率分析只应包含在</w:t>
      </w:r>
      <w:r w:rsidR="00A35414" w:rsidRPr="00250E1C">
        <w:rPr>
          <w:rFonts w:hint="eastAsia"/>
          <w:sz w:val="24"/>
          <w:lang w:eastAsia="zh-CN"/>
        </w:rPr>
        <w:t>靶向</w:t>
      </w:r>
      <w:r w:rsidRPr="00250E1C">
        <w:rPr>
          <w:sz w:val="24"/>
          <w:lang w:eastAsia="zh-CN"/>
        </w:rPr>
        <w:t>消融区内采集的活检组织芯，消融后活检信息</w:t>
      </w:r>
      <w:r w:rsidR="00A35414" w:rsidRPr="00250E1C">
        <w:rPr>
          <w:sz w:val="24"/>
          <w:lang w:eastAsia="zh-CN"/>
        </w:rPr>
        <w:t>缺失</w:t>
      </w:r>
      <w:r w:rsidRPr="00250E1C">
        <w:rPr>
          <w:sz w:val="24"/>
          <w:lang w:eastAsia="zh-CN"/>
        </w:rPr>
        <w:t>的患者应计为</w:t>
      </w:r>
      <w:r w:rsidRPr="00E05DD1">
        <w:rPr>
          <w:rFonts w:ascii="宋体" w:hAnsi="宋体"/>
          <w:sz w:val="24"/>
          <w:lang w:eastAsia="zh-CN"/>
        </w:rPr>
        <w:t>“</w:t>
      </w:r>
      <w:r w:rsidRPr="00250E1C">
        <w:rPr>
          <w:sz w:val="24"/>
          <w:lang w:eastAsia="zh-CN"/>
        </w:rPr>
        <w:t>阳性</w:t>
      </w:r>
      <w:r w:rsidRPr="00E05DD1">
        <w:rPr>
          <w:rFonts w:ascii="宋体" w:hAnsi="宋体"/>
          <w:sz w:val="24"/>
          <w:lang w:eastAsia="zh-CN"/>
        </w:rPr>
        <w:t>”</w:t>
      </w:r>
      <w:r w:rsidRPr="00250E1C">
        <w:rPr>
          <w:sz w:val="24"/>
          <w:lang w:eastAsia="zh-CN"/>
        </w:rPr>
        <w:t>；</w:t>
      </w:r>
    </w:p>
    <w:p w14:paraId="21DC73D7" w14:textId="77777777" w:rsidR="00CE5FB1" w:rsidRDefault="009A3411" w:rsidP="0011487A">
      <w:pPr>
        <w:numPr>
          <w:ilvl w:val="0"/>
          <w:numId w:val="4"/>
        </w:numPr>
        <w:snapToGrid w:val="0"/>
        <w:spacing w:beforeLines="50" w:before="120" w:afterLines="50" w:after="120"/>
        <w:ind w:left="1131" w:hanging="425"/>
        <w:jc w:val="both"/>
        <w:rPr>
          <w:lang w:eastAsia="zh-CN"/>
        </w:rPr>
      </w:pPr>
      <w:r w:rsidRPr="00250E1C">
        <w:rPr>
          <w:sz w:val="24"/>
          <w:szCs w:val="24"/>
          <w:lang w:eastAsia="zh-CN"/>
        </w:rPr>
        <w:t>应在原始行数据列表中报告以下活检信息：活检日期、采集的组织芯总数、每个组织芯相对于</w:t>
      </w:r>
      <w:r w:rsidR="00695BD4" w:rsidRPr="00250E1C">
        <w:rPr>
          <w:rFonts w:hint="eastAsia"/>
          <w:sz w:val="24"/>
          <w:szCs w:val="24"/>
          <w:lang w:eastAsia="zh-CN"/>
        </w:rPr>
        <w:t>靶向</w:t>
      </w:r>
      <w:r w:rsidRPr="00250E1C">
        <w:rPr>
          <w:sz w:val="24"/>
          <w:szCs w:val="24"/>
          <w:lang w:eastAsia="zh-CN"/>
        </w:rPr>
        <w:t>消融区的位置（即</w:t>
      </w:r>
      <w:r w:rsidR="00695BD4" w:rsidRPr="00250E1C">
        <w:rPr>
          <w:rFonts w:hint="eastAsia"/>
          <w:sz w:val="24"/>
          <w:szCs w:val="24"/>
          <w:lang w:eastAsia="zh-CN"/>
        </w:rPr>
        <w:t>靶向</w:t>
      </w:r>
      <w:r w:rsidRPr="00250E1C">
        <w:rPr>
          <w:sz w:val="24"/>
          <w:szCs w:val="24"/>
          <w:lang w:eastAsia="zh-CN"/>
        </w:rPr>
        <w:t>区</w:t>
      </w:r>
      <w:r w:rsidRPr="00E05DD1">
        <w:rPr>
          <w:rFonts w:ascii="宋体" w:hAnsi="宋体"/>
          <w:sz w:val="24"/>
          <w:szCs w:val="24"/>
          <w:lang w:eastAsia="zh-CN"/>
        </w:rPr>
        <w:t>“</w:t>
      </w:r>
      <w:r w:rsidRPr="00250E1C">
        <w:rPr>
          <w:sz w:val="24"/>
          <w:szCs w:val="24"/>
          <w:lang w:eastAsia="zh-CN"/>
        </w:rPr>
        <w:t>内</w:t>
      </w:r>
      <w:r w:rsidRPr="00E05DD1">
        <w:rPr>
          <w:rFonts w:ascii="宋体" w:hAnsi="宋体"/>
          <w:sz w:val="24"/>
          <w:szCs w:val="24"/>
          <w:lang w:eastAsia="zh-CN"/>
        </w:rPr>
        <w:t>”</w:t>
      </w:r>
      <w:r w:rsidRPr="00250E1C">
        <w:rPr>
          <w:sz w:val="24"/>
          <w:szCs w:val="24"/>
          <w:lang w:eastAsia="zh-CN"/>
        </w:rPr>
        <w:t>或</w:t>
      </w:r>
      <w:r w:rsidRPr="00E05DD1">
        <w:rPr>
          <w:rFonts w:ascii="宋体" w:hAnsi="宋体"/>
          <w:sz w:val="24"/>
          <w:szCs w:val="24"/>
          <w:lang w:eastAsia="zh-CN"/>
        </w:rPr>
        <w:t>“</w:t>
      </w:r>
      <w:r w:rsidRPr="00250E1C">
        <w:rPr>
          <w:sz w:val="24"/>
          <w:szCs w:val="24"/>
          <w:lang w:eastAsia="zh-CN"/>
        </w:rPr>
        <w:t>外</w:t>
      </w:r>
      <w:r w:rsidRPr="00E05DD1">
        <w:rPr>
          <w:rFonts w:ascii="宋体" w:hAnsi="宋体"/>
          <w:sz w:val="24"/>
          <w:szCs w:val="24"/>
          <w:lang w:eastAsia="zh-CN"/>
        </w:rPr>
        <w:t>”</w:t>
      </w:r>
      <w:r w:rsidRPr="00250E1C">
        <w:rPr>
          <w:sz w:val="24"/>
          <w:szCs w:val="24"/>
          <w:lang w:eastAsia="zh-CN"/>
        </w:rPr>
        <w:t>）、阳性组织芯数量、每个阳性组织芯的</w:t>
      </w:r>
      <w:r w:rsidRPr="00250E1C">
        <w:rPr>
          <w:sz w:val="24"/>
          <w:szCs w:val="24"/>
          <w:lang w:eastAsia="zh-CN"/>
        </w:rPr>
        <w:t>Gleason</w:t>
      </w:r>
      <w:r w:rsidRPr="00250E1C">
        <w:rPr>
          <w:sz w:val="24"/>
          <w:szCs w:val="24"/>
          <w:lang w:eastAsia="zh-CN"/>
        </w:rPr>
        <w:t>评分及总分；</w:t>
      </w:r>
    </w:p>
    <w:p w14:paraId="2154D114"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u w:val="single"/>
          <w:lang w:val="fr-FR" w:eastAsia="zh-CN"/>
        </w:rPr>
      </w:pPr>
      <w:r w:rsidRPr="00250E1C">
        <w:rPr>
          <w:sz w:val="24"/>
          <w:u w:val="single"/>
          <w:lang w:eastAsia="zh-CN"/>
        </w:rPr>
        <w:t>前列腺体积结果</w:t>
      </w:r>
      <w:r w:rsidR="00862B46" w:rsidRPr="0011487A">
        <w:rPr>
          <w:rFonts w:hint="eastAsia"/>
          <w:sz w:val="24"/>
          <w:lang w:val="fr-FR"/>
        </w:rPr>
        <w:t>：</w:t>
      </w:r>
    </w:p>
    <w:p w14:paraId="4DE5BB2A" w14:textId="77777777" w:rsidR="007A1EFF" w:rsidRPr="00250E1C" w:rsidRDefault="00721E55" w:rsidP="000856AF">
      <w:pPr>
        <w:tabs>
          <w:tab w:val="left" w:pos="173"/>
        </w:tabs>
        <w:snapToGrid w:val="0"/>
        <w:spacing w:beforeLines="50" w:before="120" w:afterLines="50" w:after="120"/>
        <w:jc w:val="both"/>
        <w:rPr>
          <w:sz w:val="24"/>
        </w:rPr>
      </w:pPr>
      <w:r w:rsidRPr="00250E1C">
        <w:rPr>
          <w:sz w:val="24"/>
          <w:lang w:eastAsia="zh-CN"/>
        </w:rPr>
        <w:br w:type="page"/>
      </w:r>
    </w:p>
    <w:p w14:paraId="014A1E5E" w14:textId="77777777" w:rsidR="00CE5FB1" w:rsidRDefault="009A3411" w:rsidP="0011487A">
      <w:pPr>
        <w:numPr>
          <w:ilvl w:val="0"/>
          <w:numId w:val="4"/>
        </w:numPr>
        <w:snapToGrid w:val="0"/>
        <w:spacing w:beforeLines="50" w:before="120" w:afterLines="50" w:after="120"/>
        <w:ind w:left="1131" w:hanging="425"/>
        <w:jc w:val="both"/>
        <w:rPr>
          <w:lang w:eastAsia="zh-CN"/>
        </w:rPr>
      </w:pPr>
      <w:r w:rsidRPr="000015E4">
        <w:rPr>
          <w:sz w:val="24"/>
          <w:szCs w:val="24"/>
          <w:lang w:eastAsia="zh-CN"/>
        </w:rPr>
        <w:t>根据消融前后成像（例如超声、</w:t>
      </w:r>
      <w:r w:rsidRPr="000015E4">
        <w:rPr>
          <w:sz w:val="24"/>
          <w:szCs w:val="24"/>
          <w:lang w:eastAsia="zh-CN"/>
        </w:rPr>
        <w:t>MRI</w:t>
      </w:r>
      <w:r w:rsidRPr="000015E4">
        <w:rPr>
          <w:sz w:val="24"/>
          <w:szCs w:val="24"/>
          <w:lang w:eastAsia="zh-CN"/>
        </w:rPr>
        <w:t>）报告总前列腺体积的减小百分比（与基线相比）。对于该终点，消融前后测量结果</w:t>
      </w:r>
      <w:r w:rsidR="00695BD4" w:rsidRPr="000015E4">
        <w:rPr>
          <w:sz w:val="24"/>
          <w:szCs w:val="24"/>
          <w:lang w:eastAsia="zh-CN"/>
        </w:rPr>
        <w:t>缺失</w:t>
      </w:r>
      <w:r w:rsidRPr="000015E4">
        <w:rPr>
          <w:sz w:val="24"/>
          <w:szCs w:val="24"/>
          <w:lang w:eastAsia="zh-CN"/>
        </w:rPr>
        <w:t>的男性应计为体积变化为零；或</w:t>
      </w:r>
    </w:p>
    <w:p w14:paraId="137BA30A" w14:textId="77777777" w:rsidR="00CE5FB1" w:rsidRDefault="009A3411" w:rsidP="0011487A">
      <w:pPr>
        <w:numPr>
          <w:ilvl w:val="0"/>
          <w:numId w:val="4"/>
        </w:numPr>
        <w:snapToGrid w:val="0"/>
        <w:spacing w:beforeLines="50" w:before="120" w:afterLines="50" w:after="120"/>
        <w:ind w:left="1131" w:hanging="425"/>
        <w:jc w:val="both"/>
        <w:rPr>
          <w:lang w:eastAsia="zh-CN"/>
        </w:rPr>
      </w:pPr>
      <w:r w:rsidRPr="000015E4">
        <w:rPr>
          <w:sz w:val="24"/>
          <w:szCs w:val="24"/>
          <w:lang w:eastAsia="zh-CN"/>
        </w:rPr>
        <w:t>根据消融后成像（例如超声和</w:t>
      </w:r>
      <w:r w:rsidRPr="000015E4">
        <w:rPr>
          <w:sz w:val="24"/>
          <w:szCs w:val="24"/>
          <w:lang w:eastAsia="zh-CN"/>
        </w:rPr>
        <w:t>MRI</w:t>
      </w:r>
      <w:r w:rsidRPr="000015E4">
        <w:rPr>
          <w:sz w:val="24"/>
          <w:szCs w:val="24"/>
          <w:lang w:eastAsia="zh-CN"/>
        </w:rPr>
        <w:t>），对非灌注前列腺组织的体积与</w:t>
      </w:r>
      <w:r w:rsidR="00695BD4" w:rsidRPr="000015E4">
        <w:rPr>
          <w:rFonts w:hint="eastAsia"/>
          <w:sz w:val="24"/>
          <w:szCs w:val="24"/>
          <w:lang w:eastAsia="zh-CN"/>
        </w:rPr>
        <w:t>靶</w:t>
      </w:r>
      <w:r w:rsidRPr="000015E4">
        <w:rPr>
          <w:sz w:val="24"/>
          <w:szCs w:val="24"/>
          <w:lang w:eastAsia="zh-CN"/>
        </w:rPr>
        <w:t>消融体积进行比较。对于该终点，应使用统计学有效的方法对缺失的非灌注体积测量结果进行保守计算；</w:t>
      </w:r>
    </w:p>
    <w:p w14:paraId="092A7487"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250E1C">
        <w:rPr>
          <w:sz w:val="24"/>
          <w:u w:val="single"/>
          <w:lang w:eastAsia="zh-CN"/>
        </w:rPr>
        <w:t>PSA</w:t>
      </w:r>
      <w:r w:rsidRPr="00250E1C">
        <w:rPr>
          <w:sz w:val="24"/>
          <w:u w:val="single"/>
          <w:lang w:eastAsia="zh-CN"/>
        </w:rPr>
        <w:t>水平</w:t>
      </w:r>
      <w:r w:rsidRPr="00250E1C">
        <w:rPr>
          <w:sz w:val="24"/>
          <w:lang w:eastAsia="zh-CN"/>
        </w:rPr>
        <w:t>：报告</w:t>
      </w:r>
      <w:r w:rsidRPr="00250E1C">
        <w:rPr>
          <w:sz w:val="24"/>
          <w:lang w:eastAsia="zh-CN"/>
        </w:rPr>
        <w:t>PSA</w:t>
      </w:r>
      <w:r w:rsidRPr="00250E1C">
        <w:rPr>
          <w:sz w:val="24"/>
          <w:lang w:eastAsia="zh-CN"/>
        </w:rPr>
        <w:t>水平</w:t>
      </w:r>
      <w:r w:rsidR="00695BD4" w:rsidRPr="00250E1C">
        <w:rPr>
          <w:rFonts w:hint="eastAsia"/>
          <w:sz w:val="24"/>
          <w:lang w:eastAsia="zh-CN"/>
        </w:rPr>
        <w:t>较</w:t>
      </w:r>
      <w:r w:rsidRPr="00250E1C">
        <w:rPr>
          <w:sz w:val="24"/>
          <w:lang w:eastAsia="zh-CN"/>
        </w:rPr>
        <w:t>基线</w:t>
      </w:r>
      <w:r w:rsidR="00695BD4" w:rsidRPr="00250E1C">
        <w:rPr>
          <w:rFonts w:hint="eastAsia"/>
          <w:sz w:val="24"/>
          <w:lang w:eastAsia="zh-CN"/>
        </w:rPr>
        <w:t>下降</w:t>
      </w:r>
      <w:r w:rsidRPr="00250E1C">
        <w:rPr>
          <w:sz w:val="24"/>
          <w:lang w:eastAsia="zh-CN"/>
        </w:rPr>
        <w:t>的总体百分比。此外，有关全腺体消融的研究应报告达到预定消融后</w:t>
      </w:r>
      <w:r w:rsidRPr="00250E1C">
        <w:rPr>
          <w:sz w:val="24"/>
          <w:lang w:eastAsia="zh-CN"/>
        </w:rPr>
        <w:t>PSA</w:t>
      </w:r>
      <w:r w:rsidRPr="00250E1C">
        <w:rPr>
          <w:sz w:val="24"/>
          <w:lang w:eastAsia="zh-CN"/>
        </w:rPr>
        <w:t>最低点的患者百分比（即消融后测量的最低</w:t>
      </w:r>
      <w:r w:rsidRPr="00250E1C">
        <w:rPr>
          <w:sz w:val="24"/>
          <w:lang w:eastAsia="zh-CN"/>
        </w:rPr>
        <w:t>PSA</w:t>
      </w:r>
      <w:r w:rsidRPr="00250E1C">
        <w:rPr>
          <w:sz w:val="24"/>
          <w:lang w:eastAsia="zh-CN"/>
        </w:rPr>
        <w:t>水平）。对于该终点，缺失</w:t>
      </w:r>
      <w:r w:rsidR="00695BD4" w:rsidRPr="00250E1C">
        <w:rPr>
          <w:sz w:val="24"/>
          <w:lang w:eastAsia="zh-CN"/>
        </w:rPr>
        <w:t>的</w:t>
      </w:r>
      <w:r w:rsidRPr="00250E1C">
        <w:rPr>
          <w:sz w:val="24"/>
          <w:lang w:eastAsia="zh-CN"/>
        </w:rPr>
        <w:t>PSA</w:t>
      </w:r>
      <w:r w:rsidRPr="00250E1C">
        <w:rPr>
          <w:sz w:val="24"/>
          <w:lang w:eastAsia="zh-CN"/>
        </w:rPr>
        <w:t>数据应使用统计学有效的方法进行保守计算；和</w:t>
      </w:r>
    </w:p>
    <w:p w14:paraId="3CC51F5F" w14:textId="77777777" w:rsidR="00CE5FB1" w:rsidRDefault="00721E55" w:rsidP="0011487A">
      <w:pPr>
        <w:pStyle w:val="x"/>
        <w:numPr>
          <w:ilvl w:val="0"/>
          <w:numId w:val="1"/>
        </w:numPr>
        <w:tabs>
          <w:tab w:val="clear" w:pos="709"/>
        </w:tabs>
        <w:spacing w:before="120" w:afterLines="50" w:after="120"/>
        <w:ind w:leftChars="0" w:left="748" w:firstLineChars="0" w:hanging="322"/>
        <w:rPr>
          <w:sz w:val="24"/>
          <w:lang w:eastAsia="zh-CN"/>
        </w:rPr>
      </w:pPr>
      <w:r w:rsidRPr="00E05DD1">
        <w:rPr>
          <w:rFonts w:ascii="宋体" w:hAnsi="宋体"/>
          <w:sz w:val="24"/>
          <w:u w:val="single"/>
          <w:lang w:eastAsia="zh-CN"/>
        </w:rPr>
        <w:t>“</w:t>
      </w:r>
      <w:r w:rsidRPr="00250E1C">
        <w:rPr>
          <w:sz w:val="24"/>
          <w:u w:val="single"/>
          <w:lang w:eastAsia="zh-CN"/>
        </w:rPr>
        <w:t>治疗和切除</w:t>
      </w:r>
      <w:r w:rsidRPr="00E05DD1">
        <w:rPr>
          <w:rFonts w:ascii="宋体" w:hAnsi="宋体"/>
          <w:sz w:val="24"/>
          <w:u w:val="single"/>
          <w:lang w:eastAsia="zh-CN"/>
        </w:rPr>
        <w:t>”</w:t>
      </w:r>
      <w:r w:rsidR="00862B46" w:rsidRPr="0011487A">
        <w:rPr>
          <w:rFonts w:hint="eastAsia"/>
          <w:sz w:val="24"/>
          <w:u w:val="single"/>
          <w:lang w:eastAsia="zh-CN"/>
        </w:rPr>
        <w:t>组织病理学结果</w:t>
      </w:r>
      <w:r w:rsidRPr="00250E1C">
        <w:rPr>
          <w:sz w:val="24"/>
          <w:lang w:eastAsia="zh-CN"/>
        </w:rPr>
        <w:t>：报告目标区域内活体组织的范围</w:t>
      </w:r>
      <w:r w:rsidRPr="00250E1C">
        <w:rPr>
          <w:sz w:val="24"/>
          <w:lang w:eastAsia="zh-CN"/>
        </w:rPr>
        <w:t>/</w:t>
      </w:r>
      <w:r w:rsidRPr="00250E1C">
        <w:rPr>
          <w:sz w:val="24"/>
          <w:lang w:eastAsia="zh-CN"/>
        </w:rPr>
        <w:t>体积百分比。</w:t>
      </w:r>
    </w:p>
    <w:p w14:paraId="715143CE"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如果在</w:t>
      </w:r>
      <w:r w:rsidRPr="00E05DD1">
        <w:rPr>
          <w:rFonts w:ascii="宋体" w:hAnsi="宋体"/>
          <w:sz w:val="24"/>
          <w:szCs w:val="24"/>
          <w:lang w:eastAsia="zh-CN"/>
        </w:rPr>
        <w:t>“</w:t>
      </w:r>
      <w:r w:rsidRPr="00250E1C">
        <w:rPr>
          <w:sz w:val="24"/>
          <w:szCs w:val="24"/>
          <w:lang w:eastAsia="zh-CN"/>
        </w:rPr>
        <w:t>治疗和切除</w:t>
      </w:r>
      <w:r w:rsidRPr="00E05DD1">
        <w:rPr>
          <w:rFonts w:ascii="宋体" w:hAnsi="宋体"/>
          <w:sz w:val="24"/>
          <w:szCs w:val="24"/>
          <w:lang w:eastAsia="zh-CN"/>
        </w:rPr>
        <w:t>”</w:t>
      </w:r>
      <w:r w:rsidRPr="00250E1C">
        <w:rPr>
          <w:sz w:val="24"/>
          <w:szCs w:val="24"/>
          <w:lang w:eastAsia="zh-CN"/>
        </w:rPr>
        <w:t>研究中评估了有效性，则无法确定这些患者的后续不良事件是否是消融术或后续根治性前列腺切除术导致的。为此，</w:t>
      </w:r>
      <w:r w:rsidR="00695BD4" w:rsidRPr="00250E1C">
        <w:rPr>
          <w:sz w:val="24"/>
          <w:szCs w:val="24"/>
          <w:lang w:eastAsia="zh-CN"/>
        </w:rPr>
        <w:t>应在一个单独的队列中</w:t>
      </w:r>
      <w:r w:rsidR="00695BD4" w:rsidRPr="00250E1C">
        <w:rPr>
          <w:rFonts w:hint="eastAsia"/>
          <w:sz w:val="24"/>
          <w:szCs w:val="24"/>
          <w:lang w:eastAsia="zh-CN"/>
        </w:rPr>
        <w:t>评估</w:t>
      </w:r>
      <w:r w:rsidRPr="00250E1C">
        <w:rPr>
          <w:sz w:val="24"/>
          <w:szCs w:val="24"/>
          <w:lang w:eastAsia="zh-CN"/>
        </w:rPr>
        <w:t>使用消融器械进行类似治疗并在消融后</w:t>
      </w:r>
      <w:r w:rsidR="00695BD4" w:rsidRPr="00250E1C">
        <w:rPr>
          <w:sz w:val="24"/>
          <w:szCs w:val="24"/>
          <w:lang w:eastAsia="zh-CN"/>
        </w:rPr>
        <w:t>预先</w:t>
      </w:r>
      <w:r w:rsidRPr="00250E1C">
        <w:rPr>
          <w:sz w:val="24"/>
          <w:szCs w:val="24"/>
          <w:lang w:eastAsia="zh-CN"/>
        </w:rPr>
        <w:t>随访</w:t>
      </w:r>
      <w:r w:rsidRPr="00250E1C">
        <w:rPr>
          <w:sz w:val="24"/>
          <w:szCs w:val="24"/>
          <w:lang w:eastAsia="zh-CN"/>
        </w:rPr>
        <w:t>1</w:t>
      </w:r>
      <w:r w:rsidRPr="00250E1C">
        <w:rPr>
          <w:sz w:val="24"/>
          <w:szCs w:val="24"/>
          <w:lang w:eastAsia="zh-CN"/>
        </w:rPr>
        <w:t>年的患者</w:t>
      </w:r>
      <w:r w:rsidR="00695BD4" w:rsidRPr="00250E1C">
        <w:rPr>
          <w:sz w:val="24"/>
          <w:szCs w:val="24"/>
          <w:lang w:eastAsia="zh-CN"/>
        </w:rPr>
        <w:t>的</w:t>
      </w:r>
      <w:r w:rsidRPr="00250E1C">
        <w:rPr>
          <w:sz w:val="24"/>
          <w:szCs w:val="24"/>
          <w:lang w:eastAsia="zh-CN"/>
        </w:rPr>
        <w:t>安全性。该队列的安全性评估应遵循以上第</w:t>
      </w:r>
      <w:hyperlink w:anchor="bookmark19" w:tooltip="当前文件">
        <w:r w:rsidRPr="00250E1C">
          <w:rPr>
            <w:sz w:val="24"/>
            <w:szCs w:val="24"/>
            <w:lang w:eastAsia="zh-CN"/>
          </w:rPr>
          <w:t>IV.B</w:t>
        </w:r>
      </w:hyperlink>
      <w:r w:rsidRPr="00250E1C">
        <w:rPr>
          <w:sz w:val="24"/>
          <w:szCs w:val="24"/>
          <w:lang w:eastAsia="zh-CN"/>
        </w:rPr>
        <w:t>、</w:t>
      </w:r>
      <w:hyperlink w:anchor="bookmark21" w:tooltip="当前文件">
        <w:r w:rsidRPr="00250E1C">
          <w:rPr>
            <w:sz w:val="24"/>
            <w:szCs w:val="24"/>
            <w:lang w:eastAsia="zh-CN"/>
          </w:rPr>
          <w:t>C</w:t>
        </w:r>
      </w:hyperlink>
      <w:r w:rsidRPr="00250E1C">
        <w:rPr>
          <w:sz w:val="24"/>
          <w:szCs w:val="24"/>
          <w:lang w:eastAsia="zh-CN"/>
        </w:rPr>
        <w:t>和</w:t>
      </w:r>
      <w:hyperlink w:anchor="bookmark27" w:tooltip="当前文件">
        <w:r w:rsidRPr="00250E1C">
          <w:rPr>
            <w:sz w:val="24"/>
            <w:szCs w:val="24"/>
            <w:lang w:eastAsia="zh-CN"/>
          </w:rPr>
          <w:t>G</w:t>
        </w:r>
        <w:r w:rsidRPr="00250E1C">
          <w:rPr>
            <w:sz w:val="24"/>
            <w:szCs w:val="24"/>
            <w:lang w:eastAsia="zh-CN"/>
          </w:rPr>
          <w:t>节</w:t>
        </w:r>
      </w:hyperlink>
      <w:r w:rsidRPr="00250E1C">
        <w:rPr>
          <w:sz w:val="24"/>
          <w:szCs w:val="24"/>
          <w:lang w:eastAsia="zh-CN"/>
        </w:rPr>
        <w:t>中的建议。在此情况下，您应证明，</w:t>
      </w:r>
      <w:r w:rsidRPr="00E05DD1">
        <w:rPr>
          <w:rFonts w:ascii="宋体" w:hAnsi="宋体"/>
          <w:sz w:val="24"/>
          <w:szCs w:val="24"/>
          <w:lang w:eastAsia="zh-CN"/>
        </w:rPr>
        <w:t>“</w:t>
      </w:r>
      <w:r w:rsidRPr="00250E1C">
        <w:rPr>
          <w:sz w:val="24"/>
          <w:szCs w:val="24"/>
          <w:lang w:eastAsia="zh-CN"/>
        </w:rPr>
        <w:t>治疗和切除</w:t>
      </w:r>
      <w:r w:rsidRPr="00E05DD1">
        <w:rPr>
          <w:rFonts w:ascii="宋体" w:hAnsi="宋体"/>
          <w:sz w:val="24"/>
          <w:szCs w:val="24"/>
          <w:lang w:eastAsia="zh-CN"/>
        </w:rPr>
        <w:t>”</w:t>
      </w:r>
      <w:r w:rsidRPr="00250E1C">
        <w:rPr>
          <w:sz w:val="24"/>
          <w:szCs w:val="24"/>
          <w:lang w:eastAsia="zh-CN"/>
        </w:rPr>
        <w:t>和安全性队列的患者人口统计学、疾病特征、前列腺治疗史和消融范围（例如全腺体消融、半消融、局部消融）相似。</w:t>
      </w:r>
    </w:p>
    <w:p w14:paraId="55A33883" w14:textId="77777777" w:rsidR="00CE5FB1" w:rsidRDefault="00CE5FB1" w:rsidP="0011487A">
      <w:pPr>
        <w:tabs>
          <w:tab w:val="left" w:pos="1082"/>
        </w:tabs>
        <w:snapToGrid w:val="0"/>
        <w:spacing w:beforeLines="50" w:before="120" w:afterLines="50" w:after="120"/>
        <w:jc w:val="both"/>
        <w:rPr>
          <w:b/>
          <w:bCs/>
          <w:sz w:val="24"/>
          <w:szCs w:val="24"/>
          <w:lang w:eastAsia="zh-CN"/>
        </w:rPr>
      </w:pPr>
      <w:bookmarkStart w:id="26" w:name="bookmark34"/>
    </w:p>
    <w:p w14:paraId="71BBCB09" w14:textId="77777777" w:rsidR="00CE5FB1" w:rsidRDefault="00721E55" w:rsidP="0011487A">
      <w:pPr>
        <w:pStyle w:val="m2"/>
        <w:spacing w:before="120" w:after="120"/>
      </w:pPr>
      <w:r w:rsidRPr="00250E1C">
        <w:t>I.</w:t>
      </w:r>
      <w:r w:rsidRPr="00250E1C">
        <w:tab/>
      </w:r>
      <w:r w:rsidRPr="00250E1C">
        <w:t>统计分析注意事项</w:t>
      </w:r>
      <w:bookmarkEnd w:id="26"/>
    </w:p>
    <w:p w14:paraId="4C69031E"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应利用意向治疗（</w:t>
      </w:r>
      <w:r w:rsidRPr="00250E1C">
        <w:rPr>
          <w:sz w:val="24"/>
          <w:szCs w:val="24"/>
          <w:lang w:eastAsia="zh-CN"/>
        </w:rPr>
        <w:t>ITT</w:t>
      </w:r>
      <w:r w:rsidRPr="00250E1C">
        <w:rPr>
          <w:sz w:val="24"/>
          <w:szCs w:val="24"/>
          <w:lang w:eastAsia="zh-CN"/>
        </w:rPr>
        <w:t>）法分析安全性和有效性终点。应报告并证明缺失数据的程度。</w:t>
      </w:r>
    </w:p>
    <w:p w14:paraId="73A970A2" w14:textId="77777777" w:rsidR="00CE5FB1" w:rsidRDefault="00721E55" w:rsidP="0011487A">
      <w:pPr>
        <w:snapToGrid w:val="0"/>
        <w:spacing w:beforeLines="50" w:before="120" w:afterLines="50" w:after="120"/>
        <w:ind w:firstLineChars="200" w:firstLine="480"/>
        <w:jc w:val="both"/>
        <w:rPr>
          <w:sz w:val="24"/>
          <w:szCs w:val="24"/>
          <w:lang w:eastAsia="zh-CN"/>
        </w:rPr>
      </w:pPr>
      <w:r w:rsidRPr="00250E1C">
        <w:rPr>
          <w:sz w:val="24"/>
          <w:szCs w:val="24"/>
          <w:lang w:eastAsia="zh-CN"/>
        </w:rPr>
        <w:t>对于每个有效性终点，应在完整的试验报告中报告平均值和</w:t>
      </w:r>
      <w:r w:rsidRPr="00250E1C">
        <w:rPr>
          <w:sz w:val="24"/>
          <w:szCs w:val="24"/>
          <w:lang w:eastAsia="zh-CN"/>
        </w:rPr>
        <w:t>95%</w:t>
      </w:r>
      <w:r w:rsidRPr="00250E1C">
        <w:rPr>
          <w:sz w:val="24"/>
          <w:szCs w:val="24"/>
          <w:lang w:eastAsia="zh-CN"/>
        </w:rPr>
        <w:t>置信区间。应将安全性和有效性终点与现有前列腺消融器械报告的安全性和有效性终点（内部或外部对照）进行比较，以在临床上证明前列腺消融</w:t>
      </w:r>
      <w:r w:rsidR="006B7F24">
        <w:rPr>
          <w:sz w:val="24"/>
          <w:szCs w:val="24"/>
          <w:lang w:eastAsia="zh-CN"/>
        </w:rPr>
        <w:t>申请器械</w:t>
      </w:r>
      <w:r w:rsidRPr="00250E1C">
        <w:rPr>
          <w:sz w:val="24"/>
          <w:szCs w:val="24"/>
          <w:lang w:eastAsia="zh-CN"/>
        </w:rPr>
        <w:t>具有等效或更好的获益</w:t>
      </w:r>
      <w:r w:rsidRPr="00250E1C">
        <w:rPr>
          <w:sz w:val="24"/>
          <w:szCs w:val="24"/>
          <w:lang w:eastAsia="zh-CN"/>
        </w:rPr>
        <w:t>-</w:t>
      </w:r>
      <w:r w:rsidRPr="00250E1C">
        <w:rPr>
          <w:sz w:val="24"/>
          <w:szCs w:val="24"/>
          <w:lang w:eastAsia="zh-CN"/>
        </w:rPr>
        <w:t>风险特征。</w:t>
      </w:r>
    </w:p>
    <w:sectPr w:rsidR="00CE5FB1" w:rsidSect="0011487A">
      <w:footerReference w:type="default" r:id="rId24"/>
      <w:pgSz w:w="11907" w:h="16840" w:code="9"/>
      <w:pgMar w:top="1134" w:right="1134" w:bottom="1134" w:left="1418" w:header="567" w:footer="567" w:gutter="0"/>
      <w:pgNumType w:start="1"/>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小 倩" w:date="2022-08-08T11:41:00Z" w:initials="小">
    <w:p w14:paraId="7F3E6BDB" w14:textId="77777777" w:rsidR="000856AF" w:rsidRDefault="000856AF" w:rsidP="000856AF">
      <w:pPr>
        <w:pStyle w:val="af0"/>
        <w:rPr>
          <w:lang w:eastAsia="zh-CN"/>
        </w:rPr>
      </w:pPr>
      <w:r>
        <w:rPr>
          <w:rStyle w:val="af"/>
        </w:rPr>
        <w:annotationRef/>
      </w:r>
      <w:r>
        <w:rPr>
          <w:rFonts w:hint="eastAsia"/>
          <w:lang w:eastAsia="zh-CN"/>
        </w:rPr>
        <w:t>漏一词，应是满足适用的情形和法规的要求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3E6BD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FCC76" w14:textId="77777777" w:rsidR="005002C8" w:rsidRDefault="005002C8" w:rsidP="007A1EFF">
      <w:r>
        <w:separator/>
      </w:r>
    </w:p>
  </w:endnote>
  <w:endnote w:type="continuationSeparator" w:id="0">
    <w:p w14:paraId="2018B112" w14:textId="77777777" w:rsidR="005002C8" w:rsidRDefault="005002C8" w:rsidP="007A1EFF">
      <w:r>
        <w:continuationSeparator/>
      </w:r>
    </w:p>
  </w:endnote>
  <w:endnote w:type="continuationNotice" w:id="1">
    <w:p w14:paraId="36FBC510" w14:textId="77777777" w:rsidR="005002C8" w:rsidRDefault="00500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7F83F" w14:textId="0E9FE033" w:rsidR="007E600D" w:rsidRPr="009A3411" w:rsidRDefault="00862B46" w:rsidP="009A3411">
    <w:pPr>
      <w:pStyle w:val="a6"/>
      <w:jc w:val="right"/>
      <w:rPr>
        <w:sz w:val="21"/>
        <w:szCs w:val="21"/>
      </w:rPr>
    </w:pPr>
    <w:r>
      <w:rPr>
        <w:sz w:val="21"/>
        <w:szCs w:val="21"/>
        <w:lang w:eastAsia="zh-CN"/>
      </w:rPr>
      <w:fldChar w:fldCharType="begin"/>
    </w:r>
    <w:r w:rsidR="007E600D">
      <w:rPr>
        <w:sz w:val="21"/>
        <w:szCs w:val="21"/>
        <w:lang w:eastAsia="zh-CN"/>
      </w:rPr>
      <w:instrText xml:space="preserve"> PAGE   \* MERGEFORMAT </w:instrText>
    </w:r>
    <w:r>
      <w:rPr>
        <w:sz w:val="21"/>
        <w:szCs w:val="21"/>
        <w:lang w:eastAsia="zh-CN"/>
      </w:rPr>
      <w:fldChar w:fldCharType="separate"/>
    </w:r>
    <w:r w:rsidR="0011487A">
      <w:rPr>
        <w:noProof/>
        <w:sz w:val="21"/>
        <w:szCs w:val="21"/>
        <w:lang w:eastAsia="zh-CN"/>
      </w:rPr>
      <w:t>8</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F1CD4" w14:textId="77777777" w:rsidR="005002C8" w:rsidRDefault="005002C8">
      <w:r>
        <w:separator/>
      </w:r>
    </w:p>
  </w:footnote>
  <w:footnote w:type="continuationSeparator" w:id="0">
    <w:p w14:paraId="7C5A0B9F" w14:textId="77777777" w:rsidR="005002C8" w:rsidRDefault="005002C8">
      <w:r>
        <w:continuationSeparator/>
      </w:r>
    </w:p>
  </w:footnote>
  <w:footnote w:type="continuationNotice" w:id="1">
    <w:p w14:paraId="3E0FBE00" w14:textId="77777777" w:rsidR="005002C8" w:rsidRDefault="005002C8"/>
  </w:footnote>
  <w:footnote w:id="2">
    <w:p w14:paraId="4D13AD76" w14:textId="77777777" w:rsidR="00245E1A" w:rsidRPr="00C2673E" w:rsidRDefault="00245E1A" w:rsidP="00C2673E">
      <w:pPr>
        <w:pStyle w:val="ac"/>
        <w:jc w:val="both"/>
        <w:rPr>
          <w:sz w:val="21"/>
          <w:lang w:eastAsia="zh-CN"/>
        </w:rPr>
      </w:pPr>
      <w:r w:rsidRPr="00C2673E">
        <w:rPr>
          <w:rStyle w:val="ae"/>
          <w:sz w:val="21"/>
        </w:rPr>
        <w:footnoteRef/>
      </w:r>
      <w:r w:rsidRPr="00C2673E">
        <w:rPr>
          <w:sz w:val="21"/>
          <w:lang w:eastAsia="zh-CN"/>
        </w:rPr>
        <w:t xml:space="preserve"> DEN150011</w:t>
      </w:r>
      <w:r w:rsidRPr="00C2673E">
        <w:rPr>
          <w:sz w:val="21"/>
          <w:lang w:eastAsia="zh-CN"/>
        </w:rPr>
        <w:t>透明度总结和最终分类顺序</w:t>
      </w:r>
      <w:r w:rsidRPr="00C2673E">
        <w:rPr>
          <w:rFonts w:hint="eastAsia"/>
          <w:sz w:val="21"/>
          <w:lang w:eastAsia="zh-CN"/>
        </w:rPr>
        <w:t>请登录</w:t>
      </w:r>
      <w:r w:rsidRPr="00C2673E">
        <w:rPr>
          <w:sz w:val="21"/>
          <w:lang w:eastAsia="zh-CN"/>
        </w:rPr>
        <w:t>网址</w:t>
      </w:r>
      <w:hyperlink r:id="rId1" w:history="1">
        <w:r w:rsidR="008773D9" w:rsidRPr="009B24EC">
          <w:rPr>
            <w:rStyle w:val="a3"/>
            <w:sz w:val="21"/>
            <w:lang w:eastAsia="zh-CN"/>
          </w:rPr>
          <w:t>https://www.accessdata.fda.gov/cdrh</w:t>
        </w:r>
        <w:r w:rsidR="008773D9" w:rsidRPr="009B24EC">
          <w:rPr>
            <w:rStyle w:val="a3"/>
            <w:rFonts w:hint="eastAsia"/>
            <w:sz w:val="21"/>
            <w:lang w:eastAsia="zh-CN"/>
          </w:rPr>
          <w:t>_</w:t>
        </w:r>
        <w:r w:rsidR="008773D9" w:rsidRPr="009B24EC">
          <w:rPr>
            <w:rStyle w:val="a3"/>
            <w:sz w:val="21"/>
            <w:lang w:eastAsia="zh-CN"/>
          </w:rPr>
          <w:t>docs/</w:t>
        </w:r>
        <w:r w:rsidR="008773D9" w:rsidRPr="009B24EC">
          <w:rPr>
            <w:rStyle w:val="a3"/>
            <w:rFonts w:hint="eastAsia"/>
            <w:sz w:val="21"/>
            <w:lang w:eastAsia="zh-CN"/>
          </w:rPr>
          <w:t xml:space="preserve"> </w:t>
        </w:r>
        <w:r w:rsidR="008773D9" w:rsidRPr="009B24EC">
          <w:rPr>
            <w:rStyle w:val="a3"/>
            <w:sz w:val="21"/>
            <w:lang w:eastAsia="zh-CN"/>
          </w:rPr>
          <w:t>reviews/DEN150011.pdf</w:t>
        </w:r>
        <w:r w:rsidR="008773D9" w:rsidRPr="00F651C4">
          <w:rPr>
            <w:rStyle w:val="a3"/>
            <w:sz w:val="21"/>
            <w:lang w:eastAsia="zh-CN"/>
          </w:rPr>
          <w:t xml:space="preserve"> </w:t>
        </w:r>
      </w:hyperlink>
      <w:r w:rsidRPr="00C2673E">
        <w:rPr>
          <w:rFonts w:hint="eastAsia"/>
          <w:sz w:val="21"/>
          <w:lang w:eastAsia="zh-CN"/>
        </w:rPr>
        <w:t>并</w:t>
      </w:r>
      <w:r w:rsidRPr="00C2673E">
        <w:rPr>
          <w:sz w:val="21"/>
          <w:lang w:eastAsia="zh-CN"/>
        </w:rPr>
        <w:t>参见</w:t>
      </w:r>
      <w:r w:rsidRPr="00C2673E">
        <w:rPr>
          <w:sz w:val="21"/>
          <w:lang w:eastAsia="zh-CN"/>
        </w:rPr>
        <w:t>82 FR 45725</w:t>
      </w:r>
      <w:r w:rsidRPr="00C2673E">
        <w:rPr>
          <w:sz w:val="21"/>
          <w:lang w:eastAsia="zh-CN"/>
        </w:rPr>
        <w:t>。</w:t>
      </w:r>
    </w:p>
  </w:footnote>
  <w:footnote w:id="3">
    <w:p w14:paraId="06F2792A" w14:textId="77777777" w:rsidR="00245E1A" w:rsidRPr="00C2673E" w:rsidRDefault="00245E1A" w:rsidP="000E3B14">
      <w:pPr>
        <w:pStyle w:val="ac"/>
        <w:wordWrap w:val="0"/>
        <w:jc w:val="both"/>
        <w:rPr>
          <w:sz w:val="21"/>
          <w:lang w:eastAsia="zh-CN"/>
        </w:rPr>
      </w:pPr>
      <w:r w:rsidRPr="00C2673E">
        <w:rPr>
          <w:rStyle w:val="ae"/>
          <w:sz w:val="21"/>
        </w:rPr>
        <w:footnoteRef/>
      </w:r>
      <w:r w:rsidRPr="00C2673E">
        <w:rPr>
          <w:sz w:val="21"/>
        </w:rPr>
        <w:t xml:space="preserve"> </w:t>
      </w:r>
      <w:hyperlink r:id="rId2" w:history="1">
        <w:r w:rsidRPr="00C2673E">
          <w:rPr>
            <w:rStyle w:val="a3"/>
            <w:sz w:val="21"/>
            <w:lang w:eastAsia="zh-CN"/>
          </w:rPr>
          <w:t>https://www.fda.gov/regulatory-information/search-fda-guidance-documents/requests-feedback-and-meetings-</w:t>
        </w:r>
      </w:hyperlink>
      <w:r w:rsidRPr="00C2673E">
        <w:rPr>
          <w:color w:val="0000FF"/>
          <w:sz w:val="21"/>
          <w:u w:val="single"/>
          <w:lang w:eastAsia="zh-CN"/>
        </w:rPr>
        <w:t xml:space="preserve"> </w:t>
      </w:r>
      <w:hyperlink r:id="rId3" w:history="1">
        <w:r w:rsidRPr="00C2673E">
          <w:rPr>
            <w:rStyle w:val="a3"/>
            <w:sz w:val="21"/>
            <w:lang w:eastAsia="zh-CN"/>
          </w:rPr>
          <w:t>medical-device-submissions-q-submission-program</w:t>
        </w:r>
      </w:hyperlink>
      <w:r w:rsidRPr="00C2673E">
        <w:rPr>
          <w:color w:val="0000FF"/>
          <w:sz w:val="21"/>
          <w:lang w:eastAsia="zh-CN"/>
        </w:rPr>
        <w:t>.</w:t>
      </w:r>
    </w:p>
  </w:footnote>
  <w:footnote w:id="4">
    <w:p w14:paraId="1F1EE5F3" w14:textId="77777777" w:rsidR="00245E1A" w:rsidRPr="00C2673E" w:rsidRDefault="00245E1A" w:rsidP="000E3B14">
      <w:pPr>
        <w:pStyle w:val="ac"/>
        <w:wordWrap w:val="0"/>
        <w:jc w:val="both"/>
        <w:rPr>
          <w:sz w:val="21"/>
          <w:lang w:eastAsia="zh-CN"/>
        </w:rPr>
      </w:pPr>
      <w:r w:rsidRPr="00C2673E">
        <w:rPr>
          <w:rStyle w:val="ae"/>
          <w:sz w:val="21"/>
        </w:rPr>
        <w:footnoteRef/>
      </w:r>
      <w:r w:rsidRPr="00C2673E">
        <w:rPr>
          <w:sz w:val="21"/>
        </w:rPr>
        <w:t xml:space="preserve"> </w:t>
      </w:r>
      <w:hyperlink r:id="rId4" w:history="1">
        <w:r w:rsidRPr="00C2673E">
          <w:rPr>
            <w:rStyle w:val="a3"/>
            <w:sz w:val="21"/>
            <w:lang w:eastAsia="zh-CN"/>
          </w:rPr>
          <w:t>https://www.fda.gov/regulatory-information/search-fda-guidance-documents/significant-risk-and-nonsignificant-</w:t>
        </w:r>
      </w:hyperlink>
      <w:r w:rsidRPr="00C2673E">
        <w:rPr>
          <w:color w:val="0000FF"/>
          <w:sz w:val="21"/>
          <w:u w:val="single"/>
          <w:lang w:eastAsia="zh-CN"/>
        </w:rPr>
        <w:t xml:space="preserve"> </w:t>
      </w:r>
      <w:hyperlink r:id="rId5" w:history="1">
        <w:r w:rsidRPr="00C2673E">
          <w:rPr>
            <w:rStyle w:val="a3"/>
            <w:sz w:val="21"/>
            <w:lang w:eastAsia="zh-CN"/>
          </w:rPr>
          <w:t>risk-medical-device-studies</w:t>
        </w:r>
      </w:hyperlink>
      <w:r w:rsidRPr="00C2673E">
        <w:rPr>
          <w:color w:val="0000FF"/>
          <w:sz w:val="21"/>
          <w:u w:val="single"/>
          <w:lang w:eastAsia="zh-CN"/>
        </w:rPr>
        <w:t>.</w:t>
      </w:r>
    </w:p>
  </w:footnote>
  <w:footnote w:id="5">
    <w:p w14:paraId="7F685CC3" w14:textId="77777777" w:rsidR="00245E1A" w:rsidRPr="00C2673E" w:rsidRDefault="00245E1A" w:rsidP="00C2673E">
      <w:pPr>
        <w:pStyle w:val="ac"/>
        <w:jc w:val="both"/>
        <w:rPr>
          <w:sz w:val="21"/>
          <w:lang w:eastAsia="zh-CN"/>
        </w:rPr>
      </w:pPr>
      <w:r w:rsidRPr="00C2673E">
        <w:rPr>
          <w:rStyle w:val="ae"/>
          <w:sz w:val="21"/>
        </w:rPr>
        <w:footnoteRef/>
      </w:r>
      <w:r w:rsidR="00504AEE">
        <w:rPr>
          <w:rFonts w:hint="eastAsia"/>
          <w:sz w:val="21"/>
          <w:lang w:eastAsia="zh-CN"/>
        </w:rPr>
        <w:t xml:space="preserve"> </w:t>
      </w:r>
      <w:r w:rsidRPr="00C2673E">
        <w:rPr>
          <w:sz w:val="21"/>
          <w:lang w:eastAsia="zh-CN"/>
        </w:rPr>
        <w:t>这适用于从</w:t>
      </w:r>
      <w:r w:rsidRPr="00C2673E">
        <w:rPr>
          <w:sz w:val="21"/>
          <w:lang w:eastAsia="zh-CN"/>
        </w:rPr>
        <w:t>2019</w:t>
      </w:r>
      <w:r w:rsidRPr="00C2673E">
        <w:rPr>
          <w:sz w:val="21"/>
          <w:lang w:eastAsia="zh-CN"/>
        </w:rPr>
        <w:t>年</w:t>
      </w:r>
      <w:r w:rsidRPr="00C2673E">
        <w:rPr>
          <w:sz w:val="21"/>
          <w:lang w:eastAsia="zh-CN"/>
        </w:rPr>
        <w:t>2</w:t>
      </w:r>
      <w:r w:rsidRPr="00C2673E">
        <w:rPr>
          <w:sz w:val="21"/>
          <w:lang w:eastAsia="zh-CN"/>
        </w:rPr>
        <w:t>月</w:t>
      </w:r>
      <w:r w:rsidRPr="00C2673E">
        <w:rPr>
          <w:sz w:val="21"/>
          <w:lang w:eastAsia="zh-CN"/>
        </w:rPr>
        <w:t>21</w:t>
      </w:r>
      <w:r w:rsidRPr="00C2673E">
        <w:rPr>
          <w:sz w:val="21"/>
          <w:lang w:eastAsia="zh-CN"/>
        </w:rPr>
        <w:t>日开始或</w:t>
      </w:r>
      <w:r w:rsidRPr="00C2673E">
        <w:rPr>
          <w:rFonts w:hint="eastAsia"/>
          <w:sz w:val="21"/>
          <w:lang w:eastAsia="zh-CN"/>
        </w:rPr>
        <w:t>之</w:t>
      </w:r>
      <w:r w:rsidRPr="00C2673E">
        <w:rPr>
          <w:sz w:val="21"/>
          <w:lang w:eastAsia="zh-CN"/>
        </w:rPr>
        <w:t>后进行的且用于支持上市前</w:t>
      </w:r>
      <w:r w:rsidRPr="00C2673E">
        <w:rPr>
          <w:rFonts w:hint="eastAsia"/>
          <w:sz w:val="21"/>
          <w:lang w:eastAsia="zh-CN"/>
        </w:rPr>
        <w:t>申请</w:t>
      </w:r>
      <w:r w:rsidRPr="00C2673E">
        <w:rPr>
          <w:sz w:val="21"/>
          <w:lang w:eastAsia="zh-CN"/>
        </w:rPr>
        <w:t>的临床研究数据，包括</w:t>
      </w:r>
      <w:r w:rsidRPr="00C2673E">
        <w:rPr>
          <w:sz w:val="21"/>
          <w:lang w:eastAsia="zh-CN"/>
        </w:rPr>
        <w:t>IDE</w:t>
      </w:r>
      <w:r w:rsidRPr="00C2673E">
        <w:rPr>
          <w:sz w:val="21"/>
          <w:lang w:eastAsia="zh-CN"/>
        </w:rPr>
        <w:t>、上市前批准申请（</w:t>
      </w:r>
      <w:r w:rsidRPr="00C2673E">
        <w:rPr>
          <w:sz w:val="21"/>
          <w:lang w:eastAsia="zh-CN"/>
        </w:rPr>
        <w:t>PMA</w:t>
      </w:r>
      <w:r w:rsidRPr="00C2673E">
        <w:rPr>
          <w:sz w:val="21"/>
          <w:lang w:eastAsia="zh-CN"/>
        </w:rPr>
        <w:t>）和</w:t>
      </w:r>
      <w:r w:rsidRPr="00C2673E">
        <w:rPr>
          <w:sz w:val="21"/>
          <w:lang w:eastAsia="zh-CN"/>
        </w:rPr>
        <w:t>510</w:t>
      </w:r>
      <w:r w:rsidRPr="00C2673E">
        <w:rPr>
          <w:sz w:val="21"/>
          <w:lang w:eastAsia="zh-CN"/>
        </w:rPr>
        <w:t>（</w:t>
      </w:r>
      <w:r w:rsidRPr="00C2673E">
        <w:rPr>
          <w:sz w:val="21"/>
          <w:lang w:eastAsia="zh-CN"/>
        </w:rPr>
        <w:t>k</w:t>
      </w:r>
      <w:r w:rsidRPr="00C2673E">
        <w:rPr>
          <w:sz w:val="21"/>
          <w:lang w:eastAsia="zh-CN"/>
        </w:rPr>
        <w:t>）。</w:t>
      </w:r>
    </w:p>
  </w:footnote>
  <w:footnote w:id="6">
    <w:p w14:paraId="61BB9B99" w14:textId="77777777" w:rsidR="00245E1A" w:rsidRPr="00C2673E" w:rsidRDefault="00245E1A" w:rsidP="00965D36">
      <w:pPr>
        <w:pStyle w:val="ac"/>
        <w:wordWrap w:val="0"/>
        <w:jc w:val="both"/>
        <w:rPr>
          <w:sz w:val="21"/>
          <w:lang w:eastAsia="zh-CN"/>
        </w:rPr>
      </w:pPr>
      <w:r w:rsidRPr="00C2673E">
        <w:rPr>
          <w:rStyle w:val="ae"/>
          <w:sz w:val="21"/>
        </w:rPr>
        <w:footnoteRef/>
      </w:r>
      <w:r w:rsidRPr="00C2673E">
        <w:rPr>
          <w:sz w:val="21"/>
        </w:rPr>
        <w:t xml:space="preserve"> </w:t>
      </w:r>
      <w:hyperlink r:id="rId6" w:history="1">
        <w:r w:rsidRPr="00C2673E">
          <w:rPr>
            <w:rStyle w:val="a3"/>
            <w:sz w:val="21"/>
            <w:lang w:eastAsia="zh-CN"/>
          </w:rPr>
          <w:t>https://www.fda.gov/regulatory-information/search-fda-guidance-documents/acceptance-clinical-data-support-</w:t>
        </w:r>
      </w:hyperlink>
      <w:r w:rsidRPr="00C2673E">
        <w:rPr>
          <w:color w:val="0000FF"/>
          <w:sz w:val="21"/>
          <w:u w:val="single"/>
          <w:lang w:eastAsia="zh-CN"/>
        </w:rPr>
        <w:t xml:space="preserve"> </w:t>
      </w:r>
      <w:hyperlink r:id="rId7" w:history="1">
        <w:r w:rsidRPr="00C2673E">
          <w:rPr>
            <w:rStyle w:val="a3"/>
            <w:sz w:val="21"/>
            <w:lang w:eastAsia="zh-CN"/>
          </w:rPr>
          <w:t>medical-device-applications-and-submissions-frequently-asked</w:t>
        </w:r>
      </w:hyperlink>
      <w:r w:rsidR="000C3DD3">
        <w:rPr>
          <w:rFonts w:hint="eastAsia"/>
          <w:color w:val="0000FF"/>
          <w:sz w:val="21"/>
          <w:lang w:eastAsia="zh-CN"/>
        </w:rPr>
        <w:t>.</w:t>
      </w:r>
    </w:p>
  </w:footnote>
  <w:footnote w:id="7">
    <w:p w14:paraId="754D3909" w14:textId="77777777" w:rsidR="00245E1A" w:rsidRPr="00C2673E" w:rsidRDefault="00245E1A" w:rsidP="00965D36">
      <w:pPr>
        <w:pStyle w:val="ac"/>
        <w:wordWrap w:val="0"/>
        <w:jc w:val="both"/>
        <w:rPr>
          <w:sz w:val="21"/>
          <w:lang w:eastAsia="zh-CN"/>
        </w:rPr>
      </w:pPr>
      <w:r w:rsidRPr="00C2673E">
        <w:rPr>
          <w:rStyle w:val="ae"/>
          <w:sz w:val="21"/>
        </w:rPr>
        <w:footnoteRef/>
      </w:r>
      <w:r w:rsidRPr="00C2673E">
        <w:rPr>
          <w:sz w:val="21"/>
        </w:rPr>
        <w:t xml:space="preserve"> </w:t>
      </w:r>
      <w:hyperlink r:id="rId8" w:history="1">
        <w:r w:rsidRPr="00C2673E">
          <w:rPr>
            <w:rStyle w:val="a3"/>
            <w:sz w:val="21"/>
            <w:lang w:eastAsia="zh-CN"/>
          </w:rPr>
          <w:t>https://www.fda.gov/regulatory-information/search-fda-guidance-documents/use-real-world-evidence-support-</w:t>
        </w:r>
      </w:hyperlink>
      <w:r w:rsidRPr="00C2673E">
        <w:rPr>
          <w:color w:val="0000FF"/>
          <w:sz w:val="21"/>
          <w:lang w:eastAsia="zh-CN"/>
        </w:rPr>
        <w:t xml:space="preserve"> </w:t>
      </w:r>
      <w:hyperlink r:id="rId9" w:history="1">
        <w:r w:rsidRPr="00C2673E">
          <w:rPr>
            <w:rStyle w:val="a3"/>
            <w:sz w:val="21"/>
            <w:lang w:eastAsia="zh-CN"/>
          </w:rPr>
          <w:t>regulatory-decision-making-medical-devices</w:t>
        </w:r>
      </w:hyperlink>
      <w:r w:rsidR="000C3DD3">
        <w:rPr>
          <w:rFonts w:hint="eastAsia"/>
          <w:color w:val="0000FF"/>
          <w:sz w:val="21"/>
          <w:lang w:eastAsia="zh-CN"/>
        </w:rPr>
        <w:t>.</w:t>
      </w:r>
    </w:p>
  </w:footnote>
  <w:footnote w:id="8">
    <w:p w14:paraId="2E920329" w14:textId="77777777" w:rsidR="00245E1A" w:rsidRPr="00C2673E" w:rsidRDefault="00245E1A" w:rsidP="00C2673E">
      <w:pPr>
        <w:pStyle w:val="ac"/>
        <w:jc w:val="both"/>
        <w:rPr>
          <w:sz w:val="21"/>
          <w:lang w:eastAsia="zh-CN"/>
        </w:rPr>
      </w:pPr>
      <w:r w:rsidRPr="00C2673E">
        <w:rPr>
          <w:rStyle w:val="ae"/>
          <w:sz w:val="21"/>
        </w:rPr>
        <w:footnoteRef/>
      </w:r>
      <w:r w:rsidRPr="00C2673E">
        <w:rPr>
          <w:sz w:val="21"/>
          <w:lang w:eastAsia="zh-CN"/>
        </w:rPr>
        <w:t>有关该主题的更多信息请参见</w:t>
      </w:r>
      <w:r w:rsidRPr="00C2673E">
        <w:rPr>
          <w:sz w:val="21"/>
          <w:lang w:eastAsia="zh-CN"/>
        </w:rPr>
        <w:t>FDA</w:t>
      </w:r>
      <w:r w:rsidRPr="00C2673E">
        <w:rPr>
          <w:sz w:val="21"/>
          <w:lang w:eastAsia="zh-CN"/>
        </w:rPr>
        <w:t>指南</w:t>
      </w:r>
      <w:r w:rsidRPr="00C2673E">
        <w:rPr>
          <w:rFonts w:hint="eastAsia"/>
          <w:sz w:val="21"/>
          <w:lang w:eastAsia="zh-CN"/>
        </w:rPr>
        <w:t>《</w:t>
      </w:r>
      <w:r w:rsidRPr="00C2673E">
        <w:rPr>
          <w:sz w:val="21"/>
          <w:lang w:eastAsia="zh-CN"/>
        </w:rPr>
        <w:t>最简规定：概念和原则</w:t>
      </w:r>
      <w:r w:rsidRPr="00C2673E">
        <w:rPr>
          <w:rFonts w:hint="eastAsia"/>
          <w:sz w:val="21"/>
          <w:lang w:eastAsia="zh-CN"/>
        </w:rPr>
        <w:t>》</w:t>
      </w:r>
      <w:bookmarkStart w:id="13" w:name="bookmark17"/>
      <w:r w:rsidRPr="000C3DD3">
        <w:rPr>
          <w:color w:val="auto"/>
          <w:sz w:val="21"/>
          <w:lang w:eastAsia="zh-CN"/>
        </w:rPr>
        <w:t>（</w:t>
      </w:r>
      <w:hyperlink r:id="rId10" w:history="1">
        <w:r w:rsidR="000C3DD3" w:rsidRPr="000C3DD3">
          <w:rPr>
            <w:rStyle w:val="a3"/>
            <w:sz w:val="21"/>
            <w:lang w:eastAsia="zh-CN"/>
          </w:rPr>
          <w:t>https://www.fda.gov/</w:t>
        </w:r>
        <w:r w:rsidR="000C3DD3" w:rsidRPr="000C3DD3">
          <w:rPr>
            <w:rStyle w:val="a3"/>
            <w:rFonts w:hint="eastAsia"/>
            <w:sz w:val="21"/>
            <w:lang w:eastAsia="zh-CN"/>
          </w:rPr>
          <w:t xml:space="preserve"> </w:t>
        </w:r>
        <w:r w:rsidR="000C3DD3" w:rsidRPr="000C3DD3">
          <w:rPr>
            <w:rStyle w:val="a3"/>
            <w:sz w:val="21"/>
            <w:lang w:eastAsia="zh-CN"/>
          </w:rPr>
          <w:t>regulatory-information/search-fda-guidance-documents/least-burdensome-provisions-concept-</w:t>
        </w:r>
      </w:hyperlink>
      <w:hyperlink r:id="rId11" w:history="1">
        <w:r w:rsidRPr="00C2673E">
          <w:rPr>
            <w:rStyle w:val="a3"/>
            <w:sz w:val="21"/>
            <w:lang w:eastAsia="zh-CN"/>
          </w:rPr>
          <w:t>and-principles</w:t>
        </w:r>
      </w:hyperlink>
      <w:r w:rsidRPr="000C3DD3">
        <w:rPr>
          <w:color w:val="auto"/>
          <w:sz w:val="21"/>
          <w:lang w:eastAsia="zh-CN"/>
        </w:rPr>
        <w:t>）</w:t>
      </w:r>
      <w:r w:rsidRPr="00C2673E">
        <w:rPr>
          <w:sz w:val="21"/>
          <w:lang w:eastAsia="zh-CN"/>
        </w:rPr>
        <w:t>。</w:t>
      </w:r>
      <w:bookmarkEnd w:id="13"/>
    </w:p>
  </w:footnote>
  <w:footnote w:id="9">
    <w:p w14:paraId="328FFD29" w14:textId="77777777" w:rsidR="00245E1A" w:rsidRPr="00C2673E" w:rsidRDefault="00245E1A" w:rsidP="00C2673E">
      <w:pPr>
        <w:pStyle w:val="ac"/>
        <w:jc w:val="both"/>
        <w:rPr>
          <w:sz w:val="21"/>
          <w:lang w:eastAsia="zh-CN"/>
        </w:rPr>
      </w:pPr>
      <w:r w:rsidRPr="00C2673E">
        <w:rPr>
          <w:rStyle w:val="ae"/>
          <w:sz w:val="21"/>
        </w:rPr>
        <w:footnoteRef/>
      </w:r>
      <w:r w:rsidR="00965D36">
        <w:rPr>
          <w:rFonts w:hint="eastAsia"/>
          <w:sz w:val="21"/>
          <w:lang w:eastAsia="zh-CN"/>
        </w:rPr>
        <w:t xml:space="preserve"> </w:t>
      </w:r>
      <w:r w:rsidRPr="00C2673E">
        <w:rPr>
          <w:sz w:val="21"/>
          <w:lang w:eastAsia="zh-CN"/>
        </w:rPr>
        <w:t>该主题请参见</w:t>
      </w:r>
      <w:r w:rsidRPr="00C2673E">
        <w:rPr>
          <w:sz w:val="21"/>
          <w:lang w:eastAsia="zh-CN"/>
        </w:rPr>
        <w:t>FDA</w:t>
      </w:r>
      <w:r w:rsidRPr="00C2673E">
        <w:rPr>
          <w:sz w:val="21"/>
          <w:lang w:eastAsia="zh-CN"/>
        </w:rPr>
        <w:t>指南：</w:t>
      </w:r>
      <w:r w:rsidRPr="00C2673E">
        <w:rPr>
          <w:rFonts w:hint="eastAsia"/>
          <w:sz w:val="21"/>
          <w:lang w:eastAsia="zh-CN"/>
        </w:rPr>
        <w:t>《</w:t>
      </w:r>
      <w:r w:rsidRPr="00C2673E">
        <w:rPr>
          <w:sz w:val="21"/>
          <w:lang w:eastAsia="zh-CN"/>
        </w:rPr>
        <w:t>在确定医疗器械试验用器械豁免的获益</w:t>
      </w:r>
      <w:r w:rsidRPr="00C2673E">
        <w:rPr>
          <w:sz w:val="21"/>
          <w:lang w:eastAsia="zh-CN"/>
        </w:rPr>
        <w:t>-</w:t>
      </w:r>
      <w:r w:rsidRPr="00C2673E">
        <w:rPr>
          <w:sz w:val="21"/>
          <w:lang w:eastAsia="zh-CN"/>
        </w:rPr>
        <w:t>风险时要考虑的因素</w:t>
      </w:r>
      <w:r w:rsidRPr="00C2673E">
        <w:rPr>
          <w:rFonts w:hint="eastAsia"/>
          <w:sz w:val="21"/>
          <w:lang w:eastAsia="zh-CN"/>
        </w:rPr>
        <w:t>》</w:t>
      </w:r>
      <w:r w:rsidRPr="00A0709F">
        <w:rPr>
          <w:color w:val="auto"/>
          <w:sz w:val="21"/>
          <w:lang w:eastAsia="zh-CN"/>
        </w:rPr>
        <w:t>（</w:t>
      </w:r>
      <w:hyperlink r:id="rId12" w:history="1">
        <w:r w:rsidRPr="00C2673E">
          <w:rPr>
            <w:rStyle w:val="a3"/>
            <w:sz w:val="21"/>
            <w:lang w:eastAsia="zh-CN"/>
          </w:rPr>
          <w:t>https://www.fda.gov/regulatory-information/search-fda-</w:t>
        </w:r>
      </w:hyperlink>
      <w:hyperlink r:id="rId13" w:history="1">
        <w:r w:rsidRPr="00C2673E">
          <w:rPr>
            <w:rStyle w:val="a3"/>
            <w:sz w:val="21"/>
            <w:lang w:eastAsia="zh-CN"/>
          </w:rPr>
          <w:t>guidance-documents/factors-consider-when-making-benefit-risk-determinations-medical-device-investigational-</w:t>
        </w:r>
      </w:hyperlink>
      <w:hyperlink r:id="rId14" w:history="1">
        <w:r w:rsidRPr="00C2673E">
          <w:rPr>
            <w:rStyle w:val="a3"/>
            <w:sz w:val="21"/>
            <w:lang w:eastAsia="zh-CN"/>
          </w:rPr>
          <w:t>device</w:t>
        </w:r>
      </w:hyperlink>
      <w:r w:rsidRPr="00A0709F">
        <w:rPr>
          <w:color w:val="auto"/>
          <w:sz w:val="21"/>
          <w:lang w:eastAsia="zh-CN"/>
        </w:rPr>
        <w:t>）</w:t>
      </w:r>
      <w:r w:rsidRPr="00C2673E">
        <w:rPr>
          <w:sz w:val="21"/>
          <w:lang w:eastAsia="zh-CN"/>
        </w:rPr>
        <w:t>、</w:t>
      </w:r>
      <w:r w:rsidRPr="00C2673E">
        <w:rPr>
          <w:rFonts w:hint="eastAsia"/>
          <w:sz w:val="21"/>
          <w:lang w:eastAsia="zh-CN"/>
        </w:rPr>
        <w:t>《</w:t>
      </w:r>
      <w:r w:rsidRPr="00C2673E">
        <w:rPr>
          <w:sz w:val="21"/>
          <w:lang w:eastAsia="zh-CN"/>
        </w:rPr>
        <w:t>在确定医疗器械上市前批准和新分类的获益</w:t>
      </w:r>
      <w:r w:rsidRPr="00C2673E">
        <w:rPr>
          <w:sz w:val="21"/>
          <w:lang w:eastAsia="zh-CN"/>
        </w:rPr>
        <w:t>-</w:t>
      </w:r>
      <w:r w:rsidRPr="00C2673E">
        <w:rPr>
          <w:sz w:val="21"/>
          <w:lang w:eastAsia="zh-CN"/>
        </w:rPr>
        <w:t>风险时要考虑的因素</w:t>
      </w:r>
      <w:r w:rsidRPr="00C2673E">
        <w:rPr>
          <w:rFonts w:hint="eastAsia"/>
          <w:sz w:val="21"/>
          <w:lang w:eastAsia="zh-CN"/>
        </w:rPr>
        <w:t>》</w:t>
      </w:r>
      <w:r w:rsidRPr="009225A7">
        <w:rPr>
          <w:color w:val="auto"/>
          <w:sz w:val="21"/>
          <w:lang w:eastAsia="zh-CN"/>
        </w:rPr>
        <w:t>（</w:t>
      </w:r>
      <w:hyperlink r:id="rId15" w:history="1">
        <w:r w:rsidR="00965D36" w:rsidRPr="004916A7">
          <w:rPr>
            <w:rStyle w:val="a3"/>
            <w:sz w:val="21"/>
            <w:lang w:eastAsia="zh-CN"/>
          </w:rPr>
          <w:t>https://www.fda.gov/regulatory-information/search-fda-guidance-</w:t>
        </w:r>
        <w:r w:rsidR="00965D36" w:rsidRPr="004916A7">
          <w:rPr>
            <w:rStyle w:val="a3"/>
            <w:rFonts w:hint="eastAsia"/>
            <w:sz w:val="21"/>
            <w:lang w:eastAsia="zh-CN"/>
          </w:rPr>
          <w:t xml:space="preserve"> </w:t>
        </w:r>
        <w:r w:rsidR="00965D36" w:rsidRPr="004916A7">
          <w:rPr>
            <w:rStyle w:val="a3"/>
            <w:sz w:val="21"/>
            <w:lang w:eastAsia="zh-CN"/>
          </w:rPr>
          <w:t>documents/factors-</w:t>
        </w:r>
      </w:hyperlink>
      <w:r w:rsidRPr="004916A7">
        <w:rPr>
          <w:color w:val="0000FF"/>
          <w:sz w:val="21"/>
          <w:u w:val="single"/>
          <w:lang w:eastAsia="zh-CN"/>
        </w:rPr>
        <w:t>c</w:t>
      </w:r>
      <w:r w:rsidRPr="00C2673E">
        <w:rPr>
          <w:color w:val="0000FF"/>
          <w:sz w:val="21"/>
          <w:u w:val="single"/>
          <w:lang w:eastAsia="zh-CN"/>
        </w:rPr>
        <w:t>onsider-when-making-benefit-risk-determinations-medical-device-premarket-approval-and-de</w:t>
      </w:r>
      <w:r w:rsidRPr="009225A7">
        <w:rPr>
          <w:color w:val="auto"/>
          <w:sz w:val="21"/>
          <w:lang w:eastAsia="zh-CN"/>
        </w:rPr>
        <w:t>）</w:t>
      </w:r>
      <w:r w:rsidRPr="00C2673E">
        <w:rPr>
          <w:sz w:val="21"/>
          <w:lang w:eastAsia="zh-CN"/>
        </w:rPr>
        <w:t>，</w:t>
      </w:r>
      <w:r w:rsidRPr="00C2673E">
        <w:rPr>
          <w:rFonts w:hint="eastAsia"/>
          <w:sz w:val="21"/>
          <w:lang w:eastAsia="zh-CN"/>
        </w:rPr>
        <w:t>《</w:t>
      </w:r>
      <w:r w:rsidRPr="00C2673E">
        <w:rPr>
          <w:sz w:val="21"/>
          <w:lang w:eastAsia="zh-CN"/>
        </w:rPr>
        <w:t>在具有不同技术特征的上市前通知（</w:t>
      </w:r>
      <w:r w:rsidRPr="00C2673E">
        <w:rPr>
          <w:sz w:val="21"/>
          <w:lang w:eastAsia="zh-CN"/>
        </w:rPr>
        <w:t>510</w:t>
      </w:r>
      <w:r w:rsidRPr="00C2673E">
        <w:rPr>
          <w:sz w:val="21"/>
          <w:lang w:eastAsia="zh-CN"/>
        </w:rPr>
        <w:t>（</w:t>
      </w:r>
      <w:r w:rsidRPr="00C2673E">
        <w:rPr>
          <w:sz w:val="21"/>
          <w:lang w:eastAsia="zh-CN"/>
        </w:rPr>
        <w:t>k</w:t>
      </w:r>
      <w:r w:rsidRPr="00C2673E">
        <w:rPr>
          <w:sz w:val="21"/>
          <w:lang w:eastAsia="zh-CN"/>
        </w:rPr>
        <w:t>））中确定实质等同性时要考虑的获益</w:t>
      </w:r>
      <w:r w:rsidRPr="00C2673E">
        <w:rPr>
          <w:sz w:val="21"/>
          <w:lang w:eastAsia="zh-CN"/>
        </w:rPr>
        <w:t>-</w:t>
      </w:r>
      <w:r w:rsidRPr="00C2673E">
        <w:rPr>
          <w:sz w:val="21"/>
          <w:lang w:eastAsia="zh-CN"/>
        </w:rPr>
        <w:t>风险因素</w:t>
      </w:r>
      <w:r w:rsidRPr="00C2673E">
        <w:rPr>
          <w:rFonts w:hint="eastAsia"/>
          <w:sz w:val="21"/>
          <w:lang w:eastAsia="zh-CN"/>
        </w:rPr>
        <w:t>》</w:t>
      </w:r>
      <w:r w:rsidRPr="006956A3">
        <w:rPr>
          <w:color w:val="auto"/>
          <w:sz w:val="21"/>
          <w:lang w:eastAsia="zh-CN"/>
        </w:rPr>
        <w:t>（</w:t>
      </w:r>
      <w:hyperlink r:id="rId16" w:history="1">
        <w:r w:rsidRPr="00C2673E">
          <w:rPr>
            <w:rStyle w:val="a3"/>
            <w:sz w:val="21"/>
            <w:lang w:eastAsia="zh-CN"/>
          </w:rPr>
          <w:t>https://www.fda.gov/regulatory-information/search-f</w:t>
        </w:r>
        <w:r w:rsidR="00965D36">
          <w:rPr>
            <w:rStyle w:val="a3"/>
            <w:sz w:val="21"/>
            <w:lang w:eastAsia="zh-CN"/>
          </w:rPr>
          <w:t>da-guidance-</w:t>
        </w:r>
        <w:r w:rsidRPr="00C2673E">
          <w:rPr>
            <w:rStyle w:val="a3"/>
            <w:sz w:val="21"/>
            <w:lang w:eastAsia="zh-CN"/>
          </w:rPr>
          <w:t>documents/benefit-risk-factors-consider-when-determining-substantial-equivalence-premarket-notifications-510k</w:t>
        </w:r>
      </w:hyperlink>
      <w:r w:rsidRPr="006956A3">
        <w:rPr>
          <w:color w:val="auto"/>
          <w:sz w:val="21"/>
          <w:lang w:eastAsia="zh-CN"/>
        </w:rPr>
        <w:t>）</w:t>
      </w:r>
      <w:r w:rsidR="006956A3">
        <w:rPr>
          <w:rFonts w:hint="eastAsia"/>
          <w:color w:val="auto"/>
          <w:sz w:val="21"/>
          <w:lang w:eastAsia="zh-CN"/>
        </w:rPr>
        <w:t>，</w:t>
      </w:r>
      <w:r w:rsidRPr="00C2673E">
        <w:rPr>
          <w:sz w:val="21"/>
          <w:lang w:eastAsia="zh-CN"/>
        </w:rPr>
        <w:t>和</w:t>
      </w:r>
      <w:r w:rsidRPr="00C2673E">
        <w:rPr>
          <w:rFonts w:hint="eastAsia"/>
          <w:sz w:val="21"/>
          <w:lang w:eastAsia="zh-CN"/>
        </w:rPr>
        <w:t>《</w:t>
      </w:r>
      <w:r w:rsidRPr="00C2673E">
        <w:rPr>
          <w:sz w:val="21"/>
          <w:lang w:eastAsia="zh-CN"/>
        </w:rPr>
        <w:t>确定医疗器械上市前批准、新分类和人道主义器械豁免的获益</w:t>
      </w:r>
      <w:r w:rsidRPr="00C2673E">
        <w:rPr>
          <w:sz w:val="21"/>
          <w:lang w:eastAsia="zh-CN"/>
        </w:rPr>
        <w:t>-</w:t>
      </w:r>
      <w:r w:rsidRPr="00C2673E">
        <w:rPr>
          <w:sz w:val="21"/>
          <w:lang w:eastAsia="zh-CN"/>
        </w:rPr>
        <w:t>风险要考虑的不确定性</w:t>
      </w:r>
      <w:r w:rsidRPr="00C2673E">
        <w:rPr>
          <w:rFonts w:hint="eastAsia"/>
          <w:sz w:val="21"/>
          <w:lang w:eastAsia="zh-CN"/>
        </w:rPr>
        <w:t>》</w:t>
      </w:r>
      <w:r w:rsidRPr="00BC008A">
        <w:rPr>
          <w:color w:val="auto"/>
          <w:sz w:val="21"/>
          <w:lang w:eastAsia="zh-CN"/>
        </w:rPr>
        <w:t>（</w:t>
      </w:r>
      <w:hyperlink r:id="rId17" w:history="1">
        <w:r w:rsidR="00965D36" w:rsidRPr="00965D36">
          <w:rPr>
            <w:rStyle w:val="a3"/>
            <w:sz w:val="21"/>
            <w:lang w:eastAsia="zh-CN"/>
          </w:rPr>
          <w:t>https://www.fda.gov/regulatory-</w:t>
        </w:r>
        <w:r w:rsidR="00965D36" w:rsidRPr="00965D36">
          <w:rPr>
            <w:rStyle w:val="a3"/>
            <w:rFonts w:hint="eastAsia"/>
            <w:sz w:val="21"/>
            <w:lang w:eastAsia="zh-CN"/>
          </w:rPr>
          <w:t xml:space="preserve"> </w:t>
        </w:r>
        <w:r w:rsidR="00965D36" w:rsidRPr="00965D36">
          <w:rPr>
            <w:rStyle w:val="a3"/>
            <w:sz w:val="21"/>
            <w:lang w:eastAsia="zh-CN"/>
          </w:rPr>
          <w:t>information/search-fda-guidance-documents/consideration-uncertainty-making-benefit-risk-determinations-medical- device-premarket-approvals-de</w:t>
        </w:r>
      </w:hyperlink>
      <w:r w:rsidRPr="00BC008A">
        <w:rPr>
          <w:color w:val="auto"/>
          <w:sz w:val="21"/>
          <w:lang w:eastAsia="zh-CN"/>
        </w:rPr>
        <w:t>）。</w:t>
      </w:r>
    </w:p>
  </w:footnote>
  <w:footnote w:id="10">
    <w:p w14:paraId="58EFC963" w14:textId="77777777" w:rsidR="00FD6878" w:rsidRPr="00C2673E" w:rsidRDefault="00FD6878" w:rsidP="00733F86">
      <w:pPr>
        <w:pStyle w:val="ac"/>
        <w:wordWrap w:val="0"/>
        <w:jc w:val="both"/>
        <w:rPr>
          <w:sz w:val="21"/>
          <w:lang w:eastAsia="zh-CN"/>
        </w:rPr>
      </w:pPr>
      <w:r w:rsidRPr="00C2673E">
        <w:rPr>
          <w:rStyle w:val="ae"/>
          <w:sz w:val="21"/>
        </w:rPr>
        <w:footnoteRef/>
      </w:r>
      <w:r w:rsidRPr="00C2673E">
        <w:rPr>
          <w:sz w:val="21"/>
        </w:rPr>
        <w:t xml:space="preserve"> </w:t>
      </w:r>
      <w:hyperlink r:id="rId18" w:history="1">
        <w:r w:rsidR="00427DD2" w:rsidRPr="00190FFA">
          <w:rPr>
            <w:rStyle w:val="a3"/>
            <w:sz w:val="21"/>
            <w:lang w:eastAsia="zh-CN"/>
          </w:rPr>
          <w:t>https://www.fda.gov/regulator</w:t>
        </w:r>
        <w:r w:rsidR="00427DD2" w:rsidRPr="00190FFA">
          <w:rPr>
            <w:rStyle w:val="a3"/>
            <w:rFonts w:hint="eastAsia"/>
            <w:sz w:val="21"/>
            <w:lang w:eastAsia="zh-CN"/>
          </w:rPr>
          <w:t>y</w:t>
        </w:r>
        <w:r w:rsidR="00427DD2" w:rsidRPr="00190FFA">
          <w:rPr>
            <w:rStyle w:val="a3"/>
            <w:sz w:val="21"/>
            <w:lang w:eastAsia="zh-CN"/>
          </w:rPr>
          <w:t>-information/search-fda-guidance-documents/evaluation-and-reporting-age-race-</w:t>
        </w:r>
      </w:hyperlink>
      <w:r w:rsidRPr="00190FFA">
        <w:rPr>
          <w:color w:val="0000FF"/>
          <w:sz w:val="21"/>
          <w:u w:val="single"/>
          <w:lang w:eastAsia="zh-CN"/>
        </w:rPr>
        <w:t xml:space="preserve"> </w:t>
      </w:r>
      <w:hyperlink r:id="rId19" w:history="1">
        <w:r w:rsidRPr="00190FFA">
          <w:rPr>
            <w:rStyle w:val="a3"/>
            <w:sz w:val="21"/>
            <w:lang w:eastAsia="zh-CN"/>
          </w:rPr>
          <w:t>and-ethnicity-specific-data-medical-device-clinical-studies</w:t>
        </w:r>
      </w:hyperlink>
      <w:r w:rsidRPr="00C2673E">
        <w:rPr>
          <w:color w:val="0000FF"/>
          <w:sz w:val="21"/>
          <w:lang w:eastAsia="zh-CN"/>
        </w:rPr>
        <w:t>.</w:t>
      </w:r>
    </w:p>
  </w:footnote>
  <w:footnote w:id="11">
    <w:p w14:paraId="020DBD5A" w14:textId="77777777" w:rsidR="00FD6878" w:rsidRPr="00C2673E" w:rsidRDefault="00FD6878" w:rsidP="00C2673E">
      <w:pPr>
        <w:pStyle w:val="ac"/>
        <w:jc w:val="both"/>
        <w:rPr>
          <w:sz w:val="21"/>
          <w:lang w:eastAsia="zh-CN"/>
        </w:rPr>
      </w:pPr>
      <w:r w:rsidRPr="00C2673E">
        <w:rPr>
          <w:rStyle w:val="ae"/>
          <w:sz w:val="21"/>
        </w:rPr>
        <w:footnoteRef/>
      </w:r>
      <w:r w:rsidR="00427DD2">
        <w:rPr>
          <w:rFonts w:hint="eastAsia"/>
          <w:sz w:val="21"/>
          <w:lang w:eastAsia="zh-CN"/>
        </w:rPr>
        <w:t xml:space="preserve"> </w:t>
      </w:r>
      <w:r w:rsidRPr="00C2673E">
        <w:rPr>
          <w:sz w:val="21"/>
          <w:lang w:eastAsia="zh-CN"/>
        </w:rPr>
        <w:t>更多信息请</w:t>
      </w:r>
      <w:r w:rsidRPr="00C2673E">
        <w:rPr>
          <w:rFonts w:hint="eastAsia"/>
          <w:sz w:val="21"/>
          <w:lang w:eastAsia="zh-CN"/>
        </w:rPr>
        <w:t>参见</w:t>
      </w:r>
      <w:hyperlink r:id="rId20" w:history="1">
        <w:r w:rsidR="00DE6DC9" w:rsidRPr="00DE6DC9">
          <w:rPr>
            <w:rStyle w:val="a3"/>
            <w:sz w:val="21"/>
            <w:lang w:val="fr-FR" w:eastAsia="zh-CN"/>
          </w:rPr>
          <w:t>https://ctep.cancer.gov/protocolDevelopment/electronic</w:t>
        </w:r>
        <w:r w:rsidR="00DE6DC9" w:rsidRPr="00DE6DC9">
          <w:rPr>
            <w:rStyle w:val="a3"/>
            <w:rFonts w:hint="eastAsia"/>
            <w:sz w:val="21"/>
            <w:lang w:val="fr-FR" w:eastAsia="zh-CN"/>
          </w:rPr>
          <w:t>_</w:t>
        </w:r>
        <w:r w:rsidR="00DE6DC9" w:rsidRPr="00DE6DC9">
          <w:rPr>
            <w:rStyle w:val="a3"/>
            <w:sz w:val="21"/>
            <w:lang w:val="fr-FR" w:eastAsia="zh-CN"/>
          </w:rPr>
          <w:t>applications/ctc.htm</w:t>
        </w:r>
      </w:hyperlink>
      <w:r w:rsidRPr="00C2673E">
        <w:rPr>
          <w:sz w:val="21"/>
          <w:lang w:eastAsia="zh-CN"/>
        </w:rPr>
        <w:t>。</w:t>
      </w:r>
    </w:p>
  </w:footnote>
  <w:footnote w:id="12">
    <w:p w14:paraId="6425C5C3" w14:textId="77777777" w:rsidR="00FD6878" w:rsidRPr="00C2673E" w:rsidRDefault="00FD6878" w:rsidP="00C2673E">
      <w:pPr>
        <w:pStyle w:val="ac"/>
        <w:jc w:val="both"/>
        <w:rPr>
          <w:sz w:val="21"/>
          <w:lang w:eastAsia="zh-CN"/>
        </w:rPr>
      </w:pPr>
      <w:r w:rsidRPr="00C2673E">
        <w:rPr>
          <w:rStyle w:val="ae"/>
          <w:sz w:val="21"/>
        </w:rPr>
        <w:footnoteRef/>
      </w:r>
      <w:r w:rsidR="00427DD2">
        <w:rPr>
          <w:rFonts w:hint="eastAsia"/>
          <w:sz w:val="21"/>
          <w:lang w:eastAsia="zh-CN"/>
        </w:rPr>
        <w:t xml:space="preserve"> </w:t>
      </w:r>
      <w:r w:rsidRPr="00C2673E">
        <w:rPr>
          <w:sz w:val="21"/>
          <w:lang w:eastAsia="zh-CN"/>
        </w:rPr>
        <w:t>对于本指南的目的，术语</w:t>
      </w:r>
      <w:r w:rsidRPr="008463C4">
        <w:rPr>
          <w:rFonts w:ascii="宋体" w:hAnsi="宋体"/>
          <w:sz w:val="21"/>
          <w:lang w:eastAsia="zh-CN"/>
        </w:rPr>
        <w:t>“</w:t>
      </w:r>
      <w:r w:rsidRPr="00C2673E">
        <w:rPr>
          <w:sz w:val="21"/>
          <w:lang w:eastAsia="zh-CN"/>
        </w:rPr>
        <w:t>严重不良事件</w:t>
      </w:r>
      <w:r w:rsidRPr="008463C4">
        <w:rPr>
          <w:rFonts w:ascii="宋体" w:hAnsi="宋体"/>
          <w:sz w:val="21"/>
          <w:lang w:eastAsia="zh-CN"/>
        </w:rPr>
        <w:t>”</w:t>
      </w:r>
      <w:r w:rsidRPr="00C2673E">
        <w:rPr>
          <w:sz w:val="21"/>
          <w:lang w:eastAsia="zh-CN"/>
        </w:rPr>
        <w:t>的使用符合</w:t>
      </w:r>
      <w:r w:rsidRPr="00C2673E">
        <w:rPr>
          <w:sz w:val="21"/>
          <w:lang w:eastAsia="zh-CN"/>
        </w:rPr>
        <w:t>FDA</w:t>
      </w:r>
      <w:r w:rsidRPr="00C2673E">
        <w:rPr>
          <w:sz w:val="21"/>
          <w:lang w:eastAsia="zh-CN"/>
        </w:rPr>
        <w:t>指南</w:t>
      </w:r>
      <w:r w:rsidRPr="00C2673E">
        <w:rPr>
          <w:rFonts w:hint="eastAsia"/>
          <w:sz w:val="21"/>
          <w:lang w:eastAsia="zh-CN"/>
        </w:rPr>
        <w:t>《</w:t>
      </w:r>
      <w:r w:rsidRPr="00C2673E">
        <w:rPr>
          <w:sz w:val="21"/>
          <w:lang w:eastAsia="zh-CN"/>
        </w:rPr>
        <w:t>在确定医疗器械试验用器械豁免的获益</w:t>
      </w:r>
      <w:r w:rsidRPr="00C2673E">
        <w:rPr>
          <w:sz w:val="21"/>
          <w:lang w:eastAsia="zh-CN"/>
        </w:rPr>
        <w:t>-</w:t>
      </w:r>
      <w:r w:rsidRPr="00C2673E">
        <w:rPr>
          <w:sz w:val="21"/>
          <w:lang w:eastAsia="zh-CN"/>
        </w:rPr>
        <w:t>风险时要考虑的因素</w:t>
      </w:r>
      <w:r w:rsidRPr="00C2673E">
        <w:rPr>
          <w:rFonts w:hint="eastAsia"/>
          <w:sz w:val="21"/>
          <w:lang w:eastAsia="zh-CN"/>
        </w:rPr>
        <w:t>》</w:t>
      </w:r>
      <w:r w:rsidRPr="00C2673E">
        <w:rPr>
          <w:sz w:val="21"/>
          <w:lang w:eastAsia="zh-CN"/>
        </w:rPr>
        <w:t>，</w:t>
      </w:r>
      <w:r w:rsidRPr="00C2673E">
        <w:rPr>
          <w:rFonts w:hint="eastAsia"/>
          <w:sz w:val="21"/>
          <w:lang w:eastAsia="zh-CN"/>
        </w:rPr>
        <w:t>请</w:t>
      </w:r>
      <w:r w:rsidRPr="00C2673E">
        <w:rPr>
          <w:sz w:val="21"/>
          <w:lang w:eastAsia="zh-CN"/>
        </w:rPr>
        <w:t>登录网址</w:t>
      </w:r>
      <w:hyperlink r:id="rId21" w:history="1">
        <w:r w:rsidRPr="00C2673E">
          <w:rPr>
            <w:rStyle w:val="a3"/>
            <w:sz w:val="21"/>
            <w:lang w:eastAsia="zh-CN"/>
          </w:rPr>
          <w:t>https://www.fda.gov/regulatory-information/search-fda-</w:t>
        </w:r>
        <w:r w:rsidR="00733F86">
          <w:rPr>
            <w:rStyle w:val="a3"/>
            <w:rFonts w:hint="eastAsia"/>
            <w:sz w:val="21"/>
            <w:lang w:eastAsia="zh-CN"/>
          </w:rPr>
          <w:t xml:space="preserve"> </w:t>
        </w:r>
        <w:r w:rsidRPr="00C2673E">
          <w:rPr>
            <w:rStyle w:val="a3"/>
            <w:sz w:val="21"/>
            <w:lang w:eastAsia="zh-CN"/>
          </w:rPr>
          <w:t>guidance-documents/factors-</w:t>
        </w:r>
      </w:hyperlink>
      <w:hyperlink r:id="rId22" w:history="1">
        <w:r w:rsidRPr="00C2673E">
          <w:rPr>
            <w:rStyle w:val="a3"/>
            <w:sz w:val="21"/>
            <w:lang w:eastAsia="zh-CN"/>
          </w:rPr>
          <w:t>consider-when-making-benefit-risk-determinations-medical-device-investigational-device</w:t>
        </w:r>
      </w:hyperlink>
      <w:r w:rsidRPr="00C2673E">
        <w:rPr>
          <w:sz w:val="21"/>
          <w:lang w:eastAsia="zh-CN"/>
        </w:rPr>
        <w:t>。</w:t>
      </w:r>
    </w:p>
  </w:footnote>
  <w:footnote w:id="13">
    <w:p w14:paraId="1820C028" w14:textId="77777777" w:rsidR="00FD6878" w:rsidRPr="00C2673E" w:rsidRDefault="00FD6878" w:rsidP="00C2673E">
      <w:pPr>
        <w:pStyle w:val="ac"/>
        <w:jc w:val="both"/>
        <w:rPr>
          <w:sz w:val="21"/>
          <w:lang w:eastAsia="zh-CN"/>
        </w:rPr>
      </w:pPr>
      <w:r w:rsidRPr="00C2673E">
        <w:rPr>
          <w:rStyle w:val="ae"/>
          <w:sz w:val="21"/>
        </w:rPr>
        <w:footnoteRef/>
      </w:r>
      <w:r w:rsidR="00427DD2">
        <w:rPr>
          <w:rFonts w:hint="eastAsia"/>
          <w:sz w:val="21"/>
          <w:lang w:eastAsia="zh-CN"/>
        </w:rPr>
        <w:t xml:space="preserve"> </w:t>
      </w:r>
      <w:r w:rsidRPr="00C2673E">
        <w:rPr>
          <w:sz w:val="21"/>
          <w:lang w:eastAsia="zh-CN"/>
        </w:rPr>
        <w:t>更多信息请参</w:t>
      </w:r>
      <w:r w:rsidRPr="00C2673E">
        <w:rPr>
          <w:rFonts w:hint="eastAsia"/>
          <w:sz w:val="21"/>
          <w:lang w:eastAsia="zh-CN"/>
        </w:rPr>
        <w:t>见《</w:t>
      </w:r>
      <w:r w:rsidRPr="00C2673E">
        <w:rPr>
          <w:sz w:val="21"/>
          <w:lang w:eastAsia="zh-CN"/>
        </w:rPr>
        <w:t>临床试验数据监查委员会的设立和运作</w:t>
      </w:r>
      <w:r w:rsidRPr="00C2673E">
        <w:rPr>
          <w:rFonts w:hint="eastAsia"/>
          <w:sz w:val="21"/>
          <w:lang w:eastAsia="zh-CN"/>
        </w:rPr>
        <w:t>》</w:t>
      </w:r>
      <w:r w:rsidRPr="00C2673E">
        <w:rPr>
          <w:sz w:val="21"/>
          <w:lang w:eastAsia="zh-CN"/>
        </w:rPr>
        <w:t>，</w:t>
      </w:r>
      <w:r w:rsidRPr="00C2673E">
        <w:rPr>
          <w:rFonts w:hint="eastAsia"/>
          <w:sz w:val="21"/>
          <w:lang w:eastAsia="zh-CN"/>
        </w:rPr>
        <w:t>请登录</w:t>
      </w:r>
      <w:r w:rsidRPr="00C2673E">
        <w:rPr>
          <w:sz w:val="21"/>
          <w:lang w:eastAsia="zh-CN"/>
        </w:rPr>
        <w:t>网址</w:t>
      </w:r>
      <w:hyperlink r:id="rId23" w:history="1">
        <w:r w:rsidR="006A2D6F">
          <w:rPr>
            <w:rStyle w:val="a3"/>
            <w:sz w:val="21"/>
            <w:lang w:eastAsia="zh-CN"/>
          </w:rPr>
          <w:t>https://www.fda.gov/regulator</w:t>
        </w:r>
        <w:r w:rsidR="006A2D6F">
          <w:rPr>
            <w:rStyle w:val="a3"/>
            <w:rFonts w:hint="eastAsia"/>
            <w:sz w:val="21"/>
            <w:lang w:eastAsia="zh-CN"/>
          </w:rPr>
          <w:t>y</w:t>
        </w:r>
        <w:r w:rsidR="00E05DD1" w:rsidRPr="003255CA">
          <w:rPr>
            <w:rStyle w:val="a3"/>
            <w:sz w:val="21"/>
            <w:lang w:eastAsia="zh-CN"/>
          </w:rPr>
          <w:t>-</w:t>
        </w:r>
        <w:r w:rsidR="00E05DD1" w:rsidRPr="003255CA">
          <w:rPr>
            <w:rStyle w:val="a3"/>
            <w:rFonts w:hint="eastAsia"/>
            <w:sz w:val="21"/>
            <w:lang w:eastAsia="zh-CN"/>
          </w:rPr>
          <w:t xml:space="preserve"> </w:t>
        </w:r>
        <w:r w:rsidR="00E05DD1" w:rsidRPr="003255CA">
          <w:rPr>
            <w:rStyle w:val="a3"/>
            <w:sz w:val="21"/>
            <w:lang w:eastAsia="zh-CN"/>
          </w:rPr>
          <w:t>information/search-fda-guidance-documents/establishment-and-</w:t>
        </w:r>
      </w:hyperlink>
      <w:hyperlink r:id="rId24" w:history="1">
        <w:r w:rsidRPr="003255CA">
          <w:rPr>
            <w:rStyle w:val="a3"/>
            <w:sz w:val="21"/>
            <w:lang w:eastAsia="zh-CN"/>
          </w:rPr>
          <w:t>operation-clinical-trial-data-monitoring-committees</w:t>
        </w:r>
      </w:hyperlink>
      <w:r w:rsidRPr="006A2D6F">
        <w:rPr>
          <w:color w:val="auto"/>
          <w:sz w:val="21"/>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BED36" w14:textId="77777777" w:rsidR="007E600D" w:rsidRPr="00ED26D4" w:rsidRDefault="007E600D" w:rsidP="00ED26D4">
    <w:pPr>
      <w:pStyle w:val="a4"/>
      <w:pBdr>
        <w:bottom w:val="none" w:sz="0" w:space="0" w:color="auto"/>
      </w:pBdr>
    </w:pPr>
    <w:r>
      <w:rPr>
        <w:rFonts w:hint="eastAsia"/>
        <w:b/>
        <w:bCs/>
        <w:i/>
        <w:iCs/>
        <w:sz w:val="21"/>
        <w:szCs w:val="21"/>
        <w:lang w:eastAsia="zh-CN"/>
      </w:rPr>
      <w:t>所含</w:t>
    </w:r>
    <w:r>
      <w:rPr>
        <w:b/>
        <w:bCs/>
        <w:i/>
        <w:iCs/>
        <w:sz w:val="21"/>
        <w:szCs w:val="21"/>
        <w:lang w:eastAsia="zh-CN"/>
      </w:rPr>
      <w:t>建议不具约束力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F2229"/>
    <w:multiLevelType w:val="hybridMultilevel"/>
    <w:tmpl w:val="5944E7E8"/>
    <w:lvl w:ilvl="0" w:tplc="F646797E">
      <w:start w:val="1"/>
      <w:numFmt w:val="bullet"/>
      <w:lvlText w:val="●"/>
      <w:lvlJc w:val="left"/>
      <w:pPr>
        <w:ind w:left="846" w:hanging="420"/>
      </w:pPr>
      <w:rPr>
        <w:rFonts w:ascii="Times New Roman"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 w15:restartNumberingAfterBreak="0">
    <w:nsid w:val="49C53DA4"/>
    <w:multiLevelType w:val="hybridMultilevel"/>
    <w:tmpl w:val="14B6E7E6"/>
    <w:lvl w:ilvl="0" w:tplc="FE3AB33E">
      <w:start w:val="1"/>
      <w:numFmt w:val="bullet"/>
      <w:pStyle w:val="x2"/>
      <w:lvlText w:val="○"/>
      <w:lvlJc w:val="left"/>
      <w:pPr>
        <w:ind w:left="1546" w:hanging="420"/>
      </w:pPr>
      <w:rPr>
        <w:rFonts w:ascii="Times New Roman" w:hAnsi="Times New Roman" w:cs="Times New Roman" w:hint="default"/>
      </w:rPr>
    </w:lvl>
    <w:lvl w:ilvl="1" w:tplc="04090003" w:tentative="1">
      <w:start w:val="1"/>
      <w:numFmt w:val="bullet"/>
      <w:lvlText w:val=""/>
      <w:lvlJc w:val="left"/>
      <w:pPr>
        <w:ind w:left="1966" w:hanging="420"/>
      </w:pPr>
      <w:rPr>
        <w:rFonts w:ascii="Wingdings" w:hAnsi="Wingdings" w:hint="default"/>
      </w:rPr>
    </w:lvl>
    <w:lvl w:ilvl="2" w:tplc="04090005" w:tentative="1">
      <w:start w:val="1"/>
      <w:numFmt w:val="bullet"/>
      <w:lvlText w:val=""/>
      <w:lvlJc w:val="left"/>
      <w:pPr>
        <w:ind w:left="2386" w:hanging="420"/>
      </w:pPr>
      <w:rPr>
        <w:rFonts w:ascii="Wingdings" w:hAnsi="Wingdings" w:hint="default"/>
      </w:rPr>
    </w:lvl>
    <w:lvl w:ilvl="3" w:tplc="04090001" w:tentative="1">
      <w:start w:val="1"/>
      <w:numFmt w:val="bullet"/>
      <w:lvlText w:val=""/>
      <w:lvlJc w:val="left"/>
      <w:pPr>
        <w:ind w:left="2806" w:hanging="420"/>
      </w:pPr>
      <w:rPr>
        <w:rFonts w:ascii="Wingdings" w:hAnsi="Wingdings" w:hint="default"/>
      </w:rPr>
    </w:lvl>
    <w:lvl w:ilvl="4" w:tplc="04090003" w:tentative="1">
      <w:start w:val="1"/>
      <w:numFmt w:val="bullet"/>
      <w:lvlText w:val=""/>
      <w:lvlJc w:val="left"/>
      <w:pPr>
        <w:ind w:left="3226" w:hanging="420"/>
      </w:pPr>
      <w:rPr>
        <w:rFonts w:ascii="Wingdings" w:hAnsi="Wingdings" w:hint="default"/>
      </w:rPr>
    </w:lvl>
    <w:lvl w:ilvl="5" w:tplc="04090005" w:tentative="1">
      <w:start w:val="1"/>
      <w:numFmt w:val="bullet"/>
      <w:lvlText w:val=""/>
      <w:lvlJc w:val="left"/>
      <w:pPr>
        <w:ind w:left="3646" w:hanging="420"/>
      </w:pPr>
      <w:rPr>
        <w:rFonts w:ascii="Wingdings" w:hAnsi="Wingdings" w:hint="default"/>
      </w:rPr>
    </w:lvl>
    <w:lvl w:ilvl="6" w:tplc="04090001" w:tentative="1">
      <w:start w:val="1"/>
      <w:numFmt w:val="bullet"/>
      <w:lvlText w:val=""/>
      <w:lvlJc w:val="left"/>
      <w:pPr>
        <w:ind w:left="4066" w:hanging="420"/>
      </w:pPr>
      <w:rPr>
        <w:rFonts w:ascii="Wingdings" w:hAnsi="Wingdings" w:hint="default"/>
      </w:rPr>
    </w:lvl>
    <w:lvl w:ilvl="7" w:tplc="04090003" w:tentative="1">
      <w:start w:val="1"/>
      <w:numFmt w:val="bullet"/>
      <w:lvlText w:val=""/>
      <w:lvlJc w:val="left"/>
      <w:pPr>
        <w:ind w:left="4486" w:hanging="420"/>
      </w:pPr>
      <w:rPr>
        <w:rFonts w:ascii="Wingdings" w:hAnsi="Wingdings" w:hint="default"/>
      </w:rPr>
    </w:lvl>
    <w:lvl w:ilvl="8" w:tplc="04090005" w:tentative="1">
      <w:start w:val="1"/>
      <w:numFmt w:val="bullet"/>
      <w:lvlText w:val=""/>
      <w:lvlJc w:val="left"/>
      <w:pPr>
        <w:ind w:left="4906" w:hanging="420"/>
      </w:pPr>
      <w:rPr>
        <w:rFonts w:ascii="Wingdings" w:hAnsi="Wingdings" w:hint="default"/>
      </w:rPr>
    </w:lvl>
  </w:abstractNum>
  <w:abstractNum w:abstractNumId="2" w15:restartNumberingAfterBreak="0">
    <w:nsid w:val="6B3C2A24"/>
    <w:multiLevelType w:val="hybridMultilevel"/>
    <w:tmpl w:val="E66AF0A8"/>
    <w:lvl w:ilvl="0" w:tplc="8BBC1470">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9337703"/>
    <w:multiLevelType w:val="hybridMultilevel"/>
    <w:tmpl w:val="100C0E6C"/>
    <w:lvl w:ilvl="0" w:tplc="8BBC1470">
      <w:start w:val="1"/>
      <w:numFmt w:val="bullet"/>
      <w:lvlText w:val="○"/>
      <w:lvlJc w:val="left"/>
      <w:pPr>
        <w:ind w:left="1126" w:hanging="420"/>
      </w:pPr>
      <w:rPr>
        <w:rFonts w:ascii="Times New Roman" w:hAnsi="Times New Roman" w:cs="Times New Roman" w:hint="default"/>
      </w:rPr>
    </w:lvl>
    <w:lvl w:ilvl="1" w:tplc="04090003" w:tentative="1">
      <w:start w:val="1"/>
      <w:numFmt w:val="bullet"/>
      <w:lvlText w:val=""/>
      <w:lvlJc w:val="left"/>
      <w:pPr>
        <w:ind w:left="1546" w:hanging="420"/>
      </w:pPr>
      <w:rPr>
        <w:rFonts w:ascii="Wingdings" w:hAnsi="Wingdings" w:hint="default"/>
      </w:rPr>
    </w:lvl>
    <w:lvl w:ilvl="2" w:tplc="04090005" w:tentative="1">
      <w:start w:val="1"/>
      <w:numFmt w:val="bullet"/>
      <w:lvlText w:val=""/>
      <w:lvlJc w:val="left"/>
      <w:pPr>
        <w:ind w:left="1966" w:hanging="420"/>
      </w:pPr>
      <w:rPr>
        <w:rFonts w:ascii="Wingdings" w:hAnsi="Wingdings" w:hint="default"/>
      </w:rPr>
    </w:lvl>
    <w:lvl w:ilvl="3" w:tplc="04090001" w:tentative="1">
      <w:start w:val="1"/>
      <w:numFmt w:val="bullet"/>
      <w:lvlText w:val=""/>
      <w:lvlJc w:val="left"/>
      <w:pPr>
        <w:ind w:left="2386" w:hanging="420"/>
      </w:pPr>
      <w:rPr>
        <w:rFonts w:ascii="Wingdings" w:hAnsi="Wingdings" w:hint="default"/>
      </w:rPr>
    </w:lvl>
    <w:lvl w:ilvl="4" w:tplc="04090003" w:tentative="1">
      <w:start w:val="1"/>
      <w:numFmt w:val="bullet"/>
      <w:lvlText w:val=""/>
      <w:lvlJc w:val="left"/>
      <w:pPr>
        <w:ind w:left="2806" w:hanging="420"/>
      </w:pPr>
      <w:rPr>
        <w:rFonts w:ascii="Wingdings" w:hAnsi="Wingdings" w:hint="default"/>
      </w:rPr>
    </w:lvl>
    <w:lvl w:ilvl="5" w:tplc="04090005" w:tentative="1">
      <w:start w:val="1"/>
      <w:numFmt w:val="bullet"/>
      <w:lvlText w:val=""/>
      <w:lvlJc w:val="left"/>
      <w:pPr>
        <w:ind w:left="3226" w:hanging="420"/>
      </w:pPr>
      <w:rPr>
        <w:rFonts w:ascii="Wingdings" w:hAnsi="Wingdings" w:hint="default"/>
      </w:rPr>
    </w:lvl>
    <w:lvl w:ilvl="6" w:tplc="04090001" w:tentative="1">
      <w:start w:val="1"/>
      <w:numFmt w:val="bullet"/>
      <w:lvlText w:val=""/>
      <w:lvlJc w:val="left"/>
      <w:pPr>
        <w:ind w:left="3646" w:hanging="420"/>
      </w:pPr>
      <w:rPr>
        <w:rFonts w:ascii="Wingdings" w:hAnsi="Wingdings" w:hint="default"/>
      </w:rPr>
    </w:lvl>
    <w:lvl w:ilvl="7" w:tplc="04090003" w:tentative="1">
      <w:start w:val="1"/>
      <w:numFmt w:val="bullet"/>
      <w:lvlText w:val=""/>
      <w:lvlJc w:val="left"/>
      <w:pPr>
        <w:ind w:left="4066" w:hanging="420"/>
      </w:pPr>
      <w:rPr>
        <w:rFonts w:ascii="Wingdings" w:hAnsi="Wingdings" w:hint="default"/>
      </w:rPr>
    </w:lvl>
    <w:lvl w:ilvl="8" w:tplc="04090005" w:tentative="1">
      <w:start w:val="1"/>
      <w:numFmt w:val="bullet"/>
      <w:lvlText w:val=""/>
      <w:lvlJc w:val="left"/>
      <w:pPr>
        <w:ind w:left="4486"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NotTrackMoves/>
  <w:defaultTabStop w:val="420"/>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1EFF"/>
    <w:rsid w:val="000006A8"/>
    <w:rsid w:val="000015E4"/>
    <w:rsid w:val="00001ED4"/>
    <w:rsid w:val="00010A71"/>
    <w:rsid w:val="0002445F"/>
    <w:rsid w:val="00055839"/>
    <w:rsid w:val="00073CA5"/>
    <w:rsid w:val="00081281"/>
    <w:rsid w:val="00082FD1"/>
    <w:rsid w:val="000856AF"/>
    <w:rsid w:val="00095B11"/>
    <w:rsid w:val="000C3DD3"/>
    <w:rsid w:val="000C5C97"/>
    <w:rsid w:val="000C7C9C"/>
    <w:rsid w:val="000D3339"/>
    <w:rsid w:val="000E3B14"/>
    <w:rsid w:val="00110AB3"/>
    <w:rsid w:val="0011487A"/>
    <w:rsid w:val="001661B4"/>
    <w:rsid w:val="0017371A"/>
    <w:rsid w:val="00190FFA"/>
    <w:rsid w:val="001978F0"/>
    <w:rsid w:val="001A3084"/>
    <w:rsid w:val="001B51C3"/>
    <w:rsid w:val="001C4B2E"/>
    <w:rsid w:val="00211DF6"/>
    <w:rsid w:val="00212DF0"/>
    <w:rsid w:val="00217ED3"/>
    <w:rsid w:val="00230CC3"/>
    <w:rsid w:val="00232466"/>
    <w:rsid w:val="002339B6"/>
    <w:rsid w:val="00245E1A"/>
    <w:rsid w:val="00250E1C"/>
    <w:rsid w:val="0025215C"/>
    <w:rsid w:val="00284FB7"/>
    <w:rsid w:val="00295223"/>
    <w:rsid w:val="002A08C3"/>
    <w:rsid w:val="002D44E8"/>
    <w:rsid w:val="002E2262"/>
    <w:rsid w:val="00303371"/>
    <w:rsid w:val="00307B1D"/>
    <w:rsid w:val="00311C29"/>
    <w:rsid w:val="003255CA"/>
    <w:rsid w:val="00333B95"/>
    <w:rsid w:val="00344DC3"/>
    <w:rsid w:val="00350B76"/>
    <w:rsid w:val="0035662B"/>
    <w:rsid w:val="00367452"/>
    <w:rsid w:val="00370A2B"/>
    <w:rsid w:val="00377B89"/>
    <w:rsid w:val="003A52AB"/>
    <w:rsid w:val="003B2B49"/>
    <w:rsid w:val="003B745C"/>
    <w:rsid w:val="003C77B7"/>
    <w:rsid w:val="003D7C65"/>
    <w:rsid w:val="003E5A5C"/>
    <w:rsid w:val="004124B5"/>
    <w:rsid w:val="00427DD2"/>
    <w:rsid w:val="00445FF7"/>
    <w:rsid w:val="00473A94"/>
    <w:rsid w:val="00473CD9"/>
    <w:rsid w:val="004916A7"/>
    <w:rsid w:val="004922A5"/>
    <w:rsid w:val="004A30DF"/>
    <w:rsid w:val="004C19EA"/>
    <w:rsid w:val="004D3C0E"/>
    <w:rsid w:val="004F17DE"/>
    <w:rsid w:val="004F4F6C"/>
    <w:rsid w:val="005002C8"/>
    <w:rsid w:val="00504AEE"/>
    <w:rsid w:val="00522A8E"/>
    <w:rsid w:val="00532AD0"/>
    <w:rsid w:val="00536822"/>
    <w:rsid w:val="00543E7D"/>
    <w:rsid w:val="0055132D"/>
    <w:rsid w:val="0056091D"/>
    <w:rsid w:val="00570A00"/>
    <w:rsid w:val="005746DC"/>
    <w:rsid w:val="00586D9D"/>
    <w:rsid w:val="00591CD6"/>
    <w:rsid w:val="005A6BF2"/>
    <w:rsid w:val="005B287B"/>
    <w:rsid w:val="005B4D91"/>
    <w:rsid w:val="005B6551"/>
    <w:rsid w:val="005D04E2"/>
    <w:rsid w:val="00621302"/>
    <w:rsid w:val="00670AAB"/>
    <w:rsid w:val="00674D8B"/>
    <w:rsid w:val="006956A3"/>
    <w:rsid w:val="00695BD4"/>
    <w:rsid w:val="006A2D6F"/>
    <w:rsid w:val="006A59CF"/>
    <w:rsid w:val="006B31A9"/>
    <w:rsid w:val="006B7F24"/>
    <w:rsid w:val="006C0FFD"/>
    <w:rsid w:val="006D576E"/>
    <w:rsid w:val="006E045A"/>
    <w:rsid w:val="006E506B"/>
    <w:rsid w:val="00704BAF"/>
    <w:rsid w:val="00721E55"/>
    <w:rsid w:val="00733F86"/>
    <w:rsid w:val="00745FCA"/>
    <w:rsid w:val="0075527D"/>
    <w:rsid w:val="007A1EFF"/>
    <w:rsid w:val="007A4F23"/>
    <w:rsid w:val="007E600D"/>
    <w:rsid w:val="00800E32"/>
    <w:rsid w:val="008011C9"/>
    <w:rsid w:val="00835047"/>
    <w:rsid w:val="008463C4"/>
    <w:rsid w:val="00857B49"/>
    <w:rsid w:val="00862B46"/>
    <w:rsid w:val="008773D9"/>
    <w:rsid w:val="0088234C"/>
    <w:rsid w:val="008B3710"/>
    <w:rsid w:val="008E2664"/>
    <w:rsid w:val="008E700D"/>
    <w:rsid w:val="008F27F5"/>
    <w:rsid w:val="009225A7"/>
    <w:rsid w:val="00933AD6"/>
    <w:rsid w:val="00963EE3"/>
    <w:rsid w:val="00965D36"/>
    <w:rsid w:val="009677A4"/>
    <w:rsid w:val="009966FD"/>
    <w:rsid w:val="009A3411"/>
    <w:rsid w:val="009A65B2"/>
    <w:rsid w:val="009B24EC"/>
    <w:rsid w:val="009C575F"/>
    <w:rsid w:val="009C7912"/>
    <w:rsid w:val="009E4277"/>
    <w:rsid w:val="00A017A7"/>
    <w:rsid w:val="00A02155"/>
    <w:rsid w:val="00A0709F"/>
    <w:rsid w:val="00A26798"/>
    <w:rsid w:val="00A35414"/>
    <w:rsid w:val="00A7122A"/>
    <w:rsid w:val="00A91382"/>
    <w:rsid w:val="00AA5EC1"/>
    <w:rsid w:val="00AB66BB"/>
    <w:rsid w:val="00AD6DC0"/>
    <w:rsid w:val="00AD7F4A"/>
    <w:rsid w:val="00B205EF"/>
    <w:rsid w:val="00B24B47"/>
    <w:rsid w:val="00B6132D"/>
    <w:rsid w:val="00B62CDE"/>
    <w:rsid w:val="00B87C37"/>
    <w:rsid w:val="00B90E88"/>
    <w:rsid w:val="00BB2473"/>
    <w:rsid w:val="00BC008A"/>
    <w:rsid w:val="00BD2206"/>
    <w:rsid w:val="00C05554"/>
    <w:rsid w:val="00C11B2E"/>
    <w:rsid w:val="00C1461A"/>
    <w:rsid w:val="00C244BD"/>
    <w:rsid w:val="00C2673E"/>
    <w:rsid w:val="00C375AD"/>
    <w:rsid w:val="00C611AD"/>
    <w:rsid w:val="00C75D3C"/>
    <w:rsid w:val="00C91027"/>
    <w:rsid w:val="00CB3FC8"/>
    <w:rsid w:val="00CD6844"/>
    <w:rsid w:val="00CE5FB1"/>
    <w:rsid w:val="00D049D0"/>
    <w:rsid w:val="00D1477F"/>
    <w:rsid w:val="00D16368"/>
    <w:rsid w:val="00D27B62"/>
    <w:rsid w:val="00D27D10"/>
    <w:rsid w:val="00DB1FBC"/>
    <w:rsid w:val="00DE6DC9"/>
    <w:rsid w:val="00DF5E0E"/>
    <w:rsid w:val="00E05DD1"/>
    <w:rsid w:val="00E34862"/>
    <w:rsid w:val="00E361C0"/>
    <w:rsid w:val="00E36458"/>
    <w:rsid w:val="00E420B2"/>
    <w:rsid w:val="00E462E2"/>
    <w:rsid w:val="00E815BA"/>
    <w:rsid w:val="00E9223A"/>
    <w:rsid w:val="00EA04FD"/>
    <w:rsid w:val="00EB268D"/>
    <w:rsid w:val="00EC4138"/>
    <w:rsid w:val="00ED26D4"/>
    <w:rsid w:val="00EF6F0B"/>
    <w:rsid w:val="00EF77A5"/>
    <w:rsid w:val="00F320BE"/>
    <w:rsid w:val="00F54D25"/>
    <w:rsid w:val="00F62E74"/>
    <w:rsid w:val="00F77FFC"/>
    <w:rsid w:val="00F801A9"/>
    <w:rsid w:val="00F925D6"/>
    <w:rsid w:val="00F9287F"/>
    <w:rsid w:val="00F97ABE"/>
    <w:rsid w:val="00FD6878"/>
    <w:rsid w:val="00FE79CC"/>
    <w:rsid w:val="00FF0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0BC97"/>
  <w15:docId w15:val="{E12F63C9-3BC5-4B3F-930E-6CD3D539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F17DE"/>
    <w:pPr>
      <w:widowControl w:val="0"/>
    </w:pPr>
    <w:rPr>
      <w:color w:val="000000"/>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045A"/>
    <w:rPr>
      <w:color w:val="0000FF"/>
      <w:u w:val="single"/>
    </w:rPr>
  </w:style>
  <w:style w:type="paragraph" w:styleId="a4">
    <w:name w:val="header"/>
    <w:basedOn w:val="a"/>
    <w:link w:val="a5"/>
    <w:uiPriority w:val="99"/>
    <w:unhideWhenUsed/>
    <w:rsid w:val="008011C9"/>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8011C9"/>
    <w:rPr>
      <w:rFonts w:eastAsia="Times New Roman"/>
      <w:color w:val="000000"/>
      <w:sz w:val="18"/>
      <w:szCs w:val="18"/>
    </w:rPr>
  </w:style>
  <w:style w:type="paragraph" w:styleId="a6">
    <w:name w:val="footer"/>
    <w:basedOn w:val="a"/>
    <w:link w:val="a7"/>
    <w:uiPriority w:val="99"/>
    <w:unhideWhenUsed/>
    <w:rsid w:val="008011C9"/>
    <w:pPr>
      <w:tabs>
        <w:tab w:val="center" w:pos="4153"/>
        <w:tab w:val="right" w:pos="8306"/>
      </w:tabs>
      <w:snapToGrid w:val="0"/>
    </w:pPr>
    <w:rPr>
      <w:sz w:val="18"/>
      <w:szCs w:val="18"/>
    </w:rPr>
  </w:style>
  <w:style w:type="character" w:customStyle="1" w:styleId="a7">
    <w:name w:val="页脚 字符"/>
    <w:link w:val="a6"/>
    <w:uiPriority w:val="99"/>
    <w:rsid w:val="008011C9"/>
    <w:rPr>
      <w:rFonts w:eastAsia="Times New Roman"/>
      <w:color w:val="000000"/>
      <w:sz w:val="18"/>
      <w:szCs w:val="18"/>
    </w:rPr>
  </w:style>
  <w:style w:type="paragraph" w:styleId="a8">
    <w:name w:val="Balloon Text"/>
    <w:basedOn w:val="a"/>
    <w:link w:val="a9"/>
    <w:uiPriority w:val="99"/>
    <w:semiHidden/>
    <w:unhideWhenUsed/>
    <w:rsid w:val="00ED26D4"/>
    <w:rPr>
      <w:sz w:val="18"/>
      <w:szCs w:val="18"/>
    </w:rPr>
  </w:style>
  <w:style w:type="character" w:customStyle="1" w:styleId="a9">
    <w:name w:val="批注框文本 字符"/>
    <w:link w:val="a8"/>
    <w:uiPriority w:val="99"/>
    <w:semiHidden/>
    <w:rsid w:val="00ED26D4"/>
    <w:rPr>
      <w:rFonts w:eastAsia="宋体"/>
      <w:color w:val="000000"/>
      <w:sz w:val="18"/>
      <w:szCs w:val="18"/>
    </w:rPr>
  </w:style>
  <w:style w:type="paragraph" w:customStyle="1" w:styleId="b1">
    <w:name w:val="样式b1"/>
    <w:basedOn w:val="a"/>
    <w:rsid w:val="00ED26D4"/>
    <w:pPr>
      <w:pBdr>
        <w:bottom w:val="single" w:sz="4" w:space="1" w:color="auto"/>
      </w:pBdr>
      <w:snapToGrid w:val="0"/>
      <w:spacing w:beforeLines="50"/>
      <w:jc w:val="center"/>
    </w:pPr>
    <w:rPr>
      <w:b/>
      <w:bCs/>
      <w:sz w:val="52"/>
      <w:szCs w:val="52"/>
    </w:rPr>
  </w:style>
  <w:style w:type="paragraph" w:customStyle="1" w:styleId="b2">
    <w:name w:val="样式b2"/>
    <w:basedOn w:val="a"/>
    <w:rsid w:val="00ED26D4"/>
    <w:pPr>
      <w:snapToGrid w:val="0"/>
      <w:spacing w:beforeLines="50"/>
      <w:jc w:val="center"/>
    </w:pPr>
    <w:rPr>
      <w:b/>
      <w:bCs/>
      <w:sz w:val="52"/>
      <w:szCs w:val="52"/>
    </w:rPr>
  </w:style>
  <w:style w:type="paragraph" w:customStyle="1" w:styleId="m1">
    <w:name w:val="样式m1"/>
    <w:basedOn w:val="a"/>
    <w:autoRedefine/>
    <w:rsid w:val="005D04E2"/>
    <w:pPr>
      <w:tabs>
        <w:tab w:val="left" w:pos="567"/>
      </w:tabs>
      <w:snapToGrid w:val="0"/>
      <w:jc w:val="both"/>
    </w:pPr>
    <w:rPr>
      <w:b/>
      <w:bCs/>
      <w:sz w:val="28"/>
      <w:szCs w:val="28"/>
      <w:lang w:eastAsia="zh-CN"/>
    </w:rPr>
  </w:style>
  <w:style w:type="paragraph" w:customStyle="1" w:styleId="m2">
    <w:name w:val="样式m2"/>
    <w:basedOn w:val="a"/>
    <w:autoRedefine/>
    <w:rsid w:val="006E045A"/>
    <w:pPr>
      <w:tabs>
        <w:tab w:val="left" w:pos="1276"/>
      </w:tabs>
      <w:snapToGrid w:val="0"/>
      <w:spacing w:beforeLines="50" w:afterLines="50"/>
      <w:ind w:leftChars="337" w:left="1369" w:hangingChars="235" w:hanging="661"/>
      <w:jc w:val="both"/>
    </w:pPr>
    <w:rPr>
      <w:b/>
      <w:bCs/>
      <w:sz w:val="28"/>
      <w:szCs w:val="28"/>
      <w:lang w:eastAsia="zh-CN"/>
    </w:rPr>
  </w:style>
  <w:style w:type="paragraph" w:customStyle="1" w:styleId="m22">
    <w:name w:val="样式m22"/>
    <w:basedOn w:val="a"/>
    <w:rsid w:val="00ED26D4"/>
    <w:pPr>
      <w:tabs>
        <w:tab w:val="left" w:pos="1560"/>
      </w:tabs>
      <w:snapToGrid w:val="0"/>
      <w:spacing w:beforeLines="50" w:afterLines="50"/>
      <w:jc w:val="both"/>
    </w:pPr>
    <w:rPr>
      <w:b/>
      <w:bCs/>
      <w:sz w:val="24"/>
      <w:szCs w:val="24"/>
    </w:rPr>
  </w:style>
  <w:style w:type="paragraph" w:customStyle="1" w:styleId="m3">
    <w:name w:val="样式m3"/>
    <w:basedOn w:val="a"/>
    <w:rsid w:val="00ED26D4"/>
    <w:pPr>
      <w:snapToGrid w:val="0"/>
      <w:spacing w:beforeLines="50" w:afterLines="50"/>
      <w:jc w:val="both"/>
    </w:pPr>
    <w:rPr>
      <w:b/>
      <w:bCs/>
      <w:sz w:val="24"/>
      <w:szCs w:val="24"/>
    </w:rPr>
  </w:style>
  <w:style w:type="paragraph" w:customStyle="1" w:styleId="x">
    <w:name w:val="样式x"/>
    <w:basedOn w:val="a"/>
    <w:rsid w:val="009A3411"/>
    <w:pPr>
      <w:tabs>
        <w:tab w:val="left" w:pos="709"/>
      </w:tabs>
      <w:snapToGrid w:val="0"/>
      <w:spacing w:beforeLines="50"/>
      <w:ind w:leftChars="203" w:left="707" w:hangingChars="134" w:hanging="281"/>
      <w:jc w:val="both"/>
    </w:pPr>
    <w:rPr>
      <w:szCs w:val="24"/>
    </w:rPr>
  </w:style>
  <w:style w:type="paragraph" w:customStyle="1" w:styleId="x2">
    <w:name w:val="样式x2"/>
    <w:basedOn w:val="a"/>
    <w:autoRedefine/>
    <w:rsid w:val="006E045A"/>
    <w:pPr>
      <w:numPr>
        <w:numId w:val="3"/>
      </w:numPr>
      <w:tabs>
        <w:tab w:val="num" w:pos="360"/>
      </w:tabs>
      <w:snapToGrid w:val="0"/>
      <w:spacing w:beforeLines="50" w:afterLines="50"/>
      <w:ind w:left="1276" w:hanging="425"/>
      <w:jc w:val="both"/>
    </w:pPr>
    <w:rPr>
      <w:sz w:val="24"/>
      <w:szCs w:val="24"/>
      <w:lang w:eastAsia="zh-CN"/>
    </w:rPr>
  </w:style>
  <w:style w:type="paragraph" w:styleId="aa">
    <w:name w:val="List Paragraph"/>
    <w:basedOn w:val="a"/>
    <w:uiPriority w:val="34"/>
    <w:qFormat/>
    <w:rsid w:val="002A08C3"/>
    <w:pPr>
      <w:ind w:firstLineChars="200" w:firstLine="420"/>
    </w:pPr>
  </w:style>
  <w:style w:type="table" w:styleId="ab">
    <w:name w:val="Table Grid"/>
    <w:basedOn w:val="a1"/>
    <w:uiPriority w:val="59"/>
    <w:rsid w:val="00DF5E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footnote text"/>
    <w:basedOn w:val="a"/>
    <w:link w:val="ad"/>
    <w:uiPriority w:val="99"/>
    <w:semiHidden/>
    <w:unhideWhenUsed/>
    <w:rsid w:val="00245E1A"/>
    <w:pPr>
      <w:snapToGrid w:val="0"/>
    </w:pPr>
    <w:rPr>
      <w:sz w:val="18"/>
      <w:szCs w:val="18"/>
    </w:rPr>
  </w:style>
  <w:style w:type="character" w:customStyle="1" w:styleId="ad">
    <w:name w:val="脚注文本 字符"/>
    <w:link w:val="ac"/>
    <w:uiPriority w:val="99"/>
    <w:semiHidden/>
    <w:rsid w:val="00245E1A"/>
    <w:rPr>
      <w:color w:val="000000"/>
      <w:sz w:val="18"/>
      <w:szCs w:val="18"/>
      <w:lang w:eastAsia="en-US" w:bidi="en-US"/>
    </w:rPr>
  </w:style>
  <w:style w:type="character" w:styleId="ae">
    <w:name w:val="footnote reference"/>
    <w:uiPriority w:val="99"/>
    <w:semiHidden/>
    <w:unhideWhenUsed/>
    <w:rsid w:val="00245E1A"/>
    <w:rPr>
      <w:vertAlign w:val="superscript"/>
    </w:rPr>
  </w:style>
  <w:style w:type="character" w:styleId="af">
    <w:name w:val="annotation reference"/>
    <w:uiPriority w:val="99"/>
    <w:semiHidden/>
    <w:unhideWhenUsed/>
    <w:rsid w:val="00445FF7"/>
    <w:rPr>
      <w:sz w:val="21"/>
      <w:szCs w:val="21"/>
    </w:rPr>
  </w:style>
  <w:style w:type="paragraph" w:styleId="af0">
    <w:name w:val="annotation text"/>
    <w:basedOn w:val="a"/>
    <w:link w:val="af1"/>
    <w:uiPriority w:val="99"/>
    <w:semiHidden/>
    <w:unhideWhenUsed/>
    <w:rsid w:val="00445FF7"/>
  </w:style>
  <w:style w:type="character" w:customStyle="1" w:styleId="af1">
    <w:name w:val="批注文字 字符"/>
    <w:link w:val="af0"/>
    <w:uiPriority w:val="99"/>
    <w:semiHidden/>
    <w:rsid w:val="00445FF7"/>
    <w:rPr>
      <w:color w:val="000000"/>
      <w:sz w:val="21"/>
      <w:szCs w:val="21"/>
      <w:lang w:eastAsia="en-US" w:bidi="en-US"/>
    </w:rPr>
  </w:style>
  <w:style w:type="paragraph" w:styleId="af2">
    <w:name w:val="annotation subject"/>
    <w:basedOn w:val="af0"/>
    <w:next w:val="af0"/>
    <w:link w:val="af3"/>
    <w:uiPriority w:val="99"/>
    <w:semiHidden/>
    <w:unhideWhenUsed/>
    <w:rsid w:val="00445FF7"/>
    <w:rPr>
      <w:b/>
      <w:bCs/>
    </w:rPr>
  </w:style>
  <w:style w:type="character" w:customStyle="1" w:styleId="af3">
    <w:name w:val="批注主题 字符"/>
    <w:link w:val="af2"/>
    <w:uiPriority w:val="99"/>
    <w:semiHidden/>
    <w:rsid w:val="00445FF7"/>
    <w:rPr>
      <w:b/>
      <w:bCs/>
      <w:color w:val="000000"/>
      <w:sz w:val="21"/>
      <w:szCs w:val="21"/>
      <w:lang w:eastAsia="en-US" w:bidi="en-US"/>
    </w:rPr>
  </w:style>
  <w:style w:type="paragraph" w:styleId="af4">
    <w:name w:val="Revision"/>
    <w:hidden/>
    <w:uiPriority w:val="99"/>
    <w:semiHidden/>
    <w:rsid w:val="006E045A"/>
    <w:rPr>
      <w:color w:val="000000"/>
      <w:sz w:val="21"/>
      <w:szCs w:val="21"/>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fda.gov/regulatory-information/search-fda-guidance-documents/significant-risk-and-nonsignificant-risk-medical-device-stud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da.gov/regulatory-information/search-fda-guidance-documents/use-real-world-evidence-support-regulatory-decision-making-medical-devices" TargetMode="External"/><Relationship Id="rId7" Type="http://schemas.openxmlformats.org/officeDocument/2006/relationships/endnotes" Target="endnotes.xml"/><Relationship Id="rId12" Type="http://schemas.openxmlformats.org/officeDocument/2006/relationships/hyperlink" Target="mailto:CDRH-Guidance@fda.hhs.gov" TargetMode="External"/><Relationship Id="rId17" Type="http://schemas.openxmlformats.org/officeDocument/2006/relationships/hyperlink" Target="https://www.fda.gov/regulatory-information/search-fda-guidance-documents/requests-feedback-and-meetings-medical-device-submissions-q-submission-progra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da.gov/regulatory-information/search-fda-guidance-documents/requests-feedback-and-meetings-medical-device-submissions-q-submission-program" TargetMode="External"/><Relationship Id="rId20" Type="http://schemas.openxmlformats.org/officeDocument/2006/relationships/hyperlink" Target="https://www.fda.gov/regulatory-information/search-fda-guidance-documents/acceptance-clinical-data-support-medical-device-applications-and-submissions-frequently-ask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32763;&#35793;&#25991;&#20214;/&#37038;&#31665;&#65306;Guidance@fda.hhs.gov" TargetMode="External"/><Relationship Id="rId24"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fda.gov/regulatory-information/search-fda-guidance-documents/evaluation-and-reporting-age-race-and-ethnicity-specific-data-medical-device-clinical-studies" TargetMode="External"/><Relationship Id="rId10" Type="http://schemas.openxmlformats.org/officeDocument/2006/relationships/hyperlink" Target="mailto:CDRH-Guidance@fda.hhs.gov" TargetMode="External"/><Relationship Id="rId19" Type="http://schemas.openxmlformats.org/officeDocument/2006/relationships/hyperlink" Target="https://www.fda.gov/regulatory-information/search-fda-guidance-documents/acceptance-clinical-data-support-medical-device-applications-and-submissions-frequently-asked" TargetMode="External"/><Relationship Id="rId4" Type="http://schemas.openxmlformats.org/officeDocument/2006/relationships/settings" Target="settings.xml"/><Relationship Id="rId9" Type="http://schemas.openxmlformats.org/officeDocument/2006/relationships/hyperlink" Target="https://www.regulations.gov/" TargetMode="External"/><Relationship Id="rId14" Type="http://schemas.openxmlformats.org/officeDocument/2006/relationships/comments" Target="comments.xml"/><Relationship Id="rId22" Type="http://schemas.openxmlformats.org/officeDocument/2006/relationships/hyperlink" Target="https://www.fda.gov/regulatory-information/search-fda-guidance-documents/use-real-world-evidence-support-regulatory-decision-making-medical-devic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use-real-world-evidence-support-regulatory-decision-making-medical-devices" TargetMode="External"/><Relationship Id="rId13" Type="http://schemas.openxmlformats.org/officeDocument/2006/relationships/hyperlink" Target="https://www.fda.gov/regulatory-information/search-fda-guidance-documents/factors-consider-when-making-benefit-risk-determinations-medical-device-investigational-device" TargetMode="External"/><Relationship Id="rId18" Type="http://schemas.openxmlformats.org/officeDocument/2006/relationships/hyperlink" Target="https://www.fda.gov/regulatory-information/search-fda-guidance-documents/evaluation-and-reporting-age-race-" TargetMode="External"/><Relationship Id="rId3" Type="http://schemas.openxmlformats.org/officeDocument/2006/relationships/hyperlink" Target="https://www.fda.gov/regulatory-information/search-fda-guidance-documents/requests-feedback-and-meetings-medical-device-submissions-q-submission-program" TargetMode="External"/><Relationship Id="rId21" Type="http://schemas.openxmlformats.org/officeDocument/2006/relationships/hyperlink" Target="https://www.fda.gov/regulatory-information/search-fda-guidance-documents/factors-consider-when-making-benefit-risk-determinations-medical-device-investigational-device" TargetMode="External"/><Relationship Id="rId7" Type="http://schemas.openxmlformats.org/officeDocument/2006/relationships/hyperlink" Target="https://www.fda.gov/regulatory-information/search-fda-guidance-documents/acceptance-clinical-data-support-medical-device-applications-and-submissions-frequently-asked" TargetMode="External"/><Relationship Id="rId12" Type="http://schemas.openxmlformats.org/officeDocument/2006/relationships/hyperlink" Target="https://www.fda.gov/regulatory-information/search-fda-guidance-documents/factors-consider-when-making-benefit-risk-determinations-medical-device-investigational-device" TargetMode="External"/><Relationship Id="rId17" Type="http://schemas.openxmlformats.org/officeDocument/2006/relationships/hyperlink" Target="https://www.fda.gov/regulatory-%20information/search-fda-guidance-documents/consideration-uncertainty-making-benefit-risk-determinations-medical-%20device-premarket-approvals-de" TargetMode="External"/><Relationship Id="rId2" Type="http://schemas.openxmlformats.org/officeDocument/2006/relationships/hyperlink" Target="https://www.fda.gov/regulatory-information/search-fda-guidance-documents/requests-feedback-and-meetings-medical-device-submissions-q-submission-program" TargetMode="External"/><Relationship Id="rId16" Type="http://schemas.openxmlformats.org/officeDocument/2006/relationships/hyperlink" Target="https://www.fda.gov/regulatory-information/search-fda-guidance-documents/benefit-risk-factors-consider-when-determining-substantial-equivalence-premarket-notifications-510k" TargetMode="External"/><Relationship Id="rId20" Type="http://schemas.openxmlformats.org/officeDocument/2006/relationships/hyperlink" Target="https://ctep.cancer.gov/protocolDevelopment/electronic_applications/ctc.htm" TargetMode="External"/><Relationship Id="rId1" Type="http://schemas.openxmlformats.org/officeDocument/2006/relationships/hyperlink" Target="https://www.accessdata.fda.gov/cdrh_docs/%20reviews/DEN150011.pdf%20" TargetMode="External"/><Relationship Id="rId6" Type="http://schemas.openxmlformats.org/officeDocument/2006/relationships/hyperlink" Target="https://www.fda.gov/regulatory-information/search-fda-guidance-documents/acceptance-clinical-data-support-medical-device-applications-and-submissions-frequently-asked" TargetMode="External"/><Relationship Id="rId11" Type="http://schemas.openxmlformats.org/officeDocument/2006/relationships/hyperlink" Target="https://www.fda.gov/regulatory-information/search-fda-guidance-documents/least-burdensome-provisions-concept-and-principles" TargetMode="External"/><Relationship Id="rId24" Type="http://schemas.openxmlformats.org/officeDocument/2006/relationships/hyperlink" Target="https://www.fda.gov/regulatory-information/search-fda-guidance-documents/establishment-and-operation-clinical-trial-data-monitoring-committees" TargetMode="External"/><Relationship Id="rId5" Type="http://schemas.openxmlformats.org/officeDocument/2006/relationships/hyperlink" Target="https://www.fda.gov/regulatory-information/search-fda-guidance-documents/significant-risk-and-nonsignificant-risk-medical-device-studies" TargetMode="External"/><Relationship Id="rId15" Type="http://schemas.openxmlformats.org/officeDocument/2006/relationships/hyperlink" Target="https://www.fda.gov/regulatory-information/search-fda-guidance-%20documents/factors-" TargetMode="External"/><Relationship Id="rId23" Type="http://schemas.openxmlformats.org/officeDocument/2006/relationships/hyperlink" Target="https://www.fda.gov/regulatorv-%20information/search-fda-guidance-documents/establishment-and-" TargetMode="External"/><Relationship Id="rId10" Type="http://schemas.openxmlformats.org/officeDocument/2006/relationships/hyperlink" Target="https://www.fda.gov/%20regulatory-information/search-fda-guidance-documents/least-burdensome-provisions-concept-" TargetMode="External"/><Relationship Id="rId19" Type="http://schemas.openxmlformats.org/officeDocument/2006/relationships/hyperlink" Target="https://www.fda.gov/regulatory-information/search-fda-guidance-documents/evaluation-and-reporting-age-race-and-ethnicity-specific-data-medical-device-clinical-studies" TargetMode="External"/><Relationship Id="rId4" Type="http://schemas.openxmlformats.org/officeDocument/2006/relationships/hyperlink" Target="https://www.fda.gov/regulatory-information/search-fda-guidance-documents/significant-risk-and-nonsignificant-risk-medical-device-studies" TargetMode="External"/><Relationship Id="rId9" Type="http://schemas.openxmlformats.org/officeDocument/2006/relationships/hyperlink" Target="https://www.fda.gov/regulatory-information/search-fda-guidance-documents/use-real-world-evidence-support-regulatory-decision-making-medical-devices" TargetMode="External"/><Relationship Id="rId14" Type="http://schemas.openxmlformats.org/officeDocument/2006/relationships/hyperlink" Target="https://www.fda.gov/regulatory-information/search-fda-guidance-documents/factors-consider-when-making-benefit-risk-determinations-medical-device-investigational-device" TargetMode="External"/><Relationship Id="rId22" Type="http://schemas.openxmlformats.org/officeDocument/2006/relationships/hyperlink" Target="https://www.fda.gov/regulatory-information/search-fda-guidance-documents/factors-consider-when-making-benefit-risk-determinations-medical-device-investigational-devic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B6256-BCD1-4DDA-86A3-5C0520FC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1126</Words>
  <Characters>6420</Characters>
  <Application>Microsoft Office Word</Application>
  <DocSecurity>0</DocSecurity>
  <Lines>53</Lines>
  <Paragraphs>15</Paragraphs>
  <ScaleCrop>false</ScaleCrop>
  <Company>微软中国</Company>
  <LinksUpToDate>false</LinksUpToDate>
  <CharactersWithSpaces>7531</CharactersWithSpaces>
  <SharedDoc>false</SharedDoc>
  <HLinks>
    <vt:vector size="252" baseType="variant">
      <vt:variant>
        <vt:i4>3735584</vt:i4>
      </vt:variant>
      <vt:variant>
        <vt:i4>51</vt:i4>
      </vt:variant>
      <vt:variant>
        <vt:i4>0</vt:i4>
      </vt:variant>
      <vt:variant>
        <vt:i4>5</vt:i4>
      </vt:variant>
      <vt:variant>
        <vt:lpwstr/>
      </vt:variant>
      <vt:variant>
        <vt:lpwstr>bookmark27</vt:lpwstr>
      </vt:variant>
      <vt:variant>
        <vt:i4>4128800</vt:i4>
      </vt:variant>
      <vt:variant>
        <vt:i4>48</vt:i4>
      </vt:variant>
      <vt:variant>
        <vt:i4>0</vt:i4>
      </vt:variant>
      <vt:variant>
        <vt:i4>5</vt:i4>
      </vt:variant>
      <vt:variant>
        <vt:lpwstr/>
      </vt:variant>
      <vt:variant>
        <vt:lpwstr>bookmark21</vt:lpwstr>
      </vt:variant>
      <vt:variant>
        <vt:i4>3604515</vt:i4>
      </vt:variant>
      <vt:variant>
        <vt:i4>45</vt:i4>
      </vt:variant>
      <vt:variant>
        <vt:i4>0</vt:i4>
      </vt:variant>
      <vt:variant>
        <vt:i4>5</vt:i4>
      </vt:variant>
      <vt:variant>
        <vt:lpwstr/>
      </vt:variant>
      <vt:variant>
        <vt:lpwstr>bookmark19</vt:lpwstr>
      </vt:variant>
      <vt:variant>
        <vt:i4>3145765</vt:i4>
      </vt:variant>
      <vt:variant>
        <vt:i4>42</vt:i4>
      </vt:variant>
      <vt:variant>
        <vt:i4>0</vt:i4>
      </vt:variant>
      <vt:variant>
        <vt:i4>5</vt:i4>
      </vt:variant>
      <vt:variant>
        <vt:lpwstr>https://www.fda.gov/regulatory-information/search-fda-guidance-documents/evaluation-and-reporting-age-race-and-ethnicity-specific-data-medical-device-clinical-studies</vt:lpwstr>
      </vt:variant>
      <vt:variant>
        <vt:lpwstr/>
      </vt:variant>
      <vt:variant>
        <vt:i4>3604512</vt:i4>
      </vt:variant>
      <vt:variant>
        <vt:i4>39</vt:i4>
      </vt:variant>
      <vt:variant>
        <vt:i4>0</vt:i4>
      </vt:variant>
      <vt:variant>
        <vt:i4>5</vt:i4>
      </vt:variant>
      <vt:variant>
        <vt:lpwstr/>
      </vt:variant>
      <vt:variant>
        <vt:lpwstr>bookmark29</vt:lpwstr>
      </vt:variant>
      <vt:variant>
        <vt:i4>3735584</vt:i4>
      </vt:variant>
      <vt:variant>
        <vt:i4>36</vt:i4>
      </vt:variant>
      <vt:variant>
        <vt:i4>0</vt:i4>
      </vt:variant>
      <vt:variant>
        <vt:i4>5</vt:i4>
      </vt:variant>
      <vt:variant>
        <vt:lpwstr/>
      </vt:variant>
      <vt:variant>
        <vt:lpwstr>bookmark27</vt:lpwstr>
      </vt:variant>
      <vt:variant>
        <vt:i4>4128800</vt:i4>
      </vt:variant>
      <vt:variant>
        <vt:i4>33</vt:i4>
      </vt:variant>
      <vt:variant>
        <vt:i4>0</vt:i4>
      </vt:variant>
      <vt:variant>
        <vt:i4>5</vt:i4>
      </vt:variant>
      <vt:variant>
        <vt:lpwstr/>
      </vt:variant>
      <vt:variant>
        <vt:lpwstr>bookmark21</vt:lpwstr>
      </vt:variant>
      <vt:variant>
        <vt:i4>7471139</vt:i4>
      </vt:variant>
      <vt:variant>
        <vt:i4>30</vt:i4>
      </vt:variant>
      <vt:variant>
        <vt:i4>0</vt:i4>
      </vt:variant>
      <vt:variant>
        <vt:i4>5</vt:i4>
      </vt:variant>
      <vt:variant>
        <vt:lpwstr>https://www.fda.gov/regulatory-information/search-fda-guidance-documents/use-real-world-evidence-support-regulatory-decision-making-medical-devices</vt:lpwstr>
      </vt:variant>
      <vt:variant>
        <vt:lpwstr/>
      </vt:variant>
      <vt:variant>
        <vt:i4>7471139</vt:i4>
      </vt:variant>
      <vt:variant>
        <vt:i4>27</vt:i4>
      </vt:variant>
      <vt:variant>
        <vt:i4>0</vt:i4>
      </vt:variant>
      <vt:variant>
        <vt:i4>5</vt:i4>
      </vt:variant>
      <vt:variant>
        <vt:lpwstr>https://www.fda.gov/regulatory-information/search-fda-guidance-documents/use-real-world-evidence-support-regulatory-decision-making-medical-devices</vt:lpwstr>
      </vt:variant>
      <vt:variant>
        <vt:lpwstr/>
      </vt:variant>
      <vt:variant>
        <vt:i4>7078015</vt:i4>
      </vt:variant>
      <vt:variant>
        <vt:i4>24</vt:i4>
      </vt:variant>
      <vt:variant>
        <vt:i4>0</vt:i4>
      </vt:variant>
      <vt:variant>
        <vt:i4>5</vt:i4>
      </vt:variant>
      <vt:variant>
        <vt:lpwstr>https://www.fda.gov/regulatory-information/search-fda-guidance-documents/acceptance-clinical-data-support-medical-device-applications-and-submissions-frequently-asked</vt:lpwstr>
      </vt:variant>
      <vt:variant>
        <vt:lpwstr/>
      </vt:variant>
      <vt:variant>
        <vt:i4>7078015</vt:i4>
      </vt:variant>
      <vt:variant>
        <vt:i4>21</vt:i4>
      </vt:variant>
      <vt:variant>
        <vt:i4>0</vt:i4>
      </vt:variant>
      <vt:variant>
        <vt:i4>5</vt:i4>
      </vt:variant>
      <vt:variant>
        <vt:lpwstr>https://www.fda.gov/regulatory-information/search-fda-guidance-documents/acceptance-clinical-data-support-medical-device-applications-and-submissions-frequently-asked</vt:lpwstr>
      </vt:variant>
      <vt:variant>
        <vt:lpwstr/>
      </vt:variant>
      <vt:variant>
        <vt:i4>6225931</vt:i4>
      </vt:variant>
      <vt:variant>
        <vt:i4>18</vt:i4>
      </vt:variant>
      <vt:variant>
        <vt:i4>0</vt:i4>
      </vt:variant>
      <vt:variant>
        <vt:i4>5</vt:i4>
      </vt:variant>
      <vt:variant>
        <vt:lpwstr>https://www.fda.gov/regulatory-information/search-fda-guidance-documents/significant-risk-and-nonsignificant-risk-medical-device-studies</vt:lpwstr>
      </vt:variant>
      <vt:variant>
        <vt:lpwstr/>
      </vt:variant>
      <vt:variant>
        <vt:i4>3014758</vt:i4>
      </vt:variant>
      <vt:variant>
        <vt:i4>15</vt:i4>
      </vt:variant>
      <vt:variant>
        <vt:i4>0</vt:i4>
      </vt:variant>
      <vt:variant>
        <vt:i4>5</vt:i4>
      </vt:variant>
      <vt:variant>
        <vt:lpwstr>https://www.fda.gov/regulatory-information/search-fda-guidance-documents/requests-feedback-and-meetings-medical-device-submissions-q-submission-program</vt:lpwstr>
      </vt:variant>
      <vt:variant>
        <vt:lpwstr/>
      </vt:variant>
      <vt:variant>
        <vt:i4>3014758</vt:i4>
      </vt:variant>
      <vt:variant>
        <vt:i4>12</vt:i4>
      </vt:variant>
      <vt:variant>
        <vt:i4>0</vt:i4>
      </vt:variant>
      <vt:variant>
        <vt:i4>5</vt:i4>
      </vt:variant>
      <vt:variant>
        <vt:lpwstr>https://www.fda.gov/regulatory-information/search-fda-guidance-documents/requests-feedback-and-meetings-medical-device-submissions-q-submission-program</vt:lpwstr>
      </vt:variant>
      <vt:variant>
        <vt:lpwstr/>
      </vt:variant>
      <vt:variant>
        <vt:i4>4784233</vt:i4>
      </vt:variant>
      <vt:variant>
        <vt:i4>9</vt:i4>
      </vt:variant>
      <vt:variant>
        <vt:i4>0</vt:i4>
      </vt:variant>
      <vt:variant>
        <vt:i4>5</vt:i4>
      </vt:variant>
      <vt:variant>
        <vt:lpwstr>mailto:CDRH-Guidance@fda.hhs.gov</vt:lpwstr>
      </vt:variant>
      <vt:variant>
        <vt:lpwstr/>
      </vt:variant>
      <vt:variant>
        <vt:i4>1642310387</vt:i4>
      </vt:variant>
      <vt:variant>
        <vt:i4>6</vt:i4>
      </vt:variant>
      <vt:variant>
        <vt:i4>0</vt:i4>
      </vt:variant>
      <vt:variant>
        <vt:i4>5</vt:i4>
      </vt:variant>
      <vt:variant>
        <vt:lpwstr>../翻译文件/邮箱：Guidance@fda.hhs.gov</vt:lpwstr>
      </vt:variant>
      <vt:variant>
        <vt:lpwstr/>
      </vt:variant>
      <vt:variant>
        <vt:i4>4784233</vt:i4>
      </vt:variant>
      <vt:variant>
        <vt:i4>3</vt:i4>
      </vt:variant>
      <vt:variant>
        <vt:i4>0</vt:i4>
      </vt:variant>
      <vt:variant>
        <vt:i4>5</vt:i4>
      </vt:variant>
      <vt:variant>
        <vt:lpwstr>mailto:CDRH-Guidance@fda.hhs.gov</vt:lpwstr>
      </vt:variant>
      <vt:variant>
        <vt:lpwstr/>
      </vt:variant>
      <vt:variant>
        <vt:i4>5242944</vt:i4>
      </vt:variant>
      <vt:variant>
        <vt:i4>0</vt:i4>
      </vt:variant>
      <vt:variant>
        <vt:i4>0</vt:i4>
      </vt:variant>
      <vt:variant>
        <vt:i4>5</vt:i4>
      </vt:variant>
      <vt:variant>
        <vt:lpwstr>https://www.regulations.gov/</vt:lpwstr>
      </vt:variant>
      <vt:variant>
        <vt:lpwstr/>
      </vt:variant>
      <vt:variant>
        <vt:i4>8060965</vt:i4>
      </vt:variant>
      <vt:variant>
        <vt:i4>69</vt:i4>
      </vt:variant>
      <vt:variant>
        <vt:i4>0</vt:i4>
      </vt:variant>
      <vt:variant>
        <vt:i4>5</vt:i4>
      </vt:variant>
      <vt:variant>
        <vt:lpwstr>https://www.fda.gov/regulatory-information/search-fda-guidance-documents/establishment-and-operation-clinical-trial-data-monitoring-committees</vt:lpwstr>
      </vt:variant>
      <vt:variant>
        <vt:lpwstr/>
      </vt:variant>
      <vt:variant>
        <vt:i4>5177345</vt:i4>
      </vt:variant>
      <vt:variant>
        <vt:i4>66</vt:i4>
      </vt:variant>
      <vt:variant>
        <vt:i4>0</vt:i4>
      </vt:variant>
      <vt:variant>
        <vt:i4>5</vt:i4>
      </vt:variant>
      <vt:variant>
        <vt:lpwstr>https://www.fda.gov/regulatorv- information/search-fda-guidance-documents/establishment-and-</vt:lpwstr>
      </vt:variant>
      <vt:variant>
        <vt:lpwstr/>
      </vt:variant>
      <vt:variant>
        <vt:i4>6357105</vt:i4>
      </vt:variant>
      <vt:variant>
        <vt:i4>63</vt:i4>
      </vt:variant>
      <vt:variant>
        <vt:i4>0</vt:i4>
      </vt:variant>
      <vt:variant>
        <vt:i4>5</vt:i4>
      </vt:variant>
      <vt:variant>
        <vt:lpwstr>https://www.fda.gov/regulatory-information/search-fda-guidance-documents/factors-consider-when-making-benefit-risk-determinations-medical-device-investigational-device</vt:lpwstr>
      </vt:variant>
      <vt:variant>
        <vt:lpwstr/>
      </vt:variant>
      <vt:variant>
        <vt:i4>6357105</vt:i4>
      </vt:variant>
      <vt:variant>
        <vt:i4>60</vt:i4>
      </vt:variant>
      <vt:variant>
        <vt:i4>0</vt:i4>
      </vt:variant>
      <vt:variant>
        <vt:i4>5</vt:i4>
      </vt:variant>
      <vt:variant>
        <vt:lpwstr>https://www.fda.gov/regulatory-information/search-fda-guidance-documents/factors-consider-when-making-benefit-risk-determinations-medical-device-investigational-device</vt:lpwstr>
      </vt:variant>
      <vt:variant>
        <vt:lpwstr/>
      </vt:variant>
      <vt:variant>
        <vt:i4>3539035</vt:i4>
      </vt:variant>
      <vt:variant>
        <vt:i4>57</vt:i4>
      </vt:variant>
      <vt:variant>
        <vt:i4>0</vt:i4>
      </vt:variant>
      <vt:variant>
        <vt:i4>5</vt:i4>
      </vt:variant>
      <vt:variant>
        <vt:lpwstr>https://ctep.cancer.gov/protocolDevelopment/electronic_applications/ctc.htm</vt:lpwstr>
      </vt:variant>
      <vt:variant>
        <vt:lpwstr/>
      </vt:variant>
      <vt:variant>
        <vt:i4>3145765</vt:i4>
      </vt:variant>
      <vt:variant>
        <vt:i4>54</vt:i4>
      </vt:variant>
      <vt:variant>
        <vt:i4>0</vt:i4>
      </vt:variant>
      <vt:variant>
        <vt:i4>5</vt:i4>
      </vt:variant>
      <vt:variant>
        <vt:lpwstr>https://www.fda.gov/regulatory-information/search-fda-guidance-documents/evaluation-and-reporting-age-race-and-ethnicity-specific-data-medical-device-clinical-studies</vt:lpwstr>
      </vt:variant>
      <vt:variant>
        <vt:lpwstr/>
      </vt:variant>
      <vt:variant>
        <vt:i4>3211315</vt:i4>
      </vt:variant>
      <vt:variant>
        <vt:i4>51</vt:i4>
      </vt:variant>
      <vt:variant>
        <vt:i4>0</vt:i4>
      </vt:variant>
      <vt:variant>
        <vt:i4>5</vt:i4>
      </vt:variant>
      <vt:variant>
        <vt:lpwstr>https://www.fda.gov/regulatory-information/search-fda-guidance-documents/evaluation-and-reporting-age-race-</vt:lpwstr>
      </vt:variant>
      <vt:variant>
        <vt:lpwstr/>
      </vt:variant>
      <vt:variant>
        <vt:i4>4784221</vt:i4>
      </vt:variant>
      <vt:variant>
        <vt:i4>48</vt:i4>
      </vt:variant>
      <vt:variant>
        <vt:i4>0</vt:i4>
      </vt:variant>
      <vt:variant>
        <vt:i4>5</vt:i4>
      </vt:variant>
      <vt:variant>
        <vt:lpwstr>https://www.fda.gov/regulatory- information/search-fda-guidance-documents/consideration-uncertainty-making-benefit-risk-determinations-medical- device-premarket-approvals-de</vt:lpwstr>
      </vt:variant>
      <vt:variant>
        <vt:lpwstr/>
      </vt:variant>
      <vt:variant>
        <vt:i4>1900615</vt:i4>
      </vt:variant>
      <vt:variant>
        <vt:i4>45</vt:i4>
      </vt:variant>
      <vt:variant>
        <vt:i4>0</vt:i4>
      </vt:variant>
      <vt:variant>
        <vt:i4>5</vt:i4>
      </vt:variant>
      <vt:variant>
        <vt:lpwstr>https://www.fda.gov/regulatory-information/search-fda-guidance-documents/benefit-risk-factors-consider-when-determining-substantial-equivalence-premarket-notifications-510k</vt:lpwstr>
      </vt:variant>
      <vt:variant>
        <vt:lpwstr/>
      </vt:variant>
      <vt:variant>
        <vt:i4>8323179</vt:i4>
      </vt:variant>
      <vt:variant>
        <vt:i4>42</vt:i4>
      </vt:variant>
      <vt:variant>
        <vt:i4>0</vt:i4>
      </vt:variant>
      <vt:variant>
        <vt:i4>5</vt:i4>
      </vt:variant>
      <vt:variant>
        <vt:lpwstr>https://www.fda.gov/regulatory-information/search-fda-guidance- documents/factors-</vt:lpwstr>
      </vt:variant>
      <vt:variant>
        <vt:lpwstr/>
      </vt:variant>
      <vt:variant>
        <vt:i4>6357105</vt:i4>
      </vt:variant>
      <vt:variant>
        <vt:i4>39</vt:i4>
      </vt:variant>
      <vt:variant>
        <vt:i4>0</vt:i4>
      </vt:variant>
      <vt:variant>
        <vt:i4>5</vt:i4>
      </vt:variant>
      <vt:variant>
        <vt:lpwstr>https://www.fda.gov/regulatory-information/search-fda-guidance-documents/factors-consider-when-making-benefit-risk-determinations-medical-device-investigational-device</vt:lpwstr>
      </vt:variant>
      <vt:variant>
        <vt:lpwstr/>
      </vt:variant>
      <vt:variant>
        <vt:i4>6357105</vt:i4>
      </vt:variant>
      <vt:variant>
        <vt:i4>36</vt:i4>
      </vt:variant>
      <vt:variant>
        <vt:i4>0</vt:i4>
      </vt:variant>
      <vt:variant>
        <vt:i4>5</vt:i4>
      </vt:variant>
      <vt:variant>
        <vt:lpwstr>https://www.fda.gov/regulatory-information/search-fda-guidance-documents/factors-consider-when-making-benefit-risk-determinations-medical-device-investigational-device</vt:lpwstr>
      </vt:variant>
      <vt:variant>
        <vt:lpwstr/>
      </vt:variant>
      <vt:variant>
        <vt:i4>6357105</vt:i4>
      </vt:variant>
      <vt:variant>
        <vt:i4>33</vt:i4>
      </vt:variant>
      <vt:variant>
        <vt:i4>0</vt:i4>
      </vt:variant>
      <vt:variant>
        <vt:i4>5</vt:i4>
      </vt:variant>
      <vt:variant>
        <vt:lpwstr>https://www.fda.gov/regulatory-information/search-fda-guidance-documents/factors-consider-when-making-benefit-risk-determinations-medical-device-investigational-device</vt:lpwstr>
      </vt:variant>
      <vt:variant>
        <vt:lpwstr/>
      </vt:variant>
      <vt:variant>
        <vt:i4>6553656</vt:i4>
      </vt:variant>
      <vt:variant>
        <vt:i4>30</vt:i4>
      </vt:variant>
      <vt:variant>
        <vt:i4>0</vt:i4>
      </vt:variant>
      <vt:variant>
        <vt:i4>5</vt:i4>
      </vt:variant>
      <vt:variant>
        <vt:lpwstr>https://www.fda.gov/regulatory-information/search-fda-guidance-documents/least-burdensome-provisions-concept-and-principles</vt:lpwstr>
      </vt:variant>
      <vt:variant>
        <vt:lpwstr/>
      </vt:variant>
      <vt:variant>
        <vt:i4>7733306</vt:i4>
      </vt:variant>
      <vt:variant>
        <vt:i4>27</vt:i4>
      </vt:variant>
      <vt:variant>
        <vt:i4>0</vt:i4>
      </vt:variant>
      <vt:variant>
        <vt:i4>5</vt:i4>
      </vt:variant>
      <vt:variant>
        <vt:lpwstr>https://www.fda.gov/ regulatory-information/search-fda-guidance-documents/least-burdensome-provisions-concept-</vt:lpwstr>
      </vt:variant>
      <vt:variant>
        <vt:lpwstr/>
      </vt:variant>
      <vt:variant>
        <vt:i4>7471139</vt:i4>
      </vt:variant>
      <vt:variant>
        <vt:i4>24</vt:i4>
      </vt:variant>
      <vt:variant>
        <vt:i4>0</vt:i4>
      </vt:variant>
      <vt:variant>
        <vt:i4>5</vt:i4>
      </vt:variant>
      <vt:variant>
        <vt:lpwstr>https://www.fda.gov/regulatory-information/search-fda-guidance-documents/use-real-world-evidence-support-regulatory-decision-making-medical-devices</vt:lpwstr>
      </vt:variant>
      <vt:variant>
        <vt:lpwstr/>
      </vt:variant>
      <vt:variant>
        <vt:i4>7471139</vt:i4>
      </vt:variant>
      <vt:variant>
        <vt:i4>21</vt:i4>
      </vt:variant>
      <vt:variant>
        <vt:i4>0</vt:i4>
      </vt:variant>
      <vt:variant>
        <vt:i4>5</vt:i4>
      </vt:variant>
      <vt:variant>
        <vt:lpwstr>https://www.fda.gov/regulatory-information/search-fda-guidance-documents/use-real-world-evidence-support-regulatory-decision-making-medical-devices</vt:lpwstr>
      </vt:variant>
      <vt:variant>
        <vt:lpwstr/>
      </vt:variant>
      <vt:variant>
        <vt:i4>7078015</vt:i4>
      </vt:variant>
      <vt:variant>
        <vt:i4>18</vt:i4>
      </vt:variant>
      <vt:variant>
        <vt:i4>0</vt:i4>
      </vt:variant>
      <vt:variant>
        <vt:i4>5</vt:i4>
      </vt:variant>
      <vt:variant>
        <vt:lpwstr>https://www.fda.gov/regulatory-information/search-fda-guidance-documents/acceptance-clinical-data-support-medical-device-applications-and-submissions-frequently-asked</vt:lpwstr>
      </vt:variant>
      <vt:variant>
        <vt:lpwstr/>
      </vt:variant>
      <vt:variant>
        <vt:i4>7078015</vt:i4>
      </vt:variant>
      <vt:variant>
        <vt:i4>15</vt:i4>
      </vt:variant>
      <vt:variant>
        <vt:i4>0</vt:i4>
      </vt:variant>
      <vt:variant>
        <vt:i4>5</vt:i4>
      </vt:variant>
      <vt:variant>
        <vt:lpwstr>https://www.fda.gov/regulatory-information/search-fda-guidance-documents/acceptance-clinical-data-support-medical-device-applications-and-submissions-frequently-asked</vt:lpwstr>
      </vt:variant>
      <vt:variant>
        <vt:lpwstr/>
      </vt:variant>
      <vt:variant>
        <vt:i4>6225931</vt:i4>
      </vt:variant>
      <vt:variant>
        <vt:i4>12</vt:i4>
      </vt:variant>
      <vt:variant>
        <vt:i4>0</vt:i4>
      </vt:variant>
      <vt:variant>
        <vt:i4>5</vt:i4>
      </vt:variant>
      <vt:variant>
        <vt:lpwstr>https://www.fda.gov/regulatory-information/search-fda-guidance-documents/significant-risk-and-nonsignificant-risk-medical-device-studies</vt:lpwstr>
      </vt:variant>
      <vt:variant>
        <vt:lpwstr/>
      </vt:variant>
      <vt:variant>
        <vt:i4>6225931</vt:i4>
      </vt:variant>
      <vt:variant>
        <vt:i4>9</vt:i4>
      </vt:variant>
      <vt:variant>
        <vt:i4>0</vt:i4>
      </vt:variant>
      <vt:variant>
        <vt:i4>5</vt:i4>
      </vt:variant>
      <vt:variant>
        <vt:lpwstr>https://www.fda.gov/regulatory-information/search-fda-guidance-documents/significant-risk-and-nonsignificant-risk-medical-device-studies</vt:lpwstr>
      </vt:variant>
      <vt:variant>
        <vt:lpwstr/>
      </vt:variant>
      <vt:variant>
        <vt:i4>3014758</vt:i4>
      </vt:variant>
      <vt:variant>
        <vt:i4>6</vt:i4>
      </vt:variant>
      <vt:variant>
        <vt:i4>0</vt:i4>
      </vt:variant>
      <vt:variant>
        <vt:i4>5</vt:i4>
      </vt:variant>
      <vt:variant>
        <vt:lpwstr>https://www.fda.gov/regulatory-information/search-fda-guidance-documents/requests-feedback-and-meetings-medical-device-submissions-q-submission-program</vt:lpwstr>
      </vt:variant>
      <vt:variant>
        <vt:lpwstr/>
      </vt:variant>
      <vt:variant>
        <vt:i4>3014758</vt:i4>
      </vt:variant>
      <vt:variant>
        <vt:i4>3</vt:i4>
      </vt:variant>
      <vt:variant>
        <vt:i4>0</vt:i4>
      </vt:variant>
      <vt:variant>
        <vt:i4>5</vt:i4>
      </vt:variant>
      <vt:variant>
        <vt:lpwstr>https://www.fda.gov/regulatory-information/search-fda-guidance-documents/requests-feedback-and-meetings-medical-device-submissions-q-submission-program</vt:lpwstr>
      </vt:variant>
      <vt:variant>
        <vt:lpwstr/>
      </vt:variant>
      <vt:variant>
        <vt:i4>1179773</vt:i4>
      </vt:variant>
      <vt:variant>
        <vt:i4>0</vt:i4>
      </vt:variant>
      <vt:variant>
        <vt:i4>0</vt:i4>
      </vt:variant>
      <vt:variant>
        <vt:i4>5</vt:i4>
      </vt:variant>
      <vt:variant>
        <vt:lpwstr>https://www.accessdata.fda.gov/cdrh_docs/ reviews/DEN150011.pdf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lastModifiedBy>黄亚兰</cp:lastModifiedBy>
  <cp:revision>29</cp:revision>
  <dcterms:created xsi:type="dcterms:W3CDTF">2022-03-21T02:10:00Z</dcterms:created>
  <dcterms:modified xsi:type="dcterms:W3CDTF">2022-10-10T02:59:00Z</dcterms:modified>
</cp:coreProperties>
</file>